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C44063" w14:textId="593BAB28" w:rsidR="00FE5D2D" w:rsidRDefault="00D80D3A" w:rsidP="00E0700F">
      <w:pPr>
        <w:pStyle w:val="ListParagraph"/>
        <w:spacing w:line="480" w:lineRule="auto"/>
        <w:jc w:val="center"/>
        <w:rPr>
          <w:b/>
          <w:bCs/>
          <w:sz w:val="28"/>
          <w:szCs w:val="28"/>
          <w:lang w:val="en-US"/>
        </w:rPr>
      </w:pPr>
      <w:r w:rsidRPr="004147E2">
        <w:rPr>
          <w:b/>
          <w:bCs/>
          <w:sz w:val="28"/>
          <w:szCs w:val="28"/>
          <w:lang w:val="en-US"/>
        </w:rPr>
        <w:t xml:space="preserve">The </w:t>
      </w:r>
      <w:r w:rsidR="00F60B7E">
        <w:rPr>
          <w:b/>
          <w:bCs/>
          <w:sz w:val="28"/>
          <w:szCs w:val="28"/>
          <w:lang w:val="en-US"/>
        </w:rPr>
        <w:t>a</w:t>
      </w:r>
      <w:r w:rsidRPr="004147E2">
        <w:rPr>
          <w:b/>
          <w:bCs/>
          <w:sz w:val="28"/>
          <w:szCs w:val="28"/>
          <w:lang w:val="en-US"/>
        </w:rPr>
        <w:t>lternative splicing landscape of a coral reef fish during a marine heatwave</w:t>
      </w:r>
      <w:r w:rsidR="00E0700F">
        <w:rPr>
          <w:b/>
          <w:bCs/>
          <w:sz w:val="28"/>
          <w:szCs w:val="28"/>
          <w:lang w:val="en-US"/>
        </w:rPr>
        <w:softHyphen/>
      </w:r>
    </w:p>
    <w:p w14:paraId="6121FC50" w14:textId="77777777" w:rsidR="00E8325D" w:rsidRPr="004147E2" w:rsidRDefault="00E8325D" w:rsidP="00E0700F">
      <w:pPr>
        <w:pStyle w:val="ListParagraph"/>
        <w:spacing w:line="480" w:lineRule="auto"/>
        <w:jc w:val="center"/>
        <w:rPr>
          <w:lang w:val="en-US"/>
        </w:rPr>
      </w:pPr>
    </w:p>
    <w:p w14:paraId="0B03951A" w14:textId="652F22CB" w:rsidR="00FE5D2D" w:rsidRPr="004147E2" w:rsidRDefault="00FE5D2D" w:rsidP="003213C0">
      <w:pPr>
        <w:spacing w:line="480" w:lineRule="auto"/>
        <w:jc w:val="center"/>
        <w:rPr>
          <w:lang w:val="en-US"/>
        </w:rPr>
      </w:pPr>
      <w:r w:rsidRPr="004147E2">
        <w:rPr>
          <w:lang w:val="en-US"/>
        </w:rPr>
        <w:t>Stan</w:t>
      </w:r>
      <w:r w:rsidR="005A1FFC" w:rsidRPr="004147E2">
        <w:rPr>
          <w:lang w:val="en-US"/>
        </w:rPr>
        <w:t>ley</w:t>
      </w:r>
      <w:r w:rsidRPr="004147E2">
        <w:rPr>
          <w:lang w:val="en-US"/>
        </w:rPr>
        <w:t xml:space="preserve"> </w:t>
      </w:r>
      <w:r w:rsidR="00427A18" w:rsidRPr="004147E2">
        <w:rPr>
          <w:lang w:val="en-US"/>
        </w:rPr>
        <w:t>Kin Nok Chan</w:t>
      </w:r>
      <w:r w:rsidR="005A1FFC" w:rsidRPr="004147E2">
        <w:rPr>
          <w:vertAlign w:val="superscript"/>
          <w:lang w:val="en-US"/>
        </w:rPr>
        <w:t>1</w:t>
      </w:r>
      <w:r w:rsidRPr="004147E2">
        <w:rPr>
          <w:lang w:val="en-US"/>
        </w:rPr>
        <w:t xml:space="preserve">, </w:t>
      </w:r>
      <w:r w:rsidR="005A1FFC" w:rsidRPr="004147E2">
        <w:rPr>
          <w:lang w:val="en-US"/>
        </w:rPr>
        <w:t>Sneha Suresh</w:t>
      </w:r>
      <w:r w:rsidR="005A1FFC" w:rsidRPr="004147E2">
        <w:rPr>
          <w:vertAlign w:val="superscript"/>
          <w:lang w:val="en-US"/>
        </w:rPr>
        <w:t>1</w:t>
      </w:r>
      <w:r w:rsidR="005A1FFC" w:rsidRPr="004147E2">
        <w:rPr>
          <w:lang w:val="en-US"/>
        </w:rPr>
        <w:t>, Phillip Munday</w:t>
      </w:r>
      <w:r w:rsidR="005A1FFC" w:rsidRPr="004147E2">
        <w:rPr>
          <w:vertAlign w:val="superscript"/>
          <w:lang w:val="en-US"/>
        </w:rPr>
        <w:t>2</w:t>
      </w:r>
      <w:r w:rsidR="005A1FFC" w:rsidRPr="004147E2">
        <w:rPr>
          <w:lang w:val="en-US"/>
        </w:rPr>
        <w:t>, Timothy Ravasi</w:t>
      </w:r>
      <w:r w:rsidR="00FF46C0" w:rsidRPr="004147E2">
        <w:rPr>
          <w:vertAlign w:val="superscript"/>
          <w:lang w:val="en-US"/>
        </w:rPr>
        <w:t>2</w:t>
      </w:r>
      <w:r w:rsidR="005A1FFC" w:rsidRPr="004147E2">
        <w:rPr>
          <w:vertAlign w:val="superscript"/>
          <w:lang w:val="en-US"/>
        </w:rPr>
        <w:t>,</w:t>
      </w:r>
      <w:r w:rsidR="00FF46C0" w:rsidRPr="004147E2">
        <w:rPr>
          <w:vertAlign w:val="superscript"/>
          <w:lang w:val="en-US"/>
        </w:rPr>
        <w:t>3</w:t>
      </w:r>
      <w:r w:rsidR="005A1FFC" w:rsidRPr="004147E2">
        <w:rPr>
          <w:lang w:val="en-US"/>
        </w:rPr>
        <w:t xml:space="preserve">, </w:t>
      </w:r>
      <w:proofErr w:type="spellStart"/>
      <w:r w:rsidR="005A1FFC" w:rsidRPr="004147E2">
        <w:rPr>
          <w:lang w:val="en-US"/>
        </w:rPr>
        <w:t>Mois</w:t>
      </w:r>
      <w:r w:rsidR="00C44767" w:rsidRPr="004147E2">
        <w:rPr>
          <w:lang w:val="en-US"/>
        </w:rPr>
        <w:t>é</w:t>
      </w:r>
      <w:r w:rsidR="005A1FFC" w:rsidRPr="004147E2">
        <w:rPr>
          <w:lang w:val="en-US"/>
        </w:rPr>
        <w:t>s</w:t>
      </w:r>
      <w:proofErr w:type="spellEnd"/>
      <w:r w:rsidR="005A1FFC" w:rsidRPr="004147E2">
        <w:rPr>
          <w:lang w:val="en-US"/>
        </w:rPr>
        <w:t xml:space="preserve"> </w:t>
      </w:r>
      <w:r w:rsidR="00C44767" w:rsidRPr="004147E2">
        <w:rPr>
          <w:lang w:val="en-US"/>
        </w:rPr>
        <w:t xml:space="preserve">A. </w:t>
      </w:r>
      <w:r w:rsidR="005A1FFC" w:rsidRPr="004147E2">
        <w:rPr>
          <w:lang w:val="en-US"/>
        </w:rPr>
        <w:t>Bernal</w:t>
      </w:r>
      <w:r w:rsidR="00FF46C0" w:rsidRPr="004147E2">
        <w:rPr>
          <w:vertAlign w:val="superscript"/>
          <w:lang w:val="en-US"/>
        </w:rPr>
        <w:t>4</w:t>
      </w:r>
      <w:r w:rsidR="005A1FFC" w:rsidRPr="004147E2">
        <w:rPr>
          <w:lang w:val="en-US"/>
        </w:rPr>
        <w:t>, Celia Schunter</w:t>
      </w:r>
      <w:r w:rsidR="005A1FFC" w:rsidRPr="004147E2">
        <w:rPr>
          <w:vertAlign w:val="superscript"/>
          <w:lang w:val="en-US"/>
        </w:rPr>
        <w:t>1</w:t>
      </w:r>
      <w:r w:rsidR="0019301B" w:rsidRPr="004147E2">
        <w:rPr>
          <w:vertAlign w:val="superscript"/>
          <w:lang w:val="en-US"/>
        </w:rPr>
        <w:t>*</w:t>
      </w:r>
    </w:p>
    <w:p w14:paraId="574E8E07" w14:textId="77777777" w:rsidR="00FF46C0" w:rsidRPr="007059F2" w:rsidRDefault="00FF46C0" w:rsidP="003213C0">
      <w:pPr>
        <w:jc w:val="both"/>
        <w:rPr>
          <w:b/>
          <w:bCs/>
          <w:iCs/>
          <w:lang w:val="en-US"/>
        </w:rPr>
      </w:pPr>
    </w:p>
    <w:p w14:paraId="45737D0E" w14:textId="362CDD03" w:rsidR="007064F7" w:rsidRPr="004147E2" w:rsidRDefault="00FF46C0" w:rsidP="003213C0">
      <w:pPr>
        <w:pStyle w:val="ListParagraph"/>
        <w:ind w:left="644"/>
        <w:jc w:val="both"/>
        <w:rPr>
          <w:iCs/>
          <w:lang w:val="en-AU"/>
        </w:rPr>
      </w:pPr>
      <w:r w:rsidRPr="004147E2">
        <w:rPr>
          <w:iCs/>
          <w:vertAlign w:val="superscript"/>
          <w:lang w:val="en-AU"/>
        </w:rPr>
        <w:t>1</w:t>
      </w:r>
      <w:r w:rsidRPr="004147E2">
        <w:rPr>
          <w:iCs/>
          <w:lang w:val="en-AU"/>
        </w:rPr>
        <w:t xml:space="preserve">Swire Institute of Marine Science, </w:t>
      </w:r>
      <w:r w:rsidR="001E2A3F" w:rsidRPr="004147E2">
        <w:rPr>
          <w:iCs/>
          <w:lang w:val="en-AU"/>
        </w:rPr>
        <w:t>School of Biological Sciences</w:t>
      </w:r>
      <w:r w:rsidRPr="004147E2">
        <w:rPr>
          <w:iCs/>
          <w:lang w:val="en-AU"/>
        </w:rPr>
        <w:t xml:space="preserve">, The University of Hong Kong, </w:t>
      </w:r>
      <w:proofErr w:type="spellStart"/>
      <w:r w:rsidR="007064F7" w:rsidRPr="004147E2">
        <w:rPr>
          <w:iCs/>
          <w:lang w:val="en-AU"/>
        </w:rPr>
        <w:t>Pokfulam</w:t>
      </w:r>
      <w:proofErr w:type="spellEnd"/>
      <w:r w:rsidR="007064F7" w:rsidRPr="004147E2">
        <w:rPr>
          <w:iCs/>
          <w:lang w:val="en-AU"/>
        </w:rPr>
        <w:t xml:space="preserve"> Road, Hong Kong SAR</w:t>
      </w:r>
    </w:p>
    <w:p w14:paraId="3C1C77B5" w14:textId="77777777" w:rsidR="00FF46C0" w:rsidRPr="004147E2" w:rsidRDefault="00FF46C0" w:rsidP="007064F7">
      <w:pPr>
        <w:pStyle w:val="ListParagraph"/>
        <w:ind w:left="644"/>
        <w:jc w:val="both"/>
        <w:rPr>
          <w:iCs/>
          <w:lang w:val="en-AU"/>
        </w:rPr>
      </w:pPr>
    </w:p>
    <w:p w14:paraId="2B294168" w14:textId="0386D4A2" w:rsidR="00FF46C0" w:rsidRPr="004147E2" w:rsidRDefault="00FF46C0" w:rsidP="003213C0">
      <w:pPr>
        <w:pStyle w:val="ListParagraph"/>
        <w:ind w:left="644"/>
        <w:jc w:val="both"/>
        <w:rPr>
          <w:iCs/>
          <w:lang w:val="en-AU"/>
        </w:rPr>
      </w:pPr>
      <w:r w:rsidRPr="004147E2">
        <w:rPr>
          <w:iCs/>
          <w:vertAlign w:val="superscript"/>
          <w:lang w:val="en-AU"/>
        </w:rPr>
        <w:t>2</w:t>
      </w:r>
      <w:r w:rsidRPr="004147E2">
        <w:rPr>
          <w:iCs/>
          <w:lang w:val="en-AU"/>
        </w:rPr>
        <w:t>Australian Research Council Centre of Excellence for Coral Reef Studies, James Cook University, Townsville, Queensland, 4811, Australia</w:t>
      </w:r>
    </w:p>
    <w:p w14:paraId="48BFF6B9" w14:textId="77777777" w:rsidR="00FF46C0" w:rsidRPr="0073197D" w:rsidRDefault="00FF46C0" w:rsidP="003213C0">
      <w:pPr>
        <w:jc w:val="both"/>
        <w:rPr>
          <w:iCs/>
          <w:lang w:val="en-AU"/>
        </w:rPr>
      </w:pPr>
    </w:p>
    <w:p w14:paraId="0D63B60D" w14:textId="77777777" w:rsidR="003213C0" w:rsidRPr="004147E2" w:rsidRDefault="00FF46C0">
      <w:pPr>
        <w:pStyle w:val="ListParagraph"/>
        <w:ind w:left="644"/>
        <w:jc w:val="both"/>
      </w:pPr>
      <w:r w:rsidRPr="004147E2">
        <w:rPr>
          <w:iCs/>
          <w:vertAlign w:val="superscript"/>
          <w:lang w:val="en-AU"/>
        </w:rPr>
        <w:t>3</w:t>
      </w:r>
      <w:r w:rsidRPr="004147E2">
        <w:rPr>
          <w:bCs/>
          <w:iCs/>
          <w:shd w:val="clear" w:color="auto" w:fill="FFFFFF"/>
          <w:lang w:val="en-AU"/>
        </w:rPr>
        <w:t xml:space="preserve">Marine Climate Change Unit, Okinawa Institute of Science and Technology Graduate University, 1919–1 </w:t>
      </w:r>
      <w:proofErr w:type="spellStart"/>
      <w:r w:rsidRPr="004147E2">
        <w:rPr>
          <w:bCs/>
          <w:iCs/>
          <w:shd w:val="clear" w:color="auto" w:fill="FFFFFF"/>
          <w:lang w:val="en-AU"/>
        </w:rPr>
        <w:t>Tancha</w:t>
      </w:r>
      <w:proofErr w:type="spellEnd"/>
      <w:r w:rsidRPr="004147E2">
        <w:rPr>
          <w:bCs/>
          <w:iCs/>
          <w:shd w:val="clear" w:color="auto" w:fill="FFFFFF"/>
          <w:lang w:val="en-AU"/>
        </w:rPr>
        <w:t xml:space="preserve">, </w:t>
      </w:r>
      <w:proofErr w:type="spellStart"/>
      <w:r w:rsidRPr="004147E2">
        <w:rPr>
          <w:bCs/>
          <w:iCs/>
          <w:shd w:val="clear" w:color="auto" w:fill="FFFFFF"/>
          <w:lang w:val="en-AU"/>
        </w:rPr>
        <w:t>Onna</w:t>
      </w:r>
      <w:proofErr w:type="spellEnd"/>
      <w:r w:rsidRPr="004147E2">
        <w:rPr>
          <w:bCs/>
          <w:iCs/>
          <w:shd w:val="clear" w:color="auto" w:fill="FFFFFF"/>
          <w:lang w:val="en-AU"/>
        </w:rPr>
        <w:t>-son, Okinawa 904–0495, Japan</w:t>
      </w:r>
    </w:p>
    <w:p w14:paraId="28D11A9F" w14:textId="77777777" w:rsidR="003213C0" w:rsidRPr="004147E2" w:rsidRDefault="003213C0">
      <w:pPr>
        <w:pStyle w:val="ListParagraph"/>
        <w:ind w:left="644"/>
        <w:jc w:val="both"/>
      </w:pPr>
    </w:p>
    <w:p w14:paraId="42F40254" w14:textId="4FAEC487" w:rsidR="00FF46C0" w:rsidRPr="004147E2" w:rsidRDefault="003213C0" w:rsidP="003213C0">
      <w:pPr>
        <w:pStyle w:val="ListParagraph"/>
        <w:ind w:left="644"/>
        <w:jc w:val="both"/>
        <w:rPr>
          <w:shd w:val="clear" w:color="auto" w:fill="FFFFFF"/>
          <w:lang w:val="en-AU"/>
        </w:rPr>
      </w:pPr>
      <w:r w:rsidRPr="004147E2">
        <w:rPr>
          <w:iCs/>
          <w:vertAlign w:val="superscript"/>
          <w:lang w:val="en-AU"/>
        </w:rPr>
        <w:t>4</w:t>
      </w:r>
      <w:r w:rsidRPr="004147E2">
        <w:rPr>
          <w:bCs/>
          <w:iCs/>
          <w:shd w:val="clear" w:color="auto" w:fill="FFFFFF"/>
          <w:lang w:val="en-AU"/>
        </w:rPr>
        <w:t>Department of Biological Sciences, College of Science and Mathematics, Auburn University, Auburn, AL 36849, USA.</w:t>
      </w:r>
    </w:p>
    <w:p w14:paraId="6E633FED" w14:textId="709865CC" w:rsidR="00FF46C0" w:rsidRPr="004147E2" w:rsidRDefault="00FF46C0">
      <w:pPr>
        <w:pStyle w:val="ListParagraph"/>
        <w:ind w:left="644"/>
        <w:jc w:val="both"/>
        <w:rPr>
          <w:bCs/>
          <w:iCs/>
          <w:shd w:val="clear" w:color="auto" w:fill="FFFFFF"/>
          <w:lang w:val="en-AU"/>
        </w:rPr>
      </w:pPr>
    </w:p>
    <w:p w14:paraId="3A11CFEE" w14:textId="2454538D" w:rsidR="003D2653" w:rsidRPr="007059F2" w:rsidRDefault="00FF46C0" w:rsidP="007059F2">
      <w:pPr>
        <w:pStyle w:val="ListParagraph"/>
        <w:ind w:left="644"/>
        <w:jc w:val="both"/>
        <w:rPr>
          <w:bCs/>
          <w:iCs/>
          <w:shd w:val="clear" w:color="auto" w:fill="FFFFFF"/>
          <w:lang w:val="en-AU"/>
        </w:rPr>
      </w:pPr>
      <w:r w:rsidRPr="004147E2">
        <w:rPr>
          <w:bCs/>
          <w:iCs/>
          <w:shd w:val="clear" w:color="auto" w:fill="FFFFFF"/>
          <w:lang w:val="en-AU"/>
        </w:rPr>
        <w:t>*</w:t>
      </w:r>
      <w:r w:rsidR="0050325D" w:rsidRPr="004147E2">
        <w:rPr>
          <w:bCs/>
          <w:iCs/>
          <w:shd w:val="clear" w:color="auto" w:fill="FFFFFF"/>
          <w:lang w:val="en-AU"/>
        </w:rPr>
        <w:t xml:space="preserve"> Correspondence to: </w:t>
      </w:r>
      <w:r w:rsidR="0050325D" w:rsidRPr="004147E2">
        <w:rPr>
          <w:iCs/>
          <w:lang w:val="en-AU"/>
        </w:rPr>
        <w:t xml:space="preserve">Celia </w:t>
      </w:r>
      <w:proofErr w:type="spellStart"/>
      <w:r w:rsidR="0050325D" w:rsidRPr="004147E2">
        <w:rPr>
          <w:iCs/>
          <w:lang w:val="en-AU"/>
        </w:rPr>
        <w:t>Schunter</w:t>
      </w:r>
      <w:proofErr w:type="spellEnd"/>
      <w:r w:rsidR="0050325D" w:rsidRPr="004147E2">
        <w:rPr>
          <w:bCs/>
          <w:iCs/>
          <w:shd w:val="clear" w:color="auto" w:fill="FFFFFF"/>
          <w:lang w:val="en-AU"/>
        </w:rPr>
        <w:t xml:space="preserve"> (celiaschunter@gmail.com)</w:t>
      </w:r>
    </w:p>
    <w:p w14:paraId="5862B93F" w14:textId="3DD3000C" w:rsidR="003D2653" w:rsidRPr="004147E2" w:rsidRDefault="00FE5413" w:rsidP="003D2653">
      <w:pPr>
        <w:rPr>
          <w:b/>
          <w:bCs/>
          <w:u w:val="single"/>
          <w:lang w:val="en-US"/>
        </w:rPr>
      </w:pPr>
      <w:r w:rsidRPr="004147E2">
        <w:rPr>
          <w:b/>
          <w:bCs/>
          <w:u w:val="single"/>
          <w:lang w:val="en-US"/>
        </w:rPr>
        <w:br w:type="column"/>
      </w:r>
      <w:r w:rsidR="003D2653" w:rsidRPr="004147E2">
        <w:rPr>
          <w:b/>
          <w:bCs/>
          <w:u w:val="single"/>
          <w:lang w:val="en-US"/>
        </w:rPr>
        <w:lastRenderedPageBreak/>
        <w:t>Abstract</w:t>
      </w:r>
    </w:p>
    <w:p w14:paraId="5E699348" w14:textId="77777777" w:rsidR="003D2653" w:rsidRPr="004147E2" w:rsidRDefault="003D2653" w:rsidP="003D2653">
      <w:pPr>
        <w:rPr>
          <w:b/>
          <w:bCs/>
          <w:u w:val="single"/>
          <w:lang w:val="en-US"/>
        </w:rPr>
      </w:pPr>
    </w:p>
    <w:p w14:paraId="1344127E" w14:textId="453ABBCF" w:rsidR="003D2653" w:rsidRPr="004147E2" w:rsidRDefault="00264087" w:rsidP="00F643DD">
      <w:pPr>
        <w:spacing w:line="480" w:lineRule="auto"/>
        <w:jc w:val="both"/>
        <w:rPr>
          <w:lang w:val="en-US"/>
        </w:rPr>
      </w:pPr>
      <w:r w:rsidRPr="004147E2">
        <w:rPr>
          <w:lang w:val="en-US"/>
        </w:rPr>
        <w:t>Alternative splicing</w:t>
      </w:r>
      <w:r w:rsidR="00A7764A" w:rsidRPr="004147E2">
        <w:rPr>
          <w:lang w:val="en-US"/>
        </w:rPr>
        <w:t xml:space="preserve"> is a molecular mechanism </w:t>
      </w:r>
      <w:r w:rsidR="00C334A3" w:rsidRPr="004147E2">
        <w:rPr>
          <w:lang w:val="en-US"/>
        </w:rPr>
        <w:t xml:space="preserve">that </w:t>
      </w:r>
      <w:r w:rsidR="00A7764A" w:rsidRPr="004147E2">
        <w:rPr>
          <w:lang w:val="en-US"/>
        </w:rPr>
        <w:t>enable</w:t>
      </w:r>
      <w:r w:rsidR="009D508D" w:rsidRPr="004147E2">
        <w:rPr>
          <w:lang w:val="en-US"/>
        </w:rPr>
        <w:t>s</w:t>
      </w:r>
      <w:r w:rsidR="00A7764A" w:rsidRPr="004147E2">
        <w:rPr>
          <w:lang w:val="en-US"/>
        </w:rPr>
        <w:t xml:space="preserve"> a single gene to </w:t>
      </w:r>
      <w:r w:rsidR="009D508D" w:rsidRPr="004147E2">
        <w:rPr>
          <w:lang w:val="en-US"/>
        </w:rPr>
        <w:t>en</w:t>
      </w:r>
      <w:r w:rsidR="00A7764A" w:rsidRPr="004147E2">
        <w:rPr>
          <w:lang w:val="en-US"/>
        </w:rPr>
        <w:t xml:space="preserve">code multiple </w:t>
      </w:r>
      <w:r w:rsidR="006C10CA" w:rsidRPr="004147E2">
        <w:rPr>
          <w:lang w:val="en-US"/>
        </w:rPr>
        <w:t xml:space="preserve">transcripts and </w:t>
      </w:r>
      <w:r w:rsidR="00A7764A" w:rsidRPr="004147E2">
        <w:rPr>
          <w:lang w:val="en-US"/>
        </w:rPr>
        <w:t xml:space="preserve">proteins </w:t>
      </w:r>
      <w:r w:rsidR="00463F0C" w:rsidRPr="004147E2">
        <w:rPr>
          <w:lang w:val="en-US"/>
        </w:rPr>
        <w:t xml:space="preserve">by </w:t>
      </w:r>
      <w:r w:rsidR="00B52678" w:rsidRPr="004147E2">
        <w:rPr>
          <w:lang w:val="en-US"/>
        </w:rPr>
        <w:t>post</w:t>
      </w:r>
      <w:r w:rsidR="005929DF" w:rsidRPr="004147E2">
        <w:rPr>
          <w:lang w:val="en-US"/>
        </w:rPr>
        <w:t>-t</w:t>
      </w:r>
      <w:r w:rsidR="00B52678" w:rsidRPr="004147E2">
        <w:rPr>
          <w:lang w:val="en-US"/>
        </w:rPr>
        <w:t xml:space="preserve">ranscriptional modification of </w:t>
      </w:r>
      <w:r w:rsidR="00A7764A" w:rsidRPr="004147E2">
        <w:rPr>
          <w:lang w:val="en-US"/>
        </w:rPr>
        <w:t>pre-RNA molecules.</w:t>
      </w:r>
      <w:r w:rsidR="00B52678" w:rsidRPr="004147E2">
        <w:rPr>
          <w:lang w:val="en-US"/>
        </w:rPr>
        <w:t xml:space="preserve"> </w:t>
      </w:r>
      <w:r w:rsidR="005929DF" w:rsidRPr="004147E2">
        <w:rPr>
          <w:lang w:val="en-US"/>
        </w:rPr>
        <w:t>C</w:t>
      </w:r>
      <w:r w:rsidR="00B52678" w:rsidRPr="004147E2">
        <w:rPr>
          <w:lang w:val="en-US"/>
        </w:rPr>
        <w:t xml:space="preserve">hanges </w:t>
      </w:r>
      <w:r w:rsidR="00C334A3" w:rsidRPr="004147E2">
        <w:rPr>
          <w:lang w:val="en-US"/>
        </w:rPr>
        <w:t xml:space="preserve">in the </w:t>
      </w:r>
      <w:r w:rsidR="00B52678" w:rsidRPr="004147E2">
        <w:rPr>
          <w:lang w:val="en-US"/>
        </w:rPr>
        <w:t xml:space="preserve">splicing scheme </w:t>
      </w:r>
      <w:r w:rsidR="005929DF" w:rsidRPr="004147E2">
        <w:rPr>
          <w:lang w:val="en-US"/>
        </w:rPr>
        <w:t>of genes can</w:t>
      </w:r>
      <w:r w:rsidR="00B52678" w:rsidRPr="004147E2">
        <w:rPr>
          <w:lang w:val="en-US"/>
        </w:rPr>
        <w:t xml:space="preserve"> </w:t>
      </w:r>
      <w:r w:rsidR="00C334A3" w:rsidRPr="004147E2">
        <w:rPr>
          <w:lang w:val="en-US"/>
        </w:rPr>
        <w:t xml:space="preserve">lead to modifications </w:t>
      </w:r>
      <w:r w:rsidR="005929DF" w:rsidRPr="004147E2">
        <w:rPr>
          <w:lang w:val="en-US"/>
        </w:rPr>
        <w:t>of</w:t>
      </w:r>
      <w:r w:rsidR="00C334A3" w:rsidRPr="004147E2">
        <w:rPr>
          <w:lang w:val="en-US"/>
        </w:rPr>
        <w:t xml:space="preserve"> the</w:t>
      </w:r>
      <w:r w:rsidR="00F036F8" w:rsidRPr="004147E2">
        <w:rPr>
          <w:lang w:val="en-US"/>
        </w:rPr>
        <w:t xml:space="preserve"> transcriptome and </w:t>
      </w:r>
      <w:r w:rsidR="00C334A3" w:rsidRPr="004147E2">
        <w:rPr>
          <w:lang w:val="en-US"/>
        </w:rPr>
        <w:t xml:space="preserve">the </w:t>
      </w:r>
      <w:r w:rsidR="00F036F8" w:rsidRPr="004147E2">
        <w:rPr>
          <w:lang w:val="en-US"/>
        </w:rPr>
        <w:t>proteome</w:t>
      </w:r>
      <w:r w:rsidR="00D8419E" w:rsidRPr="004147E2">
        <w:rPr>
          <w:lang w:val="en-US"/>
        </w:rPr>
        <w:t>. T</w:t>
      </w:r>
      <w:r w:rsidR="00C334A3" w:rsidRPr="004147E2">
        <w:rPr>
          <w:lang w:val="en-US"/>
        </w:rPr>
        <w:t xml:space="preserve">his mechanism </w:t>
      </w:r>
      <w:r w:rsidR="001F5D21" w:rsidRPr="004147E2">
        <w:rPr>
          <w:lang w:val="en-US"/>
        </w:rPr>
        <w:t xml:space="preserve">can </w:t>
      </w:r>
      <w:r w:rsidR="00B52678" w:rsidRPr="004147E2">
        <w:rPr>
          <w:lang w:val="en-US"/>
        </w:rPr>
        <w:t>enable</w:t>
      </w:r>
      <w:r w:rsidR="00C44767" w:rsidRPr="004147E2">
        <w:rPr>
          <w:lang w:val="en-US"/>
        </w:rPr>
        <w:t xml:space="preserve"> </w:t>
      </w:r>
      <w:r w:rsidR="00F036F8" w:rsidRPr="004147E2">
        <w:rPr>
          <w:lang w:val="en-US"/>
        </w:rPr>
        <w:t xml:space="preserve">organisms to </w:t>
      </w:r>
      <w:r w:rsidR="00C334A3" w:rsidRPr="004147E2">
        <w:rPr>
          <w:lang w:val="en-US"/>
        </w:rPr>
        <w:t>respond</w:t>
      </w:r>
      <w:r w:rsidR="00C44767" w:rsidRPr="004147E2">
        <w:rPr>
          <w:lang w:val="en-US"/>
        </w:rPr>
        <w:t xml:space="preserve"> to </w:t>
      </w:r>
      <w:r w:rsidR="00C334A3" w:rsidRPr="004147E2">
        <w:rPr>
          <w:lang w:val="en-US"/>
        </w:rPr>
        <w:t>environmental fluctuations</w:t>
      </w:r>
      <w:r w:rsidRPr="004147E2">
        <w:rPr>
          <w:lang w:val="en-US"/>
        </w:rPr>
        <w:t xml:space="preserve">. </w:t>
      </w:r>
      <w:r w:rsidR="003D2653" w:rsidRPr="004147E2">
        <w:rPr>
          <w:lang w:val="en-US"/>
        </w:rPr>
        <w:t>In this study, we investigate</w:t>
      </w:r>
      <w:r w:rsidR="00C44767" w:rsidRPr="004147E2">
        <w:rPr>
          <w:lang w:val="en-US"/>
        </w:rPr>
        <w:t>d</w:t>
      </w:r>
      <w:r w:rsidR="003D2653" w:rsidRPr="004147E2">
        <w:rPr>
          <w:lang w:val="en-US"/>
        </w:rPr>
        <w:t xml:space="preserve"> </w:t>
      </w:r>
      <w:r w:rsidR="00C334A3" w:rsidRPr="004147E2">
        <w:rPr>
          <w:lang w:val="en-US"/>
        </w:rPr>
        <w:t>patterns of alternative splicing</w:t>
      </w:r>
      <w:r w:rsidR="003D2653" w:rsidRPr="004147E2">
        <w:rPr>
          <w:lang w:val="en-US"/>
        </w:rPr>
        <w:t xml:space="preserve"> in the liver of </w:t>
      </w:r>
      <w:r w:rsidR="00745A3C" w:rsidRPr="004147E2">
        <w:rPr>
          <w:lang w:val="en-US"/>
        </w:rPr>
        <w:t xml:space="preserve">the </w:t>
      </w:r>
      <w:r w:rsidR="003D2653" w:rsidRPr="004147E2">
        <w:rPr>
          <w:lang w:val="en-US"/>
        </w:rPr>
        <w:t xml:space="preserve">coral reef fish </w:t>
      </w:r>
      <w:proofErr w:type="spellStart"/>
      <w:r w:rsidR="003D2653" w:rsidRPr="004147E2">
        <w:rPr>
          <w:i/>
          <w:iCs/>
          <w:lang w:val="en-US"/>
        </w:rPr>
        <w:t>Acanthochromis</w:t>
      </w:r>
      <w:proofErr w:type="spellEnd"/>
      <w:r w:rsidR="003D2653" w:rsidRPr="004147E2">
        <w:rPr>
          <w:i/>
          <w:iCs/>
          <w:lang w:val="en-US"/>
        </w:rPr>
        <w:t xml:space="preserve"> </w:t>
      </w:r>
      <w:proofErr w:type="spellStart"/>
      <w:r w:rsidR="003D2653" w:rsidRPr="004147E2">
        <w:rPr>
          <w:i/>
          <w:iCs/>
          <w:lang w:val="en-US"/>
        </w:rPr>
        <w:t>polyacanthus</w:t>
      </w:r>
      <w:proofErr w:type="spellEnd"/>
      <w:r w:rsidR="003D2653" w:rsidRPr="004147E2">
        <w:rPr>
          <w:lang w:val="en-US"/>
        </w:rPr>
        <w:t xml:space="preserve"> in response to the 2016 marine heatwave on the Great Barrier Reef.</w:t>
      </w:r>
      <w:r w:rsidR="00E022D4" w:rsidRPr="004147E2">
        <w:rPr>
          <w:lang w:val="en-US"/>
        </w:rPr>
        <w:t xml:space="preserve"> </w:t>
      </w:r>
      <w:r w:rsidR="003D2653" w:rsidRPr="004147E2">
        <w:rPr>
          <w:lang w:val="en-US"/>
        </w:rPr>
        <w:t>The</w:t>
      </w:r>
      <w:r w:rsidR="00E022D4" w:rsidRPr="004147E2">
        <w:rPr>
          <w:lang w:val="en-US"/>
        </w:rPr>
        <w:t xml:space="preserve"> </w:t>
      </w:r>
      <w:r w:rsidR="00F06C33" w:rsidRPr="004147E2">
        <w:rPr>
          <w:lang w:val="en-US"/>
        </w:rPr>
        <w:t>differentially spliced</w:t>
      </w:r>
      <w:r w:rsidR="00A46DFF" w:rsidRPr="004147E2">
        <w:rPr>
          <w:lang w:val="en-US"/>
        </w:rPr>
        <w:t xml:space="preserve"> (DS</w:t>
      </w:r>
      <w:r w:rsidR="00A80F8F" w:rsidRPr="004147E2">
        <w:rPr>
          <w:lang w:val="en-US"/>
        </w:rPr>
        <w:t>;</w:t>
      </w:r>
      <w:r w:rsidR="00D772DF" w:rsidRPr="004147E2">
        <w:rPr>
          <w:lang w:val="en-US"/>
        </w:rPr>
        <w:t xml:space="preserve"> n=40</w:t>
      </w:r>
      <w:r w:rsidR="00A46DFF" w:rsidRPr="004147E2">
        <w:rPr>
          <w:lang w:val="en-US"/>
        </w:rPr>
        <w:t>)</w:t>
      </w:r>
      <w:r w:rsidR="00C56F91" w:rsidRPr="004147E2">
        <w:rPr>
          <w:lang w:val="en-US"/>
        </w:rPr>
        <w:t xml:space="preserve"> </w:t>
      </w:r>
      <w:r w:rsidR="00E8022E" w:rsidRPr="004147E2">
        <w:rPr>
          <w:lang w:val="en-US"/>
        </w:rPr>
        <w:t xml:space="preserve">genes </w:t>
      </w:r>
      <w:r w:rsidR="003D2653" w:rsidRPr="004147E2">
        <w:rPr>
          <w:lang w:val="en-US"/>
        </w:rPr>
        <w:t xml:space="preserve">during </w:t>
      </w:r>
      <w:r w:rsidR="00F06C33" w:rsidRPr="004147E2">
        <w:rPr>
          <w:lang w:val="en-US"/>
        </w:rPr>
        <w:t xml:space="preserve">the </w:t>
      </w:r>
      <w:r w:rsidR="003D2653" w:rsidRPr="004147E2">
        <w:rPr>
          <w:lang w:val="en-US"/>
        </w:rPr>
        <w:t xml:space="preserve">onset </w:t>
      </w:r>
      <w:r w:rsidR="00C44767" w:rsidRPr="004147E2">
        <w:rPr>
          <w:lang w:val="en-US"/>
        </w:rPr>
        <w:t>of the heatwave (i.e. 29.49°C or +</w:t>
      </w:r>
      <w:r w:rsidR="002613EF" w:rsidRPr="004147E2">
        <w:rPr>
          <w:lang w:val="en-US"/>
        </w:rPr>
        <w:t>1</w:t>
      </w:r>
      <w:r w:rsidR="00CA2F78" w:rsidRPr="004147E2">
        <w:rPr>
          <w:lang w:val="en-US"/>
        </w:rPr>
        <w:t>°C</w:t>
      </w:r>
      <w:r w:rsidR="00B5562B" w:rsidRPr="004147E2">
        <w:rPr>
          <w:lang w:val="en-US"/>
        </w:rPr>
        <w:t xml:space="preserve"> </w:t>
      </w:r>
      <w:r w:rsidR="00C44767" w:rsidRPr="004147E2">
        <w:rPr>
          <w:lang w:val="en-US"/>
        </w:rPr>
        <w:t>from average)</w:t>
      </w:r>
      <w:r w:rsidR="003D2653" w:rsidRPr="004147E2">
        <w:rPr>
          <w:lang w:val="en-US"/>
        </w:rPr>
        <w:t xml:space="preserve"> were related to essential cellular </w:t>
      </w:r>
      <w:r w:rsidR="00F036F8" w:rsidRPr="004147E2">
        <w:rPr>
          <w:rFonts w:eastAsia="MS Mincho"/>
          <w:lang w:val="en-US"/>
        </w:rPr>
        <w:t>functions</w:t>
      </w:r>
      <w:r w:rsidR="003D2653" w:rsidRPr="004147E2">
        <w:rPr>
          <w:lang w:val="en-US"/>
        </w:rPr>
        <w:t xml:space="preserve"> </w:t>
      </w:r>
      <w:r w:rsidR="00C56F91" w:rsidRPr="004147E2">
        <w:rPr>
          <w:lang w:val="en-US"/>
        </w:rPr>
        <w:t xml:space="preserve">such as </w:t>
      </w:r>
      <w:r w:rsidR="003D2653" w:rsidRPr="004147E2">
        <w:rPr>
          <w:lang w:val="en-US"/>
        </w:rPr>
        <w:t xml:space="preserve">the MAPK signaling system, </w:t>
      </w:r>
      <w:proofErr w:type="gramStart"/>
      <w:r w:rsidR="003D2653" w:rsidRPr="004147E2">
        <w:t>Ca(</w:t>
      </w:r>
      <w:proofErr w:type="gramEnd"/>
      <w:r w:rsidR="003D2653" w:rsidRPr="004147E2">
        <w:t>2+) binding and homeostasis</w:t>
      </w:r>
      <w:r w:rsidR="003D2653" w:rsidRPr="004147E2">
        <w:rPr>
          <w:lang w:val="en-US"/>
        </w:rPr>
        <w:t>. With the persistence of the heatwave</w:t>
      </w:r>
      <w:r w:rsidR="00C44767" w:rsidRPr="004147E2">
        <w:rPr>
          <w:lang w:val="en-US"/>
        </w:rPr>
        <w:t xml:space="preserve"> for a period of one month (February to March),</w:t>
      </w:r>
      <w:r w:rsidR="003D2653" w:rsidRPr="004147E2">
        <w:rPr>
          <w:lang w:val="en-US"/>
        </w:rPr>
        <w:t xml:space="preserve"> </w:t>
      </w:r>
      <w:r w:rsidR="00351F85" w:rsidRPr="004147E2">
        <w:rPr>
          <w:lang w:val="en-US"/>
        </w:rPr>
        <w:t>21</w:t>
      </w:r>
      <w:r w:rsidR="00A80F8F" w:rsidRPr="004147E2">
        <w:rPr>
          <w:lang w:val="en-US"/>
        </w:rPr>
        <w:t xml:space="preserve"> </w:t>
      </w:r>
      <w:r w:rsidR="00E022D4" w:rsidRPr="004147E2">
        <w:rPr>
          <w:lang w:val="en-US"/>
        </w:rPr>
        <w:t>DS</w:t>
      </w:r>
      <w:r w:rsidR="00C56F91" w:rsidRPr="004147E2">
        <w:rPr>
          <w:lang w:val="en-US"/>
        </w:rPr>
        <w:t xml:space="preserve"> genes </w:t>
      </w:r>
      <w:r w:rsidR="00E022D4" w:rsidRPr="004147E2">
        <w:rPr>
          <w:lang w:val="en-US"/>
        </w:rPr>
        <w:t xml:space="preserve">were </w:t>
      </w:r>
      <w:r w:rsidR="00C44767" w:rsidRPr="004147E2">
        <w:rPr>
          <w:lang w:val="en-US"/>
        </w:rPr>
        <w:t>detected,</w:t>
      </w:r>
      <w:r w:rsidR="003D2653" w:rsidRPr="004147E2">
        <w:rPr>
          <w:lang w:val="en-US"/>
        </w:rPr>
        <w:t xml:space="preserve"> </w:t>
      </w:r>
      <w:r w:rsidR="00C44767" w:rsidRPr="004147E2">
        <w:rPr>
          <w:lang w:val="en-US"/>
        </w:rPr>
        <w:t>suggesting</w:t>
      </w:r>
      <w:r w:rsidR="00C56F91" w:rsidRPr="004147E2">
        <w:rPr>
          <w:lang w:val="en-US"/>
        </w:rPr>
        <w:t xml:space="preserve"> that </w:t>
      </w:r>
      <w:r w:rsidR="00C44767" w:rsidRPr="004147E2">
        <w:rPr>
          <w:lang w:val="en-US"/>
        </w:rPr>
        <w:t xml:space="preserve">acute warming </w:t>
      </w:r>
      <w:r w:rsidR="00893ABF" w:rsidRPr="004147E2">
        <w:rPr>
          <w:rFonts w:eastAsia="MS Mincho"/>
          <w:lang w:val="en-US"/>
        </w:rPr>
        <w:t xml:space="preserve">during the onset </w:t>
      </w:r>
      <w:r w:rsidR="00C44767" w:rsidRPr="004147E2">
        <w:rPr>
          <w:rFonts w:eastAsia="MS Mincho"/>
          <w:lang w:val="en-US"/>
        </w:rPr>
        <w:t xml:space="preserve">of the heatwave </w:t>
      </w:r>
      <w:r w:rsidR="00893ABF" w:rsidRPr="004147E2">
        <w:rPr>
          <w:rFonts w:eastAsia="MS Mincho"/>
          <w:lang w:val="en-US"/>
        </w:rPr>
        <w:t xml:space="preserve">is more influential on </w:t>
      </w:r>
      <w:r w:rsidR="00C44767" w:rsidRPr="004147E2">
        <w:rPr>
          <w:rFonts w:eastAsia="MS Mincho"/>
          <w:lang w:val="en-US"/>
        </w:rPr>
        <w:t xml:space="preserve">alternative splicing </w:t>
      </w:r>
      <w:r w:rsidR="00C56F91" w:rsidRPr="004147E2">
        <w:rPr>
          <w:lang w:val="en-US"/>
        </w:rPr>
        <w:t xml:space="preserve">than </w:t>
      </w:r>
      <w:r w:rsidR="00893ABF" w:rsidRPr="004147E2">
        <w:rPr>
          <w:lang w:val="en-US"/>
        </w:rPr>
        <w:t xml:space="preserve">the </w:t>
      </w:r>
      <w:r w:rsidR="00F036F8" w:rsidRPr="004147E2">
        <w:rPr>
          <w:lang w:val="en-US"/>
        </w:rPr>
        <w:t>continued exposure to elevated temperatures</w:t>
      </w:r>
      <w:r w:rsidR="00C56F91" w:rsidRPr="004147E2">
        <w:rPr>
          <w:lang w:val="en-US"/>
        </w:rPr>
        <w:t>. After the heatwave</w:t>
      </w:r>
      <w:r w:rsidR="00A220E0" w:rsidRPr="004147E2">
        <w:rPr>
          <w:lang w:val="en-US"/>
        </w:rPr>
        <w:t>,</w:t>
      </w:r>
      <w:r w:rsidR="00C56F91" w:rsidRPr="004147E2">
        <w:rPr>
          <w:lang w:val="en-US"/>
        </w:rPr>
        <w:t xml:space="preserve"> </w:t>
      </w:r>
      <w:r w:rsidR="00A220E0" w:rsidRPr="004147E2">
        <w:rPr>
          <w:lang w:val="en-US"/>
        </w:rPr>
        <w:t xml:space="preserve">the water temperature </w:t>
      </w:r>
      <w:r w:rsidR="00C44767" w:rsidRPr="004147E2">
        <w:rPr>
          <w:lang w:val="en-US"/>
        </w:rPr>
        <w:t xml:space="preserve">cooled </w:t>
      </w:r>
      <w:r w:rsidR="00CA2F78" w:rsidRPr="004147E2">
        <w:rPr>
          <w:lang w:val="en-US"/>
        </w:rPr>
        <w:t xml:space="preserve">to </w:t>
      </w:r>
      <w:r w:rsidR="00C44767" w:rsidRPr="004147E2">
        <w:rPr>
          <w:lang w:val="en-US"/>
        </w:rPr>
        <w:t>~</w:t>
      </w:r>
      <w:r w:rsidR="00CA2F78" w:rsidRPr="004147E2">
        <w:rPr>
          <w:lang w:val="en-US"/>
        </w:rPr>
        <w:t>2</w:t>
      </w:r>
      <w:r w:rsidR="00FB740E" w:rsidRPr="004147E2">
        <w:rPr>
          <w:lang w:val="en-US"/>
        </w:rPr>
        <w:t>4</w:t>
      </w:r>
      <w:r w:rsidR="00CA2F78" w:rsidRPr="004147E2">
        <w:rPr>
          <w:lang w:val="en-US"/>
        </w:rPr>
        <w:t>.</w:t>
      </w:r>
      <w:r w:rsidR="00FB740E" w:rsidRPr="004147E2">
        <w:rPr>
          <w:lang w:val="en-US"/>
        </w:rPr>
        <w:t>96</w:t>
      </w:r>
      <w:r w:rsidR="00CA2F78" w:rsidRPr="004147E2">
        <w:rPr>
          <w:lang w:val="en-US"/>
        </w:rPr>
        <w:t>°C</w:t>
      </w:r>
      <w:r w:rsidR="00C44767" w:rsidRPr="004147E2">
        <w:rPr>
          <w:lang w:val="en-US"/>
        </w:rPr>
        <w:t>, and</w:t>
      </w:r>
      <w:r w:rsidR="00A220E0" w:rsidRPr="004147E2">
        <w:rPr>
          <w:lang w:val="en-US"/>
        </w:rPr>
        <w:t xml:space="preserve"> </w:t>
      </w:r>
      <w:r w:rsidR="00C56F91" w:rsidRPr="004147E2">
        <w:rPr>
          <w:lang w:val="en-US"/>
        </w:rPr>
        <w:t xml:space="preserve">fish </w:t>
      </w:r>
      <w:r w:rsidR="00A80F8F" w:rsidRPr="004147E2">
        <w:rPr>
          <w:lang w:val="en-US"/>
        </w:rPr>
        <w:t>showed</w:t>
      </w:r>
      <w:r w:rsidR="00C56F91" w:rsidRPr="004147E2">
        <w:rPr>
          <w:lang w:val="en-US"/>
        </w:rPr>
        <w:t xml:space="preserve"> </w:t>
      </w:r>
      <w:r w:rsidR="00E8022E" w:rsidRPr="004147E2">
        <w:rPr>
          <w:lang w:val="en-US"/>
        </w:rPr>
        <w:t xml:space="preserve">differential splicing </w:t>
      </w:r>
      <w:r w:rsidR="005929DF" w:rsidRPr="004147E2">
        <w:rPr>
          <w:lang w:val="en-US"/>
        </w:rPr>
        <w:t xml:space="preserve">of </w:t>
      </w:r>
      <w:r w:rsidR="00C56F91" w:rsidRPr="004147E2">
        <w:rPr>
          <w:lang w:val="en-US"/>
        </w:rPr>
        <w:t xml:space="preserve">genes related to </w:t>
      </w:r>
      <w:r w:rsidR="003D2653" w:rsidRPr="004147E2">
        <w:rPr>
          <w:lang w:val="en-US"/>
        </w:rPr>
        <w:t>cyto</w:t>
      </w:r>
      <w:r w:rsidR="00C44767" w:rsidRPr="004147E2">
        <w:rPr>
          <w:lang w:val="en-US"/>
        </w:rPr>
        <w:t>-</w:t>
      </w:r>
      <w:r w:rsidR="003D2653" w:rsidRPr="004147E2">
        <w:rPr>
          <w:lang w:val="en-US"/>
        </w:rPr>
        <w:t>protection and post-damage recovery</w:t>
      </w:r>
      <w:r w:rsidR="00A80F8F" w:rsidRPr="004147E2">
        <w:rPr>
          <w:lang w:val="en-US"/>
        </w:rPr>
        <w:t xml:space="preserve"> (n=</w:t>
      </w:r>
      <w:r w:rsidR="00351F85" w:rsidRPr="004147E2">
        <w:rPr>
          <w:lang w:val="en-US"/>
        </w:rPr>
        <w:t>26</w:t>
      </w:r>
      <w:r w:rsidR="00A80F8F" w:rsidRPr="004147E2">
        <w:rPr>
          <w:lang w:val="en-US"/>
        </w:rPr>
        <w:t>)</w:t>
      </w:r>
      <w:r w:rsidR="003D2653" w:rsidRPr="004147E2">
        <w:rPr>
          <w:lang w:val="en-US"/>
        </w:rPr>
        <w:t>.</w:t>
      </w:r>
      <w:r w:rsidR="00050D2E" w:rsidRPr="004147E2">
        <w:rPr>
          <w:lang w:val="en-US"/>
        </w:rPr>
        <w:t xml:space="preserve"> Two-thirds of the DS genes </w:t>
      </w:r>
      <w:r w:rsidR="00C44767" w:rsidRPr="004147E2">
        <w:rPr>
          <w:lang w:val="en-US"/>
        </w:rPr>
        <w:t xml:space="preserve">detected </w:t>
      </w:r>
      <w:r w:rsidR="00050D2E" w:rsidRPr="004147E2">
        <w:rPr>
          <w:lang w:val="en-US"/>
        </w:rPr>
        <w:t xml:space="preserve">across the heatwave were also differentially expressed, </w:t>
      </w:r>
      <w:r w:rsidR="00EF0DB9" w:rsidRPr="004147E2">
        <w:rPr>
          <w:rFonts w:eastAsia="MS Mincho"/>
          <w:lang w:val="en-US"/>
        </w:rPr>
        <w:t xml:space="preserve">revealing that the two molecular mechanisms act together in </w:t>
      </w:r>
      <w:r w:rsidR="00EF0DB9" w:rsidRPr="004147E2">
        <w:rPr>
          <w:rFonts w:eastAsia="MS Mincho"/>
          <w:i/>
          <w:iCs/>
          <w:lang w:val="en-US"/>
        </w:rPr>
        <w:t xml:space="preserve">A. </w:t>
      </w:r>
      <w:proofErr w:type="spellStart"/>
      <w:r w:rsidR="00EF0DB9" w:rsidRPr="004147E2">
        <w:rPr>
          <w:rFonts w:eastAsia="MS Mincho"/>
          <w:i/>
          <w:iCs/>
          <w:lang w:val="en-US"/>
        </w:rPr>
        <w:t>polyacanthus</w:t>
      </w:r>
      <w:r w:rsidR="00EF0DB9" w:rsidRPr="004147E2">
        <w:rPr>
          <w:rFonts w:eastAsia="MS Mincho"/>
          <w:lang w:val="en-US"/>
        </w:rPr>
        <w:t xml:space="preserve"> to cope wit</w:t>
      </w:r>
      <w:proofErr w:type="spellEnd"/>
      <w:r w:rsidR="00EF0DB9" w:rsidRPr="004147E2">
        <w:rPr>
          <w:rFonts w:eastAsia="MS Mincho"/>
          <w:lang w:val="en-US"/>
        </w:rPr>
        <w:t xml:space="preserve">h the acute </w:t>
      </w:r>
      <w:r w:rsidR="00C44767" w:rsidRPr="004147E2">
        <w:rPr>
          <w:rFonts w:eastAsia="MS Mincho"/>
          <w:lang w:val="en-US"/>
        </w:rPr>
        <w:t xml:space="preserve">thermal </w:t>
      </w:r>
      <w:r w:rsidR="00B52678" w:rsidRPr="004147E2">
        <w:rPr>
          <w:rFonts w:eastAsia="MS Mincho"/>
          <w:lang w:val="en-US"/>
        </w:rPr>
        <w:t>change</w:t>
      </w:r>
      <w:r w:rsidR="00EF0DB9" w:rsidRPr="004147E2">
        <w:rPr>
          <w:rFonts w:eastAsia="MS Mincho"/>
          <w:lang w:val="en-US"/>
        </w:rPr>
        <w:t>.</w:t>
      </w:r>
      <w:r w:rsidR="0088605B" w:rsidRPr="004147E2">
        <w:rPr>
          <w:lang w:val="en-US"/>
        </w:rPr>
        <w:t xml:space="preserve"> </w:t>
      </w:r>
      <w:r w:rsidR="00C44767" w:rsidRPr="004147E2">
        <w:rPr>
          <w:lang w:val="en-US"/>
        </w:rPr>
        <w:t xml:space="preserve">This study exemplifies how </w:t>
      </w:r>
      <w:r w:rsidR="003D2653" w:rsidRPr="004147E2">
        <w:rPr>
          <w:lang w:val="en-US"/>
        </w:rPr>
        <w:t>splicing patterns</w:t>
      </w:r>
      <w:r w:rsidR="003D2653" w:rsidRPr="004147E2" w:rsidDel="0047331E">
        <w:rPr>
          <w:lang w:val="en-US"/>
        </w:rPr>
        <w:t xml:space="preserve"> </w:t>
      </w:r>
      <w:r w:rsidR="003D2653" w:rsidRPr="004147E2">
        <w:rPr>
          <w:lang w:val="en-US"/>
        </w:rPr>
        <w:t xml:space="preserve">of </w:t>
      </w:r>
      <w:r w:rsidR="00C44767" w:rsidRPr="004147E2">
        <w:rPr>
          <w:lang w:val="en-US"/>
        </w:rPr>
        <w:t xml:space="preserve">a coral reef fish can be modified by </w:t>
      </w:r>
      <w:r w:rsidR="00E8022E" w:rsidRPr="004147E2">
        <w:rPr>
          <w:lang w:val="en-US"/>
        </w:rPr>
        <w:t xml:space="preserve">marine </w:t>
      </w:r>
      <w:r w:rsidR="00F036F8" w:rsidRPr="004147E2">
        <w:rPr>
          <w:lang w:val="en-US"/>
        </w:rPr>
        <w:t>heatwave</w:t>
      </w:r>
      <w:r w:rsidR="00C44767" w:rsidRPr="004147E2">
        <w:rPr>
          <w:lang w:val="en-US"/>
        </w:rPr>
        <w:t>s</w:t>
      </w:r>
      <w:r w:rsidR="00F036F8" w:rsidRPr="004147E2">
        <w:rPr>
          <w:lang w:val="en-US"/>
        </w:rPr>
        <w:t>.</w:t>
      </w:r>
      <w:r w:rsidR="00921BFF" w:rsidRPr="004147E2">
        <w:rPr>
          <w:lang w:val="en-US"/>
        </w:rPr>
        <w:t xml:space="preserve"> </w:t>
      </w:r>
      <w:r w:rsidR="00F036F8" w:rsidRPr="004147E2">
        <w:rPr>
          <w:lang w:val="en-US"/>
        </w:rPr>
        <w:t>Alternative splicing could therefore be a potential</w:t>
      </w:r>
      <w:r w:rsidR="00F036F8" w:rsidRPr="004147E2" w:rsidDel="00F036F8">
        <w:rPr>
          <w:lang w:val="en-US"/>
        </w:rPr>
        <w:t xml:space="preserve"> </w:t>
      </w:r>
      <w:r w:rsidR="00F036F8" w:rsidRPr="004147E2">
        <w:rPr>
          <w:lang w:val="en-US"/>
        </w:rPr>
        <w:t>mechanism to</w:t>
      </w:r>
      <w:r w:rsidR="00C56F91" w:rsidRPr="004147E2">
        <w:rPr>
          <w:lang w:val="en-US"/>
        </w:rPr>
        <w:t xml:space="preserve"> adjust</w:t>
      </w:r>
      <w:r w:rsidR="003D2653" w:rsidRPr="004147E2">
        <w:rPr>
          <w:lang w:val="en-US"/>
        </w:rPr>
        <w:t xml:space="preserve"> cellular physiological </w:t>
      </w:r>
      <w:r w:rsidR="00C56F91" w:rsidRPr="004147E2">
        <w:rPr>
          <w:lang w:val="en-US"/>
        </w:rPr>
        <w:t xml:space="preserve">states </w:t>
      </w:r>
      <w:r w:rsidR="003D2653" w:rsidRPr="004147E2">
        <w:rPr>
          <w:lang w:val="en-US"/>
        </w:rPr>
        <w:t>under thermal stress</w:t>
      </w:r>
      <w:r w:rsidR="00117A1F" w:rsidRPr="004147E2">
        <w:rPr>
          <w:lang w:val="en-US"/>
        </w:rPr>
        <w:t xml:space="preserve"> and aid coral reef fish</w:t>
      </w:r>
      <w:r w:rsidR="00A80F8F" w:rsidRPr="004147E2">
        <w:rPr>
          <w:lang w:val="en-US"/>
        </w:rPr>
        <w:t>es in their response</w:t>
      </w:r>
      <w:r w:rsidR="00117A1F" w:rsidRPr="004147E2">
        <w:rPr>
          <w:lang w:val="en-US"/>
        </w:rPr>
        <w:t xml:space="preserve"> to </w:t>
      </w:r>
      <w:r w:rsidR="001F5D21" w:rsidRPr="004147E2">
        <w:rPr>
          <w:lang w:val="en-US"/>
        </w:rPr>
        <w:t xml:space="preserve">more frequent </w:t>
      </w:r>
      <w:r w:rsidR="00A80F8F" w:rsidRPr="004147E2">
        <w:rPr>
          <w:lang w:val="en-US"/>
        </w:rPr>
        <w:t xml:space="preserve">acute thermal </w:t>
      </w:r>
      <w:r w:rsidR="00767718" w:rsidRPr="004147E2">
        <w:rPr>
          <w:lang w:val="en-US"/>
        </w:rPr>
        <w:t>fluctuatio</w:t>
      </w:r>
      <w:r w:rsidR="00A80F8F" w:rsidRPr="004147E2">
        <w:rPr>
          <w:lang w:val="en-US"/>
        </w:rPr>
        <w:t>ns</w:t>
      </w:r>
      <w:r w:rsidR="00767718" w:rsidRPr="004147E2">
        <w:rPr>
          <w:lang w:val="en-US"/>
        </w:rPr>
        <w:t xml:space="preserve"> </w:t>
      </w:r>
      <w:r w:rsidR="00C44767" w:rsidRPr="004147E2">
        <w:rPr>
          <w:lang w:val="en-US"/>
        </w:rPr>
        <w:t>in upcoming decades</w:t>
      </w:r>
      <w:r w:rsidR="00117A1F" w:rsidRPr="004147E2">
        <w:rPr>
          <w:lang w:val="en-US"/>
        </w:rPr>
        <w:t>.</w:t>
      </w:r>
      <w:r w:rsidR="003D2653" w:rsidRPr="004147E2">
        <w:rPr>
          <w:lang w:val="en-US"/>
        </w:rPr>
        <w:t xml:space="preserve"> </w:t>
      </w:r>
    </w:p>
    <w:p w14:paraId="35861D60" w14:textId="77777777" w:rsidR="003D2653" w:rsidRPr="004147E2" w:rsidRDefault="003D2653" w:rsidP="003D2653">
      <w:pPr>
        <w:spacing w:line="480" w:lineRule="auto"/>
        <w:ind w:firstLine="720"/>
        <w:jc w:val="both"/>
        <w:rPr>
          <w:lang w:val="en-US"/>
        </w:rPr>
      </w:pPr>
    </w:p>
    <w:p w14:paraId="6B785714" w14:textId="77777777" w:rsidR="005929DF" w:rsidRPr="004147E2" w:rsidRDefault="003D2653" w:rsidP="005310C3">
      <w:pPr>
        <w:spacing w:line="480" w:lineRule="auto"/>
        <w:ind w:left="720" w:hanging="720"/>
        <w:jc w:val="both"/>
        <w:rPr>
          <w:lang w:val="en-US"/>
        </w:rPr>
      </w:pPr>
      <w:r w:rsidRPr="004147E2">
        <w:rPr>
          <w:lang w:val="en-US"/>
        </w:rPr>
        <w:t>KEYWORDS:</w:t>
      </w:r>
      <w:r w:rsidR="00E8022E" w:rsidRPr="004147E2">
        <w:rPr>
          <w:lang w:val="en-US"/>
        </w:rPr>
        <w:t xml:space="preserve"> </w:t>
      </w:r>
      <w:r w:rsidR="00DB609D" w:rsidRPr="004147E2">
        <w:rPr>
          <w:lang w:val="en-US"/>
        </w:rPr>
        <w:t>T</w:t>
      </w:r>
      <w:r w:rsidR="00E8022E" w:rsidRPr="004147E2">
        <w:rPr>
          <w:lang w:val="en-US"/>
        </w:rPr>
        <w:t xml:space="preserve">ranscriptome, </w:t>
      </w:r>
      <w:r w:rsidR="00DB609D" w:rsidRPr="004147E2">
        <w:rPr>
          <w:lang w:val="en-US"/>
        </w:rPr>
        <w:t>C</w:t>
      </w:r>
      <w:r w:rsidR="00E8022E" w:rsidRPr="004147E2">
        <w:rPr>
          <w:lang w:val="en-US"/>
        </w:rPr>
        <w:t xml:space="preserve">limate change, </w:t>
      </w:r>
      <w:r w:rsidR="00DB609D" w:rsidRPr="004147E2">
        <w:rPr>
          <w:lang w:val="en-US"/>
        </w:rPr>
        <w:t>C</w:t>
      </w:r>
      <w:r w:rsidR="00E8022E" w:rsidRPr="004147E2">
        <w:rPr>
          <w:lang w:val="en-US"/>
        </w:rPr>
        <w:t xml:space="preserve">ellular physiology, </w:t>
      </w:r>
      <w:r w:rsidR="00DB609D" w:rsidRPr="004147E2">
        <w:rPr>
          <w:lang w:val="en-US"/>
        </w:rPr>
        <w:t>T</w:t>
      </w:r>
      <w:r w:rsidR="003213C0" w:rsidRPr="004147E2">
        <w:rPr>
          <w:lang w:val="en-US"/>
        </w:rPr>
        <w:t>hermal stress</w:t>
      </w:r>
      <w:r w:rsidRPr="004147E2">
        <w:rPr>
          <w:lang w:val="en-US"/>
        </w:rPr>
        <w:t>,</w:t>
      </w:r>
    </w:p>
    <w:p w14:paraId="7521CF27" w14:textId="1EA4D2FB" w:rsidR="003D2653" w:rsidRPr="004147E2" w:rsidRDefault="00DB609D" w:rsidP="005310C3">
      <w:pPr>
        <w:spacing w:line="480" w:lineRule="auto"/>
        <w:ind w:left="720" w:hanging="720"/>
        <w:jc w:val="both"/>
        <w:rPr>
          <w:lang w:val="en-US"/>
        </w:rPr>
      </w:pPr>
      <w:r w:rsidRPr="004147E2">
        <w:rPr>
          <w:lang w:val="en-US"/>
        </w:rPr>
        <w:t>M</w:t>
      </w:r>
      <w:r w:rsidR="002E40DF" w:rsidRPr="004147E2">
        <w:rPr>
          <w:lang w:val="en-US"/>
        </w:rPr>
        <w:t>olecular acclimation</w:t>
      </w:r>
    </w:p>
    <w:p w14:paraId="7BFAAC2E" w14:textId="77777777" w:rsidR="00792590" w:rsidRPr="004147E2" w:rsidRDefault="00792590" w:rsidP="00792590">
      <w:pPr>
        <w:rPr>
          <w:b/>
          <w:bCs/>
          <w:lang w:val="en-US"/>
        </w:rPr>
      </w:pPr>
    </w:p>
    <w:p w14:paraId="5AAC4EDB" w14:textId="77777777" w:rsidR="00792590" w:rsidRPr="004147E2" w:rsidRDefault="00792590" w:rsidP="00792590">
      <w:pPr>
        <w:rPr>
          <w:b/>
          <w:bCs/>
          <w:u w:val="single"/>
          <w:lang w:val="en-US"/>
        </w:rPr>
      </w:pPr>
      <w:r w:rsidRPr="004147E2">
        <w:rPr>
          <w:b/>
          <w:bCs/>
          <w:u w:val="single"/>
          <w:lang w:val="en-US"/>
        </w:rPr>
        <w:br w:type="column"/>
      </w:r>
      <w:r w:rsidRPr="004147E2">
        <w:rPr>
          <w:b/>
          <w:bCs/>
          <w:u w:val="single"/>
          <w:lang w:val="en-US"/>
        </w:rPr>
        <w:lastRenderedPageBreak/>
        <w:t>Introduction</w:t>
      </w:r>
    </w:p>
    <w:p w14:paraId="1F5A0200" w14:textId="77777777" w:rsidR="00792590" w:rsidRPr="004147E2" w:rsidRDefault="00792590" w:rsidP="00792590">
      <w:pPr>
        <w:rPr>
          <w:b/>
          <w:bCs/>
          <w:u w:val="single"/>
          <w:lang w:val="en-US"/>
        </w:rPr>
      </w:pPr>
    </w:p>
    <w:p w14:paraId="072B87E6" w14:textId="4948C3A0" w:rsidR="009E7806" w:rsidRPr="004147E2" w:rsidRDefault="00792590" w:rsidP="0019340E">
      <w:pPr>
        <w:spacing w:line="480" w:lineRule="auto"/>
        <w:ind w:firstLine="720"/>
        <w:jc w:val="both"/>
        <w:rPr>
          <w:rFonts w:eastAsiaTheme="minorEastAsia"/>
          <w:lang w:val="en-GB"/>
        </w:rPr>
      </w:pPr>
      <w:r w:rsidRPr="004147E2">
        <w:rPr>
          <w:lang w:val="en-US"/>
        </w:rPr>
        <w:t xml:space="preserve">Human-induced global warming is a </w:t>
      </w:r>
      <w:r w:rsidR="00846562" w:rsidRPr="004147E2">
        <w:rPr>
          <w:lang w:val="en-US"/>
        </w:rPr>
        <w:t xml:space="preserve">considerable </w:t>
      </w:r>
      <w:r w:rsidRPr="004147E2">
        <w:rPr>
          <w:lang w:val="en-US"/>
        </w:rPr>
        <w:t xml:space="preserve">challenge for marine </w:t>
      </w:r>
      <w:r w:rsidR="00F43325" w:rsidRPr="004147E2">
        <w:rPr>
          <w:lang w:val="en-US"/>
        </w:rPr>
        <w:t>organisms</w:t>
      </w:r>
      <w:r w:rsidR="00846562" w:rsidRPr="004147E2">
        <w:rPr>
          <w:lang w:val="en-US"/>
        </w:rPr>
        <w:t>, as it is expected to push species beyond their physiological limits</w:t>
      </w:r>
      <w:r w:rsidR="00F43325" w:rsidRPr="004147E2">
        <w:rPr>
          <w:lang w:val="en-US"/>
        </w:rPr>
        <w:t xml:space="preserve">, causing irreversible changes </w:t>
      </w:r>
      <w:r w:rsidR="00862BD2" w:rsidRPr="004147E2">
        <w:rPr>
          <w:lang w:val="en-US"/>
        </w:rPr>
        <w:t>to population and</w:t>
      </w:r>
      <w:r w:rsidR="00F43325" w:rsidRPr="004147E2">
        <w:rPr>
          <w:lang w:val="en-US"/>
        </w:rPr>
        <w:t xml:space="preserve"> </w:t>
      </w:r>
      <w:r w:rsidR="006A6C8A" w:rsidRPr="004147E2">
        <w:rPr>
          <w:lang w:val="en-US"/>
        </w:rPr>
        <w:t xml:space="preserve">communities </w:t>
      </w:r>
      <w:r w:rsidR="00862BD2" w:rsidRPr="004147E2">
        <w:rPr>
          <w:lang w:val="en-US"/>
        </w:rPr>
        <w:t>in many marine</w:t>
      </w:r>
      <w:r w:rsidR="00F43325" w:rsidRPr="004147E2">
        <w:rPr>
          <w:lang w:val="en-US"/>
        </w:rPr>
        <w:t xml:space="preserve"> ecosystems</w:t>
      </w:r>
      <w:r w:rsidR="00846562" w:rsidRPr="004147E2">
        <w:rPr>
          <w:lang w:val="en-US"/>
        </w:rPr>
        <w:t xml:space="preserve"> </w:t>
      </w:r>
      <w:r w:rsidR="005B31CB" w:rsidRPr="004147E2">
        <w:rPr>
          <w:noProof/>
          <w:lang w:val="en-US"/>
        </w:rPr>
        <w:fldChar w:fldCharType="begin" w:fldLock="1"/>
      </w:r>
      <w:r w:rsidR="00517C3C">
        <w:rPr>
          <w:noProof/>
          <w:lang w:val="en-US"/>
        </w:rPr>
        <w:instrText>ADDIN CSL_CITATION {"citationItems":[{"id":"ITEM-1","itemData":{"DOI":"10.1126/science.1189930","ISSN":"00368075","PMID":"20558709","abstract":"Marine ecosystems are centrally important to the biology of the planet, yet a comprehensive understanding of how anthropogenic climate change is affecting them has been poorly developed. Recent studies indicate that rapidly rising greenhouse gas concentrations are driving ocean systems toward conditions not seen for millions of years, with an associated risk of fundamental and irreversible ecological transformation. The impacts of anthropogenic climate change so far include decreased ocean productivity, altered food web dynamics, reduced abundance of habitat-forming species, shifting species distributions, and a greater incidence of disease. Although there is considerable uncertainty about the spatial and temporal details, climate change is clearly and fundamentally altering ocean ecosystems. Further change will continue to create enormous challenges and costs for societies worldwide, particularly those in developing countries. Copyright Science 2010 by the American Association for the Advancement of Science; all rights reserved.","author":[{"dropping-particle":"","family":"Hoegh-Guldberg","given":"Ove","non-dropping-particle":"","parse-names":false,"suffix":""},{"dropping-particle":"","family":"Bruno","given":"John F.","non-dropping-particle":"","parse-names":false,"suffix":""}],"container-title":"Science","id":"ITEM-1","issue":"5985","issued":{"date-parts":[["2010"]]},"page":"1523-1528","title":"The impact of climate change on the world's marine ecosystems","type":"article-journal","volume":"328"},"uris":["http://www.mendeley.com/documents/?uuid=db2fba16-a69c-403c-8af0-b014e7deabae"]}],"mendeley":{"formattedCitation":"(Hoegh-Guldberg and Bruno, 2010)","plainTextFormattedCitation":"(Hoegh-Guldberg and Bruno, 2010)","previouslyFormattedCitation":"(Hoegh-Guldberg and Bruno, 2010)"},"properties":{"noteIndex":0},"schema":"https://github.com/citation-style-language/schema/raw/master/csl-citation.json"}</w:instrText>
      </w:r>
      <w:r w:rsidR="005B31CB" w:rsidRPr="004147E2">
        <w:rPr>
          <w:noProof/>
          <w:lang w:val="en-US"/>
        </w:rPr>
        <w:fldChar w:fldCharType="separate"/>
      </w:r>
      <w:r w:rsidR="005B31CB" w:rsidRPr="004147E2">
        <w:rPr>
          <w:noProof/>
          <w:lang w:val="en-US"/>
        </w:rPr>
        <w:t>(Hoegh-Guldberg and Bruno, 2010)</w:t>
      </w:r>
      <w:r w:rsidR="005B31CB" w:rsidRPr="004147E2">
        <w:rPr>
          <w:noProof/>
          <w:lang w:val="en-US"/>
        </w:rPr>
        <w:fldChar w:fldCharType="end"/>
      </w:r>
      <w:r w:rsidRPr="004147E2">
        <w:rPr>
          <w:lang w:val="en-US"/>
        </w:rPr>
        <w:t xml:space="preserve">. </w:t>
      </w:r>
      <w:r w:rsidR="00B33AB0" w:rsidRPr="004147E2">
        <w:rPr>
          <w:lang w:val="en-US"/>
        </w:rPr>
        <w:t>A</w:t>
      </w:r>
      <w:r w:rsidR="002E0461" w:rsidRPr="004147E2">
        <w:rPr>
          <w:lang w:val="en-US"/>
        </w:rPr>
        <w:t>longside</w:t>
      </w:r>
      <w:r w:rsidR="00B30506" w:rsidRPr="004147E2">
        <w:rPr>
          <w:lang w:val="en-US"/>
        </w:rPr>
        <w:t xml:space="preserve"> increasing average ocean temperature</w:t>
      </w:r>
      <w:r w:rsidR="00846562" w:rsidRPr="004147E2">
        <w:rPr>
          <w:lang w:val="en-US"/>
        </w:rPr>
        <w:t>s</w:t>
      </w:r>
      <w:r w:rsidR="00B30506" w:rsidRPr="004147E2">
        <w:rPr>
          <w:lang w:val="en-US"/>
        </w:rPr>
        <w:t>, marine heatwave</w:t>
      </w:r>
      <w:r w:rsidR="00987C1D" w:rsidRPr="004147E2">
        <w:rPr>
          <w:lang w:val="en-US"/>
        </w:rPr>
        <w:t>s</w:t>
      </w:r>
      <w:r w:rsidR="00B30506" w:rsidRPr="004147E2">
        <w:rPr>
          <w:lang w:val="en-US"/>
        </w:rPr>
        <w:t xml:space="preserve"> </w:t>
      </w:r>
      <w:r w:rsidR="00846562" w:rsidRPr="004147E2">
        <w:rPr>
          <w:lang w:val="en-US"/>
        </w:rPr>
        <w:t xml:space="preserve">are also increasing in intensity and frequency </w:t>
      </w:r>
      <w:r w:rsidR="001166C1" w:rsidRPr="004147E2">
        <w:rPr>
          <w:lang w:val="en-US"/>
        </w:rPr>
        <w:fldChar w:fldCharType="begin" w:fldLock="1"/>
      </w:r>
      <w:r w:rsidR="00EF730B">
        <w:rPr>
          <w:lang w:val="en-US"/>
        </w:rPr>
        <w:instrText>ADDIN CSL_CITATION {"citationItems":[{"id":"ITEM-1","itemData":{"DOI":"10.1038/s41598-020-75445-3","ISBN":"0123456789","ISSN":"20452322","PMID":"33168858","abstract":"Prolonged high-temperature extreme events in the ocean, marine heatwaves, can have severe and long-lasting impacts on marine ecosystems, fisheries and associated services. This study applies a marine heatwave framework to analyse a global sea surface temperature product and identify the most extreme events, based on their intensity, duration and spatial extent. Many of these events have yet to be described in terms of their physical attributes, generation mechanisms, or ecological impacts. Our synthesis identifies commonalities between marine heatwave characteristics and seasonality, links to the El Niño-Southern Oscillation, triggering processes and impacts on ocean productivity. The most intense events preferentially occur in summer, when climatological oceanic mixed layers are shallow and winds are weak, but at a time preceding climatological maximum sea surface temperatures. Most subtropical extreme marine heatwaves were triggered by persistent atmospheric high-pressure systems and anomalously weak wind speeds, associated with increased insolation, and reduced ocean heat losses. Furthermore, the most extreme events tended to coincide with reduced chlorophyll-a concentration at low and mid-latitudes. Understanding the importance of the oceanic background state, local and remote drivers and the ocean productivity response from past events are critical steps toward improving predictions of future marine heatwaves and their impacts.","author":[{"dropping-particle":"Sen","family":"Gupta","given":"Alex","non-dropping-particle":"","parse-names":false,"suffix":""},{"dropping-particle":"","family":"Thomsen","given":"Mads","non-dropping-particle":"","parse-names":false,"suffix":""},{"dropping-particle":"","family":"Benthuysen","given":"Jessica A.","non-dropping-particle":"","parse-names":false,"suffix":""},{"dropping-particle":"","family":"Hobday","given":"Alistair J.","non-dropping-particle":"","parse-names":false,"suffix":""},{"dropping-particle":"","family":"Oliver","given":"Eric","non-dropping-particle":"","parse-names":false,"suffix":""},{"dropping-particle":"V.","family":"Alexander","given":"Lisa","non-dropping-particle":"","parse-names":false,"suffix":""},{"dropping-particle":"","family":"Burrows","given":"Michael T.","non-dropping-particle":"","parse-names":false,"suffix":""},{"dropping-particle":"","family":"Donat","given":"Markus G.","non-dropping-particle":"","parse-names":false,"suffix":""},{"dropping-particle":"","family":"Feng","given":"Ming","non-dropping-particle":"","parse-names":false,"suffix":""},{"dropping-particle":"","family":"Holbrook","given":"Neil J.","non-dropping-particle":"","parse-names":false,"suffix":""},{"dropping-particle":"","family":"Perkins-Kirkpatrick","given":"Sarah","non-dropping-particle":"","parse-names":false,"suffix":""},{"dropping-particle":"","family":"Moore","given":"Pippa J.","non-dropping-particle":"","parse-names":false,"suffix":""},{"dropping-particle":"","family":"Rodrigues","given":"Regina R.","non-dropping-particle":"","parse-names":false,"suffix":""},{"dropping-particle":"","family":"Scannell","given":"Hillary A.","non-dropping-particle":"","parse-names":false,"suffix":""},{"dropping-particle":"","family":"Taschetto","given":"Andréa S.","non-dropping-particle":"","parse-names":false,"suffix":""},{"dropping-particle":"","family":"Ummenhofer","given":"Caroline C.","non-dropping-particle":"","parse-names":false,"suffix":""},{"dropping-particle":"","family":"Wernberg","given":"Thomas","non-dropping-particle":"","parse-names":false,"suffix":""},{"dropping-particle":"","family":"Smale","given":"Dan A.","non-dropping-particle":"","parse-names":false,"suffix":""}],"container-title":"Scientific Reports","id":"ITEM-1","issue":"1","issued":{"date-parts":[["2020"]]},"page":"1-15","title":"Drivers and impacts of the most extreme marine heatwaves events","type":"article-journal","volume":"10"},"uris":["http://www.mendeley.com/documents/?uuid=03e8ac77-ce9d-481a-85ef-45caa3c2fd35","http://www.mendeley.com/documents/?uuid=b8c203b8-48f0-4fa7-aa2d-a6bff22af997"]},{"id":"ITEM-2","itemData":{"DOI":"10.1038/s41467-018-03732-9","ISSN":"20411723","PMID":"29636482","abstract":"Heatwaves are important climatic extremes in atmospheric and oceanic systems that can have devastating and long-term impacts on ecosystems, with subsequent socioeconomic consequences. Recent prominent marine heatwaves have attracted considerable scientific and public interest. Despite this, a comprehensive assessment of how these ocean temperature extremes have been changing globally is missing. Using a range of ocean temperature data including global records of daily satellite observations, daily in situ measurements and gridded monthly in situ-based data sets, we identify significant increases in marine heatwaves over the past century. We find that from 1925 to 2016, global average marine heatwave frequency and duration increased by 34% and 17%, respectively, resulting in a 54% increase in annual marine heatwave days globally. Importantly, these trends can largely be explained by increases in mean ocean temperatures, suggesting that we can expect further increases in marine heatwave days under continued global warming.","author":[{"dropping-particle":"","family":"Oliver","given":"Eric C.J.","non-dropping-particle":"","parse-names":false,"suffix":""},{"dropping-particle":"","family":"Donat","given":"Markus G.","non-dropping-particle":"","parse-names":false,"suffix":""},{"dropping-particle":"","family":"Burrows","given":"Michael T.","non-dropping-particle":"","parse-names":false,"suffix":""},{"dropping-particle":"","family":"Moore","given":"Pippa J.","non-dropping-particle":"","parse-names":false,"suffix":""},{"dropping-particle":"","family":"Smale","given":"Dan A.","non-dropping-particle":"","parse-names":false,"suffix":""},{"dropping-particle":"V.","family":"Alexander","given":"Lisa","non-dropping-particle":"","parse-names":false,"suffix":""},{"dropping-particle":"","family":"Benthuysen","given":"Jessica A.","non-dropping-particle":"","parse-names":false,"suffix":""},{"dropping-particle":"","family":"Feng","given":"Ming","non-dropping-particle":"","parse-names":false,"suffix":""},{"dropping-particle":"","family":"Gupta","given":"Alex","non-dropping-particle":"Sen","parse-names":false,"suffix":""},{"dropping-particle":"","family":"Hobday","given":"Alistair J.","non-dropping-particle":"","parse-names":false,"suffix":""},{"dropping-particle":"","family":"Holbrook","given":"Neil J.","non-dropping-particle":"","parse-names":false,"suffix":""},{"dropping-particle":"","family":"Perkins-Kirkpatrick","given":"Sarah E.","non-dropping-particle":"","parse-names":false,"suffix":""},{"dropping-particle":"","family":"Scannell","given":"Hillary A.","non-dropping-particle":"","parse-names":false,"suffix":""},{"dropping-particle":"","family":"Straub","given":"Sandra C.","non-dropping-particle":"","parse-names":false,"suffix":""},{"dropping-particle":"","family":"Wernberg","given":"Thomas","non-dropping-particle":"","parse-names":false,"suffix":""}],"container-title":"Nature Communications","id":"ITEM-2","issue":"1","issued":{"date-parts":[["2018"]]},"page":"1-12","publisher":"Springer US","title":"Longer and more frequent marine heatwaves over the past century","type":"article-journal","volume":"9"},"uris":["http://www.mendeley.com/documents/?uuid=4285f56d-c658-4176-b1cb-b48aeb184888"]}],"mendeley":{"formattedCitation":"(Oliver &lt;i&gt;et al.&lt;/i&gt;, 2018; Gupta &lt;i&gt;et al.&lt;/i&gt;, 2020)","plainTextFormattedCitation":"(Oliver et al., 2018; Gupta et al., 2020)","previouslyFormattedCitation":"(Oliver &lt;i&gt;et al.&lt;/i&gt;, 2018; Gupta &lt;i&gt;et al.&lt;/i&gt;, 2020)"},"properties":{"noteIndex":0},"schema":"https://github.com/citation-style-language/schema/raw/master/csl-citation.json"}</w:instrText>
      </w:r>
      <w:r w:rsidR="001166C1" w:rsidRPr="004147E2">
        <w:rPr>
          <w:lang w:val="en-US"/>
        </w:rPr>
        <w:fldChar w:fldCharType="separate"/>
      </w:r>
      <w:r w:rsidR="00B66633" w:rsidRPr="004147E2">
        <w:rPr>
          <w:noProof/>
          <w:lang w:val="en-US"/>
        </w:rPr>
        <w:t xml:space="preserve">(Oliver </w:t>
      </w:r>
      <w:r w:rsidR="00B66633" w:rsidRPr="004147E2">
        <w:rPr>
          <w:i/>
          <w:noProof/>
          <w:lang w:val="en-US"/>
        </w:rPr>
        <w:t>et al.</w:t>
      </w:r>
      <w:r w:rsidR="00B66633" w:rsidRPr="004147E2">
        <w:rPr>
          <w:noProof/>
          <w:lang w:val="en-US"/>
        </w:rPr>
        <w:t xml:space="preserve">, 2018; Gupta </w:t>
      </w:r>
      <w:r w:rsidR="00B66633" w:rsidRPr="004147E2">
        <w:rPr>
          <w:i/>
          <w:noProof/>
          <w:lang w:val="en-US"/>
        </w:rPr>
        <w:t>et al.</w:t>
      </w:r>
      <w:r w:rsidR="00B66633" w:rsidRPr="004147E2">
        <w:rPr>
          <w:noProof/>
          <w:lang w:val="en-US"/>
        </w:rPr>
        <w:t>, 2020)</w:t>
      </w:r>
      <w:r w:rsidR="001166C1" w:rsidRPr="004147E2">
        <w:rPr>
          <w:lang w:val="en-US"/>
        </w:rPr>
        <w:fldChar w:fldCharType="end"/>
      </w:r>
      <w:r w:rsidR="00F43325" w:rsidRPr="004147E2">
        <w:rPr>
          <w:lang w:val="en-US"/>
        </w:rPr>
        <w:t xml:space="preserve">, </w:t>
      </w:r>
      <w:r w:rsidR="001C365E">
        <w:rPr>
          <w:lang w:val="en-US"/>
        </w:rPr>
        <w:t>and</w:t>
      </w:r>
      <w:r w:rsidR="00F43325" w:rsidRPr="004147E2">
        <w:rPr>
          <w:lang w:val="en-US"/>
        </w:rPr>
        <w:t xml:space="preserve"> events </w:t>
      </w:r>
      <w:r w:rsidR="00862BD2" w:rsidRPr="004147E2">
        <w:rPr>
          <w:lang w:val="en-US"/>
        </w:rPr>
        <w:t>hav</w:t>
      </w:r>
      <w:r w:rsidR="001C365E">
        <w:rPr>
          <w:lang w:val="en-US"/>
        </w:rPr>
        <w:t>e</w:t>
      </w:r>
      <w:r w:rsidR="00F43325" w:rsidRPr="004147E2">
        <w:rPr>
          <w:lang w:val="en-US"/>
        </w:rPr>
        <w:t xml:space="preserve"> surged more than twentyfold</w:t>
      </w:r>
      <w:r w:rsidR="00F43325" w:rsidRPr="004147E2" w:rsidDel="00F036F8">
        <w:rPr>
          <w:lang w:val="en-US"/>
        </w:rPr>
        <w:t xml:space="preserve"> </w:t>
      </w:r>
      <w:r w:rsidR="00F43325" w:rsidRPr="004147E2">
        <w:rPr>
          <w:lang w:val="en-US"/>
        </w:rPr>
        <w:t xml:space="preserve">since the 1970s due to anthropogenic climate change </w:t>
      </w:r>
      <w:r w:rsidR="00F43325" w:rsidRPr="004147E2">
        <w:rPr>
          <w:noProof/>
          <w:lang w:val="en-US"/>
        </w:rPr>
        <w:fldChar w:fldCharType="begin" w:fldLock="1"/>
      </w:r>
      <w:r w:rsidR="007602F2">
        <w:rPr>
          <w:noProof/>
          <w:lang w:val="en-US"/>
        </w:rPr>
        <w:instrText>ADDIN CSL_CITATION {"citationItems":[{"id":"ITEM-1","itemData":{"DOI":"10.1126/science.aba0690","ISSN":"10959203","PMID":"32973027","abstract":"Marine heatwaves (MHWs)-periods of extremely high ocean temperatures in specific regions-have occurred in all of Earth's ocean basins over the past two decades, with severe negative impacts on marine organisms and ecosystems. However, for most individual MHWs, it is unclear to what extent they have been altered by human-induced climate change. We show that the occurrence probabilities of the duration, intensity, and cumulative intensity of most documented, large, and impactful MHWs have increased more than 20-fold as a result of anthropogenic climate change. MHWs that occurred only once every hundreds to thousands of years in the preindustrial climate are projected to become decadal to centennial events under 1.5°C warming conditions and annual to decadal events under 3°C warming conditions. Thus, ambitious climate targets are indispensable to reduce the risks of substantial MHW impacts.","author":[{"dropping-particle":"","family":"Laufkötter","given":"Charlotte","non-dropping-particle":"","parse-names":false,"suffix":""},{"dropping-particle":"","family":"Zscheischler","given":"Jakob","non-dropping-particle":"","parse-names":false,"suffix":""},{"dropping-particle":"","family":"Frölicher","given":"Thomas L.","non-dropping-particle":"","parse-names":false,"suffix":""}],"container-title":"Science","id":"ITEM-1","issue":"6511","issued":{"date-parts":[["2020"]]},"page":"1621-1625","title":"High-impact marine heatwaves attributable to human-induced global warming","type":"article-journal","volume":"369"},"uris":["http://www.mendeley.com/documents/?uuid=07257167-0b4d-4b3f-96b2-75452b1755ba","http://www.mendeley.com/documents/?uuid=26087dfd-5a78-4506-8195-6baf49ced87c"]}],"mendeley":{"formattedCitation":"(Laufkötter, Zscheischler and Frölicher, 2020)","plainTextFormattedCitation":"(Laufkötter, Zscheischler and Frölicher, 2020)","previouslyFormattedCitation":"(Laufkötter, Zscheischler and Frölicher, 2020)"},"properties":{"noteIndex":0},"schema":"https://github.com/citation-style-language/schema/raw/master/csl-citation.json"}</w:instrText>
      </w:r>
      <w:r w:rsidR="00F43325" w:rsidRPr="004147E2">
        <w:rPr>
          <w:noProof/>
          <w:lang w:val="en-US"/>
        </w:rPr>
        <w:fldChar w:fldCharType="separate"/>
      </w:r>
      <w:r w:rsidR="00F43325" w:rsidRPr="004147E2">
        <w:rPr>
          <w:noProof/>
          <w:lang w:val="en-US"/>
        </w:rPr>
        <w:t>(Laufkötter, Zscheischler and Frölicher, 2020)</w:t>
      </w:r>
      <w:r w:rsidR="00F43325" w:rsidRPr="004147E2">
        <w:rPr>
          <w:noProof/>
          <w:lang w:val="en-US"/>
        </w:rPr>
        <w:fldChar w:fldCharType="end"/>
      </w:r>
      <w:r w:rsidR="00B30506" w:rsidRPr="004147E2">
        <w:rPr>
          <w:lang w:val="en-US"/>
        </w:rPr>
        <w:t>.</w:t>
      </w:r>
      <w:r w:rsidR="001C3BD7" w:rsidRPr="004147E2">
        <w:rPr>
          <w:lang w:val="en-US"/>
        </w:rPr>
        <w:t xml:space="preserve"> </w:t>
      </w:r>
      <w:r w:rsidR="00846562" w:rsidRPr="004147E2">
        <w:rPr>
          <w:lang w:val="en-US"/>
        </w:rPr>
        <w:t xml:space="preserve">Marine heatwaves </w:t>
      </w:r>
      <w:r w:rsidR="0070200A">
        <w:rPr>
          <w:lang w:val="en-US"/>
        </w:rPr>
        <w:t>are</w:t>
      </w:r>
      <w:r w:rsidR="00846562" w:rsidRPr="004147E2">
        <w:rPr>
          <w:lang w:val="en-US"/>
        </w:rPr>
        <w:t xml:space="preserve"> </w:t>
      </w:r>
      <w:r w:rsidR="00A36752" w:rsidRPr="004147E2">
        <w:rPr>
          <w:lang w:val="en-US"/>
        </w:rPr>
        <w:t xml:space="preserve">an </w:t>
      </w:r>
      <w:r w:rsidR="000E21E2" w:rsidRPr="004147E2">
        <w:rPr>
          <w:lang w:val="en-US"/>
        </w:rPr>
        <w:t xml:space="preserve">abnormal </w:t>
      </w:r>
      <w:r w:rsidR="00527B35" w:rsidRPr="004147E2">
        <w:rPr>
          <w:lang w:val="en-US"/>
        </w:rPr>
        <w:t xml:space="preserve">period of </w:t>
      </w:r>
      <w:r w:rsidR="000E21E2" w:rsidRPr="004147E2">
        <w:rPr>
          <w:lang w:val="en-US"/>
        </w:rPr>
        <w:t xml:space="preserve">warming </w:t>
      </w:r>
      <w:r w:rsidR="00A36752" w:rsidRPr="004147E2">
        <w:rPr>
          <w:lang w:val="en-US"/>
        </w:rPr>
        <w:t>in the ocean</w:t>
      </w:r>
      <w:r w:rsidR="004F5F7D" w:rsidRPr="004147E2">
        <w:rPr>
          <w:lang w:val="en-US"/>
        </w:rPr>
        <w:t>, which can last days, weeks or months,</w:t>
      </w:r>
      <w:r w:rsidR="000E21E2" w:rsidRPr="004147E2">
        <w:rPr>
          <w:lang w:val="en-US"/>
        </w:rPr>
        <w:t xml:space="preserve"> </w:t>
      </w:r>
      <w:r w:rsidR="006A56A1" w:rsidRPr="004147E2">
        <w:rPr>
          <w:lang w:val="en-US"/>
        </w:rPr>
        <w:t>where</w:t>
      </w:r>
      <w:r w:rsidR="008C0104" w:rsidRPr="004147E2">
        <w:rPr>
          <w:lang w:val="en-US"/>
        </w:rPr>
        <w:t xml:space="preserve"> </w:t>
      </w:r>
      <w:r w:rsidR="005134B3" w:rsidRPr="004147E2">
        <w:rPr>
          <w:lang w:val="en-US"/>
        </w:rPr>
        <w:t>temperature</w:t>
      </w:r>
      <w:r w:rsidR="00527B35" w:rsidRPr="004147E2">
        <w:rPr>
          <w:lang w:val="en-US"/>
        </w:rPr>
        <w:t>s</w:t>
      </w:r>
      <w:r w:rsidR="00EF1093" w:rsidRPr="004147E2">
        <w:rPr>
          <w:lang w:val="en-US"/>
        </w:rPr>
        <w:t xml:space="preserve"> </w:t>
      </w:r>
      <w:r w:rsidR="00F746BE" w:rsidRPr="004147E2">
        <w:rPr>
          <w:lang w:val="en-US"/>
        </w:rPr>
        <w:t>exceed</w:t>
      </w:r>
      <w:r w:rsidR="000E21E2" w:rsidRPr="004147E2">
        <w:rPr>
          <w:lang w:val="en-US"/>
        </w:rPr>
        <w:t xml:space="preserve"> the </w:t>
      </w:r>
      <w:r w:rsidR="004F5F7D" w:rsidRPr="004147E2">
        <w:rPr>
          <w:lang w:val="en-US"/>
        </w:rPr>
        <w:t xml:space="preserve">normal </w:t>
      </w:r>
      <w:r w:rsidR="000E21E2" w:rsidRPr="004147E2">
        <w:rPr>
          <w:lang w:val="en-US"/>
        </w:rPr>
        <w:t>season</w:t>
      </w:r>
      <w:r w:rsidR="005134B3" w:rsidRPr="004147E2">
        <w:rPr>
          <w:lang w:val="en-US"/>
        </w:rPr>
        <w:t xml:space="preserve">al </w:t>
      </w:r>
      <w:r w:rsidR="004F5F7D" w:rsidRPr="004147E2">
        <w:rPr>
          <w:lang w:val="en-US"/>
        </w:rPr>
        <w:t>range</w:t>
      </w:r>
      <w:r w:rsidR="006E11AF" w:rsidRPr="004147E2">
        <w:rPr>
          <w:lang w:val="en-US"/>
        </w:rPr>
        <w:t xml:space="preserve"> </w:t>
      </w:r>
      <w:r w:rsidR="00E07D02" w:rsidRPr="004147E2">
        <w:rPr>
          <w:lang w:val="en-US"/>
        </w:rPr>
        <w:fldChar w:fldCharType="begin" w:fldLock="1"/>
      </w:r>
      <w:r w:rsidR="007602F2">
        <w:rPr>
          <w:lang w:val="en-US"/>
        </w:rPr>
        <w:instrText>ADDIN CSL_CITATION {"citationItems":[{"id":"ITEM-1","itemData":{"DOI":"10.1016/j.pocean.2015.12.014","ISSN":"00796611","abstract":"Marine heatwaves (MHWs) have been observed around the world and are expected to increase in intensity and frequency under anthropogenic climate change. A variety of impacts have been associated with these anomalous events, including shifts in species ranges, local extinctions and economic impacts on seafood industries through declines in important fishery species and impacts on aquaculture. Extreme temperatures are increasingly seen as important influences on biological systems, yet a consistent definition of MHWs does not exist. A clear definition will facilitate retrospective comparisons between MHWs, enabling the synthesis and a mechanistic understanding of the role of MHWs in marine ecosystems. Building on research into atmospheric heatwaves, we propose both a general and specific definition for MHWs, based on a hierarchy of metrics that allow for different data sets to be used in identifying MHWs. We generally define a MHW as a prolonged discrete anomalously warm water event that can be described by its duration, intensity, rate of evolution, and spatial extent. Specifically, we consider an anomalously warm event to be a MHW if it lasts for five or more days, with temperatures warmer than the 90th percentile based on a 30-year historical baseline period. This structure provides flexibility with regard to the description of MHWs and transparency in communicating MHWs to a general audience. The use of these metrics is illustrated for three 21st century MHWs; the northern Mediterranean event in 2003, the Western Australia 'Ningaloo Niño' in 2011, and the northwest Atlantic event in 2012. We recommend a specific quantitative definition for MHWs to facilitate global comparisons and to advance our understanding of these phenomena.","author":[{"dropping-particle":"","family":"Hobday","given":"Alistair J.","non-dropping-particle":"","parse-names":false,"suffix":""},{"dropping-particle":"V.","family":"Alexander","given":"Lisa","non-dropping-particle":"","parse-names":false,"suffix":""},{"dropping-particle":"","family":"Perkins","given":"Sarah E.","non-dropping-particle":"","parse-names":false,"suffix":""},{"dropping-particle":"","family":"Smale","given":"Dan A.","non-dropping-particle":"","parse-names":false,"suffix":""},{"dropping-particle":"","family":"Straub","given":"Sandra C.","non-dropping-particle":"","parse-names":false,"suffix":""},{"dropping-particle":"","family":"Oliver","given":"Eric C.J.","non-dropping-particle":"","parse-names":false,"suffix":""},{"dropping-particle":"","family":"Benthuysen","given":"Jessica A.","non-dropping-particle":"","parse-names":false,"suffix":""},{"dropping-particle":"","family":"Burrows","given":"Michael T.","non-dropping-particle":"","parse-names":false,"suffix":""},{"dropping-particle":"","family":"Donat","given":"Markus G.","non-dropping-particle":"","parse-names":false,"suffix":""},{"dropping-particle":"","family":"Feng","given":"Ming","non-dropping-particle":"","parse-names":false,"suffix":""},{"dropping-particle":"","family":"Holbrook","given":"Neil J.","non-dropping-particle":"","parse-names":false,"suffix":""},{"dropping-particle":"","family":"Moore","given":"Pippa J.","non-dropping-particle":"","parse-names":false,"suffix":""},{"dropping-particle":"","family":"Scannell","given":"Hillary A.","non-dropping-particle":"","parse-names":false,"suffix":""},{"dropping-particle":"","family":"Gupta","given":"Alex","non-dropping-particle":"Sen","parse-names":false,"suffix":""},{"dropping-particle":"","family":"Wernberg","given":"Thomas","non-dropping-particle":"","parse-names":false,"suffix":""}],"container-title":"Progress in Oceanography","id":"ITEM-1","issued":{"date-parts":[["2016"]]},"page":"227-238","publisher":"Elsevier Ltd","title":"A hierarchical approach to defining marine heatwaves","type":"article-journal","volume":"141"},"uris":["http://www.mendeley.com/documents/?uuid=829824fa-02c9-4b59-8fb8-4886c893ef5e","http://www.mendeley.com/documents/?uuid=c3de2322-1823-4594-a9b1-50ddc2508f3c"]}],"mendeley":{"formattedCitation":"(Hobday &lt;i&gt;et al.&lt;/i&gt;, 2016)","plainTextFormattedCitation":"(Hobday et al., 2016)","previouslyFormattedCitation":"(Hobday &lt;i&gt;et al.&lt;/i&gt;, 2016)"},"properties":{"noteIndex":0},"schema":"https://github.com/citation-style-language/schema/raw/master/csl-citation.json"}</w:instrText>
      </w:r>
      <w:r w:rsidR="00E07D02" w:rsidRPr="004147E2">
        <w:rPr>
          <w:lang w:val="en-US"/>
        </w:rPr>
        <w:fldChar w:fldCharType="separate"/>
      </w:r>
      <w:r w:rsidR="00E07D02" w:rsidRPr="004147E2">
        <w:rPr>
          <w:noProof/>
          <w:lang w:val="en-US"/>
        </w:rPr>
        <w:t xml:space="preserve">(Hobday </w:t>
      </w:r>
      <w:r w:rsidR="00E07D02" w:rsidRPr="004147E2">
        <w:rPr>
          <w:i/>
          <w:noProof/>
          <w:lang w:val="en-US"/>
        </w:rPr>
        <w:t>et al.</w:t>
      </w:r>
      <w:r w:rsidR="00E07D02" w:rsidRPr="004147E2">
        <w:rPr>
          <w:noProof/>
          <w:lang w:val="en-US"/>
        </w:rPr>
        <w:t>, 2016)</w:t>
      </w:r>
      <w:r w:rsidR="00E07D02" w:rsidRPr="004147E2">
        <w:rPr>
          <w:lang w:val="en-US"/>
        </w:rPr>
        <w:fldChar w:fldCharType="end"/>
      </w:r>
      <w:r w:rsidR="005134B3" w:rsidRPr="004147E2">
        <w:rPr>
          <w:lang w:val="en-US"/>
        </w:rPr>
        <w:t>.</w:t>
      </w:r>
      <w:r w:rsidR="00846562" w:rsidRPr="004147E2">
        <w:rPr>
          <w:lang w:val="en-US"/>
        </w:rPr>
        <w:t xml:space="preserve"> </w:t>
      </w:r>
      <w:r w:rsidR="000E3B63" w:rsidRPr="004147E2">
        <w:rPr>
          <w:lang w:val="en-US"/>
        </w:rPr>
        <w:t>Even with a short duration, t</w:t>
      </w:r>
      <w:r w:rsidR="00875A64" w:rsidRPr="004147E2">
        <w:rPr>
          <w:lang w:val="en-US"/>
        </w:rPr>
        <w:t>hese</w:t>
      </w:r>
      <w:r w:rsidR="006A56A1" w:rsidRPr="004147E2">
        <w:rPr>
          <w:lang w:val="en-US"/>
        </w:rPr>
        <w:t xml:space="preserve"> extreme thermal event</w:t>
      </w:r>
      <w:r w:rsidR="004F5F7D" w:rsidRPr="004147E2">
        <w:rPr>
          <w:lang w:val="en-US"/>
        </w:rPr>
        <w:t>s</w:t>
      </w:r>
      <w:r w:rsidR="005E7212" w:rsidRPr="004147E2">
        <w:rPr>
          <w:lang w:val="en-US"/>
        </w:rPr>
        <w:t xml:space="preserve"> </w:t>
      </w:r>
      <w:r w:rsidR="006A56A1" w:rsidRPr="004147E2">
        <w:rPr>
          <w:lang w:val="en-US"/>
        </w:rPr>
        <w:t xml:space="preserve">affect the </w:t>
      </w:r>
      <w:r w:rsidR="00696103" w:rsidRPr="004147E2">
        <w:rPr>
          <w:lang w:val="en-US"/>
        </w:rPr>
        <w:t>physiology</w:t>
      </w:r>
      <w:r w:rsidR="00527B35" w:rsidRPr="004147E2">
        <w:rPr>
          <w:lang w:val="en-US"/>
        </w:rPr>
        <w:t xml:space="preserve"> of individual organisms</w:t>
      </w:r>
      <w:r w:rsidR="004F5F7D" w:rsidRPr="004147E2">
        <w:rPr>
          <w:lang w:val="en-US"/>
        </w:rPr>
        <w:t xml:space="preserve"> and can have</w:t>
      </w:r>
      <w:r w:rsidR="00846562" w:rsidRPr="004147E2">
        <w:rPr>
          <w:lang w:val="en-US"/>
        </w:rPr>
        <w:t xml:space="preserve"> cascading </w:t>
      </w:r>
      <w:r w:rsidR="00AE2B5D" w:rsidRPr="004147E2">
        <w:rPr>
          <w:lang w:val="en-US"/>
        </w:rPr>
        <w:t xml:space="preserve">consequences </w:t>
      </w:r>
      <w:r w:rsidR="006A56A1" w:rsidRPr="004147E2">
        <w:rPr>
          <w:lang w:val="en-US"/>
        </w:rPr>
        <w:t>on</w:t>
      </w:r>
      <w:r w:rsidR="00527B35" w:rsidRPr="004147E2">
        <w:rPr>
          <w:lang w:val="en-US"/>
        </w:rPr>
        <w:t xml:space="preserve"> populations, </w:t>
      </w:r>
      <w:r w:rsidR="00846562" w:rsidRPr="004147E2">
        <w:rPr>
          <w:lang w:val="en-US"/>
        </w:rPr>
        <w:t>communities,</w:t>
      </w:r>
      <w:r w:rsidRPr="004147E2">
        <w:rPr>
          <w:lang w:val="en-US"/>
        </w:rPr>
        <w:t xml:space="preserve"> </w:t>
      </w:r>
      <w:r w:rsidR="00846562" w:rsidRPr="004147E2">
        <w:rPr>
          <w:lang w:val="en-US"/>
        </w:rPr>
        <w:t xml:space="preserve">and </w:t>
      </w:r>
      <w:r w:rsidR="007566EB" w:rsidRPr="004147E2">
        <w:rPr>
          <w:lang w:val="en-US"/>
        </w:rPr>
        <w:t xml:space="preserve">the </w:t>
      </w:r>
      <w:r w:rsidR="00846562" w:rsidRPr="004147E2">
        <w:rPr>
          <w:lang w:val="en-US"/>
        </w:rPr>
        <w:t xml:space="preserve">overall biodiversity of a specific area </w:t>
      </w:r>
      <w:r w:rsidR="005B31CB" w:rsidRPr="004147E2">
        <w:rPr>
          <w:noProof/>
          <w:lang w:val="en-US"/>
        </w:rPr>
        <w:fldChar w:fldCharType="begin" w:fldLock="1"/>
      </w:r>
      <w:r w:rsidR="00EF730B">
        <w:rPr>
          <w:noProof/>
          <w:lang w:val="en-US"/>
        </w:rPr>
        <w:instrText>ADDIN CSL_CITATION {"citationItems":[{"id":"ITEM-1","itemData":{"DOI":"10.1038/s41558-019-0412-1","ISSN":"17586798","abstract":"The global ocean has warmed substantially over the past century, with far-reaching implications for marine ecosystems 1 . Concurrent with long-term persistent warming, discrete periods of extreme regional ocean warming (marine heatwaves, MHWs) have increased in frequency 2 . Here we quantify trends and attributes of MHWs across all ocean basins and examine their biological impacts from species to ecosystems. Multiple regions in the Pacific, Atlantic and Indian Oceans are particularly vulnerable to MHW intensification, due to the co-existence of high levels of biodiversity, a prevalence of species found at their warm range edges or concurrent non-climatic human impacts. The physical attributes of prominent MHWs varied considerably, but all had deleterious impacts across a range of biological processes and taxa, including critical foundation species (corals, seagrasses and kelps). MHWs, which will probably intensify with anthropogenic climate change 3 , are rapidly emerging as forceful agents of disturbance with the capacity to restructure entire ecosystems and disrupt the provision of ecological goods and services in coming decades.","author":[{"dropping-particle":"","family":"Smale","given":"Dan A.","non-dropping-particle":"","parse-names":false,"suffix":""},{"dropping-particle":"","family":"Wernberg","given":"Thomas","non-dropping-particle":"","parse-names":false,"suffix":""},{"dropping-particle":"","family":"Oliver","given":"Eric C.J.","non-dropping-particle":"","parse-names":false,"suffix":""},{"dropping-particle":"","family":"Thomsen","given":"Mads","non-dropping-particle":"","parse-names":false,"suffix":""},{"dropping-particle":"","family":"Harvey","given":"Ben P.","non-dropping-particle":"","parse-names":false,"suffix":""},{"dropping-particle":"","family":"Straub","given":"Sandra C.","non-dropping-particle":"","parse-names":false,"suffix":""},{"dropping-particle":"","family":"Burrows","given":"Michael T.","non-dropping-particle":"","parse-names":false,"suffix":""},{"dropping-particle":"V.","family":"Alexander","given":"Lisa","non-dropping-particle":"","parse-names":false,"suffix":""},{"dropping-particle":"","family":"Benthuysen","given":"Jessica A.","non-dropping-particle":"","parse-names":false,"suffix":""},{"dropping-particle":"","family":"Donat","given":"Markus G.","non-dropping-particle":"","parse-names":false,"suffix":""},{"dropping-particle":"","family":"Feng","given":"Ming","non-dropping-particle":"","parse-names":false,"suffix":""},{"dropping-particle":"","family":"Hobday","given":"Alistair J.","non-dropping-particle":"","parse-names":false,"suffix":""},{"dropping-particle":"","family":"Holbrook","given":"Neil J.","non-dropping-particle":"","parse-names":false,"suffix":""},{"dropping-particle":"","family":"Perkins-Kirkpatrick","given":"Sarah E.","non-dropping-particle":"","parse-names":false,"suffix":""},{"dropping-particle":"","family":"Scannell","given":"Hillary A.","non-dropping-particle":"","parse-names":false,"suffix":""},{"dropping-particle":"","family":"Gupta","given":"Alex","non-dropping-particle":"Sen","parse-names":false,"suffix":""},{"dropping-particle":"","family":"Payne","given":"Ben L.","non-dropping-particle":"","parse-names":false,"suffix":""},{"dropping-particle":"","family":"Moore","given":"Pippa J.","non-dropping-particle":"","parse-names":false,"suffix":""}],"container-title":"Nature Climate Change","id":"ITEM-1","issue":"4","issued":{"date-parts":[["2019"]]},"page":"306-312","publisher":"Springer US","title":"Marine heatwaves threaten global biodiversity and the provision of ecosystem services","type":"article-journal","volume":"9"},"uris":["http://www.mendeley.com/documents/?uuid=00401bff-b56d-49d8-8b33-bf1c1898d469"]},{"id":"ITEM-2","itemData":{"DOI":"10.3389/fmars.2019.00734","ISSN":"22967745","abstract":"Marine heatwaves (MHWs) are extreme climatic events in oceanic systems that can have devastating impacts on ecosystems, causing abrupt ecological changes and socioeconomic consequences. Several prominent MHWs have attracted scientific and public interest, and recent assessments have documented global and regional increases in their frequency. However, for proactive marine management, it is critical to understand how patterns might change in the future. Here, we estimate future changes in MHWs to the end of the 21st century, as simulated by the CMIP5 global climate model projections. Significant increases in MHW intensity and count of annual MHW days are projected to accelerate, with many parts of the ocean reaching a near-permanent MHW state by the late 21st century. The two greenhouse gas (GHG) emission scenarios considered (Representative Concentration Pathway 4.5 and 8.5) strongly affect the projected intensity of MHW events, the proportion of the globe exposed to permanent MHW states, and the occurrence of the most extreme MHW events. Comparison with simulations of a natural world, without anthropogenic forcing, indicate that these trends have emerged from the expected range of natural variability within the first half of the 21st century. This discrepancy implies a degree of “anthropogenic emergence,” with a departure from the natural MHW conditions that have previously shaped marine ecosystems for centuries or even millennia. Based on these projections we expect impacts on marine ecosystems to be widespread, significant and persistent through the 21st century.","author":[{"dropping-particle":"","family":"Oliver","given":"Eric C.J.","non-dropping-particle":"","parse-names":false,"suffix":""},{"dropping-particle":"","family":"Burrows","given":"Michael T.","non-dropping-particle":"","parse-names":false,"suffix":""},{"dropping-particle":"","family":"Donat","given":"Markus G.","non-dropping-particle":"","parse-names":false,"suffix":""},{"dropping-particle":"","family":"Gupta","given":"Alex","non-dropping-particle":"Sen","parse-names":false,"suffix":""},{"dropping-particle":"V.","family":"Alexander","given":"Lisa","non-dropping-particle":"","parse-names":false,"suffix":""},{"dropping-particle":"","family":"Perkins-Kirkpatrick","given":"Sarah E.","non-dropping-particle":"","parse-names":false,"suffix":""},{"dropping-particle":"","family":"Benthuysen","given":"Jessica A.","non-dropping-particle":"","parse-names":false,"suffix":""},{"dropping-particle":"","family":"Hobday","given":"Alistair J.","non-dropping-particle":"","parse-names":false,"suffix":""},{"dropping-particle":"","family":"Holbrook","given":"Neil J.","non-dropping-particle":"","parse-names":false,"suffix":""},{"dropping-particle":"","family":"Moore","given":"Pippa J.","non-dropping-particle":"","parse-names":false,"suffix":""},{"dropping-particle":"","family":"Thomsen","given":"Mads S.","non-dropping-particle":"","parse-names":false,"suffix":""},{"dropping-particle":"","family":"Wernberg","given":"Thomas","non-dropping-particle":"","parse-names":false,"suffix":""},{"dropping-particle":"","family":"Smale","given":"Dan A.","non-dropping-particle":"","parse-names":false,"suffix":""}],"container-title":"Frontiers in Marine Science","id":"ITEM-2","issued":{"date-parts":[["2019"]]},"page":"734","title":"Projected Marine Heatwaves in the 21st Century and the Potential for Ecological Impact","type":"article-journal","volume":"6"},"uris":["http://www.mendeley.com/documents/?uuid=9aec591c-1f48-4e34-8e6e-a01e1954ab78","http://www.mendeley.com/documents/?uuid=5ac371b7-e858-4989-a52d-06fe21ee0b23"]},{"id":"ITEM-3","itemData":{"DOI":"10.3389/fmars.2019.00498","ISSN":"22967745","abstract":"A changing climate is driving increasingly common and prolonged marine heatwaves (MHWs) and these extreme events have now been widely documented to severely impact marine ecosystems globally. However MHWs have rarely recently been considered when examining temperature-induced degradation of coral reef ecosystems. Here we consider extreme, localised thermal anomalies, nested within broader increases in sea surface temperature, which fulfil the definitive criteria for MHWs. These acute and intense events, referred to here as MHW hotspots, are not always well represented in the current framework used to describe coral bleaching, but do have distinct ecological outcomes, including widespread bleaching and rapid mass mortality of putatively thermally tolerant coral species. The physical drivers of these localised hotspots are discussed here, and in doing so we present a comprehensive theoretical framework that links the biological responses of the coral photo-endosymbiotic organism to extreme thermal stress and ecological changes on reefs associated after MHW hotspots. We describe how the rapid onset of high temperatures drives immediate heat-stress induced cellular damage, overwhelming mechanisms that would otherwise mitigate the impact of gradually accumulated thermal stress. The warm environment, and increased light penetration of the coral skeleton due to the loss of coral tissues, coupled with coral tissue decay support rapid microbial growth in the skeletal microenvironment, resulting in the widely unrecognised consequence of rapid decay and degeneration of the coral skeletons. This accelerated degeneration of the coral skeletonson a reef scale hinder the recovery of coral populations and increase the likelihood of phase shifts towards algal dominance. We suggest that MHW hotspots, through driving rapid heat-induced mortality, compromise reefs' structural frameworks to the detriment of long term recovery. We propose that MHW hotspots be considered as a distinct class of thermal stress events in coral reefs, and that the current framework used to describe coral bleaching and mass mortality be expanded to include these. We urge further research into how coral mortality affects bioerosion by coral endoliths.","author":[{"dropping-particle":"","family":"Fordyce","given":"Alexander J.","non-dropping-particle":"","parse-names":false,"suffix":""},{"dropping-particle":"","family":"Ainsworth","given":"Tracy D.","non-dropping-particle":"","parse-names":false,"suffix":""},{"dropping-particle":"","family":"Heron","given":"Scott F.","non-dropping-particle":"","parse-names":false,"suffix":""},{"dropping-particle":"","family":"Leggat","given":"William","non-dropping-particle":"","parse-names":false,"suffix":""}],"container-title":"Frontiers in Marine Science","id":"ITEM-3","issued":{"date-parts":[["2019"]]},"page":"498","title":"Marine heatwave hotspots in coral reef environments: Physical drivers, ecophysiological outcomes and impact upon structural complexity","type":"article-journal","volume":"6"},"uris":["http://www.mendeley.com/documents/?uuid=3d0a1d4c-7ba6-4241-b31c-c31e74b0b23e","http://www.mendeley.com/documents/?uuid=1e0d9915-c1b1-44c6-8b06-a7cbac90c4ab"]}],"mendeley":{"formattedCitation":"(Fordyce &lt;i&gt;et al.&lt;/i&gt;, 2019; Oliver &lt;i&gt;et al.&lt;/i&gt;, 2019; Smale &lt;i&gt;et al.&lt;/i&gt;, 2019)","plainTextFormattedCitation":"(Fordyce et al., 2019; Oliver et al., 2019; Smale et al., 2019)","previouslyFormattedCitation":"(Fordyce &lt;i&gt;et al.&lt;/i&gt;, 2019; Oliver &lt;i&gt;et al.&lt;/i&gt;, 2019; Smale &lt;i&gt;et al.&lt;/i&gt;, 2019)"},"properties":{"noteIndex":0},"schema":"https://github.com/citation-style-language/schema/raw/master/csl-citation.json"}</w:instrText>
      </w:r>
      <w:r w:rsidR="005B31CB" w:rsidRPr="004147E2">
        <w:rPr>
          <w:noProof/>
          <w:lang w:val="en-US"/>
        </w:rPr>
        <w:fldChar w:fldCharType="separate"/>
      </w:r>
      <w:r w:rsidR="005B31CB" w:rsidRPr="004147E2">
        <w:rPr>
          <w:noProof/>
          <w:lang w:val="en-US"/>
        </w:rPr>
        <w:t xml:space="preserve">(Fordyce </w:t>
      </w:r>
      <w:r w:rsidR="005B31CB" w:rsidRPr="004147E2">
        <w:rPr>
          <w:i/>
          <w:noProof/>
          <w:lang w:val="en-US"/>
        </w:rPr>
        <w:t>et al.</w:t>
      </w:r>
      <w:r w:rsidR="005B31CB" w:rsidRPr="004147E2">
        <w:rPr>
          <w:noProof/>
          <w:lang w:val="en-US"/>
        </w:rPr>
        <w:t xml:space="preserve">, 2019; Oliver </w:t>
      </w:r>
      <w:r w:rsidR="005B31CB" w:rsidRPr="004147E2">
        <w:rPr>
          <w:i/>
          <w:noProof/>
          <w:lang w:val="en-US"/>
        </w:rPr>
        <w:t>et al.</w:t>
      </w:r>
      <w:r w:rsidR="005B31CB" w:rsidRPr="004147E2">
        <w:rPr>
          <w:noProof/>
          <w:lang w:val="en-US"/>
        </w:rPr>
        <w:t xml:space="preserve">, 2019; Smale </w:t>
      </w:r>
      <w:r w:rsidR="005B31CB" w:rsidRPr="004147E2">
        <w:rPr>
          <w:i/>
          <w:noProof/>
          <w:lang w:val="en-US"/>
        </w:rPr>
        <w:t>et al.</w:t>
      </w:r>
      <w:r w:rsidR="005B31CB" w:rsidRPr="004147E2">
        <w:rPr>
          <w:noProof/>
          <w:lang w:val="en-US"/>
        </w:rPr>
        <w:t>, 2019)</w:t>
      </w:r>
      <w:r w:rsidR="005B31CB" w:rsidRPr="004147E2">
        <w:rPr>
          <w:noProof/>
          <w:lang w:val="en-US"/>
        </w:rPr>
        <w:fldChar w:fldCharType="end"/>
      </w:r>
      <w:r w:rsidR="005B31CB" w:rsidRPr="004147E2">
        <w:rPr>
          <w:noProof/>
          <w:lang w:val="en-US"/>
        </w:rPr>
        <w:t xml:space="preserve">. </w:t>
      </w:r>
      <w:r w:rsidR="00846562" w:rsidRPr="004147E2">
        <w:rPr>
          <w:lang w:val="en-US"/>
        </w:rPr>
        <w:t xml:space="preserve">Given the </w:t>
      </w:r>
      <w:r w:rsidR="00570533" w:rsidRPr="004147E2">
        <w:rPr>
          <w:lang w:val="en-US"/>
        </w:rPr>
        <w:t>serious</w:t>
      </w:r>
      <w:r w:rsidR="00846562" w:rsidRPr="004147E2">
        <w:rPr>
          <w:lang w:val="en-US"/>
        </w:rPr>
        <w:t xml:space="preserve"> impact marine heatwaves can have on poikilotherm organisms, it is fundamental to evaluate the </w:t>
      </w:r>
      <w:r w:rsidR="00617D21">
        <w:rPr>
          <w:lang w:val="en-US"/>
        </w:rPr>
        <w:t xml:space="preserve">physiological </w:t>
      </w:r>
      <w:r w:rsidR="00E41C46">
        <w:rPr>
          <w:lang w:val="en-US"/>
        </w:rPr>
        <w:t xml:space="preserve">changes </w:t>
      </w:r>
      <w:r w:rsidR="006016A7">
        <w:rPr>
          <w:lang w:val="en-US"/>
        </w:rPr>
        <w:t>and the</w:t>
      </w:r>
      <w:r w:rsidR="00846562" w:rsidRPr="004147E2">
        <w:rPr>
          <w:lang w:val="en-US"/>
        </w:rPr>
        <w:t xml:space="preserve"> </w:t>
      </w:r>
      <w:r w:rsidR="00650BDE">
        <w:rPr>
          <w:lang w:val="en-US"/>
        </w:rPr>
        <w:t>underlying molecular</w:t>
      </w:r>
      <w:r w:rsidR="00650BDE" w:rsidRPr="004147E2">
        <w:rPr>
          <w:lang w:val="en-US"/>
        </w:rPr>
        <w:t xml:space="preserve"> </w:t>
      </w:r>
      <w:r w:rsidR="00846562" w:rsidRPr="004147E2">
        <w:rPr>
          <w:lang w:val="en-US"/>
        </w:rPr>
        <w:t xml:space="preserve">mechanisms </w:t>
      </w:r>
      <w:r w:rsidR="00570533" w:rsidRPr="004147E2">
        <w:rPr>
          <w:lang w:val="en-US"/>
        </w:rPr>
        <w:t>that</w:t>
      </w:r>
      <w:r w:rsidR="00846562" w:rsidRPr="004147E2">
        <w:rPr>
          <w:lang w:val="en-US"/>
        </w:rPr>
        <w:t xml:space="preserve"> </w:t>
      </w:r>
      <w:r w:rsidR="00527B35" w:rsidRPr="004147E2">
        <w:rPr>
          <w:lang w:val="en-US"/>
        </w:rPr>
        <w:t>animals use to adjust</w:t>
      </w:r>
      <w:r w:rsidR="00570533" w:rsidRPr="004147E2">
        <w:rPr>
          <w:lang w:val="en-US"/>
        </w:rPr>
        <w:t xml:space="preserve"> </w:t>
      </w:r>
      <w:r w:rsidR="0036574C" w:rsidRPr="004147E2">
        <w:rPr>
          <w:lang w:val="en-US"/>
        </w:rPr>
        <w:t>to these</w:t>
      </w:r>
      <w:r w:rsidR="00846562" w:rsidRPr="004147E2">
        <w:rPr>
          <w:lang w:val="en-US"/>
        </w:rPr>
        <w:t xml:space="preserve"> </w:t>
      </w:r>
      <w:r w:rsidR="00527B35" w:rsidRPr="004147E2">
        <w:rPr>
          <w:lang w:val="en-US"/>
        </w:rPr>
        <w:t xml:space="preserve">extreme </w:t>
      </w:r>
      <w:r w:rsidR="00F43325" w:rsidRPr="004147E2">
        <w:rPr>
          <w:rFonts w:eastAsia="MS Mincho"/>
          <w:lang w:val="en-US"/>
        </w:rPr>
        <w:t xml:space="preserve">thermal </w:t>
      </w:r>
      <w:r w:rsidR="00527B35" w:rsidRPr="004147E2">
        <w:rPr>
          <w:lang w:val="en-US"/>
        </w:rPr>
        <w:t>events</w:t>
      </w:r>
      <w:r w:rsidR="00617D21">
        <w:rPr>
          <w:lang w:val="en-US"/>
        </w:rPr>
        <w:t xml:space="preserve"> </w:t>
      </w:r>
      <w:r w:rsidR="0019340E">
        <w:rPr>
          <w:lang w:val="en-US"/>
        </w:rPr>
        <w:fldChar w:fldCharType="begin" w:fldLock="1"/>
      </w:r>
      <w:r w:rsidR="00F02BED">
        <w:rPr>
          <w:lang w:val="en-US"/>
        </w:rPr>
        <w:instrText>ADDIN CSL_CITATION {"citationItems":[{"id":"ITEM-1","itemData":{"DOI":"10.1146/annurev-physiol-021909-135900","ISSN":"00664278","PMID":"20148670","abstract":"Rising atmospheric carbon dioxide has resulted in scientific projections of changes in global temperatures, climate in general, and surface seawater chemistry. Although the consequences to ecosystems and communities of metazoans are only beginning to be revealed, a key to forecasting expected changes in animal communities is an understanding of species' vulnerability to a changing environment. For example, environmental stressors may affect a particular species by driving that organism outside a tolerance window, by altering the costs of metabolic processes under the new conditions, or by changing patterns of development and reproduction. Implicit in all these examples is the foundational understanding of physiological mechanisms and how a particular environmental driver (e.g., temperature and ocean acidification) will be transduced through the animal to alter tolerances and performance. In this review, we highlight examples of mechanisms, focusing on those underlying physiological plasticity, that operate in contemporary organisms as a means to consider physiological responses that are available to organisms in the future. © 2010 by Annual Reviews. All rights reserved.","author":[{"dropping-particle":"","family":"Hofmann","given":"Gretchen E.","non-dropping-particle":"","parse-names":false,"suffix":""},{"dropping-particle":"","family":"Todgham","given":"Anne E.","non-dropping-particle":"","parse-names":false,"suffix":""}],"container-title":"Annual Review of Physiology","id":"ITEM-1","issued":{"date-parts":[["2009"]]},"page":"127-145","title":"Living in the now: Physiological mechanisms to tolerate a rapidly changing environment","type":"article-journal","volume":"72"},"uris":["http://www.mendeley.com/documents/?uuid=d55a8bed-c8ec-4e9a-bbad-8c715084d186"]},{"id":"ITEM-2","itemData":{"author":[{"dropping-particle":"","family":"Somero","given":"George N.","non-dropping-particle":"","parse-names":false,"suffix":""}],"container-title":"Comprehensive Physiology","id":"ITEM-2","issued":{"date-parts":[["2010"]]},"page":"1391-1444","title":"Temperature relationships : from molecules to biogeography","type":"article-journal"},"uris":["http://www.mendeley.com/documents/?uuid=5a1277bb-c11c-4f47-a0a9-f7ff48d2b27e"]}],"mendeley":{"formattedCitation":"(Hofmann and Todgham, 2009; Somero, 2010)","plainTextFormattedCitation":"(Hofmann and Todgham, 2009; Somero, 2010)","previouslyFormattedCitation":"(Hofmann and Todgham, 2009; Somero, 2010)"},"properties":{"noteIndex":0},"schema":"https://github.com/citation-style-language/schema/raw/master/csl-citation.json"}</w:instrText>
      </w:r>
      <w:r w:rsidR="0019340E">
        <w:rPr>
          <w:lang w:val="en-US"/>
        </w:rPr>
        <w:fldChar w:fldCharType="separate"/>
      </w:r>
      <w:r w:rsidR="00A9615C" w:rsidRPr="00A9615C">
        <w:rPr>
          <w:noProof/>
          <w:lang w:val="en-US"/>
        </w:rPr>
        <w:t>(Hofmann and Todgham, 2009; Somero, 2010)</w:t>
      </w:r>
      <w:r w:rsidR="0019340E">
        <w:rPr>
          <w:lang w:val="en-US"/>
        </w:rPr>
        <w:fldChar w:fldCharType="end"/>
      </w:r>
      <w:r w:rsidR="002E40DF" w:rsidRPr="004147E2">
        <w:rPr>
          <w:lang w:val="en-US"/>
        </w:rPr>
        <w:t>.</w:t>
      </w:r>
      <w:r w:rsidR="00921BFF" w:rsidRPr="004147E2">
        <w:rPr>
          <w:lang w:val="en-US"/>
        </w:rPr>
        <w:t xml:space="preserve"> </w:t>
      </w:r>
    </w:p>
    <w:p w14:paraId="1BB61339" w14:textId="3B5A7F2F" w:rsidR="007C0199" w:rsidRPr="004147E2" w:rsidRDefault="00792590" w:rsidP="007C0199">
      <w:pPr>
        <w:spacing w:line="480" w:lineRule="auto"/>
        <w:ind w:firstLine="720"/>
        <w:jc w:val="both"/>
        <w:rPr>
          <w:lang w:val="en-US"/>
        </w:rPr>
      </w:pPr>
      <w:r w:rsidRPr="004147E2">
        <w:rPr>
          <w:lang w:val="en-US"/>
        </w:rPr>
        <w:t xml:space="preserve">One </w:t>
      </w:r>
      <w:r w:rsidR="006062F9" w:rsidRPr="004147E2">
        <w:rPr>
          <w:lang w:val="en-US"/>
        </w:rPr>
        <w:t xml:space="preserve">example </w:t>
      </w:r>
      <w:r w:rsidR="003B4934">
        <w:rPr>
          <w:lang w:val="en-US"/>
        </w:rPr>
        <w:t>is the</w:t>
      </w:r>
      <w:r w:rsidR="006062F9" w:rsidRPr="004147E2">
        <w:rPr>
          <w:lang w:val="en-US"/>
        </w:rPr>
        <w:t xml:space="preserve"> </w:t>
      </w:r>
      <w:r w:rsidRPr="004147E2">
        <w:rPr>
          <w:lang w:val="en-US"/>
        </w:rPr>
        <w:t>recent heatwave</w:t>
      </w:r>
      <w:r w:rsidR="006062F9" w:rsidRPr="004147E2">
        <w:rPr>
          <w:lang w:val="en-US"/>
        </w:rPr>
        <w:t xml:space="preserve"> </w:t>
      </w:r>
      <w:r w:rsidR="003B4934">
        <w:rPr>
          <w:lang w:val="en-US"/>
        </w:rPr>
        <w:t xml:space="preserve">that </w:t>
      </w:r>
      <w:r w:rsidR="006062F9" w:rsidRPr="004147E2">
        <w:rPr>
          <w:lang w:val="en-US"/>
        </w:rPr>
        <w:t xml:space="preserve">occurred in the austral summer of </w:t>
      </w:r>
      <w:r w:rsidRPr="004147E2">
        <w:rPr>
          <w:lang w:val="en-US"/>
        </w:rPr>
        <w:t xml:space="preserve">2015/2016 </w:t>
      </w:r>
      <w:r w:rsidR="004364C6" w:rsidRPr="004147E2">
        <w:rPr>
          <w:lang w:val="en-US"/>
        </w:rPr>
        <w:t xml:space="preserve">, which </w:t>
      </w:r>
      <w:r w:rsidR="00970EB1" w:rsidRPr="004147E2">
        <w:rPr>
          <w:lang w:val="en-US"/>
        </w:rPr>
        <w:t xml:space="preserve">led </w:t>
      </w:r>
      <w:r w:rsidR="003B4934">
        <w:rPr>
          <w:lang w:val="en-US"/>
        </w:rPr>
        <w:t>to coral</w:t>
      </w:r>
      <w:r w:rsidR="006062F9" w:rsidRPr="004147E2">
        <w:rPr>
          <w:lang w:val="en-US"/>
        </w:rPr>
        <w:t xml:space="preserve"> </w:t>
      </w:r>
      <w:r w:rsidR="004364C6" w:rsidRPr="004147E2">
        <w:rPr>
          <w:lang w:val="en-US"/>
        </w:rPr>
        <w:t xml:space="preserve">bleaching </w:t>
      </w:r>
      <w:r w:rsidR="00970EB1" w:rsidRPr="004147E2">
        <w:rPr>
          <w:lang w:val="en-US"/>
        </w:rPr>
        <w:t>an</w:t>
      </w:r>
      <w:r w:rsidR="004364C6" w:rsidRPr="004147E2">
        <w:rPr>
          <w:lang w:val="en-US"/>
        </w:rPr>
        <w:t xml:space="preserve">d </w:t>
      </w:r>
      <w:r w:rsidR="006062F9" w:rsidRPr="004147E2">
        <w:rPr>
          <w:lang w:val="en-US"/>
        </w:rPr>
        <w:t xml:space="preserve">subsequent </w:t>
      </w:r>
      <w:r w:rsidR="00970EB1" w:rsidRPr="004147E2">
        <w:rPr>
          <w:lang w:val="en-US"/>
        </w:rPr>
        <w:t xml:space="preserve">loss of </w:t>
      </w:r>
      <w:r w:rsidR="006062F9" w:rsidRPr="004147E2">
        <w:rPr>
          <w:lang w:val="en-US"/>
        </w:rPr>
        <w:t xml:space="preserve">great expanses of coral reefs </w:t>
      </w:r>
      <w:r w:rsidR="00970EB1" w:rsidRPr="004147E2">
        <w:rPr>
          <w:lang w:val="en-US"/>
        </w:rPr>
        <w:t xml:space="preserve">throughout the Great Barrier </w:t>
      </w:r>
      <w:r w:rsidR="00094656" w:rsidRPr="004147E2">
        <w:rPr>
          <w:lang w:val="en-US"/>
        </w:rPr>
        <w:t xml:space="preserve">Reef </w:t>
      </w:r>
      <w:r w:rsidR="005408CC" w:rsidRPr="004147E2">
        <w:rPr>
          <w:lang w:val="en-US"/>
        </w:rPr>
        <w:t xml:space="preserve">in Australia </w:t>
      </w:r>
      <w:r w:rsidR="00094656" w:rsidRPr="004147E2">
        <w:rPr>
          <w:lang w:val="en-US"/>
        </w:rPr>
        <w:fldChar w:fldCharType="begin" w:fldLock="1"/>
      </w:r>
      <w:r w:rsidR="007602F2">
        <w:rPr>
          <w:lang w:val="en-US"/>
        </w:rPr>
        <w:instrText>ADDIN CSL_CITATION {"citationItems":[{"id":"ITEM-1","itemData":{"DOI":"10.1038/s41586-018-0041-2","ISSN":"14764687","PMID":"29670282","abstract":"Global warming is rapidly emerging as a universal threat to ecological integrity and function, highlighting the urgent need for a better understanding of the impact of heat exposure on the resilience of ecosystems and the people who depend on them 1. Here we show that in the aftermath of the record-breaking marine heatwave on the Great Barrier Reef in 2016 2, corals began to die immediately on reefs where the accumulated heat exposure exceeded a critical threshold of degree heating weeks, which was 3-4 °C-weeks. After eight months, an exposure of 6 °C-weeks or more drove an unprecedented, regional-scale shift in the composition of coral assemblages, reflecting markedly divergent responses to heat stress by different taxa. Fast-growing staghorn and tabular corals suffered a catastrophic die-off, transforming the three-dimensionality and ecological functioning of 29% of the 3,863 reefs comprising the world's largest coral reef system. Our study bridges the gap between the theory and practice of assessing the risk of ecosystem collapse, under the emerging framework for the International Union for Conservation of Nature (IUCN) Red List of Ecosystems 3, by rigorously defining both the initial and collapsed states, identifying the major driver of change, and establishing quantitative collapse thresholds. The increasing prevalence of post-bleaching mass mortality of corals represents a radical shift in the disturbance regimes of tropical reefs, both adding to and far exceeding the influence of recurrent cyclones and other local pulse events, presenting a fundamental challenge to the long-term future of these iconic ecosystems.","author":[{"dropping-particle":"","family":"Hughes","given":"Terry P.","non-dropping-particle":"","parse-names":false,"suffix":""},{"dropping-particle":"","family":"Kerry","given":"James T.","non-dropping-particle":"","parse-names":false,"suffix":""},{"dropping-particle":"","family":"Baird","given":"Andrew H.","non-dropping-particle":"","parse-names":false,"suffix":""},{"dropping-particle":"","family":"Connolly","given":"Sean R.","non-dropping-particle":"","parse-names":false,"suffix":""},{"dropping-particle":"","family":"Dietzel","given":"Andreas","non-dropping-particle":"","parse-names":false,"suffix":""},{"dropping-particle":"","family":"Eakin","given":"C. Mark","non-dropping-particle":"","parse-names":false,"suffix":""},{"dropping-particle":"","family":"Heron","given":"Scott F.","non-dropping-particle":"","parse-names":false,"suffix":""},{"dropping-particle":"","family":"Hoey","given":"Andrew S.","non-dropping-particle":"","parse-names":false,"suffix":""},{"dropping-particle":"","family":"Hoogenboom","given":"Mia O.","non-dropping-particle":"","parse-names":false,"suffix":""},{"dropping-particle":"","family":"Liu","given":"Gang","non-dropping-particle":"","parse-names":false,"suffix":""},{"dropping-particle":"","family":"McWilliam","given":"Michael J.","non-dropping-particle":"","parse-names":false,"suffix":""},{"dropping-particle":"","family":"Pears","given":"Rachel J.","non-dropping-particle":"","parse-names":false,"suffix":""},{"dropping-particle":"","family":"Pratchett","given":"Morgan S.","non-dropping-particle":"","parse-names":false,"suffix":""},{"dropping-particle":"","family":"Skirving","given":"William J.","non-dropping-particle":"","parse-names":false,"suffix":""},{"dropping-particle":"","family":"Stella","given":"Jessica S.","non-dropping-particle":"","parse-names":false,"suffix":""},{"dropping-particle":"","family":"Torda","given":"Gergely","non-dropping-particle":"","parse-names":false,"suffix":""}],"container-title":"Nature","id":"ITEM-1","issue":"7702","issued":{"date-parts":[["2018"]]},"page":"492-496","title":"Global warming transforms coral reef assemblages","type":"article-journal","volume":"556"},"uris":["http://www.mendeley.com/documents/?uuid=ef20bbc0-edc4-45c0-b74f-e11b9c91d9af","http://www.mendeley.com/documents/?uuid=3c3bc70c-fff1-4da8-8022-2f5ec6fa6f0a"]}],"mendeley":{"formattedCitation":"(Hughes &lt;i&gt;et al.&lt;/i&gt;, 2018)","plainTextFormattedCitation":"(Hughes et al., 2018)","previouslyFormattedCitation":"(Hughes &lt;i&gt;et al.&lt;/i&gt;, 2018)"},"properties":{"noteIndex":0},"schema":"https://github.com/citation-style-language/schema/raw/master/csl-citation.json"}</w:instrText>
      </w:r>
      <w:r w:rsidR="00094656" w:rsidRPr="004147E2">
        <w:rPr>
          <w:lang w:val="en-US"/>
        </w:rPr>
        <w:fldChar w:fldCharType="separate"/>
      </w:r>
      <w:r w:rsidR="00094656" w:rsidRPr="004147E2">
        <w:rPr>
          <w:noProof/>
          <w:lang w:val="en-US"/>
        </w:rPr>
        <w:t xml:space="preserve">(Hughes </w:t>
      </w:r>
      <w:r w:rsidR="00094656" w:rsidRPr="004147E2">
        <w:rPr>
          <w:i/>
          <w:noProof/>
          <w:lang w:val="en-US"/>
        </w:rPr>
        <w:t>et al.</w:t>
      </w:r>
      <w:r w:rsidR="00094656" w:rsidRPr="004147E2">
        <w:rPr>
          <w:noProof/>
          <w:lang w:val="en-US"/>
        </w:rPr>
        <w:t>, 2018)</w:t>
      </w:r>
      <w:r w:rsidR="00094656" w:rsidRPr="004147E2">
        <w:rPr>
          <w:lang w:val="en-US"/>
        </w:rPr>
        <w:fldChar w:fldCharType="end"/>
      </w:r>
      <w:r w:rsidR="007C0199" w:rsidRPr="004147E2">
        <w:rPr>
          <w:lang w:val="en-US"/>
        </w:rPr>
        <w:t xml:space="preserve">. </w:t>
      </w:r>
      <w:r w:rsidR="00FB01DC" w:rsidRPr="004147E2">
        <w:rPr>
          <w:lang w:val="en-US"/>
        </w:rPr>
        <w:t>The</w:t>
      </w:r>
      <w:r w:rsidR="002B2B48" w:rsidRPr="004147E2">
        <w:rPr>
          <w:lang w:val="en-US"/>
        </w:rPr>
        <w:t xml:space="preserve"> </w:t>
      </w:r>
      <w:r w:rsidR="006062F9" w:rsidRPr="004147E2">
        <w:rPr>
          <w:lang w:val="en-US"/>
        </w:rPr>
        <w:t xml:space="preserve">coral die-off and </w:t>
      </w:r>
      <w:r w:rsidR="008135E1" w:rsidRPr="004147E2">
        <w:rPr>
          <w:lang w:val="en-US"/>
        </w:rPr>
        <w:t xml:space="preserve">subsequent </w:t>
      </w:r>
      <w:r w:rsidR="006062F9" w:rsidRPr="004147E2">
        <w:rPr>
          <w:lang w:val="en-US"/>
        </w:rPr>
        <w:t xml:space="preserve">changes in community </w:t>
      </w:r>
      <w:r w:rsidR="002B2B48" w:rsidRPr="004147E2">
        <w:rPr>
          <w:lang w:val="en-US"/>
        </w:rPr>
        <w:t xml:space="preserve">structure </w:t>
      </w:r>
      <w:r w:rsidR="008135E1" w:rsidRPr="004147E2">
        <w:rPr>
          <w:lang w:val="en-US"/>
        </w:rPr>
        <w:t>as a result of</w:t>
      </w:r>
      <w:r w:rsidR="00FB01DC" w:rsidRPr="004147E2">
        <w:rPr>
          <w:lang w:val="en-US"/>
        </w:rPr>
        <w:t xml:space="preserve"> the heatwave </w:t>
      </w:r>
      <w:r w:rsidR="002B71D7" w:rsidRPr="004147E2">
        <w:rPr>
          <w:lang w:val="en-US"/>
        </w:rPr>
        <w:t>influence</w:t>
      </w:r>
      <w:r w:rsidR="00B44BFD" w:rsidRPr="004147E2">
        <w:rPr>
          <w:lang w:val="en-US"/>
        </w:rPr>
        <w:t>d</w:t>
      </w:r>
      <w:r w:rsidR="002B71D7" w:rsidRPr="004147E2">
        <w:rPr>
          <w:lang w:val="en-US"/>
        </w:rPr>
        <w:t xml:space="preserve"> </w:t>
      </w:r>
      <w:r w:rsidR="006062F9" w:rsidRPr="004147E2">
        <w:rPr>
          <w:lang w:val="en-US"/>
        </w:rPr>
        <w:t xml:space="preserve">the trophic dynamics </w:t>
      </w:r>
      <w:r w:rsidR="002B71D7" w:rsidRPr="004147E2">
        <w:rPr>
          <w:lang w:val="en-US"/>
        </w:rPr>
        <w:t>o</w:t>
      </w:r>
      <w:r w:rsidR="006062F9" w:rsidRPr="004147E2">
        <w:rPr>
          <w:lang w:val="en-US"/>
        </w:rPr>
        <w:t>f the ecosystem, ultimately reducing</w:t>
      </w:r>
      <w:r w:rsidR="002B71D7" w:rsidRPr="004147E2">
        <w:rPr>
          <w:lang w:val="en-US"/>
        </w:rPr>
        <w:t xml:space="preserve"> the </w:t>
      </w:r>
      <w:r w:rsidR="002B2B48" w:rsidRPr="004147E2">
        <w:rPr>
          <w:lang w:val="en-US"/>
        </w:rPr>
        <w:t>diversity</w:t>
      </w:r>
      <w:r w:rsidR="002B71D7" w:rsidRPr="004147E2">
        <w:rPr>
          <w:lang w:val="en-US"/>
        </w:rPr>
        <w:t xml:space="preserve"> </w:t>
      </w:r>
      <w:r w:rsidR="00F31F87" w:rsidRPr="004147E2">
        <w:rPr>
          <w:rFonts w:eastAsia="MS Mincho"/>
          <w:lang w:val="en-US"/>
        </w:rPr>
        <w:t xml:space="preserve">of </w:t>
      </w:r>
      <w:r w:rsidR="002B71D7" w:rsidRPr="004147E2">
        <w:rPr>
          <w:lang w:val="en-US"/>
        </w:rPr>
        <w:t xml:space="preserve">coral reef associated </w:t>
      </w:r>
      <w:r w:rsidR="007C0199" w:rsidRPr="004147E2">
        <w:rPr>
          <w:lang w:val="en-US"/>
        </w:rPr>
        <w:t xml:space="preserve">organisms </w:t>
      </w:r>
      <w:r w:rsidR="007C0199" w:rsidRPr="004147E2">
        <w:rPr>
          <w:lang w:val="en-US"/>
        </w:rPr>
        <w:fldChar w:fldCharType="begin" w:fldLock="1"/>
      </w:r>
      <w:r w:rsidR="007602F2">
        <w:rPr>
          <w:lang w:val="en-US"/>
        </w:rPr>
        <w:instrText>ADDIN CSL_CITATION {"citationItems":[{"id":"ITEM-1","itemData":{"DOI":"10.1007/s00338-019-01818-4","ISSN":"14320975","abstract":"Repeated bouts of coral bleaching threaten the long-term persistence of coral reefs and associated communities. Here, we document the short- and long-term impacts of heatwave events on coral and fish assemblages, based on regular surveys of 18 reefs of the granitic islands of Seychelles over 23 yr. Extreme heat events in 1998 and 2016 led to bleaching-associated declines in coral cover, whilst between these years there was an interim period of coral recovery on some reefs. Coral decline and recovery were primarily due to changes in the cover of branching coral, particularly those from the families Acroporidae and Pocilloporidae. Surveys during the 2016 bleaching found that 95% of the 468 Acropora and Pocillopora colonies observed were either bleached or recently dead. The extent of bleaching and subsequent mortality were best explained by a priori assessments of community susceptibility to heat stress. One year later (2017), coral cover had fallen by 70% and average coverage across the 18 reefs was at 6%, similar to levels recorded in 2005, 7 yr after the 1998 bleaching. Decline in coral following the 2016 bleaching coincided with reduced abundance of fish &lt; 11 cm TL, particularly corallivores, invertivores and mixed diet feeders. These changes are likely to foreshadow more widespread loss once the habitat structure erodes. Accordingly, 7 yr after the 1998 bleaching, when coral skeletons and reef structure had collapsed on some reefs, abundance of both large- and small-bodied fish had declined. We show that fluctuation in the cover of branching coral is positively associated with changes in the abundance of small-bodied fish which contribute to ecological processes and high diversity, suggesting branching corals are a keystone structure. Increased frequency of bleaching threatens the capacity of branching corals to fully recover after disturbances, reducing the amplitude of boom bust cycles of these corals and the keystone habitat structure they provide reef fish.","author":[{"dropping-particle":"","family":"Wilson","given":"Shaun K.","non-dropping-particle":"","parse-names":false,"suffix":""},{"dropping-particle":"","family":"Robinson","given":"James P.W.","non-dropping-particle":"","parse-names":false,"suffix":""},{"dropping-particle":"","family":"Chong-Seng","given":"Karen","non-dropping-particle":"","parse-names":false,"suffix":""},{"dropping-particle":"","family":"Robinson","given":"Jan","non-dropping-particle":"","parse-names":false,"suffix":""},{"dropping-particle":"","family":"Graham","given":"Nicholas A.J.","non-dropping-particle":"","parse-names":false,"suffix":""}],"container-title":"Coral Reefs","id":"ITEM-1","issue":"4","issued":{"date-parts":[["2019"]]},"page":"625-635","title":"Boom and bust of keystone structure on coral reefs","type":"article-journal","volume":"38"},"uris":["http://www.mendeley.com/documents/?uuid=2720c76b-1f9c-40e6-bccd-99fe4723cfd2","http://www.mendeley.com/documents/?uuid=b4569542-7d3a-48c8-b0d3-44bd8aebf73a"]}],"mendeley":{"formattedCitation":"(Wilson &lt;i&gt;et al.&lt;/i&gt;, 2019)","plainTextFormattedCitation":"(Wilson et al., 2019)","previouslyFormattedCitation":"(Wilson &lt;i&gt;et al.&lt;/i&gt;, 2019)"},"properties":{"noteIndex":0},"schema":"https://github.com/citation-style-language/schema/raw/master/csl-citation.json"}</w:instrText>
      </w:r>
      <w:r w:rsidR="007C0199" w:rsidRPr="004147E2">
        <w:rPr>
          <w:lang w:val="en-US"/>
        </w:rPr>
        <w:fldChar w:fldCharType="separate"/>
      </w:r>
      <w:r w:rsidR="007C0199" w:rsidRPr="004147E2">
        <w:rPr>
          <w:noProof/>
          <w:lang w:val="en-US"/>
        </w:rPr>
        <w:t xml:space="preserve">(Wilson </w:t>
      </w:r>
      <w:r w:rsidR="007C0199" w:rsidRPr="004147E2">
        <w:rPr>
          <w:i/>
          <w:noProof/>
          <w:lang w:val="en-US"/>
        </w:rPr>
        <w:t>et al.</w:t>
      </w:r>
      <w:r w:rsidR="007C0199" w:rsidRPr="004147E2">
        <w:rPr>
          <w:noProof/>
          <w:lang w:val="en-US"/>
        </w:rPr>
        <w:t>, 2019)</w:t>
      </w:r>
      <w:r w:rsidR="007C0199" w:rsidRPr="004147E2">
        <w:rPr>
          <w:lang w:val="en-US"/>
        </w:rPr>
        <w:fldChar w:fldCharType="end"/>
      </w:r>
      <w:r w:rsidR="002B2B48" w:rsidRPr="004147E2">
        <w:rPr>
          <w:lang w:val="en-US"/>
        </w:rPr>
        <w:t xml:space="preserve">. </w:t>
      </w:r>
      <w:r w:rsidR="00285302" w:rsidRPr="004147E2">
        <w:rPr>
          <w:lang w:val="en-US"/>
        </w:rPr>
        <w:t>Th</w:t>
      </w:r>
      <w:r w:rsidR="004364C6" w:rsidRPr="004147E2">
        <w:rPr>
          <w:lang w:val="en-US"/>
        </w:rPr>
        <w:t>is</w:t>
      </w:r>
      <w:r w:rsidR="00285302" w:rsidRPr="004147E2">
        <w:rPr>
          <w:lang w:val="en-US"/>
        </w:rPr>
        <w:t xml:space="preserve"> </w:t>
      </w:r>
      <w:r w:rsidR="00AC5AFC" w:rsidRPr="004147E2">
        <w:rPr>
          <w:lang w:val="en-US"/>
        </w:rPr>
        <w:t xml:space="preserve">warming event also affected </w:t>
      </w:r>
      <w:r w:rsidR="00285302" w:rsidRPr="004147E2">
        <w:rPr>
          <w:lang w:val="en-US"/>
        </w:rPr>
        <w:t xml:space="preserve">the survival, development, reproduction and </w:t>
      </w:r>
      <w:r w:rsidR="00AC5AFC" w:rsidRPr="004147E2">
        <w:rPr>
          <w:lang w:val="en-US"/>
        </w:rPr>
        <w:t>feeding patterns of</w:t>
      </w:r>
      <w:r w:rsidR="00285302" w:rsidRPr="004147E2">
        <w:rPr>
          <w:lang w:val="en-US"/>
        </w:rPr>
        <w:t xml:space="preserve"> different coral re</w:t>
      </w:r>
      <w:r w:rsidR="006E6EFD" w:rsidRPr="004147E2">
        <w:rPr>
          <w:lang w:val="en-US"/>
        </w:rPr>
        <w:t>e</w:t>
      </w:r>
      <w:r w:rsidR="00285302" w:rsidRPr="004147E2">
        <w:rPr>
          <w:lang w:val="en-US"/>
        </w:rPr>
        <w:t>f fish</w:t>
      </w:r>
      <w:r w:rsidR="002001E0" w:rsidRPr="004147E2">
        <w:rPr>
          <w:lang w:val="en-US"/>
        </w:rPr>
        <w:t>es</w:t>
      </w:r>
      <w:r w:rsidR="00B132B3" w:rsidRPr="004147E2">
        <w:rPr>
          <w:lang w:val="en-US"/>
        </w:rPr>
        <w:t xml:space="preserve"> </w:t>
      </w:r>
      <w:r w:rsidR="007C0199" w:rsidRPr="004147E2">
        <w:rPr>
          <w:lang w:val="en-US"/>
        </w:rPr>
        <w:fldChar w:fldCharType="begin" w:fldLock="1"/>
      </w:r>
      <w:r w:rsidR="00EF730B">
        <w:rPr>
          <w:lang w:val="en-US"/>
        </w:rPr>
        <w:instrText xml:space="preserve">ADDIN CSL_CITATION {"citationItems":[{"id":"ITEM-1","itemData":{"DOI":"10.1371/journal.pone.0226087","ISBN":"1111111111","ISSN":"19326203","PMID":"31940310","abstract":"About 62,000 dead or dying common murres (Uria aalge), the trophically dominant fish-eating seabird of the North Pacific, washed ashore between summer 2015 and spring 2016 on beaches from California to Alaska. Most birds were severely emaciated and, so far, no evidence for anything other than starvation was found to explain this mass mortality. Three-quarters of murres were found in the Gulf of Alaska and the remainder along the West Coast. Studies show that only a fraction of birds that die at sea typically wash ashore, and we estimate that total mortality approached 1 million birds. About two-thirds of murres killed were adults, a substantial blow to breeding populations. Additionally, 22 complete reproductive failures were observed at multiple colonies region-wide during (2015) and after (2016–2017) the mass mortality event. Die-offs and breeding failures occur sporadically in murres, but the magnitude, duration and spatial extent of this die-off, associated with multi-colony and multi-year reproductive failures, is unprecedented and astonishing. These events co-occurred with the most powerful marine heatwave on record that persisted through 2014–2016 and created an enormous volume of ocean water (the “Blob”) from California to Alaska with temperatures that exceeded average by 2–3 standard deviations. Other studies indicate that this prolonged heatwave reduced phytoplankton biomass and restructured zooplankton communities in favor of lower-calorie species, while it simultaneously increased metabolically driven food demands of ectothermic forage fish. In response, forage fish quality and quantity diminished. Similarly, large ectothermic groundfish were thought to have increased their demand for forage fish, resulting in greater top-predator demands for diminished forage fish resources. We hypothesize that these bottom-up and top-down forces created an “ectothermic vise” on forage species leading to their system-wide scarcity and resulting in mass mortality of murres and many other fish, bird and mammal species in the region during 2014–2017.","author":[{"dropping-particle":"","family":"Piatt","given":"John F.","non-dropping-particle":"","parse-names":false,"suffix":""},{"dropping-particle":"","family":"Parrish","given":"Julia K.","non-dropping-particle":"","parse-names":false,"suffix":""},{"dropping-particle":"","family":"Renner","given":"Heather M.","non-dropping-particle":"","parse-names":false,"suffix":""},{"dropping-particle":"","family":"Schoen","given":"Sarah K.","non-dropping-particle":"","parse-names":false,"suffix":""},{"dropping-particle":"","family":"Jones","given":"Timothy T.","non-dropping-particle":"","parse-names":false,"suffix":""},{"dropping-particle":"","family":"Arimitsu","given":"Mayumi L.","non-dropping-particle":"","parse-names":false,"suffix":""},{"dropping-particle":"","family":"Kuletz","given":"Kathy J.","non-dropping-particle":"","parse-names":false,"suffix":""},{"dropping-particle":"","family":"Bodenstein","given":"Barbara","non-dropping-particle":"","parse-names":false,"suffix":""},{"dropping-particle":"","family":"García-Reyes","given":"Marisol","non-dropping-particle":"","parse-names":false,"suffix":""},{"dropping-particle":"","family":"Duerr","given":"Rebecca S.","non-dropping-particle":"","parse-names":false,"suffix":""},{"dropping-particle":"","family":"Corcoran","given":"Robin M.","non-dropping-particle":"","parse-names":false,"suffix":""},{"dropping-particle":"","family":"Kaler","given":"Robb S.A.","non-dropping-particle":"","parse-names":false,"suffix":""},{"dropping-particle":"","family":"McChesney","given":"Gerard J.","non-dropping-particle":"","parse-names":false,"suffix":""},{"dropping-particle":"","family":"Golightly","given":"Richard T.","non-dropping-particle":"","parse-names":false,"suffix":""},{"dropping-particle":"","family":"Coletti","given":"Heather A.","non-dropping-particle":"","parse-names":false,"suffix":""},{"dropping-particle":"","family":"Suryan","given":"Robert M.","non-dropping-particle":"","parse-names":false,"suffix":""},{"dropping-particle":"","family":"Burgess","given":"Hillary K.","non-dropping-particle":"","parse-names":false,"suffix":""},{"dropping-particle":"","family":"Lindsey","given":"Jackie","non-dropping-particle":"","parse-names":false,"suffix":""},{"dropping-particle":"","family":"Lindquist","given":"Kirsten","non-dropping-particle":"","parse-names":false,"suffix":""},{"dropping-particle":"","family":"Warzybok","given":"Peter M.","non-dropping-particle":"","parse-names":false,"suffix":""},{"dropping-particle":"","family":"Jahncke","given":"Jaime","non-dropping-particle":"","parse-names":false,"suffix":""},{"dropping-particle":"","family":"Roletto","given":"Jan","non-dropping-particle":"","parse-names":false,"suffix":""},{"dropping-particle":"","family":"Sydeman","given":"William J.","non-dropping-particle":"","parse-names":false,"suffix":""}],"container-title":"PLoS ONE","id":"ITEM-1","issue":"1","issued":{"date-parts":[["2020"]]},"number-of-pages":"e0226087","title":"Extreme mortality and reproductive failure of common murres resulting from the northeast Pacific marine heatwave of 2014-2016","type":"book","volume":"15"},"uris":["http://www.mendeley.com/documents/?uuid=d8bb0fcf-b82f-447f-905d-9df7f662b79a","http://www.mendeley.com/documents/?uuid=8520188c-fb5f-47fe-bae0-868bafc1edc4"]},{"id":"ITEM-2","itemData":{"DOI":"10.1242/jeb.202713","ISBN":"0002003953","ISSN":"00220949","PMID":"31444281","abstract":"Marine heatwaves, which are increasing in frequency, duration and intensity owing to climate change, are an imminent threat to marine ecosystems. On coral reefs, heatwave conditions often coincide with periods of peak recruitment of juvenile fishes and exposure to elevated temperature may affect their development. However, whether differences in the duration of high temperature exposure have effects on individual performance is unknown. We exposed juvenile spiny damselfish, Acanthochromis polyacanthus, to increasing lengths of time (3, 7, 30 and 108 days post-hatching) of elevated temperature (+2°C). After 108 days, we measured escape performance at present-day control and elevated temperatures, standard length, mass and critical thermal maximum. Using a Bayesian approach, we show that 30 days or more exposure to +2°C leads to improved escape performance, irrespective of performance temperature, possibly owing to developmental effects of high temperature on muscle development and/or anaerobic metabolism. Continued exposure to elevated temperature for 108 days caused a reduction in body size compared with the control, but not in fish exposed to high temperature for 30 days or less. By contrast, exposure to elevated temperatures for any length of time had no effect on critical thermal maximum, which, combined with previous work, suggests a short-term physiological constraint of </w:instrText>
      </w:r>
      <w:r w:rsidR="00EF730B">
        <w:rPr>
          <w:rFonts w:ascii="Cambria Math" w:hAnsi="Cambria Math" w:cs="Cambria Math"/>
          <w:lang w:val="en-US"/>
        </w:rPr>
        <w:instrText>∼</w:instrText>
      </w:r>
      <w:r w:rsidR="00EF730B">
        <w:rPr>
          <w:lang w:val="en-US"/>
        </w:rPr>
        <w:instrText>37°C in this species. Our study shows that extended exposure to increased temperature can affect the development of juvenile fishes, with potential immediate and future consequences for individual performance.","author":[{"dropping-particle":"","family":"Spinks","given":"Rachel K.","non-dropping-particle":"","parse-names":false,"suffix":""},{"dropping-particle":"","family":"Munday","given":"Philip L.","non-dropping-particle":"","parse-names":false,"suffix":""},{"dropping-particle":"","family":"Donelson","given":"Jennifer M.","non-dropping-particle":"","parse-names":false,"suffix":""}],"container-title":"Journal of Experimental Biology","id":"ITEM-2","issue":"16","issued":{"date-parts":[["2019"]]},"page":"jeb202713","title":"Developmental effects of heatwave conditions on the early life stages of a coral reef fish","type":"article-journal","volume":"222"},"uris":["http://www.mendeley.com/documents/?uuid=fa603a97-3cac-4a52-be26-4c11cf795489","http://www.mendeley.com/documents/?uuid=c19ef68a-a2be-4fc7-84bc-e3a6f8d3943d"]},{"id":"ITEM-3","itemData":{"DOI":"10.7717/peerj.6720","ISSN":"21678359","abstract":"Global warming is predicted to increase the frequency and or severity of many disturbances including cyclones, storms, and prolonged heatwaves. The coral reef at Lizard Island, part of the Great Barrier Reef, has been recently exposed to a sequence of severe tropical cyclones (i.e., Ita in 2014 and Nathan in 2015) and a coral bleaching in the year 2016. Reef fishes are an essential part of the coral reef ecosystem, and their abundance is thus a good marker to estimate the magnitude of such disturbances. Here, we examined whether the recent disturbances at Lizard Island had an impact on the coral reef fish communities. To do this, we examined fish survey data collected before and after the disturbances for potential changes in total fish density post-disturbance. Also, by sorting fish species into 11 functional groups based on their trophic level (i.e., diet), we further explored the density changes within each functional group. Our findings showed an overall decline of 68% in fish density post-disturbance, with a significant density decrease in nine of 11 trophic groups. These nine groups were: Browsers, corallivores, detritivores, excavator/scrapers, grazers, macro-invertivores, pisci-invertivores, planktivores, and spongivores. The piscivores, on the other hand, were the only \"winners,\" wherein their density showed an increase post-disturbance. These changes within functional groups might have a further impact on the trophodynamics of the food web. In summary, our findings provide evidence that the fish assemblage on the reefs around Lizard Island was considerably affected by extreme weather events, leading to changes in the functional composition of the reef fish assemblage.","author":[{"dropping-particle":"","family":"Triki","given":"Zegni","non-dropping-particle":"","parse-names":false,"suffix":""},{"dropping-particle":"","family":"Bshary","given":"Redouan","non-dropping-particle":"","parse-names":false,"suffix":""}],"container-title":"PeerJ","id":"ITEM-3","issued":{"date-parts":[["2019"]]},"page":"e6720","title":"Fluctuations in coral reef fish densities after environmental disturbances on the northern Great Barrier Reef","type":"article-journal","volume":"7"},"uris":["http://www.mendeley.com/documents/?uuid=66f05af9-7c9b-48f3-beea-02c1b6220eac","http://www.mendeley.com/documents/?uuid=d36620b4-cce0-445d-80c9-4ecf181de150"]},{"id":"ITEM-4","itemData":{"DOI":"10.1073/pnas.2009748117","ISSN":"10916490","PMID":"32958634","abstract":"Our study reveals a hitherto overlooked ecological threat of climate change. Studies of warming events in the ocean have typically focused on the events' maximum temperature and duration as the cause of devastating disturbances in coral reefs, kelp forests, and rocky shores. In this study, however, we found that the rate of onset (Ronset), rather than the peak, was the likely trigger of mass mortality of coral reef fishes in the Red Sea. Following a steep rise in water temperature (4.2 °C in 2.5 d), thermally stressed fish belonging to dozens of species became fatally infected by Streptococcus iniae. Piscivores and benthivores were disproportionately impacted whereas zooplanktivores were spared. Mortality rates peaked 2 wk later, coinciding with a second warming event with extreme Ronset. The epizootic lasted ~2 mo, extending beyond the warming events through the consumption of pathogen-laden carcasses by uninfected fish. The warming was widespread, with an evident decline in wind speed, barometric pressure, and latent heat flux. A reassessment of past reports suggests that steep Ronsetwas also the probable trigger of mass mortalities of wild fish elsewhere. If the ongoing increase in the frequency and intensity of marine heat waves is associated with a corresponding increase in the frequency of extreme Ronset, calamities inflicted on coral reefs by the warming oceans may extend far beyond coral bleaching.","author":[{"dropping-particle":"","family":"Genin","given":"Amatzia","non-dropping-particle":"","parse-names":false,"suffix":""},{"dropping-particle":"","family":"Levy","given":"Liraz","non-dropping-particle":"","parse-names":false,"suffix":""},{"dropping-particle":"","family":"Sharon","given":"Galit","non-dropping-particle":"","parse-names":false,"suffix":""},{"dropping-particle":"","family":"Raitsos","given":"Dionysios E.","non-dropping-particle":"","parse-names":false,"suffix":""},{"dropping-particle":"","family":"Diamant","given":"Arik","non-dropping-particle":"","parse-names":false,"suffix":""}],"container-title":"Proceedings of the National Academy of Sciences of the United States of America","id":"ITEM-4","issue":"41","issued":{"date-parts":[["2020"]]},"page":"25378-25385","title":"Rapid onsets of warming events trigger mass mortality of coral reef fish","type":"article-journal","volume":"117"},"uris":["http://www.mendeley.com/documents/?uuid=5021c6e7-dac4-40de-8ea5-950136b7c6fa","http://www.mendeley.com/documents/?uuid=40cd4047-e252-41d8-bb13-5c42b51ad2d1"]}],"mendeley":{"formattedCitation":"(Spinks, Munday and Donelson, 2019; Triki and Bshary, 2019; Genin &lt;i&gt;et al.&lt;/i&gt;, 2020; Piatt &lt;i&gt;et al.&lt;/i&gt;, 2020)","manualFormatting":"(Triki and Bshary, 2019; Genin et al., 2020; Piatt et al., 2020)","plainTextFormattedCitation":"(Spinks, Munday and Donelson, 2019; Triki and Bshary, 2019; Genin et al., 2020; Piatt et al., 2020)","previouslyFormattedCitation":"(Spinks, Munday and Donelson, 2019; Triki and Bshary, 2019; Genin &lt;i&gt;et al.&lt;/i&gt;, 2020; Piatt &lt;i&gt;et al.&lt;/i&gt;, 2020)"},"properties":{"noteIndex":0},"schema":"https://github.com/citation-style-language/schema/raw/master/csl-citation.json"}</w:instrText>
      </w:r>
      <w:r w:rsidR="007C0199" w:rsidRPr="004147E2">
        <w:rPr>
          <w:lang w:val="en-US"/>
        </w:rPr>
        <w:fldChar w:fldCharType="separate"/>
      </w:r>
      <w:r w:rsidR="007C0199" w:rsidRPr="004147E2">
        <w:rPr>
          <w:noProof/>
          <w:lang w:val="en-US"/>
        </w:rPr>
        <w:t xml:space="preserve">(Triki and Bshary, 2019; Genin </w:t>
      </w:r>
      <w:r w:rsidR="007C0199" w:rsidRPr="004147E2">
        <w:rPr>
          <w:i/>
          <w:noProof/>
          <w:lang w:val="en-US"/>
        </w:rPr>
        <w:t>et al.</w:t>
      </w:r>
      <w:r w:rsidR="007C0199" w:rsidRPr="004147E2">
        <w:rPr>
          <w:noProof/>
          <w:lang w:val="en-US"/>
        </w:rPr>
        <w:t xml:space="preserve">, 2020; Piatt </w:t>
      </w:r>
      <w:r w:rsidR="007C0199" w:rsidRPr="004147E2">
        <w:rPr>
          <w:i/>
          <w:noProof/>
          <w:lang w:val="en-US"/>
        </w:rPr>
        <w:t>et al.</w:t>
      </w:r>
      <w:r w:rsidR="007C0199" w:rsidRPr="004147E2">
        <w:rPr>
          <w:noProof/>
          <w:lang w:val="en-US"/>
        </w:rPr>
        <w:t>, 2020)</w:t>
      </w:r>
      <w:r w:rsidR="007C0199" w:rsidRPr="004147E2">
        <w:rPr>
          <w:lang w:val="en-US"/>
        </w:rPr>
        <w:fldChar w:fldCharType="end"/>
      </w:r>
      <w:r w:rsidR="00EA059C" w:rsidRPr="004147E2">
        <w:rPr>
          <w:lang w:val="en-US"/>
        </w:rPr>
        <w:t xml:space="preserve">, </w:t>
      </w:r>
      <w:r w:rsidR="00AC5AFC" w:rsidRPr="004147E2">
        <w:rPr>
          <w:lang w:val="en-US"/>
        </w:rPr>
        <w:t>ultimately leading to a reduction</w:t>
      </w:r>
      <w:r w:rsidR="00054041" w:rsidRPr="004147E2">
        <w:rPr>
          <w:lang w:val="en-US"/>
        </w:rPr>
        <w:t xml:space="preserve"> </w:t>
      </w:r>
      <w:r w:rsidR="00FC7CD8" w:rsidRPr="004147E2">
        <w:rPr>
          <w:lang w:val="en-US"/>
        </w:rPr>
        <w:t xml:space="preserve">in </w:t>
      </w:r>
      <w:r w:rsidR="00054041" w:rsidRPr="004147E2">
        <w:rPr>
          <w:lang w:val="en-US"/>
        </w:rPr>
        <w:t xml:space="preserve">fish </w:t>
      </w:r>
      <w:r w:rsidR="00EA059C" w:rsidRPr="004147E2">
        <w:rPr>
          <w:lang w:val="en-US"/>
        </w:rPr>
        <w:t>biomass</w:t>
      </w:r>
      <w:r w:rsidR="00054041" w:rsidRPr="004147E2">
        <w:rPr>
          <w:lang w:val="en-US"/>
        </w:rPr>
        <w:t xml:space="preserve"> </w:t>
      </w:r>
      <w:r w:rsidR="00EA059C" w:rsidRPr="004147E2">
        <w:rPr>
          <w:lang w:val="en-US"/>
        </w:rPr>
        <w:t xml:space="preserve">along the Great Barrier Reef </w:t>
      </w:r>
      <w:r w:rsidR="007C0199" w:rsidRPr="004147E2">
        <w:rPr>
          <w:lang w:val="en-US"/>
        </w:rPr>
        <w:fldChar w:fldCharType="begin" w:fldLock="1"/>
      </w:r>
      <w:r w:rsidR="007602F2">
        <w:rPr>
          <w:lang w:val="en-US"/>
        </w:rPr>
        <w:instrText>ADDIN CSL_CITATION {"citationItems":[{"id":"ITEM-1","itemData":{"DOI":"10.1111/gcb.15472","ISSN":"13652486","PMID":"33340216","abstract":"Marine heatwaves are increasing in frequency and intensity, and indirectly impacting coral reef fisheries through bleaching-induced degradation of live coral habitats. Marine heatwaves also affect fish metabolism and catchability, but such direct effects of elevated temperatures on reef fisheries are largely unknown. We investigated direct and indirect effects of the devastating 2016 marine heatwave on the largest reef fishery operating along the Great Barrier Reef (GBR). We used a combination of fishery-independent underwater census data on coral trout biomass (Plectropomus and Variola spp.) and catch-per-unit-effort (CPUE) data from the commercial fishery to evaluate changes in the fishery resulting from the 2016 heatwave. The heatwave caused widespread, yet locally patchy, declines in coral cover, but we observed little effect of local coral loss on coral trout biomass. Instead, a pattern of decreasing biomass at northern sites and stable or increasing biomass at southern sites suggested a direct response of populations to the heatwave. Analysis of the fishery-independent data and CPUE found that in-water coral trout biomass estimates were positively related to CPUE, and that coral trout catch rates increased with warmer temperatures. Temperature effects on catch rates were consistent with the thermal affinities of the multiple species contributing to this fishery. Scaling-up the effect of temperature on coral trout catch rates across the region suggests that GBR-wide catches were 18% higher for a given level of effort during the heatwave year relative to catch rates under the mean temperatures in the preceding 6 years. These results highlight a potentially large effect of heatwaves on catch rates of reef fishes, independent of changes in reef habitats, that can add substantial uncertainty to estimates of stock trends inferred from fishery-dependent (CPUE) data. Overestimation of CPUE could initiate declines in reef fisheries that are currently fully exploited, and threaten sustainable management of reef stocks.","author":[{"dropping-particle":"","family":"Brown","given":"Christopher J.","non-dropping-particle":"","parse-names":false,"suffix":""},{"dropping-particle":"","family":"Mellin","given":"Camille","non-dropping-particle":"","parse-names":false,"suffix":""},{"dropping-particle":"","family":"Edgar","given":"Graham J.","non-dropping-particle":"","parse-names":false,"suffix":""},{"dropping-particle":"","family":"Campbell","given":"Max D.","non-dropping-particle":"","parse-names":false,"suffix":""},{"dropping-particle":"","family":"Stuart-Smith","given":"Rick D.","non-dropping-particle":"","parse-names":false,"suffix":""}],"container-title":"Global Change Biology","id":"ITEM-1","issue":"6","issued":{"date-parts":[["2021"]]},"page":"1214-1225","title":"Direct and indirect effects of heatwaves on a coral reef fishery","type":"article-journal","volume":"27"},"uris":["http://www.mendeley.com/documents/?uuid=4f3ef0ba-ebda-47e7-84fe-1595852294da","http://www.mendeley.com/documents/?uuid=7e3f9df5-6790-4d1d-9c32-59e2854ef741"]}],"mendeley":{"formattedCitation":"(Brown &lt;i&gt;et al.&lt;/i&gt;, 2021)","plainTextFormattedCitation":"(Brown et al., 2021)","previouslyFormattedCitation":"(Brown &lt;i&gt;et al.&lt;/i&gt;, 2021)"},"properties":{"noteIndex":0},"schema":"https://github.com/citation-style-language/schema/raw/master/csl-citation.json"}</w:instrText>
      </w:r>
      <w:r w:rsidR="007C0199" w:rsidRPr="004147E2">
        <w:rPr>
          <w:lang w:val="en-US"/>
        </w:rPr>
        <w:fldChar w:fldCharType="separate"/>
      </w:r>
      <w:r w:rsidR="007C0199" w:rsidRPr="004147E2">
        <w:rPr>
          <w:noProof/>
          <w:lang w:val="en-US"/>
        </w:rPr>
        <w:t xml:space="preserve">(Brown </w:t>
      </w:r>
      <w:r w:rsidR="007C0199" w:rsidRPr="004147E2">
        <w:rPr>
          <w:i/>
          <w:noProof/>
          <w:lang w:val="en-US"/>
        </w:rPr>
        <w:t>et al.</w:t>
      </w:r>
      <w:r w:rsidR="007C0199" w:rsidRPr="004147E2">
        <w:rPr>
          <w:noProof/>
          <w:lang w:val="en-US"/>
        </w:rPr>
        <w:t>, 2021)</w:t>
      </w:r>
      <w:r w:rsidR="007C0199" w:rsidRPr="004147E2">
        <w:rPr>
          <w:lang w:val="en-US"/>
        </w:rPr>
        <w:fldChar w:fldCharType="end"/>
      </w:r>
      <w:r w:rsidR="007C0199" w:rsidRPr="004147E2">
        <w:rPr>
          <w:lang w:val="en-US"/>
        </w:rPr>
        <w:t xml:space="preserve">. </w:t>
      </w:r>
    </w:p>
    <w:p w14:paraId="3390A0E4" w14:textId="538E0C39" w:rsidR="007A5CAF" w:rsidRPr="004147E2" w:rsidRDefault="00AA4B96" w:rsidP="001C0680">
      <w:pPr>
        <w:spacing w:line="480" w:lineRule="auto"/>
        <w:ind w:firstLine="720"/>
        <w:jc w:val="both"/>
        <w:rPr>
          <w:lang w:val="en-US"/>
        </w:rPr>
      </w:pPr>
      <w:r w:rsidRPr="004147E2">
        <w:rPr>
          <w:lang w:val="en-US"/>
        </w:rPr>
        <w:lastRenderedPageBreak/>
        <w:t>Marine organisms have various strategies to cope with thermal stress</w:t>
      </w:r>
      <w:r w:rsidR="004422BF" w:rsidRPr="004147E2">
        <w:rPr>
          <w:lang w:val="en-US"/>
        </w:rPr>
        <w:t>.</w:t>
      </w:r>
      <w:r w:rsidR="00AD4D28" w:rsidRPr="004147E2">
        <w:rPr>
          <w:lang w:val="en-US"/>
        </w:rPr>
        <w:t xml:space="preserve"> </w:t>
      </w:r>
      <w:r w:rsidR="00530A32" w:rsidRPr="004147E2">
        <w:rPr>
          <w:lang w:val="en-US"/>
        </w:rPr>
        <w:t>In the case of fishes</w:t>
      </w:r>
      <w:r w:rsidR="00AD4D28" w:rsidRPr="004147E2">
        <w:rPr>
          <w:lang w:val="en-US"/>
        </w:rPr>
        <w:t>,</w:t>
      </w:r>
      <w:r w:rsidR="003E42B1" w:rsidRPr="004147E2">
        <w:rPr>
          <w:lang w:val="en-US"/>
        </w:rPr>
        <w:t xml:space="preserve"> </w:t>
      </w:r>
      <w:r w:rsidR="00AE2B5D" w:rsidRPr="004147E2">
        <w:rPr>
          <w:lang w:val="en-US"/>
        </w:rPr>
        <w:t>warming can lead to an increase in metabolic activity, that usually translates into an increase in oxygen consumption</w:t>
      </w:r>
      <w:r w:rsidR="00D665D7" w:rsidRPr="004147E2">
        <w:rPr>
          <w:lang w:val="en-US"/>
        </w:rPr>
        <w:t xml:space="preserve"> </w:t>
      </w:r>
      <w:r w:rsidR="0086640C" w:rsidRPr="004147E2">
        <w:rPr>
          <w:lang w:val="en-US"/>
        </w:rPr>
        <w:fldChar w:fldCharType="begin" w:fldLock="1"/>
      </w:r>
      <w:r w:rsidR="00517C3C">
        <w:rPr>
          <w:lang w:val="en-US"/>
        </w:rPr>
        <w:instrText>ADDIN CSL_CITATION {"citationItems":[{"id":"ITEM-1","itemData":{"DOI":"10.1242/jeb.134585","ISSN":"00220949","PMID":"28768746","abstract":"Observations of climate impacts on ecosystems highlight the need for an understanding of organismal thermal ranges and their implications at the ecosystem level. Where changes in aquatic animal populations have been observed, the integrative concept of oxygen- And capacitylimited thermal tolerance (OCLTT) has successfully characterised the onset of thermal limits to performance and field abundance. The OCLTT concept addresses the molecular to whole-animal mechanisms that define thermal constraints on the capacity for oxygen supply to the organism in relation to oxygen demand. The resulting 'total excess aerobic power budget' supports an animal's performance (e.g. comprising motor activity, reproduction and growth) within an individual's thermal range. The aerobic power budget is often approximated through measurements of aerobic scope for activity (i.e. the maximumdifference between resting and the highest exerciseinduced rate of oxygen consumption), whereas most animals in the field rely on lower (i.e. routine) modes of activity. At thermal limits, OCLTT also integrates protective mechanisms that extend time-limited tolerance to temperature extremes - mechanisms such as chaperones, anaerobic metabolism and antioxidative defence. Here, we briefly summarise the OCLTT concept and update it by addressing the role of routine metabolism.We highlight potential pitfalls in applying the concept and discuss the variables measured that led to the development ofOCLTT.We propose that OCLTTexplains why thermal vulnerability is highest at the whole-animal level and lowest at the molecular level. We also discuss how OCLTT captures the thermal constraints on the evolution of aquatic animal life and supports an understanding of the benefits of transitioning from water to land.","author":[{"dropping-particle":"","family":"Pörtner","given":"Hans O.","non-dropping-particle":"","parse-names":false,"suffix":""},{"dropping-particle":"","family":"Bock","given":"Christian","non-dropping-particle":"","parse-names":false,"suffix":""},{"dropping-particle":"","family":"Mark","given":"Felix C.","non-dropping-particle":"","parse-names":false,"suffix":""}],"container-title":"Journal of Experimental Biology","id":"ITEM-1","issue":"15","issued":{"date-parts":[["2017"]]},"page":"2685-2696","title":"Oxygen- &amp; capacity-limited thermal tolerance: Bridging ecology &amp; physiology","type":"article-journal","volume":"220"},"uris":["http://www.mendeley.com/documents/?uuid=0a2cf73b-1b6b-48ff-b163-1df22739e796"]}],"mendeley":{"formattedCitation":"(Pörtner, Bock and Mark, 2017)","plainTextFormattedCitation":"(Pörtner, Bock and Mark, 2017)","previouslyFormattedCitation":"(Pörtner, Bock and Mark, 2017)"},"properties":{"noteIndex":0},"schema":"https://github.com/citation-style-language/schema/raw/master/csl-citation.json"}</w:instrText>
      </w:r>
      <w:r w:rsidR="0086640C" w:rsidRPr="004147E2">
        <w:rPr>
          <w:lang w:val="en-US"/>
        </w:rPr>
        <w:fldChar w:fldCharType="separate"/>
      </w:r>
      <w:r w:rsidR="0086640C" w:rsidRPr="004147E2">
        <w:rPr>
          <w:noProof/>
          <w:lang w:val="en-US"/>
        </w:rPr>
        <w:t>(Pörtner, Bock and Mark, 2017)</w:t>
      </w:r>
      <w:r w:rsidR="0086640C" w:rsidRPr="004147E2">
        <w:rPr>
          <w:lang w:val="en-US"/>
        </w:rPr>
        <w:fldChar w:fldCharType="end"/>
      </w:r>
      <w:r w:rsidR="00D665D7" w:rsidRPr="004147E2">
        <w:rPr>
          <w:rFonts w:eastAsia="MS Mincho"/>
          <w:lang w:val="en-US"/>
        </w:rPr>
        <w:t>.</w:t>
      </w:r>
      <w:r w:rsidR="00AE2B5D" w:rsidRPr="004147E2">
        <w:rPr>
          <w:lang w:val="en-US"/>
        </w:rPr>
        <w:t xml:space="preserve"> The changes in aerobic demand can stimulate a wide variety of biological changes in fish, including changes in glucose supply, hematological parameters, ion balance and immunological functions </w:t>
      </w:r>
      <w:r w:rsidR="00340EFA" w:rsidRPr="004147E2">
        <w:rPr>
          <w:noProof/>
          <w:lang w:val="en-US"/>
        </w:rPr>
        <w:fldChar w:fldCharType="begin" w:fldLock="1"/>
      </w:r>
      <w:r w:rsidR="00EF730B">
        <w:rPr>
          <w:noProof/>
          <w:lang w:val="en-US"/>
        </w:rPr>
        <w:instrText>ADDIN CSL_CITATION {"citationItems":[{"id":"ITEM-1","itemData":{"DOI":"10.1016/B978-0-12-802728-8.00011-4","ISBN":"9780128027288","ISSN":"15465098","abstract":"1. Why Do We Measure Stress?2. Quantifying Stress3. Specific Measures of Fish Stress 3.1. Cellular and Molecular Indicators3.2. Primary and Secondary Physiological Indicators3.3. Whole-Organism Indicators4. Considerations for Measuring and Interpreting Stress 4.1. Interspecific Differences4.2. Intraspecific Differences4.3. Context-Specific Differences4.4. Stressor Severity4.5. Field Versus Laboratory4.6. Temporal Aspects5. From Individual Indicators to Ecosystem Health6. Stress Indicators of the Future7. ConclusionA fish is chased with a net in an aquarium before being captured, scooped out of the water, and placed in a nearby testing arena. Is it stressed? How can we tell? Are our indicators reliable? Quantification of stress in fish has evolved from the initial development of radioimmunoassays to measure cortisol in plasma to the rapidly expanding suite of genome-based assays. Indicators range from the intracellular to whole-animal level. Expression of heat shock proteins (HSPs) and activity of metabolic enzymes can be paired with straightforward observations of reflexes and survival. Both traditional and emerging indicators have advantages and disadvantages, and their use is tissue- and context-specific. Ecological, biological, and methodological factors must be considered when selecting, measuring, and interpreting stress indicators. Inter- and intraspecific, sex, life stage, and temporal differences in physiological responses to stressors can confound confirmation of a stressed state. Despite numerous types of indicators, our understanding of how absolute levels of indicators relate to stressor severity and recovery to date remains limited. How accurately indicators characterize stress in wild populations naturally exposed to stressors is still an evolving discussion. The integration of research disciplines and involvement of stakeholders and user groups will aid in filling these knowledge gaps, as well as the translation of individual-level indicators to population- and ecosystem-level processes.","author":[{"dropping-particle":"","family":"Sopinka","given":"Natalie M.","non-dropping-particle":"","parse-names":false,"suffix":""},{"dropping-particle":"","family":"Donaldson","given":"Michael R.","non-dropping-particle":"","parse-names":false,"suffix":""},{"dropping-particle":"","family":"O'Connor","given":"Constance M.","non-dropping-particle":"","parse-names":false,"suffix":""},{"dropping-particle":"","family":"Suski","given":"Cory D.","non-dropping-particle":"","parse-names":false,"suffix":""},{"dropping-particle":"","family":"Cooke","given":"Steven J.","non-dropping-particle":"","parse-names":false,"suffix":""}],"container-title":"Fish Physiology","editor":[{"dropping-particle":"","family":"Carl B. Schreck, Lluis Tort, Anthony P. Farrell","given":"Colin J. Brauner","non-dropping-particle":"","parse-names":false,"suffix":""}],"id":"ITEM-1","issued":{"date-parts":[["2016"]]},"number-of-pages":"405-462","publisher":"Academic Press","title":"Stress Indicators in Fish","type":"book","volume":"35"},"uris":["http://www.mendeley.com/documents/?uuid=df69a1de-771c-40f5-80bb-54a531402d53","http://www.mendeley.com/documents/?uuid=0f798c06-bc7a-47d2-8078-9b95c7a3af31"]}],"mendeley":{"formattedCitation":"(Sopinka &lt;i&gt;et al.&lt;/i&gt;, 2016)","plainTextFormattedCitation":"(Sopinka et al., 2016)","previouslyFormattedCitation":"(Sopinka &lt;i&gt;et al.&lt;/i&gt;, 2016)"},"properties":{"noteIndex":0},"schema":"https://github.com/citation-style-language/schema/raw/master/csl-citation.json"}</w:instrText>
      </w:r>
      <w:r w:rsidR="00340EFA" w:rsidRPr="004147E2">
        <w:rPr>
          <w:noProof/>
          <w:lang w:val="en-US"/>
        </w:rPr>
        <w:fldChar w:fldCharType="separate"/>
      </w:r>
      <w:r w:rsidR="00340EFA" w:rsidRPr="004147E2">
        <w:rPr>
          <w:noProof/>
          <w:lang w:val="en-US"/>
        </w:rPr>
        <w:t xml:space="preserve">(Sopinka </w:t>
      </w:r>
      <w:r w:rsidR="00340EFA" w:rsidRPr="004147E2">
        <w:rPr>
          <w:i/>
          <w:noProof/>
          <w:lang w:val="en-US"/>
        </w:rPr>
        <w:t>et al.</w:t>
      </w:r>
      <w:r w:rsidR="00340EFA" w:rsidRPr="004147E2">
        <w:rPr>
          <w:noProof/>
          <w:lang w:val="en-US"/>
        </w:rPr>
        <w:t>, 2016)</w:t>
      </w:r>
      <w:r w:rsidR="00340EFA" w:rsidRPr="004147E2">
        <w:rPr>
          <w:noProof/>
          <w:lang w:val="en-US"/>
        </w:rPr>
        <w:fldChar w:fldCharType="end"/>
      </w:r>
      <w:r w:rsidR="00173521" w:rsidRPr="004147E2">
        <w:rPr>
          <w:lang w:val="en-US"/>
        </w:rPr>
        <w:t xml:space="preserve"> </w:t>
      </w:r>
      <w:r w:rsidR="008A20D8" w:rsidRPr="004147E2">
        <w:rPr>
          <w:lang w:val="en-US"/>
        </w:rPr>
        <w:t xml:space="preserve">that </w:t>
      </w:r>
      <w:r w:rsidR="00173521" w:rsidRPr="004147E2">
        <w:rPr>
          <w:lang w:val="en-US"/>
        </w:rPr>
        <w:t xml:space="preserve">could </w:t>
      </w:r>
      <w:r w:rsidR="0084661D" w:rsidRPr="004147E2">
        <w:rPr>
          <w:lang w:val="en-US"/>
        </w:rPr>
        <w:t>assist them in coping with</w:t>
      </w:r>
      <w:r w:rsidR="00142CA8" w:rsidRPr="004147E2">
        <w:rPr>
          <w:lang w:val="en-US"/>
        </w:rPr>
        <w:t xml:space="preserve"> elevated temperatures</w:t>
      </w:r>
      <w:r w:rsidR="00173521" w:rsidRPr="004147E2">
        <w:rPr>
          <w:lang w:val="en-US"/>
        </w:rPr>
        <w:t>.</w:t>
      </w:r>
      <w:r w:rsidR="00142CA8" w:rsidRPr="004147E2">
        <w:rPr>
          <w:lang w:val="en-US"/>
        </w:rPr>
        <w:t xml:space="preserve"> </w:t>
      </w:r>
      <w:r w:rsidR="006839C8" w:rsidRPr="004147E2">
        <w:rPr>
          <w:lang w:val="en-US"/>
        </w:rPr>
        <w:t>I</w:t>
      </w:r>
      <w:r w:rsidR="00314AD9" w:rsidRPr="004147E2">
        <w:rPr>
          <w:lang w:val="en-US"/>
        </w:rPr>
        <w:t xml:space="preserve">n this process, </w:t>
      </w:r>
      <w:r w:rsidR="006839C8" w:rsidRPr="004147E2">
        <w:rPr>
          <w:lang w:val="en-US"/>
        </w:rPr>
        <w:t xml:space="preserve">however, </w:t>
      </w:r>
      <w:r w:rsidR="00314AD9" w:rsidRPr="004147E2">
        <w:rPr>
          <w:lang w:val="en-US"/>
        </w:rPr>
        <w:t xml:space="preserve">other </w:t>
      </w:r>
      <w:r w:rsidR="00792590" w:rsidRPr="004147E2">
        <w:rPr>
          <w:lang w:val="en-US"/>
        </w:rPr>
        <w:t xml:space="preserve">essential functions such as immune </w:t>
      </w:r>
      <w:r w:rsidR="007A5CAF" w:rsidRPr="004147E2">
        <w:rPr>
          <w:lang w:val="en-US"/>
        </w:rPr>
        <w:t>response</w:t>
      </w:r>
      <w:r w:rsidR="00792590" w:rsidRPr="004147E2">
        <w:rPr>
          <w:lang w:val="en-US"/>
        </w:rPr>
        <w:t xml:space="preserve">, growth or reproduction </w:t>
      </w:r>
      <w:r w:rsidR="00314AD9" w:rsidRPr="004147E2">
        <w:rPr>
          <w:lang w:val="en-US"/>
        </w:rPr>
        <w:t xml:space="preserve">may be </w:t>
      </w:r>
      <w:r w:rsidR="00731C98" w:rsidRPr="004147E2">
        <w:rPr>
          <w:lang w:val="en-US"/>
        </w:rPr>
        <w:t>compromised</w:t>
      </w:r>
      <w:r w:rsidR="00DC641C" w:rsidRPr="004147E2">
        <w:rPr>
          <w:lang w:val="en-US"/>
        </w:rPr>
        <w:t xml:space="preserve">, </w:t>
      </w:r>
      <w:r w:rsidR="00D3647A" w:rsidRPr="004147E2">
        <w:rPr>
          <w:lang w:val="en-US"/>
        </w:rPr>
        <w:t xml:space="preserve">as </w:t>
      </w:r>
      <w:r w:rsidR="00E62687" w:rsidRPr="004147E2">
        <w:rPr>
          <w:lang w:val="en-US"/>
        </w:rPr>
        <w:t>changes in</w:t>
      </w:r>
      <w:r w:rsidR="00314AD9" w:rsidRPr="004147E2">
        <w:rPr>
          <w:lang w:val="en-US"/>
        </w:rPr>
        <w:t xml:space="preserve"> energy allocation</w:t>
      </w:r>
      <w:r w:rsidR="00DC641C" w:rsidRPr="004147E2">
        <w:rPr>
          <w:lang w:val="en-US"/>
        </w:rPr>
        <w:t xml:space="preserve"> </w:t>
      </w:r>
      <w:r w:rsidR="00E62687" w:rsidRPr="004147E2">
        <w:rPr>
          <w:lang w:val="en-US"/>
        </w:rPr>
        <w:t>are required for compensation</w:t>
      </w:r>
      <w:r w:rsidR="007A5CAF" w:rsidRPr="004147E2">
        <w:rPr>
          <w:lang w:val="en-US"/>
        </w:rPr>
        <w:t xml:space="preserve"> </w:t>
      </w:r>
      <w:r w:rsidR="006C4CA4" w:rsidRPr="004147E2">
        <w:rPr>
          <w:noProof/>
          <w:lang w:val="en-US"/>
        </w:rPr>
        <w:fldChar w:fldCharType="begin" w:fldLock="1"/>
      </w:r>
      <w:r w:rsidR="00653EE9">
        <w:rPr>
          <w:noProof/>
          <w:lang w:val="en-US"/>
        </w:rPr>
        <w:instrText>ADDIN CSL_CITATION {"citationItems":[{"id":"ITEM-1","itemData":{"DOI":"10.1111/jfb.14599","ISSN":"10958649","abstract":"The capacity of fishes to cope with environmental variation is considered to be a main determinant of their fitness and is partly determined by their stress physiology. By 2100, global ocean temperature is expected to rise by 1–4°C, with potential consequences for stress physiology. Global warming is affecting animal populations worldwide through chronic temperature increases and an increase in the frequency of extreme heatwave events. As ectotherms, fishes are expected to be particularly vulnerable to global warming. Although little information is available about the effects of global warming on stress physiology in nature, multiple studies describe the consequences of temperature increases on stress physiology in controlled laboratory conditions, providing insight into what can be expected in the wild. Chronic temperature increase constitutes a physiological load that can alter the ability of fishes to cope with additional stressors, which might compromise their fitness. In addition, rapid temperature increases are known to induce acute stress responses in fishes and might be of ecological relevance in particular situations. This review summarizes knowledge about effects of temperature increases on the stress physiology of fishes and discusses these in the context of global warming.","author":[{"dropping-particle":"","family":"Alfonso","given":"Sébastien","non-dropping-particle":"","parse-names":false,"suffix":""},{"dropping-particle":"","family":"Gesto","given":"Manuel","non-dropping-particle":"","parse-names":false,"suffix":""},{"dropping-particle":"","family":"Sadoul","given":"Bastien","non-dropping-particle":"","parse-names":false,"suffix":""}],"container-title":"Journal of Fish Biology","id":"ITEM-1","issue":"6","issued":{"date-parts":[["2020"]]},"page":"1496-1508","title":"Temperature increase and its effects on fish stress physiology in the context of global warming","type":"article-journal","volume":"98"},"uris":["http://www.mendeley.com/documents/?uuid=5a3d6982-b107-464e-97ff-85b568a013ab","http://www.mendeley.com/documents/?uuid=aaf4fe22-6120-4e34-9518-fb765f0b74b1"]}],"mendeley":{"formattedCitation":"(Alfonso, Gesto and Sadoul, 2020)","plainTextFormattedCitation":"(Alfonso, Gesto and Sadoul, 2020)","previouslyFormattedCitation":"(Alfonso, Gesto and Sadoul, 2020)"},"properties":{"noteIndex":0},"schema":"https://github.com/citation-style-language/schema/raw/master/csl-citation.json"}</w:instrText>
      </w:r>
      <w:r w:rsidR="006C4CA4" w:rsidRPr="004147E2">
        <w:rPr>
          <w:noProof/>
          <w:lang w:val="en-US"/>
        </w:rPr>
        <w:fldChar w:fldCharType="separate"/>
      </w:r>
      <w:r w:rsidR="006C4CA4" w:rsidRPr="004147E2">
        <w:rPr>
          <w:noProof/>
          <w:lang w:val="en-US"/>
        </w:rPr>
        <w:t>(Alfonso, Gesto and Sadoul, 2020)</w:t>
      </w:r>
      <w:r w:rsidR="006C4CA4" w:rsidRPr="004147E2">
        <w:rPr>
          <w:noProof/>
          <w:lang w:val="en-US"/>
        </w:rPr>
        <w:fldChar w:fldCharType="end"/>
      </w:r>
      <w:r w:rsidR="00792590" w:rsidRPr="004147E2">
        <w:rPr>
          <w:lang w:val="en-US"/>
        </w:rPr>
        <w:t xml:space="preserve">. </w:t>
      </w:r>
      <w:r w:rsidR="00E55091" w:rsidRPr="004147E2">
        <w:rPr>
          <w:lang w:val="en-US"/>
        </w:rPr>
        <w:t>F</w:t>
      </w:r>
      <w:r w:rsidR="00142CA8" w:rsidRPr="004147E2">
        <w:rPr>
          <w:lang w:val="en-US"/>
        </w:rPr>
        <w:t xml:space="preserve">ish species </w:t>
      </w:r>
      <w:r w:rsidR="00E55091" w:rsidRPr="004147E2">
        <w:rPr>
          <w:lang w:val="en-US"/>
        </w:rPr>
        <w:t>that are not able to sustain the aerobic demand will experience a</w:t>
      </w:r>
      <w:r w:rsidR="00142CA8" w:rsidRPr="004147E2">
        <w:rPr>
          <w:lang w:val="en-US"/>
        </w:rPr>
        <w:t xml:space="preserve"> reduction of </w:t>
      </w:r>
      <w:r w:rsidR="00E55091" w:rsidRPr="004147E2">
        <w:rPr>
          <w:lang w:val="en-US"/>
        </w:rPr>
        <w:t xml:space="preserve">aerobic </w:t>
      </w:r>
      <w:r w:rsidR="00142CA8" w:rsidRPr="004147E2">
        <w:rPr>
          <w:lang w:val="en-US"/>
        </w:rPr>
        <w:t>scope</w:t>
      </w:r>
      <w:r w:rsidR="0084661D" w:rsidRPr="004147E2">
        <w:rPr>
          <w:lang w:val="en-US"/>
        </w:rPr>
        <w:t>,</w:t>
      </w:r>
      <w:r w:rsidR="00142CA8" w:rsidRPr="004147E2">
        <w:rPr>
          <w:lang w:val="en-US"/>
        </w:rPr>
        <w:t xml:space="preserve"> </w:t>
      </w:r>
      <w:r w:rsidR="00E55091" w:rsidRPr="004147E2">
        <w:rPr>
          <w:lang w:val="en-US"/>
        </w:rPr>
        <w:t>which could</w:t>
      </w:r>
      <w:r w:rsidR="00915535" w:rsidRPr="004147E2">
        <w:rPr>
          <w:lang w:val="en-US"/>
        </w:rPr>
        <w:t xml:space="preserve"> eventually</w:t>
      </w:r>
      <w:r w:rsidR="00E55091" w:rsidRPr="004147E2">
        <w:rPr>
          <w:lang w:val="en-US"/>
        </w:rPr>
        <w:t xml:space="preserve"> affect their survival</w:t>
      </w:r>
      <w:r w:rsidR="001F545D" w:rsidRPr="004147E2">
        <w:rPr>
          <w:lang w:val="en-US"/>
        </w:rPr>
        <w:t xml:space="preserve"> </w:t>
      </w:r>
      <w:r w:rsidR="00055907" w:rsidRPr="004147E2">
        <w:rPr>
          <w:lang w:val="en-US"/>
        </w:rPr>
        <w:fldChar w:fldCharType="begin" w:fldLock="1"/>
      </w:r>
      <w:r w:rsidR="00517C3C">
        <w:rPr>
          <w:lang w:val="en-US"/>
        </w:rPr>
        <w:instrText>ADDIN CSL_CITATION {"citationItems":[{"id":"ITEM-1","itemData":{"DOI":"10.1016/j.cbpa.2010.03.009","ISSN":"15314332","PMID":"20233610","abstract":"Water temperature is expected to rise on coral reefs due to global warming. Here, we have examined if increased temperature reduces the hypoxia tolerance of coral reef fish (measured as critical [O2]), and if temperature acclimation in adults can change the resting rate of O2 consumption and critical [O2]. Two common species from Lizard Island (Great Barrier Reef, Australia) were tested, Doederlein's cardinalfish (Ostorhinchus doederleini) and lemon damselfish (Pomacentrus moluccensis). In both species, a 3 °C rise in water temperature caused increased oxygen consumption and reduced hypoxia tolerance, changes that were not reduced by acclimation to the higher temperature for 7 to 22 days. Critical [O2] increased by 71% in the cardinalfish and by 23% in the damselfish at 32 °C compared to 29 °C. The higher oxygen needs are likely to reduce the aerobic scope, which could negatively affect the capacity for feeding, growth and reproduction. The reduced hypoxia tolerance may force the fishes out of their nocturnal shelters in the coral matrix, exposing them to predation. The consequences for population and species survival could be severe unless developmental phenotypic plasticity within generations or genetic adaptation between generations could produce individuals that are more tolerant to a warmer future. © 2010 Elsevier Inc. All rights reserved.","author":[{"dropping-particle":"","family":"Nilsson","given":"Göran E.","non-dropping-particle":"","parse-names":false,"suffix":""},{"dropping-particle":"","family":"Östlund-Nilsson","given":"Sara","non-dropping-particle":"","parse-names":false,"suffix":""},{"dropping-particle":"","family":"Munday","given":"Philip L.","non-dropping-particle":"","parse-names":false,"suffix":""}],"container-title":"Comparative Biochemistry and Physiology - A Molecular and Integrative Physiology","id":"ITEM-1","issue":"4","issued":{"date-parts":[["2010"]]},"page":"389-393","publisher":"Elsevier Inc.","title":"Effects of elevated temperature on coral reef fishes: Loss of hypoxia tolerance and inability to acclimate","type":"article-journal","volume":"156"},"uris":["http://www.mendeley.com/documents/?uuid=b053ca1c-b38e-40ec-8b26-288ab64306e5","http://www.mendeley.com/documents/?uuid=6efff802-0a6c-4369-ab56-ebeb6f1d67a6"]},{"id":"ITEM-2","itemData":{"DOI":"10.1111/j.1365-2486.2008.01767.x","ISSN":"13541013","abstract":"The capacity for marine fishes to perform aerobically (aerobic scope) is predicted to control their thermal tolerance and, thus, the impact that rapid climate change will have on their populations. We tested the effect of increased water temperatures on the resting and maximum rates of oxygen consumption in five common coral reef fishes at Lizard Island on the northern Great Barrier Reef, Australia. All species exhibited a decline in aerobic capacity at elevated water temperatures (31, 32 or 33°C) compared with controls (29°C); however, the response was much stronger in two cardinalfishes, Ostorhinchus cyanosoma and O. doederleini, compared with three damselfishes, Dascyllus anuarus, Chromis atripectoralis and Acanthochromis polyacanthus. Aerobic scope of the two cardinalfishes was reduced by nearly half at 31°C compared with 29°C, and virtually all capacity for additional oxygen uptake was exhausted by 33°C. In contrast, the three damselfishes retained over half their aerobic scope at 33°C. Such differences in thermal tolerance between species, and possibly families, suggest that the community structure of reef fish assemblages might change significantly as ocean temperatures increase. Populations of thermally tolerant species are likely to persist at higher temperatures, but populations of thermally sensitive species could decline on low-latitude reefs if individual performance falls below levels needed to sustain viable populations. © 2009 Blackwell Publishing.","author":[{"dropping-particle":"","family":"Nilsson","given":"Göran E.","non-dropping-particle":"","parse-names":false,"suffix":""},{"dropping-particle":"","family":"Crawley","given":"Natalie","non-dropping-particle":"","parse-names":false,"suffix":""},{"dropping-particle":"","family":"Lunde","given":"Ida G.","non-dropping-particle":"","parse-names":false,"suffix":""},{"dropping-particle":"","family":"Munday","given":"Philip L.","non-dropping-particle":"","parse-names":false,"suffix":""}],"container-title":"Global Change Biology","id":"ITEM-2","issue":"6","issued":{"date-parts":[["2009"]]},"page":"1405-1412","title":"Elevated temperature reduces the respiratory scope of coral reef fishes","type":"article-journal","volume":"15"},"uris":["http://www.mendeley.com/documents/?uuid=75754cc4-0c40-4fdb-9369-32c3496fef0a"]},{"id":"ITEM-3","itemData":{"DOI":"10.1126/science.1135471","ISSN":"00368075","PMID":"17204649","abstract":"A cause-and-effect understanding of climate influences on ecosystems requires evaluation of thermal limits of member species and of their ability to cope with changing temperatures. Laboratory data available for marine fish and invertebrates from various climatic regions led to the hypothesis that, as a unifying principle, a mismatch between the demand for oxygen and the capacity of oxygen supply to tissues is the first mechanism to restrict whole-animal tolerance to thermal extremes. We show in the eelpout, Zoarces viviparus, a bioindicator fish species for environmental monitoring from North and Baltic Seas (Helcom), that thermally limited oxygen delivery closely matches environmental temperatures beyond which growth performance and abundance decrease. Decrements in aerobic performance in warming seas will thus be the first process to cause extinction or relocation to cooler waters.","author":[{"dropping-particle":"","family":"Pörtner","given":"Hans O.","non-dropping-particle":"","parse-names":false,"suffix":""},{"dropping-particle":"","family":"Knust","given":"Rainer","non-dropping-particle":"","parse-names":false,"suffix":""}],"container-title":"Science","id":"ITEM-3","issue":"5808","issued":{"date-parts":[["2007"]]},"page":"95-97","title":"Climate change affects marine fishes through the oxygen limitation of thermal tolerance","type":"article-journal","volume":"315"},"uris":["http://www.mendeley.com/documents/?uuid=798abf1a-62b3-4dd4-a06b-b18b5e400c21","http://www.mendeley.com/documents/?uuid=d974ac28-b5aa-4f10-b34a-33e574234570"]},{"id":"ITEM-4","itemData":{"DOI":"10.1126/science.1163156","ISSN":"00368075","PMID":"18974339","abstract":"Studies of physiological mechanisms are needed to predict climate effects on ecosystems at species and community levels.","author":[{"dropping-particle":"","family":"Pörtner","given":"Hans O.","non-dropping-particle":"","parse-names":false,"suffix":""},{"dropping-particle":"","family":"Farrell","given":"Anthony P.","non-dropping-particle":"","parse-names":false,"suffix":""}],"container-title":"Science","id":"ITEM-4","issue":"5902","issued":{"date-parts":[["2008"]]},"page":"690-692","title":"Physiology and climate change","type":"article-journal","volume":"322"},"uris":["http://www.mendeley.com/documents/?uuid=3d111c66-3725-47e3-9c69-bae7957d80a6","http://www.mendeley.com/documents/?uuid=596258ee-b5e0-49b0-8fa1-679be10b6502"]}],"mendeley":{"formattedCitation":"(Pörtner and Knust, 2007; Pörtner and Farrell, 2008; Nilsson &lt;i&gt;et al.&lt;/i&gt;, 2009; Nilsson, Östlund-Nilsson and Munday, 2010)","plainTextFormattedCitation":"(Pörtner and Knust, 2007; Pörtner and Farrell, 2008; Nilsson et al., 2009; Nilsson, Östlund-Nilsson and Munday, 2010)","previouslyFormattedCitation":"(Pörtner and Knust, 2007; Pörtner and Farrell, 2008; Nilsson &lt;i&gt;et al.&lt;/i&gt;, 2009; Nilsson, Östlund-Nilsson and Munday, 2010)"},"properties":{"noteIndex":0},"schema":"https://github.com/citation-style-language/schema/raw/master/csl-citation.json"}</w:instrText>
      </w:r>
      <w:r w:rsidR="00055907" w:rsidRPr="004147E2">
        <w:rPr>
          <w:lang w:val="en-US"/>
        </w:rPr>
        <w:fldChar w:fldCharType="separate"/>
      </w:r>
      <w:r w:rsidR="000E3B63" w:rsidRPr="004147E2">
        <w:rPr>
          <w:noProof/>
          <w:lang w:val="en-US"/>
        </w:rPr>
        <w:t xml:space="preserve">(Pörtner and Knust, 2007; Pörtner and Farrell, 2008; Nilsson </w:t>
      </w:r>
      <w:r w:rsidR="000E3B63" w:rsidRPr="004147E2">
        <w:rPr>
          <w:i/>
          <w:noProof/>
          <w:lang w:val="en-US"/>
        </w:rPr>
        <w:t>et al.</w:t>
      </w:r>
      <w:r w:rsidR="000E3B63" w:rsidRPr="004147E2">
        <w:rPr>
          <w:noProof/>
          <w:lang w:val="en-US"/>
        </w:rPr>
        <w:t>, 2009; Nilsson, Östlund-Nilsson and Munday, 2010)</w:t>
      </w:r>
      <w:r w:rsidR="00055907" w:rsidRPr="004147E2">
        <w:rPr>
          <w:lang w:val="en-US"/>
        </w:rPr>
        <w:fldChar w:fldCharType="end"/>
      </w:r>
      <w:r w:rsidR="00055907" w:rsidRPr="004147E2">
        <w:rPr>
          <w:lang w:val="en-US"/>
        </w:rPr>
        <w:t>.</w:t>
      </w:r>
      <w:r w:rsidR="008F2A2C" w:rsidRPr="004147E2">
        <w:rPr>
          <w:lang w:val="en-US"/>
        </w:rPr>
        <w:t xml:space="preserve"> </w:t>
      </w:r>
      <w:r w:rsidR="00E62687" w:rsidRPr="004147E2">
        <w:rPr>
          <w:lang w:val="en-US"/>
        </w:rPr>
        <w:t>Thus</w:t>
      </w:r>
      <w:r w:rsidR="00605A24" w:rsidRPr="004147E2">
        <w:rPr>
          <w:lang w:val="en-US"/>
        </w:rPr>
        <w:t>,</w:t>
      </w:r>
      <w:r w:rsidR="00E62687" w:rsidRPr="004147E2">
        <w:rPr>
          <w:lang w:val="en-US"/>
        </w:rPr>
        <w:t xml:space="preserve"> marine heatwaves</w:t>
      </w:r>
      <w:r w:rsidR="00605A24" w:rsidRPr="004147E2">
        <w:rPr>
          <w:lang w:val="en-US"/>
        </w:rPr>
        <w:t xml:space="preserve"> </w:t>
      </w:r>
      <w:r w:rsidR="00E62687" w:rsidRPr="004147E2">
        <w:rPr>
          <w:lang w:val="en-US"/>
        </w:rPr>
        <w:t>can lead to</w:t>
      </w:r>
      <w:r w:rsidRPr="004147E2">
        <w:rPr>
          <w:lang w:val="en-US"/>
        </w:rPr>
        <w:t xml:space="preserve"> </w:t>
      </w:r>
      <w:r w:rsidR="00E62687" w:rsidRPr="004147E2">
        <w:rPr>
          <w:lang w:val="en-US"/>
        </w:rPr>
        <w:t>relevant</w:t>
      </w:r>
      <w:r w:rsidRPr="004147E2">
        <w:rPr>
          <w:lang w:val="en-US"/>
        </w:rPr>
        <w:t xml:space="preserve"> physiological changes </w:t>
      </w:r>
      <w:r w:rsidR="00E62687" w:rsidRPr="004147E2">
        <w:rPr>
          <w:lang w:val="en-US"/>
        </w:rPr>
        <w:t>as fishes respond to thermal stress</w:t>
      </w:r>
      <w:r w:rsidR="00605A24" w:rsidRPr="004147E2">
        <w:rPr>
          <w:lang w:val="en-US"/>
        </w:rPr>
        <w:t>.</w:t>
      </w:r>
    </w:p>
    <w:p w14:paraId="01E9E503" w14:textId="458744EA" w:rsidR="0035663F" w:rsidRPr="004147E2" w:rsidRDefault="00CD15D9" w:rsidP="008E3438">
      <w:pPr>
        <w:spacing w:line="480" w:lineRule="auto"/>
        <w:ind w:firstLine="720"/>
        <w:jc w:val="both"/>
        <w:rPr>
          <w:lang w:val="en-US"/>
        </w:rPr>
      </w:pPr>
      <w:r w:rsidRPr="004147E2">
        <w:rPr>
          <w:lang w:val="en-US"/>
        </w:rPr>
        <w:t xml:space="preserve">Transcriptional activity is the cellular base of how </w:t>
      </w:r>
      <w:r w:rsidR="00F83F56" w:rsidRPr="004147E2">
        <w:rPr>
          <w:lang w:val="en-US"/>
        </w:rPr>
        <w:t>organisms</w:t>
      </w:r>
      <w:r w:rsidR="00D3647A" w:rsidRPr="004147E2">
        <w:rPr>
          <w:lang w:val="en-US"/>
        </w:rPr>
        <w:t xml:space="preserve"> </w:t>
      </w:r>
      <w:r w:rsidR="00E55091" w:rsidRPr="004147E2">
        <w:rPr>
          <w:lang w:val="en-US"/>
        </w:rPr>
        <w:t xml:space="preserve">respond </w:t>
      </w:r>
      <w:r w:rsidRPr="004147E2">
        <w:rPr>
          <w:lang w:val="en-US"/>
        </w:rPr>
        <w:t xml:space="preserve">to external stimuli. </w:t>
      </w:r>
      <w:r w:rsidR="00E55091" w:rsidRPr="004147E2">
        <w:rPr>
          <w:lang w:val="en-US"/>
        </w:rPr>
        <w:t xml:space="preserve">Studies indicate that </w:t>
      </w:r>
      <w:r w:rsidRPr="004147E2">
        <w:rPr>
          <w:lang w:val="en-US"/>
        </w:rPr>
        <w:t xml:space="preserve">transcriptional responses to </w:t>
      </w:r>
      <w:r w:rsidR="0035663F" w:rsidRPr="004147E2">
        <w:rPr>
          <w:lang w:val="en-US"/>
        </w:rPr>
        <w:t xml:space="preserve">heat stress </w:t>
      </w:r>
      <w:r w:rsidR="00E55091" w:rsidRPr="004147E2">
        <w:rPr>
          <w:lang w:val="en-US"/>
        </w:rPr>
        <w:t xml:space="preserve">in marine fish can vary depending on the </w:t>
      </w:r>
      <w:r w:rsidRPr="004147E2">
        <w:rPr>
          <w:lang w:val="en-US"/>
        </w:rPr>
        <w:t xml:space="preserve">magnitude and </w:t>
      </w:r>
      <w:r w:rsidR="00B072EF" w:rsidRPr="004147E2">
        <w:rPr>
          <w:lang w:val="en-US"/>
        </w:rPr>
        <w:t xml:space="preserve">duration </w:t>
      </w:r>
      <w:r w:rsidRPr="004147E2">
        <w:rPr>
          <w:lang w:val="en-US"/>
        </w:rPr>
        <w:t xml:space="preserve">of </w:t>
      </w:r>
      <w:r w:rsidR="00450266" w:rsidRPr="004147E2">
        <w:rPr>
          <w:lang w:val="en-US"/>
        </w:rPr>
        <w:t>exposure</w:t>
      </w:r>
      <w:r w:rsidR="00704FEB" w:rsidRPr="004147E2">
        <w:rPr>
          <w:lang w:val="en-US"/>
        </w:rPr>
        <w:t xml:space="preserve"> to high temperatures</w:t>
      </w:r>
      <w:r w:rsidR="00AE2B5D" w:rsidRPr="004147E2">
        <w:rPr>
          <w:lang w:val="en-US"/>
        </w:rPr>
        <w:t xml:space="preserve"> </w:t>
      </w:r>
      <w:r w:rsidR="0088086B" w:rsidRPr="004147E2">
        <w:rPr>
          <w:lang w:val="en-US"/>
        </w:rPr>
        <w:fldChar w:fldCharType="begin" w:fldLock="1"/>
      </w:r>
      <w:r w:rsidR="007602F2">
        <w:rPr>
          <w:lang w:val="en-US"/>
        </w:rPr>
        <w:instrText>ADDIN CSL_CITATION {"citationItems":[{"id":"ITEM-1","itemData":{"DOI":"10.1016/j.marenvres.2017.06.015","ISSN":"18790291","PMID":"28689860","abstract":"Ocean warming has multifaceted impacts on marine organisms. This study investigated the different responses of Paralichthys olivaceus and the hybrids (P. olivaceus ♀ × P. dentatus ♂) to chronic and acute heat stress. By comparing their survival, behavioural and histological changes, we found that the hybrids possess a better thermal tolerance with a higher cumulative survival rate (CSR), relatively fewer behavioural changes and less gill damage. Moreover, we analysed the relationship between thermal tolerance and the hsp70 expression pattern and found that thermal tolerant species (the hybrids) exhibited higher threshold induction temperature, shorter durations, stronger magnitudes and a delay in hsp70 expression. We speculated that the expression mode of hsp70, rather than itself, plays a critical role in thermal tolerance. These findings would improve the understanding of hsp70 in future marine climate research and help clarify the profound effects of rising temperature on marine demersal fishes.","author":[{"dropping-particle":"","family":"Liu","given":"Yifan","non-dropping-particle":"","parse-names":false,"suffix":""},{"dropping-particle":"","family":"Ma","given":"Daoyuan","non-dropping-particle":"","parse-names":false,"suffix":""},{"dropping-particle":"","family":"Zhao","given":"Chunyan","non-dropping-particle":"","parse-names":false,"suffix":""},{"dropping-particle":"","family":"Xiao","given":"Zhizhong","non-dropping-particle":"","parse-names":false,"suffix":""},{"dropping-particle":"","family":"Xu","given":"Shihong","non-dropping-particle":"","parse-names":false,"suffix":""},{"dropping-particle":"","family":"Xiao","given":"Yongshuang","non-dropping-particle":"","parse-names":false,"suffix":""},{"dropping-particle":"","family":"Wang","given":"Yanfeng","non-dropping-particle":"","parse-names":false,"suffix":""},{"dropping-particle":"","family":"Liu","given":"Qinghua","non-dropping-particle":"","parse-names":false,"suffix":""},{"dropping-particle":"","family":"Li","given":"Jun","non-dropping-particle":"","parse-names":false,"suffix":""}],"container-title":"Marine Environmental Research","id":"ITEM-1","issued":{"date-parts":[["2017"]]},"page":"386-395","publisher":"Elsevier Ltd","title":"The expression pattern of hsp70 plays a critical role in thermal tolerance of marine demersal fish: Multilevel responses of Paralichthys olivaceus and its hybrids (P. olivaceus ♀ × P. dentatus ♂) to chronic and acute heat stress","type":"article-journal","volume":"129"},"uris":["http://www.mendeley.com/documents/?uuid=0c0a003f-7114-4e08-880f-c76f03765729","http://www.mendeley.com/documents/?uuid=f891cb15-a699-4242-bf2f-abf0c3a8d4aa"]},{"id":"ITEM-2","itemData":{"DOI":"10.1080/15592294.2018.1554520","ISSN":"15592308","PMID":"30526303","abstract":"Stress experienced during early life may have lasting effects on the immune system, with impacts on health and disease dependent on the nature and duration of the stressor. The epigenome is especially sensitive to environmental stimuli during early life and represents a potential mechanism through which stress may cause long-lasting health effects. However, the extent to which the epigenome responds differently to chronic vs acute stressors is unclear, especially for non-mammalian species. We examined the effects of acute stress (cold-shock during embryogenesis) and chronic stress (absence of tank enrichment during larval-stage) on global gene expression (using RNA-seq) and DNA methylation (using RRBS) in the gills of Atlantic salmon (Salmo salar) four months after hatching. Chronic stress induced pronounced transcriptional differences, while acute stress caused few lasting transcriptional effects. However, both acute and chronic stress caused lasting and contrasting changes in the methylome. Crucially, we found that acute stress enhanced transcriptional immune response to a pathogenic challenge (bacterial lipopolysaccharide, LPS), while chronic stress suppressed it. We identified stress-induced changes in promoter and gene-body methylation that were associated with altered expression for a small proportion of immune-related genes, and evidence of wider epigenetic regulation within signalling pathways involved in immune response. Our results suggest that stress can affect immuno-competence through epigenetic mechanisms, and highlight the markedly different effects of chronic larval and acute embryonic stress. This knowledge could be used to harness the stimulatory effects of acute stress on immunity, paving the way for improved stress and disease management through epigenetic conditioning.","author":[{"dropping-particle":"","family":"Uren Webster","given":"Tamsyn M.","non-dropping-particle":"","parse-names":false,"suffix":""},{"dropping-particle":"","family":"Rodriguez-Barreto","given":"Deiene","non-dropping-particle":"","parse-names":false,"suffix":""},{"dropping-particle":"","family":"Martin","given":"Samuel A.M.","non-dropping-particle":"","parse-names":false,"suffix":""},{"dropping-particle":"","family":"Oosterhout","given":"Cock","non-dropping-particle":"Van","parse-names":false,"suffix":""},{"dropping-particle":"","family":"Orozco-terWengel","given":"Pablo","non-dropping-particle":"","parse-names":false,"suffix":""},{"dropping-particle":"","family":"Cable","given":"Joanne","non-dropping-particle":"","parse-names":false,"suffix":""},{"dropping-particle":"","family":"Hamilton","given":"Alastair","non-dropping-particle":"","parse-names":false,"suffix":""},{"dropping-particle":"","family":"Garcia De Leaniz","given":"Carlos","non-dropping-particle":"","parse-names":false,"suffix":""},{"dropping-particle":"","family":"Consuegra","given":"Sofia","non-dropping-particle":"","parse-names":false,"suffix":""}],"container-title":"Epigenetics","id":"ITEM-2","issue":"12","issued":{"date-parts":[["2018"]]},"page":"1191-1207","title":"Contrasting effects of acute and chronic stress on the transcriptome, epigenome, and immune response of Atlantic salmon","type":"article-journal","volume":"13"},"uris":["http://www.mendeley.com/documents/?uuid=2fc87f75-86bb-4c24-a5d2-5194c53ec045","http://www.mendeley.com/documents/?uuid=bfe34b1c-86a6-4d17-87b1-881c276408e8"]}],"mendeley":{"formattedCitation":"(Liu &lt;i&gt;et al.&lt;/i&gt;, 2017; Uren Webster &lt;i&gt;et al.&lt;/i&gt;, 2018)","plainTextFormattedCitation":"(Liu et al., 2017; Uren Webster et al., 2018)","previouslyFormattedCitation":"(Liu &lt;i&gt;et al.&lt;/i&gt;, 2017; Uren Webster &lt;i&gt;et al.&lt;/i&gt;, 2018)"},"properties":{"noteIndex":0},"schema":"https://github.com/citation-style-language/schema/raw/master/csl-citation.json"}</w:instrText>
      </w:r>
      <w:r w:rsidR="0088086B" w:rsidRPr="004147E2">
        <w:rPr>
          <w:lang w:val="en-US"/>
        </w:rPr>
        <w:fldChar w:fldCharType="separate"/>
      </w:r>
      <w:r w:rsidR="0088086B" w:rsidRPr="004147E2">
        <w:rPr>
          <w:noProof/>
          <w:lang w:val="en-US"/>
        </w:rPr>
        <w:t xml:space="preserve">(Liu </w:t>
      </w:r>
      <w:r w:rsidR="0088086B" w:rsidRPr="004147E2">
        <w:rPr>
          <w:i/>
          <w:noProof/>
          <w:lang w:val="en-US"/>
        </w:rPr>
        <w:t>et al.</w:t>
      </w:r>
      <w:r w:rsidR="0088086B" w:rsidRPr="004147E2">
        <w:rPr>
          <w:noProof/>
          <w:lang w:val="en-US"/>
        </w:rPr>
        <w:t xml:space="preserve">, 2017; Uren Webster </w:t>
      </w:r>
      <w:r w:rsidR="0088086B" w:rsidRPr="004147E2">
        <w:rPr>
          <w:i/>
          <w:noProof/>
          <w:lang w:val="en-US"/>
        </w:rPr>
        <w:t>et al.</w:t>
      </w:r>
      <w:r w:rsidR="0088086B" w:rsidRPr="004147E2">
        <w:rPr>
          <w:noProof/>
          <w:lang w:val="en-US"/>
        </w:rPr>
        <w:t>, 2018)</w:t>
      </w:r>
      <w:r w:rsidR="0088086B" w:rsidRPr="004147E2">
        <w:rPr>
          <w:lang w:val="en-US"/>
        </w:rPr>
        <w:fldChar w:fldCharType="end"/>
      </w:r>
      <w:r w:rsidRPr="004147E2">
        <w:rPr>
          <w:lang w:val="en-US"/>
        </w:rPr>
        <w:t>.</w:t>
      </w:r>
      <w:r w:rsidR="0043606E" w:rsidRPr="004147E2">
        <w:rPr>
          <w:lang w:val="en-US"/>
        </w:rPr>
        <w:t xml:space="preserve"> </w:t>
      </w:r>
      <w:r w:rsidR="00704FEB" w:rsidRPr="004147E2">
        <w:rPr>
          <w:lang w:val="en-US"/>
        </w:rPr>
        <w:t xml:space="preserve">Furthermore, previous </w:t>
      </w:r>
      <w:r w:rsidR="00B46AE2" w:rsidRPr="004147E2">
        <w:rPr>
          <w:lang w:val="en-US"/>
        </w:rPr>
        <w:t xml:space="preserve">studies of gene expression have </w:t>
      </w:r>
      <w:r w:rsidR="00704FEB" w:rsidRPr="004147E2">
        <w:rPr>
          <w:lang w:val="en-US"/>
        </w:rPr>
        <w:t>described</w:t>
      </w:r>
      <w:r w:rsidR="00B46AE2" w:rsidRPr="004147E2">
        <w:rPr>
          <w:lang w:val="en-US"/>
        </w:rPr>
        <w:t xml:space="preserve"> changes in the transcriptional program </w:t>
      </w:r>
      <w:r w:rsidR="00704FEB" w:rsidRPr="004147E2">
        <w:rPr>
          <w:lang w:val="en-US"/>
        </w:rPr>
        <w:t xml:space="preserve">following exposure to warming </w:t>
      </w:r>
      <w:r w:rsidR="00567112" w:rsidRPr="004147E2">
        <w:rPr>
          <w:lang w:val="en-US"/>
        </w:rPr>
        <w:t xml:space="preserve">at </w:t>
      </w:r>
      <w:r w:rsidR="00B46AE2" w:rsidRPr="004147E2">
        <w:rPr>
          <w:lang w:val="en-US"/>
        </w:rPr>
        <w:t xml:space="preserve">different </w:t>
      </w:r>
      <w:r w:rsidR="00704FEB" w:rsidRPr="004147E2">
        <w:rPr>
          <w:lang w:val="en-US"/>
        </w:rPr>
        <w:t xml:space="preserve">life </w:t>
      </w:r>
      <w:r w:rsidR="00B46AE2" w:rsidRPr="004147E2">
        <w:rPr>
          <w:lang w:val="en-US"/>
        </w:rPr>
        <w:t>stages</w:t>
      </w:r>
      <w:r w:rsidR="00704FEB" w:rsidRPr="004147E2">
        <w:rPr>
          <w:lang w:val="en-US"/>
        </w:rPr>
        <w:t xml:space="preserve"> </w:t>
      </w:r>
      <w:r w:rsidR="00FA7125" w:rsidRPr="004147E2">
        <w:rPr>
          <w:rFonts w:eastAsia="MS Mincho"/>
          <w:lang w:val="en-US"/>
        </w:rPr>
        <w:t xml:space="preserve">and </w:t>
      </w:r>
      <w:r w:rsidR="00F841C2" w:rsidRPr="004147E2">
        <w:rPr>
          <w:lang w:val="en-US"/>
        </w:rPr>
        <w:t>for different durations</w:t>
      </w:r>
      <w:r w:rsidR="00B46AE2" w:rsidRPr="004147E2">
        <w:rPr>
          <w:lang w:val="en-US"/>
        </w:rPr>
        <w:t xml:space="preserve">: acute </w:t>
      </w:r>
      <w:r w:rsidR="0070511D" w:rsidRPr="004147E2">
        <w:rPr>
          <w:lang w:val="en-US"/>
        </w:rPr>
        <w:t xml:space="preserve">marine heatwaves </w:t>
      </w:r>
      <w:r w:rsidR="00E47FE7" w:rsidRPr="004147E2">
        <w:rPr>
          <w:lang w:val="en-US"/>
        </w:rPr>
        <w:t xml:space="preserve">exposure in adults </w:t>
      </w:r>
      <w:r w:rsidR="00B46AE2" w:rsidRPr="004147E2">
        <w:rPr>
          <w:lang w:val="en-US"/>
        </w:rPr>
        <w:t>(i.e. days to weeks</w:t>
      </w:r>
      <w:r w:rsidR="00C75E96" w:rsidRPr="004147E2">
        <w:rPr>
          <w:lang w:val="en-US"/>
        </w:rPr>
        <w:t xml:space="preserve">; </w:t>
      </w:r>
      <w:r w:rsidR="00C75E96" w:rsidRPr="004147E2">
        <w:rPr>
          <w:lang w:val="en-US"/>
        </w:rPr>
        <w:fldChar w:fldCharType="begin" w:fldLock="1"/>
      </w:r>
      <w:r w:rsidR="00653EE9">
        <w:rPr>
          <w:lang w:val="en-US"/>
        </w:rPr>
        <w:instrText>ADDIN CSL_CITATION {"citationItems":[{"id":"ITEM-1","itemData":{"DOI":"10.1126/sciadv.aay3423","ISSN":"23752548","PMID":"32206711","abstract":"The marine heatwave of 2016 was one of longest and hottest thermal anomalies recorded on the Great Barrier Reef, influencing multiple species of marine ectotherms, including coral reef fishes. There is a gap in our understanding of what the physiological consequences of heatwaves in wild fish populations are. Thus, in this study, we used liver transcriptomes to understand the molecular response of five species to the 2016 heatwave conditions. Gene expression was species specific, yet we detected overlap in functional responses associated with thermal stress previously reported in experimental setups. The molecular response was also influenced by the duration of exposure to elevated temperatures. This study highlights the importance of considering the effects of extreme warming events when evaluating the consequences of climate change on fish communities.","author":[{"dropping-particle":"","family":"Bernal","given":"Moisés A.","non-dropping-particle":"","parse-names":false,"suffix":""},{"dropping-particle":"","family":"Schunter","given":"Celia","non-dropping-particle":"","parse-names":false,"suffix":""},{"dropping-particle":"","family":"Lehmann","given":"Robert","non-dropping-particle":"","parse-names":false,"suffix":""},{"dropping-particle":"","family":"Lightfoot","given":"Damien J.","non-dropping-particle":"","parse-names":false,"suffix":""},{"dropping-particle":"","family":"Allan","given":"Bridie J.M.","non-dropping-particle":"","parse-names":false,"suffix":""},{"dropping-particle":"","family":"Veilleux","given":"Heather D.","non-dropping-particle":"","parse-names":false,"suffix":""},{"dropping-particle":"","family":"Rummer","given":"Jodie L.","non-dropping-particle":"","parse-names":false,"suffix":""},{"dropping-particle":"","family":"Munday","given":"Philip L.","non-dropping-particle":"","parse-names":false,"suffix":""},{"dropping-particle":"","family":"Ravasi","given":"Timothy","non-dropping-particle":"","parse-names":false,"suffix":""}],"container-title":"Science Advances","id":"ITEM-1","issue":"12","issued":{"date-parts":[["2020"]]},"page":"eaay3423","title":"Species-specific molecular responses of wild coral reef fishes during a marine heatwave","type":"article-journal","volume":"6"},"uris":["http://www.mendeley.com/documents/?uuid=39bd0d92-bc59-4ccc-9944-1cf861d2cc0e"]}],"mendeley":{"formattedCitation":"(Bernal &lt;i&gt;et al.&lt;/i&gt;, 2020)","manualFormatting":"Bernal et al., 2020)","plainTextFormattedCitation":"(Bernal et al., 2020)","previouslyFormattedCitation":"(Bernal &lt;i&gt;et al.&lt;/i&gt;, 2020)"},"properties":{"noteIndex":0},"schema":"https://github.com/citation-style-language/schema/raw/master/csl-citation.json"}</w:instrText>
      </w:r>
      <w:r w:rsidR="00C75E96" w:rsidRPr="004147E2">
        <w:rPr>
          <w:lang w:val="en-US"/>
        </w:rPr>
        <w:fldChar w:fldCharType="separate"/>
      </w:r>
      <w:r w:rsidR="00C75E96" w:rsidRPr="004147E2">
        <w:rPr>
          <w:noProof/>
          <w:lang w:val="en-US"/>
        </w:rPr>
        <w:t xml:space="preserve">Bernal </w:t>
      </w:r>
      <w:r w:rsidR="00C75E96" w:rsidRPr="004147E2">
        <w:rPr>
          <w:i/>
          <w:noProof/>
          <w:lang w:val="en-US"/>
        </w:rPr>
        <w:t>et al.</w:t>
      </w:r>
      <w:r w:rsidR="00C75E96" w:rsidRPr="004147E2">
        <w:rPr>
          <w:noProof/>
          <w:lang w:val="en-US"/>
        </w:rPr>
        <w:t>, 2020)</w:t>
      </w:r>
      <w:r w:rsidR="00C75E96" w:rsidRPr="004147E2">
        <w:rPr>
          <w:lang w:val="en-US"/>
        </w:rPr>
        <w:fldChar w:fldCharType="end"/>
      </w:r>
      <w:r w:rsidR="00B46AE2" w:rsidRPr="004147E2">
        <w:rPr>
          <w:lang w:val="en-US"/>
        </w:rPr>
        <w:t xml:space="preserve">, developmental </w:t>
      </w:r>
      <w:r w:rsidR="00E47FE7" w:rsidRPr="004147E2">
        <w:rPr>
          <w:lang w:val="en-US"/>
        </w:rPr>
        <w:t xml:space="preserve">exposure in juveniles </w:t>
      </w:r>
      <w:r w:rsidR="00B46AE2" w:rsidRPr="004147E2">
        <w:rPr>
          <w:lang w:val="en-US"/>
        </w:rPr>
        <w:t>(i.e. months</w:t>
      </w:r>
      <w:r w:rsidR="00CA18A4" w:rsidRPr="004147E2">
        <w:rPr>
          <w:lang w:val="en-US"/>
        </w:rPr>
        <w:fldChar w:fldCharType="begin" w:fldLock="1"/>
      </w:r>
      <w:r w:rsidR="00517C3C">
        <w:rPr>
          <w:lang w:val="en-US"/>
        </w:rPr>
        <w:instrText>ADDIN CSL_CITATION {"citationItems":[{"id":"ITEM-1","itemData":{"DOI":"10.1038/nclimate2724","ISSN":"17586798","abstract":"Some animals have the remarkable capacity to acclimate across generations to projected future climate change; however, the underlying molecular processes are unknown. We sequenced and assembled de novo transcriptomes of adult tropical reef fish exposed developmentally or transgenerationally to projected future ocean temperatures and correlated the resulting expression profiles with acclimated metabolic traits from the same fish. We identified 69 contigs representing 53 key genes involved in thermal acclimation of aerobic capacity. Metabolic genes were among the most upregulated transgenerationally, suggesting shifts in energy production for maintaining performance at elevated temperatures. Furthermore, immune- and stress-responsive genes were upregulated transgenerationally, indicating a new complement of genes allowing the second generation of fish to better cope with elevated temperatures. Other differentially expressed genes were involved with tissue development and transcriptional regulation. Overall, we found a similar suite of differentially expressed genes among developmental and transgenerational treatments. Heat-shock protein genes were surprisingly unresponsive, indicating that short-term heat-stress responses may not be a good indicator of long-term acclimation capacity. Our results are the first to reveal the molecular processes that may enable marine fishes to adjust to a future warmer environment over multiple generations.","author":[{"dropping-particle":"","family":"Veilleux","given":"Heather D.","non-dropping-particle":"","parse-names":false,"suffix":""},{"dropping-particle":"","family":"Ryu","given":"Taewoo","non-dropping-particle":"","parse-names":false,"suffix":""},{"dropping-particle":"","family":"Donelson","given":"Jennifer M.","non-dropping-particle":"","parse-names":false,"suffix":""},{"dropping-particle":"","family":"Herwerden","given":"Lynne","non-dropping-particle":"Van","parse-names":false,"suffix":""},{"dropping-particle":"","family":"Seridi","given":"Loqmane","non-dropping-particle":"","parse-names":false,"suffix":""},{"dropping-particle":"","family":"Ghosheh","given":"Yanal","non-dropping-particle":"","parse-names":false,"suffix":""},{"dropping-particle":"","family":"Berumen","given":"Michael L.","non-dropping-particle":"","parse-names":false,"suffix":""},{"dropping-particle":"","family":"Leggat","given":"William","non-dropping-particle":"","parse-names":false,"suffix":""},{"dropping-particle":"","family":"Ravasi","given":"Timothy","non-dropping-particle":"","parse-names":false,"suffix":""},{"dropping-particle":"","family":"Munday","given":"Philip L.","non-dropping-particle":"","parse-names":false,"suffix":""}],"container-title":"Nature Climate Change","id":"ITEM-1","issue":"12","issued":{"date-parts":[["2015"]]},"page":"1074-1078","title":"Molecular processes of transgenerational acclimation to a warming ocean","type":"article-journal","volume":"5"},"uris":["http://www.mendeley.com/documents/?uuid=cb59c796-e210-49ca-a274-8770de3bba37"]}],"mendeley":{"formattedCitation":"(Veilleux &lt;i&gt;et al.&lt;/i&gt;, 2015)","manualFormatting":"; Veilleux et al., 2015; Bernal et al., 2018)","plainTextFormattedCitation":"(Veilleux et al., 2015)","previouslyFormattedCitation":"(Veilleux &lt;i&gt;et al.&lt;/i&gt;, 2015)"},"properties":{"noteIndex":0},"schema":"https://github.com/citation-style-language/schema/raw/master/csl-citation.json"}</w:instrText>
      </w:r>
      <w:r w:rsidR="00CA18A4" w:rsidRPr="004147E2">
        <w:rPr>
          <w:lang w:val="en-US"/>
        </w:rPr>
        <w:fldChar w:fldCharType="separate"/>
      </w:r>
      <w:r w:rsidR="00CA18A4" w:rsidRPr="004147E2">
        <w:rPr>
          <w:noProof/>
          <w:lang w:val="en-US"/>
        </w:rPr>
        <w:t>;</w:t>
      </w:r>
      <w:r w:rsidR="00047E90" w:rsidRPr="004147E2">
        <w:rPr>
          <w:noProof/>
          <w:lang w:val="en-US"/>
        </w:rPr>
        <w:t xml:space="preserve"> </w:t>
      </w:r>
      <w:r w:rsidR="00CA18A4" w:rsidRPr="004147E2">
        <w:rPr>
          <w:noProof/>
          <w:lang w:val="en-US"/>
        </w:rPr>
        <w:t xml:space="preserve">Veilleux </w:t>
      </w:r>
      <w:r w:rsidR="00CA18A4" w:rsidRPr="004147E2">
        <w:rPr>
          <w:i/>
          <w:noProof/>
          <w:lang w:val="en-US"/>
        </w:rPr>
        <w:t>et al.</w:t>
      </w:r>
      <w:r w:rsidR="00CA18A4" w:rsidRPr="004147E2">
        <w:rPr>
          <w:noProof/>
          <w:lang w:val="en-US"/>
        </w:rPr>
        <w:t xml:space="preserve">, 2015; Bernal </w:t>
      </w:r>
      <w:r w:rsidR="00CA18A4" w:rsidRPr="004147E2">
        <w:rPr>
          <w:i/>
          <w:noProof/>
          <w:lang w:val="en-US"/>
        </w:rPr>
        <w:t>et al.</w:t>
      </w:r>
      <w:r w:rsidR="00CA18A4" w:rsidRPr="004147E2">
        <w:rPr>
          <w:noProof/>
          <w:lang w:val="en-US"/>
        </w:rPr>
        <w:t>, 2018)</w:t>
      </w:r>
      <w:r w:rsidR="00CA18A4" w:rsidRPr="004147E2">
        <w:rPr>
          <w:lang w:val="en-US"/>
        </w:rPr>
        <w:fldChar w:fldCharType="end"/>
      </w:r>
      <w:r w:rsidR="00614050" w:rsidRPr="004147E2">
        <w:rPr>
          <w:lang w:val="en-US"/>
        </w:rPr>
        <w:t>,</w:t>
      </w:r>
      <w:r w:rsidR="00B46AE2" w:rsidRPr="004147E2">
        <w:rPr>
          <w:lang w:val="en-US"/>
        </w:rPr>
        <w:t xml:space="preserve"> and cross-generational exposure</w:t>
      </w:r>
      <w:r w:rsidR="00E47FE7" w:rsidRPr="004147E2">
        <w:rPr>
          <w:lang w:val="en-US"/>
        </w:rPr>
        <w:t xml:space="preserve"> </w:t>
      </w:r>
      <w:r w:rsidR="004C3138" w:rsidRPr="004147E2">
        <w:rPr>
          <w:lang w:val="en-US"/>
        </w:rPr>
        <w:t xml:space="preserve">in </w:t>
      </w:r>
      <w:r w:rsidR="00E47FE7" w:rsidRPr="004147E2">
        <w:rPr>
          <w:lang w:val="en-US"/>
        </w:rPr>
        <w:t>adults and juveniles</w:t>
      </w:r>
      <w:r w:rsidR="00C75E96" w:rsidRPr="004147E2">
        <w:rPr>
          <w:lang w:val="en-US"/>
        </w:rPr>
        <w:t xml:space="preserve"> </w:t>
      </w:r>
      <w:r w:rsidR="00C75E96" w:rsidRPr="004147E2">
        <w:rPr>
          <w:lang w:val="en-US"/>
        </w:rPr>
        <w:fldChar w:fldCharType="begin" w:fldLock="1"/>
      </w:r>
      <w:r w:rsidR="00517C3C">
        <w:rPr>
          <w:lang w:val="en-US"/>
        </w:rPr>
        <w:instrText>ADDIN CSL_CITATION {"citationItems":[{"id":"ITEM-1","itemData":{"DOI":"10.1111/eva.12370","ISSN":"17524571","abstract":"Transgenerational effects can buffer populations against environmental change, yet little is known about underlying mechanisms, their persistence or the influence of environmental cue timing. We investigated mitochondrial respiratory capacity (MRC) and gene expression of marine sticklebacks that experienced acute or developmental acclimation to simulated ocean warming (21°C) across three generations. Previous work showed that acute acclimation of grandmothers to 21°C led to lower (optimized) offspring MRCs. Here, developmental acclimation of mothers to 21°C led to higher, but more efficient offspring MRCs. Offspring with a 21°C × 17°C grandmother-mother environment mismatch showed metabolic compensation: their MRCs were as low as offspring with a 17°C thermal history across generations. Transcriptional analyses showed primarily maternal but also grandmaternal environment effects: genes involved in metabolism and mitochondrial protein biosynthesis were differentially expressed when mothers developed at 21°C, whereas 21°C grandmothers influenced genes involved in hemostasis and apoptosis. Genes involved in mitochondrial respiration all showed higher expression when mothers developed at 21° and lower expression in the 21°C × 17°C group, matching the phenotypic pattern for MRCs. Our study links transcriptomics to physiology under climate change, and demonstrates that mechanisms underlying transgenerational effects persist across multiple generations with specific outcomes depending on acclimation type and environmental mismatch between generations.","author":[{"dropping-particle":"","family":"Shama","given":"Lisa N.S.","non-dropping-particle":"","parse-names":false,"suffix":""},{"dropping-particle":"","family":"Mark","given":"Felix C.","non-dropping-particle":"","parse-names":false,"suffix":""},{"dropping-particle":"","family":"Strobel","given":"Anneli","non-dropping-particle":"","parse-names":false,"suffix":""},{"dropping-particle":"","family":"Lokmer","given":"Ana","non-dropping-particle":"","parse-names":false,"suffix":""},{"dropping-particle":"","family":"John","given":"Uwe","non-dropping-particle":"","parse-names":false,"suffix":""},{"dropping-particle":"","family":"Mathias Wegner","given":"K.","non-dropping-particle":"","parse-names":false,"suffix":""}],"container-title":"Evolutionary Applications","id":"ITEM-1","issue":"9","issued":{"date-parts":[["2016"]]},"page":"1096-1111","title":"Transgenerational effects persist down the maternal line in marine sticklebacks: gene expression matches physiology in a warming ocean","type":"article-journal","volume":"9"},"uris":["http://www.mendeley.com/documents/?uuid=5aa9e77f-1790-433d-92cd-3fff7f1f56f1"]}],"mendeley":{"formattedCitation":"(Shama &lt;i&gt;et al.&lt;/i&gt;, 2016)","manualFormatting":"(i.e. months for each generation; Shama et al., 2016)","plainTextFormattedCitation":"(Shama et al., 2016)","previouslyFormattedCitation":"(Shama &lt;i&gt;et al.&lt;/i&gt;, 2016)"},"properties":{"noteIndex":0},"schema":"https://github.com/citation-style-language/schema/raw/master/csl-citation.json"}</w:instrText>
      </w:r>
      <w:r w:rsidR="00C75E96" w:rsidRPr="004147E2">
        <w:rPr>
          <w:lang w:val="en-US"/>
        </w:rPr>
        <w:fldChar w:fldCharType="separate"/>
      </w:r>
      <w:r w:rsidR="00047E90" w:rsidRPr="004147E2">
        <w:rPr>
          <w:noProof/>
          <w:lang w:val="en-US"/>
        </w:rPr>
        <w:t>(</w:t>
      </w:r>
      <w:r w:rsidR="00692EF0" w:rsidRPr="004147E2">
        <w:rPr>
          <w:noProof/>
          <w:lang w:val="en-US"/>
        </w:rPr>
        <w:t>i.e. months</w:t>
      </w:r>
      <w:r w:rsidR="008973F6" w:rsidRPr="004147E2">
        <w:rPr>
          <w:noProof/>
          <w:lang w:val="en-US"/>
        </w:rPr>
        <w:t xml:space="preserve"> for each generation</w:t>
      </w:r>
      <w:r w:rsidR="00EA5966" w:rsidRPr="004147E2">
        <w:rPr>
          <w:noProof/>
          <w:lang w:val="en-US"/>
        </w:rPr>
        <w:t xml:space="preserve">; </w:t>
      </w:r>
      <w:r w:rsidR="00047E90" w:rsidRPr="004147E2">
        <w:rPr>
          <w:noProof/>
          <w:lang w:val="en-US"/>
        </w:rPr>
        <w:t xml:space="preserve">Shama </w:t>
      </w:r>
      <w:r w:rsidR="00047E90" w:rsidRPr="004147E2">
        <w:rPr>
          <w:i/>
          <w:noProof/>
          <w:lang w:val="en-US"/>
        </w:rPr>
        <w:t>et al.</w:t>
      </w:r>
      <w:r w:rsidR="00047E90" w:rsidRPr="004147E2">
        <w:rPr>
          <w:noProof/>
          <w:lang w:val="en-US"/>
        </w:rPr>
        <w:t>, 2016)</w:t>
      </w:r>
      <w:r w:rsidR="00C75E96" w:rsidRPr="004147E2">
        <w:rPr>
          <w:lang w:val="en-US"/>
        </w:rPr>
        <w:fldChar w:fldCharType="end"/>
      </w:r>
      <w:r w:rsidR="00C75E96" w:rsidRPr="004147E2">
        <w:rPr>
          <w:lang w:val="en-US"/>
        </w:rPr>
        <w:t>.</w:t>
      </w:r>
      <w:r w:rsidR="009C0BA7" w:rsidRPr="004147E2">
        <w:rPr>
          <w:lang w:val="en-US"/>
        </w:rPr>
        <w:t xml:space="preserve"> </w:t>
      </w:r>
      <w:r w:rsidR="004004D2" w:rsidRPr="004147E2">
        <w:rPr>
          <w:lang w:val="en-US"/>
        </w:rPr>
        <w:t xml:space="preserve">Some </w:t>
      </w:r>
      <w:r w:rsidR="00670831" w:rsidRPr="004147E2">
        <w:rPr>
          <w:lang w:val="en-US"/>
        </w:rPr>
        <w:t xml:space="preserve">studies have </w:t>
      </w:r>
      <w:r w:rsidR="00E578CE" w:rsidRPr="004147E2">
        <w:rPr>
          <w:lang w:val="en-US"/>
        </w:rPr>
        <w:t>alternatively</w:t>
      </w:r>
      <w:r w:rsidR="004004D2" w:rsidRPr="004147E2">
        <w:rPr>
          <w:lang w:val="en-US"/>
        </w:rPr>
        <w:t xml:space="preserve"> </w:t>
      </w:r>
      <w:r w:rsidR="00670831" w:rsidRPr="004147E2">
        <w:rPr>
          <w:lang w:val="en-US"/>
        </w:rPr>
        <w:t>revealed</w:t>
      </w:r>
      <w:r w:rsidR="0020082E" w:rsidRPr="004147E2">
        <w:rPr>
          <w:lang w:val="en-US"/>
        </w:rPr>
        <w:t xml:space="preserve"> c</w:t>
      </w:r>
      <w:r w:rsidR="00450266" w:rsidRPr="004147E2">
        <w:rPr>
          <w:lang w:val="en-US"/>
        </w:rPr>
        <w:t xml:space="preserve">onserved </w:t>
      </w:r>
      <w:r w:rsidRPr="004147E2">
        <w:rPr>
          <w:lang w:val="en-US"/>
        </w:rPr>
        <w:t xml:space="preserve">cellular stress responses associated with protein turnover, metabolic shifts and response to oxidative stress </w:t>
      </w:r>
      <w:r w:rsidR="00670831" w:rsidRPr="004147E2">
        <w:rPr>
          <w:lang w:val="en-US"/>
        </w:rPr>
        <w:t>among multiple</w:t>
      </w:r>
      <w:r w:rsidRPr="004147E2">
        <w:rPr>
          <w:lang w:val="en-US"/>
        </w:rPr>
        <w:t xml:space="preserve"> </w:t>
      </w:r>
      <w:r w:rsidR="007B7D0D" w:rsidRPr="004147E2">
        <w:rPr>
          <w:lang w:val="en-US"/>
        </w:rPr>
        <w:t xml:space="preserve">fish </w:t>
      </w:r>
      <w:r w:rsidRPr="004147E2">
        <w:rPr>
          <w:lang w:val="en-US"/>
        </w:rPr>
        <w:t xml:space="preserve">taxa </w:t>
      </w:r>
      <w:r w:rsidR="007F31BA" w:rsidRPr="004147E2">
        <w:rPr>
          <w:lang w:val="en-US"/>
        </w:rPr>
        <w:fldChar w:fldCharType="begin" w:fldLock="1"/>
      </w:r>
      <w:r w:rsidR="007602F2">
        <w:rPr>
          <w:lang w:val="en-US"/>
        </w:rPr>
        <w:instrText>ADDIN CSL_CITATION {"citationItems":[{"id":"ITEM-1","itemData":{"DOI":"10.1242/jeb.114397","ISSN":"00220949","PMID":"26085668","abstract":"Ectothermic species like fishes differ greatly in the thermal ranges they tolerate; some eurythermal species may encounter temperature ranges in excess of 25°C, whereas stenothermal species in polar and tropical waters live at essentially constant temperatures. Thermal specialization comes with fitness trade-offs and as temperature increases due to global warming, the physiological basis of specialization and thermal plasticity has become of great interest. Over the past 50 years, comparative physiologists have studied the physiological and molecular differences between stenothermal and eurythermal fishes. It is now well known that many stenothermal fishes have lost an inducible heat shock response (HSR). Recent advances in transcriptomics have now made it possible to examine genome-wide changes in gene expression (GE) in non-model ecologically important fish, broadening our view beyond the HSR to regulation of genes involved in hundreds of other cellular processes. Here, we review the major findings from transcriptomic studies of extreme eurythermal and stenothermal fishes in response to acute and long-term exposure to temperature, both time scales being critically important for predicting climate change responses. We consider possible molecular adaptations that underlie eurythermy and stenothermy in teleosts. Furthermore, we highlight the challenges that still face the field of comparative environmental genomics and suggest fruitful paths of future investigation.","author":[{"dropping-particle":"","family":"Logan","given":"Cheryl A.","non-dropping-particle":"","parse-names":false,"suffix":""},{"dropping-particle":"","family":"Buckley","given":"Bradley A.","non-dropping-particle":"","parse-names":false,"suffix":""}],"container-title":"Journal of Experimental Biology","id":"ITEM-1","issue":"12","issued":{"date-parts":[["2015"]]},"page":"1915-1924","title":"Transcriptomic responses to environmental temperature in eurythermal and stenothermal fishes","type":"article-journal","volume":"218"},"uris":["http://www.mendeley.com/documents/?uuid=83dcf119-4d6b-45a9-80ab-6801a75fb44f","http://www.mendeley.com/documents/?uuid=69699eef-44ec-4929-bd33-552014141cde"]},{"id":"ITEM-2","itemData":{"DOI":"10.1023/A:1008812500650","ISSN":"09603166","abstract":"Heat shock proteins (HSP) are a family of proteins expressed in response to a wide range of biotic and abiotic stressors. They are thus also referred to as stress proteins. Their extraordinarily high degree of identity at the amino acid sequence level and the fact that this cellular stress response has been described in nearly all organisms studied, make this group of proteins unique. We provide a brief historical overview of HSP research, as a background to summarizing what is known about HSP expression in fish. The expression of HSPs in fish has been described in cell lines, primary cultures of various cells, and in the tissues of whole organisms. Collectively, the data show that the expression of HSPs are affected in a wide variety of fish cells and tissues, in response both to biological stressors such as infectious pathogens, as well as to abiotic stressors such as heat and cold shock, and environmental contaminants. HSP research in fish is in its early stages and many studies are describing the expression of proteins in response to various stressors. Several studies have contributed to our understanding of the molecular nature and the molecular biology of HSPs in fish. Recent studies have shown a relationship between HSP expression and the generalized stress response in fish, but further research is needed to clarify the complex relationships between stress hormones and the cellular HSP response. In general, the HSP response seems to be related to the sensing of the stressor and the subsequent cellular effects which may adapt the cells to cope with the stressors. Consequently, such data may be of central importance in understanding the significance of HSP expression to the whole organism. We conclude with sections on laboratory methods used in HSP research and on potential applications of this knowledge in biomonitoring.","author":[{"dropping-particle":"","family":"Iwama","given":"George K.","non-dropping-particle":"","parse-names":false,"suffix":""},{"dropping-particle":"","family":"Thomas","given":"Philip T.","non-dropping-particle":"","parse-names":false,"suffix":""},{"dropping-particle":"","family":"Forsyth","given":"Robert B.","non-dropping-particle":"","parse-names":false,"suffix":""},{"dropping-particle":"","family":"Vijayan","given":"Mathilakath M.","non-dropping-particle":"","parse-names":false,"suffix":""}],"container-title":"Reviews in Fish Biology and Fisheries","id":"ITEM-2","issue":"1","issued":{"date-parts":[["1998"]]},"page":"35-56","title":"Heat shock protein expression in fish","type":"article-journal","volume":"8"},"uris":["http://www.mendeley.com/documents/?uuid=a808e722-89d7-481c-a951-f1c8167309a5","http://www.mendeley.com/documents/?uuid=b9811705-0a2f-47a7-91c7-84bacf6ceaf1"]}],"mendeley":{"formattedCitation":"(Iwama &lt;i&gt;et al.&lt;/i&gt;, 1998; Logan and Buckley, 2015)","plainTextFormattedCitation":"(Iwama et al., 1998; Logan and Buckley, 2015)","previouslyFormattedCitation":"(Iwama &lt;i&gt;et al.&lt;/i&gt;, 1998; Logan and Buckley, 2015)"},"properties":{"noteIndex":0},"schema":"https://github.com/citation-style-language/schema/raw/master/csl-citation.json"}</w:instrText>
      </w:r>
      <w:r w:rsidR="007F31BA" w:rsidRPr="004147E2">
        <w:rPr>
          <w:lang w:val="en-US"/>
        </w:rPr>
        <w:fldChar w:fldCharType="separate"/>
      </w:r>
      <w:r w:rsidR="007F31BA" w:rsidRPr="004147E2">
        <w:rPr>
          <w:noProof/>
          <w:lang w:val="en-US"/>
        </w:rPr>
        <w:t xml:space="preserve">(Iwama </w:t>
      </w:r>
      <w:r w:rsidR="007F31BA" w:rsidRPr="004147E2">
        <w:rPr>
          <w:i/>
          <w:noProof/>
          <w:lang w:val="en-US"/>
        </w:rPr>
        <w:t>et al.</w:t>
      </w:r>
      <w:r w:rsidR="007F31BA" w:rsidRPr="004147E2">
        <w:rPr>
          <w:noProof/>
          <w:lang w:val="en-US"/>
        </w:rPr>
        <w:t>, 1998; Logan and Buckley, 2015)</w:t>
      </w:r>
      <w:r w:rsidR="007F31BA" w:rsidRPr="004147E2">
        <w:rPr>
          <w:lang w:val="en-US"/>
        </w:rPr>
        <w:fldChar w:fldCharType="end"/>
      </w:r>
      <w:r w:rsidR="007F31BA" w:rsidRPr="004147E2">
        <w:rPr>
          <w:lang w:val="en-US"/>
        </w:rPr>
        <w:t>.</w:t>
      </w:r>
      <w:r w:rsidRPr="004147E2">
        <w:rPr>
          <w:lang w:val="en-US"/>
        </w:rPr>
        <w:t xml:space="preserve"> </w:t>
      </w:r>
      <w:r w:rsidR="0013057E" w:rsidRPr="004147E2">
        <w:rPr>
          <w:lang w:val="en-US"/>
        </w:rPr>
        <w:t>By</w:t>
      </w:r>
      <w:r w:rsidR="0020082E" w:rsidRPr="004147E2">
        <w:rPr>
          <w:lang w:val="en-US"/>
        </w:rPr>
        <w:t xml:space="preserve"> </w:t>
      </w:r>
      <w:r w:rsidR="004F3370" w:rsidRPr="004147E2">
        <w:rPr>
          <w:lang w:val="en-US"/>
        </w:rPr>
        <w:t>analyzing</w:t>
      </w:r>
      <w:r w:rsidR="0013057E" w:rsidRPr="004147E2">
        <w:rPr>
          <w:lang w:val="en-US"/>
        </w:rPr>
        <w:t xml:space="preserve"> </w:t>
      </w:r>
      <w:r w:rsidR="0020082E" w:rsidRPr="004147E2">
        <w:rPr>
          <w:lang w:val="en-US"/>
        </w:rPr>
        <w:t>t</w:t>
      </w:r>
      <w:r w:rsidR="0035663F" w:rsidRPr="004147E2">
        <w:rPr>
          <w:lang w:val="en-US"/>
        </w:rPr>
        <w:t xml:space="preserve">ranscriptomics across </w:t>
      </w:r>
      <w:r w:rsidR="00164DD7" w:rsidRPr="004147E2">
        <w:rPr>
          <w:lang w:val="en-US"/>
        </w:rPr>
        <w:t>fish families</w:t>
      </w:r>
      <w:r w:rsidR="00450266" w:rsidRPr="004147E2">
        <w:rPr>
          <w:lang w:val="en-US"/>
        </w:rPr>
        <w:t xml:space="preserve"> </w:t>
      </w:r>
      <w:r w:rsidR="00D95437" w:rsidRPr="004147E2">
        <w:rPr>
          <w:lang w:val="en-US"/>
        </w:rPr>
        <w:fldChar w:fldCharType="begin" w:fldLock="1"/>
      </w:r>
      <w:r w:rsidR="007602F2">
        <w:rPr>
          <w:lang w:val="en-US"/>
        </w:rPr>
        <w:instrText>ADDIN CSL_CITATION {"citationItems":[{"id":"ITEM-1","itemData":{"DOI":"10.1111/eva.13172","ISSN":"17524571","abstract":"Capacity to cope with warming temperatures is a key determining factor of species' persistence under global climate change. Many successful invasive species have heightened thermal tolerance relative to their native counterparts, which may provide competitive advantages for habitat utilization and resource acquisition under warming scenarios, ultimately contributing to radically altered community composition. Enhanced transcriptional plasticity may be an important factor conferring superior abilities to cope with environmental stress, but the molecular mechanisms driving key differences of organismal traits in invasive versus native species are not well known. Although it is predicted that established invaders will evolve canalized phenotypes well-adapted to new environments, it is not clear whether the same expectations are true for invaders of variable thermal environments or under climate warming scenarios where abilities to cope with fluctuating and increasing temperatures may provide fitness advantages. Here, we compare a highly successful invasive fish and a sympatric endangered native fish living in a dynamic estuarine environment that is projected to warm under climate change. We linked organismal physiological limits with global transcriptional responses at multiple common relative and absolute temperature thresholds and determined that heightened thermal tolerance of invasive Inland Silversides (Menidia beryllina) is associated with transcriptional changes that are greater both in the number of genes and the magnitude of response relative to native Delta Smelt (Hypomesus transpacificus). Modulated genes contributed to the enrichment of biological processes that differed between species and generally increased with temperature. These results are in concordance with the hypothesis that transcriptional plasticity may play a key role in determining population persistence, species interactions, and shaping community assemblages under climate change. Future studies encompassing a wider range of species and taxa are needed to determine whether this is a general pattern found between native and invasive species more broadly.","author":[{"dropping-particle":"","family":"Komoroske","given":"Lisa M.","non-dropping-particle":"","parse-names":false,"suffix":""},{"dropping-particle":"","family":"Jeffries","given":"Ken M.","non-dropping-particle":"","parse-names":false,"suffix":""},{"dropping-particle":"","family":"Whitehead","given":"Andrew","non-dropping-particle":"","parse-names":false,"suffix":""},{"dropping-particle":"","family":"Roach","given":"Jennifer L.","non-dropping-particle":"","parse-names":false,"suffix":""},{"dropping-particle":"","family":"Britton","given":"Monica","non-dropping-particle":"","parse-names":false,"suffix":""},{"dropping-particle":"","family":"Connon","given":"Richard E.","non-dropping-particle":"","parse-names":false,"suffix":""},{"dropping-particle":"","family":"Verhille","given":"Christine","non-dropping-particle":"","parse-names":false,"suffix":""},{"dropping-particle":"","family":"Brander","given":"Susanne M.","non-dropping-particle":"","parse-names":false,"suffix":""},{"dropping-particle":"","family":"Fangue","given":"Nann A.","non-dropping-particle":"","parse-names":false,"suffix":""}],"container-title":"Evolutionary Applications","id":"ITEM-1","issue":"4","issued":{"date-parts":[["2021"]]},"page":"931-949","title":"Transcriptional flexibility during thermal challenge corresponds with expanded thermal tolerance in an invasive compared to native fish","type":"article-journal","volume":"14"},"uris":["http://www.mendeley.com/documents/?uuid=68a9120c-53fd-4977-976d-c130ae497ef5","http://www.mendeley.com/documents/?uuid=60753018-57e7-4a0c-8d5a-315aad706429"]},{"id":"ITEM-2","itemData":{"DOI":"10.1242/jeb.114397","ISSN":"00220949","PMID":"26085668","abstract":"Ectothermic species like fishes differ greatly in the thermal ranges they tolerate; some eurythermal species may encounter temperature ranges in excess of 25°C, whereas stenothermal species in polar and tropical waters live at essentially constant temperatures. Thermal specialization comes with fitness trade-offs and as temperature increases due to global warming, the physiological basis of specialization and thermal plasticity has become of great interest. Over the past 50 years, comparative physiologists have studied the physiological and molecular differences between stenothermal and eurythermal fishes. It is now well known that many stenothermal fishes have lost an inducible heat shock response (HSR). Recent advances in transcriptomics have now made it possible to examine genome-wide changes in gene expression (GE) in non-model ecologically important fish, broadening our view beyond the HSR to regulation of genes involved in hundreds of other cellular processes. Here, we review the major findings from transcriptomic studies of extreme eurythermal and stenothermal fishes in response to acute and long-term exposure to temperature, both time scales being critically important for predicting climate change responses. We consider possible molecular adaptations that underlie eurythermy and stenothermy in teleosts. Furthermore, we highlight the challenges that still face the field of comparative environmental genomics and suggest fruitful paths of future investigation.","author":[{"dropping-particle":"","family":"Logan","given":"Cheryl A.","non-dropping-particle":"","parse-names":false,"suffix":""},{"dropping-particle":"","family":"Buckley","given":"Bradley A.","non-dropping-particle":"","parse-names":false,"suffix":""}],"container-title":"Journal of Experimental Biology","id":"ITEM-2","issue":"12","issued":{"date-parts":[["2015"]]},"page":"1915-1924","title":"Transcriptomic responses to environmental temperature in eurythermal and stenothermal fishes","type":"article-journal","volume":"218"},"uris":["http://www.mendeley.com/documents/?uuid=69699eef-44ec-4929-bd33-552014141cde","http://www.mendeley.com/documents/?uuid=0fbc6c6c-6172-480a-a9af-f9c663a44806"]}],"mendeley":{"formattedCitation":"(Logan and Buckley, 2015; Komoroske &lt;i&gt;et al.&lt;/i&gt;, 2021)","plainTextFormattedCitation":"(Logan and Buckley, 2015; Komoroske et al., 2021)","previouslyFormattedCitation":"(Logan and Buckley, 2015; Komoroske &lt;i&gt;et al.&lt;/i&gt;, 2021)"},"properties":{"noteIndex":0},"schema":"https://github.com/citation-style-language/schema/raw/master/csl-citation.json"}</w:instrText>
      </w:r>
      <w:r w:rsidR="00D95437" w:rsidRPr="004147E2">
        <w:rPr>
          <w:lang w:val="en-US"/>
        </w:rPr>
        <w:fldChar w:fldCharType="separate"/>
      </w:r>
      <w:r w:rsidR="00D95437" w:rsidRPr="004147E2">
        <w:rPr>
          <w:noProof/>
        </w:rPr>
        <w:t xml:space="preserve">(Logan and Buckley, 2015; Komoroske </w:t>
      </w:r>
      <w:r w:rsidR="00D95437" w:rsidRPr="004147E2">
        <w:rPr>
          <w:i/>
          <w:noProof/>
        </w:rPr>
        <w:t>et al.</w:t>
      </w:r>
      <w:r w:rsidR="00D95437" w:rsidRPr="004147E2">
        <w:rPr>
          <w:noProof/>
        </w:rPr>
        <w:t xml:space="preserve">, </w:t>
      </w:r>
      <w:r w:rsidR="00D95437" w:rsidRPr="004147E2">
        <w:rPr>
          <w:noProof/>
        </w:rPr>
        <w:lastRenderedPageBreak/>
        <w:t>2021)</w:t>
      </w:r>
      <w:r w:rsidR="00D95437" w:rsidRPr="004147E2">
        <w:rPr>
          <w:lang w:val="en-US"/>
        </w:rPr>
        <w:fldChar w:fldCharType="end"/>
      </w:r>
      <w:r w:rsidR="00E82D01" w:rsidRPr="004147E2">
        <w:rPr>
          <w:lang w:val="en-US"/>
        </w:rPr>
        <w:t>,</w:t>
      </w:r>
      <w:r w:rsidR="0020082E" w:rsidRPr="004147E2">
        <w:rPr>
          <w:lang w:val="en-US"/>
        </w:rPr>
        <w:t xml:space="preserve"> </w:t>
      </w:r>
      <w:r w:rsidR="0056368A" w:rsidRPr="004147E2">
        <w:t xml:space="preserve">changes in processes like </w:t>
      </w:r>
      <w:r w:rsidR="00830E60" w:rsidRPr="004147E2">
        <w:t>metabolism</w:t>
      </w:r>
      <w:r w:rsidR="0056368A" w:rsidRPr="004147E2">
        <w:t>, oxygen delivery and response to reactive oxygen species may indicate signatures of acclimation to elevated temperature over multiple generations</w:t>
      </w:r>
      <w:r w:rsidR="0056368A" w:rsidRPr="004147E2" w:rsidDel="0056368A">
        <w:t xml:space="preserve"> </w:t>
      </w:r>
      <w:r w:rsidR="00120A4E" w:rsidRPr="004147E2">
        <w:fldChar w:fldCharType="begin" w:fldLock="1"/>
      </w:r>
      <w:r w:rsidR="00517C3C">
        <w:instrText>ADDIN CSL_CITATION {"citationItems":[{"id":"ITEM-1","itemData":{"DOI":"10.1111/mec.14884","ISSN":"1365294X","PMID":"30267545","abstract":"Global warming will have far-reaching consequences for marine species over coming decades, yet the magnitude of these effects may depend on the rate of warming across generations. Recent experiments show coral reef fishes can compensate the metabolic challenges of elevated temperature when warm conditions are maintained across generations. However, the effects of a gradual temperature increase across generations remain unknown. In the present study, we analysed metabolic and molecular traits in the damselfish Acanthochromis polyacanthus that were exposed to +1.5°C in the first generation and +3.0°C in the second (Step +3.0°C). This treatment of stepwise warming was compared to fish reared at current-day temperatures (Control), second-generation fish of control parents reared at +3.0°C (Developmental +3.0°C) and fish exposed to elevated temperatures for two generations (Transgenerational +1.5°C and Transgenerational +3.0°C). Hepatosomatic index, oxygen consumption and liver gene expression were compared in second-generation fish of the multiple treatments. Hepatosomatic index increased in fish that developed at +3.0°C, regardless of the parental temperature. Routine oxygen consumption of Step +3.0°C fish was significantly higher than Control; however, their aerobic scope recovered to the same level as Control fish. Step +3.0°C fish exhibited significant upregulation of genes related to mitochondrial activity and energy production, which could be associated with their increased metabolic rates. These results indicate that restoration of aerobic scope is possible when fish experience gradual thermal increase across multiple generations, but the metabolic and molecular responses are different from fish reared at the same elevated thermal conditions in successive generations.","author":[{"dropping-particle":"","family":"Bernal","given":"Moisés A.","non-dropping-particle":"","parse-names":false,"suffix":""},{"dropping-particle":"","family":"Donelson","given":"Jennifer M.","non-dropping-particle":"","parse-names":false,"suffix":""},{"dropping-particle":"","family":"Veilleux","given":"Heather D.","non-dropping-particle":"","parse-names":false,"suffix":""},{"dropping-particle":"","family":"Ryu","given":"Taewoo","non-dropping-particle":"","parse-names":false,"suffix":""},{"dropping-particle":"","family":"Munday","given":"Philip L.","non-dropping-particle":"","parse-names":false,"suffix":""},{"dropping-particle":"","family":"Ravasi","given":"Timothy","non-dropping-particle":"","parse-names":false,"suffix":""}],"container-title":"Molecular Ecology","id":"ITEM-1","issue":"22","issued":{"date-parts":[["2018"]]},"page":"4516-4528","title":"Phenotypic and molecular consequences of stepwise temperature increase across generations in a coral reef fish","type":"article-journal","volume":"27"},"uris":["http://www.mendeley.com/documents/?uuid=c6f8909d-50b7-4369-af34-f77e0cb5c202"]},{"id":"ITEM-2","itemData":{"DOI":"10.1038/nclimate2724","ISSN":"17586798","abstract":"Some animals have the remarkable capacity to acclimate across generations to projected future climate change; however, the underlying molecular processes are unknown. We sequenced and assembled de novo transcriptomes of adult tropical reef fish exposed developmentally or transgenerationally to projected future ocean temperatures and correlated the resulting expression profiles with acclimated metabolic traits from the same fish. We identified 69 contigs representing 53 key genes involved in thermal acclimation of aerobic capacity. Metabolic genes were among the most upregulated transgenerationally, suggesting shifts in energy production for maintaining performance at elevated temperatures. Furthermore, immune- and stress-responsive genes were upregulated transgenerationally, indicating a new complement of genes allowing the second generation of fish to better cope with elevated temperatures. Other differentially expressed genes were involved with tissue development and transcriptional regulation. Overall, we found a similar suite of differentially expressed genes among developmental and transgenerational treatments. Heat-shock protein genes were surprisingly unresponsive, indicating that short-term heat-stress responses may not be a good indicator of long-term acclimation capacity. Our results are the first to reveal the molecular processes that may enable marine fishes to adjust to a future warmer environment over multiple generations.","author":[{"dropping-particle":"","family":"Veilleux","given":"Heather D.","non-dropping-particle":"","parse-names":false,"suffix":""},{"dropping-particle":"","family":"Ryu","given":"Taewoo","non-dropping-particle":"","parse-names":false,"suffix":""},{"dropping-particle":"","family":"Donelson","given":"Jennifer M.","non-dropping-particle":"","parse-names":false,"suffix":""},{"dropping-particle":"","family":"Herwerden","given":"Lynne","non-dropping-particle":"Van","parse-names":false,"suffix":""},{"dropping-particle":"","family":"Seridi","given":"Loqmane","non-dropping-particle":"","parse-names":false,"suffix":""},{"dropping-particle":"","family":"Ghosheh","given":"Yanal","non-dropping-particle":"","parse-names":false,"suffix":""},{"dropping-particle":"","family":"Berumen","given":"Michael L.","non-dropping-particle":"","parse-names":false,"suffix":""},{"dropping-particle":"","family":"Leggat","given":"William","non-dropping-particle":"","parse-names":false,"suffix":""},{"dropping-particle":"","family":"Ravasi","given":"Timothy","non-dropping-particle":"","parse-names":false,"suffix":""},{"dropping-particle":"","family":"Munday","given":"Philip L.","non-dropping-particle":"","parse-names":false,"suffix":""}],"container-title":"Nature Climate Change","id":"ITEM-2","issue":"12","issued":{"date-parts":[["2015"]]},"page":"1074-1078","title":"Molecular processes of transgenerational acclimation to a warming ocean","type":"article-journal","volume":"5"},"uris":["http://www.mendeley.com/documents/?uuid=cb59c796-e210-49ca-a274-8770de3bba37"]}],"mendeley":{"formattedCitation":"(Veilleux &lt;i&gt;et al.&lt;/i&gt;, 2015; Bernal &lt;i&gt;et al.&lt;/i&gt;, 2018)","plainTextFormattedCitation":"(Veilleux et al., 2015; Bernal et al., 2018)","previouslyFormattedCitation":"(Veilleux &lt;i&gt;et al.&lt;/i&gt;, 2015; Bernal &lt;i&gt;et al.&lt;/i&gt;, 2018)"},"properties":{"noteIndex":0},"schema":"https://github.com/citation-style-language/schema/raw/master/csl-citation.json"}</w:instrText>
      </w:r>
      <w:r w:rsidR="00120A4E" w:rsidRPr="004147E2">
        <w:fldChar w:fldCharType="separate"/>
      </w:r>
      <w:r w:rsidR="00221F07" w:rsidRPr="004147E2">
        <w:rPr>
          <w:noProof/>
        </w:rPr>
        <w:t xml:space="preserve">(Veilleux </w:t>
      </w:r>
      <w:r w:rsidR="00221F07" w:rsidRPr="004147E2">
        <w:rPr>
          <w:i/>
          <w:noProof/>
        </w:rPr>
        <w:t>et al.</w:t>
      </w:r>
      <w:r w:rsidR="00221F07" w:rsidRPr="004147E2">
        <w:rPr>
          <w:noProof/>
        </w:rPr>
        <w:t xml:space="preserve">, 2015; Bernal </w:t>
      </w:r>
      <w:r w:rsidR="00221F07" w:rsidRPr="004147E2">
        <w:rPr>
          <w:i/>
          <w:noProof/>
        </w:rPr>
        <w:t>et al.</w:t>
      </w:r>
      <w:r w:rsidR="00221F07" w:rsidRPr="004147E2">
        <w:rPr>
          <w:noProof/>
        </w:rPr>
        <w:t>, 2018)</w:t>
      </w:r>
      <w:r w:rsidR="00120A4E" w:rsidRPr="004147E2">
        <w:fldChar w:fldCharType="end"/>
      </w:r>
      <w:r w:rsidR="00010AFA" w:rsidRPr="004147E2">
        <w:rPr>
          <w:lang w:val="en-US"/>
        </w:rPr>
        <w:t>.</w:t>
      </w:r>
      <w:r w:rsidR="00081B74" w:rsidRPr="004147E2">
        <w:rPr>
          <w:lang w:val="en-US"/>
        </w:rPr>
        <w:t xml:space="preserve"> </w:t>
      </w:r>
      <w:r w:rsidR="006B0DB8" w:rsidRPr="004147E2">
        <w:rPr>
          <w:lang w:val="en-US"/>
        </w:rPr>
        <w:t>Hence,</w:t>
      </w:r>
      <w:r w:rsidR="0020082E" w:rsidRPr="004147E2">
        <w:rPr>
          <w:lang w:val="en-US"/>
        </w:rPr>
        <w:t xml:space="preserve"> t</w:t>
      </w:r>
      <w:r w:rsidR="00F91931" w:rsidRPr="004147E2">
        <w:rPr>
          <w:lang w:val="en-US"/>
        </w:rPr>
        <w:t xml:space="preserve">he analysis of </w:t>
      </w:r>
      <w:r w:rsidR="00B072EF" w:rsidRPr="004147E2">
        <w:rPr>
          <w:lang w:val="en-US"/>
        </w:rPr>
        <w:t xml:space="preserve">underlying </w:t>
      </w:r>
      <w:r w:rsidR="00F91931" w:rsidRPr="004147E2">
        <w:rPr>
          <w:lang w:val="en-US"/>
        </w:rPr>
        <w:t xml:space="preserve">molecular mechanism </w:t>
      </w:r>
      <w:r w:rsidR="00B46AE2" w:rsidRPr="004147E2">
        <w:rPr>
          <w:lang w:val="en-US"/>
        </w:rPr>
        <w:t>associated with responses to warming</w:t>
      </w:r>
      <w:r w:rsidR="00F91931" w:rsidRPr="004147E2">
        <w:rPr>
          <w:lang w:val="en-US"/>
        </w:rPr>
        <w:t xml:space="preserve"> </w:t>
      </w:r>
      <w:r w:rsidR="00F93D1E">
        <w:rPr>
          <w:lang w:val="en-US"/>
        </w:rPr>
        <w:t>can help elucidate</w:t>
      </w:r>
      <w:r w:rsidR="0035663F" w:rsidRPr="004147E2">
        <w:rPr>
          <w:lang w:val="en-US"/>
        </w:rPr>
        <w:t xml:space="preserve"> the biological responses </w:t>
      </w:r>
      <w:r w:rsidR="00D96AB6" w:rsidRPr="004147E2">
        <w:rPr>
          <w:lang w:val="en-US"/>
        </w:rPr>
        <w:t>and acclimation potential</w:t>
      </w:r>
      <w:r w:rsidR="001505F4" w:rsidRPr="004147E2">
        <w:rPr>
          <w:lang w:val="en-US"/>
        </w:rPr>
        <w:t xml:space="preserve"> of fish</w:t>
      </w:r>
      <w:r w:rsidR="00E47FE7" w:rsidRPr="004147E2">
        <w:rPr>
          <w:lang w:val="en-US"/>
        </w:rPr>
        <w:t xml:space="preserve"> to marine heatwaves</w:t>
      </w:r>
      <w:r w:rsidR="0035663F" w:rsidRPr="004147E2">
        <w:rPr>
          <w:lang w:val="en-US"/>
        </w:rPr>
        <w:t>.</w:t>
      </w:r>
    </w:p>
    <w:p w14:paraId="78027E22" w14:textId="28850D8A" w:rsidR="000D65DC" w:rsidRPr="004147E2" w:rsidRDefault="0020082E" w:rsidP="000D65DC">
      <w:pPr>
        <w:spacing w:line="480" w:lineRule="auto"/>
        <w:ind w:firstLine="720"/>
        <w:jc w:val="both"/>
      </w:pPr>
      <w:r w:rsidRPr="004147E2">
        <w:rPr>
          <w:lang w:val="en-US"/>
        </w:rPr>
        <w:t>While u</w:t>
      </w:r>
      <w:r w:rsidR="00556090" w:rsidRPr="004147E2">
        <w:rPr>
          <w:lang w:val="en-US"/>
        </w:rPr>
        <w:t>nderstanding</w:t>
      </w:r>
      <w:r w:rsidR="00CD15D9" w:rsidRPr="004147E2">
        <w:rPr>
          <w:lang w:val="en-US"/>
        </w:rPr>
        <w:t xml:space="preserve"> the </w:t>
      </w:r>
      <w:r w:rsidR="00CD15D9" w:rsidRPr="004147E2">
        <w:t>molecular</w:t>
      </w:r>
      <w:r w:rsidR="00CD15D9" w:rsidRPr="004147E2">
        <w:rPr>
          <w:lang w:val="en-US"/>
        </w:rPr>
        <w:t xml:space="preserve"> response</w:t>
      </w:r>
      <w:r w:rsidR="00E62687" w:rsidRPr="004147E2">
        <w:rPr>
          <w:lang w:val="en-US"/>
        </w:rPr>
        <w:t>s of fish</w:t>
      </w:r>
      <w:r w:rsidR="00CD15D9" w:rsidRPr="004147E2">
        <w:rPr>
          <w:lang w:val="en-US"/>
        </w:rPr>
        <w:t xml:space="preserve"> to </w:t>
      </w:r>
      <w:r w:rsidR="00E62687" w:rsidRPr="004147E2">
        <w:rPr>
          <w:lang w:val="en-US"/>
        </w:rPr>
        <w:t xml:space="preserve">marine </w:t>
      </w:r>
      <w:r w:rsidR="00CD15D9" w:rsidRPr="004147E2">
        <w:rPr>
          <w:lang w:val="en-US"/>
        </w:rPr>
        <w:t>heatwaves</w:t>
      </w:r>
      <w:r w:rsidRPr="004147E2">
        <w:rPr>
          <w:lang w:val="en-US"/>
        </w:rPr>
        <w:t xml:space="preserve"> is crucial</w:t>
      </w:r>
      <w:r w:rsidR="00D96AB6" w:rsidRPr="004147E2">
        <w:rPr>
          <w:lang w:val="en-US"/>
        </w:rPr>
        <w:t xml:space="preserve">, </w:t>
      </w:r>
      <w:r w:rsidR="00B1200C" w:rsidRPr="004147E2">
        <w:rPr>
          <w:lang w:val="en-US"/>
        </w:rPr>
        <w:t>little attention has been given to RNA splicing</w:t>
      </w:r>
      <w:r w:rsidR="00D96AB6" w:rsidRPr="004147E2">
        <w:rPr>
          <w:lang w:val="en-US"/>
        </w:rPr>
        <w:t xml:space="preserve">. This </w:t>
      </w:r>
      <w:r w:rsidR="00B1200C" w:rsidRPr="004147E2">
        <w:rPr>
          <w:lang w:val="en-US"/>
        </w:rPr>
        <w:t xml:space="preserve">fundamental molecular process </w:t>
      </w:r>
      <w:r w:rsidRPr="004147E2">
        <w:rPr>
          <w:lang w:val="en-US"/>
        </w:rPr>
        <w:t>consists of the</w:t>
      </w:r>
      <w:r w:rsidR="00B1200C" w:rsidRPr="004147E2">
        <w:rPr>
          <w:lang w:val="en-US"/>
        </w:rPr>
        <w:t xml:space="preserve"> selective removal of introns and/or exons from the pre-mRNA resulting in the formation of a mature mRNA</w:t>
      </w:r>
      <w:r w:rsidR="00792590" w:rsidRPr="004147E2">
        <w:rPr>
          <w:lang w:val="en-US"/>
        </w:rPr>
        <w:t xml:space="preserve">. </w:t>
      </w:r>
      <w:r w:rsidR="00AC7E19" w:rsidRPr="004147E2">
        <w:rPr>
          <w:lang w:val="en-US"/>
        </w:rPr>
        <w:t>An a</w:t>
      </w:r>
      <w:r w:rsidR="00BE7CA8" w:rsidRPr="004147E2">
        <w:rPr>
          <w:lang w:val="en-US"/>
        </w:rPr>
        <w:t xml:space="preserve">lternative </w:t>
      </w:r>
      <w:r w:rsidR="00AC7E19" w:rsidRPr="004147E2">
        <w:rPr>
          <w:lang w:val="en-US"/>
        </w:rPr>
        <w:t xml:space="preserve">splicing process </w:t>
      </w:r>
      <w:r w:rsidR="00792590" w:rsidRPr="004147E2">
        <w:rPr>
          <w:lang w:val="en-US"/>
        </w:rPr>
        <w:t>can</w:t>
      </w:r>
      <w:r w:rsidR="00D1413F" w:rsidRPr="004147E2">
        <w:rPr>
          <w:lang w:val="en-US"/>
        </w:rPr>
        <w:t xml:space="preserve"> produce different mature-mRNA</w:t>
      </w:r>
      <w:r w:rsidR="005F0E74" w:rsidRPr="004147E2">
        <w:rPr>
          <w:lang w:val="en-US"/>
        </w:rPr>
        <w:t xml:space="preserve"> isoforms</w:t>
      </w:r>
      <w:r w:rsidR="00627A3A" w:rsidRPr="004147E2">
        <w:rPr>
          <w:lang w:val="en-US"/>
        </w:rPr>
        <w:t>,</w:t>
      </w:r>
      <w:r w:rsidR="00EB01FB" w:rsidRPr="004147E2">
        <w:rPr>
          <w:lang w:val="en-US"/>
        </w:rPr>
        <w:t xml:space="preserve"> which can</w:t>
      </w:r>
      <w:r w:rsidR="00792590" w:rsidRPr="004147E2">
        <w:rPr>
          <w:lang w:val="en-US"/>
        </w:rPr>
        <w:t xml:space="preserve"> </w:t>
      </w:r>
      <w:r w:rsidR="0052412B" w:rsidRPr="004147E2">
        <w:rPr>
          <w:lang w:val="en-US"/>
        </w:rPr>
        <w:t>chang</w:t>
      </w:r>
      <w:r w:rsidR="00D22EF1" w:rsidRPr="004147E2">
        <w:rPr>
          <w:lang w:val="en-US"/>
        </w:rPr>
        <w:t>e</w:t>
      </w:r>
      <w:r w:rsidR="0052412B" w:rsidRPr="004147E2">
        <w:rPr>
          <w:lang w:val="en-US"/>
        </w:rPr>
        <w:t xml:space="preserve"> </w:t>
      </w:r>
      <w:r w:rsidR="00A23BE1" w:rsidRPr="004147E2">
        <w:rPr>
          <w:lang w:val="en-US"/>
        </w:rPr>
        <w:t xml:space="preserve">the </w:t>
      </w:r>
      <w:r w:rsidR="00792590" w:rsidRPr="004147E2">
        <w:rPr>
          <w:lang w:val="en-US"/>
        </w:rPr>
        <w:t>functions of</w:t>
      </w:r>
      <w:r w:rsidR="00B1200C" w:rsidRPr="004147E2">
        <w:rPr>
          <w:lang w:val="en-US"/>
        </w:rPr>
        <w:t xml:space="preserve"> the</w:t>
      </w:r>
      <w:r w:rsidR="00792590" w:rsidRPr="004147E2">
        <w:rPr>
          <w:lang w:val="en-US"/>
        </w:rPr>
        <w:t xml:space="preserve"> </w:t>
      </w:r>
      <w:r w:rsidR="001D48BD" w:rsidRPr="004147E2">
        <w:rPr>
          <w:lang w:val="en-US"/>
        </w:rPr>
        <w:t>final</w:t>
      </w:r>
      <w:r w:rsidR="00792590" w:rsidRPr="004147E2">
        <w:rPr>
          <w:lang w:val="en-US"/>
        </w:rPr>
        <w:t xml:space="preserve"> protein</w:t>
      </w:r>
      <w:r w:rsidR="00A23BE1" w:rsidRPr="004147E2">
        <w:rPr>
          <w:lang w:val="en-US"/>
        </w:rPr>
        <w:t xml:space="preserve"> </w:t>
      </w:r>
      <w:r w:rsidR="008341AE" w:rsidRPr="004147E2">
        <w:rPr>
          <w:lang w:val="en-US"/>
        </w:rPr>
        <w:t>by</w:t>
      </w:r>
      <w:r w:rsidR="00A23BE1" w:rsidRPr="004147E2">
        <w:rPr>
          <w:lang w:val="en-US"/>
        </w:rPr>
        <w:t xml:space="preserve"> introduc</w:t>
      </w:r>
      <w:r w:rsidR="008341AE" w:rsidRPr="004147E2">
        <w:rPr>
          <w:lang w:val="en-US"/>
        </w:rPr>
        <w:t>ing</w:t>
      </w:r>
      <w:r w:rsidR="00792590" w:rsidRPr="004147E2">
        <w:rPr>
          <w:lang w:val="en-US"/>
        </w:rPr>
        <w:t xml:space="preserve"> new</w:t>
      </w:r>
      <w:r w:rsidR="00D715AC" w:rsidRPr="004147E2">
        <w:rPr>
          <w:lang w:val="en-US"/>
        </w:rPr>
        <w:t xml:space="preserve"> functional</w:t>
      </w:r>
      <w:r w:rsidR="00792590" w:rsidRPr="004147E2">
        <w:rPr>
          <w:lang w:val="en-US"/>
        </w:rPr>
        <w:t xml:space="preserve"> domain</w:t>
      </w:r>
      <w:r w:rsidR="008341AE" w:rsidRPr="004147E2">
        <w:rPr>
          <w:lang w:val="en-US"/>
        </w:rPr>
        <w:t>s</w:t>
      </w:r>
      <w:r w:rsidR="00792590" w:rsidRPr="004147E2">
        <w:rPr>
          <w:lang w:val="en-US"/>
        </w:rPr>
        <w:t xml:space="preserve"> or alter</w:t>
      </w:r>
      <w:r w:rsidR="008341AE" w:rsidRPr="004147E2">
        <w:rPr>
          <w:lang w:val="en-US"/>
        </w:rPr>
        <w:t>ing</w:t>
      </w:r>
      <w:r w:rsidR="00792590" w:rsidRPr="004147E2">
        <w:rPr>
          <w:lang w:val="en-US"/>
        </w:rPr>
        <w:t xml:space="preserve"> the </w:t>
      </w:r>
      <w:r w:rsidR="00425A4F" w:rsidRPr="004147E2">
        <w:rPr>
          <w:lang w:val="en-US"/>
        </w:rPr>
        <w:t>conventional</w:t>
      </w:r>
      <w:r w:rsidR="000822F0" w:rsidRPr="004147E2">
        <w:rPr>
          <w:lang w:val="en-US"/>
        </w:rPr>
        <w:t xml:space="preserve"> </w:t>
      </w:r>
      <w:r w:rsidRPr="004147E2">
        <w:rPr>
          <w:lang w:val="en-US"/>
        </w:rPr>
        <w:t xml:space="preserve">protein </w:t>
      </w:r>
      <w:r w:rsidR="00792590" w:rsidRPr="004147E2">
        <w:rPr>
          <w:lang w:val="en-US"/>
        </w:rPr>
        <w:t xml:space="preserve">structures </w:t>
      </w:r>
      <w:r w:rsidR="004F4102" w:rsidRPr="004147E2">
        <w:rPr>
          <w:noProof/>
          <w:lang w:val="en-US"/>
        </w:rPr>
        <w:fldChar w:fldCharType="begin" w:fldLock="1"/>
      </w:r>
      <w:r w:rsidR="007602F2">
        <w:rPr>
          <w:noProof/>
          <w:lang w:val="en-US"/>
        </w:rPr>
        <w:instrText>ADDIN CSL_CITATION {"citationItems":[{"id":"ITEM-1","itemData":{"DOI":"10.1016/j.gene.2012.07.083","ISSN":"03781119","PMID":"22909801","abstract":"Almost all polymerase II transcripts undergo alternative pre-mRNA splicing. Here, we review the functions of alternative splicing events that have been experimentally determined. The overall function of alternative splicing is to increase the diversity of mRNAs expressed from the genome. Alternative splicing changes proteins encoded by mRNAs, which has profound functional effects. Experimental analysis of these protein isoforms showed that alternative splicing regulates binding between proteins, between proteins and nucleic acids as well as between proteins and membranes. Alternative splicing regulates the localization of proteins, their enzymatic properties and their interaction with ligands. In most cases, changes caused by individual splicing isoforms are small. However, cells typically coordinate numerous changes in 'splicing programs', which can have strong effects on cell proliferation, cell survival and properties of the nervous system. Due to its widespread usage and molecular versatility, alternative splicing emerges as a central element in gene regulation that interferes with almost every biological function analyzed. © 2012 Elsevier B.V.","author":[{"dropping-particle":"","family":"Kelemen","given":"Olga","non-dropping-particle":"","parse-names":false,"suffix":""},{"dropping-particle":"","family":"Convertini","given":"Paolo","non-dropping-particle":"","parse-names":false,"suffix":""},{"dropping-particle":"","family":"Zhang","given":"Zhaiyi","non-dropping-particle":"","parse-names":false,"suffix":""},{"dropping-particle":"","family":"Wen","given":"Yuan","non-dropping-particle":"","parse-names":false,"suffix":""},{"dropping-particle":"","family":"Shen","given":"Manli","non-dropping-particle":"","parse-names":false,"suffix":""},{"dropping-particle":"","family":"Falaleeva","given":"Marina","non-dropping-particle":"","parse-names":false,"suffix":""},{"dropping-particle":"","family":"Stamm","given":"Stefan","non-dropping-particle":"","parse-names":false,"suffix":""}],"container-title":"Gene","id":"ITEM-1","issue":"1","issued":{"date-parts":[["2013"]]},"page":"1-30","title":"Function of alternative splicing","type":"article-journal","volume":"514"},"uris":["http://www.mendeley.com/documents/?uuid=0a0aac84-623b-4f73-8c58-d10ce009aa8e","http://www.mendeley.com/documents/?uuid=7e4197db-749b-4364-b219-7a504a84a738"]}],"mendeley":{"formattedCitation":"(Kelemen &lt;i&gt;et al.&lt;/i&gt;, 2013)","plainTextFormattedCitation":"(Kelemen et al., 2013)","previouslyFormattedCitation":"(Kelemen &lt;i&gt;et al.&lt;/i&gt;, 2013)"},"properties":{"noteIndex":0},"schema":"https://github.com/citation-style-language/schema/raw/master/csl-citation.json"}</w:instrText>
      </w:r>
      <w:r w:rsidR="004F4102" w:rsidRPr="004147E2">
        <w:rPr>
          <w:noProof/>
          <w:lang w:val="en-US"/>
        </w:rPr>
        <w:fldChar w:fldCharType="separate"/>
      </w:r>
      <w:r w:rsidR="004F4102" w:rsidRPr="004147E2">
        <w:rPr>
          <w:noProof/>
          <w:lang w:val="en-US"/>
        </w:rPr>
        <w:t xml:space="preserve">(Kelemen </w:t>
      </w:r>
      <w:r w:rsidR="004F4102" w:rsidRPr="004147E2">
        <w:rPr>
          <w:i/>
          <w:noProof/>
          <w:lang w:val="en-US"/>
        </w:rPr>
        <w:t>et al.</w:t>
      </w:r>
      <w:r w:rsidR="004F4102" w:rsidRPr="004147E2">
        <w:rPr>
          <w:noProof/>
          <w:lang w:val="en-US"/>
        </w:rPr>
        <w:t>, 2013)</w:t>
      </w:r>
      <w:r w:rsidR="004F4102" w:rsidRPr="004147E2">
        <w:rPr>
          <w:noProof/>
          <w:lang w:val="en-US"/>
        </w:rPr>
        <w:fldChar w:fldCharType="end"/>
      </w:r>
      <w:r w:rsidR="0030581A" w:rsidRPr="004147E2">
        <w:rPr>
          <w:noProof/>
          <w:lang w:val="en-US"/>
        </w:rPr>
        <w:t xml:space="preserve"> or change the stability of the mRNA hence changing the protien level </w:t>
      </w:r>
      <w:r w:rsidR="00B62306" w:rsidRPr="004147E2">
        <w:rPr>
          <w:noProof/>
          <w:lang w:val="en-US"/>
        </w:rPr>
        <w:fldChar w:fldCharType="begin" w:fldLock="1"/>
      </w:r>
      <w:r w:rsidR="00EF730B">
        <w:rPr>
          <w:noProof/>
          <w:lang w:val="en-US"/>
        </w:rPr>
        <w:instrText>ADDIN CSL_CITATION {"citationItems":[{"id":"ITEM-1","itemData":{"DOI":"10.1201/9781135000011-16","author":[{"dropping-particle":"","family":"Smith","given":"C. W. J.","non-dropping-particle":"","parse-names":false,"suffix":""},{"dropping-particle":"","family":"Patton","given":"J. G.","non-dropping-particle":"","parse-names":false,"suffix":""},{"dropping-particle":"","family":"Nadal-Ginard","given":"B.","non-dropping-particle":"","parse-names":false,"suffix":""}],"container-title":"Annual Review of Genetics","id":"ITEM-1","issue":"1","issued":{"date-parts":[["1989"]]},"page":"527-577","title":"Alternative splicing in the control of gene expression","type":"article-journal","volume":"23"},"uris":["http://www.mendeley.com/documents/?uuid=6841b4ef-a2b6-479e-8384-44754be8c2f3","http://www.mendeley.com/documents/?uuid=db44d4c5-8f88-4783-adcb-6c6f90cee843"]}],"mendeley":{"formattedCitation":"(Smith, Patton and Nadal-Ginard, 1989)","plainTextFormattedCitation":"(Smith, Patton and Nadal-Ginard, 1989)","previouslyFormattedCitation":"(Smith, Patton and Nadal-Ginard, 1989)"},"properties":{"noteIndex":0},"schema":"https://github.com/citation-style-language/schema/raw/master/csl-citation.json"}</w:instrText>
      </w:r>
      <w:r w:rsidR="00B62306" w:rsidRPr="004147E2">
        <w:rPr>
          <w:noProof/>
          <w:lang w:val="en-US"/>
        </w:rPr>
        <w:fldChar w:fldCharType="separate"/>
      </w:r>
      <w:r w:rsidR="00B62306" w:rsidRPr="004147E2">
        <w:rPr>
          <w:noProof/>
          <w:lang w:val="en-US"/>
        </w:rPr>
        <w:t>(Smith, Patton and Nadal-Ginard, 1989)</w:t>
      </w:r>
      <w:r w:rsidR="00B62306" w:rsidRPr="004147E2">
        <w:rPr>
          <w:noProof/>
          <w:lang w:val="en-US"/>
        </w:rPr>
        <w:fldChar w:fldCharType="end"/>
      </w:r>
      <w:r w:rsidR="00B62306" w:rsidRPr="004147E2">
        <w:rPr>
          <w:noProof/>
          <w:lang w:val="en-US"/>
        </w:rPr>
        <w:t xml:space="preserve">. </w:t>
      </w:r>
      <w:r w:rsidR="00161C03" w:rsidRPr="004147E2">
        <w:t>Alternatively</w:t>
      </w:r>
      <w:r w:rsidR="00792590" w:rsidRPr="004147E2">
        <w:t xml:space="preserve">, spliced RNAs </w:t>
      </w:r>
      <w:r w:rsidR="000D2105" w:rsidRPr="004147E2">
        <w:t xml:space="preserve">containing a premature-stop-codon </w:t>
      </w:r>
      <w:r w:rsidR="00792590" w:rsidRPr="004147E2">
        <w:t>may be degraded via nonsense-mediated decay</w:t>
      </w:r>
      <w:r w:rsidR="00A23BE1" w:rsidRPr="004147E2">
        <w:t xml:space="preserve">, </w:t>
      </w:r>
      <w:r w:rsidR="000D65DC" w:rsidRPr="004147E2">
        <w:t xml:space="preserve">which results in the regulation of </w:t>
      </w:r>
      <w:r w:rsidR="00792590" w:rsidRPr="004147E2">
        <w:t>gene expression</w:t>
      </w:r>
      <w:r w:rsidR="00A23BE1" w:rsidRPr="004147E2">
        <w:t xml:space="preserve"> </w:t>
      </w:r>
      <w:r w:rsidR="00A23BE1" w:rsidRPr="004147E2">
        <w:rPr>
          <w:noProof/>
        </w:rPr>
        <w:fldChar w:fldCharType="begin" w:fldLock="1"/>
      </w:r>
      <w:r w:rsidR="00EF730B">
        <w:rPr>
          <w:noProof/>
        </w:rPr>
        <w:instrText>ADDIN CSL_CITATION {"citationItems":[{"id":"ITEM-1","itemData":{"DOI":"10.1042/BST20140066","author":[{"dropping-particle":"","family":"Fursham","given":"M","non-dropping-particle":"","parse-names":false,"suffix":""},{"dropping-particle":"","family":"Eugene","given":"V","non-dropping-particle":"","parse-names":false,"suffix":""},{"dropping-particle":"","family":"Hamid","given":"Fursham M","non-dropping-particle":"","parse-names":false,"suffix":""},{"dropping-particle":"V","family":"Makeyev","given":"Eugene","non-dropping-particle":"","parse-names":false,"suffix":""}],"container-title":"Biochemical Society Transactions","id":"ITEM-1","issue":"4","issued":{"date-parts":[["2014"]]},"page":"1168-1173","title":"Emerging functions of alternative splicing coupled with nonsense ‑ mediated decay","type":"article-journal","volume":"42"},"uris":["http://www.mendeley.com/documents/?uuid=1422c83e-8ee1-4ec4-b77a-f83a90b99b86","http://www.mendeley.com/documents/?uuid=b386df8d-73e1-49df-80c7-9eebc3d1f27e"]}],"mendeley":{"formattedCitation":"(Fursham &lt;i&gt;et al.&lt;/i&gt;, 2014)","plainTextFormattedCitation":"(Fursham et al., 2014)","previouslyFormattedCitation":"(Fursham &lt;i&gt;et al.&lt;/i&gt;, 2014)"},"properties":{"noteIndex":0},"schema":"https://github.com/citation-style-language/schema/raw/master/csl-citation.json"}</w:instrText>
      </w:r>
      <w:r w:rsidR="00A23BE1" w:rsidRPr="004147E2">
        <w:rPr>
          <w:noProof/>
        </w:rPr>
        <w:fldChar w:fldCharType="separate"/>
      </w:r>
      <w:r w:rsidR="00A23BE1" w:rsidRPr="004147E2">
        <w:rPr>
          <w:noProof/>
        </w:rPr>
        <w:t xml:space="preserve">(Fursham </w:t>
      </w:r>
      <w:r w:rsidR="00A23BE1" w:rsidRPr="004147E2">
        <w:rPr>
          <w:i/>
          <w:noProof/>
        </w:rPr>
        <w:t>et al.</w:t>
      </w:r>
      <w:r w:rsidR="00A23BE1" w:rsidRPr="004147E2">
        <w:rPr>
          <w:noProof/>
        </w:rPr>
        <w:t>, 2014)</w:t>
      </w:r>
      <w:r w:rsidR="00A23BE1" w:rsidRPr="004147E2">
        <w:rPr>
          <w:noProof/>
        </w:rPr>
        <w:fldChar w:fldCharType="end"/>
      </w:r>
      <w:r w:rsidR="00792590" w:rsidRPr="004147E2">
        <w:t>.</w:t>
      </w:r>
      <w:r w:rsidR="000C41DC" w:rsidRPr="004147E2">
        <w:t xml:space="preserve"> </w:t>
      </w:r>
      <w:r w:rsidR="003830DA" w:rsidRPr="004147E2">
        <w:rPr>
          <w:lang w:val="en-US"/>
        </w:rPr>
        <w:t xml:space="preserve">RNA splicing facilitates the production of multiple mRNA isoforms from a single gene thereby </w:t>
      </w:r>
      <w:r w:rsidR="00B1200C" w:rsidRPr="004147E2">
        <w:rPr>
          <w:lang w:val="en-US"/>
        </w:rPr>
        <w:t xml:space="preserve">diversifying the proteome and promoting plasticity of the transcriptome to respond to </w:t>
      </w:r>
      <w:r w:rsidR="00D56963" w:rsidRPr="004147E2">
        <w:rPr>
          <w:lang w:val="en-US"/>
        </w:rPr>
        <w:t xml:space="preserve">changes in environmental </w:t>
      </w:r>
      <w:r w:rsidR="00B1200C" w:rsidRPr="004147E2">
        <w:rPr>
          <w:lang w:val="en-US"/>
        </w:rPr>
        <w:t xml:space="preserve">conditions </w:t>
      </w:r>
      <w:r w:rsidR="005F7E5A" w:rsidRPr="004147E2">
        <w:rPr>
          <w:noProof/>
          <w:lang w:val="en-US"/>
        </w:rPr>
        <w:fldChar w:fldCharType="begin" w:fldLock="1"/>
      </w:r>
      <w:r w:rsidR="00EF730B">
        <w:rPr>
          <w:noProof/>
          <w:lang w:val="en-US"/>
        </w:rPr>
        <w:instrText>ADDIN CSL_CITATION {"citationItems":[{"id":"ITEM-1","itemData":{"DOI":"10.1016/j.plantsci.2011.09.006","ISSN":"01689452","PMID":"22325865","abstract":"Alternative splicing is a mechanism for the regulation of gene expression that is widespread in higher eukaryotes. Genome-wide approaches, based on comparison of expressed and genomic sequences, on tiling arrays, and on next-generation sequencing, have provided growing knowledge of the extent, distribution and association of alternative splicing with stress-related genes in plants. The functional meaning of alternative splicing in response to stress has been defined for many genes, and in particular for those involved in the regulation of the stress responses, such as protein kinases, transcription factors, splicing regulators and pathogen-resistance genes. The production of proteins with diverse domain rearrangements from the same gene is the main alternative splicing mechanism for pathogen-resistance genes. The plant response to abiotic stress is also characterized by a second mechanism, which consists of the expression of alternative transcripts that are targeted to nonsense-mediated decay. These quantitatively regulate stress-related gene expression. Many alternative splicing events are well conserved among plant species, and also across kingdoms, especially those observed in response to stress, for genes encoding splicing regulators, and other classes of RNA-binding proteins. Nevertheless, non-conserved events indicate that alternative splicing represents an evolutionary strategy that rapidly increases genome plasticity and develops new gene functions, along with other mechanisms such as gene duplication. Finally, the study of the naturally occurring variability of alternative splicing and the identification of genomic regions involved in the regulation of alternative splicing in crops are proposed as strategies for selecting genotypes with superior performance under adverse environmental conditions. © 2011 Elsevier Ireland Ltd.","author":[{"dropping-particle":"","family":"Mastrangelo","given":"Anna M.","non-dropping-particle":"","parse-names":false,"suffix":""},{"dropping-particle":"","family":"Marone","given":"Daniela","non-dropping-particle":"","parse-names":false,"suffix":""},{"dropping-particle":"","family":"Laidò","given":"Giovanni","non-dropping-particle":"","parse-names":false,"suffix":""},{"dropping-particle":"","family":"Leonardis","given":"Anna M.","non-dropping-particle":"De","parse-names":false,"suffix":""},{"dropping-particle":"","family":"Vita","given":"Pasquale","non-dropping-particle":"De","parse-names":false,"suffix":""}],"container-title":"Plant Science","id":"ITEM-1","issued":{"date-parts":[["2012"]]},"page":"40-49","title":"Alternative splicing: Enhancing ability to cope with stress via transcriptome plasticity","type":"article-journal","volume":"185"},"uris":["http://www.mendeley.com/documents/?uuid=0f3f48e2-38c3-4d76-a44f-4a7d4aa11615","http://www.mendeley.com/documents/?uuid=0420cac2-5245-4703-8baf-5eeca641e304"]},{"id":"ITEM-2","itemData":{"DOI":"10.3389/fpls.2019.00708","ISSN":"1664462X","abstract":"Plants, unlike animals, exhibit a very high degree of plasticity in their growth and development and employ diverse strategies to cope with the variations during diurnal cycles and stressful conditions. Plants and animals, despite their remarkable morphological and physiological differences, share many basic cellular processes and regulatory mechanisms. Alternative splicing (AS) is one such gene regulatory mechanism that modulates gene expression in multiple ways. It is now well established that AS is prevalent in all multicellular eukaryotes including plants and humans. Emerging evidence indicates that in plants, as in animals, transcription and splicing are coupled. Here, we reviewed recent evidence in support of co-transcriptional splicing in plants and highlighted similarities and differences between plants and humans. An unsettled question in the field of AS is the extent to which splice isoforms contribute to protein diversity. To take a critical look at this question, we presented a comprehensive summary of the current status of research in this area in both plants and humans, discussed limitations with the currently used approaches and suggested improvements to current methods and alternative approaches. We end with a discussion on the potential role of epigenetic modifications and chromatin state in splicing memory in plants primed with stresses.","author":[{"dropping-particle":"","family":"Chaudhary","given":"Saurabh","non-dropping-particle":"","parse-names":false,"suffix":""},{"dropping-particle":"","family":"Khokhar","given":"Waqas","non-dropping-particle":"","parse-names":false,"suffix":""},{"dropping-particle":"","family":"Jabre","given":"Ibtissam","non-dropping-particle":"","parse-names":false,"suffix":""},{"dropping-particle":"","family":"Reddy","given":"Anireddy S.N.","non-dropping-particle":"","parse-names":false,"suffix":""},{"dropping-particle":"","family":"Byrne","given":"Lee J.","non-dropping-particle":"","parse-names":false,"suffix":""},{"dropping-particle":"","family":"Wilson","given":"Cornelia M.","non-dropping-particle":"","parse-names":false,"suffix":""},{"dropping-particle":"","family":"Syed","given":"Naeem H.","non-dropping-particle":"","parse-names":false,"suffix":""}],"container-title":"Frontiers in Plant Science","id":"ITEM-2","issued":{"date-parts":[["2019"]]},"page":"708","title":"Alternative splicing and protein diversity: Plants versus animals","type":"article-journal","volume":"10"},"uris":["http://www.mendeley.com/documents/?uuid=e40893b6-32ea-4a5c-86fe-fcdd16b4eb8e","http://www.mendeley.com/documents/?uuid=bae108b2-30ff-4af0-9b19-2b97a93bf319"]}],"mendeley":{"formattedCitation":"(Mastrangelo &lt;i&gt;et al.&lt;/i&gt;, 2012; Chaudhary &lt;i&gt;et al.&lt;/i&gt;, 2019)","plainTextFormattedCitation":"(Mastrangelo et al., 2012; Chaudhary et al., 2019)","previouslyFormattedCitation":"(Mastrangelo &lt;i&gt;et al.&lt;/i&gt;, 2012; Chaudhary &lt;i&gt;et al.&lt;/i&gt;, 2019)"},"properties":{"noteIndex":0},"schema":"https://github.com/citation-style-language/schema/raw/master/csl-citation.json"}</w:instrText>
      </w:r>
      <w:r w:rsidR="005F7E5A" w:rsidRPr="004147E2">
        <w:rPr>
          <w:noProof/>
          <w:lang w:val="en-US"/>
        </w:rPr>
        <w:fldChar w:fldCharType="separate"/>
      </w:r>
      <w:r w:rsidR="005F7E5A" w:rsidRPr="004147E2">
        <w:rPr>
          <w:noProof/>
        </w:rPr>
        <w:t xml:space="preserve">(Mastrangelo </w:t>
      </w:r>
      <w:r w:rsidR="005F7E5A" w:rsidRPr="004147E2">
        <w:rPr>
          <w:i/>
          <w:noProof/>
        </w:rPr>
        <w:t>et al.</w:t>
      </w:r>
      <w:r w:rsidR="005F7E5A" w:rsidRPr="004147E2">
        <w:rPr>
          <w:noProof/>
        </w:rPr>
        <w:t xml:space="preserve">, 2012; Chaudhary </w:t>
      </w:r>
      <w:r w:rsidR="005F7E5A" w:rsidRPr="004147E2">
        <w:rPr>
          <w:i/>
          <w:noProof/>
        </w:rPr>
        <w:t>et al.</w:t>
      </w:r>
      <w:r w:rsidR="005F7E5A" w:rsidRPr="004147E2">
        <w:rPr>
          <w:noProof/>
        </w:rPr>
        <w:t>, 2019)</w:t>
      </w:r>
      <w:r w:rsidR="005F7E5A" w:rsidRPr="004147E2">
        <w:rPr>
          <w:noProof/>
          <w:lang w:val="en-US"/>
        </w:rPr>
        <w:fldChar w:fldCharType="end"/>
      </w:r>
      <w:r w:rsidR="00792590" w:rsidRPr="004147E2">
        <w:t xml:space="preserve">. </w:t>
      </w:r>
      <w:r w:rsidR="000D65DC" w:rsidRPr="004147E2">
        <w:rPr>
          <w:rFonts w:eastAsia="MS Mincho"/>
          <w:lang w:val="en-US"/>
        </w:rPr>
        <w:t xml:space="preserve">Despite their importance in participating in the response of fishes to varying </w:t>
      </w:r>
      <w:r w:rsidR="00824EE5" w:rsidRPr="004147E2">
        <w:rPr>
          <w:rFonts w:eastAsia="MS Mincho"/>
          <w:lang w:val="en-US"/>
        </w:rPr>
        <w:t xml:space="preserve">environmental </w:t>
      </w:r>
      <w:r w:rsidR="000D65DC" w:rsidRPr="004147E2">
        <w:rPr>
          <w:rFonts w:eastAsia="MS Mincho"/>
          <w:lang w:val="en-US"/>
        </w:rPr>
        <w:t>conditions</w:t>
      </w:r>
      <w:r w:rsidR="001C376B" w:rsidRPr="004147E2">
        <w:rPr>
          <w:rFonts w:eastAsia="MS Mincho"/>
          <w:lang w:val="en-US"/>
        </w:rPr>
        <w:t xml:space="preserve"> </w:t>
      </w:r>
      <w:r w:rsidR="001C376B" w:rsidRPr="004147E2">
        <w:rPr>
          <w:rFonts w:eastAsia="MS Mincho"/>
          <w:lang w:val="en-US"/>
        </w:rPr>
        <w:fldChar w:fldCharType="begin" w:fldLock="1"/>
      </w:r>
      <w:r w:rsidR="00EF730B">
        <w:rPr>
          <w:rFonts w:eastAsia="MS Mincho"/>
          <w:lang w:val="en-US"/>
        </w:rPr>
        <w:instrText>ADDIN CSL_CITATION {"citationItems":[{"id":"ITEM-1","itemData":{"DOI":"10.3389/fgene.2020.00244","ISSN":"16648021","abstract":"Alternative splicing (AS) is an important post-transcriptional regulatory mechanism for cells to generate transcript variability and proteome diversity. No systematic investigation of AS events among different tissues in response to stressors is available for tilapia currently. In this study, AS among different tissues was identified and the cold stress-related AS events were explored in a Nile tilapia (Oreochromis niloticus) line based on 42 RNA-seq datasets using a bioinformatics pipeline. 14,796 (82.76%; SD = 2,840) of the expression genes showed AS events. The two most abundant AS types were alternative transcription start site (TSS) and terminal site (TTS) in tilapia. Testis, brain and kidney possess the most abundant AS gene number, while the blood, muscle and liver possess the least number in each tissue. Furthermore, 208 differentially alternative splicing (DAS) genes in heart and 483 DAS in brain in response to cold stress. The number of AS types for alternative exon end, exon skipping and retention of single intron increased significantly under cold stress. GO enrichment and pathway overrepresentation analysis indicated that many DAS genes, e.g., genes in circadian clock pathway, may influence expression of downstream genes under cold stress. Our study revealed that AS exists extensively in tilapia and plays an important role in cold adaption.","author":[{"dropping-particle":"","family":"Li","given":"Bi Jun","non-dropping-particle":"","parse-names":false,"suffix":""},{"dropping-particle":"","family":"Zhu","given":"Zong Xian","non-dropping-particle":"","parse-names":false,"suffix":""},{"dropping-particle":"","family":"Qin","given":"Hui","non-dropping-particle":"","parse-names":false,"suffix":""},{"dropping-particle":"","family":"Meng","given":"Zi Ning","non-dropping-particle":"","parse-names":false,"suffix":""},{"dropping-particle":"","family":"Lin","given":"Hao Ran","non-dropping-particle":"","parse-names":false,"suffix":""},{"dropping-particle":"","family":"Xia","given":"Jun Hong","non-dropping-particle":"","parse-names":false,"suffix":""}],"container-title":"Frontiers in Genetics","id":"ITEM-1","issued":{"date-parts":[["2020"]]},"page":"244","title":"Genome-Wide Characterization of Alternative Splicing Events and Their Responses to Cold Stress in Tilapia","type":"article-journal","volume":"11"},"uris":["http://www.mendeley.com/documents/?uuid=32b2a033-ea4f-42ed-b1a3-e0c587d4587d","http://www.mendeley.com/documents/?uuid=a456cadc-b62c-4087-b735-527d9cc242e0"]},{"id":"ITEM-2","itemData":{"DOI":"10.1016/j.gene.2017.10.002","ISSN":"18790038","PMID":"28986317","abstract":"Hypoxia is one of the critical environmental stressors for fish in aquatic environments. Although accumulating evidences indicate that gene expression is regulated by hypoxia stress in fish, how genes undergoing differential gene expression and/or alternative splicing (AS) in response to hypoxia stress in heart are not well understood. Using RNA-seq, we surveyed and detected 289 differential expressed genes (DEG) and 103 genes that undergo differential usage of exons and splice junctions events (DUES) in heart of a hypoxia tolerant fish, Nile tilapia, Oreochromis niloticus following 12 h hypoxic treatment. The spatio-temporal expression analysis validated the significant association of differential exon usages in two randomly selected DUES genes (fam162a and ndrg2) in 5 tissues (heart, liver, brain, gill and spleen) sampled at three time points (6 h, 12 h, and 24 h) under acute hypoxia treatment. Functional analysis significantly associated the differential expressed genes with the categories related to energy conservation, protein synthesis and immune response. Different enrichment categories were found between the DEG and DUES dataset. The Isomerase activity, Oxidoreductase activity, Glycolysis and Oxidative stress process were significantly enriched for the DEG gene dataset, but the Structural constituent of ribosome and Structural molecule activity, Ribosomal protein and RNA binding protein were significantly enriched only for the DUES genes. Our comparative transcriptomic analysis reveals abundant stress responsive genes and their differential regulation function in the heart tissues of Nile tilapia under acute hypoxia stress. Our findings will facilitate future investigation on transcriptome complexity and AS regulation during hypoxia stress in fish.","author":[{"dropping-particle":"","family":"Xia","given":"Jun Hong","non-dropping-particle":"","parse-names":false,"suffix":""},{"dropping-particle":"","family":"Li","given":"Hong Lian","non-dropping-particle":"","parse-names":false,"suffix":""},{"dropping-particle":"","family":"Li","given":"Bi Jun","non-dropping-particle":"","parse-names":false,"suffix":""},{"dropping-particle":"","family":"Gu","given":"Xiao Hui","non-dropping-particle":"","parse-names":false,"suffix":""},{"dropping-particle":"","family":"Lin","given":"Hao Ran","non-dropping-particle":"","parse-names":false,"suffix":""}],"container-title":"Gene","id":"ITEM-2","issued":{"date-parts":[["2018"]]},"page":"52-61","publisher":"Elsevier B.V","title":"Acute hypoxia stress induced abundant differential expression genes and alternative splicing events in heart of tilapia","type":"article-journal","volume":"639"},"uris":["http://www.mendeley.com/documents/?uuid=8af6b075-05b1-472f-94c2-8c4c145afdea","http://www.mendeley.com/documents/?uuid=119eb749-795e-4dde-8012-c4a5752a69e5"]},{"id":"ITEM-3","itemData":{"DOI":"10.1016/j.ijbiomac.2020.03.178","ISSN":"18790003","PMID":"32220641","abstract":"Salinity represents a critical environmental factor for fishes, and it can directly influence their survival. Transcriptomic analysis at the gene expression level has been extensively conducted to identify functional genes or pathways involved in salinity adaptation in numerous euryhaline fishes. However, the post-transcriptional regulation mechanism in response to salinity changes remains largely unknown. Alternative splicing (AS), the main mechanism accounting for the complexity of the transcriptome and proteome in eukaryotes, plays essential roles in determining organismal responses to environmental changes. In this study, RNA-Seq datasets were used to examine the AS profiles in spotted sea bass (Lateolabrax maculatus), a typical euryhaline fish species. The results showed that 8618 AS events were identified in spotted sea bass. Furthermore, a total of 501 and 162 differential alternative splicing (DAS) events were characterized in the gill and liver under low- and high-salinity environments, respectively. Based on GO enrichment results, DAS genes in both the gill and liver were commonly enriched in 8 GO terms, and their biological functions were implicated in many stages of gene expression regulation, including transcriptional regulation and post-transcriptional regulation. Sanger sequencing and qPCR validations provided additional evidence to ensure the accuracy and reliability of our bioinformatic results. This is the first comprehensive view of AS in response to salinity changes in fish species, providing insights into the post-regulatory molecular mechanisms of euryhaline fishes in salinity adaptation.","author":[{"dropping-particle":"","family":"Tian","given":"Yuan","non-dropping-particle":"","parse-names":false,"suffix":""},{"dropping-particle":"","family":"Wen","given":"Haishen","non-dropping-particle":"","parse-names":false,"suffix":""},{"dropping-particle":"","family":"Qi","given":"Xin","non-dropping-particle":"","parse-names":false,"suffix":""},{"dropping-particle":"","family":"Zhang","given":"Xiaoyan","non-dropping-particle":"","parse-names":false,"suffix":""},{"dropping-particle":"","family":"Sun","given":"Yalong","non-dropping-particle":"","parse-names":false,"suffix":""},{"dropping-particle":"","family":"Li","given":"Jifang","non-dropping-particle":"","parse-names":false,"suffix":""},{"dropping-particle":"","family":"He","given":"Feng","non-dropping-particle":"","parse-names":false,"suffix":""},{"dropping-particle":"","family":"Zhang","given":"Meizhao","non-dropping-particle":"","parse-names":false,"suffix":""},{"dropping-particle":"","family":"Zhang","given":"Kaiqiang","non-dropping-particle":"","parse-names":false,"suffix":""},{"dropping-particle":"","family":"Yang","given":"Wenzhao","non-dropping-particle":"","parse-names":false,"suffix":""},{"dropping-particle":"","family":"Huang","given":"Zurui","non-dropping-particle":"","parse-names":false,"suffix":""},{"dropping-particle":"","family":"Ren","given":"Yuhang","non-dropping-particle":"","parse-names":false,"suffix":""},{"dropping-particle":"","family":"Li","given":"Yun","non-dropping-particle":"","parse-names":false,"suffix":""}],"container-title":"International Journal of Biological Macromolecules","id":"ITEM-3","issued":{"date-parts":[["2020"]]},"page":"50-60","title":"Alternative splicing (AS) mechanism plays important roles in response to different salinity environments in spotted sea bass","type":"article-journal","volume":"155"},"uris":["http://www.mendeley.com/documents/?uuid=5b1a0897-ab1a-4bc1-817d-6fa4e29e22fc","http://www.mendeley.com/documents/?uuid=4ed17d1a-c9e3-4251-911b-594de1b49c6a"]},{"id":"ITEM-4","itemData":{"DOI":"10.1242/jeb.193516","ISSN":"00220949","PMID":"30692167","abstract":"Phenotypic plasticity is an important aspect of an organism’s response to environmental change that often requires the modulation of gene expression. These changes in gene expression can be quantitative, as a result of increases or decreases in the amounts of specific transcripts, or qualitative, as a result of the expression of alternative transcripts from the same gene (e.g. via alternative splicing of pre-mRNAs). Although the role of quantitative changes in gene expression in phenotypic plasticity is well known, relatively few studies have examined the role of qualitative changes. Here, we use skeletal muscle RNA-seq data from Atlantic killifish (Fundulus heteroclitus), threespine stickleback (Gasterosteus aculeatus) and zebrafish (Danio rerio) to investigate the extent of qualitative changes in gene expression in response to cold acclimation. Fewer genes demonstrated alternative splicing than differential expression as a result of cold acclimation; however, differences in splicing were detected for 426 to 866 genes depending on species, indicating that large numbers of qualitative changes in gene expression are associated with cold acclimation. Many of these alternatively spliced genes were also differentially expressed, and there was functional enrichment for involvement in muscle contraction among the genes demonstrating qualitative changes in response to cold acclimation. Additionally, there was a common group of 29 genes with cold-acclimation-mediated changes in splicing in all three species, suggesting that there may be a set of genes with expression patterns that respond qualitatively to prolonged exposure to cold temperatures across fishes.","author":[{"dropping-particle":"","family":"Healy","given":"Timothy M.","non-dropping-particle":"","parse-names":false,"suffix":""},{"dropping-particle":"","family":"Schulte","given":"Patricia M.","non-dropping-particle":"","parse-names":false,"suffix":""}],"container-title":"Journal of Experimental Biology","id":"ITEM-4","issue":"5","issued":{"date-parts":[["2019"]]},"page":"jeb193516","title":"Patterns of alternative splicing in response to cold acclimation in fish","type":"article-journal","volume":"222"},"uris":["http://www.mendeley.com/documents/?uuid=176a2a0e-e21c-4d0a-8d40-b0ef74932823","http://www.mendeley.com/documents/?uuid=22eac950-e9c1-4eb4-a443-2dfe6ab5f6ab"]}],"mendeley":{"formattedCitation":"(Xia &lt;i&gt;et al.&lt;/i&gt;, 2018; Healy and Schulte, 2019; Li &lt;i&gt;et al.&lt;/i&gt;, 2020; Tian &lt;i&gt;et al.&lt;/i&gt;, 2020)","plainTextFormattedCitation":"(Xia et al., 2018; Healy and Schulte, 2019; Li et al., 2020; Tian et al., 2020)","previouslyFormattedCitation":"(Xia &lt;i&gt;et al.&lt;/i&gt;, 2018; Healy and Schulte, 2019; Li &lt;i&gt;et al.&lt;/i&gt;, 2020; Tian &lt;i&gt;et al.&lt;/i&gt;, 2020)"},"properties":{"noteIndex":0},"schema":"https://github.com/citation-style-language/schema/raw/master/csl-citation.json"}</w:instrText>
      </w:r>
      <w:r w:rsidR="001C376B" w:rsidRPr="004147E2">
        <w:rPr>
          <w:rFonts w:eastAsia="MS Mincho"/>
          <w:lang w:val="en-US"/>
        </w:rPr>
        <w:fldChar w:fldCharType="separate"/>
      </w:r>
      <w:r w:rsidR="001C376B" w:rsidRPr="004147E2">
        <w:rPr>
          <w:rFonts w:eastAsia="MS Mincho"/>
          <w:noProof/>
          <w:lang w:val="en-US"/>
        </w:rPr>
        <w:t xml:space="preserve">(Xia </w:t>
      </w:r>
      <w:r w:rsidR="001C376B" w:rsidRPr="004147E2">
        <w:rPr>
          <w:rFonts w:eastAsia="MS Mincho"/>
          <w:i/>
          <w:noProof/>
          <w:lang w:val="en-US"/>
        </w:rPr>
        <w:t>et al.</w:t>
      </w:r>
      <w:r w:rsidR="001C376B" w:rsidRPr="004147E2">
        <w:rPr>
          <w:rFonts w:eastAsia="MS Mincho"/>
          <w:noProof/>
          <w:lang w:val="en-US"/>
        </w:rPr>
        <w:t xml:space="preserve">, 2018; Healy and Schulte, 2019; Li </w:t>
      </w:r>
      <w:r w:rsidR="001C376B" w:rsidRPr="004147E2">
        <w:rPr>
          <w:rFonts w:eastAsia="MS Mincho"/>
          <w:i/>
          <w:noProof/>
          <w:lang w:val="en-US"/>
        </w:rPr>
        <w:t>et al.</w:t>
      </w:r>
      <w:r w:rsidR="001C376B" w:rsidRPr="004147E2">
        <w:rPr>
          <w:rFonts w:eastAsia="MS Mincho"/>
          <w:noProof/>
          <w:lang w:val="en-US"/>
        </w:rPr>
        <w:t xml:space="preserve">, 2020; Tian </w:t>
      </w:r>
      <w:r w:rsidR="001C376B" w:rsidRPr="004147E2">
        <w:rPr>
          <w:rFonts w:eastAsia="MS Mincho"/>
          <w:i/>
          <w:noProof/>
          <w:lang w:val="en-US"/>
        </w:rPr>
        <w:t>et al.</w:t>
      </w:r>
      <w:r w:rsidR="001C376B" w:rsidRPr="004147E2">
        <w:rPr>
          <w:rFonts w:eastAsia="MS Mincho"/>
          <w:noProof/>
          <w:lang w:val="en-US"/>
        </w:rPr>
        <w:t>, 2020)</w:t>
      </w:r>
      <w:r w:rsidR="001C376B" w:rsidRPr="004147E2">
        <w:rPr>
          <w:rFonts w:eastAsia="MS Mincho"/>
          <w:lang w:val="en-US"/>
        </w:rPr>
        <w:fldChar w:fldCharType="end"/>
      </w:r>
      <w:r w:rsidR="00E976ED" w:rsidRPr="004147E2">
        <w:rPr>
          <w:rFonts w:eastAsia="MS Mincho"/>
          <w:lang w:val="en-US"/>
        </w:rPr>
        <w:t xml:space="preserve">, </w:t>
      </w:r>
      <w:r w:rsidR="000D65DC" w:rsidRPr="004147E2">
        <w:rPr>
          <w:lang w:val="en-US"/>
        </w:rPr>
        <w:t>questions remain on the</w:t>
      </w:r>
      <w:r w:rsidR="000D65DC" w:rsidRPr="004147E2">
        <w:t xml:space="preserve"> role alternative</w:t>
      </w:r>
      <w:r w:rsidR="00E976ED" w:rsidRPr="004147E2">
        <w:t xml:space="preserve"> splicing </w:t>
      </w:r>
      <w:r w:rsidR="000D65DC" w:rsidRPr="004147E2">
        <w:t>plays</w:t>
      </w:r>
      <w:r w:rsidR="00E976ED" w:rsidRPr="004147E2">
        <w:t xml:space="preserve"> </w:t>
      </w:r>
      <w:r w:rsidR="00556090" w:rsidRPr="004147E2">
        <w:t xml:space="preserve">in response to </w:t>
      </w:r>
      <w:r w:rsidR="001C376B" w:rsidRPr="004147E2">
        <w:t xml:space="preserve">acute rise </w:t>
      </w:r>
      <w:r w:rsidR="00556090" w:rsidRPr="004147E2">
        <w:t xml:space="preserve">in </w:t>
      </w:r>
      <w:r w:rsidR="00E976ED" w:rsidRPr="004147E2">
        <w:t xml:space="preserve">temperature. </w:t>
      </w:r>
    </w:p>
    <w:p w14:paraId="142637ED" w14:textId="3D4D8C85" w:rsidR="00792590" w:rsidRPr="004147E2" w:rsidRDefault="00EC20D6" w:rsidP="00EC20D6">
      <w:pPr>
        <w:spacing w:line="480" w:lineRule="auto"/>
        <w:jc w:val="both"/>
        <w:rPr>
          <w:lang w:val="en-US"/>
        </w:rPr>
      </w:pPr>
      <w:r w:rsidRPr="004147E2">
        <w:rPr>
          <w:iCs/>
          <w:lang w:val="en-US"/>
        </w:rPr>
        <w:tab/>
      </w:r>
      <w:r w:rsidR="007065BC" w:rsidRPr="004147E2">
        <w:t xml:space="preserve">In this study we re-analysed the </w:t>
      </w:r>
      <w:r w:rsidR="008B422E" w:rsidRPr="004147E2">
        <w:t xml:space="preserve">transcriptomic </w:t>
      </w:r>
      <w:r w:rsidR="007065BC" w:rsidRPr="004147E2">
        <w:t xml:space="preserve">data from Bernal, et al. 2020 to evaluate patterns of alternative splicing and differential gene expression </w:t>
      </w:r>
      <w:r w:rsidR="00A95B37" w:rsidRPr="004147E2">
        <w:t>of a coral reef fish</w:t>
      </w:r>
      <w:r w:rsidR="00401F59" w:rsidRPr="004147E2">
        <w:t xml:space="preserve"> </w:t>
      </w:r>
      <w:r w:rsidR="00792590" w:rsidRPr="004147E2">
        <w:rPr>
          <w:lang w:val="en-US"/>
        </w:rPr>
        <w:t xml:space="preserve">across four time-points during the </w:t>
      </w:r>
      <w:r w:rsidR="009464B6" w:rsidRPr="004147E2">
        <w:rPr>
          <w:lang w:val="en-US"/>
        </w:rPr>
        <w:t>2015/</w:t>
      </w:r>
      <w:r w:rsidR="00792590" w:rsidRPr="004147E2">
        <w:rPr>
          <w:lang w:val="en-US"/>
        </w:rPr>
        <w:t xml:space="preserve">2016 marine heatwave on the </w:t>
      </w:r>
      <w:r w:rsidR="005C4AA4" w:rsidRPr="004147E2">
        <w:rPr>
          <w:lang w:val="en-US"/>
        </w:rPr>
        <w:t>Great Barrier Reef (GBR)</w:t>
      </w:r>
      <w:r w:rsidR="00792590" w:rsidRPr="004147E2">
        <w:rPr>
          <w:lang w:val="en-US"/>
        </w:rPr>
        <w:t xml:space="preserve">, Australia. </w:t>
      </w:r>
      <w:r w:rsidR="00052DD6" w:rsidRPr="004147E2">
        <w:rPr>
          <w:lang w:val="en-US"/>
        </w:rPr>
        <w:t xml:space="preserve">The study </w:t>
      </w:r>
      <w:r w:rsidR="00A95B37" w:rsidRPr="004147E2">
        <w:rPr>
          <w:lang w:val="en-US"/>
        </w:rPr>
        <w:t xml:space="preserve">focused on the spiny </w:t>
      </w:r>
      <w:proofErr w:type="spellStart"/>
      <w:r w:rsidR="00A95B37" w:rsidRPr="004147E2">
        <w:rPr>
          <w:lang w:val="en-US"/>
        </w:rPr>
        <w:t>chromis</w:t>
      </w:r>
      <w:proofErr w:type="spellEnd"/>
      <w:r w:rsidR="00A95B37" w:rsidRPr="004147E2">
        <w:rPr>
          <w:lang w:val="en-US"/>
        </w:rPr>
        <w:t xml:space="preserve">, </w:t>
      </w:r>
      <w:proofErr w:type="spellStart"/>
      <w:r w:rsidR="00A95B37" w:rsidRPr="004147E2">
        <w:rPr>
          <w:i/>
          <w:iCs/>
          <w:lang w:val="en-US"/>
        </w:rPr>
        <w:t>Acanthochromis</w:t>
      </w:r>
      <w:proofErr w:type="spellEnd"/>
      <w:r w:rsidR="00A95B37" w:rsidRPr="004147E2">
        <w:rPr>
          <w:i/>
          <w:iCs/>
          <w:lang w:val="en-US"/>
        </w:rPr>
        <w:t xml:space="preserve"> </w:t>
      </w:r>
      <w:proofErr w:type="spellStart"/>
      <w:r w:rsidR="00A95B37" w:rsidRPr="004147E2">
        <w:rPr>
          <w:i/>
          <w:iCs/>
          <w:lang w:val="en-US"/>
        </w:rPr>
        <w:t>polyacanthus</w:t>
      </w:r>
      <w:proofErr w:type="spellEnd"/>
      <w:r w:rsidR="00A95B37" w:rsidRPr="004147E2">
        <w:rPr>
          <w:i/>
          <w:iCs/>
          <w:lang w:val="en-US"/>
        </w:rPr>
        <w:t xml:space="preserve"> </w:t>
      </w:r>
      <w:r w:rsidR="00A95B37" w:rsidRPr="004147E2">
        <w:rPr>
          <w:lang w:val="en-US"/>
        </w:rPr>
        <w:t>(</w:t>
      </w:r>
      <w:proofErr w:type="spellStart"/>
      <w:r w:rsidR="00A95B37" w:rsidRPr="004147E2">
        <w:rPr>
          <w:lang w:val="en-US"/>
        </w:rPr>
        <w:t>Pomacentridae</w:t>
      </w:r>
      <w:proofErr w:type="spellEnd"/>
      <w:r w:rsidR="00A95B37" w:rsidRPr="004147E2">
        <w:rPr>
          <w:lang w:val="en-US"/>
        </w:rPr>
        <w:t>; Bleeker, 1885), which is</w:t>
      </w:r>
      <w:r w:rsidR="00A95B37" w:rsidRPr="004147E2">
        <w:rPr>
          <w:iCs/>
          <w:lang w:val="en-US"/>
        </w:rPr>
        <w:t xml:space="preserve"> a common planktivorous fish on</w:t>
      </w:r>
      <w:r w:rsidR="00B33AB0" w:rsidRPr="004147E2">
        <w:rPr>
          <w:iCs/>
          <w:lang w:val="en-US"/>
        </w:rPr>
        <w:t xml:space="preserve"> the GBR and</w:t>
      </w:r>
      <w:r w:rsidR="00A95B37" w:rsidRPr="004147E2">
        <w:rPr>
          <w:iCs/>
          <w:lang w:val="en-US"/>
        </w:rPr>
        <w:t xml:space="preserve"> coral reefs in the Indo-</w:t>
      </w:r>
      <w:r w:rsidR="00A95B37" w:rsidRPr="004147E2">
        <w:rPr>
          <w:iCs/>
          <w:lang w:val="en-US"/>
        </w:rPr>
        <w:lastRenderedPageBreak/>
        <w:t xml:space="preserve">Australian archipelago </w:t>
      </w:r>
      <w:r w:rsidR="00A95B37" w:rsidRPr="004147E2">
        <w:rPr>
          <w:iCs/>
          <w:lang w:val="en-US"/>
        </w:rPr>
        <w:fldChar w:fldCharType="begin" w:fldLock="1"/>
      </w:r>
      <w:r w:rsidR="00EF730B">
        <w:rPr>
          <w:iCs/>
          <w:lang w:val="en-US"/>
        </w:rPr>
        <w:instrText>ADDIN CSL_CITATION {"citationItems":[{"id":"ITEM-1","itemData":{"author":[{"dropping-particle":"","family":"Ronald E. Thresher","given":"","non-dropping-particle":"","parse-names":false,"suffix":""}],"container-title":"Ecology","id":"ITEM-1","issue":"4","issued":{"date-parts":[["1985"]]},"page":"1139-1150","title":"Distribution , Abundance , and Reproductive Success in the Coral Reef Fish Acanthochromis polyacanthus","type":"article-journal","volume":"66"},"uris":["http://www.mendeley.com/documents/?uuid=0e09951b-6382-462e-9d8a-1b4442beccfb"]},{"id":"ITEM-2","itemData":{"author":[{"dropping-particle":"","family":"Randall","given":"J E","non-dropping-particle":"","parse-names":false,"suffix":""},{"dropping-particle":"","family":"Allen","given":"G R","non-dropping-particle":"","parse-names":false,"suffix":""},{"dropping-particle":"","family":"Steene","given":"R C","non-dropping-particle":"","parse-names":false,"suffix":""}],"id":"ITEM-2","issued":{"date-parts":[["1997"]]},"publisher":"University of Hawaii Press","title":"Fishes of the great barrier reef and coral sea","type":"book"},"uris":["http://www.mendeley.com/documents/?uuid=be09265a-d075-48db-9a74-0d502f093fff","http://www.mendeley.com/documents/?uuid=5c44ad9d-83e8-4f22-b6eb-a3dc1fec1459"]}],"mendeley":{"formattedCitation":"(Ronald E. Thresher, 1985; Randall, Allen and Steene, 1997)","plainTextFormattedCitation":"(Ronald E. Thresher, 1985; Randall, Allen and Steene, 1997)","previouslyFormattedCitation":"(Ronald E. Thresher, 1985; Randall, Allen and Steene, 1997)"},"properties":{"noteIndex":0},"schema":"https://github.com/citation-style-language/schema/raw/master/csl-citation.json"}</w:instrText>
      </w:r>
      <w:r w:rsidR="00A95B37" w:rsidRPr="004147E2">
        <w:rPr>
          <w:iCs/>
          <w:lang w:val="en-US"/>
        </w:rPr>
        <w:fldChar w:fldCharType="separate"/>
      </w:r>
      <w:r w:rsidR="00517C3C" w:rsidRPr="00517C3C">
        <w:rPr>
          <w:iCs/>
          <w:noProof/>
          <w:lang w:val="en-US"/>
        </w:rPr>
        <w:t>(Ronald E. Thresher, 1985; Randall, Allen and Steene, 1997)</w:t>
      </w:r>
      <w:r w:rsidR="00A95B37" w:rsidRPr="004147E2">
        <w:rPr>
          <w:iCs/>
          <w:lang w:val="en-US"/>
        </w:rPr>
        <w:fldChar w:fldCharType="end"/>
      </w:r>
      <w:r w:rsidR="00A95B37" w:rsidRPr="004147E2">
        <w:rPr>
          <w:iCs/>
          <w:lang w:val="en-US"/>
        </w:rPr>
        <w:t xml:space="preserve">. </w:t>
      </w:r>
      <w:r w:rsidR="005B06DF" w:rsidRPr="004147E2">
        <w:rPr>
          <w:lang w:val="en-US"/>
        </w:rPr>
        <w:t>We examine</w:t>
      </w:r>
      <w:r w:rsidR="000D65DC" w:rsidRPr="004147E2">
        <w:rPr>
          <w:lang w:val="en-US"/>
        </w:rPr>
        <w:t>d</w:t>
      </w:r>
      <w:r w:rsidR="005B06DF" w:rsidRPr="004147E2">
        <w:rPr>
          <w:lang w:val="en-US"/>
        </w:rPr>
        <w:t xml:space="preserve"> splicing patterns</w:t>
      </w:r>
      <w:r w:rsidR="00A95B37" w:rsidRPr="004147E2">
        <w:rPr>
          <w:lang w:val="en-US"/>
        </w:rPr>
        <w:t xml:space="preserve"> in the liver of </w:t>
      </w:r>
      <w:r w:rsidR="00A95B37" w:rsidRPr="004147E2">
        <w:rPr>
          <w:i/>
          <w:lang w:val="en-US"/>
        </w:rPr>
        <w:t xml:space="preserve">A. </w:t>
      </w:r>
      <w:proofErr w:type="spellStart"/>
      <w:r w:rsidR="00A95B37" w:rsidRPr="004147E2">
        <w:rPr>
          <w:i/>
          <w:lang w:val="en-US"/>
        </w:rPr>
        <w:t>polyacanthus</w:t>
      </w:r>
      <w:proofErr w:type="spellEnd"/>
      <w:r w:rsidR="005B06DF" w:rsidRPr="004147E2">
        <w:rPr>
          <w:lang w:val="en-US"/>
        </w:rPr>
        <w:t xml:space="preserve"> across </w:t>
      </w:r>
      <w:r w:rsidR="00792590" w:rsidRPr="004147E2">
        <w:rPr>
          <w:lang w:val="en-US"/>
        </w:rPr>
        <w:t xml:space="preserve">three main periods of the heatwave: (1) onset of the heatwave </w:t>
      </w:r>
      <w:r w:rsidR="009464B6" w:rsidRPr="004147E2">
        <w:rPr>
          <w:lang w:val="en-US"/>
        </w:rPr>
        <w:t xml:space="preserve">with the </w:t>
      </w:r>
      <w:r w:rsidR="008663D9" w:rsidRPr="004147E2">
        <w:rPr>
          <w:lang w:val="en-US"/>
        </w:rPr>
        <w:t>initial</w:t>
      </w:r>
      <w:r w:rsidR="009464B6" w:rsidRPr="004147E2">
        <w:rPr>
          <w:lang w:val="en-US"/>
        </w:rPr>
        <w:t xml:space="preserve"> temperature </w:t>
      </w:r>
      <w:r w:rsidR="000D65DC" w:rsidRPr="004147E2">
        <w:rPr>
          <w:lang w:val="en-US"/>
        </w:rPr>
        <w:t xml:space="preserve">increase </w:t>
      </w:r>
      <w:r w:rsidR="00792590" w:rsidRPr="004147E2">
        <w:rPr>
          <w:lang w:val="en-US"/>
        </w:rPr>
        <w:t xml:space="preserve">(Dec to Feb), (2) period with </w:t>
      </w:r>
      <w:r w:rsidR="00792590" w:rsidRPr="004147E2">
        <w:t xml:space="preserve">a prolonged elevated temperature during the heatwave (Feb to Mar), and (3) period with temperature decline after the heatwave (Mar to Jul). </w:t>
      </w:r>
      <w:r w:rsidR="000D65DC" w:rsidRPr="004147E2">
        <w:t xml:space="preserve">This study focused on the transcriptional program of the liver, as this tissue is known to </w:t>
      </w:r>
      <w:r w:rsidR="00DB43EC" w:rsidRPr="004147E2">
        <w:t>correlate well with the aerobic demands observed for fish exposed to warm</w:t>
      </w:r>
      <w:r w:rsidR="00BE5481" w:rsidRPr="004147E2">
        <w:t>er conditions</w:t>
      </w:r>
      <w:r w:rsidR="00DB43EC" w:rsidRPr="004147E2">
        <w:t xml:space="preserve"> </w:t>
      </w:r>
      <w:r w:rsidR="00571756" w:rsidRPr="004147E2">
        <w:fldChar w:fldCharType="begin" w:fldLock="1"/>
      </w:r>
      <w:r w:rsidR="00517C3C">
        <w:instrText>ADDIN CSL_CITATION {"citationItems":[{"id":"ITEM-1","itemData":{"DOI":"10.1186/1471-2164-14-375","ISSN":"14712164","PMID":"23738713","abstract":"Background: Identifying genes of adaptive significance in a changing environment is a major focus of ecological genomics. Such efforts were restricted, until recently, to researchers studying a small group of model organisms or closely related taxa. With the advent of next generation sequencing (NGS), genomes and transcriptomes of virtually any species are now available for studies of adaptive evolution. We experimentally manipulated temperature conditions for two groups of crimson spotted rainbowfish (Melanotaenia duboulayi) and measured differences in RNA transcription between them. This non-migratory species is found across a latitudinal thermal gradient in eastern Australia and is predicted to be negatively impacted by ongoing environmental and climatic change.Results: Using next generation RNA-seq technologies on an Illumina HiSeq2000 platform, we assembled a de novo transcriptome and tested for differential expression across the treatment groups. Quality of the assembly was high with a N50 length of 1856 bases. Of the 107,749 assembled contigs, we identified 4251 that were differentially expressed according to a consensus of four different mapping and significance testing approaches. Once duplicate isoforms were removed, we were able to annotate 614 up-regulated transfrags and 349 that showed reduced expression in the higher temperature group.Conclusions: Annotated blast matches reveal that differentially expressed genes correspond to critical metabolic pathways previously shown to be important for temperature tolerance in other fish species. Our results indicate that rainbowfish exhibit predictable plastic regulatory responses to temperature stress and the genes we identified provide excellent candidates for further investigations of population adaptation to increasing temperatures. © 2013 Smith et al.; licensee BioMed Central Ltd.","author":[{"dropping-particle":"","family":"Smith","given":"Steve","non-dropping-particle":"","parse-names":false,"suffix":""},{"dropping-particle":"","family":"Bernatchez","given":"Louis","non-dropping-particle":"","parse-names":false,"suffix":""},{"dropping-particle":"","family":"Beheregaray","given":"Luciano B.","non-dropping-particle":"","parse-names":false,"suffix":""}],"container-title":"BMC Genomics","id":"ITEM-1","issue":"1","issued":{"date-parts":[["2013"]]},"page":"1-12","title":"RNA-seq analysis reveals extensive transcriptional plasticity to temperature stress in a freshwater fish species","type":"article-journal","volume":"14"},"uris":["http://www.mendeley.com/documents/?uuid=3c3b66b2-5c1e-4902-8d0a-349b23b50dc8"]}],"mendeley":{"formattedCitation":"(Smith, Bernatchez and Beheregaray, 2013)","plainTextFormattedCitation":"(Smith, Bernatchez and Beheregaray, 2013)","previouslyFormattedCitation":"(Smith, Bernatchez and Beheregaray, 2013)"},"properties":{"noteIndex":0},"schema":"https://github.com/citation-style-language/schema/raw/master/csl-citation.json"}</w:instrText>
      </w:r>
      <w:r w:rsidR="00571756" w:rsidRPr="004147E2">
        <w:fldChar w:fldCharType="separate"/>
      </w:r>
      <w:r w:rsidR="00571756" w:rsidRPr="004147E2">
        <w:rPr>
          <w:noProof/>
        </w:rPr>
        <w:t>(Smith, Bernatchez and Beheregaray, 2013)</w:t>
      </w:r>
      <w:r w:rsidR="00571756" w:rsidRPr="004147E2">
        <w:fldChar w:fldCharType="end"/>
      </w:r>
      <w:r w:rsidR="009464B6" w:rsidRPr="004147E2">
        <w:t xml:space="preserve">. </w:t>
      </w:r>
      <w:r w:rsidR="00B1601F" w:rsidRPr="004147E2">
        <w:t>T</w:t>
      </w:r>
      <w:r w:rsidR="00DB43EC" w:rsidRPr="004147E2">
        <w:t xml:space="preserve">his study </w:t>
      </w:r>
      <w:r w:rsidR="00B1601F" w:rsidRPr="004147E2">
        <w:t xml:space="preserve">aims to identify </w:t>
      </w:r>
      <w:r w:rsidR="008B70A7" w:rsidRPr="004147E2">
        <w:t>the</w:t>
      </w:r>
      <w:r w:rsidR="00B1601F" w:rsidRPr="004147E2">
        <w:t xml:space="preserve"> </w:t>
      </w:r>
      <w:r w:rsidR="00DB43EC" w:rsidRPr="004147E2">
        <w:t>a</w:t>
      </w:r>
      <w:r w:rsidR="00792590" w:rsidRPr="004147E2">
        <w:t xml:space="preserve">lternative splicing </w:t>
      </w:r>
      <w:r w:rsidR="002374BF" w:rsidRPr="004147E2">
        <w:t xml:space="preserve">pattern </w:t>
      </w:r>
      <w:r w:rsidR="00DB43EC" w:rsidRPr="004147E2">
        <w:t>of</w:t>
      </w:r>
      <w:r w:rsidR="00792590" w:rsidRPr="004147E2">
        <w:t xml:space="preserve"> </w:t>
      </w:r>
      <w:r w:rsidR="00792590" w:rsidRPr="004147E2">
        <w:rPr>
          <w:i/>
          <w:iCs/>
        </w:rPr>
        <w:t xml:space="preserve">A. </w:t>
      </w:r>
      <w:proofErr w:type="spellStart"/>
      <w:r w:rsidR="00792590" w:rsidRPr="004147E2">
        <w:rPr>
          <w:i/>
          <w:iCs/>
        </w:rPr>
        <w:t>polyacanthus</w:t>
      </w:r>
      <w:proofErr w:type="spellEnd"/>
      <w:r w:rsidR="00792590" w:rsidRPr="004147E2">
        <w:rPr>
          <w:i/>
          <w:iCs/>
        </w:rPr>
        <w:t xml:space="preserve"> </w:t>
      </w:r>
      <w:r w:rsidR="00792590" w:rsidRPr="004147E2">
        <w:t xml:space="preserve">to </w:t>
      </w:r>
      <w:r w:rsidR="00DB43EC" w:rsidRPr="004147E2">
        <w:t xml:space="preserve">a </w:t>
      </w:r>
      <w:r w:rsidR="00CA747E" w:rsidRPr="004147E2">
        <w:t xml:space="preserve">marine </w:t>
      </w:r>
      <w:r w:rsidR="00792590" w:rsidRPr="004147E2">
        <w:t>heatwave</w:t>
      </w:r>
      <w:r w:rsidR="00BE5481" w:rsidRPr="004147E2">
        <w:t>,</w:t>
      </w:r>
      <w:r w:rsidR="007609DA" w:rsidRPr="004147E2">
        <w:t xml:space="preserve"> potentially revealing</w:t>
      </w:r>
      <w:r w:rsidR="00DB43EC" w:rsidRPr="004147E2">
        <w:t xml:space="preserve"> one of the mechanisms used by fishes to compensate for temperature increase in coming decades. </w:t>
      </w:r>
    </w:p>
    <w:p w14:paraId="143E2C29" w14:textId="77777777" w:rsidR="00792590" w:rsidRPr="004147E2" w:rsidRDefault="00792590" w:rsidP="00792590">
      <w:pPr>
        <w:spacing w:line="480" w:lineRule="auto"/>
        <w:rPr>
          <w:lang w:val="en-US"/>
        </w:rPr>
      </w:pPr>
    </w:p>
    <w:p w14:paraId="3030E3F5" w14:textId="77777777" w:rsidR="00792590" w:rsidRPr="004147E2" w:rsidRDefault="00792590" w:rsidP="00792590">
      <w:pPr>
        <w:spacing w:line="480" w:lineRule="auto"/>
        <w:rPr>
          <w:b/>
          <w:bCs/>
          <w:u w:val="single"/>
          <w:lang w:val="en-US"/>
        </w:rPr>
      </w:pPr>
      <w:r w:rsidRPr="004147E2">
        <w:rPr>
          <w:b/>
          <w:bCs/>
          <w:u w:val="single"/>
          <w:lang w:val="en-US"/>
        </w:rPr>
        <w:br w:type="column"/>
      </w:r>
      <w:r w:rsidRPr="004147E2">
        <w:rPr>
          <w:b/>
          <w:bCs/>
          <w:u w:val="single"/>
          <w:lang w:val="en-US"/>
        </w:rPr>
        <w:lastRenderedPageBreak/>
        <w:t>Methods</w:t>
      </w:r>
    </w:p>
    <w:p w14:paraId="5EA5F748" w14:textId="77777777" w:rsidR="00792590" w:rsidRPr="004147E2" w:rsidRDefault="00792590" w:rsidP="00792590">
      <w:pPr>
        <w:rPr>
          <w:b/>
          <w:bCs/>
          <w:lang w:val="en-US"/>
        </w:rPr>
      </w:pPr>
      <w:r w:rsidRPr="004147E2">
        <w:rPr>
          <w:b/>
          <w:bCs/>
          <w:lang w:val="en-US"/>
        </w:rPr>
        <w:t>Fish collection, tissue extraction and RNA-sequencing</w:t>
      </w:r>
    </w:p>
    <w:p w14:paraId="200C77B9" w14:textId="77777777" w:rsidR="00792590" w:rsidRPr="004147E2" w:rsidRDefault="00792590" w:rsidP="00792590">
      <w:pPr>
        <w:rPr>
          <w:b/>
          <w:bCs/>
          <w:lang w:val="en-US"/>
        </w:rPr>
      </w:pPr>
    </w:p>
    <w:p w14:paraId="568F9C47" w14:textId="3AFA7E71" w:rsidR="00C87F04" w:rsidRPr="004147E2" w:rsidRDefault="00792590" w:rsidP="00C87F04">
      <w:pPr>
        <w:spacing w:line="480" w:lineRule="auto"/>
        <w:jc w:val="both"/>
        <w:rPr>
          <w:lang w:val="en-US"/>
        </w:rPr>
      </w:pPr>
      <w:r w:rsidRPr="004147E2">
        <w:rPr>
          <w:rFonts w:ascii="Calibri" w:hAnsi="Calibri" w:cs="Calibri"/>
          <w:lang w:val="en-US"/>
        </w:rPr>
        <w:t>﻿</w:t>
      </w:r>
      <w:r w:rsidRPr="004147E2">
        <w:rPr>
          <w:lang w:val="en-US"/>
        </w:rPr>
        <w:tab/>
      </w:r>
      <w:r w:rsidR="004E75E9" w:rsidRPr="004147E2">
        <w:rPr>
          <w:lang w:val="en-US"/>
        </w:rPr>
        <w:t xml:space="preserve">Individuals of </w:t>
      </w:r>
      <w:r w:rsidR="00503C7C" w:rsidRPr="004147E2">
        <w:rPr>
          <w:i/>
          <w:iCs/>
          <w:lang w:val="en-US"/>
        </w:rPr>
        <w:t xml:space="preserve">A. </w:t>
      </w:r>
      <w:proofErr w:type="spellStart"/>
      <w:r w:rsidRPr="004147E2">
        <w:rPr>
          <w:i/>
          <w:iCs/>
          <w:lang w:val="en-US"/>
        </w:rPr>
        <w:t>polyacanthus</w:t>
      </w:r>
      <w:proofErr w:type="spellEnd"/>
      <w:r w:rsidRPr="004147E2">
        <w:rPr>
          <w:lang w:val="en-US"/>
        </w:rPr>
        <w:t xml:space="preserve"> were collected by scuba diving </w:t>
      </w:r>
      <w:r w:rsidR="00BE5481" w:rsidRPr="004147E2">
        <w:rPr>
          <w:lang w:val="en-US"/>
        </w:rPr>
        <w:t>at</w:t>
      </w:r>
      <w:r w:rsidRPr="004147E2">
        <w:rPr>
          <w:lang w:val="en-US"/>
        </w:rPr>
        <w:t xml:space="preserve"> Palfrey Island, near Lizard Island in the northern </w:t>
      </w:r>
      <w:r w:rsidR="00CA747E" w:rsidRPr="004147E2">
        <w:rPr>
          <w:lang w:val="en-US"/>
        </w:rPr>
        <w:t>Great Barrier Reef (</w:t>
      </w:r>
      <w:r w:rsidRPr="004147E2">
        <w:rPr>
          <w:lang w:val="en-US"/>
        </w:rPr>
        <w:t>GBR</w:t>
      </w:r>
      <w:r w:rsidR="00CA747E" w:rsidRPr="004147E2">
        <w:rPr>
          <w:lang w:val="en-US"/>
        </w:rPr>
        <w:t>)</w:t>
      </w:r>
      <w:r w:rsidRPr="004147E2">
        <w:rPr>
          <w:lang w:val="en-US"/>
        </w:rPr>
        <w:t>, Australia (14°41′39.1″S, 145°27′05.3″E)</w:t>
      </w:r>
      <w:r w:rsidR="00F05398" w:rsidRPr="004147E2">
        <w:rPr>
          <w:lang w:val="en-US"/>
        </w:rPr>
        <w:t xml:space="preserve"> as previously reported</w:t>
      </w:r>
      <w:r w:rsidR="00FA20D5" w:rsidRPr="004147E2">
        <w:rPr>
          <w:lang w:val="en-US"/>
        </w:rPr>
        <w:t xml:space="preserve"> by</w:t>
      </w:r>
      <w:r w:rsidR="00F05398" w:rsidRPr="004147E2">
        <w:rPr>
          <w:lang w:val="en-US"/>
        </w:rPr>
        <w:t xml:space="preserve"> </w:t>
      </w:r>
      <w:r w:rsidR="005F7E5A" w:rsidRPr="004147E2">
        <w:rPr>
          <w:noProof/>
        </w:rPr>
        <w:fldChar w:fldCharType="begin" w:fldLock="1"/>
      </w:r>
      <w:r w:rsidR="00653EE9">
        <w:rPr>
          <w:noProof/>
        </w:rPr>
        <w:instrText>ADDIN CSL_CITATION {"citationItems":[{"id":"ITEM-1","itemData":{"DOI":"10.1126/sciadv.aay3423","ISSN":"23752548","PMID":"32206711","abstract":"The marine heatwave of 2016 was one of longest and hottest thermal anomalies recorded on the Great Barrier Reef, influencing multiple species of marine ectotherms, including coral reef fishes. There is a gap in our understanding of what the physiological consequences of heatwaves in wild fish populations are. Thus, in this study, we used liver transcriptomes to understand the molecular response of five species to the 2016 heatwave conditions. Gene expression was species specific, yet we detected overlap in functional responses associated with thermal stress previously reported in experimental setups. The molecular response was also influenced by the duration of exposure to elevated temperatures. This study highlights the importance of considering the effects of extreme warming events when evaluating the consequences of climate change on fish communities.","author":[{"dropping-particle":"","family":"Bernal","given":"Moisés A.","non-dropping-particle":"","parse-names":false,"suffix":""},{"dropping-particle":"","family":"Schunter","given":"Celia","non-dropping-particle":"","parse-names":false,"suffix":""},{"dropping-particle":"","family":"Lehmann","given":"Robert","non-dropping-particle":"","parse-names":false,"suffix":""},{"dropping-particle":"","family":"Lightfoot","given":"Damien J.","non-dropping-particle":"","parse-names":false,"suffix":""},{"dropping-particle":"","family":"Allan","given":"Bridie J.M.","non-dropping-particle":"","parse-names":false,"suffix":""},{"dropping-particle":"","family":"Veilleux","given":"Heather D.","non-dropping-particle":"","parse-names":false,"suffix":""},{"dropping-particle":"","family":"Rummer","given":"Jodie L.","non-dropping-particle":"","parse-names":false,"suffix":""},{"dropping-particle":"","family":"Munday","given":"Philip L.","non-dropping-particle":"","parse-names":false,"suffix":""},{"dropping-particle":"","family":"Ravasi","given":"Timothy","non-dropping-particle":"","parse-names":false,"suffix":""}],"container-title":"Science Advances","id":"ITEM-1","issue":"12","issued":{"date-parts":[["2020"]]},"page":"eaay3423","title":"Species-specific molecular responses of wild coral reef fishes during a marine heatwave","type":"article-journal","volume":"6"},"uris":["http://www.mendeley.com/documents/?uuid=39bd0d92-bc59-4ccc-9944-1cf861d2cc0e"]}],"mendeley":{"formattedCitation":"(Bernal &lt;i&gt;et al.&lt;/i&gt;, 2020)","plainTextFormattedCitation":"(Bernal et al., 2020)","previouslyFormattedCitation":"(Bernal &lt;i&gt;et al.&lt;/i&gt;, 2020)"},"properties":{"noteIndex":0},"schema":"https://github.com/citation-style-language/schema/raw/master/csl-citation.json"}</w:instrText>
      </w:r>
      <w:r w:rsidR="005F7E5A" w:rsidRPr="004147E2">
        <w:rPr>
          <w:noProof/>
        </w:rPr>
        <w:fldChar w:fldCharType="separate"/>
      </w:r>
      <w:r w:rsidR="00C77AB1" w:rsidRPr="004147E2">
        <w:rPr>
          <w:noProof/>
        </w:rPr>
        <w:t xml:space="preserve">(Bernal </w:t>
      </w:r>
      <w:r w:rsidR="00C77AB1" w:rsidRPr="004147E2">
        <w:rPr>
          <w:i/>
          <w:noProof/>
        </w:rPr>
        <w:t>et al.</w:t>
      </w:r>
      <w:r w:rsidR="00C77AB1" w:rsidRPr="004147E2">
        <w:rPr>
          <w:noProof/>
        </w:rPr>
        <w:t>, 2020)</w:t>
      </w:r>
      <w:r w:rsidR="005F7E5A" w:rsidRPr="004147E2">
        <w:rPr>
          <w:noProof/>
        </w:rPr>
        <w:fldChar w:fldCharType="end"/>
      </w:r>
      <w:r w:rsidR="008005AE" w:rsidRPr="004147E2">
        <w:rPr>
          <w:lang w:val="en-US"/>
        </w:rPr>
        <w:t xml:space="preserve">. </w:t>
      </w:r>
      <w:r w:rsidR="00C87F04" w:rsidRPr="004147E2">
        <w:rPr>
          <w:lang w:val="en-US"/>
        </w:rPr>
        <w:t xml:space="preserve">Briefly, five </w:t>
      </w:r>
      <w:r w:rsidR="00FA20D5" w:rsidRPr="004147E2">
        <w:rPr>
          <w:lang w:val="en-US"/>
        </w:rPr>
        <w:t>individuals were collected</w:t>
      </w:r>
      <w:r w:rsidR="00C87F04" w:rsidRPr="004147E2">
        <w:rPr>
          <w:lang w:val="en-US"/>
        </w:rPr>
        <w:t xml:space="preserve"> at each of the four different time points: before the heatwave (8</w:t>
      </w:r>
      <w:r w:rsidR="00C87F04" w:rsidRPr="004147E2">
        <w:rPr>
          <w:vertAlign w:val="superscript"/>
          <w:lang w:val="en-US"/>
        </w:rPr>
        <w:t>th</w:t>
      </w:r>
      <w:r w:rsidR="00C87F04" w:rsidRPr="004147E2">
        <w:rPr>
          <w:lang w:val="en-US"/>
        </w:rPr>
        <w:t xml:space="preserve"> to 10</w:t>
      </w:r>
      <w:r w:rsidR="00C87F04" w:rsidRPr="004147E2">
        <w:rPr>
          <w:vertAlign w:val="superscript"/>
          <w:lang w:val="en-US"/>
        </w:rPr>
        <w:t>th</w:t>
      </w:r>
      <w:r w:rsidR="00C87F04" w:rsidRPr="004147E2">
        <w:rPr>
          <w:lang w:val="en-US"/>
        </w:rPr>
        <w:t xml:space="preserve"> December 2015;</w:t>
      </w:r>
      <w:r w:rsidR="00CA747E" w:rsidRPr="004147E2">
        <w:rPr>
          <w:lang w:val="en-US"/>
        </w:rPr>
        <w:t xml:space="preserve"> </w:t>
      </w:r>
      <w:r w:rsidR="003538CE" w:rsidRPr="004147E2">
        <w:rPr>
          <w:lang w:val="en-US"/>
        </w:rPr>
        <w:t xml:space="preserve">monthly temp. = </w:t>
      </w:r>
      <w:r w:rsidR="00C87F04" w:rsidRPr="004147E2">
        <w:rPr>
          <w:lang w:val="en-US"/>
        </w:rPr>
        <w:t>28.4 ± 0.75 °C), the beginning of the heatwave (20</w:t>
      </w:r>
      <w:r w:rsidR="00C87F04" w:rsidRPr="004147E2">
        <w:rPr>
          <w:vertAlign w:val="superscript"/>
          <w:lang w:val="en-US"/>
        </w:rPr>
        <w:t>th</w:t>
      </w:r>
      <w:r w:rsidR="00C87F04" w:rsidRPr="004147E2">
        <w:rPr>
          <w:lang w:val="en-US"/>
        </w:rPr>
        <w:t xml:space="preserve"> to 22</w:t>
      </w:r>
      <w:r w:rsidR="00C87F04" w:rsidRPr="004147E2">
        <w:rPr>
          <w:vertAlign w:val="superscript"/>
          <w:lang w:val="en-US"/>
        </w:rPr>
        <w:t>nd</w:t>
      </w:r>
      <w:r w:rsidR="00C87F04" w:rsidRPr="004147E2">
        <w:rPr>
          <w:lang w:val="en-US"/>
        </w:rPr>
        <w:t xml:space="preserve"> February 2016;</w:t>
      </w:r>
      <w:r w:rsidR="00CA747E" w:rsidRPr="004147E2">
        <w:rPr>
          <w:lang w:val="en-US"/>
        </w:rPr>
        <w:t xml:space="preserve"> </w:t>
      </w:r>
      <w:r w:rsidR="003538CE" w:rsidRPr="004147E2">
        <w:rPr>
          <w:lang w:val="en-US"/>
        </w:rPr>
        <w:t xml:space="preserve">monthly temp. = </w:t>
      </w:r>
      <w:r w:rsidR="00C87F04" w:rsidRPr="004147E2">
        <w:rPr>
          <w:lang w:val="en-US"/>
        </w:rPr>
        <w:t>29.5 ± 0.51 °C), during the extended period of warming (18</w:t>
      </w:r>
      <w:r w:rsidR="00C87F04" w:rsidRPr="004147E2">
        <w:rPr>
          <w:vertAlign w:val="superscript"/>
          <w:lang w:val="en-US"/>
        </w:rPr>
        <w:t>th</w:t>
      </w:r>
      <w:r w:rsidR="00C87F04" w:rsidRPr="004147E2">
        <w:rPr>
          <w:lang w:val="en-US"/>
        </w:rPr>
        <w:t xml:space="preserve"> to 20</w:t>
      </w:r>
      <w:r w:rsidR="00C87F04" w:rsidRPr="004147E2">
        <w:rPr>
          <w:vertAlign w:val="superscript"/>
          <w:lang w:val="en-US"/>
        </w:rPr>
        <w:t>th</w:t>
      </w:r>
      <w:r w:rsidR="00C87F04" w:rsidRPr="004147E2">
        <w:rPr>
          <w:lang w:val="en-US"/>
        </w:rPr>
        <w:t xml:space="preserve"> March 2016;</w:t>
      </w:r>
      <w:r w:rsidR="00CA747E" w:rsidRPr="004147E2">
        <w:rPr>
          <w:lang w:val="en-US"/>
        </w:rPr>
        <w:t xml:space="preserve"> </w:t>
      </w:r>
      <w:r w:rsidR="003538CE" w:rsidRPr="004147E2">
        <w:rPr>
          <w:lang w:val="en-US"/>
        </w:rPr>
        <w:t xml:space="preserve">monthly temp. = </w:t>
      </w:r>
      <w:r w:rsidR="00C87F04" w:rsidRPr="004147E2">
        <w:rPr>
          <w:lang w:val="en-US"/>
        </w:rPr>
        <w:t>29.7 ± 0.53 °C), and during the Austral winter (18</w:t>
      </w:r>
      <w:r w:rsidR="00C87F04" w:rsidRPr="004147E2">
        <w:rPr>
          <w:vertAlign w:val="superscript"/>
          <w:lang w:val="en-US"/>
        </w:rPr>
        <w:t>th</w:t>
      </w:r>
      <w:r w:rsidR="00C87F04" w:rsidRPr="004147E2">
        <w:rPr>
          <w:lang w:val="en-US"/>
        </w:rPr>
        <w:t xml:space="preserve"> to 20</w:t>
      </w:r>
      <w:r w:rsidR="00C87F04" w:rsidRPr="004147E2">
        <w:rPr>
          <w:vertAlign w:val="superscript"/>
          <w:lang w:val="en-US"/>
        </w:rPr>
        <w:t>th</w:t>
      </w:r>
      <w:r w:rsidR="00C87F04" w:rsidRPr="004147E2">
        <w:rPr>
          <w:lang w:val="en-US"/>
        </w:rPr>
        <w:t xml:space="preserve"> July 2016;</w:t>
      </w:r>
      <w:r w:rsidR="00CA747E" w:rsidRPr="004147E2">
        <w:rPr>
          <w:lang w:val="en-US"/>
        </w:rPr>
        <w:t xml:space="preserve"> </w:t>
      </w:r>
      <w:r w:rsidR="00C87F04" w:rsidRPr="004147E2">
        <w:rPr>
          <w:lang w:val="en-US"/>
        </w:rPr>
        <w:t>2</w:t>
      </w:r>
      <w:r w:rsidR="00236D4C" w:rsidRPr="004147E2">
        <w:rPr>
          <w:lang w:val="en-US"/>
        </w:rPr>
        <w:t>5</w:t>
      </w:r>
      <w:r w:rsidR="00231459" w:rsidRPr="004147E2">
        <w:rPr>
          <w:lang w:val="en-US"/>
        </w:rPr>
        <w:t>.0</w:t>
      </w:r>
      <w:r w:rsidR="00C87F04" w:rsidRPr="004147E2">
        <w:rPr>
          <w:lang w:val="en-US"/>
        </w:rPr>
        <w:t xml:space="preserve"> ± 0.24 °C). Fish were collected using clove oil anesthetic, euthanized, and transferred to the boat (James Cook University Animal Ethics approval A2408) where liver tissues were dissected, snap-frozen in liquid nitrogen, and </w:t>
      </w:r>
      <w:r w:rsidR="00FA20D5" w:rsidRPr="004147E2">
        <w:rPr>
          <w:lang w:val="en-US"/>
        </w:rPr>
        <w:t xml:space="preserve">permanently </w:t>
      </w:r>
      <w:r w:rsidR="00C87F04" w:rsidRPr="004147E2">
        <w:rPr>
          <w:lang w:val="en-US"/>
        </w:rPr>
        <w:t xml:space="preserve">stored at −80°C back in the laboratory until further processing. </w:t>
      </w:r>
      <w:r w:rsidR="00C87F04" w:rsidRPr="004147E2">
        <w:rPr>
          <w:i/>
          <w:iCs/>
        </w:rPr>
        <w:t xml:space="preserve">A. </w:t>
      </w:r>
      <w:proofErr w:type="spellStart"/>
      <w:r w:rsidR="00C87F04" w:rsidRPr="004147E2">
        <w:rPr>
          <w:i/>
          <w:iCs/>
        </w:rPr>
        <w:t>polyacanthus</w:t>
      </w:r>
      <w:proofErr w:type="spellEnd"/>
      <w:r w:rsidR="00C87F04" w:rsidRPr="004147E2">
        <w:t xml:space="preserve"> was selected due to its high relative abundance in the fish community composition in the GBR</w:t>
      </w:r>
      <w:r w:rsidR="00FA20D5" w:rsidRPr="004147E2">
        <w:t>, the available information from studies in captivity</w:t>
      </w:r>
      <w:r w:rsidR="00152CD8" w:rsidRPr="004147E2">
        <w:t xml:space="preserve"> </w:t>
      </w:r>
      <w:r w:rsidR="00152CD8" w:rsidRPr="004147E2">
        <w:fldChar w:fldCharType="begin" w:fldLock="1"/>
      </w:r>
      <w:r w:rsidR="00517C3C">
        <w:instrText>ADDIN CSL_CITATION {"citationItems":[{"id":"ITEM-1","itemData":{"DOI":"10.1111/eva.12386","ISSN":"17524571","abstract":"Predicting the impacts of climate change to biological systems requires an understanding of the ability for species to acclimate to the projected environmental change through phenotypic plasticity. Determining the effects of higher temperatures on individual performance is made more complex by the potential for environmental conditions experienced in previous and current generations to independently affect phenotypic responses to high temperatures. We used a model coral reef fish (Acanthochromis polyacanthus) to investigate the influence of thermal conditions experienced by two generations on reproductive output and the quality of offspring produced by adults. We found that more gradual warming over two generations, +1.5°C in the first generation and then +3.0°C in the second generation, resulted in greater plasticity of reproductive attributes, compared to fish that experienced the same increase in one generation. Reproduction ceased at the projected future summer temperature (31.5°C) when fish experienced +3.0°C for two generations. Additionally, we found that transgenerational plasticity to +1.5°C induced full restoration of thermally affected reproductive and offspring attributes, which was not possible with developmental plasticity alone. Our results suggest that transgenerational effects differ depending on the absolute thermal change and in which life stage the thermal change is experienced.","author":[{"dropping-particle":"","family":"Donelson","given":"Jennifer M.","non-dropping-particle":"","parse-names":false,"suffix":""},{"dropping-particle":"","family":"Wong","given":"Marian","non-dropping-particle":"","parse-names":false,"suffix":""},{"dropping-particle":"","family":"Booth","given":"David J.","non-dropping-particle":"","parse-names":false,"suffix":""},{"dropping-particle":"","family":"Munday","given":"Philip L.","non-dropping-particle":"","parse-names":false,"suffix":""}],"container-title":"Evolutionary Applications","id":"ITEM-1","issue":"9","issued":{"date-parts":[["2016"]]},"page":"1072-1081","title":"Transgenerational plasticity of reproduction depends on rate of warming across generations","type":"article-journal","volume":"9"},"uris":["http://www.mendeley.com/documents/?uuid=91713c23-4163-405e-9a78-b6717fb2c8c2"]},{"id":"ITEM-2","itemData":{"DOI":"10.1111/mec.14884","ISSN":"1365294X","PMID":"30267545","abstract":"Global warming will have far-reaching consequences for marine species over coming decades, yet the magnitude of these effects may depend on the rate of warming across generations. Recent experiments show coral reef fishes can compensate the metabolic challenges of elevated temperature when warm conditions are maintained across generations. However, the effects of a gradual temperature increase across generations remain unknown. In the present study, we analysed metabolic and molecular traits in the damselfish Acanthochromis polyacanthus that were exposed to +1.5°C in the first generation and +3.0°C in the second (Step +3.0°C). This treatment of stepwise warming was compared to fish reared at current-day temperatures (Control), second-generation fish of control parents reared at +3.0°C (Developmental +3.0°C) and fish exposed to elevated temperatures for two generations (Transgenerational +1.5°C and Transgenerational +3.0°C). Hepatosomatic index, oxygen consumption and liver gene expression were compared in second-generation fish of the multiple treatments. Hepatosomatic index increased in fish that developed at +3.0°C, regardless of the parental temperature. Routine oxygen consumption of Step +3.0°C fish was significantly higher than Control; however, their aerobic scope recovered to the same level as Control fish. Step +3.0°C fish exhibited significant upregulation of genes related to mitochondrial activity and energy production, which could be associated with their increased metabolic rates. These results indicate that restoration of aerobic scope is possible when fish experience gradual thermal increase across multiple generations, but the metabolic and molecular responses are different from fish reared at the same elevated thermal conditions in successive generations.","author":[{"dropping-particle":"","family":"Bernal","given":"Moisés A.","non-dropping-particle":"","parse-names":false,"suffix":""},{"dropping-particle":"","family":"Donelson","given":"Jennifer M.","non-dropping-particle":"","parse-names":false,"suffix":""},{"dropping-particle":"","family":"Veilleux","given":"Heather D.","non-dropping-particle":"","parse-names":false,"suffix":""},{"dropping-particle":"","family":"Ryu","given":"Taewoo","non-dropping-particle":"","parse-names":false,"suffix":""},{"dropping-particle":"","family":"Munday","given":"Philip L.","non-dropping-particle":"","parse-names":false,"suffix":""},{"dropping-particle":"","family":"Ravasi","given":"Timothy","non-dropping-particle":"","parse-names":false,"suffix":""}],"container-title":"Molecular Ecology","id":"ITEM-2","issue":"22","issued":{"date-parts":[["2018"]]},"page":"4516-4528","title":"Phenotypic and molecular consequences of stepwise temperature increase across generations in a coral reef fish","type":"article-journal","volume":"27"},"uris":["http://www.mendeley.com/documents/?uuid=c6f8909d-50b7-4369-af34-f77e0cb5c202"]},{"id":"ITEM-3","itemData":{"DOI":"10.1038/nclimate2724","ISSN":"17586798","abstract":"Some animals have the remarkable capacity to acclimate across generations to projected future climate change; however, the underlying molecular processes are unknown. We sequenced and assembled de novo transcriptomes of adult tropical reef fish exposed developmentally or transgenerationally to projected future ocean temperatures and correlated the resulting expression profiles with acclimated metabolic traits from the same fish. We identified 69 contigs representing 53 key genes involved in thermal acclimation of aerobic capacity. Metabolic genes were among the most upregulated transgenerationally, suggesting shifts in energy production for maintaining performance at elevated temperatures. Furthermore, immune- and stress-responsive genes were upregulated transgenerationally, indicating a new complement of genes allowing the second generation of fish to better cope with elevated temperatures. Other differentially expressed genes were involved with tissue development and transcriptional regulation. Overall, we found a similar suite of differentially expressed genes among developmental and transgenerational treatments. Heat-shock protein genes were surprisingly unresponsive, indicating that short-term heat-stress responses may not be a good indicator of long-term acclimation capacity. Our results are the first to reveal the molecular processes that may enable marine fishes to adjust to a future warmer environment over multiple generations.","author":[{"dropping-particle":"","family":"Veilleux","given":"Heather D.","non-dropping-particle":"","parse-names":false,"suffix":""},{"dropping-particle":"","family":"Ryu","given":"Taewoo","non-dropping-particle":"","parse-names":false,"suffix":""},{"dropping-particle":"","family":"Donelson","given":"Jennifer M.","non-dropping-particle":"","parse-names":false,"suffix":""},{"dropping-particle":"","family":"Herwerden","given":"Lynne","non-dropping-particle":"Van","parse-names":false,"suffix":""},{"dropping-particle":"","family":"Seridi","given":"Loqmane","non-dropping-particle":"","parse-names":false,"suffix":""},{"dropping-particle":"","family":"Ghosheh","given":"Yanal","non-dropping-particle":"","parse-names":false,"suffix":""},{"dropping-particle":"","family":"Berumen","given":"Michael L.","non-dropping-particle":"","parse-names":false,"suffix":""},{"dropping-particle":"","family":"Leggat","given":"William","non-dropping-particle":"","parse-names":false,"suffix":""},{"dropping-particle":"","family":"Ravasi","given":"Timothy","non-dropping-particle":"","parse-names":false,"suffix":""},{"dropping-particle":"","family":"Munday","given":"Philip L.","non-dropping-particle":"","parse-names":false,"suffix":""}],"container-title":"Nature Climate Change","id":"ITEM-3","issue":"12","issued":{"date-parts":[["2015"]]},"page":"1074-1078","title":"Molecular processes of transgenerational acclimation to a warming ocean","type":"article-journal","volume":"5"},"uris":["http://www.mendeley.com/documents/?uuid=cb59c796-e210-49ca-a274-8770de3bba37"]}],"mendeley":{"formattedCitation":"(Veilleux &lt;i&gt;et al.&lt;/i&gt;, 2015; Donelson &lt;i&gt;et al.&lt;/i&gt;, 2016; Bernal &lt;i&gt;et al.&lt;/i&gt;, 2018)","plainTextFormattedCitation":"(Veilleux et al., 2015; Donelson et al., 2016; Bernal et al., 2018)","previouslyFormattedCitation":"(Veilleux &lt;i&gt;et al.&lt;/i&gt;, 2015; Donelson &lt;i&gt;et al.&lt;/i&gt;, 2016; Bernal &lt;i&gt;et al.&lt;/i&gt;, 2018)"},"properties":{"noteIndex":0},"schema":"https://github.com/citation-style-language/schema/raw/master/csl-citation.json"}</w:instrText>
      </w:r>
      <w:r w:rsidR="00152CD8" w:rsidRPr="004147E2">
        <w:fldChar w:fldCharType="separate"/>
      </w:r>
      <w:r w:rsidR="00152CD8" w:rsidRPr="004147E2">
        <w:rPr>
          <w:noProof/>
        </w:rPr>
        <w:t xml:space="preserve">(Veilleux </w:t>
      </w:r>
      <w:r w:rsidR="00152CD8" w:rsidRPr="004147E2">
        <w:rPr>
          <w:i/>
          <w:noProof/>
        </w:rPr>
        <w:t>et al.</w:t>
      </w:r>
      <w:r w:rsidR="00152CD8" w:rsidRPr="004147E2">
        <w:rPr>
          <w:noProof/>
        </w:rPr>
        <w:t xml:space="preserve">, 2015; Donelson </w:t>
      </w:r>
      <w:r w:rsidR="00152CD8" w:rsidRPr="004147E2">
        <w:rPr>
          <w:i/>
          <w:noProof/>
        </w:rPr>
        <w:t>et al.</w:t>
      </w:r>
      <w:r w:rsidR="00152CD8" w:rsidRPr="004147E2">
        <w:rPr>
          <w:noProof/>
        </w:rPr>
        <w:t xml:space="preserve">, 2016; Bernal </w:t>
      </w:r>
      <w:r w:rsidR="00152CD8" w:rsidRPr="004147E2">
        <w:rPr>
          <w:i/>
          <w:noProof/>
        </w:rPr>
        <w:t>et al.</w:t>
      </w:r>
      <w:r w:rsidR="00152CD8" w:rsidRPr="004147E2">
        <w:rPr>
          <w:noProof/>
        </w:rPr>
        <w:t>, 2018)</w:t>
      </w:r>
      <w:r w:rsidR="00152CD8" w:rsidRPr="004147E2">
        <w:fldChar w:fldCharType="end"/>
      </w:r>
      <w:r w:rsidR="00FA20D5" w:rsidRPr="004147E2">
        <w:t xml:space="preserve"> </w:t>
      </w:r>
      <w:r w:rsidR="00C87F04" w:rsidRPr="004147E2">
        <w:t xml:space="preserve">and being found to be sensitive to </w:t>
      </w:r>
      <w:r w:rsidR="00FA20D5" w:rsidRPr="004147E2">
        <w:t xml:space="preserve">warming during the marine heatwave event </w:t>
      </w:r>
      <w:r w:rsidR="00C87F04" w:rsidRPr="004147E2">
        <w:rPr>
          <w:noProof/>
        </w:rPr>
        <w:t xml:space="preserve">(Bernal </w:t>
      </w:r>
      <w:r w:rsidR="00C87F04" w:rsidRPr="004147E2">
        <w:rPr>
          <w:i/>
          <w:noProof/>
        </w:rPr>
        <w:t>et al.</w:t>
      </w:r>
      <w:r w:rsidR="00C87F04" w:rsidRPr="004147E2">
        <w:rPr>
          <w:noProof/>
        </w:rPr>
        <w:t>, 2020)</w:t>
      </w:r>
      <w:r w:rsidR="00C87F04" w:rsidRPr="004147E2">
        <w:t xml:space="preserve">. To determine the </w:t>
      </w:r>
      <w:r w:rsidR="002A1CFD" w:rsidRPr="004147E2">
        <w:t xml:space="preserve">approximate </w:t>
      </w:r>
      <w:r w:rsidR="00C87F04" w:rsidRPr="004147E2">
        <w:t xml:space="preserve">temperature range </w:t>
      </w:r>
      <w:r w:rsidR="002A1CFD" w:rsidRPr="004147E2">
        <w:t>experienced by the fish during the heatwave</w:t>
      </w:r>
      <w:r w:rsidR="00C87F04" w:rsidRPr="004147E2">
        <w:t xml:space="preserve">, </w:t>
      </w:r>
      <w:r w:rsidR="00C87F04" w:rsidRPr="004147E2">
        <w:rPr>
          <w:lang w:val="en-US"/>
        </w:rPr>
        <w:t>records from 201</w:t>
      </w:r>
      <w:r w:rsidR="00CA2F78" w:rsidRPr="004147E2">
        <w:rPr>
          <w:lang w:val="en-US"/>
        </w:rPr>
        <w:t>5</w:t>
      </w:r>
      <w:r w:rsidR="00C87F04" w:rsidRPr="004147E2">
        <w:rPr>
          <w:lang w:val="en-US"/>
        </w:rPr>
        <w:t xml:space="preserve"> to 2016 were obtained from a sensor </w:t>
      </w:r>
      <w:r w:rsidR="00AC463D" w:rsidRPr="004147E2">
        <w:rPr>
          <w:lang w:val="en-US"/>
        </w:rPr>
        <w:t>in L</w:t>
      </w:r>
      <w:r w:rsidR="00C87F04" w:rsidRPr="004147E2">
        <w:rPr>
          <w:lang w:val="en-US"/>
        </w:rPr>
        <w:t>izard Island</w:t>
      </w:r>
      <w:r w:rsidR="002A1CFD" w:rsidRPr="004147E2">
        <w:rPr>
          <w:lang w:val="en-US"/>
        </w:rPr>
        <w:t xml:space="preserve"> (0.6m of depth)</w:t>
      </w:r>
      <w:r w:rsidR="00C87F04" w:rsidRPr="004147E2">
        <w:rPr>
          <w:lang w:val="en-US"/>
        </w:rPr>
        <w:t xml:space="preserve"> operated by the Australian Institute of Marine Science (http://weather.aims.gov.au/#/station/1166; </w:t>
      </w:r>
      <w:r w:rsidR="00946DB0" w:rsidRPr="004147E2">
        <w:rPr>
          <w:lang w:val="en-US"/>
        </w:rPr>
        <w:t>Supplementary data</w:t>
      </w:r>
      <w:r w:rsidR="00C87F04" w:rsidRPr="004147E2">
        <w:rPr>
          <w:lang w:val="en-US"/>
        </w:rPr>
        <w:t xml:space="preserve"> S1).</w:t>
      </w:r>
    </w:p>
    <w:p w14:paraId="1172321F" w14:textId="7D1980DB" w:rsidR="00792590" w:rsidRPr="00473B39" w:rsidRDefault="00C87F04" w:rsidP="00473B39">
      <w:pPr>
        <w:spacing w:line="480" w:lineRule="auto"/>
        <w:jc w:val="both"/>
        <w:rPr>
          <w:lang w:val="en-US"/>
        </w:rPr>
      </w:pPr>
      <w:r w:rsidRPr="004147E2">
        <w:rPr>
          <w:rFonts w:ascii="Calibri" w:hAnsi="Calibri" w:cs="Calibri"/>
          <w:lang w:val="en-US"/>
        </w:rPr>
        <w:t>﻿</w:t>
      </w:r>
      <w:r w:rsidRPr="004147E2">
        <w:rPr>
          <w:lang w:val="en-US"/>
        </w:rPr>
        <w:tab/>
        <w:t xml:space="preserve">Total RNA </w:t>
      </w:r>
      <w:r w:rsidR="00792590" w:rsidRPr="004147E2">
        <w:rPr>
          <w:lang w:val="en-US"/>
        </w:rPr>
        <w:t xml:space="preserve">was extracted by homogenizing the whole liver for </w:t>
      </w:r>
      <w:r w:rsidR="00D96AB6" w:rsidRPr="004147E2">
        <w:rPr>
          <w:lang w:val="en-US"/>
        </w:rPr>
        <w:t xml:space="preserve">one </w:t>
      </w:r>
      <w:r w:rsidR="00792590" w:rsidRPr="004147E2">
        <w:rPr>
          <w:lang w:val="en-US"/>
        </w:rPr>
        <w:t>min</w:t>
      </w:r>
      <w:r w:rsidR="002A1CFD" w:rsidRPr="004147E2">
        <w:rPr>
          <w:lang w:val="en-US"/>
        </w:rPr>
        <w:t>ute</w:t>
      </w:r>
      <w:r w:rsidR="00792590" w:rsidRPr="004147E2">
        <w:rPr>
          <w:lang w:val="en-US"/>
        </w:rPr>
        <w:t xml:space="preserve"> in a </w:t>
      </w:r>
      <w:proofErr w:type="spellStart"/>
      <w:r w:rsidR="00792590" w:rsidRPr="004147E2">
        <w:rPr>
          <w:lang w:val="en-US"/>
        </w:rPr>
        <w:t>Fisherbrand</w:t>
      </w:r>
      <w:proofErr w:type="spellEnd"/>
      <w:r w:rsidR="00792590" w:rsidRPr="004147E2">
        <w:rPr>
          <w:lang w:val="en-US"/>
        </w:rPr>
        <w:t xml:space="preserve"> Bead Beater with single-use silicon beads and using up to 30 mg in RNeasy Mini Kits (Qiagen). DNA contamination was removed by on-column digestion using </w:t>
      </w:r>
      <w:proofErr w:type="spellStart"/>
      <w:r w:rsidR="00792590" w:rsidRPr="004147E2">
        <w:rPr>
          <w:lang w:val="en-US"/>
        </w:rPr>
        <w:t>DNAse</w:t>
      </w:r>
      <w:proofErr w:type="spellEnd"/>
      <w:r w:rsidR="00792590" w:rsidRPr="004147E2">
        <w:rPr>
          <w:lang w:val="en-US"/>
        </w:rPr>
        <w:t xml:space="preserve"> I (Qiagen) following the manufacturer’s instructions. RNA quality was evaluated with </w:t>
      </w:r>
      <w:r w:rsidR="004359A1" w:rsidRPr="004147E2">
        <w:rPr>
          <w:lang w:val="en-US"/>
        </w:rPr>
        <w:t xml:space="preserve">an </w:t>
      </w:r>
      <w:r w:rsidR="00792590" w:rsidRPr="004147E2">
        <w:rPr>
          <w:lang w:val="en-US"/>
        </w:rPr>
        <w:t xml:space="preserve">Agilent Bioanalyzer. Paired-end fragments of 150 base pairs were sequenced with an Illumina </w:t>
      </w:r>
      <w:r w:rsidR="00792590" w:rsidRPr="004147E2">
        <w:rPr>
          <w:lang w:val="en-US"/>
        </w:rPr>
        <w:lastRenderedPageBreak/>
        <w:t>HiSeq4000</w:t>
      </w:r>
      <w:r w:rsidR="009C75CA" w:rsidRPr="004147E2">
        <w:rPr>
          <w:lang w:val="en-US"/>
        </w:rPr>
        <w:t xml:space="preserve"> at </w:t>
      </w:r>
      <w:proofErr w:type="spellStart"/>
      <w:r w:rsidR="009C75CA" w:rsidRPr="004147E2">
        <w:rPr>
          <w:lang w:val="en-US"/>
        </w:rPr>
        <w:t>Macrogen</w:t>
      </w:r>
      <w:proofErr w:type="spellEnd"/>
      <w:r w:rsidR="009C75CA" w:rsidRPr="004147E2">
        <w:rPr>
          <w:lang w:val="en-US"/>
        </w:rPr>
        <w:t>, South Korea.</w:t>
      </w:r>
      <w:r w:rsidR="00792590" w:rsidRPr="004147E2">
        <w:rPr>
          <w:lang w:val="en-US"/>
        </w:rPr>
        <w:t xml:space="preserve"> </w:t>
      </w:r>
      <w:r w:rsidR="00AC463D" w:rsidRPr="004147E2">
        <w:rPr>
          <w:lang w:val="en-US"/>
        </w:rPr>
        <w:t xml:space="preserve">These samples were sequenced with other species of coral reef fish described in the manuscript by Bernal </w:t>
      </w:r>
      <w:r w:rsidR="00AC463D" w:rsidRPr="004147E2">
        <w:rPr>
          <w:i/>
          <w:iCs/>
          <w:lang w:val="en-US"/>
        </w:rPr>
        <w:t xml:space="preserve">et al. </w:t>
      </w:r>
      <w:r w:rsidR="000A5E32" w:rsidRPr="004147E2">
        <w:rPr>
          <w:lang w:val="en-US"/>
        </w:rPr>
        <w:t>(</w:t>
      </w:r>
      <w:r w:rsidR="00AC463D" w:rsidRPr="004147E2">
        <w:rPr>
          <w:lang w:val="en-US"/>
        </w:rPr>
        <w:t>2020</w:t>
      </w:r>
      <w:r w:rsidR="0064057C" w:rsidRPr="004147E2">
        <w:rPr>
          <w:lang w:val="en-US"/>
        </w:rPr>
        <w:t>)</w:t>
      </w:r>
      <w:r w:rsidR="00EC20D6" w:rsidRPr="004147E2">
        <w:rPr>
          <w:lang w:val="en-US"/>
        </w:rPr>
        <w:t>.</w:t>
      </w:r>
      <w:r w:rsidR="0064057C" w:rsidRPr="004147E2">
        <w:rPr>
          <w:lang w:val="en-US"/>
        </w:rPr>
        <w:t xml:space="preserve"> I</w:t>
      </w:r>
      <w:r w:rsidR="00AC463D" w:rsidRPr="004147E2">
        <w:rPr>
          <w:lang w:val="en-US"/>
        </w:rPr>
        <w:t xml:space="preserve">ndividuals collected at different time points </w:t>
      </w:r>
      <w:r w:rsidR="00792590" w:rsidRPr="004147E2">
        <w:rPr>
          <w:lang w:val="en-US"/>
        </w:rPr>
        <w:t xml:space="preserve">were randomized and sequenced </w:t>
      </w:r>
      <w:r w:rsidR="00AC463D" w:rsidRPr="004147E2">
        <w:rPr>
          <w:lang w:val="en-US"/>
        </w:rPr>
        <w:t xml:space="preserve">in different </w:t>
      </w:r>
      <w:r w:rsidR="004359A1" w:rsidRPr="004147E2">
        <w:rPr>
          <w:lang w:val="en-US"/>
        </w:rPr>
        <w:t>Illumina Lane</w:t>
      </w:r>
      <w:r w:rsidR="00AC463D" w:rsidRPr="004147E2">
        <w:rPr>
          <w:lang w:val="en-US"/>
        </w:rPr>
        <w:t xml:space="preserve">s (no more than 2 individuals per </w:t>
      </w:r>
      <w:r w:rsidR="0080762C" w:rsidRPr="004147E2">
        <w:rPr>
          <w:lang w:val="en-US"/>
        </w:rPr>
        <w:t xml:space="preserve">collection point </w:t>
      </w:r>
      <w:r w:rsidR="00AC463D" w:rsidRPr="004147E2">
        <w:rPr>
          <w:lang w:val="en-US"/>
        </w:rPr>
        <w:t>per lane</w:t>
      </w:r>
      <w:r w:rsidR="00EC20D6" w:rsidRPr="004147E2">
        <w:rPr>
          <w:lang w:val="en-US"/>
        </w:rPr>
        <w:t xml:space="preserve">) </w:t>
      </w:r>
      <w:r w:rsidR="004C3DC7" w:rsidRPr="004147E2">
        <w:rPr>
          <w:lang w:val="en-US"/>
        </w:rPr>
        <w:t xml:space="preserve">to avoid the sequencing </w:t>
      </w:r>
      <w:r w:rsidR="0080762C" w:rsidRPr="004147E2">
        <w:rPr>
          <w:lang w:val="en-US"/>
        </w:rPr>
        <w:t>bias</w:t>
      </w:r>
      <w:r w:rsidR="008E41D3">
        <w:rPr>
          <w:lang w:val="en-US"/>
        </w:rPr>
        <w:t>es</w:t>
      </w:r>
      <w:r w:rsidR="00792590" w:rsidRPr="004147E2">
        <w:rPr>
          <w:lang w:val="en-US"/>
        </w:rPr>
        <w:t>.</w:t>
      </w:r>
    </w:p>
    <w:p w14:paraId="35998531" w14:textId="77777777" w:rsidR="00654ED1" w:rsidRPr="004147E2" w:rsidRDefault="00654ED1" w:rsidP="00792590">
      <w:pPr>
        <w:rPr>
          <w:b/>
          <w:bCs/>
          <w:lang w:val="en-US"/>
        </w:rPr>
      </w:pPr>
    </w:p>
    <w:p w14:paraId="64F991F2" w14:textId="77777777" w:rsidR="00792590" w:rsidRPr="004147E2" w:rsidRDefault="00792590" w:rsidP="00792590">
      <w:pPr>
        <w:spacing w:line="480" w:lineRule="auto"/>
        <w:jc w:val="both"/>
        <w:rPr>
          <w:b/>
          <w:bCs/>
          <w:lang w:val="en-US"/>
        </w:rPr>
      </w:pPr>
      <w:r w:rsidRPr="004147E2">
        <w:rPr>
          <w:b/>
          <w:bCs/>
          <w:lang w:val="en-US"/>
        </w:rPr>
        <w:t>Sequencing and splicing analysis</w:t>
      </w:r>
    </w:p>
    <w:p w14:paraId="5560E414" w14:textId="19332ED5" w:rsidR="00792590" w:rsidRPr="004147E2" w:rsidRDefault="00792590" w:rsidP="00792590">
      <w:pPr>
        <w:autoSpaceDE w:val="0"/>
        <w:autoSpaceDN w:val="0"/>
        <w:adjustRightInd w:val="0"/>
        <w:spacing w:line="480" w:lineRule="auto"/>
        <w:ind w:firstLine="720"/>
        <w:jc w:val="both"/>
        <w:rPr>
          <w:rFonts w:eastAsiaTheme="minorEastAsia"/>
          <w:lang w:val="en-GB"/>
        </w:rPr>
      </w:pPr>
      <w:r w:rsidRPr="004147E2">
        <w:rPr>
          <w:lang w:val="en-US"/>
        </w:rPr>
        <w:t xml:space="preserve">The raw RNA-Seq reads were assessed for quality with </w:t>
      </w:r>
      <w:proofErr w:type="spellStart"/>
      <w:r w:rsidRPr="004147E2">
        <w:rPr>
          <w:lang w:val="en-US"/>
        </w:rPr>
        <w:t>FastQC</w:t>
      </w:r>
      <w:proofErr w:type="spellEnd"/>
      <w:r w:rsidRPr="004147E2">
        <w:rPr>
          <w:lang w:val="en-US"/>
        </w:rPr>
        <w:t xml:space="preserve"> v0.11.9 </w:t>
      </w:r>
      <w:r w:rsidR="002720F7" w:rsidRPr="004147E2">
        <w:rPr>
          <w:lang w:val="en-US"/>
        </w:rPr>
        <w:t>(Andrews, 2010)</w:t>
      </w:r>
      <w:r w:rsidR="00EF6FCB" w:rsidRPr="004147E2">
        <w:rPr>
          <w:lang w:val="en-US"/>
        </w:rPr>
        <w:t xml:space="preserve"> and</w:t>
      </w:r>
      <w:r w:rsidR="00FC7CD8" w:rsidRPr="004147E2">
        <w:rPr>
          <w:lang w:val="en-US"/>
        </w:rPr>
        <w:t xml:space="preserve"> </w:t>
      </w:r>
      <w:r w:rsidR="00EF6FCB" w:rsidRPr="004147E2">
        <w:rPr>
          <w:lang w:val="en-US"/>
        </w:rPr>
        <w:t>l</w:t>
      </w:r>
      <w:r w:rsidR="00F36CC9" w:rsidRPr="004147E2">
        <w:rPr>
          <w:lang w:val="en-US"/>
        </w:rPr>
        <w:t xml:space="preserve">ow quality reads and adapters were </w:t>
      </w:r>
      <w:r w:rsidRPr="004147E2">
        <w:rPr>
          <w:lang w:val="en-US"/>
        </w:rPr>
        <w:t xml:space="preserve">trimmed with </w:t>
      </w:r>
      <w:proofErr w:type="spellStart"/>
      <w:r w:rsidRPr="004147E2">
        <w:rPr>
          <w:lang w:val="en-US"/>
        </w:rPr>
        <w:t>Trimmomatic</w:t>
      </w:r>
      <w:proofErr w:type="spellEnd"/>
      <w:r w:rsidRPr="004147E2">
        <w:rPr>
          <w:lang w:val="en-US"/>
        </w:rPr>
        <w:t xml:space="preserve"> v0.39 </w:t>
      </w:r>
      <w:r w:rsidR="002720F7" w:rsidRPr="004147E2">
        <w:rPr>
          <w:bCs/>
          <w:noProof/>
          <w:lang w:val="en-GB"/>
        </w:rPr>
        <w:fldChar w:fldCharType="begin" w:fldLock="1"/>
      </w:r>
      <w:r w:rsidR="00517C3C">
        <w:rPr>
          <w:bCs/>
          <w:noProof/>
          <w:lang w:val="en-GB"/>
        </w:rPr>
        <w:instrText>ADDIN CSL_CITATION {"citationItems":[{"id":"ITEM-1","itemData":{"DOI":"10.1093/bioinformatics/btu170","ISSN":"14602059","PMID":"24695404","abstract":"Motivation: Although many next-generation sequencing (NGS) read preprocessing tools already existed, we could not find any tool or combination of tools that met our requirements in terms of flexibility, correct handling of paired-end data and high performance. We have developed Trimmomatic as a more flexible and efficient preprocessing tool, which could correctly handle paired-end data. Results: The value of NGS read preprocessing is demonstrated for both reference-based and reference-free tasks. Trimmomatic is shown to produce output that is at least competitive with, and in many cases superior to, that produced by other tools, in all scenarios tested. Availability and implementation: Trimmomatic is licensed under GPL V3. It is cross-platform (Java 1.5+ required) and available at http://www.usadellab.org/cms/index.php?page= trimmomatic. © The Author 2014.","author":[{"dropping-particle":"","family":"Bolger","given":"Anthony M.","non-dropping-particle":"","parse-names":false,"suffix":""},{"dropping-particle":"","family":"Lohse","given":"Marc","non-dropping-particle":"","parse-names":false,"suffix":""},{"dropping-particle":"","family":"Usadel","given":"Bjoern","non-dropping-particle":"","parse-names":false,"suffix":""}],"container-title":"Bioinformatics","id":"ITEM-1","issue":"15","issued":{"date-parts":[["2014"]]},"page":"2114-2120","title":"Trimmomatic: A flexible trimmer for Illumina sequence data","type":"article-journal","volume":"30"},"uris":["http://www.mendeley.com/documents/?uuid=b3530c75-5c6d-4508-9de6-a8980bd7eace"]}],"mendeley":{"formattedCitation":"(Bolger, Lohse and Usadel, 2014)","plainTextFormattedCitation":"(Bolger, Lohse and Usadel, 2014)","previouslyFormattedCitation":"(Bolger, Lohse and Usadel, 2014)"},"properties":{"noteIndex":0},"schema":"https://github.com/citation-style-language/schema/raw/master/csl-citation.json"}</w:instrText>
      </w:r>
      <w:r w:rsidR="002720F7" w:rsidRPr="004147E2">
        <w:rPr>
          <w:bCs/>
          <w:noProof/>
          <w:lang w:val="en-GB"/>
        </w:rPr>
        <w:fldChar w:fldCharType="separate"/>
      </w:r>
      <w:r w:rsidR="002720F7" w:rsidRPr="004147E2">
        <w:rPr>
          <w:bCs/>
          <w:noProof/>
          <w:lang w:val="en-GB"/>
        </w:rPr>
        <w:t>(Bolger, Lohse and Usadel, 2014)</w:t>
      </w:r>
      <w:r w:rsidR="002720F7" w:rsidRPr="004147E2">
        <w:rPr>
          <w:bCs/>
          <w:noProof/>
          <w:lang w:val="en-GB"/>
        </w:rPr>
        <w:fldChar w:fldCharType="end"/>
      </w:r>
      <w:r w:rsidR="002720F7" w:rsidRPr="004147E2">
        <w:rPr>
          <w:bCs/>
          <w:noProof/>
          <w:lang w:val="en-GB"/>
        </w:rPr>
        <w:t xml:space="preserve"> </w:t>
      </w:r>
      <w:r w:rsidRPr="004147E2">
        <w:rPr>
          <w:lang w:val="en-US"/>
        </w:rPr>
        <w:t xml:space="preserve">by using the following parameters: “ILLUMINACLIP: TruSeq3-PE-2.fa:2:30:10:8:true LEADING:4 TRAILING:3 SLIDINGWINDOW:4:15 MINLEN:40”. Potential fungal, </w:t>
      </w:r>
      <w:r w:rsidR="00F4095A" w:rsidRPr="004147E2">
        <w:rPr>
          <w:lang w:val="en-US"/>
        </w:rPr>
        <w:t>bacterial,</w:t>
      </w:r>
      <w:r w:rsidRPr="004147E2">
        <w:rPr>
          <w:lang w:val="en-US"/>
        </w:rPr>
        <w:t xml:space="preserve"> and viral contamination was removed with Kraken </w:t>
      </w:r>
      <w:r w:rsidRPr="004147E2">
        <w:t xml:space="preserve">v2.1.0 </w:t>
      </w:r>
      <w:r w:rsidR="007A4402" w:rsidRPr="004147E2">
        <w:rPr>
          <w:bCs/>
          <w:noProof/>
          <w:lang w:val="en-GB"/>
        </w:rPr>
        <w:fldChar w:fldCharType="begin" w:fldLock="1"/>
      </w:r>
      <w:r w:rsidR="007602F2">
        <w:rPr>
          <w:bCs/>
          <w:noProof/>
          <w:lang w:val="en-GB"/>
        </w:rPr>
        <w:instrText>ADDIN CSL_CITATION {"citationItems":[{"id":"ITEM-1","itemData":{"DOI":"10.1101/762302","ISSN":"1474-7596","abstract":"Although Kraken’s k-mer-based approach provides fast taxonomic classification of metagenomic sequence data, its large memory requirements can be limiting for some applications. Kraken 2 improves upon Kraken 1 by reducing memory usage by 85%, allowing greater amounts of reference genomic data to be used, while maintaining high accuracy and increasing speed five-fold. Kraken 2 also introduces a translated search mode, providing increased sensitivity in viral metagenomics analysis.","author":[{"dropping-particle":"","family":"Wood","given":"Derrick E.","non-dropping-particle":"","parse-names":false,"suffix":""},{"dropping-particle":"","family":"Lu","given":"Jennifer","non-dropping-particle":"","parse-names":false,"suffix":""},{"dropping-particle":"","family":"Langmead","given":"Ben","non-dropping-particle":"","parse-names":false,"suffix":""}],"container-title":"Genome Biology","id":"ITEM-1","issue":"1","issued":{"date-parts":[["2019"]]},"page":"1-13","title":"Improved metagenomic analysis with Kraken 2","type":"article-journal","volume":"20"},"uris":["http://www.mendeley.com/documents/?uuid=4a7d697c-cb9c-4eea-a71b-bf17abdddecb","http://www.mendeley.com/documents/?uuid=9151cada-4f91-4de5-8625-5b01d7e2b603"]}],"mendeley":{"formattedCitation":"(Wood, Lu and Langmead, 2019)","plainTextFormattedCitation":"(Wood, Lu and Langmead, 2019)","previouslyFormattedCitation":"(Wood, Lu and Langmead, 2019)"},"properties":{"noteIndex":0},"schema":"https://github.com/citation-style-language/schema/raw/master/csl-citation.json"}</w:instrText>
      </w:r>
      <w:r w:rsidR="007A4402" w:rsidRPr="004147E2">
        <w:rPr>
          <w:bCs/>
          <w:noProof/>
          <w:lang w:val="en-GB"/>
        </w:rPr>
        <w:fldChar w:fldCharType="separate"/>
      </w:r>
      <w:r w:rsidR="007A4402" w:rsidRPr="004147E2">
        <w:rPr>
          <w:bCs/>
          <w:noProof/>
          <w:lang w:val="en-GB"/>
        </w:rPr>
        <w:t>(Wood, Lu and Langmead, 2019)</w:t>
      </w:r>
      <w:r w:rsidR="007A4402" w:rsidRPr="004147E2">
        <w:rPr>
          <w:bCs/>
          <w:noProof/>
          <w:lang w:val="en-GB"/>
        </w:rPr>
        <w:fldChar w:fldCharType="end"/>
      </w:r>
      <w:r w:rsidR="007A4402" w:rsidRPr="004147E2">
        <w:rPr>
          <w:bCs/>
          <w:noProof/>
          <w:lang w:val="en-GB"/>
        </w:rPr>
        <w:t xml:space="preserve"> </w:t>
      </w:r>
      <w:r w:rsidRPr="004147E2">
        <w:rPr>
          <w:lang w:val="en-US"/>
        </w:rPr>
        <w:t xml:space="preserve">using the standard database </w:t>
      </w:r>
      <w:r w:rsidR="00F36CC9" w:rsidRPr="004147E2">
        <w:rPr>
          <w:lang w:val="en-US"/>
        </w:rPr>
        <w:t xml:space="preserve">and </w:t>
      </w:r>
      <w:r w:rsidRPr="004147E2">
        <w:rPr>
          <w:lang w:val="en-US"/>
        </w:rPr>
        <w:t xml:space="preserve">a confidence score of 0.3. The high-quality and </w:t>
      </w:r>
      <w:r w:rsidR="00AC463D" w:rsidRPr="004147E2">
        <w:rPr>
          <w:lang w:val="en-US"/>
        </w:rPr>
        <w:t>clean</w:t>
      </w:r>
      <w:r w:rsidRPr="004147E2">
        <w:rPr>
          <w:lang w:val="en-US"/>
        </w:rPr>
        <w:t xml:space="preserve"> sequences were then mapped to the </w:t>
      </w:r>
      <w:r w:rsidRPr="004147E2">
        <w:rPr>
          <w:i/>
          <w:iCs/>
          <w:lang w:val="en-US"/>
        </w:rPr>
        <w:t xml:space="preserve">A. </w:t>
      </w:r>
      <w:proofErr w:type="spellStart"/>
      <w:r w:rsidRPr="004147E2">
        <w:rPr>
          <w:i/>
          <w:iCs/>
          <w:lang w:val="en-US"/>
        </w:rPr>
        <w:t>polyacanthus</w:t>
      </w:r>
      <w:proofErr w:type="spellEnd"/>
      <w:r w:rsidRPr="004147E2">
        <w:rPr>
          <w:lang w:val="en-US"/>
        </w:rPr>
        <w:t xml:space="preserve"> reference genome (</w:t>
      </w:r>
      <w:r w:rsidR="00EF6FCB" w:rsidRPr="004147E2">
        <w:rPr>
          <w:lang w:val="en-US"/>
        </w:rPr>
        <w:t xml:space="preserve">NCBI </w:t>
      </w:r>
      <w:proofErr w:type="spellStart"/>
      <w:r w:rsidR="00EF6FCB" w:rsidRPr="004147E2">
        <w:rPr>
          <w:lang w:val="en-US"/>
        </w:rPr>
        <w:t>BioProject</w:t>
      </w:r>
      <w:proofErr w:type="spellEnd"/>
      <w:r w:rsidR="00EF6FCB" w:rsidRPr="004147E2">
        <w:rPr>
          <w:lang w:val="en-US"/>
        </w:rPr>
        <w:t xml:space="preserve"> </w:t>
      </w:r>
      <w:r w:rsidR="00EF6FCB" w:rsidRPr="004147E2">
        <w:rPr>
          <w:shd w:val="clear" w:color="auto" w:fill="FFFFFF"/>
        </w:rPr>
        <w:t>PRJNA690095</w:t>
      </w:r>
      <w:r w:rsidRPr="004147E2">
        <w:rPr>
          <w:lang w:val="en-US"/>
        </w:rPr>
        <w:t xml:space="preserve">) using STAR v2.7.6a </w:t>
      </w:r>
      <w:r w:rsidR="007A4402" w:rsidRPr="004147E2">
        <w:rPr>
          <w:lang w:val="en-US"/>
        </w:rPr>
        <w:fldChar w:fldCharType="begin" w:fldLock="1"/>
      </w:r>
      <w:r w:rsidR="00517C3C">
        <w:rPr>
          <w:lang w:val="en-US"/>
        </w:rPr>
        <w:instrText>ADDIN CSL_CITATION {"citationItems":[{"id":"ITEM-1","itemData":{"DOI":"10.1093/bioinformatics/bts635","ISSN":"13674803","PMID":"23104886","abstract":"Motivation: Accurate alignment of high-throughput RNA-seq data is a challenging and yet unsolved problem because of the non-contiguous transcript structure, relatively short read lengths and constantly increasing throughput of the sequencing technologies. Currently available RNA-seq aligners suffer from high mapping error rates, low mapping speed, read length limitation and mapping biases.Results: To align our large (&gt;80 billon reads) ENCODE Transcriptome RNA-seq dataset, we developed the Spliced Transcripts Alignment to a Reference (STAR) software based on a previously undescribed RNA-seq alignment algorithm that uses sequential maximum mappable seed search in uncompressed suffix arrays followed by seed clustering and stitching procedure. STAR outperforms other aligners by a factor of &gt;50 in mapping speed, aligning to the human genome 550 million 2 × 76 bp paired-end reads per hour on a modest 12-core server, while at the same time improving alignment sensitivity and precision. In addition to unbiased de novo detection of canonical junctions, STAR can discover non-canonical splices and chimeric (fusion) transcripts, and is also capable of mapping full-length RNA sequences. Using Roche 454 sequencing of reverse transcription polymerase chain reaction amplicons, we experimentally validated 1960 novel intergenic splice junctions with an 80-90% success rate, corroborating the high precision of the STAR mapping strategy. © The Author(s) 2012. Published by Oxford University Press.","author":[{"dropping-particle":"","family":"Dobin","given":"Alexander","non-dropping-particle":"","parse-names":false,"suffix":""},{"dropping-particle":"","family":"Davis","given":"Carrie A.","non-dropping-particle":"","parse-names":false,"suffix":""},{"dropping-particle":"","family":"Schlesinger","given":"Felix","non-dropping-particle":"","parse-names":false,"suffix":""},{"dropping-particle":"","family":"Drenkow","given":"Jorg","non-dropping-particle":"","parse-names":false,"suffix":""},{"dropping-particle":"","family":"Zaleski","given":"Chris","non-dropping-particle":"","parse-names":false,"suffix":""},{"dropping-particle":"","family":"Jha","given":"Sonali","non-dropping-particle":"","parse-names":false,"suffix":""},{"dropping-particle":"","family":"Batut","given":"Philippe","non-dropping-particle":"","parse-names":false,"suffix":""},{"dropping-particle":"","family":"Chaisson","given":"Mark","non-dropping-particle":"","parse-names":false,"suffix":""},{"dropping-particle":"","family":"Gingeras","given":"Thomas R.","non-dropping-particle":"","parse-names":false,"suffix":""}],"container-title":"Bioinformatics","id":"ITEM-1","issue":"1","issued":{"date-parts":[["2013"]]},"page":"15-21","title":"STAR: Ultrafast universal RNA-seq aligner","type":"article-journal","volume":"29"},"uris":["http://www.mendeley.com/documents/?uuid=6e64caaf-bd34-42c7-82e6-9ae8f0ad429d"]}],"mendeley":{"formattedCitation":"(Dobin &lt;i&gt;et al.&lt;/i&gt;, 2013)","plainTextFormattedCitation":"(Dobin et al., 2013)","previouslyFormattedCitation":"(Dobin &lt;i&gt;et al.&lt;/i&gt;, 2013)"},"properties":{"noteIndex":0},"schema":"https://github.com/citation-style-language/schema/raw/master/csl-citation.json"}</w:instrText>
      </w:r>
      <w:r w:rsidR="007A4402" w:rsidRPr="004147E2">
        <w:rPr>
          <w:lang w:val="en-US"/>
        </w:rPr>
        <w:fldChar w:fldCharType="separate"/>
      </w:r>
      <w:r w:rsidR="007A4402" w:rsidRPr="004147E2">
        <w:rPr>
          <w:noProof/>
          <w:lang w:val="en-US"/>
        </w:rPr>
        <w:t xml:space="preserve">(Dobin </w:t>
      </w:r>
      <w:r w:rsidR="007A4402" w:rsidRPr="004147E2">
        <w:rPr>
          <w:i/>
          <w:noProof/>
          <w:lang w:val="en-US"/>
        </w:rPr>
        <w:t>et al.</w:t>
      </w:r>
      <w:r w:rsidR="007A4402" w:rsidRPr="004147E2">
        <w:rPr>
          <w:noProof/>
          <w:lang w:val="en-US"/>
        </w:rPr>
        <w:t>, 2013)</w:t>
      </w:r>
      <w:r w:rsidR="007A4402" w:rsidRPr="004147E2">
        <w:rPr>
          <w:lang w:val="en-US"/>
        </w:rPr>
        <w:fldChar w:fldCharType="end"/>
      </w:r>
      <w:r w:rsidR="007A4402" w:rsidRPr="004147E2">
        <w:rPr>
          <w:lang w:val="en-US"/>
        </w:rPr>
        <w:t xml:space="preserve"> </w:t>
      </w:r>
      <w:r w:rsidRPr="004147E2">
        <w:rPr>
          <w:lang w:val="en-US"/>
        </w:rPr>
        <w:t xml:space="preserve">in the 2-pass mode using default parameters. </w:t>
      </w:r>
    </w:p>
    <w:p w14:paraId="54352FA9" w14:textId="4D2B7FB1" w:rsidR="00463E09" w:rsidRPr="004147E2" w:rsidRDefault="008B7684" w:rsidP="00792590">
      <w:pPr>
        <w:autoSpaceDE w:val="0"/>
        <w:autoSpaceDN w:val="0"/>
        <w:adjustRightInd w:val="0"/>
        <w:spacing w:line="480" w:lineRule="auto"/>
        <w:ind w:firstLine="720"/>
        <w:jc w:val="both"/>
        <w:rPr>
          <w:rFonts w:eastAsiaTheme="minorEastAsia"/>
          <w:lang w:val="en-GB"/>
        </w:rPr>
      </w:pPr>
      <w:r w:rsidRPr="004147E2">
        <w:rPr>
          <w:rFonts w:eastAsiaTheme="minorEastAsia"/>
          <w:lang w:val="en-GB"/>
        </w:rPr>
        <w:t xml:space="preserve">To </w:t>
      </w:r>
      <w:r w:rsidR="00AC463D" w:rsidRPr="004147E2">
        <w:rPr>
          <w:rFonts w:eastAsiaTheme="minorEastAsia"/>
          <w:lang w:val="en-GB"/>
        </w:rPr>
        <w:t xml:space="preserve">evaluate </w:t>
      </w:r>
      <w:r w:rsidRPr="004147E2">
        <w:rPr>
          <w:rFonts w:eastAsiaTheme="minorEastAsia"/>
          <w:lang w:val="en-GB"/>
        </w:rPr>
        <w:t xml:space="preserve">the </w:t>
      </w:r>
      <w:r w:rsidR="00EF6FCB" w:rsidRPr="004147E2">
        <w:rPr>
          <w:rFonts w:eastAsiaTheme="minorEastAsia"/>
          <w:lang w:val="en-GB"/>
        </w:rPr>
        <w:t xml:space="preserve">general </w:t>
      </w:r>
      <w:r w:rsidRPr="004147E2">
        <w:rPr>
          <w:rFonts w:eastAsiaTheme="minorEastAsia"/>
          <w:lang w:val="en-GB"/>
        </w:rPr>
        <w:t xml:space="preserve">splicing </w:t>
      </w:r>
      <w:r w:rsidR="00AC463D" w:rsidRPr="004147E2">
        <w:rPr>
          <w:rFonts w:eastAsiaTheme="minorEastAsia"/>
          <w:lang w:val="en-GB"/>
        </w:rPr>
        <w:t xml:space="preserve">landscape </w:t>
      </w:r>
      <w:r w:rsidRPr="004147E2">
        <w:rPr>
          <w:rFonts w:eastAsiaTheme="minorEastAsia"/>
          <w:lang w:val="en-GB"/>
        </w:rPr>
        <w:t xml:space="preserve">of </w:t>
      </w:r>
      <w:r w:rsidRPr="004147E2">
        <w:rPr>
          <w:i/>
          <w:iCs/>
          <w:lang w:val="en-US"/>
        </w:rPr>
        <w:t xml:space="preserve">A. </w:t>
      </w:r>
      <w:proofErr w:type="spellStart"/>
      <w:r w:rsidRPr="004147E2">
        <w:rPr>
          <w:i/>
          <w:iCs/>
          <w:lang w:val="en-US"/>
        </w:rPr>
        <w:t>polyacanthus</w:t>
      </w:r>
      <w:proofErr w:type="spellEnd"/>
      <w:r w:rsidRPr="004147E2">
        <w:rPr>
          <w:rFonts w:eastAsiaTheme="minorEastAsia"/>
          <w:lang w:val="en-GB"/>
        </w:rPr>
        <w:t xml:space="preserve">, </w:t>
      </w:r>
      <w:r w:rsidR="00AC463D" w:rsidRPr="004147E2">
        <w:rPr>
          <w:rFonts w:eastAsiaTheme="minorEastAsia"/>
          <w:lang w:val="en-GB"/>
        </w:rPr>
        <w:t xml:space="preserve">the program </w:t>
      </w:r>
      <w:proofErr w:type="spellStart"/>
      <w:r w:rsidRPr="004147E2">
        <w:rPr>
          <w:rFonts w:eastAsiaTheme="minorEastAsia"/>
          <w:lang w:val="en-GB"/>
        </w:rPr>
        <w:t>AStalavista</w:t>
      </w:r>
      <w:proofErr w:type="spellEnd"/>
      <w:r w:rsidRPr="004147E2">
        <w:rPr>
          <w:rFonts w:eastAsiaTheme="minorEastAsia"/>
          <w:lang w:val="en-GB"/>
        </w:rPr>
        <w:t xml:space="preserve"> </w:t>
      </w:r>
      <w:r w:rsidR="00C55340" w:rsidRPr="004147E2">
        <w:rPr>
          <w:rFonts w:eastAsiaTheme="minorEastAsia"/>
          <w:noProof/>
          <w:lang w:val="en-GB"/>
        </w:rPr>
        <w:fldChar w:fldCharType="begin" w:fldLock="1"/>
      </w:r>
      <w:r w:rsidR="00653EE9">
        <w:rPr>
          <w:rFonts w:eastAsiaTheme="minorEastAsia"/>
          <w:noProof/>
          <w:lang w:val="en-GB"/>
        </w:rPr>
        <w:instrText>ADDIN CSL_CITATION {"citationItems":[{"id":"ITEM-1","itemData":{"DOI":"10.1093/nar/gkm311","ISSN":"03051048","PMID":"17485470","abstract":"In the process of establishing more and more complete annotations of eukaryotic genomes, a constantly growing number of alternative splicing (AS) events has been reported over the last decade. Consequently, the increasing transcript coverage also revealed the real complexity of some variations in the exon-intron structure between transcript variants and the need for computational tools to address 'complex' AS events. ASTALAVISTA (alternative splicing transcriptional landscape visualization tool) employs an intuitive and complete notation system to univocally identify such events. The method extracts AS events dynamically from custom gene annotations, classifies them into groups of common types and visualizes a comprehensive picture of the resulting AS landscape. Thus, ASTALAVISTA can characterize AS for whole transcriptome data from reference annotations (GENCODE, REFSEQ, ENSEMBL) as well as for genes selected by the user according to common functional/structural attributes of interest: http://genome.imim.es/astalavista. © 2007 The Author(s).","author":[{"dropping-particle":"","family":"Foissac","given":"Sylvain","non-dropping-particle":"","parse-names":false,"suffix":""},{"dropping-particle":"","family":"Sammeth","given":"Michael","non-dropping-particle":"","parse-names":false,"suffix":""}],"container-title":"Nucleic Acids Research","id":"ITEM-1","issue":"SUPPL.2","issued":{"date-parts":[["2007"]]},"page":"W297-W299","title":"ASTALAVISTA: Dynamic and flexible analysis of alternative splicing events in custom gene datasets","type":"article-journal","volume":"35"},"uris":["http://www.mendeley.com/documents/?uuid=1c5ef0d8-563b-405d-9e9b-e72efc5819b2","http://www.mendeley.com/documents/?uuid=69087ea6-7ad5-43ac-afed-78e1246b4a5f"]}],"mendeley":{"formattedCitation":"(Foissac and Sammeth, 2007)","plainTextFormattedCitation":"(Foissac and Sammeth, 2007)","previouslyFormattedCitation":"(Foissac and Sammeth, 2007)"},"properties":{"noteIndex":0},"schema":"https://github.com/citation-style-language/schema/raw/master/csl-citation.json"}</w:instrText>
      </w:r>
      <w:r w:rsidR="00C55340" w:rsidRPr="004147E2">
        <w:rPr>
          <w:rFonts w:eastAsiaTheme="minorEastAsia"/>
          <w:noProof/>
          <w:lang w:val="en-GB"/>
        </w:rPr>
        <w:fldChar w:fldCharType="separate"/>
      </w:r>
      <w:r w:rsidR="00C55340" w:rsidRPr="004147E2">
        <w:rPr>
          <w:rFonts w:eastAsiaTheme="minorEastAsia"/>
          <w:noProof/>
          <w:lang w:val="en-GB"/>
        </w:rPr>
        <w:t>(Foissac and Sammeth, 2007)</w:t>
      </w:r>
      <w:r w:rsidR="00C55340" w:rsidRPr="004147E2">
        <w:rPr>
          <w:rFonts w:eastAsiaTheme="minorEastAsia"/>
          <w:noProof/>
          <w:lang w:val="en-GB"/>
        </w:rPr>
        <w:fldChar w:fldCharType="end"/>
      </w:r>
      <w:r w:rsidR="00C55340" w:rsidRPr="004147E2">
        <w:rPr>
          <w:rFonts w:eastAsiaTheme="minorEastAsia"/>
          <w:noProof/>
          <w:lang w:val="en-GB"/>
        </w:rPr>
        <w:t xml:space="preserve"> </w:t>
      </w:r>
      <w:r w:rsidR="00AC463D" w:rsidRPr="004147E2">
        <w:rPr>
          <w:rFonts w:eastAsiaTheme="minorEastAsia"/>
          <w:lang w:val="en-GB"/>
        </w:rPr>
        <w:t xml:space="preserve">was run using </w:t>
      </w:r>
      <w:r w:rsidRPr="004147E2">
        <w:rPr>
          <w:rFonts w:eastAsiaTheme="minorEastAsia"/>
          <w:lang w:val="en-GB"/>
        </w:rPr>
        <w:t xml:space="preserve">default settings. </w:t>
      </w:r>
      <w:r w:rsidR="00AC463D" w:rsidRPr="004147E2">
        <w:rPr>
          <w:rFonts w:eastAsiaTheme="minorEastAsia"/>
          <w:lang w:val="en-GB"/>
        </w:rPr>
        <w:t>The f</w:t>
      </w:r>
      <w:r w:rsidRPr="004147E2">
        <w:rPr>
          <w:rFonts w:eastAsiaTheme="minorEastAsia"/>
          <w:lang w:val="en-GB"/>
        </w:rPr>
        <w:t>ive most prevalent forms of alternative splicing</w:t>
      </w:r>
      <w:r w:rsidR="00645663" w:rsidRPr="004147E2">
        <w:rPr>
          <w:rFonts w:eastAsiaTheme="minorEastAsia"/>
          <w:lang w:val="en-GB"/>
        </w:rPr>
        <w:t xml:space="preserve"> </w:t>
      </w:r>
      <w:r w:rsidRPr="004147E2">
        <w:rPr>
          <w:rFonts w:eastAsiaTheme="minorEastAsia"/>
          <w:lang w:val="en-GB"/>
        </w:rPr>
        <w:t>were evaluated: exon</w:t>
      </w:r>
      <w:r w:rsidR="00932097" w:rsidRPr="004147E2">
        <w:rPr>
          <w:rFonts w:eastAsiaTheme="minorEastAsia"/>
          <w:lang w:val="en-GB"/>
        </w:rPr>
        <w:t xml:space="preserve"> skipping</w:t>
      </w:r>
      <w:r w:rsidRPr="004147E2">
        <w:rPr>
          <w:rFonts w:eastAsiaTheme="minorEastAsia"/>
          <w:lang w:val="en-GB"/>
        </w:rPr>
        <w:t xml:space="preserve"> </w:t>
      </w:r>
      <w:r w:rsidR="00F83195" w:rsidRPr="004147E2">
        <w:rPr>
          <w:rFonts w:eastAsiaTheme="minorEastAsia"/>
          <w:lang w:val="en-GB"/>
        </w:rPr>
        <w:t>(ES)</w:t>
      </w:r>
      <w:r w:rsidRPr="004147E2">
        <w:rPr>
          <w:rFonts w:eastAsiaTheme="minorEastAsia"/>
          <w:lang w:val="en-GB"/>
        </w:rPr>
        <w:t>, intron retention (IR), alternative 5′ splice site (A5SS), alternative 3′ splice site (A3SS) and mutually exclusive exons (MXE</w:t>
      </w:r>
      <w:r w:rsidR="00AC463D" w:rsidRPr="004147E2">
        <w:rPr>
          <w:rFonts w:eastAsiaTheme="minorEastAsia"/>
          <w:lang w:val="en-GB"/>
        </w:rPr>
        <w:t xml:space="preserve">; </w:t>
      </w:r>
      <w:r w:rsidRPr="004147E2">
        <w:rPr>
          <w:rFonts w:eastAsiaTheme="minorEastAsia"/>
          <w:lang w:val="en-GB"/>
        </w:rPr>
        <w:t xml:space="preserve">Fig 1). </w:t>
      </w:r>
      <w:r w:rsidR="00463E09" w:rsidRPr="004147E2">
        <w:rPr>
          <w:rFonts w:eastAsiaTheme="minorEastAsia"/>
          <w:lang w:val="en-GB"/>
        </w:rPr>
        <w:t>As there are many forms of MXE</w:t>
      </w:r>
      <w:r w:rsidR="0022609D" w:rsidRPr="004147E2">
        <w:rPr>
          <w:rFonts w:eastAsiaTheme="minorEastAsia"/>
          <w:lang w:val="en-GB"/>
        </w:rPr>
        <w:t xml:space="preserve"> that</w:t>
      </w:r>
      <w:r w:rsidR="001B1500" w:rsidRPr="004147E2">
        <w:rPr>
          <w:rFonts w:eastAsiaTheme="minorEastAsia"/>
          <w:lang w:val="en-GB"/>
        </w:rPr>
        <w:t xml:space="preserve"> can</w:t>
      </w:r>
      <w:r w:rsidR="0022609D" w:rsidRPr="004147E2">
        <w:rPr>
          <w:rFonts w:eastAsiaTheme="minorEastAsia"/>
          <w:lang w:val="en-GB"/>
        </w:rPr>
        <w:t xml:space="preserve"> involve multiple exons</w:t>
      </w:r>
      <w:r w:rsidR="00463E09" w:rsidRPr="004147E2">
        <w:rPr>
          <w:rFonts w:eastAsiaTheme="minorEastAsia"/>
          <w:lang w:val="en-GB"/>
        </w:rPr>
        <w:t xml:space="preserve">, we only consider the </w:t>
      </w:r>
      <w:r w:rsidR="005C1FE9" w:rsidRPr="004147E2">
        <w:rPr>
          <w:rFonts w:eastAsiaTheme="minorEastAsia"/>
          <w:lang w:val="en-GB"/>
        </w:rPr>
        <w:t xml:space="preserve">simplest </w:t>
      </w:r>
      <w:r w:rsidR="00463E09" w:rsidRPr="004147E2">
        <w:rPr>
          <w:rFonts w:eastAsiaTheme="minorEastAsia"/>
          <w:lang w:val="en-GB"/>
        </w:rPr>
        <w:t>form</w:t>
      </w:r>
      <w:r w:rsidR="001B1500" w:rsidRPr="004147E2">
        <w:rPr>
          <w:rFonts w:eastAsiaTheme="minorEastAsia"/>
          <w:lang w:val="en-GB"/>
        </w:rPr>
        <w:t xml:space="preserve"> of MXE that only involve</w:t>
      </w:r>
      <w:r w:rsidR="00751FE6" w:rsidRPr="004147E2">
        <w:rPr>
          <w:rFonts w:eastAsiaTheme="minorEastAsia"/>
          <w:lang w:val="en-GB"/>
        </w:rPr>
        <w:t>s</w:t>
      </w:r>
      <w:r w:rsidR="001B1500" w:rsidRPr="004147E2">
        <w:rPr>
          <w:rFonts w:eastAsiaTheme="minorEastAsia"/>
          <w:lang w:val="en-GB"/>
        </w:rPr>
        <w:t xml:space="preserve"> two adjacent exons, </w:t>
      </w:r>
      <w:r w:rsidR="00463E09" w:rsidRPr="004147E2">
        <w:rPr>
          <w:rFonts w:eastAsiaTheme="minorEastAsia"/>
          <w:lang w:val="en-GB"/>
        </w:rPr>
        <w:t>with the code “1-2^,3-4^”</w:t>
      </w:r>
      <w:r w:rsidR="002B0E0B" w:rsidRPr="004147E2">
        <w:rPr>
          <w:rFonts w:eastAsiaTheme="minorEastAsia"/>
          <w:lang w:val="en-GB"/>
        </w:rPr>
        <w:t xml:space="preserve"> </w:t>
      </w:r>
      <w:r w:rsidR="00463E09" w:rsidRPr="004147E2">
        <w:rPr>
          <w:rFonts w:eastAsiaTheme="minorEastAsia"/>
          <w:lang w:val="en-GB"/>
        </w:rPr>
        <w:t xml:space="preserve">defaulted by </w:t>
      </w:r>
      <w:proofErr w:type="spellStart"/>
      <w:r w:rsidR="002621E6" w:rsidRPr="004147E2">
        <w:rPr>
          <w:rFonts w:eastAsiaTheme="minorEastAsia"/>
          <w:lang w:val="en-GB"/>
        </w:rPr>
        <w:t>AStalavista</w:t>
      </w:r>
      <w:proofErr w:type="spellEnd"/>
      <w:r w:rsidR="002B0E0B" w:rsidRPr="004147E2">
        <w:rPr>
          <w:rFonts w:eastAsiaTheme="minorEastAsia"/>
          <w:lang w:val="en-GB"/>
        </w:rPr>
        <w:t>, while other</w:t>
      </w:r>
      <w:r w:rsidR="00751FE6" w:rsidRPr="004147E2">
        <w:rPr>
          <w:rFonts w:eastAsiaTheme="minorEastAsia"/>
          <w:lang w:val="en-GB"/>
        </w:rPr>
        <w:t xml:space="preserve"> complex forms of alternative splicing</w:t>
      </w:r>
      <w:r w:rsidR="002B0E0B" w:rsidRPr="004147E2">
        <w:rPr>
          <w:rFonts w:eastAsiaTheme="minorEastAsia"/>
          <w:lang w:val="en-GB"/>
        </w:rPr>
        <w:t xml:space="preserve"> </w:t>
      </w:r>
      <w:r w:rsidR="00751FE6" w:rsidRPr="004147E2">
        <w:rPr>
          <w:rFonts w:eastAsiaTheme="minorEastAsia"/>
          <w:lang w:val="en-GB"/>
        </w:rPr>
        <w:t xml:space="preserve">(including some of the rare </w:t>
      </w:r>
      <w:r w:rsidR="001B1500" w:rsidRPr="004147E2">
        <w:rPr>
          <w:rFonts w:eastAsiaTheme="minorEastAsia"/>
          <w:lang w:val="en-GB"/>
        </w:rPr>
        <w:t>MXE</w:t>
      </w:r>
      <w:r w:rsidR="00751FE6" w:rsidRPr="004147E2">
        <w:rPr>
          <w:rFonts w:eastAsiaTheme="minorEastAsia"/>
          <w:lang w:val="en-GB"/>
        </w:rPr>
        <w:t>)</w:t>
      </w:r>
      <w:r w:rsidR="001B1500" w:rsidRPr="004147E2">
        <w:rPr>
          <w:rFonts w:eastAsiaTheme="minorEastAsia"/>
          <w:lang w:val="en-GB"/>
        </w:rPr>
        <w:t xml:space="preserve"> </w:t>
      </w:r>
      <w:r w:rsidR="002B0E0B" w:rsidRPr="004147E2">
        <w:rPr>
          <w:rFonts w:eastAsiaTheme="minorEastAsia"/>
          <w:lang w:val="en-GB"/>
        </w:rPr>
        <w:t>were grouped into</w:t>
      </w:r>
      <w:r w:rsidR="00751FE6" w:rsidRPr="004147E2">
        <w:rPr>
          <w:rFonts w:eastAsiaTheme="minorEastAsia"/>
          <w:lang w:val="en-GB"/>
        </w:rPr>
        <w:t xml:space="preserve"> the</w:t>
      </w:r>
      <w:r w:rsidR="002B0E0B" w:rsidRPr="004147E2">
        <w:rPr>
          <w:rFonts w:eastAsiaTheme="minorEastAsia"/>
          <w:lang w:val="en-GB"/>
        </w:rPr>
        <w:t xml:space="preserve"> “others”</w:t>
      </w:r>
      <w:r w:rsidR="00751FE6" w:rsidRPr="004147E2">
        <w:rPr>
          <w:rFonts w:eastAsiaTheme="minorEastAsia"/>
          <w:lang w:val="en-GB"/>
        </w:rPr>
        <w:t xml:space="preserve"> category</w:t>
      </w:r>
      <w:r w:rsidR="002B0E0B" w:rsidRPr="004147E2">
        <w:rPr>
          <w:rFonts w:eastAsiaTheme="minorEastAsia"/>
          <w:lang w:val="en-GB"/>
        </w:rPr>
        <w:t>.</w:t>
      </w:r>
    </w:p>
    <w:p w14:paraId="2B43B60D" w14:textId="07BD01B7" w:rsidR="002374BF" w:rsidRPr="004147E2" w:rsidRDefault="002374BF" w:rsidP="002374BF">
      <w:pPr>
        <w:contextualSpacing/>
        <w:jc w:val="both"/>
        <w:rPr>
          <w:sz w:val="20"/>
          <w:szCs w:val="20"/>
          <w:lang w:val="en-US"/>
        </w:rPr>
      </w:pPr>
    </w:p>
    <w:p w14:paraId="5FABCE16" w14:textId="77052D6F" w:rsidR="002374BF" w:rsidRPr="004147E2" w:rsidRDefault="007E2262" w:rsidP="0073197D">
      <w:pPr>
        <w:contextualSpacing/>
        <w:jc w:val="both"/>
        <w:rPr>
          <w:sz w:val="20"/>
          <w:szCs w:val="20"/>
          <w:lang w:val="en-US"/>
        </w:rPr>
      </w:pPr>
      <w:r w:rsidRPr="004147E2">
        <w:rPr>
          <w:noProof/>
          <w:sz w:val="20"/>
          <w:szCs w:val="20"/>
          <w:lang w:val="en-AU" w:eastAsia="en-AU"/>
        </w:rPr>
        <w:lastRenderedPageBreak/>
        <w:drawing>
          <wp:inline distT="0" distB="0" distL="0" distR="0" wp14:anchorId="5F13EF9F" wp14:editId="34849ADE">
            <wp:extent cx="5727700" cy="2637790"/>
            <wp:effectExtent l="0" t="0" r="0" b="381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727700" cy="2637790"/>
                    </a:xfrm>
                    <a:prstGeom prst="rect">
                      <a:avLst/>
                    </a:prstGeom>
                  </pic:spPr>
                </pic:pic>
              </a:graphicData>
            </a:graphic>
          </wp:inline>
        </w:drawing>
      </w:r>
    </w:p>
    <w:p w14:paraId="6E477D5B" w14:textId="7CE5006D" w:rsidR="000219D8" w:rsidRDefault="000219D8" w:rsidP="0073197D">
      <w:pPr>
        <w:autoSpaceDE w:val="0"/>
        <w:autoSpaceDN w:val="0"/>
        <w:adjustRightInd w:val="0"/>
        <w:jc w:val="both"/>
        <w:rPr>
          <w:sz w:val="20"/>
          <w:szCs w:val="20"/>
          <w:lang w:val="en-US"/>
        </w:rPr>
      </w:pPr>
      <w:r w:rsidRPr="004147E2">
        <w:rPr>
          <w:sz w:val="20"/>
          <w:szCs w:val="20"/>
          <w:lang w:val="en-US"/>
        </w:rPr>
        <w:t>Fig 1. Illustration of the splicing</w:t>
      </w:r>
      <w:r>
        <w:rPr>
          <w:sz w:val="20"/>
          <w:szCs w:val="20"/>
          <w:lang w:val="en-US"/>
        </w:rPr>
        <w:t xml:space="preserve"> </w:t>
      </w:r>
      <w:r w:rsidRPr="004147E2">
        <w:rPr>
          <w:sz w:val="20"/>
          <w:szCs w:val="20"/>
          <w:lang w:val="en-US"/>
        </w:rPr>
        <w:t>mechanism</w:t>
      </w:r>
      <w:r w:rsidR="0057571E">
        <w:rPr>
          <w:sz w:val="20"/>
          <w:szCs w:val="20"/>
          <w:lang w:val="en-US"/>
        </w:rPr>
        <w:t xml:space="preserve"> of pre-RNA</w:t>
      </w:r>
      <w:r w:rsidR="00171470">
        <w:rPr>
          <w:sz w:val="20"/>
          <w:szCs w:val="20"/>
          <w:lang w:val="en-US"/>
        </w:rPr>
        <w:t>.</w:t>
      </w:r>
      <w:r w:rsidRPr="004147E2">
        <w:rPr>
          <w:sz w:val="20"/>
          <w:szCs w:val="20"/>
          <w:lang w:val="en-US"/>
        </w:rPr>
        <w:t xml:space="preserve"> As a post-transcriptional modification mechanism, a pre-RNA molecule can be spliced into mature-RNA by (a) constitutive splicing, or (b) </w:t>
      </w:r>
      <w:r w:rsidR="00C80308">
        <w:rPr>
          <w:sz w:val="20"/>
          <w:szCs w:val="20"/>
          <w:lang w:val="en-US"/>
        </w:rPr>
        <w:t xml:space="preserve">five main ways of </w:t>
      </w:r>
      <w:r w:rsidRPr="004147E2">
        <w:rPr>
          <w:sz w:val="20"/>
          <w:szCs w:val="20"/>
          <w:lang w:val="en-US"/>
        </w:rPr>
        <w:t>alternative splicing</w:t>
      </w:r>
      <w:r w:rsidR="00C80308">
        <w:rPr>
          <w:sz w:val="20"/>
          <w:szCs w:val="20"/>
          <w:lang w:val="en-US"/>
        </w:rPr>
        <w:t xml:space="preserve">: </w:t>
      </w:r>
      <w:r w:rsidR="00C80308" w:rsidRPr="00C80308">
        <w:rPr>
          <w:sz w:val="20"/>
          <w:szCs w:val="20"/>
          <w:lang w:val="en-US"/>
        </w:rPr>
        <w:t>Exon skipping (ES)</w:t>
      </w:r>
      <w:r w:rsidR="00314396">
        <w:rPr>
          <w:sz w:val="20"/>
          <w:szCs w:val="20"/>
          <w:lang w:val="en-US"/>
        </w:rPr>
        <w:t xml:space="preserve"> or</w:t>
      </w:r>
      <w:r w:rsidR="00314396" w:rsidRPr="00314396">
        <w:rPr>
          <w:sz w:val="20"/>
          <w:szCs w:val="20"/>
          <w:lang w:val="en-US"/>
        </w:rPr>
        <w:t xml:space="preserve"> </w:t>
      </w:r>
      <w:r w:rsidR="00314396" w:rsidRPr="00C80308">
        <w:rPr>
          <w:sz w:val="20"/>
          <w:szCs w:val="20"/>
          <w:lang w:val="en-US"/>
        </w:rPr>
        <w:t>simple mutually exclusive exons (MXE)</w:t>
      </w:r>
      <w:r w:rsidR="00314396">
        <w:rPr>
          <w:sz w:val="20"/>
          <w:szCs w:val="20"/>
          <w:lang w:val="en-US"/>
        </w:rPr>
        <w:t xml:space="preserve">; </w:t>
      </w:r>
      <w:r w:rsidR="00C80308" w:rsidRPr="00C80308">
        <w:rPr>
          <w:sz w:val="20"/>
          <w:szCs w:val="20"/>
          <w:lang w:val="en-US"/>
        </w:rPr>
        <w:t>alternative 3’ splicing site (A3SS), alternative 3’ splicing site (A5SS)</w:t>
      </w:r>
      <w:r w:rsidR="00314396">
        <w:rPr>
          <w:sz w:val="20"/>
          <w:szCs w:val="20"/>
          <w:lang w:val="en-US"/>
        </w:rPr>
        <w:t xml:space="preserve"> or</w:t>
      </w:r>
      <w:r w:rsidR="00C80308" w:rsidRPr="00C80308">
        <w:rPr>
          <w:sz w:val="20"/>
          <w:szCs w:val="20"/>
          <w:lang w:val="en-US"/>
        </w:rPr>
        <w:t xml:space="preserve"> intron retention (IR)</w:t>
      </w:r>
      <w:r w:rsidR="00314396">
        <w:rPr>
          <w:sz w:val="20"/>
          <w:szCs w:val="20"/>
          <w:lang w:val="en-US"/>
        </w:rPr>
        <w:t>.</w:t>
      </w:r>
    </w:p>
    <w:p w14:paraId="784E4F5A" w14:textId="77777777" w:rsidR="00AC0080" w:rsidRPr="004147E2" w:rsidRDefault="00AC0080" w:rsidP="000219D8">
      <w:pPr>
        <w:autoSpaceDE w:val="0"/>
        <w:autoSpaceDN w:val="0"/>
        <w:adjustRightInd w:val="0"/>
        <w:spacing w:line="480" w:lineRule="auto"/>
        <w:jc w:val="both"/>
        <w:rPr>
          <w:rFonts w:eastAsiaTheme="minorEastAsia"/>
          <w:lang w:val="en-US"/>
        </w:rPr>
      </w:pPr>
    </w:p>
    <w:p w14:paraId="011AB414" w14:textId="754B8C9F" w:rsidR="00792590" w:rsidRPr="004147E2" w:rsidRDefault="008B7684" w:rsidP="00792590">
      <w:pPr>
        <w:autoSpaceDE w:val="0"/>
        <w:autoSpaceDN w:val="0"/>
        <w:adjustRightInd w:val="0"/>
        <w:spacing w:line="480" w:lineRule="auto"/>
        <w:ind w:firstLine="720"/>
        <w:jc w:val="both"/>
        <w:rPr>
          <w:rFonts w:eastAsiaTheme="minorEastAsia"/>
          <w:lang w:val="en-US" w:eastAsia="ja-JP"/>
        </w:rPr>
      </w:pPr>
      <w:r w:rsidRPr="004147E2">
        <w:rPr>
          <w:rFonts w:eastAsiaTheme="minorEastAsia"/>
          <w:lang w:val="en-GB"/>
        </w:rPr>
        <w:t xml:space="preserve">Differential </w:t>
      </w:r>
      <w:r w:rsidR="00792590" w:rsidRPr="004147E2">
        <w:rPr>
          <w:rFonts w:eastAsiaTheme="minorEastAsia"/>
          <w:lang w:val="en-GB"/>
        </w:rPr>
        <w:t>splicing (DS) event</w:t>
      </w:r>
      <w:r w:rsidRPr="004147E2">
        <w:rPr>
          <w:rFonts w:eastAsiaTheme="minorEastAsia"/>
          <w:lang w:val="en-GB"/>
        </w:rPr>
        <w:t>s</w:t>
      </w:r>
      <w:r w:rsidR="00792590" w:rsidRPr="004147E2">
        <w:rPr>
          <w:rFonts w:eastAsiaTheme="minorEastAsia"/>
          <w:lang w:val="en-GB"/>
        </w:rPr>
        <w:t xml:space="preserve"> w</w:t>
      </w:r>
      <w:r w:rsidRPr="004147E2">
        <w:rPr>
          <w:rFonts w:eastAsiaTheme="minorEastAsia"/>
          <w:lang w:val="en-GB"/>
        </w:rPr>
        <w:t>ere</w:t>
      </w:r>
      <w:r w:rsidR="00792590" w:rsidRPr="004147E2">
        <w:rPr>
          <w:rFonts w:eastAsiaTheme="minorEastAsia"/>
          <w:lang w:val="en-GB"/>
        </w:rPr>
        <w:t xml:space="preserve"> </w:t>
      </w:r>
      <w:r w:rsidR="000B3406" w:rsidRPr="004147E2">
        <w:rPr>
          <w:rFonts w:eastAsiaTheme="minorEastAsia"/>
          <w:lang w:val="en-GB"/>
        </w:rPr>
        <w:t>then identified</w:t>
      </w:r>
      <w:r w:rsidR="00792590" w:rsidRPr="004147E2">
        <w:rPr>
          <w:rFonts w:eastAsiaTheme="minorEastAsia"/>
          <w:lang w:val="en-GB"/>
        </w:rPr>
        <w:t xml:space="preserve"> </w:t>
      </w:r>
      <w:r w:rsidR="00FC42FB" w:rsidRPr="004147E2">
        <w:rPr>
          <w:rFonts w:eastAsiaTheme="minorEastAsia"/>
          <w:lang w:val="en-GB"/>
        </w:rPr>
        <w:t>with</w:t>
      </w:r>
      <w:r w:rsidR="00792590" w:rsidRPr="004147E2">
        <w:rPr>
          <w:rFonts w:eastAsiaTheme="minorEastAsia"/>
          <w:lang w:val="en-GB"/>
        </w:rPr>
        <w:t xml:space="preserve"> </w:t>
      </w:r>
      <w:proofErr w:type="spellStart"/>
      <w:r w:rsidR="00792590" w:rsidRPr="004147E2">
        <w:rPr>
          <w:rFonts w:eastAsiaTheme="minorEastAsia"/>
          <w:lang w:val="en-GB"/>
        </w:rPr>
        <w:t>rMATS</w:t>
      </w:r>
      <w:proofErr w:type="spellEnd"/>
      <w:r w:rsidR="00792590" w:rsidRPr="004147E2">
        <w:rPr>
          <w:rFonts w:eastAsiaTheme="minorEastAsia"/>
          <w:lang w:val="en-GB"/>
        </w:rPr>
        <w:t xml:space="preserve">-turbo v4.0.1 </w:t>
      </w:r>
      <w:r w:rsidR="0051321F" w:rsidRPr="004147E2">
        <w:rPr>
          <w:rFonts w:eastAsiaTheme="minorEastAsia"/>
          <w:noProof/>
          <w:lang w:val="en-GB"/>
        </w:rPr>
        <w:t xml:space="preserve">(Shen </w:t>
      </w:r>
      <w:r w:rsidR="0051321F" w:rsidRPr="004147E2">
        <w:rPr>
          <w:rFonts w:eastAsiaTheme="minorEastAsia"/>
          <w:i/>
          <w:noProof/>
          <w:lang w:val="en-GB"/>
        </w:rPr>
        <w:t>et al.</w:t>
      </w:r>
      <w:r w:rsidR="0051321F" w:rsidRPr="004147E2">
        <w:rPr>
          <w:rFonts w:eastAsiaTheme="minorEastAsia"/>
          <w:noProof/>
          <w:lang w:val="en-GB"/>
        </w:rPr>
        <w:t>, 2014)</w:t>
      </w:r>
      <w:r w:rsidR="005D2BCC" w:rsidRPr="004147E2">
        <w:rPr>
          <w:rFonts w:eastAsiaTheme="minorEastAsia"/>
          <w:lang w:val="en-GB"/>
        </w:rPr>
        <w:t>,</w:t>
      </w:r>
      <w:r w:rsidR="00792590" w:rsidRPr="004147E2">
        <w:rPr>
          <w:rFonts w:eastAsiaTheme="minorEastAsia"/>
          <w:lang w:val="en-GB"/>
        </w:rPr>
        <w:t xml:space="preserve"> using both junction reads and reads mapping to exons</w:t>
      </w:r>
      <w:r w:rsidR="00AC463D" w:rsidRPr="004147E2">
        <w:rPr>
          <w:rFonts w:eastAsiaTheme="minorEastAsia"/>
          <w:lang w:val="en-GB"/>
        </w:rPr>
        <w:t>. The analysis was conducted following</w:t>
      </w:r>
      <w:r w:rsidR="002B216A" w:rsidRPr="004147E2">
        <w:rPr>
          <w:rFonts w:eastAsiaTheme="minorEastAsia"/>
          <w:lang w:val="en-GB"/>
        </w:rPr>
        <w:t xml:space="preserve"> pairwise comparison</w:t>
      </w:r>
      <w:r w:rsidR="00EF6FCB" w:rsidRPr="004147E2">
        <w:rPr>
          <w:rFonts w:eastAsiaTheme="minorEastAsia"/>
          <w:lang w:val="en-GB"/>
        </w:rPr>
        <w:t>s of samples from different collection months</w:t>
      </w:r>
      <w:r w:rsidR="002B216A" w:rsidRPr="004147E2">
        <w:rPr>
          <w:rFonts w:eastAsiaTheme="minorEastAsia"/>
          <w:lang w:val="en-GB"/>
        </w:rPr>
        <w:t xml:space="preserve">: December </w:t>
      </w:r>
      <w:r w:rsidR="00AC463D" w:rsidRPr="004147E2">
        <w:rPr>
          <w:rFonts w:eastAsiaTheme="minorEastAsia"/>
          <w:lang w:val="en-GB"/>
        </w:rPr>
        <w:t xml:space="preserve">vs </w:t>
      </w:r>
      <w:r w:rsidR="002B216A" w:rsidRPr="004147E2">
        <w:rPr>
          <w:rFonts w:eastAsiaTheme="minorEastAsia"/>
          <w:lang w:val="en-GB"/>
        </w:rPr>
        <w:t xml:space="preserve">February, February </w:t>
      </w:r>
      <w:r w:rsidR="00EF6FCB" w:rsidRPr="004147E2">
        <w:rPr>
          <w:rFonts w:eastAsiaTheme="minorEastAsia"/>
          <w:lang w:val="en-GB"/>
        </w:rPr>
        <w:t xml:space="preserve">vs </w:t>
      </w:r>
      <w:r w:rsidR="002B216A" w:rsidRPr="004147E2">
        <w:rPr>
          <w:rFonts w:eastAsiaTheme="minorEastAsia"/>
          <w:lang w:val="en-GB"/>
        </w:rPr>
        <w:t xml:space="preserve">March, and March </w:t>
      </w:r>
      <w:r w:rsidR="00EF6FCB" w:rsidRPr="004147E2">
        <w:rPr>
          <w:rFonts w:eastAsiaTheme="minorEastAsia"/>
          <w:lang w:val="en-GB"/>
        </w:rPr>
        <w:t xml:space="preserve">vs </w:t>
      </w:r>
      <w:r w:rsidR="002B216A" w:rsidRPr="004147E2">
        <w:rPr>
          <w:rFonts w:eastAsiaTheme="minorEastAsia"/>
          <w:lang w:val="en-GB"/>
        </w:rPr>
        <w:t>July</w:t>
      </w:r>
      <w:r w:rsidR="00792590" w:rsidRPr="004147E2">
        <w:rPr>
          <w:rFonts w:eastAsiaTheme="minorEastAsia"/>
          <w:lang w:val="en-GB"/>
        </w:rPr>
        <w:t>.</w:t>
      </w:r>
      <w:r w:rsidR="002B216A" w:rsidRPr="004147E2">
        <w:rPr>
          <w:rFonts w:eastAsiaTheme="minorEastAsia"/>
          <w:lang w:val="en-GB"/>
        </w:rPr>
        <w:t xml:space="preserve"> </w:t>
      </w:r>
      <w:r w:rsidR="00792590" w:rsidRPr="004147E2">
        <w:rPr>
          <w:rFonts w:eastAsiaTheme="minorEastAsia"/>
          <w:lang w:val="en-GB"/>
        </w:rPr>
        <w:t>Exon inclusion levels (ψ), known as Percent Spliced</w:t>
      </w:r>
      <w:r w:rsidR="00AC463D" w:rsidRPr="004147E2">
        <w:rPr>
          <w:rFonts w:eastAsiaTheme="minorEastAsia"/>
          <w:lang w:val="en-GB"/>
        </w:rPr>
        <w:t>-</w:t>
      </w:r>
      <w:r w:rsidR="00792590" w:rsidRPr="004147E2">
        <w:rPr>
          <w:rFonts w:eastAsiaTheme="minorEastAsia"/>
          <w:lang w:val="en-GB"/>
        </w:rPr>
        <w:t>In</w:t>
      </w:r>
      <w:r w:rsidR="00EF6FCB" w:rsidRPr="004147E2">
        <w:rPr>
          <w:rFonts w:eastAsiaTheme="minorEastAsia"/>
          <w:lang w:val="en-GB"/>
        </w:rPr>
        <w:t xml:space="preserve"> (PSI)</w:t>
      </w:r>
      <w:r w:rsidR="00792590" w:rsidRPr="004147E2">
        <w:rPr>
          <w:rFonts w:eastAsiaTheme="minorEastAsia"/>
          <w:lang w:val="en-GB"/>
        </w:rPr>
        <w:t>, of each exon was calculated as the relative abundance of isoforms which contains the target exon over the relative abundance of all isoforms. A likelihood-ratio test was conducted</w:t>
      </w:r>
      <w:r w:rsidR="00AC463D" w:rsidRPr="004147E2">
        <w:rPr>
          <w:rFonts w:eastAsiaTheme="minorEastAsia"/>
          <w:lang w:val="en-GB"/>
        </w:rPr>
        <w:t>, and g</w:t>
      </w:r>
      <w:r w:rsidR="00792590" w:rsidRPr="004147E2">
        <w:rPr>
          <w:rFonts w:eastAsiaTheme="minorEastAsia"/>
          <w:lang w:val="en-GB"/>
        </w:rPr>
        <w:t xml:space="preserve">enes were only considered as significantly differentially spliced when the </w:t>
      </w:r>
      <w:r w:rsidR="00AC463D" w:rsidRPr="004147E2">
        <w:rPr>
          <w:rFonts w:eastAsiaTheme="minorEastAsia"/>
          <w:lang w:val="en-GB"/>
        </w:rPr>
        <w:t>adjusted</w:t>
      </w:r>
      <w:r w:rsidR="00AC463D" w:rsidRPr="004147E2">
        <w:rPr>
          <w:rFonts w:eastAsiaTheme="minorEastAsia"/>
          <w:i/>
          <w:iCs/>
          <w:lang w:val="en-GB"/>
        </w:rPr>
        <w:t xml:space="preserve"> </w:t>
      </w:r>
      <w:r w:rsidR="00792590" w:rsidRPr="004147E2">
        <w:rPr>
          <w:rFonts w:eastAsiaTheme="minorEastAsia"/>
          <w:i/>
          <w:iCs/>
          <w:lang w:val="en-GB"/>
        </w:rPr>
        <w:t>P</w:t>
      </w:r>
      <w:r w:rsidR="00792590" w:rsidRPr="004147E2">
        <w:rPr>
          <w:rFonts w:eastAsiaTheme="minorEastAsia"/>
          <w:lang w:val="en-GB"/>
        </w:rPr>
        <w:t xml:space="preserve">-value </w:t>
      </w:r>
      <w:r w:rsidR="00AC463D" w:rsidRPr="004147E2">
        <w:rPr>
          <w:rFonts w:eastAsiaTheme="minorEastAsia"/>
          <w:lang w:val="en-GB"/>
        </w:rPr>
        <w:t>with the</w:t>
      </w:r>
      <w:r w:rsidR="00792590" w:rsidRPr="004147E2">
        <w:rPr>
          <w:rFonts w:eastAsiaTheme="minorEastAsia"/>
          <w:lang w:val="en-GB"/>
        </w:rPr>
        <w:t xml:space="preserve"> </w:t>
      </w:r>
      <w:proofErr w:type="spellStart"/>
      <w:r w:rsidR="00792590" w:rsidRPr="004147E2">
        <w:rPr>
          <w:rFonts w:eastAsiaTheme="minorEastAsia"/>
          <w:lang w:val="en-GB"/>
        </w:rPr>
        <w:t>Benjamini</w:t>
      </w:r>
      <w:proofErr w:type="spellEnd"/>
      <w:r w:rsidR="00792590" w:rsidRPr="004147E2">
        <w:rPr>
          <w:rFonts w:eastAsiaTheme="minorEastAsia"/>
          <w:lang w:val="en-GB"/>
        </w:rPr>
        <w:t xml:space="preserve">-Hochberg correction was less than 0.05 and the difference of the mean </w:t>
      </w:r>
      <w:r w:rsidR="00792590" w:rsidRPr="004147E2">
        <w:rPr>
          <w:rFonts w:eastAsiaTheme="minorEastAsia"/>
          <w:i/>
          <w:iCs/>
          <w:lang w:val="en-GB"/>
        </w:rPr>
        <w:t>ψ</w:t>
      </w:r>
      <w:r w:rsidR="00792590" w:rsidRPr="004147E2">
        <w:rPr>
          <w:rFonts w:eastAsiaTheme="minorEastAsia"/>
          <w:lang w:val="en-GB"/>
        </w:rPr>
        <w:t xml:space="preserve"> of each gene between groups was greater than 0.1 under the three comparisons</w:t>
      </w:r>
      <w:r w:rsidR="002B216A" w:rsidRPr="004147E2">
        <w:rPr>
          <w:rFonts w:eastAsiaTheme="minorEastAsia"/>
          <w:lang w:val="en-GB"/>
        </w:rPr>
        <w:t xml:space="preserve">. </w:t>
      </w:r>
    </w:p>
    <w:p w14:paraId="787B0A73" w14:textId="66C111E9" w:rsidR="00792590" w:rsidRPr="004147E2" w:rsidRDefault="00E610F6" w:rsidP="00792590">
      <w:pPr>
        <w:autoSpaceDE w:val="0"/>
        <w:autoSpaceDN w:val="0"/>
        <w:adjustRightInd w:val="0"/>
        <w:spacing w:line="480" w:lineRule="auto"/>
        <w:ind w:firstLine="720"/>
        <w:jc w:val="both"/>
        <w:rPr>
          <w:rFonts w:eastAsiaTheme="minorEastAsia"/>
          <w:strike/>
        </w:rPr>
      </w:pPr>
      <w:r w:rsidRPr="004147E2">
        <w:rPr>
          <w:rFonts w:eastAsiaTheme="minorEastAsia"/>
          <w:lang w:val="en-GB"/>
        </w:rPr>
        <w:t>A</w:t>
      </w:r>
      <w:r w:rsidR="00245AB1" w:rsidRPr="004147E2">
        <w:rPr>
          <w:rFonts w:eastAsiaTheme="minorEastAsia"/>
          <w:lang w:val="en-GB"/>
        </w:rPr>
        <w:t xml:space="preserve"> </w:t>
      </w:r>
      <w:r w:rsidRPr="004147E2">
        <w:rPr>
          <w:rFonts w:eastAsiaTheme="minorEastAsia"/>
          <w:lang w:val="en-GB"/>
        </w:rPr>
        <w:t>gene ontology (GO) enrichment analysis was done for</w:t>
      </w:r>
      <w:r w:rsidR="00245AB1" w:rsidRPr="004147E2">
        <w:rPr>
          <w:rFonts w:eastAsiaTheme="minorEastAsia"/>
          <w:lang w:val="en-GB"/>
        </w:rPr>
        <w:t xml:space="preserve"> differentially spliced</w:t>
      </w:r>
      <w:r w:rsidRPr="004147E2">
        <w:rPr>
          <w:rFonts w:eastAsiaTheme="minorEastAsia"/>
          <w:lang w:val="en-GB"/>
        </w:rPr>
        <w:t xml:space="preserve"> genes using a Fisher’s exact test in </w:t>
      </w:r>
      <w:proofErr w:type="spellStart"/>
      <w:r w:rsidR="006B0DB8" w:rsidRPr="004147E2">
        <w:rPr>
          <w:rFonts w:eastAsiaTheme="minorEastAsia"/>
          <w:lang w:val="en-GB"/>
        </w:rPr>
        <w:t>Omicsbox</w:t>
      </w:r>
      <w:proofErr w:type="spellEnd"/>
      <w:r w:rsidR="006B0DB8" w:rsidRPr="004147E2">
        <w:rPr>
          <w:rFonts w:eastAsiaTheme="minorEastAsia"/>
          <w:lang w:val="en-GB"/>
        </w:rPr>
        <w:t xml:space="preserve"> </w:t>
      </w:r>
      <w:r w:rsidR="00245AB1" w:rsidRPr="004147E2">
        <w:rPr>
          <w:rFonts w:eastAsiaTheme="minorEastAsia"/>
          <w:lang w:val="en-GB"/>
        </w:rPr>
        <w:t xml:space="preserve">with default </w:t>
      </w:r>
      <w:r w:rsidR="00AC16A4" w:rsidRPr="004147E2">
        <w:rPr>
          <w:rFonts w:eastAsiaTheme="minorEastAsia"/>
          <w:lang w:val="en-GB"/>
        </w:rPr>
        <w:t>setting</w:t>
      </w:r>
      <w:r w:rsidR="006B0DB8" w:rsidRPr="004147E2">
        <w:rPr>
          <w:rFonts w:eastAsiaTheme="minorEastAsia"/>
          <w:lang w:val="en-GB"/>
        </w:rPr>
        <w:t>s</w:t>
      </w:r>
      <w:r w:rsidR="0020102F" w:rsidRPr="004147E2">
        <w:rPr>
          <w:rFonts w:eastAsiaTheme="minorEastAsia"/>
          <w:lang w:val="en-GB"/>
        </w:rPr>
        <w:t xml:space="preserve"> </w:t>
      </w:r>
      <w:r w:rsidR="0020102F" w:rsidRPr="004147E2">
        <w:rPr>
          <w:rFonts w:eastAsiaTheme="minorEastAsia"/>
          <w:lang w:val="en-GB"/>
        </w:rPr>
        <w:fldChar w:fldCharType="begin" w:fldLock="1"/>
      </w:r>
      <w:r w:rsidR="00517C3C">
        <w:rPr>
          <w:rFonts w:eastAsiaTheme="minorEastAsia"/>
          <w:lang w:val="en-GB"/>
        </w:rPr>
        <w:instrText>ADDIN CSL_CITATION {"citationItems":[{"id":"ITEM-1","itemData":{"DOI":"10.1093/bioinformatics/bti610","ISSN":"13674803","PMID":"16081474","abstract":"Summary: We present here Blast2GO (B2G), a research tool designed with the main purpose of enabling Gene Ontology (GO) based data mining on sequence data for which no GO annotation is yet available. B2G joints in one application GO annotation based on similarity searches with statistical analysis and highlighted visualization on directed acyclic graphs. This tool offers a suitable platform for functional genomics research in non-model species. B2G is an intuitive and interactive desktop application that allows monitoring and comprehension of the whole annotation and analysis process. © The Author 2005. Published by Oxford University Press. All rights reserved.","author":[{"dropping-particle":"","family":"Conesa","given":"Ana","non-dropping-particle":"","parse-names":false,"suffix":""},{"dropping-particle":"","family":"Götz","given":"Stefan","non-dropping-particle":"","parse-names":false,"suffix":""},{"dropping-particle":"","family":"García-Gómez","given":"Juan Miguel","non-dropping-particle":"","parse-names":false,"suffix":""},{"dropping-particle":"","family":"Terol","given":"Javier","non-dropping-particle":"","parse-names":false,"suffix":""},{"dropping-particle":"","family":"Talón","given":"Manuel","non-dropping-particle":"","parse-names":false,"suffix":""},{"dropping-particle":"","family":"Robles","given":"Montserrat","non-dropping-particle":"","parse-names":false,"suffix":""}],"container-title":"Bioinformatics","id":"ITEM-1","issue":"18","issued":{"date-parts":[["2005"]]},"page":"3674-3676","title":"Blast2GO: A universal tool for annotation, visualization and analysis in functional genomics research","type":"article-journal","volume":"21"},"uris":["http://www.mendeley.com/documents/?uuid=c7a907c4-25de-4d49-93b5-0eb658cccb13"]}],"mendeley":{"formattedCitation":"(Conesa &lt;i&gt;et al.&lt;/i&gt;, 2005)","plainTextFormattedCitation":"(Conesa et al., 2005)","previouslyFormattedCitation":"(Conesa &lt;i&gt;et al.&lt;/i&gt;, 2005)"},"properties":{"noteIndex":0},"schema":"https://github.com/citation-style-language/schema/raw/master/csl-citation.json"}</w:instrText>
      </w:r>
      <w:r w:rsidR="0020102F" w:rsidRPr="004147E2">
        <w:rPr>
          <w:rFonts w:eastAsiaTheme="minorEastAsia"/>
          <w:lang w:val="en-GB"/>
        </w:rPr>
        <w:fldChar w:fldCharType="separate"/>
      </w:r>
      <w:r w:rsidR="0020102F" w:rsidRPr="004147E2">
        <w:rPr>
          <w:rFonts w:eastAsiaTheme="minorEastAsia"/>
          <w:noProof/>
          <w:lang w:val="en-GB"/>
        </w:rPr>
        <w:t xml:space="preserve">(Conesa </w:t>
      </w:r>
      <w:r w:rsidR="0020102F" w:rsidRPr="004147E2">
        <w:rPr>
          <w:rFonts w:eastAsiaTheme="minorEastAsia"/>
          <w:i/>
          <w:noProof/>
          <w:lang w:val="en-GB"/>
        </w:rPr>
        <w:t>et al.</w:t>
      </w:r>
      <w:r w:rsidR="0020102F" w:rsidRPr="004147E2">
        <w:rPr>
          <w:rFonts w:eastAsiaTheme="minorEastAsia"/>
          <w:noProof/>
          <w:lang w:val="en-GB"/>
        </w:rPr>
        <w:t>, 2005)</w:t>
      </w:r>
      <w:r w:rsidR="0020102F" w:rsidRPr="004147E2">
        <w:rPr>
          <w:rFonts w:eastAsiaTheme="minorEastAsia"/>
          <w:lang w:val="en-GB"/>
        </w:rPr>
        <w:fldChar w:fldCharType="end"/>
      </w:r>
      <w:r w:rsidR="00AC16A4" w:rsidRPr="004147E2">
        <w:rPr>
          <w:rFonts w:eastAsiaTheme="minorEastAsia"/>
          <w:lang w:val="en-GB"/>
        </w:rPr>
        <w:t>.</w:t>
      </w:r>
      <w:r w:rsidR="006B0DB8" w:rsidRPr="004147E2">
        <w:rPr>
          <w:rFonts w:eastAsiaTheme="minorEastAsia"/>
          <w:lang w:val="en-GB"/>
        </w:rPr>
        <w:t xml:space="preserve"> Due to the small number of DS genes identified and incomplete annotation of the reference genome, the Gene Ontology (GO) enrichment analysis </w:t>
      </w:r>
      <w:r w:rsidR="00CB6B8E" w:rsidRPr="004147E2">
        <w:t>revealed no significant enrichment after multiple testing corrections</w:t>
      </w:r>
      <w:r w:rsidR="00CB6B8E" w:rsidRPr="004147E2">
        <w:rPr>
          <w:rFonts w:eastAsiaTheme="minorEastAsia"/>
          <w:lang w:val="en-GB"/>
        </w:rPr>
        <w:t xml:space="preserve"> </w:t>
      </w:r>
      <w:r w:rsidR="00127A78" w:rsidRPr="004147E2">
        <w:rPr>
          <w:rFonts w:eastAsiaTheme="minorEastAsia"/>
          <w:lang w:val="en-GB"/>
        </w:rPr>
        <w:t xml:space="preserve">after </w:t>
      </w:r>
      <w:r w:rsidR="006B0DB8" w:rsidRPr="004147E2">
        <w:rPr>
          <w:rFonts w:eastAsiaTheme="minorEastAsia"/>
          <w:lang w:val="en-GB"/>
        </w:rPr>
        <w:t>multiple testing correction (FDR &lt; 0.05)</w:t>
      </w:r>
      <w:r w:rsidR="00792590" w:rsidRPr="004147E2">
        <w:rPr>
          <w:rFonts w:eastAsiaTheme="minorEastAsia"/>
          <w:lang w:val="en-GB"/>
        </w:rPr>
        <w:t xml:space="preserve">. Therefore, </w:t>
      </w:r>
      <w:r w:rsidR="00792590" w:rsidRPr="004147E2">
        <w:rPr>
          <w:lang w:val="en-GB"/>
        </w:rPr>
        <w:t>t</w:t>
      </w:r>
      <w:r w:rsidR="00792590" w:rsidRPr="004147E2">
        <w:t xml:space="preserve">he </w:t>
      </w:r>
      <w:r w:rsidR="008B7684" w:rsidRPr="004147E2">
        <w:t xml:space="preserve">functions </w:t>
      </w:r>
      <w:r w:rsidR="00792590" w:rsidRPr="004147E2">
        <w:t xml:space="preserve">of genes with putative splicing events </w:t>
      </w:r>
      <w:r w:rsidR="00CF0B5F" w:rsidRPr="004147E2">
        <w:t>wer</w:t>
      </w:r>
      <w:r w:rsidR="00792590" w:rsidRPr="004147E2">
        <w:t xml:space="preserve">e classified into functional categories based on the </w:t>
      </w:r>
      <w:r w:rsidR="00792590" w:rsidRPr="004147E2">
        <w:lastRenderedPageBreak/>
        <w:t>description in NCBI's reference sequence (</w:t>
      </w:r>
      <w:proofErr w:type="spellStart"/>
      <w:r w:rsidR="00792590" w:rsidRPr="004147E2">
        <w:t>RefSeq</w:t>
      </w:r>
      <w:proofErr w:type="spellEnd"/>
      <w:r w:rsidR="00792590" w:rsidRPr="004147E2">
        <w:t>) database (</w:t>
      </w:r>
      <w:hyperlink r:id="rId9" w:history="1">
        <w:r w:rsidR="00B77931" w:rsidRPr="004147E2">
          <w:rPr>
            <w:rStyle w:val="Hyperlink"/>
            <w:color w:val="auto"/>
          </w:rPr>
          <w:t>http://www.ncbi.nlm.nih.gov/RefSeq/</w:t>
        </w:r>
      </w:hyperlink>
      <w:r w:rsidR="00792590" w:rsidRPr="004147E2">
        <w:t>)</w:t>
      </w:r>
      <w:r w:rsidR="00B77931" w:rsidRPr="004147E2">
        <w:t xml:space="preserve">, </w:t>
      </w:r>
      <w:r w:rsidR="00792590" w:rsidRPr="004147E2">
        <w:t xml:space="preserve">the </w:t>
      </w:r>
      <w:proofErr w:type="spellStart"/>
      <w:r w:rsidR="00792590" w:rsidRPr="004147E2">
        <w:t>UniProt</w:t>
      </w:r>
      <w:proofErr w:type="spellEnd"/>
      <w:r w:rsidR="00792590" w:rsidRPr="004147E2">
        <w:t xml:space="preserve"> </w:t>
      </w:r>
      <w:proofErr w:type="spellStart"/>
      <w:r w:rsidR="00792590" w:rsidRPr="004147E2">
        <w:t>KnowledgeBase</w:t>
      </w:r>
      <w:proofErr w:type="spellEnd"/>
      <w:r w:rsidR="00792590" w:rsidRPr="004147E2">
        <w:t xml:space="preserve"> (</w:t>
      </w:r>
      <w:proofErr w:type="spellStart"/>
      <w:r w:rsidR="00792590" w:rsidRPr="004147E2">
        <w:t>UniProtKB</w:t>
      </w:r>
      <w:proofErr w:type="spellEnd"/>
      <w:r w:rsidR="00792590" w:rsidRPr="004147E2">
        <w:t xml:space="preserve">; </w:t>
      </w:r>
      <w:hyperlink w:history="1"/>
      <w:hyperlink r:id="rId10" w:history="1">
        <w:r w:rsidR="00C67B4D" w:rsidRPr="004147E2">
          <w:rPr>
            <w:rStyle w:val="Hyperlink"/>
            <w:color w:val="auto"/>
          </w:rPr>
          <w:t>https://www.uniprot.org/</w:t>
        </w:r>
      </w:hyperlink>
      <w:r w:rsidR="00792590" w:rsidRPr="004147E2">
        <w:t>)</w:t>
      </w:r>
      <w:r w:rsidR="00B77931" w:rsidRPr="004147E2">
        <w:t xml:space="preserve"> and </w:t>
      </w:r>
      <w:r w:rsidR="00C67B4D" w:rsidRPr="004147E2">
        <w:t xml:space="preserve">PANTHER16.0 </w:t>
      </w:r>
      <w:r w:rsidR="005E6477" w:rsidRPr="004147E2">
        <w:fldChar w:fldCharType="begin" w:fldLock="1"/>
      </w:r>
      <w:r w:rsidR="00EF730B">
        <w:instrText>ADDIN CSL_CITATION {"citationItems":[{"id":"ITEM-1","itemData":{"DOI":"10.1093/nar/gkaa1106","ISSN":"13624962","PMID":"33290554","abstract":"PANTHER (Protein Analysis Through Evolutionary Relationships, http://www.pantherdb.org) is a resource for the evolutionary and functional classification of protein-coding genes from all domains of life. The evolutionary classification is based on a library of over 15,000 phylogenetic trees, and the functional classifications include Gene Ontology terms and pathways. Here, we analyze the current coverage of genes from genomes in different taxonomic groups, so that users can better understand what to expect when analyzing a gene list using PANTHER tools. We also describe extensive improvements to PANTHER made in the past two years. The PANTHER Protein Class ontology has been completely refactored, and 6101 PANTHER families have been manually assigned to a Protein Class, providing a high level classification of protein families and their genes. Users can access the TreeGrafter tool to add their own protein sequences to the reference phylogenetic trees in PANTHER, to infer evolutionary context as well as fine-grained annotations. We have added human enhancer-gene links that associate non-coding regions with the annotated human genes in PANTHER. We have also expanded the available services for programmatic access to PANTHER tools and data via application programming interfaces (APIs). Other improvements include additional plant genomes and an updated PANTHER GO-slim.","author":[{"dropping-particle":"","family":"Mi","given":"Huaiyu","non-dropping-particle":"","parse-names":false,"suffix":""},{"dropping-particle":"","family":"Ebert","given":"Dustin","non-dropping-particle":"","parse-names":false,"suffix":""},{"dropping-particle":"","family":"Muruganujan","given":"Anushya","non-dropping-particle":"","parse-names":false,"suffix":""},{"dropping-particle":"","family":"Mills","given":"Caitlin","non-dropping-particle":"","parse-names":false,"suffix":""},{"dropping-particle":"","family":"Albou","given":"Laurent Philippe","non-dropping-particle":"","parse-names":false,"suffix":""},{"dropping-particle":"","family":"Mushayamaha","given":"Tremayne","non-dropping-particle":"","parse-names":false,"suffix":""},{"dropping-particle":"","family":"Thomas","given":"Paul D.","non-dropping-particle":"","parse-names":false,"suffix":""}],"container-title":"Nucleic Acids Research","id":"ITEM-1","issue":"D1","issued":{"date-parts":[["2021"]]},"page":"D394-D403","title":"PANTHER version 16: A revised family classification, tree-based classification tool, enhancer regions and extensive API","type":"article-journal","volume":"49"},"uris":["http://www.mendeley.com/documents/?uuid=d01fe1d3-847d-482e-85d8-e0a3eb8791da","http://www.mendeley.com/documents/?uuid=d6304249-39a8-4b91-be1c-d5dfba64faab"]}],"mendeley":{"formattedCitation":"(Mi &lt;i&gt;et al.&lt;/i&gt;, 2021)","plainTextFormattedCitation":"(Mi et al., 2021)","previouslyFormattedCitation":"(Mi &lt;i&gt;et al.&lt;/i&gt;, 2021)"},"properties":{"noteIndex":0},"schema":"https://github.com/citation-style-language/schema/raw/master/csl-citation.json"}</w:instrText>
      </w:r>
      <w:r w:rsidR="005E6477" w:rsidRPr="004147E2">
        <w:fldChar w:fldCharType="separate"/>
      </w:r>
      <w:r w:rsidR="005E6477" w:rsidRPr="004147E2">
        <w:rPr>
          <w:noProof/>
        </w:rPr>
        <w:t xml:space="preserve">(Mi </w:t>
      </w:r>
      <w:r w:rsidR="005E6477" w:rsidRPr="004147E2">
        <w:rPr>
          <w:i/>
          <w:noProof/>
        </w:rPr>
        <w:t>et al.</w:t>
      </w:r>
      <w:r w:rsidR="005E6477" w:rsidRPr="004147E2">
        <w:rPr>
          <w:noProof/>
        </w:rPr>
        <w:t>, 2021)</w:t>
      </w:r>
      <w:r w:rsidR="005E6477" w:rsidRPr="004147E2">
        <w:fldChar w:fldCharType="end"/>
      </w:r>
      <w:r w:rsidR="001200FC" w:rsidRPr="004147E2">
        <w:t xml:space="preserve">; </w:t>
      </w:r>
      <w:r w:rsidR="00A31D42" w:rsidRPr="004147E2">
        <w:t>using</w:t>
      </w:r>
      <w:r w:rsidR="00C67B4D" w:rsidRPr="004147E2">
        <w:t xml:space="preserve"> </w:t>
      </w:r>
      <w:r w:rsidR="00C67B4D" w:rsidRPr="004147E2">
        <w:rPr>
          <w:i/>
        </w:rPr>
        <w:t>Mus musculus</w:t>
      </w:r>
      <w:r w:rsidR="00C67B4D" w:rsidRPr="004147E2">
        <w:t xml:space="preserve"> as </w:t>
      </w:r>
      <w:r w:rsidR="00792590" w:rsidRPr="004147E2">
        <w:t>reference</w:t>
      </w:r>
      <w:r w:rsidR="00A31D42" w:rsidRPr="004147E2">
        <w:t>)</w:t>
      </w:r>
      <w:r w:rsidR="00792590" w:rsidRPr="004147E2">
        <w:rPr>
          <w:rFonts w:eastAsiaTheme="minorEastAsia"/>
          <w:lang w:val="en-GB"/>
        </w:rPr>
        <w:t>. Categories were constructed by filtering out the keywords</w:t>
      </w:r>
      <w:r w:rsidR="00E060CD" w:rsidRPr="004147E2">
        <w:rPr>
          <w:rFonts w:eastAsiaTheme="minorEastAsia"/>
          <w:lang w:val="en-GB"/>
        </w:rPr>
        <w:t xml:space="preserve"> </w:t>
      </w:r>
      <w:r w:rsidR="00224181" w:rsidRPr="004147E2">
        <w:rPr>
          <w:rFonts w:eastAsiaTheme="minorEastAsia"/>
          <w:lang w:val="en-GB"/>
        </w:rPr>
        <w:t>of the</w:t>
      </w:r>
      <w:r w:rsidR="000448A5" w:rsidRPr="004147E2">
        <w:rPr>
          <w:rFonts w:eastAsiaTheme="minorEastAsia"/>
          <w:lang w:val="en-GB"/>
        </w:rPr>
        <w:t xml:space="preserve"> differential</w:t>
      </w:r>
      <w:r w:rsidR="00224181" w:rsidRPr="004147E2">
        <w:rPr>
          <w:rFonts w:eastAsiaTheme="minorEastAsia"/>
          <w:lang w:val="en-GB"/>
        </w:rPr>
        <w:t xml:space="preserve"> spliced genes </w:t>
      </w:r>
      <w:r w:rsidR="00DE46C0" w:rsidRPr="004147E2">
        <w:rPr>
          <w:rFonts w:eastAsiaTheme="minorEastAsia"/>
          <w:lang w:val="en-GB"/>
        </w:rPr>
        <w:t>appear</w:t>
      </w:r>
      <w:r w:rsidR="000900D7" w:rsidRPr="004147E2">
        <w:rPr>
          <w:rFonts w:eastAsiaTheme="minorEastAsia"/>
          <w:lang w:val="en-GB"/>
        </w:rPr>
        <w:t>ing</w:t>
      </w:r>
      <w:r w:rsidR="00DE46C0" w:rsidRPr="004147E2">
        <w:rPr>
          <w:rFonts w:eastAsiaTheme="minorEastAsia"/>
          <w:lang w:val="en-GB"/>
        </w:rPr>
        <w:t xml:space="preserve"> </w:t>
      </w:r>
      <w:r w:rsidR="000900D7" w:rsidRPr="004147E2">
        <w:rPr>
          <w:rFonts w:eastAsiaTheme="minorEastAsia"/>
          <w:lang w:val="en-GB"/>
        </w:rPr>
        <w:t xml:space="preserve">repeatedly </w:t>
      </w:r>
      <w:r w:rsidR="00E060CD" w:rsidRPr="004147E2">
        <w:rPr>
          <w:rFonts w:eastAsiaTheme="minorEastAsia"/>
          <w:lang w:val="en-GB"/>
        </w:rPr>
        <w:t>in the</w:t>
      </w:r>
      <w:r w:rsidR="00D62320" w:rsidRPr="004147E2">
        <w:rPr>
          <w:rFonts w:eastAsiaTheme="minorEastAsia"/>
          <w:lang w:val="en-GB"/>
        </w:rPr>
        <w:t xml:space="preserve"> descriptions</w:t>
      </w:r>
      <w:r w:rsidR="00D62320" w:rsidRPr="004147E2">
        <w:rPr>
          <w:rFonts w:eastAsiaTheme="minorEastAsia"/>
        </w:rPr>
        <w:t xml:space="preserve"> </w:t>
      </w:r>
      <w:r w:rsidR="00D62320" w:rsidRPr="004147E2">
        <w:rPr>
          <w:rFonts w:eastAsiaTheme="minorEastAsia"/>
          <w:lang w:val="en-US"/>
        </w:rPr>
        <w:t>in</w:t>
      </w:r>
      <w:r w:rsidR="00E060CD" w:rsidRPr="004147E2">
        <w:rPr>
          <w:rFonts w:eastAsiaTheme="minorEastAsia" w:hint="eastAsia"/>
          <w:lang w:val="en-GB"/>
        </w:rPr>
        <w:t xml:space="preserve"> </w:t>
      </w:r>
      <w:r w:rsidR="00D610A0" w:rsidRPr="004147E2">
        <w:rPr>
          <w:rFonts w:eastAsiaTheme="minorEastAsia"/>
          <w:lang w:val="en-GB"/>
        </w:rPr>
        <w:t>references</w:t>
      </w:r>
      <w:r w:rsidR="00654ED1" w:rsidRPr="004147E2">
        <w:rPr>
          <w:rFonts w:eastAsiaTheme="minorEastAsia"/>
          <w:lang w:val="en-GB"/>
        </w:rPr>
        <w:t xml:space="preserve"> belonging to </w:t>
      </w:r>
      <w:r w:rsidR="00BD6F80" w:rsidRPr="004147E2">
        <w:rPr>
          <w:rFonts w:eastAsiaTheme="minorEastAsia"/>
          <w:lang w:val="en-GB"/>
        </w:rPr>
        <w:t>biological system</w:t>
      </w:r>
      <w:r w:rsidR="00654ED1" w:rsidRPr="004147E2">
        <w:rPr>
          <w:rFonts w:eastAsiaTheme="minorEastAsia"/>
          <w:lang w:val="en-GB"/>
        </w:rPr>
        <w:t>s</w:t>
      </w:r>
      <w:r w:rsidR="00BD6F80" w:rsidRPr="004147E2">
        <w:rPr>
          <w:rFonts w:eastAsiaTheme="minorEastAsia"/>
          <w:lang w:val="en-GB"/>
        </w:rPr>
        <w:t xml:space="preserve"> (</w:t>
      </w:r>
      <w:proofErr w:type="gramStart"/>
      <w:r w:rsidR="005874E9" w:rsidRPr="004147E2">
        <w:rPr>
          <w:rFonts w:eastAsiaTheme="minorEastAsia"/>
          <w:lang w:val="en-GB"/>
        </w:rPr>
        <w:t>e.g.</w:t>
      </w:r>
      <w:proofErr w:type="gramEnd"/>
      <w:r w:rsidR="00BD6F80" w:rsidRPr="004147E2">
        <w:rPr>
          <w:rFonts w:eastAsiaTheme="minorEastAsia"/>
          <w:lang w:val="en-GB"/>
        </w:rPr>
        <w:t xml:space="preserve"> </w:t>
      </w:r>
      <w:r w:rsidR="00DA5685" w:rsidRPr="004147E2">
        <w:rPr>
          <w:rFonts w:eastAsiaTheme="minorEastAsia"/>
          <w:lang w:val="en-GB"/>
        </w:rPr>
        <w:t>“I</w:t>
      </w:r>
      <w:r w:rsidR="00BD6F80" w:rsidRPr="004147E2">
        <w:rPr>
          <w:rFonts w:eastAsiaTheme="minorEastAsia"/>
          <w:lang w:val="en-GB"/>
        </w:rPr>
        <w:t>mmune &amp; inflammation system</w:t>
      </w:r>
      <w:r w:rsidR="00DA5685" w:rsidRPr="004147E2">
        <w:rPr>
          <w:rFonts w:eastAsiaTheme="minorEastAsia"/>
          <w:lang w:val="en-GB"/>
        </w:rPr>
        <w:t>”</w:t>
      </w:r>
      <w:r w:rsidR="00BD6F80" w:rsidRPr="004147E2">
        <w:rPr>
          <w:rFonts w:eastAsiaTheme="minorEastAsia"/>
          <w:lang w:val="en-GB"/>
        </w:rPr>
        <w:t>) or function</w:t>
      </w:r>
      <w:r w:rsidR="00654ED1" w:rsidRPr="004147E2">
        <w:rPr>
          <w:rFonts w:eastAsiaTheme="minorEastAsia"/>
          <w:lang w:val="en-GB"/>
        </w:rPr>
        <w:t>s</w:t>
      </w:r>
      <w:r w:rsidR="00BD6F80" w:rsidRPr="004147E2">
        <w:rPr>
          <w:rFonts w:eastAsiaTheme="minorEastAsia"/>
          <w:lang w:val="en-GB"/>
        </w:rPr>
        <w:t xml:space="preserve"> (e.g. </w:t>
      </w:r>
      <w:r w:rsidR="00DA5685" w:rsidRPr="004147E2">
        <w:rPr>
          <w:rFonts w:eastAsiaTheme="minorEastAsia"/>
          <w:lang w:val="en-GB"/>
        </w:rPr>
        <w:t>“</w:t>
      </w:r>
      <w:r w:rsidR="00BD6F80" w:rsidRPr="004147E2">
        <w:rPr>
          <w:rFonts w:eastAsiaTheme="minorEastAsia"/>
          <w:lang w:val="en-GB"/>
        </w:rPr>
        <w:t>Splicing</w:t>
      </w:r>
      <w:r w:rsidR="00DA5685" w:rsidRPr="004147E2">
        <w:rPr>
          <w:rFonts w:eastAsiaTheme="minorEastAsia"/>
          <w:lang w:val="en-GB"/>
        </w:rPr>
        <w:t>”</w:t>
      </w:r>
      <w:r w:rsidR="00BD6F80" w:rsidRPr="004147E2">
        <w:rPr>
          <w:rFonts w:eastAsiaTheme="minorEastAsia"/>
          <w:lang w:val="en-GB"/>
        </w:rPr>
        <w:t>)</w:t>
      </w:r>
      <w:r w:rsidR="00792590" w:rsidRPr="004147E2">
        <w:rPr>
          <w:rFonts w:eastAsiaTheme="minorEastAsia"/>
          <w:lang w:val="en-GB"/>
        </w:rPr>
        <w:t>. The resulting categories allowed a</w:t>
      </w:r>
      <w:r w:rsidR="008E41D3">
        <w:rPr>
          <w:rFonts w:eastAsiaTheme="minorEastAsia"/>
          <w:lang w:val="en-GB"/>
        </w:rPr>
        <w:t xml:space="preserve"> wider and</w:t>
      </w:r>
      <w:r w:rsidR="00792590" w:rsidRPr="004147E2">
        <w:rPr>
          <w:rFonts w:eastAsiaTheme="minorEastAsia"/>
          <w:lang w:val="en-GB"/>
        </w:rPr>
        <w:t xml:space="preserve"> more </w:t>
      </w:r>
      <w:r w:rsidR="00792590" w:rsidRPr="004147E2">
        <w:rPr>
          <w:rFonts w:eastAsiaTheme="minorEastAsia"/>
          <w:lang w:val="en-US"/>
        </w:rPr>
        <w:t>comprehensive classification for</w:t>
      </w:r>
      <w:r w:rsidR="00792590" w:rsidRPr="004147E2">
        <w:rPr>
          <w:rFonts w:eastAsiaTheme="minorEastAsia"/>
          <w:lang w:val="en-GB"/>
        </w:rPr>
        <w:t xml:space="preserve"> </w:t>
      </w:r>
      <w:r w:rsidR="001200FC" w:rsidRPr="004147E2">
        <w:rPr>
          <w:rFonts w:eastAsiaTheme="minorEastAsia"/>
          <w:lang w:val="en-GB"/>
        </w:rPr>
        <w:t>describing the molecular functions involved in the response to warming</w:t>
      </w:r>
      <w:r w:rsidR="00A33FA9" w:rsidRPr="004147E2">
        <w:rPr>
          <w:rFonts w:eastAsiaTheme="minorEastAsia"/>
          <w:lang w:val="en-GB"/>
        </w:rPr>
        <w:t>.</w:t>
      </w:r>
      <w:r w:rsidR="002131FD" w:rsidRPr="004147E2">
        <w:rPr>
          <w:rFonts w:eastAsiaTheme="minorEastAsia"/>
          <w:lang w:val="en-GB"/>
        </w:rPr>
        <w:t xml:space="preserve"> </w:t>
      </w:r>
      <w:r w:rsidR="00F8170A" w:rsidRPr="004147E2">
        <w:rPr>
          <w:rFonts w:eastAsiaTheme="minorEastAsia"/>
          <w:lang w:val="en-GB"/>
        </w:rPr>
        <w:t>A h</w:t>
      </w:r>
      <w:r w:rsidR="002131FD" w:rsidRPr="004147E2">
        <w:rPr>
          <w:rFonts w:eastAsiaTheme="minorEastAsia"/>
          <w:lang w:val="en-GB"/>
        </w:rPr>
        <w:t>eatmap was plotted</w:t>
      </w:r>
      <w:r w:rsidR="002131FD" w:rsidRPr="004147E2">
        <w:rPr>
          <w:rFonts w:eastAsiaTheme="minorEastAsia"/>
          <w:lang w:val="en-US"/>
        </w:rPr>
        <w:t xml:space="preserve"> </w:t>
      </w:r>
      <w:r w:rsidR="00F8170A" w:rsidRPr="004147E2">
        <w:rPr>
          <w:rFonts w:eastAsiaTheme="minorEastAsia"/>
          <w:lang w:val="en-US"/>
        </w:rPr>
        <w:t xml:space="preserve">to </w:t>
      </w:r>
      <w:r w:rsidR="002131FD" w:rsidRPr="004147E2">
        <w:rPr>
          <w:rFonts w:eastAsiaTheme="minorEastAsia"/>
          <w:lang w:val="en-US"/>
        </w:rPr>
        <w:t xml:space="preserve">visualize the </w:t>
      </w:r>
      <w:r w:rsidR="005F7CAB" w:rsidRPr="004147E2">
        <w:rPr>
          <w:rFonts w:eastAsiaTheme="minorEastAsia"/>
          <w:lang w:val="en-US"/>
        </w:rPr>
        <w:t>number</w:t>
      </w:r>
      <w:r w:rsidR="00E549FD" w:rsidRPr="004147E2">
        <w:rPr>
          <w:rFonts w:eastAsiaTheme="minorEastAsia"/>
          <w:lang w:val="en-US"/>
        </w:rPr>
        <w:t xml:space="preserve"> of </w:t>
      </w:r>
      <w:r w:rsidR="00A31D42" w:rsidRPr="004147E2">
        <w:rPr>
          <w:rFonts w:eastAsiaTheme="minorEastAsia"/>
          <w:lang w:val="en-US"/>
        </w:rPr>
        <w:t xml:space="preserve">DS </w:t>
      </w:r>
      <w:r w:rsidR="002131FD" w:rsidRPr="004147E2">
        <w:rPr>
          <w:rFonts w:eastAsiaTheme="minorEastAsia"/>
          <w:lang w:val="en-US"/>
        </w:rPr>
        <w:t xml:space="preserve">genes </w:t>
      </w:r>
      <w:r w:rsidR="00E549FD" w:rsidRPr="004147E2">
        <w:rPr>
          <w:rFonts w:eastAsiaTheme="minorEastAsia"/>
          <w:lang w:val="en-US"/>
        </w:rPr>
        <w:t xml:space="preserve">being categorized </w:t>
      </w:r>
      <w:r w:rsidR="002131FD" w:rsidRPr="004147E2">
        <w:rPr>
          <w:rFonts w:eastAsiaTheme="minorEastAsia"/>
          <w:lang w:val="en-US"/>
        </w:rPr>
        <w:t xml:space="preserve">between </w:t>
      </w:r>
      <w:r w:rsidR="00F8170A" w:rsidRPr="004147E2">
        <w:rPr>
          <w:rFonts w:eastAsiaTheme="minorEastAsia"/>
          <w:lang w:val="en-US"/>
        </w:rPr>
        <w:t>groups of comparison</w:t>
      </w:r>
      <w:r w:rsidR="005F7CAB" w:rsidRPr="004147E2">
        <w:rPr>
          <w:rFonts w:eastAsiaTheme="minorEastAsia"/>
          <w:lang w:val="en-US"/>
        </w:rPr>
        <w:t>s</w:t>
      </w:r>
      <w:r w:rsidR="002A0168" w:rsidRPr="004147E2">
        <w:rPr>
          <w:rFonts w:eastAsiaTheme="minorEastAsia"/>
          <w:lang w:val="en-US"/>
        </w:rPr>
        <w:t xml:space="preserve">, using </w:t>
      </w:r>
      <w:r w:rsidR="008E41D3">
        <w:rPr>
          <w:rFonts w:eastAsiaTheme="minorEastAsia"/>
          <w:lang w:val="en-US"/>
        </w:rPr>
        <w:t xml:space="preserve">the </w:t>
      </w:r>
      <w:r w:rsidR="002A0168" w:rsidRPr="004147E2">
        <w:rPr>
          <w:rFonts w:eastAsiaTheme="minorEastAsia"/>
          <w:lang w:val="en-US"/>
        </w:rPr>
        <w:t xml:space="preserve">heatmap.2 function in </w:t>
      </w:r>
      <w:proofErr w:type="spellStart"/>
      <w:r w:rsidR="002A0168" w:rsidRPr="004147E2">
        <w:rPr>
          <w:rFonts w:eastAsiaTheme="minorEastAsia"/>
          <w:lang w:val="en-US"/>
        </w:rPr>
        <w:t>gplots</w:t>
      </w:r>
      <w:proofErr w:type="spellEnd"/>
      <w:r w:rsidR="002A0168" w:rsidRPr="004147E2">
        <w:rPr>
          <w:rFonts w:eastAsiaTheme="minorEastAsia"/>
          <w:lang w:val="en-US"/>
        </w:rPr>
        <w:t xml:space="preserve"> </w:t>
      </w:r>
      <w:r w:rsidR="00517C3C">
        <w:rPr>
          <w:rFonts w:eastAsiaTheme="minorEastAsia"/>
          <w:lang w:val="en-US"/>
        </w:rPr>
        <w:t>(</w:t>
      </w:r>
      <w:r w:rsidR="002A0168" w:rsidRPr="004147E2">
        <w:rPr>
          <w:rFonts w:eastAsiaTheme="minorEastAsia"/>
          <w:lang w:val="en-US"/>
        </w:rPr>
        <w:t>v3.1.1</w:t>
      </w:r>
      <w:r w:rsidR="00517C3C">
        <w:rPr>
          <w:rFonts w:eastAsiaTheme="minorEastAsia"/>
          <w:lang w:val="en-US"/>
        </w:rPr>
        <w:t>;</w:t>
      </w:r>
      <w:r w:rsidR="00517C3C">
        <w:rPr>
          <w:rFonts w:eastAsiaTheme="minorEastAsia"/>
          <w:lang w:val="en-US"/>
        </w:rPr>
        <w:fldChar w:fldCharType="begin" w:fldLock="1"/>
      </w:r>
      <w:r w:rsidR="0019340E">
        <w:rPr>
          <w:rFonts w:eastAsiaTheme="minorEastAsia"/>
          <w:lang w:val="en-US"/>
        </w:rPr>
        <w:instrText>ADDIN CSL_CITATION {"citationItems":[{"id":"ITEM-1","itemData":{"author":[{"dropping-particle":"","family":"Warnes","given":"Gregory R","non-dropping-particle":"","parse-names":false,"suffix":""},{"dropping-particle":"","family":"Bolker","given":"Ben","non-dropping-particle":"","parse-names":false,"suffix":""},{"dropping-particle":"","family":"Bonebakker","given":"Lodewijk","non-dropping-particle":"","parse-names":false,"suffix":""},{"dropping-particle":"","family":"Gentleman","given":"Robert","non-dropping-particle":"","parse-names":false,"suffix":""},{"dropping-particle":"","family":"Huber","given":"Wolfgang","non-dropping-particle":"","parse-names":false,"suffix":""},{"dropping-particle":"","family":"Liaw","given":"Andy","non-dropping-particle":"","parse-names":false,"suffix":""},{"dropping-particle":"","family":"Lumley","given":"Thomas","non-dropping-particle":"","parse-names":false,"suffix":""},{"dropping-particle":"","family":"Maechler","given":"Martin","non-dropping-particle":"","parse-names":false,"suffix":""},{"dropping-particle":"","family":"Magnusson","given":"Arni","non-dropping-particle":"","parse-names":false,"suffix":""},{"dropping-particle":"","family":"Moeller","given":"Steffen","non-dropping-particle":"","parse-names":false,"suffix":""},{"dropping-particle":"","family":"Schwartz","given":"Marc","non-dropping-particle":"","parse-names":false,"suffix":""},{"dropping-particle":"","family":"Venables","given":"Bill","non-dropping-particle":"","parse-names":false,"suffix":""}],"id":"ITEM-1","issued":{"date-parts":[["2020"]]},"number":"3.1.1","title":"gplots: Various R Programming Tools for Plotting Data","type":"article"},"uris":["http://www.mendeley.com/documents/?uuid=584af944-0fdd-4c6b-849b-b07feff95a3b"]}],"mendeley":{"formattedCitation":"(Warnes &lt;i&gt;et al.&lt;/i&gt;, 2020)","manualFormatting":" Warnes et al., 2020)","plainTextFormattedCitation":"(Warnes et al., 2020)","previouslyFormattedCitation":"(Warnes &lt;i&gt;et al.&lt;/i&gt;, 2020)"},"properties":{"noteIndex":0},"schema":"https://github.com/citation-style-language/schema/raw/master/csl-citation.json"}</w:instrText>
      </w:r>
      <w:r w:rsidR="00517C3C">
        <w:rPr>
          <w:rFonts w:eastAsiaTheme="minorEastAsia"/>
          <w:lang w:val="en-US"/>
        </w:rPr>
        <w:fldChar w:fldCharType="separate"/>
      </w:r>
      <w:r w:rsidR="00517C3C">
        <w:rPr>
          <w:rFonts w:eastAsiaTheme="minorEastAsia"/>
          <w:noProof/>
          <w:lang w:val="en-US"/>
        </w:rPr>
        <w:t xml:space="preserve"> </w:t>
      </w:r>
      <w:r w:rsidR="00517C3C" w:rsidRPr="00517C3C">
        <w:rPr>
          <w:rFonts w:eastAsiaTheme="minorEastAsia"/>
          <w:noProof/>
          <w:lang w:val="en-US"/>
        </w:rPr>
        <w:t xml:space="preserve">Warnes </w:t>
      </w:r>
      <w:r w:rsidR="00517C3C" w:rsidRPr="00517C3C">
        <w:rPr>
          <w:rFonts w:eastAsiaTheme="minorEastAsia"/>
          <w:i/>
          <w:noProof/>
          <w:lang w:val="en-US"/>
        </w:rPr>
        <w:t>et al.</w:t>
      </w:r>
      <w:r w:rsidR="00517C3C" w:rsidRPr="00517C3C">
        <w:rPr>
          <w:rFonts w:eastAsiaTheme="minorEastAsia"/>
          <w:noProof/>
          <w:lang w:val="en-US"/>
        </w:rPr>
        <w:t>, 2020)</w:t>
      </w:r>
      <w:r w:rsidR="00517C3C">
        <w:rPr>
          <w:rFonts w:eastAsiaTheme="minorEastAsia"/>
          <w:lang w:val="en-US"/>
        </w:rPr>
        <w:fldChar w:fldCharType="end"/>
      </w:r>
      <w:r w:rsidR="002A0168" w:rsidRPr="004147E2">
        <w:rPr>
          <w:rFonts w:eastAsiaTheme="minorEastAsia"/>
          <w:lang w:val="en-US"/>
        </w:rPr>
        <w:t xml:space="preserve"> in R</w:t>
      </w:r>
      <w:r w:rsidR="00D3647A" w:rsidRPr="004147E2">
        <w:rPr>
          <w:rFonts w:eastAsiaTheme="minorEastAsia"/>
          <w:lang w:val="en-US"/>
        </w:rPr>
        <w:t xml:space="preserve"> v4.0.3.</w:t>
      </w:r>
      <w:r w:rsidR="002131FD" w:rsidRPr="004147E2">
        <w:rPr>
          <w:rFonts w:eastAsiaTheme="minorEastAsia"/>
          <w:lang w:val="en-US"/>
        </w:rPr>
        <w:t xml:space="preserve"> </w:t>
      </w:r>
    </w:p>
    <w:p w14:paraId="0B8D785C" w14:textId="7311556D" w:rsidR="00792590" w:rsidRDefault="00807630" w:rsidP="002E10DE">
      <w:pPr>
        <w:autoSpaceDE w:val="0"/>
        <w:autoSpaceDN w:val="0"/>
        <w:adjustRightInd w:val="0"/>
        <w:spacing w:line="480" w:lineRule="auto"/>
        <w:jc w:val="both"/>
        <w:rPr>
          <w:rFonts w:eastAsiaTheme="minorEastAsia"/>
          <w:lang w:val="en-US"/>
        </w:rPr>
      </w:pPr>
      <w:r w:rsidRPr="004147E2">
        <w:rPr>
          <w:rFonts w:eastAsiaTheme="minorEastAsia"/>
          <w:lang w:val="en-GB"/>
        </w:rPr>
        <w:tab/>
      </w:r>
      <w:r w:rsidR="004653C0" w:rsidRPr="004147E2">
        <w:rPr>
          <w:rFonts w:eastAsiaTheme="minorEastAsia"/>
          <w:lang w:val="en-GB"/>
        </w:rPr>
        <w:t>For</w:t>
      </w:r>
      <w:r w:rsidR="001F545D" w:rsidRPr="004147E2">
        <w:rPr>
          <w:rFonts w:eastAsiaTheme="minorEastAsia"/>
          <w:lang w:val="en-GB"/>
        </w:rPr>
        <w:t xml:space="preserve"> </w:t>
      </w:r>
      <w:r w:rsidR="0002436D" w:rsidRPr="004147E2">
        <w:rPr>
          <w:rFonts w:eastAsiaTheme="minorEastAsia"/>
          <w:lang w:val="en-GB"/>
        </w:rPr>
        <w:t>a more comprehensive understanding of molecular processes influenced by the temperature changes during the heatwave</w:t>
      </w:r>
      <w:r w:rsidR="00792590" w:rsidRPr="004147E2">
        <w:rPr>
          <w:rFonts w:eastAsiaTheme="minorEastAsia"/>
          <w:lang w:val="en-GB"/>
        </w:rPr>
        <w:t>, differential gene expression analysis was performed</w:t>
      </w:r>
      <w:r w:rsidR="00864A66" w:rsidRPr="004147E2">
        <w:rPr>
          <w:rFonts w:eastAsiaTheme="minorEastAsia"/>
          <w:lang w:val="en-GB"/>
        </w:rPr>
        <w:t xml:space="preserve"> to correlate with the differential splicing patterns</w:t>
      </w:r>
      <w:r w:rsidR="00792590" w:rsidRPr="004147E2">
        <w:rPr>
          <w:rFonts w:eastAsiaTheme="minorEastAsia"/>
          <w:lang w:val="en-GB"/>
        </w:rPr>
        <w:t xml:space="preserve">. </w:t>
      </w:r>
      <w:r w:rsidR="00F610BC" w:rsidRPr="004147E2">
        <w:rPr>
          <w:rFonts w:eastAsiaTheme="minorEastAsia"/>
          <w:lang w:val="en-GB"/>
        </w:rPr>
        <w:t>G</w:t>
      </w:r>
      <w:r w:rsidR="00792590" w:rsidRPr="004147E2">
        <w:rPr>
          <w:rFonts w:eastAsiaTheme="minorEastAsia"/>
          <w:lang w:val="en-GB"/>
        </w:rPr>
        <w:t xml:space="preserve">ene expression was quantified by </w:t>
      </w:r>
      <w:proofErr w:type="spellStart"/>
      <w:r w:rsidR="00792590" w:rsidRPr="004147E2">
        <w:rPr>
          <w:rFonts w:eastAsiaTheme="minorEastAsia"/>
          <w:lang w:val="en-GB"/>
        </w:rPr>
        <w:t>featureCounts</w:t>
      </w:r>
      <w:proofErr w:type="spellEnd"/>
      <w:r w:rsidR="00792590" w:rsidRPr="004147E2">
        <w:rPr>
          <w:rFonts w:eastAsiaTheme="minorEastAsia"/>
          <w:lang w:val="en-GB"/>
        </w:rPr>
        <w:t xml:space="preserve"> </w:t>
      </w:r>
      <w:r w:rsidR="00BA0759" w:rsidRPr="004147E2">
        <w:rPr>
          <w:rFonts w:eastAsiaTheme="minorEastAsia"/>
          <w:noProof/>
          <w:lang w:val="en-GB"/>
        </w:rPr>
        <w:fldChar w:fldCharType="begin" w:fldLock="1"/>
      </w:r>
      <w:r w:rsidR="00517C3C">
        <w:rPr>
          <w:rFonts w:eastAsiaTheme="minorEastAsia"/>
          <w:noProof/>
          <w:lang w:val="en-GB"/>
        </w:rPr>
        <w:instrText>ADDIN CSL_CITATION {"citationItems":[{"id":"ITEM-1","itemData":{"DOI":"10.1093/bioinformatics/btt656","ISSN":"14602059","PMID":"24227677","abstract":"Motivation: Next-generation sequencing technologies generate millions of short sequence reads, which are usually aligned to a reference genome. In many applications, the key information required for downstream analysis is the number of reads mapping to each genomic feature, for example to each exon or each gene. The process of counting reads is called read summarization. Read summarization is required for a great variety of genomic analyses but has so far received relatively little attention in the literature.Results: We present featureCounts, a read summarization program suitable for counting reads generated from either RNA or genomic DNA sequencing experiments. featureCounts implements highly efficient chromosome hashing and feature blocking techniques. It is considerably faster than existing methods (by an order of magnitude for gene-level summarization) and requires far less computer memory. It works with either single or paired-end reads and provides a wide range of options appropriate for different sequencing applications. © 2013 The Author 2013. Published by Oxford University Press. All rights reserved.","author":[{"dropping-particle":"","family":"Liao","given":"Yang","non-dropping-particle":"","parse-names":false,"suffix":""},{"dropping-particle":"","family":"Smyth","given":"Gordon K.","non-dropping-particle":"","parse-names":false,"suffix":""},{"dropping-particle":"","family":"Shi","given":"Wei","non-dropping-particle":"","parse-names":false,"suffix":""}],"container-title":"Bioinformatics","id":"ITEM-1","issue":"7","issued":{"date-parts":[["2014"]]},"page":"923-930","title":"FeatureCounts: An efficient general purpose program for assigning sequence reads to genomic features","type":"article-journal","volume":"30"},"uris":["http://www.mendeley.com/documents/?uuid=ce9b34b6-b769-4ff4-8660-afa13deec8e2"]}],"mendeley":{"formattedCitation":"(Liao, Smyth and Shi, 2014)","plainTextFormattedCitation":"(Liao, Smyth and Shi, 2014)","previouslyFormattedCitation":"(Liao, Smyth and Shi, 2014)"},"properties":{"noteIndex":0},"schema":"https://github.com/citation-style-language/schema/raw/master/csl-citation.json"}</w:instrText>
      </w:r>
      <w:r w:rsidR="00BA0759" w:rsidRPr="004147E2">
        <w:rPr>
          <w:rFonts w:eastAsiaTheme="minorEastAsia"/>
          <w:noProof/>
          <w:lang w:val="en-GB"/>
        </w:rPr>
        <w:fldChar w:fldCharType="separate"/>
      </w:r>
      <w:r w:rsidR="00BA0759" w:rsidRPr="004147E2">
        <w:rPr>
          <w:rFonts w:eastAsiaTheme="minorEastAsia"/>
          <w:noProof/>
          <w:lang w:val="en-GB"/>
        </w:rPr>
        <w:t>(Liao, Smyth and Shi, 2014)</w:t>
      </w:r>
      <w:r w:rsidR="00BA0759" w:rsidRPr="004147E2">
        <w:rPr>
          <w:rFonts w:eastAsiaTheme="minorEastAsia"/>
          <w:noProof/>
          <w:lang w:val="en-GB"/>
        </w:rPr>
        <w:fldChar w:fldCharType="end"/>
      </w:r>
      <w:r w:rsidR="00BA0759" w:rsidRPr="004147E2">
        <w:rPr>
          <w:rFonts w:eastAsiaTheme="minorEastAsia"/>
          <w:noProof/>
          <w:lang w:val="en-GB"/>
        </w:rPr>
        <w:t xml:space="preserve"> </w:t>
      </w:r>
      <w:r w:rsidR="00792590" w:rsidRPr="004147E2">
        <w:rPr>
          <w:rFonts w:eastAsiaTheme="minorEastAsia"/>
          <w:lang w:val="en-GB"/>
        </w:rPr>
        <w:t>and imported into 3D RNA-</w:t>
      </w:r>
      <w:proofErr w:type="spellStart"/>
      <w:r w:rsidR="00792590" w:rsidRPr="004147E2">
        <w:rPr>
          <w:rFonts w:eastAsiaTheme="minorEastAsia"/>
          <w:lang w:val="en-GB"/>
        </w:rPr>
        <w:t>seq</w:t>
      </w:r>
      <w:proofErr w:type="spellEnd"/>
      <w:r w:rsidR="00792590" w:rsidRPr="004147E2">
        <w:rPr>
          <w:rFonts w:eastAsiaTheme="minorEastAsia"/>
          <w:lang w:val="en-GB"/>
        </w:rPr>
        <w:t xml:space="preserve"> </w:t>
      </w:r>
      <w:r w:rsidR="00F851D5" w:rsidRPr="004147E2">
        <w:rPr>
          <w:rFonts w:eastAsiaTheme="minorEastAsia"/>
          <w:noProof/>
          <w:lang w:val="en-GB"/>
        </w:rPr>
        <w:fldChar w:fldCharType="begin" w:fldLock="1"/>
      </w:r>
      <w:r w:rsidR="00EF730B">
        <w:rPr>
          <w:rFonts w:eastAsiaTheme="minorEastAsia"/>
          <w:noProof/>
          <w:lang w:val="en-GB"/>
        </w:rPr>
        <w:instrText>ADDIN CSL_CITATION {"citationItems":[{"id":"ITEM-1","itemData":{"DOI":"10.1101/656686","abstract":"RNA-sequencing (RNA-seq) analysis of gene expression and alternative splicing should be routine and robust but is often a bottleneck for biologists because of different and complex analysis programs and reliance on skilled bioinformaticians to perform the analysis. To overcome these issues, we have developed the \"3D RNA-seq\" App, an R shiny App which provides an easy-to-use, flexible and powerful tool for the three-way differential analysis: Differential Expression (DE), Differential Alternative Splicing (DAS) and Differential Transcript Usage (DTU) of RNA-seq data. The full analysis is extremely rapid and can be done within hours. The program integrates Limma, a state-of-the-art, highly rated differential expression analysis tool and adopts best practice for RNA-seq analysis. It runs the analysis through a user-friendly graphical interface, can handle complex experimental designs, allows user setting of statistical parameters, visualizes the results through graphics and tables, and generates publication quality figures such as heat-maps, expression profiles and GO enrichment plots. The utility of 3D RNA-seq is illustrated by analysis of Arabidopsis and mouse RNA-seq data. The program is designed to be run by biologists with minimal bioinformatics experience (or by bioinformaticians) allowing lab scientists to take control of the analysis of their RNA-seq data.","author":[{"dropping-particle":"","family":"Guo","given":"Wenbin","non-dropping-particle":"","parse-names":false,"suffix":""},{"dropping-particle":"","family":"Tzioutziou","given":"Nikoleta","non-dropping-particle":"","parse-names":false,"suffix":""},{"dropping-particle":"","family":"Stephen","given":"Gordon","non-dropping-particle":"","parse-names":false,"suffix":""},{"dropping-particle":"","family":"Milne","given":"Iain","non-dropping-particle":"","parse-names":false,"suffix":""},{"dropping-particle":"","family":"Calixto","given":"Cristiane","non-dropping-particle":"","parse-names":false,"suffix":""},{"dropping-particle":"","family":"Waugh","given":"Robbie","non-dropping-particle":"","parse-names":false,"suffix":""},{"dropping-particle":"","family":"Brown","given":"John","non-dropping-particle":"","parse-names":false,"suffix":""},{"dropping-particle":"","family":"Zhang","given":"Runxuan","non-dropping-particle":"","parse-names":false,"suffix":""}],"container-title":"RNA biology","id":"ITEM-1","issued":{"date-parts":[["2020"]]},"page":"1-14","title":"3D RNA-seq: A powerful and flexible tool for rapid and accurate differential expression and alternative splicing analysis of RNA-seq data for biologists","type":"article-journal"},"uris":["http://www.mendeley.com/documents/?uuid=7303e66c-4301-4e27-8915-9e310b82844d","http://www.mendeley.com/documents/?uuid=01346740-cc7d-4c87-a6b6-4855e9b195e1"]}],"mendeley":{"formattedCitation":"(Guo &lt;i&gt;et al.&lt;/i&gt;, 2020)","plainTextFormattedCitation":"(Guo et al., 2020)","previouslyFormattedCitation":"(Guo &lt;i&gt;et al.&lt;/i&gt;, 2020)"},"properties":{"noteIndex":0},"schema":"https://github.com/citation-style-language/schema/raw/master/csl-citation.json"}</w:instrText>
      </w:r>
      <w:r w:rsidR="00F851D5" w:rsidRPr="004147E2">
        <w:rPr>
          <w:rFonts w:eastAsiaTheme="minorEastAsia"/>
          <w:noProof/>
          <w:lang w:val="en-GB"/>
        </w:rPr>
        <w:fldChar w:fldCharType="separate"/>
      </w:r>
      <w:r w:rsidR="00B66633" w:rsidRPr="004147E2">
        <w:rPr>
          <w:rFonts w:eastAsiaTheme="minorEastAsia"/>
          <w:noProof/>
          <w:lang w:val="en-GB"/>
        </w:rPr>
        <w:t xml:space="preserve">(Guo </w:t>
      </w:r>
      <w:r w:rsidR="00B66633" w:rsidRPr="004147E2">
        <w:rPr>
          <w:rFonts w:eastAsiaTheme="minorEastAsia"/>
          <w:i/>
          <w:noProof/>
          <w:lang w:val="en-GB"/>
        </w:rPr>
        <w:t>et al.</w:t>
      </w:r>
      <w:r w:rsidR="00B66633" w:rsidRPr="004147E2">
        <w:rPr>
          <w:rFonts w:eastAsiaTheme="minorEastAsia"/>
          <w:noProof/>
          <w:lang w:val="en-GB"/>
        </w:rPr>
        <w:t>, 2020)</w:t>
      </w:r>
      <w:r w:rsidR="00F851D5" w:rsidRPr="004147E2">
        <w:rPr>
          <w:rFonts w:eastAsiaTheme="minorEastAsia"/>
          <w:noProof/>
          <w:lang w:val="en-GB"/>
        </w:rPr>
        <w:fldChar w:fldCharType="end"/>
      </w:r>
      <w:r w:rsidR="00792590" w:rsidRPr="004147E2">
        <w:rPr>
          <w:rFonts w:eastAsiaTheme="minorEastAsia"/>
          <w:lang w:val="en-GB"/>
        </w:rPr>
        <w:t xml:space="preserve">. </w:t>
      </w:r>
      <w:r w:rsidR="001200FC" w:rsidRPr="004147E2">
        <w:rPr>
          <w:rFonts w:eastAsiaTheme="minorEastAsia"/>
          <w:lang w:val="en-GB"/>
        </w:rPr>
        <w:t>For this, the</w:t>
      </w:r>
      <w:r w:rsidR="00792590" w:rsidRPr="004147E2">
        <w:rPr>
          <w:rFonts w:eastAsiaTheme="minorEastAsia"/>
          <w:lang w:val="en-GB"/>
        </w:rPr>
        <w:t xml:space="preserve"> low expressed transcripts</w:t>
      </w:r>
      <w:r w:rsidR="001200FC" w:rsidRPr="004147E2">
        <w:rPr>
          <w:rFonts w:eastAsiaTheme="minorEastAsia"/>
          <w:lang w:val="en-GB"/>
        </w:rPr>
        <w:t xml:space="preserve"> were filt</w:t>
      </w:r>
      <w:r w:rsidR="002D25F7" w:rsidRPr="004147E2">
        <w:rPr>
          <w:rFonts w:eastAsiaTheme="minorEastAsia"/>
          <w:lang w:val="en-GB"/>
        </w:rPr>
        <w:t>er</w:t>
      </w:r>
      <w:r w:rsidR="001200FC" w:rsidRPr="004147E2">
        <w:rPr>
          <w:rFonts w:eastAsiaTheme="minorEastAsia"/>
          <w:lang w:val="en-GB"/>
        </w:rPr>
        <w:t>ed</w:t>
      </w:r>
      <w:r w:rsidR="00792590" w:rsidRPr="004147E2">
        <w:rPr>
          <w:rFonts w:eastAsiaTheme="minorEastAsia"/>
          <w:lang w:val="en-GB"/>
        </w:rPr>
        <w:t xml:space="preserve"> (Count Per Million reads</w:t>
      </w:r>
      <w:r w:rsidR="007A1B13" w:rsidRPr="004147E2">
        <w:t xml:space="preserve"> ≤</w:t>
      </w:r>
      <w:r w:rsidR="00792590" w:rsidRPr="004147E2">
        <w:rPr>
          <w:rFonts w:eastAsiaTheme="minorEastAsia"/>
          <w:lang w:val="en-GB"/>
        </w:rPr>
        <w:t xml:space="preserve"> 1), the batch effects</w:t>
      </w:r>
      <w:r w:rsidR="001200FC" w:rsidRPr="004147E2">
        <w:rPr>
          <w:rFonts w:eastAsiaTheme="minorEastAsia"/>
          <w:lang w:val="en-GB"/>
        </w:rPr>
        <w:t xml:space="preserve"> were reduced</w:t>
      </w:r>
      <w:r w:rsidR="00792590" w:rsidRPr="004147E2">
        <w:rPr>
          <w:rFonts w:eastAsiaTheme="minorEastAsia"/>
          <w:lang w:val="en-GB"/>
        </w:rPr>
        <w:t xml:space="preserve"> using the </w:t>
      </w:r>
      <w:proofErr w:type="spellStart"/>
      <w:r w:rsidR="00792590" w:rsidRPr="004147E2">
        <w:rPr>
          <w:rFonts w:eastAsiaTheme="minorEastAsia"/>
          <w:lang w:val="en-GB"/>
        </w:rPr>
        <w:t>RUVr</w:t>
      </w:r>
      <w:proofErr w:type="spellEnd"/>
      <w:r w:rsidR="00792590" w:rsidRPr="004147E2">
        <w:rPr>
          <w:rFonts w:eastAsiaTheme="minorEastAsia"/>
          <w:lang w:val="en-GB"/>
        </w:rPr>
        <w:t xml:space="preserve"> method, the data </w:t>
      </w:r>
      <w:r w:rsidR="001200FC" w:rsidRPr="004147E2">
        <w:rPr>
          <w:rFonts w:eastAsiaTheme="minorEastAsia"/>
          <w:lang w:val="en-GB"/>
        </w:rPr>
        <w:t xml:space="preserve">was normalized </w:t>
      </w:r>
      <w:r w:rsidR="00792590" w:rsidRPr="004147E2">
        <w:rPr>
          <w:rFonts w:eastAsiaTheme="minorEastAsia"/>
          <w:lang w:val="en-GB"/>
        </w:rPr>
        <w:t xml:space="preserve">with weighted trimmed mean of M-values and the differential expression analysis </w:t>
      </w:r>
      <w:r w:rsidR="001200FC" w:rsidRPr="004147E2">
        <w:rPr>
          <w:rFonts w:eastAsiaTheme="minorEastAsia"/>
          <w:lang w:val="en-GB"/>
        </w:rPr>
        <w:t xml:space="preserve">was performed </w:t>
      </w:r>
      <w:r w:rsidR="00792590" w:rsidRPr="004147E2">
        <w:rPr>
          <w:rFonts w:eastAsiaTheme="minorEastAsia"/>
          <w:lang w:val="en-GB"/>
        </w:rPr>
        <w:t xml:space="preserve">with </w:t>
      </w:r>
      <w:proofErr w:type="spellStart"/>
      <w:r w:rsidR="00792590" w:rsidRPr="004147E2">
        <w:rPr>
          <w:rFonts w:eastAsiaTheme="minorEastAsia"/>
          <w:lang w:val="en-GB"/>
        </w:rPr>
        <w:t>Limma-voom</w:t>
      </w:r>
      <w:proofErr w:type="spellEnd"/>
      <w:r w:rsidR="00D32AD2" w:rsidRPr="004147E2">
        <w:rPr>
          <w:rFonts w:eastAsiaTheme="minorEastAsia"/>
          <w:lang w:val="en-GB"/>
        </w:rPr>
        <w:t xml:space="preserve"> </w:t>
      </w:r>
      <w:r w:rsidR="00D32AD2" w:rsidRPr="004147E2">
        <w:rPr>
          <w:noProof/>
        </w:rPr>
        <w:fldChar w:fldCharType="begin" w:fldLock="1"/>
      </w:r>
      <w:r w:rsidR="007602F2">
        <w:rPr>
          <w:noProof/>
        </w:rPr>
        <w:instrText>ADDIN CSL_CITATION {"citationItems":[{"id":"ITEM-1","itemData":{"DOI":"10.1186/gb-2014-15-2-r29","ISSN":"1474760X","PMID":"24485249","abstract":"New normal linear modeling strategies are presented for analyzing read counts from RNA-seq experiments. The voom method estimates the mean-variance relationship of the log-counts, generates a precision weight for each observation and enters these into the limma empirical Bayes analysis pipeline. This opens access for RNA-seq analysts to a large body of methodology developed for microarrays. Simulation studies show that voom performs as well or better than count-based RNA-seq methods even when the data are generated according to the assumptions of the earlier methods. Two case studies illustrate the use of linear modeling and gene set testing methods. © 2014 Law et al.; licensee BioMed Central Ltd.","author":[{"dropping-particle":"","family":"Law","given":"Charity W.","non-dropping-particle":"","parse-names":false,"suffix":""},{"dropping-particle":"","family":"Chen","given":"Yunshun","non-dropping-particle":"","parse-names":false,"suffix":""},{"dropping-particle":"","family":"Shi","given":"Wei","non-dropping-particle":"","parse-names":false,"suffix":""},{"dropping-particle":"","family":"Smyth","given":"Gordon K.","non-dropping-particle":"","parse-names":false,"suffix":""}],"container-title":"Genome Biology","id":"ITEM-1","issue":"2","issued":{"date-parts":[["2014"]]},"page":"1-17","title":"Voom: Precision weights unlock linear model analysis tools for RNA-seq read counts","type":"article-journal","volume":"15"},"uris":["http://www.mendeley.com/documents/?uuid=6b63599e-ebab-44dd-a9a6-11e6d0d59020","http://www.mendeley.com/documents/?uuid=a421b59b-c9b1-40d1-b7e8-7c99afdc5377"]}],"mendeley":{"formattedCitation":"(Law &lt;i&gt;et al.&lt;/i&gt;, 2014)","plainTextFormattedCitation":"(Law et al., 2014)","previouslyFormattedCitation":"(Law &lt;i&gt;et al.&lt;/i&gt;, 2014)"},"properties":{"noteIndex":0},"schema":"https://github.com/citation-style-language/schema/raw/master/csl-citation.json"}</w:instrText>
      </w:r>
      <w:r w:rsidR="00D32AD2" w:rsidRPr="004147E2">
        <w:rPr>
          <w:noProof/>
        </w:rPr>
        <w:fldChar w:fldCharType="separate"/>
      </w:r>
      <w:r w:rsidR="00D32AD2" w:rsidRPr="004147E2">
        <w:rPr>
          <w:noProof/>
        </w:rPr>
        <w:t xml:space="preserve">(Law </w:t>
      </w:r>
      <w:r w:rsidR="00D32AD2" w:rsidRPr="004147E2">
        <w:rPr>
          <w:i/>
          <w:noProof/>
        </w:rPr>
        <w:t>et al.</w:t>
      </w:r>
      <w:r w:rsidR="00D32AD2" w:rsidRPr="004147E2">
        <w:rPr>
          <w:noProof/>
        </w:rPr>
        <w:t>, 2014)</w:t>
      </w:r>
      <w:r w:rsidR="00D32AD2" w:rsidRPr="004147E2">
        <w:rPr>
          <w:noProof/>
        </w:rPr>
        <w:fldChar w:fldCharType="end"/>
      </w:r>
      <w:r w:rsidR="00792590" w:rsidRPr="004147E2">
        <w:rPr>
          <w:rFonts w:eastAsiaTheme="minorEastAsia"/>
          <w:lang w:val="en-GB"/>
        </w:rPr>
        <w:t xml:space="preserve">. </w:t>
      </w:r>
      <w:r w:rsidR="004653C0" w:rsidRPr="004147E2">
        <w:rPr>
          <w:rFonts w:eastAsiaTheme="minorEastAsia"/>
          <w:lang w:val="en-GB"/>
        </w:rPr>
        <w:t xml:space="preserve">Such procedures </w:t>
      </w:r>
      <w:r w:rsidR="00AC463D" w:rsidRPr="004147E2">
        <w:rPr>
          <w:rFonts w:eastAsiaTheme="minorEastAsia"/>
          <w:lang w:val="en-GB"/>
        </w:rPr>
        <w:t>were different than those used for the</w:t>
      </w:r>
      <w:r w:rsidR="004653C0" w:rsidRPr="004147E2">
        <w:rPr>
          <w:rFonts w:eastAsiaTheme="minorEastAsia"/>
          <w:lang w:val="en-GB"/>
        </w:rPr>
        <w:t xml:space="preserve"> differential gene expression analysis from our previous paper </w:t>
      </w:r>
      <w:r w:rsidR="00F3575F" w:rsidRPr="004147E2">
        <w:rPr>
          <w:noProof/>
        </w:rPr>
        <w:fldChar w:fldCharType="begin" w:fldLock="1"/>
      </w:r>
      <w:r w:rsidR="00653EE9">
        <w:rPr>
          <w:noProof/>
        </w:rPr>
        <w:instrText>ADDIN CSL_CITATION {"citationItems":[{"id":"ITEM-1","itemData":{"DOI":"10.1126/sciadv.aay3423","ISSN":"23752548","PMID":"32206711","abstract":"The marine heatwave of 2016 was one of longest and hottest thermal anomalies recorded on the Great Barrier Reef, influencing multiple species of marine ectotherms, including coral reef fishes. There is a gap in our understanding of what the physiological consequences of heatwaves in wild fish populations are. Thus, in this study, we used liver transcriptomes to understand the molecular response of five species to the 2016 heatwave conditions. Gene expression was species specific, yet we detected overlap in functional responses associated with thermal stress previously reported in experimental setups. The molecular response was also influenced by the duration of exposure to elevated temperatures. This study highlights the importance of considering the effects of extreme warming events when evaluating the consequences of climate change on fish communities.","author":[{"dropping-particle":"","family":"Bernal","given":"Moisés A.","non-dropping-particle":"","parse-names":false,"suffix":""},{"dropping-particle":"","family":"Schunter","given":"Celia","non-dropping-particle":"","parse-names":false,"suffix":""},{"dropping-particle":"","family":"Lehmann","given":"Robert","non-dropping-particle":"","parse-names":false,"suffix":""},{"dropping-particle":"","family":"Lightfoot","given":"Damien J.","non-dropping-particle":"","parse-names":false,"suffix":""},{"dropping-particle":"","family":"Allan","given":"Bridie J.M.","non-dropping-particle":"","parse-names":false,"suffix":""},{"dropping-particle":"","family":"Veilleux","given":"Heather D.","non-dropping-particle":"","parse-names":false,"suffix":""},{"dropping-particle":"","family":"Rummer","given":"Jodie L.","non-dropping-particle":"","parse-names":false,"suffix":""},{"dropping-particle":"","family":"Munday","given":"Philip L.","non-dropping-particle":"","parse-names":false,"suffix":""},{"dropping-particle":"","family":"Ravasi","given":"Timothy","non-dropping-particle":"","parse-names":false,"suffix":""}],"container-title":"Science Advances","id":"ITEM-1","issue":"12","issued":{"date-parts":[["2020"]]},"page":"eaay3423","title":"Species-specific molecular responses of wild coral reef fishes during a marine heatwave","type":"article-journal","volume":"6"},"uris":["http://www.mendeley.com/documents/?uuid=39bd0d92-bc59-4ccc-9944-1cf861d2cc0e"]}],"mendeley":{"formattedCitation":"(Bernal &lt;i&gt;et al.&lt;/i&gt;, 2020)","plainTextFormattedCitation":"(Bernal et al., 2020)","previouslyFormattedCitation":"(Bernal &lt;i&gt;et al.&lt;/i&gt;, 2020)"},"properties":{"noteIndex":0},"schema":"https://github.com/citation-style-language/schema/raw/master/csl-citation.json"}</w:instrText>
      </w:r>
      <w:r w:rsidR="00F3575F" w:rsidRPr="004147E2">
        <w:rPr>
          <w:noProof/>
        </w:rPr>
        <w:fldChar w:fldCharType="separate"/>
      </w:r>
      <w:r w:rsidR="00F3575F" w:rsidRPr="004147E2">
        <w:rPr>
          <w:noProof/>
        </w:rPr>
        <w:t xml:space="preserve">(Bernal </w:t>
      </w:r>
      <w:r w:rsidR="00F3575F" w:rsidRPr="004147E2">
        <w:rPr>
          <w:i/>
          <w:noProof/>
        </w:rPr>
        <w:t>et al.</w:t>
      </w:r>
      <w:r w:rsidR="00F3575F" w:rsidRPr="004147E2">
        <w:rPr>
          <w:noProof/>
        </w:rPr>
        <w:t>, 2020)</w:t>
      </w:r>
      <w:r w:rsidR="00F3575F" w:rsidRPr="004147E2">
        <w:rPr>
          <w:noProof/>
        </w:rPr>
        <w:fldChar w:fldCharType="end"/>
      </w:r>
      <w:r w:rsidR="00F36005" w:rsidRPr="004147E2">
        <w:rPr>
          <w:noProof/>
        </w:rPr>
        <w:t xml:space="preserve"> and </w:t>
      </w:r>
      <w:r w:rsidR="00156FC8" w:rsidRPr="004147E2">
        <w:rPr>
          <w:noProof/>
        </w:rPr>
        <w:t xml:space="preserve">showed a better performance </w:t>
      </w:r>
      <w:r w:rsidR="00E129E5" w:rsidRPr="004147E2">
        <w:rPr>
          <w:noProof/>
        </w:rPr>
        <w:t xml:space="preserve">especially for comparing with alternative splicing </w:t>
      </w:r>
      <w:r w:rsidR="00156FC8" w:rsidRPr="004147E2">
        <w:rPr>
          <w:noProof/>
        </w:rPr>
        <w:t>than count-based RNA-seq methods</w:t>
      </w:r>
      <w:r w:rsidR="00F36005" w:rsidRPr="004147E2">
        <w:rPr>
          <w:noProof/>
        </w:rPr>
        <w:t xml:space="preserve"> in the </w:t>
      </w:r>
      <w:r w:rsidR="000446DD" w:rsidRPr="004147E2">
        <w:rPr>
          <w:noProof/>
        </w:rPr>
        <w:t>previous stud</w:t>
      </w:r>
      <w:r w:rsidR="00A42876" w:rsidRPr="004147E2">
        <w:rPr>
          <w:noProof/>
        </w:rPr>
        <w:t xml:space="preserve">y </w:t>
      </w:r>
      <w:r w:rsidR="00DC59E7" w:rsidRPr="004147E2">
        <w:rPr>
          <w:noProof/>
        </w:rPr>
        <w:fldChar w:fldCharType="begin" w:fldLock="1"/>
      </w:r>
      <w:r w:rsidR="007602F2">
        <w:rPr>
          <w:noProof/>
        </w:rPr>
        <w:instrText>ADDIN CSL_CITATION {"citationItems":[{"id":"ITEM-1","itemData":{"DOI":"10.1186/gb-2014-15-2-r29","ISSN":"1474760X","PMID":"24485249","abstract":"New normal linear modeling strategies are presented for analyzing read counts from RNA-seq experiments. The voom method estimates the mean-variance relationship of the log-counts, generates a precision weight for each observation and enters these into the limma empirical Bayes analysis pipeline. This opens access for RNA-seq analysts to a large body of methodology developed for microarrays. Simulation studies show that voom performs as well or better than count-based RNA-seq methods even when the data are generated according to the assumptions of the earlier methods. Two case studies illustrate the use of linear modeling and gene set testing methods. © 2014 Law et al.; licensee BioMed Central Ltd.","author":[{"dropping-particle":"","family":"Law","given":"Charity W.","non-dropping-particle":"","parse-names":false,"suffix":""},{"dropping-particle":"","family":"Chen","given":"Yunshun","non-dropping-particle":"","parse-names":false,"suffix":""},{"dropping-particle":"","family":"Shi","given":"Wei","non-dropping-particle":"","parse-names":false,"suffix":""},{"dropping-particle":"","family":"Smyth","given":"Gordon K.","non-dropping-particle":"","parse-names":false,"suffix":""}],"container-title":"Genome Biology","id":"ITEM-1","issue":"2","issued":{"date-parts":[["2014"]]},"page":"1-17","title":"Voom: Precision weights unlock linear model analysis tools for RNA-seq read counts","type":"article-journal","volume":"15"},"uris":["http://www.mendeley.com/documents/?uuid=a421b59b-c9b1-40d1-b7e8-7c99afdc5377","http://www.mendeley.com/documents/?uuid=6b63599e-ebab-44dd-a9a6-11e6d0d59020"]}],"mendeley":{"formattedCitation":"(Law &lt;i&gt;et al.&lt;/i&gt;, 2014)","plainTextFormattedCitation":"(Law et al., 2014)","previouslyFormattedCitation":"(Law &lt;i&gt;et al.&lt;/i&gt;, 2014)"},"properties":{"noteIndex":0},"schema":"https://github.com/citation-style-language/schema/raw/master/csl-citation.json"}</w:instrText>
      </w:r>
      <w:r w:rsidR="00DC59E7" w:rsidRPr="004147E2">
        <w:rPr>
          <w:noProof/>
        </w:rPr>
        <w:fldChar w:fldCharType="separate"/>
      </w:r>
      <w:r w:rsidR="00DC59E7" w:rsidRPr="004147E2">
        <w:rPr>
          <w:noProof/>
        </w:rPr>
        <w:t xml:space="preserve">(Law </w:t>
      </w:r>
      <w:r w:rsidR="00DC59E7" w:rsidRPr="004147E2">
        <w:rPr>
          <w:i/>
          <w:noProof/>
        </w:rPr>
        <w:t>et al.</w:t>
      </w:r>
      <w:r w:rsidR="00DC59E7" w:rsidRPr="004147E2">
        <w:rPr>
          <w:noProof/>
        </w:rPr>
        <w:t>, 2014)</w:t>
      </w:r>
      <w:r w:rsidR="00DC59E7" w:rsidRPr="004147E2">
        <w:rPr>
          <w:noProof/>
        </w:rPr>
        <w:fldChar w:fldCharType="end"/>
      </w:r>
      <w:r w:rsidR="004653C0" w:rsidRPr="004147E2">
        <w:rPr>
          <w:rFonts w:eastAsiaTheme="minorEastAsia"/>
          <w:lang w:val="en-GB"/>
        </w:rPr>
        <w:t xml:space="preserve">. </w:t>
      </w:r>
      <w:r w:rsidR="00792590" w:rsidRPr="004147E2">
        <w:rPr>
          <w:rFonts w:eastAsiaTheme="minorEastAsia"/>
          <w:lang w:val="en-US"/>
        </w:rPr>
        <w:t xml:space="preserve">The log2 fold change (L2FC) of gene abundance was calculated based on contrast groups and significance of expression changes were determined using t-test. P-values of multiple testing were adjusted with </w:t>
      </w:r>
      <w:proofErr w:type="spellStart"/>
      <w:r w:rsidR="00792590" w:rsidRPr="004147E2">
        <w:rPr>
          <w:rFonts w:eastAsiaTheme="minorEastAsia"/>
          <w:lang w:val="en-US"/>
        </w:rPr>
        <w:t>Benjamini</w:t>
      </w:r>
      <w:proofErr w:type="spellEnd"/>
      <w:r w:rsidR="00792590" w:rsidRPr="004147E2">
        <w:rPr>
          <w:rFonts w:eastAsiaTheme="minorEastAsia"/>
          <w:lang w:val="en-US"/>
        </w:rPr>
        <w:t>-Hochberg procedure to correct</w:t>
      </w:r>
      <w:r w:rsidR="000E5862" w:rsidRPr="004147E2">
        <w:rPr>
          <w:rFonts w:eastAsiaTheme="minorEastAsia"/>
          <w:lang w:val="en-US"/>
        </w:rPr>
        <w:t xml:space="preserve"> the</w:t>
      </w:r>
      <w:r w:rsidR="00792590" w:rsidRPr="004147E2">
        <w:rPr>
          <w:rFonts w:eastAsiaTheme="minorEastAsia"/>
          <w:lang w:val="en-US"/>
        </w:rPr>
        <w:t xml:space="preserve"> false discovery rate (FDR). A gene</w:t>
      </w:r>
      <w:r w:rsidR="00381AA6" w:rsidRPr="004147E2">
        <w:rPr>
          <w:rFonts w:eastAsiaTheme="minorEastAsia"/>
          <w:lang w:val="en-US"/>
        </w:rPr>
        <w:t xml:space="preserve"> </w:t>
      </w:r>
      <w:r w:rsidR="00792590" w:rsidRPr="004147E2">
        <w:rPr>
          <w:rFonts w:eastAsiaTheme="minorEastAsia"/>
          <w:lang w:val="en-US"/>
        </w:rPr>
        <w:t xml:space="preserve">was significantly </w:t>
      </w:r>
      <w:r w:rsidR="00864A66" w:rsidRPr="004147E2">
        <w:rPr>
          <w:rFonts w:eastAsiaTheme="minorEastAsia"/>
          <w:lang w:val="en-US"/>
        </w:rPr>
        <w:lastRenderedPageBreak/>
        <w:t xml:space="preserve">differentially expressed </w:t>
      </w:r>
      <w:r w:rsidR="00792590" w:rsidRPr="004147E2">
        <w:rPr>
          <w:rFonts w:eastAsiaTheme="minorEastAsia"/>
          <w:lang w:val="en-US"/>
        </w:rPr>
        <w:t xml:space="preserve">in a </w:t>
      </w:r>
      <w:r w:rsidR="004F3FDC" w:rsidRPr="004147E2">
        <w:rPr>
          <w:rFonts w:eastAsiaTheme="minorEastAsia"/>
          <w:lang w:val="en-US"/>
        </w:rPr>
        <w:t xml:space="preserve">monthly comparison </w:t>
      </w:r>
      <w:r w:rsidR="00792590" w:rsidRPr="004147E2">
        <w:rPr>
          <w:rFonts w:eastAsiaTheme="minorEastAsia"/>
          <w:lang w:val="en-US"/>
        </w:rPr>
        <w:t>if it had adjusted p-value &lt; 0.0</w:t>
      </w:r>
      <w:r w:rsidR="007041D9" w:rsidRPr="004147E2">
        <w:rPr>
          <w:rFonts w:eastAsiaTheme="minorEastAsia"/>
          <w:lang w:val="en-US"/>
        </w:rPr>
        <w:t>5</w:t>
      </w:r>
      <w:r w:rsidR="008F5983" w:rsidRPr="004147E2">
        <w:rPr>
          <w:rFonts w:eastAsiaTheme="minorEastAsia"/>
          <w:lang w:val="en-US"/>
        </w:rPr>
        <w:t xml:space="preserve"> and |L2FC| ≥ 1, as </w:t>
      </w:r>
      <w:r w:rsidR="008936FF" w:rsidRPr="004147E2">
        <w:rPr>
          <w:rFonts w:eastAsiaTheme="minorEastAsia"/>
          <w:lang w:val="en-US"/>
        </w:rPr>
        <w:t xml:space="preserve">a </w:t>
      </w:r>
      <w:r w:rsidR="008F5983" w:rsidRPr="004147E2">
        <w:rPr>
          <w:rFonts w:eastAsiaTheme="minorEastAsia"/>
          <w:lang w:val="en-US"/>
        </w:rPr>
        <w:t>default</w:t>
      </w:r>
      <w:r w:rsidR="007612F6" w:rsidRPr="004147E2">
        <w:rPr>
          <w:rFonts w:eastAsiaTheme="minorEastAsia"/>
          <w:lang w:val="en-US"/>
        </w:rPr>
        <w:t xml:space="preserve"> cutoff</w:t>
      </w:r>
      <w:r w:rsidR="008F5983" w:rsidRPr="004147E2">
        <w:rPr>
          <w:rFonts w:eastAsiaTheme="minorEastAsia"/>
          <w:lang w:val="en-US"/>
        </w:rPr>
        <w:t xml:space="preserve"> in </w:t>
      </w:r>
      <w:r w:rsidR="004F3FDC" w:rsidRPr="004147E2">
        <w:rPr>
          <w:rFonts w:eastAsiaTheme="minorEastAsia"/>
          <w:lang w:val="en-US"/>
        </w:rPr>
        <w:t>3D RNA-seq</w:t>
      </w:r>
      <w:r w:rsidR="00792590" w:rsidRPr="004147E2">
        <w:rPr>
          <w:rFonts w:eastAsiaTheme="minorEastAsia"/>
          <w:lang w:val="en-US"/>
        </w:rPr>
        <w:t>.</w:t>
      </w:r>
    </w:p>
    <w:p w14:paraId="7B072364" w14:textId="77777777" w:rsidR="0073197D" w:rsidRPr="002E10DE" w:rsidRDefault="0073197D" w:rsidP="002E10DE">
      <w:pPr>
        <w:autoSpaceDE w:val="0"/>
        <w:autoSpaceDN w:val="0"/>
        <w:adjustRightInd w:val="0"/>
        <w:spacing w:line="480" w:lineRule="auto"/>
        <w:jc w:val="both"/>
        <w:rPr>
          <w:rFonts w:eastAsiaTheme="minorEastAsia"/>
          <w:lang w:val="en-US"/>
        </w:rPr>
      </w:pPr>
    </w:p>
    <w:p w14:paraId="4D4F1340" w14:textId="77777777" w:rsidR="00792590" w:rsidRPr="004147E2" w:rsidRDefault="00792590" w:rsidP="00792590">
      <w:pPr>
        <w:spacing w:line="480" w:lineRule="auto"/>
        <w:jc w:val="both"/>
        <w:rPr>
          <w:b/>
          <w:bCs/>
          <w:u w:val="single"/>
        </w:rPr>
      </w:pPr>
      <w:r w:rsidRPr="004147E2">
        <w:rPr>
          <w:b/>
          <w:bCs/>
          <w:u w:val="single"/>
        </w:rPr>
        <w:t>Results</w:t>
      </w:r>
    </w:p>
    <w:p w14:paraId="6DA25012" w14:textId="77777777" w:rsidR="00792590" w:rsidRPr="004147E2" w:rsidRDefault="00792590" w:rsidP="00792590">
      <w:pPr>
        <w:rPr>
          <w:b/>
          <w:bCs/>
        </w:rPr>
      </w:pPr>
      <w:r w:rsidRPr="004147E2">
        <w:rPr>
          <w:b/>
          <w:bCs/>
        </w:rPr>
        <w:t>Sequencing statistics</w:t>
      </w:r>
    </w:p>
    <w:p w14:paraId="06E6A9DE" w14:textId="77777777" w:rsidR="00792590" w:rsidRPr="004147E2" w:rsidRDefault="00792590" w:rsidP="00792590">
      <w:pPr>
        <w:rPr>
          <w:b/>
          <w:bCs/>
        </w:rPr>
      </w:pPr>
    </w:p>
    <w:p w14:paraId="6224F5B3" w14:textId="55B5F99A" w:rsidR="00792590" w:rsidRDefault="00792590" w:rsidP="00600051">
      <w:pPr>
        <w:spacing w:line="480" w:lineRule="auto"/>
        <w:ind w:firstLine="720"/>
        <w:jc w:val="both"/>
      </w:pPr>
      <w:r w:rsidRPr="004147E2">
        <w:t>A mean of 32.4 million (± 4.6 million) raw paired-end reads were obtained across 20 samples</w:t>
      </w:r>
      <w:r w:rsidR="003E51E8" w:rsidRPr="004147E2">
        <w:t xml:space="preserve"> with a mean </w:t>
      </w:r>
      <w:proofErr w:type="spellStart"/>
      <w:r w:rsidR="003E51E8" w:rsidRPr="004147E2">
        <w:t>Phred</w:t>
      </w:r>
      <w:proofErr w:type="spellEnd"/>
      <w:r w:rsidR="003E51E8" w:rsidRPr="004147E2">
        <w:t xml:space="preserve"> quality score above 30</w:t>
      </w:r>
      <w:r w:rsidRPr="004147E2">
        <w:t xml:space="preserve">. On average, 0.6% of reads (0.2 million ± 0.1 million) were identified as </w:t>
      </w:r>
      <w:r w:rsidR="00AC463D" w:rsidRPr="004147E2">
        <w:t>contamination</w:t>
      </w:r>
      <w:r w:rsidRPr="004147E2">
        <w:t xml:space="preserve"> with Kraken and were removed. The remaining, 32.3 million (± 4.6 millions) reads on average per individual </w:t>
      </w:r>
      <w:r w:rsidR="00AC463D" w:rsidRPr="004147E2">
        <w:t xml:space="preserve">were </w:t>
      </w:r>
      <w:r w:rsidRPr="004147E2">
        <w:t xml:space="preserve">used for mapping and identification of AS and DS events. </w:t>
      </w:r>
      <w:r w:rsidR="00AC463D" w:rsidRPr="004147E2">
        <w:t xml:space="preserve">On average, </w:t>
      </w:r>
      <w:r w:rsidR="00C4580C" w:rsidRPr="004147E2">
        <w:t xml:space="preserve">28.2 million reads (87.3%) were uniquely mapped </w:t>
      </w:r>
      <w:r w:rsidR="00AC463D" w:rsidRPr="004147E2">
        <w:t xml:space="preserve">to a single transcript, </w:t>
      </w:r>
      <w:r w:rsidR="00C4580C" w:rsidRPr="004147E2">
        <w:t>and 1.6 millions read</w:t>
      </w:r>
      <w:r w:rsidR="00DE60E1" w:rsidRPr="004147E2">
        <w:t>s</w:t>
      </w:r>
      <w:r w:rsidR="00C4580C" w:rsidRPr="004147E2">
        <w:t xml:space="preserve"> (5.0%) were multi-mapped </w:t>
      </w:r>
      <w:r w:rsidR="00D5048B" w:rsidRPr="004147E2">
        <w:t>(</w:t>
      </w:r>
      <w:r w:rsidR="00946DB0" w:rsidRPr="004147E2">
        <w:rPr>
          <w:rFonts w:eastAsia="MS Mincho"/>
          <w:lang w:val="en-US"/>
        </w:rPr>
        <w:t>Supplementary data</w:t>
      </w:r>
      <w:r w:rsidR="00D5048B" w:rsidRPr="004147E2">
        <w:rPr>
          <w:rFonts w:eastAsia="MS Mincho"/>
          <w:lang w:val="en-US"/>
        </w:rPr>
        <w:t xml:space="preserve"> S</w:t>
      </w:r>
      <w:r w:rsidR="00EC090E" w:rsidRPr="004147E2">
        <w:rPr>
          <w:rFonts w:eastAsia="MS Mincho"/>
          <w:lang w:val="en-US"/>
        </w:rPr>
        <w:t>2</w:t>
      </w:r>
      <w:r w:rsidR="00D5048B" w:rsidRPr="004147E2">
        <w:t>)</w:t>
      </w:r>
      <w:r w:rsidR="00C4580C" w:rsidRPr="004147E2">
        <w:t>.</w:t>
      </w:r>
    </w:p>
    <w:p w14:paraId="41355CDE" w14:textId="77777777" w:rsidR="00600051" w:rsidRPr="00600051" w:rsidRDefault="00600051" w:rsidP="00600051">
      <w:pPr>
        <w:spacing w:line="480" w:lineRule="auto"/>
        <w:ind w:firstLine="720"/>
        <w:jc w:val="both"/>
      </w:pPr>
    </w:p>
    <w:p w14:paraId="782D9E4C" w14:textId="36063766" w:rsidR="005F7CAB" w:rsidRPr="004147E2" w:rsidRDefault="00CA3B71" w:rsidP="005F7CAB">
      <w:pPr>
        <w:spacing w:line="480" w:lineRule="auto"/>
        <w:rPr>
          <w:b/>
          <w:bCs/>
          <w:lang w:val="en-US"/>
        </w:rPr>
      </w:pPr>
      <w:r w:rsidRPr="004147E2">
        <w:rPr>
          <w:b/>
          <w:bCs/>
          <w:lang w:val="en-US"/>
        </w:rPr>
        <w:t>The a</w:t>
      </w:r>
      <w:r w:rsidR="005F7CAB" w:rsidRPr="004147E2">
        <w:rPr>
          <w:b/>
          <w:bCs/>
          <w:lang w:val="en-US"/>
        </w:rPr>
        <w:t xml:space="preserve">lternative splicing landscape of </w:t>
      </w:r>
      <w:r w:rsidR="005F7CAB" w:rsidRPr="004147E2">
        <w:rPr>
          <w:b/>
          <w:bCs/>
          <w:i/>
          <w:iCs/>
          <w:lang w:val="en-US"/>
        </w:rPr>
        <w:t xml:space="preserve">A. </w:t>
      </w:r>
      <w:proofErr w:type="spellStart"/>
      <w:r w:rsidR="005F7CAB" w:rsidRPr="004147E2">
        <w:rPr>
          <w:b/>
          <w:bCs/>
          <w:i/>
          <w:iCs/>
          <w:lang w:val="en-US"/>
        </w:rPr>
        <w:t>polyacanthus</w:t>
      </w:r>
      <w:proofErr w:type="spellEnd"/>
    </w:p>
    <w:p w14:paraId="0CA3BEB5" w14:textId="77777777" w:rsidR="00577E83" w:rsidRDefault="00792590" w:rsidP="009B2FD6">
      <w:pPr>
        <w:autoSpaceDE w:val="0"/>
        <w:autoSpaceDN w:val="0"/>
        <w:adjustRightInd w:val="0"/>
        <w:spacing w:line="480" w:lineRule="auto"/>
        <w:ind w:firstLine="720"/>
        <w:jc w:val="both"/>
      </w:pPr>
      <w:r w:rsidRPr="004147E2">
        <w:rPr>
          <w:lang w:val="en-US"/>
        </w:rPr>
        <w:t xml:space="preserve">Among the 34,194 annotated genes in the </w:t>
      </w:r>
      <w:r w:rsidRPr="004147E2">
        <w:rPr>
          <w:i/>
          <w:iCs/>
          <w:lang w:val="en-US"/>
        </w:rPr>
        <w:t xml:space="preserve">A. </w:t>
      </w:r>
      <w:proofErr w:type="spellStart"/>
      <w:r w:rsidRPr="004147E2">
        <w:rPr>
          <w:i/>
          <w:iCs/>
          <w:lang w:val="en-US"/>
        </w:rPr>
        <w:t>polyacanthus</w:t>
      </w:r>
      <w:proofErr w:type="spellEnd"/>
      <w:r w:rsidRPr="004147E2">
        <w:rPr>
          <w:lang w:val="en-US"/>
        </w:rPr>
        <w:t xml:space="preserve"> genome, a total of 15,402 genes were found</w:t>
      </w:r>
      <w:r w:rsidR="00AC463D" w:rsidRPr="004147E2">
        <w:rPr>
          <w:lang w:val="en-US"/>
        </w:rPr>
        <w:t xml:space="preserve"> to be</w:t>
      </w:r>
      <w:r w:rsidRPr="004147E2">
        <w:rPr>
          <w:lang w:val="en-US"/>
        </w:rPr>
        <w:t xml:space="preserve"> expressed in our samples. Of the 15,402 genes, 1,980 genes</w:t>
      </w:r>
      <w:r w:rsidR="008A0007" w:rsidRPr="004147E2">
        <w:rPr>
          <w:lang w:val="en-US"/>
        </w:rPr>
        <w:t xml:space="preserve"> (12.9%)</w:t>
      </w:r>
      <w:r w:rsidRPr="004147E2">
        <w:rPr>
          <w:lang w:val="en-US"/>
        </w:rPr>
        <w:t xml:space="preserve"> were found to have more than one transcript</w:t>
      </w:r>
      <w:r w:rsidR="00CD2658">
        <w:rPr>
          <w:lang w:val="en-US"/>
        </w:rPr>
        <w:t xml:space="preserve"> (</w:t>
      </w:r>
      <w:proofErr w:type="gramStart"/>
      <w:r w:rsidR="00CD2658">
        <w:rPr>
          <w:lang w:val="en-US"/>
        </w:rPr>
        <w:t>i.e.</w:t>
      </w:r>
      <w:proofErr w:type="gramEnd"/>
      <w:r w:rsidR="00CD2658">
        <w:rPr>
          <w:lang w:val="en-US"/>
        </w:rPr>
        <w:t xml:space="preserve"> </w:t>
      </w:r>
      <w:r w:rsidR="00CD2658" w:rsidRPr="004147E2">
        <w:rPr>
          <w:lang w:val="en-US"/>
        </w:rPr>
        <w:t>16,593 transcripts</w:t>
      </w:r>
      <w:r w:rsidR="00CD2658">
        <w:rPr>
          <w:lang w:val="en-US"/>
        </w:rPr>
        <w:t xml:space="preserve"> in total)</w:t>
      </w:r>
      <w:r w:rsidRPr="004147E2">
        <w:rPr>
          <w:lang w:val="en-US"/>
        </w:rPr>
        <w:t>. Among the splicing events</w:t>
      </w:r>
      <w:r w:rsidR="000B1462" w:rsidRPr="004147E2">
        <w:rPr>
          <w:lang w:val="en-US"/>
        </w:rPr>
        <w:t xml:space="preserve"> estimated by</w:t>
      </w:r>
      <w:r w:rsidR="0038370C" w:rsidRPr="004147E2">
        <w:rPr>
          <w:lang w:val="en-US"/>
        </w:rPr>
        <w:t xml:space="preserve"> </w:t>
      </w:r>
      <w:proofErr w:type="spellStart"/>
      <w:r w:rsidR="000B1462" w:rsidRPr="004147E2">
        <w:rPr>
          <w:rFonts w:eastAsiaTheme="minorEastAsia"/>
          <w:lang w:val="en-GB"/>
        </w:rPr>
        <w:t>AStalavista</w:t>
      </w:r>
      <w:proofErr w:type="spellEnd"/>
      <w:r w:rsidRPr="004147E2">
        <w:rPr>
          <w:lang w:val="en-US"/>
        </w:rPr>
        <w:t xml:space="preserve">, </w:t>
      </w:r>
      <w:r w:rsidR="00932097" w:rsidRPr="004147E2">
        <w:rPr>
          <w:lang w:val="en-US"/>
        </w:rPr>
        <w:t>exon skipping</w:t>
      </w:r>
      <w:r w:rsidRPr="004147E2">
        <w:rPr>
          <w:lang w:val="en-US"/>
        </w:rPr>
        <w:t xml:space="preserve"> </w:t>
      </w:r>
      <w:r w:rsidR="00F83195" w:rsidRPr="004147E2">
        <w:rPr>
          <w:lang w:val="en-US"/>
        </w:rPr>
        <w:t>(ES)</w:t>
      </w:r>
      <w:r w:rsidRPr="004147E2">
        <w:rPr>
          <w:lang w:val="en-US"/>
        </w:rPr>
        <w:t xml:space="preserve"> was the most abundant (</w:t>
      </w:r>
      <w:r w:rsidR="00F83F56" w:rsidRPr="004147E2">
        <w:rPr>
          <w:lang w:val="en-US"/>
        </w:rPr>
        <w:t xml:space="preserve">990 events, </w:t>
      </w:r>
      <w:r w:rsidRPr="004147E2">
        <w:rPr>
          <w:lang w:val="en-US"/>
        </w:rPr>
        <w:t xml:space="preserve">43.4%), </w:t>
      </w:r>
      <w:r w:rsidRPr="004147E2">
        <w:t xml:space="preserve">succeeded by </w:t>
      </w:r>
      <w:r w:rsidRPr="004147E2">
        <w:rPr>
          <w:rFonts w:eastAsiaTheme="minorEastAsia"/>
          <w:lang w:val="en-GB"/>
        </w:rPr>
        <w:t>alternative 3′ splice site (A3SS</w:t>
      </w:r>
      <w:r w:rsidR="00346440" w:rsidRPr="004147E2">
        <w:rPr>
          <w:rFonts w:eastAsiaTheme="minorEastAsia"/>
          <w:lang w:val="en-GB"/>
        </w:rPr>
        <w:t xml:space="preserve">; </w:t>
      </w:r>
      <w:r w:rsidR="00F83F56" w:rsidRPr="004147E2">
        <w:t xml:space="preserve">741 events, </w:t>
      </w:r>
      <w:r w:rsidRPr="004147E2">
        <w:t xml:space="preserve">32.5%), </w:t>
      </w:r>
      <w:r w:rsidRPr="004147E2">
        <w:rPr>
          <w:rFonts w:eastAsiaTheme="minorEastAsia"/>
          <w:lang w:val="en-GB"/>
        </w:rPr>
        <w:t>alternative 5′ splice site (</w:t>
      </w:r>
      <w:r w:rsidR="00F83F56" w:rsidRPr="004147E2">
        <w:rPr>
          <w:rFonts w:eastAsiaTheme="minorEastAsia"/>
          <w:lang w:val="en-GB"/>
        </w:rPr>
        <w:t xml:space="preserve">336 events, </w:t>
      </w:r>
      <w:r w:rsidRPr="004147E2">
        <w:rPr>
          <w:rFonts w:eastAsiaTheme="minorEastAsia"/>
          <w:lang w:val="en-GB"/>
        </w:rPr>
        <w:t>A5SS</w:t>
      </w:r>
      <w:r w:rsidR="00346440" w:rsidRPr="004147E2">
        <w:rPr>
          <w:rFonts w:eastAsiaTheme="minorEastAsia"/>
          <w:lang w:val="en-GB"/>
        </w:rPr>
        <w:t xml:space="preserve">; </w:t>
      </w:r>
      <w:r w:rsidRPr="004147E2">
        <w:t>14.7%), other complex type</w:t>
      </w:r>
      <w:r w:rsidR="00DC3F8E" w:rsidRPr="004147E2">
        <w:t>s</w:t>
      </w:r>
      <w:r w:rsidRPr="004147E2">
        <w:t xml:space="preserve"> (</w:t>
      </w:r>
      <w:r w:rsidR="00F83F56" w:rsidRPr="004147E2">
        <w:t xml:space="preserve">157 events, </w:t>
      </w:r>
      <w:r w:rsidRPr="004147E2">
        <w:t xml:space="preserve">8.3%), </w:t>
      </w:r>
      <w:r w:rsidR="00DC3F8E" w:rsidRPr="004147E2">
        <w:rPr>
          <w:rFonts w:eastAsiaTheme="minorEastAsia"/>
          <w:lang w:val="en-GB"/>
        </w:rPr>
        <w:t>mutually exclusive exons (MXE</w:t>
      </w:r>
      <w:r w:rsidR="00346440" w:rsidRPr="004147E2">
        <w:rPr>
          <w:rFonts w:eastAsiaTheme="minorEastAsia"/>
          <w:lang w:val="en-GB"/>
        </w:rPr>
        <w:t xml:space="preserve">; </w:t>
      </w:r>
      <w:r w:rsidR="00F83F56" w:rsidRPr="004147E2">
        <w:t xml:space="preserve">39 events, </w:t>
      </w:r>
      <w:r w:rsidR="00DC3F8E" w:rsidRPr="004147E2">
        <w:t xml:space="preserve">1.7%) </w:t>
      </w:r>
      <w:r w:rsidRPr="004147E2">
        <w:t xml:space="preserve">and the least abundant </w:t>
      </w:r>
      <w:r w:rsidR="00DC3F8E" w:rsidRPr="004147E2">
        <w:t>was intron retention (IR</w:t>
      </w:r>
      <w:r w:rsidR="00346440" w:rsidRPr="004147E2">
        <w:t xml:space="preserve">; </w:t>
      </w:r>
      <w:r w:rsidR="00F83F56" w:rsidRPr="004147E2">
        <w:t xml:space="preserve">18 events, </w:t>
      </w:r>
      <w:r w:rsidR="00DC3F8E" w:rsidRPr="004147E2">
        <w:t>0.8%</w:t>
      </w:r>
      <w:r w:rsidR="00346440" w:rsidRPr="004147E2">
        <w:t xml:space="preserve">; </w:t>
      </w:r>
      <w:r w:rsidRPr="004147E2">
        <w:t xml:space="preserve">Fig </w:t>
      </w:r>
      <w:r w:rsidR="005F7CAB" w:rsidRPr="004147E2">
        <w:t>2</w:t>
      </w:r>
      <w:r w:rsidRPr="004147E2">
        <w:t xml:space="preserve">). </w:t>
      </w:r>
    </w:p>
    <w:p w14:paraId="26CB6FCA" w14:textId="39910CC5" w:rsidR="0023475D" w:rsidRPr="009B2FD6" w:rsidRDefault="00EA02BD" w:rsidP="0073197D">
      <w:pPr>
        <w:autoSpaceDE w:val="0"/>
        <w:autoSpaceDN w:val="0"/>
        <w:adjustRightInd w:val="0"/>
        <w:jc w:val="both"/>
      </w:pPr>
      <w:r>
        <w:rPr>
          <w:noProof/>
          <w:lang w:val="en-AU" w:eastAsia="en-AU"/>
        </w:rPr>
        <w:lastRenderedPageBreak/>
        <w:drawing>
          <wp:inline distT="0" distB="0" distL="0" distR="0" wp14:anchorId="7BADC0A9" wp14:editId="1F89283B">
            <wp:extent cx="5727700" cy="1872615"/>
            <wp:effectExtent l="0" t="0" r="0" b="0"/>
            <wp:docPr id="4" name="Picture 4" descr="Chart, bubbl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bubble chart&#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727700" cy="1872615"/>
                    </a:xfrm>
                    <a:prstGeom prst="rect">
                      <a:avLst/>
                    </a:prstGeom>
                  </pic:spPr>
                </pic:pic>
              </a:graphicData>
            </a:graphic>
          </wp:inline>
        </w:drawing>
      </w:r>
    </w:p>
    <w:p w14:paraId="0015E68B" w14:textId="27D113D2" w:rsidR="00F92CEA" w:rsidRPr="004147E2" w:rsidRDefault="0023475D" w:rsidP="0073197D">
      <w:pPr>
        <w:jc w:val="both"/>
        <w:rPr>
          <w:sz w:val="20"/>
          <w:szCs w:val="20"/>
          <w:lang w:val="en-US"/>
        </w:rPr>
      </w:pPr>
      <w:r w:rsidRPr="004147E2">
        <w:rPr>
          <w:sz w:val="20"/>
          <w:szCs w:val="20"/>
          <w:lang w:val="en-US"/>
        </w:rPr>
        <w:t xml:space="preserve">Fig 2. </w:t>
      </w:r>
      <w:r w:rsidR="00C10420" w:rsidRPr="004147E2">
        <w:rPr>
          <w:sz w:val="20"/>
          <w:szCs w:val="20"/>
          <w:lang w:val="en-US"/>
        </w:rPr>
        <w:t xml:space="preserve">(a) </w:t>
      </w:r>
      <w:r w:rsidR="00CD2658">
        <w:rPr>
          <w:sz w:val="20"/>
          <w:szCs w:val="20"/>
          <w:lang w:val="en-US"/>
        </w:rPr>
        <w:t>S</w:t>
      </w:r>
      <w:r w:rsidRPr="004147E2">
        <w:rPr>
          <w:sz w:val="20"/>
          <w:szCs w:val="20"/>
          <w:lang w:val="en-US"/>
        </w:rPr>
        <w:t xml:space="preserve">plicing landscape </w:t>
      </w:r>
      <w:r w:rsidR="00CD2658">
        <w:rPr>
          <w:sz w:val="20"/>
          <w:szCs w:val="20"/>
          <w:lang w:val="en-US"/>
        </w:rPr>
        <w:t>for</w:t>
      </w:r>
      <w:r w:rsidR="00614F60">
        <w:rPr>
          <w:sz w:val="20"/>
          <w:szCs w:val="20"/>
          <w:lang w:val="en-US"/>
        </w:rPr>
        <w:t xml:space="preserve"> </w:t>
      </w:r>
      <w:r w:rsidR="00CD2658">
        <w:rPr>
          <w:sz w:val="20"/>
          <w:szCs w:val="20"/>
          <w:lang w:val="en-US"/>
        </w:rPr>
        <w:t xml:space="preserve">all samples of </w:t>
      </w:r>
      <w:proofErr w:type="spellStart"/>
      <w:r w:rsidRPr="004147E2">
        <w:rPr>
          <w:i/>
          <w:iCs/>
          <w:sz w:val="20"/>
          <w:szCs w:val="20"/>
          <w:lang w:val="en-US"/>
        </w:rPr>
        <w:t>Acanthochromis</w:t>
      </w:r>
      <w:proofErr w:type="spellEnd"/>
      <w:r w:rsidRPr="004147E2">
        <w:rPr>
          <w:i/>
          <w:iCs/>
          <w:sz w:val="20"/>
          <w:szCs w:val="20"/>
          <w:lang w:val="en-US"/>
        </w:rPr>
        <w:t xml:space="preserve"> </w:t>
      </w:r>
      <w:proofErr w:type="spellStart"/>
      <w:r w:rsidRPr="004147E2">
        <w:rPr>
          <w:i/>
          <w:iCs/>
          <w:sz w:val="20"/>
          <w:szCs w:val="20"/>
          <w:lang w:val="en-US"/>
        </w:rPr>
        <w:t>polyacanthus</w:t>
      </w:r>
      <w:proofErr w:type="spellEnd"/>
      <w:r w:rsidRPr="004147E2">
        <w:rPr>
          <w:sz w:val="20"/>
          <w:szCs w:val="20"/>
          <w:lang w:val="en-US"/>
        </w:rPr>
        <w:t>.</w:t>
      </w:r>
      <w:r w:rsidR="00CD2658">
        <w:rPr>
          <w:sz w:val="20"/>
          <w:szCs w:val="20"/>
          <w:lang w:val="en-US"/>
        </w:rPr>
        <w:t xml:space="preserve"> The percent of occurrence of each of the categories:</w:t>
      </w:r>
      <w:r w:rsidRPr="004147E2">
        <w:rPr>
          <w:sz w:val="20"/>
          <w:szCs w:val="20"/>
          <w:lang w:val="en-US"/>
        </w:rPr>
        <w:t xml:space="preserve"> </w:t>
      </w:r>
      <w:r w:rsidR="007E2262" w:rsidRPr="004147E2">
        <w:rPr>
          <w:sz w:val="20"/>
          <w:szCs w:val="20"/>
          <w:lang w:val="en-US"/>
        </w:rPr>
        <w:t>E</w:t>
      </w:r>
      <w:r w:rsidRPr="004147E2">
        <w:rPr>
          <w:sz w:val="20"/>
          <w:szCs w:val="20"/>
          <w:lang w:val="en-US"/>
        </w:rPr>
        <w:t xml:space="preserve">xon </w:t>
      </w:r>
      <w:r w:rsidR="00932097" w:rsidRPr="004147E2">
        <w:rPr>
          <w:sz w:val="20"/>
          <w:szCs w:val="20"/>
          <w:lang w:val="en-US"/>
        </w:rPr>
        <w:t>s</w:t>
      </w:r>
      <w:r w:rsidR="007E2262" w:rsidRPr="004147E2">
        <w:rPr>
          <w:sz w:val="20"/>
          <w:szCs w:val="20"/>
          <w:lang w:val="en-US"/>
        </w:rPr>
        <w:t xml:space="preserve">kipping </w:t>
      </w:r>
      <w:r w:rsidRPr="004147E2">
        <w:rPr>
          <w:sz w:val="20"/>
          <w:szCs w:val="20"/>
          <w:lang w:val="en-US"/>
        </w:rPr>
        <w:t>(</w:t>
      </w:r>
      <w:r w:rsidR="00C5548F" w:rsidRPr="004147E2">
        <w:rPr>
          <w:sz w:val="20"/>
          <w:szCs w:val="20"/>
          <w:lang w:val="en-US"/>
        </w:rPr>
        <w:t>ES</w:t>
      </w:r>
      <w:r w:rsidRPr="004147E2">
        <w:rPr>
          <w:sz w:val="20"/>
          <w:szCs w:val="20"/>
          <w:lang w:val="en-US"/>
        </w:rPr>
        <w:t>), alternative 3’ splicing site (A3SS), alternative 3’ splicing site (A5SS), intron retention (IR), simple mutually exclusive exons (MXE) and other complex types</w:t>
      </w:r>
      <w:r w:rsidR="00CD2658">
        <w:rPr>
          <w:sz w:val="20"/>
          <w:szCs w:val="20"/>
          <w:lang w:val="en-US"/>
        </w:rPr>
        <w:t>, is presented</w:t>
      </w:r>
      <w:r w:rsidRPr="004147E2">
        <w:rPr>
          <w:sz w:val="20"/>
          <w:szCs w:val="20"/>
        </w:rPr>
        <w:t>.</w:t>
      </w:r>
      <w:r w:rsidR="00C10420" w:rsidRPr="004147E2">
        <w:rPr>
          <w:sz w:val="20"/>
          <w:szCs w:val="20"/>
          <w:lang w:val="en-US"/>
        </w:rPr>
        <w:t xml:space="preserve"> (b) </w:t>
      </w:r>
      <w:r w:rsidR="00206721">
        <w:rPr>
          <w:sz w:val="20"/>
          <w:szCs w:val="20"/>
          <w:lang w:val="en-US"/>
        </w:rPr>
        <w:t>Venn diagram showing the n</w:t>
      </w:r>
      <w:r w:rsidR="00C10420" w:rsidRPr="004147E2">
        <w:rPr>
          <w:sz w:val="20"/>
          <w:szCs w:val="20"/>
          <w:lang w:val="en-US"/>
        </w:rPr>
        <w:t xml:space="preserve">umber of </w:t>
      </w:r>
      <w:r w:rsidR="00B33AB0" w:rsidRPr="004147E2">
        <w:rPr>
          <w:sz w:val="20"/>
          <w:szCs w:val="20"/>
          <w:lang w:val="en-US"/>
        </w:rPr>
        <w:t>d</w:t>
      </w:r>
      <w:r w:rsidR="00C10420" w:rsidRPr="004147E2">
        <w:rPr>
          <w:sz w:val="20"/>
          <w:szCs w:val="20"/>
          <w:lang w:val="en-US"/>
        </w:rPr>
        <w:t xml:space="preserve">ifferentially spliced genes </w:t>
      </w:r>
      <w:r w:rsidR="00CD2658">
        <w:rPr>
          <w:sz w:val="20"/>
          <w:szCs w:val="20"/>
          <w:lang w:val="en-US"/>
        </w:rPr>
        <w:t>per</w:t>
      </w:r>
      <w:r w:rsidR="00C10420" w:rsidRPr="004147E2">
        <w:rPr>
          <w:sz w:val="20"/>
          <w:szCs w:val="20"/>
          <w:lang w:val="en-US"/>
        </w:rPr>
        <w:t xml:space="preserve"> time-point </w:t>
      </w:r>
      <w:r w:rsidR="00CD2658">
        <w:rPr>
          <w:sz w:val="20"/>
          <w:szCs w:val="20"/>
          <w:lang w:val="en-US"/>
        </w:rPr>
        <w:t>across</w:t>
      </w:r>
      <w:r w:rsidR="00C10420" w:rsidRPr="004147E2">
        <w:rPr>
          <w:sz w:val="20"/>
          <w:szCs w:val="20"/>
          <w:lang w:val="en-US"/>
        </w:rPr>
        <w:t xml:space="preserve"> the heatwave</w:t>
      </w:r>
      <w:r w:rsidR="00CD2658">
        <w:rPr>
          <w:sz w:val="20"/>
          <w:szCs w:val="20"/>
          <w:lang w:val="en-US"/>
        </w:rPr>
        <w:t>, and the overlap in differentially spliced genes between the comparisons</w:t>
      </w:r>
      <w:r w:rsidR="00C10420" w:rsidRPr="004147E2">
        <w:rPr>
          <w:sz w:val="20"/>
          <w:szCs w:val="20"/>
          <w:lang w:val="en-US"/>
        </w:rPr>
        <w:t xml:space="preserve">. </w:t>
      </w:r>
    </w:p>
    <w:p w14:paraId="0627B028" w14:textId="77777777" w:rsidR="0023475D" w:rsidRPr="00F92CEA" w:rsidRDefault="0023475D" w:rsidP="00600051">
      <w:pPr>
        <w:spacing w:line="480" w:lineRule="auto"/>
        <w:jc w:val="both"/>
        <w:rPr>
          <w:lang w:val="en-US"/>
        </w:rPr>
      </w:pPr>
    </w:p>
    <w:p w14:paraId="1455C53A" w14:textId="3B3ECE69" w:rsidR="00792590" w:rsidRPr="004147E2" w:rsidRDefault="00792590" w:rsidP="00600051">
      <w:pPr>
        <w:autoSpaceDE w:val="0"/>
        <w:autoSpaceDN w:val="0"/>
        <w:adjustRightInd w:val="0"/>
        <w:spacing w:line="480" w:lineRule="auto"/>
        <w:jc w:val="both"/>
        <w:rPr>
          <w:b/>
          <w:bCs/>
        </w:rPr>
      </w:pPr>
      <w:r w:rsidRPr="004147E2">
        <w:rPr>
          <w:b/>
          <w:bCs/>
        </w:rPr>
        <w:t>Differential splicing in response to the heatwave</w:t>
      </w:r>
    </w:p>
    <w:p w14:paraId="2AEB2BBD" w14:textId="2850D583" w:rsidR="0023475D" w:rsidRPr="004147E2" w:rsidRDefault="00792590" w:rsidP="00600051">
      <w:pPr>
        <w:autoSpaceDE w:val="0"/>
        <w:autoSpaceDN w:val="0"/>
        <w:adjustRightInd w:val="0"/>
        <w:spacing w:line="480" w:lineRule="auto"/>
        <w:ind w:firstLine="720"/>
        <w:jc w:val="both"/>
      </w:pPr>
      <w:r w:rsidRPr="004147E2">
        <w:t>In total, we identified 6</w:t>
      </w:r>
      <w:r w:rsidR="00B3350F" w:rsidRPr="004147E2">
        <w:t>9</w:t>
      </w:r>
      <w:r w:rsidRPr="004147E2">
        <w:t xml:space="preserve"> genes to be differentially spliced (DS) among all the three pairwise comparisons a</w:t>
      </w:r>
      <w:r w:rsidRPr="004147E2">
        <w:rPr>
          <w:lang w:val="en-US"/>
        </w:rPr>
        <w:t>cross the heatwave</w:t>
      </w:r>
      <w:r w:rsidR="004635CB" w:rsidRPr="004147E2">
        <w:rPr>
          <w:lang w:val="en-US"/>
        </w:rPr>
        <w:t xml:space="preserve"> (</w:t>
      </w:r>
      <w:r w:rsidR="00946DB0" w:rsidRPr="004147E2">
        <w:rPr>
          <w:lang w:val="en-US"/>
        </w:rPr>
        <w:t>Supplementary data</w:t>
      </w:r>
      <w:r w:rsidR="004635CB" w:rsidRPr="004147E2">
        <w:rPr>
          <w:lang w:val="en-US"/>
        </w:rPr>
        <w:t xml:space="preserve"> S</w:t>
      </w:r>
      <w:r w:rsidR="00EC090E" w:rsidRPr="004147E2">
        <w:rPr>
          <w:lang w:val="en-US"/>
        </w:rPr>
        <w:t>3</w:t>
      </w:r>
      <w:r w:rsidR="004635CB" w:rsidRPr="004147E2">
        <w:rPr>
          <w:lang w:val="en-US"/>
        </w:rPr>
        <w:t>)</w:t>
      </w:r>
      <w:r w:rsidRPr="004147E2">
        <w:t xml:space="preserve">. </w:t>
      </w:r>
      <w:r w:rsidR="00320FFD" w:rsidRPr="004147E2">
        <w:t>A</w:t>
      </w:r>
      <w:r w:rsidRPr="004147E2">
        <w:t xml:space="preserve">mong these identified DS genes, </w:t>
      </w:r>
      <w:r w:rsidR="00F83195" w:rsidRPr="004147E2">
        <w:t>ES</w:t>
      </w:r>
      <w:r w:rsidRPr="004147E2">
        <w:t xml:space="preserve"> was the most abundant splicing type (4</w:t>
      </w:r>
      <w:r w:rsidR="00B3350F" w:rsidRPr="004147E2">
        <w:t>2</w:t>
      </w:r>
      <w:r w:rsidRPr="004147E2">
        <w:t xml:space="preserve"> genes), followed by MXE (1</w:t>
      </w:r>
      <w:r w:rsidR="00997FB0" w:rsidRPr="004147E2">
        <w:t>7</w:t>
      </w:r>
      <w:r w:rsidRPr="004147E2">
        <w:t xml:space="preserve"> genes), A3SS (10 genes) and A5SS (</w:t>
      </w:r>
      <w:r w:rsidR="00B3350F" w:rsidRPr="004147E2">
        <w:t>4</w:t>
      </w:r>
      <w:r w:rsidRPr="004147E2">
        <w:t xml:space="preserve"> genes). No intron retention events were found across all pairwise comparisons (Table </w:t>
      </w:r>
      <w:r w:rsidR="00360265" w:rsidRPr="004147E2">
        <w:t>1)</w:t>
      </w:r>
      <w:r w:rsidRPr="004147E2">
        <w:t xml:space="preserve">. Only </w:t>
      </w:r>
      <w:r w:rsidR="00997FB0" w:rsidRPr="004147E2">
        <w:rPr>
          <w:rFonts w:eastAsia="MS Mincho"/>
          <w:lang w:val="en-US"/>
        </w:rPr>
        <w:t xml:space="preserve">two </w:t>
      </w:r>
      <w:r w:rsidRPr="004147E2">
        <w:t xml:space="preserve">genes, </w:t>
      </w:r>
      <w:r w:rsidRPr="004147E2">
        <w:rPr>
          <w:i/>
          <w:iCs/>
        </w:rPr>
        <w:t>tropomyosin 3</w:t>
      </w:r>
      <w:r w:rsidRPr="004147E2">
        <w:t xml:space="preserve"> (</w:t>
      </w:r>
      <w:r w:rsidR="00242C91" w:rsidRPr="004147E2">
        <w:rPr>
          <w:i/>
          <w:iCs/>
        </w:rPr>
        <w:t>tpm</w:t>
      </w:r>
      <w:r w:rsidRPr="004147E2">
        <w:rPr>
          <w:i/>
          <w:iCs/>
        </w:rPr>
        <w:t>3</w:t>
      </w:r>
      <w:r w:rsidRPr="004147E2">
        <w:t xml:space="preserve">) and </w:t>
      </w:r>
      <w:r w:rsidRPr="004147E2">
        <w:rPr>
          <w:i/>
          <w:iCs/>
        </w:rPr>
        <w:t>hemopexin</w:t>
      </w:r>
      <w:r w:rsidRPr="004147E2">
        <w:t xml:space="preserve"> (</w:t>
      </w:r>
      <w:proofErr w:type="spellStart"/>
      <w:r w:rsidR="00242C91" w:rsidRPr="004147E2">
        <w:rPr>
          <w:i/>
          <w:iCs/>
        </w:rPr>
        <w:t>hpx</w:t>
      </w:r>
      <w:proofErr w:type="spellEnd"/>
      <w:r w:rsidRPr="004147E2">
        <w:t xml:space="preserve">) were identified to have </w:t>
      </w:r>
      <w:r w:rsidR="00B3350F" w:rsidRPr="004147E2">
        <w:t>two</w:t>
      </w:r>
      <w:r w:rsidRPr="004147E2">
        <w:t xml:space="preserve"> splicing type</w:t>
      </w:r>
      <w:r w:rsidR="00346440" w:rsidRPr="004147E2">
        <w:t>s</w:t>
      </w:r>
      <w:r w:rsidRPr="004147E2">
        <w:t xml:space="preserve"> (SE and MXE)</w:t>
      </w:r>
      <w:r w:rsidR="000F779C" w:rsidRPr="004147E2">
        <w:t xml:space="preserve">, while </w:t>
      </w:r>
      <w:r w:rsidR="00D3647A" w:rsidRPr="004147E2">
        <w:rPr>
          <w:i/>
          <w:iCs/>
        </w:rPr>
        <w:t xml:space="preserve">15-Hydroxyprostaglandin Dehydrogenase </w:t>
      </w:r>
      <w:r w:rsidR="00D3647A" w:rsidRPr="004147E2">
        <w:t>(</w:t>
      </w:r>
      <w:proofErr w:type="spellStart"/>
      <w:r w:rsidR="00242C91" w:rsidRPr="004147E2">
        <w:rPr>
          <w:i/>
          <w:iCs/>
        </w:rPr>
        <w:t>hpgd</w:t>
      </w:r>
      <w:proofErr w:type="spellEnd"/>
      <w:r w:rsidR="00D3647A" w:rsidRPr="004147E2">
        <w:rPr>
          <w:i/>
          <w:iCs/>
        </w:rPr>
        <w:t>)</w:t>
      </w:r>
      <w:r w:rsidR="000F779C" w:rsidRPr="004147E2">
        <w:t xml:space="preserve"> was the only </w:t>
      </w:r>
      <w:r w:rsidR="00346440" w:rsidRPr="004147E2">
        <w:t xml:space="preserve">gene with </w:t>
      </w:r>
      <w:r w:rsidR="002D25F7" w:rsidRPr="004147E2">
        <w:t>three</w:t>
      </w:r>
      <w:r w:rsidR="000F779C" w:rsidRPr="004147E2">
        <w:t xml:space="preserve"> splicing types</w:t>
      </w:r>
      <w:r w:rsidRPr="004147E2">
        <w:t xml:space="preserve"> </w:t>
      </w:r>
      <w:r w:rsidR="00BF388C" w:rsidRPr="004147E2">
        <w:t xml:space="preserve">(A5SS, </w:t>
      </w:r>
      <w:r w:rsidR="00F83195" w:rsidRPr="004147E2">
        <w:t>ES</w:t>
      </w:r>
      <w:r w:rsidR="00BF388C" w:rsidRPr="004147E2">
        <w:t xml:space="preserve"> and MXE</w:t>
      </w:r>
      <w:r w:rsidRPr="004147E2">
        <w:t xml:space="preserve">). </w:t>
      </w:r>
    </w:p>
    <w:p w14:paraId="4277B1E9" w14:textId="0E6C4B8D" w:rsidR="000F7280" w:rsidRDefault="00792590" w:rsidP="008004EF">
      <w:pPr>
        <w:autoSpaceDE w:val="0"/>
        <w:autoSpaceDN w:val="0"/>
        <w:adjustRightInd w:val="0"/>
        <w:spacing w:line="480" w:lineRule="auto"/>
        <w:ind w:firstLine="720"/>
        <w:jc w:val="both"/>
      </w:pPr>
      <w:r w:rsidRPr="004147E2">
        <w:t>A total of 40 genes were identified to be DS during the onset period of the heatwave (Dec vs Feb), 2</w:t>
      </w:r>
      <w:r w:rsidR="00810882" w:rsidRPr="004147E2">
        <w:t>1</w:t>
      </w:r>
      <w:r w:rsidRPr="004147E2">
        <w:t xml:space="preserve"> genes were DS during the prolonged period (Feb vs March) and 2</w:t>
      </w:r>
      <w:r w:rsidR="00810882" w:rsidRPr="004147E2">
        <w:t>6</w:t>
      </w:r>
      <w:r w:rsidRPr="004147E2">
        <w:t xml:space="preserve"> genes were DS during the </w:t>
      </w:r>
      <w:r w:rsidR="00D4455E">
        <w:t>decline per</w:t>
      </w:r>
      <w:r w:rsidRPr="004147E2">
        <w:t xml:space="preserve">iod (Mar vs July). Of these, </w:t>
      </w:r>
      <w:r w:rsidR="00651CBD" w:rsidRPr="004147E2">
        <w:t>28</w:t>
      </w:r>
      <w:r w:rsidRPr="004147E2">
        <w:t xml:space="preserve"> DS genes were unique to the onset period, 1</w:t>
      </w:r>
      <w:r w:rsidR="00651CBD" w:rsidRPr="004147E2">
        <w:t>1</w:t>
      </w:r>
      <w:r w:rsidRPr="004147E2">
        <w:t xml:space="preserve"> were unique to the prolonged period and 1</w:t>
      </w:r>
      <w:r w:rsidR="00C122FB" w:rsidRPr="004147E2">
        <w:t>5</w:t>
      </w:r>
      <w:r w:rsidRPr="004147E2">
        <w:t xml:space="preserve"> were </w:t>
      </w:r>
      <w:r w:rsidR="00802014" w:rsidRPr="004147E2">
        <w:t xml:space="preserve">unique to the </w:t>
      </w:r>
      <w:r w:rsidR="00D4455E">
        <w:t>decline per</w:t>
      </w:r>
      <w:r w:rsidR="00802014" w:rsidRPr="004147E2">
        <w:t>iod</w:t>
      </w:r>
      <w:r w:rsidRPr="004147E2">
        <w:t xml:space="preserve"> (Fig </w:t>
      </w:r>
      <w:r w:rsidR="004853A0" w:rsidRPr="004147E2">
        <w:t>2b</w:t>
      </w:r>
      <w:r w:rsidRPr="004147E2">
        <w:t xml:space="preserve">). </w:t>
      </w:r>
      <w:r w:rsidR="00736D38" w:rsidRPr="004147E2">
        <w:t xml:space="preserve">Four genes </w:t>
      </w:r>
      <w:r w:rsidRPr="004147E2">
        <w:t>were commonly DS between the onset and prolonged stage</w:t>
      </w:r>
      <w:r w:rsidR="00736D38" w:rsidRPr="004147E2">
        <w:t xml:space="preserve">: </w:t>
      </w:r>
      <w:r w:rsidR="00736D38" w:rsidRPr="004147E2">
        <w:rPr>
          <w:i/>
          <w:iCs/>
        </w:rPr>
        <w:t xml:space="preserve">CDC Like Kinase 4 </w:t>
      </w:r>
      <w:r w:rsidR="00736D38" w:rsidRPr="004147E2">
        <w:t>(</w:t>
      </w:r>
      <w:r w:rsidR="00736D38" w:rsidRPr="004147E2">
        <w:rPr>
          <w:i/>
          <w:iCs/>
        </w:rPr>
        <w:t>clk4</w:t>
      </w:r>
      <w:r w:rsidR="00736D38" w:rsidRPr="004147E2">
        <w:t xml:space="preserve">), </w:t>
      </w:r>
      <w:r w:rsidR="00736D38" w:rsidRPr="004147E2">
        <w:rPr>
          <w:i/>
          <w:iCs/>
        </w:rPr>
        <w:t>Microtubule Affinity Regulating Kinase 3</w:t>
      </w:r>
      <w:r w:rsidR="00736D38" w:rsidRPr="004147E2">
        <w:t xml:space="preserve"> (</w:t>
      </w:r>
      <w:r w:rsidR="00736D38" w:rsidRPr="004147E2">
        <w:rPr>
          <w:i/>
          <w:iCs/>
        </w:rPr>
        <w:t>mark3</w:t>
      </w:r>
      <w:r w:rsidR="00736D38" w:rsidRPr="004147E2">
        <w:t xml:space="preserve">), </w:t>
      </w:r>
      <w:r w:rsidR="00736D38" w:rsidRPr="004147E2">
        <w:rPr>
          <w:i/>
        </w:rPr>
        <w:t xml:space="preserve">Putative </w:t>
      </w:r>
      <w:r w:rsidR="00736D38" w:rsidRPr="004147E2">
        <w:rPr>
          <w:i/>
          <w:iCs/>
        </w:rPr>
        <w:t>Monooxygenase</w:t>
      </w:r>
      <w:r w:rsidR="00736D38" w:rsidRPr="004147E2">
        <w:t xml:space="preserve"> (</w:t>
      </w:r>
      <w:r w:rsidR="00736D38" w:rsidRPr="004147E2">
        <w:rPr>
          <w:i/>
          <w:iCs/>
        </w:rPr>
        <w:t>p33monox</w:t>
      </w:r>
      <w:r w:rsidR="00736D38" w:rsidRPr="004147E2">
        <w:t xml:space="preserve">) and </w:t>
      </w:r>
      <w:r w:rsidR="00736D38" w:rsidRPr="004147E2">
        <w:rPr>
          <w:i/>
          <w:iCs/>
        </w:rPr>
        <w:t>WAP Four-</w:t>
      </w:r>
      <w:proofErr w:type="spellStart"/>
      <w:r w:rsidR="00736D38" w:rsidRPr="004147E2">
        <w:rPr>
          <w:i/>
          <w:iCs/>
        </w:rPr>
        <w:t>Disulfide</w:t>
      </w:r>
      <w:proofErr w:type="spellEnd"/>
      <w:r w:rsidR="00736D38" w:rsidRPr="004147E2">
        <w:rPr>
          <w:i/>
          <w:iCs/>
        </w:rPr>
        <w:t xml:space="preserve"> Core Domain 3</w:t>
      </w:r>
      <w:r w:rsidR="00736D38" w:rsidRPr="004147E2">
        <w:t xml:space="preserve"> (</w:t>
      </w:r>
      <w:r w:rsidR="00736D38" w:rsidRPr="004147E2">
        <w:rPr>
          <w:i/>
          <w:iCs/>
        </w:rPr>
        <w:t>wfdc3</w:t>
      </w:r>
      <w:r w:rsidR="00736D38" w:rsidRPr="004147E2">
        <w:t xml:space="preserve">). </w:t>
      </w:r>
      <w:r w:rsidR="000F22F1" w:rsidRPr="004147E2">
        <w:rPr>
          <w:rFonts w:eastAsia="MS Mincho"/>
        </w:rPr>
        <w:t>T</w:t>
      </w:r>
      <w:r w:rsidRPr="004147E2">
        <w:rPr>
          <w:rFonts w:eastAsia="MS Mincho"/>
        </w:rPr>
        <w:t>hree</w:t>
      </w:r>
      <w:r w:rsidRPr="004147E2">
        <w:t xml:space="preserve"> genes </w:t>
      </w:r>
      <w:r w:rsidR="00357E01" w:rsidRPr="004147E2">
        <w:t>were common</w:t>
      </w:r>
      <w:r w:rsidR="00736D38" w:rsidRPr="004147E2">
        <w:t>ly</w:t>
      </w:r>
      <w:r w:rsidR="00357E01" w:rsidRPr="004147E2">
        <w:t xml:space="preserve"> </w:t>
      </w:r>
      <w:r w:rsidR="00736D38" w:rsidRPr="004147E2">
        <w:t>DS</w:t>
      </w:r>
      <w:r w:rsidR="00357E01" w:rsidRPr="004147E2">
        <w:t xml:space="preserve"> between the prolonged stage and </w:t>
      </w:r>
      <w:r w:rsidR="004147E2" w:rsidRPr="004147E2">
        <w:t>recovery</w:t>
      </w:r>
      <w:r w:rsidR="00357E01" w:rsidRPr="004147E2">
        <w:t xml:space="preserve"> stage: </w:t>
      </w:r>
      <w:r w:rsidRPr="004147E2">
        <w:rPr>
          <w:i/>
          <w:iCs/>
        </w:rPr>
        <w:t>Solute Carrier Family 31 Member 2</w:t>
      </w:r>
      <w:r w:rsidRPr="004147E2">
        <w:t xml:space="preserve"> (</w:t>
      </w:r>
      <w:r w:rsidR="00242C91" w:rsidRPr="004147E2">
        <w:rPr>
          <w:i/>
          <w:iCs/>
        </w:rPr>
        <w:t>slc</w:t>
      </w:r>
      <w:r w:rsidRPr="004147E2">
        <w:rPr>
          <w:i/>
          <w:iCs/>
        </w:rPr>
        <w:t>31</w:t>
      </w:r>
      <w:r w:rsidR="00242C91" w:rsidRPr="004147E2">
        <w:rPr>
          <w:i/>
          <w:iCs/>
        </w:rPr>
        <w:t>a</w:t>
      </w:r>
      <w:r w:rsidRPr="004147E2">
        <w:rPr>
          <w:i/>
          <w:iCs/>
        </w:rPr>
        <w:t>2</w:t>
      </w:r>
      <w:r w:rsidRPr="004147E2">
        <w:t xml:space="preserve">), </w:t>
      </w:r>
      <w:r w:rsidRPr="004147E2">
        <w:rPr>
          <w:i/>
          <w:iCs/>
        </w:rPr>
        <w:t xml:space="preserve">Collagen type I alpha 2 </w:t>
      </w:r>
      <w:r w:rsidRPr="004147E2">
        <w:t>(</w:t>
      </w:r>
      <w:r w:rsidR="00242C91" w:rsidRPr="004147E2">
        <w:rPr>
          <w:i/>
          <w:iCs/>
        </w:rPr>
        <w:t>col</w:t>
      </w:r>
      <w:r w:rsidR="00977CF2" w:rsidRPr="004147E2">
        <w:rPr>
          <w:i/>
          <w:iCs/>
        </w:rPr>
        <w:t>1</w:t>
      </w:r>
      <w:r w:rsidR="00242C91" w:rsidRPr="004147E2">
        <w:rPr>
          <w:i/>
          <w:iCs/>
        </w:rPr>
        <w:t>a</w:t>
      </w:r>
      <w:r w:rsidRPr="004147E2">
        <w:rPr>
          <w:i/>
          <w:iCs/>
        </w:rPr>
        <w:t>2</w:t>
      </w:r>
      <w:r w:rsidRPr="004147E2">
        <w:t xml:space="preserve">) and </w:t>
      </w:r>
      <w:r w:rsidRPr="004147E2">
        <w:rPr>
          <w:i/>
          <w:iCs/>
        </w:rPr>
        <w:t>MAX Dimerization Protein</w:t>
      </w:r>
      <w:r w:rsidRPr="004147E2">
        <w:t xml:space="preserve"> (</w:t>
      </w:r>
      <w:proofErr w:type="spellStart"/>
      <w:r w:rsidR="00242C91" w:rsidRPr="004147E2">
        <w:rPr>
          <w:i/>
          <w:iCs/>
        </w:rPr>
        <w:t>mga</w:t>
      </w:r>
      <w:proofErr w:type="spellEnd"/>
      <w:r w:rsidRPr="004147E2">
        <w:t>)</w:t>
      </w:r>
      <w:r w:rsidR="00357E01" w:rsidRPr="004147E2">
        <w:t xml:space="preserve">. </w:t>
      </w:r>
      <w:r w:rsidR="00AC463D" w:rsidRPr="004147E2">
        <w:t xml:space="preserve">Meanwhile, </w:t>
      </w:r>
      <w:r w:rsidR="008008C5" w:rsidRPr="004147E2">
        <w:rPr>
          <w:rFonts w:eastAsia="MS Mincho"/>
        </w:rPr>
        <w:lastRenderedPageBreak/>
        <w:t>five</w:t>
      </w:r>
      <w:r w:rsidRPr="004147E2">
        <w:t xml:space="preserve"> genes </w:t>
      </w:r>
      <w:r w:rsidR="002F0F27" w:rsidRPr="004147E2">
        <w:t>were common</w:t>
      </w:r>
      <w:r w:rsidR="00736D38" w:rsidRPr="004147E2">
        <w:t>ly DS</w:t>
      </w:r>
      <w:r w:rsidR="002F0F27" w:rsidRPr="004147E2">
        <w:t xml:space="preserve"> between the onset stage and </w:t>
      </w:r>
      <w:r w:rsidR="004147E2" w:rsidRPr="004147E2">
        <w:t>recovery</w:t>
      </w:r>
      <w:r w:rsidR="002F0F27" w:rsidRPr="004147E2">
        <w:t xml:space="preserve"> stage:</w:t>
      </w:r>
      <w:r w:rsidR="002F0F27" w:rsidRPr="004147E2">
        <w:rPr>
          <w:i/>
          <w:iCs/>
        </w:rPr>
        <w:t xml:space="preserve"> </w:t>
      </w:r>
      <w:r w:rsidR="00E257D8" w:rsidRPr="004147E2">
        <w:rPr>
          <w:i/>
          <w:iCs/>
        </w:rPr>
        <w:t>Heterogeneous Nuclear Ribonucleoprotein L</w:t>
      </w:r>
      <w:r w:rsidR="00E257D8" w:rsidRPr="004147E2">
        <w:t xml:space="preserve"> (</w:t>
      </w:r>
      <w:proofErr w:type="spellStart"/>
      <w:r w:rsidR="00242C91" w:rsidRPr="004147E2">
        <w:rPr>
          <w:i/>
        </w:rPr>
        <w:t>hnrnpl</w:t>
      </w:r>
      <w:proofErr w:type="spellEnd"/>
      <w:r w:rsidR="00E257D8" w:rsidRPr="004147E2">
        <w:t xml:space="preserve">), </w:t>
      </w:r>
      <w:r w:rsidRPr="004147E2">
        <w:rPr>
          <w:i/>
          <w:iCs/>
        </w:rPr>
        <w:t>Nuclear Transcription Factor Y Subunit Beta</w:t>
      </w:r>
      <w:r w:rsidRPr="004147E2">
        <w:t xml:space="preserve"> (</w:t>
      </w:r>
      <w:proofErr w:type="spellStart"/>
      <w:r w:rsidR="00242C91" w:rsidRPr="004147E2">
        <w:rPr>
          <w:i/>
          <w:iCs/>
        </w:rPr>
        <w:t>nfyb</w:t>
      </w:r>
      <w:proofErr w:type="spellEnd"/>
      <w:r w:rsidRPr="004147E2">
        <w:t xml:space="preserve">), </w:t>
      </w:r>
      <w:r w:rsidRPr="004147E2">
        <w:rPr>
          <w:i/>
          <w:iCs/>
        </w:rPr>
        <w:t>Signal Peptide Peptidase Like 2A</w:t>
      </w:r>
      <w:r w:rsidRPr="004147E2">
        <w:t xml:space="preserve"> (</w:t>
      </w:r>
      <w:r w:rsidR="00242C91" w:rsidRPr="004147E2">
        <w:rPr>
          <w:i/>
          <w:iCs/>
        </w:rPr>
        <w:t>sppl</w:t>
      </w:r>
      <w:r w:rsidRPr="004147E2">
        <w:rPr>
          <w:i/>
          <w:iCs/>
        </w:rPr>
        <w:t>2A</w:t>
      </w:r>
      <w:r w:rsidRPr="004147E2">
        <w:t>)</w:t>
      </w:r>
      <w:r w:rsidR="00E257D8" w:rsidRPr="004147E2">
        <w:t xml:space="preserve">, </w:t>
      </w:r>
      <w:r w:rsidR="00E257D8" w:rsidRPr="004147E2">
        <w:rPr>
          <w:i/>
          <w:iCs/>
        </w:rPr>
        <w:t>Tropomyosin 3</w:t>
      </w:r>
      <w:r w:rsidR="00E257D8" w:rsidRPr="004147E2">
        <w:t xml:space="preserve"> (</w:t>
      </w:r>
      <w:r w:rsidR="00242C91" w:rsidRPr="004147E2">
        <w:rPr>
          <w:i/>
          <w:iCs/>
        </w:rPr>
        <w:t>tpm</w:t>
      </w:r>
      <w:r w:rsidR="00E257D8" w:rsidRPr="004147E2">
        <w:rPr>
          <w:i/>
          <w:iCs/>
        </w:rPr>
        <w:t>3</w:t>
      </w:r>
      <w:r w:rsidR="00E257D8" w:rsidRPr="004147E2">
        <w:t xml:space="preserve">) </w:t>
      </w:r>
      <w:r w:rsidRPr="004147E2">
        <w:t xml:space="preserve">and </w:t>
      </w:r>
      <w:r w:rsidRPr="004147E2">
        <w:rPr>
          <w:i/>
          <w:iCs/>
        </w:rPr>
        <w:t>TNFAIP3</w:t>
      </w:r>
      <w:r w:rsidRPr="004147E2">
        <w:t xml:space="preserve"> </w:t>
      </w:r>
      <w:r w:rsidRPr="004147E2">
        <w:rPr>
          <w:i/>
          <w:iCs/>
        </w:rPr>
        <w:t>Interacting Protein 1</w:t>
      </w:r>
      <w:r w:rsidRPr="004147E2">
        <w:t xml:space="preserve"> (</w:t>
      </w:r>
      <w:r w:rsidR="00242C91" w:rsidRPr="004147E2">
        <w:rPr>
          <w:i/>
          <w:iCs/>
        </w:rPr>
        <w:t>tnip</w:t>
      </w:r>
      <w:r w:rsidRPr="004147E2">
        <w:rPr>
          <w:i/>
          <w:iCs/>
        </w:rPr>
        <w:t>1</w:t>
      </w:r>
      <w:r w:rsidRPr="004147E2">
        <w:t>)</w:t>
      </w:r>
      <w:r w:rsidR="00C55620" w:rsidRPr="004147E2">
        <w:t xml:space="preserve">. </w:t>
      </w:r>
      <w:r w:rsidRPr="004147E2">
        <w:t xml:space="preserve">A total of three genes </w:t>
      </w:r>
      <w:r w:rsidR="009E0160" w:rsidRPr="004147E2">
        <w:rPr>
          <w:rFonts w:eastAsia="MS Mincho"/>
          <w:lang w:val="en-US"/>
        </w:rPr>
        <w:t xml:space="preserve">including </w:t>
      </w:r>
      <w:r w:rsidRPr="004147E2">
        <w:rPr>
          <w:i/>
          <w:iCs/>
        </w:rPr>
        <w:t>Hemopexin</w:t>
      </w:r>
      <w:r w:rsidRPr="004147E2">
        <w:t xml:space="preserve"> (</w:t>
      </w:r>
      <w:proofErr w:type="spellStart"/>
      <w:r w:rsidR="00242C91" w:rsidRPr="004147E2">
        <w:rPr>
          <w:i/>
          <w:iCs/>
        </w:rPr>
        <w:t>hpx</w:t>
      </w:r>
      <w:proofErr w:type="spellEnd"/>
      <w:r w:rsidRPr="004147E2">
        <w:t xml:space="preserve">), </w:t>
      </w:r>
      <w:r w:rsidRPr="004147E2">
        <w:rPr>
          <w:i/>
          <w:iCs/>
        </w:rPr>
        <w:t>Inter-Alpha-Trypsin Inhibitor Heavy Chain 3</w:t>
      </w:r>
      <w:r w:rsidRPr="004147E2">
        <w:t xml:space="preserve"> (</w:t>
      </w:r>
      <w:r w:rsidR="00242C91" w:rsidRPr="004147E2">
        <w:rPr>
          <w:i/>
          <w:iCs/>
        </w:rPr>
        <w:t>itih</w:t>
      </w:r>
      <w:r w:rsidRPr="004147E2">
        <w:rPr>
          <w:i/>
          <w:iCs/>
        </w:rPr>
        <w:t>3</w:t>
      </w:r>
      <w:r w:rsidRPr="004147E2">
        <w:t xml:space="preserve">) and </w:t>
      </w:r>
      <w:r w:rsidRPr="004147E2">
        <w:rPr>
          <w:i/>
          <w:iCs/>
        </w:rPr>
        <w:t xml:space="preserve">Ribosome Binding Protein 1 </w:t>
      </w:r>
      <w:r w:rsidRPr="004147E2">
        <w:t>(</w:t>
      </w:r>
      <w:r w:rsidR="00242C91" w:rsidRPr="004147E2">
        <w:rPr>
          <w:i/>
          <w:iCs/>
        </w:rPr>
        <w:t>rrbp</w:t>
      </w:r>
      <w:r w:rsidRPr="004147E2">
        <w:rPr>
          <w:i/>
          <w:iCs/>
        </w:rPr>
        <w:t>1</w:t>
      </w:r>
      <w:r w:rsidRPr="004147E2">
        <w:t>) were alternative spliced across all the stages (Fig 2b).</w:t>
      </w:r>
    </w:p>
    <w:p w14:paraId="6B9B0CCD" w14:textId="77777777" w:rsidR="00600051" w:rsidRPr="004147E2" w:rsidRDefault="00600051" w:rsidP="008004EF">
      <w:pPr>
        <w:autoSpaceDE w:val="0"/>
        <w:autoSpaceDN w:val="0"/>
        <w:adjustRightInd w:val="0"/>
        <w:spacing w:line="480" w:lineRule="auto"/>
        <w:ind w:firstLine="720"/>
        <w:jc w:val="both"/>
      </w:pPr>
    </w:p>
    <w:p w14:paraId="6A89706D" w14:textId="73CA0273" w:rsidR="000E1CCE" w:rsidRPr="007059F2" w:rsidRDefault="00792590" w:rsidP="007059F2">
      <w:pPr>
        <w:jc w:val="both"/>
        <w:rPr>
          <w:sz w:val="20"/>
          <w:szCs w:val="20"/>
          <w:lang w:val="en-US"/>
        </w:rPr>
      </w:pPr>
      <w:r w:rsidRPr="004147E2">
        <w:rPr>
          <w:sz w:val="20"/>
          <w:szCs w:val="20"/>
        </w:rPr>
        <w:t xml:space="preserve">Table </w:t>
      </w:r>
      <w:r w:rsidR="00320FFD" w:rsidRPr="004147E2">
        <w:rPr>
          <w:sz w:val="20"/>
          <w:szCs w:val="20"/>
        </w:rPr>
        <w:t>1</w:t>
      </w:r>
      <w:r w:rsidRPr="004147E2">
        <w:rPr>
          <w:sz w:val="20"/>
          <w:szCs w:val="20"/>
        </w:rPr>
        <w:t xml:space="preserve">. </w:t>
      </w:r>
      <w:r w:rsidR="00160D8A">
        <w:rPr>
          <w:sz w:val="20"/>
          <w:szCs w:val="20"/>
        </w:rPr>
        <w:t>Number of genes that were differentially spliced and their percentage, based on the t</w:t>
      </w:r>
      <w:r w:rsidR="00431D67" w:rsidRPr="004147E2">
        <w:rPr>
          <w:sz w:val="20"/>
          <w:szCs w:val="20"/>
        </w:rPr>
        <w:t>ypes of</w:t>
      </w:r>
      <w:r w:rsidRPr="004147E2">
        <w:rPr>
          <w:sz w:val="20"/>
          <w:szCs w:val="20"/>
        </w:rPr>
        <w:t xml:space="preserve"> differential splicing (DS) </w:t>
      </w:r>
      <w:r w:rsidR="00160D8A">
        <w:rPr>
          <w:sz w:val="20"/>
          <w:szCs w:val="20"/>
        </w:rPr>
        <w:t>among</w:t>
      </w:r>
      <w:r w:rsidR="00160D8A" w:rsidRPr="004147E2">
        <w:rPr>
          <w:sz w:val="20"/>
          <w:szCs w:val="20"/>
        </w:rPr>
        <w:t xml:space="preserve"> </w:t>
      </w:r>
      <w:r w:rsidRPr="004147E2">
        <w:rPr>
          <w:sz w:val="20"/>
          <w:szCs w:val="20"/>
        </w:rPr>
        <w:t xml:space="preserve">the three </w:t>
      </w:r>
      <w:r w:rsidR="00160D8A">
        <w:rPr>
          <w:sz w:val="20"/>
          <w:szCs w:val="20"/>
        </w:rPr>
        <w:t>collection</w:t>
      </w:r>
      <w:r w:rsidR="00160D8A" w:rsidRPr="004147E2">
        <w:rPr>
          <w:sz w:val="20"/>
          <w:szCs w:val="20"/>
        </w:rPr>
        <w:t xml:space="preserve"> </w:t>
      </w:r>
      <w:r w:rsidRPr="004147E2">
        <w:rPr>
          <w:sz w:val="20"/>
          <w:szCs w:val="20"/>
        </w:rPr>
        <w:t>periods</w:t>
      </w:r>
      <w:r w:rsidR="00160D8A">
        <w:rPr>
          <w:sz w:val="20"/>
          <w:szCs w:val="20"/>
        </w:rPr>
        <w:t xml:space="preserve"> of the heatwave</w:t>
      </w:r>
      <w:r w:rsidR="001D6609">
        <w:rPr>
          <w:sz w:val="20"/>
          <w:szCs w:val="20"/>
        </w:rPr>
        <w:t xml:space="preserve"> (</w:t>
      </w:r>
      <w:r w:rsidR="001D6609" w:rsidRPr="001D6609">
        <w:rPr>
          <w:sz w:val="20"/>
          <w:szCs w:val="20"/>
        </w:rPr>
        <w:t>Supplementary data S4</w:t>
      </w:r>
      <w:r w:rsidR="001D6609">
        <w:rPr>
          <w:sz w:val="20"/>
          <w:szCs w:val="20"/>
        </w:rPr>
        <w:t>)</w:t>
      </w:r>
      <w:r w:rsidRPr="004147E2">
        <w:rPr>
          <w:sz w:val="20"/>
          <w:szCs w:val="20"/>
        </w:rPr>
        <w:t xml:space="preserve">. Note that a </w:t>
      </w:r>
      <w:r w:rsidR="00343196" w:rsidRPr="004147E2">
        <w:rPr>
          <w:sz w:val="20"/>
          <w:szCs w:val="20"/>
        </w:rPr>
        <w:t>DS gene could have</w:t>
      </w:r>
      <w:r w:rsidRPr="004147E2">
        <w:rPr>
          <w:sz w:val="20"/>
          <w:szCs w:val="20"/>
        </w:rPr>
        <w:t xml:space="preserve"> more than one </w:t>
      </w:r>
      <w:r w:rsidR="00343196" w:rsidRPr="004147E2">
        <w:rPr>
          <w:sz w:val="20"/>
          <w:szCs w:val="20"/>
        </w:rPr>
        <w:t>sp</w:t>
      </w:r>
      <w:r w:rsidR="00AC463D" w:rsidRPr="004147E2">
        <w:rPr>
          <w:sz w:val="20"/>
          <w:szCs w:val="20"/>
        </w:rPr>
        <w:t>l</w:t>
      </w:r>
      <w:r w:rsidR="00343196" w:rsidRPr="004147E2">
        <w:rPr>
          <w:sz w:val="20"/>
          <w:szCs w:val="20"/>
        </w:rPr>
        <w:t>icing</w:t>
      </w:r>
      <w:r w:rsidRPr="004147E2">
        <w:rPr>
          <w:sz w:val="20"/>
          <w:szCs w:val="20"/>
        </w:rPr>
        <w:t xml:space="preserve"> type</w:t>
      </w:r>
      <w:r w:rsidR="009C1685" w:rsidRPr="004147E2">
        <w:rPr>
          <w:sz w:val="20"/>
          <w:szCs w:val="20"/>
        </w:rPr>
        <w:t xml:space="preserve"> and occur in more than one period</w:t>
      </w:r>
      <w:r w:rsidRPr="004147E2">
        <w:rPr>
          <w:sz w:val="20"/>
          <w:szCs w:val="20"/>
        </w:rPr>
        <w:t xml:space="preserve"> (% = percentage of </w:t>
      </w:r>
      <w:r w:rsidR="00305910" w:rsidRPr="004147E2">
        <w:rPr>
          <w:sz w:val="20"/>
          <w:szCs w:val="20"/>
        </w:rPr>
        <w:t xml:space="preserve">DS </w:t>
      </w:r>
      <w:r w:rsidRPr="004147E2">
        <w:rPr>
          <w:sz w:val="20"/>
          <w:szCs w:val="20"/>
        </w:rPr>
        <w:t xml:space="preserve">genes </w:t>
      </w:r>
      <w:r w:rsidR="000F0204" w:rsidRPr="004147E2">
        <w:rPr>
          <w:sz w:val="20"/>
          <w:szCs w:val="20"/>
        </w:rPr>
        <w:t xml:space="preserve">occurred </w:t>
      </w:r>
      <w:r w:rsidRPr="004147E2">
        <w:rPr>
          <w:sz w:val="20"/>
          <w:szCs w:val="20"/>
        </w:rPr>
        <w:t>in</w:t>
      </w:r>
      <w:r w:rsidR="00343196" w:rsidRPr="004147E2">
        <w:rPr>
          <w:sz w:val="20"/>
          <w:szCs w:val="20"/>
        </w:rPr>
        <w:t xml:space="preserve"> </w:t>
      </w:r>
      <w:r w:rsidR="00A501AD" w:rsidRPr="004147E2">
        <w:rPr>
          <w:sz w:val="20"/>
          <w:szCs w:val="20"/>
        </w:rPr>
        <w:t>that</w:t>
      </w:r>
      <w:r w:rsidR="00343196" w:rsidRPr="004147E2">
        <w:rPr>
          <w:sz w:val="20"/>
          <w:szCs w:val="20"/>
        </w:rPr>
        <w:t xml:space="preserve"> period</w:t>
      </w:r>
      <w:r w:rsidRPr="004147E2">
        <w:rPr>
          <w:sz w:val="20"/>
          <w:szCs w:val="20"/>
        </w:rPr>
        <w:t xml:space="preserve"> </w:t>
      </w:r>
      <w:r w:rsidR="005B0B7D" w:rsidRPr="004147E2">
        <w:rPr>
          <w:sz w:val="20"/>
          <w:szCs w:val="20"/>
        </w:rPr>
        <w:t>over</w:t>
      </w:r>
      <w:r w:rsidR="008B651A" w:rsidRPr="004147E2">
        <w:rPr>
          <w:sz w:val="20"/>
          <w:szCs w:val="20"/>
        </w:rPr>
        <w:t xml:space="preserve"> total number of gene</w:t>
      </w:r>
      <w:r w:rsidR="00417CB2" w:rsidRPr="004147E2">
        <w:rPr>
          <w:sz w:val="20"/>
          <w:szCs w:val="20"/>
        </w:rPr>
        <w:t xml:space="preserve"> </w:t>
      </w:r>
      <w:r w:rsidR="00323353" w:rsidRPr="004147E2">
        <w:rPr>
          <w:sz w:val="20"/>
          <w:szCs w:val="20"/>
        </w:rPr>
        <w:t>among</w:t>
      </w:r>
      <w:r w:rsidR="00417CB2" w:rsidRPr="004147E2">
        <w:rPr>
          <w:sz w:val="20"/>
          <w:szCs w:val="20"/>
        </w:rPr>
        <w:t xml:space="preserve"> three period</w:t>
      </w:r>
      <w:r w:rsidR="008B651A" w:rsidRPr="004147E2">
        <w:rPr>
          <w:sz w:val="20"/>
          <w:szCs w:val="20"/>
        </w:rPr>
        <w:t xml:space="preserve"> for </w:t>
      </w:r>
      <w:r w:rsidR="00EE6344" w:rsidRPr="004147E2">
        <w:rPr>
          <w:sz w:val="20"/>
          <w:szCs w:val="20"/>
        </w:rPr>
        <w:t>one</w:t>
      </w:r>
      <w:r w:rsidR="008B651A" w:rsidRPr="004147E2">
        <w:rPr>
          <w:sz w:val="20"/>
          <w:szCs w:val="20"/>
        </w:rPr>
        <w:t xml:space="preserve"> DS type</w:t>
      </w:r>
      <w:r w:rsidRPr="004147E2">
        <w:rPr>
          <w:sz w:val="20"/>
          <w:szCs w:val="20"/>
        </w:rPr>
        <w:t>)</w:t>
      </w:r>
      <w:r w:rsidR="00654ED1" w:rsidRPr="004147E2">
        <w:rPr>
          <w:sz w:val="20"/>
          <w:szCs w:val="20"/>
        </w:rPr>
        <w:t xml:space="preserve">. </w:t>
      </w:r>
      <w:r w:rsidR="00932097" w:rsidRPr="004147E2">
        <w:rPr>
          <w:sz w:val="20"/>
          <w:szCs w:val="20"/>
          <w:lang w:val="en-US"/>
        </w:rPr>
        <w:t>Exon skipping</w:t>
      </w:r>
      <w:r w:rsidR="00654ED1" w:rsidRPr="004147E2">
        <w:rPr>
          <w:sz w:val="20"/>
          <w:szCs w:val="20"/>
          <w:lang w:val="en-US"/>
        </w:rPr>
        <w:t xml:space="preserve"> </w:t>
      </w:r>
      <w:r w:rsidR="00F83195" w:rsidRPr="004147E2">
        <w:rPr>
          <w:sz w:val="20"/>
          <w:szCs w:val="20"/>
          <w:lang w:val="en-US"/>
        </w:rPr>
        <w:t>(ES)</w:t>
      </w:r>
      <w:r w:rsidR="00654ED1" w:rsidRPr="004147E2">
        <w:rPr>
          <w:sz w:val="20"/>
          <w:szCs w:val="20"/>
          <w:lang w:val="en-US"/>
        </w:rPr>
        <w:t xml:space="preserve">, alternative 3’ splicing site (A3SS), alternative </w:t>
      </w:r>
      <w:r w:rsidR="006446E4" w:rsidRPr="004147E2">
        <w:rPr>
          <w:sz w:val="20"/>
          <w:szCs w:val="20"/>
          <w:lang w:val="en-US"/>
        </w:rPr>
        <w:t>5’</w:t>
      </w:r>
      <w:r w:rsidR="00654ED1" w:rsidRPr="004147E2">
        <w:rPr>
          <w:sz w:val="20"/>
          <w:szCs w:val="20"/>
          <w:lang w:val="en-US"/>
        </w:rPr>
        <w:t xml:space="preserve"> splicing site (A5SS), intron retention (IR), simple mutually exclusive exons (MXE).</w:t>
      </w:r>
    </w:p>
    <w:tbl>
      <w:tblPr>
        <w:tblStyle w:val="TableGrid"/>
        <w:tblW w:w="0" w:type="auto"/>
        <w:jc w:val="center"/>
        <w:tblBorders>
          <w:top w:val="single" w:sz="4" w:space="0" w:color="000000" w:themeColor="text1"/>
          <w:left w:val="single" w:sz="4" w:space="0" w:color="000000" w:themeColor="text1"/>
          <w:bottom w:val="single" w:sz="4" w:space="0" w:color="000000" w:themeColor="text1"/>
          <w:right w:val="single" w:sz="4" w:space="0" w:color="000000" w:themeColor="text1"/>
          <w:insideH w:val="none" w:sz="0" w:space="0" w:color="auto"/>
          <w:insideV w:val="none" w:sz="0" w:space="0" w:color="auto"/>
        </w:tblBorders>
        <w:tblLook w:val="04A0" w:firstRow="1" w:lastRow="0" w:firstColumn="1" w:lastColumn="0" w:noHBand="0" w:noVBand="1"/>
      </w:tblPr>
      <w:tblGrid>
        <w:gridCol w:w="988"/>
        <w:gridCol w:w="1134"/>
        <w:gridCol w:w="850"/>
        <w:gridCol w:w="1418"/>
        <w:gridCol w:w="992"/>
        <w:gridCol w:w="1223"/>
        <w:gridCol w:w="963"/>
        <w:gridCol w:w="1442"/>
      </w:tblGrid>
      <w:tr w:rsidR="00D33872" w14:paraId="3760B012" w14:textId="77777777" w:rsidTr="00781930">
        <w:trPr>
          <w:trHeight w:val="102"/>
          <w:jc w:val="center"/>
        </w:trPr>
        <w:tc>
          <w:tcPr>
            <w:tcW w:w="988" w:type="dxa"/>
            <w:vMerge w:val="restart"/>
            <w:tcBorders>
              <w:top w:val="single" w:sz="4" w:space="0" w:color="000000" w:themeColor="text1"/>
              <w:bottom w:val="nil"/>
              <w:right w:val="single" w:sz="4" w:space="0" w:color="000000" w:themeColor="text1"/>
            </w:tcBorders>
          </w:tcPr>
          <w:p w14:paraId="40949C89" w14:textId="34B6B5D5" w:rsidR="00723E90" w:rsidRDefault="00723E90" w:rsidP="00781930">
            <w:pPr>
              <w:spacing w:line="276" w:lineRule="auto"/>
              <w:contextualSpacing/>
              <w:jc w:val="center"/>
              <w:rPr>
                <w:b/>
                <w:bCs/>
                <w:lang w:val="en-US"/>
              </w:rPr>
            </w:pPr>
            <w:r w:rsidRPr="004147E2">
              <w:rPr>
                <w:b/>
                <w:bCs/>
              </w:rPr>
              <w:t>DS Type</w:t>
            </w:r>
          </w:p>
        </w:tc>
        <w:tc>
          <w:tcPr>
            <w:tcW w:w="1984" w:type="dxa"/>
            <w:gridSpan w:val="2"/>
            <w:tcBorders>
              <w:top w:val="single" w:sz="4" w:space="0" w:color="000000" w:themeColor="text1"/>
              <w:left w:val="single" w:sz="4" w:space="0" w:color="000000" w:themeColor="text1"/>
              <w:bottom w:val="nil"/>
              <w:right w:val="single" w:sz="4" w:space="0" w:color="000000" w:themeColor="text1"/>
            </w:tcBorders>
          </w:tcPr>
          <w:p w14:paraId="3CE3700E" w14:textId="06CE051B" w:rsidR="00723E90" w:rsidRDefault="00723E90" w:rsidP="00D33872">
            <w:pPr>
              <w:spacing w:line="276" w:lineRule="auto"/>
              <w:contextualSpacing/>
              <w:jc w:val="center"/>
              <w:rPr>
                <w:b/>
                <w:bCs/>
                <w:lang w:val="en-US"/>
              </w:rPr>
            </w:pPr>
            <w:r w:rsidRPr="004147E2">
              <w:rPr>
                <w:b/>
              </w:rPr>
              <w:t>Onset (Dec-Feb)</w:t>
            </w:r>
          </w:p>
        </w:tc>
        <w:tc>
          <w:tcPr>
            <w:tcW w:w="2410" w:type="dxa"/>
            <w:gridSpan w:val="2"/>
            <w:tcBorders>
              <w:top w:val="single" w:sz="4" w:space="0" w:color="000000" w:themeColor="text1"/>
              <w:left w:val="single" w:sz="4" w:space="0" w:color="000000" w:themeColor="text1"/>
              <w:bottom w:val="nil"/>
              <w:right w:val="single" w:sz="4" w:space="0" w:color="000000" w:themeColor="text1"/>
            </w:tcBorders>
          </w:tcPr>
          <w:p w14:paraId="71A77A6E" w14:textId="4611CFE4" w:rsidR="00723E90" w:rsidRDefault="00723E90" w:rsidP="00D33872">
            <w:pPr>
              <w:spacing w:line="276" w:lineRule="auto"/>
              <w:contextualSpacing/>
              <w:jc w:val="center"/>
              <w:rPr>
                <w:b/>
                <w:bCs/>
                <w:lang w:val="en-US"/>
              </w:rPr>
            </w:pPr>
            <w:r w:rsidRPr="004147E2">
              <w:rPr>
                <w:b/>
              </w:rPr>
              <w:t>Prolonged (Feb-Mar)</w:t>
            </w:r>
          </w:p>
        </w:tc>
        <w:tc>
          <w:tcPr>
            <w:tcW w:w="2186" w:type="dxa"/>
            <w:gridSpan w:val="2"/>
            <w:tcBorders>
              <w:top w:val="single" w:sz="4" w:space="0" w:color="000000" w:themeColor="text1"/>
              <w:left w:val="single" w:sz="4" w:space="0" w:color="000000" w:themeColor="text1"/>
              <w:bottom w:val="nil"/>
              <w:right w:val="double" w:sz="4" w:space="0" w:color="000000" w:themeColor="text1"/>
            </w:tcBorders>
          </w:tcPr>
          <w:p w14:paraId="388923A2" w14:textId="14335D6F" w:rsidR="00723E90" w:rsidRDefault="00723E90" w:rsidP="00D33872">
            <w:pPr>
              <w:spacing w:line="276" w:lineRule="auto"/>
              <w:contextualSpacing/>
              <w:jc w:val="center"/>
              <w:rPr>
                <w:b/>
                <w:bCs/>
                <w:lang w:val="en-US"/>
              </w:rPr>
            </w:pPr>
            <w:r>
              <w:rPr>
                <w:b/>
              </w:rPr>
              <w:t>Decline</w:t>
            </w:r>
            <w:r w:rsidRPr="004147E2">
              <w:rPr>
                <w:b/>
              </w:rPr>
              <w:t xml:space="preserve"> (Mar-July)</w:t>
            </w:r>
          </w:p>
        </w:tc>
        <w:tc>
          <w:tcPr>
            <w:tcW w:w="1442" w:type="dxa"/>
            <w:tcBorders>
              <w:top w:val="single" w:sz="4" w:space="0" w:color="000000" w:themeColor="text1"/>
              <w:left w:val="double" w:sz="4" w:space="0" w:color="000000" w:themeColor="text1"/>
              <w:bottom w:val="nil"/>
            </w:tcBorders>
          </w:tcPr>
          <w:p w14:paraId="0028C6D6" w14:textId="6AF099A6" w:rsidR="00723E90" w:rsidRDefault="00723E90" w:rsidP="00D33872">
            <w:pPr>
              <w:spacing w:line="276" w:lineRule="auto"/>
              <w:contextualSpacing/>
              <w:jc w:val="center"/>
              <w:rPr>
                <w:b/>
                <w:bCs/>
                <w:lang w:val="en-US"/>
              </w:rPr>
            </w:pPr>
            <w:r w:rsidRPr="004147E2">
              <w:rPr>
                <w:b/>
                <w:bCs/>
              </w:rPr>
              <w:t>Total</w:t>
            </w:r>
          </w:p>
        </w:tc>
      </w:tr>
      <w:tr w:rsidR="00781930" w14:paraId="3289F4B0" w14:textId="77777777" w:rsidTr="00781930">
        <w:trPr>
          <w:trHeight w:val="120"/>
          <w:jc w:val="center"/>
        </w:trPr>
        <w:tc>
          <w:tcPr>
            <w:tcW w:w="988" w:type="dxa"/>
            <w:vMerge/>
            <w:tcBorders>
              <w:top w:val="nil"/>
              <w:bottom w:val="single" w:sz="4" w:space="0" w:color="000000" w:themeColor="text1"/>
              <w:right w:val="single" w:sz="4" w:space="0" w:color="000000" w:themeColor="text1"/>
            </w:tcBorders>
          </w:tcPr>
          <w:p w14:paraId="1ACBC612" w14:textId="77777777" w:rsidR="00723E90" w:rsidRDefault="00723E90" w:rsidP="00D33872">
            <w:pPr>
              <w:spacing w:line="276" w:lineRule="auto"/>
              <w:jc w:val="center"/>
              <w:rPr>
                <w:b/>
                <w:bCs/>
                <w:lang w:val="en-US"/>
              </w:rPr>
            </w:pPr>
          </w:p>
        </w:tc>
        <w:tc>
          <w:tcPr>
            <w:tcW w:w="1134" w:type="dxa"/>
            <w:tcBorders>
              <w:top w:val="nil"/>
              <w:left w:val="single" w:sz="4" w:space="0" w:color="000000" w:themeColor="text1"/>
              <w:bottom w:val="single" w:sz="4" w:space="0" w:color="000000" w:themeColor="text1"/>
            </w:tcBorders>
          </w:tcPr>
          <w:p w14:paraId="167A7044" w14:textId="2C564511" w:rsidR="00723E90" w:rsidRDefault="00723E90" w:rsidP="00D33872">
            <w:pPr>
              <w:spacing w:line="276" w:lineRule="auto"/>
              <w:jc w:val="center"/>
              <w:rPr>
                <w:b/>
                <w:bCs/>
                <w:lang w:val="en-US"/>
              </w:rPr>
            </w:pPr>
            <w:r w:rsidRPr="004147E2">
              <w:rPr>
                <w:b/>
                <w:bCs/>
              </w:rPr>
              <w:t>No. of genes</w:t>
            </w:r>
          </w:p>
        </w:tc>
        <w:tc>
          <w:tcPr>
            <w:tcW w:w="850" w:type="dxa"/>
            <w:tcBorders>
              <w:top w:val="nil"/>
              <w:bottom w:val="single" w:sz="4" w:space="0" w:color="000000" w:themeColor="text1"/>
              <w:right w:val="single" w:sz="4" w:space="0" w:color="000000" w:themeColor="text1"/>
            </w:tcBorders>
          </w:tcPr>
          <w:p w14:paraId="72319E5E" w14:textId="04A46470" w:rsidR="00723E90" w:rsidRDefault="00723E90" w:rsidP="00D33872">
            <w:pPr>
              <w:spacing w:line="276" w:lineRule="auto"/>
              <w:jc w:val="center"/>
              <w:rPr>
                <w:b/>
                <w:bCs/>
                <w:lang w:val="en-US"/>
              </w:rPr>
            </w:pPr>
            <w:r w:rsidRPr="004147E2">
              <w:rPr>
                <w:b/>
                <w:bCs/>
              </w:rPr>
              <w:t>%</w:t>
            </w:r>
          </w:p>
        </w:tc>
        <w:tc>
          <w:tcPr>
            <w:tcW w:w="1418" w:type="dxa"/>
            <w:tcBorders>
              <w:top w:val="nil"/>
              <w:left w:val="single" w:sz="4" w:space="0" w:color="000000" w:themeColor="text1"/>
              <w:bottom w:val="single" w:sz="4" w:space="0" w:color="000000" w:themeColor="text1"/>
            </w:tcBorders>
          </w:tcPr>
          <w:p w14:paraId="749568CB" w14:textId="31ADC633" w:rsidR="00723E90" w:rsidRDefault="00723E90" w:rsidP="00D33872">
            <w:pPr>
              <w:spacing w:line="276" w:lineRule="auto"/>
              <w:jc w:val="center"/>
              <w:rPr>
                <w:b/>
                <w:bCs/>
                <w:lang w:val="en-US"/>
              </w:rPr>
            </w:pPr>
            <w:r w:rsidRPr="004147E2">
              <w:rPr>
                <w:b/>
                <w:bCs/>
              </w:rPr>
              <w:t>No. of genes</w:t>
            </w:r>
          </w:p>
        </w:tc>
        <w:tc>
          <w:tcPr>
            <w:tcW w:w="992" w:type="dxa"/>
            <w:tcBorders>
              <w:top w:val="nil"/>
              <w:bottom w:val="single" w:sz="4" w:space="0" w:color="000000" w:themeColor="text1"/>
              <w:right w:val="single" w:sz="4" w:space="0" w:color="000000" w:themeColor="text1"/>
            </w:tcBorders>
          </w:tcPr>
          <w:p w14:paraId="22E21C46" w14:textId="72995E21" w:rsidR="00723E90" w:rsidRDefault="00723E90" w:rsidP="00D33872">
            <w:pPr>
              <w:spacing w:line="276" w:lineRule="auto"/>
              <w:jc w:val="center"/>
              <w:rPr>
                <w:b/>
                <w:bCs/>
                <w:lang w:val="en-US"/>
              </w:rPr>
            </w:pPr>
            <w:r w:rsidRPr="004147E2">
              <w:rPr>
                <w:b/>
                <w:bCs/>
              </w:rPr>
              <w:t>%</w:t>
            </w:r>
          </w:p>
        </w:tc>
        <w:tc>
          <w:tcPr>
            <w:tcW w:w="1223" w:type="dxa"/>
            <w:tcBorders>
              <w:top w:val="nil"/>
              <w:left w:val="single" w:sz="4" w:space="0" w:color="000000" w:themeColor="text1"/>
              <w:bottom w:val="single" w:sz="4" w:space="0" w:color="000000" w:themeColor="text1"/>
            </w:tcBorders>
          </w:tcPr>
          <w:p w14:paraId="57636BE4" w14:textId="00BCFC65" w:rsidR="00723E90" w:rsidRDefault="00723E90" w:rsidP="00D33872">
            <w:pPr>
              <w:spacing w:line="276" w:lineRule="auto"/>
              <w:jc w:val="center"/>
              <w:rPr>
                <w:b/>
                <w:bCs/>
                <w:lang w:val="en-US"/>
              </w:rPr>
            </w:pPr>
            <w:r w:rsidRPr="004147E2">
              <w:rPr>
                <w:b/>
                <w:bCs/>
              </w:rPr>
              <w:t>No. of genes</w:t>
            </w:r>
          </w:p>
        </w:tc>
        <w:tc>
          <w:tcPr>
            <w:tcW w:w="963" w:type="dxa"/>
            <w:tcBorders>
              <w:top w:val="nil"/>
              <w:bottom w:val="single" w:sz="4" w:space="0" w:color="000000" w:themeColor="text1"/>
              <w:right w:val="double" w:sz="4" w:space="0" w:color="000000" w:themeColor="text1"/>
            </w:tcBorders>
          </w:tcPr>
          <w:p w14:paraId="1C2EE817" w14:textId="6D2B7173" w:rsidR="00723E90" w:rsidRDefault="00723E90" w:rsidP="00D33872">
            <w:pPr>
              <w:spacing w:line="276" w:lineRule="auto"/>
              <w:jc w:val="center"/>
              <w:rPr>
                <w:b/>
                <w:bCs/>
                <w:lang w:val="en-US"/>
              </w:rPr>
            </w:pPr>
            <w:r w:rsidRPr="004147E2">
              <w:rPr>
                <w:b/>
                <w:bCs/>
              </w:rPr>
              <w:t>%</w:t>
            </w:r>
          </w:p>
        </w:tc>
        <w:tc>
          <w:tcPr>
            <w:tcW w:w="1442" w:type="dxa"/>
            <w:tcBorders>
              <w:top w:val="nil"/>
              <w:left w:val="double" w:sz="4" w:space="0" w:color="000000" w:themeColor="text1"/>
              <w:bottom w:val="single" w:sz="4" w:space="0" w:color="000000" w:themeColor="text1"/>
            </w:tcBorders>
          </w:tcPr>
          <w:p w14:paraId="4E8A812A" w14:textId="36AC42EA" w:rsidR="00723E90" w:rsidRDefault="00723E90" w:rsidP="00D33872">
            <w:pPr>
              <w:spacing w:line="276" w:lineRule="auto"/>
              <w:jc w:val="center"/>
              <w:rPr>
                <w:b/>
                <w:bCs/>
                <w:lang w:val="en-US"/>
              </w:rPr>
            </w:pPr>
            <w:r w:rsidRPr="004147E2">
              <w:rPr>
                <w:b/>
                <w:bCs/>
              </w:rPr>
              <w:t>No. of genes</w:t>
            </w:r>
          </w:p>
        </w:tc>
      </w:tr>
      <w:tr w:rsidR="00781930" w14:paraId="32A5C21A" w14:textId="77777777" w:rsidTr="00781930">
        <w:trPr>
          <w:jc w:val="center"/>
        </w:trPr>
        <w:tc>
          <w:tcPr>
            <w:tcW w:w="988" w:type="dxa"/>
            <w:tcBorders>
              <w:top w:val="single" w:sz="4" w:space="0" w:color="000000" w:themeColor="text1"/>
              <w:bottom w:val="nil"/>
              <w:right w:val="single" w:sz="4" w:space="0" w:color="000000" w:themeColor="text1"/>
            </w:tcBorders>
          </w:tcPr>
          <w:p w14:paraId="134F8274" w14:textId="32ED953A" w:rsidR="00723E90" w:rsidRDefault="00723E90" w:rsidP="00D33872">
            <w:pPr>
              <w:spacing w:line="276" w:lineRule="auto"/>
              <w:rPr>
                <w:b/>
                <w:bCs/>
                <w:lang w:val="en-US"/>
              </w:rPr>
            </w:pPr>
            <w:r>
              <w:rPr>
                <w:b/>
              </w:rPr>
              <w:t xml:space="preserve">   </w:t>
            </w:r>
            <w:r w:rsidRPr="004147E2">
              <w:rPr>
                <w:b/>
              </w:rPr>
              <w:t>A3SS</w:t>
            </w:r>
          </w:p>
        </w:tc>
        <w:tc>
          <w:tcPr>
            <w:tcW w:w="1134" w:type="dxa"/>
            <w:tcBorders>
              <w:top w:val="single" w:sz="4" w:space="0" w:color="000000" w:themeColor="text1"/>
              <w:left w:val="single" w:sz="4" w:space="0" w:color="000000" w:themeColor="text1"/>
            </w:tcBorders>
          </w:tcPr>
          <w:p w14:paraId="6C4C4AD2" w14:textId="66A2006C" w:rsidR="00723E90" w:rsidRDefault="00723E90" w:rsidP="00D33872">
            <w:pPr>
              <w:spacing w:line="276" w:lineRule="auto"/>
              <w:jc w:val="center"/>
              <w:rPr>
                <w:b/>
                <w:bCs/>
                <w:lang w:val="en-US"/>
              </w:rPr>
            </w:pPr>
            <w:r w:rsidRPr="004147E2">
              <w:t>6</w:t>
            </w:r>
          </w:p>
        </w:tc>
        <w:tc>
          <w:tcPr>
            <w:tcW w:w="850" w:type="dxa"/>
            <w:tcBorders>
              <w:top w:val="single" w:sz="4" w:space="0" w:color="000000" w:themeColor="text1"/>
              <w:bottom w:val="nil"/>
              <w:right w:val="single" w:sz="4" w:space="0" w:color="000000" w:themeColor="text1"/>
            </w:tcBorders>
          </w:tcPr>
          <w:p w14:paraId="45DF3A59" w14:textId="6FF70B2B" w:rsidR="00723E90" w:rsidRDefault="00723E90" w:rsidP="00D33872">
            <w:pPr>
              <w:spacing w:line="276" w:lineRule="auto"/>
              <w:jc w:val="center"/>
              <w:rPr>
                <w:b/>
                <w:bCs/>
                <w:lang w:val="en-US"/>
              </w:rPr>
            </w:pPr>
            <w:r w:rsidRPr="004147E2">
              <w:t>60</w:t>
            </w:r>
          </w:p>
        </w:tc>
        <w:tc>
          <w:tcPr>
            <w:tcW w:w="1418" w:type="dxa"/>
            <w:tcBorders>
              <w:top w:val="single" w:sz="4" w:space="0" w:color="000000" w:themeColor="text1"/>
              <w:left w:val="single" w:sz="4" w:space="0" w:color="000000" w:themeColor="text1"/>
            </w:tcBorders>
          </w:tcPr>
          <w:p w14:paraId="1FCE3D14" w14:textId="73746BF3" w:rsidR="00723E90" w:rsidRDefault="00723E90" w:rsidP="00D33872">
            <w:pPr>
              <w:spacing w:line="276" w:lineRule="auto"/>
              <w:jc w:val="center"/>
              <w:rPr>
                <w:b/>
                <w:bCs/>
                <w:lang w:val="en-US"/>
              </w:rPr>
            </w:pPr>
            <w:r w:rsidRPr="004147E2">
              <w:t>2</w:t>
            </w:r>
          </w:p>
        </w:tc>
        <w:tc>
          <w:tcPr>
            <w:tcW w:w="992" w:type="dxa"/>
            <w:tcBorders>
              <w:top w:val="single" w:sz="4" w:space="0" w:color="000000" w:themeColor="text1"/>
              <w:bottom w:val="nil"/>
              <w:right w:val="single" w:sz="4" w:space="0" w:color="000000" w:themeColor="text1"/>
            </w:tcBorders>
          </w:tcPr>
          <w:p w14:paraId="4609EC73" w14:textId="545E48E1" w:rsidR="00723E90" w:rsidRDefault="00723E90" w:rsidP="00D33872">
            <w:pPr>
              <w:spacing w:line="276" w:lineRule="auto"/>
              <w:jc w:val="center"/>
              <w:rPr>
                <w:b/>
                <w:bCs/>
                <w:lang w:val="en-US"/>
              </w:rPr>
            </w:pPr>
            <w:r w:rsidRPr="004147E2">
              <w:t>20</w:t>
            </w:r>
          </w:p>
        </w:tc>
        <w:tc>
          <w:tcPr>
            <w:tcW w:w="1223" w:type="dxa"/>
            <w:tcBorders>
              <w:top w:val="single" w:sz="4" w:space="0" w:color="000000" w:themeColor="text1"/>
              <w:left w:val="single" w:sz="4" w:space="0" w:color="000000" w:themeColor="text1"/>
            </w:tcBorders>
          </w:tcPr>
          <w:p w14:paraId="05C0DCDC" w14:textId="401EC677" w:rsidR="00723E90" w:rsidRDefault="00723E90" w:rsidP="00D33872">
            <w:pPr>
              <w:spacing w:line="276" w:lineRule="auto"/>
              <w:jc w:val="center"/>
              <w:rPr>
                <w:b/>
                <w:bCs/>
                <w:lang w:val="en-US"/>
              </w:rPr>
            </w:pPr>
            <w:r w:rsidRPr="004147E2">
              <w:t>2</w:t>
            </w:r>
          </w:p>
        </w:tc>
        <w:tc>
          <w:tcPr>
            <w:tcW w:w="963" w:type="dxa"/>
            <w:tcBorders>
              <w:top w:val="single" w:sz="4" w:space="0" w:color="000000" w:themeColor="text1"/>
              <w:bottom w:val="nil"/>
              <w:right w:val="double" w:sz="4" w:space="0" w:color="000000" w:themeColor="text1"/>
            </w:tcBorders>
          </w:tcPr>
          <w:p w14:paraId="52E598AC" w14:textId="77B09E31" w:rsidR="00723E90" w:rsidRDefault="00723E90" w:rsidP="00D33872">
            <w:pPr>
              <w:spacing w:line="276" w:lineRule="auto"/>
              <w:jc w:val="center"/>
              <w:rPr>
                <w:b/>
                <w:bCs/>
                <w:lang w:val="en-US"/>
              </w:rPr>
            </w:pPr>
            <w:r w:rsidRPr="004147E2">
              <w:t>20</w:t>
            </w:r>
          </w:p>
        </w:tc>
        <w:tc>
          <w:tcPr>
            <w:tcW w:w="1442" w:type="dxa"/>
            <w:tcBorders>
              <w:top w:val="single" w:sz="4" w:space="0" w:color="000000" w:themeColor="text1"/>
              <w:left w:val="double" w:sz="4" w:space="0" w:color="000000" w:themeColor="text1"/>
            </w:tcBorders>
          </w:tcPr>
          <w:p w14:paraId="4D1ED387" w14:textId="4DB1AB45" w:rsidR="00723E90" w:rsidRDefault="00723E90" w:rsidP="00D33872">
            <w:pPr>
              <w:spacing w:line="276" w:lineRule="auto"/>
              <w:jc w:val="center"/>
              <w:rPr>
                <w:b/>
                <w:bCs/>
                <w:lang w:val="en-US"/>
              </w:rPr>
            </w:pPr>
            <w:r w:rsidRPr="004147E2">
              <w:t>10</w:t>
            </w:r>
          </w:p>
        </w:tc>
      </w:tr>
      <w:tr w:rsidR="00781930" w14:paraId="425EDDB0" w14:textId="77777777" w:rsidTr="00781930">
        <w:trPr>
          <w:jc w:val="center"/>
        </w:trPr>
        <w:tc>
          <w:tcPr>
            <w:tcW w:w="988" w:type="dxa"/>
            <w:tcBorders>
              <w:top w:val="nil"/>
              <w:bottom w:val="nil"/>
              <w:right w:val="single" w:sz="4" w:space="0" w:color="000000" w:themeColor="text1"/>
            </w:tcBorders>
          </w:tcPr>
          <w:p w14:paraId="1C14340B" w14:textId="1D07E12B" w:rsidR="00723E90" w:rsidRDefault="00723E90" w:rsidP="00D33872">
            <w:pPr>
              <w:spacing w:line="276" w:lineRule="auto"/>
              <w:rPr>
                <w:b/>
                <w:bCs/>
                <w:lang w:val="en-US"/>
              </w:rPr>
            </w:pPr>
            <w:r>
              <w:rPr>
                <w:b/>
              </w:rPr>
              <w:t xml:space="preserve">   </w:t>
            </w:r>
            <w:r w:rsidRPr="004147E2">
              <w:rPr>
                <w:b/>
              </w:rPr>
              <w:t>A5SS</w:t>
            </w:r>
          </w:p>
        </w:tc>
        <w:tc>
          <w:tcPr>
            <w:tcW w:w="1134" w:type="dxa"/>
            <w:tcBorders>
              <w:left w:val="single" w:sz="4" w:space="0" w:color="000000" w:themeColor="text1"/>
            </w:tcBorders>
          </w:tcPr>
          <w:p w14:paraId="4E1D403E" w14:textId="26A7EFDE" w:rsidR="00723E90" w:rsidRDefault="00723E90" w:rsidP="00D33872">
            <w:pPr>
              <w:spacing w:line="276" w:lineRule="auto"/>
              <w:jc w:val="center"/>
              <w:rPr>
                <w:b/>
                <w:bCs/>
                <w:lang w:val="en-US"/>
              </w:rPr>
            </w:pPr>
            <w:r w:rsidRPr="004147E2">
              <w:t>3</w:t>
            </w:r>
          </w:p>
        </w:tc>
        <w:tc>
          <w:tcPr>
            <w:tcW w:w="850" w:type="dxa"/>
            <w:tcBorders>
              <w:top w:val="nil"/>
              <w:bottom w:val="nil"/>
              <w:right w:val="single" w:sz="4" w:space="0" w:color="000000" w:themeColor="text1"/>
            </w:tcBorders>
          </w:tcPr>
          <w:p w14:paraId="533677D8" w14:textId="13A9D0D2" w:rsidR="00723E90" w:rsidRDefault="00723E90" w:rsidP="00D33872">
            <w:pPr>
              <w:spacing w:line="276" w:lineRule="auto"/>
              <w:jc w:val="center"/>
              <w:rPr>
                <w:b/>
                <w:bCs/>
                <w:lang w:val="en-US"/>
              </w:rPr>
            </w:pPr>
            <w:r w:rsidRPr="004147E2">
              <w:t>75</w:t>
            </w:r>
          </w:p>
        </w:tc>
        <w:tc>
          <w:tcPr>
            <w:tcW w:w="1418" w:type="dxa"/>
            <w:tcBorders>
              <w:left w:val="single" w:sz="4" w:space="0" w:color="000000" w:themeColor="text1"/>
            </w:tcBorders>
          </w:tcPr>
          <w:p w14:paraId="6BA073D4" w14:textId="74BCD277" w:rsidR="00723E90" w:rsidRDefault="00723E90" w:rsidP="00D33872">
            <w:pPr>
              <w:spacing w:line="276" w:lineRule="auto"/>
              <w:jc w:val="center"/>
              <w:rPr>
                <w:b/>
                <w:bCs/>
                <w:lang w:val="en-US"/>
              </w:rPr>
            </w:pPr>
            <w:r w:rsidRPr="004147E2">
              <w:t>0</w:t>
            </w:r>
          </w:p>
        </w:tc>
        <w:tc>
          <w:tcPr>
            <w:tcW w:w="992" w:type="dxa"/>
            <w:tcBorders>
              <w:top w:val="nil"/>
              <w:bottom w:val="nil"/>
              <w:right w:val="single" w:sz="4" w:space="0" w:color="000000" w:themeColor="text1"/>
            </w:tcBorders>
          </w:tcPr>
          <w:p w14:paraId="05888E78" w14:textId="0AE318B1" w:rsidR="00723E90" w:rsidRDefault="00723E90" w:rsidP="00D33872">
            <w:pPr>
              <w:spacing w:line="276" w:lineRule="auto"/>
              <w:jc w:val="center"/>
              <w:rPr>
                <w:b/>
                <w:bCs/>
                <w:lang w:val="en-US"/>
              </w:rPr>
            </w:pPr>
            <w:r w:rsidRPr="004147E2">
              <w:t>0</w:t>
            </w:r>
          </w:p>
        </w:tc>
        <w:tc>
          <w:tcPr>
            <w:tcW w:w="1223" w:type="dxa"/>
            <w:tcBorders>
              <w:left w:val="single" w:sz="4" w:space="0" w:color="000000" w:themeColor="text1"/>
            </w:tcBorders>
          </w:tcPr>
          <w:p w14:paraId="62CE4E35" w14:textId="453702B6" w:rsidR="00723E90" w:rsidRDefault="00723E90" w:rsidP="00D33872">
            <w:pPr>
              <w:spacing w:line="276" w:lineRule="auto"/>
              <w:jc w:val="center"/>
              <w:rPr>
                <w:b/>
                <w:bCs/>
                <w:lang w:val="en-US"/>
              </w:rPr>
            </w:pPr>
            <w:r w:rsidRPr="004147E2">
              <w:t>2</w:t>
            </w:r>
          </w:p>
        </w:tc>
        <w:tc>
          <w:tcPr>
            <w:tcW w:w="963" w:type="dxa"/>
            <w:tcBorders>
              <w:top w:val="nil"/>
              <w:bottom w:val="nil"/>
              <w:right w:val="double" w:sz="4" w:space="0" w:color="000000" w:themeColor="text1"/>
            </w:tcBorders>
          </w:tcPr>
          <w:p w14:paraId="1F9B456F" w14:textId="6A6FD3BC" w:rsidR="00723E90" w:rsidRDefault="00723E90" w:rsidP="00D33872">
            <w:pPr>
              <w:spacing w:line="276" w:lineRule="auto"/>
              <w:jc w:val="center"/>
              <w:rPr>
                <w:b/>
                <w:bCs/>
                <w:lang w:val="en-US"/>
              </w:rPr>
            </w:pPr>
            <w:r w:rsidRPr="004147E2">
              <w:t>50</w:t>
            </w:r>
          </w:p>
        </w:tc>
        <w:tc>
          <w:tcPr>
            <w:tcW w:w="1442" w:type="dxa"/>
            <w:tcBorders>
              <w:left w:val="double" w:sz="4" w:space="0" w:color="000000" w:themeColor="text1"/>
            </w:tcBorders>
          </w:tcPr>
          <w:p w14:paraId="22C388AB" w14:textId="5F1AC869" w:rsidR="00723E90" w:rsidRDefault="00723E90" w:rsidP="00D33872">
            <w:pPr>
              <w:spacing w:line="276" w:lineRule="auto"/>
              <w:jc w:val="center"/>
              <w:rPr>
                <w:b/>
                <w:bCs/>
                <w:lang w:val="en-US"/>
              </w:rPr>
            </w:pPr>
            <w:r w:rsidRPr="004147E2">
              <w:t>4</w:t>
            </w:r>
          </w:p>
        </w:tc>
      </w:tr>
      <w:tr w:rsidR="00781930" w14:paraId="64BE32B1" w14:textId="77777777" w:rsidTr="00781930">
        <w:trPr>
          <w:jc w:val="center"/>
        </w:trPr>
        <w:tc>
          <w:tcPr>
            <w:tcW w:w="988" w:type="dxa"/>
            <w:tcBorders>
              <w:top w:val="nil"/>
              <w:bottom w:val="nil"/>
              <w:right w:val="single" w:sz="4" w:space="0" w:color="000000" w:themeColor="text1"/>
            </w:tcBorders>
          </w:tcPr>
          <w:p w14:paraId="4C6B9369" w14:textId="0328F3BD" w:rsidR="00723E90" w:rsidRDefault="00723E90" w:rsidP="00D33872">
            <w:pPr>
              <w:spacing w:line="276" w:lineRule="auto"/>
              <w:rPr>
                <w:b/>
                <w:bCs/>
                <w:lang w:val="en-US"/>
              </w:rPr>
            </w:pPr>
            <w:r>
              <w:rPr>
                <w:b/>
              </w:rPr>
              <w:t xml:space="preserve">   </w:t>
            </w:r>
            <w:r w:rsidRPr="004147E2">
              <w:rPr>
                <w:b/>
              </w:rPr>
              <w:t>MXE</w:t>
            </w:r>
          </w:p>
        </w:tc>
        <w:tc>
          <w:tcPr>
            <w:tcW w:w="1134" w:type="dxa"/>
            <w:tcBorders>
              <w:left w:val="single" w:sz="4" w:space="0" w:color="000000" w:themeColor="text1"/>
            </w:tcBorders>
          </w:tcPr>
          <w:p w14:paraId="56030141" w14:textId="5BD4E48E" w:rsidR="00723E90" w:rsidRDefault="00723E90" w:rsidP="00D33872">
            <w:pPr>
              <w:spacing w:line="276" w:lineRule="auto"/>
              <w:jc w:val="center"/>
              <w:rPr>
                <w:b/>
                <w:bCs/>
                <w:lang w:val="en-US"/>
              </w:rPr>
            </w:pPr>
            <w:r w:rsidRPr="004147E2">
              <w:t>4</w:t>
            </w:r>
          </w:p>
        </w:tc>
        <w:tc>
          <w:tcPr>
            <w:tcW w:w="850" w:type="dxa"/>
            <w:tcBorders>
              <w:top w:val="nil"/>
              <w:bottom w:val="nil"/>
              <w:right w:val="single" w:sz="4" w:space="0" w:color="000000" w:themeColor="text1"/>
            </w:tcBorders>
          </w:tcPr>
          <w:p w14:paraId="4C53F9D9" w14:textId="1150FF18" w:rsidR="00723E90" w:rsidRDefault="00723E90" w:rsidP="00D33872">
            <w:pPr>
              <w:spacing w:line="276" w:lineRule="auto"/>
              <w:jc w:val="center"/>
              <w:rPr>
                <w:b/>
                <w:bCs/>
                <w:lang w:val="en-US"/>
              </w:rPr>
            </w:pPr>
            <w:r w:rsidRPr="004147E2">
              <w:t>23.5</w:t>
            </w:r>
          </w:p>
        </w:tc>
        <w:tc>
          <w:tcPr>
            <w:tcW w:w="1418" w:type="dxa"/>
            <w:tcBorders>
              <w:left w:val="single" w:sz="4" w:space="0" w:color="000000" w:themeColor="text1"/>
            </w:tcBorders>
          </w:tcPr>
          <w:p w14:paraId="4CA4CE80" w14:textId="6B56F796" w:rsidR="00723E90" w:rsidRDefault="00723E90" w:rsidP="00D33872">
            <w:pPr>
              <w:spacing w:line="276" w:lineRule="auto"/>
              <w:jc w:val="center"/>
              <w:rPr>
                <w:b/>
                <w:bCs/>
                <w:lang w:val="en-US"/>
              </w:rPr>
            </w:pPr>
            <w:r w:rsidRPr="004147E2">
              <w:t>5</w:t>
            </w:r>
          </w:p>
        </w:tc>
        <w:tc>
          <w:tcPr>
            <w:tcW w:w="992" w:type="dxa"/>
            <w:tcBorders>
              <w:top w:val="nil"/>
              <w:bottom w:val="nil"/>
              <w:right w:val="single" w:sz="4" w:space="0" w:color="000000" w:themeColor="text1"/>
            </w:tcBorders>
          </w:tcPr>
          <w:p w14:paraId="6992E814" w14:textId="0265145B" w:rsidR="00723E90" w:rsidRDefault="00723E90" w:rsidP="00D33872">
            <w:pPr>
              <w:spacing w:line="276" w:lineRule="auto"/>
              <w:jc w:val="center"/>
              <w:rPr>
                <w:b/>
                <w:bCs/>
                <w:lang w:val="en-US"/>
              </w:rPr>
            </w:pPr>
            <w:r w:rsidRPr="004147E2">
              <w:t>29.4</w:t>
            </w:r>
          </w:p>
        </w:tc>
        <w:tc>
          <w:tcPr>
            <w:tcW w:w="1223" w:type="dxa"/>
            <w:tcBorders>
              <w:left w:val="single" w:sz="4" w:space="0" w:color="000000" w:themeColor="text1"/>
            </w:tcBorders>
          </w:tcPr>
          <w:p w14:paraId="43DE3077" w14:textId="7ACA9908" w:rsidR="00723E90" w:rsidRDefault="00723E90" w:rsidP="00D33872">
            <w:pPr>
              <w:spacing w:line="276" w:lineRule="auto"/>
              <w:jc w:val="center"/>
              <w:rPr>
                <w:b/>
                <w:bCs/>
                <w:lang w:val="en-US"/>
              </w:rPr>
            </w:pPr>
            <w:r w:rsidRPr="004147E2">
              <w:t>10</w:t>
            </w:r>
          </w:p>
        </w:tc>
        <w:tc>
          <w:tcPr>
            <w:tcW w:w="963" w:type="dxa"/>
            <w:tcBorders>
              <w:top w:val="nil"/>
              <w:bottom w:val="nil"/>
              <w:right w:val="double" w:sz="4" w:space="0" w:color="000000" w:themeColor="text1"/>
            </w:tcBorders>
          </w:tcPr>
          <w:p w14:paraId="3DF61FF8" w14:textId="495DCE08" w:rsidR="00723E90" w:rsidRDefault="00723E90" w:rsidP="00D33872">
            <w:pPr>
              <w:spacing w:line="276" w:lineRule="auto"/>
              <w:jc w:val="center"/>
              <w:rPr>
                <w:b/>
                <w:bCs/>
                <w:lang w:val="en-US"/>
              </w:rPr>
            </w:pPr>
            <w:r w:rsidRPr="004147E2">
              <w:t>58.8</w:t>
            </w:r>
          </w:p>
        </w:tc>
        <w:tc>
          <w:tcPr>
            <w:tcW w:w="1442" w:type="dxa"/>
            <w:tcBorders>
              <w:left w:val="double" w:sz="4" w:space="0" w:color="000000" w:themeColor="text1"/>
            </w:tcBorders>
          </w:tcPr>
          <w:p w14:paraId="263545A9" w14:textId="2EB5D8B5" w:rsidR="00723E90" w:rsidRDefault="00723E90" w:rsidP="00D33872">
            <w:pPr>
              <w:spacing w:line="276" w:lineRule="auto"/>
              <w:jc w:val="center"/>
              <w:rPr>
                <w:b/>
                <w:bCs/>
                <w:lang w:val="en-US"/>
              </w:rPr>
            </w:pPr>
            <w:r w:rsidRPr="004147E2">
              <w:t>17</w:t>
            </w:r>
          </w:p>
        </w:tc>
      </w:tr>
      <w:tr w:rsidR="00781930" w14:paraId="75B26730" w14:textId="77777777" w:rsidTr="00781930">
        <w:trPr>
          <w:jc w:val="center"/>
        </w:trPr>
        <w:tc>
          <w:tcPr>
            <w:tcW w:w="988" w:type="dxa"/>
            <w:tcBorders>
              <w:top w:val="nil"/>
              <w:bottom w:val="nil"/>
              <w:right w:val="single" w:sz="4" w:space="0" w:color="000000" w:themeColor="text1"/>
            </w:tcBorders>
          </w:tcPr>
          <w:p w14:paraId="6FABA962" w14:textId="1021D37D" w:rsidR="00723E90" w:rsidRDefault="00723E90" w:rsidP="00D33872">
            <w:pPr>
              <w:spacing w:line="276" w:lineRule="auto"/>
              <w:rPr>
                <w:b/>
                <w:bCs/>
                <w:lang w:val="en-US"/>
              </w:rPr>
            </w:pPr>
            <w:r>
              <w:rPr>
                <w:b/>
              </w:rPr>
              <w:t xml:space="preserve">   </w:t>
            </w:r>
            <w:r w:rsidRPr="004147E2">
              <w:rPr>
                <w:b/>
              </w:rPr>
              <w:t>ES</w:t>
            </w:r>
          </w:p>
        </w:tc>
        <w:tc>
          <w:tcPr>
            <w:tcW w:w="1134" w:type="dxa"/>
            <w:tcBorders>
              <w:left w:val="single" w:sz="4" w:space="0" w:color="000000" w:themeColor="text1"/>
            </w:tcBorders>
          </w:tcPr>
          <w:p w14:paraId="278E02D3" w14:textId="79B02A7D" w:rsidR="00723E90" w:rsidRDefault="00723E90" w:rsidP="00D33872">
            <w:pPr>
              <w:spacing w:line="276" w:lineRule="auto"/>
              <w:jc w:val="center"/>
              <w:rPr>
                <w:b/>
                <w:bCs/>
                <w:lang w:val="en-US"/>
              </w:rPr>
            </w:pPr>
            <w:r w:rsidRPr="004147E2">
              <w:t>27</w:t>
            </w:r>
          </w:p>
        </w:tc>
        <w:tc>
          <w:tcPr>
            <w:tcW w:w="850" w:type="dxa"/>
            <w:tcBorders>
              <w:top w:val="nil"/>
              <w:bottom w:val="nil"/>
              <w:right w:val="single" w:sz="4" w:space="0" w:color="000000" w:themeColor="text1"/>
            </w:tcBorders>
          </w:tcPr>
          <w:p w14:paraId="0E0F13A0" w14:textId="765AE628" w:rsidR="00723E90" w:rsidRDefault="00723E90" w:rsidP="00D33872">
            <w:pPr>
              <w:spacing w:line="276" w:lineRule="auto"/>
              <w:jc w:val="center"/>
              <w:rPr>
                <w:b/>
                <w:bCs/>
                <w:lang w:val="en-US"/>
              </w:rPr>
            </w:pPr>
            <w:r w:rsidRPr="004147E2">
              <w:t>64.3</w:t>
            </w:r>
          </w:p>
        </w:tc>
        <w:tc>
          <w:tcPr>
            <w:tcW w:w="1418" w:type="dxa"/>
            <w:tcBorders>
              <w:left w:val="single" w:sz="4" w:space="0" w:color="000000" w:themeColor="text1"/>
            </w:tcBorders>
          </w:tcPr>
          <w:p w14:paraId="737092BA" w14:textId="183C8A57" w:rsidR="00723E90" w:rsidRDefault="00723E90" w:rsidP="00D33872">
            <w:pPr>
              <w:spacing w:line="276" w:lineRule="auto"/>
              <w:jc w:val="center"/>
              <w:rPr>
                <w:b/>
                <w:bCs/>
                <w:lang w:val="en-US"/>
              </w:rPr>
            </w:pPr>
            <w:r w:rsidRPr="004147E2">
              <w:t>14</w:t>
            </w:r>
          </w:p>
        </w:tc>
        <w:tc>
          <w:tcPr>
            <w:tcW w:w="992" w:type="dxa"/>
            <w:tcBorders>
              <w:top w:val="nil"/>
              <w:bottom w:val="nil"/>
              <w:right w:val="single" w:sz="4" w:space="0" w:color="000000" w:themeColor="text1"/>
            </w:tcBorders>
          </w:tcPr>
          <w:p w14:paraId="40B9CCDA" w14:textId="6593DE2E" w:rsidR="00723E90" w:rsidRDefault="00723E90" w:rsidP="00D33872">
            <w:pPr>
              <w:spacing w:line="276" w:lineRule="auto"/>
              <w:jc w:val="center"/>
              <w:rPr>
                <w:b/>
                <w:bCs/>
                <w:lang w:val="en-US"/>
              </w:rPr>
            </w:pPr>
            <w:r w:rsidRPr="004147E2">
              <w:t>33.3</w:t>
            </w:r>
          </w:p>
        </w:tc>
        <w:tc>
          <w:tcPr>
            <w:tcW w:w="1223" w:type="dxa"/>
            <w:tcBorders>
              <w:left w:val="single" w:sz="4" w:space="0" w:color="000000" w:themeColor="text1"/>
            </w:tcBorders>
          </w:tcPr>
          <w:p w14:paraId="32F49499" w14:textId="74BF7BDA" w:rsidR="00723E90" w:rsidRDefault="00723E90" w:rsidP="00D33872">
            <w:pPr>
              <w:spacing w:line="276" w:lineRule="auto"/>
              <w:jc w:val="center"/>
              <w:rPr>
                <w:b/>
                <w:bCs/>
                <w:lang w:val="en-US"/>
              </w:rPr>
            </w:pPr>
            <w:r w:rsidRPr="004147E2">
              <w:t>15</w:t>
            </w:r>
          </w:p>
        </w:tc>
        <w:tc>
          <w:tcPr>
            <w:tcW w:w="963" w:type="dxa"/>
            <w:tcBorders>
              <w:top w:val="nil"/>
              <w:bottom w:val="nil"/>
              <w:right w:val="double" w:sz="4" w:space="0" w:color="000000" w:themeColor="text1"/>
            </w:tcBorders>
          </w:tcPr>
          <w:p w14:paraId="6BF57D68" w14:textId="70FF3EAC" w:rsidR="00723E90" w:rsidRDefault="00723E90" w:rsidP="00D33872">
            <w:pPr>
              <w:spacing w:line="276" w:lineRule="auto"/>
              <w:jc w:val="center"/>
              <w:rPr>
                <w:b/>
                <w:bCs/>
                <w:lang w:val="en-US"/>
              </w:rPr>
            </w:pPr>
            <w:r w:rsidRPr="004147E2">
              <w:t>35.7</w:t>
            </w:r>
          </w:p>
        </w:tc>
        <w:tc>
          <w:tcPr>
            <w:tcW w:w="1442" w:type="dxa"/>
            <w:tcBorders>
              <w:left w:val="double" w:sz="4" w:space="0" w:color="000000" w:themeColor="text1"/>
            </w:tcBorders>
          </w:tcPr>
          <w:p w14:paraId="43D8F817" w14:textId="0B143CA8" w:rsidR="00723E90" w:rsidRDefault="00723E90" w:rsidP="00D33872">
            <w:pPr>
              <w:spacing w:line="276" w:lineRule="auto"/>
              <w:jc w:val="center"/>
              <w:rPr>
                <w:b/>
                <w:bCs/>
                <w:lang w:val="en-US"/>
              </w:rPr>
            </w:pPr>
            <w:r w:rsidRPr="004147E2">
              <w:t>42</w:t>
            </w:r>
          </w:p>
        </w:tc>
      </w:tr>
      <w:tr w:rsidR="00781930" w14:paraId="5E751552" w14:textId="77777777" w:rsidTr="00781930">
        <w:trPr>
          <w:jc w:val="center"/>
        </w:trPr>
        <w:tc>
          <w:tcPr>
            <w:tcW w:w="988" w:type="dxa"/>
            <w:tcBorders>
              <w:top w:val="nil"/>
              <w:bottom w:val="nil"/>
              <w:right w:val="single" w:sz="4" w:space="0" w:color="000000" w:themeColor="text1"/>
            </w:tcBorders>
          </w:tcPr>
          <w:p w14:paraId="582D9EA9" w14:textId="308311E4" w:rsidR="00723E90" w:rsidRDefault="00723E90" w:rsidP="00D33872">
            <w:pPr>
              <w:tabs>
                <w:tab w:val="center" w:pos="456"/>
              </w:tabs>
              <w:spacing w:line="276" w:lineRule="auto"/>
              <w:rPr>
                <w:b/>
                <w:bCs/>
                <w:lang w:val="en-US"/>
              </w:rPr>
            </w:pPr>
            <w:r>
              <w:rPr>
                <w:b/>
              </w:rPr>
              <w:t xml:space="preserve">   </w:t>
            </w:r>
            <w:r w:rsidRPr="004147E2">
              <w:rPr>
                <w:b/>
              </w:rPr>
              <w:t>IR</w:t>
            </w:r>
          </w:p>
        </w:tc>
        <w:tc>
          <w:tcPr>
            <w:tcW w:w="1134" w:type="dxa"/>
            <w:tcBorders>
              <w:left w:val="single" w:sz="4" w:space="0" w:color="000000" w:themeColor="text1"/>
            </w:tcBorders>
          </w:tcPr>
          <w:p w14:paraId="692CADE8" w14:textId="7DD90E54" w:rsidR="00723E90" w:rsidRDefault="00723E90" w:rsidP="00D33872">
            <w:pPr>
              <w:spacing w:line="276" w:lineRule="auto"/>
              <w:jc w:val="center"/>
              <w:rPr>
                <w:b/>
                <w:bCs/>
                <w:lang w:val="en-US"/>
              </w:rPr>
            </w:pPr>
            <w:r w:rsidRPr="004147E2">
              <w:t>0</w:t>
            </w:r>
          </w:p>
        </w:tc>
        <w:tc>
          <w:tcPr>
            <w:tcW w:w="850" w:type="dxa"/>
            <w:tcBorders>
              <w:top w:val="nil"/>
              <w:bottom w:val="nil"/>
              <w:right w:val="single" w:sz="4" w:space="0" w:color="000000" w:themeColor="text1"/>
            </w:tcBorders>
          </w:tcPr>
          <w:p w14:paraId="7218886D" w14:textId="0B07998A" w:rsidR="00723E90" w:rsidRDefault="00723E90" w:rsidP="00D33872">
            <w:pPr>
              <w:spacing w:line="276" w:lineRule="auto"/>
              <w:jc w:val="center"/>
              <w:rPr>
                <w:b/>
                <w:bCs/>
                <w:lang w:val="en-US"/>
              </w:rPr>
            </w:pPr>
            <w:r w:rsidRPr="004147E2">
              <w:t>0</w:t>
            </w:r>
          </w:p>
        </w:tc>
        <w:tc>
          <w:tcPr>
            <w:tcW w:w="1418" w:type="dxa"/>
            <w:tcBorders>
              <w:left w:val="single" w:sz="4" w:space="0" w:color="000000" w:themeColor="text1"/>
            </w:tcBorders>
          </w:tcPr>
          <w:p w14:paraId="3236B40F" w14:textId="3D9A01B3" w:rsidR="00723E90" w:rsidRDefault="00723E90" w:rsidP="00D33872">
            <w:pPr>
              <w:spacing w:line="276" w:lineRule="auto"/>
              <w:jc w:val="center"/>
              <w:rPr>
                <w:b/>
                <w:bCs/>
                <w:lang w:val="en-US"/>
              </w:rPr>
            </w:pPr>
            <w:r w:rsidRPr="004147E2">
              <w:t>0</w:t>
            </w:r>
          </w:p>
        </w:tc>
        <w:tc>
          <w:tcPr>
            <w:tcW w:w="992" w:type="dxa"/>
            <w:tcBorders>
              <w:top w:val="nil"/>
              <w:bottom w:val="nil"/>
              <w:right w:val="single" w:sz="4" w:space="0" w:color="000000" w:themeColor="text1"/>
            </w:tcBorders>
          </w:tcPr>
          <w:p w14:paraId="77A68407" w14:textId="583FFD34" w:rsidR="00723E90" w:rsidRDefault="00723E90" w:rsidP="00D33872">
            <w:pPr>
              <w:spacing w:line="276" w:lineRule="auto"/>
              <w:jc w:val="center"/>
              <w:rPr>
                <w:b/>
                <w:bCs/>
                <w:lang w:val="en-US"/>
              </w:rPr>
            </w:pPr>
            <w:r w:rsidRPr="004147E2">
              <w:t>0</w:t>
            </w:r>
          </w:p>
        </w:tc>
        <w:tc>
          <w:tcPr>
            <w:tcW w:w="1223" w:type="dxa"/>
            <w:tcBorders>
              <w:left w:val="single" w:sz="4" w:space="0" w:color="000000" w:themeColor="text1"/>
            </w:tcBorders>
          </w:tcPr>
          <w:p w14:paraId="4A2405EA" w14:textId="29E1912E" w:rsidR="00723E90" w:rsidRDefault="00723E90" w:rsidP="00D33872">
            <w:pPr>
              <w:spacing w:line="276" w:lineRule="auto"/>
              <w:jc w:val="center"/>
              <w:rPr>
                <w:b/>
                <w:bCs/>
                <w:lang w:val="en-US"/>
              </w:rPr>
            </w:pPr>
            <w:r w:rsidRPr="004147E2">
              <w:t>0</w:t>
            </w:r>
          </w:p>
        </w:tc>
        <w:tc>
          <w:tcPr>
            <w:tcW w:w="963" w:type="dxa"/>
            <w:tcBorders>
              <w:top w:val="nil"/>
              <w:bottom w:val="nil"/>
              <w:right w:val="double" w:sz="4" w:space="0" w:color="000000" w:themeColor="text1"/>
            </w:tcBorders>
          </w:tcPr>
          <w:p w14:paraId="6303C822" w14:textId="4D8B4AA8" w:rsidR="00723E90" w:rsidRDefault="00723E90" w:rsidP="00D33872">
            <w:pPr>
              <w:spacing w:line="276" w:lineRule="auto"/>
              <w:jc w:val="center"/>
              <w:rPr>
                <w:b/>
                <w:bCs/>
                <w:lang w:val="en-US"/>
              </w:rPr>
            </w:pPr>
            <w:r w:rsidRPr="004147E2">
              <w:rPr>
                <w:lang w:val="en-US"/>
              </w:rPr>
              <w:t>0</w:t>
            </w:r>
          </w:p>
        </w:tc>
        <w:tc>
          <w:tcPr>
            <w:tcW w:w="1442" w:type="dxa"/>
            <w:tcBorders>
              <w:left w:val="double" w:sz="4" w:space="0" w:color="000000" w:themeColor="text1"/>
            </w:tcBorders>
          </w:tcPr>
          <w:p w14:paraId="2321B04C" w14:textId="73BBEAAA" w:rsidR="00723E90" w:rsidRDefault="00723E90" w:rsidP="00D33872">
            <w:pPr>
              <w:spacing w:line="276" w:lineRule="auto"/>
              <w:jc w:val="center"/>
              <w:rPr>
                <w:b/>
                <w:bCs/>
                <w:lang w:val="en-US"/>
              </w:rPr>
            </w:pPr>
            <w:r w:rsidRPr="004147E2">
              <w:rPr>
                <w:lang w:val="en-US"/>
              </w:rPr>
              <w:t>0</w:t>
            </w:r>
          </w:p>
        </w:tc>
      </w:tr>
      <w:tr w:rsidR="00D33872" w14:paraId="0278F9EF" w14:textId="77777777" w:rsidTr="00781930">
        <w:trPr>
          <w:trHeight w:val="375"/>
          <w:jc w:val="center"/>
        </w:trPr>
        <w:tc>
          <w:tcPr>
            <w:tcW w:w="988" w:type="dxa"/>
            <w:tcBorders>
              <w:top w:val="nil"/>
              <w:bottom w:val="single" w:sz="4" w:space="0" w:color="000000" w:themeColor="text1"/>
              <w:right w:val="single" w:sz="4" w:space="0" w:color="000000" w:themeColor="text1"/>
            </w:tcBorders>
          </w:tcPr>
          <w:p w14:paraId="4CBFD017" w14:textId="0B268195" w:rsidR="00723E90" w:rsidRDefault="00723E90" w:rsidP="00D33872">
            <w:pPr>
              <w:spacing w:line="276" w:lineRule="auto"/>
              <w:rPr>
                <w:b/>
                <w:bCs/>
                <w:lang w:val="en-US"/>
              </w:rPr>
            </w:pPr>
            <w:r w:rsidRPr="004147E2">
              <w:t>Total</w:t>
            </w:r>
          </w:p>
        </w:tc>
        <w:tc>
          <w:tcPr>
            <w:tcW w:w="1134" w:type="dxa"/>
            <w:tcBorders>
              <w:left w:val="single" w:sz="4" w:space="0" w:color="000000" w:themeColor="text1"/>
            </w:tcBorders>
          </w:tcPr>
          <w:p w14:paraId="759EF25F" w14:textId="5F45F47D" w:rsidR="00723E90" w:rsidRDefault="00723E90" w:rsidP="00D33872">
            <w:pPr>
              <w:spacing w:line="276" w:lineRule="auto"/>
              <w:jc w:val="center"/>
              <w:rPr>
                <w:b/>
                <w:bCs/>
                <w:lang w:val="en-US"/>
              </w:rPr>
            </w:pPr>
            <w:r w:rsidRPr="004147E2">
              <w:t>40</w:t>
            </w:r>
          </w:p>
        </w:tc>
        <w:tc>
          <w:tcPr>
            <w:tcW w:w="850" w:type="dxa"/>
            <w:tcBorders>
              <w:top w:val="nil"/>
              <w:bottom w:val="single" w:sz="4" w:space="0" w:color="000000" w:themeColor="text1"/>
              <w:right w:val="single" w:sz="4" w:space="0" w:color="000000" w:themeColor="text1"/>
            </w:tcBorders>
          </w:tcPr>
          <w:p w14:paraId="6DC5158E" w14:textId="77777777" w:rsidR="00723E90" w:rsidRDefault="00723E90" w:rsidP="00D33872">
            <w:pPr>
              <w:spacing w:line="276" w:lineRule="auto"/>
              <w:jc w:val="center"/>
              <w:rPr>
                <w:b/>
                <w:bCs/>
                <w:lang w:val="en-US"/>
              </w:rPr>
            </w:pPr>
          </w:p>
        </w:tc>
        <w:tc>
          <w:tcPr>
            <w:tcW w:w="1418" w:type="dxa"/>
            <w:tcBorders>
              <w:left w:val="single" w:sz="4" w:space="0" w:color="000000" w:themeColor="text1"/>
            </w:tcBorders>
          </w:tcPr>
          <w:p w14:paraId="3CD8C9EB" w14:textId="19C14491" w:rsidR="00723E90" w:rsidRDefault="00723E90" w:rsidP="00D33872">
            <w:pPr>
              <w:spacing w:line="276" w:lineRule="auto"/>
              <w:jc w:val="center"/>
              <w:rPr>
                <w:b/>
                <w:bCs/>
                <w:lang w:val="en-US"/>
              </w:rPr>
            </w:pPr>
            <w:r w:rsidRPr="004147E2">
              <w:t>21</w:t>
            </w:r>
          </w:p>
        </w:tc>
        <w:tc>
          <w:tcPr>
            <w:tcW w:w="992" w:type="dxa"/>
            <w:tcBorders>
              <w:top w:val="nil"/>
              <w:bottom w:val="single" w:sz="4" w:space="0" w:color="000000" w:themeColor="text1"/>
              <w:right w:val="single" w:sz="4" w:space="0" w:color="000000" w:themeColor="text1"/>
            </w:tcBorders>
          </w:tcPr>
          <w:p w14:paraId="63C71469" w14:textId="77777777" w:rsidR="00723E90" w:rsidRDefault="00723E90" w:rsidP="00D33872">
            <w:pPr>
              <w:spacing w:line="276" w:lineRule="auto"/>
              <w:jc w:val="center"/>
              <w:rPr>
                <w:b/>
                <w:bCs/>
                <w:lang w:val="en-US"/>
              </w:rPr>
            </w:pPr>
          </w:p>
        </w:tc>
        <w:tc>
          <w:tcPr>
            <w:tcW w:w="1223" w:type="dxa"/>
            <w:tcBorders>
              <w:left w:val="single" w:sz="4" w:space="0" w:color="000000" w:themeColor="text1"/>
            </w:tcBorders>
          </w:tcPr>
          <w:p w14:paraId="6766EA64" w14:textId="26702A65" w:rsidR="00723E90" w:rsidRDefault="00723E90" w:rsidP="00D33872">
            <w:pPr>
              <w:spacing w:line="276" w:lineRule="auto"/>
              <w:jc w:val="center"/>
              <w:rPr>
                <w:b/>
                <w:bCs/>
                <w:lang w:val="en-US"/>
              </w:rPr>
            </w:pPr>
            <w:r w:rsidRPr="004147E2">
              <w:t>26</w:t>
            </w:r>
          </w:p>
        </w:tc>
        <w:tc>
          <w:tcPr>
            <w:tcW w:w="963" w:type="dxa"/>
            <w:tcBorders>
              <w:top w:val="nil"/>
              <w:bottom w:val="single" w:sz="4" w:space="0" w:color="000000" w:themeColor="text1"/>
              <w:right w:val="double" w:sz="4" w:space="0" w:color="000000" w:themeColor="text1"/>
            </w:tcBorders>
          </w:tcPr>
          <w:p w14:paraId="723AEDE5" w14:textId="77777777" w:rsidR="00723E90" w:rsidRDefault="00723E90" w:rsidP="00D33872">
            <w:pPr>
              <w:spacing w:line="276" w:lineRule="auto"/>
              <w:jc w:val="center"/>
              <w:rPr>
                <w:b/>
                <w:bCs/>
                <w:lang w:val="en-US"/>
              </w:rPr>
            </w:pPr>
          </w:p>
        </w:tc>
        <w:tc>
          <w:tcPr>
            <w:tcW w:w="1442" w:type="dxa"/>
            <w:tcBorders>
              <w:left w:val="double" w:sz="4" w:space="0" w:color="000000" w:themeColor="text1"/>
            </w:tcBorders>
          </w:tcPr>
          <w:p w14:paraId="59C555CA" w14:textId="3817359D" w:rsidR="00723E90" w:rsidRDefault="00723E90" w:rsidP="00D33872">
            <w:pPr>
              <w:spacing w:line="276" w:lineRule="auto"/>
              <w:jc w:val="center"/>
              <w:rPr>
                <w:b/>
                <w:bCs/>
                <w:lang w:val="en-US"/>
              </w:rPr>
            </w:pPr>
            <w:r w:rsidRPr="004147E2">
              <w:rPr>
                <w:lang w:val="en-US"/>
              </w:rPr>
              <w:t>69</w:t>
            </w:r>
          </w:p>
        </w:tc>
      </w:tr>
    </w:tbl>
    <w:p w14:paraId="3AA43860" w14:textId="77777777" w:rsidR="00723E90" w:rsidRPr="004147E2" w:rsidRDefault="00723E90" w:rsidP="00792590">
      <w:pPr>
        <w:spacing w:line="480" w:lineRule="auto"/>
        <w:jc w:val="both"/>
        <w:rPr>
          <w:b/>
          <w:bCs/>
          <w:lang w:val="en-US"/>
        </w:rPr>
      </w:pPr>
    </w:p>
    <w:p w14:paraId="1405D9E9" w14:textId="56C58E1F" w:rsidR="000F7280" w:rsidRDefault="00792590" w:rsidP="00792590">
      <w:pPr>
        <w:spacing w:line="480" w:lineRule="auto"/>
        <w:ind w:firstLine="720"/>
        <w:jc w:val="both"/>
        <w:rPr>
          <w:lang w:val="en-US"/>
        </w:rPr>
      </w:pPr>
      <w:r w:rsidRPr="004147E2">
        <w:rPr>
          <w:lang w:val="en-US"/>
        </w:rPr>
        <w:t>The 6</w:t>
      </w:r>
      <w:r w:rsidR="002160B5" w:rsidRPr="004147E2">
        <w:rPr>
          <w:lang w:val="en-US"/>
        </w:rPr>
        <w:t>9</w:t>
      </w:r>
      <w:r w:rsidRPr="004147E2">
        <w:rPr>
          <w:lang w:val="en-US"/>
        </w:rPr>
        <w:t xml:space="preserve"> significant differentially spliced (DS) genes were classified into 18 mutually inclusive functional categories (</w:t>
      </w:r>
      <w:r w:rsidR="00946DB0" w:rsidRPr="004147E2">
        <w:rPr>
          <w:lang w:val="en-US"/>
        </w:rPr>
        <w:t>Supplementary data</w:t>
      </w:r>
      <w:r w:rsidR="007B78A0" w:rsidRPr="004147E2">
        <w:rPr>
          <w:lang w:val="en-US"/>
        </w:rPr>
        <w:t xml:space="preserve"> S</w:t>
      </w:r>
      <w:r w:rsidR="001D6609">
        <w:rPr>
          <w:lang w:val="en-US"/>
        </w:rPr>
        <w:t>5</w:t>
      </w:r>
      <w:r w:rsidR="007B78A0" w:rsidRPr="004147E2">
        <w:rPr>
          <w:lang w:val="en-US"/>
        </w:rPr>
        <w:t>).</w:t>
      </w:r>
      <w:r w:rsidRPr="004147E2">
        <w:rPr>
          <w:lang w:val="en-US"/>
        </w:rPr>
        <w:t xml:space="preserve"> The top f</w:t>
      </w:r>
      <w:r w:rsidR="00B60406" w:rsidRPr="004147E2">
        <w:rPr>
          <w:lang w:val="en-US"/>
        </w:rPr>
        <w:t>ive</w:t>
      </w:r>
      <w:r w:rsidRPr="004147E2">
        <w:rPr>
          <w:lang w:val="en-US"/>
        </w:rPr>
        <w:t xml:space="preserve"> categories based on the number of</w:t>
      </w:r>
      <w:r w:rsidR="00CF7A28" w:rsidRPr="004147E2">
        <w:rPr>
          <w:lang w:val="en-US"/>
        </w:rPr>
        <w:t xml:space="preserve"> DS</w:t>
      </w:r>
      <w:r w:rsidRPr="004147E2">
        <w:rPr>
          <w:lang w:val="en-US"/>
        </w:rPr>
        <w:t xml:space="preserve"> genes were “Endoplasmic reticulum &amp; Golgi apparatus” (16 genes), “metabolism” (16 genes), “development &amp; growth” (15 genes), “</w:t>
      </w:r>
      <w:r w:rsidR="000F7280" w:rsidRPr="004147E2">
        <w:rPr>
          <w:lang w:val="en-US"/>
        </w:rPr>
        <w:t>s</w:t>
      </w:r>
      <w:r w:rsidRPr="004147E2">
        <w:rPr>
          <w:lang w:val="en-US"/>
        </w:rPr>
        <w:t xml:space="preserve">ignaling” (14 genes), “RNA binding &amp; processing” (13 genes). </w:t>
      </w:r>
    </w:p>
    <w:p w14:paraId="73EA165F" w14:textId="77777777" w:rsidR="00600051" w:rsidRPr="004147E2" w:rsidRDefault="00600051" w:rsidP="00792590">
      <w:pPr>
        <w:spacing w:line="480" w:lineRule="auto"/>
        <w:ind w:firstLine="720"/>
        <w:jc w:val="both"/>
        <w:rPr>
          <w:rFonts w:eastAsia="MS Mincho"/>
          <w:lang w:val="en-US"/>
        </w:rPr>
      </w:pPr>
    </w:p>
    <w:p w14:paraId="029A6E50" w14:textId="5E615D50" w:rsidR="00792590" w:rsidRPr="004147E2" w:rsidRDefault="00792590" w:rsidP="00792590">
      <w:pPr>
        <w:spacing w:line="480" w:lineRule="auto"/>
        <w:jc w:val="both"/>
        <w:rPr>
          <w:b/>
          <w:bCs/>
        </w:rPr>
      </w:pPr>
      <w:r w:rsidRPr="004147E2">
        <w:rPr>
          <w:b/>
          <w:bCs/>
        </w:rPr>
        <w:t xml:space="preserve">Onset of </w:t>
      </w:r>
      <w:r w:rsidR="00E83BB3" w:rsidRPr="004147E2">
        <w:rPr>
          <w:b/>
          <w:bCs/>
        </w:rPr>
        <w:t xml:space="preserve">the </w:t>
      </w:r>
      <w:r w:rsidRPr="004147E2">
        <w:rPr>
          <w:b/>
          <w:bCs/>
        </w:rPr>
        <w:t>heatwave</w:t>
      </w:r>
    </w:p>
    <w:p w14:paraId="0774F4F4" w14:textId="2EB54979" w:rsidR="000F7280" w:rsidRDefault="00AC463D" w:rsidP="00600051">
      <w:pPr>
        <w:spacing w:line="480" w:lineRule="auto"/>
        <w:ind w:firstLine="720"/>
        <w:jc w:val="both"/>
        <w:rPr>
          <w:lang w:val="en-US"/>
        </w:rPr>
      </w:pPr>
      <w:r w:rsidRPr="004147E2">
        <w:rPr>
          <w:lang w:val="en-US"/>
        </w:rPr>
        <w:t xml:space="preserve">In total, </w:t>
      </w:r>
      <w:r w:rsidR="00DE60E1" w:rsidRPr="004147E2">
        <w:rPr>
          <w:lang w:val="en-US"/>
        </w:rPr>
        <w:t>40 genes were identified to be differentially spliced during the onset of the heatwave which was characterized by a sharp temperature rise</w:t>
      </w:r>
      <w:r w:rsidR="009E0969" w:rsidRPr="004147E2">
        <w:rPr>
          <w:lang w:val="en-US"/>
        </w:rPr>
        <w:t xml:space="preserve"> </w:t>
      </w:r>
      <w:r w:rsidR="00C858D0" w:rsidRPr="004147E2">
        <w:rPr>
          <w:lang w:val="en-US"/>
        </w:rPr>
        <w:t>in the</w:t>
      </w:r>
      <w:r w:rsidR="00926EAF" w:rsidRPr="004147E2">
        <w:rPr>
          <w:lang w:val="en-US"/>
        </w:rPr>
        <w:t xml:space="preserve"> </w:t>
      </w:r>
      <w:r w:rsidR="009E0969" w:rsidRPr="004147E2">
        <w:rPr>
          <w:lang w:val="en-US"/>
        </w:rPr>
        <w:t>average</w:t>
      </w:r>
      <w:r w:rsidR="003538CE" w:rsidRPr="004147E2">
        <w:rPr>
          <w:lang w:val="en-US"/>
        </w:rPr>
        <w:t xml:space="preserve"> monthly </w:t>
      </w:r>
      <w:r w:rsidR="003538CE" w:rsidRPr="004147E2">
        <w:rPr>
          <w:lang w:val="en-US"/>
        </w:rPr>
        <w:lastRenderedPageBreak/>
        <w:t>temperature</w:t>
      </w:r>
      <w:r w:rsidR="009E0969" w:rsidRPr="004147E2">
        <w:rPr>
          <w:lang w:val="en-US"/>
        </w:rPr>
        <w:t xml:space="preserve"> of </w:t>
      </w:r>
      <w:r w:rsidR="003538CE" w:rsidRPr="004147E2">
        <w:rPr>
          <w:lang w:val="en-US"/>
        </w:rPr>
        <w:t>28.4°C</w:t>
      </w:r>
      <w:r w:rsidR="009E0969" w:rsidRPr="004147E2">
        <w:rPr>
          <w:lang w:val="en-US"/>
        </w:rPr>
        <w:t xml:space="preserve"> to </w:t>
      </w:r>
      <w:r w:rsidR="003538CE" w:rsidRPr="004147E2">
        <w:rPr>
          <w:lang w:val="en-US"/>
        </w:rPr>
        <w:t>29.5°C</w:t>
      </w:r>
      <w:r w:rsidR="00CC44EA" w:rsidRPr="004147E2">
        <w:rPr>
          <w:lang w:val="en-US"/>
        </w:rPr>
        <w:t xml:space="preserve"> </w:t>
      </w:r>
      <w:r w:rsidR="00CC44EA" w:rsidRPr="004147E2">
        <w:rPr>
          <w:rFonts w:eastAsia="MS Mincho"/>
          <w:lang w:val="en-US"/>
        </w:rPr>
        <w:t>(</w:t>
      </w:r>
      <w:r w:rsidR="00946DB0" w:rsidRPr="004147E2">
        <w:rPr>
          <w:rFonts w:eastAsia="MS Mincho"/>
          <w:lang w:val="en-US"/>
        </w:rPr>
        <w:t>Supplementary data</w:t>
      </w:r>
      <w:r w:rsidR="00CC44EA" w:rsidRPr="004147E2">
        <w:rPr>
          <w:rFonts w:eastAsia="MS Mincho"/>
          <w:lang w:val="en-US"/>
        </w:rPr>
        <w:t xml:space="preserve"> S</w:t>
      </w:r>
      <w:r w:rsidR="00EC090E" w:rsidRPr="004147E2">
        <w:rPr>
          <w:rFonts w:eastAsia="MS Mincho"/>
          <w:lang w:val="en-US"/>
        </w:rPr>
        <w:t>1</w:t>
      </w:r>
      <w:r w:rsidR="00094263" w:rsidRPr="004147E2">
        <w:rPr>
          <w:rFonts w:eastAsia="MS Mincho"/>
          <w:lang w:val="en-US"/>
        </w:rPr>
        <w:t>)</w:t>
      </w:r>
      <w:r w:rsidR="00DE60E1" w:rsidRPr="004147E2">
        <w:rPr>
          <w:lang w:val="en-US"/>
        </w:rPr>
        <w:t xml:space="preserve">. </w:t>
      </w:r>
      <w:r w:rsidR="003538CE" w:rsidRPr="004147E2">
        <w:rPr>
          <w:lang w:val="en-US"/>
        </w:rPr>
        <w:t>T</w:t>
      </w:r>
      <w:r w:rsidR="00D87FC9" w:rsidRPr="004147E2">
        <w:rPr>
          <w:lang w:val="en-US"/>
        </w:rPr>
        <w:t>he</w:t>
      </w:r>
      <w:r w:rsidR="003538CE" w:rsidRPr="004147E2">
        <w:rPr>
          <w:lang w:val="en-US"/>
        </w:rPr>
        <w:t xml:space="preserve"> DS</w:t>
      </w:r>
      <w:r w:rsidR="00D87FC9" w:rsidRPr="004147E2">
        <w:rPr>
          <w:lang w:val="en-US"/>
        </w:rPr>
        <w:t xml:space="preserve"> </w:t>
      </w:r>
      <w:r w:rsidR="00792590" w:rsidRPr="004147E2">
        <w:rPr>
          <w:lang w:val="en-US"/>
        </w:rPr>
        <w:t>genes were associated with defense mechanisms</w:t>
      </w:r>
      <w:r w:rsidR="009E69A8" w:rsidRPr="004147E2">
        <w:rPr>
          <w:lang w:val="en-US"/>
        </w:rPr>
        <w:t xml:space="preserve"> (</w:t>
      </w:r>
      <w:proofErr w:type="gramStart"/>
      <w:r w:rsidR="009E69A8" w:rsidRPr="004147E2">
        <w:rPr>
          <w:lang w:val="en-US"/>
        </w:rPr>
        <w:t>i.e.</w:t>
      </w:r>
      <w:proofErr w:type="gramEnd"/>
      <w:r w:rsidR="009E69A8" w:rsidRPr="004147E2">
        <w:rPr>
          <w:lang w:val="en-US"/>
        </w:rPr>
        <w:t xml:space="preserve"> </w:t>
      </w:r>
      <w:r w:rsidR="00792590" w:rsidRPr="004147E2">
        <w:rPr>
          <w:lang w:val="en-US"/>
        </w:rPr>
        <w:t xml:space="preserve">apoptosis, immune and inflammatory response, </w:t>
      </w:r>
      <w:r w:rsidR="009E69A8" w:rsidRPr="004147E2">
        <w:rPr>
          <w:lang w:val="en-US"/>
        </w:rPr>
        <w:t>and tumor suppression)</w:t>
      </w:r>
      <w:r w:rsidR="00D87FC9" w:rsidRPr="004147E2">
        <w:rPr>
          <w:lang w:val="en-US"/>
        </w:rPr>
        <w:t xml:space="preserve"> including</w:t>
      </w:r>
      <w:r w:rsidR="00792590" w:rsidRPr="004147E2">
        <w:rPr>
          <w:lang w:val="en-US"/>
        </w:rPr>
        <w:t xml:space="preserve"> </w:t>
      </w:r>
      <w:r w:rsidR="00185D43" w:rsidRPr="004147E2">
        <w:rPr>
          <w:i/>
          <w:iCs/>
          <w:lang w:val="en-US"/>
        </w:rPr>
        <w:t>m</w:t>
      </w:r>
      <w:r w:rsidR="00792590" w:rsidRPr="004147E2">
        <w:rPr>
          <w:i/>
          <w:iCs/>
          <w:lang w:val="en-US"/>
        </w:rPr>
        <w:t>itogen-</w:t>
      </w:r>
      <w:r w:rsidR="00185D43" w:rsidRPr="004147E2">
        <w:rPr>
          <w:i/>
          <w:iCs/>
          <w:lang w:val="en-US"/>
        </w:rPr>
        <w:t>a</w:t>
      </w:r>
      <w:r w:rsidR="00792590" w:rsidRPr="004147E2">
        <w:rPr>
          <w:i/>
          <w:iCs/>
          <w:lang w:val="en-US"/>
        </w:rPr>
        <w:t xml:space="preserve">ctivated </w:t>
      </w:r>
      <w:r w:rsidR="00185D43" w:rsidRPr="004147E2">
        <w:rPr>
          <w:i/>
          <w:iCs/>
          <w:lang w:val="en-US"/>
        </w:rPr>
        <w:t>p</w:t>
      </w:r>
      <w:r w:rsidR="00792590" w:rsidRPr="004147E2">
        <w:rPr>
          <w:i/>
          <w:iCs/>
          <w:lang w:val="en-US"/>
        </w:rPr>
        <w:t xml:space="preserve">rotein </w:t>
      </w:r>
      <w:r w:rsidR="00185D43" w:rsidRPr="004147E2">
        <w:rPr>
          <w:i/>
          <w:iCs/>
          <w:lang w:val="en-US"/>
        </w:rPr>
        <w:t>k</w:t>
      </w:r>
      <w:r w:rsidR="00792590" w:rsidRPr="004147E2">
        <w:rPr>
          <w:i/>
          <w:iCs/>
          <w:lang w:val="en-US"/>
        </w:rPr>
        <w:t>inase 14</w:t>
      </w:r>
      <w:r w:rsidR="00792590" w:rsidRPr="004147E2">
        <w:rPr>
          <w:lang w:val="en-US"/>
        </w:rPr>
        <w:t xml:space="preserve"> (</w:t>
      </w:r>
      <w:r w:rsidR="00DA420E" w:rsidRPr="004147E2">
        <w:rPr>
          <w:i/>
          <w:iCs/>
          <w:lang w:val="en-US"/>
        </w:rPr>
        <w:t>mapk</w:t>
      </w:r>
      <w:r w:rsidR="00792590" w:rsidRPr="004147E2">
        <w:rPr>
          <w:i/>
          <w:iCs/>
          <w:lang w:val="en-US"/>
        </w:rPr>
        <w:t>14a</w:t>
      </w:r>
      <w:r w:rsidR="00792590" w:rsidRPr="004147E2">
        <w:rPr>
          <w:lang w:val="en-US"/>
        </w:rPr>
        <w:t xml:space="preserve">), </w:t>
      </w:r>
      <w:r w:rsidR="00185D43" w:rsidRPr="004147E2">
        <w:rPr>
          <w:i/>
          <w:iCs/>
          <w:lang w:val="en-US"/>
        </w:rPr>
        <w:t>s</w:t>
      </w:r>
      <w:r w:rsidR="00792590" w:rsidRPr="004147E2">
        <w:rPr>
          <w:i/>
          <w:iCs/>
          <w:lang w:val="en-US"/>
        </w:rPr>
        <w:t xml:space="preserve">tructure </w:t>
      </w:r>
      <w:r w:rsidR="00185D43" w:rsidRPr="004147E2">
        <w:rPr>
          <w:i/>
          <w:iCs/>
          <w:lang w:val="en-US"/>
        </w:rPr>
        <w:t>s</w:t>
      </w:r>
      <w:r w:rsidR="00792590" w:rsidRPr="004147E2">
        <w:rPr>
          <w:i/>
          <w:iCs/>
          <w:lang w:val="en-US"/>
        </w:rPr>
        <w:t xml:space="preserve">pecific </w:t>
      </w:r>
      <w:r w:rsidR="00185D43" w:rsidRPr="004147E2">
        <w:rPr>
          <w:i/>
          <w:iCs/>
          <w:lang w:val="en-US"/>
        </w:rPr>
        <w:t>r</w:t>
      </w:r>
      <w:r w:rsidR="00792590" w:rsidRPr="004147E2">
        <w:rPr>
          <w:i/>
          <w:iCs/>
          <w:lang w:val="en-US"/>
        </w:rPr>
        <w:t xml:space="preserve">ecognition </w:t>
      </w:r>
      <w:r w:rsidR="00185D43" w:rsidRPr="004147E2">
        <w:rPr>
          <w:i/>
          <w:iCs/>
          <w:lang w:val="en-US"/>
        </w:rPr>
        <w:t>p</w:t>
      </w:r>
      <w:r w:rsidR="00792590" w:rsidRPr="004147E2">
        <w:rPr>
          <w:i/>
          <w:iCs/>
          <w:lang w:val="en-US"/>
        </w:rPr>
        <w:t>rotein 1</w:t>
      </w:r>
      <w:r w:rsidR="00792590" w:rsidRPr="004147E2">
        <w:rPr>
          <w:lang w:val="en-US"/>
        </w:rPr>
        <w:t xml:space="preserve"> (</w:t>
      </w:r>
      <w:r w:rsidR="00DA420E" w:rsidRPr="004147E2">
        <w:rPr>
          <w:lang w:val="en-US"/>
        </w:rPr>
        <w:t>ssrp</w:t>
      </w:r>
      <w:r w:rsidR="00792590" w:rsidRPr="004147E2">
        <w:rPr>
          <w:i/>
          <w:iCs/>
          <w:lang w:val="en-US"/>
        </w:rPr>
        <w:t>1</w:t>
      </w:r>
      <w:r w:rsidR="00792590" w:rsidRPr="004147E2">
        <w:rPr>
          <w:lang w:val="en-US"/>
        </w:rPr>
        <w:t xml:space="preserve">) and </w:t>
      </w:r>
      <w:r w:rsidR="00792590" w:rsidRPr="004147E2">
        <w:rPr>
          <w:i/>
          <w:iCs/>
          <w:lang w:val="en-US"/>
        </w:rPr>
        <w:t xml:space="preserve">DAB </w:t>
      </w:r>
      <w:r w:rsidR="00185D43" w:rsidRPr="004147E2">
        <w:rPr>
          <w:i/>
          <w:iCs/>
          <w:lang w:val="en-US"/>
        </w:rPr>
        <w:t>a</w:t>
      </w:r>
      <w:r w:rsidR="00792590" w:rsidRPr="004147E2">
        <w:rPr>
          <w:i/>
          <w:iCs/>
          <w:lang w:val="en-US"/>
        </w:rPr>
        <w:t xml:space="preserve">daptor </w:t>
      </w:r>
      <w:r w:rsidR="00185D43" w:rsidRPr="004147E2">
        <w:rPr>
          <w:i/>
          <w:iCs/>
          <w:lang w:val="en-US"/>
        </w:rPr>
        <w:t>p</w:t>
      </w:r>
      <w:r w:rsidR="00792590" w:rsidRPr="004147E2">
        <w:rPr>
          <w:i/>
          <w:iCs/>
          <w:lang w:val="en-US"/>
        </w:rPr>
        <w:t>rotein 2</w:t>
      </w:r>
      <w:r w:rsidR="00792590" w:rsidRPr="004147E2">
        <w:rPr>
          <w:lang w:val="en-US"/>
        </w:rPr>
        <w:t xml:space="preserve"> (</w:t>
      </w:r>
      <w:r w:rsidR="00DA420E" w:rsidRPr="004147E2">
        <w:rPr>
          <w:lang w:val="en-US"/>
        </w:rPr>
        <w:t>dab</w:t>
      </w:r>
      <w:r w:rsidR="00792590" w:rsidRPr="004147E2">
        <w:rPr>
          <w:i/>
          <w:iCs/>
          <w:lang w:val="en-US"/>
        </w:rPr>
        <w:t>2</w:t>
      </w:r>
      <w:r w:rsidR="00792590" w:rsidRPr="004147E2">
        <w:rPr>
          <w:lang w:val="en-US"/>
        </w:rPr>
        <w:t xml:space="preserve">). </w:t>
      </w:r>
      <w:r w:rsidR="005F7CAB" w:rsidRPr="004147E2">
        <w:rPr>
          <w:lang w:val="en-US"/>
        </w:rPr>
        <w:t xml:space="preserve">Differentially </w:t>
      </w:r>
      <w:r w:rsidR="00792590" w:rsidRPr="004147E2">
        <w:rPr>
          <w:lang w:val="en-US"/>
        </w:rPr>
        <w:t xml:space="preserve">spliced genes closely related to the endoplasmic reticulum and Golgi apparatus with endocytic pathway were also identified in the same period, such as </w:t>
      </w:r>
      <w:r w:rsidR="00DA420E" w:rsidRPr="004147E2">
        <w:rPr>
          <w:i/>
          <w:iCs/>
          <w:lang w:val="en-US"/>
        </w:rPr>
        <w:t>sec</w:t>
      </w:r>
      <w:r w:rsidR="008C7035" w:rsidRPr="004147E2">
        <w:rPr>
          <w:i/>
          <w:iCs/>
          <w:lang w:val="en-US"/>
        </w:rPr>
        <w:t xml:space="preserve">31 </w:t>
      </w:r>
      <w:r w:rsidR="00DA420E" w:rsidRPr="004147E2">
        <w:rPr>
          <w:i/>
          <w:iCs/>
          <w:lang w:val="en-US"/>
        </w:rPr>
        <w:t>h</w:t>
      </w:r>
      <w:r w:rsidR="008C7035" w:rsidRPr="004147E2">
        <w:rPr>
          <w:i/>
          <w:iCs/>
          <w:lang w:val="en-US"/>
        </w:rPr>
        <w:t>omolog A</w:t>
      </w:r>
      <w:r w:rsidR="00792590" w:rsidRPr="004147E2">
        <w:rPr>
          <w:lang w:val="en-US"/>
        </w:rPr>
        <w:t xml:space="preserve">, as well as genes responsible for </w:t>
      </w:r>
      <w:proofErr w:type="gramStart"/>
      <w:r w:rsidR="00792590" w:rsidRPr="004147E2">
        <w:rPr>
          <w:lang w:val="en-US"/>
        </w:rPr>
        <w:t>Ca(</w:t>
      </w:r>
      <w:proofErr w:type="gramEnd"/>
      <w:r w:rsidR="00792590" w:rsidRPr="004147E2">
        <w:rPr>
          <w:lang w:val="en-US"/>
        </w:rPr>
        <w:t xml:space="preserve">2+) influx and </w:t>
      </w:r>
      <w:r w:rsidR="009E69A8" w:rsidRPr="004147E2">
        <w:rPr>
          <w:lang w:val="en-US"/>
        </w:rPr>
        <w:t xml:space="preserve">maintenance </w:t>
      </w:r>
      <w:r w:rsidR="00792590" w:rsidRPr="004147E2">
        <w:rPr>
          <w:lang w:val="en-US"/>
        </w:rPr>
        <w:t xml:space="preserve">of cellular structure such as </w:t>
      </w:r>
      <w:r w:rsidR="00185D43" w:rsidRPr="004147E2">
        <w:rPr>
          <w:i/>
          <w:iCs/>
          <w:lang w:val="en-US"/>
        </w:rPr>
        <w:t>a</w:t>
      </w:r>
      <w:r w:rsidR="0070383F" w:rsidRPr="004147E2">
        <w:rPr>
          <w:i/>
          <w:iCs/>
          <w:lang w:val="en-US"/>
        </w:rPr>
        <w:t xml:space="preserve">spartate </w:t>
      </w:r>
      <w:r w:rsidR="00185D43" w:rsidRPr="004147E2">
        <w:rPr>
          <w:i/>
          <w:iCs/>
          <w:lang w:val="en-US"/>
        </w:rPr>
        <w:t>b</w:t>
      </w:r>
      <w:r w:rsidR="0070383F" w:rsidRPr="004147E2">
        <w:rPr>
          <w:i/>
          <w:iCs/>
          <w:lang w:val="en-US"/>
        </w:rPr>
        <w:t>eta-</w:t>
      </w:r>
      <w:r w:rsidR="00185D43" w:rsidRPr="004147E2">
        <w:rPr>
          <w:i/>
          <w:iCs/>
          <w:lang w:val="en-US"/>
        </w:rPr>
        <w:t>h</w:t>
      </w:r>
      <w:r w:rsidR="0070383F" w:rsidRPr="004147E2">
        <w:rPr>
          <w:i/>
          <w:iCs/>
          <w:lang w:val="en-US"/>
        </w:rPr>
        <w:t>ydroxylase</w:t>
      </w:r>
      <w:r w:rsidR="0070383F" w:rsidRPr="004147E2">
        <w:rPr>
          <w:lang w:val="en-US"/>
        </w:rPr>
        <w:t xml:space="preserve"> (</w:t>
      </w:r>
      <w:proofErr w:type="spellStart"/>
      <w:r w:rsidR="00DA420E" w:rsidRPr="004147E2">
        <w:rPr>
          <w:lang w:val="en-US"/>
        </w:rPr>
        <w:t>asph</w:t>
      </w:r>
      <w:proofErr w:type="spellEnd"/>
      <w:r w:rsidR="0070383F" w:rsidRPr="004147E2">
        <w:rPr>
          <w:lang w:val="en-US"/>
        </w:rPr>
        <w:t>)</w:t>
      </w:r>
      <w:r w:rsidR="00792590" w:rsidRPr="004147E2">
        <w:rPr>
          <w:lang w:val="en-US"/>
        </w:rPr>
        <w:t xml:space="preserve">, </w:t>
      </w:r>
      <w:proofErr w:type="spellStart"/>
      <w:r w:rsidR="00185D43" w:rsidRPr="004147E2">
        <w:rPr>
          <w:i/>
          <w:iCs/>
          <w:lang w:val="en-US"/>
        </w:rPr>
        <w:t>r</w:t>
      </w:r>
      <w:r w:rsidR="0070383F" w:rsidRPr="004147E2">
        <w:rPr>
          <w:i/>
          <w:iCs/>
          <w:lang w:val="en-US"/>
        </w:rPr>
        <w:t>as</w:t>
      </w:r>
      <w:proofErr w:type="spellEnd"/>
      <w:r w:rsidR="0070383F" w:rsidRPr="004147E2">
        <w:rPr>
          <w:i/>
          <w:iCs/>
          <w:lang w:val="en-US"/>
        </w:rPr>
        <w:t>-related protein 6A</w:t>
      </w:r>
      <w:r w:rsidR="0070383F" w:rsidRPr="004147E2">
        <w:rPr>
          <w:lang w:val="en-US"/>
        </w:rPr>
        <w:t xml:space="preserve"> (</w:t>
      </w:r>
      <w:r w:rsidR="00DA420E" w:rsidRPr="004147E2">
        <w:rPr>
          <w:i/>
          <w:iCs/>
          <w:lang w:val="en-US"/>
        </w:rPr>
        <w:t>rab</w:t>
      </w:r>
      <w:r w:rsidR="00792590" w:rsidRPr="004147E2">
        <w:rPr>
          <w:i/>
          <w:iCs/>
          <w:lang w:val="en-US"/>
        </w:rPr>
        <w:t>6</w:t>
      </w:r>
      <w:r w:rsidR="00DA420E" w:rsidRPr="004147E2">
        <w:rPr>
          <w:i/>
          <w:iCs/>
          <w:lang w:val="en-US"/>
        </w:rPr>
        <w:t>a</w:t>
      </w:r>
      <w:r w:rsidR="0070383F" w:rsidRPr="004147E2">
        <w:rPr>
          <w:lang w:val="en-US"/>
        </w:rPr>
        <w:t>)</w:t>
      </w:r>
      <w:r w:rsidR="00792590" w:rsidRPr="004147E2">
        <w:rPr>
          <w:lang w:val="en-US"/>
        </w:rPr>
        <w:t xml:space="preserve">, </w:t>
      </w:r>
      <w:proofErr w:type="spellStart"/>
      <w:r w:rsidR="00185D43" w:rsidRPr="004147E2">
        <w:rPr>
          <w:i/>
          <w:iCs/>
          <w:lang w:val="en-US"/>
        </w:rPr>
        <w:t>d</w:t>
      </w:r>
      <w:r w:rsidR="00792590" w:rsidRPr="004147E2">
        <w:rPr>
          <w:i/>
          <w:iCs/>
          <w:lang w:val="en-US"/>
        </w:rPr>
        <w:t>ystonin</w:t>
      </w:r>
      <w:proofErr w:type="spellEnd"/>
      <w:r w:rsidR="00792590" w:rsidRPr="004147E2">
        <w:rPr>
          <w:lang w:val="en-US"/>
        </w:rPr>
        <w:t xml:space="preserve"> (</w:t>
      </w:r>
      <w:proofErr w:type="spellStart"/>
      <w:r w:rsidR="00DA420E" w:rsidRPr="004147E2">
        <w:rPr>
          <w:i/>
          <w:iCs/>
          <w:lang w:val="en-US"/>
        </w:rPr>
        <w:t>dst</w:t>
      </w:r>
      <w:proofErr w:type="spellEnd"/>
      <w:r w:rsidR="00792590" w:rsidRPr="004147E2">
        <w:rPr>
          <w:lang w:val="en-US"/>
        </w:rPr>
        <w:t xml:space="preserve">), </w:t>
      </w:r>
      <w:r w:rsidR="00185D43" w:rsidRPr="004147E2">
        <w:rPr>
          <w:i/>
          <w:iCs/>
          <w:lang w:val="en-US"/>
        </w:rPr>
        <w:t>t</w:t>
      </w:r>
      <w:r w:rsidR="00792590" w:rsidRPr="004147E2">
        <w:rPr>
          <w:i/>
          <w:iCs/>
          <w:lang w:val="en-US"/>
        </w:rPr>
        <w:t>ropomyosin 3</w:t>
      </w:r>
      <w:r w:rsidR="00792590" w:rsidRPr="004147E2">
        <w:rPr>
          <w:lang w:val="en-US"/>
        </w:rPr>
        <w:t xml:space="preserve"> (</w:t>
      </w:r>
      <w:r w:rsidR="00DA420E" w:rsidRPr="004147E2">
        <w:rPr>
          <w:i/>
          <w:iCs/>
          <w:lang w:val="en-US"/>
        </w:rPr>
        <w:t>tpm</w:t>
      </w:r>
      <w:r w:rsidR="00792590" w:rsidRPr="004147E2">
        <w:rPr>
          <w:i/>
          <w:iCs/>
          <w:lang w:val="en-US"/>
        </w:rPr>
        <w:t>3</w:t>
      </w:r>
      <w:r w:rsidR="00792590" w:rsidRPr="004147E2">
        <w:rPr>
          <w:lang w:val="en-US"/>
        </w:rPr>
        <w:t xml:space="preserve">), </w:t>
      </w:r>
      <w:r w:rsidR="00185D43" w:rsidRPr="004147E2">
        <w:rPr>
          <w:i/>
          <w:iCs/>
          <w:lang w:val="en-US"/>
        </w:rPr>
        <w:t>m</w:t>
      </w:r>
      <w:r w:rsidR="00792590" w:rsidRPr="004147E2">
        <w:rPr>
          <w:i/>
          <w:iCs/>
          <w:lang w:val="en-US"/>
        </w:rPr>
        <w:t>yosin IXB</w:t>
      </w:r>
      <w:r w:rsidR="00792590" w:rsidRPr="004147E2">
        <w:rPr>
          <w:lang w:val="en-US"/>
        </w:rPr>
        <w:t xml:space="preserve"> (</w:t>
      </w:r>
      <w:r w:rsidR="00DA420E" w:rsidRPr="004147E2">
        <w:rPr>
          <w:lang w:val="en-US"/>
        </w:rPr>
        <w:t>myo</w:t>
      </w:r>
      <w:r w:rsidR="00792590" w:rsidRPr="004147E2">
        <w:rPr>
          <w:i/>
          <w:iCs/>
          <w:lang w:val="en-US"/>
        </w:rPr>
        <w:t>9</w:t>
      </w:r>
      <w:r w:rsidR="00DA420E" w:rsidRPr="004147E2">
        <w:rPr>
          <w:i/>
          <w:iCs/>
          <w:lang w:val="en-US"/>
        </w:rPr>
        <w:t>b</w:t>
      </w:r>
      <w:r w:rsidR="00792590" w:rsidRPr="004147E2">
        <w:rPr>
          <w:lang w:val="en-US"/>
        </w:rPr>
        <w:t xml:space="preserve">) and </w:t>
      </w:r>
      <w:r w:rsidR="00185D43" w:rsidRPr="004147E2">
        <w:rPr>
          <w:i/>
          <w:iCs/>
          <w:lang w:val="en-US"/>
        </w:rPr>
        <w:t>m</w:t>
      </w:r>
      <w:r w:rsidR="00792590" w:rsidRPr="004147E2">
        <w:rPr>
          <w:i/>
          <w:iCs/>
          <w:lang w:val="en-US"/>
        </w:rPr>
        <w:t xml:space="preserve">icrotubule </w:t>
      </w:r>
      <w:r w:rsidR="00185D43" w:rsidRPr="004147E2">
        <w:rPr>
          <w:i/>
          <w:iCs/>
          <w:lang w:val="en-US"/>
        </w:rPr>
        <w:t>a</w:t>
      </w:r>
      <w:r w:rsidR="00792590" w:rsidRPr="004147E2">
        <w:rPr>
          <w:i/>
          <w:iCs/>
          <w:lang w:val="en-US"/>
        </w:rPr>
        <w:t xml:space="preserve">ctin </w:t>
      </w:r>
      <w:r w:rsidR="00185D43" w:rsidRPr="004147E2">
        <w:rPr>
          <w:i/>
          <w:iCs/>
          <w:lang w:val="en-US"/>
        </w:rPr>
        <w:t>c</w:t>
      </w:r>
      <w:r w:rsidR="00792590" w:rsidRPr="004147E2">
        <w:rPr>
          <w:i/>
          <w:iCs/>
          <w:lang w:val="en-US"/>
        </w:rPr>
        <w:t xml:space="preserve">rosslinking Factor 1 </w:t>
      </w:r>
      <w:r w:rsidR="00792590" w:rsidRPr="004147E2">
        <w:rPr>
          <w:lang w:val="en-US"/>
        </w:rPr>
        <w:t>(</w:t>
      </w:r>
      <w:r w:rsidR="00DA420E" w:rsidRPr="004147E2">
        <w:rPr>
          <w:i/>
          <w:iCs/>
          <w:lang w:val="en-US"/>
        </w:rPr>
        <w:t>macf</w:t>
      </w:r>
      <w:r w:rsidR="00792590" w:rsidRPr="004147E2">
        <w:rPr>
          <w:i/>
          <w:iCs/>
          <w:lang w:val="en-US"/>
        </w:rPr>
        <w:t>1</w:t>
      </w:r>
      <w:r w:rsidR="00792590" w:rsidRPr="004147E2">
        <w:rPr>
          <w:lang w:val="en-US"/>
        </w:rPr>
        <w:t xml:space="preserve">). We observed that there were multiple DS genes related to the </w:t>
      </w:r>
      <w:r w:rsidR="00185D43" w:rsidRPr="004147E2">
        <w:rPr>
          <w:lang w:val="en-US"/>
        </w:rPr>
        <w:t>m</w:t>
      </w:r>
      <w:r w:rsidR="00792590" w:rsidRPr="004147E2">
        <w:rPr>
          <w:lang w:val="en-US"/>
        </w:rPr>
        <w:t xml:space="preserve">itogen-activated protein kinase (MAPK) signaling pathway in the initial stage of the heatwave, including </w:t>
      </w:r>
      <w:r w:rsidR="00185D43" w:rsidRPr="004147E2">
        <w:rPr>
          <w:i/>
          <w:iCs/>
          <w:lang w:val="en-US"/>
        </w:rPr>
        <w:t>m</w:t>
      </w:r>
      <w:r w:rsidR="00792590" w:rsidRPr="004147E2">
        <w:rPr>
          <w:i/>
          <w:iCs/>
          <w:lang w:val="en-US"/>
        </w:rPr>
        <w:t>itogen-</w:t>
      </w:r>
      <w:r w:rsidR="00185D43" w:rsidRPr="004147E2">
        <w:rPr>
          <w:i/>
          <w:iCs/>
          <w:lang w:val="en-US"/>
        </w:rPr>
        <w:t>a</w:t>
      </w:r>
      <w:r w:rsidR="00792590" w:rsidRPr="004147E2">
        <w:rPr>
          <w:i/>
          <w:iCs/>
          <w:lang w:val="en-US"/>
        </w:rPr>
        <w:t xml:space="preserve">ctivated </w:t>
      </w:r>
      <w:r w:rsidR="00185D43" w:rsidRPr="004147E2">
        <w:rPr>
          <w:i/>
          <w:iCs/>
          <w:lang w:val="en-US"/>
        </w:rPr>
        <w:t>p</w:t>
      </w:r>
      <w:r w:rsidR="00792590" w:rsidRPr="004147E2">
        <w:rPr>
          <w:i/>
          <w:iCs/>
          <w:lang w:val="en-US"/>
        </w:rPr>
        <w:t xml:space="preserve">rotein </w:t>
      </w:r>
      <w:r w:rsidR="00185D43" w:rsidRPr="004147E2">
        <w:rPr>
          <w:i/>
          <w:iCs/>
          <w:lang w:val="en-US"/>
        </w:rPr>
        <w:t>k</w:t>
      </w:r>
      <w:r w:rsidR="00792590" w:rsidRPr="004147E2">
        <w:rPr>
          <w:i/>
          <w:iCs/>
          <w:lang w:val="en-US"/>
        </w:rPr>
        <w:t>inase 14</w:t>
      </w:r>
      <w:r w:rsidR="00792590" w:rsidRPr="004147E2">
        <w:rPr>
          <w:lang w:val="en-US"/>
        </w:rPr>
        <w:t xml:space="preserve"> (</w:t>
      </w:r>
      <w:r w:rsidR="0012772E" w:rsidRPr="004147E2">
        <w:rPr>
          <w:i/>
          <w:iCs/>
          <w:lang w:val="en-US"/>
        </w:rPr>
        <w:t>mapk</w:t>
      </w:r>
      <w:r w:rsidR="00792590" w:rsidRPr="004147E2">
        <w:rPr>
          <w:i/>
          <w:iCs/>
          <w:lang w:val="en-US"/>
        </w:rPr>
        <w:t>14</w:t>
      </w:r>
      <w:r w:rsidR="00792590" w:rsidRPr="004147E2">
        <w:rPr>
          <w:lang w:val="en-US"/>
        </w:rPr>
        <w:t xml:space="preserve">), </w:t>
      </w:r>
      <w:r w:rsidR="00792590" w:rsidRPr="004147E2">
        <w:rPr>
          <w:i/>
          <w:iCs/>
          <w:lang w:val="en-US"/>
        </w:rPr>
        <w:t xml:space="preserve">ER </w:t>
      </w:r>
      <w:r w:rsidR="00185D43" w:rsidRPr="004147E2">
        <w:rPr>
          <w:i/>
          <w:iCs/>
          <w:lang w:val="en-US"/>
        </w:rPr>
        <w:t>m</w:t>
      </w:r>
      <w:r w:rsidR="00792590" w:rsidRPr="004147E2">
        <w:rPr>
          <w:i/>
          <w:iCs/>
          <w:lang w:val="en-US"/>
        </w:rPr>
        <w:t xml:space="preserve">embrane </w:t>
      </w:r>
      <w:r w:rsidR="00185D43" w:rsidRPr="004147E2">
        <w:rPr>
          <w:i/>
          <w:iCs/>
          <w:lang w:val="en-US"/>
        </w:rPr>
        <w:t>p</w:t>
      </w:r>
      <w:r w:rsidR="00792590" w:rsidRPr="004147E2">
        <w:rPr>
          <w:i/>
          <w:iCs/>
          <w:lang w:val="en-US"/>
        </w:rPr>
        <w:t xml:space="preserve">rotein </w:t>
      </w:r>
      <w:r w:rsidR="00185D43" w:rsidRPr="004147E2">
        <w:rPr>
          <w:i/>
          <w:iCs/>
          <w:lang w:val="en-US"/>
        </w:rPr>
        <w:t>c</w:t>
      </w:r>
      <w:r w:rsidR="00792590" w:rsidRPr="004147E2">
        <w:rPr>
          <w:i/>
          <w:iCs/>
          <w:lang w:val="en-US"/>
        </w:rPr>
        <w:t xml:space="preserve">omplex </w:t>
      </w:r>
      <w:r w:rsidR="00185D43" w:rsidRPr="004147E2">
        <w:rPr>
          <w:i/>
          <w:iCs/>
          <w:lang w:val="en-US"/>
        </w:rPr>
        <w:t>s</w:t>
      </w:r>
      <w:r w:rsidR="00792590" w:rsidRPr="004147E2">
        <w:rPr>
          <w:i/>
          <w:iCs/>
          <w:lang w:val="en-US"/>
        </w:rPr>
        <w:t xml:space="preserve">ubunit 10 </w:t>
      </w:r>
      <w:r w:rsidR="00792590" w:rsidRPr="004147E2">
        <w:rPr>
          <w:lang w:val="en-US"/>
        </w:rPr>
        <w:t>(</w:t>
      </w:r>
      <w:r w:rsidR="0012772E" w:rsidRPr="004147E2">
        <w:rPr>
          <w:i/>
          <w:iCs/>
          <w:lang w:val="en-US"/>
        </w:rPr>
        <w:t>emc</w:t>
      </w:r>
      <w:r w:rsidR="00792590" w:rsidRPr="004147E2">
        <w:rPr>
          <w:i/>
          <w:iCs/>
          <w:lang w:val="en-US"/>
        </w:rPr>
        <w:t>10</w:t>
      </w:r>
      <w:r w:rsidR="00792590" w:rsidRPr="004147E2">
        <w:rPr>
          <w:lang w:val="en-US"/>
        </w:rPr>
        <w:t xml:space="preserve">), </w:t>
      </w:r>
      <w:r w:rsidR="00792590" w:rsidRPr="004147E2">
        <w:rPr>
          <w:i/>
          <w:iCs/>
          <w:lang w:val="en-US"/>
        </w:rPr>
        <w:t xml:space="preserve">TNFAIP3 </w:t>
      </w:r>
      <w:r w:rsidR="00185D43" w:rsidRPr="004147E2">
        <w:rPr>
          <w:i/>
          <w:iCs/>
          <w:lang w:val="en-US"/>
        </w:rPr>
        <w:t>i</w:t>
      </w:r>
      <w:r w:rsidR="00792590" w:rsidRPr="004147E2">
        <w:rPr>
          <w:i/>
          <w:iCs/>
          <w:lang w:val="en-US"/>
        </w:rPr>
        <w:t xml:space="preserve">nteracting </w:t>
      </w:r>
      <w:r w:rsidR="00185D43" w:rsidRPr="004147E2">
        <w:rPr>
          <w:i/>
          <w:iCs/>
          <w:lang w:val="en-US"/>
        </w:rPr>
        <w:t>p</w:t>
      </w:r>
      <w:r w:rsidR="00792590" w:rsidRPr="004147E2">
        <w:rPr>
          <w:i/>
          <w:iCs/>
          <w:lang w:val="en-US"/>
        </w:rPr>
        <w:t>rotein 1</w:t>
      </w:r>
      <w:r w:rsidR="00792590" w:rsidRPr="004147E2">
        <w:rPr>
          <w:lang w:val="en-US"/>
        </w:rPr>
        <w:t xml:space="preserve"> (</w:t>
      </w:r>
      <w:r w:rsidR="0012772E" w:rsidRPr="004147E2">
        <w:rPr>
          <w:i/>
          <w:iCs/>
          <w:lang w:val="en-US"/>
        </w:rPr>
        <w:t>tnip</w:t>
      </w:r>
      <w:r w:rsidR="00792590" w:rsidRPr="004147E2">
        <w:rPr>
          <w:i/>
          <w:iCs/>
          <w:lang w:val="en-US"/>
        </w:rPr>
        <w:t>1</w:t>
      </w:r>
      <w:r w:rsidR="00792590" w:rsidRPr="004147E2">
        <w:rPr>
          <w:lang w:val="en-US"/>
        </w:rPr>
        <w:t xml:space="preserve">), </w:t>
      </w:r>
      <w:r w:rsidR="00185D43" w:rsidRPr="004147E2">
        <w:rPr>
          <w:i/>
          <w:iCs/>
          <w:lang w:val="en-US"/>
        </w:rPr>
        <w:t>m</w:t>
      </w:r>
      <w:r w:rsidR="00792590" w:rsidRPr="004147E2">
        <w:rPr>
          <w:i/>
          <w:iCs/>
          <w:lang w:val="en-US"/>
        </w:rPr>
        <w:t xml:space="preserve">icrotubule </w:t>
      </w:r>
      <w:r w:rsidR="00185D43" w:rsidRPr="004147E2">
        <w:rPr>
          <w:i/>
          <w:iCs/>
          <w:lang w:val="en-US"/>
        </w:rPr>
        <w:t>a</w:t>
      </w:r>
      <w:r w:rsidR="00792590" w:rsidRPr="004147E2">
        <w:rPr>
          <w:i/>
          <w:iCs/>
          <w:lang w:val="en-US"/>
        </w:rPr>
        <w:t xml:space="preserve">ffinity </w:t>
      </w:r>
      <w:r w:rsidR="00185D43" w:rsidRPr="004147E2">
        <w:rPr>
          <w:i/>
          <w:iCs/>
          <w:lang w:val="en-US"/>
        </w:rPr>
        <w:t>r</w:t>
      </w:r>
      <w:r w:rsidR="00792590" w:rsidRPr="004147E2">
        <w:rPr>
          <w:i/>
          <w:iCs/>
          <w:lang w:val="en-US"/>
        </w:rPr>
        <w:t xml:space="preserve">egulating </w:t>
      </w:r>
      <w:r w:rsidR="00185D43" w:rsidRPr="004147E2">
        <w:rPr>
          <w:i/>
          <w:iCs/>
          <w:lang w:val="en-US"/>
        </w:rPr>
        <w:t>k</w:t>
      </w:r>
      <w:r w:rsidR="00792590" w:rsidRPr="004147E2">
        <w:rPr>
          <w:i/>
          <w:iCs/>
          <w:lang w:val="en-US"/>
        </w:rPr>
        <w:t>inase 3</w:t>
      </w:r>
      <w:r w:rsidR="00792590" w:rsidRPr="004147E2">
        <w:rPr>
          <w:lang w:val="en-US"/>
        </w:rPr>
        <w:t xml:space="preserve"> (</w:t>
      </w:r>
      <w:r w:rsidR="0012772E" w:rsidRPr="004147E2">
        <w:rPr>
          <w:i/>
          <w:iCs/>
          <w:lang w:val="en-US"/>
        </w:rPr>
        <w:t>mark</w:t>
      </w:r>
      <w:r w:rsidR="00792590" w:rsidRPr="004147E2">
        <w:rPr>
          <w:i/>
          <w:iCs/>
          <w:lang w:val="en-US"/>
        </w:rPr>
        <w:t>3</w:t>
      </w:r>
      <w:r w:rsidR="00792590" w:rsidRPr="004147E2">
        <w:rPr>
          <w:lang w:val="en-US"/>
        </w:rPr>
        <w:t xml:space="preserve">) and </w:t>
      </w:r>
      <w:r w:rsidR="008906F4" w:rsidRPr="004147E2">
        <w:rPr>
          <w:i/>
          <w:iCs/>
          <w:lang w:val="en-US"/>
        </w:rPr>
        <w:t>c</w:t>
      </w:r>
      <w:r w:rsidR="00792590" w:rsidRPr="004147E2">
        <w:rPr>
          <w:i/>
          <w:iCs/>
          <w:lang w:val="en-US"/>
        </w:rPr>
        <w:t xml:space="preserve">omplement </w:t>
      </w:r>
      <w:r w:rsidR="008565A0" w:rsidRPr="004147E2">
        <w:rPr>
          <w:rFonts w:eastAsia="MS Mincho"/>
          <w:i/>
          <w:iCs/>
          <w:lang w:val="en-US"/>
        </w:rPr>
        <w:t xml:space="preserve">component </w:t>
      </w:r>
      <w:r w:rsidR="00792590" w:rsidRPr="004147E2">
        <w:rPr>
          <w:i/>
          <w:iCs/>
          <w:lang w:val="en-US"/>
        </w:rPr>
        <w:t>3</w:t>
      </w:r>
      <w:r w:rsidR="00792590" w:rsidRPr="004147E2">
        <w:rPr>
          <w:lang w:val="en-US"/>
        </w:rPr>
        <w:t xml:space="preserve"> (</w:t>
      </w:r>
      <w:r w:rsidR="0012772E" w:rsidRPr="004147E2">
        <w:rPr>
          <w:i/>
          <w:iCs/>
          <w:lang w:val="en-US"/>
        </w:rPr>
        <w:t>c</w:t>
      </w:r>
      <w:r w:rsidR="00792590" w:rsidRPr="004147E2">
        <w:rPr>
          <w:i/>
          <w:iCs/>
          <w:lang w:val="en-US"/>
        </w:rPr>
        <w:t>3</w:t>
      </w:r>
      <w:r w:rsidR="00792590" w:rsidRPr="004147E2">
        <w:rPr>
          <w:lang w:val="en-US"/>
        </w:rPr>
        <w:t xml:space="preserve">). It is noteworthy that the genes </w:t>
      </w:r>
      <w:r w:rsidR="009A1FD0" w:rsidRPr="004147E2">
        <w:rPr>
          <w:lang w:val="en-US"/>
        </w:rPr>
        <w:t xml:space="preserve">encoding </w:t>
      </w:r>
      <w:r w:rsidR="00792590" w:rsidRPr="004147E2">
        <w:rPr>
          <w:lang w:val="en-US"/>
        </w:rPr>
        <w:t>for splicing proteins</w:t>
      </w:r>
      <w:r w:rsidR="00E57F93" w:rsidRPr="004147E2">
        <w:rPr>
          <w:lang w:val="en-US"/>
        </w:rPr>
        <w:t xml:space="preserve"> were </w:t>
      </w:r>
      <w:r w:rsidRPr="004147E2">
        <w:rPr>
          <w:lang w:val="en-US"/>
        </w:rPr>
        <w:t xml:space="preserve">themselves </w:t>
      </w:r>
      <w:r w:rsidR="00E57F93" w:rsidRPr="004147E2">
        <w:rPr>
          <w:lang w:val="en-US"/>
        </w:rPr>
        <w:t>differentially spliced</w:t>
      </w:r>
      <w:r w:rsidR="003A5F20" w:rsidRPr="004147E2">
        <w:rPr>
          <w:lang w:val="en-US"/>
        </w:rPr>
        <w:t>, includ</w:t>
      </w:r>
      <w:r w:rsidR="00460731" w:rsidRPr="004147E2">
        <w:rPr>
          <w:lang w:val="en-US"/>
        </w:rPr>
        <w:t>ing</w:t>
      </w:r>
      <w:r w:rsidR="008A405A" w:rsidRPr="004147E2">
        <w:rPr>
          <w:lang w:val="en-US"/>
        </w:rPr>
        <w:t xml:space="preserve"> </w:t>
      </w:r>
      <w:r w:rsidR="00792590" w:rsidRPr="004147E2">
        <w:rPr>
          <w:i/>
          <w:iCs/>
        </w:rPr>
        <w:t>KH-</w:t>
      </w:r>
      <w:r w:rsidR="0080460C" w:rsidRPr="004147E2">
        <w:rPr>
          <w:i/>
          <w:iCs/>
        </w:rPr>
        <w:t>t</w:t>
      </w:r>
      <w:r w:rsidR="00792590" w:rsidRPr="004147E2">
        <w:rPr>
          <w:i/>
          <w:iCs/>
        </w:rPr>
        <w:t xml:space="preserve">ype </w:t>
      </w:r>
      <w:r w:rsidR="0080460C" w:rsidRPr="004147E2">
        <w:rPr>
          <w:i/>
          <w:iCs/>
        </w:rPr>
        <w:t>s</w:t>
      </w:r>
      <w:r w:rsidR="00792590" w:rsidRPr="004147E2">
        <w:rPr>
          <w:i/>
          <w:iCs/>
        </w:rPr>
        <w:t xml:space="preserve">plicing </w:t>
      </w:r>
      <w:r w:rsidR="0080460C" w:rsidRPr="004147E2">
        <w:rPr>
          <w:i/>
          <w:iCs/>
        </w:rPr>
        <w:t>r</w:t>
      </w:r>
      <w:r w:rsidR="00792590" w:rsidRPr="004147E2">
        <w:rPr>
          <w:i/>
          <w:iCs/>
        </w:rPr>
        <w:t xml:space="preserve">egulatory </w:t>
      </w:r>
      <w:r w:rsidR="0080460C" w:rsidRPr="004147E2">
        <w:rPr>
          <w:i/>
          <w:iCs/>
        </w:rPr>
        <w:t>p</w:t>
      </w:r>
      <w:r w:rsidR="00792590" w:rsidRPr="004147E2">
        <w:rPr>
          <w:i/>
          <w:iCs/>
        </w:rPr>
        <w:t>rotein</w:t>
      </w:r>
      <w:r w:rsidR="00792590" w:rsidRPr="004147E2">
        <w:t xml:space="preserve"> (</w:t>
      </w:r>
      <w:proofErr w:type="spellStart"/>
      <w:r w:rsidR="00AE498B" w:rsidRPr="004147E2">
        <w:rPr>
          <w:i/>
          <w:iCs/>
        </w:rPr>
        <w:t>ksrp</w:t>
      </w:r>
      <w:proofErr w:type="spellEnd"/>
      <w:r w:rsidR="0089070D" w:rsidRPr="004147E2">
        <w:t xml:space="preserve">; associated with a </w:t>
      </w:r>
      <w:r w:rsidR="00792590" w:rsidRPr="004147E2">
        <w:t>splicing enhancer</w:t>
      </w:r>
      <w:r w:rsidR="0089070D" w:rsidRPr="004147E2">
        <w:t>),</w:t>
      </w:r>
      <w:r w:rsidR="00792590" w:rsidRPr="004147E2">
        <w:t xml:space="preserve"> </w:t>
      </w:r>
      <w:r w:rsidR="0080460C" w:rsidRPr="004147E2">
        <w:rPr>
          <w:i/>
          <w:iCs/>
        </w:rPr>
        <w:t>s</w:t>
      </w:r>
      <w:r w:rsidR="00792590" w:rsidRPr="004147E2">
        <w:rPr>
          <w:i/>
          <w:iCs/>
        </w:rPr>
        <w:t xml:space="preserve">urvival </w:t>
      </w:r>
      <w:r w:rsidR="00964DFC" w:rsidRPr="004147E2">
        <w:rPr>
          <w:i/>
          <w:iCs/>
        </w:rPr>
        <w:t>o</w:t>
      </w:r>
      <w:r w:rsidR="00792590" w:rsidRPr="004147E2">
        <w:rPr>
          <w:i/>
          <w:iCs/>
        </w:rPr>
        <w:t xml:space="preserve">f </w:t>
      </w:r>
      <w:r w:rsidR="0080460C" w:rsidRPr="004147E2">
        <w:rPr>
          <w:i/>
          <w:iCs/>
        </w:rPr>
        <w:t>m</w:t>
      </w:r>
      <w:r w:rsidR="00792590" w:rsidRPr="004147E2">
        <w:rPr>
          <w:i/>
          <w:iCs/>
        </w:rPr>
        <w:t xml:space="preserve">otor </w:t>
      </w:r>
      <w:r w:rsidR="0080460C" w:rsidRPr="004147E2">
        <w:rPr>
          <w:i/>
          <w:iCs/>
        </w:rPr>
        <w:t>n</w:t>
      </w:r>
      <w:r w:rsidR="00792590" w:rsidRPr="004147E2">
        <w:rPr>
          <w:i/>
          <w:iCs/>
        </w:rPr>
        <w:t>euron 1</w:t>
      </w:r>
      <w:r w:rsidR="00792590" w:rsidRPr="004147E2">
        <w:t xml:space="preserve"> (</w:t>
      </w:r>
      <w:r w:rsidR="00AE498B" w:rsidRPr="004147E2">
        <w:rPr>
          <w:i/>
          <w:iCs/>
        </w:rPr>
        <w:t>smn</w:t>
      </w:r>
      <w:r w:rsidR="00792590" w:rsidRPr="004147E2">
        <w:rPr>
          <w:i/>
          <w:iCs/>
        </w:rPr>
        <w:t>1</w:t>
      </w:r>
      <w:r w:rsidR="0089070D" w:rsidRPr="004147E2">
        <w:t xml:space="preserve">; plays a </w:t>
      </w:r>
      <w:r w:rsidR="00792590" w:rsidRPr="004147E2">
        <w:t>cataly</w:t>
      </w:r>
      <w:r w:rsidR="00964DFC" w:rsidRPr="004147E2">
        <w:t>tic</w:t>
      </w:r>
      <w:r w:rsidR="00792590" w:rsidRPr="004147E2">
        <w:t xml:space="preserve"> role in assembling the </w:t>
      </w:r>
      <w:proofErr w:type="spellStart"/>
      <w:r w:rsidR="00792590" w:rsidRPr="004147E2">
        <w:t>spliceosomal</w:t>
      </w:r>
      <w:proofErr w:type="spellEnd"/>
      <w:r w:rsidR="00792590" w:rsidRPr="004147E2">
        <w:t xml:space="preserve"> complex</w:t>
      </w:r>
      <w:r w:rsidR="0089070D" w:rsidRPr="004147E2">
        <w:t xml:space="preserve">), </w:t>
      </w:r>
      <w:r w:rsidR="00162973" w:rsidRPr="004147E2">
        <w:rPr>
          <w:i/>
          <w:iCs/>
        </w:rPr>
        <w:t>s</w:t>
      </w:r>
      <w:r w:rsidR="00792590" w:rsidRPr="004147E2">
        <w:rPr>
          <w:i/>
          <w:iCs/>
        </w:rPr>
        <w:t>erine/</w:t>
      </w:r>
      <w:r w:rsidR="00162973" w:rsidRPr="004147E2">
        <w:rPr>
          <w:i/>
          <w:iCs/>
        </w:rPr>
        <w:t>a</w:t>
      </w:r>
      <w:r w:rsidR="00792590" w:rsidRPr="004147E2">
        <w:rPr>
          <w:i/>
          <w:iCs/>
        </w:rPr>
        <w:t xml:space="preserve">rginine-rich </w:t>
      </w:r>
      <w:r w:rsidR="00162973" w:rsidRPr="004147E2">
        <w:rPr>
          <w:i/>
          <w:iCs/>
        </w:rPr>
        <w:t>s</w:t>
      </w:r>
      <w:r w:rsidR="00792590" w:rsidRPr="004147E2">
        <w:rPr>
          <w:i/>
          <w:iCs/>
        </w:rPr>
        <w:t xml:space="preserve">plicing </w:t>
      </w:r>
      <w:r w:rsidR="00162973" w:rsidRPr="004147E2">
        <w:rPr>
          <w:i/>
          <w:iCs/>
        </w:rPr>
        <w:t>f</w:t>
      </w:r>
      <w:r w:rsidR="00792590" w:rsidRPr="004147E2">
        <w:rPr>
          <w:i/>
          <w:iCs/>
        </w:rPr>
        <w:t>actor 7</w:t>
      </w:r>
      <w:r w:rsidR="00792590" w:rsidRPr="004147E2">
        <w:t xml:space="preserve"> (</w:t>
      </w:r>
      <w:r w:rsidR="00AE498B" w:rsidRPr="004147E2">
        <w:rPr>
          <w:i/>
          <w:iCs/>
        </w:rPr>
        <w:t>srsf</w:t>
      </w:r>
      <w:r w:rsidR="00792590" w:rsidRPr="004147E2">
        <w:rPr>
          <w:i/>
          <w:iCs/>
        </w:rPr>
        <w:t>7</w:t>
      </w:r>
      <w:r w:rsidR="0089070D" w:rsidRPr="004147E2">
        <w:t xml:space="preserve">; </w:t>
      </w:r>
      <w:r w:rsidR="00792590" w:rsidRPr="004147E2">
        <w:t>interacts with other splicing factors</w:t>
      </w:r>
      <w:r w:rsidR="0089070D" w:rsidRPr="004147E2">
        <w:t xml:space="preserve">), </w:t>
      </w:r>
      <w:r w:rsidR="00792590" w:rsidRPr="004147E2">
        <w:t xml:space="preserve">and </w:t>
      </w:r>
      <w:r w:rsidR="00792590" w:rsidRPr="004147E2">
        <w:rPr>
          <w:i/>
          <w:iCs/>
        </w:rPr>
        <w:t xml:space="preserve">CDC </w:t>
      </w:r>
      <w:r w:rsidR="000870EE" w:rsidRPr="004147E2">
        <w:rPr>
          <w:i/>
          <w:iCs/>
        </w:rPr>
        <w:t>l</w:t>
      </w:r>
      <w:r w:rsidR="00792590" w:rsidRPr="004147E2">
        <w:rPr>
          <w:i/>
          <w:iCs/>
        </w:rPr>
        <w:t xml:space="preserve">ike </w:t>
      </w:r>
      <w:r w:rsidR="000870EE" w:rsidRPr="004147E2">
        <w:rPr>
          <w:i/>
          <w:iCs/>
        </w:rPr>
        <w:t>k</w:t>
      </w:r>
      <w:r w:rsidR="00792590" w:rsidRPr="004147E2">
        <w:rPr>
          <w:i/>
          <w:iCs/>
        </w:rPr>
        <w:t>inase 4</w:t>
      </w:r>
      <w:r w:rsidR="00792590" w:rsidRPr="004147E2">
        <w:t xml:space="preserve"> (</w:t>
      </w:r>
      <w:r w:rsidR="00AE498B" w:rsidRPr="004147E2">
        <w:rPr>
          <w:i/>
          <w:iCs/>
        </w:rPr>
        <w:t>clk</w:t>
      </w:r>
      <w:r w:rsidR="00792590" w:rsidRPr="004147E2">
        <w:rPr>
          <w:i/>
          <w:iCs/>
        </w:rPr>
        <w:t>4</w:t>
      </w:r>
      <w:r w:rsidR="0089070D" w:rsidRPr="004147E2">
        <w:t xml:space="preserve">; </w:t>
      </w:r>
      <w:r w:rsidR="00792590" w:rsidRPr="004147E2">
        <w:t>interact</w:t>
      </w:r>
      <w:r w:rsidR="0089070D" w:rsidRPr="004147E2">
        <w:t>s</w:t>
      </w:r>
      <w:r w:rsidR="00792590" w:rsidRPr="004147E2">
        <w:t xml:space="preserve"> with the serine/arginine-rich splicing proteins</w:t>
      </w:r>
      <w:r w:rsidR="0089070D" w:rsidRPr="004147E2">
        <w:t>)</w:t>
      </w:r>
      <w:r w:rsidR="00792590" w:rsidRPr="004147E2">
        <w:rPr>
          <w:lang w:val="en-US"/>
        </w:rPr>
        <w:t xml:space="preserve">. </w:t>
      </w:r>
    </w:p>
    <w:p w14:paraId="7BD06DFC" w14:textId="77777777" w:rsidR="00600051" w:rsidRPr="004147E2" w:rsidRDefault="00600051" w:rsidP="00600051">
      <w:pPr>
        <w:spacing w:line="480" w:lineRule="auto"/>
        <w:ind w:firstLine="720"/>
        <w:jc w:val="both"/>
        <w:rPr>
          <w:lang w:val="en-US"/>
        </w:rPr>
      </w:pPr>
    </w:p>
    <w:p w14:paraId="3EE91FB6" w14:textId="5AEB9FE4" w:rsidR="00792590" w:rsidRPr="004147E2" w:rsidRDefault="00792590" w:rsidP="00792590">
      <w:pPr>
        <w:spacing w:line="480" w:lineRule="auto"/>
        <w:jc w:val="both"/>
        <w:rPr>
          <w:b/>
          <w:bCs/>
        </w:rPr>
      </w:pPr>
      <w:r w:rsidRPr="004147E2">
        <w:rPr>
          <w:b/>
          <w:bCs/>
        </w:rPr>
        <w:t xml:space="preserve">Prolonged elevated temperature exposure </w:t>
      </w:r>
    </w:p>
    <w:p w14:paraId="7B909BAF" w14:textId="6B3BABFE" w:rsidR="00F36070" w:rsidRDefault="006E4B1E" w:rsidP="00600051">
      <w:pPr>
        <w:spacing w:line="480" w:lineRule="auto"/>
        <w:ind w:firstLine="720"/>
        <w:jc w:val="both"/>
        <w:rPr>
          <w:rFonts w:eastAsia="MS Mincho"/>
          <w:lang w:val="en-US"/>
        </w:rPr>
      </w:pPr>
      <w:r w:rsidRPr="004147E2">
        <w:rPr>
          <w:rFonts w:eastAsia="MS Mincho"/>
          <w:lang w:val="en-US"/>
        </w:rPr>
        <w:t>I</w:t>
      </w:r>
      <w:r w:rsidR="009D773D" w:rsidRPr="004147E2">
        <w:rPr>
          <w:rFonts w:eastAsia="MS Mincho"/>
          <w:lang w:val="en-US"/>
        </w:rPr>
        <w:t xml:space="preserve">n </w:t>
      </w:r>
      <w:r w:rsidR="00094263" w:rsidRPr="004147E2">
        <w:rPr>
          <w:rFonts w:eastAsia="MS Mincho"/>
          <w:lang w:val="en-US"/>
        </w:rPr>
        <w:t xml:space="preserve">the </w:t>
      </w:r>
      <w:r w:rsidR="009D773D" w:rsidRPr="004147E2">
        <w:rPr>
          <w:rFonts w:eastAsia="MS Mincho"/>
          <w:lang w:val="en-US"/>
        </w:rPr>
        <w:t>prolonged period b</w:t>
      </w:r>
      <w:r w:rsidR="00792590" w:rsidRPr="004147E2">
        <w:rPr>
          <w:rFonts w:eastAsia="MS Mincho"/>
          <w:lang w:val="en-US"/>
        </w:rPr>
        <w:t>etween the collection point</w:t>
      </w:r>
      <w:r w:rsidR="001A37C9" w:rsidRPr="004147E2">
        <w:rPr>
          <w:rFonts w:eastAsia="MS Mincho"/>
          <w:lang w:val="en-US"/>
        </w:rPr>
        <w:t>s</w:t>
      </w:r>
      <w:r w:rsidR="00792590" w:rsidRPr="004147E2">
        <w:rPr>
          <w:rFonts w:eastAsia="MS Mincho"/>
          <w:lang w:val="en-US"/>
        </w:rPr>
        <w:t xml:space="preserve"> of February and March</w:t>
      </w:r>
      <w:r w:rsidR="007C2EE5" w:rsidRPr="004147E2">
        <w:rPr>
          <w:rFonts w:eastAsia="MS Mincho"/>
          <w:lang w:val="en-US"/>
        </w:rPr>
        <w:t xml:space="preserve"> (</w:t>
      </w:r>
      <w:proofErr w:type="gramStart"/>
      <w:r w:rsidR="007C2EE5" w:rsidRPr="004147E2">
        <w:rPr>
          <w:rFonts w:eastAsia="MS Mincho"/>
          <w:lang w:val="en-US"/>
        </w:rPr>
        <w:t>i.e.</w:t>
      </w:r>
      <w:proofErr w:type="gramEnd"/>
      <w:r w:rsidR="007C2EE5" w:rsidRPr="004147E2">
        <w:rPr>
          <w:rFonts w:eastAsia="MS Mincho"/>
          <w:lang w:val="en-US"/>
        </w:rPr>
        <w:t xml:space="preserve"> </w:t>
      </w:r>
      <w:r w:rsidR="00792590" w:rsidRPr="004147E2">
        <w:rPr>
          <w:rFonts w:eastAsia="MS Mincho"/>
          <w:lang w:val="en-US"/>
        </w:rPr>
        <w:t xml:space="preserve">exposure to </w:t>
      </w:r>
      <w:r w:rsidR="007C2EE5" w:rsidRPr="004147E2">
        <w:rPr>
          <w:rFonts w:eastAsia="MS Mincho"/>
          <w:lang w:val="en-US"/>
        </w:rPr>
        <w:t>warm temperatures</w:t>
      </w:r>
      <w:r w:rsidR="00792590" w:rsidRPr="004147E2">
        <w:rPr>
          <w:rFonts w:eastAsia="MS Mincho"/>
          <w:lang w:val="en-US"/>
        </w:rPr>
        <w:t xml:space="preserve"> for about a month</w:t>
      </w:r>
      <w:r w:rsidR="007C2EE5" w:rsidRPr="004147E2">
        <w:rPr>
          <w:rFonts w:eastAsia="MS Mincho"/>
          <w:lang w:val="en-US"/>
        </w:rPr>
        <w:t>)</w:t>
      </w:r>
      <w:r w:rsidRPr="004147E2">
        <w:rPr>
          <w:rFonts w:eastAsia="MS Mincho"/>
          <w:lang w:val="en-US"/>
        </w:rPr>
        <w:t xml:space="preserve">, </w:t>
      </w:r>
      <w:r w:rsidR="00094263" w:rsidRPr="004147E2">
        <w:rPr>
          <w:rFonts w:eastAsia="MS Mincho"/>
          <w:lang w:val="en-US"/>
        </w:rPr>
        <w:t xml:space="preserve">a total of 21 genes were significantly DS out of which </w:t>
      </w:r>
      <w:r w:rsidRPr="004147E2">
        <w:rPr>
          <w:rFonts w:eastAsia="MS Mincho"/>
          <w:lang w:val="en-US"/>
        </w:rPr>
        <w:t>e</w:t>
      </w:r>
      <w:r w:rsidR="007A2E36" w:rsidRPr="004147E2">
        <w:rPr>
          <w:rFonts w:eastAsia="MS Mincho"/>
          <w:lang w:val="en-US"/>
        </w:rPr>
        <w:t xml:space="preserve">leven genes were </w:t>
      </w:r>
      <w:r w:rsidR="00094263" w:rsidRPr="004147E2">
        <w:rPr>
          <w:rFonts w:eastAsia="MS Mincho"/>
          <w:lang w:val="en-US"/>
        </w:rPr>
        <w:t xml:space="preserve">unique to this period </w:t>
      </w:r>
      <w:r w:rsidR="006216DA" w:rsidRPr="004147E2">
        <w:rPr>
          <w:rFonts w:eastAsia="MS Mincho"/>
          <w:lang w:val="en-US"/>
        </w:rPr>
        <w:t>(</w:t>
      </w:r>
      <w:r w:rsidR="00946DB0" w:rsidRPr="004147E2">
        <w:rPr>
          <w:rFonts w:eastAsia="MS Mincho"/>
          <w:lang w:val="en-US"/>
        </w:rPr>
        <w:t>Supplementary data</w:t>
      </w:r>
      <w:r w:rsidR="006216DA" w:rsidRPr="004147E2">
        <w:rPr>
          <w:rFonts w:eastAsia="MS Mincho"/>
          <w:lang w:val="en-US"/>
        </w:rPr>
        <w:t xml:space="preserve"> S</w:t>
      </w:r>
      <w:r w:rsidR="00EC090E" w:rsidRPr="004147E2">
        <w:rPr>
          <w:rFonts w:eastAsia="MS Mincho"/>
          <w:lang w:val="en-US"/>
        </w:rPr>
        <w:t>3</w:t>
      </w:r>
      <w:r w:rsidR="006216DA" w:rsidRPr="004147E2">
        <w:rPr>
          <w:rFonts w:eastAsia="MS Mincho"/>
          <w:lang w:val="en-US"/>
        </w:rPr>
        <w:t xml:space="preserve">). </w:t>
      </w:r>
      <w:r w:rsidR="003E422F" w:rsidRPr="004147E2">
        <w:rPr>
          <w:rFonts w:eastAsia="MS Mincho"/>
          <w:lang w:val="en-US"/>
        </w:rPr>
        <w:t xml:space="preserve">Some of these </w:t>
      </w:r>
      <w:r w:rsidR="001A37C9" w:rsidRPr="004147E2">
        <w:rPr>
          <w:rFonts w:eastAsia="MS Mincho"/>
          <w:lang w:val="en-US"/>
        </w:rPr>
        <w:t>genes were</w:t>
      </w:r>
      <w:r w:rsidR="001448E6" w:rsidRPr="004147E2">
        <w:rPr>
          <w:rFonts w:eastAsia="MS Mincho"/>
          <w:lang w:val="en-US"/>
        </w:rPr>
        <w:t xml:space="preserve"> </w:t>
      </w:r>
      <w:r w:rsidR="003E422F" w:rsidRPr="004147E2">
        <w:rPr>
          <w:rFonts w:eastAsia="MS Mincho"/>
          <w:lang w:val="en-US"/>
        </w:rPr>
        <w:t xml:space="preserve">associated with </w:t>
      </w:r>
      <w:r w:rsidR="001448E6" w:rsidRPr="004147E2">
        <w:rPr>
          <w:rFonts w:eastAsia="MS Mincho"/>
          <w:lang w:val="en-US"/>
        </w:rPr>
        <w:t>protein modification</w:t>
      </w:r>
      <w:r w:rsidR="001A37C9" w:rsidRPr="004147E2">
        <w:rPr>
          <w:rFonts w:eastAsia="MS Mincho"/>
          <w:lang w:val="en-US"/>
        </w:rPr>
        <w:t>s</w:t>
      </w:r>
      <w:r w:rsidR="003E422F" w:rsidRPr="004147E2">
        <w:rPr>
          <w:rFonts w:eastAsia="MS Mincho"/>
          <w:lang w:val="en-US"/>
        </w:rPr>
        <w:t xml:space="preserve">: </w:t>
      </w:r>
      <w:r w:rsidR="00DB5EE6" w:rsidRPr="004147E2">
        <w:rPr>
          <w:rFonts w:eastAsia="MS Mincho"/>
          <w:i/>
          <w:iCs/>
          <w:lang w:val="en-US"/>
        </w:rPr>
        <w:t>Acid Phosphatase 1</w:t>
      </w:r>
      <w:r w:rsidR="00DB5EE6" w:rsidRPr="004147E2">
        <w:rPr>
          <w:rFonts w:eastAsia="MS Mincho"/>
          <w:lang w:val="en-US"/>
        </w:rPr>
        <w:t xml:space="preserve"> (</w:t>
      </w:r>
      <w:r w:rsidR="00BA38AD" w:rsidRPr="004147E2">
        <w:rPr>
          <w:rFonts w:eastAsia="MS Mincho"/>
          <w:i/>
          <w:iCs/>
          <w:lang w:val="en-US"/>
        </w:rPr>
        <w:t>acp</w:t>
      </w:r>
      <w:r w:rsidR="001448E6" w:rsidRPr="004147E2">
        <w:rPr>
          <w:rFonts w:eastAsia="MS Mincho"/>
          <w:i/>
          <w:iCs/>
          <w:lang w:val="en-US"/>
        </w:rPr>
        <w:t>1</w:t>
      </w:r>
      <w:r w:rsidR="00DB5EE6" w:rsidRPr="004147E2">
        <w:rPr>
          <w:rFonts w:eastAsia="MS Mincho"/>
          <w:lang w:val="en-US"/>
        </w:rPr>
        <w:t>)</w:t>
      </w:r>
      <w:r w:rsidR="001448E6" w:rsidRPr="004147E2">
        <w:rPr>
          <w:rFonts w:eastAsia="MS Mincho"/>
          <w:lang w:val="en-US"/>
        </w:rPr>
        <w:t xml:space="preserve">, </w:t>
      </w:r>
      <w:r w:rsidR="00DB5EE6" w:rsidRPr="004147E2">
        <w:rPr>
          <w:rFonts w:eastAsia="MS Mincho"/>
          <w:i/>
          <w:iCs/>
          <w:lang w:val="en-US"/>
        </w:rPr>
        <w:t>Hexosaminidase Subunit Beta</w:t>
      </w:r>
      <w:r w:rsidR="00DB5EE6" w:rsidRPr="004147E2">
        <w:rPr>
          <w:rFonts w:eastAsia="MS Mincho"/>
          <w:lang w:val="en-US"/>
        </w:rPr>
        <w:t xml:space="preserve"> (</w:t>
      </w:r>
      <w:proofErr w:type="spellStart"/>
      <w:r w:rsidR="00BA38AD" w:rsidRPr="004147E2">
        <w:rPr>
          <w:rFonts w:eastAsia="MS Mincho"/>
          <w:i/>
          <w:lang w:val="en-US"/>
        </w:rPr>
        <w:t>hexb</w:t>
      </w:r>
      <w:proofErr w:type="spellEnd"/>
      <w:r w:rsidR="00DB5EE6" w:rsidRPr="004147E2">
        <w:rPr>
          <w:rFonts w:eastAsia="MS Mincho"/>
          <w:lang w:val="en-US"/>
        </w:rPr>
        <w:t>)</w:t>
      </w:r>
      <w:r w:rsidR="001448E6" w:rsidRPr="004147E2">
        <w:rPr>
          <w:rFonts w:eastAsia="MS Mincho"/>
          <w:lang w:val="en-US"/>
        </w:rPr>
        <w:t xml:space="preserve"> and </w:t>
      </w:r>
      <w:r w:rsidR="00DB5EE6" w:rsidRPr="004147E2">
        <w:rPr>
          <w:rFonts w:eastAsia="MS Mincho"/>
          <w:i/>
          <w:iCs/>
          <w:lang w:val="en-US"/>
        </w:rPr>
        <w:t>Microtubule Affinity Regulating Kinase 3</w:t>
      </w:r>
      <w:r w:rsidR="00DB5EE6" w:rsidRPr="004147E2">
        <w:rPr>
          <w:rFonts w:eastAsia="MS Mincho"/>
          <w:lang w:val="en-US"/>
        </w:rPr>
        <w:t xml:space="preserve"> (</w:t>
      </w:r>
      <w:r w:rsidR="00BA38AD" w:rsidRPr="004147E2">
        <w:rPr>
          <w:rFonts w:eastAsia="MS Mincho"/>
          <w:i/>
          <w:iCs/>
          <w:lang w:val="en-US"/>
        </w:rPr>
        <w:t>mark</w:t>
      </w:r>
      <w:r w:rsidR="001448E6" w:rsidRPr="004147E2">
        <w:rPr>
          <w:rFonts w:eastAsia="MS Mincho"/>
          <w:i/>
          <w:iCs/>
          <w:lang w:val="en-US"/>
        </w:rPr>
        <w:t>3</w:t>
      </w:r>
      <w:r w:rsidR="00DB5EE6" w:rsidRPr="004147E2">
        <w:rPr>
          <w:rFonts w:eastAsia="MS Mincho"/>
          <w:lang w:val="en-US"/>
        </w:rPr>
        <w:t>)</w:t>
      </w:r>
      <w:r w:rsidR="003E422F" w:rsidRPr="004147E2">
        <w:rPr>
          <w:rFonts w:eastAsia="MS Mincho"/>
          <w:lang w:val="en-US"/>
        </w:rPr>
        <w:t xml:space="preserve">. Meanwhile, others </w:t>
      </w:r>
      <w:r w:rsidR="003E422F" w:rsidRPr="004147E2">
        <w:rPr>
          <w:rFonts w:eastAsia="MS Mincho"/>
          <w:lang w:val="en-US"/>
        </w:rPr>
        <w:lastRenderedPageBreak/>
        <w:t xml:space="preserve">were associated with metabolism: </w:t>
      </w:r>
      <w:r w:rsidR="00C25E21" w:rsidRPr="004147E2">
        <w:rPr>
          <w:rFonts w:eastAsia="MS Mincho"/>
          <w:i/>
          <w:iCs/>
          <w:lang w:val="en-US"/>
        </w:rPr>
        <w:t>Phenazine biosynthesis-like domain-containing protein 1</w:t>
      </w:r>
      <w:r w:rsidR="00C25E21" w:rsidRPr="004147E2">
        <w:rPr>
          <w:rFonts w:eastAsia="MS Mincho"/>
          <w:lang w:val="en-US"/>
        </w:rPr>
        <w:t xml:space="preserve"> (</w:t>
      </w:r>
      <w:r w:rsidR="00BA38AD" w:rsidRPr="004147E2">
        <w:rPr>
          <w:rFonts w:eastAsia="MS Mincho"/>
          <w:i/>
          <w:iCs/>
          <w:lang w:val="en-US"/>
        </w:rPr>
        <w:t>p</w:t>
      </w:r>
      <w:r w:rsidR="009A28F0" w:rsidRPr="004147E2">
        <w:rPr>
          <w:rFonts w:eastAsia="MS Mincho"/>
          <w:i/>
          <w:iCs/>
          <w:lang w:val="en-US"/>
        </w:rPr>
        <w:t>bld1</w:t>
      </w:r>
      <w:r w:rsidR="00C25E21" w:rsidRPr="004147E2">
        <w:rPr>
          <w:rFonts w:eastAsia="MS Mincho"/>
          <w:lang w:val="en-US"/>
        </w:rPr>
        <w:t>)</w:t>
      </w:r>
      <w:r w:rsidR="009A28F0" w:rsidRPr="004147E2">
        <w:rPr>
          <w:rFonts w:eastAsia="MS Mincho"/>
          <w:lang w:val="en-US"/>
        </w:rPr>
        <w:t xml:space="preserve"> involve</w:t>
      </w:r>
      <w:r w:rsidR="00823E7A" w:rsidRPr="004147E2">
        <w:rPr>
          <w:rFonts w:eastAsia="MS Mincho"/>
          <w:lang w:val="en-US"/>
        </w:rPr>
        <w:t>s</w:t>
      </w:r>
      <w:r w:rsidR="009A28F0" w:rsidRPr="004147E2">
        <w:rPr>
          <w:rFonts w:eastAsia="MS Mincho"/>
          <w:lang w:val="en-US"/>
        </w:rPr>
        <w:t xml:space="preserve"> in isomerase activity, </w:t>
      </w:r>
      <w:r w:rsidR="00DB5EE6" w:rsidRPr="004147E2">
        <w:rPr>
          <w:rFonts w:eastAsia="MS Mincho"/>
          <w:i/>
          <w:iCs/>
          <w:lang w:val="en-US"/>
        </w:rPr>
        <w:t>LIM Domain 7</w:t>
      </w:r>
      <w:r w:rsidR="00DB5EE6" w:rsidRPr="004147E2">
        <w:rPr>
          <w:rFonts w:eastAsia="MS Mincho"/>
          <w:lang w:val="en-US"/>
        </w:rPr>
        <w:t xml:space="preserve"> (</w:t>
      </w:r>
      <w:r w:rsidR="00BA38AD" w:rsidRPr="004147E2">
        <w:rPr>
          <w:rFonts w:eastAsia="MS Mincho"/>
          <w:i/>
          <w:iCs/>
          <w:lang w:val="en-US"/>
        </w:rPr>
        <w:t>lmo</w:t>
      </w:r>
      <w:r w:rsidR="009A28F0" w:rsidRPr="004147E2">
        <w:rPr>
          <w:rFonts w:eastAsia="MS Mincho"/>
          <w:i/>
          <w:iCs/>
          <w:lang w:val="en-US"/>
        </w:rPr>
        <w:t>7</w:t>
      </w:r>
      <w:r w:rsidR="00DB5EE6" w:rsidRPr="004147E2">
        <w:rPr>
          <w:rFonts w:eastAsia="MS Mincho"/>
          <w:lang w:val="en-US"/>
        </w:rPr>
        <w:t>)</w:t>
      </w:r>
      <w:r w:rsidR="009A28F0" w:rsidRPr="004147E2">
        <w:rPr>
          <w:rFonts w:eastAsia="MS Mincho"/>
          <w:lang w:val="en-US"/>
        </w:rPr>
        <w:t xml:space="preserve"> participates in ubiquitin-protein transferase activity and </w:t>
      </w:r>
      <w:r w:rsidR="00E3112D" w:rsidRPr="004147E2">
        <w:rPr>
          <w:rFonts w:eastAsia="MS Mincho"/>
          <w:i/>
          <w:iCs/>
          <w:lang w:val="en-US"/>
        </w:rPr>
        <w:t>Putative Monooxygenase</w:t>
      </w:r>
      <w:r w:rsidR="00E3112D" w:rsidRPr="004147E2">
        <w:rPr>
          <w:rFonts w:eastAsia="MS Mincho"/>
          <w:lang w:val="en-US"/>
        </w:rPr>
        <w:t xml:space="preserve"> (</w:t>
      </w:r>
      <w:r w:rsidR="009A28F0" w:rsidRPr="004147E2">
        <w:rPr>
          <w:rFonts w:eastAsia="MS Mincho"/>
          <w:i/>
          <w:iCs/>
          <w:lang w:val="en-US"/>
        </w:rPr>
        <w:t>p33monox</w:t>
      </w:r>
      <w:r w:rsidR="00E3112D" w:rsidRPr="004147E2">
        <w:rPr>
          <w:rFonts w:eastAsia="MS Mincho"/>
          <w:lang w:val="en-US"/>
        </w:rPr>
        <w:t>)</w:t>
      </w:r>
      <w:r w:rsidR="009A28F0" w:rsidRPr="004147E2">
        <w:rPr>
          <w:rFonts w:eastAsia="MS Mincho"/>
          <w:lang w:val="en-US"/>
        </w:rPr>
        <w:t xml:space="preserve"> acts as potential NADPH-dependent oxidoreductase</w:t>
      </w:r>
      <w:r w:rsidR="003E422F" w:rsidRPr="004147E2">
        <w:rPr>
          <w:rFonts w:eastAsia="MS Mincho"/>
          <w:lang w:val="en-US"/>
        </w:rPr>
        <w:t>.</w:t>
      </w:r>
    </w:p>
    <w:p w14:paraId="6B422668" w14:textId="77777777" w:rsidR="00600051" w:rsidRPr="00600051" w:rsidRDefault="00600051" w:rsidP="00600051">
      <w:pPr>
        <w:spacing w:line="480" w:lineRule="auto"/>
        <w:ind w:firstLine="720"/>
        <w:jc w:val="both"/>
      </w:pPr>
    </w:p>
    <w:p w14:paraId="0E98EAB3" w14:textId="38BFAC11" w:rsidR="00792590" w:rsidRPr="004147E2" w:rsidRDefault="000108DA" w:rsidP="00792590">
      <w:pPr>
        <w:spacing w:line="480" w:lineRule="auto"/>
        <w:ind w:left="720" w:hanging="720"/>
        <w:jc w:val="both"/>
        <w:rPr>
          <w:b/>
          <w:bCs/>
          <w:lang w:val="en-US"/>
        </w:rPr>
      </w:pPr>
      <w:r w:rsidRPr="004147E2">
        <w:rPr>
          <w:b/>
          <w:bCs/>
          <w:lang w:val="en-US"/>
        </w:rPr>
        <w:t>Onset of winter</w:t>
      </w:r>
      <w:r w:rsidR="00792590" w:rsidRPr="004147E2">
        <w:rPr>
          <w:b/>
          <w:bCs/>
          <w:lang w:val="en-US"/>
        </w:rPr>
        <w:t xml:space="preserve"> after the heatwave</w:t>
      </w:r>
    </w:p>
    <w:p w14:paraId="37C4C170" w14:textId="763AECA4" w:rsidR="00F36070" w:rsidRDefault="00B248C1" w:rsidP="00600051">
      <w:pPr>
        <w:spacing w:line="480" w:lineRule="auto"/>
        <w:ind w:firstLine="720"/>
        <w:jc w:val="both"/>
        <w:rPr>
          <w:lang w:val="en-US"/>
        </w:rPr>
      </w:pPr>
      <w:r w:rsidRPr="004147E2">
        <w:rPr>
          <w:lang w:val="en-US"/>
        </w:rPr>
        <w:t xml:space="preserve">26 </w:t>
      </w:r>
      <w:r w:rsidR="000F3D50" w:rsidRPr="004147E2">
        <w:rPr>
          <w:lang w:val="en-US"/>
        </w:rPr>
        <w:t xml:space="preserve">DS </w:t>
      </w:r>
      <w:r w:rsidRPr="004147E2">
        <w:rPr>
          <w:lang w:val="en-US"/>
        </w:rPr>
        <w:t xml:space="preserve">genes </w:t>
      </w:r>
      <w:r w:rsidR="00B147F2" w:rsidRPr="004147E2">
        <w:rPr>
          <w:lang w:val="en-US"/>
        </w:rPr>
        <w:t xml:space="preserve">were found </w:t>
      </w:r>
      <w:r w:rsidRPr="004147E2">
        <w:rPr>
          <w:lang w:val="en-US"/>
        </w:rPr>
        <w:t>(</w:t>
      </w:r>
      <w:r w:rsidR="00946DB0" w:rsidRPr="004147E2">
        <w:rPr>
          <w:lang w:val="en-US"/>
        </w:rPr>
        <w:t>Supplementary data</w:t>
      </w:r>
      <w:r w:rsidRPr="004147E2">
        <w:rPr>
          <w:lang w:val="en-US"/>
        </w:rPr>
        <w:t xml:space="preserve"> </w:t>
      </w:r>
      <w:r w:rsidR="00920F2B" w:rsidRPr="004147E2">
        <w:rPr>
          <w:lang w:val="en-US"/>
        </w:rPr>
        <w:t>S</w:t>
      </w:r>
      <w:r w:rsidR="001D6609">
        <w:rPr>
          <w:lang w:val="en-US"/>
        </w:rPr>
        <w:t>3</w:t>
      </w:r>
      <w:r w:rsidR="00CC44EA" w:rsidRPr="004147E2">
        <w:rPr>
          <w:lang w:val="en-US"/>
        </w:rPr>
        <w:t>)</w:t>
      </w:r>
      <w:r w:rsidR="00B147F2" w:rsidRPr="004147E2">
        <w:rPr>
          <w:lang w:val="en-US"/>
        </w:rPr>
        <w:t xml:space="preserve"> during this period which had the largest temperature decline (4.74°C)</w:t>
      </w:r>
      <w:r w:rsidR="009A2FA2" w:rsidRPr="004147E2">
        <w:rPr>
          <w:lang w:val="en-US"/>
        </w:rPr>
        <w:t>. These</w:t>
      </w:r>
      <w:r w:rsidRPr="004147E2">
        <w:rPr>
          <w:lang w:val="en-US"/>
        </w:rPr>
        <w:t xml:space="preserve"> genes were associated with various functions</w:t>
      </w:r>
      <w:r w:rsidR="00802014" w:rsidRPr="004147E2">
        <w:rPr>
          <w:lang w:val="en-US"/>
        </w:rPr>
        <w:t>,</w:t>
      </w:r>
      <w:r w:rsidRPr="004147E2">
        <w:rPr>
          <w:lang w:val="en-US"/>
        </w:rPr>
        <w:t xml:space="preserve"> such as</w:t>
      </w:r>
      <w:r w:rsidR="00792590" w:rsidRPr="004147E2">
        <w:rPr>
          <w:lang w:val="en-US"/>
        </w:rPr>
        <w:t xml:space="preserve"> immune and inflammatory response</w:t>
      </w:r>
      <w:r w:rsidR="00802014" w:rsidRPr="004147E2">
        <w:rPr>
          <w:lang w:val="en-US"/>
        </w:rPr>
        <w:t xml:space="preserve">: </w:t>
      </w:r>
      <w:r w:rsidR="00843462" w:rsidRPr="004147E2">
        <w:rPr>
          <w:i/>
          <w:iCs/>
          <w:lang w:val="en-US"/>
        </w:rPr>
        <w:t>complement component 3</w:t>
      </w:r>
      <w:r w:rsidR="00843462" w:rsidRPr="004147E2">
        <w:rPr>
          <w:lang w:val="en-US"/>
        </w:rPr>
        <w:t xml:space="preserve"> (</w:t>
      </w:r>
      <w:r w:rsidR="00843462" w:rsidRPr="004147E2">
        <w:rPr>
          <w:i/>
          <w:iCs/>
          <w:lang w:val="en-US"/>
        </w:rPr>
        <w:t>c3</w:t>
      </w:r>
      <w:r w:rsidR="00843462" w:rsidRPr="004147E2">
        <w:rPr>
          <w:lang w:val="en-US"/>
        </w:rPr>
        <w:t xml:space="preserve">), </w:t>
      </w:r>
      <w:r w:rsidR="00843462" w:rsidRPr="004147E2">
        <w:rPr>
          <w:i/>
          <w:iCs/>
          <w:lang w:val="en-US"/>
        </w:rPr>
        <w:t>TNFAIP3</w:t>
      </w:r>
      <w:r w:rsidR="00843462" w:rsidRPr="004147E2">
        <w:rPr>
          <w:lang w:val="en-US"/>
        </w:rPr>
        <w:t xml:space="preserve"> </w:t>
      </w:r>
      <w:r w:rsidR="00843462" w:rsidRPr="004147E2">
        <w:rPr>
          <w:i/>
          <w:iCs/>
          <w:lang w:val="en-US"/>
        </w:rPr>
        <w:t>Interacting Protein 1</w:t>
      </w:r>
      <w:r w:rsidR="00843462" w:rsidRPr="004147E2">
        <w:rPr>
          <w:lang w:val="en-US"/>
        </w:rPr>
        <w:t xml:space="preserve"> (</w:t>
      </w:r>
      <w:r w:rsidR="00843462" w:rsidRPr="004147E2">
        <w:rPr>
          <w:i/>
          <w:iCs/>
          <w:lang w:val="en-US"/>
        </w:rPr>
        <w:t>tnip1</w:t>
      </w:r>
      <w:r w:rsidR="00843462" w:rsidRPr="004147E2">
        <w:rPr>
          <w:lang w:val="en-US"/>
        </w:rPr>
        <w:t xml:space="preserve">), and </w:t>
      </w:r>
      <w:r w:rsidR="00843462" w:rsidRPr="004147E2">
        <w:rPr>
          <w:i/>
          <w:iCs/>
          <w:lang w:val="en-US"/>
        </w:rPr>
        <w:t>signal peptide peptidase like 2A</w:t>
      </w:r>
      <w:r w:rsidR="00843462" w:rsidRPr="004147E2">
        <w:rPr>
          <w:lang w:val="en-US"/>
        </w:rPr>
        <w:t xml:space="preserve"> (</w:t>
      </w:r>
      <w:r w:rsidR="00843462" w:rsidRPr="004147E2">
        <w:rPr>
          <w:i/>
          <w:iCs/>
          <w:lang w:val="en-US"/>
        </w:rPr>
        <w:t>sppl2a</w:t>
      </w:r>
      <w:r w:rsidR="00843462" w:rsidRPr="004147E2">
        <w:rPr>
          <w:lang w:val="en-US"/>
        </w:rPr>
        <w:t>)</w:t>
      </w:r>
      <w:r w:rsidR="00032624" w:rsidRPr="004147E2">
        <w:rPr>
          <w:lang w:val="en-US"/>
        </w:rPr>
        <w:t>. Some w</w:t>
      </w:r>
      <w:r w:rsidR="00F4019E" w:rsidRPr="004147E2">
        <w:rPr>
          <w:lang w:val="en-US"/>
        </w:rPr>
        <w:t>ere</w:t>
      </w:r>
      <w:r w:rsidR="00032624" w:rsidRPr="004147E2">
        <w:rPr>
          <w:lang w:val="en-US"/>
        </w:rPr>
        <w:t xml:space="preserve"> h</w:t>
      </w:r>
      <w:r w:rsidR="00802014" w:rsidRPr="004147E2">
        <w:rPr>
          <w:lang w:val="en-US"/>
        </w:rPr>
        <w:t>eme</w:t>
      </w:r>
      <w:r w:rsidR="00032624" w:rsidRPr="004147E2">
        <w:rPr>
          <w:lang w:val="en-US"/>
        </w:rPr>
        <w:t>-</w:t>
      </w:r>
      <w:r w:rsidR="00802014" w:rsidRPr="004147E2">
        <w:rPr>
          <w:lang w:val="en-US"/>
        </w:rPr>
        <w:t>related</w:t>
      </w:r>
      <w:r w:rsidR="00032624" w:rsidRPr="004147E2">
        <w:rPr>
          <w:lang w:val="en-US"/>
        </w:rPr>
        <w:t>:</w:t>
      </w:r>
      <w:r w:rsidR="00802014" w:rsidRPr="004147E2">
        <w:rPr>
          <w:lang w:val="en-US"/>
        </w:rPr>
        <w:t xml:space="preserve"> </w:t>
      </w:r>
      <w:r w:rsidR="00802014" w:rsidRPr="004147E2">
        <w:rPr>
          <w:i/>
          <w:iCs/>
          <w:lang w:val="en-US"/>
        </w:rPr>
        <w:t xml:space="preserve">5'-Aminolevulinate synthase 2 </w:t>
      </w:r>
      <w:r w:rsidR="00802014" w:rsidRPr="004147E2">
        <w:rPr>
          <w:lang w:val="en-US"/>
        </w:rPr>
        <w:t>(</w:t>
      </w:r>
      <w:r w:rsidR="00802014" w:rsidRPr="004147E2">
        <w:rPr>
          <w:i/>
          <w:iCs/>
          <w:lang w:val="en-US"/>
        </w:rPr>
        <w:t>alas2</w:t>
      </w:r>
      <w:r w:rsidR="00802014" w:rsidRPr="004147E2">
        <w:rPr>
          <w:lang w:val="en-US"/>
        </w:rPr>
        <w:t xml:space="preserve">) and </w:t>
      </w:r>
      <w:r w:rsidR="00802014" w:rsidRPr="004147E2">
        <w:rPr>
          <w:i/>
          <w:iCs/>
          <w:lang w:val="en-US"/>
        </w:rPr>
        <w:t>hemopexin</w:t>
      </w:r>
      <w:r w:rsidR="00802014" w:rsidRPr="004147E2">
        <w:rPr>
          <w:lang w:val="en-US"/>
        </w:rPr>
        <w:t xml:space="preserve"> (</w:t>
      </w:r>
      <w:proofErr w:type="spellStart"/>
      <w:r w:rsidR="00802014" w:rsidRPr="004147E2">
        <w:rPr>
          <w:i/>
          <w:iCs/>
          <w:lang w:val="en-US"/>
        </w:rPr>
        <w:t>hpx</w:t>
      </w:r>
      <w:proofErr w:type="spellEnd"/>
      <w:r w:rsidR="00802014" w:rsidRPr="004147E2">
        <w:rPr>
          <w:lang w:val="en-US"/>
        </w:rPr>
        <w:t>)</w:t>
      </w:r>
      <w:r w:rsidR="003D052C" w:rsidRPr="004147E2">
        <w:rPr>
          <w:lang w:val="en-US"/>
        </w:rPr>
        <w:t xml:space="preserve">, which </w:t>
      </w:r>
      <w:r w:rsidR="00032624" w:rsidRPr="004147E2">
        <w:rPr>
          <w:lang w:val="en-US"/>
        </w:rPr>
        <w:t>involve</w:t>
      </w:r>
      <w:r w:rsidR="00FE066A" w:rsidRPr="004147E2">
        <w:rPr>
          <w:lang w:val="en-US"/>
        </w:rPr>
        <w:t xml:space="preserve"> </w:t>
      </w:r>
      <w:r w:rsidR="00032624" w:rsidRPr="004147E2">
        <w:rPr>
          <w:lang w:val="en-US"/>
        </w:rPr>
        <w:t>in heme biogenesis and delivery</w:t>
      </w:r>
      <w:r w:rsidR="007555B5" w:rsidRPr="004147E2">
        <w:rPr>
          <w:lang w:val="en-US"/>
        </w:rPr>
        <w:t xml:space="preserve">, </w:t>
      </w:r>
      <w:r w:rsidR="00CA15AD" w:rsidRPr="004147E2">
        <w:rPr>
          <w:lang w:val="en-US"/>
        </w:rPr>
        <w:t xml:space="preserve">and </w:t>
      </w:r>
      <w:r w:rsidR="008963A5" w:rsidRPr="004147E2">
        <w:rPr>
          <w:lang w:val="en-US"/>
        </w:rPr>
        <w:t>c</w:t>
      </w:r>
      <w:r w:rsidR="00792590" w:rsidRPr="004147E2">
        <w:rPr>
          <w:i/>
          <w:iCs/>
          <w:lang w:val="en-US"/>
        </w:rPr>
        <w:t xml:space="preserve">ytochrome P450 2J5 </w:t>
      </w:r>
      <w:r w:rsidR="00792590" w:rsidRPr="004147E2">
        <w:rPr>
          <w:lang w:val="en-US"/>
        </w:rPr>
        <w:t>(</w:t>
      </w:r>
      <w:r w:rsidR="008963A5" w:rsidRPr="004147E2">
        <w:rPr>
          <w:i/>
          <w:iCs/>
          <w:lang w:val="en-US"/>
        </w:rPr>
        <w:t>cyp</w:t>
      </w:r>
      <w:r w:rsidR="00792590" w:rsidRPr="004147E2">
        <w:rPr>
          <w:i/>
          <w:iCs/>
          <w:lang w:val="en-US"/>
        </w:rPr>
        <w:t>2</w:t>
      </w:r>
      <w:r w:rsidR="008963A5" w:rsidRPr="004147E2">
        <w:rPr>
          <w:i/>
          <w:iCs/>
          <w:lang w:val="en-US"/>
        </w:rPr>
        <w:t>j</w:t>
      </w:r>
      <w:r w:rsidR="00792590" w:rsidRPr="004147E2">
        <w:rPr>
          <w:i/>
          <w:iCs/>
          <w:lang w:val="en-US"/>
        </w:rPr>
        <w:t>5</w:t>
      </w:r>
      <w:r w:rsidR="00792590" w:rsidRPr="004147E2">
        <w:rPr>
          <w:lang w:val="en-US"/>
        </w:rPr>
        <w:t xml:space="preserve">) and </w:t>
      </w:r>
      <w:r w:rsidR="008963A5" w:rsidRPr="004147E2">
        <w:rPr>
          <w:lang w:val="en-US"/>
        </w:rPr>
        <w:t>c</w:t>
      </w:r>
      <w:r w:rsidR="00792590" w:rsidRPr="004147E2">
        <w:rPr>
          <w:i/>
          <w:iCs/>
          <w:lang w:val="en-US"/>
        </w:rPr>
        <w:t>ytochrome P450 3A40</w:t>
      </w:r>
      <w:r w:rsidR="00792590" w:rsidRPr="004147E2">
        <w:rPr>
          <w:lang w:val="en-US"/>
        </w:rPr>
        <w:t xml:space="preserve"> (</w:t>
      </w:r>
      <w:r w:rsidR="008963A5" w:rsidRPr="004147E2">
        <w:rPr>
          <w:i/>
          <w:iCs/>
          <w:lang w:val="en-US"/>
        </w:rPr>
        <w:t>cyp</w:t>
      </w:r>
      <w:r w:rsidR="00792590" w:rsidRPr="004147E2">
        <w:rPr>
          <w:i/>
          <w:iCs/>
          <w:lang w:val="en-US"/>
        </w:rPr>
        <w:t>3A40</w:t>
      </w:r>
      <w:r w:rsidR="00792590" w:rsidRPr="004147E2">
        <w:rPr>
          <w:lang w:val="en-US"/>
        </w:rPr>
        <w:t xml:space="preserve">), which are the </w:t>
      </w:r>
      <w:r w:rsidR="008963A5" w:rsidRPr="004147E2">
        <w:rPr>
          <w:lang w:val="en-US"/>
        </w:rPr>
        <w:t>c</w:t>
      </w:r>
      <w:r w:rsidR="00792590" w:rsidRPr="004147E2">
        <w:rPr>
          <w:lang w:val="en-US"/>
        </w:rPr>
        <w:t>ytochrome P450 genes binding to heme as oxidoreductase</w:t>
      </w:r>
      <w:r w:rsidR="00E60FA9" w:rsidRPr="004147E2">
        <w:rPr>
          <w:lang w:val="en-US"/>
        </w:rPr>
        <w:t xml:space="preserve">. </w:t>
      </w:r>
      <w:r w:rsidR="007E008F" w:rsidRPr="004147E2">
        <w:rPr>
          <w:lang w:val="en-US"/>
        </w:rPr>
        <w:t xml:space="preserve">Others were linked to </w:t>
      </w:r>
      <w:r w:rsidR="00792590" w:rsidRPr="004147E2">
        <w:rPr>
          <w:lang w:val="en-US"/>
        </w:rPr>
        <w:t>DNA binding and transcription</w:t>
      </w:r>
      <w:r w:rsidR="007E008F" w:rsidRPr="004147E2">
        <w:rPr>
          <w:lang w:val="en-US"/>
        </w:rPr>
        <w:t xml:space="preserve"> including</w:t>
      </w:r>
      <w:r w:rsidR="00792590" w:rsidRPr="004147E2">
        <w:rPr>
          <w:lang w:val="en-US"/>
        </w:rPr>
        <w:t xml:space="preserve"> </w:t>
      </w:r>
      <w:r w:rsidR="00792590" w:rsidRPr="004147E2">
        <w:rPr>
          <w:i/>
          <w:iCs/>
          <w:lang w:val="en-US"/>
        </w:rPr>
        <w:t xml:space="preserve">Ribosomal Protein S21 </w:t>
      </w:r>
      <w:r w:rsidR="00792590" w:rsidRPr="004147E2">
        <w:rPr>
          <w:lang w:val="en-US"/>
        </w:rPr>
        <w:t>(</w:t>
      </w:r>
      <w:r w:rsidR="008963A5" w:rsidRPr="004147E2">
        <w:rPr>
          <w:i/>
          <w:iCs/>
          <w:lang w:val="en-US"/>
        </w:rPr>
        <w:t>rps</w:t>
      </w:r>
      <w:r w:rsidR="00792590" w:rsidRPr="004147E2">
        <w:rPr>
          <w:i/>
          <w:iCs/>
          <w:lang w:val="en-US"/>
        </w:rPr>
        <w:t>21</w:t>
      </w:r>
      <w:r w:rsidR="00792590" w:rsidRPr="004147E2">
        <w:rPr>
          <w:lang w:val="en-US"/>
        </w:rPr>
        <w:t xml:space="preserve">) and </w:t>
      </w:r>
      <w:r w:rsidR="008963A5" w:rsidRPr="004147E2">
        <w:rPr>
          <w:i/>
          <w:iCs/>
          <w:lang w:val="en-US"/>
        </w:rPr>
        <w:t>r</w:t>
      </w:r>
      <w:r w:rsidR="00792590" w:rsidRPr="004147E2">
        <w:rPr>
          <w:i/>
          <w:iCs/>
          <w:lang w:val="en-US"/>
        </w:rPr>
        <w:t xml:space="preserve">ibosomal </w:t>
      </w:r>
      <w:r w:rsidR="008963A5" w:rsidRPr="004147E2">
        <w:rPr>
          <w:i/>
          <w:iCs/>
          <w:lang w:val="en-US"/>
        </w:rPr>
        <w:t>p</w:t>
      </w:r>
      <w:r w:rsidR="00792590" w:rsidRPr="004147E2">
        <w:rPr>
          <w:i/>
          <w:iCs/>
          <w:lang w:val="en-US"/>
        </w:rPr>
        <w:t xml:space="preserve">rotein </w:t>
      </w:r>
      <w:r w:rsidR="008963A5" w:rsidRPr="004147E2">
        <w:rPr>
          <w:i/>
          <w:iCs/>
          <w:lang w:val="en-US"/>
        </w:rPr>
        <w:t>l</w:t>
      </w:r>
      <w:r w:rsidR="00792590" w:rsidRPr="004147E2">
        <w:rPr>
          <w:i/>
          <w:iCs/>
          <w:lang w:val="en-US"/>
        </w:rPr>
        <w:t>36a</w:t>
      </w:r>
      <w:r w:rsidR="00792590" w:rsidRPr="004147E2">
        <w:rPr>
          <w:lang w:val="en-US"/>
        </w:rPr>
        <w:t xml:space="preserve"> (</w:t>
      </w:r>
      <w:r w:rsidR="008963A5" w:rsidRPr="004147E2">
        <w:rPr>
          <w:i/>
          <w:iCs/>
          <w:lang w:val="en-US"/>
        </w:rPr>
        <w:t>rpl36a</w:t>
      </w:r>
      <w:r w:rsidR="00792590" w:rsidRPr="004147E2">
        <w:rPr>
          <w:lang w:val="en-US"/>
        </w:rPr>
        <w:t>)</w:t>
      </w:r>
      <w:r w:rsidR="00B101BF" w:rsidRPr="004147E2">
        <w:rPr>
          <w:lang w:val="en-US"/>
        </w:rPr>
        <w:t xml:space="preserve">. </w:t>
      </w:r>
    </w:p>
    <w:p w14:paraId="4D954DD5" w14:textId="77777777" w:rsidR="00600051" w:rsidRPr="00600051" w:rsidRDefault="00600051" w:rsidP="00600051">
      <w:pPr>
        <w:spacing w:line="480" w:lineRule="auto"/>
        <w:ind w:firstLine="720"/>
        <w:jc w:val="both"/>
        <w:rPr>
          <w:lang w:val="en-US"/>
        </w:rPr>
      </w:pPr>
    </w:p>
    <w:p w14:paraId="452C25D0" w14:textId="6A01ABD2" w:rsidR="00792590" w:rsidRPr="004147E2" w:rsidRDefault="00792590" w:rsidP="003538CE">
      <w:pPr>
        <w:spacing w:line="480" w:lineRule="auto"/>
        <w:jc w:val="both"/>
        <w:rPr>
          <w:b/>
          <w:bCs/>
          <w:lang w:val="en-US"/>
        </w:rPr>
      </w:pPr>
      <w:r w:rsidRPr="004147E2">
        <w:rPr>
          <w:b/>
          <w:bCs/>
          <w:lang w:val="en-US"/>
        </w:rPr>
        <w:t xml:space="preserve">Differential gene expression associated with </w:t>
      </w:r>
      <w:r w:rsidR="001F274B" w:rsidRPr="004147E2">
        <w:rPr>
          <w:b/>
          <w:bCs/>
          <w:lang w:val="en-US"/>
        </w:rPr>
        <w:t>splicing</w:t>
      </w:r>
      <w:r w:rsidRPr="004147E2">
        <w:rPr>
          <w:b/>
          <w:bCs/>
          <w:lang w:val="en-US"/>
        </w:rPr>
        <w:t xml:space="preserve"> patterns </w:t>
      </w:r>
    </w:p>
    <w:p w14:paraId="5C7FEF3B" w14:textId="2AD4EC97" w:rsidR="00401E41" w:rsidRPr="004147E2" w:rsidRDefault="00A74638" w:rsidP="00584D34">
      <w:pPr>
        <w:spacing w:line="480" w:lineRule="auto"/>
        <w:ind w:firstLine="720"/>
        <w:jc w:val="both"/>
        <w:rPr>
          <w:lang w:val="en-US"/>
        </w:rPr>
      </w:pPr>
      <w:r w:rsidRPr="004147E2">
        <w:rPr>
          <w:lang w:val="en-US"/>
        </w:rPr>
        <w:t xml:space="preserve">A total of </w:t>
      </w:r>
      <w:r w:rsidR="008B42B8" w:rsidRPr="004147E2">
        <w:rPr>
          <w:lang w:val="en-US"/>
        </w:rPr>
        <w:t xml:space="preserve">9,189 </w:t>
      </w:r>
      <w:r w:rsidRPr="004147E2">
        <w:rPr>
          <w:lang w:val="en-US"/>
        </w:rPr>
        <w:t>genes were identified as differentially expressed (DE)</w:t>
      </w:r>
      <w:r w:rsidR="008B42B8" w:rsidRPr="004147E2">
        <w:rPr>
          <w:lang w:val="en-US"/>
        </w:rPr>
        <w:t xml:space="preserve"> across </w:t>
      </w:r>
      <w:r w:rsidR="009A2FA2" w:rsidRPr="004147E2">
        <w:rPr>
          <w:lang w:val="en-US"/>
        </w:rPr>
        <w:t xml:space="preserve">the </w:t>
      </w:r>
      <w:r w:rsidR="008B42B8" w:rsidRPr="004147E2">
        <w:rPr>
          <w:lang w:val="en-US"/>
        </w:rPr>
        <w:t>heatwave period</w:t>
      </w:r>
      <w:r w:rsidR="009A2FA2" w:rsidRPr="004147E2">
        <w:rPr>
          <w:lang w:val="en-US"/>
        </w:rPr>
        <w:t>s</w:t>
      </w:r>
      <w:r w:rsidR="00FC44EC" w:rsidRPr="004147E2">
        <w:rPr>
          <w:lang w:val="en-US"/>
        </w:rPr>
        <w:t>, including 4</w:t>
      </w:r>
      <w:r w:rsidR="00582F14" w:rsidRPr="004147E2">
        <w:rPr>
          <w:lang w:val="en-US"/>
        </w:rPr>
        <w:t>,</w:t>
      </w:r>
      <w:r w:rsidR="00FC44EC" w:rsidRPr="004147E2">
        <w:rPr>
          <w:lang w:val="en-US"/>
        </w:rPr>
        <w:t>407 DE genes in the onset period, 4</w:t>
      </w:r>
      <w:r w:rsidR="00582F14" w:rsidRPr="004147E2">
        <w:rPr>
          <w:lang w:val="en-US"/>
        </w:rPr>
        <w:t>,</w:t>
      </w:r>
      <w:r w:rsidR="00FC44EC" w:rsidRPr="004147E2">
        <w:rPr>
          <w:lang w:val="en-US"/>
        </w:rPr>
        <w:t>186 DE genes in the prolonged period and 5</w:t>
      </w:r>
      <w:r w:rsidR="00582F14" w:rsidRPr="004147E2">
        <w:rPr>
          <w:lang w:val="en-US"/>
        </w:rPr>
        <w:t>,</w:t>
      </w:r>
      <w:r w:rsidR="00FC44EC" w:rsidRPr="004147E2">
        <w:rPr>
          <w:lang w:val="en-US"/>
        </w:rPr>
        <w:t xml:space="preserve">238 DE genes in the </w:t>
      </w:r>
      <w:r w:rsidR="00D4455E">
        <w:rPr>
          <w:lang w:val="en-US"/>
        </w:rPr>
        <w:t>decline per</w:t>
      </w:r>
      <w:r w:rsidR="00FC44EC" w:rsidRPr="004147E2">
        <w:rPr>
          <w:lang w:val="en-US"/>
        </w:rPr>
        <w:t>iod</w:t>
      </w:r>
      <w:r w:rsidR="001335FE" w:rsidRPr="004147E2">
        <w:rPr>
          <w:lang w:val="en-US"/>
        </w:rPr>
        <w:t xml:space="preserve"> of the heatwave</w:t>
      </w:r>
      <w:r w:rsidR="00852D09" w:rsidRPr="004147E2">
        <w:rPr>
          <w:lang w:val="en-US"/>
        </w:rPr>
        <w:t>,</w:t>
      </w:r>
      <w:r w:rsidR="00DD4013" w:rsidRPr="004147E2">
        <w:rPr>
          <w:lang w:val="en-US"/>
        </w:rPr>
        <w:t xml:space="preserve"> </w:t>
      </w:r>
      <w:r w:rsidR="001335FE" w:rsidRPr="004147E2">
        <w:rPr>
          <w:lang w:val="en-US"/>
        </w:rPr>
        <w:t>respectively</w:t>
      </w:r>
      <w:r w:rsidR="00FC44EC" w:rsidRPr="004147E2">
        <w:rPr>
          <w:lang w:val="en-US"/>
        </w:rPr>
        <w:t>.</w:t>
      </w:r>
      <w:r w:rsidR="00CC69C5">
        <w:rPr>
          <w:lang w:val="en-US"/>
        </w:rPr>
        <w:t xml:space="preserve"> Even when the main aim of this re-analysis is to compare the DE in the context of DS, the</w:t>
      </w:r>
      <w:r w:rsidR="0079032E" w:rsidRPr="004147E2">
        <w:rPr>
          <w:lang w:val="en-US"/>
        </w:rPr>
        <w:t xml:space="preserve"> DE analysis </w:t>
      </w:r>
      <w:r w:rsidR="00C04819" w:rsidRPr="004147E2">
        <w:rPr>
          <w:lang w:val="en-US"/>
        </w:rPr>
        <w:t>here reveals</w:t>
      </w:r>
      <w:r w:rsidR="00CC69C5">
        <w:rPr>
          <w:lang w:val="en-US"/>
        </w:rPr>
        <w:t xml:space="preserve"> very</w:t>
      </w:r>
      <w:r w:rsidR="00C04819" w:rsidRPr="004147E2">
        <w:rPr>
          <w:lang w:val="en-US"/>
        </w:rPr>
        <w:t xml:space="preserve"> similar results </w:t>
      </w:r>
      <w:r w:rsidR="009A2FA2" w:rsidRPr="004147E2">
        <w:rPr>
          <w:lang w:val="en-US"/>
        </w:rPr>
        <w:t xml:space="preserve">to </w:t>
      </w:r>
      <w:r w:rsidR="0079032E" w:rsidRPr="004147E2">
        <w:rPr>
          <w:lang w:val="en-US"/>
        </w:rPr>
        <w:t xml:space="preserve">the </w:t>
      </w:r>
      <w:r w:rsidR="00B26C0F" w:rsidRPr="004147E2">
        <w:rPr>
          <w:lang w:val="en-US"/>
        </w:rPr>
        <w:t>previous study</w:t>
      </w:r>
      <w:r w:rsidR="00C04819" w:rsidRPr="004147E2">
        <w:rPr>
          <w:lang w:val="en-US"/>
        </w:rPr>
        <w:t xml:space="preserve"> on gene expression in </w:t>
      </w:r>
      <w:r w:rsidR="00C04819" w:rsidRPr="004147E2">
        <w:rPr>
          <w:i/>
          <w:iCs/>
          <w:lang w:val="en-US"/>
        </w:rPr>
        <w:t xml:space="preserve">A. </w:t>
      </w:r>
      <w:proofErr w:type="spellStart"/>
      <w:r w:rsidR="00C04819" w:rsidRPr="004147E2">
        <w:rPr>
          <w:i/>
          <w:iCs/>
          <w:lang w:val="en-US"/>
        </w:rPr>
        <w:t>polyacanthus</w:t>
      </w:r>
      <w:proofErr w:type="spellEnd"/>
      <w:r w:rsidR="00C04819" w:rsidRPr="004147E2">
        <w:rPr>
          <w:lang w:val="en-US"/>
        </w:rPr>
        <w:t xml:space="preserve"> </w:t>
      </w:r>
      <w:r w:rsidR="009A2FA2" w:rsidRPr="004147E2">
        <w:rPr>
          <w:noProof/>
          <w:lang w:val="en-US"/>
        </w:rPr>
        <w:t xml:space="preserve">(Bernal </w:t>
      </w:r>
      <w:r w:rsidR="009A2FA2" w:rsidRPr="004147E2">
        <w:rPr>
          <w:i/>
          <w:noProof/>
          <w:lang w:val="en-US"/>
        </w:rPr>
        <w:t>et al.</w:t>
      </w:r>
      <w:r w:rsidR="009A2FA2" w:rsidRPr="004147E2">
        <w:rPr>
          <w:noProof/>
          <w:lang w:val="en-US"/>
        </w:rPr>
        <w:t>, 2020)</w:t>
      </w:r>
      <w:r w:rsidR="00E201F7" w:rsidRPr="004147E2">
        <w:rPr>
          <w:lang w:val="en-US"/>
        </w:rPr>
        <w:t>.</w:t>
      </w:r>
      <w:r w:rsidR="004475E8" w:rsidRPr="004147E2">
        <w:rPr>
          <w:lang w:val="en-US"/>
        </w:rPr>
        <w:t xml:space="preserve"> </w:t>
      </w:r>
      <w:r w:rsidR="00792590" w:rsidRPr="004147E2">
        <w:rPr>
          <w:lang w:val="en-US"/>
        </w:rPr>
        <w:t>Among the 6</w:t>
      </w:r>
      <w:r w:rsidR="007139AF" w:rsidRPr="004147E2">
        <w:rPr>
          <w:lang w:val="en-US"/>
        </w:rPr>
        <w:t>9</w:t>
      </w:r>
      <w:r w:rsidR="00792590" w:rsidRPr="004147E2">
        <w:rPr>
          <w:lang w:val="en-US"/>
        </w:rPr>
        <w:t xml:space="preserve"> DS genes,</w:t>
      </w:r>
      <w:r w:rsidR="00C55F7C" w:rsidRPr="004147E2">
        <w:rPr>
          <w:lang w:val="en-US"/>
        </w:rPr>
        <w:t xml:space="preserve"> 46 </w:t>
      </w:r>
      <w:r w:rsidR="00DB45B3" w:rsidRPr="004147E2">
        <w:rPr>
          <w:lang w:val="en-US"/>
        </w:rPr>
        <w:t xml:space="preserve">DS </w:t>
      </w:r>
      <w:r w:rsidR="00792590" w:rsidRPr="004147E2">
        <w:rPr>
          <w:lang w:val="en-US"/>
        </w:rPr>
        <w:t>genes (</w:t>
      </w:r>
      <w:r w:rsidR="00C55F7C" w:rsidRPr="004147E2">
        <w:rPr>
          <w:lang w:val="en-US"/>
        </w:rPr>
        <w:t>66.7</w:t>
      </w:r>
      <w:r w:rsidR="00792590" w:rsidRPr="004147E2">
        <w:rPr>
          <w:lang w:val="en-US"/>
        </w:rPr>
        <w:t>%) were also found to be differentially expressed (DE)</w:t>
      </w:r>
      <w:r w:rsidR="0002503E" w:rsidRPr="004147E2">
        <w:rPr>
          <w:lang w:val="en-US"/>
        </w:rPr>
        <w:t xml:space="preserve"> at</w:t>
      </w:r>
      <w:r w:rsidR="00CD5142" w:rsidRPr="004147E2">
        <w:rPr>
          <w:lang w:val="en-US"/>
        </w:rPr>
        <w:t xml:space="preserve"> </w:t>
      </w:r>
      <w:r w:rsidR="0002503E" w:rsidRPr="004147E2">
        <w:rPr>
          <w:lang w:val="en-US"/>
        </w:rPr>
        <w:t>least</w:t>
      </w:r>
      <w:r w:rsidR="00792590" w:rsidRPr="004147E2">
        <w:rPr>
          <w:lang w:val="en-US"/>
        </w:rPr>
        <w:t xml:space="preserve"> </w:t>
      </w:r>
      <w:r w:rsidR="006A505C" w:rsidRPr="004147E2">
        <w:rPr>
          <w:lang w:val="en-US"/>
        </w:rPr>
        <w:t>in one of the</w:t>
      </w:r>
      <w:r w:rsidR="00792590" w:rsidRPr="004147E2">
        <w:rPr>
          <w:lang w:val="en-US"/>
        </w:rPr>
        <w:t xml:space="preserve"> heatwave</w:t>
      </w:r>
      <w:r w:rsidR="006A505C" w:rsidRPr="004147E2">
        <w:rPr>
          <w:lang w:val="en-US"/>
        </w:rPr>
        <w:t xml:space="preserve"> periods</w:t>
      </w:r>
      <w:r w:rsidR="00BA089B" w:rsidRPr="004147E2">
        <w:rPr>
          <w:lang w:val="en-US"/>
        </w:rPr>
        <w:t xml:space="preserve"> (</w:t>
      </w:r>
      <w:r w:rsidR="00946DB0" w:rsidRPr="004147E2">
        <w:rPr>
          <w:lang w:val="en-US"/>
        </w:rPr>
        <w:t>Supplementary data</w:t>
      </w:r>
      <w:r w:rsidR="00BA089B" w:rsidRPr="004147E2">
        <w:rPr>
          <w:lang w:val="en-US"/>
        </w:rPr>
        <w:t xml:space="preserve"> S</w:t>
      </w:r>
      <w:r w:rsidR="00CD5142" w:rsidRPr="004147E2">
        <w:rPr>
          <w:lang w:val="en-US"/>
        </w:rPr>
        <w:t>6</w:t>
      </w:r>
      <w:r w:rsidR="00BA089B" w:rsidRPr="004147E2">
        <w:rPr>
          <w:lang w:val="en-US"/>
        </w:rPr>
        <w:t>)</w:t>
      </w:r>
      <w:r w:rsidR="00792590" w:rsidRPr="004147E2">
        <w:rPr>
          <w:lang w:val="en-US"/>
        </w:rPr>
        <w:t>.</w:t>
      </w:r>
      <w:r w:rsidR="00387229" w:rsidRPr="004147E2">
        <w:rPr>
          <w:lang w:val="en-US"/>
        </w:rPr>
        <w:t xml:space="preserve"> </w:t>
      </w:r>
      <w:r w:rsidR="006A505C" w:rsidRPr="004147E2">
        <w:rPr>
          <w:lang w:val="en-US"/>
        </w:rPr>
        <w:t>Specifically</w:t>
      </w:r>
      <w:r w:rsidR="00387229" w:rsidRPr="004147E2">
        <w:rPr>
          <w:lang w:val="en-US"/>
        </w:rPr>
        <w:t xml:space="preserve">, 31 </w:t>
      </w:r>
      <w:r w:rsidR="009A2FA2" w:rsidRPr="004147E2">
        <w:rPr>
          <w:lang w:val="en-US"/>
        </w:rPr>
        <w:t xml:space="preserve">DS </w:t>
      </w:r>
      <w:r w:rsidR="00387229" w:rsidRPr="004147E2">
        <w:rPr>
          <w:lang w:val="en-US"/>
        </w:rPr>
        <w:t xml:space="preserve">genes were </w:t>
      </w:r>
      <w:r w:rsidR="00CD6874" w:rsidRPr="004147E2">
        <w:rPr>
          <w:lang w:val="en-US"/>
        </w:rPr>
        <w:t>DE</w:t>
      </w:r>
      <w:r w:rsidR="00792590" w:rsidRPr="004147E2">
        <w:rPr>
          <w:lang w:val="en-US"/>
        </w:rPr>
        <w:t xml:space="preserve"> in </w:t>
      </w:r>
      <w:r w:rsidR="009E5007" w:rsidRPr="004147E2">
        <w:rPr>
          <w:lang w:val="en-US"/>
        </w:rPr>
        <w:t>at least one</w:t>
      </w:r>
      <w:r w:rsidR="00792590" w:rsidRPr="004147E2">
        <w:rPr>
          <w:lang w:val="en-US"/>
        </w:rPr>
        <w:t xml:space="preserve"> </w:t>
      </w:r>
      <w:r w:rsidR="00616966" w:rsidRPr="004147E2">
        <w:rPr>
          <w:lang w:val="en-US"/>
        </w:rPr>
        <w:t xml:space="preserve">of the </w:t>
      </w:r>
      <w:r w:rsidR="00F90441" w:rsidRPr="004147E2">
        <w:rPr>
          <w:rFonts w:eastAsia="MS Mincho"/>
          <w:lang w:val="en-US"/>
        </w:rPr>
        <w:t xml:space="preserve">heatwave </w:t>
      </w:r>
      <w:r w:rsidR="00792590" w:rsidRPr="004147E2">
        <w:rPr>
          <w:rFonts w:eastAsia="MS Mincho"/>
          <w:lang w:val="en-US"/>
        </w:rPr>
        <w:t>period</w:t>
      </w:r>
      <w:r w:rsidR="00616966" w:rsidRPr="004147E2">
        <w:rPr>
          <w:rFonts w:eastAsia="MS Mincho"/>
          <w:lang w:val="en-US"/>
        </w:rPr>
        <w:t xml:space="preserve">s that were here </w:t>
      </w:r>
      <w:r w:rsidR="00616966" w:rsidRPr="004147E2">
        <w:rPr>
          <w:rFonts w:eastAsia="MS Mincho"/>
          <w:lang w:val="en-US"/>
        </w:rPr>
        <w:lastRenderedPageBreak/>
        <w:t>studied</w:t>
      </w:r>
      <w:r w:rsidR="000108DA" w:rsidRPr="004147E2">
        <w:rPr>
          <w:lang w:val="en-US"/>
        </w:rPr>
        <w:t xml:space="preserve">: </w:t>
      </w:r>
      <w:r w:rsidR="00792590" w:rsidRPr="004147E2">
        <w:rPr>
          <w:lang w:val="en-US"/>
        </w:rPr>
        <w:t>1</w:t>
      </w:r>
      <w:r w:rsidR="003C2BF2" w:rsidRPr="004147E2">
        <w:rPr>
          <w:lang w:val="en-US"/>
        </w:rPr>
        <w:t>9</w:t>
      </w:r>
      <w:r w:rsidR="000108DA" w:rsidRPr="004147E2">
        <w:rPr>
          <w:lang w:val="en-US"/>
        </w:rPr>
        <w:t xml:space="preserve"> genes in the onset period</w:t>
      </w:r>
      <w:r w:rsidR="00792590" w:rsidRPr="004147E2">
        <w:rPr>
          <w:lang w:val="en-US"/>
        </w:rPr>
        <w:t xml:space="preserve">, </w:t>
      </w:r>
      <w:r w:rsidR="003C2BF2" w:rsidRPr="004147E2">
        <w:rPr>
          <w:lang w:val="en-US"/>
        </w:rPr>
        <w:t>9</w:t>
      </w:r>
      <w:r w:rsidR="00792590" w:rsidRPr="004147E2">
        <w:rPr>
          <w:lang w:val="en-US"/>
        </w:rPr>
        <w:t xml:space="preserve"> </w:t>
      </w:r>
      <w:r w:rsidR="000108DA" w:rsidRPr="004147E2">
        <w:rPr>
          <w:lang w:val="en-US"/>
        </w:rPr>
        <w:t xml:space="preserve">in the prolonged warming period </w:t>
      </w:r>
      <w:r w:rsidR="007261D9" w:rsidRPr="004147E2">
        <w:rPr>
          <w:lang w:val="en-US"/>
        </w:rPr>
        <w:t>and 10</w:t>
      </w:r>
      <w:r w:rsidR="000108DA" w:rsidRPr="004147E2">
        <w:rPr>
          <w:lang w:val="en-US"/>
        </w:rPr>
        <w:t xml:space="preserve"> </w:t>
      </w:r>
      <w:r w:rsidR="00E62302" w:rsidRPr="004147E2">
        <w:rPr>
          <w:lang w:val="en-US"/>
        </w:rPr>
        <w:t>in</w:t>
      </w:r>
      <w:r w:rsidR="000108DA" w:rsidRPr="004147E2">
        <w:rPr>
          <w:lang w:val="en-US"/>
        </w:rPr>
        <w:t xml:space="preserve"> the </w:t>
      </w:r>
      <w:r w:rsidR="00D4455E">
        <w:rPr>
          <w:lang w:val="en-US"/>
        </w:rPr>
        <w:t>decline per</w:t>
      </w:r>
      <w:r w:rsidR="00792590" w:rsidRPr="004147E2">
        <w:rPr>
          <w:lang w:val="en-US"/>
        </w:rPr>
        <w:t xml:space="preserve">iod </w:t>
      </w:r>
      <w:r w:rsidR="00872483" w:rsidRPr="004147E2">
        <w:rPr>
          <w:lang w:val="en-US"/>
        </w:rPr>
        <w:t>(</w:t>
      </w:r>
      <w:r w:rsidR="00946DB0" w:rsidRPr="004147E2">
        <w:rPr>
          <w:lang w:val="en-US"/>
        </w:rPr>
        <w:t>Supplementary data</w:t>
      </w:r>
      <w:r w:rsidR="00872483" w:rsidRPr="004147E2">
        <w:rPr>
          <w:lang w:val="en-US"/>
        </w:rPr>
        <w:t xml:space="preserve"> S</w:t>
      </w:r>
      <w:r w:rsidR="00CD5142" w:rsidRPr="004147E2">
        <w:rPr>
          <w:lang w:val="en-US"/>
        </w:rPr>
        <w:t>7</w:t>
      </w:r>
      <w:r w:rsidR="00872483" w:rsidRPr="004147E2">
        <w:rPr>
          <w:lang w:val="en-US"/>
        </w:rPr>
        <w:t>)</w:t>
      </w:r>
      <w:r w:rsidR="00DB45B3" w:rsidRPr="004147E2">
        <w:rPr>
          <w:lang w:val="en-US"/>
        </w:rPr>
        <w:t xml:space="preserve">. This </w:t>
      </w:r>
      <w:r w:rsidR="00530FFD" w:rsidRPr="004147E2">
        <w:rPr>
          <w:lang w:val="en-US"/>
        </w:rPr>
        <w:t>suggests</w:t>
      </w:r>
      <w:r w:rsidR="00DB45B3" w:rsidRPr="004147E2">
        <w:rPr>
          <w:lang w:val="en-US"/>
        </w:rPr>
        <w:t xml:space="preserve"> that </w:t>
      </w:r>
      <w:r w:rsidR="00DB45B3" w:rsidRPr="004147E2">
        <w:t xml:space="preserve">some genes involved in RNA processing and </w:t>
      </w:r>
      <w:r w:rsidR="00530FFD" w:rsidRPr="004147E2">
        <w:t>metabolism</w:t>
      </w:r>
      <w:r w:rsidR="00DB45B3" w:rsidRPr="004147E2">
        <w:t xml:space="preserve"> were regulated by </w:t>
      </w:r>
      <w:r w:rsidR="00530FFD" w:rsidRPr="004147E2">
        <w:t xml:space="preserve">both </w:t>
      </w:r>
      <w:r w:rsidR="00DB45B3" w:rsidRPr="004147E2">
        <w:t xml:space="preserve">differential </w:t>
      </w:r>
      <w:r w:rsidR="00E2440F" w:rsidRPr="004147E2">
        <w:t>transcription</w:t>
      </w:r>
      <w:r w:rsidR="00DB45B3" w:rsidRPr="004147E2">
        <w:t xml:space="preserve"> and </w:t>
      </w:r>
      <w:r w:rsidR="000108DA" w:rsidRPr="004147E2">
        <w:t xml:space="preserve">alternative </w:t>
      </w:r>
      <w:r w:rsidR="00DB45B3" w:rsidRPr="004147E2">
        <w:t>splicing</w:t>
      </w:r>
      <w:r w:rsidR="00530FFD" w:rsidRPr="004147E2">
        <w:t xml:space="preserve"> during the heatwave</w:t>
      </w:r>
      <w:r w:rsidR="00DB45B3" w:rsidRPr="004147E2">
        <w:t>.</w:t>
      </w:r>
    </w:p>
    <w:p w14:paraId="43B2697F" w14:textId="77777777" w:rsidR="00401E41" w:rsidRPr="004147E2" w:rsidRDefault="00401E41" w:rsidP="00AA225E">
      <w:pPr>
        <w:spacing w:line="480" w:lineRule="auto"/>
        <w:jc w:val="both"/>
        <w:rPr>
          <w:lang w:val="en-US"/>
        </w:rPr>
      </w:pPr>
    </w:p>
    <w:p w14:paraId="06AF49A0" w14:textId="5D0C01AC" w:rsidR="00792590" w:rsidRDefault="001D31E6" w:rsidP="00792590">
      <w:pPr>
        <w:rPr>
          <w:lang w:val="en-US"/>
        </w:rPr>
      </w:pPr>
      <w:r w:rsidRPr="004147E2">
        <w:rPr>
          <w:noProof/>
          <w:lang w:val="en-AU" w:eastAsia="en-AU"/>
        </w:rPr>
        <mc:AlternateContent>
          <mc:Choice Requires="wps">
            <w:drawing>
              <wp:anchor distT="0" distB="0" distL="114300" distR="114300" simplePos="0" relativeHeight="251661312" behindDoc="0" locked="0" layoutInCell="1" allowOverlap="1" wp14:anchorId="11BD334A" wp14:editId="5EABC635">
                <wp:simplePos x="0" y="0"/>
                <wp:positionH relativeFrom="column">
                  <wp:posOffset>4003675</wp:posOffset>
                </wp:positionH>
                <wp:positionV relativeFrom="paragraph">
                  <wp:posOffset>3552825</wp:posOffset>
                </wp:positionV>
                <wp:extent cx="1354016" cy="407625"/>
                <wp:effectExtent l="0" t="0" r="17780" b="12065"/>
                <wp:wrapNone/>
                <wp:docPr id="1" name="Text Box 1"/>
                <wp:cNvGraphicFramePr/>
                <a:graphic xmlns:a="http://schemas.openxmlformats.org/drawingml/2006/main">
                  <a:graphicData uri="http://schemas.microsoft.com/office/word/2010/wordprocessingShape">
                    <wps:wsp>
                      <wps:cNvSpPr txBox="1"/>
                      <wps:spPr>
                        <a:xfrm>
                          <a:off x="0" y="0"/>
                          <a:ext cx="1354016" cy="407625"/>
                        </a:xfrm>
                        <a:prstGeom prst="rect">
                          <a:avLst/>
                        </a:prstGeom>
                        <a:solidFill>
                          <a:schemeClr val="lt1"/>
                        </a:solidFill>
                        <a:ln w="3175">
                          <a:solidFill>
                            <a:schemeClr val="tx1"/>
                          </a:solidFill>
                        </a:ln>
                      </wps:spPr>
                      <wps:txbx>
                        <w:txbxContent>
                          <w:p w14:paraId="07032135" w14:textId="77777777" w:rsidR="00F93D1E" w:rsidRDefault="00F93D1E">
                            <w:pPr>
                              <w:rPr>
                                <w:color w:val="000000" w:themeColor="text1"/>
                                <w:sz w:val="20"/>
                                <w:szCs w:val="20"/>
                                <w:lang w:val="en-US"/>
                              </w:rPr>
                            </w:pPr>
                            <w:r w:rsidRPr="007B3660">
                              <w:rPr>
                                <w:color w:val="000000" w:themeColor="text1"/>
                                <w:sz w:val="20"/>
                                <w:szCs w:val="20"/>
                                <w:lang w:val="en-US"/>
                              </w:rPr>
                              <w:t>Unique = exclusive set</w:t>
                            </w:r>
                          </w:p>
                          <w:p w14:paraId="4B9588AB" w14:textId="3A55C213" w:rsidR="00F93D1E" w:rsidRDefault="00F93D1E">
                            <w:r w:rsidRPr="007B3660">
                              <w:rPr>
                                <w:color w:val="000000" w:themeColor="text1"/>
                                <w:sz w:val="20"/>
                                <w:szCs w:val="20"/>
                              </w:rPr>
                              <w:t xml:space="preserve">∩ = </w:t>
                            </w:r>
                            <w:r w:rsidRPr="007B3660">
                              <w:rPr>
                                <w:color w:val="000000" w:themeColor="text1"/>
                                <w:sz w:val="20"/>
                                <w:szCs w:val="20"/>
                                <w:lang w:val="en-US"/>
                              </w:rPr>
                              <w:t>intersection set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1BD334A" id="_x0000_t202" coordsize="21600,21600" o:spt="202" path="m,l,21600r21600,l21600,xe">
                <v:stroke joinstyle="miter"/>
                <v:path gradientshapeok="t" o:connecttype="rect"/>
              </v:shapetype>
              <v:shape id="Text Box 1" o:spid="_x0000_s1026" type="#_x0000_t202" style="position:absolute;margin-left:315.25pt;margin-top:279.75pt;width:106.6pt;height:32.1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" fillcolor="white [3201]" strokecolor="black [3213]" strokeweight=".25pt">
                <v:textbox>
                  <w:txbxContent>
                    <w:p w14:paraId="07032135" w14:textId="77777777" w:rsidR="00F93D1E" w:rsidRDefault="00F93D1E">
                      <w:pPr>
                        <w:rPr>
                          <w:color w:val="000000" w:themeColor="text1"/>
                          <w:sz w:val="20"/>
                          <w:szCs w:val="20"/>
                          <w:lang w:val="en-US"/>
                        </w:rPr>
                      </w:pPr>
                      <w:r w:rsidRPr="007B3660">
                        <w:rPr>
                          <w:color w:val="000000" w:themeColor="text1"/>
                          <w:sz w:val="20"/>
                          <w:szCs w:val="20"/>
                          <w:lang w:val="en-US"/>
                        </w:rPr>
                        <w:t>Unique = exclusive set</w:t>
                      </w:r>
                    </w:p>
                    <w:p w14:paraId="4B9588AB" w14:textId="3A55C213" w:rsidR="00F93D1E" w:rsidRDefault="00F93D1E">
                      <w:r w:rsidRPr="007B3660">
                        <w:rPr>
                          <w:color w:val="000000" w:themeColor="text1"/>
                          <w:sz w:val="20"/>
                          <w:szCs w:val="20"/>
                        </w:rPr>
                        <w:t xml:space="preserve">∩ = </w:t>
                      </w:r>
                      <w:r w:rsidRPr="007B3660">
                        <w:rPr>
                          <w:color w:val="000000" w:themeColor="text1"/>
                          <w:sz w:val="20"/>
                          <w:szCs w:val="20"/>
                          <w:lang w:val="en-US"/>
                        </w:rPr>
                        <w:t>intersection set</w:t>
                      </w:r>
                    </w:p>
                  </w:txbxContent>
                </v:textbox>
              </v:shape>
            </w:pict>
          </mc:Fallback>
        </mc:AlternateContent>
      </w:r>
    </w:p>
    <w:p w14:paraId="4879AF0F" w14:textId="588BC0CE" w:rsidR="001D31E6" w:rsidRPr="004147E2" w:rsidRDefault="00E953D1" w:rsidP="0073197D">
      <w:pPr>
        <w:rPr>
          <w:lang w:val="en-US"/>
        </w:rPr>
      </w:pPr>
      <w:r>
        <w:rPr>
          <w:noProof/>
          <w:lang w:val="en-US"/>
        </w:rPr>
        <w:drawing>
          <wp:inline distT="0" distB="0" distL="0" distR="0" wp14:anchorId="047077A1" wp14:editId="4F99DEFA">
            <wp:extent cx="5727700" cy="4531360"/>
            <wp:effectExtent l="0" t="0" r="0" b="2540"/>
            <wp:docPr id="8" name="Picture 8" descr="Chart, waterfall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Chart, waterfall chart&#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727700" cy="4531360"/>
                    </a:xfrm>
                    <a:prstGeom prst="rect">
                      <a:avLst/>
                    </a:prstGeom>
                  </pic:spPr>
                </pic:pic>
              </a:graphicData>
            </a:graphic>
          </wp:inline>
        </w:drawing>
      </w:r>
    </w:p>
    <w:p w14:paraId="7A8F429E" w14:textId="55F34874" w:rsidR="00600051" w:rsidRDefault="00792590" w:rsidP="0073197D">
      <w:pPr>
        <w:jc w:val="both"/>
        <w:rPr>
          <w:sz w:val="20"/>
          <w:szCs w:val="20"/>
          <w:lang w:val="en-US"/>
        </w:rPr>
      </w:pPr>
      <w:r w:rsidRPr="004147E2">
        <w:rPr>
          <w:sz w:val="20"/>
          <w:szCs w:val="20"/>
          <w:lang w:val="en-US"/>
        </w:rPr>
        <w:t xml:space="preserve">Fig </w:t>
      </w:r>
      <w:r w:rsidR="007B79CB" w:rsidRPr="004147E2">
        <w:rPr>
          <w:sz w:val="20"/>
          <w:szCs w:val="20"/>
          <w:lang w:val="en-US"/>
        </w:rPr>
        <w:t>3</w:t>
      </w:r>
      <w:r w:rsidRPr="004147E2">
        <w:rPr>
          <w:sz w:val="20"/>
          <w:szCs w:val="20"/>
          <w:lang w:val="en-US"/>
        </w:rPr>
        <w:t xml:space="preserve">. </w:t>
      </w:r>
      <w:r w:rsidRPr="004147E2">
        <w:rPr>
          <w:rFonts w:ascii="Calibri" w:hAnsi="Calibri" w:cs="Calibri"/>
          <w:sz w:val="20"/>
          <w:szCs w:val="20"/>
          <w:lang w:val="en-US"/>
        </w:rPr>
        <w:t>﻿</w:t>
      </w:r>
      <w:r w:rsidRPr="004147E2">
        <w:rPr>
          <w:sz w:val="20"/>
          <w:szCs w:val="20"/>
          <w:lang w:val="en-US"/>
        </w:rPr>
        <w:t xml:space="preserve">Heatmap representing the </w:t>
      </w:r>
      <w:r w:rsidR="00D76963" w:rsidRPr="004147E2">
        <w:rPr>
          <w:sz w:val="20"/>
          <w:szCs w:val="20"/>
          <w:lang w:val="en-US"/>
        </w:rPr>
        <w:t xml:space="preserve">amount of </w:t>
      </w:r>
      <w:r w:rsidR="00E76A7C" w:rsidRPr="004147E2">
        <w:rPr>
          <w:sz w:val="20"/>
          <w:szCs w:val="20"/>
          <w:lang w:val="en-US"/>
        </w:rPr>
        <w:t>differential</w:t>
      </w:r>
      <w:r w:rsidR="00D76963" w:rsidRPr="004147E2">
        <w:rPr>
          <w:sz w:val="20"/>
          <w:szCs w:val="20"/>
          <w:lang w:val="en-US"/>
        </w:rPr>
        <w:t xml:space="preserve"> spliced genes </w:t>
      </w:r>
      <w:r w:rsidR="005D62B3" w:rsidRPr="004147E2">
        <w:rPr>
          <w:sz w:val="20"/>
          <w:szCs w:val="20"/>
          <w:lang w:val="en-US"/>
        </w:rPr>
        <w:t xml:space="preserve">for each of the </w:t>
      </w:r>
      <w:r w:rsidRPr="004147E2">
        <w:rPr>
          <w:sz w:val="20"/>
          <w:szCs w:val="20"/>
          <w:lang w:val="en-US"/>
        </w:rPr>
        <w:t xml:space="preserve">18 functional categories associated with heat stress across different time-point comparison (Onset = onset of heatwave - Dec vs Feb; Prolonged = prolonged period of heatwave – Feb vs Mar; </w:t>
      </w:r>
      <w:r w:rsidR="00D4455E">
        <w:rPr>
          <w:sz w:val="20"/>
          <w:szCs w:val="20"/>
          <w:lang w:val="en-US"/>
        </w:rPr>
        <w:t xml:space="preserve">Decline </w:t>
      </w:r>
      <w:r w:rsidRPr="004147E2">
        <w:rPr>
          <w:sz w:val="20"/>
          <w:szCs w:val="20"/>
          <w:lang w:val="en-US"/>
        </w:rPr>
        <w:t xml:space="preserve">= </w:t>
      </w:r>
      <w:r w:rsidR="00D4455E">
        <w:rPr>
          <w:sz w:val="20"/>
          <w:szCs w:val="20"/>
          <w:lang w:val="en-US"/>
        </w:rPr>
        <w:t>decline per</w:t>
      </w:r>
      <w:r w:rsidR="00E74F5B">
        <w:rPr>
          <w:sz w:val="20"/>
          <w:szCs w:val="20"/>
          <w:lang w:val="en-US"/>
        </w:rPr>
        <w:t>iod</w:t>
      </w:r>
      <w:r w:rsidRPr="004147E2">
        <w:rPr>
          <w:sz w:val="20"/>
          <w:szCs w:val="20"/>
          <w:lang w:val="en-US"/>
        </w:rPr>
        <w:t xml:space="preserve"> of heatwave – Mar vs July)</w:t>
      </w:r>
      <w:r w:rsidR="005D62B3" w:rsidRPr="004147E2">
        <w:rPr>
          <w:sz w:val="20"/>
          <w:szCs w:val="20"/>
          <w:lang w:val="en-US"/>
        </w:rPr>
        <w:t xml:space="preserve">. </w:t>
      </w:r>
      <w:r w:rsidR="003E51E8" w:rsidRPr="004147E2">
        <w:rPr>
          <w:sz w:val="20"/>
          <w:szCs w:val="20"/>
          <w:lang w:val="en-US"/>
        </w:rPr>
        <w:t>(Unique = DS genes occurred only in a single period</w:t>
      </w:r>
      <w:r w:rsidR="003E51E8" w:rsidRPr="004147E2">
        <w:rPr>
          <w:lang w:val="en-US"/>
        </w:rPr>
        <w:t xml:space="preserve">; </w:t>
      </w:r>
      <w:r w:rsidR="00093C02" w:rsidRPr="004147E2">
        <w:rPr>
          <w:lang w:val="en-US"/>
        </w:rPr>
        <w:t xml:space="preserve">∩ </w:t>
      </w:r>
      <w:r w:rsidR="003E51E8" w:rsidRPr="004147E2">
        <w:rPr>
          <w:lang w:val="en-US"/>
        </w:rPr>
        <w:t xml:space="preserve">= </w:t>
      </w:r>
      <w:r w:rsidR="003E51E8" w:rsidRPr="004147E2">
        <w:rPr>
          <w:sz w:val="20"/>
          <w:szCs w:val="20"/>
          <w:lang w:val="en-US"/>
        </w:rPr>
        <w:t>DS genes commonly occurred in different period)</w:t>
      </w:r>
    </w:p>
    <w:p w14:paraId="712F5E22" w14:textId="77777777" w:rsidR="00600051" w:rsidRDefault="00600051" w:rsidP="0073197D">
      <w:pPr>
        <w:jc w:val="both"/>
        <w:rPr>
          <w:sz w:val="20"/>
          <w:szCs w:val="20"/>
          <w:lang w:val="en-US"/>
        </w:rPr>
      </w:pPr>
    </w:p>
    <w:p w14:paraId="7527110A" w14:textId="7317FE9A" w:rsidR="00792590" w:rsidRPr="004147E2" w:rsidRDefault="00DD4C72" w:rsidP="0073197D">
      <w:pPr>
        <w:jc w:val="both"/>
        <w:rPr>
          <w:b/>
          <w:bCs/>
          <w:u w:val="single"/>
          <w:lang w:val="en-US"/>
        </w:rPr>
      </w:pPr>
      <w:r w:rsidRPr="004147E2">
        <w:rPr>
          <w:b/>
          <w:bCs/>
          <w:u w:val="single"/>
          <w:lang w:val="en-US"/>
        </w:rPr>
        <w:br w:type="column"/>
      </w:r>
      <w:r w:rsidR="00792590" w:rsidRPr="004147E2">
        <w:rPr>
          <w:b/>
          <w:lang w:val="en-US"/>
        </w:rPr>
        <w:lastRenderedPageBreak/>
        <w:t>Discussion</w:t>
      </w:r>
    </w:p>
    <w:p w14:paraId="76C598D4" w14:textId="77777777" w:rsidR="00792590" w:rsidRPr="004147E2" w:rsidRDefault="00792590" w:rsidP="00792590">
      <w:pPr>
        <w:rPr>
          <w:b/>
          <w:bCs/>
          <w:u w:val="single"/>
          <w:lang w:val="en-US"/>
        </w:rPr>
      </w:pPr>
    </w:p>
    <w:p w14:paraId="787DC3F6" w14:textId="0BAFA46E" w:rsidR="00FC0168" w:rsidRPr="004147E2" w:rsidRDefault="00FD02FC">
      <w:pPr>
        <w:spacing w:line="480" w:lineRule="auto"/>
        <w:ind w:firstLine="720"/>
        <w:jc w:val="both"/>
      </w:pPr>
      <w:r w:rsidRPr="004147E2">
        <w:t xml:space="preserve">Alternative splicing (AS) </w:t>
      </w:r>
      <w:r w:rsidR="00673E2D" w:rsidRPr="004147E2">
        <w:t xml:space="preserve">allows </w:t>
      </w:r>
      <w:r w:rsidR="00ED58F8" w:rsidRPr="004147E2">
        <w:t xml:space="preserve">organisms </w:t>
      </w:r>
      <w:r w:rsidR="001A22EB" w:rsidRPr="004147E2">
        <w:t>to produce</w:t>
      </w:r>
      <w:r w:rsidR="001A22EB" w:rsidRPr="004147E2">
        <w:rPr>
          <w:noProof/>
        </w:rPr>
        <w:t xml:space="preserve"> </w:t>
      </w:r>
      <w:r w:rsidR="00ED58F8" w:rsidRPr="004147E2">
        <w:t>multiple</w:t>
      </w:r>
      <w:r w:rsidR="00673E2D" w:rsidRPr="004147E2">
        <w:t xml:space="preserve"> </w:t>
      </w:r>
      <w:r w:rsidR="00DA49E7" w:rsidRPr="004147E2">
        <w:t>transcripts from a single gene</w:t>
      </w:r>
      <w:r w:rsidR="00673E2D" w:rsidRPr="004147E2">
        <w:t xml:space="preserve">, representing </w:t>
      </w:r>
      <w:r w:rsidR="00DA49E7" w:rsidRPr="004147E2">
        <w:t xml:space="preserve">an important mechanism </w:t>
      </w:r>
      <w:r w:rsidR="00673E2D" w:rsidRPr="004147E2">
        <w:t xml:space="preserve">for </w:t>
      </w:r>
      <w:r w:rsidR="00DA49E7" w:rsidRPr="004147E2">
        <w:t xml:space="preserve">responding to external stimuli </w:t>
      </w:r>
      <w:r w:rsidR="00673E2D" w:rsidRPr="004147E2">
        <w:rPr>
          <w:noProof/>
        </w:rPr>
        <w:fldChar w:fldCharType="begin" w:fldLock="1"/>
      </w:r>
      <w:r w:rsidR="007602F2">
        <w:rPr>
          <w:noProof/>
        </w:rPr>
        <w:instrText>ADDIN CSL_CITATION {"citationItems":[{"id":"ITEM-1","itemData":{"DOI":"10.1016/j.tplants.2017.09.019","ISSN":"13601385","PMID":"29074233","abstract":"Alternative splicing, which generates multiple transcripts from the same gene, is an important modulator of gene expression that can increase proteome diversity and regulate mRNA levels. In plants, this post-transcriptional mechanism is markedly induced in response to environmental stress, and recent studies have identified alternative splicing events that allow rapid adjustment of the abundance and function of key stress-response components. In agreement, plant mutants defective in splicing factors are severely impaired in their response to abiotic stress. Notably, mounting evidence indicates that alternative splicing regulates stress responses largely by targeting the abscisic acid (ABA) pathway. We review here current understanding of post-transcriptional control of plant stress tolerance via alternative splicing and discuss research challenges for the near future. Alternative splicing, which generates multiple transcripts and potentially more than one protein from the same gene, is markedly changed by environmental stresses that negatively impact on plant growth and development. Plant stress-related genes are particularly prone to alternative splicing events, which often modulate the ratio between active and non-active isoforms in response to abiotic stress, thus fine-tuning the expression of key stress regulators. Recent genetic and transcriptomic analyses have identified important roles for numerous splicing factors in the control of plant abiotic stress responses. Emerging evidence indicates that splicing factors modulate stress responses by targeting components of the ABA pathway, unveiling a novel regulatory layer in plant stress tolerance.","author":[{"dropping-particle":"","family":"Laloum","given":"Tom","non-dropping-particle":"","parse-names":false,"suffix":""},{"dropping-particle":"","family":"Martín","given":"Guiomar","non-dropping-particle":"","parse-names":false,"suffix":""},{"dropping-particle":"","family":"Duque","given":"Paula","non-dropping-particle":"","parse-names":false,"suffix":""}],"container-title":"Trends in Plant Science","id":"ITEM-1","issue":"2","issued":{"date-parts":[["2018"]]},"page":"140-150","publisher":"Elsevier Ltd","title":"Alternative Splicing Control of Abiotic Stress Responses","type":"article-journal","volume":"23"},"uris":["http://www.mendeley.com/documents/?uuid=b5dedc8d-1f14-4f98-ad10-20a91ee87459","http://www.mendeley.com/documents/?uuid=f8b9a9c2-43af-4761-be42-3523eaff651d"]},{"id":"ITEM-2","itemData":{"DOI":"10.1186/1471-2229-14-136","ISSN":"14712229","PMID":"24885185","abstract":"Background: The circadian clock enables living organisms to anticipate recurring daily and seasonal fluctuations in their growth habitats and synchronize their biology to the environmental cycle. The plant circadian clock consists of multiple transcription-translation feedback loops that are entrained by environmental signals, such as light and temperature. In recent years, alternative splicing emerges as an important molecular mechanism that modulates the clock function in plants. Several clock genes are known to undergo alternative splicing in response to changes in environmental conditions, suggesting that the clock function is intimately associated with environmental responses via the alternative splicing of the clock genes. However, the alternative splicing events of the clock genes have not been studied at the molecular level.Results: We systematically examined whether major clock genes undergo alternative splicing under various environmental conditions in Arabidopsis. We also investigated the fates of the RNA splice variants of the clock genes. It was found that the clock genes, including EARLY FLOWERING 3 (ELF3) and ZEITLUPE (ZTL) that have not been studied in terms of alternative splicing, undergo extensive alternative splicing through diverse modes of splicing events, such as intron retention, exon skipping, and selection of alternative 5′ splice site. Their alternative splicing patterns were differentially influenced by changes in photoperiod, temperature extremes, and salt stress. Notably, the RNA splice variants of TIMING OF CAB EXPRESSION 1 (TOC1) and ELF3 were degraded through the nonsense-mediated decay (NMD) pathway, whereas those of other clock genes were insensitive to NMD.Conclusion: Taken together, our observations demonstrate that the major clock genes examined undergo extensive alternative splicing under various environmental conditions, suggesting that alternative splicing is a molecular scheme that underlies the linkage between the clock and environmental stress adaptation in plants. It is also envisioned that alternative splicing of the clock genes plays more complex roles than previously expected. © 2014 Kwon et al.; licensee BioMed Central Ltd.","author":[{"dropping-particle":"","family":"Kwon","given":"Young Ju","non-dropping-particle":"","parse-names":false,"suffix":""},{"dropping-particle":"","family":"Park","given":"Mi Jeong","non-dropping-particle":"","parse-names":false,"suffix":""},{"dropping-particle":"","family":"Kim","given":"Sang Gyu","non-dropping-particle":"","parse-names":false,"suffix":""},{"dropping-particle":"","family":"Baldwin","given":"Ian T.","non-dropping-particle":"","parse-names":false,"suffix":""},{"dropping-particle":"","family":"Park","given":"Chung Mo","non-dropping-particle":"","parse-names":false,"suffix":""}],"container-title":"BMC Plant Biology","id":"ITEM-2","issue":"1","issued":{"date-parts":[["2014"]]},"page":"1-15","title":"Alternative splicing and nonsense-mediated decay of circadian clock genes under environmental stress conditions in Arabidopsis","type":"article-journal","volume":"14"},"uris":["http://www.mendeley.com/documents/?uuid=e12c0eae-fbda-466b-aa5c-020b52641b09","http://www.mendeley.com/documents/?uuid=aeb55a98-016e-4ec2-8c4f-984e14a31356"]}],"mendeley":{"formattedCitation":"(Kwon &lt;i&gt;et al.&lt;/i&gt;, 2014; Laloum, Martín and Duque, 2018)","plainTextFormattedCitation":"(Kwon et al., 2014; Laloum, Martín and Duque, 2018)","previouslyFormattedCitation":"(Kwon &lt;i&gt;et al.&lt;/i&gt;, 2014; Laloum, Martín and Duque, 2018)"},"properties":{"noteIndex":0},"schema":"https://github.com/citation-style-language/schema/raw/master/csl-citation.json"}</w:instrText>
      </w:r>
      <w:r w:rsidR="00673E2D" w:rsidRPr="004147E2">
        <w:rPr>
          <w:noProof/>
        </w:rPr>
        <w:fldChar w:fldCharType="separate"/>
      </w:r>
      <w:r w:rsidR="00C77AB1" w:rsidRPr="004147E2">
        <w:rPr>
          <w:noProof/>
        </w:rPr>
        <w:t xml:space="preserve">(Kwon </w:t>
      </w:r>
      <w:r w:rsidR="00C77AB1" w:rsidRPr="004147E2">
        <w:rPr>
          <w:i/>
          <w:noProof/>
        </w:rPr>
        <w:t>et al.</w:t>
      </w:r>
      <w:r w:rsidR="00C77AB1" w:rsidRPr="004147E2">
        <w:rPr>
          <w:noProof/>
        </w:rPr>
        <w:t>, 2014; Laloum, Martín and Duque, 2018)</w:t>
      </w:r>
      <w:r w:rsidR="00673E2D" w:rsidRPr="004147E2">
        <w:rPr>
          <w:noProof/>
        </w:rPr>
        <w:fldChar w:fldCharType="end"/>
      </w:r>
      <w:r w:rsidR="00C77AB1" w:rsidRPr="004147E2">
        <w:rPr>
          <w:noProof/>
        </w:rPr>
        <w:t xml:space="preserve">. </w:t>
      </w:r>
      <w:r w:rsidR="008C2FB8" w:rsidRPr="004147E2">
        <w:t xml:space="preserve">For a more comprehensive understanding of the </w:t>
      </w:r>
      <w:r w:rsidR="005D4892" w:rsidRPr="004147E2">
        <w:t>molecular responses associated with ocean warming</w:t>
      </w:r>
      <w:r w:rsidR="008C2FB8" w:rsidRPr="004147E2">
        <w:t>,</w:t>
      </w:r>
      <w:r w:rsidR="00E61B9F" w:rsidRPr="004147E2">
        <w:t xml:space="preserve"> </w:t>
      </w:r>
      <w:r w:rsidR="00777AE4" w:rsidRPr="004147E2">
        <w:t>o</w:t>
      </w:r>
      <w:r w:rsidR="00256437" w:rsidRPr="004147E2">
        <w:t>ur study evaluate</w:t>
      </w:r>
      <w:r w:rsidR="0060183E" w:rsidRPr="004147E2">
        <w:t>d</w:t>
      </w:r>
      <w:r w:rsidR="00256437" w:rsidRPr="004147E2">
        <w:t xml:space="preserve"> splicing pattern</w:t>
      </w:r>
      <w:r w:rsidR="00195C8A" w:rsidRPr="004147E2">
        <w:t>s</w:t>
      </w:r>
      <w:r w:rsidR="00256437" w:rsidRPr="004147E2">
        <w:t xml:space="preserve"> </w:t>
      </w:r>
      <w:r w:rsidR="005D4892" w:rsidRPr="004147E2">
        <w:t xml:space="preserve">in the </w:t>
      </w:r>
      <w:r w:rsidR="002C6813" w:rsidRPr="004147E2">
        <w:t xml:space="preserve">spiny </w:t>
      </w:r>
      <w:proofErr w:type="spellStart"/>
      <w:r w:rsidR="002C6813" w:rsidRPr="004147E2">
        <w:t>chromis</w:t>
      </w:r>
      <w:proofErr w:type="spellEnd"/>
      <w:r w:rsidR="003306F7" w:rsidRPr="004147E2">
        <w:t xml:space="preserve"> damselfish,</w:t>
      </w:r>
      <w:r w:rsidR="005D4892" w:rsidRPr="004147E2">
        <w:t xml:space="preserve"> </w:t>
      </w:r>
      <w:r w:rsidR="00F90F74" w:rsidRPr="004147E2">
        <w:rPr>
          <w:i/>
          <w:iCs/>
        </w:rPr>
        <w:t>A</w:t>
      </w:r>
      <w:r w:rsidR="00F90F74">
        <w:rPr>
          <w:i/>
          <w:iCs/>
        </w:rPr>
        <w:t>.</w:t>
      </w:r>
      <w:r w:rsidR="00F90F74" w:rsidRPr="004147E2">
        <w:rPr>
          <w:i/>
          <w:iCs/>
        </w:rPr>
        <w:t xml:space="preserve"> </w:t>
      </w:r>
      <w:proofErr w:type="spellStart"/>
      <w:r w:rsidR="00256437" w:rsidRPr="004147E2">
        <w:rPr>
          <w:i/>
          <w:iCs/>
        </w:rPr>
        <w:t>polyacanthus</w:t>
      </w:r>
      <w:proofErr w:type="spellEnd"/>
      <w:r w:rsidR="00256437" w:rsidRPr="004147E2">
        <w:t>,</w:t>
      </w:r>
      <w:r w:rsidR="008C2FB8" w:rsidRPr="004147E2">
        <w:t xml:space="preserve"> in response </w:t>
      </w:r>
      <w:r w:rsidR="00256437" w:rsidRPr="004147E2">
        <w:t>to</w:t>
      </w:r>
      <w:r w:rsidR="00CB1A55" w:rsidRPr="004147E2">
        <w:t xml:space="preserve"> </w:t>
      </w:r>
      <w:r w:rsidR="00256437" w:rsidRPr="004147E2">
        <w:t>the 2016 marine heatwave at the Great Barrier Reef.</w:t>
      </w:r>
      <w:r w:rsidR="00D82F30" w:rsidRPr="004147E2">
        <w:rPr>
          <w:rFonts w:eastAsia="MS Mincho"/>
          <w:lang w:val="en-US"/>
        </w:rPr>
        <w:t xml:space="preserve"> </w:t>
      </w:r>
      <w:r w:rsidR="007C1E86">
        <w:rPr>
          <w:rFonts w:eastAsia="MS Mincho"/>
          <w:lang w:val="en-US"/>
        </w:rPr>
        <w:t>The</w:t>
      </w:r>
      <w:r w:rsidR="007C1E86" w:rsidRPr="004147E2">
        <w:rPr>
          <w:rFonts w:eastAsia="MS Mincho"/>
          <w:lang w:val="en-US"/>
        </w:rPr>
        <w:t xml:space="preserve"> </w:t>
      </w:r>
      <w:r w:rsidR="003306F7" w:rsidRPr="004147E2">
        <w:rPr>
          <w:rFonts w:eastAsia="MS Mincho"/>
          <w:lang w:val="en-US"/>
        </w:rPr>
        <w:t>results indicate</w:t>
      </w:r>
      <w:r w:rsidR="003258CB" w:rsidRPr="004147E2">
        <w:rPr>
          <w:rFonts w:eastAsia="MS Mincho"/>
          <w:lang w:val="en-US"/>
        </w:rPr>
        <w:t xml:space="preserve"> that </w:t>
      </w:r>
      <w:r w:rsidR="003306F7" w:rsidRPr="004147E2">
        <w:rPr>
          <w:i/>
          <w:iCs/>
        </w:rPr>
        <w:t xml:space="preserve">A. </w:t>
      </w:r>
      <w:proofErr w:type="spellStart"/>
      <w:r w:rsidR="003306F7" w:rsidRPr="004147E2">
        <w:rPr>
          <w:i/>
          <w:iCs/>
        </w:rPr>
        <w:t>polyacanthus</w:t>
      </w:r>
      <w:proofErr w:type="spellEnd"/>
      <w:r w:rsidR="00CA15AD" w:rsidRPr="004147E2">
        <w:rPr>
          <w:rFonts w:eastAsia="MS Mincho"/>
          <w:lang w:val="en-US"/>
        </w:rPr>
        <w:t xml:space="preserve"> </w:t>
      </w:r>
      <w:r w:rsidR="007C1E86">
        <w:rPr>
          <w:rFonts w:eastAsia="MS Mincho"/>
          <w:lang w:val="en-US"/>
        </w:rPr>
        <w:t>can implement both differential expression and AS</w:t>
      </w:r>
      <w:r w:rsidR="00137513" w:rsidRPr="004147E2">
        <w:rPr>
          <w:rFonts w:eastAsia="MS Mincho"/>
          <w:lang w:val="en-US"/>
        </w:rPr>
        <w:t xml:space="preserve"> </w:t>
      </w:r>
      <w:r w:rsidR="007C1E86">
        <w:rPr>
          <w:rFonts w:eastAsia="MS Mincho"/>
          <w:lang w:val="en-US"/>
        </w:rPr>
        <w:t>to modify their molecular</w:t>
      </w:r>
      <w:r w:rsidR="00CA15AD" w:rsidRPr="004147E2">
        <w:rPr>
          <w:rFonts w:eastAsia="MS Mincho"/>
          <w:lang w:val="en-US"/>
        </w:rPr>
        <w:t xml:space="preserve"> response</w:t>
      </w:r>
      <w:r w:rsidR="007C1E86">
        <w:rPr>
          <w:rFonts w:eastAsia="MS Mincho"/>
          <w:lang w:val="en-US"/>
        </w:rPr>
        <w:t>s</w:t>
      </w:r>
      <w:r w:rsidR="009A2477" w:rsidRPr="004147E2">
        <w:rPr>
          <w:rFonts w:eastAsia="MS Mincho"/>
          <w:lang w:val="en-US"/>
        </w:rPr>
        <w:t xml:space="preserve"> </w:t>
      </w:r>
      <w:r w:rsidR="00314396">
        <w:rPr>
          <w:rFonts w:eastAsia="MS Mincho"/>
          <w:lang w:val="en-US"/>
        </w:rPr>
        <w:t>in response to a</w:t>
      </w:r>
      <w:r w:rsidR="007C1E86">
        <w:rPr>
          <w:rFonts w:eastAsia="MS Mincho"/>
          <w:lang w:val="en-US"/>
        </w:rPr>
        <w:t xml:space="preserve"> </w:t>
      </w:r>
      <w:r w:rsidR="009A2477" w:rsidRPr="004147E2">
        <w:rPr>
          <w:rFonts w:eastAsia="MS Mincho"/>
          <w:lang w:val="en-US"/>
        </w:rPr>
        <w:t>temperature change</w:t>
      </w:r>
      <w:r w:rsidR="007C1E86">
        <w:rPr>
          <w:rFonts w:eastAsia="MS Mincho"/>
          <w:lang w:val="en-US"/>
        </w:rPr>
        <w:t xml:space="preserve">. </w:t>
      </w:r>
    </w:p>
    <w:p w14:paraId="26AFC2CB" w14:textId="665ACBF4" w:rsidR="00693EEC" w:rsidRPr="004147E2" w:rsidRDefault="00F40641" w:rsidP="00166EFE">
      <w:pPr>
        <w:spacing w:line="480" w:lineRule="auto"/>
        <w:ind w:firstLine="720"/>
        <w:jc w:val="both"/>
        <w:rPr>
          <w:i/>
          <w:iCs/>
        </w:rPr>
      </w:pPr>
      <w:r w:rsidRPr="004147E2">
        <w:t xml:space="preserve">Without taking the collection points into account, </w:t>
      </w:r>
      <w:r w:rsidR="00BA70B5" w:rsidRPr="004147E2">
        <w:t>t</w:t>
      </w:r>
      <w:r w:rsidR="001A37C9" w:rsidRPr="004147E2">
        <w:t>he general</w:t>
      </w:r>
      <w:r w:rsidR="00256437" w:rsidRPr="004147E2">
        <w:t xml:space="preserve"> splicing landscape observed </w:t>
      </w:r>
      <w:r w:rsidR="001A37C9" w:rsidRPr="004147E2">
        <w:t xml:space="preserve">in our non-model species </w:t>
      </w:r>
      <w:r w:rsidR="001A37C9" w:rsidRPr="004147E2">
        <w:rPr>
          <w:i/>
          <w:iCs/>
        </w:rPr>
        <w:t xml:space="preserve">A. </w:t>
      </w:r>
      <w:proofErr w:type="spellStart"/>
      <w:r w:rsidR="001A37C9" w:rsidRPr="004147E2">
        <w:rPr>
          <w:i/>
          <w:iCs/>
        </w:rPr>
        <w:t>polyacanthus</w:t>
      </w:r>
      <w:proofErr w:type="spellEnd"/>
      <w:r w:rsidR="001A37C9" w:rsidRPr="004147E2">
        <w:rPr>
          <w:i/>
          <w:iCs/>
        </w:rPr>
        <w:t xml:space="preserve"> </w:t>
      </w:r>
      <w:r w:rsidR="001A37C9" w:rsidRPr="004147E2">
        <w:t>revealed a lower</w:t>
      </w:r>
      <w:r w:rsidR="00256437" w:rsidRPr="004147E2">
        <w:t xml:space="preserve"> </w:t>
      </w:r>
      <w:r w:rsidR="00D53DA3" w:rsidRPr="004147E2">
        <w:t>AS</w:t>
      </w:r>
      <w:r w:rsidR="005A6830" w:rsidRPr="004147E2">
        <w:t xml:space="preserve"> </w:t>
      </w:r>
      <w:r w:rsidR="008E6A31" w:rsidRPr="004147E2">
        <w:t xml:space="preserve">frequency </w:t>
      </w:r>
      <w:r w:rsidR="00731099" w:rsidRPr="004147E2">
        <w:t xml:space="preserve">than </w:t>
      </w:r>
      <w:r w:rsidR="00D66FE8" w:rsidRPr="004147E2">
        <w:t>other teleost fish,</w:t>
      </w:r>
      <w:r w:rsidR="00D66FE8" w:rsidRPr="004147E2" w:rsidDel="00D66FE8">
        <w:t xml:space="preserve"> </w:t>
      </w:r>
      <w:r w:rsidR="001A37C9" w:rsidRPr="004147E2">
        <w:t xml:space="preserve">such as </w:t>
      </w:r>
      <w:r w:rsidR="00792590" w:rsidRPr="004147E2">
        <w:t>zebrafish, medaka, fugu, stickleback and catfish</w:t>
      </w:r>
      <w:r w:rsidR="00041C75" w:rsidRPr="004147E2">
        <w:t xml:space="preserve"> </w:t>
      </w:r>
      <w:r w:rsidR="00693EEC" w:rsidRPr="004147E2">
        <w:fldChar w:fldCharType="begin" w:fldLock="1"/>
      </w:r>
      <w:r w:rsidR="00EF730B">
        <w:instrText>ADDIN CSL_CITATION {"citationItems":[{"id":"ITEM-1","itemData":{"DOI":"10.1007/s00438-010-0538-3","ISBN":"0043801005","ISSN":"16174615","abstract":"Alternative splicing (AS) is a mechanism by which the coding diversity of the genome can be greatly increased. Rates of AS are known to vary according to the complexity of eukaryotic species potentially explaining the tremendous phenotypic diversity among species with similar numbers of coding genes. Little is known, however, about the nature or rate of AS in teleost fish. Here, we report the characteristics of AS in teleost fish and classification and frequency of five canonical AS types. We conducted both same-species and cross-species analysis utilizing the Genome Mapping and Alignment Program (GMAP) and an AS pipeline (ASpipe) to study AS in four genome-enabled species (Danio rerio, Oryzias latipes, Gasterosteus aculeatus, and Takifugu rubripes) and one species lacking a complete genome sequence, Ictalurus punctatus. AS frequency was lowest in the highly duplicated genome of zebrafish (17% of mapped genes). The compact genome of the pufferfish showed the highest occurrence of AS (</w:instrText>
      </w:r>
      <w:r w:rsidR="00EF730B">
        <w:rPr>
          <w:rFonts w:ascii="Cambria Math" w:hAnsi="Cambria Math" w:cs="Cambria Math"/>
        </w:rPr>
        <w:instrText>∼</w:instrText>
      </w:r>
      <w:r w:rsidR="00EF730B">
        <w:instrText>43% of mapped genes). An inverse correlation between AS frequency and genome size was consistent across all analyzed species. Cross-species comparisons utilizing zebrafish as the reference genome allowed the identification of additional putative AS genes not revealed by zebrafish transcripts. Approximately, 50% of AS genes identified by same-species comparisons were shared among two or more species. A searchable website,the Teleost Alternative Splicing Database, was created to allow easy identification and visualization of AS transcripts in the studied teleost genomes. Our results and associated database should further our understanding of alternative splicing as an important functional and evolutionary mechanism in the genomes of teleost fish. © Springer-Verlag 2010.","author":[{"dropping-particle":"","family":"Lu","given":"Jianguo","non-dropping-particle":"","parse-names":false,"suffix":""},{"dropping-particle":"","family":"Peatman","given":"Eric","non-dropping-particle":"","parse-names":false,"suffix":""},{"dropping-particle":"","family":"Wang","given":"Wenqi","non-dropping-particle":"","parse-names":false,"suffix":""},{"dropping-particle":"","family":"Yang","given":"Qing","non-dropping-particle":"","parse-names":false,"suffix":""},{"dropping-particle":"","family":"Abernathy","given":"Jason","non-dropping-particle":"","parse-names":false,"suffix":""},{"dropping-particle":"","family":"Wang","given":"Shaolin","non-dropping-particle":"","parse-names":false,"suffix":""},{"dropping-particle":"","family":"Kucuktas","given":"Huseyin","non-dropping-particle":"","parse-names":false,"suffix":""},{"dropping-particle":"","family":"Liu","given":"Zhanjiang","non-dropping-particle":"","parse-names":false,"suffix":""}],"container-title":"Molecular Genetics and Genomics","id":"ITEM-1","issue":"6","issued":{"date-parts":[["2010"]]},"page":"531-539","title":"Alternative splicing in teleost fish genomes: Same-species and cross-species analysis and comparisons","type":"article-journal","volume":"283"},"uris":["http://www.mendeley.com/documents/?uuid=409ab8af-ef1b-44bb-9564-3258f769b417","http://www.mendeley.com/documents/?uuid=cb5f8d4e-02a7-4113-a114-3d546d433054"]},{"id":"ITEM-2","itemData":{"DOI":"10.1016/j.cbd.2018.11.008","ISBN":"3154432094","ISSN":"18780407","PMID":"30481682","abstract":"Heat tolerance is increasingly becoming an important trait for aquaculture species with a changing climate. Transcriptional studies on responses to heat stress have been conducted in catfish, one of the most important economic aquaculture species around the world. The molecular mechanisms underlying heat tolerance is still poorly understood, especially at the post-transcriptional level including regulation of alternative splicing. In this study, existing RNA-Seq datasets were utilized to characterize the change of alternative splicing in catfish following heat treatment. Heat-tolerant and -intolerant catfish were differentiated by the time to lost equilibrium after heat stress. With heat stress, alternative splicing was generally increased. In heat-intolerant fish, the thermal stress induced 29.2% increases in alternative splicing events and 25.8% increases in alternatively spliced genes. A total of 282, 189, and 44 differential alternative splicing (DAS) events were identified in control-intolerant, control-tolerant, and intolerant-tolerant comparisons, corresponding to 252, 171, and 42 genes, respectively. Gene ontology analyses showed that genes involved in the molecular function of RNA binding were significantly enriched in DAS gene sets after heat stress in both heat-intolerant and -tolerant catfish compared with the control group. Similar results were also observed in the DAS genes between heat-intolerant and -tolerant catfish, and the biological process of RNA splicing was also enriched in this comparison, indicating the involvement of RNA splicing-related genes underlying heat tolerance. This is the first comprehensive study of alternative splicing in response to heat stress in fish species, providing insights into the molecular mechanisms of responses to the abiotic stress.","author":[{"dropping-particle":"","family":"Tan","given":"Suxu","non-dropping-particle":"","parse-names":false,"suffix":""},{"dropping-particle":"","family":"Wang","given":"Wenwen","non-dropping-particle":"","parse-names":false,"suffix":""},{"dropping-particle":"","family":"Tian","given":"Changxu","non-dropping-particle":"","parse-names":false,"suffix":""},{"dropping-particle":"","family":"Niu","given":"Donghong","non-dropping-particle":"","parse-names":false,"suffix":""},{"dropping-particle":"","family":"Zhou","given":"Tao","non-dropping-particle":"","parse-names":false,"suffix":""},{"dropping-particle":"","family":"Jin","given":"Yulin","non-dropping-particle":"","parse-names":false,"suffix":""},{"dropping-particle":"","family":"Yang","given":"Yujia","non-dropping-particle":"","parse-names":false,"suffix":""},{"dropping-particle":"","family":"Gao","given":"Dongya","non-dropping-particle":"","parse-names":false,"suffix":""},{"dropping-particle":"","family":"Dunham","given":"Rex","non-dropping-particle":"","parse-names":false,"suffix":""},{"dropping-particle":"","family":"Liu","given":"Zhanjiang","non-dropping-particle":"","parse-names":false,"suffix":""}],"container-title":"Comparative Biochemistry and Physiology - Part D: Genomics and Proteomics","id":"ITEM-2","issued":{"date-parts":[["2019"]]},"page":"166-172","title":"Heat stress induced alternative splicing in catfish as determined by transcriptome analysis","type":"article-journal","volume":"29"},"uris":["http://www.mendeley.com/documents/?uuid=19232413-066b-4930-981c-90fa2d59b3e4","http://www.mendeley.com/documents/?uuid=093b855d-eba4-429d-b6c4-214fb881f3ca"]}],"mendeley":{"formattedCitation":"(Lu &lt;i&gt;et al.&lt;/i&gt;, 2010; Tan &lt;i&gt;et al.&lt;/i&gt;, 2019)","plainTextFormattedCitation":"(Lu et al., 2010; Tan et al., 2019)","previouslyFormattedCitation":"(Lu &lt;i&gt;et al.&lt;/i&gt;, 2010; Tan &lt;i&gt;et al.&lt;/i&gt;, 2019)"},"properties":{"noteIndex":0},"schema":"https://github.com/citation-style-language/schema/raw/master/csl-citation.json"}</w:instrText>
      </w:r>
      <w:r w:rsidR="00693EEC" w:rsidRPr="004147E2">
        <w:fldChar w:fldCharType="separate"/>
      </w:r>
      <w:r w:rsidR="00693EEC" w:rsidRPr="004147E2">
        <w:rPr>
          <w:noProof/>
        </w:rPr>
        <w:t xml:space="preserve">(Lu </w:t>
      </w:r>
      <w:r w:rsidR="00693EEC" w:rsidRPr="004147E2">
        <w:rPr>
          <w:i/>
          <w:noProof/>
        </w:rPr>
        <w:t>et al.</w:t>
      </w:r>
      <w:r w:rsidR="00693EEC" w:rsidRPr="004147E2">
        <w:rPr>
          <w:noProof/>
        </w:rPr>
        <w:t xml:space="preserve">, 2010; Tan </w:t>
      </w:r>
      <w:r w:rsidR="00693EEC" w:rsidRPr="004147E2">
        <w:rPr>
          <w:i/>
          <w:noProof/>
        </w:rPr>
        <w:t>et al.</w:t>
      </w:r>
      <w:r w:rsidR="00693EEC" w:rsidRPr="004147E2">
        <w:rPr>
          <w:noProof/>
        </w:rPr>
        <w:t>, 2019)</w:t>
      </w:r>
      <w:r w:rsidR="00693EEC" w:rsidRPr="004147E2">
        <w:fldChar w:fldCharType="end"/>
      </w:r>
      <w:r w:rsidR="00936068" w:rsidRPr="004147E2">
        <w:t xml:space="preserve">. </w:t>
      </w:r>
      <w:r w:rsidR="00A003E8" w:rsidRPr="004147E2">
        <w:t>While methods varied across studies</w:t>
      </w:r>
      <w:r w:rsidR="00C00C98" w:rsidRPr="004147E2">
        <w:t>, i</w:t>
      </w:r>
      <w:r w:rsidR="00A003E8" w:rsidRPr="004147E2">
        <w:t>t is notable that t</w:t>
      </w:r>
      <w:r w:rsidR="00936068" w:rsidRPr="004147E2">
        <w:t xml:space="preserve">he percentage of alternative spliced genes in fish genomes </w:t>
      </w:r>
      <w:r w:rsidR="00A003E8" w:rsidRPr="004147E2">
        <w:t xml:space="preserve">is </w:t>
      </w:r>
      <w:r w:rsidR="00936068" w:rsidRPr="004147E2">
        <w:t xml:space="preserve">highly </w:t>
      </w:r>
      <w:r w:rsidR="00DB5883" w:rsidRPr="004147E2">
        <w:t>variable</w:t>
      </w:r>
      <w:r w:rsidR="00BD1472" w:rsidRPr="004147E2">
        <w:t xml:space="preserve">: </w:t>
      </w:r>
      <w:r w:rsidR="00DF681B" w:rsidRPr="004147E2">
        <w:t xml:space="preserve">from </w:t>
      </w:r>
      <w:r w:rsidR="00FF6371" w:rsidRPr="004147E2">
        <w:t xml:space="preserve">12.9% in </w:t>
      </w:r>
      <w:r w:rsidR="00FF6371" w:rsidRPr="004147E2">
        <w:rPr>
          <w:i/>
          <w:iCs/>
        </w:rPr>
        <w:t xml:space="preserve">A. </w:t>
      </w:r>
      <w:proofErr w:type="spellStart"/>
      <w:r w:rsidR="00FF6371" w:rsidRPr="004147E2">
        <w:rPr>
          <w:i/>
          <w:iCs/>
        </w:rPr>
        <w:t>polyacanthus</w:t>
      </w:r>
      <w:proofErr w:type="spellEnd"/>
      <w:r w:rsidR="00BD1472" w:rsidRPr="004147E2">
        <w:rPr>
          <w:i/>
          <w:iCs/>
        </w:rPr>
        <w:t xml:space="preserve"> </w:t>
      </w:r>
      <w:r w:rsidR="00BD1472" w:rsidRPr="004147E2">
        <w:rPr>
          <w:iCs/>
        </w:rPr>
        <w:t>(this study)</w:t>
      </w:r>
      <w:r w:rsidR="008F4313" w:rsidRPr="004147E2">
        <w:t xml:space="preserve"> and</w:t>
      </w:r>
      <w:r w:rsidR="00DF681B" w:rsidRPr="004147E2">
        <w:t xml:space="preserve"> </w:t>
      </w:r>
      <w:r w:rsidR="00FF6371" w:rsidRPr="004147E2">
        <w:t>1</w:t>
      </w:r>
      <w:r w:rsidR="00936068" w:rsidRPr="004147E2">
        <w:t xml:space="preserve">7.0% in </w:t>
      </w:r>
      <w:r w:rsidR="005A6830" w:rsidRPr="004147E2">
        <w:t>z</w:t>
      </w:r>
      <w:r w:rsidR="00936068" w:rsidRPr="004147E2">
        <w:t xml:space="preserve">ebrafish </w:t>
      </w:r>
      <w:r w:rsidR="0093183C" w:rsidRPr="004147E2">
        <w:t>to</w:t>
      </w:r>
      <w:r w:rsidR="00316713" w:rsidRPr="004147E2">
        <w:t xml:space="preserve"> </w:t>
      </w:r>
      <w:r w:rsidR="00936068" w:rsidRPr="004147E2">
        <w:t xml:space="preserve">43.2% in Fugu </w:t>
      </w:r>
      <w:r w:rsidR="00693EEC" w:rsidRPr="004147E2">
        <w:fldChar w:fldCharType="begin" w:fldLock="1"/>
      </w:r>
      <w:r w:rsidR="007602F2">
        <w:instrText>ADDIN CSL_CITATION {"citationItems":[{"id":"ITEM-1","itemData":{"DOI":"10.1007/s00438-010-0538-3","ISBN":"0043801005","ISSN":"16174615","abstract":"Alternative splicing (AS) is a mechanism by which the coding diversity of the genome can be greatly increased. Rates of AS are known to vary according to the complexity of eukaryotic species potentially explaining the tremendous phenotypic diversity among species with similar numbers of coding genes. Little is known, however, about the nature or rate of AS in teleost fish. Here, we report the characteristics of AS in teleost fish and classification and frequency of five canonical AS types. We conducted both same-species and cross-species analysis utilizing the Genome Mapping and Alignment Program (GMAP) and an AS pipeline (ASpipe) to study AS in four genome-enabled species (Danio rerio, Oryzias latipes, Gasterosteus aculeatus, and Takifugu rubripes) and one species lacking a complete genome sequence, Ictalurus punctatus. AS frequency was lowest in the highly duplicated genome of zebrafish (17% of mapped genes). The compact genome of the pufferfish showed the highest occurrence of AS (</w:instrText>
      </w:r>
      <w:r w:rsidR="007602F2">
        <w:rPr>
          <w:rFonts w:ascii="Cambria Math" w:hAnsi="Cambria Math" w:cs="Cambria Math"/>
        </w:rPr>
        <w:instrText>∼</w:instrText>
      </w:r>
      <w:r w:rsidR="007602F2">
        <w:instrText>43% of mapped genes). An inverse correlation between AS frequency and genome size was consistent across all analyzed species. Cross-species comparisons utilizing zebrafish as the reference genome allowed the identification of additional putative AS genes not revealed by zebrafish transcripts. Approximately, 50% of AS genes identified by same-species comparisons were shared among two or more species. A searchable website,the Teleost Alternative Splicing Database, was created to allow easy identification and visualization of AS transcripts in the studied teleost genomes. Our results and associated database should further our understanding of alternative splicing as an important functional and evolutionary mechanism in the genomes of teleost fish. © Springer-Verlag 2010.","author":[{"dropping-particle":"","family":"Lu","given":"Jianguo","non-dropping-particle":"","parse-names":false,"suffix":""},{"dropping-particle":"","family":"Peatman","given":"Eric","non-dropping-particle":"","parse-names":false,"suffix":""},{"dropping-particle":"","family":"Wang","given":"Wenqi","non-dropping-particle":"","parse-names":false,"suffix":""},{"dropping-particle":"","family":"Yang","given":"Qing","non-dropping-particle":"","parse-names":false,"suffix":""},{"dropping-particle":"","family":"Abernathy","given":"Jason","non-dropping-particle":"","parse-names":false,"suffix":""},{"dropping-particle":"","family":"Wang","given":"Shaolin","non-dropping-particle":"","parse-names":false,"suffix":""},{"dropping-particle":"","family":"Kucuktas","given":"Huseyin","non-dropping-particle":"","parse-names":false,"suffix":""},{"dropping-particle":"","family":"Liu","given":"Zhanjiang","non-dropping-particle":"","parse-names":false,"suffix":""}],"container-title":"Molecular Genetics and Genomics","id":"ITEM-1","issue":"6","issued":{"date-parts":[["2010"]]},"page":"531-539","title":"Alternative splicing in teleost fish genomes: Same-species and cross-species analysis and comparisons","type":"article-journal","volume":"283"},"uris":["http://www.mendeley.com/documents/?uuid=cb5f8d4e-02a7-4113-a114-3d546d433054","http://www.mendeley.com/documents/?uuid=409ab8af-ef1b-44bb-9564-3258f769b417"]}],"mendeley":{"formattedCitation":"(Lu &lt;i&gt;et al.&lt;/i&gt;, 2010)","plainTextFormattedCitation":"(Lu et al., 2010)","previouslyFormattedCitation":"(Lu &lt;i&gt;et al.&lt;/i&gt;, 2010)"},"properties":{"noteIndex":0},"schema":"https://github.com/citation-style-language/schema/raw/master/csl-citation.json"}</w:instrText>
      </w:r>
      <w:r w:rsidR="00693EEC" w:rsidRPr="004147E2">
        <w:fldChar w:fldCharType="separate"/>
      </w:r>
      <w:r w:rsidR="00693EEC" w:rsidRPr="004147E2">
        <w:rPr>
          <w:noProof/>
        </w:rPr>
        <w:t xml:space="preserve">(Lu </w:t>
      </w:r>
      <w:r w:rsidR="00693EEC" w:rsidRPr="004147E2">
        <w:rPr>
          <w:i/>
          <w:noProof/>
        </w:rPr>
        <w:t>et al.</w:t>
      </w:r>
      <w:r w:rsidR="00693EEC" w:rsidRPr="004147E2">
        <w:rPr>
          <w:noProof/>
        </w:rPr>
        <w:t>, 2010)</w:t>
      </w:r>
      <w:r w:rsidR="00693EEC" w:rsidRPr="004147E2">
        <w:fldChar w:fldCharType="end"/>
      </w:r>
      <w:r w:rsidR="00936068" w:rsidRPr="004147E2">
        <w:t>.</w:t>
      </w:r>
      <w:r w:rsidR="00FF6371" w:rsidRPr="004147E2">
        <w:t xml:space="preserve"> </w:t>
      </w:r>
      <w:r w:rsidR="003B4934">
        <w:t xml:space="preserve">A correlation between genome size and AS frequency has previously been suggested </w:t>
      </w:r>
      <w:r w:rsidR="003B4934" w:rsidRPr="004147E2">
        <w:fldChar w:fldCharType="begin" w:fldLock="1"/>
      </w:r>
      <w:r w:rsidR="007602F2">
        <w:instrText>ADDIN CSL_CITATION {"citationItems":[{"id":"ITEM-1","itemData":{"DOI":"10.1007/s00438-010-0538-3","ISBN":"0043801005","ISSN":"16174615","abstract":"Alternative splicing (AS) is a mechanism by which the coding diversity of the genome can be greatly increased. Rates of AS are known to vary according to the complexity of eukaryotic species potentially explaining the tremendous phenotypic diversity among species with similar numbers of coding genes. Little is known, however, about the nature or rate of AS in teleost fish. Here, we report the characteristics of AS in teleost fish and classification and frequency of five canonical AS types. We conducted both same-species and cross-species analysis utilizing the Genome Mapping and Alignment Program (GMAP) and an AS pipeline (ASpipe) to study AS in four genome-enabled species (Danio rerio, Oryzias latipes, Gasterosteus aculeatus, and Takifugu rubripes) and one species lacking a complete genome sequence, Ictalurus punctatus. AS frequency was lowest in the highly duplicated genome of zebrafish (17% of mapped genes). The compact genome of the pufferfish showed the highest occurrence of AS (</w:instrText>
      </w:r>
      <w:r w:rsidR="007602F2">
        <w:rPr>
          <w:rFonts w:ascii="Cambria Math" w:hAnsi="Cambria Math" w:cs="Cambria Math"/>
        </w:rPr>
        <w:instrText>∼</w:instrText>
      </w:r>
      <w:r w:rsidR="007602F2">
        <w:instrText>43% of mapped genes). An inverse correlation between AS frequency and genome size was consistent across all analyzed species. Cross-species comparisons utilizing zebrafish as the reference genome allowed the identification of additional putative AS genes not revealed by zebrafish transcripts. Approximately, 50% of AS genes identified by same-species comparisons were shared among two or more species. A searchable website,the Teleost Alternative Splicing Database, was created to allow easy identification and visualization of AS transcripts in the studied teleost genomes. Our results and associated database should further our understanding of alternative splicing as an important functional and evolutionary mechanism in the genomes of teleost fish. © Springer-Verlag 2010.","author":[{"dropping-particle":"","family":"Lu","given":"Jianguo","non-dropping-particle":"","parse-names":false,"suffix":""},{"dropping-particle":"","family":"Peatman","given":"Eric","non-dropping-particle":"","parse-names":false,"suffix":""},{"dropping-particle":"","family":"Wang","given":"Wenqi","non-dropping-particle":"","parse-names":false,"suffix":""},{"dropping-particle":"","family":"Yang","given":"Qing","non-dropping-particle":"","parse-names":false,"suffix":""},{"dropping-particle":"","family":"Abernathy","given":"Jason","non-dropping-particle":"","parse-names":false,"suffix":""},{"dropping-particle":"","family":"Wang","given":"Shaolin","non-dropping-particle":"","parse-names":false,"suffix":""},{"dropping-particle":"","family":"Kucuktas","given":"Huseyin","non-dropping-particle":"","parse-names":false,"suffix":""},{"dropping-particle":"","family":"Liu","given":"Zhanjiang","non-dropping-particle":"","parse-names":false,"suffix":""}],"container-title":"Molecular Genetics and Genomics","id":"ITEM-1","issue":"6","issued":{"date-parts":[["2010"]]},"page":"531-539","title":"Alternative splicing in teleost fish genomes: Same-species and cross-species analysis and comparisons","type":"article-journal","volume":"283"},"uris":["http://www.mendeley.com/documents/?uuid=cb5f8d4e-02a7-4113-a114-3d546d433054","http://www.mendeley.com/documents/?uuid=409ab8af-ef1b-44bb-9564-3258f769b417"]}],"mendeley":{"formattedCitation":"(Lu &lt;i&gt;et al.&lt;/i&gt;, 2010)","plainTextFormattedCitation":"(Lu et al., 2010)","previouslyFormattedCitation":"(Lu &lt;i&gt;et al.&lt;/i&gt;, 2010)"},"properties":{"noteIndex":0},"schema":"https://github.com/citation-style-language/schema/raw/master/csl-citation.json"}</w:instrText>
      </w:r>
      <w:r w:rsidR="003B4934" w:rsidRPr="004147E2">
        <w:fldChar w:fldCharType="separate"/>
      </w:r>
      <w:r w:rsidR="003B4934" w:rsidRPr="004147E2">
        <w:rPr>
          <w:noProof/>
        </w:rPr>
        <w:t xml:space="preserve">(Lu </w:t>
      </w:r>
      <w:r w:rsidR="003B4934" w:rsidRPr="004147E2">
        <w:rPr>
          <w:i/>
          <w:noProof/>
        </w:rPr>
        <w:t>et al.</w:t>
      </w:r>
      <w:r w:rsidR="003B4934" w:rsidRPr="004147E2">
        <w:rPr>
          <w:noProof/>
        </w:rPr>
        <w:t>, 2010)</w:t>
      </w:r>
      <w:r w:rsidR="003B4934" w:rsidRPr="004147E2">
        <w:fldChar w:fldCharType="end"/>
      </w:r>
      <w:r w:rsidR="003B4934">
        <w:t xml:space="preserve">, however </w:t>
      </w:r>
      <w:r w:rsidR="00B501D3" w:rsidRPr="004147E2">
        <w:rPr>
          <w:i/>
          <w:iCs/>
        </w:rPr>
        <w:t xml:space="preserve">A. </w:t>
      </w:r>
      <w:proofErr w:type="spellStart"/>
      <w:r w:rsidR="00B501D3" w:rsidRPr="004147E2">
        <w:rPr>
          <w:i/>
          <w:iCs/>
        </w:rPr>
        <w:t>polyacanthus</w:t>
      </w:r>
      <w:proofErr w:type="spellEnd"/>
      <w:r w:rsidR="00B501D3" w:rsidRPr="004147E2">
        <w:t xml:space="preserve"> has an intermediate genome size </w:t>
      </w:r>
      <w:r w:rsidR="00BF5765" w:rsidRPr="004147E2">
        <w:t>(</w:t>
      </w:r>
      <w:r w:rsidR="00B501D3" w:rsidRPr="004147E2">
        <w:t>1.0 Gb</w:t>
      </w:r>
      <w:r w:rsidR="00BF5765" w:rsidRPr="004147E2">
        <w:t>)</w:t>
      </w:r>
      <w:r w:rsidR="00B501D3" w:rsidRPr="004147E2">
        <w:t xml:space="preserve"> </w:t>
      </w:r>
      <w:r w:rsidR="00BF5765" w:rsidRPr="004147E2">
        <w:t>in comparison to</w:t>
      </w:r>
      <w:r w:rsidR="00B501D3" w:rsidRPr="004147E2">
        <w:t xml:space="preserve"> zebrafish (1.7 Gb)</w:t>
      </w:r>
      <w:r w:rsidR="00AF5E4F">
        <w:t xml:space="preserve"> and Fugu (</w:t>
      </w:r>
      <w:r w:rsidR="00AF5E4F" w:rsidRPr="00AF5E4F">
        <w:t>0.4 Gb</w:t>
      </w:r>
      <w:r w:rsidR="003B4934">
        <w:t>), but reveals less AS</w:t>
      </w:r>
      <w:r w:rsidR="00B501D3" w:rsidRPr="004147E2">
        <w:t xml:space="preserve">. </w:t>
      </w:r>
      <w:r w:rsidR="00675BC7" w:rsidRPr="004147E2">
        <w:t xml:space="preserve">Considering the lower percentage of </w:t>
      </w:r>
      <w:r w:rsidR="003B4934">
        <w:t>AS</w:t>
      </w:r>
      <w:r w:rsidR="00675BC7" w:rsidRPr="004147E2">
        <w:t xml:space="preserve"> in </w:t>
      </w:r>
      <w:r w:rsidR="005136F6" w:rsidRPr="004147E2">
        <w:rPr>
          <w:i/>
          <w:iCs/>
        </w:rPr>
        <w:t xml:space="preserve">A. </w:t>
      </w:r>
      <w:proofErr w:type="spellStart"/>
      <w:r w:rsidR="005136F6" w:rsidRPr="004147E2">
        <w:rPr>
          <w:i/>
          <w:iCs/>
        </w:rPr>
        <w:t>polyacanthus</w:t>
      </w:r>
      <w:proofErr w:type="spellEnd"/>
      <w:r w:rsidR="000A0691" w:rsidRPr="004147E2">
        <w:t xml:space="preserve">, </w:t>
      </w:r>
      <w:r w:rsidR="00675BC7" w:rsidRPr="004147E2">
        <w:t>it is possible that the species</w:t>
      </w:r>
      <w:r w:rsidR="000A0691" w:rsidRPr="004147E2">
        <w:t xml:space="preserve"> </w:t>
      </w:r>
      <w:r w:rsidR="005D7457">
        <w:t>relies less</w:t>
      </w:r>
      <w:r w:rsidR="00675BC7" w:rsidRPr="004147E2">
        <w:t xml:space="preserve"> </w:t>
      </w:r>
      <w:r w:rsidR="000A0691" w:rsidRPr="004147E2">
        <w:t>on alternative splicing to increase the protein diversity</w:t>
      </w:r>
      <w:r w:rsidR="005D7457">
        <w:t xml:space="preserve"> than other species</w:t>
      </w:r>
      <w:r w:rsidR="00253D7B" w:rsidRPr="004147E2">
        <w:rPr>
          <w:rFonts w:eastAsia="MS Mincho"/>
          <w:lang w:val="en-US"/>
        </w:rPr>
        <w:t>.</w:t>
      </w:r>
      <w:r w:rsidR="005C6786" w:rsidRPr="004147E2">
        <w:rPr>
          <w:rFonts w:eastAsia="MS Mincho"/>
          <w:lang w:val="en-US"/>
        </w:rPr>
        <w:t xml:space="preserve"> </w:t>
      </w:r>
      <w:r w:rsidR="00B76DEB" w:rsidRPr="004147E2">
        <w:t xml:space="preserve">Still, one </w:t>
      </w:r>
      <w:r w:rsidR="00EE1470" w:rsidRPr="004147E2">
        <w:t>observation that concurs with</w:t>
      </w:r>
      <w:r w:rsidR="00B76DEB" w:rsidRPr="004147E2">
        <w:t xml:space="preserve"> alternative splicing </w:t>
      </w:r>
      <w:r w:rsidR="008B7ACF">
        <w:t>among distant</w:t>
      </w:r>
      <w:r w:rsidR="00EE1470" w:rsidRPr="004147E2">
        <w:t xml:space="preserve"> </w:t>
      </w:r>
      <w:r w:rsidR="00EE1470" w:rsidRPr="004147E2">
        <w:rPr>
          <w:lang w:val="en-US"/>
        </w:rPr>
        <w:t>vertebrates</w:t>
      </w:r>
      <w:r w:rsidR="008B7ACF">
        <w:rPr>
          <w:lang w:val="en-US"/>
        </w:rPr>
        <w:t xml:space="preserve"> (e.g. </w:t>
      </w:r>
      <w:r w:rsidR="00EE1470" w:rsidRPr="004147E2">
        <w:rPr>
          <w:lang w:val="en-US"/>
        </w:rPr>
        <w:t xml:space="preserve"> human, rat and chicken</w:t>
      </w:r>
      <w:r w:rsidR="008B7ACF">
        <w:rPr>
          <w:lang w:val="en-US"/>
        </w:rPr>
        <w:t>;</w:t>
      </w:r>
      <w:r w:rsidR="00EE1470" w:rsidRPr="004147E2">
        <w:rPr>
          <w:lang w:val="en-US"/>
        </w:rPr>
        <w:t xml:space="preserve"> </w:t>
      </w:r>
      <w:r w:rsidR="00EE1470" w:rsidRPr="004147E2">
        <w:rPr>
          <w:lang w:val="en-US"/>
        </w:rPr>
        <w:fldChar w:fldCharType="begin" w:fldLock="1"/>
      </w:r>
      <w:r w:rsidR="00517C3C">
        <w:rPr>
          <w:lang w:val="en-US"/>
        </w:rPr>
        <w:instrText>ADDIN CSL_CITATION {"citationItems":[{"id":"ITEM-1","itemData":{"DOI":"10.1093/nar/gkl924","ISSN":"03051048","PMID":"17158149","abstract":"Alternative splicing increases transcriptome and proteome diversification. Previous analyses aiming at comparing the rate of alternative splicing between different organisms provided contradicting results. These contradicting results were attributed to the fact that both analyses were dependent on the expressed sequence tag (EST) coverage, which varies greatly between the tested organisms. In this study we compare the level of alternative splicing among eight different organisms. By employing an EST independent approach we reveal that the percentage of genes and exons undergoing alternative splicing is higher in vertebrates compared with invertebrates. We also find that alternative exons of the skipping type are flanked by longer introns compared to constitutive ones, whereas alternative 5′ and 3′ splice sites events are generally not. In addition, although the regulation of alternative splicing and sizes of introns and exons have changed during metazoan evolution, intron retention remained the rarest type of alternative splicing, whereas exon skipping is more prevalent and exhibits a slight increase, from invertebrates to vertebrates. The difference in the level of alternative splicing suggests that alternative splicing may contribute greatly to the mammal higher level of phenotypic complexity, and that accumulation of introns confers an evolutionary advantage as it allows increasing the number of alternative splicing forms. © 2007 Oxford University Press.","author":[{"dropping-particle":"","family":"Kim","given":"Eddo","non-dropping-particle":"","parse-names":false,"suffix":""},{"dropping-particle":"","family":"Magen","given":"Alon","non-dropping-particle":"","parse-names":false,"suffix":""},{"dropping-particle":"","family":"Ast","given":"Gil","non-dropping-particle":"","parse-names":false,"suffix":""}],"container-title":"Nucleic Acids Research","id":"ITEM-1","issue":"1","issued":{"date-parts":[["2007"]]},"page":"125-131","title":"Different levels of alternative splicing among eukaryotes","type":"article-journal","volume":"35"},"uris":["http://www.mendeley.com/documents/?uuid=cfceca32-42d6-4885-934f-e67b4d0bdf82","http://www.mendeley.com/documents/?uuid=c58baa92-e82c-44d7-8469-897784d8592d"]}],"mendeley":{"formattedCitation":"(Kim, Magen and Ast, 2007)","manualFormatting":"Kim, Magen and Ast, 2007)","plainTextFormattedCitation":"(Kim, Magen and Ast, 2007)","previouslyFormattedCitation":"(Kim, Magen and Ast, 2007)"},"properties":{"noteIndex":0},"schema":"https://github.com/citation-style-language/schema/raw/master/csl-citation.json"}</w:instrText>
      </w:r>
      <w:r w:rsidR="00EE1470" w:rsidRPr="004147E2">
        <w:rPr>
          <w:lang w:val="en-US"/>
        </w:rPr>
        <w:fldChar w:fldCharType="separate"/>
      </w:r>
      <w:r w:rsidR="00EE1470" w:rsidRPr="004147E2">
        <w:rPr>
          <w:noProof/>
          <w:lang w:val="en-US"/>
        </w:rPr>
        <w:t>Kim, Magen and Ast, 2007)</w:t>
      </w:r>
      <w:r w:rsidR="00EE1470" w:rsidRPr="004147E2">
        <w:rPr>
          <w:lang w:val="en-US"/>
        </w:rPr>
        <w:fldChar w:fldCharType="end"/>
      </w:r>
      <w:r w:rsidR="005679B1" w:rsidRPr="004147E2">
        <w:t xml:space="preserve">, </w:t>
      </w:r>
      <w:r w:rsidR="00EE1470" w:rsidRPr="004147E2">
        <w:t xml:space="preserve">is that </w:t>
      </w:r>
      <w:r w:rsidR="00932097" w:rsidRPr="004147E2">
        <w:rPr>
          <w:lang w:val="en-US"/>
        </w:rPr>
        <w:t>exon skipping</w:t>
      </w:r>
      <w:r w:rsidR="004E5D1A" w:rsidRPr="004147E2">
        <w:rPr>
          <w:lang w:val="en-US"/>
        </w:rPr>
        <w:t xml:space="preserve"> </w:t>
      </w:r>
      <w:r w:rsidR="00F83195" w:rsidRPr="004147E2">
        <w:rPr>
          <w:lang w:val="en-US"/>
        </w:rPr>
        <w:t>(ES)</w:t>
      </w:r>
      <w:r w:rsidR="00792590" w:rsidRPr="004147E2">
        <w:rPr>
          <w:lang w:val="en-US"/>
        </w:rPr>
        <w:t xml:space="preserve"> is </w:t>
      </w:r>
      <w:r w:rsidR="00777AE4" w:rsidRPr="004147E2">
        <w:rPr>
          <w:lang w:val="en-US"/>
        </w:rPr>
        <w:t xml:space="preserve">the </w:t>
      </w:r>
      <w:r w:rsidR="00792590" w:rsidRPr="004147E2">
        <w:rPr>
          <w:lang w:val="en-US"/>
        </w:rPr>
        <w:t>most prevalent among the basic alternative splicing types</w:t>
      </w:r>
      <w:r w:rsidR="005A6830" w:rsidRPr="004147E2">
        <w:rPr>
          <w:lang w:val="en-US"/>
        </w:rPr>
        <w:t xml:space="preserve"> in </w:t>
      </w:r>
      <w:r w:rsidR="00D810E9" w:rsidRPr="004147E2">
        <w:rPr>
          <w:i/>
          <w:iCs/>
        </w:rPr>
        <w:t xml:space="preserve">A. </w:t>
      </w:r>
      <w:proofErr w:type="spellStart"/>
      <w:r w:rsidR="00D810E9" w:rsidRPr="004147E2">
        <w:rPr>
          <w:i/>
          <w:iCs/>
        </w:rPr>
        <w:t>polyacanthus</w:t>
      </w:r>
      <w:proofErr w:type="spellEnd"/>
      <w:r w:rsidR="00693EEC" w:rsidRPr="004147E2">
        <w:rPr>
          <w:lang w:val="en-US"/>
        </w:rPr>
        <w:t>.</w:t>
      </w:r>
    </w:p>
    <w:p w14:paraId="0792AAA6" w14:textId="46CEFA07" w:rsidR="00B50D7A" w:rsidRDefault="001A22EB" w:rsidP="002C5C70">
      <w:pPr>
        <w:spacing w:line="480" w:lineRule="auto"/>
        <w:ind w:firstLine="720"/>
        <w:jc w:val="both"/>
        <w:rPr>
          <w:rFonts w:eastAsia="MS Mincho"/>
          <w:lang w:val="en-US"/>
        </w:rPr>
      </w:pPr>
      <w:r w:rsidRPr="004147E2">
        <w:rPr>
          <w:rFonts w:eastAsia="MS Mincho"/>
          <w:lang w:val="en-US"/>
        </w:rPr>
        <w:t xml:space="preserve">We found the largest </w:t>
      </w:r>
      <w:r w:rsidRPr="004147E2">
        <w:t xml:space="preserve">number of DS genes between </w:t>
      </w:r>
      <w:r w:rsidR="00191281" w:rsidRPr="004147E2">
        <w:t>D</w:t>
      </w:r>
      <w:r w:rsidRPr="004147E2">
        <w:t xml:space="preserve">ecember </w:t>
      </w:r>
      <w:r w:rsidR="00191281" w:rsidRPr="004147E2">
        <w:t>and</w:t>
      </w:r>
      <w:r w:rsidRPr="004147E2">
        <w:t xml:space="preserve"> February, which represents t</w:t>
      </w:r>
      <w:r w:rsidR="00987491" w:rsidRPr="004147E2">
        <w:t xml:space="preserve">he </w:t>
      </w:r>
      <w:r w:rsidR="00792590" w:rsidRPr="004147E2">
        <w:t xml:space="preserve">initial stage </w:t>
      </w:r>
      <w:r w:rsidR="00E54725" w:rsidRPr="004147E2">
        <w:t xml:space="preserve">of </w:t>
      </w:r>
      <w:r w:rsidRPr="004147E2">
        <w:t>the heatwave</w:t>
      </w:r>
      <w:r w:rsidR="00E54725" w:rsidRPr="004147E2">
        <w:t xml:space="preserve"> </w:t>
      </w:r>
      <w:r w:rsidR="00792590" w:rsidRPr="004147E2">
        <w:t>characterized by a</w:t>
      </w:r>
      <w:r w:rsidR="00987491" w:rsidRPr="004147E2">
        <w:t xml:space="preserve"> sudden</w:t>
      </w:r>
      <w:r w:rsidR="004A1DA3" w:rsidRPr="004147E2">
        <w:t xml:space="preserve"> </w:t>
      </w:r>
      <w:r w:rsidR="00191281" w:rsidRPr="004147E2">
        <w:t>rise in</w:t>
      </w:r>
      <w:r w:rsidR="00792590" w:rsidRPr="004147E2">
        <w:t xml:space="preserve"> temperature. The</w:t>
      </w:r>
      <w:r w:rsidR="00E54725" w:rsidRPr="004147E2">
        <w:t xml:space="preserve">se genes </w:t>
      </w:r>
      <w:r w:rsidR="0098631F" w:rsidRPr="004147E2">
        <w:t>correspond</w:t>
      </w:r>
      <w:r w:rsidR="00E54725" w:rsidRPr="004147E2">
        <w:t xml:space="preserve"> to categories associated with </w:t>
      </w:r>
      <w:r w:rsidR="00792590" w:rsidRPr="004147E2">
        <w:t xml:space="preserve">protein synthesis and transport, as well as the interaction between the </w:t>
      </w:r>
      <w:r w:rsidR="0057057B" w:rsidRPr="004147E2">
        <w:t>Endoplasmic Reticulum (</w:t>
      </w:r>
      <w:r w:rsidR="00792590" w:rsidRPr="004147E2">
        <w:t>ER</w:t>
      </w:r>
      <w:r w:rsidR="0057057B" w:rsidRPr="004147E2">
        <w:t>)</w:t>
      </w:r>
      <w:r w:rsidR="00792590" w:rsidRPr="004147E2">
        <w:t xml:space="preserve"> and Golgi apparatus.</w:t>
      </w:r>
      <w:r w:rsidR="00792590" w:rsidRPr="004147E2">
        <w:rPr>
          <w:rFonts w:eastAsia="MS Mincho"/>
          <w:lang w:val="en-US"/>
        </w:rPr>
        <w:t xml:space="preserve"> </w:t>
      </w:r>
      <w:r w:rsidR="00792590" w:rsidRPr="004147E2">
        <w:t>Thermal stress</w:t>
      </w:r>
      <w:r w:rsidR="00E54725" w:rsidRPr="004147E2">
        <w:t xml:space="preserve"> and </w:t>
      </w:r>
      <w:r w:rsidR="00E54725" w:rsidRPr="004147E2">
        <w:lastRenderedPageBreak/>
        <w:t xml:space="preserve">the accompanying increase in aerobic demand in </w:t>
      </w:r>
      <w:r w:rsidR="00E54725" w:rsidRPr="004147E2">
        <w:rPr>
          <w:i/>
        </w:rPr>
        <w:t xml:space="preserve">A. </w:t>
      </w:r>
      <w:proofErr w:type="spellStart"/>
      <w:r w:rsidR="00E54725" w:rsidRPr="004147E2">
        <w:rPr>
          <w:i/>
        </w:rPr>
        <w:t>polyacanthus</w:t>
      </w:r>
      <w:proofErr w:type="spellEnd"/>
      <w:r w:rsidR="00E54725" w:rsidRPr="004147E2">
        <w:t xml:space="preserve"> </w:t>
      </w:r>
      <w:r w:rsidR="00FD32A2" w:rsidRPr="004147E2">
        <w:fldChar w:fldCharType="begin" w:fldLock="1"/>
      </w:r>
      <w:r w:rsidR="00517C3C">
        <w:instrText>ADDIN CSL_CITATION {"citationItems":[{"id":"ITEM-1","itemData":{"DOI":"10.1111/j.1365-2656.2012.01982.x","ISSN":"00218790","PMID":"22433064","abstract":"Short-term measures of metabolic responses to warmer environments are expected to indicate the sensitivity of species to regional warming. However, given time, species may be able to acclimate to increasing temperature. Thus, it is useful to determine if short-term responses provide a good predictor for long-term acclimation ability. The tropical reef fish Acanthochromis polyacanthus was used to test whether the ability for developmental thermal acclimation of two populations was indicated by their short-term metabolic response to temperature. While both populations exhibited similar short-term responses of resting metabolic rate (RMR) to temperature, fish from the higher-latitude population were able to fully acclimate RMR, while the lower-latitude population could only partially compensate RMR at the warmest temperature. These differences in acclimation ability are most likely due to genetic differences between the populations rather than differences in thermal regimes. This research indicates that acclimation ability may vary greatly between populations and that understanding such variation will be critical for predicting the impacts of warming environmental temperatures. Moreover, the thermal metabolic reaction norm does not appear to be a good predictor of long-term acclimation ability. © 2012 The Authors. Journal of Animal Ecology © 2012 British Ecological Society.","author":[{"dropping-particle":"","family":"Donelson","given":"Jennifer M.","non-dropping-particle":"","parse-names":false,"suffix":""},{"dropping-particle":"","family":"Munday","given":"Philip L.","non-dropping-particle":"","parse-names":false,"suffix":""}],"container-title":"Journal of Animal Ecology","id":"ITEM-1","issue":"5","issued":{"date-parts":[["2012"]]},"page":"1126-1131","title":"Thermal sensitivity does not determine acclimation capacity for a tropical reef fish","type":"article-journal","volume":"81"},"uris":["http://www.mendeley.com/documents/?uuid=4882594c-78b7-4b78-a317-eb3cb5bd8265"]}],"mendeley":{"formattedCitation":"(Donelson and Munday, 2012)","plainTextFormattedCitation":"(Donelson and Munday, 2012)","previouslyFormattedCitation":"(Donelson and Munday, 2012)"},"properties":{"noteIndex":0},"schema":"https://github.com/citation-style-language/schema/raw/master/csl-citation.json"}</w:instrText>
      </w:r>
      <w:r w:rsidR="00FD32A2" w:rsidRPr="004147E2">
        <w:fldChar w:fldCharType="separate"/>
      </w:r>
      <w:r w:rsidR="00FD32A2" w:rsidRPr="004147E2">
        <w:rPr>
          <w:noProof/>
        </w:rPr>
        <w:t>(Donelson and Munday, 2012)</w:t>
      </w:r>
      <w:r w:rsidR="00FD32A2" w:rsidRPr="004147E2">
        <w:fldChar w:fldCharType="end"/>
      </w:r>
      <w:r w:rsidR="00E54725" w:rsidRPr="004147E2">
        <w:t xml:space="preserve"> </w:t>
      </w:r>
      <w:r w:rsidR="0057057B" w:rsidRPr="004147E2">
        <w:t xml:space="preserve">has been shown to </w:t>
      </w:r>
      <w:r w:rsidR="00792590" w:rsidRPr="004147E2">
        <w:t xml:space="preserve">result in the accumulation of reactive oxygen species (ROS) that </w:t>
      </w:r>
      <w:r w:rsidR="00774038" w:rsidRPr="004147E2">
        <w:t xml:space="preserve">can </w:t>
      </w:r>
      <w:r w:rsidR="00792590" w:rsidRPr="004147E2">
        <w:t xml:space="preserve">cause oxidative damage </w:t>
      </w:r>
      <w:r w:rsidR="00EC2AEC" w:rsidRPr="004147E2">
        <w:rPr>
          <w:noProof/>
        </w:rPr>
        <w:fldChar w:fldCharType="begin" w:fldLock="1"/>
      </w:r>
      <w:r w:rsidR="007602F2">
        <w:rPr>
          <w:noProof/>
        </w:rPr>
        <w:instrText>ADDIN CSL_CITATION {"citationItems":[{"id":"ITEM-1","itemData":{"DOI":"10.1111/j.0031-9317.2005.00582.x","ISSN":"00319317","abstract":"Temperature stress can have a devastating effect on plant metabolism, disrupting cellular homeostasis, and uncoupling major physiological processes. A direct result of stress-induced cellular changes is the enhanced accumulation of toxic compounds in cells that include reactive oxygen species (ROS). Although a considerable amount of work has shown a direct link between ROS scavenging and plant tolerance to temperature stress, recent studies have shown that ROS could also play a key role in mediating important signal transduction events. Thus, ROS, such as superoxide (O2-), are produced by NADPH oxidases during abiotic stress to activate stress-response pathways and induce defense mechanisms. The rates and cellular sites of ROS production during temperature stress could play a central role in stress perception and protection. ROS levels, as well as ROS signals, are thought to be controlled by the ROS gene network of plants. It is likely that in plants this network is interlinked with the different networks that control temperature stress acclimation and tolerance. In this review paper, we attempt to summarize some of the recent studies linking ROS and temperature stress in plants and propose a model for the involvement of ROS in temperature stress sensing and defense. Copyright © Physiologia Plantarum 2006.","author":[{"dropping-particle":"","family":"Suzuki","given":"Nobuhiro","non-dropping-particle":"","parse-names":false,"suffix":""},{"dropping-particle":"","family":"Mittler","given":"Ron","non-dropping-particle":"","parse-names":false,"suffix":""}],"container-title":"Physiologia Plantarum","id":"ITEM-1","issue":"1","issued":{"date-parts":[["2006"]]},"page":"45-51","title":"Reactive oxygen species and temperature stresses: A delicate balance between signaling and destruction","type":"article-journal","volume":"126"},"uris":["http://www.mendeley.com/documents/?uuid=22d0fd08-1dfe-44b9-83d0-5d61d016135e","http://www.mendeley.com/documents/?uuid=700925bf-20d7-45de-b22d-87d717bc1616"]}],"mendeley":{"formattedCitation":"(Suzuki and Mittler, 2006)","plainTextFormattedCitation":"(Suzuki and Mittler, 2006)","previouslyFormattedCitation":"(Suzuki and Mittler, 2006)"},"properties":{"noteIndex":0},"schema":"https://github.com/citation-style-language/schema/raw/master/csl-citation.json"}</w:instrText>
      </w:r>
      <w:r w:rsidR="00EC2AEC" w:rsidRPr="004147E2">
        <w:rPr>
          <w:noProof/>
        </w:rPr>
        <w:fldChar w:fldCharType="separate"/>
      </w:r>
      <w:r w:rsidR="00EC2AEC" w:rsidRPr="004147E2">
        <w:rPr>
          <w:noProof/>
        </w:rPr>
        <w:t>(Suzuki and Mittler, 2006)</w:t>
      </w:r>
      <w:r w:rsidR="00EC2AEC" w:rsidRPr="004147E2">
        <w:rPr>
          <w:noProof/>
        </w:rPr>
        <w:fldChar w:fldCharType="end"/>
      </w:r>
      <w:r w:rsidR="0057057B" w:rsidRPr="004147E2">
        <w:t>.</w:t>
      </w:r>
      <w:r w:rsidR="00453901" w:rsidRPr="004147E2">
        <w:t xml:space="preserve"> </w:t>
      </w:r>
      <w:r w:rsidR="002C5C70" w:rsidRPr="004147E2">
        <w:rPr>
          <w:rFonts w:eastAsiaTheme="minorEastAsia"/>
          <w:lang w:val="en-GB"/>
        </w:rPr>
        <w:t>O</w:t>
      </w:r>
      <w:r w:rsidR="005C41E1" w:rsidRPr="004147E2">
        <w:rPr>
          <w:rFonts w:eastAsiaTheme="minorEastAsia"/>
          <w:lang w:val="en-GB"/>
        </w:rPr>
        <w:t>xidative stress can also disturb the functioning of ER, which may influence protein folding capacity and</w:t>
      </w:r>
      <w:r w:rsidR="00DF0C47" w:rsidRPr="004147E2">
        <w:t xml:space="preserve"> </w:t>
      </w:r>
      <w:r w:rsidR="005C41E1" w:rsidRPr="004147E2">
        <w:t>trafficking</w:t>
      </w:r>
      <w:r w:rsidR="00D66D79" w:rsidRPr="004147E2">
        <w:t xml:space="preserve"> of intracellular </w:t>
      </w:r>
      <w:r w:rsidRPr="004147E2">
        <w:rPr>
          <w:rFonts w:eastAsiaTheme="minorEastAsia"/>
          <w:lang w:val="en-GB"/>
        </w:rPr>
        <w:t>proteins and</w:t>
      </w:r>
      <w:r w:rsidR="002C5C70" w:rsidRPr="004147E2">
        <w:rPr>
          <w:rFonts w:eastAsiaTheme="minorEastAsia"/>
          <w:lang w:val="en-GB"/>
        </w:rPr>
        <w:t xml:space="preserve"> can </w:t>
      </w:r>
      <w:r w:rsidR="005C41E1" w:rsidRPr="004147E2">
        <w:rPr>
          <w:rFonts w:eastAsiaTheme="minorEastAsia"/>
          <w:lang w:val="en-GB"/>
        </w:rPr>
        <w:t xml:space="preserve">eventually lead to cell death. </w:t>
      </w:r>
      <w:r w:rsidR="002C5C70" w:rsidRPr="004147E2">
        <w:rPr>
          <w:rFonts w:eastAsiaTheme="minorEastAsia"/>
          <w:lang w:val="en-GB"/>
        </w:rPr>
        <w:t xml:space="preserve">Evidence of this was seen with the gene </w:t>
      </w:r>
      <w:r w:rsidR="0004785E" w:rsidRPr="004147E2">
        <w:rPr>
          <w:rFonts w:eastAsia="MS Mincho"/>
          <w:i/>
          <w:iCs/>
          <w:lang w:val="en-US"/>
        </w:rPr>
        <w:t>sec</w:t>
      </w:r>
      <w:r w:rsidR="00235C29" w:rsidRPr="004147E2">
        <w:rPr>
          <w:rFonts w:eastAsia="MS Mincho"/>
          <w:i/>
          <w:iCs/>
          <w:lang w:val="en-US"/>
        </w:rPr>
        <w:t>31</w:t>
      </w:r>
      <w:r w:rsidR="00235C29" w:rsidRPr="004147E2">
        <w:rPr>
          <w:rFonts w:eastAsia="MS Mincho"/>
          <w:lang w:val="en-US"/>
        </w:rPr>
        <w:t xml:space="preserve"> </w:t>
      </w:r>
      <w:r w:rsidR="0004785E" w:rsidRPr="004147E2">
        <w:rPr>
          <w:rFonts w:eastAsia="MS Mincho"/>
          <w:i/>
          <w:iCs/>
          <w:lang w:val="en-US"/>
        </w:rPr>
        <w:t>h</w:t>
      </w:r>
      <w:r w:rsidR="00235C29" w:rsidRPr="004147E2">
        <w:rPr>
          <w:rFonts w:eastAsia="MS Mincho"/>
          <w:i/>
          <w:iCs/>
          <w:lang w:val="en-US"/>
        </w:rPr>
        <w:t xml:space="preserve">omolog </w:t>
      </w:r>
      <w:r w:rsidR="0004785E" w:rsidRPr="004147E2">
        <w:rPr>
          <w:rFonts w:eastAsia="MS Mincho"/>
          <w:i/>
          <w:iCs/>
          <w:lang w:val="en-US"/>
        </w:rPr>
        <w:t>a</w:t>
      </w:r>
      <w:r w:rsidR="00235C29" w:rsidRPr="004147E2">
        <w:rPr>
          <w:rFonts w:eastAsia="MS Mincho"/>
          <w:lang w:val="en-US"/>
        </w:rPr>
        <w:t xml:space="preserve"> (</w:t>
      </w:r>
      <w:r w:rsidR="0004785E" w:rsidRPr="004147E2">
        <w:rPr>
          <w:rFonts w:eastAsia="MS Mincho"/>
          <w:i/>
          <w:iCs/>
          <w:lang w:val="en-US"/>
        </w:rPr>
        <w:t>s</w:t>
      </w:r>
      <w:r w:rsidR="00792590" w:rsidRPr="004147E2">
        <w:rPr>
          <w:rFonts w:eastAsia="MS Mincho"/>
          <w:i/>
          <w:iCs/>
          <w:lang w:val="en-US"/>
        </w:rPr>
        <w:t>ec31</w:t>
      </w:r>
      <w:r w:rsidR="0004785E" w:rsidRPr="004147E2">
        <w:rPr>
          <w:rFonts w:eastAsia="MS Mincho"/>
          <w:i/>
          <w:iCs/>
          <w:lang w:val="en-US"/>
        </w:rPr>
        <w:t>a</w:t>
      </w:r>
      <w:r w:rsidR="00235C29" w:rsidRPr="004147E2">
        <w:rPr>
          <w:rFonts w:eastAsia="MS Mincho"/>
          <w:lang w:val="en-US"/>
        </w:rPr>
        <w:t>)</w:t>
      </w:r>
      <w:r w:rsidR="002C5C70" w:rsidRPr="004147E2">
        <w:rPr>
          <w:rFonts w:eastAsia="MS Mincho"/>
          <w:lang w:val="en-US"/>
        </w:rPr>
        <w:t>,</w:t>
      </w:r>
      <w:r w:rsidR="009724DF" w:rsidRPr="004147E2">
        <w:rPr>
          <w:rFonts w:eastAsia="MS Mincho"/>
          <w:lang w:val="en-US"/>
        </w:rPr>
        <w:t xml:space="preserve"> which </w:t>
      </w:r>
      <w:r w:rsidR="00275E01" w:rsidRPr="004147E2">
        <w:rPr>
          <w:rFonts w:eastAsia="MS Mincho"/>
          <w:lang w:val="en-US"/>
        </w:rPr>
        <w:t xml:space="preserve">is responsible for formation of </w:t>
      </w:r>
      <w:r w:rsidR="009724DF" w:rsidRPr="004147E2">
        <w:rPr>
          <w:rFonts w:eastAsia="MS Mincho"/>
          <w:lang w:val="en-US"/>
        </w:rPr>
        <w:t>transport vesicle from the endoplasmic reticulum</w:t>
      </w:r>
      <w:r w:rsidR="00381106" w:rsidRPr="004147E2">
        <w:rPr>
          <w:rFonts w:eastAsia="MS Mincho"/>
          <w:lang w:val="en-US"/>
        </w:rPr>
        <w:t xml:space="preserve"> </w:t>
      </w:r>
      <w:r w:rsidR="00381106" w:rsidRPr="004147E2">
        <w:rPr>
          <w:rFonts w:eastAsia="MS Mincho"/>
          <w:lang w:val="en-US"/>
        </w:rPr>
        <w:fldChar w:fldCharType="begin" w:fldLock="1"/>
      </w:r>
      <w:r w:rsidR="007602F2">
        <w:rPr>
          <w:rFonts w:eastAsia="MS Mincho"/>
          <w:lang w:val="en-US"/>
        </w:rPr>
        <w:instrText>ADDIN CSL_CITATION {"citationItems":[{"id":"ITEM-1","itemData":{"DOI":"10.1091/mbc.8.2.205","ISSN":"10591524","PMID":"9190202","abstract":"The COPII vesicle coat protein promotes the formation of endoplasmic reticulum- (ER) derived transport vesicles that carry secretory proteins to the Golgi complex in Saccharomyces cerevisiae. This coat protein consists of Sar1p, the Sec23p protein complex containing Sec23p and Sec24p, and the Sec13p protein complex containing Sec13p and a novel 150-kDa protein, p150. Here, we report the cloning and characterization of the p150 gene. p150 is encoded by an essential gene. Depletion of this protein in vivo blocks the exit of secretory proteins from the ER and causes an elaboration of ER membranes, indicating that p150 is encoded by a SEC gene. Additionally, overproduction of the p150 gene product compromises the growth of two ER to Golgi sec mutants: sec16-2 and sec23-1. p150 is encoded by SEC31, a gene isolated in a genetic screen for mutations that accumulate unprocessed forms of the secretory protein α-factor. The sec31-1 mutation was mapped by gap repair, and sequence analysis revealed an alanine to valine change at position 1239, near the carboxyl terminus. Sec31p is a phosphoprotein and treatment of the Sec31p-containing fraction with alkaline phosphatase results in a 50-75% inhibition of transport vesicle formation activity in an ER membrane budding assay.","author":[{"dropping-particle":"","family":"Salama","given":"Nina R.","non-dropping-particle":"","parse-names":false,"suffix":""},{"dropping-particle":"","family":"Chuang","given":"John S.","non-dropping-particle":"","parse-names":false,"suffix":""},{"dropping-particle":"","family":"Schekman","given":"Randy W.","non-dropping-particle":"","parse-names":false,"suffix":""}],"container-title":"Molecular Biology of the Cell","id":"ITEM-1","issue":"2","issued":{"date-parts":[["1997"]]},"page":"205-217","title":"SEC31 encodes an essential component of the COPII coat required for transport vesicle budding from the endoplasmic reticulum","type":"article-journal","volume":"8"},"uris":["http://www.mendeley.com/documents/?uuid=915b6c03-7fe5-47f3-bf8f-086be376aebd","http://www.mendeley.com/documents/?uuid=4d524737-36a1-4c65-9a63-17e376b9a9bf"]}],"mendeley":{"formattedCitation":"(Salama, Chuang and Schekman, 1997)","plainTextFormattedCitation":"(Salama, Chuang and Schekman, 1997)","previouslyFormattedCitation":"(Salama, Chuang and Schekman, 1997)"},"properties":{"noteIndex":0},"schema":"https://github.com/citation-style-language/schema/raw/master/csl-citation.json"}</w:instrText>
      </w:r>
      <w:r w:rsidR="00381106" w:rsidRPr="004147E2">
        <w:rPr>
          <w:rFonts w:eastAsia="MS Mincho"/>
          <w:lang w:val="en-US"/>
        </w:rPr>
        <w:fldChar w:fldCharType="separate"/>
      </w:r>
      <w:r w:rsidR="00381106" w:rsidRPr="004147E2">
        <w:rPr>
          <w:rFonts w:eastAsia="MS Mincho"/>
          <w:noProof/>
          <w:lang w:val="en-US"/>
        </w:rPr>
        <w:t>(Salama, Chuang and Schekman, 1997)</w:t>
      </w:r>
      <w:r w:rsidR="00381106" w:rsidRPr="004147E2">
        <w:rPr>
          <w:rFonts w:eastAsia="MS Mincho"/>
          <w:lang w:val="en-US"/>
        </w:rPr>
        <w:fldChar w:fldCharType="end"/>
      </w:r>
      <w:r w:rsidR="00742720" w:rsidRPr="004147E2">
        <w:rPr>
          <w:rFonts w:eastAsia="MS Mincho"/>
          <w:lang w:val="en-US"/>
        </w:rPr>
        <w:t>.</w:t>
      </w:r>
      <w:r w:rsidR="002C5C70" w:rsidRPr="004147E2">
        <w:rPr>
          <w:rFonts w:eastAsia="MS Mincho"/>
          <w:lang w:val="en-US"/>
        </w:rPr>
        <w:t xml:space="preserve"> </w:t>
      </w:r>
      <w:r w:rsidR="00191281" w:rsidRPr="004147E2">
        <w:rPr>
          <w:rFonts w:eastAsia="MS Mincho"/>
          <w:lang w:val="en-US"/>
        </w:rPr>
        <w:t xml:space="preserve">This specific gene </w:t>
      </w:r>
      <w:r w:rsidR="002C5C70" w:rsidRPr="004147E2">
        <w:rPr>
          <w:rFonts w:eastAsia="MS Mincho"/>
          <w:lang w:val="en-US"/>
        </w:rPr>
        <w:t xml:space="preserve">was </w:t>
      </w:r>
      <w:r w:rsidR="0057057B" w:rsidRPr="004147E2">
        <w:rPr>
          <w:rFonts w:eastAsia="MS Mincho"/>
          <w:lang w:val="en-US"/>
        </w:rPr>
        <w:t xml:space="preserve">differentially spliced </w:t>
      </w:r>
      <w:r w:rsidR="002C5C70" w:rsidRPr="004147E2">
        <w:rPr>
          <w:rFonts w:eastAsia="MS Mincho"/>
          <w:lang w:val="en-US"/>
        </w:rPr>
        <w:t>during</w:t>
      </w:r>
      <w:r w:rsidR="008569B3" w:rsidRPr="004147E2">
        <w:t xml:space="preserve"> the onset </w:t>
      </w:r>
      <w:r w:rsidRPr="004147E2">
        <w:t>period</w:t>
      </w:r>
      <w:r w:rsidRPr="004147E2">
        <w:rPr>
          <w:rFonts w:eastAsia="MS Mincho"/>
          <w:lang w:val="en-US"/>
        </w:rPr>
        <w:t xml:space="preserve"> and</w:t>
      </w:r>
      <w:r w:rsidR="002C5C70" w:rsidRPr="004147E2">
        <w:rPr>
          <w:rFonts w:eastAsia="MS Mincho"/>
          <w:lang w:val="en-US"/>
        </w:rPr>
        <w:t xml:space="preserve"> </w:t>
      </w:r>
      <w:r w:rsidR="00792590" w:rsidRPr="004147E2">
        <w:rPr>
          <w:rFonts w:eastAsia="MS Mincho"/>
          <w:lang w:val="en-US"/>
        </w:rPr>
        <w:t>was significantly down-regulated in the onset period but up-regulated in the prolonged period of the heatwave</w:t>
      </w:r>
      <w:r w:rsidR="001D6A25" w:rsidRPr="004147E2">
        <w:rPr>
          <w:rFonts w:eastAsia="MS Mincho"/>
          <w:lang w:val="en-US"/>
        </w:rPr>
        <w:t xml:space="preserve">. </w:t>
      </w:r>
      <w:r w:rsidR="00527F5B" w:rsidRPr="004147E2">
        <w:rPr>
          <w:rFonts w:eastAsia="MS Mincho"/>
          <w:lang w:val="en-US"/>
        </w:rPr>
        <w:t xml:space="preserve">Although </w:t>
      </w:r>
      <w:r w:rsidR="0057057B" w:rsidRPr="004147E2">
        <w:rPr>
          <w:rFonts w:eastAsia="MS Mincho"/>
          <w:lang w:val="en-US"/>
        </w:rPr>
        <w:t xml:space="preserve">a </w:t>
      </w:r>
      <w:r w:rsidR="0004785E" w:rsidRPr="004147E2">
        <w:rPr>
          <w:rFonts w:eastAsia="MS Mincho"/>
          <w:i/>
          <w:iCs/>
          <w:lang w:val="en-US"/>
        </w:rPr>
        <w:t>sec</w:t>
      </w:r>
      <w:r w:rsidR="00527F5B" w:rsidRPr="004147E2">
        <w:rPr>
          <w:rFonts w:eastAsia="MS Mincho"/>
          <w:i/>
          <w:iCs/>
          <w:lang w:val="en-US"/>
        </w:rPr>
        <w:t>31</w:t>
      </w:r>
      <w:r w:rsidR="00527F5B" w:rsidRPr="004147E2">
        <w:rPr>
          <w:rFonts w:eastAsia="MS Mincho"/>
          <w:lang w:val="en-US"/>
        </w:rPr>
        <w:t xml:space="preserve"> </w:t>
      </w:r>
      <w:r w:rsidR="0057057B" w:rsidRPr="004147E2">
        <w:rPr>
          <w:rFonts w:eastAsia="MS Mincho"/>
          <w:lang w:val="en-US"/>
        </w:rPr>
        <w:t xml:space="preserve">homolog </w:t>
      </w:r>
      <w:r w:rsidR="00527F5B" w:rsidRPr="004147E2">
        <w:rPr>
          <w:rFonts w:eastAsia="MS Mincho"/>
          <w:lang w:val="en-US"/>
        </w:rPr>
        <w:t xml:space="preserve">was previously found to be </w:t>
      </w:r>
      <w:r w:rsidR="002C5C70" w:rsidRPr="004147E2">
        <w:rPr>
          <w:rFonts w:eastAsia="MS Mincho"/>
          <w:lang w:val="en-US"/>
        </w:rPr>
        <w:t xml:space="preserve">differentially spliced in </w:t>
      </w:r>
      <w:r w:rsidR="00527F5B" w:rsidRPr="004147E2">
        <w:rPr>
          <w:rFonts w:eastAsia="MS Mincho"/>
          <w:lang w:val="en-US"/>
        </w:rPr>
        <w:t>response to heat stress in plant</w:t>
      </w:r>
      <w:r w:rsidR="0057057B" w:rsidRPr="004147E2">
        <w:rPr>
          <w:rFonts w:eastAsia="MS Mincho"/>
          <w:lang w:val="en-US"/>
        </w:rPr>
        <w:t>s</w:t>
      </w:r>
      <w:r w:rsidR="00527F5B" w:rsidRPr="004147E2">
        <w:rPr>
          <w:rFonts w:eastAsia="MS Mincho"/>
          <w:lang w:val="en-US"/>
        </w:rPr>
        <w:t xml:space="preserve"> </w:t>
      </w:r>
      <w:r w:rsidR="00EC2AEC" w:rsidRPr="004147E2">
        <w:rPr>
          <w:rFonts w:eastAsia="MS Mincho"/>
          <w:lang w:val="en-US"/>
        </w:rPr>
        <w:fldChar w:fldCharType="begin" w:fldLock="1"/>
      </w:r>
      <w:r w:rsidR="00EF730B">
        <w:rPr>
          <w:rFonts w:eastAsia="MS Mincho"/>
          <w:lang w:val="en-US"/>
        </w:rPr>
        <w:instrText>ADDIN CSL_CITATION {"citationItems":[{"id":"ITEM-1","itemData":{"DOI":"10.3389/fpls.2018.00800","ISSN":"1664462X","abstract":"Elevated temperatures limit plant growth and reproduction and pose a growing threat to agriculture. Plant heat stress response is highly conserved and fine-tuned in multiple pathways. Spinach (Spinacia oleracea L.) is a cold tolerant but heat sensitive green leafy vegetable. In this study, heat adaptation mechanisms in a spinach sibling inbred heat-tolerant line Sp75 were investigated using physiological, proteomic, and phosphoproteomic approaches. The abundance patterns of 911 heat stress-responsive proteins, and phosphorylation level changes of 45 phosphoproteins indicated heat-induced calcium-mediated signaling, ROS homeostasis, endomembrane trafficking, and cross-membrane transport pathways, as well as more than 15 transcription regulation factors. Although photosynthesis was inhibited, diverse primary and secondary metabolic pathways were employed for defense against heat stress, such as glycolysis, pentose phosphate pathway, amino acid metabolism, fatty acid metabolism, nucleotide metabolism, vitamin metabolism, and isoprenoid biosynthesis. These data constitute a heat stress-responsive metabolic atlas in spinach, which will springboard further investigations into the sophisticated molecular mechanisms of plant heat adaptation and inform spinach molecular breeding initiatives.","author":[{"dropping-particle":"","family":"Zhao","given":"Qi","non-dropping-particle":"","parse-names":false,"suffix":""},{"dropping-particle":"","family":"Chen","given":"Wenxin","non-dropping-particle":"","parse-names":false,"suffix":""},{"dropping-particle":"","family":"Bian","given":"Jiayi","non-dropping-particle":"","parse-names":false,"suffix":""},{"dropping-particle":"","family":"Xie","given":"Hao","non-dropping-particle":"","parse-names":false,"suffix":""},{"dropping-particle":"","family":"Li","given":"Ying","non-dropping-particle":"","parse-names":false,"suffix":""},{"dropping-particle":"","family":"Xu","given":"Chenxi","non-dropping-particle":"","parse-names":false,"suffix":""},{"dropping-particle":"","family":"Ma","given":"Jun","non-dropping-particle":"","parse-names":false,"suffix":""},{"dropping-particle":"","family":"Guo","given":"Siyi","non-dropping-particle":"","parse-names":false,"suffix":""},{"dropping-particle":"","family":"Chen","given":"Jiaying","non-dropping-particle":"","parse-names":false,"suffix":""},{"dropping-particle":"","family":"Cai","given":"Xiaofeng","non-dropping-particle":"","parse-names":false,"suffix":""},{"dropping-particle":"","family":"Wang","given":"Xiaoli","non-dropping-particle":"","parse-names":false,"suffix":""},{"dropping-particle":"","family":"Wang","given":"Quanhua","non-dropping-particle":"","parse-names":false,"suffix":""},{"dropping-particle":"","family":"She","given":"Yimin","non-dropping-particle":"","parse-names":false,"suffix":""},{"dropping-particle":"","family":"Chen","given":"Sixue","non-dropping-particle":"","parse-names":false,"suffix":""},{"dropping-particle":"","family":"Zhou","given":"Zhiqiang","non-dropping-particle":"","parse-names":false,"suffix":""},{"dropping-particle":"","family":"Dai","given":"Shaojun","non-dropping-particle":"","parse-names":false,"suffix":""}],"container-title":"Frontiers in Plant Science","id":"ITEM-1","issued":{"date-parts":[["2018"]]},"page":"800","title":"Proteomics and phosphoproteomics of heat stress-responsive mechanisms in Spinach","type":"article-journal","volume":"9"},"uris":["http://www.mendeley.com/documents/?uuid=aa82621d-90e1-4046-ba83-8c17be5b16ce","http://www.mendeley.com/documents/?uuid=590830f9-8a20-4e8a-a57e-d97525c73e12"]},{"id":"ITEM-2","itemData":{"DOI":"10.3389/fpls.2018.01558","ISSN":"1664462X","abstract":"Heat stress is a major cause for yield loss in many crops, including vegetable crops. Even short waves of high temperature, becoming more frequent during recent years, can be detrimental. Pollen development is most heat-sensitive, being the main cause for reduced productivity under heat-stress across a wide range of crops. The molecular mechanisms involved in pollen heat-stress response and thermotolerance are however, not fully understood. Recently, we have demonstrated that ethylene, a gaseous plant hormone, plays a role in tomato (Solanum lycopersicum) pollen thermotolerance. These results were substantiated in the current work showing that increasing ethylene levels by using an ethylene-releasing substance, ethephon, prior to heat-stress exposure, increased pollen quality. A proteomic approach was undertaken, to unravel the mechanisms underlying pollen heat-stress response and ethylene-mediated pollen thermotolerance in developing pollen grains. Proteins were extracted and analyzed by means of a gel LC-MS fractionation protocol, and a total of 1,355 proteins were identified. A dataset of 721 proteins, detected in three biological replicates of at least one of the applied treatments, was used for all analyses. Quantitative analysis was performed based on peptide count. The analysis revealed that heat-stress affected the developmental program of pollen, including protein homeostasis (components of the translational and degradation machinery), carbohydrate, and energy metabolism. Ethephon-pre-treatment shifted the heat-stressed pollen proteome closer to the proteome under non-stressful conditions, namely, by showing higher abundance of proteins involved in protein synthesis, degradation, tricarboxylic acid cycle, and RNA regulation. Furthermore, up-regulation of protective mechanisms against oxidative stress was observed following ethephon-treatment (including higher abundance of glutathione-disulfide reductase, glutaredoxin, and protein disulfide isomerase). Taken together, the findings identified systemic and fundamental components of pollen thermotolerance, and serve as a valuable quantitative protein database for further research.","author":[{"dropping-particle":"","family":"Jegadeesan","given":"Sridharan","non-dropping-particle":"","parse-names":false,"suffix":""},{"dropping-particle":"","family":"Chaturvedi","given":"Palak","non-dropping-particle":"","parse-names":false,"suffix":""},{"dropping-particle":"","family":"Ghatak","given":"Arindam","non-dropping-particle":"","parse-names":false,"suffix":""},{"dropping-particle":"","family":"Pressman","given":"Etan","non-dropping-particle":"","parse-names":false,"suffix":""},{"dropping-particle":"","family":"Meir","given":"Shimon","non-dropping-particle":"","parse-names":false,"suffix":""},{"dropping-particle":"","family":"Faigenboim","given":"Adi","non-dropping-particle":"","parse-names":false,"suffix":""},{"dropping-particle":"","family":"Rutley","given":"Nicholas","non-dropping-particle":"","parse-names":false,"suffix":""},{"dropping-particle":"","family":"Beery","given":"Avital","non-dropping-particle":"","parse-names":false,"suffix":""},{"dropping-particle":"","family":"Harel","given":"Arye","non-dropping-particle":"","parse-names":false,"suffix":""},{"dropping-particle":"","family":"Weckwerth","given":"Wolfram","non-dropping-particle":"","parse-names":false,"suffix":""},{"dropping-particle":"","family":"Firon","given":"Nurit","non-dropping-particle":"","parse-names":false,"suffix":""}],"container-title":"Frontiers in Plant Science","id":"ITEM-2","issued":{"date-parts":[["2018"]]},"page":"1558","title":"Proteomics of heat-stress and ethylene-mediated thermotolerance mechanisms in tomato pollen grains","type":"article-journal","volume":"9"},"uris":["http://www.mendeley.com/documents/?uuid=9a3c7916-148c-4b83-8e38-f478cdf6ec72","http://www.mendeley.com/documents/?uuid=7529510e-163d-4cb6-952a-6abe32c17e09"]},{"id":"ITEM-3","itemData":{"DOI":"10.1111/tpj.13239","ISSN":"1365313X","PMID":"27304577","abstract":"The unfolded protein response (UPR) is activated by various stresses during vegetative development in Arabidopsis, but is constitutively active in anthers of unstressed plants. To understand the role of the UPR during reproductive development, we analyzed a double mutant, ire1a ire1b. The double mutant knocks out the RNA-splicing arm of the UPR signaling pathway. It is fertile at room temperature but male sterile at modestly elevated temperature (ET). The conditional male sterility in the mutant is a sporophytic trait, and when the double mutant was grown at ET, defects appeared in the structure of the tapetum. As a result, the tapetum in the double mutant failed to properly deposit the pollen coat at ET, which made pollen grains clump and prevented their normal dispersal. IRE1 is a dual protein kinase/ribonuclease involved in the splicing of bZIP60 mRNA, and through complementation analysis of various mutant forms of IRE1b it was demonstrated that the ribonuclease activity of IRE1 was required for protecting male fertility from ET. It was also found that overexpression of SEC31A rescued the conditional male sterility in the double mutant. SEC31A is involved in trafficking from the endoplasmic reticulum to Golgi and a major target of the IRE1-mediated UPR signaling in stressed seedlings. Thus, IRE1, a major component of the UPR, plays an important role in protecting pollen development from ET.","author":[{"dropping-particle":"","family":"Deng","given":"Yan","non-dropping-particle":"","parse-names":false,"suffix":""},{"dropping-particle":"","family":"Srivastava","given":"Renu","non-dropping-particle":"","parse-names":false,"suffix":""},{"dropping-particle":"","family":"Quilichini","given":"Teagen D.","non-dropping-particle":"","parse-names":false,"suffix":""},{"dropping-particle":"","family":"Dong","given":"Haili","non-dropping-particle":"","parse-names":false,"suffix":""},{"dropping-particle":"","family":"Bao","given":"Yan","non-dropping-particle":"","parse-names":false,"suffix":""},{"dropping-particle":"","family":"Horner","given":"Harry T.","non-dropping-particle":"","parse-names":false,"suffix":""},{"dropping-particle":"","family":"Howell","given":"Stephen H.","non-dropping-particle":"","parse-names":false,"suffix":""}],"container-title":"Plant Journal","id":"ITEM-3","issue":"2","issued":{"date-parts":[["2016"]]},"page":"193-204","title":"IRE1, a component of the unfolded protein response signaling pathway, protects pollen development in Arabidopsis from heat stress","type":"article-journal","volume":"88"},"uris":["http://www.mendeley.com/documents/?uuid=6eec752e-c7e9-43ea-b5bc-1387517f84ce","http://www.mendeley.com/documents/?uuid=5405d696-8430-4d35-9486-a6c531591f4c"]}],"mendeley":{"formattedCitation":"(Deng &lt;i&gt;et al.&lt;/i&gt;, 2016; Jegadeesan &lt;i&gt;et al.&lt;/i&gt;, 2018; Zhao &lt;i&gt;et al.&lt;/i&gt;, 2018)","plainTextFormattedCitation":"(Deng et al., 2016; Jegadeesan et al., 2018; Zhao et al., 2018)","previouslyFormattedCitation":"(Deng &lt;i&gt;et al.&lt;/i&gt;, 2016; Jegadeesan &lt;i&gt;et al.&lt;/i&gt;, 2018; Zhao &lt;i&gt;et al.&lt;/i&gt;, 2018)"},"properties":{"noteIndex":0},"schema":"https://github.com/citation-style-language/schema/raw/master/csl-citation.json"}</w:instrText>
      </w:r>
      <w:r w:rsidR="00EC2AEC" w:rsidRPr="004147E2">
        <w:rPr>
          <w:rFonts w:eastAsia="MS Mincho"/>
          <w:lang w:val="en-US"/>
        </w:rPr>
        <w:fldChar w:fldCharType="separate"/>
      </w:r>
      <w:r w:rsidR="00EC2AEC" w:rsidRPr="004147E2">
        <w:rPr>
          <w:rFonts w:eastAsia="MS Mincho"/>
          <w:noProof/>
          <w:lang w:val="en-US"/>
        </w:rPr>
        <w:t xml:space="preserve">(Deng </w:t>
      </w:r>
      <w:r w:rsidR="00EC2AEC" w:rsidRPr="004147E2">
        <w:rPr>
          <w:rFonts w:eastAsia="MS Mincho"/>
          <w:i/>
          <w:noProof/>
          <w:lang w:val="en-US"/>
        </w:rPr>
        <w:t>et al.</w:t>
      </w:r>
      <w:r w:rsidR="00EC2AEC" w:rsidRPr="004147E2">
        <w:rPr>
          <w:rFonts w:eastAsia="MS Mincho"/>
          <w:noProof/>
          <w:lang w:val="en-US"/>
        </w:rPr>
        <w:t xml:space="preserve">, 2016; Jegadeesan </w:t>
      </w:r>
      <w:r w:rsidR="00EC2AEC" w:rsidRPr="004147E2">
        <w:rPr>
          <w:rFonts w:eastAsia="MS Mincho"/>
          <w:i/>
          <w:noProof/>
          <w:lang w:val="en-US"/>
        </w:rPr>
        <w:t>et al.</w:t>
      </w:r>
      <w:r w:rsidR="00EC2AEC" w:rsidRPr="004147E2">
        <w:rPr>
          <w:rFonts w:eastAsia="MS Mincho"/>
          <w:noProof/>
          <w:lang w:val="en-US"/>
        </w:rPr>
        <w:t xml:space="preserve">, 2018; Zhao </w:t>
      </w:r>
      <w:r w:rsidR="00EC2AEC" w:rsidRPr="004147E2">
        <w:rPr>
          <w:rFonts w:eastAsia="MS Mincho"/>
          <w:i/>
          <w:noProof/>
          <w:lang w:val="en-US"/>
        </w:rPr>
        <w:t>et al.</w:t>
      </w:r>
      <w:r w:rsidR="00EC2AEC" w:rsidRPr="004147E2">
        <w:rPr>
          <w:rFonts w:eastAsia="MS Mincho"/>
          <w:noProof/>
          <w:lang w:val="en-US"/>
        </w:rPr>
        <w:t>, 2018)</w:t>
      </w:r>
      <w:r w:rsidR="00EC2AEC" w:rsidRPr="004147E2">
        <w:rPr>
          <w:rFonts w:eastAsia="MS Mincho"/>
          <w:lang w:val="en-US"/>
        </w:rPr>
        <w:fldChar w:fldCharType="end"/>
      </w:r>
      <w:r w:rsidR="00527F5B" w:rsidRPr="004147E2">
        <w:rPr>
          <w:rFonts w:eastAsia="MS Mincho"/>
          <w:lang w:val="en-US"/>
        </w:rPr>
        <w:t xml:space="preserve">, </w:t>
      </w:r>
      <w:r w:rsidR="0057057B" w:rsidRPr="004147E2">
        <w:rPr>
          <w:rFonts w:eastAsia="MS Mincho"/>
          <w:lang w:val="en-US"/>
        </w:rPr>
        <w:t>this is the first evidence for alternative splicing in th</w:t>
      </w:r>
      <w:r w:rsidR="00774038" w:rsidRPr="004147E2">
        <w:rPr>
          <w:rFonts w:eastAsia="MS Mincho"/>
          <w:lang w:val="en-US"/>
        </w:rPr>
        <w:t>is</w:t>
      </w:r>
      <w:r w:rsidR="0057057B" w:rsidRPr="004147E2">
        <w:rPr>
          <w:rFonts w:eastAsia="MS Mincho"/>
          <w:lang w:val="en-US"/>
        </w:rPr>
        <w:t xml:space="preserve"> gene in</w:t>
      </w:r>
      <w:r w:rsidR="00527F5B" w:rsidRPr="004147E2">
        <w:rPr>
          <w:rFonts w:eastAsia="MS Mincho"/>
          <w:lang w:val="en-US"/>
        </w:rPr>
        <w:t xml:space="preserve"> fish under heat stres</w:t>
      </w:r>
      <w:r w:rsidR="00E32C95" w:rsidRPr="004147E2">
        <w:rPr>
          <w:rFonts w:eastAsia="MS Mincho"/>
          <w:lang w:val="en-US"/>
        </w:rPr>
        <w:t>s. O</w:t>
      </w:r>
      <w:r w:rsidR="00792590" w:rsidRPr="004147E2">
        <w:rPr>
          <w:rFonts w:eastAsia="MS Mincho"/>
          <w:lang w:val="en-US"/>
        </w:rPr>
        <w:t xml:space="preserve">ther </w:t>
      </w:r>
      <w:r w:rsidR="00CD4A03" w:rsidRPr="004147E2">
        <w:rPr>
          <w:rFonts w:eastAsia="MS Mincho"/>
          <w:lang w:val="en-US"/>
        </w:rPr>
        <w:t xml:space="preserve">DS </w:t>
      </w:r>
      <w:r w:rsidR="00792590" w:rsidRPr="004147E2">
        <w:rPr>
          <w:rFonts w:eastAsia="MS Mincho"/>
          <w:lang w:val="en-US"/>
        </w:rPr>
        <w:t xml:space="preserve">genes such as </w:t>
      </w:r>
      <w:r w:rsidR="008F459A" w:rsidRPr="004147E2">
        <w:rPr>
          <w:rFonts w:eastAsia="MS Mincho"/>
          <w:lang w:val="en-US"/>
        </w:rPr>
        <w:t xml:space="preserve">the </w:t>
      </w:r>
      <w:r w:rsidR="00792590" w:rsidRPr="004147E2">
        <w:rPr>
          <w:rFonts w:eastAsia="MS Mincho"/>
          <w:i/>
          <w:iCs/>
          <w:lang w:val="en-US"/>
        </w:rPr>
        <w:t xml:space="preserve">RAB6A </w:t>
      </w:r>
      <w:r w:rsidR="00331A50" w:rsidRPr="004147E2">
        <w:rPr>
          <w:rFonts w:eastAsia="MS Mincho"/>
          <w:i/>
          <w:iCs/>
          <w:lang w:val="en-US"/>
        </w:rPr>
        <w:t>GTPase</w:t>
      </w:r>
      <w:r w:rsidR="00C94ACC" w:rsidRPr="004147E2">
        <w:rPr>
          <w:rFonts w:eastAsia="MS Mincho"/>
          <w:lang w:val="en-US"/>
        </w:rPr>
        <w:t xml:space="preserve">, which </w:t>
      </w:r>
      <w:r w:rsidR="00525912" w:rsidRPr="004147E2">
        <w:rPr>
          <w:rFonts w:eastAsia="MS Mincho"/>
          <w:lang w:val="en-US"/>
        </w:rPr>
        <w:t>regulate the</w:t>
      </w:r>
      <w:r w:rsidR="00285476" w:rsidRPr="004147E2">
        <w:rPr>
          <w:rFonts w:eastAsia="MS Mincho"/>
          <w:lang w:val="en-US"/>
        </w:rPr>
        <w:t xml:space="preserve"> intracellular vesicular trafficking from the Golgi apparatus to ER </w:t>
      </w:r>
      <w:r w:rsidR="00EC2AEC" w:rsidRPr="004147E2">
        <w:rPr>
          <w:noProof/>
        </w:rPr>
        <w:fldChar w:fldCharType="begin" w:fldLock="1"/>
      </w:r>
      <w:r w:rsidR="007602F2">
        <w:rPr>
          <w:noProof/>
        </w:rPr>
        <w:instrText>ADDIN CSL_CITATION {"citationItems":[{"id":"ITEM-1","itemData":{"DOI":"10.1111/j.1600-0854.2006.00395.x","ISSN":"13989219","PMID":"16536738","abstract":"The closely related Rab6 isoforms, Rab6A and Rab6A′, have been shown to regulate vesicular trafficking within the Golgi and post-Golgi compartments, but studies using dominant active or negative mutant suggested conflicting models. Here, we report that reduction in the expression of Rab6 isoform using specific small interfering RNA reveals noticeable differences in the Rab6A and Rab6A′ biological functions. Surprisingly, Rab6A seems to be largely dispensable in membrane trafficking events, whereas knocking down the expression of Rab6A′ hampers the intracellular transport of the retrograde cargo marker, the Shiga Toxin B-subunit along the endocytic pathway, and causes defects in Golgiassociated protein recycling through the endoplasmic reticulum. We also showed that Rab6A′ is required for cell cycle progression through mitosis and identify Ile62 as a key residue for uncoupling Rab6A′ functions in mitosis and retrograde trafficking. Thus, our work shows that Rab6A and Rab6A′ perform different functions within the cell and suggests a novel role for Rab6A′ as the major Rab6 isoform regulating previously described Rab6-dependent transport pathways. © Blackwell Munksgaard, 2006.","author":[{"dropping-particle":"","family":"Nery","given":"Elaine","non-dropping-particle":"Del","parse-names":false,"suffix":""},{"dropping-particle":"","family":"Miserey-Lenkei","given":"Stéphanie","non-dropping-particle":"","parse-names":false,"suffix":""},{"dropping-particle":"","family":"Falguières","given":"Thomas","non-dropping-particle":"","parse-names":false,"suffix":""},{"dropping-particle":"","family":"Nizak","given":"Clément","non-dropping-particle":"","parse-names":false,"suffix":""},{"dropping-particle":"","family":"Johannes","given":"Ludger","non-dropping-particle":"","parse-names":false,"suffix":""},{"dropping-particle":"","family":"Perez","given":"Franck","non-dropping-particle":"","parse-names":false,"suffix":""},{"dropping-particle":"","family":"Goud","given":"Bruno","non-dropping-particle":"","parse-names":false,"suffix":""}],"container-title":"Traffic","id":"ITEM-1","issue":"4","issued":{"date-parts":[["2006"]]},"page":"394-407","title":"Rab6A and Rab6A′ GTPases play non-overlapping roles in membrane trafficking","type":"article-journal","volume":"7"},"uris":["http://www.mendeley.com/documents/?uuid=05bc8fbf-f763-4ec4-af77-a3c7bba293e4","http://www.mendeley.com/documents/?uuid=e5dd1da0-03bb-42a6-9e34-6591535e9d7d"]}],"mendeley":{"formattedCitation":"(Del Nery &lt;i&gt;et al.&lt;/i&gt;, 2006)","plainTextFormattedCitation":"(Del Nery et al., 2006)","previouslyFormattedCitation":"(Del Nery &lt;i&gt;et al.&lt;/i&gt;, 2006)"},"properties":{"noteIndex":0},"schema":"https://github.com/citation-style-language/schema/raw/master/csl-citation.json"}</w:instrText>
      </w:r>
      <w:r w:rsidR="00EC2AEC" w:rsidRPr="004147E2">
        <w:rPr>
          <w:noProof/>
        </w:rPr>
        <w:fldChar w:fldCharType="separate"/>
      </w:r>
      <w:r w:rsidR="00EC2AEC" w:rsidRPr="004147E2">
        <w:rPr>
          <w:noProof/>
        </w:rPr>
        <w:t xml:space="preserve">(Del Nery </w:t>
      </w:r>
      <w:r w:rsidR="00EC2AEC" w:rsidRPr="004147E2">
        <w:rPr>
          <w:i/>
          <w:noProof/>
        </w:rPr>
        <w:t>et al.</w:t>
      </w:r>
      <w:r w:rsidR="00EC2AEC" w:rsidRPr="004147E2">
        <w:rPr>
          <w:noProof/>
        </w:rPr>
        <w:t>, 2006)</w:t>
      </w:r>
      <w:r w:rsidR="00EC2AEC" w:rsidRPr="004147E2">
        <w:rPr>
          <w:noProof/>
        </w:rPr>
        <w:fldChar w:fldCharType="end"/>
      </w:r>
      <w:r w:rsidR="00792590" w:rsidRPr="004147E2">
        <w:t xml:space="preserve">, </w:t>
      </w:r>
      <w:r w:rsidR="00F43CB7" w:rsidRPr="004147E2">
        <w:t xml:space="preserve">were </w:t>
      </w:r>
      <w:r w:rsidR="00792590" w:rsidRPr="004147E2">
        <w:rPr>
          <w:rFonts w:eastAsia="MS Mincho"/>
          <w:lang w:val="en-US"/>
        </w:rPr>
        <w:t xml:space="preserve">down-regulated in the onset of </w:t>
      </w:r>
      <w:r w:rsidR="00774038" w:rsidRPr="004147E2">
        <w:rPr>
          <w:rFonts w:eastAsia="MS Mincho"/>
          <w:lang w:val="en-US"/>
        </w:rPr>
        <w:t xml:space="preserve">the </w:t>
      </w:r>
      <w:r w:rsidR="00792590" w:rsidRPr="004147E2">
        <w:rPr>
          <w:rFonts w:eastAsia="MS Mincho"/>
          <w:lang w:val="en-US"/>
        </w:rPr>
        <w:t xml:space="preserve">heatwave but up-regulated in the prolonged period and </w:t>
      </w:r>
      <w:r w:rsidR="00D4455E">
        <w:rPr>
          <w:rFonts w:eastAsia="MS Mincho"/>
          <w:lang w:val="en-US"/>
        </w:rPr>
        <w:t>decline per</w:t>
      </w:r>
      <w:r w:rsidR="00792590" w:rsidRPr="004147E2">
        <w:rPr>
          <w:rFonts w:eastAsia="MS Mincho"/>
          <w:lang w:val="en-US"/>
        </w:rPr>
        <w:t>iod of the heatwave.</w:t>
      </w:r>
      <w:r w:rsidR="004009E7" w:rsidRPr="004147E2">
        <w:t xml:space="preserve"> </w:t>
      </w:r>
      <w:r w:rsidR="00191281" w:rsidRPr="004147E2">
        <w:t xml:space="preserve">These same patterns in </w:t>
      </w:r>
      <w:r w:rsidR="00191281" w:rsidRPr="004147E2">
        <w:rPr>
          <w:rFonts w:eastAsia="MS Mincho"/>
          <w:lang w:val="en-US"/>
        </w:rPr>
        <w:t xml:space="preserve">the Golgi apparatus and ER </w:t>
      </w:r>
      <w:r w:rsidR="00191281" w:rsidRPr="004147E2">
        <w:t xml:space="preserve">were also detected in the original study that analysed </w:t>
      </w:r>
      <w:r w:rsidR="00191281" w:rsidRPr="004147E2">
        <w:rPr>
          <w:rFonts w:eastAsia="MS Mincho"/>
          <w:lang w:val="en-US"/>
        </w:rPr>
        <w:t xml:space="preserve">this gene expression dataset across the heatwave </w:t>
      </w:r>
      <w:r w:rsidR="00EC2AEC" w:rsidRPr="004147E2">
        <w:rPr>
          <w:rFonts w:eastAsia="MS Mincho"/>
          <w:lang w:val="en-US"/>
        </w:rPr>
        <w:fldChar w:fldCharType="begin" w:fldLock="1"/>
      </w:r>
      <w:r w:rsidR="00653EE9">
        <w:rPr>
          <w:rFonts w:eastAsia="MS Mincho"/>
          <w:lang w:val="en-US"/>
        </w:rPr>
        <w:instrText>ADDIN CSL_CITATION {"citationItems":[{"id":"ITEM-1","itemData":{"DOI":"10.1126/sciadv.aay3423","ISSN":"23752548","PMID":"32206711","abstract":"The marine heatwave of 2016 was one of longest and hottest thermal anomalies recorded on the Great Barrier Reef, influencing multiple species of marine ectotherms, including coral reef fishes. There is a gap in our understanding of what the physiological consequences of heatwaves in wild fish populations are. Thus, in this study, we used liver transcriptomes to understand the molecular response of five species to the 2016 heatwave conditions. Gene expression was species specific, yet we detected overlap in functional responses associated with thermal stress previously reported in experimental setups. The molecular response was also influenced by the duration of exposure to elevated temperatures. This study highlights the importance of considering the effects of extreme warming events when evaluating the consequences of climate change on fish communities.","author":[{"dropping-particle":"","family":"Bernal","given":"Moisés A.","non-dropping-particle":"","parse-names":false,"suffix":""},{"dropping-particle":"","family":"Schunter","given":"Celia","non-dropping-particle":"","parse-names":false,"suffix":""},{"dropping-particle":"","family":"Lehmann","given":"Robert","non-dropping-particle":"","parse-names":false,"suffix":""},{"dropping-particle":"","family":"Lightfoot","given":"Damien J.","non-dropping-particle":"","parse-names":false,"suffix":""},{"dropping-particle":"","family":"Allan","given":"Bridie J.M.","non-dropping-particle":"","parse-names":false,"suffix":""},{"dropping-particle":"","family":"Veilleux","given":"Heather D.","non-dropping-particle":"","parse-names":false,"suffix":""},{"dropping-particle":"","family":"Rummer","given":"Jodie L.","non-dropping-particle":"","parse-names":false,"suffix":""},{"dropping-particle":"","family":"Munday","given":"Philip L.","non-dropping-particle":"","parse-names":false,"suffix":""},{"dropping-particle":"","family":"Ravasi","given":"Timothy","non-dropping-particle":"","parse-names":false,"suffix":""}],"container-title":"Science Advances","id":"ITEM-1","issue":"12","issued":{"date-parts":[["2020"]]},"page":"eaay3423","title":"Species-specific molecular responses of wild coral reef fishes during a marine heatwave","type":"article-journal","volume":"6"},"uris":["http://www.mendeley.com/documents/?uuid=39bd0d92-bc59-4ccc-9944-1cf861d2cc0e"]}],"mendeley":{"formattedCitation":"(Bernal &lt;i&gt;et al.&lt;/i&gt;, 2020)","plainTextFormattedCitation":"(Bernal et al., 2020)","previouslyFormattedCitation":"(Bernal &lt;i&gt;et al.&lt;/i&gt;, 2020)"},"properties":{"noteIndex":0},"schema":"https://github.com/citation-style-language/schema/raw/master/csl-citation.json"}</w:instrText>
      </w:r>
      <w:r w:rsidR="00EC2AEC" w:rsidRPr="004147E2">
        <w:rPr>
          <w:rFonts w:eastAsia="MS Mincho"/>
          <w:lang w:val="en-US"/>
        </w:rPr>
        <w:fldChar w:fldCharType="separate"/>
      </w:r>
      <w:r w:rsidR="00EC2AEC" w:rsidRPr="004147E2">
        <w:rPr>
          <w:rFonts w:eastAsia="MS Mincho"/>
          <w:noProof/>
          <w:lang w:val="en-US"/>
        </w:rPr>
        <w:t xml:space="preserve">(Bernal </w:t>
      </w:r>
      <w:r w:rsidR="00EC2AEC" w:rsidRPr="004147E2">
        <w:rPr>
          <w:rFonts w:eastAsia="MS Mincho"/>
          <w:i/>
          <w:noProof/>
          <w:lang w:val="en-US"/>
        </w:rPr>
        <w:t>et al.</w:t>
      </w:r>
      <w:r w:rsidR="00EC2AEC" w:rsidRPr="004147E2">
        <w:rPr>
          <w:rFonts w:eastAsia="MS Mincho"/>
          <w:noProof/>
          <w:lang w:val="en-US"/>
        </w:rPr>
        <w:t>, 2020)</w:t>
      </w:r>
      <w:r w:rsidR="00EC2AEC" w:rsidRPr="004147E2">
        <w:rPr>
          <w:rFonts w:eastAsia="MS Mincho"/>
          <w:lang w:val="en-US"/>
        </w:rPr>
        <w:fldChar w:fldCharType="end"/>
      </w:r>
      <w:r w:rsidR="00F43CB7" w:rsidRPr="004147E2">
        <w:rPr>
          <w:rFonts w:eastAsia="MS Mincho"/>
          <w:lang w:val="en-US"/>
        </w:rPr>
        <w:t xml:space="preserve">, </w:t>
      </w:r>
      <w:r w:rsidR="00191281" w:rsidRPr="004147E2">
        <w:rPr>
          <w:rFonts w:eastAsia="MS Mincho"/>
          <w:lang w:val="en-US"/>
        </w:rPr>
        <w:t>as well as the</w:t>
      </w:r>
      <w:r w:rsidR="00F43CB7" w:rsidRPr="004147E2">
        <w:rPr>
          <w:rFonts w:eastAsia="MS Mincho"/>
          <w:lang w:val="en-US"/>
        </w:rPr>
        <w:t xml:space="preserve"> experiments in captivity with the same species </w:t>
      </w:r>
      <w:r w:rsidR="00DA3110" w:rsidRPr="004147E2">
        <w:rPr>
          <w:rFonts w:eastAsia="MS Mincho"/>
          <w:lang w:val="en-US"/>
        </w:rPr>
        <w:fldChar w:fldCharType="begin" w:fldLock="1"/>
      </w:r>
      <w:r w:rsidR="00517C3C">
        <w:rPr>
          <w:rFonts w:eastAsia="MS Mincho"/>
          <w:lang w:val="en-US"/>
        </w:rPr>
        <w:instrText>ADDIN CSL_CITATION {"citationItems":[{"id":"ITEM-1","itemData":{"DOI":"10.1111/mec.14884","ISSN":"1365294X","PMID":"30267545","abstract":"Global warming will have far-reaching consequences for marine species over coming decades, yet the magnitude of these effects may depend on the rate of warming across generations. Recent experiments show coral reef fishes can compensate the metabolic challenges of elevated temperature when warm conditions are maintained across generations. However, the effects of a gradual temperature increase across generations remain unknown. In the present study, we analysed metabolic and molecular traits in the damselfish Acanthochromis polyacanthus that were exposed to +1.5°C in the first generation and +3.0°C in the second (Step +3.0°C). This treatment of stepwise warming was compared to fish reared at current-day temperatures (Control), second-generation fish of control parents reared at +3.0°C (Developmental +3.0°C) and fish exposed to elevated temperatures for two generations (Transgenerational +1.5°C and Transgenerational +3.0°C). Hepatosomatic index, oxygen consumption and liver gene expression were compared in second-generation fish of the multiple treatments. Hepatosomatic index increased in fish that developed at +3.0°C, regardless of the parental temperature. Routine oxygen consumption of Step +3.0°C fish was significantly higher than Control; however, their aerobic scope recovered to the same level as Control fish. Step +3.0°C fish exhibited significant upregulation of genes related to mitochondrial activity and energy production, which could be associated with their increased metabolic rates. These results indicate that restoration of aerobic scope is possible when fish experience gradual thermal increase across multiple generations, but the metabolic and molecular responses are different from fish reared at the same elevated thermal conditions in successive generations.","author":[{"dropping-particle":"","family":"Bernal","given":"Moisés A.","non-dropping-particle":"","parse-names":false,"suffix":""},{"dropping-particle":"","family":"Donelson","given":"Jennifer M.","non-dropping-particle":"","parse-names":false,"suffix":""},{"dropping-particle":"","family":"Veilleux","given":"Heather D.","non-dropping-particle":"","parse-names":false,"suffix":""},{"dropping-particle":"","family":"Ryu","given":"Taewoo","non-dropping-particle":"","parse-names":false,"suffix":""},{"dropping-particle":"","family":"Munday","given":"Philip L.","non-dropping-particle":"","parse-names":false,"suffix":""},{"dropping-particle":"","family":"Ravasi","given":"Timothy","non-dropping-particle":"","parse-names":false,"suffix":""}],"container-title":"Molecular Ecology","id":"ITEM-1","issue":"22","issued":{"date-parts":[["2018"]]},"page":"4516-4528","title":"Phenotypic and molecular consequences of stepwise temperature increase across generations in a coral reef fish","type":"article-journal","volume":"27"},"uris":["http://www.mendeley.com/documents/?uuid=c6f8909d-50b7-4369-af34-f77e0cb5c202"]},{"id":"ITEM-2","itemData":{"DOI":"10.1038/nclimate2724","ISSN":"17586798","abstract":"Some animals have the remarkable capacity to acclimate across generations to projected future climate change; however, the underlying molecular processes are unknown. We sequenced and assembled de novo transcriptomes of adult tropical reef fish exposed developmentally or transgenerationally to projected future ocean temperatures and correlated the resulting expression profiles with acclimated metabolic traits from the same fish. We identified 69 contigs representing 53 key genes involved in thermal acclimation of aerobic capacity. Metabolic genes were among the most upregulated transgenerationally, suggesting shifts in energy production for maintaining performance at elevated temperatures. Furthermore, immune- and stress-responsive genes were upregulated transgenerationally, indicating a new complement of genes allowing the second generation of fish to better cope with elevated temperatures. Other differentially expressed genes were involved with tissue development and transcriptional regulation. Overall, we found a similar suite of differentially expressed genes among developmental and transgenerational treatments. Heat-shock protein genes were surprisingly unresponsive, indicating that short-term heat-stress responses may not be a good indicator of long-term acclimation capacity. Our results are the first to reveal the molecular processes that may enable marine fishes to adjust to a future warmer environment over multiple generations.","author":[{"dropping-particle":"","family":"Veilleux","given":"Heather D.","non-dropping-particle":"","parse-names":false,"suffix":""},{"dropping-particle":"","family":"Ryu","given":"Taewoo","non-dropping-particle":"","parse-names":false,"suffix":""},{"dropping-particle":"","family":"Donelson","given":"Jennifer M.","non-dropping-particle":"","parse-names":false,"suffix":""},{"dropping-particle":"","family":"Herwerden","given":"Lynne","non-dropping-particle":"Van","parse-names":false,"suffix":""},{"dropping-particle":"","family":"Seridi","given":"Loqmane","non-dropping-particle":"","parse-names":false,"suffix":""},{"dropping-particle":"","family":"Ghosheh","given":"Yanal","non-dropping-particle":"","parse-names":false,"suffix":""},{"dropping-particle":"","family":"Berumen","given":"Michael L.","non-dropping-particle":"","parse-names":false,"suffix":""},{"dropping-particle":"","family":"Leggat","given":"William","non-dropping-particle":"","parse-names":false,"suffix":""},{"dropping-particle":"","family":"Ravasi","given":"Timothy","non-dropping-particle":"","parse-names":false,"suffix":""},{"dropping-particle":"","family":"Munday","given":"Philip L.","non-dropping-particle":"","parse-names":false,"suffix":""}],"container-title":"Nature Climate Change","id":"ITEM-2","issue":"12","issued":{"date-parts":[["2015"]]},"page":"1074-1078","title":"Molecular processes of transgenerational acclimation to a warming ocean","type":"article-journal","volume":"5"},"uris":["http://www.mendeley.com/documents/?uuid=cb59c796-e210-49ca-a274-8770de3bba37"]}],"mendeley":{"formattedCitation":"(Veilleux &lt;i&gt;et al.&lt;/i&gt;, 2015; Bernal &lt;i&gt;et al.&lt;/i&gt;, 2018)","plainTextFormattedCitation":"(Veilleux et al., 2015; Bernal et al., 2018)","previouslyFormattedCitation":"(Veilleux &lt;i&gt;et al.&lt;/i&gt;, 2015; Bernal &lt;i&gt;et al.&lt;/i&gt;, 2018)"},"properties":{"noteIndex":0},"schema":"https://github.com/citation-style-language/schema/raw/master/csl-citation.json"}</w:instrText>
      </w:r>
      <w:r w:rsidR="00DA3110" w:rsidRPr="004147E2">
        <w:rPr>
          <w:rFonts w:eastAsia="MS Mincho"/>
          <w:lang w:val="en-US"/>
        </w:rPr>
        <w:fldChar w:fldCharType="separate"/>
      </w:r>
      <w:r w:rsidR="00DA3110" w:rsidRPr="004147E2">
        <w:rPr>
          <w:rFonts w:eastAsia="MS Mincho"/>
          <w:noProof/>
          <w:lang w:val="en-US"/>
        </w:rPr>
        <w:t xml:space="preserve">(Veilleux </w:t>
      </w:r>
      <w:r w:rsidR="00DA3110" w:rsidRPr="004147E2">
        <w:rPr>
          <w:rFonts w:eastAsia="MS Mincho"/>
          <w:i/>
          <w:noProof/>
          <w:lang w:val="en-US"/>
        </w:rPr>
        <w:t>et al.</w:t>
      </w:r>
      <w:r w:rsidR="00DA3110" w:rsidRPr="004147E2">
        <w:rPr>
          <w:rFonts w:eastAsia="MS Mincho"/>
          <w:noProof/>
          <w:lang w:val="en-US"/>
        </w:rPr>
        <w:t xml:space="preserve">, 2015; Bernal </w:t>
      </w:r>
      <w:r w:rsidR="00DA3110" w:rsidRPr="004147E2">
        <w:rPr>
          <w:rFonts w:eastAsia="MS Mincho"/>
          <w:i/>
          <w:noProof/>
          <w:lang w:val="en-US"/>
        </w:rPr>
        <w:t>et al.</w:t>
      </w:r>
      <w:r w:rsidR="00DA3110" w:rsidRPr="004147E2">
        <w:rPr>
          <w:rFonts w:eastAsia="MS Mincho"/>
          <w:noProof/>
          <w:lang w:val="en-US"/>
        </w:rPr>
        <w:t>, 2018)</w:t>
      </w:r>
      <w:r w:rsidR="00DA3110" w:rsidRPr="004147E2">
        <w:rPr>
          <w:rFonts w:eastAsia="MS Mincho"/>
          <w:lang w:val="en-US"/>
        </w:rPr>
        <w:fldChar w:fldCharType="end"/>
      </w:r>
      <w:r w:rsidR="004009E7" w:rsidRPr="004147E2">
        <w:rPr>
          <w:rFonts w:eastAsia="MS Mincho"/>
          <w:lang w:val="en-US"/>
        </w:rPr>
        <w:t xml:space="preserve">. </w:t>
      </w:r>
      <w:r w:rsidR="00F43CB7" w:rsidRPr="004147E2">
        <w:rPr>
          <w:rFonts w:eastAsia="MS Mincho"/>
          <w:lang w:val="en-US"/>
        </w:rPr>
        <w:t>Based on these results,</w:t>
      </w:r>
      <w:r w:rsidR="004009E7" w:rsidRPr="004147E2">
        <w:rPr>
          <w:rFonts w:eastAsia="MS Mincho"/>
          <w:lang w:val="en-US"/>
        </w:rPr>
        <w:t xml:space="preserve"> we suggest that molecular </w:t>
      </w:r>
      <w:r w:rsidR="008F459A" w:rsidRPr="004147E2">
        <w:rPr>
          <w:rFonts w:eastAsia="MS Mincho"/>
          <w:lang w:val="en-US"/>
        </w:rPr>
        <w:t>regulation</w:t>
      </w:r>
      <w:r w:rsidR="00F43CB7" w:rsidRPr="004147E2">
        <w:rPr>
          <w:rFonts w:eastAsia="MS Mincho"/>
          <w:lang w:val="en-US"/>
        </w:rPr>
        <w:t xml:space="preserve"> during the onset of the heatwave</w:t>
      </w:r>
      <w:r w:rsidR="008F459A" w:rsidRPr="004147E2">
        <w:rPr>
          <w:rFonts w:eastAsia="MS Mincho"/>
          <w:lang w:val="en-US"/>
        </w:rPr>
        <w:t xml:space="preserve"> is </w:t>
      </w:r>
      <w:r w:rsidR="004009E7" w:rsidRPr="004147E2">
        <w:rPr>
          <w:rFonts w:eastAsia="MS Mincho"/>
          <w:lang w:val="en-US"/>
        </w:rPr>
        <w:t>associated with</w:t>
      </w:r>
      <w:r w:rsidR="00F43CB7" w:rsidRPr="004147E2">
        <w:rPr>
          <w:rFonts w:eastAsia="MS Mincho"/>
          <w:lang w:val="en-US"/>
        </w:rPr>
        <w:t xml:space="preserve"> changes in the function of the</w:t>
      </w:r>
      <w:r w:rsidR="004009E7" w:rsidRPr="004147E2">
        <w:rPr>
          <w:rFonts w:eastAsia="MS Mincho"/>
          <w:lang w:val="en-US"/>
        </w:rPr>
        <w:t xml:space="preserve"> ER and Golgi apparatus, </w:t>
      </w:r>
      <w:r w:rsidR="00207EDE" w:rsidRPr="004147E2">
        <w:rPr>
          <w:rFonts w:eastAsia="MS Mincho"/>
          <w:lang w:val="en-US"/>
        </w:rPr>
        <w:t>involving both</w:t>
      </w:r>
      <w:r w:rsidR="004009E7" w:rsidRPr="004147E2">
        <w:rPr>
          <w:rFonts w:eastAsia="MS Mincho"/>
          <w:lang w:val="en-US"/>
        </w:rPr>
        <w:t xml:space="preserve"> differential expression and differential splicing.</w:t>
      </w:r>
      <w:r w:rsidR="00016354">
        <w:rPr>
          <w:rFonts w:eastAsia="MS Mincho"/>
          <w:lang w:val="en-US"/>
        </w:rPr>
        <w:t xml:space="preserve"> </w:t>
      </w:r>
    </w:p>
    <w:p w14:paraId="7C255A31" w14:textId="2FCE27AE" w:rsidR="00EC73AA" w:rsidRPr="004147E2" w:rsidRDefault="004D458D" w:rsidP="00EC73AA">
      <w:pPr>
        <w:spacing w:line="480" w:lineRule="auto"/>
        <w:ind w:firstLine="720"/>
        <w:jc w:val="both"/>
        <w:rPr>
          <w:strike/>
        </w:rPr>
      </w:pPr>
      <w:r w:rsidRPr="004147E2">
        <w:rPr>
          <w:rFonts w:eastAsiaTheme="minorEastAsia"/>
          <w:lang w:val="en-GB"/>
        </w:rPr>
        <w:t xml:space="preserve">Acute warming can lead to increased uptake of Ca(2+) by the mitochondria leading to Ca(2+) overload </w:t>
      </w:r>
      <w:r w:rsidRPr="004147E2">
        <w:rPr>
          <w:rFonts w:eastAsiaTheme="minorEastAsia"/>
          <w:lang w:val="en-GB"/>
        </w:rPr>
        <w:fldChar w:fldCharType="begin" w:fldLock="1"/>
      </w:r>
      <w:r w:rsidR="007602F2">
        <w:rPr>
          <w:rFonts w:eastAsiaTheme="minorEastAsia"/>
          <w:lang w:val="en-GB"/>
        </w:rPr>
        <w:instrText>ADDIN CSL_CITATION {"citationItems":[{"id":"ITEM-1","itemData":{"DOI":"10.3109/02656736.2014.971446","ISSN":"14645157","PMID":"25354680","abstract":"In recent years there has been enormous interest in researching oxidative stress. Reactive oxygen species (ROS) are derived from the metabolism of oxygen as by-products of cell respiration, and are continuously produced in all aerobic organisms. Oxidative stress occurs as a consequence of an imbalance between ROS production and the available antioxidant defence against them. Nowadays, a variety of diseases and degenerative processes such as cancer, Alzheimer's and autoimmune diseases are mediated by oxidative stress. Heat stress was suggested to be an environmental factor responsible for stimulating ROS production because of similarities in responses observed following heat stress compared with that occurring following exposure to oxidative stress. This manuscript describes the main mitochondrial sources of ROS and the antioxidant defences involved to prevent oxidative damage in all the mitochondrial compartments. It also deals with discussions concerning the cytotoxic effect of heat stress, mitochondrial heat-induced alterations, as well as heat shock protein (HSP) expression as a defence mechanism.","author":[{"dropping-particle":"","family":"Slimen","given":"Imen Belhadj","non-dropping-particle":"","parse-names":false,"suffix":""},{"dropping-particle":"","family":"Najar","given":"Taha","non-dropping-particle":"","parse-names":false,"suffix":""},{"dropping-particle":"","family":"Ghram","given":"Abdeljelil","non-dropping-particle":"","parse-names":false,"suffix":""},{"dropping-particle":"","family":"Dabbebi","given":"Hajer","non-dropping-particle":"","parse-names":false,"suffix":""},{"dropping-particle":"","family":"Mrad","given":"Moncef","non-dropping-particle":"Ben","parse-names":false,"suffix":""},{"dropping-particle":"","family":"Abdrabbah","given":"Manef","non-dropping-particle":"","parse-names":false,"suffix":""}],"container-title":"International Journal of Hyperthermia","id":"ITEM-1","issue":"7","issued":{"date-parts":[["2014"]]},"page":"513-523","title":"Reactive oxygen species, heat stress and oxidative-induced mitochondrial damage. A review","type":"article-journal","volume":"30"},"uris":["http://www.mendeley.com/documents/?uuid=46bb68d6-1fb2-40fc-85db-c83bf01ff072","http://www.mendeley.com/documents/?uuid=252602f4-0891-4b1e-9631-45ed3c16fcd8"]}],"mendeley":{"formattedCitation":"(Slimen &lt;i&gt;et al.&lt;/i&gt;, 2014)","plainTextFormattedCitation":"(Slimen et al., 2014)","previouslyFormattedCitation":"(Slimen &lt;i&gt;et al.&lt;/i&gt;, 2014)"},"properties":{"noteIndex":0},"schema":"https://github.com/citation-style-language/schema/raw/master/csl-citation.json"}</w:instrText>
      </w:r>
      <w:r w:rsidRPr="004147E2">
        <w:rPr>
          <w:rFonts w:eastAsiaTheme="minorEastAsia"/>
          <w:lang w:val="en-GB"/>
        </w:rPr>
        <w:fldChar w:fldCharType="separate"/>
      </w:r>
      <w:r w:rsidRPr="004147E2">
        <w:rPr>
          <w:rFonts w:eastAsiaTheme="minorEastAsia"/>
          <w:noProof/>
          <w:lang w:val="en-GB"/>
        </w:rPr>
        <w:t xml:space="preserve">(Slimen </w:t>
      </w:r>
      <w:r w:rsidRPr="004147E2">
        <w:rPr>
          <w:rFonts w:eastAsiaTheme="minorEastAsia"/>
          <w:i/>
          <w:noProof/>
          <w:lang w:val="en-GB"/>
        </w:rPr>
        <w:t>et al.</w:t>
      </w:r>
      <w:r w:rsidRPr="004147E2">
        <w:rPr>
          <w:rFonts w:eastAsiaTheme="minorEastAsia"/>
          <w:noProof/>
          <w:lang w:val="en-GB"/>
        </w:rPr>
        <w:t>, 2014)</w:t>
      </w:r>
      <w:r w:rsidRPr="004147E2">
        <w:rPr>
          <w:rFonts w:eastAsiaTheme="minorEastAsia"/>
          <w:lang w:val="en-GB"/>
        </w:rPr>
        <w:fldChar w:fldCharType="end"/>
      </w:r>
      <w:r w:rsidR="001A22EB" w:rsidRPr="004147E2">
        <w:rPr>
          <w:rFonts w:eastAsiaTheme="minorEastAsia"/>
          <w:lang w:val="en-GB"/>
        </w:rPr>
        <w:t>.</w:t>
      </w:r>
      <w:r w:rsidRPr="004147E2">
        <w:rPr>
          <w:rFonts w:eastAsiaTheme="minorEastAsia"/>
          <w:lang w:val="en-GB"/>
        </w:rPr>
        <w:t xml:space="preserve"> </w:t>
      </w:r>
      <w:r w:rsidR="001A22EB" w:rsidRPr="004147E2">
        <w:rPr>
          <w:rFonts w:eastAsiaTheme="minorEastAsia"/>
          <w:lang w:val="en-GB"/>
        </w:rPr>
        <w:t xml:space="preserve">This </w:t>
      </w:r>
      <w:r w:rsidRPr="004147E2">
        <w:rPr>
          <w:rFonts w:eastAsiaTheme="minorEastAsia"/>
          <w:lang w:val="en-GB"/>
        </w:rPr>
        <w:t xml:space="preserve">can </w:t>
      </w:r>
      <w:r w:rsidR="001D2A5C" w:rsidRPr="004147E2">
        <w:rPr>
          <w:rFonts w:eastAsiaTheme="minorEastAsia"/>
          <w:lang w:val="en-GB"/>
        </w:rPr>
        <w:t>lead to an increase in the</w:t>
      </w:r>
      <w:r w:rsidRPr="004147E2">
        <w:rPr>
          <w:rFonts w:eastAsiaTheme="minorEastAsia"/>
          <w:lang w:val="en-GB"/>
        </w:rPr>
        <w:t xml:space="preserve"> reactive oxygen species (ROS) and reinforce the oxidative stress, forming a feedback loop leading to cell damage and death </w:t>
      </w:r>
      <w:r w:rsidRPr="004147E2">
        <w:rPr>
          <w:rFonts w:eastAsiaTheme="minorEastAsia"/>
          <w:lang w:val="en-GB"/>
        </w:rPr>
        <w:fldChar w:fldCharType="begin" w:fldLock="1"/>
      </w:r>
      <w:r w:rsidR="00EF730B">
        <w:rPr>
          <w:rFonts w:eastAsiaTheme="minorEastAsia"/>
          <w:lang w:val="en-GB"/>
        </w:rPr>
        <w:instrText>ADDIN CSL_CITATION {"citationItems":[{"id":"ITEM-1","itemData":{"DOI":"10.1111/j.1749-6632.2010.05634.x","ISSN":"17496632","PMID":"20649555","abstract":"Mitochondrial oxidative stress has been reported as the result of respiratory complex anomalies, genetic defects, or insufficient oxygen or glucose supply. Although Ca2+ has no direct effect on respiratory chain function or oxidationreduction process, mitochondrial Ca2+ overload can lead to reactive oxygen species (ROS) increase. Even though Ca 2+ is well known for its role as crucial second messenger in modulating many cellular physiological functions, Ca2+ overload is detrimental to mitochondrial function and may present as an important cause of mitochondrial ROS generation. Possible mechanisms include Ca2+ stimulated increase of metabolic rate, Ca2+ stimulated nitric oxide production, Ca2+ induced cytochrome c dissociation, Ca2+ induced cardiolipin peroxidation, Ca2+ induced mitochondrial permeability transition pore opening with release of cytochrome c and GSH-antioxidative enzymes, and Ca2+-calmodulin dependent protein kinases activation. Different mechanisms may exist under different mitochondrial preparations (isolated mitochondria vs. mitochondria in intact cells), tissue sources, animal species, or inhibitors used. Furthermore, mitochondrial ROS rise can modulate Ca2+ dynamics and augment Ca2+ surge. The reciprocal interactions between Ca2+ induced ROS increase and ROS modulated Ca2+ upsurge may cause a feedforward, self-amplified loop createing cellular damage far beyond direct Ca2+ induced damage. © 2010 New York Academy of Sciences.","author":[{"dropping-particle":"","family":"Peng","given":"Tsung I.","non-dropping-particle":"","parse-names":false,"suffix":""},{"dropping-particle":"","family":"Jou","given":"Mei Jie","non-dropping-particle":"","parse-names":false,"suffix":""}],"container-title":"Annals of the New York Academy of Sciences","id":"ITEM-1","issue":"1","issued":{"date-parts":[["2010"]]},"page":"183-188","title":"Oxidative stress caused by mitochondrial calcium overload","type":"article-journal","volume":"1201"},"uris":["http://www.mendeley.com/documents/?uuid=4606b67b-c613-4bda-a85a-a73c253355d0","http://www.mendeley.com/documents/?uuid=7915aeb4-0cbf-4801-acf0-9001f2c824e1"]}],"mendeley":{"formattedCitation":"(Peng and Jou, 2010)","plainTextFormattedCitation":"(Peng and Jou, 2010)","previouslyFormattedCitation":"(Peng and Jou, 2010)"},"properties":{"noteIndex":0},"schema":"https://github.com/citation-style-language/schema/raw/master/csl-citation.json"}</w:instrText>
      </w:r>
      <w:r w:rsidRPr="004147E2">
        <w:rPr>
          <w:rFonts w:eastAsiaTheme="minorEastAsia"/>
          <w:lang w:val="en-GB"/>
        </w:rPr>
        <w:fldChar w:fldCharType="separate"/>
      </w:r>
      <w:r w:rsidRPr="004147E2">
        <w:rPr>
          <w:rFonts w:eastAsiaTheme="minorEastAsia"/>
          <w:noProof/>
          <w:lang w:val="en-GB"/>
        </w:rPr>
        <w:t>(Peng and Jou, 2010)</w:t>
      </w:r>
      <w:r w:rsidRPr="004147E2">
        <w:rPr>
          <w:rFonts w:eastAsiaTheme="minorEastAsia"/>
          <w:lang w:val="en-GB"/>
        </w:rPr>
        <w:fldChar w:fldCharType="end"/>
      </w:r>
      <w:r w:rsidRPr="004147E2">
        <w:rPr>
          <w:rFonts w:eastAsiaTheme="minorEastAsia"/>
          <w:lang w:val="en-GB"/>
        </w:rPr>
        <w:t xml:space="preserve">. </w:t>
      </w:r>
      <w:r w:rsidR="00F43CB7" w:rsidRPr="004147E2">
        <w:rPr>
          <w:rFonts w:eastAsiaTheme="minorEastAsia"/>
          <w:lang w:val="en-GB"/>
        </w:rPr>
        <w:t xml:space="preserve">Warming </w:t>
      </w:r>
      <w:r w:rsidR="00F87D11" w:rsidRPr="004147E2">
        <w:rPr>
          <w:rFonts w:eastAsiaTheme="minorEastAsia"/>
          <w:lang w:val="en-GB"/>
        </w:rPr>
        <w:t>has also been shown</w:t>
      </w:r>
      <w:r w:rsidR="00E32E8A" w:rsidRPr="004147E2">
        <w:rPr>
          <w:rFonts w:eastAsiaTheme="minorEastAsia"/>
          <w:lang w:val="en-GB"/>
        </w:rPr>
        <w:t xml:space="preserve"> </w:t>
      </w:r>
      <w:r w:rsidR="00F87D11" w:rsidRPr="004147E2">
        <w:rPr>
          <w:rFonts w:eastAsiaTheme="minorEastAsia"/>
          <w:lang w:val="en-GB"/>
        </w:rPr>
        <w:t xml:space="preserve">to </w:t>
      </w:r>
      <w:r w:rsidR="00E32E8A" w:rsidRPr="004147E2">
        <w:rPr>
          <w:rFonts w:eastAsiaTheme="minorEastAsia"/>
          <w:lang w:val="en-GB"/>
        </w:rPr>
        <w:t xml:space="preserve">lead to </w:t>
      </w:r>
      <w:r w:rsidR="00F87D11" w:rsidRPr="004147E2">
        <w:rPr>
          <w:rFonts w:eastAsiaTheme="minorEastAsia"/>
          <w:lang w:val="en-GB"/>
        </w:rPr>
        <w:t xml:space="preserve">the </w:t>
      </w:r>
      <w:r w:rsidR="00603A6E" w:rsidRPr="004147E2">
        <w:rPr>
          <w:rFonts w:eastAsiaTheme="minorEastAsia"/>
          <w:lang w:val="en-GB"/>
        </w:rPr>
        <w:lastRenderedPageBreak/>
        <w:t>generation of lipid peroxides</w:t>
      </w:r>
      <w:r w:rsidR="00E32E8A" w:rsidRPr="004147E2">
        <w:rPr>
          <w:rFonts w:eastAsiaTheme="minorEastAsia"/>
          <w:lang w:val="en-GB"/>
        </w:rPr>
        <w:t xml:space="preserve"> in a variety of fish species </w:t>
      </w:r>
      <w:r w:rsidR="00EC2AEC" w:rsidRPr="004147E2">
        <w:rPr>
          <w:rFonts w:eastAsiaTheme="minorEastAsia"/>
          <w:lang w:val="en-GB"/>
        </w:rPr>
        <w:fldChar w:fldCharType="begin" w:fldLock="1"/>
      </w:r>
      <w:r w:rsidR="00517C3C">
        <w:rPr>
          <w:rFonts w:eastAsiaTheme="minorEastAsia"/>
          <w:lang w:val="en-GB"/>
        </w:rPr>
        <w:instrText>ADDIN CSL_CITATION {"citationItems":[{"id":"ITEM-1","itemData":{"DOI":"10.1242/jeb.01977","ISSN":"00220949","PMID":"16391357","abstract":"The interplay between antioxidants, heat shock proteins and hypoxic signaling is supposed to be important for passive survival of critical temperature stress, e.g. during unfavorable conditions in hot summers. We investigated the effect of mild (18°C), critical (22°C) and severe (26°C) experimental heat stress, assumed to induce different degrees of functional hypoxia, as well as the effect of recovery following heat stress on these parameters in liver samples of the common eelpout Zoarces viviparus. Upon heat exposure to critical and higher temperatures we found an increase in oxidative damage markers such as TBARS (thiobarbituric reactive substances) and a more oxidized cellular redox potential, combined with reduced activities of the antioxidant enzyme superoxide dismutase at 26°C. Together, these point to higher oxidative stress levels during hyperthermia. In a recovery-time series, heat-induced hypoxia and subsequent reoxygenation upon return of the fishes to 12°C led to increased protein oxidation and chemiluminescence rates within the first 12 h of recovery, therein resembling ischemia/reperfusion injury in mammals. HSP70 levels were found to be only slightly elevated after recovery from sub-lethal heat stress, indicating minor importance of the heat shock response in this species. The DNA binding activity of the hypoxia-inducible transcription factor (HIF-1) was elevated only during mild heat exposure (18°C), but appeared impaired at more severe heat stress. We suppose that the more oxidized redox state during extreme heat may interfere with the hypoxic signaling response.","author":[{"dropping-particle":"","family":"Heise","given":"Katja","non-dropping-particle":"","parse-names":false,"suffix":""},{"dropping-particle":"","family":"Puntarulo","given":"Susana","non-dropping-particle":"","parse-names":false,"suffix":""},{"dropping-particle":"","family":"Nikinmaa","given":"Mikko","non-dropping-particle":"","parse-names":false,"suffix":""},{"dropping-particle":"","family":"Abele","given":"Doris","non-dropping-particle":"","parse-names":false,"suffix":""},{"dropping-particle":"","family":"Pörtner","given":"Hans O.","non-dropping-particle":"","parse-names":false,"suffix":""}],"container-title":"Journal of Experimental Biology","id":"ITEM-1","issue":"2","issued":{"date-parts":[["2006"]]},"page":"353-363","title":"Oxidative stress during stressful heat exposure and recovery in the North Sea eelpout Zoarces viviparus L.","type":"article-journal","volume":"209"},"uris":["http://www.mendeley.com/documents/?uuid=52fd19fd-abd6-421f-81df-6f91b17d8e1e","http://www.mendeley.com/documents/?uuid=2b433715-579d-4b05-a229-6fee595fa66e"]},{"id":"ITEM-2","itemData":{"DOI":"10.1016/j.ecolind.2012.04.009","ISSN":"1470160X","abstract":"The aim of this study was to investigate the effect of temperature on oxidative stress in fish. The response of the European seabass, Dicentrarchus labrax, was investigated through a long-term experiment in captivity, where 0-group juveniles were exposed to temperatures that reflect the average summer temperature that they encounter in coastal (18 °C) and estuarine nurseries (24°C), and also the temperature that they endure inside estuaries during heat waves (28°C). The degradation product of lipid peroxidation, malondialdehyde (MDA), and catalase activity was assessed in white muscle throughout the long-term experiment (30 days). A similar pattern was observed for MDA and catalase activity. At 18°C, there was an increase of MDA and catalase activity over time. At 24°C, levels of MDA and catalase activity were lower than at 18°C, and the increase in concentration over time was also lower. At 28°C, MDA and catalase increased 2.7× and 6.9×, respectively, after 15 days, and then decreased to much lower values after 30 days. Oxidative stress response was not directly correlated to temperature. It was lowest at the optimal temperature (24°C) and it increased outside this species upper and lower optimum thermal limits. It was concluded that, although these biomarkers have been used mostly as indicators of the effects of contamination in field studies, they are very sensitive to temperature. Thus, comparison of sites subjected to different thermal regimes should be done with caution. © 2012 Elsevier Ltd. All rights reserved.","author":[{"dropping-particle":"","family":"Vinagre","given":"Catarina","non-dropping-particle":"","parse-names":false,"suffix":""},{"dropping-particle":"","family":"Madeira","given":"Diana","non-dropping-particle":"","parse-names":false,"suffix":""},{"dropping-particle":"","family":"Narciso","given":"Luís","non-dropping-particle":"","parse-names":false,"suffix":""},{"dropping-particle":"","family":"Cabral","given":"Henrique N.","non-dropping-particle":"","parse-names":false,"suffix":""},{"dropping-particle":"","family":"Diniz","given":"Mário","non-dropping-particle":"","parse-names":false,"suffix":""}],"container-title":"Ecological Indicators","id":"ITEM-2","issued":{"date-parts":[["2012"]]},"page":"274-279","title":"Effect of temperature on oxidative stress in fish: Lipid peroxidation and catalase activity in the muscle of juvenile seabass, Dicentrarchus labrax","type":"article-journal","volume":"23"},"uris":["http://www.mendeley.com/documents/?uuid=2516dc89-4faa-4ac8-9675-b083dc7f697e","http://www.mendeley.com/documents/?uuid=3e769736-6725-4604-ba1e-90a87bf897ee"]},{"id":"ITEM-3","itemData":{"DOI":"10.1016/j.cbpa.2013.06.008","ISSN":"15314332","PMID":"23774589","abstract":"The influence of increasing temperatures in thermal and oxidative stress responses were studied in the muscle of several estuarine fish species (Diplodus vulgaris, Diplodus sargus, Dicentrarchus labrax, Gobius niger and Liza ramada). Selected fish were collected in July at the Tagus estuary (24±0.9°C; salinity of 30±4%; pH=8). Fish were subjected to a temperature increase of 1°C.h-1 until they reached their Critical Thermal Maximum (CTMax), starting at 24°C (control temperature). Muscle samples were collected during the trial and results showed that oxidative stress biomarkers are highly sensitive to temperature. Results from stress oxidative enzymes show alterations with increasing temperature in all tested species. Catalase (CAT; EC 1.11.1.6) activity significantly increased in L. ramada, D. labrax and decreased in D. vulgaris. Glutathione S-transferase (GST; EC 2.5.1.18) activity increased in L. ramada, D. sargus, D. vulgaris, and D. labrax. In G. niger it showed a cycle of increase-decrease. Lipid peroxidation (LPO) increased in L. ramada, D. sargus and D. labrax. With respect to correlation analysis (Pearson; Spearman r), the results showed that oxidation products and antioxidant defenses were correlated in L. ramada (LPO-CAT and LPO-GST, D. sargus (LPO-CAT), and D. labrax (LPO-CAT). Oxidative biomarkers were correlated with thermal stress biomarker (Hsp70) in L. ramada (CAT-Hsp70), D. vulgaris (LPO-Hsp70), D. labrax (GST-Hsp70) and G. niger (LPO-Hsp70). In conclusion, oxidative stress does occur with increasing temperatures and there seems to be a relation between thermal stress response and oxidative stress response. The results suggest that oxidative stress biomarkers should be applied with caution, particularly in field multi-species/multi-environment studies. © 2013 Elsevier Inc.","author":[{"dropping-particle":"","family":"Madeira","given":"D.","non-dropping-particle":"","parse-names":false,"suffix":""},{"dropping-particle":"","family":"Narciso","given":"L.","non-dropping-particle":"","parse-names":false,"suffix":""},{"dropping-particle":"","family":"Cabral","given":"H. N.","non-dropping-particle":"","parse-names":false,"suffix":""},{"dropping-particle":"","family":"Vinagre","given":"C.","non-dropping-particle":"","parse-names":false,"suffix":""},{"dropping-particle":"","family":"Diniz","given":"M. S.","non-dropping-particle":"","parse-names":false,"suffix":""}],"container-title":"Comparative Biochemistry and Physiology - A Molecular and Integrative Physiology","id":"ITEM-3","issue":"2","issued":{"date-parts":[["2013"]]},"page":"237-243","publisher":"Elsevier Inc.","title":"Influence of temperature in thermal and oxidative stress responses in estuarine fish","type":"article-journal","volume":"166"},"uris":["http://www.mendeley.com/documents/?uuid=cfb9bb4d-4ddb-42d4-b61f-6f0a24af329b"]}],"mendeley":{"formattedCitation":"(Heise &lt;i&gt;et al.&lt;/i&gt;, 2006; Vinagre &lt;i&gt;et al.&lt;/i&gt;, 2012; Madeira &lt;i&gt;et al.&lt;/i&gt;, 2013)","plainTextFormattedCitation":"(Heise et al., 2006; Vinagre et al., 2012; Madeira et al., 2013)","previouslyFormattedCitation":"(Heise &lt;i&gt;et al.&lt;/i&gt;, 2006; Vinagre &lt;i&gt;et al.&lt;/i&gt;, 2012; Madeira &lt;i&gt;et al.&lt;/i&gt;, 2013)"},"properties":{"noteIndex":0},"schema":"https://github.com/citation-style-language/schema/raw/master/csl-citation.json"}</w:instrText>
      </w:r>
      <w:r w:rsidR="00EC2AEC" w:rsidRPr="004147E2">
        <w:rPr>
          <w:rFonts w:eastAsiaTheme="minorEastAsia"/>
          <w:lang w:val="en-GB"/>
        </w:rPr>
        <w:fldChar w:fldCharType="separate"/>
      </w:r>
      <w:r w:rsidR="00EC2AEC" w:rsidRPr="004147E2">
        <w:rPr>
          <w:rFonts w:eastAsiaTheme="minorEastAsia"/>
          <w:noProof/>
        </w:rPr>
        <w:t xml:space="preserve">(Heise </w:t>
      </w:r>
      <w:r w:rsidR="00EC2AEC" w:rsidRPr="004147E2">
        <w:rPr>
          <w:rFonts w:eastAsiaTheme="minorEastAsia"/>
          <w:i/>
          <w:noProof/>
        </w:rPr>
        <w:t>et al.</w:t>
      </w:r>
      <w:r w:rsidR="00EC2AEC" w:rsidRPr="004147E2">
        <w:rPr>
          <w:rFonts w:eastAsiaTheme="minorEastAsia"/>
          <w:noProof/>
        </w:rPr>
        <w:t xml:space="preserve">, 2006; Vinagre </w:t>
      </w:r>
      <w:r w:rsidR="00EC2AEC" w:rsidRPr="004147E2">
        <w:rPr>
          <w:rFonts w:eastAsiaTheme="minorEastAsia"/>
          <w:i/>
          <w:noProof/>
        </w:rPr>
        <w:t>et al.</w:t>
      </w:r>
      <w:r w:rsidR="00EC2AEC" w:rsidRPr="004147E2">
        <w:rPr>
          <w:rFonts w:eastAsiaTheme="minorEastAsia"/>
          <w:noProof/>
        </w:rPr>
        <w:t xml:space="preserve">, 2012; Madeira </w:t>
      </w:r>
      <w:r w:rsidR="00EC2AEC" w:rsidRPr="004147E2">
        <w:rPr>
          <w:rFonts w:eastAsiaTheme="minorEastAsia"/>
          <w:i/>
          <w:noProof/>
        </w:rPr>
        <w:t>et al.</w:t>
      </w:r>
      <w:r w:rsidR="00EC2AEC" w:rsidRPr="004147E2">
        <w:rPr>
          <w:rFonts w:eastAsiaTheme="minorEastAsia"/>
          <w:noProof/>
        </w:rPr>
        <w:t>, 2013)</w:t>
      </w:r>
      <w:r w:rsidR="00EC2AEC" w:rsidRPr="004147E2">
        <w:rPr>
          <w:rFonts w:eastAsiaTheme="minorEastAsia"/>
          <w:lang w:val="en-GB"/>
        </w:rPr>
        <w:fldChar w:fldCharType="end"/>
      </w:r>
      <w:r w:rsidR="00603A6E" w:rsidRPr="004147E2">
        <w:rPr>
          <w:rFonts w:eastAsiaTheme="minorEastAsia"/>
        </w:rPr>
        <w:t>.</w:t>
      </w:r>
      <w:r w:rsidR="00CA178A" w:rsidRPr="004147E2">
        <w:rPr>
          <w:rFonts w:eastAsiaTheme="minorEastAsia"/>
          <w:lang w:val="en-GB"/>
        </w:rPr>
        <w:t xml:space="preserve"> </w:t>
      </w:r>
      <w:r w:rsidR="00EB6C87" w:rsidRPr="004147E2">
        <w:rPr>
          <w:rFonts w:eastAsiaTheme="minorEastAsia"/>
          <w:lang w:val="en-GB"/>
        </w:rPr>
        <w:t>L</w:t>
      </w:r>
      <w:proofErr w:type="spellStart"/>
      <w:r w:rsidR="00220CC6" w:rsidRPr="004147E2">
        <w:rPr>
          <w:rFonts w:eastAsiaTheme="minorEastAsia"/>
          <w:lang w:val="en-US"/>
        </w:rPr>
        <w:t>ipid</w:t>
      </w:r>
      <w:proofErr w:type="spellEnd"/>
      <w:r w:rsidR="00220CC6" w:rsidRPr="004147E2">
        <w:rPr>
          <w:rFonts w:eastAsiaTheme="minorEastAsia"/>
          <w:lang w:val="en-US"/>
        </w:rPr>
        <w:t xml:space="preserve"> peroxidation </w:t>
      </w:r>
      <w:r w:rsidR="00F43CB7" w:rsidRPr="004147E2">
        <w:rPr>
          <w:rFonts w:eastAsiaTheme="minorEastAsia"/>
          <w:lang w:val="en-US"/>
        </w:rPr>
        <w:t xml:space="preserve">is known for </w:t>
      </w:r>
      <w:r w:rsidR="00E32E8A" w:rsidRPr="004147E2">
        <w:rPr>
          <w:rFonts w:eastAsiaTheme="minorEastAsia"/>
          <w:lang w:val="en-GB"/>
        </w:rPr>
        <w:t>disrupt</w:t>
      </w:r>
      <w:r w:rsidR="00F43CB7" w:rsidRPr="004147E2">
        <w:rPr>
          <w:rFonts w:eastAsiaTheme="minorEastAsia"/>
          <w:lang w:val="en-GB"/>
        </w:rPr>
        <w:t>ing</w:t>
      </w:r>
      <w:r w:rsidR="00E32E8A" w:rsidRPr="004147E2">
        <w:rPr>
          <w:rFonts w:eastAsiaTheme="minorEastAsia"/>
          <w:lang w:val="en-GB"/>
        </w:rPr>
        <w:t xml:space="preserve"> the cytoskeleton</w:t>
      </w:r>
      <w:r w:rsidR="00DD0327" w:rsidRPr="004147E2">
        <w:rPr>
          <w:rFonts w:eastAsiaTheme="minorEastAsia"/>
          <w:lang w:val="en-GB"/>
        </w:rPr>
        <w:t xml:space="preserve"> </w:t>
      </w:r>
      <w:r w:rsidR="00F43CB7" w:rsidRPr="004147E2">
        <w:rPr>
          <w:rFonts w:eastAsiaTheme="minorEastAsia"/>
          <w:lang w:val="en-GB"/>
        </w:rPr>
        <w:t xml:space="preserve">and </w:t>
      </w:r>
      <w:r w:rsidR="00220CC6" w:rsidRPr="004147E2">
        <w:rPr>
          <w:rFonts w:eastAsiaTheme="minorEastAsia"/>
          <w:lang w:val="en-GB"/>
        </w:rPr>
        <w:t>damag</w:t>
      </w:r>
      <w:r w:rsidR="000458F9" w:rsidRPr="004147E2">
        <w:rPr>
          <w:rFonts w:eastAsiaTheme="minorEastAsia"/>
          <w:lang w:val="en-GB"/>
        </w:rPr>
        <w:t>ing</w:t>
      </w:r>
      <w:r w:rsidR="00282439" w:rsidRPr="004147E2">
        <w:rPr>
          <w:rFonts w:eastAsiaTheme="minorEastAsia"/>
          <w:lang w:val="en-GB"/>
        </w:rPr>
        <w:t xml:space="preserve"> </w:t>
      </w:r>
      <w:r w:rsidR="00E946B7" w:rsidRPr="004147E2">
        <w:rPr>
          <w:rFonts w:eastAsiaTheme="minorEastAsia"/>
          <w:lang w:val="en-GB"/>
        </w:rPr>
        <w:t xml:space="preserve">the </w:t>
      </w:r>
      <w:r w:rsidR="00282439" w:rsidRPr="004147E2">
        <w:rPr>
          <w:rFonts w:eastAsiaTheme="minorEastAsia"/>
          <w:lang w:val="en-GB"/>
        </w:rPr>
        <w:t xml:space="preserve">mitochondrial </w:t>
      </w:r>
      <w:r w:rsidR="00220CC6" w:rsidRPr="004147E2">
        <w:rPr>
          <w:rFonts w:eastAsiaTheme="minorEastAsia"/>
          <w:lang w:val="en-GB"/>
        </w:rPr>
        <w:t>membrane</w:t>
      </w:r>
      <w:r w:rsidR="002F1AB0" w:rsidRPr="004147E2">
        <w:rPr>
          <w:rFonts w:eastAsiaTheme="minorEastAsia"/>
          <w:lang w:val="en-GB"/>
        </w:rPr>
        <w:t xml:space="preserve">, </w:t>
      </w:r>
      <w:r w:rsidR="00F43CB7" w:rsidRPr="004147E2">
        <w:rPr>
          <w:rFonts w:eastAsiaTheme="minorEastAsia"/>
          <w:lang w:val="en-GB"/>
        </w:rPr>
        <w:t>causing</w:t>
      </w:r>
      <w:r w:rsidR="00282439" w:rsidRPr="004147E2">
        <w:rPr>
          <w:rFonts w:eastAsiaTheme="minorEastAsia"/>
          <w:lang w:val="en-GB"/>
        </w:rPr>
        <w:t xml:space="preserve"> </w:t>
      </w:r>
      <w:r w:rsidR="00E32E8A" w:rsidRPr="004147E2">
        <w:rPr>
          <w:rFonts w:eastAsiaTheme="minorEastAsia"/>
          <w:lang w:val="en-GB"/>
        </w:rPr>
        <w:t>cytotoxicity</w:t>
      </w:r>
      <w:r w:rsidR="00282439" w:rsidRPr="004147E2">
        <w:rPr>
          <w:rFonts w:eastAsiaTheme="minorEastAsia"/>
          <w:lang w:val="en-GB"/>
        </w:rPr>
        <w:t xml:space="preserve"> and apoptosis</w:t>
      </w:r>
      <w:r w:rsidR="00F43CB7" w:rsidRPr="004147E2">
        <w:rPr>
          <w:rFonts w:eastAsiaTheme="minorEastAsia"/>
          <w:lang w:val="en-GB"/>
        </w:rPr>
        <w:t xml:space="preserve"> when mitochondrial calcium is released </w:t>
      </w:r>
      <w:r w:rsidR="00EC2AEC" w:rsidRPr="004147E2">
        <w:rPr>
          <w:rFonts w:eastAsiaTheme="minorEastAsia"/>
          <w:lang w:val="en-GB"/>
        </w:rPr>
        <w:fldChar w:fldCharType="begin" w:fldLock="1"/>
      </w:r>
      <w:r w:rsidR="007602F2">
        <w:rPr>
          <w:rFonts w:eastAsiaTheme="minorEastAsia"/>
          <w:lang w:val="en-GB"/>
        </w:rPr>
        <w:instrText>ADDIN CSL_CITATION {"citationItems":[{"id":"ITEM-1","itemData":{"DOI":"10.1016/0306-9877(88)90111-9","ISSN":"03069877","PMID":"2840559","abstract":"A model suggesting a role for superoxide (O2-) and hydrogen peroxide (H2O2) in heat induced cytotoxicity and development of thermotolerance is proposed: 1. (1) Heat shock increases cellular generation of O2- and H2O2 in proportion to the severity of the heat shock. 2. (2) Heat induced generation of O2- or H2O2 in excess of the ability of the antioxidant enzymes to remove these toxic species causes heat induced cell injury and cytotoxicity. This damage is caused by lipid peroxidation, leading to disruption of the cytoskeleton and calcium metabolism. 3. (3) The flux of O2- and H2O2 generated by heat shock induced the synthesis of additional antioxidant enzymes. Other treatments which induce thermotolerance also cause oxidative stress and induce the antioxidant enzymes. The ability of various agents to modify heat induced cytotoxicity and development of thermotolerance is reviewed in light of this model. © 1988.","author":[{"dropping-particle":"","family":"Loven","given":"Dean P.","non-dropping-particle":"","parse-names":false,"suffix":""}],"container-title":"Medical Hypotheses","id":"ITEM-1","issue":"1","issued":{"date-parts":[["1988"]]},"page":"39-50","title":"A role for reduced oxygen species in heat induced cell killing and the induction of thermotolerance","type":"article-journal","volume":"26"},"uris":["http://www.mendeley.com/documents/?uuid=1fad7d45-ee88-4aeb-8761-740c777b47b3","http://www.mendeley.com/documents/?uuid=b32d1327-439c-478a-b033-f38b5dd807b0"]},{"id":"ITEM-2","itemData":{"DOI":"10.3390/diseases1010036","ISSN":"2079-9721","abstract":"Oxidative stress is a key mechanism causing protein aggregation, cell death and neurodegeneration in the nervous system. The neuronal cytoskeleton, that is, microtubules, actin filaments and neurofilaments, plays a key role in defending the nervous system against oxidative stress-induced damage and is also a target for this damage itself. Microtubules appear particularly susceptible to damage, with oxidative stress downregulating key microtubule-associated proteins [MAPs] and affecting tubulin through aberrant post-translational modifications. Actin filaments utilise oxidative stress for their reorganisation and thus may be less susceptible to deleterious effects. However, because cytoskeletal components are interconnected through crosslinking proteins, damage to one component affects the entire cytoskeletal network. Neurofilaments are phosphorylated under oxidative stress, leading to the formation of protein aggregates reminiscent of those seen in neurodegenerative diseases. Drugs that target the cytoskeleton may thus be of great use in treating various neurodegenerative diseases caused by oxidative stress.","author":[{"dropping-particle":"","family":"Gardiner","given":"John","non-dropping-particle":"","parse-names":false,"suffix":""},{"dropping-particle":"","family":"Overall","given":"Robyn","non-dropping-particle":"","parse-names":false,"suffix":""},{"dropping-particle":"","family":"Marc","given":"Jan","non-dropping-particle":"","parse-names":false,"suffix":""}],"container-title":"Diseases","id":"ITEM-2","issue":"1","issued":{"date-parts":[["2013"]]},"page":"36-50","title":"The Nervous System Cytoskeleton under Oxidative Stress","type":"article-journal","volume":"1"},"uris":["http://www.mendeley.com/documents/?uuid=4efd5f57-96a7-41c3-acbd-aeb4f748d600","http://www.mendeley.com/documents/?uuid=5899e484-1225-4f1e-a393-0c9230c847b3"]},{"id":"ITEM-3","itemData":{"DOI":"10.3109/02656736.2014.971446","ISSN":"14645157","PMID":"25354680","abstract":"In recent years there has been enormous interest in researching oxidative stress. Reactive oxygen species (ROS) are derived from the metabolism of oxygen as by-products of cell respiration, and are continuously produced in all aerobic organisms. Oxidative stress occurs as a consequence of an imbalance between ROS production and the available antioxidant defence against them. Nowadays, a variety of diseases and degenerative processes such as cancer, Alzheimer's and autoimmune diseases are mediated by oxidative stress. Heat stress was suggested to be an environmental factor responsible for stimulating ROS production because of similarities in responses observed following heat stress compared with that occurring following exposure to oxidative stress. This manuscript describes the main mitochondrial sources of ROS and the antioxidant defences involved to prevent oxidative damage in all the mitochondrial compartments. It also deals with discussions concerning the cytotoxic effect of heat stress, mitochondrial heat-induced alterations, as well as heat shock protein (HSP) expression as a defence mechanism.","author":[{"dropping-particle":"","family":"Slimen","given":"Imen Belhadj","non-dropping-particle":"","parse-names":false,"suffix":""},{"dropping-particle":"","family":"Najar","given":"Taha","non-dropping-particle":"","parse-names":false,"suffix":""},{"dropping-particle":"","family":"Ghram","given":"Abdeljelil","non-dropping-particle":"","parse-names":false,"suffix":""},{"dropping-particle":"","family":"Dabbebi","given":"Hajer","non-dropping-particle":"","parse-names":false,"suffix":""},{"dropping-particle":"","family":"Mrad","given":"Moncef","non-dropping-particle":"Ben","parse-names":false,"suffix":""},{"dropping-particle":"","family":"Abdrabbah","given":"Manef","non-dropping-particle":"","parse-names":false,"suffix":""}],"container-title":"International Journal of Hyperthermia","id":"ITEM-3","issue":"7","issued":{"date-parts":[["2014"]]},"page":"513-523","title":"Reactive oxygen species, heat stress and oxidative-induced mitochondrial damage. A review","type":"article-journal","volume":"30"},"uris":["http://www.mendeley.com/documents/?uuid=252602f4-0891-4b1e-9631-45ed3c16fcd8","http://www.mendeley.com/documents/?uuid=46bb68d6-1fb2-40fc-85db-c83bf01ff072"]}],"mendeley":{"formattedCitation":"(Loven, 1988; Gardiner, Overall and Marc, 2013; Slimen &lt;i&gt;et al.&lt;/i&gt;, 2014)","plainTextFormattedCitation":"(Loven, 1988; Gardiner, Overall and Marc, 2013; Slimen et al., 2014)","previouslyFormattedCitation":"(Loven, 1988; Gardiner, Overall and Marc, 2013; Slimen &lt;i&gt;et al.&lt;/i&gt;, 2014)"},"properties":{"noteIndex":0},"schema":"https://github.com/citation-style-language/schema/raw/master/csl-citation.json"}</w:instrText>
      </w:r>
      <w:r w:rsidR="00EC2AEC" w:rsidRPr="004147E2">
        <w:rPr>
          <w:rFonts w:eastAsiaTheme="minorEastAsia"/>
          <w:lang w:val="en-GB"/>
        </w:rPr>
        <w:fldChar w:fldCharType="separate"/>
      </w:r>
      <w:r w:rsidR="00EC2AEC" w:rsidRPr="004147E2">
        <w:rPr>
          <w:rFonts w:eastAsiaTheme="minorEastAsia"/>
          <w:noProof/>
          <w:lang w:val="en-GB"/>
        </w:rPr>
        <w:t xml:space="preserve">(Loven, 1988; Gardiner, Overall and Marc, 2013; Slimen </w:t>
      </w:r>
      <w:r w:rsidR="00EC2AEC" w:rsidRPr="004147E2">
        <w:rPr>
          <w:rFonts w:eastAsiaTheme="minorEastAsia"/>
          <w:i/>
          <w:noProof/>
          <w:lang w:val="en-GB"/>
        </w:rPr>
        <w:t>et al.</w:t>
      </w:r>
      <w:r w:rsidR="00EC2AEC" w:rsidRPr="004147E2">
        <w:rPr>
          <w:rFonts w:eastAsiaTheme="minorEastAsia"/>
          <w:noProof/>
          <w:lang w:val="en-GB"/>
        </w:rPr>
        <w:t>, 2014)</w:t>
      </w:r>
      <w:r w:rsidR="00EC2AEC" w:rsidRPr="004147E2">
        <w:rPr>
          <w:rFonts w:eastAsiaTheme="minorEastAsia"/>
          <w:lang w:val="en-GB"/>
        </w:rPr>
        <w:fldChar w:fldCharType="end"/>
      </w:r>
      <w:r w:rsidR="00E32E8A" w:rsidRPr="004147E2">
        <w:rPr>
          <w:rFonts w:eastAsiaTheme="minorEastAsia"/>
          <w:lang w:val="en-GB"/>
        </w:rPr>
        <w:t xml:space="preserve">. </w:t>
      </w:r>
      <w:r w:rsidR="00F87D11" w:rsidRPr="004147E2">
        <w:rPr>
          <w:rFonts w:eastAsiaTheme="minorEastAsia"/>
          <w:lang w:val="en-GB"/>
        </w:rPr>
        <w:t>Hence, differential splicing in</w:t>
      </w:r>
      <w:r w:rsidR="00E32E8A" w:rsidRPr="004147E2">
        <w:rPr>
          <w:rFonts w:eastAsiaTheme="minorEastAsia"/>
          <w:lang w:val="en-GB"/>
        </w:rPr>
        <w:t xml:space="preserve"> </w:t>
      </w:r>
      <w:r w:rsidR="00EC73AA" w:rsidRPr="004147E2">
        <w:rPr>
          <w:rFonts w:eastAsiaTheme="minorEastAsia"/>
          <w:lang w:val="en-GB"/>
        </w:rPr>
        <w:t xml:space="preserve">genes related to </w:t>
      </w:r>
      <w:proofErr w:type="gramStart"/>
      <w:r w:rsidR="00EC73AA" w:rsidRPr="004147E2">
        <w:rPr>
          <w:rFonts w:eastAsiaTheme="minorEastAsia"/>
          <w:lang w:val="en-GB"/>
        </w:rPr>
        <w:t>Ca(</w:t>
      </w:r>
      <w:proofErr w:type="gramEnd"/>
      <w:r w:rsidR="00EC73AA" w:rsidRPr="004147E2">
        <w:rPr>
          <w:rFonts w:eastAsiaTheme="minorEastAsia"/>
          <w:lang w:val="en-GB"/>
        </w:rPr>
        <w:t>2+) binding and cytoskeleton state</w:t>
      </w:r>
      <w:r w:rsidR="00603A6E" w:rsidRPr="004147E2">
        <w:rPr>
          <w:rFonts w:eastAsiaTheme="minorEastAsia"/>
          <w:lang w:val="en-GB"/>
        </w:rPr>
        <w:t xml:space="preserve"> </w:t>
      </w:r>
      <w:r w:rsidR="00F87D11" w:rsidRPr="004147E2">
        <w:rPr>
          <w:rFonts w:eastAsiaTheme="minorEastAsia"/>
          <w:lang w:val="en-GB"/>
        </w:rPr>
        <w:t xml:space="preserve">in the onset period of the heatwave </w:t>
      </w:r>
      <w:r w:rsidR="00603A6E" w:rsidRPr="004147E2">
        <w:rPr>
          <w:rFonts w:eastAsiaTheme="minorEastAsia"/>
          <w:lang w:val="en-GB"/>
        </w:rPr>
        <w:t>may play a role</w:t>
      </w:r>
      <w:r w:rsidR="00EC73AA" w:rsidRPr="004147E2">
        <w:rPr>
          <w:rFonts w:eastAsiaTheme="minorEastAsia"/>
          <w:lang w:val="en-GB"/>
        </w:rPr>
        <w:t xml:space="preserve"> in</w:t>
      </w:r>
      <w:r w:rsidR="00F87D11" w:rsidRPr="004147E2">
        <w:rPr>
          <w:rFonts w:eastAsiaTheme="minorEastAsia"/>
          <w:lang w:val="en-GB"/>
        </w:rPr>
        <w:t xml:space="preserve"> </w:t>
      </w:r>
      <w:r w:rsidR="00EC73AA" w:rsidRPr="004147E2">
        <w:rPr>
          <w:rFonts w:eastAsiaTheme="minorEastAsia"/>
          <w:lang w:val="en-GB"/>
        </w:rPr>
        <w:t>cytoskeleton remodelling and restoring Ca(+2) homeostasis to counter</w:t>
      </w:r>
      <w:r w:rsidR="00F87D11" w:rsidRPr="004147E2">
        <w:rPr>
          <w:rFonts w:eastAsiaTheme="minorEastAsia"/>
          <w:lang w:val="en-GB"/>
        </w:rPr>
        <w:t>act</w:t>
      </w:r>
      <w:r w:rsidR="00EC73AA" w:rsidRPr="004147E2">
        <w:rPr>
          <w:rFonts w:eastAsiaTheme="minorEastAsia"/>
          <w:lang w:val="en-GB"/>
        </w:rPr>
        <w:t xml:space="preserve"> the consequences </w:t>
      </w:r>
      <w:r w:rsidR="00B2647B" w:rsidRPr="004147E2">
        <w:rPr>
          <w:rFonts w:eastAsiaTheme="minorEastAsia"/>
          <w:lang w:val="en-GB"/>
        </w:rPr>
        <w:t>of</w:t>
      </w:r>
      <w:r w:rsidR="00EC73AA" w:rsidRPr="004147E2">
        <w:rPr>
          <w:rFonts w:eastAsiaTheme="minorEastAsia"/>
          <w:lang w:val="en-GB"/>
        </w:rPr>
        <w:t xml:space="preserve"> heat stress.</w:t>
      </w:r>
    </w:p>
    <w:p w14:paraId="4D62A74E" w14:textId="6B12CA34" w:rsidR="00792590" w:rsidRPr="004147E2" w:rsidRDefault="00792590" w:rsidP="00F06243">
      <w:pPr>
        <w:spacing w:line="480" w:lineRule="auto"/>
        <w:ind w:firstLine="720"/>
        <w:jc w:val="both"/>
      </w:pPr>
      <w:r w:rsidRPr="004147E2">
        <w:t xml:space="preserve">A set of DS genes </w:t>
      </w:r>
      <w:r w:rsidR="00F87D11" w:rsidRPr="004147E2">
        <w:t xml:space="preserve">during the onset of the heatwave </w:t>
      </w:r>
      <w:r w:rsidR="00B2647B" w:rsidRPr="004147E2">
        <w:t>are</w:t>
      </w:r>
      <w:r w:rsidRPr="004147E2">
        <w:t xml:space="preserve"> associated </w:t>
      </w:r>
      <w:r w:rsidR="00CD0D68" w:rsidRPr="004147E2">
        <w:t>with the</w:t>
      </w:r>
      <w:r w:rsidRPr="004147E2">
        <w:t xml:space="preserve"> Mitogen‑Activated Protein Kinase (MAPK) cascade</w:t>
      </w:r>
      <w:r w:rsidR="00F06243" w:rsidRPr="004147E2">
        <w:t xml:space="preserve">. This </w:t>
      </w:r>
      <w:r w:rsidRPr="004147E2">
        <w:t xml:space="preserve">signalling pathway </w:t>
      </w:r>
      <w:r w:rsidR="00F06243" w:rsidRPr="004147E2">
        <w:t xml:space="preserve">is </w:t>
      </w:r>
      <w:r w:rsidRPr="004147E2">
        <w:t xml:space="preserve">responsible </w:t>
      </w:r>
      <w:r w:rsidR="00F06243" w:rsidRPr="004147E2">
        <w:t xml:space="preserve">for processes such as </w:t>
      </w:r>
      <w:r w:rsidRPr="004147E2">
        <w:t xml:space="preserve">cell proliferation, development and apoptosis </w:t>
      </w:r>
      <w:r w:rsidR="001B3B9F" w:rsidRPr="004147E2">
        <w:rPr>
          <w:noProof/>
        </w:rPr>
        <w:t xml:space="preserve">(Guo </w:t>
      </w:r>
      <w:r w:rsidR="001B3B9F" w:rsidRPr="004147E2">
        <w:rPr>
          <w:i/>
          <w:noProof/>
        </w:rPr>
        <w:t>et al.</w:t>
      </w:r>
      <w:r w:rsidR="001B3B9F" w:rsidRPr="004147E2">
        <w:rPr>
          <w:noProof/>
        </w:rPr>
        <w:t>, 2020)</w:t>
      </w:r>
      <w:r w:rsidR="00F72CE7" w:rsidRPr="004147E2">
        <w:t>.</w:t>
      </w:r>
      <w:r w:rsidRPr="004147E2">
        <w:t xml:space="preserve"> </w:t>
      </w:r>
      <w:r w:rsidRPr="004147E2">
        <w:rPr>
          <w:i/>
          <w:iCs/>
        </w:rPr>
        <w:t xml:space="preserve">Mitogen-Activated </w:t>
      </w:r>
      <w:r w:rsidR="0004785E" w:rsidRPr="004147E2">
        <w:rPr>
          <w:i/>
          <w:iCs/>
        </w:rPr>
        <w:t>p</w:t>
      </w:r>
      <w:r w:rsidRPr="004147E2">
        <w:rPr>
          <w:i/>
          <w:iCs/>
        </w:rPr>
        <w:t xml:space="preserve">rotein </w:t>
      </w:r>
      <w:r w:rsidR="0004785E" w:rsidRPr="004147E2">
        <w:rPr>
          <w:i/>
          <w:iCs/>
        </w:rPr>
        <w:t>k</w:t>
      </w:r>
      <w:r w:rsidRPr="004147E2">
        <w:rPr>
          <w:i/>
          <w:iCs/>
        </w:rPr>
        <w:t>inase 14</w:t>
      </w:r>
      <w:r w:rsidRPr="004147E2">
        <w:t xml:space="preserve"> (</w:t>
      </w:r>
      <w:r w:rsidR="0004785E" w:rsidRPr="004147E2">
        <w:rPr>
          <w:i/>
          <w:iCs/>
        </w:rPr>
        <w:t>mapl</w:t>
      </w:r>
      <w:r w:rsidRPr="004147E2">
        <w:rPr>
          <w:i/>
          <w:iCs/>
        </w:rPr>
        <w:t>14</w:t>
      </w:r>
      <w:r w:rsidRPr="004147E2">
        <w:t>)</w:t>
      </w:r>
      <w:r w:rsidR="00F87D11" w:rsidRPr="004147E2">
        <w:t xml:space="preserve">, </w:t>
      </w:r>
      <w:r w:rsidRPr="004147E2">
        <w:rPr>
          <w:i/>
          <w:iCs/>
        </w:rPr>
        <w:t xml:space="preserve">ER </w:t>
      </w:r>
      <w:r w:rsidR="0004785E" w:rsidRPr="004147E2">
        <w:rPr>
          <w:i/>
          <w:iCs/>
        </w:rPr>
        <w:t>m</w:t>
      </w:r>
      <w:r w:rsidRPr="004147E2">
        <w:rPr>
          <w:i/>
          <w:iCs/>
        </w:rPr>
        <w:t xml:space="preserve">embrane </w:t>
      </w:r>
      <w:r w:rsidR="0004785E" w:rsidRPr="004147E2">
        <w:rPr>
          <w:i/>
          <w:iCs/>
        </w:rPr>
        <w:t>p</w:t>
      </w:r>
      <w:r w:rsidRPr="004147E2">
        <w:rPr>
          <w:i/>
          <w:iCs/>
        </w:rPr>
        <w:t xml:space="preserve">rotein </w:t>
      </w:r>
      <w:r w:rsidR="0004785E" w:rsidRPr="004147E2">
        <w:rPr>
          <w:i/>
          <w:iCs/>
        </w:rPr>
        <w:t>c</w:t>
      </w:r>
      <w:r w:rsidRPr="004147E2">
        <w:rPr>
          <w:i/>
          <w:iCs/>
        </w:rPr>
        <w:t xml:space="preserve">omplex </w:t>
      </w:r>
      <w:r w:rsidR="0004785E" w:rsidRPr="004147E2">
        <w:rPr>
          <w:i/>
          <w:iCs/>
        </w:rPr>
        <w:t>s</w:t>
      </w:r>
      <w:r w:rsidRPr="004147E2">
        <w:rPr>
          <w:i/>
          <w:iCs/>
        </w:rPr>
        <w:t>ubunit 10</w:t>
      </w:r>
      <w:r w:rsidRPr="004147E2">
        <w:t xml:space="preserve"> (</w:t>
      </w:r>
      <w:r w:rsidR="0004785E" w:rsidRPr="004147E2">
        <w:rPr>
          <w:i/>
          <w:iCs/>
        </w:rPr>
        <w:t>emc</w:t>
      </w:r>
      <w:r w:rsidRPr="004147E2">
        <w:rPr>
          <w:i/>
          <w:iCs/>
        </w:rPr>
        <w:t>10</w:t>
      </w:r>
      <w:r w:rsidRPr="004147E2">
        <w:t xml:space="preserve">) </w:t>
      </w:r>
      <w:r w:rsidR="00F87D11" w:rsidRPr="004147E2">
        <w:t xml:space="preserve">and </w:t>
      </w:r>
      <w:r w:rsidR="009561B0" w:rsidRPr="004147E2">
        <w:rPr>
          <w:i/>
          <w:iCs/>
        </w:rPr>
        <w:t xml:space="preserve">TNFAIP3 </w:t>
      </w:r>
      <w:r w:rsidR="0004785E" w:rsidRPr="004147E2">
        <w:rPr>
          <w:i/>
          <w:iCs/>
        </w:rPr>
        <w:t>i</w:t>
      </w:r>
      <w:r w:rsidR="009561B0" w:rsidRPr="004147E2">
        <w:rPr>
          <w:i/>
          <w:iCs/>
        </w:rPr>
        <w:t xml:space="preserve">nteracting </w:t>
      </w:r>
      <w:r w:rsidR="00BE0F03" w:rsidRPr="004147E2">
        <w:rPr>
          <w:i/>
          <w:iCs/>
        </w:rPr>
        <w:t>p</w:t>
      </w:r>
      <w:r w:rsidR="009561B0" w:rsidRPr="004147E2">
        <w:rPr>
          <w:i/>
          <w:iCs/>
        </w:rPr>
        <w:t>rotein 1</w:t>
      </w:r>
      <w:r w:rsidR="009561B0" w:rsidRPr="004147E2">
        <w:t xml:space="preserve"> (</w:t>
      </w:r>
      <w:r w:rsidR="0004785E" w:rsidRPr="004147E2">
        <w:rPr>
          <w:i/>
          <w:iCs/>
        </w:rPr>
        <w:t>tnip1</w:t>
      </w:r>
      <w:r w:rsidR="009561B0" w:rsidRPr="004147E2">
        <w:t>)</w:t>
      </w:r>
      <w:r w:rsidR="00F87D11" w:rsidRPr="004147E2">
        <w:t xml:space="preserve"> </w:t>
      </w:r>
      <w:r w:rsidRPr="004147E2">
        <w:t xml:space="preserve">were </w:t>
      </w:r>
      <w:r w:rsidR="00F87D11" w:rsidRPr="004147E2">
        <w:t xml:space="preserve">three </w:t>
      </w:r>
      <w:r w:rsidRPr="004147E2">
        <w:t xml:space="preserve">identified DS genes, </w:t>
      </w:r>
      <w:r w:rsidR="00332642" w:rsidRPr="004147E2">
        <w:t>wh</w:t>
      </w:r>
      <w:r w:rsidR="00902F2F" w:rsidRPr="004147E2">
        <w:t>ose</w:t>
      </w:r>
      <w:r w:rsidR="00332642" w:rsidRPr="004147E2">
        <w:t xml:space="preserve"> </w:t>
      </w:r>
      <w:r w:rsidRPr="004147E2">
        <w:t xml:space="preserve">expression </w:t>
      </w:r>
      <w:r w:rsidR="00425752" w:rsidRPr="004147E2">
        <w:t xml:space="preserve">was </w:t>
      </w:r>
      <w:r w:rsidRPr="004147E2">
        <w:t xml:space="preserve">down-regulated in both onset and prolonged period, but up-regulated in the </w:t>
      </w:r>
      <w:r w:rsidR="00D4455E">
        <w:t>decline per</w:t>
      </w:r>
      <w:r w:rsidRPr="004147E2">
        <w:t xml:space="preserve">iod of the heatwave. </w:t>
      </w:r>
      <w:r w:rsidR="00F87D11" w:rsidRPr="004147E2">
        <w:t xml:space="preserve">These genes </w:t>
      </w:r>
      <w:r w:rsidRPr="004147E2">
        <w:t xml:space="preserve">are related to p38 MAPK pathway </w:t>
      </w:r>
      <w:r w:rsidR="00902F2F" w:rsidRPr="004147E2">
        <w:t>which has a</w:t>
      </w:r>
      <w:r w:rsidRPr="004147E2">
        <w:t xml:space="preserve"> crucial role in the regulation of immune and inflammation response</w:t>
      </w:r>
      <w:r w:rsidR="00515025" w:rsidRPr="004147E2">
        <w:t>,</w:t>
      </w:r>
      <w:r w:rsidRPr="004147E2">
        <w:t xml:space="preserve"> as well as cell cycle and cytoskeleton remodelling </w:t>
      </w:r>
      <w:r w:rsidR="00EC2AEC" w:rsidRPr="004147E2">
        <w:rPr>
          <w:noProof/>
        </w:rPr>
        <w:fldChar w:fldCharType="begin" w:fldLock="1"/>
      </w:r>
      <w:r w:rsidR="007602F2">
        <w:rPr>
          <w:noProof/>
        </w:rPr>
        <w:instrText>ADDIN CSL_CITATION {"citationItems":[{"id":"ITEM-1","itemData":{"DOI":"10.1016/j.bbamcr.2007.03.010","ISSN":"01674889","PMID":"17481747","abstract":"Mammalian p38 mitogen-activated protein kinases (MAPKs) are activated by a wide range of cellular stresses as well as in response to inflammatory cytokines. There are four members of the p38MAPK family (p38α, p38β, p38γ and p38δ) which are about 60% identical in their amino acid sequence but differ in their expression patterns, substrate specificities and sensitivities to chemical inhibitors such as SB203580. A large body of evidences indicates that p38MAPK activity is critical for normal immune and inflammatory response. The p38MAPK pathway is a key regulator of pro-inflammatory cytokines biosynthesis at the transcriptional and translational levels, which makes different components of this pathway potential targets for the treatment of autoimmune and inflammatory diseases. However, recent studies have shed light on the broad effect of p38MAPK activation in the control of many other aspects of the physiology of the cell, such as control of cell cycle or cytoskeleton remodelling. Here we focus on these emergent roles of p38MAPKs and their implication in different pathologies. © 2007 Elsevier B.V. All rights reserved.","author":[{"dropping-particle":"","family":"Cuenda","given":"Ana","non-dropping-particle":"","parse-names":false,"suffix":""},{"dropping-particle":"","family":"Rousseau","given":"Simon","non-dropping-particle":"","parse-names":false,"suffix":""}],"container-title":"Biochimica et Biophysica Acta - Molecular Cell Research","id":"ITEM-1","issue":"8","issued":{"date-parts":[["2007"]]},"page":"1358-1375","title":"p38 MAP-Kinases pathway regulation, function and role in human diseases","type":"article-journal","volume":"1773"},"uris":["http://www.mendeley.com/documents/?uuid=4ffd0415-c737-43d8-b28a-2fa79f75f6f3","http://www.mendeley.com/documents/?uuid=314d2ece-cadc-405d-af72-600f3658a938"]}],"mendeley":{"formattedCitation":"(Cuenda and Rousseau, 2007)","plainTextFormattedCitation":"(Cuenda and Rousseau, 2007)","previouslyFormattedCitation":"(Cuenda and Rousseau, 2007)"},"properties":{"noteIndex":0},"schema":"https://github.com/citation-style-language/schema/raw/master/csl-citation.json"}</w:instrText>
      </w:r>
      <w:r w:rsidR="00EC2AEC" w:rsidRPr="004147E2">
        <w:rPr>
          <w:noProof/>
        </w:rPr>
        <w:fldChar w:fldCharType="separate"/>
      </w:r>
      <w:r w:rsidR="00EC2AEC" w:rsidRPr="004147E2">
        <w:rPr>
          <w:noProof/>
        </w:rPr>
        <w:t>(Cuenda and Rousseau, 2007)</w:t>
      </w:r>
      <w:r w:rsidR="00EC2AEC" w:rsidRPr="004147E2">
        <w:rPr>
          <w:noProof/>
        </w:rPr>
        <w:fldChar w:fldCharType="end"/>
      </w:r>
      <w:r w:rsidRPr="004147E2">
        <w:t xml:space="preserve">. </w:t>
      </w:r>
      <w:r w:rsidR="00C17CD4" w:rsidRPr="004147E2">
        <w:t xml:space="preserve">The </w:t>
      </w:r>
      <w:r w:rsidR="006F2473" w:rsidRPr="004147E2">
        <w:t xml:space="preserve">transcriptomic changes </w:t>
      </w:r>
      <w:r w:rsidR="00227EF8" w:rsidRPr="004147E2">
        <w:t xml:space="preserve">may suggest that the </w:t>
      </w:r>
      <w:r w:rsidRPr="004147E2">
        <w:t xml:space="preserve">fish experience </w:t>
      </w:r>
      <w:r w:rsidR="00BF066C" w:rsidRPr="004147E2">
        <w:t>activation</w:t>
      </w:r>
      <w:r w:rsidR="0035742B" w:rsidRPr="004147E2">
        <w:t xml:space="preserve"> of </w:t>
      </w:r>
      <w:r w:rsidR="00205C0A" w:rsidRPr="004147E2">
        <w:t>immune-related gene</w:t>
      </w:r>
      <w:r w:rsidR="000046C9" w:rsidRPr="004147E2">
        <w:t>s</w:t>
      </w:r>
      <w:r w:rsidR="00BF066C" w:rsidRPr="004147E2">
        <w:t xml:space="preserve"> after a </w:t>
      </w:r>
      <w:r w:rsidR="000046C9" w:rsidRPr="004147E2">
        <w:t xml:space="preserve">drop in </w:t>
      </w:r>
      <w:r w:rsidR="002C6813" w:rsidRPr="004147E2">
        <w:t>temperature</w:t>
      </w:r>
      <w:r w:rsidR="000046C9" w:rsidRPr="004147E2">
        <w:t xml:space="preserve"> after</w:t>
      </w:r>
      <w:r w:rsidR="00BF066C" w:rsidRPr="004147E2">
        <w:t xml:space="preserve"> warming.</w:t>
      </w:r>
      <w:r w:rsidR="00205C0A" w:rsidRPr="004147E2">
        <w:t xml:space="preserve"> </w:t>
      </w:r>
      <w:r w:rsidR="009561B0" w:rsidRPr="004147E2">
        <w:t>A</w:t>
      </w:r>
      <w:r w:rsidR="00F22ACA" w:rsidRPr="004147E2">
        <w:t>lso, p</w:t>
      </w:r>
      <w:r w:rsidRPr="004147E2">
        <w:t xml:space="preserve">38 MAPK has </w:t>
      </w:r>
      <w:r w:rsidR="00F22ACA" w:rsidRPr="004147E2">
        <w:t xml:space="preserve">an alternative </w:t>
      </w:r>
      <w:r w:rsidRPr="004147E2">
        <w:t xml:space="preserve">role in the </w:t>
      </w:r>
      <w:r w:rsidR="007A3893" w:rsidRPr="004147E2">
        <w:t xml:space="preserve">indirect </w:t>
      </w:r>
      <w:r w:rsidRPr="004147E2">
        <w:t xml:space="preserve">regulation of </w:t>
      </w:r>
      <w:r w:rsidR="00425752" w:rsidRPr="004147E2">
        <w:t>the</w:t>
      </w:r>
      <w:r w:rsidR="00902F2F" w:rsidRPr="004147E2">
        <w:t xml:space="preserve"> </w:t>
      </w:r>
      <w:r w:rsidR="007A3893" w:rsidRPr="004147E2">
        <w:t xml:space="preserve">activity of a </w:t>
      </w:r>
      <w:r w:rsidR="00425752" w:rsidRPr="004147E2">
        <w:t xml:space="preserve">differentially spliced </w:t>
      </w:r>
      <w:r w:rsidR="007A3893" w:rsidRPr="004147E2">
        <w:t xml:space="preserve">gene </w:t>
      </w:r>
      <w:r w:rsidR="008565A0" w:rsidRPr="004147E2">
        <w:rPr>
          <w:i/>
          <w:iCs/>
          <w:lang w:val="en-US"/>
        </w:rPr>
        <w:t xml:space="preserve">complement </w:t>
      </w:r>
      <w:r w:rsidR="008565A0" w:rsidRPr="004147E2">
        <w:rPr>
          <w:rFonts w:eastAsia="MS Mincho"/>
          <w:i/>
          <w:iCs/>
          <w:lang w:val="en-US"/>
        </w:rPr>
        <w:t xml:space="preserve">component </w:t>
      </w:r>
      <w:r w:rsidR="008565A0" w:rsidRPr="004147E2">
        <w:rPr>
          <w:i/>
          <w:iCs/>
          <w:lang w:val="en-US"/>
        </w:rPr>
        <w:t>3</w:t>
      </w:r>
      <w:r w:rsidR="008565A0" w:rsidRPr="004147E2">
        <w:rPr>
          <w:lang w:val="en-US"/>
        </w:rPr>
        <w:t xml:space="preserve"> (</w:t>
      </w:r>
      <w:r w:rsidR="008565A0" w:rsidRPr="004147E2">
        <w:rPr>
          <w:i/>
          <w:iCs/>
          <w:lang w:val="en-US"/>
        </w:rPr>
        <w:t>c3</w:t>
      </w:r>
      <w:r w:rsidR="008565A0" w:rsidRPr="004147E2">
        <w:rPr>
          <w:lang w:val="en-US"/>
        </w:rPr>
        <w:t xml:space="preserve">; </w:t>
      </w:r>
      <w:r w:rsidR="00EC2AEC" w:rsidRPr="004147E2">
        <w:rPr>
          <w:noProof/>
        </w:rPr>
        <w:fldChar w:fldCharType="begin" w:fldLock="1"/>
      </w:r>
      <w:r w:rsidR="007602F2">
        <w:rPr>
          <w:noProof/>
        </w:rPr>
        <w:instrText>ADDIN CSL_CITATION {"citationItems":[{"id":"ITEM-1","itemData":{"DOI":"10.1007/s11481-007-9096-9","ISSN":"15571890","PMID":"18247123","abstract":"Substances of abuse, such as opiates, and astroglial-derived proinflammatory cytokines, such as interleukin (IL)-1β, likely contribute to the neuroinflammatory and neurodegenerative processes observed in NeuroAIDS in injection drug users. Furthermore, uncontrolled synthesis and activation of complement component C3 in the brain can also lead to inflammation and neurodegeneration. We hypothesized that morphine may alter regulation of the C3 gene by IL-1β in astrocytes. Our studies demonstrate that IL-1β induces C3 promoter activity in a CAAT/enhancer-binding protein (C/EBP)-dependent manner. Inhibition of IL-1β mediated C3 promoter activation by the dominant negative mutant of p38-α mitogen-activated protein kinase suggests that IL-1β induces C3 expression through the activation of C/EBP. Morphine (0.01 μM) in combination with IL-1β further induced C3 promoter activity. Similarly, the C/EBP-β isoform liver activating protein and C/EBP-δ-induced C3 promoter activity were upregulated by morphine and IL-1β. Taken together, this study illustrates that morphine modulates IL-1β-mediated C3 expression in astrocytic cells. © 2007 Springer Science+Business Media, LLC.","author":[{"dropping-particle":"","family":"Maranto","given":"Jeffrey","non-dropping-particle":"","parse-names":false,"suffix":""},{"dropping-particle":"","family":"Rappaport","given":"Jay","non-dropping-particle":"","parse-names":false,"suffix":""},{"dropping-particle":"","family":"Datta","given":"Prasun K.","non-dropping-particle":"","parse-names":false,"suffix":""}],"container-title":"Journal of NeuroImmune Pharmacology","id":"ITEM-1","issue":"1","issued":{"date-parts":[["2008"]]},"page":"43-51","title":"Regulation of complement component C3 in astrocytes by IL-1β and morphine","type":"article-journal","volume":"3"},"uris":["http://www.mendeley.com/documents/?uuid=1b6468f1-098b-4aed-b434-7454cd6c0c03","http://www.mendeley.com/documents/?uuid=0fb29de2-446c-4f30-9a42-3ea99809e4f5"]}],"mendeley":{"formattedCitation":"(Maranto, Rappaport and Datta, 2008)","manualFormatting":"Maranto, Rappaport and Datta, 2008)","plainTextFormattedCitation":"(Maranto, Rappaport and Datta, 2008)","previouslyFormattedCitation":"(Maranto, Rappaport and Datta, 2008)"},"properties":{"noteIndex":0},"schema":"https://github.com/citation-style-language/schema/raw/master/csl-citation.json"}</w:instrText>
      </w:r>
      <w:r w:rsidR="00EC2AEC" w:rsidRPr="004147E2">
        <w:rPr>
          <w:noProof/>
        </w:rPr>
        <w:fldChar w:fldCharType="separate"/>
      </w:r>
      <w:r w:rsidR="00571756" w:rsidRPr="004147E2">
        <w:rPr>
          <w:noProof/>
        </w:rPr>
        <w:t>Maranto, Rappaport and Datta, 2008)</w:t>
      </w:r>
      <w:r w:rsidR="00EC2AEC" w:rsidRPr="004147E2">
        <w:rPr>
          <w:noProof/>
        </w:rPr>
        <w:fldChar w:fldCharType="end"/>
      </w:r>
      <w:r w:rsidR="00515025" w:rsidRPr="004147E2">
        <w:t xml:space="preserve">, which is associated with the </w:t>
      </w:r>
      <w:r w:rsidRPr="004147E2">
        <w:t xml:space="preserve">innate immune system </w:t>
      </w:r>
      <w:r w:rsidR="00B2647B" w:rsidRPr="004147E2">
        <w:t xml:space="preserve">of </w:t>
      </w:r>
      <w:r w:rsidRPr="004147E2">
        <w:t>bony fish</w:t>
      </w:r>
      <w:r w:rsidR="00B2647B" w:rsidRPr="004147E2">
        <w:t xml:space="preserve">es </w:t>
      </w:r>
      <w:r w:rsidR="00EC2AEC" w:rsidRPr="004147E2">
        <w:rPr>
          <w:noProof/>
        </w:rPr>
        <w:fldChar w:fldCharType="begin" w:fldLock="1"/>
      </w:r>
      <w:r w:rsidR="007602F2">
        <w:rPr>
          <w:noProof/>
        </w:rPr>
        <w:instrText>ADDIN CSL_CITATION {"citationItems":[{"id":"ITEM-1","itemData":{"DOI":"10.1016/j.fsi.2017.03.003","ISSN":"10959947","PMID":"28263881","abstract":"Low temperature is an important environmental factor in aquaculture farming that affects the survival and growth of organisms. In the present study, we investigated the effects of low temperature on biochemical parameters, oxidative stress and apoptosis in pufferfish. In the stress group, water temperature decreased from 25 °C to 13 °C at a rate of 1 °C/1 h. Fish blood and liver were collected to assay biochemical parameters, oxidative stress and expression of genes at 25 °C, 21 °C, 17 °C, 13 °C and 13 °C for 24 h. The results showed that low temperature could decrease total blood cell count, inhibit cell viability, and subsequently lead to DNA damage. Biochemical parameters such as plasma protein and ALP significantly declined in fish under low temperature, while a significant increase in AST, ALT, LDH and glucose was observed. The gene expression of antioxidant enzymes (SOD and CAT), HSP90 and C3 were induced by low temperature stress. Furthermore, the gene expression of apoptotic related genes including P53, caspase-9 and caspase-3 were up-regulated, suggesting that caspase-dependent pathway could play important roles in low temperature-induced apoptosis in fish. This study may provide baseline information about how cold stress affects the physiological responses and apoptosis in fish.","author":[{"dropping-particle":"","family":"Cheng","given":"Chang Hong","non-dropping-particle":"","parse-names":false,"suffix":""},{"dropping-particle":"","family":"Ye","given":"Chao Xia","non-dropping-particle":"","parse-names":false,"suffix":""},{"dropping-particle":"","family":"Guo","given":"Zhi Xun","non-dropping-particle":"","parse-names":false,"suffix":""},{"dropping-particle":"","family":"Wang","given":"An Li","non-dropping-particle":"","parse-names":false,"suffix":""}],"container-title":"Fish and Shellfish Immunology","id":"ITEM-1","issued":{"date-parts":[["2017"]]},"page":"137-145","title":"Immune and physiological responses of pufferfish (Takifugu obscurus) under cold stress","type":"article-journal","volume":"64"},"uris":["http://www.mendeley.com/documents/?uuid=5de31cba-64da-43a9-8d2a-f328ae741a6b","http://www.mendeley.com/documents/?uuid=098f479e-1f57-4f81-a0b8-27af5e453e1a"]},{"id":"ITEM-2","itemData":{"DOI":"10.1016/j.fsi.2020.10.022","ISSN":"10959947","PMID":"33191203","abstract":"Whereas chronic stress has immunosuppressive effects, the more immediate immunologic consequences of acute stressors are less known. We postulated that, as part of their ‘fight or flight’ response, rainbow trout would rapidly increase the efficacy of their natural immune system by means of increased concentrations of crucial plasma proteins. Plasma samples were taken from resting fish and from fish 5, 10 or 20 min after initiation of a stressful regime. Using crossed immunoelectrophoresis, we documented increases in concentrations of complement C3 and 3 other proteins within 5 min of initiation of stress. The concentration of C3 nearly doubled within 10 min of initiation of stress and had returned to near resting level by 20 min. This rapid kinetics preclude dependence on gene activation, the basis of the acute phase response. Potentiation of natural immunity, which can reasonably be expected to be selectively advantageous during or immediately after acute stressors may be one result of this increase.","author":[{"dropping-particle":"","family":"Demers","given":"Nora","non-dropping-particle":"","parse-names":false,"suffix":""},{"dropping-particle":"","family":"Bayne","given":"Christopher","non-dropping-particle":"","parse-names":false,"suffix":""}],"container-title":"Fish and Shellfish Immunology","id":"ITEM-2","issued":{"date-parts":[["2020"]]},"page":"411-413","publisher":"Elsevier Ltd","title":"Immediate increase of plasma protein complement C3 in response to an acute stressor","type":"article-journal","volume":"107"},"uris":["http://www.mendeley.com/documents/?uuid=246731ee-bf80-4439-9d4c-7deae78e1015","http://www.mendeley.com/documents/?uuid=bd8cc8f2-c254-4003-ac27-739cf673fff3"]}],"mendeley":{"formattedCitation":"(Cheng &lt;i&gt;et al.&lt;/i&gt;, 2017; Demers and Bayne, 2020)","plainTextFormattedCitation":"(Cheng et al., 2017; Demers and Bayne, 2020)","previouslyFormattedCitation":"(Cheng &lt;i&gt;et al.&lt;/i&gt;, 2017; Demers and Bayne, 2020)"},"properties":{"noteIndex":0},"schema":"https://github.com/citation-style-language/schema/raw/master/csl-citation.json"}</w:instrText>
      </w:r>
      <w:r w:rsidR="00EC2AEC" w:rsidRPr="004147E2">
        <w:rPr>
          <w:noProof/>
        </w:rPr>
        <w:fldChar w:fldCharType="separate"/>
      </w:r>
      <w:r w:rsidR="00EC2AEC" w:rsidRPr="004147E2">
        <w:rPr>
          <w:noProof/>
        </w:rPr>
        <w:t xml:space="preserve">(Cheng </w:t>
      </w:r>
      <w:r w:rsidR="00EC2AEC" w:rsidRPr="004147E2">
        <w:rPr>
          <w:i/>
          <w:noProof/>
        </w:rPr>
        <w:t>et al.</w:t>
      </w:r>
      <w:r w:rsidR="00EC2AEC" w:rsidRPr="004147E2">
        <w:rPr>
          <w:noProof/>
        </w:rPr>
        <w:t>, 2017; Demers and Bayne, 2020)</w:t>
      </w:r>
      <w:r w:rsidR="00EC2AEC" w:rsidRPr="004147E2">
        <w:rPr>
          <w:noProof/>
        </w:rPr>
        <w:fldChar w:fldCharType="end"/>
      </w:r>
      <w:r w:rsidRPr="004147E2">
        <w:t xml:space="preserve">. </w:t>
      </w:r>
      <w:r w:rsidR="00CC6E48" w:rsidRPr="004147E2">
        <w:t xml:space="preserve">As </w:t>
      </w:r>
      <w:r w:rsidR="00373BB2" w:rsidRPr="004147E2">
        <w:t>p</w:t>
      </w:r>
      <w:r w:rsidRPr="004147E2">
        <w:t xml:space="preserve">38 MAPK could be responsive to heat stress </w:t>
      </w:r>
      <w:r w:rsidR="00EC2AEC" w:rsidRPr="004147E2">
        <w:rPr>
          <w:noProof/>
        </w:rPr>
        <w:fldChar w:fldCharType="begin" w:fldLock="1"/>
      </w:r>
      <w:r w:rsidR="007602F2">
        <w:rPr>
          <w:noProof/>
        </w:rPr>
        <w:instrText>ADDIN CSL_CITATION {"citationItems":[{"id":"ITEM-1","itemData":{"DOI":"10.1016/S0968-0004(00)01595-4","ISSN":"09680004","PMID":"10838561","author":[{"dropping-particle":"","family":"Nebreda","given":"Angel R.","non-dropping-particle":"","parse-names":false,"suffix":""},{"dropping-particle":"","family":"Porras","given":"Almudena","non-dropping-particle":"","parse-names":false,"suffix":""}],"container-title":"Trends in Biochemical Sciences","id":"ITEM-1","issue":"6","issued":{"date-parts":[["2000"]]},"page":"257-260","title":"p38 MAP kinases: Beyond the stress response","type":"article-journal","volume":"25"},"uris":["http://www.mendeley.com/documents/?uuid=5f7e8825-0cb1-4691-867f-5299a34767d5","http://www.mendeley.com/documents/?uuid=f477565a-509a-45fd-95ef-0476dfd4a0a5"]},{"id":"ITEM-2","itemData":{"DOI":"10.1186/1741-7007-8-47","ISSN":"17417007","PMID":"20515460","abstract":"The mitogen-activated protein kinase p38 (p38 MAPK) is activated by a number of stresses. A recent study in BMC Genomics has uncovered the early transcriptional responses to three types of stress and has demonstrated a central role for p38 MAPK in mediating these responses.© 2010 Whitmarsh; licensee BioMed Central Ltd.","author":[{"dropping-particle":"","family":"Whitmarsh","given":"Alan J.","non-dropping-particle":"","parse-names":false,"suffix":""}],"container-title":"BMC Biology","id":"ITEM-2","issue":"1","issued":{"date-parts":[["2010"]]},"page":"8-10","title":"A central role for p38 MAPK in the early transcriptional response to stress","type":"article-journal","volume":"8"},"uris":["http://www.mendeley.com/documents/?uuid=278a3fb8-cfab-477f-9cec-0bdf36e043f5","http://www.mendeley.com/documents/?uuid=1381f66a-8892-4189-919d-6f14c38cd29e"]}],"mendeley":{"formattedCitation":"(Nebreda and Porras, 2000; Whitmarsh, 2010)","plainTextFormattedCitation":"(Nebreda and Porras, 2000; Whitmarsh, 2010)","previouslyFormattedCitation":"(Nebreda and Porras, 2000; Whitmarsh, 2010)"},"properties":{"noteIndex":0},"schema":"https://github.com/citation-style-language/schema/raw/master/csl-citation.json"}</w:instrText>
      </w:r>
      <w:r w:rsidR="00EC2AEC" w:rsidRPr="004147E2">
        <w:rPr>
          <w:noProof/>
        </w:rPr>
        <w:fldChar w:fldCharType="separate"/>
      </w:r>
      <w:r w:rsidR="00EC2AEC" w:rsidRPr="004147E2">
        <w:rPr>
          <w:noProof/>
        </w:rPr>
        <w:t>(Nebreda and Porras, 2000; Whitmarsh, 2010)</w:t>
      </w:r>
      <w:r w:rsidR="00EC2AEC" w:rsidRPr="004147E2">
        <w:rPr>
          <w:noProof/>
        </w:rPr>
        <w:fldChar w:fldCharType="end"/>
      </w:r>
      <w:r w:rsidR="00EC2AEC" w:rsidRPr="004147E2">
        <w:rPr>
          <w:noProof/>
        </w:rPr>
        <w:t xml:space="preserve">, </w:t>
      </w:r>
      <w:r w:rsidR="00CC6E48" w:rsidRPr="004147E2">
        <w:t>o</w:t>
      </w:r>
      <w:r w:rsidRPr="004147E2">
        <w:t>ur results suggest</w:t>
      </w:r>
      <w:r w:rsidR="00B2647B" w:rsidRPr="004147E2">
        <w:t xml:space="preserve"> the</w:t>
      </w:r>
      <w:r w:rsidRPr="004147E2">
        <w:t xml:space="preserve"> possibility that </w:t>
      </w:r>
      <w:r w:rsidR="00B2647B" w:rsidRPr="004147E2">
        <w:t xml:space="preserve">this </w:t>
      </w:r>
      <w:r w:rsidRPr="004147E2">
        <w:t xml:space="preserve">signalling </w:t>
      </w:r>
      <w:r w:rsidR="00B2647B" w:rsidRPr="004147E2">
        <w:t xml:space="preserve">pathway related to immune response could be playing a role in the response to </w:t>
      </w:r>
      <w:r w:rsidRPr="004147E2">
        <w:t>heat stress via alternative splicing</w:t>
      </w:r>
      <w:r w:rsidR="00902F2F" w:rsidRPr="004147E2">
        <w:t xml:space="preserve"> and changes in expression</w:t>
      </w:r>
      <w:r w:rsidRPr="004147E2">
        <w:t xml:space="preserve">. </w:t>
      </w:r>
    </w:p>
    <w:p w14:paraId="313782D6" w14:textId="09830525" w:rsidR="007F7EF7" w:rsidRPr="004147E2" w:rsidRDefault="004D6F9E" w:rsidP="00AE6E12">
      <w:pPr>
        <w:spacing w:line="480" w:lineRule="auto"/>
        <w:ind w:firstLine="720"/>
        <w:jc w:val="both"/>
        <w:rPr>
          <w:rFonts w:eastAsia="MS Mincho"/>
          <w:lang w:val="en-US" w:eastAsia="ja-JP"/>
        </w:rPr>
      </w:pPr>
      <w:r w:rsidRPr="004147E2">
        <w:lastRenderedPageBreak/>
        <w:t xml:space="preserve">The prolonged heatwave period with </w:t>
      </w:r>
      <w:r w:rsidR="00154C0E" w:rsidRPr="004147E2">
        <w:t>elevated</w:t>
      </w:r>
      <w:r w:rsidRPr="004147E2">
        <w:t xml:space="preserve"> temperature</w:t>
      </w:r>
      <w:r w:rsidR="00154C0E" w:rsidRPr="004147E2">
        <w:t>s over one month</w:t>
      </w:r>
      <w:r w:rsidRPr="004147E2">
        <w:t xml:space="preserve"> </w:t>
      </w:r>
      <w:r w:rsidR="003E54F3" w:rsidRPr="004147E2">
        <w:t xml:space="preserve">only </w:t>
      </w:r>
      <w:r w:rsidRPr="004147E2">
        <w:t>yielded</w:t>
      </w:r>
      <w:r w:rsidR="003E54F3" w:rsidRPr="004147E2">
        <w:rPr>
          <w:rFonts w:eastAsia="MS Mincho"/>
          <w:lang w:val="en-US"/>
        </w:rPr>
        <w:t xml:space="preserve"> </w:t>
      </w:r>
      <w:r w:rsidR="00A57839" w:rsidRPr="004147E2">
        <w:rPr>
          <w:rFonts w:eastAsia="MS Mincho"/>
          <w:lang w:val="en-US"/>
        </w:rPr>
        <w:t xml:space="preserve">11 </w:t>
      </w:r>
      <w:r w:rsidR="003E54F3" w:rsidRPr="004147E2">
        <w:rPr>
          <w:rFonts w:eastAsia="MS Mincho"/>
          <w:lang w:val="en-US"/>
        </w:rPr>
        <w:t>uniquely differentially spliced genes, which is</w:t>
      </w:r>
      <w:r w:rsidRPr="004147E2">
        <w:t xml:space="preserve"> the </w:t>
      </w:r>
      <w:r w:rsidR="003E54F3" w:rsidRPr="004147E2">
        <w:t xml:space="preserve">lowest </w:t>
      </w:r>
      <w:r w:rsidRPr="004147E2">
        <w:t xml:space="preserve">number </w:t>
      </w:r>
      <w:r w:rsidR="003E54F3" w:rsidRPr="004147E2">
        <w:t>among the heatwave period</w:t>
      </w:r>
      <w:r w:rsidR="00BB2697" w:rsidRPr="004147E2">
        <w:t>s</w:t>
      </w:r>
      <w:r w:rsidRPr="004147E2">
        <w:t xml:space="preserve">. </w:t>
      </w:r>
      <w:r w:rsidR="00B2647B" w:rsidRPr="004147E2">
        <w:rPr>
          <w:rFonts w:eastAsia="MS Mincho"/>
          <w:lang w:val="en-US"/>
        </w:rPr>
        <w:t>G</w:t>
      </w:r>
      <w:r w:rsidR="00FF1CF0" w:rsidRPr="004147E2">
        <w:rPr>
          <w:rFonts w:eastAsia="MS Mincho"/>
          <w:lang w:val="en-US"/>
        </w:rPr>
        <w:t>enes</w:t>
      </w:r>
      <w:r w:rsidR="00B2647B" w:rsidRPr="004147E2">
        <w:rPr>
          <w:rFonts w:eastAsia="MS Mincho"/>
          <w:lang w:val="en-US"/>
        </w:rPr>
        <w:t xml:space="preserve"> that were</w:t>
      </w:r>
      <w:r w:rsidR="00FF1CF0" w:rsidRPr="004147E2">
        <w:rPr>
          <w:rFonts w:eastAsia="MS Mincho"/>
          <w:lang w:val="en-US"/>
        </w:rPr>
        <w:t xml:space="preserve"> uniquely differential</w:t>
      </w:r>
      <w:r w:rsidR="00154C0E" w:rsidRPr="004147E2">
        <w:rPr>
          <w:rFonts w:eastAsia="MS Mincho"/>
          <w:lang w:val="en-US"/>
        </w:rPr>
        <w:t>ly</w:t>
      </w:r>
      <w:r w:rsidR="00FF1CF0" w:rsidRPr="004147E2">
        <w:rPr>
          <w:rFonts w:eastAsia="MS Mincho"/>
          <w:lang w:val="en-US"/>
        </w:rPr>
        <w:t xml:space="preserve"> spliced in </w:t>
      </w:r>
      <w:r w:rsidR="00154C0E" w:rsidRPr="004147E2">
        <w:rPr>
          <w:rFonts w:eastAsia="MS Mincho"/>
          <w:lang w:val="en-US"/>
        </w:rPr>
        <w:t xml:space="preserve">the </w:t>
      </w:r>
      <w:r w:rsidR="00FF1CF0" w:rsidRPr="004147E2">
        <w:rPr>
          <w:rFonts w:eastAsia="MS Mincho"/>
          <w:lang w:val="en-US"/>
        </w:rPr>
        <w:t xml:space="preserve">prolonged period </w:t>
      </w:r>
      <w:r w:rsidR="00F76FC2">
        <w:rPr>
          <w:rFonts w:eastAsia="MS Mincho"/>
          <w:lang w:val="en-US"/>
        </w:rPr>
        <w:t>were</w:t>
      </w:r>
      <w:r w:rsidR="00F76FC2" w:rsidRPr="004147E2">
        <w:rPr>
          <w:rFonts w:eastAsia="MS Mincho"/>
          <w:lang w:val="en-US"/>
        </w:rPr>
        <w:t xml:space="preserve"> </w:t>
      </w:r>
      <w:r w:rsidR="00F76FC2">
        <w:rPr>
          <w:rFonts w:eastAsia="MS Mincho"/>
          <w:lang w:val="en-US"/>
        </w:rPr>
        <w:t>associated with</w:t>
      </w:r>
      <w:r w:rsidR="00FF1CF0" w:rsidRPr="004147E2">
        <w:rPr>
          <w:rFonts w:eastAsia="MS Mincho"/>
          <w:lang w:val="en-US"/>
        </w:rPr>
        <w:t xml:space="preserve"> metabolism</w:t>
      </w:r>
      <w:r w:rsidR="002C656C">
        <w:rPr>
          <w:rFonts w:eastAsia="MS Mincho"/>
          <w:lang w:val="en-US"/>
        </w:rPr>
        <w:t>.</w:t>
      </w:r>
      <w:r w:rsidR="0091695B" w:rsidRPr="004147E2">
        <w:rPr>
          <w:rFonts w:eastAsia="MS Mincho"/>
          <w:lang w:val="en-US"/>
        </w:rPr>
        <w:t xml:space="preserve"> </w:t>
      </w:r>
      <w:r w:rsidR="002C656C">
        <w:rPr>
          <w:rFonts w:eastAsia="MS Mincho"/>
          <w:lang w:val="en-US"/>
        </w:rPr>
        <w:t>I</w:t>
      </w:r>
      <w:r w:rsidR="0091695B" w:rsidRPr="004147E2">
        <w:rPr>
          <w:rFonts w:eastAsia="MS Mincho"/>
          <w:lang w:val="en-US"/>
        </w:rPr>
        <w:t xml:space="preserve">t is possible </w:t>
      </w:r>
      <w:r w:rsidR="009849E7">
        <w:rPr>
          <w:rFonts w:eastAsia="MS Mincho"/>
          <w:lang w:val="en-US"/>
        </w:rPr>
        <w:t xml:space="preserve">that </w:t>
      </w:r>
      <w:r w:rsidR="0091695B" w:rsidRPr="004147E2">
        <w:rPr>
          <w:rFonts w:eastAsia="MS Mincho"/>
          <w:lang w:val="en-US"/>
        </w:rPr>
        <w:t>t</w:t>
      </w:r>
      <w:r w:rsidR="00E709DE" w:rsidRPr="004147E2">
        <w:rPr>
          <w:rFonts w:eastAsia="MS Mincho"/>
          <w:lang w:val="en-US"/>
        </w:rPr>
        <w:t xml:space="preserve">hese metabolic changes </w:t>
      </w:r>
      <w:r w:rsidR="00B146FA" w:rsidRPr="004147E2">
        <w:rPr>
          <w:rFonts w:eastAsia="MS Mincho"/>
          <w:lang w:val="en-US"/>
        </w:rPr>
        <w:t>to prolonged warming may</w:t>
      </w:r>
      <w:r w:rsidR="00586CB0" w:rsidRPr="004147E2">
        <w:rPr>
          <w:rFonts w:eastAsia="MS Mincho"/>
          <w:lang w:val="en-US"/>
        </w:rPr>
        <w:t xml:space="preserve"> help </w:t>
      </w:r>
      <w:r w:rsidR="007F059F" w:rsidRPr="004147E2">
        <w:rPr>
          <w:rFonts w:eastAsia="MS Mincho"/>
          <w:lang w:val="en-US" w:eastAsia="ja-JP"/>
        </w:rPr>
        <w:t>sustain</w:t>
      </w:r>
      <w:r w:rsidR="00CC5B5F" w:rsidRPr="004147E2">
        <w:rPr>
          <w:rFonts w:eastAsia="MS Mincho"/>
          <w:lang w:val="en-US" w:eastAsia="ja-JP"/>
        </w:rPr>
        <w:t xml:space="preserve"> the</w:t>
      </w:r>
      <w:r w:rsidR="007F059F" w:rsidRPr="004147E2">
        <w:rPr>
          <w:rFonts w:eastAsia="MS Mincho"/>
          <w:lang w:val="en-US" w:eastAsia="ja-JP"/>
        </w:rPr>
        <w:t xml:space="preserve"> </w:t>
      </w:r>
      <w:r w:rsidR="00225FB2">
        <w:rPr>
          <w:rFonts w:eastAsia="MS Mincho"/>
          <w:lang w:val="en-US" w:eastAsia="ja-JP"/>
        </w:rPr>
        <w:t xml:space="preserve">metabolic compensation </w:t>
      </w:r>
      <w:r w:rsidR="009A7A1E">
        <w:rPr>
          <w:rFonts w:eastAsia="MS Mincho"/>
          <w:lang w:val="en-US" w:eastAsia="ja-JP"/>
        </w:rPr>
        <w:t>resulted from</w:t>
      </w:r>
      <w:r w:rsidR="007B2278">
        <w:rPr>
          <w:rFonts w:eastAsia="MS Mincho"/>
          <w:lang w:val="en-US" w:eastAsia="ja-JP"/>
        </w:rPr>
        <w:t xml:space="preserve"> an</w:t>
      </w:r>
      <w:r w:rsidR="00F76FC2">
        <w:rPr>
          <w:rFonts w:eastAsia="MS Mincho"/>
          <w:lang w:val="en-US" w:eastAsia="ja-JP"/>
        </w:rPr>
        <w:t xml:space="preserve"> </w:t>
      </w:r>
      <w:r w:rsidR="00AE6E12">
        <w:rPr>
          <w:rFonts w:eastAsia="MS Mincho"/>
          <w:lang w:val="en-US" w:eastAsia="ja-JP"/>
        </w:rPr>
        <w:t>acute response of the onset period</w:t>
      </w:r>
      <w:r w:rsidR="00CC5B5F" w:rsidRPr="004147E2">
        <w:rPr>
          <w:rFonts w:eastAsia="MS Mincho"/>
          <w:lang w:val="en-US" w:eastAsia="ja-JP"/>
        </w:rPr>
        <w:t xml:space="preserve">. </w:t>
      </w:r>
      <w:r w:rsidR="0091695B" w:rsidRPr="004147E2">
        <w:rPr>
          <w:rFonts w:eastAsia="MS Mincho"/>
          <w:lang w:val="en-US" w:eastAsia="ja-JP"/>
        </w:rPr>
        <w:t>However</w:t>
      </w:r>
      <w:r w:rsidR="00F76FC2">
        <w:rPr>
          <w:rFonts w:eastAsia="MS Mincho"/>
          <w:lang w:val="en-US" w:eastAsia="ja-JP"/>
        </w:rPr>
        <w:t>,</w:t>
      </w:r>
      <w:r w:rsidR="0091695B" w:rsidRPr="004147E2">
        <w:rPr>
          <w:rFonts w:eastAsia="MS Mincho"/>
          <w:lang w:val="en-US" w:eastAsia="ja-JP"/>
        </w:rPr>
        <w:t xml:space="preserve"> there are few DS genes and </w:t>
      </w:r>
      <w:r w:rsidR="0091695B" w:rsidRPr="004147E2">
        <w:rPr>
          <w:rFonts w:eastAsia="MS Mincho"/>
          <w:lang w:val="en-US"/>
        </w:rPr>
        <w:t>i</w:t>
      </w:r>
      <w:r w:rsidR="007F7EF7" w:rsidRPr="004147E2">
        <w:rPr>
          <w:rFonts w:eastAsia="MS Mincho"/>
          <w:lang w:val="en-US"/>
        </w:rPr>
        <w:t xml:space="preserve">n </w:t>
      </w:r>
      <w:r w:rsidR="00213197" w:rsidRPr="004147E2">
        <w:rPr>
          <w:rFonts w:eastAsia="MS Mincho"/>
          <w:lang w:val="en-US"/>
        </w:rPr>
        <w:t>contrast</w:t>
      </w:r>
      <w:r w:rsidR="007F7EF7" w:rsidRPr="004147E2">
        <w:rPr>
          <w:rFonts w:eastAsia="MS Mincho"/>
          <w:lang w:val="en-US"/>
        </w:rPr>
        <w:t>, o</w:t>
      </w:r>
      <w:r w:rsidR="0060160E" w:rsidRPr="004147E2">
        <w:rPr>
          <w:rFonts w:eastAsia="MS Mincho"/>
          <w:lang w:val="en-US"/>
        </w:rPr>
        <w:t>ver 4,000</w:t>
      </w:r>
      <w:r w:rsidR="00FF1CF0" w:rsidRPr="004147E2">
        <w:rPr>
          <w:rFonts w:eastAsia="MS Mincho"/>
          <w:lang w:val="en-US"/>
        </w:rPr>
        <w:t xml:space="preserve"> genes</w:t>
      </w:r>
      <w:r w:rsidR="002422A2" w:rsidRPr="004147E2">
        <w:rPr>
          <w:rFonts w:eastAsia="MS Mincho"/>
          <w:lang w:val="en-US"/>
        </w:rPr>
        <w:t xml:space="preserve"> were </w:t>
      </w:r>
      <w:r w:rsidR="00E946B7" w:rsidRPr="004147E2">
        <w:rPr>
          <w:rFonts w:eastAsia="MS Mincho"/>
          <w:lang w:val="en-US"/>
        </w:rPr>
        <w:t xml:space="preserve">differentially expressed </w:t>
      </w:r>
      <w:r w:rsidR="00FF1CF0" w:rsidRPr="004147E2">
        <w:rPr>
          <w:rFonts w:eastAsia="MS Mincho"/>
          <w:lang w:val="en-US"/>
        </w:rPr>
        <w:t xml:space="preserve">in the prolonged period </w:t>
      </w:r>
      <w:r w:rsidR="00B2647B" w:rsidRPr="004147E2">
        <w:rPr>
          <w:rFonts w:eastAsia="MS Mincho"/>
          <w:lang w:val="en-US"/>
        </w:rPr>
        <w:t>(February vs. Marc</w:t>
      </w:r>
      <w:r w:rsidR="001A22EB" w:rsidRPr="004147E2">
        <w:rPr>
          <w:rFonts w:eastAsia="MS Mincho"/>
          <w:lang w:val="en-US"/>
        </w:rPr>
        <w:t>h</w:t>
      </w:r>
      <w:r w:rsidR="00B2647B" w:rsidRPr="004147E2">
        <w:rPr>
          <w:rFonts w:eastAsia="MS Mincho"/>
          <w:lang w:val="en-US"/>
        </w:rPr>
        <w:t xml:space="preserve">), </w:t>
      </w:r>
      <w:r w:rsidR="000E28A2" w:rsidRPr="004147E2">
        <w:rPr>
          <w:rFonts w:eastAsia="MS Mincho"/>
          <w:lang w:val="en-US"/>
        </w:rPr>
        <w:t>including genes associated with</w:t>
      </w:r>
      <w:r w:rsidR="00FF1CF0" w:rsidRPr="004147E2">
        <w:rPr>
          <w:rFonts w:eastAsia="MS Mincho"/>
          <w:lang w:val="en-US"/>
        </w:rPr>
        <w:t xml:space="preserve"> fatty acid biosynthesis, metabolic process, RNA processing, and respiration</w:t>
      </w:r>
      <w:r w:rsidR="00075317" w:rsidRPr="004147E2">
        <w:rPr>
          <w:rFonts w:eastAsia="MS Mincho"/>
          <w:lang w:val="en-US"/>
        </w:rPr>
        <w:t>-</w:t>
      </w:r>
      <w:r w:rsidR="00FF1CF0" w:rsidRPr="004147E2">
        <w:rPr>
          <w:rFonts w:eastAsia="MS Mincho"/>
          <w:lang w:val="en-US"/>
        </w:rPr>
        <w:t>related mechanism</w:t>
      </w:r>
      <w:r w:rsidR="00AD7094" w:rsidRPr="004147E2">
        <w:rPr>
          <w:rFonts w:eastAsia="MS Mincho"/>
          <w:lang w:val="en-US"/>
        </w:rPr>
        <w:t xml:space="preserve"> </w:t>
      </w:r>
      <w:r w:rsidR="00EC2AEC" w:rsidRPr="004147E2">
        <w:rPr>
          <w:rFonts w:eastAsia="MS Mincho"/>
          <w:lang w:val="en-US"/>
        </w:rPr>
        <w:fldChar w:fldCharType="begin" w:fldLock="1"/>
      </w:r>
      <w:r w:rsidR="00653EE9">
        <w:rPr>
          <w:rFonts w:eastAsia="MS Mincho"/>
          <w:lang w:val="en-US"/>
        </w:rPr>
        <w:instrText>ADDIN CSL_CITATION {"citationItems":[{"id":"ITEM-1","itemData":{"DOI":"10.1126/sciadv.aay3423","ISSN":"23752548","PMID":"32206711","abstract":"The marine heatwave of 2016 was one of longest and hottest thermal anomalies recorded on the Great Barrier Reef, influencing multiple species of marine ectotherms, including coral reef fishes. There is a gap in our understanding of what the physiological consequences of heatwaves in wild fish populations are. Thus, in this study, we used liver transcriptomes to understand the molecular response of five species to the 2016 heatwave conditions. Gene expression was species specific, yet we detected overlap in functional responses associated with thermal stress previously reported in experimental setups. The molecular response was also influenced by the duration of exposure to elevated temperatures. This study highlights the importance of considering the effects of extreme warming events when evaluating the consequences of climate change on fish communities.","author":[{"dropping-particle":"","family":"Bernal","given":"Moisés A.","non-dropping-particle":"","parse-names":false,"suffix":""},{"dropping-particle":"","family":"Schunter","given":"Celia","non-dropping-particle":"","parse-names":false,"suffix":""},{"dropping-particle":"","family":"Lehmann","given":"Robert","non-dropping-particle":"","parse-names":false,"suffix":""},{"dropping-particle":"","family":"Lightfoot","given":"Damien J.","non-dropping-particle":"","parse-names":false,"suffix":""},{"dropping-particle":"","family":"Allan","given":"Bridie J.M.","non-dropping-particle":"","parse-names":false,"suffix":""},{"dropping-particle":"","family":"Veilleux","given":"Heather D.","non-dropping-particle":"","parse-names":false,"suffix":""},{"dropping-particle":"","family":"Rummer","given":"Jodie L.","non-dropping-particle":"","parse-names":false,"suffix":""},{"dropping-particle":"","family":"Munday","given":"Philip L.","non-dropping-particle":"","parse-names":false,"suffix":""},{"dropping-particle":"","family":"Ravasi","given":"Timothy","non-dropping-particle":"","parse-names":false,"suffix":""}],"container-title":"Science Advances","id":"ITEM-1","issue":"12","issued":{"date-parts":[["2020"]]},"page":"eaay3423","title":"Species-specific molecular responses of wild coral reef fishes during a marine heatwave","type":"article-journal","volume":"6"},"uris":["http://www.mendeley.com/documents/?uuid=39bd0d92-bc59-4ccc-9944-1cf861d2cc0e"]}],"mendeley":{"formattedCitation":"(Bernal &lt;i&gt;et al.&lt;/i&gt;, 2020)","plainTextFormattedCitation":"(Bernal et al., 2020)","previouslyFormattedCitation":"(Bernal &lt;i&gt;et al.&lt;/i&gt;, 2020)"},"properties":{"noteIndex":0},"schema":"https://github.com/citation-style-language/schema/raw/master/csl-citation.json"}</w:instrText>
      </w:r>
      <w:r w:rsidR="00EC2AEC" w:rsidRPr="004147E2">
        <w:rPr>
          <w:rFonts w:eastAsia="MS Mincho"/>
          <w:lang w:val="en-US"/>
        </w:rPr>
        <w:fldChar w:fldCharType="separate"/>
      </w:r>
      <w:r w:rsidR="00EC2AEC" w:rsidRPr="004147E2">
        <w:rPr>
          <w:rFonts w:eastAsia="MS Mincho"/>
          <w:noProof/>
          <w:lang w:val="en-US"/>
        </w:rPr>
        <w:t xml:space="preserve">(Bernal </w:t>
      </w:r>
      <w:r w:rsidR="00EC2AEC" w:rsidRPr="004147E2">
        <w:rPr>
          <w:rFonts w:eastAsia="MS Mincho"/>
          <w:i/>
          <w:noProof/>
          <w:lang w:val="en-US"/>
        </w:rPr>
        <w:t>et al.</w:t>
      </w:r>
      <w:r w:rsidR="00EC2AEC" w:rsidRPr="004147E2">
        <w:rPr>
          <w:rFonts w:eastAsia="MS Mincho"/>
          <w:noProof/>
          <w:lang w:val="en-US"/>
        </w:rPr>
        <w:t>, 2020)</w:t>
      </w:r>
      <w:r w:rsidR="00EC2AEC" w:rsidRPr="004147E2">
        <w:rPr>
          <w:rFonts w:eastAsia="MS Mincho"/>
          <w:lang w:val="en-US"/>
        </w:rPr>
        <w:fldChar w:fldCharType="end"/>
      </w:r>
      <w:r w:rsidR="00EC2AEC" w:rsidRPr="004147E2">
        <w:rPr>
          <w:rFonts w:eastAsia="MS Mincho"/>
          <w:lang w:val="en-US"/>
        </w:rPr>
        <w:t>.</w:t>
      </w:r>
      <w:r w:rsidR="00B2647B" w:rsidRPr="004147E2">
        <w:rPr>
          <w:rFonts w:eastAsia="MS Mincho"/>
          <w:lang w:val="en-US"/>
        </w:rPr>
        <w:t xml:space="preserve"> </w:t>
      </w:r>
      <w:r w:rsidR="00EE3A63" w:rsidRPr="004147E2">
        <w:rPr>
          <w:rFonts w:eastAsia="MS Mincho"/>
          <w:lang w:val="en-US"/>
        </w:rPr>
        <w:t xml:space="preserve">This observation </w:t>
      </w:r>
      <w:r w:rsidR="001C516B" w:rsidRPr="004147E2">
        <w:rPr>
          <w:rFonts w:eastAsia="MS Mincho"/>
          <w:lang w:val="en-US"/>
        </w:rPr>
        <w:t>indicates</w:t>
      </w:r>
      <w:r w:rsidR="002B3799" w:rsidRPr="004147E2">
        <w:rPr>
          <w:rFonts w:eastAsia="MS Mincho"/>
          <w:lang w:val="en-US"/>
        </w:rPr>
        <w:t xml:space="preserve"> that </w:t>
      </w:r>
      <w:r w:rsidR="006B0DB8" w:rsidRPr="004147E2">
        <w:rPr>
          <w:rFonts w:eastAsia="MS Mincho"/>
          <w:lang w:val="en-US"/>
        </w:rPr>
        <w:t>alteration</w:t>
      </w:r>
      <w:r w:rsidR="00DF0ABE" w:rsidRPr="004147E2">
        <w:rPr>
          <w:rFonts w:eastAsia="MS Mincho"/>
          <w:lang w:val="en-US"/>
        </w:rPr>
        <w:t>s</w:t>
      </w:r>
      <w:r w:rsidR="006B0DB8" w:rsidRPr="004147E2">
        <w:rPr>
          <w:rFonts w:eastAsia="MS Mincho"/>
          <w:lang w:val="en-US"/>
        </w:rPr>
        <w:t xml:space="preserve"> </w:t>
      </w:r>
      <w:r w:rsidR="002B3799" w:rsidRPr="004147E2">
        <w:rPr>
          <w:rFonts w:eastAsia="MS Mincho"/>
          <w:lang w:val="en-US"/>
        </w:rPr>
        <w:t xml:space="preserve">in splicing </w:t>
      </w:r>
      <w:r w:rsidR="006B0DB8" w:rsidRPr="004147E2">
        <w:rPr>
          <w:rFonts w:eastAsia="MS Mincho"/>
          <w:lang w:val="en-US"/>
        </w:rPr>
        <w:t xml:space="preserve">are </w:t>
      </w:r>
      <w:r w:rsidR="0085728A" w:rsidRPr="004147E2">
        <w:rPr>
          <w:rFonts w:eastAsia="MS Mincho"/>
          <w:lang w:val="en-US"/>
        </w:rPr>
        <w:t xml:space="preserve">more </w:t>
      </w:r>
      <w:r w:rsidR="006B0DB8" w:rsidRPr="004147E2">
        <w:rPr>
          <w:rFonts w:eastAsia="MS Mincho"/>
          <w:lang w:val="en-US"/>
        </w:rPr>
        <w:t xml:space="preserve">relevant </w:t>
      </w:r>
      <w:r w:rsidR="00D51CFC" w:rsidRPr="004147E2">
        <w:rPr>
          <w:rFonts w:eastAsia="MS Mincho"/>
          <w:lang w:val="en-US"/>
        </w:rPr>
        <w:t xml:space="preserve">to </w:t>
      </w:r>
      <w:r w:rsidR="006B0DB8" w:rsidRPr="004147E2">
        <w:rPr>
          <w:rFonts w:eastAsia="MS Mincho"/>
          <w:lang w:val="en-US"/>
        </w:rPr>
        <w:t>a</w:t>
      </w:r>
      <w:r w:rsidR="002B3799" w:rsidRPr="004147E2">
        <w:rPr>
          <w:rFonts w:eastAsia="MS Mincho"/>
          <w:lang w:val="en-US"/>
        </w:rPr>
        <w:t xml:space="preserve"> </w:t>
      </w:r>
      <w:r w:rsidR="00863A4A" w:rsidRPr="004147E2">
        <w:rPr>
          <w:rFonts w:eastAsia="MS Mincho"/>
          <w:lang w:val="en-US"/>
        </w:rPr>
        <w:t xml:space="preserve">large </w:t>
      </w:r>
      <w:r w:rsidR="006B0DB8" w:rsidRPr="004147E2">
        <w:rPr>
          <w:rFonts w:eastAsia="MS Mincho"/>
          <w:lang w:val="en-US"/>
        </w:rPr>
        <w:t xml:space="preserve">change </w:t>
      </w:r>
      <w:r w:rsidR="002B3799" w:rsidRPr="004147E2">
        <w:rPr>
          <w:rFonts w:eastAsia="MS Mincho"/>
          <w:lang w:val="en-US"/>
        </w:rPr>
        <w:t>in temperature</w:t>
      </w:r>
      <w:r w:rsidR="00F76FC2">
        <w:rPr>
          <w:rFonts w:eastAsia="MS Mincho"/>
          <w:lang w:val="en-US"/>
        </w:rPr>
        <w:t xml:space="preserve"> in short time scales (days to weeks),</w:t>
      </w:r>
      <w:r w:rsidR="002B3799" w:rsidRPr="004147E2">
        <w:rPr>
          <w:rFonts w:eastAsia="MS Mincho"/>
          <w:lang w:val="en-US"/>
        </w:rPr>
        <w:t xml:space="preserve"> rather than the </w:t>
      </w:r>
      <w:r w:rsidR="00F76FC2">
        <w:rPr>
          <w:rFonts w:eastAsia="MS Mincho"/>
          <w:lang w:val="en-US"/>
        </w:rPr>
        <w:t xml:space="preserve">extended </w:t>
      </w:r>
      <w:r w:rsidR="001A22EB" w:rsidRPr="004147E2">
        <w:rPr>
          <w:rFonts w:eastAsia="MS Mincho"/>
          <w:lang w:val="en-US"/>
        </w:rPr>
        <w:t xml:space="preserve">duration </w:t>
      </w:r>
      <w:r w:rsidR="002B3799" w:rsidRPr="004147E2">
        <w:rPr>
          <w:rFonts w:eastAsia="MS Mincho"/>
          <w:lang w:val="en-US"/>
        </w:rPr>
        <w:t>of the warm</w:t>
      </w:r>
      <w:r w:rsidR="001A22EB" w:rsidRPr="004147E2">
        <w:rPr>
          <w:rFonts w:eastAsia="MS Mincho"/>
          <w:lang w:val="en-US"/>
        </w:rPr>
        <w:t>ing</w:t>
      </w:r>
      <w:r w:rsidR="002B3799" w:rsidRPr="004147E2">
        <w:rPr>
          <w:rFonts w:eastAsia="MS Mincho"/>
          <w:lang w:val="en-US"/>
        </w:rPr>
        <w:t xml:space="preserve"> conditions</w:t>
      </w:r>
      <w:r w:rsidR="00F76FC2">
        <w:rPr>
          <w:rFonts w:eastAsia="MS Mincho"/>
          <w:lang w:val="en-US"/>
        </w:rPr>
        <w:t xml:space="preserve">. Meanwhile, </w:t>
      </w:r>
      <w:r w:rsidR="00B2647B" w:rsidRPr="004147E2">
        <w:rPr>
          <w:rFonts w:eastAsia="MS Mincho"/>
          <w:lang w:val="en-US"/>
        </w:rPr>
        <w:t xml:space="preserve">changes in gene expression are </w:t>
      </w:r>
      <w:r w:rsidR="00E53D1F" w:rsidRPr="004147E2">
        <w:rPr>
          <w:rFonts w:eastAsia="MS Mincho"/>
          <w:lang w:val="en-US"/>
        </w:rPr>
        <w:t xml:space="preserve">much more influential </w:t>
      </w:r>
      <w:r w:rsidR="00B2647B" w:rsidRPr="004147E2">
        <w:rPr>
          <w:rFonts w:eastAsia="MS Mincho"/>
          <w:lang w:val="en-US"/>
        </w:rPr>
        <w:t>when elevated temperature conditions are maintained over</w:t>
      </w:r>
      <w:r w:rsidR="00F76FC2">
        <w:rPr>
          <w:rFonts w:eastAsia="MS Mincho"/>
          <w:lang w:val="en-US"/>
        </w:rPr>
        <w:t xml:space="preserve"> longer periods of</w:t>
      </w:r>
      <w:r w:rsidR="00B2647B" w:rsidRPr="004147E2">
        <w:rPr>
          <w:rFonts w:eastAsia="MS Mincho"/>
          <w:lang w:val="en-US"/>
        </w:rPr>
        <w:t xml:space="preserve"> time</w:t>
      </w:r>
      <w:r w:rsidR="00F76FC2">
        <w:rPr>
          <w:rFonts w:eastAsia="MS Mincho"/>
          <w:lang w:val="en-US"/>
        </w:rPr>
        <w:t xml:space="preserve"> (weeks to months)</w:t>
      </w:r>
      <w:r w:rsidR="00FE6AA8" w:rsidRPr="004147E2">
        <w:rPr>
          <w:rFonts w:eastAsia="MS Mincho"/>
          <w:lang w:val="en-US"/>
        </w:rPr>
        <w:t>.</w:t>
      </w:r>
      <w:r w:rsidR="0036266B" w:rsidRPr="004147E2">
        <w:rPr>
          <w:rFonts w:eastAsia="MS Mincho"/>
          <w:lang w:val="en-US"/>
        </w:rPr>
        <w:t xml:space="preserve"> These results also </w:t>
      </w:r>
      <w:r w:rsidR="00322565" w:rsidRPr="004147E2">
        <w:rPr>
          <w:rFonts w:eastAsia="MS Mincho"/>
          <w:lang w:val="en-US"/>
        </w:rPr>
        <w:t>reveal</w:t>
      </w:r>
      <w:r w:rsidR="0036266B" w:rsidRPr="004147E2">
        <w:rPr>
          <w:rFonts w:eastAsia="MS Mincho"/>
          <w:lang w:val="en-US"/>
        </w:rPr>
        <w:t xml:space="preserve"> that more studies are needed to understand which conditions trigger compensation via alternative splicing, and which ones promote differential gene expression</w:t>
      </w:r>
      <w:r w:rsidR="00F76FC2">
        <w:rPr>
          <w:rFonts w:eastAsia="MS Mincho"/>
          <w:lang w:val="en-US"/>
        </w:rPr>
        <w:t xml:space="preserve"> in marine ectotherms</w:t>
      </w:r>
      <w:r w:rsidR="0036266B" w:rsidRPr="004147E2">
        <w:rPr>
          <w:rFonts w:eastAsia="MS Mincho"/>
          <w:lang w:val="en-US"/>
        </w:rPr>
        <w:t xml:space="preserve">. </w:t>
      </w:r>
    </w:p>
    <w:p w14:paraId="7CC67228" w14:textId="4449EB56" w:rsidR="008C2680" w:rsidRPr="004147E2" w:rsidRDefault="00DE2306" w:rsidP="00977A70">
      <w:pPr>
        <w:spacing w:line="480" w:lineRule="auto"/>
        <w:ind w:firstLine="720"/>
        <w:jc w:val="both"/>
        <w:rPr>
          <w:lang w:val="en-US"/>
        </w:rPr>
      </w:pPr>
      <w:r w:rsidRPr="004147E2">
        <w:rPr>
          <w:lang w:val="en-US"/>
        </w:rPr>
        <w:t xml:space="preserve">For the </w:t>
      </w:r>
      <w:r w:rsidR="00D4455E">
        <w:rPr>
          <w:lang w:val="en-US"/>
        </w:rPr>
        <w:t>decline per</w:t>
      </w:r>
      <w:r w:rsidRPr="004147E2">
        <w:rPr>
          <w:lang w:val="en-US"/>
        </w:rPr>
        <w:t>iod</w:t>
      </w:r>
      <w:r w:rsidR="00792590" w:rsidRPr="004147E2">
        <w:rPr>
          <w:lang w:val="en-US"/>
        </w:rPr>
        <w:t xml:space="preserve"> </w:t>
      </w:r>
      <w:r w:rsidRPr="004147E2">
        <w:rPr>
          <w:lang w:val="en-US"/>
        </w:rPr>
        <w:t xml:space="preserve">of the heatwave </w:t>
      </w:r>
      <w:r w:rsidR="00792590" w:rsidRPr="004147E2">
        <w:rPr>
          <w:lang w:val="en-US"/>
        </w:rPr>
        <w:t xml:space="preserve">a moderate number </w:t>
      </w:r>
      <w:r w:rsidRPr="004147E2">
        <w:rPr>
          <w:lang w:val="en-US"/>
        </w:rPr>
        <w:t xml:space="preserve">(26) </w:t>
      </w:r>
      <w:r w:rsidR="00792590" w:rsidRPr="004147E2">
        <w:rPr>
          <w:lang w:val="en-US"/>
        </w:rPr>
        <w:t xml:space="preserve">of DS genes </w:t>
      </w:r>
      <w:r w:rsidRPr="004147E2">
        <w:rPr>
          <w:lang w:val="en-US"/>
        </w:rPr>
        <w:t>were found, which</w:t>
      </w:r>
      <w:r w:rsidR="00792590" w:rsidRPr="004147E2">
        <w:rPr>
          <w:lang w:val="en-US"/>
        </w:rPr>
        <w:t xml:space="preserve"> </w:t>
      </w:r>
      <w:r w:rsidRPr="004147E2">
        <w:rPr>
          <w:lang w:val="en-US"/>
        </w:rPr>
        <w:t>can be seen as</w:t>
      </w:r>
      <w:r w:rsidR="00792590" w:rsidRPr="004147E2">
        <w:rPr>
          <w:lang w:val="en-US"/>
        </w:rPr>
        <w:t xml:space="preserve"> a </w:t>
      </w:r>
      <w:r w:rsidR="00B2647B" w:rsidRPr="004147E2">
        <w:rPr>
          <w:lang w:val="en-US"/>
        </w:rPr>
        <w:t>“</w:t>
      </w:r>
      <w:r w:rsidR="00792590" w:rsidRPr="004147E2">
        <w:rPr>
          <w:lang w:val="en-US"/>
        </w:rPr>
        <w:t>recovery</w:t>
      </w:r>
      <w:r w:rsidR="00B2647B" w:rsidRPr="004147E2">
        <w:rPr>
          <w:lang w:val="en-US"/>
        </w:rPr>
        <w:t>”</w:t>
      </w:r>
      <w:r w:rsidR="00792590" w:rsidRPr="004147E2">
        <w:rPr>
          <w:lang w:val="en-US"/>
        </w:rPr>
        <w:t xml:space="preserve"> period </w:t>
      </w:r>
      <w:r w:rsidR="00B2647B" w:rsidRPr="004147E2">
        <w:rPr>
          <w:lang w:val="en-US"/>
        </w:rPr>
        <w:t xml:space="preserve">where fish transitioned from </w:t>
      </w:r>
      <w:r w:rsidR="00305B81" w:rsidRPr="004147E2">
        <w:rPr>
          <w:lang w:val="en-US"/>
        </w:rPr>
        <w:t>summer</w:t>
      </w:r>
      <w:r w:rsidR="00B2647B" w:rsidRPr="004147E2">
        <w:rPr>
          <w:lang w:val="en-US"/>
        </w:rPr>
        <w:t xml:space="preserve"> heatwave temperatures</w:t>
      </w:r>
      <w:r w:rsidR="00305B81" w:rsidRPr="004147E2">
        <w:rPr>
          <w:lang w:val="en-US"/>
        </w:rPr>
        <w:t xml:space="preserve"> to winter</w:t>
      </w:r>
      <w:r w:rsidR="00B2647B" w:rsidRPr="004147E2">
        <w:rPr>
          <w:lang w:val="en-US"/>
        </w:rPr>
        <w:t xml:space="preserve"> </w:t>
      </w:r>
      <w:r w:rsidR="00231459" w:rsidRPr="004147E2">
        <w:rPr>
          <w:lang w:val="en-US"/>
        </w:rPr>
        <w:t xml:space="preserve">with </w:t>
      </w:r>
      <w:r w:rsidR="00B2647B" w:rsidRPr="004147E2">
        <w:rPr>
          <w:lang w:val="en-US"/>
        </w:rPr>
        <w:t xml:space="preserve">a decrease of </w:t>
      </w:r>
      <w:r w:rsidR="00231459" w:rsidRPr="004147E2">
        <w:rPr>
          <w:lang w:val="en-US"/>
        </w:rPr>
        <w:t>4.7</w:t>
      </w:r>
      <w:r w:rsidR="006F0CFE" w:rsidRPr="004147E2">
        <w:rPr>
          <w:lang w:val="en-US"/>
        </w:rPr>
        <w:t>°C</w:t>
      </w:r>
      <w:r w:rsidR="00792590" w:rsidRPr="004147E2">
        <w:rPr>
          <w:lang w:val="en-US"/>
        </w:rPr>
        <w:t xml:space="preserve">. </w:t>
      </w:r>
      <w:r w:rsidR="0060556D" w:rsidRPr="004147E2">
        <w:rPr>
          <w:lang w:val="en-US"/>
        </w:rPr>
        <w:t>W</w:t>
      </w:r>
      <w:r w:rsidR="00977A70" w:rsidRPr="004147E2">
        <w:rPr>
          <w:lang w:val="en-US"/>
        </w:rPr>
        <w:t>e identified DS</w:t>
      </w:r>
      <w:r w:rsidR="00B2647B" w:rsidRPr="004147E2">
        <w:rPr>
          <w:lang w:val="en-US"/>
        </w:rPr>
        <w:t xml:space="preserve"> in the</w:t>
      </w:r>
      <w:r w:rsidR="00977A70" w:rsidRPr="004147E2">
        <w:rPr>
          <w:lang w:val="en-US"/>
        </w:rPr>
        <w:t xml:space="preserve"> genes</w:t>
      </w:r>
      <w:r w:rsidR="00977A70" w:rsidRPr="004147E2">
        <w:rPr>
          <w:rFonts w:eastAsia="MS Mincho"/>
          <w:lang w:val="en-US"/>
        </w:rPr>
        <w:t xml:space="preserve"> </w:t>
      </w:r>
      <w:r w:rsidR="00977A70" w:rsidRPr="004147E2">
        <w:rPr>
          <w:i/>
          <w:iCs/>
          <w:lang w:val="en-US"/>
        </w:rPr>
        <w:t>5'-</w:t>
      </w:r>
      <w:r w:rsidR="007C00F7" w:rsidRPr="004147E2">
        <w:rPr>
          <w:i/>
          <w:iCs/>
          <w:lang w:val="en-US"/>
        </w:rPr>
        <w:t>a</w:t>
      </w:r>
      <w:r w:rsidR="00977A70" w:rsidRPr="004147E2">
        <w:rPr>
          <w:i/>
          <w:iCs/>
          <w:lang w:val="en-US"/>
        </w:rPr>
        <w:t>minolevulinate Synthase 2</w:t>
      </w:r>
      <w:r w:rsidR="00977A70" w:rsidRPr="004147E2">
        <w:rPr>
          <w:lang w:val="en-US"/>
        </w:rPr>
        <w:t xml:space="preserve"> (</w:t>
      </w:r>
      <w:r w:rsidR="007C00F7" w:rsidRPr="004147E2">
        <w:rPr>
          <w:i/>
          <w:iCs/>
          <w:lang w:val="en-US"/>
        </w:rPr>
        <w:t>alas2</w:t>
      </w:r>
      <w:r w:rsidR="00977A70" w:rsidRPr="004147E2">
        <w:rPr>
          <w:lang w:val="en-US"/>
        </w:rPr>
        <w:t xml:space="preserve">) and </w:t>
      </w:r>
      <w:r w:rsidR="007C00F7" w:rsidRPr="004147E2">
        <w:rPr>
          <w:i/>
          <w:iCs/>
          <w:lang w:val="en-US"/>
        </w:rPr>
        <w:t>h</w:t>
      </w:r>
      <w:r w:rsidR="00977A70" w:rsidRPr="004147E2">
        <w:rPr>
          <w:i/>
          <w:iCs/>
          <w:lang w:val="en-US"/>
        </w:rPr>
        <w:t>emopexin</w:t>
      </w:r>
      <w:r w:rsidR="00977A70" w:rsidRPr="004147E2">
        <w:rPr>
          <w:lang w:val="en-US"/>
        </w:rPr>
        <w:t xml:space="preserve"> (</w:t>
      </w:r>
      <w:proofErr w:type="spellStart"/>
      <w:r w:rsidR="007C00F7" w:rsidRPr="004147E2">
        <w:rPr>
          <w:i/>
          <w:iCs/>
          <w:lang w:val="en-US"/>
        </w:rPr>
        <w:t>hpx</w:t>
      </w:r>
      <w:proofErr w:type="spellEnd"/>
      <w:r w:rsidR="00977A70" w:rsidRPr="004147E2">
        <w:rPr>
          <w:lang w:val="en-US"/>
        </w:rPr>
        <w:t>)</w:t>
      </w:r>
      <w:r w:rsidR="00B2647B" w:rsidRPr="004147E2">
        <w:rPr>
          <w:lang w:val="en-US"/>
        </w:rPr>
        <w:t xml:space="preserve">. The former is related to heme biogenesis </w:t>
      </w:r>
      <w:r w:rsidR="00B2647B" w:rsidRPr="004147E2">
        <w:rPr>
          <w:noProof/>
          <w:lang w:val="en-US"/>
        </w:rPr>
        <w:fldChar w:fldCharType="begin" w:fldLock="1"/>
      </w:r>
      <w:r w:rsidR="00653EE9">
        <w:rPr>
          <w:noProof/>
          <w:lang w:val="en-US"/>
        </w:rPr>
        <w:instrText>ADDIN CSL_CITATION {"citationItems":[{"id":"ITEM-1","itemData":{"DOI":"10.1038/s41467-020-16586-x","ISSN":"20411723","PMID":"32499479","abstract":"5′-aminolevulinate synthase (ALAS) catalyzes the first step in heme biosynthesis, generating 5′-aminolevulinate from glycine and succinyl-CoA. Inherited frameshift indel mutations of human erythroid-specific isozyme ALAS2, within a C-terminal (Ct) extension of its catalytic core that is only present in higher eukaryotes, lead to gain-of-function X-linked protoporphyria (XLP). Here, we report the human ALAS2 crystal structure, revealing that its Ct-extension folds onto the catalytic core, sits atop the active site, and precludes binding of substrate succinyl-CoA. The Ct-extension is therefore an autoinhibitory element that must re-orient during catalysis, as supported by molecular dynamics simulations. Our data explain how Ct deletions in XLP alleviate autoinhibition and increase enzyme activity. Crystallography-based fragment screening reveals a binding hotspot around the Ct-extension, where fragments interfere with the Ct conformational dynamics and inhibit ALAS2 activity. These fragments represent a starting point to develop ALAS2 inhibitors as substrate reduction therapy for porphyria disorders that accumulate toxic heme intermediates.","author":[{"dropping-particle":"","family":"Bailey","given":"Henry J.","non-dropping-particle":"","parse-names":false,"suffix":""},{"dropping-particle":"","family":"Bezerra","given":"Gustavo A.","non-dropping-particle":"","parse-names":false,"suffix":""},{"dropping-particle":"","family":"Marcero","given":"Jason R.","non-dropping-particle":"","parse-names":false,"suffix":""},{"dropping-particle":"","family":"Padhi","given":"Siladitya","non-dropping-particle":"","parse-names":false,"suffix":""},{"dropping-particle":"","family":"Foster","given":"William R.","non-dropping-particle":"","parse-names":false,"suffix":""},{"dropping-particle":"","family":"Rembeza","given":"Elzbieta","non-dropping-particle":"","parse-names":false,"suffix":""},{"dropping-particle":"","family":"Roy","given":"Arijit","non-dropping-particle":"","parse-names":false,"suffix":""},{"dropping-particle":"","family":"Bishop","given":"David F.","non-dropping-particle":"","parse-names":false,"suffix":""},{"dropping-particle":"","family":"Desnick","given":"Robert J.","non-dropping-particle":"","parse-names":false,"suffix":""},{"dropping-particle":"","family":"Bulusu","given":"Gopalakrishnan","non-dropping-particle":"","parse-names":false,"suffix":""},{"dropping-particle":"","family":"Dailey","given":"Harry A.","non-dropping-particle":"","parse-names":false,"suffix":""},{"dropping-particle":"","family":"Yue","given":"Wyatt W.","non-dropping-particle":"","parse-names":false,"suffix":""}],"container-title":"Nature Communications","id":"ITEM-1","issue":"1","issued":{"date-parts":[["2020"]]},"page":"1-12","title":"Human aminolevulinate synthase structure reveals a eukaryotic-specific autoinhibitory loop regulating substrate binding and product release","type":"article-journal","volume":"11"},"uris":["http://www.mendeley.com/documents/?uuid=49e02387-fb7d-4045-8d24-c90b9b7c1fe8","http://www.mendeley.com/documents/?uuid=4ec4934d-3b2c-48fa-8ab9-232454463c13"]}],"mendeley":{"formattedCitation":"(Bailey &lt;i&gt;et al.&lt;/i&gt;, 2020)","plainTextFormattedCitation":"(Bailey et al., 2020)","previouslyFormattedCitation":"(Bailey &lt;i&gt;et al.&lt;/i&gt;, 2020)"},"properties":{"noteIndex":0},"schema":"https://github.com/citation-style-language/schema/raw/master/csl-citation.json"}</w:instrText>
      </w:r>
      <w:r w:rsidR="00B2647B" w:rsidRPr="004147E2">
        <w:rPr>
          <w:noProof/>
          <w:lang w:val="en-US"/>
        </w:rPr>
        <w:fldChar w:fldCharType="separate"/>
      </w:r>
      <w:r w:rsidR="00B2647B" w:rsidRPr="004147E2">
        <w:rPr>
          <w:noProof/>
          <w:lang w:val="en-US"/>
        </w:rPr>
        <w:t xml:space="preserve">(Bailey </w:t>
      </w:r>
      <w:r w:rsidR="00B2647B" w:rsidRPr="004147E2">
        <w:rPr>
          <w:i/>
          <w:noProof/>
          <w:lang w:val="en-US"/>
        </w:rPr>
        <w:t>et al.</w:t>
      </w:r>
      <w:r w:rsidR="00B2647B" w:rsidRPr="004147E2">
        <w:rPr>
          <w:noProof/>
          <w:lang w:val="en-US"/>
        </w:rPr>
        <w:t>, 2020)</w:t>
      </w:r>
      <w:r w:rsidR="00B2647B" w:rsidRPr="004147E2">
        <w:rPr>
          <w:noProof/>
          <w:lang w:val="en-US"/>
        </w:rPr>
        <w:fldChar w:fldCharType="end"/>
      </w:r>
      <w:r w:rsidR="00B2647B" w:rsidRPr="004147E2">
        <w:rPr>
          <w:lang w:val="en-US"/>
        </w:rPr>
        <w:t xml:space="preserve"> offering protection against oxidative stress </w:t>
      </w:r>
      <w:r w:rsidR="00B2647B" w:rsidRPr="004147E2">
        <w:rPr>
          <w:lang w:val="en-US"/>
        </w:rPr>
        <w:fldChar w:fldCharType="begin" w:fldLock="1"/>
      </w:r>
      <w:r w:rsidR="007602F2">
        <w:rPr>
          <w:lang w:val="en-US"/>
        </w:rPr>
        <w:instrText>ADDIN CSL_CITATION {"citationItems":[{"id":"ITEM-1","itemData":{"DOI":"10.3390/genes11010068","ISSN":"20734425","PMID":"31936116","abstract":"Heat stress affects the physiology and production performance of Chinese Holstein dairy cows. As such, the selection of heat tolerance in cows and elucidating its underlying mechanisms are vital to the dairy industry. This study aimed to investigate the heat tolerance associated genes and molecular mechanisms in Chinese Holstein dairy cows using a high-throughput sequencing approach and bioinformatics analysis. Heat-induced physiological indicators and milk yield changes were assessed to determine heat tolerance levels in Chinese Holstein dairy cows by Principal Component Analysis method following Membership Function Value Analysis. Results indicated that rectal temperature (RT), respiratory rate (RR), and decline in milk production were significantly lower (p &lt; 0.05) in heat tolerant (HT) cows while plasma levels of heat shock protein (HSP: HSP70, HSP90), and cortisol were significantly higher (p &lt; 0.05) when compared to non-heat tolerant (NHT) Chinese Holstein dairy cows. By applying RNA-Seq analysis, we identified 200 (81 down-regulated and 119 up-regulated) significantly (|log2fold change| ≥ 1.4 and p ≤ 0.05) differentially expressed genes (DEGs) in HT versus NHT Chinese Holstein dairy cows. In addition, 14 of which were involved in protein–protein interaction (PPI) network. Importantly, several hub genes (OAS2, MX2, IFIT5 and TGFB2) were significantly enriched in immune effector process. These findings might be helpful to expedite the understanding for the mechanism of heat tolerance in Chinese Holstein dairy cows.","author":[{"dropping-particle":"","family":"Liu","given":"Shenhe","non-dropping-particle":"","parse-names":false,"suffix":""},{"dropping-particle":"","family":"Yue","given":"Tingting","non-dropping-particle":"","parse-names":false,"suffix":""},{"dropping-particle":"","family":"Ahmad","given":"Muhammad Jamil","non-dropping-particle":"","parse-names":false,"suffix":""},{"dropping-particle":"","family":"Hu","given":"Xiangwei","non-dropping-particle":"","parse-names":false,"suffix":""},{"dropping-particle":"","family":"Zhang","given":"Xinxin","non-dropping-particle":"","parse-names":false,"suffix":""},{"dropping-particle":"","family":"Deng","given":"Tingxian","non-dropping-particle":"","parse-names":false,"suffix":""},{"dropping-particle":"","family":"Hu","given":"Yan","non-dropping-particle":"","parse-names":false,"suffix":""},{"dropping-particle":"","family":"He","given":"Changjiu","non-dropping-particle":"","parse-names":false,"suffix":""},{"dropping-particle":"","family":"Zhou","given":"Yang","non-dropping-particle":"","parse-names":false,"suffix":""},{"dropping-particle":"","family":"Yang","given":"Liguo","non-dropping-particle":"","parse-names":false,"suffix":""}],"container-title":"Genes","id":"ITEM-1","issue":"1","issued":{"date-parts":[["2020"]]},"page":"1-12","title":"Transcriptome analysis reveals potential regulatory genes related to heat tolerance in holstein dairy cattle","type":"article-journal","volume":"11"},"uris":["http://www.mendeley.com/documents/?uuid=4f5b967f-4ed7-4f9b-a185-29d3f299f925","http://www.mendeley.com/documents/?uuid=78642b16-afd4-4e70-b74d-8018efcc8702"]}],"mendeley":{"formattedCitation":"(Liu &lt;i&gt;et al.&lt;/i&gt;, 2020)","plainTextFormattedCitation":"(Liu et al., 2020)","previouslyFormattedCitation":"(Liu &lt;i&gt;et al.&lt;/i&gt;, 2020)"},"properties":{"noteIndex":0},"schema":"https://github.com/citation-style-language/schema/raw/master/csl-citation.json"}</w:instrText>
      </w:r>
      <w:r w:rsidR="00B2647B" w:rsidRPr="004147E2">
        <w:rPr>
          <w:lang w:val="en-US"/>
        </w:rPr>
        <w:fldChar w:fldCharType="separate"/>
      </w:r>
      <w:r w:rsidR="00B2647B" w:rsidRPr="004147E2">
        <w:rPr>
          <w:noProof/>
          <w:lang w:val="en-US"/>
        </w:rPr>
        <w:t xml:space="preserve">(Liu </w:t>
      </w:r>
      <w:r w:rsidR="00B2647B" w:rsidRPr="004147E2">
        <w:rPr>
          <w:i/>
          <w:noProof/>
          <w:lang w:val="en-US"/>
        </w:rPr>
        <w:t>et al.</w:t>
      </w:r>
      <w:r w:rsidR="00B2647B" w:rsidRPr="004147E2">
        <w:rPr>
          <w:noProof/>
          <w:lang w:val="en-US"/>
        </w:rPr>
        <w:t>, 2020)</w:t>
      </w:r>
      <w:r w:rsidR="00B2647B" w:rsidRPr="004147E2">
        <w:rPr>
          <w:lang w:val="en-US"/>
        </w:rPr>
        <w:fldChar w:fldCharType="end"/>
      </w:r>
      <w:r w:rsidR="001A0E72" w:rsidRPr="004147E2">
        <w:rPr>
          <w:lang w:val="en-US"/>
        </w:rPr>
        <w:t xml:space="preserve">, while the </w:t>
      </w:r>
      <w:r w:rsidR="00B2647B" w:rsidRPr="004147E2">
        <w:rPr>
          <w:lang w:val="en-US"/>
        </w:rPr>
        <w:t>latter</w:t>
      </w:r>
      <w:r w:rsidR="009E317D" w:rsidRPr="004147E2">
        <w:rPr>
          <w:lang w:val="en-US"/>
        </w:rPr>
        <w:t xml:space="preserve"> aids in </w:t>
      </w:r>
      <w:r w:rsidR="00977A70" w:rsidRPr="004147E2">
        <w:rPr>
          <w:lang w:val="en-US"/>
        </w:rPr>
        <w:t>deliver</w:t>
      </w:r>
      <w:r w:rsidR="00AA7D7D" w:rsidRPr="004147E2">
        <w:rPr>
          <w:lang w:val="en-US"/>
        </w:rPr>
        <w:t>ing</w:t>
      </w:r>
      <w:r w:rsidR="00977A70" w:rsidRPr="004147E2">
        <w:rPr>
          <w:lang w:val="en-US"/>
        </w:rPr>
        <w:t xml:space="preserve"> heme from the plasma to the liver for </w:t>
      </w:r>
      <w:r w:rsidR="00212E17" w:rsidRPr="004147E2">
        <w:rPr>
          <w:lang w:val="en-US"/>
        </w:rPr>
        <w:t>decomposition</w:t>
      </w:r>
      <w:r w:rsidR="00977A70" w:rsidRPr="004147E2">
        <w:rPr>
          <w:lang w:val="en-US"/>
        </w:rPr>
        <w:t xml:space="preserve"> and iron recovery</w:t>
      </w:r>
      <w:r w:rsidR="00B2647B" w:rsidRPr="004147E2">
        <w:rPr>
          <w:lang w:val="en-US"/>
        </w:rPr>
        <w:t xml:space="preserve"> </w:t>
      </w:r>
      <w:r w:rsidR="000C5BA5" w:rsidRPr="004147E2">
        <w:rPr>
          <w:lang w:val="en-US"/>
        </w:rPr>
        <w:fldChar w:fldCharType="begin" w:fldLock="1"/>
      </w:r>
      <w:r w:rsidR="00EF730B">
        <w:rPr>
          <w:lang w:val="en-US"/>
        </w:rPr>
        <w:instrText>ADDIN CSL_CITATION {"citationItems":[{"id":"ITEM-1","itemData":{"DOI":"10.3389/fphys.2015.00187","ISSN":"1664042X","abstract":"The goal here is to describe our current understanding of heme metabolism and the deleterious effects of \"free\" heme on immunological processes, endothelial function, systemic inflammation, and various end-organ tissues (e.g., kidney, lung, liver, etc.), with particular attention paid to the role of hemopexin (HPX). Because heme toxicity is the impetus for much of the pathology in sepsis, sickle cell disease (SCD), and other hemolytic conditions, the biological importance and clinical relevance of HPX, the predominant heme binding protein, is reinforced. A perspective on the function of HPX and haptoglobin (Hp) is presented, updating how these two proteins and their respective receptors act simultaneously to protect the body in clinical conditions that entail hemolysis and/or systemic intravascular (IVH) inflammation. Evidence from longitudinal studies in patients supports that HPX plays a Hp-independent role in genetic and non-genetic hemolytic diseases without the need for global Hp depletion. Evidence also supports that HPX has an important role in the prognosis of complex illnesses characterized predominantly by the presence of hemolysis, such as SCD, sepsis, hemolytic-uremic syndrome, and conditions involving IVH and extravascular hemolysis (EVH), such as that generated by extracorporeal circulation during cardiopulmonary bypass (CPB) and from blood transfusions. We propose that quantitating the amounts of plasma heme, HPX, Hb-Hp, heme-HPX, and heme-albumin levels in various disease states may aid in the diagnosis and treatment of the above-mentioned conditions, which is crucial to developing targeted plasma protein supplementation (i.e., \"replenishment\") therapies for patients with heme toxicity due to HPX depletion.","author":[{"dropping-particle":"","family":"Smith","given":"Ann","non-dropping-particle":"","parse-names":false,"suffix":""},{"dropping-particle":"","family":"McCulloh","given":"Russell J.","non-dropping-particle":"","parse-names":false,"suffix":""}],"container-title":"Frontiers in Physiology","id":"ITEM-1","issued":{"date-parts":[["2015"]]},"page":"187","title":"Hemopexin and haptoglobin: Allies against heme toxicity from hemoglobin not contenders","type":"article-journal","volume":"6"},"uris":["http://www.mendeley.com/documents/?uuid=4bd03233-aacc-45da-9493-a0a6ad9fd25c","http://www.mendeley.com/documents/?uuid=11c50450-a2ca-4500-8597-4d44911fcde4"]}],"mendeley":{"formattedCitation":"(Smith and McCulloh, 2015)","plainTextFormattedCitation":"(Smith and McCulloh, 2015)","previouslyFormattedCitation":"(Smith and McCulloh, 2015)"},"properties":{"noteIndex":0},"schema":"https://github.com/citation-style-language/schema/raw/master/csl-citation.json"}</w:instrText>
      </w:r>
      <w:r w:rsidR="000C5BA5" w:rsidRPr="004147E2">
        <w:rPr>
          <w:lang w:val="en-US"/>
        </w:rPr>
        <w:fldChar w:fldCharType="separate"/>
      </w:r>
      <w:r w:rsidR="000C5BA5" w:rsidRPr="004147E2">
        <w:rPr>
          <w:noProof/>
          <w:lang w:val="en-US"/>
        </w:rPr>
        <w:t>(Smith and McCulloh, 2015)</w:t>
      </w:r>
      <w:r w:rsidR="000C5BA5" w:rsidRPr="004147E2">
        <w:rPr>
          <w:lang w:val="en-US"/>
        </w:rPr>
        <w:fldChar w:fldCharType="end"/>
      </w:r>
      <w:r w:rsidR="000C5BA5" w:rsidRPr="004147E2">
        <w:rPr>
          <w:lang w:val="en-US"/>
        </w:rPr>
        <w:t xml:space="preserve">. </w:t>
      </w:r>
      <w:r w:rsidR="009E317D" w:rsidRPr="004147E2">
        <w:rPr>
          <w:lang w:val="en-US"/>
        </w:rPr>
        <w:t xml:space="preserve">Both hemoglobin and heme are central to the </w:t>
      </w:r>
      <w:r w:rsidR="00B2647B" w:rsidRPr="004147E2">
        <w:rPr>
          <w:lang w:val="en-US"/>
        </w:rPr>
        <w:t xml:space="preserve">response to warming, as in </w:t>
      </w:r>
      <w:r w:rsidR="00B2647B" w:rsidRPr="004147E2">
        <w:rPr>
          <w:i/>
          <w:iCs/>
          <w:lang w:val="en-US"/>
        </w:rPr>
        <w:t xml:space="preserve">A. </w:t>
      </w:r>
      <w:proofErr w:type="spellStart"/>
      <w:r w:rsidR="00B2647B" w:rsidRPr="004147E2">
        <w:rPr>
          <w:i/>
          <w:iCs/>
          <w:lang w:val="en-US"/>
        </w:rPr>
        <w:t>poly</w:t>
      </w:r>
      <w:r w:rsidR="00564A53" w:rsidRPr="004147E2">
        <w:rPr>
          <w:i/>
          <w:iCs/>
          <w:lang w:val="en-US"/>
        </w:rPr>
        <w:t>a</w:t>
      </w:r>
      <w:r w:rsidR="00B2647B" w:rsidRPr="004147E2">
        <w:rPr>
          <w:i/>
          <w:iCs/>
          <w:lang w:val="en-US"/>
        </w:rPr>
        <w:t>canthus</w:t>
      </w:r>
      <w:proofErr w:type="spellEnd"/>
      <w:r w:rsidR="00B2647B" w:rsidRPr="004147E2">
        <w:rPr>
          <w:lang w:val="en-US"/>
        </w:rPr>
        <w:t xml:space="preserve"> an increase of approximately 1</w:t>
      </w:r>
      <w:r w:rsidR="00EE7E7E" w:rsidRPr="004147E2">
        <w:rPr>
          <w:lang w:val="en-US"/>
        </w:rPr>
        <w:t>°C</w:t>
      </w:r>
      <w:r w:rsidR="00EE7E7E" w:rsidRPr="004147E2" w:rsidDel="00EE7E7E">
        <w:rPr>
          <w:lang w:val="en-US"/>
        </w:rPr>
        <w:t xml:space="preserve"> </w:t>
      </w:r>
      <w:r w:rsidR="00B2647B" w:rsidRPr="004147E2">
        <w:rPr>
          <w:lang w:val="en-US"/>
        </w:rPr>
        <w:t xml:space="preserve">can lead to a significant increase in aerobic demand </w:t>
      </w:r>
      <w:r w:rsidR="006B1248" w:rsidRPr="004147E2">
        <w:rPr>
          <w:lang w:val="en-US"/>
        </w:rPr>
        <w:fldChar w:fldCharType="begin" w:fldLock="1"/>
      </w:r>
      <w:r w:rsidR="00517C3C">
        <w:rPr>
          <w:lang w:val="en-US"/>
        </w:rPr>
        <w:instrText>ADDIN CSL_CITATION {"citationItems":[{"id":"ITEM-1","itemData":{"DOI":"10.1111/gcb.12455","ISSN":"13541013","PMID":"24281840","abstract":"Equatorial populations of marine species are predicted to be most impacted by global warming because they could be adapted to a narrow range of temperatures in their local environment. We investigated the thermal range at which aerobic metabolic performance is optimum in equatorial populations of coral reef fish in northern Papua New Guinea. Four species of damselfishes and two species of cardinal fishes were held for 14 days at 29, 31, 33, and 34 °C, which incorporated their existing thermal range (29-31 °C) as well as projected increases in ocean surface temperatures of up to 3 °C by the end of this century. Resting and maximum oxygen consumption rates were measured for each species at each temperature and used to calculate the thermal reaction norm of aerobic scope. Our results indicate that one of the six species, Chromis atripectoralis, is already living above its thermal optimum of 29 °C. The other five species appeared to be living close to their thermal optima (ca. 31 °C). Aerobic scope was significantly reduced in all species, and approached zero for two species at 3 °C above current-day temperatures. One species was unable to survive even short-term exposure to 34 °C. Our results indicate that low-latitude reef fish populations are living close to their thermal optima and may be more sensitive to ocean warming than higher-latitude populations. Even relatively small temperature increases (2-3 °C) could result in population declines and potentially redistribution of equatorial species to higher latitudes if adaptation cannot keep pace. © 2013 John Wiley &amp; Sons Ltd.","author":[{"dropping-particle":"","family":"Rummer","given":"Jodie L.","non-dropping-particle":"","parse-names":false,"suffix":""},{"dropping-particle":"","family":"Couturier","given":"Christine S.","non-dropping-particle":"","parse-names":false,"suffix":""},{"dropping-particle":"","family":"Stecyk","given":"Jonathan A.W.","non-dropping-particle":"","parse-names":false,"suffix":""},{"dropping-particle":"","family":"Gardiner","given":"Naomi M.","non-dropping-particle":"","parse-names":false,"suffix":""},{"dropping-particle":"","family":"Kinch","given":"Jeff P.","non-dropping-particle":"","parse-names":false,"suffix":""},{"dropping-particle":"","family":"Nilsson","given":"Göran E.","non-dropping-particle":"","parse-names":false,"suffix":""},{"dropping-particle":"","family":"Munday","given":"Philip L.","non-dropping-particle":"","parse-names":false,"suffix":""}],"container-title":"Global Change Biology","id":"ITEM-1","issue":"4","issued":{"date-parts":[["2014"]]},"page":"1055-1066","title":"Life on the edge: Thermal optima for aerobic scope of equatorial reef fishes are close to current day temperatures","type":"article-journal","volume":"20"},"uris":["http://www.mendeley.com/documents/?uuid=7f83d382-ad00-4198-8716-8f3a56673f89"]},{"id":"ITEM-2","itemData":{"DOI":"10.1111/j.1365-2486.2008.01767.x","ISSN":"13541013","abstract":"The capacity for marine fishes to perform aerobically (aerobic scope) is predicted to control their thermal tolerance and, thus, the impact that rapid climate change will have on their populations. We tested the effect of increased water temperatures on the resting and maximum rates of oxygen consumption in five common coral reef fishes at Lizard Island on the northern Great Barrier Reef, Australia. All species exhibited a decline in aerobic capacity at elevated water temperatures (31, 32 or 33°C) compared with controls (29°C); however, the response was much stronger in two cardinalfishes, Ostorhinchus cyanosoma and O. doederleini, compared with three damselfishes, Dascyllus anuarus, Chromis atripectoralis and Acanthochromis polyacanthus. Aerobic scope of the two cardinalfishes was reduced by nearly half at 31°C compared with 29°C, and virtually all capacity for additional oxygen uptake was exhausted by 33°C. In contrast, the three damselfishes retained over half their aerobic scope at 33°C. Such differences in thermal tolerance between species, and possibly families, suggest that the community structure of reef fish assemblages might change significantly as ocean temperatures increase. Populations of thermally tolerant species are likely to persist at higher temperatures, but populations of thermally sensitive species could decline on low-latitude reefs if individual performance falls below levels needed to sustain viable populations. © 2009 Blackwell Publishing.","author":[{"dropping-particle":"","family":"Nilsson","given":"Göran E.","non-dropping-particle":"","parse-names":false,"suffix":""},{"dropping-particle":"","family":"Crawley","given":"Natalie","non-dropping-particle":"","parse-names":false,"suffix":""},{"dropping-particle":"","family":"Lunde","given":"Ida G.","non-dropping-particle":"","parse-names":false,"suffix":""},{"dropping-particle":"","family":"Munday","given":"Philip L.","non-dropping-particle":"","parse-names":false,"suffix":""}],"container-title":"Global Change Biology","id":"ITEM-2","issue":"6","issued":{"date-parts":[["2009"]]},"page":"1405-1412","title":"Elevated temperature reduces the respiratory scope of coral reef fishes","type":"article-journal","volume":"15"},"uris":["http://www.mendeley.com/documents/?uuid=75754cc4-0c40-4fdb-9369-32c3496fef0a"]},{"id":"ITEM-3","itemData":{"DOI":"10.1111/j.1365-2656.2012.01982.x","ISSN":"00218790","PMID":"22433064","abstract":"Short-term measures of metabolic responses to warmer environments are expected to indicate the sensitivity of species to regional warming. However, given time, species may be able to acclimate to increasing temperature. Thus, it is useful to determine if short-term responses provide a good predictor for long-term acclimation ability. The tropical reef fish Acanthochromis polyacanthus was used to test whether the ability for developmental thermal acclimation of two populations was indicated by their short-term metabolic response to temperature. While both populations exhibited similar short-term responses of resting metabolic rate (RMR) to temperature, fish from the higher-latitude population were able to fully acclimate RMR, while the lower-latitude population could only partially compensate RMR at the warmest temperature. These differences in acclimation ability are most likely due to genetic differences between the populations rather than differences in thermal regimes. This research indicates that acclimation ability may vary greatly between populations and that understanding such variation will be critical for predicting the impacts of warming environmental temperatures. Moreover, the thermal metabolic reaction norm does not appear to be a good predictor of long-term acclimation ability. © 2012 The Authors. Journal of Animal Ecology © 2012 British Ecological Society.","author":[{"dropping-particle":"","family":"Donelson","given":"Jennifer M.","non-dropping-particle":"","parse-names":false,"suffix":""},{"dropping-particle":"","family":"Munday","given":"Philip L.","non-dropping-particle":"","parse-names":false,"suffix":""}],"container-title":"Journal of Animal Ecology","id":"ITEM-3","issue":"5","issued":{"date-parts":[["2012"]]},"page":"1126-1131","title":"Thermal sensitivity does not determine acclimation capacity for a tropical reef fish","type":"article-journal","volume":"81"},"uris":["http://www.mendeley.com/documents/?uuid=4882594c-78b7-4b78-a317-eb3cb5bd8265"]}],"mendeley":{"formattedCitation":"(Nilsson &lt;i&gt;et al.&lt;/i&gt;, 2009; Donelson and Munday, 2012; Rummer &lt;i&gt;et al.&lt;/i&gt;, 2014)","plainTextFormattedCitation":"(Nilsson et al., 2009; Donelson and Munday, 2012; Rummer et al., 2014)","previouslyFormattedCitation":"(Nilsson &lt;i&gt;et al.&lt;/i&gt;, 2009; Donelson and Munday, 2012; Rummer &lt;i&gt;et al.&lt;/i&gt;, 2014)"},"properties":{"noteIndex":0},"schema":"https://github.com/citation-style-language/schema/raw/master/csl-citation.json"}</w:instrText>
      </w:r>
      <w:r w:rsidR="006B1248" w:rsidRPr="004147E2">
        <w:rPr>
          <w:lang w:val="en-US"/>
        </w:rPr>
        <w:fldChar w:fldCharType="separate"/>
      </w:r>
      <w:r w:rsidR="006B1248" w:rsidRPr="004147E2">
        <w:rPr>
          <w:noProof/>
          <w:lang w:val="en-US"/>
        </w:rPr>
        <w:t xml:space="preserve">(Nilsson </w:t>
      </w:r>
      <w:r w:rsidR="006B1248" w:rsidRPr="004147E2">
        <w:rPr>
          <w:i/>
          <w:noProof/>
          <w:lang w:val="en-US"/>
        </w:rPr>
        <w:t>et al.</w:t>
      </w:r>
      <w:r w:rsidR="006B1248" w:rsidRPr="004147E2">
        <w:rPr>
          <w:noProof/>
          <w:lang w:val="en-US"/>
        </w:rPr>
        <w:t xml:space="preserve">, 2009; Donelson and Munday, 2012; Rummer </w:t>
      </w:r>
      <w:r w:rsidR="006B1248" w:rsidRPr="004147E2">
        <w:rPr>
          <w:i/>
          <w:noProof/>
          <w:lang w:val="en-US"/>
        </w:rPr>
        <w:t>et al.</w:t>
      </w:r>
      <w:r w:rsidR="006B1248" w:rsidRPr="004147E2">
        <w:rPr>
          <w:noProof/>
          <w:lang w:val="en-US"/>
        </w:rPr>
        <w:t>, 2014)</w:t>
      </w:r>
      <w:r w:rsidR="006B1248" w:rsidRPr="004147E2">
        <w:rPr>
          <w:lang w:val="en-US"/>
        </w:rPr>
        <w:fldChar w:fldCharType="end"/>
      </w:r>
      <w:r w:rsidR="00B2647B" w:rsidRPr="004147E2">
        <w:rPr>
          <w:lang w:val="en-US"/>
        </w:rPr>
        <w:t>.</w:t>
      </w:r>
      <w:r w:rsidR="00EC2AEC" w:rsidRPr="004147E2">
        <w:rPr>
          <w:noProof/>
          <w:lang w:val="en-US"/>
        </w:rPr>
        <w:t xml:space="preserve"> </w:t>
      </w:r>
      <w:r w:rsidR="00977A70" w:rsidRPr="004147E2">
        <w:rPr>
          <w:rFonts w:eastAsiaTheme="minorEastAsia"/>
          <w:lang w:val="en-GB"/>
        </w:rPr>
        <w:t xml:space="preserve">The quantitative changes of DS genes </w:t>
      </w:r>
      <w:r w:rsidR="007C00F7" w:rsidRPr="004147E2">
        <w:rPr>
          <w:rFonts w:eastAsiaTheme="minorEastAsia"/>
          <w:i/>
          <w:iCs/>
          <w:lang w:val="en-GB"/>
        </w:rPr>
        <w:t>alas</w:t>
      </w:r>
      <w:r w:rsidR="00977A70" w:rsidRPr="004147E2">
        <w:rPr>
          <w:rFonts w:eastAsiaTheme="minorEastAsia"/>
          <w:i/>
          <w:iCs/>
          <w:lang w:val="en-GB"/>
        </w:rPr>
        <w:t>2</w:t>
      </w:r>
      <w:r w:rsidR="00977A70" w:rsidRPr="004147E2">
        <w:rPr>
          <w:rFonts w:eastAsiaTheme="minorEastAsia"/>
          <w:lang w:val="en-GB"/>
        </w:rPr>
        <w:t xml:space="preserve"> and </w:t>
      </w:r>
      <w:proofErr w:type="spellStart"/>
      <w:r w:rsidR="007C00F7" w:rsidRPr="004147E2">
        <w:rPr>
          <w:rFonts w:eastAsiaTheme="minorEastAsia"/>
          <w:i/>
          <w:iCs/>
          <w:lang w:val="en-GB"/>
        </w:rPr>
        <w:t>hpx</w:t>
      </w:r>
      <w:proofErr w:type="spellEnd"/>
      <w:r w:rsidR="00977A70" w:rsidRPr="004147E2">
        <w:rPr>
          <w:rFonts w:eastAsiaTheme="minorEastAsia"/>
          <w:lang w:val="en-GB"/>
        </w:rPr>
        <w:t xml:space="preserve"> may suggest </w:t>
      </w:r>
      <w:r w:rsidR="00977A70" w:rsidRPr="004147E2">
        <w:rPr>
          <w:lang w:val="en-US"/>
        </w:rPr>
        <w:t xml:space="preserve">changes </w:t>
      </w:r>
      <w:r w:rsidR="00E22BE3" w:rsidRPr="004147E2">
        <w:rPr>
          <w:lang w:val="en-US"/>
        </w:rPr>
        <w:t xml:space="preserve">to </w:t>
      </w:r>
      <w:r w:rsidR="009D4E79" w:rsidRPr="004147E2">
        <w:rPr>
          <w:lang w:val="en-US"/>
        </w:rPr>
        <w:t xml:space="preserve">the </w:t>
      </w:r>
      <w:r w:rsidR="00E22BE3" w:rsidRPr="004147E2">
        <w:rPr>
          <w:lang w:val="en-US"/>
        </w:rPr>
        <w:t xml:space="preserve">heme </w:t>
      </w:r>
      <w:r w:rsidR="00792590" w:rsidRPr="004147E2">
        <w:rPr>
          <w:lang w:val="en-US"/>
        </w:rPr>
        <w:lastRenderedPageBreak/>
        <w:t>synthe</w:t>
      </w:r>
      <w:r w:rsidR="009D4E79" w:rsidRPr="004147E2">
        <w:rPr>
          <w:lang w:val="en-US"/>
        </w:rPr>
        <w:t>sis</w:t>
      </w:r>
      <w:r w:rsidR="00977A70" w:rsidRPr="004147E2">
        <w:rPr>
          <w:lang w:val="en-US"/>
        </w:rPr>
        <w:t xml:space="preserve"> rate for oxygen supply </w:t>
      </w:r>
      <w:r w:rsidR="00792590" w:rsidRPr="004147E2">
        <w:rPr>
          <w:lang w:val="en-US"/>
        </w:rPr>
        <w:t xml:space="preserve">and cell protection from </w:t>
      </w:r>
      <w:r w:rsidR="00977A70" w:rsidRPr="004147E2">
        <w:rPr>
          <w:lang w:val="en-US"/>
        </w:rPr>
        <w:t xml:space="preserve">excessive </w:t>
      </w:r>
      <w:r w:rsidR="00792590" w:rsidRPr="004147E2">
        <w:rPr>
          <w:lang w:val="en-US"/>
        </w:rPr>
        <w:t>heme</w:t>
      </w:r>
      <w:r w:rsidR="009D773D" w:rsidRPr="004147E2">
        <w:rPr>
          <w:lang w:val="en-US"/>
        </w:rPr>
        <w:t xml:space="preserve"> </w:t>
      </w:r>
      <w:r w:rsidR="00EC2AEC" w:rsidRPr="004147E2">
        <w:rPr>
          <w:rFonts w:eastAsiaTheme="minorEastAsia"/>
          <w:noProof/>
          <w:lang w:val="en-GB"/>
        </w:rPr>
        <w:fldChar w:fldCharType="begin" w:fldLock="1"/>
      </w:r>
      <w:r w:rsidR="00653EE9">
        <w:rPr>
          <w:rFonts w:eastAsiaTheme="minorEastAsia"/>
          <w:noProof/>
          <w:lang w:val="en-GB"/>
        </w:rPr>
        <w:instrText>ADDIN CSL_CITATION {"citationItems":[{"id":"ITEM-1","itemData":{"DOI":"10.3389/fphar.2014.00061","ISSN":"16639812","abstract":"Heme (iron-protoporphyrin IX) is an essential co-factor involved in multiple biological processes: oxygen transport and storage, electron transfer, drug and steroid metabolism, signal transduction, and micro RNA processing. However, excess free-heme is highly toxic due to its ability to promote oxidative stress and lipid peroxidation, thus leading to membrane injury and, ultimately, apoptosis. Thus, heme metabolism needs to be finely regulated. Intracellular heme amount is controlled at multiple levels: synthesis, utilization by hemoproteins, degradation and both intracellular and intercellular trafficking. This review focuses on recent findings highlighting the importance of controlling intracellular heme levels to counteract heme-induced oxidative stress. The contributions of heme scavenging from the extracellular environment, heme synthesis and incorporation into hemoproteins, heme catabolism and heme transport in maintaining adequate intracellular heme content are discussed. Particular attention is put on the recently described mechanisms of heme trafficking through the plasma membrane mediated by specific heme importers and exporters. Finally, the involvement of genes orchestrating heme metabolism in several pathological conditions is illustrated and new therapeutic approaches aimed at controlling heme metabolism are discussed.","author":[{"dropping-particle":"","family":"Chiabrando","given":"Deborah","non-dropping-particle":"","parse-names":false,"suffix":""},{"dropping-particle":"","family":"Vinchi","given":"Francesca","non-dropping-particle":"","parse-names":false,"suffix":""},{"dropping-particle":"","family":"Fiorito","given":"Veronica","non-dropping-particle":"","parse-names":false,"suffix":""},{"dropping-particle":"","family":"Mercurio","given":"Sonia","non-dropping-particle":"","parse-names":false,"suffix":""},{"dropping-particle":"","family":"Tolosano","given":"Emanuela","non-dropping-particle":"","parse-names":false,"suffix":""}],"container-title":"Frontiers in Pharmacology","id":"ITEM-1","issued":{"date-parts":[["2014"]]},"page":"61","title":"Heme in pathophysiology: A matter of scavenging, metabolism and trafficking across cell membranes","type":"article-journal","volume":"5"},"uris":["http://www.mendeley.com/documents/?uuid=1c558b12-397a-4d6f-8b3e-8f84c8a67afe","http://www.mendeley.com/documents/?uuid=637bcb1a-2bb7-4092-b86c-6944997a806e"]}],"mendeley":{"formattedCitation":"(Chiabrando &lt;i&gt;et al.&lt;/i&gt;, 2014)","plainTextFormattedCitation":"(Chiabrando et al., 2014)","previouslyFormattedCitation":"(Chiabrando &lt;i&gt;et al.&lt;/i&gt;, 2014)"},"properties":{"noteIndex":0},"schema":"https://github.com/citation-style-language/schema/raw/master/csl-citation.json"}</w:instrText>
      </w:r>
      <w:r w:rsidR="00EC2AEC" w:rsidRPr="004147E2">
        <w:rPr>
          <w:rFonts w:eastAsiaTheme="minorEastAsia"/>
          <w:noProof/>
          <w:lang w:val="en-GB"/>
        </w:rPr>
        <w:fldChar w:fldCharType="separate"/>
      </w:r>
      <w:r w:rsidR="00EC2AEC" w:rsidRPr="004147E2">
        <w:rPr>
          <w:rFonts w:eastAsiaTheme="minorEastAsia"/>
          <w:noProof/>
          <w:lang w:val="en-GB"/>
        </w:rPr>
        <w:t xml:space="preserve">(Chiabrando </w:t>
      </w:r>
      <w:r w:rsidR="00EC2AEC" w:rsidRPr="004147E2">
        <w:rPr>
          <w:rFonts w:eastAsiaTheme="minorEastAsia"/>
          <w:i/>
          <w:noProof/>
          <w:lang w:val="en-GB"/>
        </w:rPr>
        <w:t>et al.</w:t>
      </w:r>
      <w:r w:rsidR="00EC2AEC" w:rsidRPr="004147E2">
        <w:rPr>
          <w:rFonts w:eastAsiaTheme="minorEastAsia"/>
          <w:noProof/>
          <w:lang w:val="en-GB"/>
        </w:rPr>
        <w:t>, 2014)</w:t>
      </w:r>
      <w:r w:rsidR="00EC2AEC" w:rsidRPr="004147E2">
        <w:rPr>
          <w:rFonts w:eastAsiaTheme="minorEastAsia"/>
          <w:noProof/>
          <w:lang w:val="en-GB"/>
        </w:rPr>
        <w:fldChar w:fldCharType="end"/>
      </w:r>
      <w:r w:rsidR="00792590" w:rsidRPr="004147E2">
        <w:rPr>
          <w:lang w:val="en-US"/>
        </w:rPr>
        <w:t xml:space="preserve">. </w:t>
      </w:r>
      <w:r w:rsidR="00FF4858" w:rsidRPr="004147E2">
        <w:rPr>
          <w:lang w:val="en-US"/>
        </w:rPr>
        <w:t xml:space="preserve">Although vasodilation and increase in vascular compliance can be induced by </w:t>
      </w:r>
      <w:r w:rsidR="0025256F" w:rsidRPr="004147E2">
        <w:rPr>
          <w:lang w:val="en-US"/>
        </w:rPr>
        <w:t>high temperature</w:t>
      </w:r>
      <w:r w:rsidR="00FF4858" w:rsidRPr="004147E2">
        <w:rPr>
          <w:lang w:val="en-US"/>
        </w:rPr>
        <w:t xml:space="preserve"> to augment the oxygen supply to the surrounding hepatic tissue</w:t>
      </w:r>
      <w:r w:rsidR="004951A8" w:rsidRPr="004147E2">
        <w:rPr>
          <w:lang w:val="en-US"/>
        </w:rPr>
        <w:t xml:space="preserve"> </w:t>
      </w:r>
      <w:r w:rsidR="004951A8" w:rsidRPr="004147E2">
        <w:rPr>
          <w:lang w:val="en-US"/>
        </w:rPr>
        <w:fldChar w:fldCharType="begin" w:fldLock="1"/>
      </w:r>
      <w:r w:rsidR="007602F2">
        <w:rPr>
          <w:lang w:val="en-US"/>
        </w:rPr>
        <w:instrText>ADDIN CSL_CITATION {"citationItems":[{"id":"ITEM-1","itemData":{"DOI":"10.1152/ajpgi.00101.2020","ISSN":"15221547","PMID":"32508156","abstract":"Hyperthermia-induced changes in liver physiology and metabolism: A rationale for hyperthermic machine perfusion. Am J Physiol Gastrointest Liver Physiol 319: G43-G50, 2020. First published June 8, 2020; doi:10.1152/ajpgi.00101.2020.-Liver transplantation is the standard treatment for end-stage liver disease. However, due to the ongoing disparity between supply and demand for optimal donor organs, there is increasing usage of extended criteria donor organs, including steatotic liver grafts. To mitigate the increased risks associated with extended criteria donor livers, ex situ oxygenated machine perfusion (MP) has received increasing attention in recent years as an emerging platform for dynamic preservation, reconditioning, and viability assessment to increase organ utilization. MP can be applied at different temperatures. During hypothermic MP (4-12°C), liver metabolism is reduced, while oxygenation restores the intracellular levels of adenosine triphosphate. The liver is quickly \"recharged\"to support metabolism when at normothermia (35-37°C) and to ameliorate the detrimental effects of ischemia/reperfusion injury during transplantation. During normothermia, MP can be applied to assess hepatocellular and cholangiocellular viability. MP at hyperthermic (&gt;38°C) temperatures (HyMP), however, remains relatively understudied. The liver is an important component in the regulation of core body temperature and, as such, displays significant physiological and metabolic changes in response to different temperatures. Hyperthermia may promote vasodilation, increase aerobic metabolism and induce production of protective molecules such as heat shock proteins. Therefore, HyMP could provide an attractive reconditioning strategy for steatotic livers. In this review, we describe current literature on the physiological and metabolic effects of the liver at hyperthermia for human, rodents, and pigs and provide a rationale for using therapeutic HyMP during isolated liver machine perfusion to recondition extended criteria donor livers, including steatotic livers, before transplantation.","author":[{"dropping-particle":"","family":"Thorne","given":"Adam M","non-dropping-particle":"","parse-names":false,"suffix":""},{"dropping-particle":"","family":"Ubbink","given":"Rinse","non-dropping-particle":"","parse-names":false,"suffix":""},{"dropping-particle":"","family":"Bruggenwirth","given":"Isabel M.A.","non-dropping-particle":"","parse-names":false,"suffix":""},{"dropping-particle":"","family":"Nijsten","given":"Maarten W","non-dropping-particle":"","parse-names":false,"suffix":""},{"dropping-particle":"","family":"Porte","given":"Robert J","non-dropping-particle":"","parse-names":false,"suffix":""},{"dropping-particle":"","family":"Meijer","given":"Vincent E.","non-dropping-particle":"de","parse-names":false,"suffix":""}],"container-title":"American Journal of Physiology - Gastrointestinal and Liver Physiology","id":"ITEM-1","issue":"1","issued":{"date-parts":[["2020"]]},"page":"G43-G50","title":"Hyperthermia-induced changes in liver physiology and metabolism: A rationale for hyperthermic machine perfusion","type":"article-journal","volume":"319"},"uris":["http://www.mendeley.com/documents/?uuid=a3bd8d45-4427-4f92-a7a0-33faae147042","http://www.mendeley.com/documents/?uuid=0272b2c3-7e15-4441-91d2-137ecaeacbe4"]}],"mendeley":{"formattedCitation":"(Thorne &lt;i&gt;et al.&lt;/i&gt;, 2020)","plainTextFormattedCitation":"(Thorne et al., 2020)","previouslyFormattedCitation":"(Thorne &lt;i&gt;et al.&lt;/i&gt;, 2020)"},"properties":{"noteIndex":0},"schema":"https://github.com/citation-style-language/schema/raw/master/csl-citation.json"}</w:instrText>
      </w:r>
      <w:r w:rsidR="004951A8" w:rsidRPr="004147E2">
        <w:rPr>
          <w:lang w:val="en-US"/>
        </w:rPr>
        <w:fldChar w:fldCharType="separate"/>
      </w:r>
      <w:r w:rsidR="004951A8" w:rsidRPr="004147E2">
        <w:rPr>
          <w:noProof/>
          <w:lang w:val="en-US"/>
        </w:rPr>
        <w:t xml:space="preserve">(Thorne </w:t>
      </w:r>
      <w:r w:rsidR="004951A8" w:rsidRPr="004147E2">
        <w:rPr>
          <w:i/>
          <w:noProof/>
          <w:lang w:val="en-US"/>
        </w:rPr>
        <w:t>et al.</w:t>
      </w:r>
      <w:r w:rsidR="004951A8" w:rsidRPr="004147E2">
        <w:rPr>
          <w:noProof/>
          <w:lang w:val="en-US"/>
        </w:rPr>
        <w:t>, 2020)</w:t>
      </w:r>
      <w:r w:rsidR="004951A8" w:rsidRPr="004147E2">
        <w:rPr>
          <w:lang w:val="en-US"/>
        </w:rPr>
        <w:fldChar w:fldCharType="end"/>
      </w:r>
      <w:r w:rsidR="00FF4858" w:rsidRPr="004147E2">
        <w:rPr>
          <w:lang w:val="en-US"/>
        </w:rPr>
        <w:t xml:space="preserve">, </w:t>
      </w:r>
      <w:r w:rsidR="004951A8" w:rsidRPr="004147E2">
        <w:rPr>
          <w:lang w:val="en-US"/>
        </w:rPr>
        <w:t xml:space="preserve">hyperthermia </w:t>
      </w:r>
      <w:r w:rsidR="00FF4858" w:rsidRPr="004147E2">
        <w:rPr>
          <w:lang w:val="en-US"/>
        </w:rPr>
        <w:t>can</w:t>
      </w:r>
      <w:r w:rsidR="008307BE" w:rsidRPr="004147E2">
        <w:rPr>
          <w:lang w:val="en-US"/>
        </w:rPr>
        <w:t xml:space="preserve"> lead to</w:t>
      </w:r>
      <w:r w:rsidR="00792590" w:rsidRPr="004147E2">
        <w:rPr>
          <w:lang w:val="en-US"/>
        </w:rPr>
        <w:t xml:space="preserve"> </w:t>
      </w:r>
      <w:r w:rsidR="004951A8" w:rsidRPr="004147E2">
        <w:rPr>
          <w:lang w:val="en-US"/>
        </w:rPr>
        <w:t xml:space="preserve">chronic histopathologic changes in vascular network in liver such as </w:t>
      </w:r>
      <w:r w:rsidR="00732146" w:rsidRPr="004147E2">
        <w:rPr>
          <w:lang w:val="en-US"/>
        </w:rPr>
        <w:t xml:space="preserve">hepatic necrosis, vascular </w:t>
      </w:r>
      <w:r w:rsidR="004951A8" w:rsidRPr="004147E2">
        <w:rPr>
          <w:lang w:val="en-US"/>
        </w:rPr>
        <w:t xml:space="preserve">congestion and hemorrhage </w:t>
      </w:r>
      <w:r w:rsidR="00EC2AEC" w:rsidRPr="004147E2">
        <w:rPr>
          <w:noProof/>
          <w:lang w:val="en-US"/>
        </w:rPr>
        <w:fldChar w:fldCharType="begin" w:fldLock="1"/>
      </w:r>
      <w:r w:rsidR="007602F2">
        <w:rPr>
          <w:noProof/>
          <w:lang w:val="en-US"/>
        </w:rPr>
        <w:instrText>ADDIN CSL_CITATION {"citationItems":[{"id":"ITEM-1","itemData":{"DOI":"10.1093/ilar.50.4.387","ISSN":"10842020","PMID":"19949254","abstract":"Fish and other aquatic animals are subject to a broad variety of stressors because their homeostatic mechanisms are highly dependent on prevailing conditions in their immediate surroundings. Yet few studies have addressed stress as a potential confounding factor for bioassays that use fish as test subjects. Common stressors encountered by captive fish include physical and mental trauma associated with capture, transport, handling, and crowding; malnutrition; variations in water temperature, oxygen, and salinity; and peripheral effects of contaminant exposure or infectious disease. Some stress responses are detectable through gross or microscopic examination of various organs or tissues; as reported in the literature, stress responses are most consistently observed in the gills, liver, skin, and components of the urogenital tract. In addition to presenting examples of various stressors and corresponding morphologic effects, this review highlights certain challenges of evaluating stress in fish: (1) stress is an amorphous term that does not have a consistently applied definition; (2) procedures used to determine or measure stress can be inherently stressful; (3) interactions between stressors and stress responses are highly complex; and (4) morphologically, stress responses are often difficult to distinguish from tissue damage or compensatory adaptations induced specifically by the stressor. Further investigations are necessary to more precisely define the role of stress in the interpretation of fish research results.","author":[{"dropping-particle":"","family":"Harper","given":"Claudia","non-dropping-particle":"","parse-names":false,"suffix":""},{"dropping-particle":"","family":"Wolf","given":"Jeffrey C.","non-dropping-particle":"","parse-names":false,"suffix":""}],"container-title":"ILAR Journal","id":"ITEM-1","issue":"4","issued":{"date-parts":[["2009"]]},"page":"387-396","title":"Morphologic effects of the stress response in fish","type":"article-journal","volume":"50"},"uris":["http://www.mendeley.com/documents/?uuid=b79d2f1a-bd39-4775-9c29-cdb86fca7508","http://www.mendeley.com/documents/?uuid=db53fc16-013a-41f6-8d14-3ec4be6397cd"]}],"mendeley":{"formattedCitation":"(Harper and Wolf, 2009)","plainTextFormattedCitation":"(Harper and Wolf, 2009)","previouslyFormattedCitation":"(Harper and Wolf, 2009)"},"properties":{"noteIndex":0},"schema":"https://github.com/citation-style-language/schema/raw/master/csl-citation.json"}</w:instrText>
      </w:r>
      <w:r w:rsidR="00EC2AEC" w:rsidRPr="004147E2">
        <w:rPr>
          <w:noProof/>
          <w:lang w:val="en-US"/>
        </w:rPr>
        <w:fldChar w:fldCharType="separate"/>
      </w:r>
      <w:r w:rsidR="004951A8" w:rsidRPr="004147E2">
        <w:rPr>
          <w:noProof/>
          <w:lang w:val="en-US"/>
        </w:rPr>
        <w:t>(Harper and Wolf, 2009)</w:t>
      </w:r>
      <w:r w:rsidR="00EC2AEC" w:rsidRPr="004147E2">
        <w:rPr>
          <w:noProof/>
          <w:lang w:val="en-US"/>
        </w:rPr>
        <w:fldChar w:fldCharType="end"/>
      </w:r>
      <w:r w:rsidR="00792590" w:rsidRPr="004147E2">
        <w:rPr>
          <w:lang w:val="en-US"/>
        </w:rPr>
        <w:t xml:space="preserve">. We found that </w:t>
      </w:r>
      <w:r w:rsidR="004B0106" w:rsidRPr="004147E2">
        <w:rPr>
          <w:i/>
          <w:iCs/>
          <w:lang w:val="en-US"/>
        </w:rPr>
        <w:t>v</w:t>
      </w:r>
      <w:r w:rsidR="00792590" w:rsidRPr="004147E2">
        <w:rPr>
          <w:i/>
          <w:iCs/>
          <w:lang w:val="en-US"/>
        </w:rPr>
        <w:t xml:space="preserve">ascular </w:t>
      </w:r>
      <w:r w:rsidR="00EA7E31" w:rsidRPr="004147E2">
        <w:rPr>
          <w:i/>
          <w:iCs/>
          <w:lang w:val="en-US"/>
        </w:rPr>
        <w:t>e</w:t>
      </w:r>
      <w:r w:rsidR="00792590" w:rsidRPr="004147E2">
        <w:rPr>
          <w:i/>
          <w:iCs/>
          <w:lang w:val="en-US"/>
        </w:rPr>
        <w:t xml:space="preserve">ndothelial </w:t>
      </w:r>
      <w:r w:rsidR="004B0106" w:rsidRPr="004147E2">
        <w:rPr>
          <w:i/>
          <w:iCs/>
          <w:lang w:val="en-US"/>
        </w:rPr>
        <w:t>g</w:t>
      </w:r>
      <w:r w:rsidR="00792590" w:rsidRPr="004147E2">
        <w:rPr>
          <w:i/>
          <w:iCs/>
          <w:lang w:val="en-US"/>
        </w:rPr>
        <w:t xml:space="preserve">rowth </w:t>
      </w:r>
      <w:r w:rsidR="004B0106" w:rsidRPr="004147E2">
        <w:rPr>
          <w:i/>
          <w:iCs/>
          <w:lang w:val="en-US"/>
        </w:rPr>
        <w:t>f</w:t>
      </w:r>
      <w:r w:rsidR="00792590" w:rsidRPr="004147E2">
        <w:rPr>
          <w:i/>
          <w:iCs/>
          <w:lang w:val="en-US"/>
        </w:rPr>
        <w:t xml:space="preserve">actor </w:t>
      </w:r>
      <w:r w:rsidR="004B0106" w:rsidRPr="004147E2">
        <w:rPr>
          <w:i/>
          <w:iCs/>
          <w:lang w:val="en-US"/>
        </w:rPr>
        <w:t>a</w:t>
      </w:r>
      <w:r w:rsidR="00792590" w:rsidRPr="004147E2">
        <w:rPr>
          <w:lang w:val="en-US"/>
        </w:rPr>
        <w:t xml:space="preserve"> (</w:t>
      </w:r>
      <w:proofErr w:type="spellStart"/>
      <w:r w:rsidR="004B0106" w:rsidRPr="004147E2">
        <w:rPr>
          <w:i/>
          <w:iCs/>
          <w:lang w:val="en-US"/>
        </w:rPr>
        <w:t>vegfa</w:t>
      </w:r>
      <w:proofErr w:type="spellEnd"/>
      <w:r w:rsidR="00792590" w:rsidRPr="004147E2">
        <w:rPr>
          <w:lang w:val="en-US"/>
        </w:rPr>
        <w:t xml:space="preserve">), which has a role in </w:t>
      </w:r>
      <w:r w:rsidR="00E22BE3" w:rsidRPr="004147E2">
        <w:rPr>
          <w:lang w:val="en-US"/>
        </w:rPr>
        <w:t>angiogenesis and</w:t>
      </w:r>
      <w:r w:rsidR="00792590" w:rsidRPr="004147E2">
        <w:rPr>
          <w:lang w:val="en-US"/>
        </w:rPr>
        <w:t xml:space="preserve"> hematopoiesis </w:t>
      </w:r>
      <w:r w:rsidR="00EC2AEC" w:rsidRPr="004147E2">
        <w:rPr>
          <w:noProof/>
          <w:lang w:val="en-US"/>
        </w:rPr>
        <w:fldChar w:fldCharType="begin" w:fldLock="1"/>
      </w:r>
      <w:r w:rsidR="007602F2">
        <w:rPr>
          <w:noProof/>
          <w:lang w:val="en-US"/>
        </w:rPr>
        <w:instrText>ADDIN CSL_CITATION {"citationItems":[{"id":"ITEM-1","itemData":{"DOI":"10.1002/biof.46","author":[{"dropping-particle":"","family":"Nieves","given":"Bonnie J","non-dropping-particle":"","parse-names":false,"suffix":""},{"dropping-particle":"","family":"Amore","given":"Patricia A D","non-dropping-particle":"","parse-names":false,"suffix":""},{"dropping-particle":"","family":"Bryan","given":"Brad A","non-dropping-particle":"","parse-names":false,"suffix":""}],"container-title":"Biofactors","id":"ITEM-1","issue":"4","issued":{"date-parts":[["2009"]]},"page":"332-337","title":"The function of vascular endothelial growth factor","type":"article-journal","volume":"35"},"uris":["http://www.mendeley.com/documents/?uuid=9f7879f2-e765-4a7f-9489-3c8170e0c323","http://www.mendeley.com/documents/?uuid=25eef528-d8de-4234-9bbd-c9d91548e38c"]}],"mendeley":{"formattedCitation":"(Nieves, Amore and Bryan, 2009)","plainTextFormattedCitation":"(Nieves, Amore and Bryan, 2009)","previouslyFormattedCitation":"(Nieves, Amore and Bryan, 2009)"},"properties":{"noteIndex":0},"schema":"https://github.com/citation-style-language/schema/raw/master/csl-citation.json"}</w:instrText>
      </w:r>
      <w:r w:rsidR="00EC2AEC" w:rsidRPr="004147E2">
        <w:rPr>
          <w:noProof/>
          <w:lang w:val="en-US"/>
        </w:rPr>
        <w:fldChar w:fldCharType="separate"/>
      </w:r>
      <w:r w:rsidR="00EC2AEC" w:rsidRPr="004147E2">
        <w:rPr>
          <w:noProof/>
          <w:lang w:val="en-US"/>
        </w:rPr>
        <w:t>(Nieves, Amore and Bryan, 2009)</w:t>
      </w:r>
      <w:r w:rsidR="00EC2AEC" w:rsidRPr="004147E2">
        <w:rPr>
          <w:noProof/>
          <w:lang w:val="en-US"/>
        </w:rPr>
        <w:fldChar w:fldCharType="end"/>
      </w:r>
      <w:r w:rsidR="00D03D22" w:rsidRPr="004147E2">
        <w:rPr>
          <w:noProof/>
          <w:lang w:val="en-US"/>
        </w:rPr>
        <w:t xml:space="preserve"> </w:t>
      </w:r>
      <w:r w:rsidR="00792590" w:rsidRPr="004147E2">
        <w:rPr>
          <w:lang w:val="en-US"/>
        </w:rPr>
        <w:t xml:space="preserve">and </w:t>
      </w:r>
      <w:r w:rsidR="00792590" w:rsidRPr="004147E2">
        <w:rPr>
          <w:i/>
          <w:iCs/>
          <w:lang w:val="en-US"/>
        </w:rPr>
        <w:t>neurofilament heavy chain</w:t>
      </w:r>
      <w:r w:rsidR="00792590" w:rsidRPr="004147E2">
        <w:rPr>
          <w:lang w:val="en-US"/>
        </w:rPr>
        <w:t xml:space="preserve"> (</w:t>
      </w:r>
      <w:proofErr w:type="spellStart"/>
      <w:r w:rsidR="00F76D37" w:rsidRPr="004147E2">
        <w:rPr>
          <w:i/>
          <w:iCs/>
          <w:lang w:val="en-US"/>
        </w:rPr>
        <w:t>nefh</w:t>
      </w:r>
      <w:proofErr w:type="spellEnd"/>
      <w:r w:rsidR="00792590" w:rsidRPr="004147E2">
        <w:rPr>
          <w:lang w:val="en-US"/>
        </w:rPr>
        <w:t xml:space="preserve">), which has a function of </w:t>
      </w:r>
      <w:proofErr w:type="spellStart"/>
      <w:r w:rsidR="00792590" w:rsidRPr="004147E2">
        <w:rPr>
          <w:lang w:val="en-US"/>
        </w:rPr>
        <w:t>axonogenesis</w:t>
      </w:r>
      <w:proofErr w:type="spellEnd"/>
      <w:r w:rsidR="00792590" w:rsidRPr="004147E2">
        <w:rPr>
          <w:lang w:val="en-US"/>
        </w:rPr>
        <w:t xml:space="preserve"> </w:t>
      </w:r>
      <w:r w:rsidR="00EC2AEC" w:rsidRPr="004147E2">
        <w:rPr>
          <w:noProof/>
          <w:lang w:val="en-US"/>
        </w:rPr>
        <w:fldChar w:fldCharType="begin" w:fldLock="1"/>
      </w:r>
      <w:r w:rsidR="007602F2">
        <w:rPr>
          <w:noProof/>
          <w:lang w:val="en-US"/>
        </w:rPr>
        <w:instrText>ADDIN CSL_CITATION {"citationItems":[{"id":"ITEM-1","itemData":{"DOI":"10.1016/j.yexcr.2007.04.010","author":[{"dropping-particle":"","family":"Sihag","given":"Ram K","non-dropping-particle":"","parse-names":false,"suffix":""},{"dropping-particle":"","family":"Inagaki","given":"Masaki","non-dropping-particle":"","parse-names":false,"suffix":""},{"dropping-particle":"","family":"Yamaguchi","given":"Tomoya","non-dropping-particle":"","parse-names":false,"suffix":""},{"dropping-particle":"","family":"Shea","given":"Thomas B","non-dropping-particle":"","parse-names":false,"suffix":""},{"dropping-particle":"","family":"Pant","given":"Harish C","non-dropping-particle":"","parse-names":false,"suffix":""}],"container-title":"Experimental Cell Research","id":"ITEM-1","issue":"10","issued":{"date-parts":[["2007"]]},"page":"2098-109","title":"Role of phosphorylation on the structural dynamics and function of types III and IV intermediate filaments","type":"article-journal","volume":"313"},"uris":["http://www.mendeley.com/documents/?uuid=098661b4-88c6-46ef-81f1-19992cc32323","http://www.mendeley.com/documents/?uuid=c058b91d-e0c9-4cd1-bb22-e61135fc0e78"]}],"mendeley":{"formattedCitation":"(Sihag &lt;i&gt;et al.&lt;/i&gt;, 2007)","plainTextFormattedCitation":"(Sihag et al., 2007)","previouslyFormattedCitation":"(Sihag &lt;i&gt;et al.&lt;/i&gt;, 2007)"},"properties":{"noteIndex":0},"schema":"https://github.com/citation-style-language/schema/raw/master/csl-citation.json"}</w:instrText>
      </w:r>
      <w:r w:rsidR="00EC2AEC" w:rsidRPr="004147E2">
        <w:rPr>
          <w:noProof/>
          <w:lang w:val="en-US"/>
        </w:rPr>
        <w:fldChar w:fldCharType="separate"/>
      </w:r>
      <w:r w:rsidR="00EC2AEC" w:rsidRPr="004147E2">
        <w:rPr>
          <w:noProof/>
          <w:lang w:val="en-US"/>
        </w:rPr>
        <w:t xml:space="preserve">(Sihag </w:t>
      </w:r>
      <w:r w:rsidR="00EC2AEC" w:rsidRPr="004147E2">
        <w:rPr>
          <w:i/>
          <w:noProof/>
          <w:lang w:val="en-US"/>
        </w:rPr>
        <w:t>et al.</w:t>
      </w:r>
      <w:r w:rsidR="00EC2AEC" w:rsidRPr="004147E2">
        <w:rPr>
          <w:noProof/>
          <w:lang w:val="en-US"/>
        </w:rPr>
        <w:t>, 2007)</w:t>
      </w:r>
      <w:r w:rsidR="00EC2AEC" w:rsidRPr="004147E2">
        <w:rPr>
          <w:noProof/>
          <w:lang w:val="en-US"/>
        </w:rPr>
        <w:fldChar w:fldCharType="end"/>
      </w:r>
      <w:r w:rsidR="00792590" w:rsidRPr="004147E2">
        <w:rPr>
          <w:lang w:val="en-US"/>
        </w:rPr>
        <w:t xml:space="preserve">, were differentially spliced. </w:t>
      </w:r>
      <w:r w:rsidR="00795C4D" w:rsidRPr="004147E2">
        <w:rPr>
          <w:lang w:val="en-US"/>
        </w:rPr>
        <w:t>The alternative splicing in these genes may be key to rebuild</w:t>
      </w:r>
      <w:r w:rsidR="00B2647B" w:rsidRPr="004147E2">
        <w:rPr>
          <w:lang w:val="en-US"/>
        </w:rPr>
        <w:t>ing</w:t>
      </w:r>
      <w:r w:rsidR="00795C4D" w:rsidRPr="004147E2">
        <w:rPr>
          <w:lang w:val="en-US"/>
        </w:rPr>
        <w:t xml:space="preserve"> damaged cells</w:t>
      </w:r>
      <w:r w:rsidR="00370786" w:rsidRPr="004147E2">
        <w:rPr>
          <w:lang w:val="en-US"/>
        </w:rPr>
        <w:t>,</w:t>
      </w:r>
      <w:r w:rsidR="00795C4D" w:rsidRPr="004147E2">
        <w:rPr>
          <w:lang w:val="en-US"/>
        </w:rPr>
        <w:t xml:space="preserve"> as </w:t>
      </w:r>
      <w:r w:rsidR="00B2647B" w:rsidRPr="004147E2">
        <w:rPr>
          <w:lang w:val="en-US"/>
        </w:rPr>
        <w:t>elevated temperatures can</w:t>
      </w:r>
      <w:r w:rsidR="00795C4D" w:rsidRPr="004147E2">
        <w:rPr>
          <w:lang w:val="en-US"/>
        </w:rPr>
        <w:t xml:space="preserve"> lead to a subsequent proliferation of </w:t>
      </w:r>
      <w:r w:rsidR="008C2680" w:rsidRPr="004147E2">
        <w:rPr>
          <w:lang w:val="en-US"/>
        </w:rPr>
        <w:t xml:space="preserve">liver cells </w:t>
      </w:r>
      <w:r w:rsidR="00795C4D" w:rsidRPr="004147E2">
        <w:rPr>
          <w:lang w:val="en-US"/>
        </w:rPr>
        <w:t xml:space="preserve">in fish </w:t>
      </w:r>
      <w:r w:rsidR="00EC2AEC" w:rsidRPr="004147E2">
        <w:rPr>
          <w:noProof/>
          <w:lang w:val="en-US"/>
        </w:rPr>
        <w:fldChar w:fldCharType="begin" w:fldLock="1"/>
      </w:r>
      <w:r w:rsidR="007602F2">
        <w:rPr>
          <w:noProof/>
          <w:lang w:val="en-US"/>
        </w:rPr>
        <w:instrText>ADDIN CSL_CITATION {"citationItems":[{"id":"ITEM-1","itemData":{"DOI":"10.1007/BF00005982","ISSN":"03781909","abstract":"Liver regeneration is induced by heat stress in the small viviparous fish, Poeciliopsis. Acute exposure to sublethal temperatures, one to two degrees below their killing temperature, damages tissue and initiates liver cell proliferation in P. lucida, P. monacha, and P. monacha-lucida hybrid clones, SYN-4 and SYN-5. Regeneration of liver cells began within 1-2 days following heat stress and proceeded over 5 days. Peak cell proliferation occurred 2-3 days after treatment in fish of all four genotypes. Cell proliferation was induced in the two all-female clones, SYN-4 and SYN-5, by exposure to 40.5° C for 60 minutes. This treatment imposed mortalities of 17.9% and 16.7%, respectively, whereas reduction of the temperature to 39.5°C and reduction of the time to 30 minutes resulted in no mortalities without significantly lowering the level of cell proliferation (p &gt; 0.05). Liver cell proliferation induced by both heat treatments was significantly higher (p &lt; 0.05) in the SYN-5 hybrids than in SYN-4. The induction of liver cell proliferation with sublethal temperature exposures is discussed as it may relate to chemical carcinogenesis in both feral and laboratory fish. Acute heat exposure may be used experimentally in fish as an independent stimulus for liver cell proliferation in carcinogenesis studies. In poikilothermic animals-heat exposure offers an alternative to surgical removal of approximately two-thirds of the liver, the method most frequently used in rodents to study the process of liver regeneration. © 1993 Kluwer Academic Publishers.","author":[{"dropping-particle":"","family":"Schultz","given":"R. Jack","non-dropping-particle":"","parse-names":false,"suffix":""},{"dropping-particle":"","family":"Kaplan","given":"Lisa A.E.","non-dropping-particle":"","parse-names":false,"suffix":""},{"dropping-particle":"","family":"Schultz","given":"Mary E.","non-dropping-particle":"","parse-names":false,"suffix":""}],"container-title":"Environmental Biology of Fishes","id":"ITEM-1","issue":"1","issued":{"date-parts":[["1993"]]},"page":"83-91","title":"Heat induced liver cell proliferation in the livebearing fish Poeciliopsis","type":"article-journal","volume":"36"},"uris":["http://www.mendeley.com/documents/?uuid=7fed0154-5b49-43ff-969e-102bc3ff04da","http://www.mendeley.com/documents/?uuid=511f464e-31e2-4d0c-8d07-5e00304c7083"]}],"mendeley":{"formattedCitation":"(Schultz, Kaplan and Schultz, 1993)","plainTextFormattedCitation":"(Schultz, Kaplan and Schultz, 1993)","previouslyFormattedCitation":"(Schultz, Kaplan and Schultz, 1993)"},"properties":{"noteIndex":0},"schema":"https://github.com/citation-style-language/schema/raw/master/csl-citation.json"}</w:instrText>
      </w:r>
      <w:r w:rsidR="00EC2AEC" w:rsidRPr="004147E2">
        <w:rPr>
          <w:noProof/>
          <w:lang w:val="en-US"/>
        </w:rPr>
        <w:fldChar w:fldCharType="separate"/>
      </w:r>
      <w:r w:rsidR="00EC2AEC" w:rsidRPr="004147E2">
        <w:rPr>
          <w:noProof/>
          <w:lang w:val="en-US"/>
        </w:rPr>
        <w:t>(Schultz, Kaplan and Schultz, 1993)</w:t>
      </w:r>
      <w:r w:rsidR="00EC2AEC" w:rsidRPr="004147E2">
        <w:rPr>
          <w:noProof/>
          <w:lang w:val="en-US"/>
        </w:rPr>
        <w:fldChar w:fldCharType="end"/>
      </w:r>
      <w:r w:rsidR="00DB4A64" w:rsidRPr="004147E2">
        <w:rPr>
          <w:noProof/>
          <w:lang w:val="en-US"/>
        </w:rPr>
        <w:t xml:space="preserve"> and enlarged fish liver</w:t>
      </w:r>
      <w:r w:rsidR="001A22EB" w:rsidRPr="004147E2">
        <w:rPr>
          <w:noProof/>
          <w:lang w:val="en-US"/>
        </w:rPr>
        <w:t>s</w:t>
      </w:r>
      <w:r w:rsidR="00370786" w:rsidRPr="004147E2">
        <w:rPr>
          <w:noProof/>
          <w:lang w:val="en-US"/>
        </w:rPr>
        <w:t xml:space="preserve"> </w:t>
      </w:r>
      <w:r w:rsidR="00370786" w:rsidRPr="004147E2">
        <w:rPr>
          <w:noProof/>
          <w:lang w:val="en-US"/>
        </w:rPr>
        <w:fldChar w:fldCharType="begin" w:fldLock="1"/>
      </w:r>
      <w:r w:rsidR="00517C3C">
        <w:rPr>
          <w:noProof/>
          <w:lang w:val="en-US"/>
        </w:rPr>
        <w:instrText>ADDIN CSL_CITATION {"citationItems":[{"id":"ITEM-1","itemData":{"DOI":"10.1111/mec.14884","ISSN":"1365294X","PMID":"30267545","abstract":"Global warming will have far-reaching consequences for marine species over coming decades, yet the magnitude of these effects may depend on the rate of warming across generations. Recent experiments show coral reef fishes can compensate the metabolic challenges of elevated temperature when warm conditions are maintained across generations. However, the effects of a gradual temperature increase across generations remain unknown. In the present study, we analysed metabolic and molecular traits in the damselfish Acanthochromis polyacanthus that were exposed to +1.5°C in the first generation and +3.0°C in the second (Step +3.0°C). This treatment of stepwise warming was compared to fish reared at current-day temperatures (Control), second-generation fish of control parents reared at +3.0°C (Developmental +3.0°C) and fish exposed to elevated temperatures for two generations (Transgenerational +1.5°C and Transgenerational +3.0°C). Hepatosomatic index, oxygen consumption and liver gene expression were compared in second-generation fish of the multiple treatments. Hepatosomatic index increased in fish that developed at +3.0°C, regardless of the parental temperature. Routine oxygen consumption of Step +3.0°C fish was significantly higher than Control; however, their aerobic scope recovered to the same level as Control fish. Step +3.0°C fish exhibited significant upregulation of genes related to mitochondrial activity and energy production, which could be associated with their increased metabolic rates. These results indicate that restoration of aerobic scope is possible when fish experience gradual thermal increase across multiple generations, but the metabolic and molecular responses are different from fish reared at the same elevated thermal conditions in successive generations.","author":[{"dropping-particle":"","family":"Bernal","given":"Moisés A.","non-dropping-particle":"","parse-names":false,"suffix":""},{"dropping-particle":"","family":"Donelson","given":"Jennifer M.","non-dropping-particle":"","parse-names":false,"suffix":""},{"dropping-particle":"","family":"Veilleux","given":"Heather D.","non-dropping-particle":"","parse-names":false,"suffix":""},{"dropping-particle":"","family":"Ryu","given":"Taewoo","non-dropping-particle":"","parse-names":false,"suffix":""},{"dropping-particle":"","family":"Munday","given":"Philip L.","non-dropping-particle":"","parse-names":false,"suffix":""},{"dropping-particle":"","family":"Ravasi","given":"Timothy","non-dropping-particle":"","parse-names":false,"suffix":""}],"container-title":"Molecular Ecology","id":"ITEM-1","issue":"22","issued":{"date-parts":[["2018"]]},"page":"4516-4528","title":"Phenotypic and molecular consequences of stepwise temperature increase across generations in a coral reef fish","type":"article-journal","volume":"27"},"uris":["http://www.mendeley.com/documents/?uuid=c6f8909d-50b7-4369-af34-f77e0cb5c202"]}],"mendeley":{"formattedCitation":"(Bernal &lt;i&gt;et al.&lt;/i&gt;, 2018)","plainTextFormattedCitation":"(Bernal et al., 2018)","previouslyFormattedCitation":"(Bernal &lt;i&gt;et al.&lt;/i&gt;, 2018)"},"properties":{"noteIndex":0},"schema":"https://github.com/citation-style-language/schema/raw/master/csl-citation.json"}</w:instrText>
      </w:r>
      <w:r w:rsidR="00370786" w:rsidRPr="004147E2">
        <w:rPr>
          <w:noProof/>
          <w:lang w:val="en-US"/>
        </w:rPr>
        <w:fldChar w:fldCharType="separate"/>
      </w:r>
      <w:r w:rsidR="00370786" w:rsidRPr="004147E2">
        <w:rPr>
          <w:noProof/>
          <w:lang w:val="en-US"/>
        </w:rPr>
        <w:t xml:space="preserve">(Bernal </w:t>
      </w:r>
      <w:r w:rsidR="00370786" w:rsidRPr="004147E2">
        <w:rPr>
          <w:i/>
          <w:noProof/>
          <w:lang w:val="en-US"/>
        </w:rPr>
        <w:t>et al.</w:t>
      </w:r>
      <w:r w:rsidR="00370786" w:rsidRPr="004147E2">
        <w:rPr>
          <w:noProof/>
          <w:lang w:val="en-US"/>
        </w:rPr>
        <w:t>, 2018)</w:t>
      </w:r>
      <w:r w:rsidR="00370786" w:rsidRPr="004147E2">
        <w:rPr>
          <w:noProof/>
          <w:lang w:val="en-US"/>
        </w:rPr>
        <w:fldChar w:fldCharType="end"/>
      </w:r>
      <w:r w:rsidR="00795C4D" w:rsidRPr="004147E2">
        <w:rPr>
          <w:noProof/>
          <w:lang w:val="en-US"/>
        </w:rPr>
        <w:t>.</w:t>
      </w:r>
      <w:r w:rsidR="00476914" w:rsidRPr="004147E2">
        <w:rPr>
          <w:lang w:val="en-US"/>
        </w:rPr>
        <w:t xml:space="preserve"> </w:t>
      </w:r>
      <w:r w:rsidR="008C2680" w:rsidRPr="004147E2">
        <w:rPr>
          <w:lang w:val="en-US"/>
        </w:rPr>
        <w:t xml:space="preserve">These </w:t>
      </w:r>
      <w:r w:rsidR="00795C4D" w:rsidRPr="004147E2">
        <w:rPr>
          <w:lang w:val="en-US"/>
        </w:rPr>
        <w:t xml:space="preserve">transcriptional </w:t>
      </w:r>
      <w:r w:rsidR="008C2680" w:rsidRPr="004147E2">
        <w:rPr>
          <w:lang w:val="en-US"/>
        </w:rPr>
        <w:t xml:space="preserve">changes may </w:t>
      </w:r>
      <w:r w:rsidR="00795C4D" w:rsidRPr="004147E2">
        <w:rPr>
          <w:lang w:val="en-US"/>
        </w:rPr>
        <w:t xml:space="preserve">therefore </w:t>
      </w:r>
      <w:r w:rsidR="008C2680" w:rsidRPr="004147E2">
        <w:rPr>
          <w:lang w:val="en-US"/>
        </w:rPr>
        <w:t xml:space="preserve">indicate post-damage recovery of the liver during the </w:t>
      </w:r>
      <w:r w:rsidR="00D4455E">
        <w:rPr>
          <w:lang w:val="en-US"/>
        </w:rPr>
        <w:t>decline per</w:t>
      </w:r>
      <w:r w:rsidR="008C2680" w:rsidRPr="004147E2">
        <w:rPr>
          <w:lang w:val="en-US"/>
        </w:rPr>
        <w:t>iod of the heatwave.</w:t>
      </w:r>
    </w:p>
    <w:p w14:paraId="46E594BB" w14:textId="11838281" w:rsidR="001C3BD7" w:rsidRDefault="001C3BD7" w:rsidP="001C3BD7">
      <w:pPr>
        <w:spacing w:line="480" w:lineRule="auto"/>
        <w:ind w:firstLine="720"/>
        <w:jc w:val="both"/>
      </w:pPr>
      <w:r w:rsidRPr="004147E2">
        <w:t xml:space="preserve">Considering that genes involved </w:t>
      </w:r>
      <w:r w:rsidR="00C513A8" w:rsidRPr="004147E2">
        <w:t>with splicing</w:t>
      </w:r>
      <w:r w:rsidRPr="004147E2">
        <w:t xml:space="preserve"> were </w:t>
      </w:r>
      <w:r w:rsidR="001A22EB" w:rsidRPr="004147E2">
        <w:t>themselves</w:t>
      </w:r>
      <w:r w:rsidR="00C513A8" w:rsidRPr="004147E2">
        <w:t xml:space="preserve"> differentially spliced</w:t>
      </w:r>
      <w:r w:rsidR="001A22EB" w:rsidRPr="004147E2">
        <w:t xml:space="preserve"> </w:t>
      </w:r>
      <w:r w:rsidRPr="004147E2">
        <w:t xml:space="preserve">in different heatwave periods, </w:t>
      </w:r>
      <w:r w:rsidR="008F2229" w:rsidRPr="004147E2">
        <w:t xml:space="preserve">they </w:t>
      </w:r>
      <w:r w:rsidRPr="004147E2">
        <w:t>may be regulated</w:t>
      </w:r>
      <w:r w:rsidR="004424BD" w:rsidRPr="004147E2">
        <w:t xml:space="preserve"> </w:t>
      </w:r>
      <w:r w:rsidR="00C513A8" w:rsidRPr="004147E2">
        <w:t xml:space="preserve">during environmental changes </w:t>
      </w:r>
      <w:r w:rsidRPr="004147E2">
        <w:t xml:space="preserve">for </w:t>
      </w:r>
      <w:r w:rsidR="00C513A8" w:rsidRPr="004147E2">
        <w:t xml:space="preserve">maintaining </w:t>
      </w:r>
      <w:r w:rsidRPr="004147E2">
        <w:t>gene functions and control of splicing pattern</w:t>
      </w:r>
      <w:r w:rsidR="00C513A8" w:rsidRPr="004147E2">
        <w:t>s</w:t>
      </w:r>
      <w:r w:rsidRPr="004147E2">
        <w:t xml:space="preserve">. The splicing factors and the splicing-associated genes, such as </w:t>
      </w:r>
      <w:r w:rsidRPr="004147E2">
        <w:rPr>
          <w:i/>
          <w:iCs/>
        </w:rPr>
        <w:t>serine/ arginine rich splicing factor</w:t>
      </w:r>
      <w:r w:rsidRPr="004147E2">
        <w:t xml:space="preserve"> 7 (</w:t>
      </w:r>
      <w:r w:rsidRPr="004147E2">
        <w:rPr>
          <w:i/>
          <w:iCs/>
        </w:rPr>
        <w:t>srsf7</w:t>
      </w:r>
      <w:r w:rsidRPr="004147E2">
        <w:t xml:space="preserve">), </w:t>
      </w:r>
      <w:r w:rsidRPr="004147E2">
        <w:rPr>
          <w:i/>
          <w:iCs/>
        </w:rPr>
        <w:t>KH-type splicing regulatory protein</w:t>
      </w:r>
      <w:r w:rsidRPr="004147E2">
        <w:t xml:space="preserve"> (</w:t>
      </w:r>
      <w:proofErr w:type="spellStart"/>
      <w:r w:rsidRPr="004147E2">
        <w:rPr>
          <w:i/>
          <w:iCs/>
        </w:rPr>
        <w:t>khsrp</w:t>
      </w:r>
      <w:proofErr w:type="spellEnd"/>
      <w:r w:rsidRPr="004147E2">
        <w:t>)</w:t>
      </w:r>
      <w:r w:rsidR="001D0AA3" w:rsidRPr="004147E2">
        <w:t xml:space="preserve">, </w:t>
      </w:r>
      <w:r w:rsidRPr="004147E2">
        <w:rPr>
          <w:i/>
          <w:iCs/>
        </w:rPr>
        <w:t>small nuclear ribonucleoprotein polypeptide a'</w:t>
      </w:r>
      <w:r w:rsidRPr="004147E2">
        <w:t xml:space="preserve"> (</w:t>
      </w:r>
      <w:r w:rsidRPr="004147E2">
        <w:rPr>
          <w:i/>
          <w:iCs/>
        </w:rPr>
        <w:t>snrpa1</w:t>
      </w:r>
      <w:r w:rsidRPr="004147E2">
        <w:t xml:space="preserve">) </w:t>
      </w:r>
      <w:r w:rsidR="001D0AA3" w:rsidRPr="004147E2">
        <w:t xml:space="preserve">and </w:t>
      </w:r>
      <w:r w:rsidR="001D0AA3" w:rsidRPr="004147E2">
        <w:rPr>
          <w:i/>
          <w:iCs/>
        </w:rPr>
        <w:t xml:space="preserve">CDC Like Kinase 4 </w:t>
      </w:r>
      <w:r w:rsidR="001D0AA3" w:rsidRPr="004147E2">
        <w:t>(</w:t>
      </w:r>
      <w:r w:rsidR="001D0AA3" w:rsidRPr="004147E2">
        <w:rPr>
          <w:i/>
          <w:iCs/>
        </w:rPr>
        <w:t>clk4</w:t>
      </w:r>
      <w:r w:rsidR="001D0AA3" w:rsidRPr="004147E2">
        <w:t xml:space="preserve">) </w:t>
      </w:r>
      <w:r w:rsidRPr="004147E2">
        <w:t xml:space="preserve">were identified as DS genes. </w:t>
      </w:r>
      <w:r w:rsidR="001D0AA3" w:rsidRPr="004147E2">
        <w:t xml:space="preserve">Splicing factors have also been identified as differentially spliced under </w:t>
      </w:r>
      <w:r w:rsidR="001D0AA3" w:rsidRPr="00371255">
        <w:t xml:space="preserve">thermal stress in catfishes </w:t>
      </w:r>
      <w:r w:rsidR="001D0AA3" w:rsidRPr="00371255">
        <w:rPr>
          <w:noProof/>
        </w:rPr>
        <w:fldChar w:fldCharType="begin" w:fldLock="1"/>
      </w:r>
      <w:r w:rsidR="00EF730B">
        <w:rPr>
          <w:noProof/>
        </w:rPr>
        <w:instrText>ADDIN CSL_CITATION {"citationItems":[{"id":"ITEM-1","itemData":{"DOI":"10.1016/j.cbd.2018.11.008","ISBN":"3154432094","ISSN":"18780407","PMID":"30481682","abstract":"Heat tolerance is increasingly becoming an important trait for aquaculture species with a changing climate. Transcriptional studies on responses to heat stress have been conducted in catfish, one of the most important economic aquaculture species around the world. The molecular mechanisms underlying heat tolerance is still poorly understood, especially at the post-transcriptional level including regulation of alternative splicing. In this study, existing RNA-Seq datasets were utilized to characterize the change of alternative splicing in catfish following heat treatment. Heat-tolerant and -intolerant catfish were differentiated by the time to lost equilibrium after heat stress. With heat stress, alternative splicing was generally increased. In heat-intolerant fish, the thermal stress induced 29.2% increases in alternative splicing events and 25.8% increases in alternatively spliced genes. A total of 282, 189, and 44 differential alternative splicing (DAS) events were identified in control-intolerant, control-tolerant, and intolerant-tolerant comparisons, corresponding to 252, 171, and 42 genes, respectively. Gene ontology analyses showed that genes involved in the molecular function of RNA binding were significantly enriched in DAS gene sets after heat stress in both heat-intolerant and -tolerant catfish compared with the control group. Similar results were also observed in the DAS genes between heat-intolerant and -tolerant catfish, and the biological process of RNA splicing was also enriched in this comparison, indicating the involvement of RNA splicing-related genes underlying heat tolerance. This is the first comprehensive study of alternative splicing in response to heat stress in fish species, providing insights into the molecular mechanisms of responses to the abiotic stress.","author":[{"dropping-particle":"","family":"Tan","given":"Suxu","non-dropping-particle":"","parse-names":false,"suffix":""},{"dropping-particle":"","family":"Wang","given":"Wenwen","non-dropping-particle":"","parse-names":false,"suffix":""},{"dropping-particle":"","family":"Tian","given":"Changxu","non-dropping-particle":"","parse-names":false,"suffix":""},{"dropping-particle":"","family":"Niu","given":"Donghong","non-dropping-par</w:instrText>
      </w:r>
      <w:r w:rsidR="00EF730B" w:rsidRPr="00CA1AC0">
        <w:rPr>
          <w:noProof/>
          <w:lang w:val="es-ES"/>
        </w:rPr>
        <w:instrText>ticle":"","parse-names":false,"suffix":""},{"dropping-particle":"","family":"Zhou","given":"Tao","non-dropping-particle":"","parse-names":false,"suffix":""},{"dropping-particle":"","family":"Jin","given":"Yulin","non-dropping-particle":"","parse-names":false,"suffix":""},{"dropping-particle":"","family":"Yang","given":"Yujia","non-dropping-particle":"","parse-names":false,"suffix":""},{"dropping-particle":"","family":"Gao","given":"Dongya","non-dropping-particle":"","parse-names":false,"suffix":""},{"dropping-particle":"","family":"Dunham","given":"Rex","non-dropping-particle":"","parse-names":false,"suffix":""},{"dropping-particle":"","family":"Liu","given":"Zhanjiang","non-dropping-particle":"","parse-names":false,"suffix":""}],"container-title":"Comparative Biochemistry and Physiology - Part D: Genomics and Proteomics","id":"ITEM-1","issued":{"date-parts":[["2019"]]},"page":"166-172","title":"Heat stress induced alternative splicing in catfish as determined by transcriptome analysis","type":"article-journal","volume":"29"},"uris":["http://www.mendeley.com/documents/?uuid=093b855d-eba4-429d-b6c4-214fb881f3ca","http://www.mendeley.com/documents/?uuid=19232413-066b-4930-981c-90fa2d59b3e4"]}],"mendeley":{"formattedCitation":"(Tan &lt;i&gt;et al.&lt;/i&gt;, 2019)","plainTextFormattedCitation":"(Tan et al., 2019)","previouslyFormattedCitation":"(Tan &lt;i&gt;et al.&lt;/i&gt;, 2019)"},"properties":{"noteIndex":0},"schema":"https://github.com/citation-style-language/schema/raw/master/csl-citation.json"}</w:instrText>
      </w:r>
      <w:r w:rsidR="001D0AA3" w:rsidRPr="00371255">
        <w:rPr>
          <w:noProof/>
        </w:rPr>
        <w:fldChar w:fldCharType="separate"/>
      </w:r>
      <w:r w:rsidR="001D0AA3" w:rsidRPr="00660461">
        <w:rPr>
          <w:noProof/>
          <w:lang w:val="es-ES"/>
        </w:rPr>
        <w:t xml:space="preserve">(Tan </w:t>
      </w:r>
      <w:r w:rsidR="001D0AA3" w:rsidRPr="00660461">
        <w:rPr>
          <w:i/>
          <w:noProof/>
          <w:lang w:val="es-ES"/>
        </w:rPr>
        <w:t>et al.</w:t>
      </w:r>
      <w:r w:rsidR="001D0AA3" w:rsidRPr="00660461">
        <w:rPr>
          <w:noProof/>
          <w:lang w:val="es-ES"/>
        </w:rPr>
        <w:t>, 2019)</w:t>
      </w:r>
      <w:r w:rsidR="001D0AA3" w:rsidRPr="00371255">
        <w:rPr>
          <w:noProof/>
        </w:rPr>
        <w:fldChar w:fldCharType="end"/>
      </w:r>
      <w:r w:rsidR="001D0AA3" w:rsidRPr="00660461">
        <w:rPr>
          <w:noProof/>
          <w:lang w:val="es-ES"/>
        </w:rPr>
        <w:t xml:space="preserve">, </w:t>
      </w:r>
      <w:proofErr w:type="spellStart"/>
      <w:r w:rsidR="001D0AA3" w:rsidRPr="00660461">
        <w:rPr>
          <w:lang w:val="es-ES"/>
        </w:rPr>
        <w:t>plants</w:t>
      </w:r>
      <w:proofErr w:type="spellEnd"/>
      <w:r w:rsidR="001D0AA3" w:rsidRPr="00660461">
        <w:rPr>
          <w:lang w:val="es-ES"/>
        </w:rPr>
        <w:t xml:space="preserve"> </w:t>
      </w:r>
      <w:r w:rsidR="001D0AA3" w:rsidRPr="00371255">
        <w:rPr>
          <w:noProof/>
        </w:rPr>
        <w:fldChar w:fldCharType="begin" w:fldLock="1"/>
      </w:r>
      <w:r w:rsidR="007602F2" w:rsidRPr="00CA1AC0">
        <w:rPr>
          <w:noProof/>
          <w:lang w:val="es-ES"/>
        </w:rPr>
        <w:instrText>ADDIN CSL_CITATION {"citationItems":[{"id":"ITEM-1","itemData":{"DOI":"10.1111/j.1365-313X.2006.03020.x","ISSN":"09607412","PMID":"17319848","abstract":"Precursor mRNAs with introns can undergo alternative splicing (AS) to produce structurally and functionally different proteins from the same gene. Here, we show that the pre-mRNAs of Arabidopsis genes that encode serine/arginine-rich (SR) proteins, a conserved family of splicing regulators in eukaryotes, are extensively alternatively spliced. Remarkably about 95 transcripts are produced from only 15 genes, thereby increasing the complexity of the SR gene family transcriptome by six-fold. The AS of some SR genes is controlled in a developmental and tissue-specific manner. Interestingly, among the various hormones and abiotic stresses tested, temperature stress (cold and heat) dramatically altered the AS of pre-mRNAs of several SR genes, whereas hormones altered the splicing of only three SR genes. These results indicate that abiotic stresses regulate the AS of the pre-mRNAs of SR genes to produce different isoforms of SR proteins that are likely to have altered function(s) in pre-mRNA splicing. Sequence analysis of splice variants revealed that predicted proteins from a majority of these variants either lack one or more modular domains or contain truncated domains. Because of the modular nature of the various domains in SR proteins, the proteins produced from splice variants are likely to have distinct functions. Together our results indicate that Arabidopsis SR genes generate surprisingly large transcriptome complexity, which is altered by stresses and hormones. © 2007 The Authors Journal compilation 2007 Blackwell Publishing Ltd.","author":[{"dropping-particle":"","family":"Palusa","given":"Saiprasad Goud","non-dropping-particle":"","parse-names":false,"suffix":""},{"dropping-particle":"","family":"Ali","given":"Gul Shad","non-dropping-particle":"","parse-names":false,"suffix":""},{"dropping-particle":"","family":"Reddy","given":"Anireddy S.N.","non-dropping-particle":"","parse-names":false,"suffix":""}],"container-title":"Plant Journal","id":"ITEM-1","issue":"6","issued":{"date-parts":[["2007"]]},"page":"1091-1107","title":"Alternative splicing of pre-mRNAs of Arabidopsis serine/arginine-rich proteins: Regulation by hormones and stresses","type":"article-journal","volume":"49"},"uris":["http://www.mendeley.com/documents/?uuid=32688ad5-7dfe-4a88-ba0c-b7bf1135bde9","http://www.mendeley.com/documents/?uuid=08e5c1ef-5ae8-4713-a344-d84697d1db67"]}],"mendeley":{"formattedCitation":"(Palusa, Ali and Reddy, 2007)","plainTextFormattedCitation":"(Palusa, Ali and Reddy, 2007)","previouslyFormattedCitation":"(Palusa, Ali and Reddy, 2007)"},"properties":{"noteIndex":0},"schema":"https://github.com/citation-style-language/schema/raw/master/csl-citation.json"}</w:instrText>
      </w:r>
      <w:r w:rsidR="001D0AA3" w:rsidRPr="00371255">
        <w:rPr>
          <w:noProof/>
        </w:rPr>
        <w:fldChar w:fldCharType="separate"/>
      </w:r>
      <w:r w:rsidR="001D0AA3" w:rsidRPr="00660461">
        <w:rPr>
          <w:noProof/>
          <w:lang w:val="es-ES"/>
        </w:rPr>
        <w:t>(Palusa, Ali and Reddy, 2007)</w:t>
      </w:r>
      <w:r w:rsidR="001D0AA3" w:rsidRPr="00371255">
        <w:rPr>
          <w:noProof/>
        </w:rPr>
        <w:fldChar w:fldCharType="end"/>
      </w:r>
      <w:r w:rsidR="001D0AA3" w:rsidRPr="00660461">
        <w:rPr>
          <w:noProof/>
          <w:lang w:val="es-ES"/>
        </w:rPr>
        <w:t xml:space="preserve"> </w:t>
      </w:r>
      <w:r w:rsidR="001D0AA3" w:rsidRPr="00660461">
        <w:rPr>
          <w:lang w:val="es-ES"/>
        </w:rPr>
        <w:t xml:space="preserve">and </w:t>
      </w:r>
      <w:proofErr w:type="spellStart"/>
      <w:r w:rsidR="001D0AA3" w:rsidRPr="00660461">
        <w:rPr>
          <w:lang w:val="es-ES"/>
        </w:rPr>
        <w:t>mammals</w:t>
      </w:r>
      <w:proofErr w:type="spellEnd"/>
      <w:r w:rsidR="001D0AA3" w:rsidRPr="00660461">
        <w:rPr>
          <w:lang w:val="es-ES"/>
        </w:rPr>
        <w:t xml:space="preserve"> </w:t>
      </w:r>
      <w:r w:rsidR="001D0AA3" w:rsidRPr="00371255">
        <w:rPr>
          <w:noProof/>
        </w:rPr>
        <w:fldChar w:fldCharType="begin" w:fldLock="1"/>
      </w:r>
      <w:r w:rsidR="007602F2" w:rsidRPr="00CA1AC0">
        <w:rPr>
          <w:noProof/>
          <w:lang w:val="es-ES"/>
        </w:rPr>
        <w:instrText>ADDIN CSL_CITATION {"citationItems":[{"id":"ITEM-1","itemData":{"DOI":"10.1111/gtc.12400","ISSN":"13652443","PMID":"27491955","abstract":"Pre-mRNA splicing is widely repressed upon heat shock in eukaryotic cells. However, it has been shown that HSP105 pre-mRNA is alternatively spliced in response to heat stress. Using RNAi screening in HeLa cells, we found that RNA-binding proteins hnRNP K and PSF/SFPQ are necessary for the exon 12 exclusion of HSP105 during heat stress. Moreover, exon array analyses showed that a group of genes is alternatively spliced during heat stress in an hnRNP K-dependent manner, whereas hnRNP K is not necessary for the stress-induced alternative splicing of the remaining genes. Among the latter group, we found that SRp38/SRSF10 and SC35/SRSF2 are necessary for the inclusion of exon 13 of TNRC6A during heat stress. Thus, our study clearly showed that several RNA-binding proteins are involved in the splicing regulation in response to heat stress in mammalian cells.","author":[{"dropping-particle":"","family":"Yamamoto","given":"Koichi","non-dropping-particle":"","parse-names":false,"suffix":""},{"dropping-particle":"","family":"Furukawa","given":"Mari T.","non-dropping-particle":"","parse-names":false,"suffix":""},{"dropping-particle":"","family":"Fukumura","given":"Kazuhiro","non-</w:instrText>
      </w:r>
      <w:r w:rsidR="007602F2" w:rsidRPr="007059F2">
        <w:rPr>
          <w:noProof/>
        </w:rPr>
        <w:instrText>dropping-particle":"","parse-names":false,"suffix":""},{"dropping-particle":"","family":"Kawamura","given":"Arisa","non-dropping-pa</w:instrText>
      </w:r>
      <w:r w:rsidR="007602F2" w:rsidRPr="00F60ACD">
        <w:rPr>
          <w:noProof/>
          <w:lang w:val="en-US"/>
        </w:rPr>
        <w:instrText>rticle":"","parse-names":false,"suffix":""},{"dropping-particle":"","family":"Yamada","given":"Tomoko","non-dropping-particle":"","parse-names":false,"suffix":""},{"dropping-particle":"","family":"Suzuki","given":"Hitoshi","non-dropping-particle":"","parse-names":false,"suffix":""},{"dropping-particle":"","family":"Hirose","given":"Tetsuro","non-dropping-particle":"","parse-names":false,"suffix":""},{"dropping-particle":"","family":"Sakamoto","given":"Hiroshi","non-dropping-particle":"","parse-names":false,"suffix":""},{"dropping-particle":"","family":"Inoue","given":"Kunio","non-dropping-particle":"","parse-names":false,"suffix":""}],"container-title":"Genes to Cells","id":"ITEM-1","issue":"9","issued":{"date-parts":[["2016"]]},"page":"1006-1014","title":"Control of the heat stress-induced alternative splicing of a subset of genes by hnRNP K","type":"article-journal","volume":"21"},"uris":["http://www.mendeley.com/documents/?uuid=f8de2f80-cc0d-4514-9417-701186fce0e4","http://www.mendeley.com/documents/?uuid=74e3ade6-3a40-4254-941a-562aab658a68"]}],"mendeley":{"formattedCitation":"(Yamamoto &lt;i&gt;et al.&lt;/i&gt;, 2016)","plainTextFormattedCitation":"(Yamamoto et al., 2016)","previouslyFormattedCitation":"(Yamamoto &lt;i&gt;et al.&lt;/i&gt;, 2016)"},"properties":{"noteIndex":0},"schema":"https://github.com/citation-style-language/schema/raw/master/csl-citation.json"}</w:instrText>
      </w:r>
      <w:r w:rsidR="001D0AA3" w:rsidRPr="00371255">
        <w:rPr>
          <w:noProof/>
        </w:rPr>
        <w:fldChar w:fldCharType="separate"/>
      </w:r>
      <w:r w:rsidR="001D0AA3" w:rsidRPr="00371255">
        <w:rPr>
          <w:noProof/>
        </w:rPr>
        <w:t xml:space="preserve">(Yamamoto </w:t>
      </w:r>
      <w:r w:rsidR="001D0AA3" w:rsidRPr="00371255">
        <w:rPr>
          <w:i/>
          <w:noProof/>
        </w:rPr>
        <w:t>et al.</w:t>
      </w:r>
      <w:r w:rsidR="001D0AA3" w:rsidRPr="00371255">
        <w:rPr>
          <w:noProof/>
        </w:rPr>
        <w:t>, 2016)</w:t>
      </w:r>
      <w:r w:rsidR="001D0AA3" w:rsidRPr="00371255">
        <w:rPr>
          <w:noProof/>
        </w:rPr>
        <w:fldChar w:fldCharType="end"/>
      </w:r>
      <w:r w:rsidR="001D0AA3" w:rsidRPr="00371255">
        <w:rPr>
          <w:noProof/>
        </w:rPr>
        <w:t xml:space="preserve">. </w:t>
      </w:r>
      <w:r w:rsidRPr="00371255">
        <w:t xml:space="preserve">These genes directly participate in different aspects of the splicing process, </w:t>
      </w:r>
      <w:r w:rsidR="00FC0168" w:rsidRPr="00371255">
        <w:t>including</w:t>
      </w:r>
      <w:r w:rsidRPr="00371255">
        <w:t xml:space="preserve"> formation of the spliceosome complex</w:t>
      </w:r>
      <w:r w:rsidR="00FC0168" w:rsidRPr="00371255">
        <w:t xml:space="preserve">, which </w:t>
      </w:r>
      <w:r w:rsidRPr="00371255">
        <w:t xml:space="preserve">may in turn control the splicing of other mRNAs under heat stress. </w:t>
      </w:r>
      <w:r w:rsidR="000E6E6D" w:rsidRPr="00371255">
        <w:t>A</w:t>
      </w:r>
      <w:r w:rsidRPr="00371255">
        <w:t xml:space="preserve"> study on </w:t>
      </w:r>
      <w:r w:rsidRPr="00371255">
        <w:rPr>
          <w:rFonts w:ascii="Calibri" w:hAnsi="Calibri" w:cs="Calibri"/>
        </w:rPr>
        <w:t>﻿</w:t>
      </w:r>
      <w:r w:rsidRPr="00371255">
        <w:t>mice</w:t>
      </w:r>
      <w:r w:rsidR="000E6E6D" w:rsidRPr="00371255">
        <w:t>, for example,</w:t>
      </w:r>
      <w:r w:rsidRPr="00371255">
        <w:t xml:space="preserve"> concluded that heat stress could lead to dephosphorylation of serine/arginine-rich splicing factors </w:t>
      </w:r>
      <w:r w:rsidR="00B55FA7" w:rsidRPr="00371255">
        <w:t xml:space="preserve">(SRSF) </w:t>
      </w:r>
      <w:r w:rsidRPr="00371255">
        <w:t xml:space="preserve">which represses the normal splicing scheme, while CDC like kinase </w:t>
      </w:r>
      <w:r w:rsidR="00CC1332" w:rsidRPr="00371255">
        <w:t>isoforms</w:t>
      </w:r>
      <w:r w:rsidR="00C8494F" w:rsidRPr="00371255">
        <w:t xml:space="preserve"> produced by alternative splicing</w:t>
      </w:r>
      <w:r w:rsidR="00FC1E06" w:rsidRPr="00371255">
        <w:t xml:space="preserve"> </w:t>
      </w:r>
      <w:r w:rsidR="00AA1903" w:rsidRPr="00371255">
        <w:t xml:space="preserve">showed </w:t>
      </w:r>
      <w:r w:rsidR="0009098E" w:rsidRPr="00371255">
        <w:t>the</w:t>
      </w:r>
      <w:r w:rsidR="00AA1903" w:rsidRPr="00371255">
        <w:t xml:space="preserve"> ability</w:t>
      </w:r>
      <w:r w:rsidRPr="00371255">
        <w:t xml:space="preserve"> to recover the </w:t>
      </w:r>
      <w:r w:rsidRPr="00371255">
        <w:lastRenderedPageBreak/>
        <w:t xml:space="preserve">phosphorylation status of dephosphorylated SRSF </w:t>
      </w:r>
      <w:r w:rsidR="00A83EEC" w:rsidRPr="00371255">
        <w:t xml:space="preserve">rapidly </w:t>
      </w:r>
      <w:r w:rsidRPr="00371255">
        <w:t xml:space="preserve">after the heat stress </w:t>
      </w:r>
      <w:r w:rsidRPr="00371255">
        <w:rPr>
          <w:rFonts w:eastAsiaTheme="minorEastAsia"/>
          <w:noProof/>
          <w:lang w:val="en-GB"/>
        </w:rPr>
        <w:t xml:space="preserve">(Ninomiya, Kataoka and Hagiwara, 2011). </w:t>
      </w:r>
      <w:r w:rsidRPr="00371255">
        <w:t>Hence, the alternative splicing mechanism may be flexibly controlled by the interact</w:t>
      </w:r>
      <w:r w:rsidR="00E11F09" w:rsidRPr="00371255">
        <w:t xml:space="preserve">ion of </w:t>
      </w:r>
      <w:r w:rsidRPr="00371255">
        <w:t>splicing proteins. This highly complex splicing regulation might have a significant contribution to plasticity of the fish proteome in response to thermal stress</w:t>
      </w:r>
      <w:r w:rsidR="00C513A8" w:rsidRPr="00371255">
        <w:t>, and this response appears to be conserved across both plants and animals</w:t>
      </w:r>
      <w:r w:rsidRPr="00371255">
        <w:t xml:space="preserve">. </w:t>
      </w:r>
    </w:p>
    <w:p w14:paraId="6B0A44F6" w14:textId="16F86CCC" w:rsidR="002F504E" w:rsidRPr="003F7006" w:rsidRDefault="002F504E" w:rsidP="00635611">
      <w:pPr>
        <w:spacing w:line="480" w:lineRule="auto"/>
        <w:ind w:firstLine="720"/>
        <w:jc w:val="both"/>
        <w:rPr>
          <w:rFonts w:eastAsia="MS Mincho"/>
          <w:lang w:val="en-US"/>
        </w:rPr>
      </w:pPr>
      <w:r w:rsidRPr="004147E2">
        <w:t>The collection of samples across different time points of the heatwave allowed us to evaluate DS during the onset, middle, and end of the acute warming.</w:t>
      </w:r>
      <w:r>
        <w:t xml:space="preserve"> </w:t>
      </w:r>
      <w:r>
        <w:rPr>
          <w:rFonts w:eastAsia="MS Mincho"/>
          <w:lang w:val="en-US"/>
        </w:rPr>
        <w:t xml:space="preserve">It is important to highlight that one of the main characteristics of this study is that </w:t>
      </w:r>
      <w:r w:rsidRPr="004147E2">
        <w:rPr>
          <w:rFonts w:eastAsia="MS Mincho"/>
          <w:lang w:val="en-US"/>
        </w:rPr>
        <w:t xml:space="preserve">our fish came from </w:t>
      </w:r>
      <w:r>
        <w:rPr>
          <w:rFonts w:eastAsia="MS Mincho"/>
          <w:lang w:val="en-US"/>
        </w:rPr>
        <w:t>natural populations, which gives us direct evidence of how fishes respond to heatwaves in the wild</w:t>
      </w:r>
      <w:r w:rsidR="00552139">
        <w:rPr>
          <w:rFonts w:eastAsia="MS Mincho"/>
          <w:lang w:val="en-US"/>
        </w:rPr>
        <w:t>. This though creates</w:t>
      </w:r>
      <w:r w:rsidR="00772012">
        <w:rPr>
          <w:rFonts w:eastAsia="MS Mincho"/>
          <w:lang w:val="en-US"/>
        </w:rPr>
        <w:t xml:space="preserve"> the</w:t>
      </w:r>
      <w:r w:rsidR="00552139">
        <w:rPr>
          <w:rFonts w:eastAsia="MS Mincho"/>
          <w:lang w:val="en-US"/>
        </w:rPr>
        <w:t xml:space="preserve"> </w:t>
      </w:r>
      <w:r>
        <w:rPr>
          <w:rFonts w:eastAsia="MS Mincho"/>
          <w:lang w:val="en-US"/>
        </w:rPr>
        <w:t>limitation that other environmental variables could be confounding the effects of acute warming. For example, changes in food availability promoted by the heatwave could not be directly studied in this analysis. Further, seasonal changes</w:t>
      </w:r>
      <w:r w:rsidRPr="004147E2">
        <w:rPr>
          <w:rFonts w:eastAsia="MS Mincho"/>
          <w:lang w:val="en-US"/>
        </w:rPr>
        <w:t xml:space="preserve"> </w:t>
      </w:r>
      <w:r>
        <w:rPr>
          <w:rFonts w:eastAsia="MS Mincho"/>
          <w:lang w:val="en-US"/>
        </w:rPr>
        <w:t xml:space="preserve">that are associated with the natural life cycle of </w:t>
      </w:r>
      <w:r w:rsidRPr="00A423AC">
        <w:rPr>
          <w:rFonts w:eastAsia="MS Mincho"/>
          <w:i/>
          <w:lang w:val="en-US"/>
        </w:rPr>
        <w:t xml:space="preserve">A. </w:t>
      </w:r>
      <w:proofErr w:type="spellStart"/>
      <w:r w:rsidRPr="00A423AC">
        <w:rPr>
          <w:rFonts w:eastAsia="MS Mincho"/>
          <w:i/>
          <w:lang w:val="en-US"/>
        </w:rPr>
        <w:t>poly</w:t>
      </w:r>
      <w:r>
        <w:rPr>
          <w:rFonts w:eastAsia="MS Mincho"/>
          <w:i/>
          <w:lang w:val="en-US"/>
        </w:rPr>
        <w:t>a</w:t>
      </w:r>
      <w:r w:rsidRPr="00A423AC">
        <w:rPr>
          <w:rFonts w:eastAsia="MS Mincho"/>
          <w:i/>
          <w:lang w:val="en-US"/>
        </w:rPr>
        <w:t>canthus</w:t>
      </w:r>
      <w:proofErr w:type="spellEnd"/>
      <w:r>
        <w:rPr>
          <w:rFonts w:eastAsia="MS Mincho"/>
          <w:lang w:val="en-US"/>
        </w:rPr>
        <w:t xml:space="preserve"> remain unknown. </w:t>
      </w:r>
      <w:r w:rsidR="00552139">
        <w:rPr>
          <w:rFonts w:eastAsia="MS Mincho"/>
          <w:lang w:val="en-US"/>
        </w:rPr>
        <w:t xml:space="preserve">Ideally, a ‘control year’ without a heatwave would allow us to evaluate more in depth the processes driven by the heat exposure. However, the year after 2015/2016 was another year with a thermal anomaly and unfortunately such a collection of samples was not possible. </w:t>
      </w:r>
      <w:r w:rsidR="003C0E8D">
        <w:rPr>
          <w:rFonts w:eastAsia="MS Mincho"/>
          <w:lang w:val="en-US"/>
        </w:rPr>
        <w:t>Further</w:t>
      </w:r>
      <w:r>
        <w:rPr>
          <w:rFonts w:eastAsia="MS Mincho"/>
          <w:lang w:val="en-US"/>
        </w:rPr>
        <w:t xml:space="preserve"> investigations</w:t>
      </w:r>
      <w:r w:rsidR="00772012">
        <w:rPr>
          <w:rFonts w:eastAsia="MS Mincho"/>
          <w:lang w:val="en-US"/>
        </w:rPr>
        <w:t xml:space="preserve"> </w:t>
      </w:r>
      <w:r w:rsidR="003F7006">
        <w:rPr>
          <w:rFonts w:eastAsia="MS Mincho"/>
          <w:lang w:val="en-US"/>
        </w:rPr>
        <w:t>are</w:t>
      </w:r>
      <w:r>
        <w:rPr>
          <w:rFonts w:eastAsia="MS Mincho"/>
          <w:lang w:val="en-US"/>
        </w:rPr>
        <w:t xml:space="preserve"> needed to confirm that these observations are derived from temperature changes alone or whether other factors are also playing a role</w:t>
      </w:r>
      <w:r w:rsidRPr="004147E2">
        <w:rPr>
          <w:rFonts w:eastAsia="MS Mincho"/>
          <w:lang w:val="en-US"/>
        </w:rPr>
        <w:t>.</w:t>
      </w:r>
    </w:p>
    <w:p w14:paraId="2A7F1E9F" w14:textId="179854A1" w:rsidR="00807630" w:rsidRPr="00F02BED" w:rsidRDefault="00B31847" w:rsidP="001857D3">
      <w:pPr>
        <w:spacing w:line="480" w:lineRule="auto"/>
        <w:ind w:firstLine="720"/>
        <w:jc w:val="both"/>
        <w:rPr>
          <w:rFonts w:eastAsia="MS Mincho"/>
          <w:lang w:val="en-US"/>
        </w:rPr>
      </w:pPr>
      <w:r w:rsidRPr="00371255">
        <w:rPr>
          <w:rFonts w:eastAsia="MS Mincho"/>
          <w:lang w:val="en-US"/>
        </w:rPr>
        <w:t>H</w:t>
      </w:r>
      <w:r w:rsidR="00AF3C06" w:rsidRPr="00371255">
        <w:rPr>
          <w:rFonts w:eastAsia="MS Mincho"/>
          <w:lang w:val="en-US"/>
        </w:rPr>
        <w:t xml:space="preserve">eatwaves </w:t>
      </w:r>
      <w:r w:rsidRPr="00371255">
        <w:rPr>
          <w:rFonts w:eastAsia="MS Mincho"/>
          <w:lang w:val="en-US"/>
        </w:rPr>
        <w:t>are projected</w:t>
      </w:r>
      <w:r w:rsidR="005A0289">
        <w:rPr>
          <w:rFonts w:eastAsia="MS Mincho"/>
          <w:lang w:val="en-US"/>
        </w:rPr>
        <w:t xml:space="preserve"> to</w:t>
      </w:r>
      <w:r w:rsidR="00FC0168" w:rsidRPr="00371255">
        <w:rPr>
          <w:rFonts w:eastAsia="MS Mincho"/>
          <w:lang w:val="en-US"/>
        </w:rPr>
        <w:t xml:space="preserve"> be longer and more intense in the future, which will compound the effects of </w:t>
      </w:r>
      <w:r w:rsidR="005A0289">
        <w:rPr>
          <w:rFonts w:eastAsia="MS Mincho"/>
          <w:lang w:val="en-US"/>
        </w:rPr>
        <w:t>increase</w:t>
      </w:r>
      <w:r w:rsidR="005A0289" w:rsidRPr="00371255">
        <w:rPr>
          <w:rFonts w:eastAsia="MS Mincho"/>
          <w:lang w:val="en-US"/>
        </w:rPr>
        <w:t xml:space="preserve"> </w:t>
      </w:r>
      <w:r w:rsidR="00FC0168" w:rsidRPr="00371255">
        <w:rPr>
          <w:rFonts w:eastAsia="MS Mincho"/>
          <w:lang w:val="en-US"/>
        </w:rPr>
        <w:t>average ocean</w:t>
      </w:r>
      <w:r w:rsidRPr="00371255">
        <w:rPr>
          <w:rFonts w:eastAsia="MS Mincho"/>
          <w:lang w:val="en-US"/>
        </w:rPr>
        <w:t xml:space="preserve"> temperature</w:t>
      </w:r>
      <w:r w:rsidR="005A0289">
        <w:rPr>
          <w:rFonts w:eastAsia="MS Mincho"/>
          <w:lang w:val="en-US"/>
        </w:rPr>
        <w:t>s</w:t>
      </w:r>
      <w:r w:rsidR="00B456B3" w:rsidRPr="00371255">
        <w:rPr>
          <w:rFonts w:eastAsia="MS Mincho"/>
          <w:lang w:val="en-US"/>
        </w:rPr>
        <w:t xml:space="preserve"> </w:t>
      </w:r>
      <w:r w:rsidR="00B545D5" w:rsidRPr="00371255">
        <w:rPr>
          <w:rFonts w:eastAsia="MS Mincho"/>
          <w:lang w:val="en-US"/>
        </w:rPr>
        <w:fldChar w:fldCharType="begin" w:fldLock="1"/>
      </w:r>
      <w:r w:rsidR="00517C3C">
        <w:rPr>
          <w:rFonts w:eastAsia="MS Mincho"/>
          <w:lang w:val="en-US"/>
        </w:rPr>
        <w:instrText>ADDIN CSL_CITATION {"citationItems":[{"id":"ITEM-1","itemData":{"abstract":"IPCC, 2021: Summary for Policymakers. In: Climate Change 2021: The Physical Science Basis. Contribution of Working Group I to the Sixth Assessment Report of the Intergovernmental Panel on Climate Change [Masson-Delmotte, V., P. Zhai, A. Pirani, S. L. Connors, C. Péan, S. Berger, N. Caud, Y. Chen, L. Goldfarb, M. I. Gomis, M. Huang, K. Leitzell, E. Lonnoy, J.B.R. Matthews, T. K. Maycock, T. Waterfield, O. Yelekçi, R. Yu and B. Zhou (eds.)]. Cambridge University Press. In Press. This Summary for Policymakers (SPM) presents key findings of the Working Group I (WGI) contribution to the IPCC’s Sixth Assessment Report (AR6)1 on the physical science basis of climate change. The report builds upon the 2013 Working Group I contribution to the IPCC’s Fifth Assessment Report (AR5) and the 2018–2019 IPCC Special Reports2 of the AR6 cycle and incorporates subsequent new evidence from climate science3. This","author":[{"dropping-particle":"","family":"Masson-Delmotte","given":"V.","non-dropping-particle":"","parse-names":false,"suffix":""},{"dropping-particle":"","family":"Zhai","given":"P.","non-dropping-particle":"","parse-names":false,"suffix":""},{"dropping-particle":"","family":"Pirani","given":"A.","non-dropping-particle":"","parse-names":false,"suffix":""},{"dropping-particle":"","family":"Connors","given":"S. L.","non-dropping-particle":"","parse-names":false,"suffix":""},{"dropping-particle":"","family":"Péan","given":"C.","non-dropping-particle":"","parse-names":false,"suffix":""},{"dropping-particle":"","family":"Berger","given":"S.","non-dropping-particle":"","parse-names":false,"suffix":""},{"dropping-particle":"","family":"Caud","given":"N.","non-dropping-particle":"","parse-names":false,"suffix":""},{"dropping-particle":"","family":"Chen","given":"Y.","non-dropping-particle":"","parse-names":false,"suffix":""},{"dropping-particle":"","family":"Goldfarb","given":"L.","non-dropping-particle":"","parse-names":false,"suffix":""},{"dropping-particle":"","family":"Gomis","given":"M. I.","non-dropping-particle":"","parse-names":false,"suffix":""},{"dropping-particle":"","family":"Huang","given":"M.","non-dropping-particle":"","parse-names":false,"suffix":""},{"dropping-particle":"","family":"Leitzell","given":"K.","non-dropping-particle":"","parse-names":false,"suffix":""},{"dropping-particle":"","family":"Lonnoy","given":"E.","non-dropping-particle":"","parse-names":false,"suffix":""},{"dropping-particle":"","family":"Matthews","given":"J.B.R.","non-dropping-particle":"","parse-names":false,"suffix":""},{"dropping-particle":"","family":"Maycock","given":"T. K.","non-dropping-particle":"","parse-names":false,"suffix":""},{"dropping-particle":"","family":"Waterfield","given":"T.","non-dropping-particle":"","parse-names":false,"suffix":""},{"dropping-particle":"","family":"Yelekçi","given":"O.","non-dropping-particle":"","parse-names":false,"suffix":""},{"dropping-particle":"","family":"Yu","given":"R.","non-dropping-particle":"","parse-names":false,"suffix":""},{"dropping-particle":"","family":"Zhou","given":"B.","non-dropping-particle":"","parse-names":false,"suffix":""},{"dropping-particle":"","family":"(eds.)","given":"","non-dropping-particle":"","parse-names":false,"suffix":""}],"container-title":"Cambridge University Press. In Press.","id":"ITEM-1","issued":{"date-parts":[["2021"]]},"title":"IPCC, 2021: Summary for Policymakers. In: Climate Change 2021: The Physical Science Basis. Contribution of Working Group I to the Sixth Assessment Report of the Intergovernmental Panel on Climate Change","type":"report"},"uris":["http://www.mendeley.com/documents/?uuid=d95149fd-d671-498d-8445-9de0d1d2091e","http://www.mendeley.com/documents/?uuid=e7632434-e140-4b35-ae5e-ff50cc21a1fa"]},{"id":"ITEM-2","itemData":{"DOI":"10.1038/s41467-018-03732-9","ISSN":"20411723","PMID":"29636482","abstract":"Heatwaves are important climatic extremes in atmospheric and oceanic systems that can have devastating and long-term impacts on ecosystems, with subsequent socioeconomic consequences. Recent prominent marine heatwaves have attracted considerable scientific and public interest. Despite this, a comprehensive assessment of how these ocean temperature extremes have been changing globally is missing. Using a range of ocean temperature data including global records of daily satellite observations, daily in situ measurements and gridded monthly in situ-based data sets, we identify significant increases in marine heatwaves over the past century. We find that from 1925 to 2016, global average marine heatwave frequency and duration increased by 34% and 17%, respectively, resulting in a 54% increase in annual marine heatwave days globally. Importantly, these trends can largely be explained by increases in mean ocean temperatures, suggesting that we can expect further increases in marine heatwave days under continued global warming.","author":[{"dropping-particle":"","family":"Oliver","given":"Eric C.J.","non-dropping-particle":"","parse-names":false,"suffix":""},{"dropping-particle":"","family":"Donat","given":"Markus G.","non-dropping-particle":"","parse-names":false,"suffix":""},{"dropping-particle":"","family":"Burrows","given":"Michael T.","non-dropping-particle":"","parse-names":false,"suffix":""},{"dropping-particle":"","family":"Moore","given":"Pippa J.","non-dropping-particle":"","parse-names":false,"suffix":""},{"dropping-particle":"","family":"Smale","given":"Dan A.","non-dropping-particle":"","parse-names":false,"suffix":""},{"dropping-particle":"V.","family":"Alexander","given":"Lisa","non-dropping-particle":"","parse-names":false,"suffix":""},{"dropping-particle":"","family":"Benthuysen","given":"Jessica A.","non-dropping-particle":"","parse-names":false,"suffix":""},{"dropping-particle":"","family":"Feng","given":"Ming","non-dropping-particle":"","parse-names":false,"suffix":""},{"dropping-particle":"","family":"Gupta","given":"Alex","non-dropping-particle":"Sen","parse-names":false,"suffix":""},{"dropping-particle":"","family":"Hobday","given":"Alistair J.","non-dropping-particle":"","parse-names":false,"suffix":""},{"dropping-particle":"","family":"Holbrook","given":"Neil J.","non-dropping-particle":"","parse-names":false,"suffix":""},{"dropping-particle":"","family":"Perkins-Kirkpatrick","given":"Sarah E.","non-dropping-particle":"","parse-names":false,"suffix":""},{"dropping-particle":"","family":"Scannell","given":"Hillary A.","non-dropping-particle":"","parse-names":false,"suffix":""},{"dropping-particle":"","family":"Straub","given":"Sandra C.","non-dropping-particle":"","parse-names":false,"suffix":""},{"dropping-particle":"","family":"Wernberg","given":"Thomas","non-dropping-particle":"","parse-names":false,"suffix":""}],"container-title":"Nature Communications","id":"ITEM-2","issue":"1","issued":{"date-parts":[["2018"]]},"page":"1-12","publisher":"Springer US","title":"Longer and more frequent marine heatwaves over the past century","type":"article-journal","volume":"9"},"uris":["http://www.mendeley.com/documents/?uuid=4285f56d-c658-4176-b1cb-b48aeb184888"]}],"mendeley":{"formattedCitation":"(Oliver &lt;i&gt;et al.&lt;/i&gt;, 2018; Masson-Delmotte &lt;i&gt;et al.&lt;/i&gt;, 2021)","plainTextFormattedCitation":"(Oliver et al., 2018; Masson-Delmotte et al., 2021)","previouslyFormattedCitation":"(Oliver &lt;i&gt;et al.&lt;/i&gt;, 2018; Masson-Delmotte &lt;i&gt;et al.&lt;/i&gt;, 2021)"},"properties":{"noteIndex":0},"schema":"https://github.com/citation-style-language/schema/raw/master/csl-citation.json"}</w:instrText>
      </w:r>
      <w:r w:rsidR="00B545D5" w:rsidRPr="00371255">
        <w:rPr>
          <w:rFonts w:eastAsia="MS Mincho"/>
          <w:lang w:val="en-US"/>
        </w:rPr>
        <w:fldChar w:fldCharType="separate"/>
      </w:r>
      <w:r w:rsidR="004A7B1B" w:rsidRPr="00371255">
        <w:rPr>
          <w:rFonts w:eastAsia="MS Mincho"/>
          <w:noProof/>
          <w:lang w:val="en-US"/>
        </w:rPr>
        <w:t xml:space="preserve">(Oliver </w:t>
      </w:r>
      <w:r w:rsidR="004A7B1B" w:rsidRPr="00371255">
        <w:rPr>
          <w:rFonts w:eastAsia="MS Mincho"/>
          <w:i/>
          <w:noProof/>
          <w:lang w:val="en-US"/>
        </w:rPr>
        <w:t>et al.</w:t>
      </w:r>
      <w:r w:rsidR="004A7B1B" w:rsidRPr="00371255">
        <w:rPr>
          <w:rFonts w:eastAsia="MS Mincho"/>
          <w:noProof/>
          <w:lang w:val="en-US"/>
        </w:rPr>
        <w:t xml:space="preserve">, 2018; Masson-Delmotte </w:t>
      </w:r>
      <w:r w:rsidR="004A7B1B" w:rsidRPr="00371255">
        <w:rPr>
          <w:rFonts w:eastAsia="MS Mincho"/>
          <w:i/>
          <w:noProof/>
          <w:lang w:val="en-US"/>
        </w:rPr>
        <w:t>et al.</w:t>
      </w:r>
      <w:r w:rsidR="004A7B1B" w:rsidRPr="00371255">
        <w:rPr>
          <w:rFonts w:eastAsia="MS Mincho"/>
          <w:noProof/>
          <w:lang w:val="en-US"/>
        </w:rPr>
        <w:t>, 2021)</w:t>
      </w:r>
      <w:r w:rsidR="00B545D5" w:rsidRPr="00371255">
        <w:rPr>
          <w:rFonts w:eastAsia="MS Mincho"/>
          <w:lang w:val="en-US"/>
        </w:rPr>
        <w:fldChar w:fldCharType="end"/>
      </w:r>
      <w:r w:rsidR="00FC0168" w:rsidRPr="00371255">
        <w:rPr>
          <w:rFonts w:eastAsia="MS Mincho"/>
          <w:lang w:val="en-US"/>
        </w:rPr>
        <w:t xml:space="preserve">. This is expected to have a considerable </w:t>
      </w:r>
      <w:r w:rsidR="00AF3C06" w:rsidRPr="00371255">
        <w:rPr>
          <w:rFonts w:eastAsia="MS Mincho"/>
          <w:lang w:val="en-US"/>
        </w:rPr>
        <w:t>detrimental</w:t>
      </w:r>
      <w:r w:rsidR="00FC0168" w:rsidRPr="00371255">
        <w:rPr>
          <w:rFonts w:eastAsia="MS Mincho"/>
          <w:lang w:val="en-US"/>
        </w:rPr>
        <w:t xml:space="preserve"> effect on marine poikilotherms, affecting</w:t>
      </w:r>
      <w:r w:rsidR="00B456B3" w:rsidRPr="00371255">
        <w:rPr>
          <w:rFonts w:eastAsia="MS Mincho"/>
          <w:lang w:val="en-US"/>
        </w:rPr>
        <w:t xml:space="preserve"> </w:t>
      </w:r>
      <w:r w:rsidR="00FC0168" w:rsidRPr="00371255">
        <w:rPr>
          <w:rFonts w:eastAsia="MS Mincho"/>
          <w:lang w:val="en-US"/>
        </w:rPr>
        <w:t xml:space="preserve">the </w:t>
      </w:r>
      <w:r w:rsidR="00B456B3" w:rsidRPr="00371255">
        <w:rPr>
          <w:rFonts w:eastAsia="MS Mincho"/>
          <w:lang w:val="en-US"/>
        </w:rPr>
        <w:t xml:space="preserve">individual physiological response </w:t>
      </w:r>
      <w:r w:rsidR="00FC0168" w:rsidRPr="00371255">
        <w:rPr>
          <w:rFonts w:eastAsia="MS Mincho"/>
          <w:lang w:val="en-US"/>
        </w:rPr>
        <w:t xml:space="preserve">as well as </w:t>
      </w:r>
      <w:r w:rsidR="00B456B3" w:rsidRPr="00371255">
        <w:rPr>
          <w:rFonts w:eastAsia="MS Mincho"/>
          <w:lang w:val="en-US"/>
        </w:rPr>
        <w:t>community structure</w:t>
      </w:r>
      <w:r w:rsidR="00224A6B" w:rsidRPr="00371255">
        <w:rPr>
          <w:rFonts w:eastAsia="MS Mincho"/>
          <w:lang w:val="en-US"/>
        </w:rPr>
        <w:t xml:space="preserve">. </w:t>
      </w:r>
      <w:r w:rsidR="00DE2306" w:rsidRPr="00371255">
        <w:rPr>
          <w:rFonts w:eastAsia="MS Mincho"/>
          <w:lang w:val="en-US"/>
        </w:rPr>
        <w:t xml:space="preserve">Studying </w:t>
      </w:r>
      <w:r w:rsidR="009950A4" w:rsidRPr="00371255">
        <w:rPr>
          <w:rFonts w:eastAsia="MS Mincho"/>
          <w:lang w:val="en-US"/>
        </w:rPr>
        <w:t xml:space="preserve">the </w:t>
      </w:r>
      <w:r w:rsidR="00FC0168" w:rsidRPr="00371255">
        <w:rPr>
          <w:rFonts w:eastAsia="MS Mincho"/>
          <w:lang w:val="en-US"/>
        </w:rPr>
        <w:t xml:space="preserve">wide variety of </w:t>
      </w:r>
      <w:r w:rsidR="00410353" w:rsidRPr="00371255">
        <w:rPr>
          <w:rFonts w:eastAsia="MS Mincho"/>
          <w:lang w:val="en-US"/>
        </w:rPr>
        <w:t>molecular response</w:t>
      </w:r>
      <w:r w:rsidR="00FC0168" w:rsidRPr="00371255">
        <w:rPr>
          <w:rFonts w:eastAsia="MS Mincho"/>
          <w:lang w:val="en-US"/>
        </w:rPr>
        <w:t>s</w:t>
      </w:r>
      <w:r w:rsidR="009950A4" w:rsidRPr="00371255">
        <w:rPr>
          <w:rFonts w:eastAsia="MS Mincho"/>
          <w:lang w:val="en-US"/>
        </w:rPr>
        <w:t xml:space="preserve"> </w:t>
      </w:r>
      <w:r w:rsidR="00FC0168" w:rsidRPr="00371255">
        <w:rPr>
          <w:rFonts w:eastAsia="MS Mincho"/>
          <w:lang w:val="en-US"/>
        </w:rPr>
        <w:t xml:space="preserve">related to warming </w:t>
      </w:r>
      <w:r w:rsidR="00410353" w:rsidRPr="00371255">
        <w:rPr>
          <w:rFonts w:eastAsia="MS Mincho"/>
          <w:lang w:val="en-US"/>
        </w:rPr>
        <w:t xml:space="preserve">can </w:t>
      </w:r>
      <w:r w:rsidR="00DE2306" w:rsidRPr="00371255">
        <w:rPr>
          <w:rFonts w:eastAsia="MS Mincho"/>
          <w:lang w:val="en-US"/>
        </w:rPr>
        <w:t xml:space="preserve">help us understand </w:t>
      </w:r>
      <w:r w:rsidR="00FC0168" w:rsidRPr="00371255">
        <w:rPr>
          <w:rFonts w:eastAsia="MS Mincho"/>
          <w:lang w:val="en-US"/>
        </w:rPr>
        <w:t xml:space="preserve">how wild populations of marine fishes will respond to a changing </w:t>
      </w:r>
      <w:r w:rsidR="005D5562">
        <w:rPr>
          <w:rFonts w:eastAsia="MS Mincho"/>
          <w:lang w:val="en-US"/>
        </w:rPr>
        <w:t>ocean</w:t>
      </w:r>
      <w:r w:rsidR="00410353" w:rsidRPr="00371255">
        <w:rPr>
          <w:rFonts w:eastAsia="MS Mincho"/>
          <w:lang w:val="en-US"/>
        </w:rPr>
        <w:t>.</w:t>
      </w:r>
      <w:r w:rsidR="009950A4" w:rsidRPr="00371255">
        <w:rPr>
          <w:rFonts w:eastAsia="MS Mincho"/>
          <w:lang w:val="en-US"/>
        </w:rPr>
        <w:t xml:space="preserve"> </w:t>
      </w:r>
      <w:r w:rsidR="009B183A" w:rsidRPr="00371255">
        <w:rPr>
          <w:rFonts w:eastAsia="MS Mincho"/>
          <w:lang w:val="en-US"/>
        </w:rPr>
        <w:t>By</w:t>
      </w:r>
      <w:r w:rsidR="00AF3C06" w:rsidRPr="00371255">
        <w:rPr>
          <w:rFonts w:eastAsia="MS Mincho"/>
          <w:lang w:val="en-US"/>
        </w:rPr>
        <w:t xml:space="preserve"> using the 2016 marine heatwave as a case study, </w:t>
      </w:r>
      <w:r w:rsidR="005D00E1" w:rsidRPr="00371255">
        <w:rPr>
          <w:rFonts w:eastAsia="MS Mincho"/>
          <w:lang w:val="en-US"/>
        </w:rPr>
        <w:t>our results</w:t>
      </w:r>
      <w:r w:rsidR="009B183A" w:rsidRPr="00371255">
        <w:rPr>
          <w:rFonts w:eastAsia="MS Mincho"/>
          <w:lang w:val="en-US"/>
        </w:rPr>
        <w:t xml:space="preserve"> show that </w:t>
      </w:r>
      <w:r w:rsidR="00AF3C06" w:rsidRPr="00371255">
        <w:rPr>
          <w:rFonts w:eastAsia="MS Mincho"/>
          <w:lang w:val="en-US"/>
        </w:rPr>
        <w:t xml:space="preserve">differential </w:t>
      </w:r>
      <w:r w:rsidR="009B183A" w:rsidRPr="00371255">
        <w:rPr>
          <w:rFonts w:eastAsia="MS Mincho"/>
          <w:lang w:val="en-US"/>
        </w:rPr>
        <w:t xml:space="preserve">splicing was higher during </w:t>
      </w:r>
      <w:r w:rsidR="009B183A" w:rsidRPr="00371255">
        <w:rPr>
          <w:rFonts w:eastAsia="MS Mincho"/>
          <w:lang w:val="en-US"/>
        </w:rPr>
        <w:lastRenderedPageBreak/>
        <w:t xml:space="preserve">the onset of the heatwave, for genes </w:t>
      </w:r>
      <w:r w:rsidR="00AF3C06" w:rsidRPr="00371255">
        <w:rPr>
          <w:rFonts w:eastAsia="MS Mincho"/>
          <w:lang w:val="en-US"/>
        </w:rPr>
        <w:t>associated with the endoplasmic reticulum</w:t>
      </w:r>
      <w:r w:rsidR="009B183A" w:rsidRPr="00371255">
        <w:rPr>
          <w:rFonts w:eastAsia="MS Mincho"/>
          <w:lang w:val="en-US"/>
        </w:rPr>
        <w:t xml:space="preserve">, </w:t>
      </w:r>
      <w:r w:rsidR="00AF3C06" w:rsidRPr="00371255">
        <w:rPr>
          <w:rFonts w:eastAsia="MS Mincho"/>
          <w:lang w:val="en-US"/>
        </w:rPr>
        <w:t>Golgi apparatus, the immune response</w:t>
      </w:r>
      <w:r w:rsidR="0027535E" w:rsidRPr="00371255">
        <w:rPr>
          <w:rFonts w:eastAsia="MS Mincho"/>
          <w:lang w:val="en-US"/>
        </w:rPr>
        <w:t>s</w:t>
      </w:r>
      <w:r w:rsidR="00AF3C06" w:rsidRPr="00371255">
        <w:rPr>
          <w:rFonts w:eastAsia="MS Mincho"/>
          <w:lang w:val="en-US"/>
        </w:rPr>
        <w:t xml:space="preserve"> and splicing</w:t>
      </w:r>
      <w:r w:rsidR="009B183A" w:rsidRPr="00371255">
        <w:rPr>
          <w:rFonts w:eastAsia="MS Mincho"/>
          <w:lang w:val="en-US"/>
        </w:rPr>
        <w:t>. Meanwhile</w:t>
      </w:r>
      <w:r w:rsidR="00AF3C06" w:rsidRPr="00371255">
        <w:rPr>
          <w:rFonts w:eastAsia="MS Mincho"/>
          <w:lang w:val="en-US"/>
        </w:rPr>
        <w:t>,</w:t>
      </w:r>
      <w:r w:rsidR="009B183A" w:rsidRPr="00371255">
        <w:rPr>
          <w:rFonts w:eastAsia="MS Mincho"/>
          <w:lang w:val="en-US"/>
        </w:rPr>
        <w:t xml:space="preserve"> the transition from summer to winter </w:t>
      </w:r>
      <w:r w:rsidR="00AF3C06" w:rsidRPr="00371255">
        <w:rPr>
          <w:rFonts w:eastAsia="MS Mincho"/>
          <w:lang w:val="en-US"/>
        </w:rPr>
        <w:t>w</w:t>
      </w:r>
      <w:r w:rsidR="009B183A" w:rsidRPr="00371255">
        <w:rPr>
          <w:rFonts w:eastAsia="MS Mincho"/>
          <w:lang w:val="en-US"/>
        </w:rPr>
        <w:t>as</w:t>
      </w:r>
      <w:r w:rsidR="00AF3C06" w:rsidRPr="00371255">
        <w:rPr>
          <w:rFonts w:eastAsia="MS Mincho"/>
          <w:lang w:val="en-US"/>
        </w:rPr>
        <w:t xml:space="preserve"> </w:t>
      </w:r>
      <w:r w:rsidR="009B183A" w:rsidRPr="00371255">
        <w:rPr>
          <w:rFonts w:eastAsia="MS Mincho"/>
          <w:lang w:val="en-US"/>
        </w:rPr>
        <w:t xml:space="preserve">related with DS </w:t>
      </w:r>
      <w:r w:rsidR="0034075A" w:rsidRPr="00371255">
        <w:rPr>
          <w:rFonts w:eastAsia="MS Mincho"/>
          <w:lang w:val="en-US"/>
        </w:rPr>
        <w:t xml:space="preserve">genes </w:t>
      </w:r>
      <w:r w:rsidR="009B183A" w:rsidRPr="00371255">
        <w:rPr>
          <w:rFonts w:eastAsia="MS Mincho"/>
          <w:lang w:val="en-US"/>
        </w:rPr>
        <w:t>of</w:t>
      </w:r>
      <w:r w:rsidR="00AF3C06" w:rsidRPr="00371255">
        <w:rPr>
          <w:rFonts w:eastAsia="MS Mincho"/>
          <w:lang w:val="en-US"/>
        </w:rPr>
        <w:t xml:space="preserve"> heme-related </w:t>
      </w:r>
      <w:r w:rsidR="004E2C5E" w:rsidRPr="00371255">
        <w:rPr>
          <w:rFonts w:eastAsia="MS Mincho"/>
          <w:lang w:val="en-US"/>
        </w:rPr>
        <w:t xml:space="preserve">proteins </w:t>
      </w:r>
      <w:r w:rsidR="00AF3C06" w:rsidRPr="00371255">
        <w:rPr>
          <w:rFonts w:eastAsia="MS Mincho"/>
          <w:lang w:val="en-US"/>
        </w:rPr>
        <w:t xml:space="preserve">and </w:t>
      </w:r>
      <w:r w:rsidR="00310F67" w:rsidRPr="00371255">
        <w:rPr>
          <w:rFonts w:eastAsia="MS Mincho"/>
          <w:lang w:val="en-US"/>
        </w:rPr>
        <w:t xml:space="preserve">cellular </w:t>
      </w:r>
      <w:r w:rsidR="00335947" w:rsidRPr="00371255">
        <w:rPr>
          <w:rFonts w:eastAsia="MS Mincho"/>
          <w:lang w:val="en-US"/>
        </w:rPr>
        <w:t>growth</w:t>
      </w:r>
      <w:r w:rsidR="00AF3C06" w:rsidRPr="00371255">
        <w:rPr>
          <w:rFonts w:eastAsia="MS Mincho"/>
          <w:lang w:val="en-US"/>
        </w:rPr>
        <w:t xml:space="preserve">, </w:t>
      </w:r>
      <w:r w:rsidR="009B183A" w:rsidRPr="00371255">
        <w:rPr>
          <w:rFonts w:eastAsia="MS Mincho"/>
          <w:lang w:val="en-US"/>
        </w:rPr>
        <w:t>potentially a</w:t>
      </w:r>
      <w:r w:rsidR="00AF3C06" w:rsidRPr="00371255">
        <w:rPr>
          <w:rFonts w:eastAsia="MS Mincho"/>
          <w:lang w:val="en-US"/>
        </w:rPr>
        <w:t xml:space="preserve"> post-damage recovery </w:t>
      </w:r>
      <w:r w:rsidR="009B183A" w:rsidRPr="00371255">
        <w:rPr>
          <w:rFonts w:eastAsia="MS Mincho"/>
          <w:lang w:val="en-US"/>
        </w:rPr>
        <w:t xml:space="preserve">response </w:t>
      </w:r>
      <w:r w:rsidR="00AF3C06" w:rsidRPr="00371255">
        <w:rPr>
          <w:rFonts w:eastAsia="MS Mincho"/>
          <w:lang w:val="en-US"/>
        </w:rPr>
        <w:t xml:space="preserve">after an intensive period of heat stress. </w:t>
      </w:r>
      <w:r w:rsidR="009B183A" w:rsidRPr="00371255">
        <w:rPr>
          <w:rFonts w:eastAsia="MS Mincho"/>
          <w:lang w:val="en-US"/>
        </w:rPr>
        <w:t>The prolonged period of the heatwave revealed little changes in splicing patterns, suggesting that</w:t>
      </w:r>
      <w:r w:rsidR="005A0289">
        <w:rPr>
          <w:rFonts w:eastAsia="MS Mincho"/>
          <w:lang w:val="en-US"/>
        </w:rPr>
        <w:t xml:space="preserve"> during the period of prolonged warming</w:t>
      </w:r>
      <w:r w:rsidR="009B183A" w:rsidRPr="00371255">
        <w:rPr>
          <w:rFonts w:eastAsia="MS Mincho"/>
          <w:lang w:val="en-US"/>
        </w:rPr>
        <w:t xml:space="preserve"> </w:t>
      </w:r>
      <w:r w:rsidR="002C656C" w:rsidRPr="00371255">
        <w:rPr>
          <w:rFonts w:eastAsia="MS Mincho"/>
          <w:lang w:val="en-US"/>
        </w:rPr>
        <w:t xml:space="preserve">splicing is a less relevant mechanism for </w:t>
      </w:r>
      <w:r w:rsidR="00C3578D">
        <w:rPr>
          <w:rFonts w:eastAsia="MS Mincho"/>
          <w:lang w:val="en-US"/>
        </w:rPr>
        <w:t xml:space="preserve">thermal </w:t>
      </w:r>
      <w:r w:rsidR="002C656C" w:rsidRPr="00371255">
        <w:rPr>
          <w:rFonts w:eastAsia="MS Mincho"/>
          <w:lang w:val="en-US"/>
        </w:rPr>
        <w:t xml:space="preserve">plasticity </w:t>
      </w:r>
      <w:r w:rsidR="005A0289">
        <w:rPr>
          <w:rFonts w:eastAsia="MS Mincho"/>
          <w:lang w:val="en-US"/>
        </w:rPr>
        <w:t>compared</w:t>
      </w:r>
      <w:r w:rsidR="002C656C" w:rsidRPr="00371255">
        <w:rPr>
          <w:rFonts w:eastAsia="MS Mincho"/>
          <w:lang w:val="en-US"/>
        </w:rPr>
        <w:t xml:space="preserve"> to </w:t>
      </w:r>
      <w:r w:rsidR="005A0289">
        <w:rPr>
          <w:rFonts w:eastAsia="MS Mincho"/>
          <w:lang w:val="en-US"/>
        </w:rPr>
        <w:t xml:space="preserve">changes in </w:t>
      </w:r>
      <w:r w:rsidR="002C656C" w:rsidRPr="00371255">
        <w:rPr>
          <w:rFonts w:eastAsia="MS Mincho"/>
          <w:lang w:val="en-US"/>
        </w:rPr>
        <w:t>gene expression</w:t>
      </w:r>
      <w:r w:rsidR="002C656C" w:rsidRPr="00371255">
        <w:rPr>
          <w:rFonts w:eastAsia="MS Mincho"/>
        </w:rPr>
        <w:t xml:space="preserve">. </w:t>
      </w:r>
      <w:r w:rsidR="007A0629">
        <w:rPr>
          <w:rFonts w:eastAsia="MS Mincho"/>
          <w:lang w:val="en-US"/>
        </w:rPr>
        <w:t xml:space="preserve">Based on these results and previous studies, we suggest that </w:t>
      </w:r>
      <w:r w:rsidR="002C656C" w:rsidRPr="00371255">
        <w:rPr>
          <w:rFonts w:eastAsia="MS Mincho"/>
          <w:lang w:val="en-US"/>
        </w:rPr>
        <w:t xml:space="preserve">changes of gene expression may be mostly responsible for maintaining the physiological and metabolic needs </w:t>
      </w:r>
      <w:r w:rsidR="007A0629">
        <w:rPr>
          <w:rFonts w:eastAsia="MS Mincho"/>
          <w:lang w:val="en-US"/>
        </w:rPr>
        <w:t>of</w:t>
      </w:r>
      <w:r w:rsidR="007A0629" w:rsidRPr="00371255">
        <w:rPr>
          <w:rFonts w:eastAsia="MS Mincho"/>
          <w:lang w:val="en-US"/>
        </w:rPr>
        <w:t xml:space="preserve"> </w:t>
      </w:r>
      <w:r w:rsidR="002C656C" w:rsidRPr="00371255">
        <w:rPr>
          <w:rFonts w:eastAsia="MS Mincho"/>
          <w:i/>
          <w:iCs/>
          <w:lang w:val="en-US"/>
        </w:rPr>
        <w:t xml:space="preserve">A. </w:t>
      </w:r>
      <w:proofErr w:type="spellStart"/>
      <w:r w:rsidR="002C656C" w:rsidRPr="00371255">
        <w:rPr>
          <w:rFonts w:eastAsia="MS Mincho"/>
          <w:i/>
          <w:iCs/>
          <w:lang w:val="en-US"/>
        </w:rPr>
        <w:t>polyacanthus</w:t>
      </w:r>
      <w:proofErr w:type="spellEnd"/>
      <w:r w:rsidR="007A0629">
        <w:rPr>
          <w:rFonts w:eastAsia="MS Mincho"/>
          <w:lang w:val="en-US"/>
        </w:rPr>
        <w:t xml:space="preserve">, as this species </w:t>
      </w:r>
      <w:r w:rsidR="002C656C" w:rsidRPr="00371255">
        <w:rPr>
          <w:rFonts w:eastAsia="MS Mincho"/>
          <w:lang w:val="en-US"/>
        </w:rPr>
        <w:t xml:space="preserve">probably has limited capacity of reversible thermal acclimation </w:t>
      </w:r>
      <w:r w:rsidR="00371255" w:rsidRPr="00371255">
        <w:rPr>
          <w:rFonts w:eastAsia="MS Mincho"/>
          <w:lang w:val="en-US"/>
        </w:rPr>
        <w:fldChar w:fldCharType="begin" w:fldLock="1"/>
      </w:r>
      <w:r w:rsidR="00EF730B">
        <w:rPr>
          <w:rFonts w:eastAsia="MS Mincho"/>
          <w:lang w:val="en-US"/>
        </w:rPr>
        <w:instrText>ADDIN CSL_CITATION {"citationItems":[{"id":"ITEM-1","itemData":{"DOI":"10.1007/s00227-018-3333-z","ISBN":"0123456789","ISSN":"00253162","abstract":"Tropical species are predicted to be particularly vulnerable to the impacts of climate change given the relatively narrow thermal range they naturally experience. Within the tropics, average temperature and thermal variation can differ among populations and consequently low-latitude populations may respond differently to increased temperatures than higher latitude tropical populations. In this study, we investigate the long-term effects of climate change relevant temperature increases on commonly measured condition metrics for a low-latitude population of damselfish (Acanthochromis polyacanthus). Adult fish were randomly assigned to one of the three seasonally cycling treatments: (1) current average ocean temperatures for the collection locations, (2) 1.5 °C, or (3) 3 °C higher than current average temperatures. Treatments were maintained for approximately 10 months. At the end of the experimental period, Fulton’s K and hepatosomatic index were calculated for fish from each treatment group and critical thermal limit (CTMax) was measured for a subset of fish at control temperatures. Fish mortality was recorded throughout the experimental period, as well as at the end of the experimental period after the introduction of a secondary exercise stressor. No significant effect of temperature was observed on fish condition (Fulton’s K and hepatosomatic index); however, significant mortality was observed for fish maintained at 3 °C higher than current average temperatures. When a secondary exercise stressor was introduced, significant mortality was also observed at 1.5 °C higher than current average temperatures. Acute exposure to higher temperatures (CTMax) suggested a much higher thermal tolerance for this population than long-term mortality, producing a thermal limit of 37.1 °C compared with a chronic thermal limit of 33 °C. Our results show that some basic measures of fish condition may not be capable of detecting lethal and sub-lethal effects of increased temperature. The results of this study are consistent with the hypothesis that low-latitude species are already living close to their thermal maximum.","author":[{"dropping-particle":"","family":"Rodgers","given":"G. G.","non-dropping-particle":"","parse-names":false,"suffix":""},{"dropping-particle":"","family":"Donelson","given":"J. M.","non-dropping-particle":"","parse-names":false,"suffix":""},{"dropping-particle":"","family":"McCormick","given":"M. I.","non-dropping-particle":"","parse-names":false,"suffix":""},{"dropping-particle":"","family":"Munday","given":"P. L.","non-dropping-particle":"","parse-names":false,"suffix":""}],"container-title":"Marine Biology","id":"ITEM-1","issue":"4","issued":{"date-parts":[["2018"]]},"page":"1-10","title":"In hot water: sustained ocean warming reduces survival of a low-latitude coral reef fish","type":"article-journal","volume":"165"},"uris":["http://www.mendeley.com/documents/?uuid=7ffc57bf-6c28-402b-859c-ffdb0fe6b326"]}],"mendeley":{"formattedCitation":"(Rodgers &lt;i&gt;et al.&lt;/i&gt;, 2018)","plainTextFormattedCitation":"(Rodgers et al., 2018)","previouslyFormattedCitation":"(Rodgers &lt;i&gt;et al.&lt;/i&gt;, 2018)"},"properties":{"noteIndex":0},"schema":"https://github.com/citation-style-language/schema/raw/master/csl-citation.json"}</w:instrText>
      </w:r>
      <w:r w:rsidR="00371255" w:rsidRPr="00371255">
        <w:rPr>
          <w:rFonts w:eastAsia="MS Mincho"/>
          <w:lang w:val="en-US"/>
        </w:rPr>
        <w:fldChar w:fldCharType="separate"/>
      </w:r>
      <w:r w:rsidR="00371255" w:rsidRPr="00371255">
        <w:rPr>
          <w:rFonts w:eastAsia="MS Mincho"/>
          <w:noProof/>
          <w:lang w:val="en-US"/>
        </w:rPr>
        <w:t xml:space="preserve">(Rodgers </w:t>
      </w:r>
      <w:r w:rsidR="00371255" w:rsidRPr="00371255">
        <w:rPr>
          <w:rFonts w:eastAsia="MS Mincho"/>
          <w:i/>
          <w:noProof/>
          <w:lang w:val="en-US"/>
        </w:rPr>
        <w:t>et al.</w:t>
      </w:r>
      <w:r w:rsidR="00371255" w:rsidRPr="00371255">
        <w:rPr>
          <w:rFonts w:eastAsia="MS Mincho"/>
          <w:noProof/>
          <w:lang w:val="en-US"/>
        </w:rPr>
        <w:t>, 2018)</w:t>
      </w:r>
      <w:r w:rsidR="00371255" w:rsidRPr="00371255">
        <w:rPr>
          <w:rFonts w:eastAsia="MS Mincho"/>
          <w:lang w:val="en-US"/>
        </w:rPr>
        <w:fldChar w:fldCharType="end"/>
      </w:r>
      <w:r w:rsidR="00371255" w:rsidRPr="00371255">
        <w:rPr>
          <w:rFonts w:eastAsia="MS Mincho"/>
          <w:lang w:val="en-US"/>
        </w:rPr>
        <w:t xml:space="preserve">. </w:t>
      </w:r>
      <w:r w:rsidR="00DE2306" w:rsidRPr="00371255">
        <w:rPr>
          <w:rFonts w:eastAsia="MS Mincho"/>
          <w:lang w:val="en-US"/>
        </w:rPr>
        <w:t xml:space="preserve">Finally, </w:t>
      </w:r>
      <w:r w:rsidR="00535E51" w:rsidRPr="00371255">
        <w:rPr>
          <w:rFonts w:eastAsia="MS Mincho"/>
          <w:lang w:val="en-US"/>
        </w:rPr>
        <w:t xml:space="preserve">the </w:t>
      </w:r>
      <w:r w:rsidR="00FF3A2B" w:rsidRPr="00371255">
        <w:rPr>
          <w:rFonts w:eastAsia="MS Mincho"/>
          <w:lang w:val="en-US"/>
        </w:rPr>
        <w:t xml:space="preserve">differential </w:t>
      </w:r>
      <w:r w:rsidR="00DE2306" w:rsidRPr="00371255">
        <w:rPr>
          <w:rFonts w:eastAsia="MS Mincho" w:hint="eastAsia"/>
          <w:lang w:val="en-US"/>
        </w:rPr>
        <w:t>s</w:t>
      </w:r>
      <w:r w:rsidR="00DE2306" w:rsidRPr="00371255">
        <w:rPr>
          <w:rFonts w:eastAsia="MS Mincho"/>
          <w:lang w:val="en-US"/>
        </w:rPr>
        <w:t xml:space="preserve">plicing </w:t>
      </w:r>
      <w:r w:rsidR="00FF3A2B" w:rsidRPr="00371255">
        <w:rPr>
          <w:rFonts w:eastAsia="MS Mincho"/>
          <w:lang w:val="en-US"/>
        </w:rPr>
        <w:t>pattern</w:t>
      </w:r>
      <w:r w:rsidR="002427DA" w:rsidRPr="00371255">
        <w:rPr>
          <w:rFonts w:eastAsia="MS Mincho"/>
          <w:lang w:val="en-US"/>
        </w:rPr>
        <w:t>s</w:t>
      </w:r>
      <w:r w:rsidR="00FF3A2B" w:rsidRPr="00371255">
        <w:rPr>
          <w:rFonts w:eastAsia="MS Mincho"/>
          <w:lang w:val="en-US"/>
        </w:rPr>
        <w:t xml:space="preserve"> </w:t>
      </w:r>
      <w:r w:rsidR="00DE2306" w:rsidRPr="00371255">
        <w:rPr>
          <w:rFonts w:eastAsia="MS Mincho"/>
          <w:lang w:val="en-US"/>
        </w:rPr>
        <w:t xml:space="preserve">of splicing regulators themselves during heatwave periods </w:t>
      </w:r>
      <w:r w:rsidR="00FF3A2B" w:rsidRPr="00371255">
        <w:rPr>
          <w:rFonts w:eastAsia="MS Mincho"/>
          <w:lang w:val="en-US"/>
        </w:rPr>
        <w:t xml:space="preserve">may </w:t>
      </w:r>
      <w:r w:rsidR="003B216F" w:rsidRPr="00371255">
        <w:rPr>
          <w:rFonts w:eastAsia="MS Mincho"/>
          <w:lang w:val="en-US"/>
        </w:rPr>
        <w:t>imply</w:t>
      </w:r>
      <w:r w:rsidR="00FF3A2B" w:rsidRPr="00371255">
        <w:rPr>
          <w:rFonts w:eastAsia="MS Mincho"/>
          <w:lang w:val="en-US"/>
        </w:rPr>
        <w:t xml:space="preserve"> </w:t>
      </w:r>
      <w:r w:rsidR="00D956D8" w:rsidRPr="00371255">
        <w:rPr>
          <w:rFonts w:eastAsia="MS Mincho"/>
          <w:lang w:val="en-US"/>
        </w:rPr>
        <w:t xml:space="preserve">a </w:t>
      </w:r>
      <w:r w:rsidR="00FF3A2B" w:rsidRPr="00371255">
        <w:rPr>
          <w:rFonts w:eastAsia="MS Mincho"/>
          <w:lang w:val="en-US"/>
        </w:rPr>
        <w:t>fine splicing control</w:t>
      </w:r>
      <w:r w:rsidR="008A6FB3" w:rsidRPr="00371255">
        <w:rPr>
          <w:rFonts w:eastAsia="MS Mincho"/>
          <w:lang w:val="en-US"/>
        </w:rPr>
        <w:t xml:space="preserve"> </w:t>
      </w:r>
      <w:r w:rsidR="00C9194D" w:rsidRPr="00371255">
        <w:rPr>
          <w:rFonts w:eastAsia="MS Mincho"/>
          <w:lang w:val="en-US"/>
        </w:rPr>
        <w:t xml:space="preserve">network </w:t>
      </w:r>
      <w:r w:rsidR="007A0629" w:rsidRPr="00371255">
        <w:rPr>
          <w:rFonts w:eastAsia="MS Mincho"/>
          <w:lang w:val="en-US"/>
        </w:rPr>
        <w:t>c</w:t>
      </w:r>
      <w:r w:rsidR="007A0629">
        <w:rPr>
          <w:rFonts w:eastAsia="MS Mincho"/>
          <w:lang w:val="en-US"/>
        </w:rPr>
        <w:t xml:space="preserve">oupled </w:t>
      </w:r>
      <w:r w:rsidR="008E26FB" w:rsidRPr="00371255">
        <w:rPr>
          <w:rFonts w:eastAsia="MS Mincho"/>
          <w:lang w:val="en-US"/>
        </w:rPr>
        <w:t xml:space="preserve">with transcriptional </w:t>
      </w:r>
      <w:r w:rsidR="00E070E1" w:rsidRPr="00371255">
        <w:rPr>
          <w:rFonts w:eastAsia="MS Mincho"/>
          <w:lang w:val="en-US"/>
        </w:rPr>
        <w:t>changes</w:t>
      </w:r>
      <w:r w:rsidR="007A0629">
        <w:rPr>
          <w:rFonts w:eastAsia="MS Mincho"/>
          <w:lang w:val="en-US"/>
        </w:rPr>
        <w:t xml:space="preserve">, </w:t>
      </w:r>
      <w:r w:rsidR="00F4564E">
        <w:rPr>
          <w:rFonts w:eastAsia="MS Mincho"/>
          <w:lang w:val="en-US"/>
        </w:rPr>
        <w:t>which</w:t>
      </w:r>
      <w:r w:rsidR="007A0629">
        <w:rPr>
          <w:rFonts w:eastAsia="MS Mincho"/>
          <w:lang w:val="en-US"/>
        </w:rPr>
        <w:t xml:space="preserve"> allow</w:t>
      </w:r>
      <w:r w:rsidR="00FD2705">
        <w:rPr>
          <w:rFonts w:eastAsia="MS Mincho"/>
          <w:lang w:val="en-US"/>
        </w:rPr>
        <w:t>s</w:t>
      </w:r>
      <w:r w:rsidR="007A0629">
        <w:rPr>
          <w:rFonts w:eastAsia="MS Mincho"/>
          <w:lang w:val="en-US"/>
        </w:rPr>
        <w:t xml:space="preserve"> the regulation of multiple</w:t>
      </w:r>
      <w:r w:rsidR="000A01EC" w:rsidRPr="00371255">
        <w:rPr>
          <w:rFonts w:eastAsia="MS Mincho"/>
          <w:lang w:val="en-US"/>
        </w:rPr>
        <w:t xml:space="preserve"> </w:t>
      </w:r>
      <w:r w:rsidR="008E26FB" w:rsidRPr="00371255">
        <w:rPr>
          <w:rFonts w:eastAsia="MS Mincho"/>
          <w:lang w:val="en-US"/>
        </w:rPr>
        <w:t>cellular response</w:t>
      </w:r>
      <w:r w:rsidR="004A4CC6" w:rsidRPr="00371255">
        <w:rPr>
          <w:rFonts w:eastAsia="MS Mincho"/>
          <w:lang w:val="en-US"/>
        </w:rPr>
        <w:t>s</w:t>
      </w:r>
      <w:r w:rsidR="003B216F" w:rsidRPr="00371255">
        <w:rPr>
          <w:rFonts w:eastAsia="MS Mincho"/>
          <w:lang w:val="en-US"/>
        </w:rPr>
        <w:t xml:space="preserve"> </w:t>
      </w:r>
      <w:r w:rsidR="007A0629">
        <w:rPr>
          <w:rFonts w:eastAsia="MS Mincho"/>
          <w:lang w:val="en-US"/>
        </w:rPr>
        <w:t>in the face of</w:t>
      </w:r>
      <w:r w:rsidR="007A0629" w:rsidRPr="00371255">
        <w:rPr>
          <w:rFonts w:eastAsia="MS Mincho"/>
          <w:lang w:val="en-US"/>
        </w:rPr>
        <w:t xml:space="preserve"> </w:t>
      </w:r>
      <w:r w:rsidR="003B216F" w:rsidRPr="00371255">
        <w:rPr>
          <w:rFonts w:eastAsia="MS Mincho"/>
          <w:lang w:val="en-US"/>
        </w:rPr>
        <w:t>warming</w:t>
      </w:r>
      <w:r w:rsidR="008E26FB" w:rsidRPr="00371255">
        <w:rPr>
          <w:rFonts w:eastAsia="MS Mincho"/>
          <w:lang w:val="en-US"/>
        </w:rPr>
        <w:t xml:space="preserve">. </w:t>
      </w:r>
      <w:r w:rsidR="00535E51" w:rsidRPr="00371255">
        <w:rPr>
          <w:rFonts w:eastAsia="MS Mincho"/>
          <w:lang w:val="en-US"/>
        </w:rPr>
        <w:t xml:space="preserve">The </w:t>
      </w:r>
      <w:r w:rsidR="000C4652" w:rsidRPr="00371255">
        <w:rPr>
          <w:rFonts w:eastAsia="MS Mincho"/>
          <w:lang w:val="en-US"/>
        </w:rPr>
        <w:t>transcriptional changes</w:t>
      </w:r>
      <w:r w:rsidR="00AF3C06" w:rsidRPr="00371255">
        <w:rPr>
          <w:rFonts w:eastAsia="MS Mincho"/>
          <w:lang w:val="en-US"/>
        </w:rPr>
        <w:t xml:space="preserve"> </w:t>
      </w:r>
      <w:r w:rsidR="008E26FB" w:rsidRPr="00371255">
        <w:rPr>
          <w:rFonts w:eastAsia="MS Mincho"/>
          <w:lang w:val="en-US"/>
        </w:rPr>
        <w:t xml:space="preserve">and </w:t>
      </w:r>
      <w:r w:rsidR="000C4652" w:rsidRPr="00371255">
        <w:rPr>
          <w:rFonts w:eastAsia="MS Mincho"/>
          <w:lang w:val="en-US"/>
        </w:rPr>
        <w:t>post-transcriptional modification</w:t>
      </w:r>
      <w:r w:rsidR="00AF3C06" w:rsidRPr="00371255">
        <w:rPr>
          <w:rFonts w:eastAsia="MS Mincho"/>
          <w:lang w:val="en-US"/>
        </w:rPr>
        <w:t xml:space="preserve"> of the splic</w:t>
      </w:r>
      <w:r w:rsidR="008E26FB" w:rsidRPr="00371255">
        <w:rPr>
          <w:rFonts w:eastAsia="MS Mincho"/>
          <w:lang w:val="en-US"/>
        </w:rPr>
        <w:t>ed</w:t>
      </w:r>
      <w:r w:rsidR="00AF3C06" w:rsidRPr="00371255">
        <w:rPr>
          <w:rFonts w:eastAsia="MS Mincho"/>
          <w:lang w:val="en-US"/>
        </w:rPr>
        <w:t xml:space="preserve"> gene</w:t>
      </w:r>
      <w:r w:rsidR="009846AB" w:rsidRPr="00371255">
        <w:rPr>
          <w:rFonts w:eastAsia="MS Mincho"/>
          <w:lang w:val="en-US"/>
        </w:rPr>
        <w:t xml:space="preserve"> product</w:t>
      </w:r>
      <w:r w:rsidR="00E8405F" w:rsidRPr="00371255">
        <w:rPr>
          <w:rFonts w:eastAsia="MS Mincho"/>
          <w:lang w:val="en-US"/>
        </w:rPr>
        <w:t>s</w:t>
      </w:r>
      <w:r w:rsidR="00AF3C06" w:rsidRPr="00371255">
        <w:rPr>
          <w:rFonts w:eastAsia="MS Mincho"/>
          <w:lang w:val="en-US"/>
        </w:rPr>
        <w:t xml:space="preserve"> </w:t>
      </w:r>
      <w:r w:rsidR="00DE2306" w:rsidRPr="00371255">
        <w:rPr>
          <w:rFonts w:eastAsia="MS Mincho"/>
          <w:lang w:val="en-US"/>
        </w:rPr>
        <w:t xml:space="preserve">may </w:t>
      </w:r>
      <w:r w:rsidR="005D5562">
        <w:rPr>
          <w:rFonts w:eastAsia="MS Mincho"/>
          <w:lang w:val="en-US"/>
        </w:rPr>
        <w:t>assist</w:t>
      </w:r>
      <w:r w:rsidR="00AF3C06" w:rsidRPr="00371255">
        <w:rPr>
          <w:rFonts w:eastAsia="MS Mincho"/>
          <w:lang w:val="en-US"/>
        </w:rPr>
        <w:t xml:space="preserve"> </w:t>
      </w:r>
      <w:r w:rsidR="006B3E40" w:rsidRPr="00371255">
        <w:rPr>
          <w:rFonts w:eastAsia="MS Mincho"/>
          <w:i/>
          <w:iCs/>
          <w:lang w:val="en-US"/>
        </w:rPr>
        <w:t xml:space="preserve">A. </w:t>
      </w:r>
      <w:proofErr w:type="spellStart"/>
      <w:r w:rsidR="006B3E40" w:rsidRPr="00371255">
        <w:rPr>
          <w:rFonts w:eastAsia="MS Mincho"/>
          <w:i/>
          <w:iCs/>
          <w:lang w:val="en-US"/>
        </w:rPr>
        <w:t>polyacanthus</w:t>
      </w:r>
      <w:proofErr w:type="spellEnd"/>
      <w:r w:rsidR="005D5562">
        <w:rPr>
          <w:rFonts w:eastAsia="MS Mincho"/>
          <w:lang w:val="en-US"/>
        </w:rPr>
        <w:t xml:space="preserve">, and possibly other coral reef fishes, </w:t>
      </w:r>
      <w:r w:rsidR="00DE2306" w:rsidRPr="00371255">
        <w:rPr>
          <w:rFonts w:eastAsia="MS Mincho"/>
          <w:lang w:val="en-US"/>
        </w:rPr>
        <w:t xml:space="preserve">to respond to </w:t>
      </w:r>
      <w:r w:rsidR="009B183A" w:rsidRPr="00371255">
        <w:rPr>
          <w:rFonts w:eastAsia="MS Mincho"/>
          <w:lang w:val="en-US"/>
        </w:rPr>
        <w:t>the different stages of</w:t>
      </w:r>
      <w:r w:rsidR="006B3E40" w:rsidRPr="00371255">
        <w:rPr>
          <w:rFonts w:eastAsia="MS Mincho"/>
          <w:lang w:val="en-US"/>
        </w:rPr>
        <w:t xml:space="preserve"> </w:t>
      </w:r>
      <w:r w:rsidR="00F66E45" w:rsidRPr="00371255">
        <w:rPr>
          <w:rFonts w:eastAsia="MS Mincho"/>
          <w:lang w:val="en-US"/>
        </w:rPr>
        <w:t xml:space="preserve">a marine </w:t>
      </w:r>
      <w:r w:rsidR="00C9194D" w:rsidRPr="00371255">
        <w:rPr>
          <w:rFonts w:eastAsia="MS Mincho"/>
          <w:lang w:val="en-US"/>
        </w:rPr>
        <w:t>heatwav</w:t>
      </w:r>
      <w:r w:rsidR="00EA3A48" w:rsidRPr="00371255">
        <w:rPr>
          <w:rFonts w:eastAsia="MS Mincho"/>
          <w:lang w:val="en-US"/>
        </w:rPr>
        <w:t xml:space="preserve">e. </w:t>
      </w:r>
      <w:r w:rsidR="000C2B8B">
        <w:rPr>
          <w:rFonts w:eastAsia="MS Mincho"/>
          <w:lang w:val="en-US"/>
        </w:rPr>
        <w:t>This study represents an example</w:t>
      </w:r>
      <w:r w:rsidR="002C2EEE" w:rsidRPr="00371255">
        <w:rPr>
          <w:rFonts w:eastAsia="MS Mincho"/>
          <w:lang w:val="en-US"/>
        </w:rPr>
        <w:t xml:space="preserve"> on</w:t>
      </w:r>
      <w:r w:rsidR="00A45D57" w:rsidRPr="00371255">
        <w:rPr>
          <w:rFonts w:eastAsia="MS Mincho"/>
          <w:lang w:val="en-US"/>
        </w:rPr>
        <w:t xml:space="preserve"> </w:t>
      </w:r>
      <w:r w:rsidR="000C2B8B">
        <w:rPr>
          <w:rFonts w:eastAsia="MS Mincho"/>
          <w:lang w:val="en-US"/>
        </w:rPr>
        <w:t>how</w:t>
      </w:r>
      <w:r w:rsidR="000C2B8B" w:rsidRPr="00371255">
        <w:rPr>
          <w:rFonts w:eastAsia="MS Mincho"/>
          <w:lang w:val="en-US"/>
        </w:rPr>
        <w:t xml:space="preserve"> </w:t>
      </w:r>
      <w:r w:rsidR="000C2B8B">
        <w:rPr>
          <w:rFonts w:eastAsia="MS Mincho"/>
          <w:lang w:val="en-US"/>
        </w:rPr>
        <w:t xml:space="preserve">multiple molecular mechanisms acting in concert </w:t>
      </w:r>
      <w:r w:rsidR="00427DF7">
        <w:rPr>
          <w:rFonts w:eastAsia="MS Mincho"/>
          <w:lang w:val="en-US"/>
        </w:rPr>
        <w:t xml:space="preserve">may help </w:t>
      </w:r>
      <w:r w:rsidR="00414934">
        <w:rPr>
          <w:rFonts w:eastAsia="MS Mincho"/>
          <w:lang w:val="en-US"/>
        </w:rPr>
        <w:t xml:space="preserve">coral reef </w:t>
      </w:r>
      <w:r w:rsidR="00427DF7">
        <w:rPr>
          <w:rFonts w:eastAsia="MS Mincho"/>
          <w:lang w:val="en-US"/>
        </w:rPr>
        <w:t>fish to acclimate the warming condition</w:t>
      </w:r>
      <w:r w:rsidR="001857D3">
        <w:rPr>
          <w:rFonts w:eastAsia="MS Mincho"/>
          <w:lang w:val="en-US"/>
        </w:rPr>
        <w:t xml:space="preserve"> </w:t>
      </w:r>
      <w:r w:rsidR="002A4685">
        <w:rPr>
          <w:rFonts w:eastAsia="MS Mincho"/>
          <w:lang w:val="en-US"/>
        </w:rPr>
        <w:t>during</w:t>
      </w:r>
      <w:r w:rsidR="000C2B8B">
        <w:rPr>
          <w:rFonts w:eastAsia="MS Mincho"/>
          <w:lang w:val="en-US"/>
        </w:rPr>
        <w:t xml:space="preserve"> marine heatwaves, as well as the potential </w:t>
      </w:r>
      <w:r w:rsidR="002A4685">
        <w:rPr>
          <w:rFonts w:eastAsia="MS Mincho"/>
          <w:lang w:val="en-US"/>
        </w:rPr>
        <w:t>processes related with</w:t>
      </w:r>
      <w:r w:rsidR="000C2B8B">
        <w:rPr>
          <w:rFonts w:eastAsia="MS Mincho"/>
          <w:lang w:val="en-US"/>
        </w:rPr>
        <w:t xml:space="preserve"> compensation to</w:t>
      </w:r>
      <w:r w:rsidR="002A4685">
        <w:rPr>
          <w:rFonts w:eastAsia="MS Mincho"/>
          <w:lang w:val="en-US"/>
        </w:rPr>
        <w:t xml:space="preserve"> long-term </w:t>
      </w:r>
      <w:r w:rsidR="00DE2306" w:rsidRPr="00371255">
        <w:rPr>
          <w:rFonts w:eastAsia="MS Mincho"/>
          <w:lang w:val="en-US"/>
        </w:rPr>
        <w:t>ocean warming.</w:t>
      </w:r>
      <w:r w:rsidR="00540612" w:rsidRPr="00371255">
        <w:rPr>
          <w:rFonts w:eastAsia="MS Mincho"/>
          <w:lang w:val="en-US"/>
        </w:rPr>
        <w:t xml:space="preserve"> </w:t>
      </w:r>
    </w:p>
    <w:p w14:paraId="4E631788" w14:textId="4A8A91AD" w:rsidR="00610CC8" w:rsidRPr="00F02BED" w:rsidRDefault="00610CC8" w:rsidP="006D35F3">
      <w:pPr>
        <w:spacing w:line="480" w:lineRule="auto"/>
        <w:ind w:firstLine="720"/>
        <w:jc w:val="both"/>
        <w:rPr>
          <w:rFonts w:eastAsia="MS Mincho"/>
          <w:lang w:val="en-US"/>
        </w:rPr>
      </w:pPr>
    </w:p>
    <w:p w14:paraId="27C3CDF7" w14:textId="01848770" w:rsidR="00792590" w:rsidRDefault="009D4E79" w:rsidP="000B0733">
      <w:pPr>
        <w:rPr>
          <w:b/>
          <w:bCs/>
          <w:u w:val="single"/>
          <w:lang w:val="en-US"/>
        </w:rPr>
      </w:pPr>
      <w:r w:rsidRPr="00371255">
        <w:rPr>
          <w:b/>
          <w:bCs/>
          <w:lang w:val="en-US"/>
        </w:rPr>
        <w:br w:type="column"/>
      </w:r>
      <w:r w:rsidR="00792590" w:rsidRPr="004147E2">
        <w:rPr>
          <w:b/>
          <w:bCs/>
          <w:u w:val="single"/>
          <w:lang w:val="en-US"/>
        </w:rPr>
        <w:lastRenderedPageBreak/>
        <w:t>References</w:t>
      </w:r>
    </w:p>
    <w:p w14:paraId="1D20F0FE" w14:textId="0AE5D21C" w:rsidR="00EF730B" w:rsidRPr="00EF730B" w:rsidRDefault="00EF730B" w:rsidP="00EF730B">
      <w:pPr>
        <w:widowControl w:val="0"/>
        <w:autoSpaceDE w:val="0"/>
        <w:autoSpaceDN w:val="0"/>
        <w:adjustRightInd w:val="0"/>
        <w:rPr>
          <w:noProof/>
          <w:lang w:val="en-GB"/>
        </w:rPr>
      </w:pPr>
      <w:r>
        <w:rPr>
          <w:lang w:val="en-US"/>
        </w:rPr>
        <w:fldChar w:fldCharType="begin" w:fldLock="1"/>
      </w:r>
      <w:r>
        <w:rPr>
          <w:lang w:val="en-US"/>
        </w:rPr>
        <w:instrText xml:space="preserve">ADDIN Mendeley Bibliography CSL_BIBLIOGRAPHY </w:instrText>
      </w:r>
      <w:r>
        <w:rPr>
          <w:lang w:val="en-US"/>
        </w:rPr>
        <w:fldChar w:fldCharType="separate"/>
      </w:r>
      <w:r w:rsidRPr="00EF730B">
        <w:rPr>
          <w:noProof/>
          <w:lang w:val="en-GB"/>
        </w:rPr>
        <w:t xml:space="preserve">Alfonso, S., Gesto, M. and Sadoul, B. (2020) ‘Temperature increase and its effects on fish stress physiology in the context of global warming’, </w:t>
      </w:r>
      <w:r w:rsidRPr="00EF730B">
        <w:rPr>
          <w:i/>
          <w:iCs/>
          <w:noProof/>
          <w:lang w:val="en-GB"/>
        </w:rPr>
        <w:t>Journal of Fish Biology</w:t>
      </w:r>
      <w:r w:rsidRPr="00EF730B">
        <w:rPr>
          <w:noProof/>
          <w:lang w:val="en-GB"/>
        </w:rPr>
        <w:t>, 98(6), pp. 1496–1508. doi: 10.1111/jfb.14599.</w:t>
      </w:r>
    </w:p>
    <w:p w14:paraId="13C9F361" w14:textId="77777777" w:rsidR="00EF730B" w:rsidRPr="00EF730B" w:rsidRDefault="00EF730B" w:rsidP="00EF730B">
      <w:pPr>
        <w:widowControl w:val="0"/>
        <w:autoSpaceDE w:val="0"/>
        <w:autoSpaceDN w:val="0"/>
        <w:adjustRightInd w:val="0"/>
        <w:rPr>
          <w:noProof/>
          <w:lang w:val="en-GB"/>
        </w:rPr>
      </w:pPr>
      <w:r w:rsidRPr="00AD7D5B">
        <w:rPr>
          <w:noProof/>
          <w:lang w:val="es-ES"/>
        </w:rPr>
        <w:t xml:space="preserve">Bailey, H. J. </w:t>
      </w:r>
      <w:r w:rsidRPr="00AD7D5B">
        <w:rPr>
          <w:i/>
          <w:iCs/>
          <w:noProof/>
          <w:lang w:val="es-ES"/>
        </w:rPr>
        <w:t>et al.</w:t>
      </w:r>
      <w:r w:rsidRPr="00AD7D5B">
        <w:rPr>
          <w:noProof/>
          <w:lang w:val="es-ES"/>
        </w:rPr>
        <w:t xml:space="preserve"> </w:t>
      </w:r>
      <w:r w:rsidRPr="00EF730B">
        <w:rPr>
          <w:noProof/>
          <w:lang w:val="en-GB"/>
        </w:rPr>
        <w:t xml:space="preserve">(2020) ‘Human aminolevulinate synthase structure reveals a eukaryotic-specific autoinhibitory loop regulating substrate binding and product release’, </w:t>
      </w:r>
      <w:r w:rsidRPr="00EF730B">
        <w:rPr>
          <w:i/>
          <w:iCs/>
          <w:noProof/>
          <w:lang w:val="en-GB"/>
        </w:rPr>
        <w:t>Nature Communications</w:t>
      </w:r>
      <w:r w:rsidRPr="00EF730B">
        <w:rPr>
          <w:noProof/>
          <w:lang w:val="en-GB"/>
        </w:rPr>
        <w:t>, 11(1), pp. 1–12. doi: 10.1038/s41467-020-16586-x.</w:t>
      </w:r>
    </w:p>
    <w:p w14:paraId="458A7F1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Bernal, M. A. </w:t>
      </w:r>
      <w:r w:rsidRPr="00EF730B">
        <w:rPr>
          <w:i/>
          <w:iCs/>
          <w:noProof/>
          <w:lang w:val="en-GB"/>
        </w:rPr>
        <w:t>et al.</w:t>
      </w:r>
      <w:r w:rsidRPr="00EF730B">
        <w:rPr>
          <w:noProof/>
          <w:lang w:val="en-GB"/>
        </w:rPr>
        <w:t xml:space="preserve"> (2018) ‘Phenotypic and molecular consequences of stepwise temperature increase across generations in a coral reef fish’, </w:t>
      </w:r>
      <w:r w:rsidRPr="00EF730B">
        <w:rPr>
          <w:i/>
          <w:iCs/>
          <w:noProof/>
          <w:lang w:val="en-GB"/>
        </w:rPr>
        <w:t>Molecular Ecology</w:t>
      </w:r>
      <w:r w:rsidRPr="00EF730B">
        <w:rPr>
          <w:noProof/>
          <w:lang w:val="en-GB"/>
        </w:rPr>
        <w:t>, 27(22), pp. 4516–4528. doi: 10.1111/mec.14884.</w:t>
      </w:r>
    </w:p>
    <w:p w14:paraId="6D399D2B"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Bernal, M. A. </w:t>
      </w:r>
      <w:r w:rsidRPr="00EF730B">
        <w:rPr>
          <w:i/>
          <w:iCs/>
          <w:noProof/>
          <w:lang w:val="en-GB"/>
        </w:rPr>
        <w:t>et al.</w:t>
      </w:r>
      <w:r w:rsidRPr="00EF730B">
        <w:rPr>
          <w:noProof/>
          <w:lang w:val="en-GB"/>
        </w:rPr>
        <w:t xml:space="preserve"> (2020) ‘Species-specific molecular responses of wild coral reef fishes during a marine heatwave’, </w:t>
      </w:r>
      <w:r w:rsidRPr="00EF730B">
        <w:rPr>
          <w:i/>
          <w:iCs/>
          <w:noProof/>
          <w:lang w:val="en-GB"/>
        </w:rPr>
        <w:t>Science Advances</w:t>
      </w:r>
      <w:r w:rsidRPr="00EF730B">
        <w:rPr>
          <w:noProof/>
          <w:lang w:val="en-GB"/>
        </w:rPr>
        <w:t>, 6(12), p. eaay3423. doi: 10.1126/sciadv.aay3423.</w:t>
      </w:r>
    </w:p>
    <w:p w14:paraId="564F6D56"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Bolger, A. M., Lohse, M. and Usadel, B. (2014) ‘Trimmomatic: A flexible trimmer for Illumina sequence data’, </w:t>
      </w:r>
      <w:r w:rsidRPr="00EF730B">
        <w:rPr>
          <w:i/>
          <w:iCs/>
          <w:noProof/>
          <w:lang w:val="en-GB"/>
        </w:rPr>
        <w:t>Bioinformatics</w:t>
      </w:r>
      <w:r w:rsidRPr="00EF730B">
        <w:rPr>
          <w:noProof/>
          <w:lang w:val="en-GB"/>
        </w:rPr>
        <w:t>, 30(15), pp. 2114–2120. doi: 10.1093/bioinformatics/btu170.</w:t>
      </w:r>
    </w:p>
    <w:p w14:paraId="402259AE"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Brown, C. J. </w:t>
      </w:r>
      <w:r w:rsidRPr="00EF730B">
        <w:rPr>
          <w:i/>
          <w:iCs/>
          <w:noProof/>
          <w:lang w:val="en-GB"/>
        </w:rPr>
        <w:t>et al.</w:t>
      </w:r>
      <w:r w:rsidRPr="00EF730B">
        <w:rPr>
          <w:noProof/>
          <w:lang w:val="en-GB"/>
        </w:rPr>
        <w:t xml:space="preserve"> (2021) ‘Direct and indirect effects of heatwaves on a coral reef fishery’, </w:t>
      </w:r>
      <w:r w:rsidRPr="00EF730B">
        <w:rPr>
          <w:i/>
          <w:iCs/>
          <w:noProof/>
          <w:lang w:val="en-GB"/>
        </w:rPr>
        <w:t>Global Change Biology</w:t>
      </w:r>
      <w:r w:rsidRPr="00EF730B">
        <w:rPr>
          <w:noProof/>
          <w:lang w:val="en-GB"/>
        </w:rPr>
        <w:t>, 27(6), pp. 1214–1225. doi: 10.1111/gcb.15472.</w:t>
      </w:r>
    </w:p>
    <w:p w14:paraId="00D72F19"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Chaudhary, S. </w:t>
      </w:r>
      <w:r w:rsidRPr="00EF730B">
        <w:rPr>
          <w:i/>
          <w:iCs/>
          <w:noProof/>
          <w:lang w:val="en-GB"/>
        </w:rPr>
        <w:t>et al.</w:t>
      </w:r>
      <w:r w:rsidRPr="00EF730B">
        <w:rPr>
          <w:noProof/>
          <w:lang w:val="en-GB"/>
        </w:rPr>
        <w:t xml:space="preserve"> (2019) ‘Alternative splicing and protein diversity: Plants versus animals’, </w:t>
      </w:r>
      <w:r w:rsidRPr="00EF730B">
        <w:rPr>
          <w:i/>
          <w:iCs/>
          <w:noProof/>
          <w:lang w:val="en-GB"/>
        </w:rPr>
        <w:t>Frontiers in Plant Science</w:t>
      </w:r>
      <w:r w:rsidRPr="00EF730B">
        <w:rPr>
          <w:noProof/>
          <w:lang w:val="en-GB"/>
        </w:rPr>
        <w:t>, 10, p. 708. doi: 10.3389/fpls.2019.00708.</w:t>
      </w:r>
    </w:p>
    <w:p w14:paraId="5A367F1D"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Cheng, C. H. </w:t>
      </w:r>
      <w:r w:rsidRPr="00EF730B">
        <w:rPr>
          <w:i/>
          <w:iCs/>
          <w:noProof/>
          <w:lang w:val="en-GB"/>
        </w:rPr>
        <w:t>et al.</w:t>
      </w:r>
      <w:r w:rsidRPr="00EF730B">
        <w:rPr>
          <w:noProof/>
          <w:lang w:val="en-GB"/>
        </w:rPr>
        <w:t xml:space="preserve"> (2017) ‘Immune and physiological responses of pufferfish (</w:t>
      </w:r>
      <w:r w:rsidRPr="00A23BCD">
        <w:rPr>
          <w:i/>
          <w:iCs/>
          <w:noProof/>
          <w:lang w:val="en-GB"/>
        </w:rPr>
        <w:t>Takifugu obscurus</w:t>
      </w:r>
      <w:r w:rsidRPr="00EF730B">
        <w:rPr>
          <w:noProof/>
          <w:lang w:val="en-GB"/>
        </w:rPr>
        <w:t xml:space="preserve">) under cold stress’, </w:t>
      </w:r>
      <w:r w:rsidRPr="00EF730B">
        <w:rPr>
          <w:i/>
          <w:iCs/>
          <w:noProof/>
          <w:lang w:val="en-GB"/>
        </w:rPr>
        <w:t>Fish and Shellfish Immunology</w:t>
      </w:r>
      <w:r w:rsidRPr="00EF730B">
        <w:rPr>
          <w:noProof/>
          <w:lang w:val="en-GB"/>
        </w:rPr>
        <w:t>, 64, pp. 137–145. doi: 10.1016/j.fsi.2017.03.003.</w:t>
      </w:r>
    </w:p>
    <w:p w14:paraId="77B75BBE"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Chiabrando, D. </w:t>
      </w:r>
      <w:r w:rsidRPr="00EF730B">
        <w:rPr>
          <w:i/>
          <w:iCs/>
          <w:noProof/>
          <w:lang w:val="en-GB"/>
        </w:rPr>
        <w:t>et al.</w:t>
      </w:r>
      <w:r w:rsidRPr="00EF730B">
        <w:rPr>
          <w:noProof/>
          <w:lang w:val="en-GB"/>
        </w:rPr>
        <w:t xml:space="preserve"> (2014) ‘Heme in pathophysiology: A matter of scavenging, metabolism and trafficking across cell membranes’, </w:t>
      </w:r>
      <w:r w:rsidRPr="00EF730B">
        <w:rPr>
          <w:i/>
          <w:iCs/>
          <w:noProof/>
          <w:lang w:val="en-GB"/>
        </w:rPr>
        <w:t>Frontiers in Pharmacology</w:t>
      </w:r>
      <w:r w:rsidRPr="00EF730B">
        <w:rPr>
          <w:noProof/>
          <w:lang w:val="en-GB"/>
        </w:rPr>
        <w:t>, 5, p. 61. doi: 10.3389/fphar.2014.00061.</w:t>
      </w:r>
    </w:p>
    <w:p w14:paraId="50477604"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Conesa, A. </w:t>
      </w:r>
      <w:r w:rsidRPr="00EF730B">
        <w:rPr>
          <w:i/>
          <w:iCs/>
          <w:noProof/>
          <w:lang w:val="en-GB"/>
        </w:rPr>
        <w:t>et al.</w:t>
      </w:r>
      <w:r w:rsidRPr="00EF730B">
        <w:rPr>
          <w:noProof/>
          <w:lang w:val="en-GB"/>
        </w:rPr>
        <w:t xml:space="preserve"> (2005) ‘Blast2GO: A universal tool for annotation, visualization and analysis in functional genomics research’, </w:t>
      </w:r>
      <w:r w:rsidRPr="00EF730B">
        <w:rPr>
          <w:i/>
          <w:iCs/>
          <w:noProof/>
          <w:lang w:val="en-GB"/>
        </w:rPr>
        <w:t>Bioinformatics</w:t>
      </w:r>
      <w:r w:rsidRPr="00EF730B">
        <w:rPr>
          <w:noProof/>
          <w:lang w:val="en-GB"/>
        </w:rPr>
        <w:t>, 21(18), pp. 3674–3676. doi: 10.1093/bioinformatics/bti610.</w:t>
      </w:r>
    </w:p>
    <w:p w14:paraId="60876A2B"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Cuenda, A. and Rousseau, S. (2007) ‘p38 MAP-Kinases pathway regulation, function and role in human diseases’, </w:t>
      </w:r>
      <w:r w:rsidRPr="00EF730B">
        <w:rPr>
          <w:i/>
          <w:iCs/>
          <w:noProof/>
          <w:lang w:val="en-GB"/>
        </w:rPr>
        <w:t>Biochimica et Biophysica Acta - Molecular Cell Research</w:t>
      </w:r>
      <w:r w:rsidRPr="00EF730B">
        <w:rPr>
          <w:noProof/>
          <w:lang w:val="en-GB"/>
        </w:rPr>
        <w:t>, 1773(8), pp. 1358–1375. doi: 10.1016/j.bbamcr.2007.03.010.</w:t>
      </w:r>
    </w:p>
    <w:p w14:paraId="4600D0FB"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Demers, N. and Bayne, C. (2020) ‘Immediate increase of plasma protein complement C3 in response to an acute stressor’, </w:t>
      </w:r>
      <w:r w:rsidRPr="00EF730B">
        <w:rPr>
          <w:i/>
          <w:iCs/>
          <w:noProof/>
          <w:lang w:val="en-GB"/>
        </w:rPr>
        <w:t>Fish and Shellfish Immunology</w:t>
      </w:r>
      <w:r w:rsidRPr="00EF730B">
        <w:rPr>
          <w:noProof/>
          <w:lang w:val="en-GB"/>
        </w:rPr>
        <w:t>. Elsevier Ltd, 107, pp. 411–413. doi: 10.1016/j.fsi.2020.10.022.</w:t>
      </w:r>
    </w:p>
    <w:p w14:paraId="285E1376"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Deng, Y. </w:t>
      </w:r>
      <w:r w:rsidRPr="00EF730B">
        <w:rPr>
          <w:i/>
          <w:iCs/>
          <w:noProof/>
          <w:lang w:val="en-GB"/>
        </w:rPr>
        <w:t>et al.</w:t>
      </w:r>
      <w:r w:rsidRPr="00EF730B">
        <w:rPr>
          <w:noProof/>
          <w:lang w:val="en-GB"/>
        </w:rPr>
        <w:t xml:space="preserve"> (2016) ‘IRE1, a component of the unfolded protein response signaling pathway, protects pollen development in Arabidopsis from heat stress’, </w:t>
      </w:r>
      <w:r w:rsidRPr="00EF730B">
        <w:rPr>
          <w:i/>
          <w:iCs/>
          <w:noProof/>
          <w:lang w:val="en-GB"/>
        </w:rPr>
        <w:t>Plant Journal</w:t>
      </w:r>
      <w:r w:rsidRPr="00EF730B">
        <w:rPr>
          <w:noProof/>
          <w:lang w:val="en-GB"/>
        </w:rPr>
        <w:t>, 88(2), pp. 193–204. doi: 10.1111/tpj.13239.</w:t>
      </w:r>
    </w:p>
    <w:p w14:paraId="3C1D6D6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Dobin, A. </w:t>
      </w:r>
      <w:r w:rsidRPr="00EF730B">
        <w:rPr>
          <w:i/>
          <w:iCs/>
          <w:noProof/>
          <w:lang w:val="en-GB"/>
        </w:rPr>
        <w:t>et al.</w:t>
      </w:r>
      <w:r w:rsidRPr="00EF730B">
        <w:rPr>
          <w:noProof/>
          <w:lang w:val="en-GB"/>
        </w:rPr>
        <w:t xml:space="preserve"> (2013) ‘STAR: Ultrafast universal RNA-seq aligner’, </w:t>
      </w:r>
      <w:r w:rsidRPr="00EF730B">
        <w:rPr>
          <w:i/>
          <w:iCs/>
          <w:noProof/>
          <w:lang w:val="en-GB"/>
        </w:rPr>
        <w:t>Bioinformatics</w:t>
      </w:r>
      <w:r w:rsidRPr="00EF730B">
        <w:rPr>
          <w:noProof/>
          <w:lang w:val="en-GB"/>
        </w:rPr>
        <w:t>, 29(1), pp. 15–21. doi: 10.1093/bioinformatics/bts635.</w:t>
      </w:r>
    </w:p>
    <w:p w14:paraId="4FFA286F"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Donelson, J. M. </w:t>
      </w:r>
      <w:r w:rsidRPr="00EF730B">
        <w:rPr>
          <w:i/>
          <w:iCs/>
          <w:noProof/>
          <w:lang w:val="en-GB"/>
        </w:rPr>
        <w:t>et al.</w:t>
      </w:r>
      <w:r w:rsidRPr="00EF730B">
        <w:rPr>
          <w:noProof/>
          <w:lang w:val="en-GB"/>
        </w:rPr>
        <w:t xml:space="preserve"> (2016) ‘Transgenerational plasticity of reproduction depends on rate of warming across generations’, </w:t>
      </w:r>
      <w:r w:rsidRPr="00EF730B">
        <w:rPr>
          <w:i/>
          <w:iCs/>
          <w:noProof/>
          <w:lang w:val="en-GB"/>
        </w:rPr>
        <w:t>Evolutionary Applications</w:t>
      </w:r>
      <w:r w:rsidRPr="00EF730B">
        <w:rPr>
          <w:noProof/>
          <w:lang w:val="en-GB"/>
        </w:rPr>
        <w:t>, 9(9), pp. 1072–1081. doi: 10.1111/eva.12386.</w:t>
      </w:r>
    </w:p>
    <w:p w14:paraId="4AEE1060"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Donelson, J. M. and Munday, P. L. (2012) ‘Thermal sensitivity does not determine acclimation capacity for a tropical reef fish’, </w:t>
      </w:r>
      <w:r w:rsidRPr="00EF730B">
        <w:rPr>
          <w:i/>
          <w:iCs/>
          <w:noProof/>
          <w:lang w:val="en-GB"/>
        </w:rPr>
        <w:t>Journal of Animal Ecology</w:t>
      </w:r>
      <w:r w:rsidRPr="00EF730B">
        <w:rPr>
          <w:noProof/>
          <w:lang w:val="en-GB"/>
        </w:rPr>
        <w:t>, 81(5), pp. 1126–1131. doi: 10.1111/j.1365-2656.2012.01982.x.</w:t>
      </w:r>
    </w:p>
    <w:p w14:paraId="29F71BDA"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Foissac, S. and Sammeth, M. (2007) ‘ASTALAVISTA: Dynamic and flexible analysis of alternative splicing events in custom gene datasets’, </w:t>
      </w:r>
      <w:r w:rsidRPr="00EF730B">
        <w:rPr>
          <w:i/>
          <w:iCs/>
          <w:noProof/>
          <w:lang w:val="en-GB"/>
        </w:rPr>
        <w:t>Nucleic Acids Research</w:t>
      </w:r>
      <w:r w:rsidRPr="00EF730B">
        <w:rPr>
          <w:noProof/>
          <w:lang w:val="en-GB"/>
        </w:rPr>
        <w:t>, 35(SUPPL.2), pp. W297–W299. doi: 10.1093/nar/gkm311.</w:t>
      </w:r>
    </w:p>
    <w:p w14:paraId="07F44008"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Fordyce, A. J. </w:t>
      </w:r>
      <w:r w:rsidRPr="00EF730B">
        <w:rPr>
          <w:i/>
          <w:iCs/>
          <w:noProof/>
          <w:lang w:val="en-GB"/>
        </w:rPr>
        <w:t>et al.</w:t>
      </w:r>
      <w:r w:rsidRPr="00EF730B">
        <w:rPr>
          <w:noProof/>
          <w:lang w:val="en-GB"/>
        </w:rPr>
        <w:t xml:space="preserve"> (2019) ‘Marine heatwave hotspots in coral reef environments: Physical </w:t>
      </w:r>
      <w:r w:rsidRPr="00EF730B">
        <w:rPr>
          <w:noProof/>
          <w:lang w:val="en-GB"/>
        </w:rPr>
        <w:lastRenderedPageBreak/>
        <w:t xml:space="preserve">drivers, ecophysiological outcomes and impact upon structural complexity’, </w:t>
      </w:r>
      <w:r w:rsidRPr="00EF730B">
        <w:rPr>
          <w:i/>
          <w:iCs/>
          <w:noProof/>
          <w:lang w:val="en-GB"/>
        </w:rPr>
        <w:t>Frontiers in Marine Science</w:t>
      </w:r>
      <w:r w:rsidRPr="00EF730B">
        <w:rPr>
          <w:noProof/>
          <w:lang w:val="en-GB"/>
        </w:rPr>
        <w:t>, 6, p. 498. doi: 10.3389/fmars.2019.00498.</w:t>
      </w:r>
    </w:p>
    <w:p w14:paraId="40493179"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Fursham, M. </w:t>
      </w:r>
      <w:r w:rsidRPr="00EF730B">
        <w:rPr>
          <w:i/>
          <w:iCs/>
          <w:noProof/>
          <w:lang w:val="en-GB"/>
        </w:rPr>
        <w:t>et al.</w:t>
      </w:r>
      <w:r w:rsidRPr="00EF730B">
        <w:rPr>
          <w:noProof/>
          <w:lang w:val="en-GB"/>
        </w:rPr>
        <w:t xml:space="preserve"> (2014) ‘Emerging functions of alternative splicing coupled with nonsense ‑ mediated decay’, </w:t>
      </w:r>
      <w:r w:rsidRPr="00EF730B">
        <w:rPr>
          <w:i/>
          <w:iCs/>
          <w:noProof/>
          <w:lang w:val="en-GB"/>
        </w:rPr>
        <w:t>Biochemical Society Transactions</w:t>
      </w:r>
      <w:r w:rsidRPr="00EF730B">
        <w:rPr>
          <w:noProof/>
          <w:lang w:val="en-GB"/>
        </w:rPr>
        <w:t>, 42(4), pp. 1168–1173. doi: 10.1042/BST20140066.</w:t>
      </w:r>
    </w:p>
    <w:p w14:paraId="52FBBC2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Gardiner, J., Overall, R. and Marc, J. (2013) ‘The Nervous System Cytoskeleton under Oxidative Stress’, </w:t>
      </w:r>
      <w:r w:rsidRPr="00EF730B">
        <w:rPr>
          <w:i/>
          <w:iCs/>
          <w:noProof/>
          <w:lang w:val="en-GB"/>
        </w:rPr>
        <w:t>Diseases</w:t>
      </w:r>
      <w:r w:rsidRPr="00EF730B">
        <w:rPr>
          <w:noProof/>
          <w:lang w:val="en-GB"/>
        </w:rPr>
        <w:t>, 1(1), pp. 36–50. doi: 10.3390/diseases1010036.</w:t>
      </w:r>
    </w:p>
    <w:p w14:paraId="1E6D41A4"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Genin, A. </w:t>
      </w:r>
      <w:r w:rsidRPr="00EF730B">
        <w:rPr>
          <w:i/>
          <w:iCs/>
          <w:noProof/>
          <w:lang w:val="en-GB"/>
        </w:rPr>
        <w:t>et al.</w:t>
      </w:r>
      <w:r w:rsidRPr="00EF730B">
        <w:rPr>
          <w:noProof/>
          <w:lang w:val="en-GB"/>
        </w:rPr>
        <w:t xml:space="preserve"> (2020) ‘Rapid onsets of warming events trigger mass mortality of coral reef fish’, </w:t>
      </w:r>
      <w:r w:rsidRPr="00EF730B">
        <w:rPr>
          <w:i/>
          <w:iCs/>
          <w:noProof/>
          <w:lang w:val="en-GB"/>
        </w:rPr>
        <w:t>Proceedings of the National Academy of Sciences of the United States of America</w:t>
      </w:r>
      <w:r w:rsidRPr="00EF730B">
        <w:rPr>
          <w:noProof/>
          <w:lang w:val="en-GB"/>
        </w:rPr>
        <w:t>, 117(41), pp. 25378–25385. doi: 10.1073/pnas.2009748117.</w:t>
      </w:r>
    </w:p>
    <w:p w14:paraId="607BE986"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Guo, W. </w:t>
      </w:r>
      <w:r w:rsidRPr="00EF730B">
        <w:rPr>
          <w:i/>
          <w:iCs/>
          <w:noProof/>
          <w:lang w:val="en-GB"/>
        </w:rPr>
        <w:t>et al.</w:t>
      </w:r>
      <w:r w:rsidRPr="00EF730B">
        <w:rPr>
          <w:noProof/>
          <w:lang w:val="en-GB"/>
        </w:rPr>
        <w:t xml:space="preserve"> (2020) ‘3D RNA-seq: A powerful and flexible tool for rapid and accurate differential expression and alternative splicing analysis of RNA-seq data for biologists’, </w:t>
      </w:r>
      <w:r w:rsidRPr="00EF730B">
        <w:rPr>
          <w:i/>
          <w:iCs/>
          <w:noProof/>
          <w:lang w:val="en-GB"/>
        </w:rPr>
        <w:t>RNA biology</w:t>
      </w:r>
      <w:r w:rsidRPr="00EF730B">
        <w:rPr>
          <w:noProof/>
          <w:lang w:val="en-GB"/>
        </w:rPr>
        <w:t>, pp. 1–14. doi: 10.1101/656686.</w:t>
      </w:r>
    </w:p>
    <w:p w14:paraId="0CBA955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Gupta, A. Sen </w:t>
      </w:r>
      <w:r w:rsidRPr="00EF730B">
        <w:rPr>
          <w:i/>
          <w:iCs/>
          <w:noProof/>
          <w:lang w:val="en-GB"/>
        </w:rPr>
        <w:t>et al.</w:t>
      </w:r>
      <w:r w:rsidRPr="00EF730B">
        <w:rPr>
          <w:noProof/>
          <w:lang w:val="en-GB"/>
        </w:rPr>
        <w:t xml:space="preserve"> (2020) ‘Drivers and impacts of the most extreme marine heatwaves events’, </w:t>
      </w:r>
      <w:r w:rsidRPr="00EF730B">
        <w:rPr>
          <w:i/>
          <w:iCs/>
          <w:noProof/>
          <w:lang w:val="en-GB"/>
        </w:rPr>
        <w:t>Scientific Reports</w:t>
      </w:r>
      <w:r w:rsidRPr="00EF730B">
        <w:rPr>
          <w:noProof/>
          <w:lang w:val="en-GB"/>
        </w:rPr>
        <w:t>, 10(1), pp. 1–15. doi: 10.1038/s41598-020-75445-3.</w:t>
      </w:r>
    </w:p>
    <w:p w14:paraId="6CFF23E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Harper, C. and Wolf, J. C. (2009) ‘Morphologic effects of the stress response in fish’, </w:t>
      </w:r>
      <w:r w:rsidRPr="00EF730B">
        <w:rPr>
          <w:i/>
          <w:iCs/>
          <w:noProof/>
          <w:lang w:val="en-GB"/>
        </w:rPr>
        <w:t>ILAR Journal</w:t>
      </w:r>
      <w:r w:rsidRPr="00EF730B">
        <w:rPr>
          <w:noProof/>
          <w:lang w:val="en-GB"/>
        </w:rPr>
        <w:t>, 50(4), pp. 387–396. doi: 10.1093/ilar.50.4.387.</w:t>
      </w:r>
    </w:p>
    <w:p w14:paraId="13107EAE"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Healy, T. M. and Schulte, P. M. (2019) ‘Patterns of alternative splicing in response to cold acclimation in fish’, </w:t>
      </w:r>
      <w:r w:rsidRPr="00EF730B">
        <w:rPr>
          <w:i/>
          <w:iCs/>
          <w:noProof/>
          <w:lang w:val="en-GB"/>
        </w:rPr>
        <w:t>Journal of Experimental Biology</w:t>
      </w:r>
      <w:r w:rsidRPr="00EF730B">
        <w:rPr>
          <w:noProof/>
          <w:lang w:val="en-GB"/>
        </w:rPr>
        <w:t>, 222(5), p. jeb193516. doi: 10.1242/jeb.193516.</w:t>
      </w:r>
    </w:p>
    <w:p w14:paraId="7AD88A2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Heise, K. </w:t>
      </w:r>
      <w:r w:rsidRPr="00EF730B">
        <w:rPr>
          <w:i/>
          <w:iCs/>
          <w:noProof/>
          <w:lang w:val="en-GB"/>
        </w:rPr>
        <w:t>et al.</w:t>
      </w:r>
      <w:r w:rsidRPr="00EF730B">
        <w:rPr>
          <w:noProof/>
          <w:lang w:val="en-GB"/>
        </w:rPr>
        <w:t xml:space="preserve"> (2006) ‘Oxidative stress during stressful heat exposure and recovery in the North Sea eelpout </w:t>
      </w:r>
      <w:r w:rsidRPr="00AD7D5B">
        <w:rPr>
          <w:i/>
          <w:iCs/>
          <w:noProof/>
          <w:lang w:val="en-GB"/>
        </w:rPr>
        <w:t>Zoarces viviparus L</w:t>
      </w:r>
      <w:r w:rsidRPr="00EF730B">
        <w:rPr>
          <w:noProof/>
          <w:lang w:val="en-GB"/>
        </w:rPr>
        <w:t xml:space="preserve">.’, </w:t>
      </w:r>
      <w:r w:rsidRPr="00EF730B">
        <w:rPr>
          <w:i/>
          <w:iCs/>
          <w:noProof/>
          <w:lang w:val="en-GB"/>
        </w:rPr>
        <w:t>Journal of Experimental Biology</w:t>
      </w:r>
      <w:r w:rsidRPr="00EF730B">
        <w:rPr>
          <w:noProof/>
          <w:lang w:val="en-GB"/>
        </w:rPr>
        <w:t>, 209(2), pp. 353–363. doi: 10.1242/jeb.01977.</w:t>
      </w:r>
    </w:p>
    <w:p w14:paraId="60385201"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Hobday, A. J. </w:t>
      </w:r>
      <w:r w:rsidRPr="00EF730B">
        <w:rPr>
          <w:i/>
          <w:iCs/>
          <w:noProof/>
          <w:lang w:val="en-GB"/>
        </w:rPr>
        <w:t>et al.</w:t>
      </w:r>
      <w:r w:rsidRPr="00EF730B">
        <w:rPr>
          <w:noProof/>
          <w:lang w:val="en-GB"/>
        </w:rPr>
        <w:t xml:space="preserve"> (2016) ‘A hierarchical approach to defining marine heatwaves’, </w:t>
      </w:r>
      <w:r w:rsidRPr="00EF730B">
        <w:rPr>
          <w:i/>
          <w:iCs/>
          <w:noProof/>
          <w:lang w:val="en-GB"/>
        </w:rPr>
        <w:t>Progress in Oceanography</w:t>
      </w:r>
      <w:r w:rsidRPr="00EF730B">
        <w:rPr>
          <w:noProof/>
          <w:lang w:val="en-GB"/>
        </w:rPr>
        <w:t>. Elsevier Ltd, 141, pp. 227–238. doi: 10.1016/j.pocean.2015.12.014.</w:t>
      </w:r>
    </w:p>
    <w:p w14:paraId="6BAEE2C7"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Hoegh-Guldberg, O. and Bruno, J. F. (2010) ‘The impact of climate change on the world’s marine ecosystems’, </w:t>
      </w:r>
      <w:r w:rsidRPr="00EF730B">
        <w:rPr>
          <w:i/>
          <w:iCs/>
          <w:noProof/>
          <w:lang w:val="en-GB"/>
        </w:rPr>
        <w:t>Science</w:t>
      </w:r>
      <w:r w:rsidRPr="00EF730B">
        <w:rPr>
          <w:noProof/>
          <w:lang w:val="en-GB"/>
        </w:rPr>
        <w:t>, 328(5985), pp. 1523–1528. doi: 10.1126/science.1189930.</w:t>
      </w:r>
    </w:p>
    <w:p w14:paraId="2F3ED425"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Hofmann, G. E. and Todgham, A. E. (2009) ‘Living in the now: Physiological mechanisms to tolerate a rapidly changing environment’, </w:t>
      </w:r>
      <w:r w:rsidRPr="00EF730B">
        <w:rPr>
          <w:i/>
          <w:iCs/>
          <w:noProof/>
          <w:lang w:val="en-GB"/>
        </w:rPr>
        <w:t>Annual Review of Physiology</w:t>
      </w:r>
      <w:r w:rsidRPr="00EF730B">
        <w:rPr>
          <w:noProof/>
          <w:lang w:val="en-GB"/>
        </w:rPr>
        <w:t>, 72, pp. 127–145. doi: 10.1146/annurev-physiol-021909-135900.</w:t>
      </w:r>
    </w:p>
    <w:p w14:paraId="185D5FFE"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Hughes, T. P. </w:t>
      </w:r>
      <w:r w:rsidRPr="00EF730B">
        <w:rPr>
          <w:i/>
          <w:iCs/>
          <w:noProof/>
          <w:lang w:val="en-GB"/>
        </w:rPr>
        <w:t>et al.</w:t>
      </w:r>
      <w:r w:rsidRPr="00EF730B">
        <w:rPr>
          <w:noProof/>
          <w:lang w:val="en-GB"/>
        </w:rPr>
        <w:t xml:space="preserve"> (2018) ‘Global warming transforms coral reef assemblages’, </w:t>
      </w:r>
      <w:r w:rsidRPr="00EF730B">
        <w:rPr>
          <w:i/>
          <w:iCs/>
          <w:noProof/>
          <w:lang w:val="en-GB"/>
        </w:rPr>
        <w:t>Nature</w:t>
      </w:r>
      <w:r w:rsidRPr="00EF730B">
        <w:rPr>
          <w:noProof/>
          <w:lang w:val="en-GB"/>
        </w:rPr>
        <w:t>, 556(7702), pp. 492–496. doi: 10.1038/s41586-018-0041-2.</w:t>
      </w:r>
    </w:p>
    <w:p w14:paraId="513850DD" w14:textId="77777777" w:rsidR="00EF730B" w:rsidRPr="00EF730B" w:rsidRDefault="00EF730B" w:rsidP="00EF730B">
      <w:pPr>
        <w:widowControl w:val="0"/>
        <w:autoSpaceDE w:val="0"/>
        <w:autoSpaceDN w:val="0"/>
        <w:adjustRightInd w:val="0"/>
        <w:rPr>
          <w:noProof/>
          <w:lang w:val="en-GB"/>
        </w:rPr>
      </w:pPr>
      <w:r w:rsidRPr="00AD7D5B">
        <w:rPr>
          <w:noProof/>
          <w:lang w:val="es-ES"/>
        </w:rPr>
        <w:t xml:space="preserve">Iwama, G. K. </w:t>
      </w:r>
      <w:r w:rsidRPr="00AD7D5B">
        <w:rPr>
          <w:i/>
          <w:iCs/>
          <w:noProof/>
          <w:lang w:val="es-ES"/>
        </w:rPr>
        <w:t>et al.</w:t>
      </w:r>
      <w:r w:rsidRPr="00AD7D5B">
        <w:rPr>
          <w:noProof/>
          <w:lang w:val="es-ES"/>
        </w:rPr>
        <w:t xml:space="preserve"> </w:t>
      </w:r>
      <w:r w:rsidRPr="00EF730B">
        <w:rPr>
          <w:noProof/>
          <w:lang w:val="en-GB"/>
        </w:rPr>
        <w:t xml:space="preserve">(1998) ‘Heat shock protein expression in fish’, </w:t>
      </w:r>
      <w:r w:rsidRPr="00EF730B">
        <w:rPr>
          <w:i/>
          <w:iCs/>
          <w:noProof/>
          <w:lang w:val="en-GB"/>
        </w:rPr>
        <w:t>Reviews in Fish Biology and Fisheries</w:t>
      </w:r>
      <w:r w:rsidRPr="00EF730B">
        <w:rPr>
          <w:noProof/>
          <w:lang w:val="en-GB"/>
        </w:rPr>
        <w:t>, 8(1), pp. 35–56. doi: 10.1023/A:1008812500650.</w:t>
      </w:r>
    </w:p>
    <w:p w14:paraId="788313F6"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Jegadeesan, S. </w:t>
      </w:r>
      <w:r w:rsidRPr="00EF730B">
        <w:rPr>
          <w:i/>
          <w:iCs/>
          <w:noProof/>
          <w:lang w:val="en-GB"/>
        </w:rPr>
        <w:t>et al.</w:t>
      </w:r>
      <w:r w:rsidRPr="00EF730B">
        <w:rPr>
          <w:noProof/>
          <w:lang w:val="en-GB"/>
        </w:rPr>
        <w:t xml:space="preserve"> (2018) ‘Proteomics of heat-stress and ethylene-mediated thermotolerance mechanisms in tomato pollen grains’, </w:t>
      </w:r>
      <w:r w:rsidRPr="00EF730B">
        <w:rPr>
          <w:i/>
          <w:iCs/>
          <w:noProof/>
          <w:lang w:val="en-GB"/>
        </w:rPr>
        <w:t>Frontiers in Plant Science</w:t>
      </w:r>
      <w:r w:rsidRPr="00EF730B">
        <w:rPr>
          <w:noProof/>
          <w:lang w:val="en-GB"/>
        </w:rPr>
        <w:t>, 9, p. 1558. doi: 10.3389/fpls.2018.01558.</w:t>
      </w:r>
    </w:p>
    <w:p w14:paraId="57A1B0DD"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Kelemen, O. </w:t>
      </w:r>
      <w:r w:rsidRPr="00EF730B">
        <w:rPr>
          <w:i/>
          <w:iCs/>
          <w:noProof/>
          <w:lang w:val="en-GB"/>
        </w:rPr>
        <w:t>et al.</w:t>
      </w:r>
      <w:r w:rsidRPr="00EF730B">
        <w:rPr>
          <w:noProof/>
          <w:lang w:val="en-GB"/>
        </w:rPr>
        <w:t xml:space="preserve"> (2013) ‘Function of alternative splicing’, </w:t>
      </w:r>
      <w:r w:rsidRPr="00EF730B">
        <w:rPr>
          <w:i/>
          <w:iCs/>
          <w:noProof/>
          <w:lang w:val="en-GB"/>
        </w:rPr>
        <w:t>Gene</w:t>
      </w:r>
      <w:r w:rsidRPr="00EF730B">
        <w:rPr>
          <w:noProof/>
          <w:lang w:val="en-GB"/>
        </w:rPr>
        <w:t>, 514(1), pp. 1–30. doi: 10.1016/j.gene.2012.07.083.</w:t>
      </w:r>
    </w:p>
    <w:p w14:paraId="710AE8B9"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Kim, E., Magen, A. and Ast, G. (2007) ‘Different levels of alternative splicing among eukaryotes’, </w:t>
      </w:r>
      <w:r w:rsidRPr="00EF730B">
        <w:rPr>
          <w:i/>
          <w:iCs/>
          <w:noProof/>
          <w:lang w:val="en-GB"/>
        </w:rPr>
        <w:t>Nucleic Acids Research</w:t>
      </w:r>
      <w:r w:rsidRPr="00EF730B">
        <w:rPr>
          <w:noProof/>
          <w:lang w:val="en-GB"/>
        </w:rPr>
        <w:t>, 35(1), pp. 125–131. doi: 10.1093/nar/gkl924.</w:t>
      </w:r>
    </w:p>
    <w:p w14:paraId="4A8EE443" w14:textId="77777777" w:rsidR="00EF730B" w:rsidRPr="00EF730B" w:rsidRDefault="00EF730B" w:rsidP="00EF730B">
      <w:pPr>
        <w:widowControl w:val="0"/>
        <w:autoSpaceDE w:val="0"/>
        <w:autoSpaceDN w:val="0"/>
        <w:adjustRightInd w:val="0"/>
        <w:rPr>
          <w:noProof/>
          <w:lang w:val="en-GB"/>
        </w:rPr>
      </w:pPr>
      <w:r w:rsidRPr="00AD7D5B">
        <w:rPr>
          <w:noProof/>
          <w:lang w:val="es-ES"/>
        </w:rPr>
        <w:t xml:space="preserve">Komoroske, L. M. </w:t>
      </w:r>
      <w:r w:rsidRPr="00AD7D5B">
        <w:rPr>
          <w:i/>
          <w:iCs/>
          <w:noProof/>
          <w:lang w:val="es-ES"/>
        </w:rPr>
        <w:t>et al.</w:t>
      </w:r>
      <w:r w:rsidRPr="00AD7D5B">
        <w:rPr>
          <w:noProof/>
          <w:lang w:val="es-ES"/>
        </w:rPr>
        <w:t xml:space="preserve"> </w:t>
      </w:r>
      <w:r w:rsidRPr="00EF730B">
        <w:rPr>
          <w:noProof/>
          <w:lang w:val="en-GB"/>
        </w:rPr>
        <w:t xml:space="preserve">(2021) ‘Transcriptional flexibility during thermal challenge corresponds with expanded thermal tolerance in an invasive compared to native fish’, </w:t>
      </w:r>
      <w:r w:rsidRPr="00EF730B">
        <w:rPr>
          <w:i/>
          <w:iCs/>
          <w:noProof/>
          <w:lang w:val="en-GB"/>
        </w:rPr>
        <w:t>Evolutionary Applications</w:t>
      </w:r>
      <w:r w:rsidRPr="00EF730B">
        <w:rPr>
          <w:noProof/>
          <w:lang w:val="en-GB"/>
        </w:rPr>
        <w:t>, 14(4), pp. 931–949. doi: 10.1111/eva.13172.</w:t>
      </w:r>
    </w:p>
    <w:p w14:paraId="66D7BD46" w14:textId="77777777" w:rsidR="00EF730B" w:rsidRPr="00EF730B" w:rsidRDefault="00EF730B" w:rsidP="00EF730B">
      <w:pPr>
        <w:widowControl w:val="0"/>
        <w:autoSpaceDE w:val="0"/>
        <w:autoSpaceDN w:val="0"/>
        <w:adjustRightInd w:val="0"/>
        <w:rPr>
          <w:noProof/>
          <w:lang w:val="en-GB"/>
        </w:rPr>
      </w:pPr>
      <w:r w:rsidRPr="00660461">
        <w:rPr>
          <w:noProof/>
          <w:lang w:val="es-ES"/>
        </w:rPr>
        <w:t xml:space="preserve">Kwon, Y. J. </w:t>
      </w:r>
      <w:r w:rsidRPr="00660461">
        <w:rPr>
          <w:i/>
          <w:iCs/>
          <w:noProof/>
          <w:lang w:val="es-ES"/>
        </w:rPr>
        <w:t>et al.</w:t>
      </w:r>
      <w:r w:rsidRPr="00660461">
        <w:rPr>
          <w:noProof/>
          <w:lang w:val="es-ES"/>
        </w:rPr>
        <w:t xml:space="preserve"> </w:t>
      </w:r>
      <w:r w:rsidRPr="00EF730B">
        <w:rPr>
          <w:noProof/>
          <w:lang w:val="en-GB"/>
        </w:rPr>
        <w:t xml:space="preserve">(2014) ‘Alternative splicing and nonsense-mediated decay of circadian clock genes under environmental stress conditions in Arabidopsis’, </w:t>
      </w:r>
      <w:r w:rsidRPr="00EF730B">
        <w:rPr>
          <w:i/>
          <w:iCs/>
          <w:noProof/>
          <w:lang w:val="en-GB"/>
        </w:rPr>
        <w:t>BMC Plant Biology</w:t>
      </w:r>
      <w:r w:rsidRPr="00EF730B">
        <w:rPr>
          <w:noProof/>
          <w:lang w:val="en-GB"/>
        </w:rPr>
        <w:t>, 14(1), pp. 1–15. doi: 10.1186/1471-2229-14-136.</w:t>
      </w:r>
    </w:p>
    <w:p w14:paraId="7D850596"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Laloum, T., Martín, G. and Duque, P. (2018) ‘Alternative Splicing Control of Abiotic Stress Responses’, </w:t>
      </w:r>
      <w:r w:rsidRPr="00EF730B">
        <w:rPr>
          <w:i/>
          <w:iCs/>
          <w:noProof/>
          <w:lang w:val="en-GB"/>
        </w:rPr>
        <w:t>Trends in Plant Science</w:t>
      </w:r>
      <w:r w:rsidRPr="00EF730B">
        <w:rPr>
          <w:noProof/>
          <w:lang w:val="en-GB"/>
        </w:rPr>
        <w:t>. Elsevier Ltd, 23(2), pp. 140–150. doi: 10.1016/j.tplants.2017.09.019.</w:t>
      </w:r>
    </w:p>
    <w:p w14:paraId="73343F8E" w14:textId="77777777" w:rsidR="00EF730B" w:rsidRPr="00EF730B" w:rsidRDefault="00EF730B" w:rsidP="00EF730B">
      <w:pPr>
        <w:widowControl w:val="0"/>
        <w:autoSpaceDE w:val="0"/>
        <w:autoSpaceDN w:val="0"/>
        <w:adjustRightInd w:val="0"/>
        <w:rPr>
          <w:noProof/>
          <w:lang w:val="en-GB"/>
        </w:rPr>
      </w:pPr>
      <w:r w:rsidRPr="00EF730B">
        <w:rPr>
          <w:noProof/>
          <w:lang w:val="en-GB"/>
        </w:rPr>
        <w:lastRenderedPageBreak/>
        <w:t xml:space="preserve">Laufkötter, C., Zscheischler, J. and Frölicher, T. L. (2020) ‘High-impact marine heatwaves attributable to human-induced global warming’, </w:t>
      </w:r>
      <w:r w:rsidRPr="00EF730B">
        <w:rPr>
          <w:i/>
          <w:iCs/>
          <w:noProof/>
          <w:lang w:val="en-GB"/>
        </w:rPr>
        <w:t>Science</w:t>
      </w:r>
      <w:r w:rsidRPr="00EF730B">
        <w:rPr>
          <w:noProof/>
          <w:lang w:val="en-GB"/>
        </w:rPr>
        <w:t>, 369(6511), pp. 1621–1625. doi: 10.1126/science.aba0690.</w:t>
      </w:r>
    </w:p>
    <w:p w14:paraId="3677125D"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Law, C. W. </w:t>
      </w:r>
      <w:r w:rsidRPr="00EF730B">
        <w:rPr>
          <w:i/>
          <w:iCs/>
          <w:noProof/>
          <w:lang w:val="en-GB"/>
        </w:rPr>
        <w:t>et al.</w:t>
      </w:r>
      <w:r w:rsidRPr="00EF730B">
        <w:rPr>
          <w:noProof/>
          <w:lang w:val="en-GB"/>
        </w:rPr>
        <w:t xml:space="preserve"> (2014) ‘Voom: Precision weights unlock linear model analysis tools for RNA-seq read counts’, </w:t>
      </w:r>
      <w:r w:rsidRPr="00EF730B">
        <w:rPr>
          <w:i/>
          <w:iCs/>
          <w:noProof/>
          <w:lang w:val="en-GB"/>
        </w:rPr>
        <w:t>Genome Biology</w:t>
      </w:r>
      <w:r w:rsidRPr="00EF730B">
        <w:rPr>
          <w:noProof/>
          <w:lang w:val="en-GB"/>
        </w:rPr>
        <w:t>, 15(2), pp. 1–17. doi: 10.1186/gb-2014-15-2-r29.</w:t>
      </w:r>
    </w:p>
    <w:p w14:paraId="1108434B"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Li, B. J. </w:t>
      </w:r>
      <w:r w:rsidRPr="00EF730B">
        <w:rPr>
          <w:i/>
          <w:iCs/>
          <w:noProof/>
          <w:lang w:val="en-GB"/>
        </w:rPr>
        <w:t>et al.</w:t>
      </w:r>
      <w:r w:rsidRPr="00EF730B">
        <w:rPr>
          <w:noProof/>
          <w:lang w:val="en-GB"/>
        </w:rPr>
        <w:t xml:space="preserve"> (2020) ‘Genome-Wide Characterization of Alternative Splicing Events and Their Responses to Cold Stress in Tilapia’, </w:t>
      </w:r>
      <w:r w:rsidRPr="00EF730B">
        <w:rPr>
          <w:i/>
          <w:iCs/>
          <w:noProof/>
          <w:lang w:val="en-GB"/>
        </w:rPr>
        <w:t>Frontiers in Genetics</w:t>
      </w:r>
      <w:r w:rsidRPr="00EF730B">
        <w:rPr>
          <w:noProof/>
          <w:lang w:val="en-GB"/>
        </w:rPr>
        <w:t>, 11, p. 244. doi: 10.3389/fgene.2020.00244.</w:t>
      </w:r>
    </w:p>
    <w:p w14:paraId="050A4EFE"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Liao, Y., Smyth, G. K. and Shi, W. (2014) ‘FeatureCounts: An efficient general purpose program for assigning sequence reads to genomic features’, </w:t>
      </w:r>
      <w:r w:rsidRPr="00EF730B">
        <w:rPr>
          <w:i/>
          <w:iCs/>
          <w:noProof/>
          <w:lang w:val="en-GB"/>
        </w:rPr>
        <w:t>Bioinformatics</w:t>
      </w:r>
      <w:r w:rsidRPr="00EF730B">
        <w:rPr>
          <w:noProof/>
          <w:lang w:val="en-GB"/>
        </w:rPr>
        <w:t>, 30(7), pp. 923–930. doi: 10.1093/bioinformatics/btt656.</w:t>
      </w:r>
    </w:p>
    <w:p w14:paraId="77852955"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Liu, S. </w:t>
      </w:r>
      <w:r w:rsidRPr="00EF730B">
        <w:rPr>
          <w:i/>
          <w:iCs/>
          <w:noProof/>
          <w:lang w:val="en-GB"/>
        </w:rPr>
        <w:t>et al.</w:t>
      </w:r>
      <w:r w:rsidRPr="00EF730B">
        <w:rPr>
          <w:noProof/>
          <w:lang w:val="en-GB"/>
        </w:rPr>
        <w:t xml:space="preserve"> (2020) ‘Transcriptome analysis reveals potential regulatory genes related to heat tolerance in holstein dairy cattle’, </w:t>
      </w:r>
      <w:r w:rsidRPr="00EF730B">
        <w:rPr>
          <w:i/>
          <w:iCs/>
          <w:noProof/>
          <w:lang w:val="en-GB"/>
        </w:rPr>
        <w:t>Genes</w:t>
      </w:r>
      <w:r w:rsidRPr="00EF730B">
        <w:rPr>
          <w:noProof/>
          <w:lang w:val="en-GB"/>
        </w:rPr>
        <w:t>, 11(1), pp. 1–12. doi: 10.3390/genes11010068.</w:t>
      </w:r>
    </w:p>
    <w:p w14:paraId="4A8F9186"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Liu, Y. </w:t>
      </w:r>
      <w:r w:rsidRPr="00EF730B">
        <w:rPr>
          <w:i/>
          <w:iCs/>
          <w:noProof/>
          <w:lang w:val="en-GB"/>
        </w:rPr>
        <w:t>et al.</w:t>
      </w:r>
      <w:r w:rsidRPr="00EF730B">
        <w:rPr>
          <w:noProof/>
          <w:lang w:val="en-GB"/>
        </w:rPr>
        <w:t xml:space="preserve"> (2017) ‘The expression pattern of hsp70 plays a critical role in thermal tolerance of marine demersal fish: Multilevel responses of </w:t>
      </w:r>
      <w:r w:rsidRPr="00A23BCD">
        <w:rPr>
          <w:i/>
          <w:iCs/>
          <w:noProof/>
          <w:lang w:val="en-GB"/>
        </w:rPr>
        <w:t>Paralichthys olivaceus</w:t>
      </w:r>
      <w:r w:rsidRPr="00EF730B">
        <w:rPr>
          <w:noProof/>
          <w:lang w:val="en-GB"/>
        </w:rPr>
        <w:t xml:space="preserve"> and its hybrids (P. olivaceus ♀ × P. dentatus ♂) to chronic and acute heat stress’, </w:t>
      </w:r>
      <w:r w:rsidRPr="00EF730B">
        <w:rPr>
          <w:i/>
          <w:iCs/>
          <w:noProof/>
          <w:lang w:val="en-GB"/>
        </w:rPr>
        <w:t>Marine Environmental Research</w:t>
      </w:r>
      <w:r w:rsidRPr="00EF730B">
        <w:rPr>
          <w:noProof/>
          <w:lang w:val="en-GB"/>
        </w:rPr>
        <w:t>. Elsevier Ltd, 129, pp. 386–395. doi: 10.1016/j.marenvres.2017.06.015.</w:t>
      </w:r>
    </w:p>
    <w:p w14:paraId="00CE8E09"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Logan, C. A. and Buckley, B. A. (2015) ‘Transcriptomic responses to environmental temperature in eurythermal and stenothermal fishes’, </w:t>
      </w:r>
      <w:r w:rsidRPr="00EF730B">
        <w:rPr>
          <w:i/>
          <w:iCs/>
          <w:noProof/>
          <w:lang w:val="en-GB"/>
        </w:rPr>
        <w:t>Journal of Experimental Biology</w:t>
      </w:r>
      <w:r w:rsidRPr="00EF730B">
        <w:rPr>
          <w:noProof/>
          <w:lang w:val="en-GB"/>
        </w:rPr>
        <w:t>, 218(12), pp. 1915–1924. doi: 10.1242/jeb.114397.</w:t>
      </w:r>
    </w:p>
    <w:p w14:paraId="0F2BA645"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Loven, D. P. (1988) ‘A role for reduced oxygen species in heat induced cell killing and the induction of thermotolerance’, </w:t>
      </w:r>
      <w:r w:rsidRPr="00EF730B">
        <w:rPr>
          <w:i/>
          <w:iCs/>
          <w:noProof/>
          <w:lang w:val="en-GB"/>
        </w:rPr>
        <w:t>Medical Hypotheses</w:t>
      </w:r>
      <w:r w:rsidRPr="00EF730B">
        <w:rPr>
          <w:noProof/>
          <w:lang w:val="en-GB"/>
        </w:rPr>
        <w:t>, 26(1), pp. 39–50. doi: 10.1016/0306-9877(88)90111-9.</w:t>
      </w:r>
    </w:p>
    <w:p w14:paraId="189664FC"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Lu, J. </w:t>
      </w:r>
      <w:r w:rsidRPr="00EF730B">
        <w:rPr>
          <w:i/>
          <w:iCs/>
          <w:noProof/>
          <w:lang w:val="en-GB"/>
        </w:rPr>
        <w:t>et al.</w:t>
      </w:r>
      <w:r w:rsidRPr="00EF730B">
        <w:rPr>
          <w:noProof/>
          <w:lang w:val="en-GB"/>
        </w:rPr>
        <w:t xml:space="preserve"> (2010) ‘Alternative splicing in teleost fish genomes: Same-species and cross-species analysis and comparisons’, </w:t>
      </w:r>
      <w:r w:rsidRPr="00EF730B">
        <w:rPr>
          <w:i/>
          <w:iCs/>
          <w:noProof/>
          <w:lang w:val="en-GB"/>
        </w:rPr>
        <w:t>Molecular Genetics and Genomics</w:t>
      </w:r>
      <w:r w:rsidRPr="00EF730B">
        <w:rPr>
          <w:noProof/>
          <w:lang w:val="en-GB"/>
        </w:rPr>
        <w:t>, 283(6), pp. 531–539. doi: 10.1007/s00438-010-0538-3.</w:t>
      </w:r>
    </w:p>
    <w:p w14:paraId="5CACD43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Madeira, D. </w:t>
      </w:r>
      <w:r w:rsidRPr="00EF730B">
        <w:rPr>
          <w:i/>
          <w:iCs/>
          <w:noProof/>
          <w:lang w:val="en-GB"/>
        </w:rPr>
        <w:t>et al.</w:t>
      </w:r>
      <w:r w:rsidRPr="00EF730B">
        <w:rPr>
          <w:noProof/>
          <w:lang w:val="en-GB"/>
        </w:rPr>
        <w:t xml:space="preserve"> (2013) ‘Influence of temperature in thermal and oxidative stress responses in estuarine fish’, </w:t>
      </w:r>
      <w:r w:rsidRPr="00EF730B">
        <w:rPr>
          <w:i/>
          <w:iCs/>
          <w:noProof/>
          <w:lang w:val="en-GB"/>
        </w:rPr>
        <w:t>Comparative Biochemistry and Physiology - A Molecular and Integrative Physiology</w:t>
      </w:r>
      <w:r w:rsidRPr="00EF730B">
        <w:rPr>
          <w:noProof/>
          <w:lang w:val="en-GB"/>
        </w:rPr>
        <w:t>. Elsevier Inc., 166(2), pp. 237–243. doi: 10.1016/j.cbpa.2013.06.008.</w:t>
      </w:r>
    </w:p>
    <w:p w14:paraId="6D55970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Maranto, J., Rappaport, J. and Datta, P. K. (2008) ‘Regulation of complement component C3 in astrocytes by IL-1β and morphine’, </w:t>
      </w:r>
      <w:r w:rsidRPr="00EF730B">
        <w:rPr>
          <w:i/>
          <w:iCs/>
          <w:noProof/>
          <w:lang w:val="en-GB"/>
        </w:rPr>
        <w:t>Journal of NeuroImmune Pharmacology</w:t>
      </w:r>
      <w:r w:rsidRPr="00EF730B">
        <w:rPr>
          <w:noProof/>
          <w:lang w:val="en-GB"/>
        </w:rPr>
        <w:t>, 3(1), pp. 43–51. doi: 10.1007/s11481-007-9096-9.</w:t>
      </w:r>
    </w:p>
    <w:p w14:paraId="078F0E3B"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Masson-Delmotte, V. </w:t>
      </w:r>
      <w:r w:rsidRPr="00EF730B">
        <w:rPr>
          <w:i/>
          <w:iCs/>
          <w:noProof/>
          <w:lang w:val="en-GB"/>
        </w:rPr>
        <w:t>et al.</w:t>
      </w:r>
      <w:r w:rsidRPr="00EF730B">
        <w:rPr>
          <w:noProof/>
          <w:lang w:val="en-GB"/>
        </w:rPr>
        <w:t xml:space="preserve"> (2021) </w:t>
      </w:r>
      <w:r w:rsidRPr="00EF730B">
        <w:rPr>
          <w:i/>
          <w:iCs/>
          <w:noProof/>
          <w:lang w:val="en-GB"/>
        </w:rPr>
        <w:t>IPCC, 2021: Summary for Policymakers. In: Climate Change 2021: The Physical Science Basis. Contribution of Working Group I to the Sixth Assessment Report of the Intergovernmental Panel on Climate Change</w:t>
      </w:r>
      <w:r w:rsidRPr="00EF730B">
        <w:rPr>
          <w:noProof/>
          <w:lang w:val="en-GB"/>
        </w:rPr>
        <w:t xml:space="preserve">, </w:t>
      </w:r>
      <w:r w:rsidRPr="00EF730B">
        <w:rPr>
          <w:i/>
          <w:iCs/>
          <w:noProof/>
          <w:lang w:val="en-GB"/>
        </w:rPr>
        <w:t>Cambridge University Press. In Press.</w:t>
      </w:r>
      <w:r w:rsidRPr="00EF730B">
        <w:rPr>
          <w:noProof/>
          <w:lang w:val="en-GB"/>
        </w:rPr>
        <w:t xml:space="preserve"> Available at: https://www.ipcc.ch/report/ar6/wg1/.</w:t>
      </w:r>
    </w:p>
    <w:p w14:paraId="1621B37F" w14:textId="77777777" w:rsidR="00EF730B" w:rsidRPr="00EF730B" w:rsidRDefault="00EF730B" w:rsidP="00EF730B">
      <w:pPr>
        <w:widowControl w:val="0"/>
        <w:autoSpaceDE w:val="0"/>
        <w:autoSpaceDN w:val="0"/>
        <w:adjustRightInd w:val="0"/>
        <w:rPr>
          <w:noProof/>
          <w:lang w:val="en-GB"/>
        </w:rPr>
      </w:pPr>
      <w:r w:rsidRPr="00660461">
        <w:rPr>
          <w:noProof/>
          <w:lang w:val="es-ES"/>
        </w:rPr>
        <w:t xml:space="preserve">Mastrangelo, A. M. </w:t>
      </w:r>
      <w:r w:rsidRPr="00660461">
        <w:rPr>
          <w:i/>
          <w:iCs/>
          <w:noProof/>
          <w:lang w:val="es-ES"/>
        </w:rPr>
        <w:t>et al.</w:t>
      </w:r>
      <w:r w:rsidRPr="00660461">
        <w:rPr>
          <w:noProof/>
          <w:lang w:val="es-ES"/>
        </w:rPr>
        <w:t xml:space="preserve"> </w:t>
      </w:r>
      <w:r w:rsidRPr="00EF730B">
        <w:rPr>
          <w:noProof/>
          <w:lang w:val="en-GB"/>
        </w:rPr>
        <w:t xml:space="preserve">(2012) ‘Alternative splicing: Enhancing ability to cope with stress via transcriptome plasticity’, </w:t>
      </w:r>
      <w:r w:rsidRPr="00EF730B">
        <w:rPr>
          <w:i/>
          <w:iCs/>
          <w:noProof/>
          <w:lang w:val="en-GB"/>
        </w:rPr>
        <w:t>Plant Science</w:t>
      </w:r>
      <w:r w:rsidRPr="00EF730B">
        <w:rPr>
          <w:noProof/>
          <w:lang w:val="en-GB"/>
        </w:rPr>
        <w:t>, 185, pp. 40–49. doi: 10.1016/j.plantsci.2011.09.006.</w:t>
      </w:r>
    </w:p>
    <w:p w14:paraId="25EFBC3F"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Mi, H. </w:t>
      </w:r>
      <w:r w:rsidRPr="00EF730B">
        <w:rPr>
          <w:i/>
          <w:iCs/>
          <w:noProof/>
          <w:lang w:val="en-GB"/>
        </w:rPr>
        <w:t>et al.</w:t>
      </w:r>
      <w:r w:rsidRPr="00EF730B">
        <w:rPr>
          <w:noProof/>
          <w:lang w:val="en-GB"/>
        </w:rPr>
        <w:t xml:space="preserve"> (2021) ‘PANTHER version 16: A revised family classification, tree-based classification tool, enhancer regions and extensive API’, </w:t>
      </w:r>
      <w:r w:rsidRPr="00EF730B">
        <w:rPr>
          <w:i/>
          <w:iCs/>
          <w:noProof/>
          <w:lang w:val="en-GB"/>
        </w:rPr>
        <w:t>Nucleic Acids Research</w:t>
      </w:r>
      <w:r w:rsidRPr="00EF730B">
        <w:rPr>
          <w:noProof/>
          <w:lang w:val="en-GB"/>
        </w:rPr>
        <w:t>, 49(D1), pp. D394–D403. doi: 10.1093/nar/gkaa1106.</w:t>
      </w:r>
    </w:p>
    <w:p w14:paraId="79157DB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Nebreda, A. R. and Porras, A. (2000) ‘p38 MAP kinases: Beyond the stress response’, </w:t>
      </w:r>
      <w:r w:rsidRPr="00EF730B">
        <w:rPr>
          <w:i/>
          <w:iCs/>
          <w:noProof/>
          <w:lang w:val="en-GB"/>
        </w:rPr>
        <w:t>Trends in Biochemical Sciences</w:t>
      </w:r>
      <w:r w:rsidRPr="00EF730B">
        <w:rPr>
          <w:noProof/>
          <w:lang w:val="en-GB"/>
        </w:rPr>
        <w:t>, 25(6), pp. 257–260. doi: 10.1016/S0968-0004(00)01595-4.</w:t>
      </w:r>
    </w:p>
    <w:p w14:paraId="48841A70" w14:textId="77777777" w:rsidR="00EF730B" w:rsidRPr="00EF730B" w:rsidRDefault="00EF730B" w:rsidP="00EF730B">
      <w:pPr>
        <w:widowControl w:val="0"/>
        <w:autoSpaceDE w:val="0"/>
        <w:autoSpaceDN w:val="0"/>
        <w:adjustRightInd w:val="0"/>
        <w:rPr>
          <w:noProof/>
          <w:lang w:val="en-GB"/>
        </w:rPr>
      </w:pPr>
      <w:r w:rsidRPr="00660461">
        <w:rPr>
          <w:noProof/>
          <w:lang w:val="es-ES"/>
        </w:rPr>
        <w:t xml:space="preserve">Del Nery, E. </w:t>
      </w:r>
      <w:r w:rsidRPr="00660461">
        <w:rPr>
          <w:i/>
          <w:iCs/>
          <w:noProof/>
          <w:lang w:val="es-ES"/>
        </w:rPr>
        <w:t>et al.</w:t>
      </w:r>
      <w:r w:rsidRPr="00660461">
        <w:rPr>
          <w:noProof/>
          <w:lang w:val="es-ES"/>
        </w:rPr>
        <w:t xml:space="preserve"> </w:t>
      </w:r>
      <w:r w:rsidRPr="00EF730B">
        <w:rPr>
          <w:noProof/>
          <w:lang w:val="en-GB"/>
        </w:rPr>
        <w:t xml:space="preserve">(2006) ‘Rab6A and Rab6A′ GTPases play non-overlapping roles in membrane trafficking’, </w:t>
      </w:r>
      <w:r w:rsidRPr="00EF730B">
        <w:rPr>
          <w:i/>
          <w:iCs/>
          <w:noProof/>
          <w:lang w:val="en-GB"/>
        </w:rPr>
        <w:t>Traffic</w:t>
      </w:r>
      <w:r w:rsidRPr="00EF730B">
        <w:rPr>
          <w:noProof/>
          <w:lang w:val="en-GB"/>
        </w:rPr>
        <w:t>, 7(4), pp. 394–407. doi: 10.1111/j.1600-0854.2006.00395.x.</w:t>
      </w:r>
    </w:p>
    <w:p w14:paraId="0EF70F6F"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Nieves, B. J., Amore, P. A. D. and Bryan, B. A. (2009) ‘The function of vascular endothelial growth factor’, </w:t>
      </w:r>
      <w:r w:rsidRPr="00EF730B">
        <w:rPr>
          <w:i/>
          <w:iCs/>
          <w:noProof/>
          <w:lang w:val="en-GB"/>
        </w:rPr>
        <w:t>Biofactors</w:t>
      </w:r>
      <w:r w:rsidRPr="00EF730B">
        <w:rPr>
          <w:noProof/>
          <w:lang w:val="en-GB"/>
        </w:rPr>
        <w:t>, 35(4), pp. 332–337. doi: 10.1002/biof.46.</w:t>
      </w:r>
    </w:p>
    <w:p w14:paraId="3717D98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Nilsson, G. E. </w:t>
      </w:r>
      <w:r w:rsidRPr="00EF730B">
        <w:rPr>
          <w:i/>
          <w:iCs/>
          <w:noProof/>
          <w:lang w:val="en-GB"/>
        </w:rPr>
        <w:t>et al.</w:t>
      </w:r>
      <w:r w:rsidRPr="00EF730B">
        <w:rPr>
          <w:noProof/>
          <w:lang w:val="en-GB"/>
        </w:rPr>
        <w:t xml:space="preserve"> (2009) ‘Elevated temperature reduces the respiratory scope of coral reef fishes’, </w:t>
      </w:r>
      <w:r w:rsidRPr="00EF730B">
        <w:rPr>
          <w:i/>
          <w:iCs/>
          <w:noProof/>
          <w:lang w:val="en-GB"/>
        </w:rPr>
        <w:t>Global Change Biology</w:t>
      </w:r>
      <w:r w:rsidRPr="00EF730B">
        <w:rPr>
          <w:noProof/>
          <w:lang w:val="en-GB"/>
        </w:rPr>
        <w:t>, 15(6), pp. 1405–1412. doi: 10.1111/j.1365-</w:t>
      </w:r>
      <w:r w:rsidRPr="00EF730B">
        <w:rPr>
          <w:noProof/>
          <w:lang w:val="en-GB"/>
        </w:rPr>
        <w:lastRenderedPageBreak/>
        <w:t>2486.2008.01767.x.</w:t>
      </w:r>
    </w:p>
    <w:p w14:paraId="2900354E"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Nilsson, G. E., Östlund-Nilsson, S. and Munday, P. L. (2010) ‘Effects of elevated temperature on coral reef fishes: Loss of hypoxia tolerance and inability to acclimate’, </w:t>
      </w:r>
      <w:r w:rsidRPr="00EF730B">
        <w:rPr>
          <w:i/>
          <w:iCs/>
          <w:noProof/>
          <w:lang w:val="en-GB"/>
        </w:rPr>
        <w:t>Comparative Biochemistry and Physiology - A Molecular and Integrative Physiology</w:t>
      </w:r>
      <w:r w:rsidRPr="00EF730B">
        <w:rPr>
          <w:noProof/>
          <w:lang w:val="en-GB"/>
        </w:rPr>
        <w:t>. Elsevier Inc., 156(4), pp. 389–393. doi: 10.1016/j.cbpa.2010.03.009.</w:t>
      </w:r>
    </w:p>
    <w:p w14:paraId="0809CC74"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Oliver, E. C. J. </w:t>
      </w:r>
      <w:r w:rsidRPr="00EF730B">
        <w:rPr>
          <w:i/>
          <w:iCs/>
          <w:noProof/>
          <w:lang w:val="en-GB"/>
        </w:rPr>
        <w:t>et al.</w:t>
      </w:r>
      <w:r w:rsidRPr="00EF730B">
        <w:rPr>
          <w:noProof/>
          <w:lang w:val="en-GB"/>
        </w:rPr>
        <w:t xml:space="preserve"> (2018) ‘Longer and more frequent marine heatwaves over the past century’, </w:t>
      </w:r>
      <w:r w:rsidRPr="00EF730B">
        <w:rPr>
          <w:i/>
          <w:iCs/>
          <w:noProof/>
          <w:lang w:val="en-GB"/>
        </w:rPr>
        <w:t>Nature Communications</w:t>
      </w:r>
      <w:r w:rsidRPr="00EF730B">
        <w:rPr>
          <w:noProof/>
          <w:lang w:val="en-GB"/>
        </w:rPr>
        <w:t>. Springer US, 9(1), pp. 1–12. doi: 10.1038/s41467-018-03732-9.</w:t>
      </w:r>
    </w:p>
    <w:p w14:paraId="7AF52CD1"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Oliver, E. C. J. </w:t>
      </w:r>
      <w:r w:rsidRPr="00EF730B">
        <w:rPr>
          <w:i/>
          <w:iCs/>
          <w:noProof/>
          <w:lang w:val="en-GB"/>
        </w:rPr>
        <w:t>et al.</w:t>
      </w:r>
      <w:r w:rsidRPr="00EF730B">
        <w:rPr>
          <w:noProof/>
          <w:lang w:val="en-GB"/>
        </w:rPr>
        <w:t xml:space="preserve"> (2019) ‘Projected Marine Heatwaves in the 21st Century and the Potential for Ecological Impact’, </w:t>
      </w:r>
      <w:r w:rsidRPr="00EF730B">
        <w:rPr>
          <w:i/>
          <w:iCs/>
          <w:noProof/>
          <w:lang w:val="en-GB"/>
        </w:rPr>
        <w:t>Frontiers in Marine Science</w:t>
      </w:r>
      <w:r w:rsidRPr="00EF730B">
        <w:rPr>
          <w:noProof/>
          <w:lang w:val="en-GB"/>
        </w:rPr>
        <w:t>, 6, p. 734. doi: 10.3389/fmars.2019.00734.</w:t>
      </w:r>
    </w:p>
    <w:p w14:paraId="2AC55459"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Palusa, S. G., Ali, G. S. and Reddy, A. S. N. (2007) ‘Alternative splicing of pre-mRNAs of Arabidopsis serine/arginine-rich proteins: Regulation by hormones and stresses’, </w:t>
      </w:r>
      <w:r w:rsidRPr="00EF730B">
        <w:rPr>
          <w:i/>
          <w:iCs/>
          <w:noProof/>
          <w:lang w:val="en-GB"/>
        </w:rPr>
        <w:t>Plant Journal</w:t>
      </w:r>
      <w:r w:rsidRPr="00EF730B">
        <w:rPr>
          <w:noProof/>
          <w:lang w:val="en-GB"/>
        </w:rPr>
        <w:t>, 49(6), pp. 1091–1107. doi: 10.1111/j.1365-313X.2006.03020.x.</w:t>
      </w:r>
    </w:p>
    <w:p w14:paraId="6F41AF1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Peng, T. I. and Jou, M. J. (2010) ‘Oxidative stress caused by mitochondrial calcium overload’, </w:t>
      </w:r>
      <w:r w:rsidRPr="00EF730B">
        <w:rPr>
          <w:i/>
          <w:iCs/>
          <w:noProof/>
          <w:lang w:val="en-GB"/>
        </w:rPr>
        <w:t>Annals of the New York Academy of Sciences</w:t>
      </w:r>
      <w:r w:rsidRPr="00EF730B">
        <w:rPr>
          <w:noProof/>
          <w:lang w:val="en-GB"/>
        </w:rPr>
        <w:t>, 1201(1), pp. 183–188. doi: 10.1111/j.1749-6632.2010.05634.x.</w:t>
      </w:r>
    </w:p>
    <w:p w14:paraId="45E6567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Piatt, J. F. </w:t>
      </w:r>
      <w:r w:rsidRPr="00EF730B">
        <w:rPr>
          <w:i/>
          <w:iCs/>
          <w:noProof/>
          <w:lang w:val="en-GB"/>
        </w:rPr>
        <w:t>et al.</w:t>
      </w:r>
      <w:r w:rsidRPr="00EF730B">
        <w:rPr>
          <w:noProof/>
          <w:lang w:val="en-GB"/>
        </w:rPr>
        <w:t xml:space="preserve"> (2020) </w:t>
      </w:r>
      <w:r w:rsidRPr="00EF730B">
        <w:rPr>
          <w:i/>
          <w:iCs/>
          <w:noProof/>
          <w:lang w:val="en-GB"/>
        </w:rPr>
        <w:t>Extreme mortality and reproductive failure of common murres resulting from the northeast Pacific marine heatwave of 2014-2016</w:t>
      </w:r>
      <w:r w:rsidRPr="00EF730B">
        <w:rPr>
          <w:noProof/>
          <w:lang w:val="en-GB"/>
        </w:rPr>
        <w:t xml:space="preserve">, </w:t>
      </w:r>
      <w:r w:rsidRPr="00EF730B">
        <w:rPr>
          <w:i/>
          <w:iCs/>
          <w:noProof/>
          <w:lang w:val="en-GB"/>
        </w:rPr>
        <w:t>PLoS ONE</w:t>
      </w:r>
      <w:r w:rsidRPr="00EF730B">
        <w:rPr>
          <w:noProof/>
          <w:lang w:val="en-GB"/>
        </w:rPr>
        <w:t>. doi: 10.1371/journal.pone.0226087.</w:t>
      </w:r>
    </w:p>
    <w:p w14:paraId="308F5F0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Pörtner, H. O., Bock, C. and Mark, F. C. (2017) ‘Oxygen- &amp; capacity-limited thermal tolerance: Bridging ecology &amp; physiology’, </w:t>
      </w:r>
      <w:r w:rsidRPr="00EF730B">
        <w:rPr>
          <w:i/>
          <w:iCs/>
          <w:noProof/>
          <w:lang w:val="en-GB"/>
        </w:rPr>
        <w:t>Journal of Experimental Biology</w:t>
      </w:r>
      <w:r w:rsidRPr="00EF730B">
        <w:rPr>
          <w:noProof/>
          <w:lang w:val="en-GB"/>
        </w:rPr>
        <w:t>, 220(15), pp. 2685–2696. doi: 10.1242/jeb.134585.</w:t>
      </w:r>
    </w:p>
    <w:p w14:paraId="073C926B"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Pörtner, H. O. and Farrell, A. P. (2008) ‘Physiology and climate change’, </w:t>
      </w:r>
      <w:r w:rsidRPr="00EF730B">
        <w:rPr>
          <w:i/>
          <w:iCs/>
          <w:noProof/>
          <w:lang w:val="en-GB"/>
        </w:rPr>
        <w:t>Science</w:t>
      </w:r>
      <w:r w:rsidRPr="00EF730B">
        <w:rPr>
          <w:noProof/>
          <w:lang w:val="en-GB"/>
        </w:rPr>
        <w:t>, 322(5902), pp. 690–692. doi: 10.1126/science.1163156.</w:t>
      </w:r>
    </w:p>
    <w:p w14:paraId="39C9B94F"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Pörtner, H. O. and Knust, R. (2007) ‘Climate change affects marine fishes through the oxygen limitation of thermal tolerance’, </w:t>
      </w:r>
      <w:r w:rsidRPr="00EF730B">
        <w:rPr>
          <w:i/>
          <w:iCs/>
          <w:noProof/>
          <w:lang w:val="en-GB"/>
        </w:rPr>
        <w:t>Science</w:t>
      </w:r>
      <w:r w:rsidRPr="00EF730B">
        <w:rPr>
          <w:noProof/>
          <w:lang w:val="en-GB"/>
        </w:rPr>
        <w:t>, 315(5808), pp. 95–97. doi: 10.1126/science.1135471.</w:t>
      </w:r>
    </w:p>
    <w:p w14:paraId="0AD6EC8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Randall, J. E., Allen, G. R. and Steene, R. C. (1997) </w:t>
      </w:r>
      <w:r w:rsidRPr="00EF730B">
        <w:rPr>
          <w:i/>
          <w:iCs/>
          <w:noProof/>
          <w:lang w:val="en-GB"/>
        </w:rPr>
        <w:t>Fishes of the great barrier reef and coral sea</w:t>
      </w:r>
      <w:r w:rsidRPr="00EF730B">
        <w:rPr>
          <w:noProof/>
          <w:lang w:val="en-GB"/>
        </w:rPr>
        <w:t>. University of Hawaii Press.</w:t>
      </w:r>
    </w:p>
    <w:p w14:paraId="723C04C6"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Rodgers, G. G. </w:t>
      </w:r>
      <w:r w:rsidRPr="00EF730B">
        <w:rPr>
          <w:i/>
          <w:iCs/>
          <w:noProof/>
          <w:lang w:val="en-GB"/>
        </w:rPr>
        <w:t>et al.</w:t>
      </w:r>
      <w:r w:rsidRPr="00EF730B">
        <w:rPr>
          <w:noProof/>
          <w:lang w:val="en-GB"/>
        </w:rPr>
        <w:t xml:space="preserve"> (2018) ‘In hot water: sustained ocean warming reduces survival of a low-latitude coral reef fish’, </w:t>
      </w:r>
      <w:r w:rsidRPr="00EF730B">
        <w:rPr>
          <w:i/>
          <w:iCs/>
          <w:noProof/>
          <w:lang w:val="en-GB"/>
        </w:rPr>
        <w:t>Marine Biology</w:t>
      </w:r>
      <w:r w:rsidRPr="00EF730B">
        <w:rPr>
          <w:noProof/>
          <w:lang w:val="en-GB"/>
        </w:rPr>
        <w:t>, 165(4), pp. 1–10. doi: 10.1007/s00227-018-3333-z.</w:t>
      </w:r>
    </w:p>
    <w:p w14:paraId="03902010"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Ronald E. Thresher (1985) ‘Distribution , Abundance , and Reproductive Success in the Coral Reef Fish </w:t>
      </w:r>
      <w:r w:rsidRPr="00A23BCD">
        <w:rPr>
          <w:i/>
          <w:iCs/>
          <w:noProof/>
          <w:lang w:val="en-GB"/>
        </w:rPr>
        <w:t>Acanthochromis polyacanthus</w:t>
      </w:r>
      <w:r w:rsidRPr="00EF730B">
        <w:rPr>
          <w:noProof/>
          <w:lang w:val="en-GB"/>
        </w:rPr>
        <w:t xml:space="preserve">’, </w:t>
      </w:r>
      <w:r w:rsidRPr="00EF730B">
        <w:rPr>
          <w:i/>
          <w:iCs/>
          <w:noProof/>
          <w:lang w:val="en-GB"/>
        </w:rPr>
        <w:t>Ecology</w:t>
      </w:r>
      <w:r w:rsidRPr="00EF730B">
        <w:rPr>
          <w:noProof/>
          <w:lang w:val="en-GB"/>
        </w:rPr>
        <w:t>, 66(4), pp. 1139–1150.</w:t>
      </w:r>
    </w:p>
    <w:p w14:paraId="4B2AAA4D"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Rummer, J. L. </w:t>
      </w:r>
      <w:r w:rsidRPr="00EF730B">
        <w:rPr>
          <w:i/>
          <w:iCs/>
          <w:noProof/>
          <w:lang w:val="en-GB"/>
        </w:rPr>
        <w:t>et al.</w:t>
      </w:r>
      <w:r w:rsidRPr="00EF730B">
        <w:rPr>
          <w:noProof/>
          <w:lang w:val="en-GB"/>
        </w:rPr>
        <w:t xml:space="preserve"> (2014) ‘Life on the edge: Thermal optima for aerobic scope of equatorial reef fishes are close to current day temperatures’, </w:t>
      </w:r>
      <w:r w:rsidRPr="00EF730B">
        <w:rPr>
          <w:i/>
          <w:iCs/>
          <w:noProof/>
          <w:lang w:val="en-GB"/>
        </w:rPr>
        <w:t>Global Change Biology</w:t>
      </w:r>
      <w:r w:rsidRPr="00EF730B">
        <w:rPr>
          <w:noProof/>
          <w:lang w:val="en-GB"/>
        </w:rPr>
        <w:t>, 20(4), pp. 1055–1066. doi: 10.1111/gcb.12455.</w:t>
      </w:r>
    </w:p>
    <w:p w14:paraId="3ED4376C"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Salama, N. R., Chuang, J. S. and Schekman, R. W. (1997) ‘SEC31 encodes an essential component of the COPII coat required for transport vesicle budding from the endoplasmic reticulum’, </w:t>
      </w:r>
      <w:r w:rsidRPr="00EF730B">
        <w:rPr>
          <w:i/>
          <w:iCs/>
          <w:noProof/>
          <w:lang w:val="en-GB"/>
        </w:rPr>
        <w:t>Molecular Biology of the Cell</w:t>
      </w:r>
      <w:r w:rsidRPr="00EF730B">
        <w:rPr>
          <w:noProof/>
          <w:lang w:val="en-GB"/>
        </w:rPr>
        <w:t>, 8(2), pp. 205–217. doi: 10.1091/mbc.8.2.205.</w:t>
      </w:r>
    </w:p>
    <w:p w14:paraId="6E5EEFD7"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Schultz, R. J., Kaplan, L. A. E. and Schultz, M. E. (1993) ‘Heat induced liver cell proliferation in the livebearing fish Poeciliopsis’, </w:t>
      </w:r>
      <w:r w:rsidRPr="00EF730B">
        <w:rPr>
          <w:i/>
          <w:iCs/>
          <w:noProof/>
          <w:lang w:val="en-GB"/>
        </w:rPr>
        <w:t>Environmental Biology of Fishes</w:t>
      </w:r>
      <w:r w:rsidRPr="00EF730B">
        <w:rPr>
          <w:noProof/>
          <w:lang w:val="en-GB"/>
        </w:rPr>
        <w:t>, 36(1), pp. 83–91. doi: 10.1007/BF00005982.</w:t>
      </w:r>
    </w:p>
    <w:p w14:paraId="4B24017E" w14:textId="77777777" w:rsidR="00EF730B" w:rsidRPr="00EF730B" w:rsidRDefault="00EF730B" w:rsidP="00EF730B">
      <w:pPr>
        <w:widowControl w:val="0"/>
        <w:autoSpaceDE w:val="0"/>
        <w:autoSpaceDN w:val="0"/>
        <w:adjustRightInd w:val="0"/>
        <w:rPr>
          <w:noProof/>
          <w:lang w:val="en-GB"/>
        </w:rPr>
      </w:pPr>
      <w:r w:rsidRPr="00660461">
        <w:rPr>
          <w:noProof/>
          <w:lang w:val="es-ES"/>
        </w:rPr>
        <w:t xml:space="preserve">Shama, L. N. S. </w:t>
      </w:r>
      <w:r w:rsidRPr="00660461">
        <w:rPr>
          <w:i/>
          <w:iCs/>
          <w:noProof/>
          <w:lang w:val="es-ES"/>
        </w:rPr>
        <w:t>et al.</w:t>
      </w:r>
      <w:r w:rsidRPr="00660461">
        <w:rPr>
          <w:noProof/>
          <w:lang w:val="es-ES"/>
        </w:rPr>
        <w:t xml:space="preserve"> </w:t>
      </w:r>
      <w:r w:rsidRPr="00EF730B">
        <w:rPr>
          <w:noProof/>
          <w:lang w:val="en-GB"/>
        </w:rPr>
        <w:t xml:space="preserve">(2016) ‘Transgenerational effects persist down the maternal line in marine sticklebacks: gene expression matches physiology in a warming ocean’, </w:t>
      </w:r>
      <w:r w:rsidRPr="00EF730B">
        <w:rPr>
          <w:i/>
          <w:iCs/>
          <w:noProof/>
          <w:lang w:val="en-GB"/>
        </w:rPr>
        <w:t>Evolutionary Applications</w:t>
      </w:r>
      <w:r w:rsidRPr="00EF730B">
        <w:rPr>
          <w:noProof/>
          <w:lang w:val="en-GB"/>
        </w:rPr>
        <w:t>, 9(9), pp. 1096–1111. doi: 10.1111/eva.12370.</w:t>
      </w:r>
    </w:p>
    <w:p w14:paraId="3F5A1850" w14:textId="77777777" w:rsidR="00EF730B" w:rsidRPr="00EF730B" w:rsidRDefault="00EF730B" w:rsidP="00EF730B">
      <w:pPr>
        <w:widowControl w:val="0"/>
        <w:autoSpaceDE w:val="0"/>
        <w:autoSpaceDN w:val="0"/>
        <w:adjustRightInd w:val="0"/>
        <w:rPr>
          <w:noProof/>
          <w:lang w:val="en-GB"/>
        </w:rPr>
      </w:pPr>
      <w:r w:rsidRPr="00660461">
        <w:rPr>
          <w:noProof/>
          <w:lang w:val="es-ES"/>
        </w:rPr>
        <w:t xml:space="preserve">Sihag, R. K. </w:t>
      </w:r>
      <w:r w:rsidRPr="00660461">
        <w:rPr>
          <w:i/>
          <w:iCs/>
          <w:noProof/>
          <w:lang w:val="es-ES"/>
        </w:rPr>
        <w:t>et al.</w:t>
      </w:r>
      <w:r w:rsidRPr="00660461">
        <w:rPr>
          <w:noProof/>
          <w:lang w:val="es-ES"/>
        </w:rPr>
        <w:t xml:space="preserve"> </w:t>
      </w:r>
      <w:r w:rsidRPr="00EF730B">
        <w:rPr>
          <w:noProof/>
          <w:lang w:val="en-GB"/>
        </w:rPr>
        <w:t xml:space="preserve">(2007) ‘Role of phosphorylation on the structural dynamics and function of types III and IV intermediate filaments’, </w:t>
      </w:r>
      <w:r w:rsidRPr="00EF730B">
        <w:rPr>
          <w:i/>
          <w:iCs/>
          <w:noProof/>
          <w:lang w:val="en-GB"/>
        </w:rPr>
        <w:t>Experimental Cell Research</w:t>
      </w:r>
      <w:r w:rsidRPr="00EF730B">
        <w:rPr>
          <w:noProof/>
          <w:lang w:val="en-GB"/>
        </w:rPr>
        <w:t>, 313(10), pp. 2098–109. doi: 10.1016/j.yexcr.2007.04.010.</w:t>
      </w:r>
    </w:p>
    <w:p w14:paraId="7E639139" w14:textId="77777777" w:rsidR="00EF730B" w:rsidRPr="00EF730B" w:rsidRDefault="00EF730B" w:rsidP="00EF730B">
      <w:pPr>
        <w:widowControl w:val="0"/>
        <w:autoSpaceDE w:val="0"/>
        <w:autoSpaceDN w:val="0"/>
        <w:adjustRightInd w:val="0"/>
        <w:rPr>
          <w:noProof/>
          <w:lang w:val="en-GB"/>
        </w:rPr>
      </w:pPr>
      <w:r w:rsidRPr="00660461">
        <w:rPr>
          <w:noProof/>
          <w:lang w:val="es-ES"/>
        </w:rPr>
        <w:lastRenderedPageBreak/>
        <w:t xml:space="preserve">Slimen, I. B. </w:t>
      </w:r>
      <w:r w:rsidRPr="00660461">
        <w:rPr>
          <w:i/>
          <w:iCs/>
          <w:noProof/>
          <w:lang w:val="es-ES"/>
        </w:rPr>
        <w:t>et al.</w:t>
      </w:r>
      <w:r w:rsidRPr="00660461">
        <w:rPr>
          <w:noProof/>
          <w:lang w:val="es-ES"/>
        </w:rPr>
        <w:t xml:space="preserve"> </w:t>
      </w:r>
      <w:r w:rsidRPr="00EF730B">
        <w:rPr>
          <w:noProof/>
          <w:lang w:val="en-GB"/>
        </w:rPr>
        <w:t xml:space="preserve">(2014) ‘Reactive oxygen species, heat stress and oxidative-induced mitochondrial damage. A review’, </w:t>
      </w:r>
      <w:r w:rsidRPr="00EF730B">
        <w:rPr>
          <w:i/>
          <w:iCs/>
          <w:noProof/>
          <w:lang w:val="en-GB"/>
        </w:rPr>
        <w:t>International Journal of Hyperthermia</w:t>
      </w:r>
      <w:r w:rsidRPr="00EF730B">
        <w:rPr>
          <w:noProof/>
          <w:lang w:val="en-GB"/>
        </w:rPr>
        <w:t>, 30(7), pp. 513–523. doi: 10.3109/02656736.2014.971446.</w:t>
      </w:r>
    </w:p>
    <w:p w14:paraId="4CC72195"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Smale, D. A. </w:t>
      </w:r>
      <w:r w:rsidRPr="00EF730B">
        <w:rPr>
          <w:i/>
          <w:iCs/>
          <w:noProof/>
          <w:lang w:val="en-GB"/>
        </w:rPr>
        <w:t>et al.</w:t>
      </w:r>
      <w:r w:rsidRPr="00EF730B">
        <w:rPr>
          <w:noProof/>
          <w:lang w:val="en-GB"/>
        </w:rPr>
        <w:t xml:space="preserve"> (2019) ‘Marine heatwaves threaten global biodiversity and the provision of ecosystem services’, </w:t>
      </w:r>
      <w:r w:rsidRPr="00EF730B">
        <w:rPr>
          <w:i/>
          <w:iCs/>
          <w:noProof/>
          <w:lang w:val="en-GB"/>
        </w:rPr>
        <w:t>Nature Climate Change</w:t>
      </w:r>
      <w:r w:rsidRPr="00EF730B">
        <w:rPr>
          <w:noProof/>
          <w:lang w:val="en-GB"/>
        </w:rPr>
        <w:t>. Springer US, 9(4), pp. 306–312. doi: 10.1038/s41558-019-0412-1.</w:t>
      </w:r>
    </w:p>
    <w:p w14:paraId="0E601DEF"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Smith, A. and McCulloh, R. J. (2015) ‘Hemopexin and haptoglobin: Allies against heme toxicity from hemoglobin not contenders’, </w:t>
      </w:r>
      <w:r w:rsidRPr="00EF730B">
        <w:rPr>
          <w:i/>
          <w:iCs/>
          <w:noProof/>
          <w:lang w:val="en-GB"/>
        </w:rPr>
        <w:t>Frontiers in Physiology</w:t>
      </w:r>
      <w:r w:rsidRPr="00EF730B">
        <w:rPr>
          <w:noProof/>
          <w:lang w:val="en-GB"/>
        </w:rPr>
        <w:t>, 6, p. 187. doi: 10.3389/fphys.2015.00187.</w:t>
      </w:r>
    </w:p>
    <w:p w14:paraId="18691445"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Smith, C. W. J., Patton, J. G. and Nadal-Ginard, B. (1989) ‘Alternative splicing in the control of gene expression’, </w:t>
      </w:r>
      <w:r w:rsidRPr="00EF730B">
        <w:rPr>
          <w:i/>
          <w:iCs/>
          <w:noProof/>
          <w:lang w:val="en-GB"/>
        </w:rPr>
        <w:t>Annual Review of Genetics</w:t>
      </w:r>
      <w:r w:rsidRPr="00EF730B">
        <w:rPr>
          <w:noProof/>
          <w:lang w:val="en-GB"/>
        </w:rPr>
        <w:t>, 23(1), pp. 527–577. doi: 10.1201/9781135000011-16.</w:t>
      </w:r>
    </w:p>
    <w:p w14:paraId="123B689F"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Smith, S., Bernatchez, L. and Beheregaray, L. B. (2013) ‘RNA-seq analysis reveals extensive transcriptional plasticity to temperature stress in a freshwater fish species’, </w:t>
      </w:r>
      <w:r w:rsidRPr="00EF730B">
        <w:rPr>
          <w:i/>
          <w:iCs/>
          <w:noProof/>
          <w:lang w:val="en-GB"/>
        </w:rPr>
        <w:t>BMC Genomics</w:t>
      </w:r>
      <w:r w:rsidRPr="00EF730B">
        <w:rPr>
          <w:noProof/>
          <w:lang w:val="en-GB"/>
        </w:rPr>
        <w:t>, 14(1), pp. 1–12. doi: 10.1186/1471-2164-14-375.</w:t>
      </w:r>
    </w:p>
    <w:p w14:paraId="0C294F2B"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Somero, G. N. (2010) ‘Temperature relationships : from molecules to biogeography’, </w:t>
      </w:r>
      <w:r w:rsidRPr="00EF730B">
        <w:rPr>
          <w:i/>
          <w:iCs/>
          <w:noProof/>
          <w:lang w:val="en-GB"/>
        </w:rPr>
        <w:t>Comprehensive Physiology</w:t>
      </w:r>
      <w:r w:rsidRPr="00EF730B">
        <w:rPr>
          <w:noProof/>
          <w:lang w:val="en-GB"/>
        </w:rPr>
        <w:t>, pp. 1391–1444.</w:t>
      </w:r>
    </w:p>
    <w:p w14:paraId="27CEC8F7" w14:textId="77777777" w:rsidR="00EF730B" w:rsidRPr="00EF730B" w:rsidRDefault="00EF730B" w:rsidP="00EF730B">
      <w:pPr>
        <w:widowControl w:val="0"/>
        <w:autoSpaceDE w:val="0"/>
        <w:autoSpaceDN w:val="0"/>
        <w:adjustRightInd w:val="0"/>
        <w:rPr>
          <w:noProof/>
          <w:lang w:val="en-GB"/>
        </w:rPr>
      </w:pPr>
      <w:r w:rsidRPr="00AD7D5B">
        <w:rPr>
          <w:noProof/>
          <w:lang w:val="es-ES"/>
        </w:rPr>
        <w:t xml:space="preserve">Sopinka, N. M. </w:t>
      </w:r>
      <w:r w:rsidRPr="00AD7D5B">
        <w:rPr>
          <w:i/>
          <w:iCs/>
          <w:noProof/>
          <w:lang w:val="es-ES"/>
        </w:rPr>
        <w:t>et al.</w:t>
      </w:r>
      <w:r w:rsidRPr="00AD7D5B">
        <w:rPr>
          <w:noProof/>
          <w:lang w:val="es-ES"/>
        </w:rPr>
        <w:t xml:space="preserve"> </w:t>
      </w:r>
      <w:r w:rsidRPr="00EF730B">
        <w:rPr>
          <w:noProof/>
          <w:lang w:val="en-GB"/>
        </w:rPr>
        <w:t xml:space="preserve">(2016) </w:t>
      </w:r>
      <w:r w:rsidRPr="00EF730B">
        <w:rPr>
          <w:i/>
          <w:iCs/>
          <w:noProof/>
          <w:lang w:val="en-GB"/>
        </w:rPr>
        <w:t>Stress Indicators in Fish</w:t>
      </w:r>
      <w:r w:rsidRPr="00EF730B">
        <w:rPr>
          <w:noProof/>
          <w:lang w:val="en-GB"/>
        </w:rPr>
        <w:t xml:space="preserve">, </w:t>
      </w:r>
      <w:r w:rsidRPr="00EF730B">
        <w:rPr>
          <w:i/>
          <w:iCs/>
          <w:noProof/>
          <w:lang w:val="en-GB"/>
        </w:rPr>
        <w:t>Fish Physiology</w:t>
      </w:r>
      <w:r w:rsidRPr="00EF730B">
        <w:rPr>
          <w:noProof/>
          <w:lang w:val="en-GB"/>
        </w:rPr>
        <w:t>. Edited by C. J. B. Carl B. Schreck, Lluis Tort, Anthony P. Farrell. Academic Press. doi: 10.1016/B978-0-12-802728-8.00011-4.</w:t>
      </w:r>
    </w:p>
    <w:p w14:paraId="430062E1"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Spinks, R. K., Munday, P. L. and Donelson, J. M. (2019) ‘Developmental effects of heatwave conditions on the early life stages of a coral reef fish’, </w:t>
      </w:r>
      <w:r w:rsidRPr="00EF730B">
        <w:rPr>
          <w:i/>
          <w:iCs/>
          <w:noProof/>
          <w:lang w:val="en-GB"/>
        </w:rPr>
        <w:t>Journal of Experimental Biology</w:t>
      </w:r>
      <w:r w:rsidRPr="00EF730B">
        <w:rPr>
          <w:noProof/>
          <w:lang w:val="en-GB"/>
        </w:rPr>
        <w:t>, 222(16), p. jeb202713. doi: 10.1242/jeb.202713.</w:t>
      </w:r>
    </w:p>
    <w:p w14:paraId="00DE1F98"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Suzuki, N. and Mittler, R. (2006) ‘Reactive oxygen species and temperature stresses: A delicate balance between signaling and destruction’, </w:t>
      </w:r>
      <w:r w:rsidRPr="00EF730B">
        <w:rPr>
          <w:i/>
          <w:iCs/>
          <w:noProof/>
          <w:lang w:val="en-GB"/>
        </w:rPr>
        <w:t>Physiologia Plantarum</w:t>
      </w:r>
      <w:r w:rsidRPr="00EF730B">
        <w:rPr>
          <w:noProof/>
          <w:lang w:val="en-GB"/>
        </w:rPr>
        <w:t>, 126(1), pp. 45–51. doi: 10.1111/j.0031-9317.2005.00582.x.</w:t>
      </w:r>
    </w:p>
    <w:p w14:paraId="646EB321"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Tan, S. </w:t>
      </w:r>
      <w:r w:rsidRPr="00EF730B">
        <w:rPr>
          <w:i/>
          <w:iCs/>
          <w:noProof/>
          <w:lang w:val="en-GB"/>
        </w:rPr>
        <w:t>et al.</w:t>
      </w:r>
      <w:r w:rsidRPr="00EF730B">
        <w:rPr>
          <w:noProof/>
          <w:lang w:val="en-GB"/>
        </w:rPr>
        <w:t xml:space="preserve"> (2019) ‘Heat stress induced alternative splicing in catfish as determined by transcriptome analysis’, </w:t>
      </w:r>
      <w:r w:rsidRPr="00EF730B">
        <w:rPr>
          <w:i/>
          <w:iCs/>
          <w:noProof/>
          <w:lang w:val="en-GB"/>
        </w:rPr>
        <w:t>Comparative Biochemistry and Physiology - Part D: Genomics and Proteomics</w:t>
      </w:r>
      <w:r w:rsidRPr="00EF730B">
        <w:rPr>
          <w:noProof/>
          <w:lang w:val="en-GB"/>
        </w:rPr>
        <w:t>, 29, pp. 166–172. doi: 10.1016/j.cbd.2018.11.008.</w:t>
      </w:r>
    </w:p>
    <w:p w14:paraId="05DAD99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Thorne, A. M. </w:t>
      </w:r>
      <w:r w:rsidRPr="00EF730B">
        <w:rPr>
          <w:i/>
          <w:iCs/>
          <w:noProof/>
          <w:lang w:val="en-GB"/>
        </w:rPr>
        <w:t>et al.</w:t>
      </w:r>
      <w:r w:rsidRPr="00EF730B">
        <w:rPr>
          <w:noProof/>
          <w:lang w:val="en-GB"/>
        </w:rPr>
        <w:t xml:space="preserve"> (2020) ‘Hyperthermia-induced changes in liver physiology and metabolism: A rationale for hyperthermic machine perfusion’, </w:t>
      </w:r>
      <w:r w:rsidRPr="00EF730B">
        <w:rPr>
          <w:i/>
          <w:iCs/>
          <w:noProof/>
          <w:lang w:val="en-GB"/>
        </w:rPr>
        <w:t>American Journal of Physiology - Gastrointestinal and Liver Physiology</w:t>
      </w:r>
      <w:r w:rsidRPr="00EF730B">
        <w:rPr>
          <w:noProof/>
          <w:lang w:val="en-GB"/>
        </w:rPr>
        <w:t>, 319(1), pp. G43–G50. doi: 10.1152/ajpgi.00101.2020.</w:t>
      </w:r>
    </w:p>
    <w:p w14:paraId="37D9A08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Tian, Y. </w:t>
      </w:r>
      <w:r w:rsidRPr="00EF730B">
        <w:rPr>
          <w:i/>
          <w:iCs/>
          <w:noProof/>
          <w:lang w:val="en-GB"/>
        </w:rPr>
        <w:t>et al.</w:t>
      </w:r>
      <w:r w:rsidRPr="00EF730B">
        <w:rPr>
          <w:noProof/>
          <w:lang w:val="en-GB"/>
        </w:rPr>
        <w:t xml:space="preserve"> (2020) ‘Alternative splicing (AS) mechanism plays important roles in response to different salinity environments in spotted sea bass’, </w:t>
      </w:r>
      <w:r w:rsidRPr="00EF730B">
        <w:rPr>
          <w:i/>
          <w:iCs/>
          <w:noProof/>
          <w:lang w:val="en-GB"/>
        </w:rPr>
        <w:t>International Journal of Biological Macromolecules</w:t>
      </w:r>
      <w:r w:rsidRPr="00EF730B">
        <w:rPr>
          <w:noProof/>
          <w:lang w:val="en-GB"/>
        </w:rPr>
        <w:t>, 155, pp. 50–60. doi: 10.1016/j.ijbiomac.2020.03.178.</w:t>
      </w:r>
    </w:p>
    <w:p w14:paraId="32EF9FB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Triki, Z. and Bshary, R. (2019) ‘Fluctuations in coral reef fish densities after environmental disturbances on the northern Great Barrier Reef’, </w:t>
      </w:r>
      <w:r w:rsidRPr="00EF730B">
        <w:rPr>
          <w:i/>
          <w:iCs/>
          <w:noProof/>
          <w:lang w:val="en-GB"/>
        </w:rPr>
        <w:t>PeerJ</w:t>
      </w:r>
      <w:r w:rsidRPr="00EF730B">
        <w:rPr>
          <w:noProof/>
          <w:lang w:val="en-GB"/>
        </w:rPr>
        <w:t>, 7, p. e6720. doi: 10.7717/peerj.6720.</w:t>
      </w:r>
    </w:p>
    <w:p w14:paraId="2DCE7543"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Uren Webster, T. M. </w:t>
      </w:r>
      <w:r w:rsidRPr="00EF730B">
        <w:rPr>
          <w:i/>
          <w:iCs/>
          <w:noProof/>
          <w:lang w:val="en-GB"/>
        </w:rPr>
        <w:t>et al.</w:t>
      </w:r>
      <w:r w:rsidRPr="00EF730B">
        <w:rPr>
          <w:noProof/>
          <w:lang w:val="en-GB"/>
        </w:rPr>
        <w:t xml:space="preserve"> (2018) ‘Contrasting effects of acute and chronic stress on the transcriptome, epigenome, and immune response of Atlantic salmon’, </w:t>
      </w:r>
      <w:r w:rsidRPr="00EF730B">
        <w:rPr>
          <w:i/>
          <w:iCs/>
          <w:noProof/>
          <w:lang w:val="en-GB"/>
        </w:rPr>
        <w:t>Epigenetics</w:t>
      </w:r>
      <w:r w:rsidRPr="00EF730B">
        <w:rPr>
          <w:noProof/>
          <w:lang w:val="en-GB"/>
        </w:rPr>
        <w:t>, 13(12), pp. 1191–1207. doi: 10.1080/15592294.2018.1554520.</w:t>
      </w:r>
    </w:p>
    <w:p w14:paraId="64756002" w14:textId="77777777" w:rsidR="00EF730B" w:rsidRPr="00EF730B" w:rsidRDefault="00EF730B" w:rsidP="00EF730B">
      <w:pPr>
        <w:widowControl w:val="0"/>
        <w:autoSpaceDE w:val="0"/>
        <w:autoSpaceDN w:val="0"/>
        <w:adjustRightInd w:val="0"/>
        <w:rPr>
          <w:noProof/>
          <w:lang w:val="en-GB"/>
        </w:rPr>
      </w:pPr>
      <w:r w:rsidRPr="00AD7D5B">
        <w:rPr>
          <w:noProof/>
          <w:lang w:val="es-ES"/>
        </w:rPr>
        <w:t xml:space="preserve">Veilleux, H. D. </w:t>
      </w:r>
      <w:r w:rsidRPr="00AD7D5B">
        <w:rPr>
          <w:i/>
          <w:iCs/>
          <w:noProof/>
          <w:lang w:val="es-ES"/>
        </w:rPr>
        <w:t>et al.</w:t>
      </w:r>
      <w:r w:rsidRPr="00AD7D5B">
        <w:rPr>
          <w:noProof/>
          <w:lang w:val="es-ES"/>
        </w:rPr>
        <w:t xml:space="preserve"> </w:t>
      </w:r>
      <w:r w:rsidRPr="00EF730B">
        <w:rPr>
          <w:noProof/>
          <w:lang w:val="en-GB"/>
        </w:rPr>
        <w:t xml:space="preserve">(2015) ‘Molecular processes of transgenerational acclimation to a warming ocean’, </w:t>
      </w:r>
      <w:r w:rsidRPr="00EF730B">
        <w:rPr>
          <w:i/>
          <w:iCs/>
          <w:noProof/>
          <w:lang w:val="en-GB"/>
        </w:rPr>
        <w:t>Nature Climate Change</w:t>
      </w:r>
      <w:r w:rsidRPr="00EF730B">
        <w:rPr>
          <w:noProof/>
          <w:lang w:val="en-GB"/>
        </w:rPr>
        <w:t>, 5(12), pp. 1074–1078. doi: 10.1038/nclimate2724.</w:t>
      </w:r>
    </w:p>
    <w:p w14:paraId="05F1104F"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Vinagre, C. </w:t>
      </w:r>
      <w:r w:rsidRPr="00EF730B">
        <w:rPr>
          <w:i/>
          <w:iCs/>
          <w:noProof/>
          <w:lang w:val="en-GB"/>
        </w:rPr>
        <w:t>et al.</w:t>
      </w:r>
      <w:r w:rsidRPr="00EF730B">
        <w:rPr>
          <w:noProof/>
          <w:lang w:val="en-GB"/>
        </w:rPr>
        <w:t xml:space="preserve"> (2012) ‘Effect of temperature on oxidative stress in fish: Lipid peroxidation and catalase activity in the muscle of juvenile seabass, </w:t>
      </w:r>
      <w:r w:rsidRPr="00A23BCD">
        <w:rPr>
          <w:i/>
          <w:iCs/>
          <w:noProof/>
          <w:lang w:val="en-GB"/>
        </w:rPr>
        <w:t>Dicentrarchus labrax</w:t>
      </w:r>
      <w:r w:rsidRPr="00EF730B">
        <w:rPr>
          <w:noProof/>
          <w:lang w:val="en-GB"/>
        </w:rPr>
        <w:t xml:space="preserve">’, </w:t>
      </w:r>
      <w:r w:rsidRPr="00EF730B">
        <w:rPr>
          <w:i/>
          <w:iCs/>
          <w:noProof/>
          <w:lang w:val="en-GB"/>
        </w:rPr>
        <w:t>Ecological Indicators</w:t>
      </w:r>
      <w:r w:rsidRPr="00EF730B">
        <w:rPr>
          <w:noProof/>
          <w:lang w:val="en-GB"/>
        </w:rPr>
        <w:t>, 23, pp. 274–279. doi: 10.1016/j.ecolind.2012.04.009.</w:t>
      </w:r>
    </w:p>
    <w:p w14:paraId="0C0B698A"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Warnes, G. R. </w:t>
      </w:r>
      <w:r w:rsidRPr="00EF730B">
        <w:rPr>
          <w:i/>
          <w:iCs/>
          <w:noProof/>
          <w:lang w:val="en-GB"/>
        </w:rPr>
        <w:t>et al.</w:t>
      </w:r>
      <w:r w:rsidRPr="00EF730B">
        <w:rPr>
          <w:noProof/>
          <w:lang w:val="en-GB"/>
        </w:rPr>
        <w:t xml:space="preserve"> (2020) ‘gplots: Various R Programming Tools for Plotting Data’. Available at: https://cran.r-project.org/package=gplots.</w:t>
      </w:r>
    </w:p>
    <w:p w14:paraId="2CDC8782"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Whitmarsh, A. J. (2010) ‘A central role for p38 MAPK in the early transcriptional response to stress’, </w:t>
      </w:r>
      <w:r w:rsidRPr="00EF730B">
        <w:rPr>
          <w:i/>
          <w:iCs/>
          <w:noProof/>
          <w:lang w:val="en-GB"/>
        </w:rPr>
        <w:t>BMC Biology</w:t>
      </w:r>
      <w:r w:rsidRPr="00EF730B">
        <w:rPr>
          <w:noProof/>
          <w:lang w:val="en-GB"/>
        </w:rPr>
        <w:t>, 8(1), pp. 8–10. doi: 10.1186/1741-7007-8-47.</w:t>
      </w:r>
    </w:p>
    <w:p w14:paraId="23475ECB" w14:textId="77777777" w:rsidR="00EF730B" w:rsidRPr="00EF730B" w:rsidRDefault="00EF730B" w:rsidP="00EF730B">
      <w:pPr>
        <w:widowControl w:val="0"/>
        <w:autoSpaceDE w:val="0"/>
        <w:autoSpaceDN w:val="0"/>
        <w:adjustRightInd w:val="0"/>
        <w:rPr>
          <w:noProof/>
          <w:lang w:val="en-GB"/>
        </w:rPr>
      </w:pPr>
      <w:r w:rsidRPr="00EF730B">
        <w:rPr>
          <w:noProof/>
          <w:lang w:val="en-GB"/>
        </w:rPr>
        <w:lastRenderedPageBreak/>
        <w:t xml:space="preserve">Wilson, S. K. </w:t>
      </w:r>
      <w:r w:rsidRPr="00EF730B">
        <w:rPr>
          <w:i/>
          <w:iCs/>
          <w:noProof/>
          <w:lang w:val="en-GB"/>
        </w:rPr>
        <w:t>et al.</w:t>
      </w:r>
      <w:r w:rsidRPr="00EF730B">
        <w:rPr>
          <w:noProof/>
          <w:lang w:val="en-GB"/>
        </w:rPr>
        <w:t xml:space="preserve"> (2019) ‘Boom and bust of keystone structure on coral reefs’, </w:t>
      </w:r>
      <w:r w:rsidRPr="00EF730B">
        <w:rPr>
          <w:i/>
          <w:iCs/>
          <w:noProof/>
          <w:lang w:val="en-GB"/>
        </w:rPr>
        <w:t>Coral Reefs</w:t>
      </w:r>
      <w:r w:rsidRPr="00EF730B">
        <w:rPr>
          <w:noProof/>
          <w:lang w:val="en-GB"/>
        </w:rPr>
        <w:t>, 38(4), pp. 625–635. doi: 10.1007/s00338-019-01818-4.</w:t>
      </w:r>
    </w:p>
    <w:p w14:paraId="040C600D"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Wood, D. E., Lu, J. and Langmead, B. (2019) ‘Improved metagenomic analysis with Kraken 2’, </w:t>
      </w:r>
      <w:r w:rsidRPr="00EF730B">
        <w:rPr>
          <w:i/>
          <w:iCs/>
          <w:noProof/>
          <w:lang w:val="en-GB"/>
        </w:rPr>
        <w:t>Genome Biology</w:t>
      </w:r>
      <w:r w:rsidRPr="00EF730B">
        <w:rPr>
          <w:noProof/>
          <w:lang w:val="en-GB"/>
        </w:rPr>
        <w:t>, 20(1), pp. 1–13. doi: 10.1101/762302.</w:t>
      </w:r>
    </w:p>
    <w:p w14:paraId="69CD7F14"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Xia, J. H. </w:t>
      </w:r>
      <w:r w:rsidRPr="00EF730B">
        <w:rPr>
          <w:i/>
          <w:iCs/>
          <w:noProof/>
          <w:lang w:val="en-GB"/>
        </w:rPr>
        <w:t>et al.</w:t>
      </w:r>
      <w:r w:rsidRPr="00EF730B">
        <w:rPr>
          <w:noProof/>
          <w:lang w:val="en-GB"/>
        </w:rPr>
        <w:t xml:space="preserve"> (2018) ‘Acute hypoxia stress induced abundant differential expression genes and alternative splicing events in heart of tilapia’, </w:t>
      </w:r>
      <w:r w:rsidRPr="00EF730B">
        <w:rPr>
          <w:i/>
          <w:iCs/>
          <w:noProof/>
          <w:lang w:val="en-GB"/>
        </w:rPr>
        <w:t>Gene</w:t>
      </w:r>
      <w:r w:rsidRPr="00EF730B">
        <w:rPr>
          <w:noProof/>
          <w:lang w:val="en-GB"/>
        </w:rPr>
        <w:t>. Elsevier B.V, 639, pp. 52–61. doi: 10.1016/j.gene.2017.10.002.</w:t>
      </w:r>
    </w:p>
    <w:p w14:paraId="0B91107D" w14:textId="77777777" w:rsidR="00EF730B" w:rsidRPr="00EF730B" w:rsidRDefault="00EF730B" w:rsidP="00EF730B">
      <w:pPr>
        <w:widowControl w:val="0"/>
        <w:autoSpaceDE w:val="0"/>
        <w:autoSpaceDN w:val="0"/>
        <w:adjustRightInd w:val="0"/>
        <w:rPr>
          <w:noProof/>
          <w:lang w:val="en-GB"/>
        </w:rPr>
      </w:pPr>
      <w:r w:rsidRPr="00EF730B">
        <w:rPr>
          <w:noProof/>
          <w:lang w:val="en-GB"/>
        </w:rPr>
        <w:t xml:space="preserve">Yamamoto, K. </w:t>
      </w:r>
      <w:r w:rsidRPr="00EF730B">
        <w:rPr>
          <w:i/>
          <w:iCs/>
          <w:noProof/>
          <w:lang w:val="en-GB"/>
        </w:rPr>
        <w:t>et al.</w:t>
      </w:r>
      <w:r w:rsidRPr="00EF730B">
        <w:rPr>
          <w:noProof/>
          <w:lang w:val="en-GB"/>
        </w:rPr>
        <w:t xml:space="preserve"> (2016) ‘Control of the heat stress-induced alternative splicing of a subset of genes by hnRNP K’, </w:t>
      </w:r>
      <w:r w:rsidRPr="00EF730B">
        <w:rPr>
          <w:i/>
          <w:iCs/>
          <w:noProof/>
          <w:lang w:val="en-GB"/>
        </w:rPr>
        <w:t>Genes to Cells</w:t>
      </w:r>
      <w:r w:rsidRPr="00EF730B">
        <w:rPr>
          <w:noProof/>
          <w:lang w:val="en-GB"/>
        </w:rPr>
        <w:t>, 21(9), pp. 1006–1014. doi: 10.1111/gtc.12400.</w:t>
      </w:r>
    </w:p>
    <w:p w14:paraId="5732464D" w14:textId="77777777" w:rsidR="00EF730B" w:rsidRPr="00EF730B" w:rsidRDefault="00EF730B" w:rsidP="00EF730B">
      <w:pPr>
        <w:widowControl w:val="0"/>
        <w:autoSpaceDE w:val="0"/>
        <w:autoSpaceDN w:val="0"/>
        <w:adjustRightInd w:val="0"/>
        <w:rPr>
          <w:noProof/>
        </w:rPr>
      </w:pPr>
      <w:r w:rsidRPr="00EF730B">
        <w:rPr>
          <w:noProof/>
          <w:lang w:val="en-GB"/>
        </w:rPr>
        <w:t xml:space="preserve">Zhao, Q. </w:t>
      </w:r>
      <w:r w:rsidRPr="00EF730B">
        <w:rPr>
          <w:i/>
          <w:iCs/>
          <w:noProof/>
          <w:lang w:val="en-GB"/>
        </w:rPr>
        <w:t>et al.</w:t>
      </w:r>
      <w:r w:rsidRPr="00EF730B">
        <w:rPr>
          <w:noProof/>
          <w:lang w:val="en-GB"/>
        </w:rPr>
        <w:t xml:space="preserve"> (2018) ‘Proteomics and phosphoproteomics of heat stress-responsive mechanisms in Spinach’, </w:t>
      </w:r>
      <w:r w:rsidRPr="00EF730B">
        <w:rPr>
          <w:i/>
          <w:iCs/>
          <w:noProof/>
          <w:lang w:val="en-GB"/>
        </w:rPr>
        <w:t>Frontiers in Plant Science</w:t>
      </w:r>
      <w:r w:rsidRPr="00EF730B">
        <w:rPr>
          <w:noProof/>
          <w:lang w:val="en-GB"/>
        </w:rPr>
        <w:t>, 9, p. 800. doi: 10.3389/fpls.2018.00800.</w:t>
      </w:r>
    </w:p>
    <w:p w14:paraId="152A43CA" w14:textId="3EBFEF55" w:rsidR="00EF730B" w:rsidRPr="00EF730B" w:rsidRDefault="00EF730B" w:rsidP="000B0733">
      <w:pPr>
        <w:rPr>
          <w:lang w:val="en-US"/>
        </w:rPr>
      </w:pPr>
      <w:r>
        <w:rPr>
          <w:lang w:val="en-US"/>
        </w:rPr>
        <w:fldChar w:fldCharType="end"/>
      </w:r>
    </w:p>
    <w:p w14:paraId="2576A0EB" w14:textId="3D864434" w:rsidR="005942C3" w:rsidRPr="00F02BED" w:rsidRDefault="00CF311F" w:rsidP="00F02BED">
      <w:pPr>
        <w:widowControl w:val="0"/>
        <w:autoSpaceDE w:val="0"/>
        <w:autoSpaceDN w:val="0"/>
        <w:adjustRightInd w:val="0"/>
        <w:spacing w:line="360" w:lineRule="auto"/>
        <w:rPr>
          <w:lang w:val="en-AU"/>
        </w:rPr>
      </w:pPr>
      <w:r w:rsidRPr="00AD7D5B">
        <w:rPr>
          <w:b/>
          <w:lang w:val="en-AU"/>
        </w:rPr>
        <w:br w:type="column"/>
      </w:r>
      <w:r w:rsidR="005942C3" w:rsidRPr="00F02BED">
        <w:rPr>
          <w:b/>
          <w:lang w:val="en-AU"/>
        </w:rPr>
        <w:lastRenderedPageBreak/>
        <w:t>Acknowledgments</w:t>
      </w:r>
    </w:p>
    <w:p w14:paraId="53081975" w14:textId="5992542B" w:rsidR="005942C3" w:rsidRPr="004147E2" w:rsidRDefault="005942C3" w:rsidP="005942C3">
      <w:pPr>
        <w:autoSpaceDE w:val="0"/>
        <w:autoSpaceDN w:val="0"/>
        <w:adjustRightInd w:val="0"/>
        <w:spacing w:line="360" w:lineRule="auto"/>
        <w:jc w:val="both"/>
        <w:rPr>
          <w:shd w:val="clear" w:color="auto" w:fill="FFFFFF"/>
        </w:rPr>
      </w:pPr>
      <w:r w:rsidRPr="004147E2">
        <w:rPr>
          <w:lang w:val="en-GB"/>
        </w:rPr>
        <w:t xml:space="preserve">We are grateful to </w:t>
      </w:r>
      <w:r w:rsidR="000B7710" w:rsidRPr="004147E2">
        <w:rPr>
          <w:lang w:val="en-GB"/>
        </w:rPr>
        <w:t xml:space="preserve">Jodie </w:t>
      </w:r>
      <w:r w:rsidR="00812406" w:rsidRPr="004147E2">
        <w:rPr>
          <w:lang w:val="en-GB"/>
        </w:rPr>
        <w:t xml:space="preserve">L. </w:t>
      </w:r>
      <w:r w:rsidR="000B7710" w:rsidRPr="004147E2">
        <w:rPr>
          <w:lang w:val="en-GB"/>
        </w:rPr>
        <w:t>Rummer</w:t>
      </w:r>
      <w:r w:rsidR="00812406" w:rsidRPr="004147E2">
        <w:rPr>
          <w:lang w:val="en-GB"/>
        </w:rPr>
        <w:t xml:space="preserve"> and</w:t>
      </w:r>
      <w:r w:rsidR="000B7710" w:rsidRPr="004147E2">
        <w:rPr>
          <w:lang w:val="en-GB"/>
        </w:rPr>
        <w:t xml:space="preserve"> </w:t>
      </w:r>
      <w:r w:rsidR="00812406" w:rsidRPr="004147E2">
        <w:rPr>
          <w:lang w:val="en-GB"/>
        </w:rPr>
        <w:t xml:space="preserve">Bridie J.M. Allan for the collection of the fish samples. </w:t>
      </w:r>
      <w:r w:rsidRPr="004147E2">
        <w:rPr>
          <w:shd w:val="clear" w:color="auto" w:fill="FFFFFF"/>
          <w:lang w:val="en-AU"/>
        </w:rPr>
        <w:t xml:space="preserve">This project was completed under approval of the James Cook University </w:t>
      </w:r>
      <w:r w:rsidRPr="004147E2">
        <w:rPr>
          <w:lang w:val="en-AU"/>
        </w:rPr>
        <w:t>animal ethics committee (</w:t>
      </w:r>
      <w:r w:rsidR="00812406" w:rsidRPr="004147E2">
        <w:t>A2408</w:t>
      </w:r>
      <w:r w:rsidRPr="004147E2">
        <w:rPr>
          <w:lang w:val="en-AU"/>
        </w:rPr>
        <w:t xml:space="preserve">) and according to the University’s animal ethics guidelines. </w:t>
      </w:r>
      <w:r w:rsidRPr="004147E2">
        <w:rPr>
          <w:shd w:val="clear" w:color="auto" w:fill="FFFFFF"/>
          <w:lang w:val="en-AU"/>
        </w:rPr>
        <w:t xml:space="preserve">We </w:t>
      </w:r>
      <w:r w:rsidR="00812406" w:rsidRPr="004147E2">
        <w:rPr>
          <w:shd w:val="clear" w:color="auto" w:fill="FFFFFF"/>
          <w:lang w:val="en-AU"/>
        </w:rPr>
        <w:t xml:space="preserve">also want to </w:t>
      </w:r>
      <w:r w:rsidRPr="004147E2">
        <w:rPr>
          <w:shd w:val="clear" w:color="auto" w:fill="FFFFFF"/>
          <w:lang w:val="en-AU"/>
        </w:rPr>
        <w:t xml:space="preserve">thank the Molecular Ecology and Evolution lab at HKU for fruitful discussions and support. </w:t>
      </w:r>
    </w:p>
    <w:p w14:paraId="78C57F48" w14:textId="477FF0EB" w:rsidR="005942C3" w:rsidRPr="004147E2" w:rsidRDefault="005942C3" w:rsidP="005942C3">
      <w:pPr>
        <w:shd w:val="clear" w:color="auto" w:fill="FFFFFF"/>
        <w:spacing w:line="360" w:lineRule="auto"/>
        <w:rPr>
          <w:lang w:val="en-AU"/>
        </w:rPr>
      </w:pPr>
    </w:p>
    <w:p w14:paraId="4BB0EEEF" w14:textId="77777777" w:rsidR="005942C3" w:rsidRPr="004147E2" w:rsidRDefault="005942C3" w:rsidP="005942C3">
      <w:pPr>
        <w:spacing w:line="360" w:lineRule="auto"/>
        <w:rPr>
          <w:b/>
          <w:lang w:val="en-AU"/>
        </w:rPr>
      </w:pPr>
      <w:r w:rsidRPr="004147E2">
        <w:rPr>
          <w:b/>
          <w:lang w:val="en-AU"/>
        </w:rPr>
        <w:t>Affiliations</w:t>
      </w:r>
    </w:p>
    <w:p w14:paraId="5DCB1160" w14:textId="5CEBF9E8" w:rsidR="005942C3" w:rsidRPr="004147E2" w:rsidRDefault="005942C3" w:rsidP="005942C3">
      <w:pPr>
        <w:spacing w:line="360" w:lineRule="auto"/>
        <w:jc w:val="both"/>
        <w:rPr>
          <w:lang w:val="en-AU"/>
        </w:rPr>
      </w:pPr>
      <w:r w:rsidRPr="004147E2">
        <w:rPr>
          <w:lang w:val="en-AU"/>
        </w:rPr>
        <w:t xml:space="preserve">Swire Institute of Marine Science, </w:t>
      </w:r>
      <w:r w:rsidR="00054041" w:rsidRPr="004147E2">
        <w:rPr>
          <w:lang w:val="en-AU"/>
        </w:rPr>
        <w:t>School of Biological Sciences</w:t>
      </w:r>
      <w:r w:rsidRPr="004147E2">
        <w:rPr>
          <w:lang w:val="en-AU"/>
        </w:rPr>
        <w:t xml:space="preserve">, The University of Hong Kong, </w:t>
      </w:r>
      <w:proofErr w:type="spellStart"/>
      <w:r w:rsidRPr="004147E2">
        <w:rPr>
          <w:lang w:val="en-AU"/>
        </w:rPr>
        <w:t>Pokfulam</w:t>
      </w:r>
      <w:proofErr w:type="spellEnd"/>
      <w:r w:rsidRPr="004147E2">
        <w:rPr>
          <w:lang w:val="en-AU"/>
        </w:rPr>
        <w:t>, Hong Kong SAR</w:t>
      </w:r>
    </w:p>
    <w:p w14:paraId="2A623902" w14:textId="77777777" w:rsidR="00E519E0" w:rsidRPr="004147E2" w:rsidRDefault="00E519E0" w:rsidP="005942C3">
      <w:pPr>
        <w:spacing w:line="360" w:lineRule="auto"/>
        <w:jc w:val="both"/>
        <w:rPr>
          <w:lang w:val="en-AU"/>
        </w:rPr>
      </w:pPr>
    </w:p>
    <w:p w14:paraId="526685D0" w14:textId="5C57ABAF" w:rsidR="005942C3" w:rsidRPr="004147E2" w:rsidRDefault="009060D2" w:rsidP="005942C3">
      <w:pPr>
        <w:spacing w:line="360" w:lineRule="auto"/>
        <w:jc w:val="both"/>
        <w:rPr>
          <w:lang w:val="en-AU"/>
        </w:rPr>
      </w:pPr>
      <w:r w:rsidRPr="004147E2">
        <w:rPr>
          <w:lang w:val="en-AU"/>
        </w:rPr>
        <w:t xml:space="preserve">Stanley Kin Nok Chan, Sneha Suresh </w:t>
      </w:r>
      <w:r w:rsidR="005942C3" w:rsidRPr="004147E2">
        <w:rPr>
          <w:lang w:val="en-AU"/>
        </w:rPr>
        <w:t xml:space="preserve">&amp; Celia </w:t>
      </w:r>
      <w:proofErr w:type="spellStart"/>
      <w:r w:rsidR="005942C3" w:rsidRPr="004147E2">
        <w:rPr>
          <w:lang w:val="en-AU"/>
        </w:rPr>
        <w:t>Schunter</w:t>
      </w:r>
      <w:proofErr w:type="spellEnd"/>
    </w:p>
    <w:p w14:paraId="3AFC397D" w14:textId="77777777" w:rsidR="005942C3" w:rsidRPr="004147E2" w:rsidRDefault="005942C3" w:rsidP="005942C3">
      <w:pPr>
        <w:pStyle w:val="Heading3"/>
        <w:shd w:val="clear" w:color="auto" w:fill="FFFFFF"/>
        <w:spacing w:before="0" w:line="360" w:lineRule="auto"/>
        <w:jc w:val="both"/>
        <w:rPr>
          <w:b w:val="0"/>
          <w:bCs w:val="0"/>
          <w:sz w:val="24"/>
          <w:szCs w:val="24"/>
          <w:lang w:val="en-AU"/>
        </w:rPr>
      </w:pPr>
      <w:r w:rsidRPr="004147E2">
        <w:rPr>
          <w:b w:val="0"/>
          <w:bCs w:val="0"/>
          <w:sz w:val="24"/>
          <w:szCs w:val="24"/>
          <w:lang w:val="en-AU"/>
        </w:rPr>
        <w:t>ARC Centre of Excellence for Coral Reef Studies, College of Science and Engineering, James Cook University, Townsville, Queensland, Australia</w:t>
      </w:r>
    </w:p>
    <w:p w14:paraId="5FEFACE6" w14:textId="27483900" w:rsidR="005942C3" w:rsidRPr="004147E2" w:rsidRDefault="005942C3" w:rsidP="009060D2">
      <w:pPr>
        <w:pStyle w:val="Heading3"/>
        <w:shd w:val="clear" w:color="auto" w:fill="FFFFFF"/>
        <w:spacing w:before="0" w:line="360" w:lineRule="auto"/>
        <w:jc w:val="both"/>
        <w:rPr>
          <w:lang w:val="en-AU"/>
        </w:rPr>
      </w:pPr>
      <w:r w:rsidRPr="004147E2">
        <w:rPr>
          <w:b w:val="0"/>
          <w:bCs w:val="0"/>
          <w:sz w:val="24"/>
          <w:szCs w:val="24"/>
          <w:lang w:val="en-AU"/>
        </w:rPr>
        <w:t xml:space="preserve">Philip L. Munday &amp; Timothy </w:t>
      </w:r>
      <w:proofErr w:type="spellStart"/>
      <w:r w:rsidRPr="004147E2">
        <w:rPr>
          <w:b w:val="0"/>
          <w:bCs w:val="0"/>
          <w:sz w:val="24"/>
          <w:szCs w:val="24"/>
          <w:lang w:val="en-AU"/>
        </w:rPr>
        <w:t>Ravasi</w:t>
      </w:r>
      <w:proofErr w:type="spellEnd"/>
    </w:p>
    <w:p w14:paraId="08C8EE4A" w14:textId="77777777" w:rsidR="005942C3" w:rsidRPr="004147E2" w:rsidRDefault="005942C3" w:rsidP="005942C3">
      <w:pPr>
        <w:spacing w:line="360" w:lineRule="auto"/>
        <w:jc w:val="both"/>
        <w:rPr>
          <w:lang w:val="en-AU"/>
        </w:rPr>
      </w:pPr>
      <w:r w:rsidRPr="004147E2">
        <w:rPr>
          <w:bCs/>
          <w:shd w:val="clear" w:color="auto" w:fill="FFFFFF"/>
          <w:lang w:val="en-AU"/>
        </w:rPr>
        <w:t xml:space="preserve">Marine Climate Change Unit, Okinawa Institute of Science and Technology Graduate University, 1919–1 </w:t>
      </w:r>
      <w:proofErr w:type="spellStart"/>
      <w:r w:rsidRPr="004147E2">
        <w:rPr>
          <w:bCs/>
          <w:shd w:val="clear" w:color="auto" w:fill="FFFFFF"/>
          <w:lang w:val="en-AU"/>
        </w:rPr>
        <w:t>Tancha</w:t>
      </w:r>
      <w:proofErr w:type="spellEnd"/>
      <w:r w:rsidRPr="004147E2">
        <w:rPr>
          <w:bCs/>
          <w:shd w:val="clear" w:color="auto" w:fill="FFFFFF"/>
          <w:lang w:val="en-AU"/>
        </w:rPr>
        <w:t xml:space="preserve">, </w:t>
      </w:r>
      <w:proofErr w:type="spellStart"/>
      <w:r w:rsidRPr="004147E2">
        <w:rPr>
          <w:bCs/>
          <w:shd w:val="clear" w:color="auto" w:fill="FFFFFF"/>
          <w:lang w:val="en-AU"/>
        </w:rPr>
        <w:t>Onna</w:t>
      </w:r>
      <w:proofErr w:type="spellEnd"/>
      <w:r w:rsidRPr="004147E2">
        <w:rPr>
          <w:bCs/>
          <w:shd w:val="clear" w:color="auto" w:fill="FFFFFF"/>
          <w:lang w:val="en-AU"/>
        </w:rPr>
        <w:t>-son, Okinawa 904–0495, Japan</w:t>
      </w:r>
    </w:p>
    <w:p w14:paraId="4D3BF82D" w14:textId="4C275DEA" w:rsidR="005942C3" w:rsidRPr="004147E2" w:rsidRDefault="005942C3" w:rsidP="005942C3">
      <w:pPr>
        <w:spacing w:line="360" w:lineRule="auto"/>
        <w:jc w:val="both"/>
        <w:rPr>
          <w:lang w:val="en-AU"/>
        </w:rPr>
      </w:pPr>
      <w:r w:rsidRPr="004147E2">
        <w:rPr>
          <w:lang w:val="en-AU"/>
        </w:rPr>
        <w:t xml:space="preserve">Timothy </w:t>
      </w:r>
      <w:proofErr w:type="spellStart"/>
      <w:r w:rsidRPr="004147E2">
        <w:rPr>
          <w:lang w:val="en-AU"/>
        </w:rPr>
        <w:t>Ravasi</w:t>
      </w:r>
      <w:proofErr w:type="spellEnd"/>
      <w:r w:rsidRPr="004147E2">
        <w:rPr>
          <w:lang w:val="en-AU"/>
        </w:rPr>
        <w:t xml:space="preserve"> </w:t>
      </w:r>
    </w:p>
    <w:p w14:paraId="1D4AC7C8" w14:textId="07E1BF90" w:rsidR="009060D2" w:rsidRPr="004147E2" w:rsidRDefault="009060D2" w:rsidP="005942C3">
      <w:pPr>
        <w:spacing w:line="360" w:lineRule="auto"/>
        <w:jc w:val="both"/>
        <w:rPr>
          <w:lang w:val="en-AU"/>
        </w:rPr>
      </w:pPr>
    </w:p>
    <w:p w14:paraId="1B36A394" w14:textId="79A9BC59" w:rsidR="009060D2" w:rsidRPr="004147E2" w:rsidRDefault="009060D2" w:rsidP="00257D9D">
      <w:pPr>
        <w:spacing w:line="360" w:lineRule="auto"/>
        <w:jc w:val="both"/>
        <w:rPr>
          <w:bCs/>
          <w:iCs/>
          <w:shd w:val="clear" w:color="auto" w:fill="FFFFFF"/>
          <w:lang w:val="en-AU"/>
        </w:rPr>
      </w:pPr>
      <w:r w:rsidRPr="004147E2">
        <w:rPr>
          <w:bCs/>
          <w:iCs/>
          <w:shd w:val="clear" w:color="auto" w:fill="FFFFFF"/>
          <w:lang w:val="en-AU"/>
        </w:rPr>
        <w:t>Department of Biological Sciences, College of Science and Mathematics, Auburn University, Auburn, AL 36849, USA.</w:t>
      </w:r>
    </w:p>
    <w:p w14:paraId="7FABA95A" w14:textId="77777777" w:rsidR="009060D2" w:rsidRPr="004147E2" w:rsidRDefault="009060D2" w:rsidP="009060D2">
      <w:pPr>
        <w:jc w:val="both"/>
        <w:rPr>
          <w:shd w:val="clear" w:color="auto" w:fill="FFFFFF"/>
          <w:lang w:val="en-AU"/>
        </w:rPr>
      </w:pPr>
    </w:p>
    <w:p w14:paraId="72DDF153" w14:textId="124A3347" w:rsidR="00D57029" w:rsidRPr="004147E2" w:rsidRDefault="009060D2" w:rsidP="005942C3">
      <w:pPr>
        <w:spacing w:line="360" w:lineRule="auto"/>
        <w:jc w:val="both"/>
        <w:rPr>
          <w:lang w:val="en-AU"/>
        </w:rPr>
      </w:pPr>
      <w:r w:rsidRPr="004147E2">
        <w:rPr>
          <w:lang w:val="en-US"/>
        </w:rPr>
        <w:t>Moises Bernal</w:t>
      </w:r>
    </w:p>
    <w:p w14:paraId="57CEFC2C" w14:textId="77777777" w:rsidR="005942C3" w:rsidRPr="004147E2" w:rsidRDefault="005942C3" w:rsidP="00D57029">
      <w:pPr>
        <w:spacing w:line="360" w:lineRule="auto"/>
        <w:jc w:val="both"/>
        <w:rPr>
          <w:b/>
          <w:lang w:val="en-AU"/>
        </w:rPr>
      </w:pPr>
    </w:p>
    <w:p w14:paraId="4BD8F425" w14:textId="23160028" w:rsidR="005942C3" w:rsidRPr="004147E2" w:rsidRDefault="005942C3" w:rsidP="00D57029">
      <w:pPr>
        <w:spacing w:line="360" w:lineRule="auto"/>
        <w:jc w:val="both"/>
        <w:rPr>
          <w:b/>
          <w:lang w:val="en-AU"/>
        </w:rPr>
      </w:pPr>
      <w:r w:rsidRPr="004147E2">
        <w:rPr>
          <w:b/>
          <w:bCs/>
          <w:lang w:val="en-AU"/>
        </w:rPr>
        <w:t xml:space="preserve">Author contributions: </w:t>
      </w:r>
      <w:r w:rsidRPr="004147E2">
        <w:rPr>
          <w:lang w:val="en-AU"/>
        </w:rPr>
        <w:t>C.S. prepared the samples for RNA sequencing.</w:t>
      </w:r>
      <w:r w:rsidR="00AA439F" w:rsidRPr="004147E2">
        <w:rPr>
          <w:lang w:val="en-AU"/>
        </w:rPr>
        <w:t xml:space="preserve"> S.K.N.C</w:t>
      </w:r>
      <w:r w:rsidR="00947AED" w:rsidRPr="004147E2">
        <w:rPr>
          <w:lang w:val="en-AU"/>
        </w:rPr>
        <w:t xml:space="preserve"> </w:t>
      </w:r>
      <w:r w:rsidRPr="004147E2">
        <w:rPr>
          <w:lang w:val="en-AU"/>
        </w:rPr>
        <w:t>processed the transcriptome data</w:t>
      </w:r>
      <w:r w:rsidR="00AA439F" w:rsidRPr="004147E2">
        <w:rPr>
          <w:lang w:val="en-AU"/>
        </w:rPr>
        <w:t>,</w:t>
      </w:r>
      <w:r w:rsidRPr="004147E2">
        <w:rPr>
          <w:lang w:val="en-AU"/>
        </w:rPr>
        <w:t xml:space="preserve"> </w:t>
      </w:r>
      <w:proofErr w:type="spellStart"/>
      <w:r w:rsidRPr="004147E2">
        <w:rPr>
          <w:lang w:val="en-AU"/>
        </w:rPr>
        <w:t>analyzed</w:t>
      </w:r>
      <w:proofErr w:type="spellEnd"/>
      <w:r w:rsidRPr="004147E2">
        <w:rPr>
          <w:lang w:val="en-AU"/>
        </w:rPr>
        <w:t xml:space="preserve"> and interpreted the data</w:t>
      </w:r>
      <w:r w:rsidR="00947AED" w:rsidRPr="004147E2">
        <w:rPr>
          <w:lang w:val="en-AU"/>
        </w:rPr>
        <w:t xml:space="preserve"> with </w:t>
      </w:r>
      <w:r w:rsidR="00372B35" w:rsidRPr="004147E2">
        <w:rPr>
          <w:lang w:val="en-AU"/>
        </w:rPr>
        <w:t xml:space="preserve">input </w:t>
      </w:r>
      <w:r w:rsidR="00947AED" w:rsidRPr="004147E2">
        <w:rPr>
          <w:lang w:val="en-AU"/>
        </w:rPr>
        <w:t xml:space="preserve">from S.S and </w:t>
      </w:r>
      <w:proofErr w:type="gramStart"/>
      <w:r w:rsidR="00947AED" w:rsidRPr="004147E2">
        <w:rPr>
          <w:lang w:val="en-AU"/>
        </w:rPr>
        <w:t>C.S</w:t>
      </w:r>
      <w:r w:rsidR="003A19F4" w:rsidRPr="004147E2">
        <w:rPr>
          <w:lang w:val="en-AU"/>
        </w:rPr>
        <w:t>.</w:t>
      </w:r>
      <w:r w:rsidRPr="004147E2">
        <w:rPr>
          <w:lang w:val="en-AU"/>
        </w:rPr>
        <w:t>.</w:t>
      </w:r>
      <w:proofErr w:type="gramEnd"/>
      <w:r w:rsidRPr="004147E2">
        <w:rPr>
          <w:lang w:val="en-AU"/>
        </w:rPr>
        <w:t xml:space="preserve"> </w:t>
      </w:r>
      <w:r w:rsidR="00DD5B1E" w:rsidRPr="004147E2">
        <w:rPr>
          <w:lang w:val="en-AU"/>
        </w:rPr>
        <w:t>S.</w:t>
      </w:r>
      <w:r w:rsidR="0079550D" w:rsidRPr="004147E2">
        <w:rPr>
          <w:lang w:val="en-AU"/>
        </w:rPr>
        <w:t>K.N.C</w:t>
      </w:r>
      <w:r w:rsidR="00372B35" w:rsidRPr="004147E2">
        <w:rPr>
          <w:lang w:val="en-AU"/>
        </w:rPr>
        <w:t>, S.S</w:t>
      </w:r>
      <w:r w:rsidR="003E21A1">
        <w:rPr>
          <w:lang w:val="en-AU"/>
        </w:rPr>
        <w:t xml:space="preserve">, </w:t>
      </w:r>
      <w:r w:rsidR="003E21A1" w:rsidRPr="003E21A1">
        <w:rPr>
          <w:lang w:val="en-AU"/>
        </w:rPr>
        <w:t>M.A.B.</w:t>
      </w:r>
      <w:r w:rsidR="003E21A1">
        <w:rPr>
          <w:lang w:val="en-AU"/>
        </w:rPr>
        <w:t xml:space="preserve"> </w:t>
      </w:r>
      <w:r w:rsidR="00372B35" w:rsidRPr="004147E2">
        <w:rPr>
          <w:lang w:val="en-AU"/>
        </w:rPr>
        <w:t>and C.S</w:t>
      </w:r>
      <w:r w:rsidR="003A19F4" w:rsidRPr="004147E2">
        <w:rPr>
          <w:lang w:val="en-AU"/>
        </w:rPr>
        <w:t>.</w:t>
      </w:r>
      <w:r w:rsidRPr="004147E2">
        <w:rPr>
          <w:lang w:val="en-AU"/>
        </w:rPr>
        <w:t xml:space="preserve"> wrote the </w:t>
      </w:r>
      <w:r w:rsidR="00372B35" w:rsidRPr="004147E2">
        <w:rPr>
          <w:lang w:val="en-AU"/>
        </w:rPr>
        <w:t>manuscript</w:t>
      </w:r>
      <w:r w:rsidRPr="004147E2">
        <w:rPr>
          <w:lang w:val="en-AU"/>
        </w:rPr>
        <w:t>, and all authors edited and approved the final manuscript.</w:t>
      </w:r>
    </w:p>
    <w:p w14:paraId="5D1B036F" w14:textId="4D10A2E6" w:rsidR="005942C3" w:rsidRPr="004147E2" w:rsidRDefault="005942C3" w:rsidP="005942C3">
      <w:pPr>
        <w:pStyle w:val="Heading3"/>
        <w:shd w:val="clear" w:color="auto" w:fill="FFFFFF"/>
        <w:spacing w:before="0" w:line="360" w:lineRule="auto"/>
        <w:rPr>
          <w:b w:val="0"/>
          <w:bCs w:val="0"/>
          <w:sz w:val="24"/>
          <w:szCs w:val="24"/>
          <w:lang w:val="en-AU"/>
        </w:rPr>
      </w:pPr>
      <w:r w:rsidRPr="004147E2">
        <w:rPr>
          <w:sz w:val="24"/>
          <w:szCs w:val="24"/>
          <w:lang w:val="en-AU"/>
        </w:rPr>
        <w:t>Data accessibility</w:t>
      </w:r>
      <w:r w:rsidRPr="004147E2">
        <w:rPr>
          <w:b w:val="0"/>
          <w:bCs w:val="0"/>
          <w:sz w:val="24"/>
          <w:szCs w:val="24"/>
          <w:lang w:val="en-AU"/>
        </w:rPr>
        <w:t xml:space="preserve"> </w:t>
      </w:r>
    </w:p>
    <w:p w14:paraId="212CBAF0" w14:textId="06294C3D" w:rsidR="005942C3" w:rsidRPr="004147E2" w:rsidRDefault="005942C3" w:rsidP="005942C3">
      <w:pPr>
        <w:autoSpaceDE w:val="0"/>
        <w:autoSpaceDN w:val="0"/>
        <w:adjustRightInd w:val="0"/>
        <w:spacing w:line="360" w:lineRule="auto"/>
        <w:rPr>
          <w:lang w:val="en-AU"/>
        </w:rPr>
      </w:pPr>
      <w:r w:rsidRPr="004147E2">
        <w:rPr>
          <w:lang w:val="en-AU"/>
        </w:rPr>
        <w:t xml:space="preserve">RNA-seq raw sequences and the </w:t>
      </w:r>
      <w:r w:rsidRPr="004147E2">
        <w:rPr>
          <w:i/>
          <w:lang w:val="en-AU"/>
        </w:rPr>
        <w:t>de novo</w:t>
      </w:r>
      <w:r w:rsidRPr="004147E2">
        <w:rPr>
          <w:lang w:val="en-AU"/>
        </w:rPr>
        <w:t xml:space="preserve"> assembled transcriptome assemblies have been deposited in NCBI under </w:t>
      </w:r>
      <w:proofErr w:type="spellStart"/>
      <w:r w:rsidRPr="004147E2">
        <w:rPr>
          <w:lang w:val="en-AU"/>
        </w:rPr>
        <w:t>BioProject</w:t>
      </w:r>
      <w:proofErr w:type="spellEnd"/>
      <w:r w:rsidRPr="004147E2">
        <w:rPr>
          <w:lang w:val="en-AU"/>
        </w:rPr>
        <w:t xml:space="preserve"> </w:t>
      </w:r>
      <w:r w:rsidR="000B7710" w:rsidRPr="004147E2">
        <w:rPr>
          <w:shd w:val="clear" w:color="auto" w:fill="FFFFFF"/>
          <w:lang w:val="en-GB"/>
        </w:rPr>
        <w:t>PRJNA489934 and the sequences read archive (SRA) SRP160415.</w:t>
      </w:r>
    </w:p>
    <w:p w14:paraId="4E598009" w14:textId="77777777" w:rsidR="005942C3" w:rsidRPr="004147E2" w:rsidRDefault="005942C3" w:rsidP="00D57029">
      <w:pPr>
        <w:autoSpaceDE w:val="0"/>
        <w:autoSpaceDN w:val="0"/>
        <w:adjustRightInd w:val="0"/>
        <w:spacing w:line="360" w:lineRule="auto"/>
        <w:rPr>
          <w:b/>
          <w:lang w:val="en-AU"/>
        </w:rPr>
      </w:pPr>
    </w:p>
    <w:p w14:paraId="4C0C3A44" w14:textId="77777777" w:rsidR="005942C3" w:rsidRPr="004147E2" w:rsidRDefault="005942C3" w:rsidP="005942C3">
      <w:pPr>
        <w:pStyle w:val="Heading2"/>
        <w:shd w:val="clear" w:color="auto" w:fill="FFFFFF"/>
        <w:spacing w:before="0" w:line="360" w:lineRule="auto"/>
        <w:rPr>
          <w:rFonts w:ascii="Times New Roman" w:eastAsia="Times New Roman" w:hAnsi="Times New Roman" w:cs="Times New Roman"/>
          <w:b/>
          <w:bCs/>
          <w:color w:val="auto"/>
          <w:sz w:val="24"/>
          <w:szCs w:val="24"/>
          <w:lang w:val="en-AU"/>
        </w:rPr>
      </w:pPr>
      <w:r w:rsidRPr="004147E2">
        <w:rPr>
          <w:rFonts w:ascii="Times New Roman" w:eastAsia="Times New Roman" w:hAnsi="Times New Roman" w:cs="Times New Roman"/>
          <w:b/>
          <w:bCs/>
          <w:color w:val="auto"/>
          <w:sz w:val="24"/>
          <w:szCs w:val="24"/>
          <w:lang w:val="en-AU"/>
        </w:rPr>
        <w:t>Competing financial interests</w:t>
      </w:r>
    </w:p>
    <w:p w14:paraId="3C578BAB" w14:textId="3DFB04CF" w:rsidR="00614542" w:rsidRPr="004147E2" w:rsidRDefault="005942C3" w:rsidP="0073197D">
      <w:pPr>
        <w:pStyle w:val="conflict"/>
        <w:shd w:val="clear" w:color="auto" w:fill="FFFFFF"/>
        <w:spacing w:before="0" w:beforeAutospacing="0" w:after="300" w:afterAutospacing="0" w:line="360" w:lineRule="auto"/>
      </w:pPr>
      <w:r w:rsidRPr="004147E2">
        <w:rPr>
          <w:rFonts w:ascii="Times New Roman" w:hAnsi="Times New Roman" w:cs="Times New Roman"/>
          <w:sz w:val="24"/>
          <w:szCs w:val="24"/>
          <w:lang w:val="en-AU"/>
        </w:rPr>
        <w:t>The authors declare no competing interests.</w:t>
      </w:r>
    </w:p>
    <w:sectPr w:rsidR="00614542" w:rsidRPr="004147E2" w:rsidSect="0073197D">
      <w:footerReference w:type="even" r:id="rId13"/>
      <w:footerReference w:type="default" r:id="rId14"/>
      <w:pgSz w:w="11900" w:h="16840"/>
      <w:pgMar w:top="1440" w:right="1440" w:bottom="1440" w:left="1440" w:header="708" w:footer="708" w:gutter="0"/>
      <w:lnNumType w:countBy="1" w:restart="continuous"/>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3372B3" w14:textId="77777777" w:rsidR="00C1192F" w:rsidRDefault="00C1192F">
      <w:r>
        <w:separator/>
      </w:r>
    </w:p>
  </w:endnote>
  <w:endnote w:type="continuationSeparator" w:id="0">
    <w:p w14:paraId="0211AABD" w14:textId="77777777" w:rsidR="00C1192F" w:rsidRDefault="00C1192F">
      <w:r>
        <w:continuationSeparator/>
      </w:r>
    </w:p>
  </w:endnote>
  <w:endnote w:type="continuationNotice" w:id="1">
    <w:p w14:paraId="0F776151" w14:textId="77777777" w:rsidR="00C1192F" w:rsidRDefault="00C119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53671976"/>
      <w:docPartObj>
        <w:docPartGallery w:val="Page Numbers (Bottom of Page)"/>
        <w:docPartUnique/>
      </w:docPartObj>
    </w:sdtPr>
    <w:sdtEndPr>
      <w:rPr>
        <w:rStyle w:val="PageNumber"/>
      </w:rPr>
    </w:sdtEndPr>
    <w:sdtContent>
      <w:p w14:paraId="32746ABE" w14:textId="77777777" w:rsidR="00F93D1E" w:rsidRDefault="00F93D1E" w:rsidP="00321D5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72FBCF6" w14:textId="77777777" w:rsidR="00F93D1E" w:rsidRDefault="00F93D1E" w:rsidP="00321D5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16526521"/>
      <w:docPartObj>
        <w:docPartGallery w:val="Page Numbers (Bottom of Page)"/>
        <w:docPartUnique/>
      </w:docPartObj>
    </w:sdtPr>
    <w:sdtEndPr>
      <w:rPr>
        <w:rStyle w:val="PageNumber"/>
      </w:rPr>
    </w:sdtEndPr>
    <w:sdtContent>
      <w:p w14:paraId="32AEE446" w14:textId="7008A9A8" w:rsidR="00F93D1E" w:rsidRDefault="00F93D1E" w:rsidP="00321D5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31</w:t>
        </w:r>
        <w:r>
          <w:rPr>
            <w:rStyle w:val="PageNumber"/>
          </w:rPr>
          <w:fldChar w:fldCharType="end"/>
        </w:r>
      </w:p>
    </w:sdtContent>
  </w:sdt>
  <w:p w14:paraId="7A781B3B" w14:textId="77777777" w:rsidR="00F93D1E" w:rsidRDefault="00F93D1E" w:rsidP="00321D59">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362BC7" w14:textId="77777777" w:rsidR="00C1192F" w:rsidRDefault="00C1192F">
      <w:r>
        <w:separator/>
      </w:r>
    </w:p>
  </w:footnote>
  <w:footnote w:type="continuationSeparator" w:id="0">
    <w:p w14:paraId="1097C692" w14:textId="77777777" w:rsidR="00C1192F" w:rsidRDefault="00C1192F">
      <w:r>
        <w:continuationSeparator/>
      </w:r>
    </w:p>
  </w:footnote>
  <w:footnote w:type="continuationNotice" w:id="1">
    <w:p w14:paraId="66B3371D" w14:textId="77777777" w:rsidR="00C1192F" w:rsidRDefault="00C1192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C23787"/>
    <w:multiLevelType w:val="hybridMultilevel"/>
    <w:tmpl w:val="2D08DF6E"/>
    <w:lvl w:ilvl="0" w:tplc="0809000F">
      <w:start w:val="1"/>
      <w:numFmt w:val="decimal"/>
      <w:lvlText w:val="%1."/>
      <w:lvlJc w:val="left"/>
      <w:pPr>
        <w:ind w:left="644"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8F07FC5"/>
    <w:multiLevelType w:val="hybridMultilevel"/>
    <w:tmpl w:val="E052642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1DCA16DB"/>
    <w:multiLevelType w:val="hybridMultilevel"/>
    <w:tmpl w:val="F288FAB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30557AF9"/>
    <w:multiLevelType w:val="hybridMultilevel"/>
    <w:tmpl w:val="FF90F3FA"/>
    <w:lvl w:ilvl="0" w:tplc="3A7AA42E">
      <w:start w:val="1"/>
      <w:numFmt w:val="upperLetter"/>
      <w:lvlText w:val="%1."/>
      <w:lvlJc w:val="left"/>
      <w:pPr>
        <w:ind w:left="1080" w:hanging="360"/>
      </w:pPr>
      <w:rPr>
        <w:rFonts w:hint="default"/>
        <w:color w:val="auto"/>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 w15:restartNumberingAfterBreak="0">
    <w:nsid w:val="38EC7E3A"/>
    <w:multiLevelType w:val="hybridMultilevel"/>
    <w:tmpl w:val="2C8EB5FA"/>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4C772866"/>
    <w:multiLevelType w:val="multilevel"/>
    <w:tmpl w:val="F5F699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1DF1B78"/>
    <w:multiLevelType w:val="hybridMultilevel"/>
    <w:tmpl w:val="0F021DA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7B7E7557"/>
    <w:multiLevelType w:val="hybridMultilevel"/>
    <w:tmpl w:val="3EC43AA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8" w15:restartNumberingAfterBreak="0">
    <w:nsid w:val="7C257609"/>
    <w:multiLevelType w:val="hybridMultilevel"/>
    <w:tmpl w:val="0F8A9C9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cs="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cs="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cs="Wingdings" w:hint="default"/>
      </w:rPr>
    </w:lvl>
  </w:abstractNum>
  <w:abstractNum w:abstractNumId="9" w15:restartNumberingAfterBreak="0">
    <w:nsid w:val="7D6E4B06"/>
    <w:multiLevelType w:val="hybridMultilevel"/>
    <w:tmpl w:val="EEE0ADF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7D9C1F70"/>
    <w:multiLevelType w:val="hybridMultilevel"/>
    <w:tmpl w:val="B0BA49A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5"/>
  </w:num>
  <w:num w:numId="2">
    <w:abstractNumId w:val="8"/>
  </w:num>
  <w:num w:numId="3">
    <w:abstractNumId w:val="7"/>
  </w:num>
  <w:num w:numId="4">
    <w:abstractNumId w:val="2"/>
  </w:num>
  <w:num w:numId="5">
    <w:abstractNumId w:val="1"/>
  </w:num>
  <w:num w:numId="6">
    <w:abstractNumId w:val="3"/>
  </w:num>
  <w:num w:numId="7">
    <w:abstractNumId w:val="10"/>
  </w:num>
  <w:num w:numId="8">
    <w:abstractNumId w:val="0"/>
  </w:num>
  <w:num w:numId="9">
    <w:abstractNumId w:val="4"/>
  </w:num>
  <w:num w:numId="10">
    <w:abstractNumId w:val="9"/>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92590"/>
    <w:rsid w:val="00000E94"/>
    <w:rsid w:val="0000126B"/>
    <w:rsid w:val="000022C1"/>
    <w:rsid w:val="00002A8D"/>
    <w:rsid w:val="00003672"/>
    <w:rsid w:val="00003680"/>
    <w:rsid w:val="00003CE8"/>
    <w:rsid w:val="000046C9"/>
    <w:rsid w:val="00007AF2"/>
    <w:rsid w:val="000107D8"/>
    <w:rsid w:val="000108DA"/>
    <w:rsid w:val="00010AFA"/>
    <w:rsid w:val="00011344"/>
    <w:rsid w:val="0001199A"/>
    <w:rsid w:val="0001199F"/>
    <w:rsid w:val="0001338C"/>
    <w:rsid w:val="000136EB"/>
    <w:rsid w:val="000137E1"/>
    <w:rsid w:val="00015BA2"/>
    <w:rsid w:val="00016354"/>
    <w:rsid w:val="00016569"/>
    <w:rsid w:val="0001665D"/>
    <w:rsid w:val="00017119"/>
    <w:rsid w:val="000212D6"/>
    <w:rsid w:val="000217B6"/>
    <w:rsid w:val="000219D8"/>
    <w:rsid w:val="00021E1F"/>
    <w:rsid w:val="00022297"/>
    <w:rsid w:val="00022E0A"/>
    <w:rsid w:val="000239BE"/>
    <w:rsid w:val="0002436D"/>
    <w:rsid w:val="00024593"/>
    <w:rsid w:val="00024633"/>
    <w:rsid w:val="0002503E"/>
    <w:rsid w:val="00030844"/>
    <w:rsid w:val="00030D52"/>
    <w:rsid w:val="000316C6"/>
    <w:rsid w:val="000317CA"/>
    <w:rsid w:val="0003250A"/>
    <w:rsid w:val="00032624"/>
    <w:rsid w:val="00032630"/>
    <w:rsid w:val="000356A2"/>
    <w:rsid w:val="00035D37"/>
    <w:rsid w:val="00035EFA"/>
    <w:rsid w:val="00036107"/>
    <w:rsid w:val="00036C01"/>
    <w:rsid w:val="00037914"/>
    <w:rsid w:val="00037987"/>
    <w:rsid w:val="00037BC2"/>
    <w:rsid w:val="00037C62"/>
    <w:rsid w:val="00037EBA"/>
    <w:rsid w:val="000402A0"/>
    <w:rsid w:val="000413C8"/>
    <w:rsid w:val="00041C75"/>
    <w:rsid w:val="00041EAA"/>
    <w:rsid w:val="000420BC"/>
    <w:rsid w:val="000421BB"/>
    <w:rsid w:val="00042F55"/>
    <w:rsid w:val="00043637"/>
    <w:rsid w:val="000437E1"/>
    <w:rsid w:val="000442D9"/>
    <w:rsid w:val="000446DD"/>
    <w:rsid w:val="000448A5"/>
    <w:rsid w:val="00045282"/>
    <w:rsid w:val="000458F9"/>
    <w:rsid w:val="0004785E"/>
    <w:rsid w:val="00047E90"/>
    <w:rsid w:val="00050530"/>
    <w:rsid w:val="00050610"/>
    <w:rsid w:val="00050951"/>
    <w:rsid w:val="00050A99"/>
    <w:rsid w:val="00050BD7"/>
    <w:rsid w:val="00050D2E"/>
    <w:rsid w:val="000514FB"/>
    <w:rsid w:val="0005168D"/>
    <w:rsid w:val="00052246"/>
    <w:rsid w:val="00052894"/>
    <w:rsid w:val="00052DD6"/>
    <w:rsid w:val="00052FEE"/>
    <w:rsid w:val="00054041"/>
    <w:rsid w:val="0005471F"/>
    <w:rsid w:val="000551B1"/>
    <w:rsid w:val="000552CE"/>
    <w:rsid w:val="000553F1"/>
    <w:rsid w:val="00055907"/>
    <w:rsid w:val="00055FA8"/>
    <w:rsid w:val="00057054"/>
    <w:rsid w:val="00057EF2"/>
    <w:rsid w:val="0006090D"/>
    <w:rsid w:val="00061CB3"/>
    <w:rsid w:val="0006333E"/>
    <w:rsid w:val="0006577E"/>
    <w:rsid w:val="00065EE8"/>
    <w:rsid w:val="00067F19"/>
    <w:rsid w:val="00070547"/>
    <w:rsid w:val="00070B61"/>
    <w:rsid w:val="00072487"/>
    <w:rsid w:val="000724CA"/>
    <w:rsid w:val="000746B5"/>
    <w:rsid w:val="00075167"/>
    <w:rsid w:val="00075317"/>
    <w:rsid w:val="0007538C"/>
    <w:rsid w:val="000755D7"/>
    <w:rsid w:val="000758AA"/>
    <w:rsid w:val="00075D27"/>
    <w:rsid w:val="00076B1F"/>
    <w:rsid w:val="00077E31"/>
    <w:rsid w:val="00080659"/>
    <w:rsid w:val="00080D43"/>
    <w:rsid w:val="00081471"/>
    <w:rsid w:val="00081B57"/>
    <w:rsid w:val="00081B74"/>
    <w:rsid w:val="000822F0"/>
    <w:rsid w:val="000823A0"/>
    <w:rsid w:val="00083E58"/>
    <w:rsid w:val="000870EE"/>
    <w:rsid w:val="000900D7"/>
    <w:rsid w:val="0009098E"/>
    <w:rsid w:val="000914C6"/>
    <w:rsid w:val="00092034"/>
    <w:rsid w:val="000924A3"/>
    <w:rsid w:val="0009289D"/>
    <w:rsid w:val="00093C02"/>
    <w:rsid w:val="00094263"/>
    <w:rsid w:val="00094656"/>
    <w:rsid w:val="00094905"/>
    <w:rsid w:val="00095569"/>
    <w:rsid w:val="00095CDA"/>
    <w:rsid w:val="00095FB6"/>
    <w:rsid w:val="0009722B"/>
    <w:rsid w:val="00097F23"/>
    <w:rsid w:val="000A01EC"/>
    <w:rsid w:val="000A0691"/>
    <w:rsid w:val="000A0C1D"/>
    <w:rsid w:val="000A0DB6"/>
    <w:rsid w:val="000A1D84"/>
    <w:rsid w:val="000A28BE"/>
    <w:rsid w:val="000A28FD"/>
    <w:rsid w:val="000A2F79"/>
    <w:rsid w:val="000A31F4"/>
    <w:rsid w:val="000A4BB3"/>
    <w:rsid w:val="000A5E32"/>
    <w:rsid w:val="000A63F9"/>
    <w:rsid w:val="000A6A4F"/>
    <w:rsid w:val="000A6B29"/>
    <w:rsid w:val="000A6D96"/>
    <w:rsid w:val="000A74AE"/>
    <w:rsid w:val="000A75C7"/>
    <w:rsid w:val="000B0733"/>
    <w:rsid w:val="000B08B1"/>
    <w:rsid w:val="000B0B82"/>
    <w:rsid w:val="000B1462"/>
    <w:rsid w:val="000B242A"/>
    <w:rsid w:val="000B2803"/>
    <w:rsid w:val="000B28DB"/>
    <w:rsid w:val="000B2CF9"/>
    <w:rsid w:val="000B3406"/>
    <w:rsid w:val="000B3D80"/>
    <w:rsid w:val="000B4613"/>
    <w:rsid w:val="000B486C"/>
    <w:rsid w:val="000B63D5"/>
    <w:rsid w:val="000B646A"/>
    <w:rsid w:val="000B7710"/>
    <w:rsid w:val="000C1B79"/>
    <w:rsid w:val="000C27AA"/>
    <w:rsid w:val="000C284E"/>
    <w:rsid w:val="000C28AF"/>
    <w:rsid w:val="000C2B8B"/>
    <w:rsid w:val="000C30FB"/>
    <w:rsid w:val="000C3C14"/>
    <w:rsid w:val="000C41DC"/>
    <w:rsid w:val="000C42C2"/>
    <w:rsid w:val="000C44E7"/>
    <w:rsid w:val="000C4652"/>
    <w:rsid w:val="000C5A4F"/>
    <w:rsid w:val="000C5BA5"/>
    <w:rsid w:val="000C69E1"/>
    <w:rsid w:val="000C706D"/>
    <w:rsid w:val="000C72D1"/>
    <w:rsid w:val="000C79A8"/>
    <w:rsid w:val="000D07F4"/>
    <w:rsid w:val="000D16B9"/>
    <w:rsid w:val="000D190A"/>
    <w:rsid w:val="000D2105"/>
    <w:rsid w:val="000D3AD7"/>
    <w:rsid w:val="000D4BE3"/>
    <w:rsid w:val="000D4DA0"/>
    <w:rsid w:val="000D4FF1"/>
    <w:rsid w:val="000D536C"/>
    <w:rsid w:val="000D5BDC"/>
    <w:rsid w:val="000D65DC"/>
    <w:rsid w:val="000D6ADB"/>
    <w:rsid w:val="000D6B64"/>
    <w:rsid w:val="000D730F"/>
    <w:rsid w:val="000D767E"/>
    <w:rsid w:val="000D7F6A"/>
    <w:rsid w:val="000E0C7E"/>
    <w:rsid w:val="000E11A8"/>
    <w:rsid w:val="000E1CCE"/>
    <w:rsid w:val="000E21E2"/>
    <w:rsid w:val="000E27E9"/>
    <w:rsid w:val="000E28A2"/>
    <w:rsid w:val="000E3180"/>
    <w:rsid w:val="000E3B63"/>
    <w:rsid w:val="000E3F73"/>
    <w:rsid w:val="000E3FDA"/>
    <w:rsid w:val="000E4A9C"/>
    <w:rsid w:val="000E5862"/>
    <w:rsid w:val="000E601F"/>
    <w:rsid w:val="000E6E6D"/>
    <w:rsid w:val="000E75DD"/>
    <w:rsid w:val="000F0204"/>
    <w:rsid w:val="000F0225"/>
    <w:rsid w:val="000F0869"/>
    <w:rsid w:val="000F22AF"/>
    <w:rsid w:val="000F22F1"/>
    <w:rsid w:val="000F3276"/>
    <w:rsid w:val="000F3D50"/>
    <w:rsid w:val="000F469B"/>
    <w:rsid w:val="000F721F"/>
    <w:rsid w:val="000F7280"/>
    <w:rsid w:val="000F779C"/>
    <w:rsid w:val="001008B1"/>
    <w:rsid w:val="00101583"/>
    <w:rsid w:val="00103332"/>
    <w:rsid w:val="001034AF"/>
    <w:rsid w:val="00103B36"/>
    <w:rsid w:val="00103C8D"/>
    <w:rsid w:val="0010479D"/>
    <w:rsid w:val="001049B7"/>
    <w:rsid w:val="001054C5"/>
    <w:rsid w:val="00105A00"/>
    <w:rsid w:val="00105DA8"/>
    <w:rsid w:val="00106029"/>
    <w:rsid w:val="00106FD6"/>
    <w:rsid w:val="00107036"/>
    <w:rsid w:val="00110297"/>
    <w:rsid w:val="001105AD"/>
    <w:rsid w:val="00110630"/>
    <w:rsid w:val="00111566"/>
    <w:rsid w:val="00112C40"/>
    <w:rsid w:val="00113666"/>
    <w:rsid w:val="00113969"/>
    <w:rsid w:val="001142D5"/>
    <w:rsid w:val="00115698"/>
    <w:rsid w:val="001158CE"/>
    <w:rsid w:val="00115DFD"/>
    <w:rsid w:val="001166C1"/>
    <w:rsid w:val="00116DDC"/>
    <w:rsid w:val="001173B3"/>
    <w:rsid w:val="00117A1F"/>
    <w:rsid w:val="001200FC"/>
    <w:rsid w:val="001205F2"/>
    <w:rsid w:val="00120A4E"/>
    <w:rsid w:val="00122510"/>
    <w:rsid w:val="0012360E"/>
    <w:rsid w:val="0012447A"/>
    <w:rsid w:val="0012581F"/>
    <w:rsid w:val="00125B02"/>
    <w:rsid w:val="00125C10"/>
    <w:rsid w:val="00125DD5"/>
    <w:rsid w:val="001263A0"/>
    <w:rsid w:val="001263E3"/>
    <w:rsid w:val="0012772E"/>
    <w:rsid w:val="00127A78"/>
    <w:rsid w:val="0013057E"/>
    <w:rsid w:val="00130857"/>
    <w:rsid w:val="00130BFA"/>
    <w:rsid w:val="00132B54"/>
    <w:rsid w:val="001335FE"/>
    <w:rsid w:val="0013366F"/>
    <w:rsid w:val="00133FD7"/>
    <w:rsid w:val="00134955"/>
    <w:rsid w:val="00134A4F"/>
    <w:rsid w:val="0013554C"/>
    <w:rsid w:val="00135652"/>
    <w:rsid w:val="00136735"/>
    <w:rsid w:val="00137513"/>
    <w:rsid w:val="0014084A"/>
    <w:rsid w:val="001409FC"/>
    <w:rsid w:val="00140C9F"/>
    <w:rsid w:val="00142CA8"/>
    <w:rsid w:val="001436A2"/>
    <w:rsid w:val="00143A34"/>
    <w:rsid w:val="00143C6B"/>
    <w:rsid w:val="001448E6"/>
    <w:rsid w:val="00145C35"/>
    <w:rsid w:val="00145CE7"/>
    <w:rsid w:val="001461F5"/>
    <w:rsid w:val="00146871"/>
    <w:rsid w:val="001470B1"/>
    <w:rsid w:val="0015032C"/>
    <w:rsid w:val="001505F4"/>
    <w:rsid w:val="00151BF7"/>
    <w:rsid w:val="00151C5C"/>
    <w:rsid w:val="00151CE8"/>
    <w:rsid w:val="001520F4"/>
    <w:rsid w:val="00152913"/>
    <w:rsid w:val="0015293D"/>
    <w:rsid w:val="00152CD8"/>
    <w:rsid w:val="0015349C"/>
    <w:rsid w:val="00154C0E"/>
    <w:rsid w:val="00155255"/>
    <w:rsid w:val="00156C93"/>
    <w:rsid w:val="00156FC8"/>
    <w:rsid w:val="00160815"/>
    <w:rsid w:val="00160D8A"/>
    <w:rsid w:val="00161C03"/>
    <w:rsid w:val="00162973"/>
    <w:rsid w:val="00163A7E"/>
    <w:rsid w:val="00163DB8"/>
    <w:rsid w:val="00163F07"/>
    <w:rsid w:val="00164739"/>
    <w:rsid w:val="00164DD7"/>
    <w:rsid w:val="0016635F"/>
    <w:rsid w:val="00166BC9"/>
    <w:rsid w:val="00166C2A"/>
    <w:rsid w:val="00166EFE"/>
    <w:rsid w:val="00170619"/>
    <w:rsid w:val="00171470"/>
    <w:rsid w:val="00172779"/>
    <w:rsid w:val="00173521"/>
    <w:rsid w:val="0017379B"/>
    <w:rsid w:val="001742C6"/>
    <w:rsid w:val="0017488A"/>
    <w:rsid w:val="0017551A"/>
    <w:rsid w:val="00176404"/>
    <w:rsid w:val="0018064F"/>
    <w:rsid w:val="0018186D"/>
    <w:rsid w:val="0018391B"/>
    <w:rsid w:val="00184FC0"/>
    <w:rsid w:val="001850F1"/>
    <w:rsid w:val="001857D3"/>
    <w:rsid w:val="00185A42"/>
    <w:rsid w:val="00185ACD"/>
    <w:rsid w:val="00185D43"/>
    <w:rsid w:val="00186018"/>
    <w:rsid w:val="00186961"/>
    <w:rsid w:val="0018791D"/>
    <w:rsid w:val="0019005A"/>
    <w:rsid w:val="00191281"/>
    <w:rsid w:val="001913C7"/>
    <w:rsid w:val="001922FA"/>
    <w:rsid w:val="001927F9"/>
    <w:rsid w:val="001929EB"/>
    <w:rsid w:val="00192AD5"/>
    <w:rsid w:val="00192D67"/>
    <w:rsid w:val="0019301B"/>
    <w:rsid w:val="00193268"/>
    <w:rsid w:val="0019340E"/>
    <w:rsid w:val="00193F81"/>
    <w:rsid w:val="00193FA0"/>
    <w:rsid w:val="00194260"/>
    <w:rsid w:val="001942A2"/>
    <w:rsid w:val="00194A1F"/>
    <w:rsid w:val="00194C76"/>
    <w:rsid w:val="00194D72"/>
    <w:rsid w:val="00194FEA"/>
    <w:rsid w:val="00195C8A"/>
    <w:rsid w:val="00196D31"/>
    <w:rsid w:val="001974BE"/>
    <w:rsid w:val="001977D3"/>
    <w:rsid w:val="00197C86"/>
    <w:rsid w:val="001A0E72"/>
    <w:rsid w:val="001A13BD"/>
    <w:rsid w:val="001A22EB"/>
    <w:rsid w:val="001A2C0C"/>
    <w:rsid w:val="001A3193"/>
    <w:rsid w:val="001A37C9"/>
    <w:rsid w:val="001A5159"/>
    <w:rsid w:val="001A6372"/>
    <w:rsid w:val="001A6467"/>
    <w:rsid w:val="001A6EBF"/>
    <w:rsid w:val="001B05C4"/>
    <w:rsid w:val="001B0F58"/>
    <w:rsid w:val="001B1500"/>
    <w:rsid w:val="001B1F6B"/>
    <w:rsid w:val="001B3B9F"/>
    <w:rsid w:val="001B4B22"/>
    <w:rsid w:val="001B4B43"/>
    <w:rsid w:val="001B69B8"/>
    <w:rsid w:val="001C036E"/>
    <w:rsid w:val="001C0680"/>
    <w:rsid w:val="001C25EB"/>
    <w:rsid w:val="001C2B3F"/>
    <w:rsid w:val="001C2F59"/>
    <w:rsid w:val="001C365E"/>
    <w:rsid w:val="001C376B"/>
    <w:rsid w:val="001C3BD7"/>
    <w:rsid w:val="001C4BD9"/>
    <w:rsid w:val="001C5011"/>
    <w:rsid w:val="001C516B"/>
    <w:rsid w:val="001C52E2"/>
    <w:rsid w:val="001C6564"/>
    <w:rsid w:val="001C6BC3"/>
    <w:rsid w:val="001C6E93"/>
    <w:rsid w:val="001C7363"/>
    <w:rsid w:val="001C7FC0"/>
    <w:rsid w:val="001D00E6"/>
    <w:rsid w:val="001D00EC"/>
    <w:rsid w:val="001D0AA3"/>
    <w:rsid w:val="001D0D7B"/>
    <w:rsid w:val="001D137E"/>
    <w:rsid w:val="001D16CC"/>
    <w:rsid w:val="001D2A5C"/>
    <w:rsid w:val="001D31E6"/>
    <w:rsid w:val="001D35EE"/>
    <w:rsid w:val="001D48BD"/>
    <w:rsid w:val="001D4ECC"/>
    <w:rsid w:val="001D5670"/>
    <w:rsid w:val="001D6609"/>
    <w:rsid w:val="001D6A25"/>
    <w:rsid w:val="001D6FD1"/>
    <w:rsid w:val="001D7D15"/>
    <w:rsid w:val="001E10CB"/>
    <w:rsid w:val="001E16A2"/>
    <w:rsid w:val="001E1BA7"/>
    <w:rsid w:val="001E2A2A"/>
    <w:rsid w:val="001E2A3F"/>
    <w:rsid w:val="001E50C3"/>
    <w:rsid w:val="001E6C10"/>
    <w:rsid w:val="001E6E53"/>
    <w:rsid w:val="001F2351"/>
    <w:rsid w:val="001F2365"/>
    <w:rsid w:val="001F274B"/>
    <w:rsid w:val="001F3876"/>
    <w:rsid w:val="001F4E4A"/>
    <w:rsid w:val="001F5073"/>
    <w:rsid w:val="001F545D"/>
    <w:rsid w:val="001F55B3"/>
    <w:rsid w:val="001F5D21"/>
    <w:rsid w:val="001F6B98"/>
    <w:rsid w:val="002001E0"/>
    <w:rsid w:val="002005C3"/>
    <w:rsid w:val="0020082E"/>
    <w:rsid w:val="00200C07"/>
    <w:rsid w:val="0020102F"/>
    <w:rsid w:val="002011FF"/>
    <w:rsid w:val="00201420"/>
    <w:rsid w:val="00205C0A"/>
    <w:rsid w:val="00206084"/>
    <w:rsid w:val="00206721"/>
    <w:rsid w:val="00207EDE"/>
    <w:rsid w:val="002105D7"/>
    <w:rsid w:val="002110FC"/>
    <w:rsid w:val="00211C3A"/>
    <w:rsid w:val="002125D9"/>
    <w:rsid w:val="0021280F"/>
    <w:rsid w:val="00212E17"/>
    <w:rsid w:val="00213197"/>
    <w:rsid w:val="002131FD"/>
    <w:rsid w:val="00213EFF"/>
    <w:rsid w:val="00214AEF"/>
    <w:rsid w:val="00215402"/>
    <w:rsid w:val="00215745"/>
    <w:rsid w:val="002160B5"/>
    <w:rsid w:val="00216B1B"/>
    <w:rsid w:val="00216D3A"/>
    <w:rsid w:val="0022065E"/>
    <w:rsid w:val="00220CC6"/>
    <w:rsid w:val="00221268"/>
    <w:rsid w:val="002215F6"/>
    <w:rsid w:val="00221AA0"/>
    <w:rsid w:val="00221DA5"/>
    <w:rsid w:val="00221F07"/>
    <w:rsid w:val="00224181"/>
    <w:rsid w:val="00224A6B"/>
    <w:rsid w:val="00224AA5"/>
    <w:rsid w:val="00224D86"/>
    <w:rsid w:val="00224E19"/>
    <w:rsid w:val="002258A3"/>
    <w:rsid w:val="00225FB2"/>
    <w:rsid w:val="0022609D"/>
    <w:rsid w:val="00226173"/>
    <w:rsid w:val="00226CF3"/>
    <w:rsid w:val="00227EF8"/>
    <w:rsid w:val="00231459"/>
    <w:rsid w:val="00231684"/>
    <w:rsid w:val="00231687"/>
    <w:rsid w:val="002321B3"/>
    <w:rsid w:val="0023269B"/>
    <w:rsid w:val="002335FA"/>
    <w:rsid w:val="002339ED"/>
    <w:rsid w:val="00233B73"/>
    <w:rsid w:val="00233FFA"/>
    <w:rsid w:val="0023475D"/>
    <w:rsid w:val="00235292"/>
    <w:rsid w:val="00235C29"/>
    <w:rsid w:val="00236C7C"/>
    <w:rsid w:val="00236D4C"/>
    <w:rsid w:val="00236EA3"/>
    <w:rsid w:val="002374BF"/>
    <w:rsid w:val="0023775F"/>
    <w:rsid w:val="00237DDA"/>
    <w:rsid w:val="00240D7B"/>
    <w:rsid w:val="00240E5A"/>
    <w:rsid w:val="00241536"/>
    <w:rsid w:val="002422A2"/>
    <w:rsid w:val="0024279C"/>
    <w:rsid w:val="002427DA"/>
    <w:rsid w:val="00242C91"/>
    <w:rsid w:val="0024385B"/>
    <w:rsid w:val="00245A16"/>
    <w:rsid w:val="00245AB1"/>
    <w:rsid w:val="00246018"/>
    <w:rsid w:val="002462B0"/>
    <w:rsid w:val="002463E5"/>
    <w:rsid w:val="00246ADD"/>
    <w:rsid w:val="00247AA7"/>
    <w:rsid w:val="00247AE1"/>
    <w:rsid w:val="0025241A"/>
    <w:rsid w:val="0025256F"/>
    <w:rsid w:val="002529CE"/>
    <w:rsid w:val="00252C94"/>
    <w:rsid w:val="00253D7B"/>
    <w:rsid w:val="00253ED2"/>
    <w:rsid w:val="0025400E"/>
    <w:rsid w:val="00254A36"/>
    <w:rsid w:val="002559D0"/>
    <w:rsid w:val="00256437"/>
    <w:rsid w:val="00257D3F"/>
    <w:rsid w:val="00257D9D"/>
    <w:rsid w:val="00257DDD"/>
    <w:rsid w:val="002609BE"/>
    <w:rsid w:val="00260A4C"/>
    <w:rsid w:val="002613EF"/>
    <w:rsid w:val="00261794"/>
    <w:rsid w:val="002621E6"/>
    <w:rsid w:val="00264087"/>
    <w:rsid w:val="002653EE"/>
    <w:rsid w:val="002666F7"/>
    <w:rsid w:val="002667DF"/>
    <w:rsid w:val="002668C3"/>
    <w:rsid w:val="0026767B"/>
    <w:rsid w:val="002718A9"/>
    <w:rsid w:val="00271F19"/>
    <w:rsid w:val="002720F7"/>
    <w:rsid w:val="00272CA8"/>
    <w:rsid w:val="00272DB2"/>
    <w:rsid w:val="00273753"/>
    <w:rsid w:val="00274019"/>
    <w:rsid w:val="00274DEA"/>
    <w:rsid w:val="0027535E"/>
    <w:rsid w:val="00275E01"/>
    <w:rsid w:val="00276548"/>
    <w:rsid w:val="002819DC"/>
    <w:rsid w:val="00281F7F"/>
    <w:rsid w:val="002821AF"/>
    <w:rsid w:val="00282439"/>
    <w:rsid w:val="00282C7B"/>
    <w:rsid w:val="002846C5"/>
    <w:rsid w:val="00284CD7"/>
    <w:rsid w:val="00284F87"/>
    <w:rsid w:val="00285302"/>
    <w:rsid w:val="00285476"/>
    <w:rsid w:val="002865F7"/>
    <w:rsid w:val="0028792A"/>
    <w:rsid w:val="00290C9D"/>
    <w:rsid w:val="00290EFB"/>
    <w:rsid w:val="00291B55"/>
    <w:rsid w:val="00291B99"/>
    <w:rsid w:val="00292520"/>
    <w:rsid w:val="00293058"/>
    <w:rsid w:val="00293AC1"/>
    <w:rsid w:val="0029553E"/>
    <w:rsid w:val="002955D3"/>
    <w:rsid w:val="00295ABA"/>
    <w:rsid w:val="0029644C"/>
    <w:rsid w:val="00296778"/>
    <w:rsid w:val="00297177"/>
    <w:rsid w:val="002974B8"/>
    <w:rsid w:val="00297984"/>
    <w:rsid w:val="002A0168"/>
    <w:rsid w:val="002A0C8C"/>
    <w:rsid w:val="002A17E1"/>
    <w:rsid w:val="002A1CFD"/>
    <w:rsid w:val="002A2DB9"/>
    <w:rsid w:val="002A2DC0"/>
    <w:rsid w:val="002A2FC1"/>
    <w:rsid w:val="002A354C"/>
    <w:rsid w:val="002A4685"/>
    <w:rsid w:val="002A51C5"/>
    <w:rsid w:val="002A56CB"/>
    <w:rsid w:val="002A5C59"/>
    <w:rsid w:val="002A62ED"/>
    <w:rsid w:val="002A6C0C"/>
    <w:rsid w:val="002A7904"/>
    <w:rsid w:val="002B05FB"/>
    <w:rsid w:val="002B0E0B"/>
    <w:rsid w:val="002B1B3F"/>
    <w:rsid w:val="002B1C57"/>
    <w:rsid w:val="002B1C76"/>
    <w:rsid w:val="002B216A"/>
    <w:rsid w:val="002B296E"/>
    <w:rsid w:val="002B2B48"/>
    <w:rsid w:val="002B2D96"/>
    <w:rsid w:val="002B320C"/>
    <w:rsid w:val="002B3623"/>
    <w:rsid w:val="002B3799"/>
    <w:rsid w:val="002B3B3A"/>
    <w:rsid w:val="002B4ED0"/>
    <w:rsid w:val="002B4F47"/>
    <w:rsid w:val="002B648E"/>
    <w:rsid w:val="002B71D7"/>
    <w:rsid w:val="002B76B9"/>
    <w:rsid w:val="002C1469"/>
    <w:rsid w:val="002C286C"/>
    <w:rsid w:val="002C2CAD"/>
    <w:rsid w:val="002C2EEE"/>
    <w:rsid w:val="002C47CE"/>
    <w:rsid w:val="002C5C70"/>
    <w:rsid w:val="002C64B9"/>
    <w:rsid w:val="002C656C"/>
    <w:rsid w:val="002C6813"/>
    <w:rsid w:val="002C6AAA"/>
    <w:rsid w:val="002D00BC"/>
    <w:rsid w:val="002D00E0"/>
    <w:rsid w:val="002D051B"/>
    <w:rsid w:val="002D10A5"/>
    <w:rsid w:val="002D25F7"/>
    <w:rsid w:val="002D26DF"/>
    <w:rsid w:val="002D2E15"/>
    <w:rsid w:val="002D3930"/>
    <w:rsid w:val="002D3CC9"/>
    <w:rsid w:val="002D7881"/>
    <w:rsid w:val="002D7CA5"/>
    <w:rsid w:val="002E0461"/>
    <w:rsid w:val="002E0AA7"/>
    <w:rsid w:val="002E10DE"/>
    <w:rsid w:val="002E174C"/>
    <w:rsid w:val="002E1836"/>
    <w:rsid w:val="002E1B04"/>
    <w:rsid w:val="002E2333"/>
    <w:rsid w:val="002E2F90"/>
    <w:rsid w:val="002E3623"/>
    <w:rsid w:val="002E3C72"/>
    <w:rsid w:val="002E40DF"/>
    <w:rsid w:val="002E4695"/>
    <w:rsid w:val="002E4C6A"/>
    <w:rsid w:val="002E63D4"/>
    <w:rsid w:val="002F0F27"/>
    <w:rsid w:val="002F17CE"/>
    <w:rsid w:val="002F1AB0"/>
    <w:rsid w:val="002F1E46"/>
    <w:rsid w:val="002F330C"/>
    <w:rsid w:val="002F3394"/>
    <w:rsid w:val="002F3443"/>
    <w:rsid w:val="002F37A2"/>
    <w:rsid w:val="002F3A50"/>
    <w:rsid w:val="002F504E"/>
    <w:rsid w:val="002F5339"/>
    <w:rsid w:val="002F5921"/>
    <w:rsid w:val="002F707B"/>
    <w:rsid w:val="002F7B6D"/>
    <w:rsid w:val="003005B5"/>
    <w:rsid w:val="003006CF"/>
    <w:rsid w:val="00301085"/>
    <w:rsid w:val="00301522"/>
    <w:rsid w:val="00301FAF"/>
    <w:rsid w:val="00302130"/>
    <w:rsid w:val="00302F17"/>
    <w:rsid w:val="00303681"/>
    <w:rsid w:val="00303770"/>
    <w:rsid w:val="003047AE"/>
    <w:rsid w:val="00305150"/>
    <w:rsid w:val="00305214"/>
    <w:rsid w:val="00305670"/>
    <w:rsid w:val="0030581A"/>
    <w:rsid w:val="00305910"/>
    <w:rsid w:val="00305B81"/>
    <w:rsid w:val="00305D44"/>
    <w:rsid w:val="00306BDF"/>
    <w:rsid w:val="00306FF0"/>
    <w:rsid w:val="00307079"/>
    <w:rsid w:val="00307DAA"/>
    <w:rsid w:val="00310107"/>
    <w:rsid w:val="00310F40"/>
    <w:rsid w:val="00310F67"/>
    <w:rsid w:val="003112C3"/>
    <w:rsid w:val="003113F0"/>
    <w:rsid w:val="003122A2"/>
    <w:rsid w:val="00312D52"/>
    <w:rsid w:val="003130B1"/>
    <w:rsid w:val="00313D91"/>
    <w:rsid w:val="00314396"/>
    <w:rsid w:val="003143F1"/>
    <w:rsid w:val="0031466B"/>
    <w:rsid w:val="0031499D"/>
    <w:rsid w:val="00314AD9"/>
    <w:rsid w:val="00315EF1"/>
    <w:rsid w:val="00316713"/>
    <w:rsid w:val="00317064"/>
    <w:rsid w:val="00317291"/>
    <w:rsid w:val="003201D9"/>
    <w:rsid w:val="00320BA2"/>
    <w:rsid w:val="00320FFD"/>
    <w:rsid w:val="0032126A"/>
    <w:rsid w:val="003213C0"/>
    <w:rsid w:val="003217C5"/>
    <w:rsid w:val="00321D59"/>
    <w:rsid w:val="00321E3F"/>
    <w:rsid w:val="00322233"/>
    <w:rsid w:val="00322565"/>
    <w:rsid w:val="00323353"/>
    <w:rsid w:val="00323B0D"/>
    <w:rsid w:val="00323BAB"/>
    <w:rsid w:val="00325861"/>
    <w:rsid w:val="003258CB"/>
    <w:rsid w:val="00325D19"/>
    <w:rsid w:val="00325F79"/>
    <w:rsid w:val="003268AE"/>
    <w:rsid w:val="00326D44"/>
    <w:rsid w:val="003277F2"/>
    <w:rsid w:val="003306F7"/>
    <w:rsid w:val="00331754"/>
    <w:rsid w:val="00331A50"/>
    <w:rsid w:val="00331CF7"/>
    <w:rsid w:val="00332642"/>
    <w:rsid w:val="003335FC"/>
    <w:rsid w:val="0033445C"/>
    <w:rsid w:val="00334889"/>
    <w:rsid w:val="00335947"/>
    <w:rsid w:val="00335EC6"/>
    <w:rsid w:val="00335F32"/>
    <w:rsid w:val="003369B5"/>
    <w:rsid w:val="0034064D"/>
    <w:rsid w:val="0034075A"/>
    <w:rsid w:val="00340EFA"/>
    <w:rsid w:val="00342D1F"/>
    <w:rsid w:val="00343196"/>
    <w:rsid w:val="00343774"/>
    <w:rsid w:val="003437F7"/>
    <w:rsid w:val="003439BE"/>
    <w:rsid w:val="00343E5B"/>
    <w:rsid w:val="003459F2"/>
    <w:rsid w:val="00346034"/>
    <w:rsid w:val="00346350"/>
    <w:rsid w:val="00346440"/>
    <w:rsid w:val="00347C75"/>
    <w:rsid w:val="003500D4"/>
    <w:rsid w:val="00350600"/>
    <w:rsid w:val="0035192B"/>
    <w:rsid w:val="00351F85"/>
    <w:rsid w:val="00351FF8"/>
    <w:rsid w:val="003529F3"/>
    <w:rsid w:val="003538CE"/>
    <w:rsid w:val="00353BE9"/>
    <w:rsid w:val="003540C9"/>
    <w:rsid w:val="00355070"/>
    <w:rsid w:val="003553FB"/>
    <w:rsid w:val="00355F84"/>
    <w:rsid w:val="003561D5"/>
    <w:rsid w:val="0035663F"/>
    <w:rsid w:val="0035710E"/>
    <w:rsid w:val="0035742B"/>
    <w:rsid w:val="00357E01"/>
    <w:rsid w:val="00360265"/>
    <w:rsid w:val="0036266B"/>
    <w:rsid w:val="00364B42"/>
    <w:rsid w:val="0036574C"/>
    <w:rsid w:val="0036601C"/>
    <w:rsid w:val="0036614A"/>
    <w:rsid w:val="00367DC2"/>
    <w:rsid w:val="00370786"/>
    <w:rsid w:val="00371255"/>
    <w:rsid w:val="003716B5"/>
    <w:rsid w:val="003716D8"/>
    <w:rsid w:val="0037179A"/>
    <w:rsid w:val="00371FA7"/>
    <w:rsid w:val="00372B35"/>
    <w:rsid w:val="003735F0"/>
    <w:rsid w:val="0037370C"/>
    <w:rsid w:val="00373720"/>
    <w:rsid w:val="00373BB2"/>
    <w:rsid w:val="003740C2"/>
    <w:rsid w:val="00374BC6"/>
    <w:rsid w:val="00374F9B"/>
    <w:rsid w:val="003763B2"/>
    <w:rsid w:val="00377BC3"/>
    <w:rsid w:val="00380713"/>
    <w:rsid w:val="00380CE0"/>
    <w:rsid w:val="00380D09"/>
    <w:rsid w:val="00381106"/>
    <w:rsid w:val="00381AA6"/>
    <w:rsid w:val="00381AB0"/>
    <w:rsid w:val="00381C8E"/>
    <w:rsid w:val="0038236B"/>
    <w:rsid w:val="00382D32"/>
    <w:rsid w:val="003830DA"/>
    <w:rsid w:val="003835D4"/>
    <w:rsid w:val="0038370C"/>
    <w:rsid w:val="00383D73"/>
    <w:rsid w:val="003846E4"/>
    <w:rsid w:val="00384710"/>
    <w:rsid w:val="0038472B"/>
    <w:rsid w:val="003847E1"/>
    <w:rsid w:val="0038591A"/>
    <w:rsid w:val="0038606E"/>
    <w:rsid w:val="0038652D"/>
    <w:rsid w:val="00386CD5"/>
    <w:rsid w:val="00387075"/>
    <w:rsid w:val="00387229"/>
    <w:rsid w:val="00387880"/>
    <w:rsid w:val="00387B90"/>
    <w:rsid w:val="003905F7"/>
    <w:rsid w:val="00390826"/>
    <w:rsid w:val="003939D9"/>
    <w:rsid w:val="0039400D"/>
    <w:rsid w:val="00395995"/>
    <w:rsid w:val="00395A81"/>
    <w:rsid w:val="003966AA"/>
    <w:rsid w:val="003A0280"/>
    <w:rsid w:val="003A0301"/>
    <w:rsid w:val="003A0D9B"/>
    <w:rsid w:val="003A1910"/>
    <w:rsid w:val="003A19F4"/>
    <w:rsid w:val="003A20F7"/>
    <w:rsid w:val="003A3746"/>
    <w:rsid w:val="003A37BB"/>
    <w:rsid w:val="003A522A"/>
    <w:rsid w:val="003A5F20"/>
    <w:rsid w:val="003A61AA"/>
    <w:rsid w:val="003A61E1"/>
    <w:rsid w:val="003A62C6"/>
    <w:rsid w:val="003B0863"/>
    <w:rsid w:val="003B0E34"/>
    <w:rsid w:val="003B172E"/>
    <w:rsid w:val="003B1C5F"/>
    <w:rsid w:val="003B216F"/>
    <w:rsid w:val="003B241C"/>
    <w:rsid w:val="003B270F"/>
    <w:rsid w:val="003B3DDE"/>
    <w:rsid w:val="003B4934"/>
    <w:rsid w:val="003B54D1"/>
    <w:rsid w:val="003B6050"/>
    <w:rsid w:val="003B6783"/>
    <w:rsid w:val="003B7728"/>
    <w:rsid w:val="003C052D"/>
    <w:rsid w:val="003C0E8D"/>
    <w:rsid w:val="003C1517"/>
    <w:rsid w:val="003C17A4"/>
    <w:rsid w:val="003C1834"/>
    <w:rsid w:val="003C1A5A"/>
    <w:rsid w:val="003C2927"/>
    <w:rsid w:val="003C2A08"/>
    <w:rsid w:val="003C2BF2"/>
    <w:rsid w:val="003C3114"/>
    <w:rsid w:val="003C37AA"/>
    <w:rsid w:val="003C39E9"/>
    <w:rsid w:val="003C5AC6"/>
    <w:rsid w:val="003C6061"/>
    <w:rsid w:val="003C6430"/>
    <w:rsid w:val="003C6577"/>
    <w:rsid w:val="003C6995"/>
    <w:rsid w:val="003C6E3C"/>
    <w:rsid w:val="003C6EAC"/>
    <w:rsid w:val="003C72FE"/>
    <w:rsid w:val="003C73B8"/>
    <w:rsid w:val="003C7E89"/>
    <w:rsid w:val="003D052C"/>
    <w:rsid w:val="003D1711"/>
    <w:rsid w:val="003D1867"/>
    <w:rsid w:val="003D2653"/>
    <w:rsid w:val="003D2676"/>
    <w:rsid w:val="003D46FB"/>
    <w:rsid w:val="003D52E3"/>
    <w:rsid w:val="003D76BD"/>
    <w:rsid w:val="003D7882"/>
    <w:rsid w:val="003E0342"/>
    <w:rsid w:val="003E119E"/>
    <w:rsid w:val="003E19FD"/>
    <w:rsid w:val="003E21A1"/>
    <w:rsid w:val="003E283F"/>
    <w:rsid w:val="003E343D"/>
    <w:rsid w:val="003E3495"/>
    <w:rsid w:val="003E34BC"/>
    <w:rsid w:val="003E4215"/>
    <w:rsid w:val="003E422F"/>
    <w:rsid w:val="003E42B1"/>
    <w:rsid w:val="003E44A9"/>
    <w:rsid w:val="003E5112"/>
    <w:rsid w:val="003E51E8"/>
    <w:rsid w:val="003E53A3"/>
    <w:rsid w:val="003E54F3"/>
    <w:rsid w:val="003E6193"/>
    <w:rsid w:val="003E7818"/>
    <w:rsid w:val="003F0F7E"/>
    <w:rsid w:val="003F1A27"/>
    <w:rsid w:val="003F2827"/>
    <w:rsid w:val="003F48B7"/>
    <w:rsid w:val="003F4B1F"/>
    <w:rsid w:val="003F5DD1"/>
    <w:rsid w:val="003F60F4"/>
    <w:rsid w:val="003F7006"/>
    <w:rsid w:val="003F73BE"/>
    <w:rsid w:val="003F76A1"/>
    <w:rsid w:val="004004D2"/>
    <w:rsid w:val="00400581"/>
    <w:rsid w:val="004009E7"/>
    <w:rsid w:val="00400B63"/>
    <w:rsid w:val="00400CAE"/>
    <w:rsid w:val="00401E41"/>
    <w:rsid w:val="00401F59"/>
    <w:rsid w:val="00402323"/>
    <w:rsid w:val="00402D81"/>
    <w:rsid w:val="00402E9D"/>
    <w:rsid w:val="004031CA"/>
    <w:rsid w:val="00403A84"/>
    <w:rsid w:val="004042D8"/>
    <w:rsid w:val="004050CA"/>
    <w:rsid w:val="0040530E"/>
    <w:rsid w:val="004061F9"/>
    <w:rsid w:val="00407415"/>
    <w:rsid w:val="00410309"/>
    <w:rsid w:val="00410353"/>
    <w:rsid w:val="00411C2D"/>
    <w:rsid w:val="00411FB9"/>
    <w:rsid w:val="0041213A"/>
    <w:rsid w:val="00412C1D"/>
    <w:rsid w:val="00413F97"/>
    <w:rsid w:val="004147E2"/>
    <w:rsid w:val="00414934"/>
    <w:rsid w:val="0041493B"/>
    <w:rsid w:val="00415C4F"/>
    <w:rsid w:val="004164A3"/>
    <w:rsid w:val="00416F40"/>
    <w:rsid w:val="0041752D"/>
    <w:rsid w:val="004178E3"/>
    <w:rsid w:val="00417CB2"/>
    <w:rsid w:val="00421BDD"/>
    <w:rsid w:val="00422BF0"/>
    <w:rsid w:val="00422D49"/>
    <w:rsid w:val="00425752"/>
    <w:rsid w:val="00425A4F"/>
    <w:rsid w:val="00426F03"/>
    <w:rsid w:val="004279AB"/>
    <w:rsid w:val="00427A18"/>
    <w:rsid w:val="00427DF7"/>
    <w:rsid w:val="004301AB"/>
    <w:rsid w:val="00430692"/>
    <w:rsid w:val="00431D67"/>
    <w:rsid w:val="004340FF"/>
    <w:rsid w:val="0043590E"/>
    <w:rsid w:val="004359A1"/>
    <w:rsid w:val="0043606E"/>
    <w:rsid w:val="004364C6"/>
    <w:rsid w:val="00437236"/>
    <w:rsid w:val="00437730"/>
    <w:rsid w:val="00437FC2"/>
    <w:rsid w:val="004402D6"/>
    <w:rsid w:val="00441B4F"/>
    <w:rsid w:val="00441D8F"/>
    <w:rsid w:val="004422BF"/>
    <w:rsid w:val="004424BD"/>
    <w:rsid w:val="00442960"/>
    <w:rsid w:val="00442CE0"/>
    <w:rsid w:val="00443167"/>
    <w:rsid w:val="004432F6"/>
    <w:rsid w:val="00443809"/>
    <w:rsid w:val="004438BD"/>
    <w:rsid w:val="0044461C"/>
    <w:rsid w:val="00444C68"/>
    <w:rsid w:val="004475E8"/>
    <w:rsid w:val="00447A24"/>
    <w:rsid w:val="00447F86"/>
    <w:rsid w:val="00450266"/>
    <w:rsid w:val="00450964"/>
    <w:rsid w:val="00450A88"/>
    <w:rsid w:val="00452907"/>
    <w:rsid w:val="00453901"/>
    <w:rsid w:val="00453E95"/>
    <w:rsid w:val="00455F97"/>
    <w:rsid w:val="0045601E"/>
    <w:rsid w:val="00460731"/>
    <w:rsid w:val="004612A8"/>
    <w:rsid w:val="00461446"/>
    <w:rsid w:val="00461B15"/>
    <w:rsid w:val="00461BA5"/>
    <w:rsid w:val="004635CB"/>
    <w:rsid w:val="00463E09"/>
    <w:rsid w:val="00463F0C"/>
    <w:rsid w:val="00464AC9"/>
    <w:rsid w:val="00464AF4"/>
    <w:rsid w:val="00464CE4"/>
    <w:rsid w:val="00464F05"/>
    <w:rsid w:val="004653C0"/>
    <w:rsid w:val="00465AB7"/>
    <w:rsid w:val="00466414"/>
    <w:rsid w:val="00466886"/>
    <w:rsid w:val="00467031"/>
    <w:rsid w:val="004674B0"/>
    <w:rsid w:val="004676F7"/>
    <w:rsid w:val="00467874"/>
    <w:rsid w:val="00470AE3"/>
    <w:rsid w:val="00471035"/>
    <w:rsid w:val="004729C1"/>
    <w:rsid w:val="0047302C"/>
    <w:rsid w:val="00473211"/>
    <w:rsid w:val="0047394D"/>
    <w:rsid w:val="00473B39"/>
    <w:rsid w:val="00474E6D"/>
    <w:rsid w:val="004755E3"/>
    <w:rsid w:val="004762F2"/>
    <w:rsid w:val="00476914"/>
    <w:rsid w:val="00476D67"/>
    <w:rsid w:val="0047776D"/>
    <w:rsid w:val="00481617"/>
    <w:rsid w:val="004834AD"/>
    <w:rsid w:val="0048511D"/>
    <w:rsid w:val="004853A0"/>
    <w:rsid w:val="004905FA"/>
    <w:rsid w:val="00490B26"/>
    <w:rsid w:val="004912E0"/>
    <w:rsid w:val="00492E4A"/>
    <w:rsid w:val="004942B8"/>
    <w:rsid w:val="00494E7B"/>
    <w:rsid w:val="004951A8"/>
    <w:rsid w:val="004954B0"/>
    <w:rsid w:val="00496749"/>
    <w:rsid w:val="004976C8"/>
    <w:rsid w:val="0049779D"/>
    <w:rsid w:val="004A0200"/>
    <w:rsid w:val="004A10CC"/>
    <w:rsid w:val="004A1DA3"/>
    <w:rsid w:val="004A4765"/>
    <w:rsid w:val="004A4CC6"/>
    <w:rsid w:val="004A4E87"/>
    <w:rsid w:val="004A5418"/>
    <w:rsid w:val="004A62C7"/>
    <w:rsid w:val="004A6645"/>
    <w:rsid w:val="004A6678"/>
    <w:rsid w:val="004A77B0"/>
    <w:rsid w:val="004A7B1B"/>
    <w:rsid w:val="004B0106"/>
    <w:rsid w:val="004B0450"/>
    <w:rsid w:val="004B0ADB"/>
    <w:rsid w:val="004B0DF5"/>
    <w:rsid w:val="004B11DE"/>
    <w:rsid w:val="004B151E"/>
    <w:rsid w:val="004B1C45"/>
    <w:rsid w:val="004B212A"/>
    <w:rsid w:val="004B2FE0"/>
    <w:rsid w:val="004B3A5A"/>
    <w:rsid w:val="004B4279"/>
    <w:rsid w:val="004B5075"/>
    <w:rsid w:val="004B512A"/>
    <w:rsid w:val="004B5811"/>
    <w:rsid w:val="004B63CB"/>
    <w:rsid w:val="004B67A6"/>
    <w:rsid w:val="004B6CF6"/>
    <w:rsid w:val="004C187A"/>
    <w:rsid w:val="004C27C7"/>
    <w:rsid w:val="004C2AFD"/>
    <w:rsid w:val="004C3138"/>
    <w:rsid w:val="004C326C"/>
    <w:rsid w:val="004C3DC7"/>
    <w:rsid w:val="004C43A4"/>
    <w:rsid w:val="004C49EE"/>
    <w:rsid w:val="004C4BDC"/>
    <w:rsid w:val="004C4FB0"/>
    <w:rsid w:val="004C6182"/>
    <w:rsid w:val="004C725D"/>
    <w:rsid w:val="004C7335"/>
    <w:rsid w:val="004C74B4"/>
    <w:rsid w:val="004D0B31"/>
    <w:rsid w:val="004D0E1E"/>
    <w:rsid w:val="004D100D"/>
    <w:rsid w:val="004D1024"/>
    <w:rsid w:val="004D1109"/>
    <w:rsid w:val="004D1704"/>
    <w:rsid w:val="004D22FB"/>
    <w:rsid w:val="004D3514"/>
    <w:rsid w:val="004D458D"/>
    <w:rsid w:val="004D4692"/>
    <w:rsid w:val="004D46E0"/>
    <w:rsid w:val="004D4770"/>
    <w:rsid w:val="004D4AE7"/>
    <w:rsid w:val="004D4D46"/>
    <w:rsid w:val="004D52C5"/>
    <w:rsid w:val="004D54BA"/>
    <w:rsid w:val="004D5DC1"/>
    <w:rsid w:val="004D6F9E"/>
    <w:rsid w:val="004E0471"/>
    <w:rsid w:val="004E0EA9"/>
    <w:rsid w:val="004E15F0"/>
    <w:rsid w:val="004E2C5E"/>
    <w:rsid w:val="004E3F13"/>
    <w:rsid w:val="004E42F6"/>
    <w:rsid w:val="004E4550"/>
    <w:rsid w:val="004E4933"/>
    <w:rsid w:val="004E5D1A"/>
    <w:rsid w:val="004E6314"/>
    <w:rsid w:val="004E646A"/>
    <w:rsid w:val="004E6772"/>
    <w:rsid w:val="004E69DB"/>
    <w:rsid w:val="004E75E9"/>
    <w:rsid w:val="004F07D0"/>
    <w:rsid w:val="004F1351"/>
    <w:rsid w:val="004F1EBC"/>
    <w:rsid w:val="004F1F13"/>
    <w:rsid w:val="004F26B3"/>
    <w:rsid w:val="004F30BE"/>
    <w:rsid w:val="004F3370"/>
    <w:rsid w:val="004F33C1"/>
    <w:rsid w:val="004F3C4E"/>
    <w:rsid w:val="004F3FDC"/>
    <w:rsid w:val="004F4102"/>
    <w:rsid w:val="004F4EE1"/>
    <w:rsid w:val="004F5F7D"/>
    <w:rsid w:val="004F6EF9"/>
    <w:rsid w:val="004F7270"/>
    <w:rsid w:val="004F778D"/>
    <w:rsid w:val="004F7837"/>
    <w:rsid w:val="004F7CC9"/>
    <w:rsid w:val="0050058D"/>
    <w:rsid w:val="005025B3"/>
    <w:rsid w:val="00502BE3"/>
    <w:rsid w:val="00502D7B"/>
    <w:rsid w:val="0050325D"/>
    <w:rsid w:val="00503946"/>
    <w:rsid w:val="00503C7C"/>
    <w:rsid w:val="00504233"/>
    <w:rsid w:val="0050748D"/>
    <w:rsid w:val="00507799"/>
    <w:rsid w:val="00510A83"/>
    <w:rsid w:val="0051251E"/>
    <w:rsid w:val="0051321F"/>
    <w:rsid w:val="005134B3"/>
    <w:rsid w:val="005136F6"/>
    <w:rsid w:val="00514A71"/>
    <w:rsid w:val="00515025"/>
    <w:rsid w:val="00515558"/>
    <w:rsid w:val="00515759"/>
    <w:rsid w:val="0051578E"/>
    <w:rsid w:val="00515A5D"/>
    <w:rsid w:val="00516098"/>
    <w:rsid w:val="00516F30"/>
    <w:rsid w:val="0051753E"/>
    <w:rsid w:val="00517A3E"/>
    <w:rsid w:val="00517C3C"/>
    <w:rsid w:val="00517C6C"/>
    <w:rsid w:val="00522289"/>
    <w:rsid w:val="00522AA2"/>
    <w:rsid w:val="0052412B"/>
    <w:rsid w:val="00525912"/>
    <w:rsid w:val="00526A35"/>
    <w:rsid w:val="00527899"/>
    <w:rsid w:val="00527A26"/>
    <w:rsid w:val="00527B35"/>
    <w:rsid w:val="00527F5B"/>
    <w:rsid w:val="00530509"/>
    <w:rsid w:val="0053064D"/>
    <w:rsid w:val="005307AA"/>
    <w:rsid w:val="00530A32"/>
    <w:rsid w:val="00530EDA"/>
    <w:rsid w:val="00530FFD"/>
    <w:rsid w:val="0053107D"/>
    <w:rsid w:val="005310C3"/>
    <w:rsid w:val="005316D6"/>
    <w:rsid w:val="00531A9A"/>
    <w:rsid w:val="00532C21"/>
    <w:rsid w:val="00535E51"/>
    <w:rsid w:val="00535F0F"/>
    <w:rsid w:val="00537775"/>
    <w:rsid w:val="00540612"/>
    <w:rsid w:val="005408CC"/>
    <w:rsid w:val="00540BE0"/>
    <w:rsid w:val="00541257"/>
    <w:rsid w:val="00541477"/>
    <w:rsid w:val="005415FE"/>
    <w:rsid w:val="00541ACB"/>
    <w:rsid w:val="00541AD2"/>
    <w:rsid w:val="00541AE4"/>
    <w:rsid w:val="005432D7"/>
    <w:rsid w:val="0054393A"/>
    <w:rsid w:val="005442B7"/>
    <w:rsid w:val="00544510"/>
    <w:rsid w:val="00544E6F"/>
    <w:rsid w:val="0054598D"/>
    <w:rsid w:val="00545DBB"/>
    <w:rsid w:val="00547152"/>
    <w:rsid w:val="005477D7"/>
    <w:rsid w:val="005508D5"/>
    <w:rsid w:val="00551041"/>
    <w:rsid w:val="00552139"/>
    <w:rsid w:val="00552D6B"/>
    <w:rsid w:val="00553EA1"/>
    <w:rsid w:val="00556090"/>
    <w:rsid w:val="0055694D"/>
    <w:rsid w:val="00560093"/>
    <w:rsid w:val="00560815"/>
    <w:rsid w:val="00560ABC"/>
    <w:rsid w:val="0056105C"/>
    <w:rsid w:val="005635BB"/>
    <w:rsid w:val="0056368A"/>
    <w:rsid w:val="00563BFB"/>
    <w:rsid w:val="005644AF"/>
    <w:rsid w:val="00564A53"/>
    <w:rsid w:val="00564C47"/>
    <w:rsid w:val="005651BC"/>
    <w:rsid w:val="00566017"/>
    <w:rsid w:val="00566BAD"/>
    <w:rsid w:val="00567112"/>
    <w:rsid w:val="005679B1"/>
    <w:rsid w:val="0057009B"/>
    <w:rsid w:val="00570125"/>
    <w:rsid w:val="00570464"/>
    <w:rsid w:val="00570533"/>
    <w:rsid w:val="0057057B"/>
    <w:rsid w:val="00570A9A"/>
    <w:rsid w:val="00571756"/>
    <w:rsid w:val="00572A73"/>
    <w:rsid w:val="0057309F"/>
    <w:rsid w:val="005739ED"/>
    <w:rsid w:val="0057571E"/>
    <w:rsid w:val="00575CDA"/>
    <w:rsid w:val="00576515"/>
    <w:rsid w:val="00576BE7"/>
    <w:rsid w:val="0057702D"/>
    <w:rsid w:val="00577E83"/>
    <w:rsid w:val="005818F8"/>
    <w:rsid w:val="005819C5"/>
    <w:rsid w:val="005819FE"/>
    <w:rsid w:val="00581B4E"/>
    <w:rsid w:val="00582CE1"/>
    <w:rsid w:val="00582F14"/>
    <w:rsid w:val="00583810"/>
    <w:rsid w:val="00584D34"/>
    <w:rsid w:val="005860E6"/>
    <w:rsid w:val="00586CB0"/>
    <w:rsid w:val="005871FC"/>
    <w:rsid w:val="005874E9"/>
    <w:rsid w:val="005875AE"/>
    <w:rsid w:val="005877B8"/>
    <w:rsid w:val="00587912"/>
    <w:rsid w:val="00587BC8"/>
    <w:rsid w:val="005901C0"/>
    <w:rsid w:val="00591A8B"/>
    <w:rsid w:val="00591CC6"/>
    <w:rsid w:val="005929DF"/>
    <w:rsid w:val="0059355C"/>
    <w:rsid w:val="005942C3"/>
    <w:rsid w:val="00594956"/>
    <w:rsid w:val="0059673D"/>
    <w:rsid w:val="00596933"/>
    <w:rsid w:val="00597358"/>
    <w:rsid w:val="005A00DD"/>
    <w:rsid w:val="005A0191"/>
    <w:rsid w:val="005A0289"/>
    <w:rsid w:val="005A02D1"/>
    <w:rsid w:val="005A13C6"/>
    <w:rsid w:val="005A1604"/>
    <w:rsid w:val="005A1ED0"/>
    <w:rsid w:val="005A1FE6"/>
    <w:rsid w:val="005A1FFC"/>
    <w:rsid w:val="005A267E"/>
    <w:rsid w:val="005A2C69"/>
    <w:rsid w:val="005A31A5"/>
    <w:rsid w:val="005A3228"/>
    <w:rsid w:val="005A6830"/>
    <w:rsid w:val="005A719C"/>
    <w:rsid w:val="005B003C"/>
    <w:rsid w:val="005B06DF"/>
    <w:rsid w:val="005B0B7D"/>
    <w:rsid w:val="005B10C0"/>
    <w:rsid w:val="005B1DFE"/>
    <w:rsid w:val="005B31CB"/>
    <w:rsid w:val="005B35E1"/>
    <w:rsid w:val="005B5A10"/>
    <w:rsid w:val="005B67C9"/>
    <w:rsid w:val="005B6A18"/>
    <w:rsid w:val="005B6EFF"/>
    <w:rsid w:val="005B7A6E"/>
    <w:rsid w:val="005C0BBD"/>
    <w:rsid w:val="005C0ED7"/>
    <w:rsid w:val="005C1FE9"/>
    <w:rsid w:val="005C2389"/>
    <w:rsid w:val="005C2C34"/>
    <w:rsid w:val="005C31F7"/>
    <w:rsid w:val="005C3EC2"/>
    <w:rsid w:val="005C3FD7"/>
    <w:rsid w:val="005C41E1"/>
    <w:rsid w:val="005C4491"/>
    <w:rsid w:val="005C4AA4"/>
    <w:rsid w:val="005C4ADA"/>
    <w:rsid w:val="005C548D"/>
    <w:rsid w:val="005C5A05"/>
    <w:rsid w:val="005C6176"/>
    <w:rsid w:val="005C6786"/>
    <w:rsid w:val="005C72F0"/>
    <w:rsid w:val="005C7F93"/>
    <w:rsid w:val="005D00E1"/>
    <w:rsid w:val="005D023C"/>
    <w:rsid w:val="005D06C7"/>
    <w:rsid w:val="005D071C"/>
    <w:rsid w:val="005D17B4"/>
    <w:rsid w:val="005D1B40"/>
    <w:rsid w:val="005D2306"/>
    <w:rsid w:val="005D25C8"/>
    <w:rsid w:val="005D2BCC"/>
    <w:rsid w:val="005D39F7"/>
    <w:rsid w:val="005D3DDB"/>
    <w:rsid w:val="005D3E13"/>
    <w:rsid w:val="005D4892"/>
    <w:rsid w:val="005D49C0"/>
    <w:rsid w:val="005D4EAA"/>
    <w:rsid w:val="005D5562"/>
    <w:rsid w:val="005D573B"/>
    <w:rsid w:val="005D5DD0"/>
    <w:rsid w:val="005D62B3"/>
    <w:rsid w:val="005D6344"/>
    <w:rsid w:val="005D660F"/>
    <w:rsid w:val="005D7055"/>
    <w:rsid w:val="005D735E"/>
    <w:rsid w:val="005D7457"/>
    <w:rsid w:val="005D74D4"/>
    <w:rsid w:val="005D788E"/>
    <w:rsid w:val="005D7D18"/>
    <w:rsid w:val="005D7DE1"/>
    <w:rsid w:val="005E0298"/>
    <w:rsid w:val="005E0F8E"/>
    <w:rsid w:val="005E24CD"/>
    <w:rsid w:val="005E2C83"/>
    <w:rsid w:val="005E2F8F"/>
    <w:rsid w:val="005E467C"/>
    <w:rsid w:val="005E48BB"/>
    <w:rsid w:val="005E6477"/>
    <w:rsid w:val="005E714D"/>
    <w:rsid w:val="005E7212"/>
    <w:rsid w:val="005F0E74"/>
    <w:rsid w:val="005F1ABF"/>
    <w:rsid w:val="005F42BE"/>
    <w:rsid w:val="005F4695"/>
    <w:rsid w:val="005F4713"/>
    <w:rsid w:val="005F48A7"/>
    <w:rsid w:val="005F4986"/>
    <w:rsid w:val="005F67D7"/>
    <w:rsid w:val="005F762F"/>
    <w:rsid w:val="005F7CAB"/>
    <w:rsid w:val="005F7E5A"/>
    <w:rsid w:val="00600051"/>
    <w:rsid w:val="00600222"/>
    <w:rsid w:val="00600AF9"/>
    <w:rsid w:val="0060160E"/>
    <w:rsid w:val="006016A7"/>
    <w:rsid w:val="006016C0"/>
    <w:rsid w:val="0060183E"/>
    <w:rsid w:val="00602125"/>
    <w:rsid w:val="0060287E"/>
    <w:rsid w:val="006029AA"/>
    <w:rsid w:val="00602A57"/>
    <w:rsid w:val="00603A6E"/>
    <w:rsid w:val="00604AA9"/>
    <w:rsid w:val="0060556D"/>
    <w:rsid w:val="00605A24"/>
    <w:rsid w:val="006062F9"/>
    <w:rsid w:val="00610CC8"/>
    <w:rsid w:val="006110E1"/>
    <w:rsid w:val="0061254A"/>
    <w:rsid w:val="0061293A"/>
    <w:rsid w:val="00612DAF"/>
    <w:rsid w:val="00612E74"/>
    <w:rsid w:val="00613163"/>
    <w:rsid w:val="00613365"/>
    <w:rsid w:val="00614050"/>
    <w:rsid w:val="00614051"/>
    <w:rsid w:val="00614542"/>
    <w:rsid w:val="00614C24"/>
    <w:rsid w:val="00614DC3"/>
    <w:rsid w:val="00614F60"/>
    <w:rsid w:val="0061536B"/>
    <w:rsid w:val="00615BDA"/>
    <w:rsid w:val="00615D41"/>
    <w:rsid w:val="00616091"/>
    <w:rsid w:val="00616610"/>
    <w:rsid w:val="006168F5"/>
    <w:rsid w:val="00616966"/>
    <w:rsid w:val="006173B0"/>
    <w:rsid w:val="00617456"/>
    <w:rsid w:val="00617D21"/>
    <w:rsid w:val="00617E66"/>
    <w:rsid w:val="0062112F"/>
    <w:rsid w:val="00621162"/>
    <w:rsid w:val="006216DA"/>
    <w:rsid w:val="00621984"/>
    <w:rsid w:val="00622E5B"/>
    <w:rsid w:val="00623CD8"/>
    <w:rsid w:val="00625097"/>
    <w:rsid w:val="00625D2F"/>
    <w:rsid w:val="00625D6B"/>
    <w:rsid w:val="00625D8C"/>
    <w:rsid w:val="0062684F"/>
    <w:rsid w:val="00627A3A"/>
    <w:rsid w:val="00627C0C"/>
    <w:rsid w:val="006308DF"/>
    <w:rsid w:val="00630D46"/>
    <w:rsid w:val="00632173"/>
    <w:rsid w:val="00632321"/>
    <w:rsid w:val="006343DC"/>
    <w:rsid w:val="00635611"/>
    <w:rsid w:val="00635631"/>
    <w:rsid w:val="00635E39"/>
    <w:rsid w:val="00637286"/>
    <w:rsid w:val="00637FDC"/>
    <w:rsid w:val="0064057C"/>
    <w:rsid w:val="00640C07"/>
    <w:rsid w:val="00640E80"/>
    <w:rsid w:val="00641212"/>
    <w:rsid w:val="006417A4"/>
    <w:rsid w:val="00641B45"/>
    <w:rsid w:val="006437E9"/>
    <w:rsid w:val="00643E2F"/>
    <w:rsid w:val="006446E4"/>
    <w:rsid w:val="006447B4"/>
    <w:rsid w:val="00644ADD"/>
    <w:rsid w:val="00644E8E"/>
    <w:rsid w:val="00645663"/>
    <w:rsid w:val="00645AB1"/>
    <w:rsid w:val="00645BB8"/>
    <w:rsid w:val="00647AF1"/>
    <w:rsid w:val="00647CCA"/>
    <w:rsid w:val="00647E14"/>
    <w:rsid w:val="00650BDE"/>
    <w:rsid w:val="0065136B"/>
    <w:rsid w:val="0065147A"/>
    <w:rsid w:val="00651A04"/>
    <w:rsid w:val="00651CBD"/>
    <w:rsid w:val="00651E26"/>
    <w:rsid w:val="00652C1E"/>
    <w:rsid w:val="00652DBD"/>
    <w:rsid w:val="006539AD"/>
    <w:rsid w:val="00653B3D"/>
    <w:rsid w:val="00653EE9"/>
    <w:rsid w:val="00653EF3"/>
    <w:rsid w:val="00654723"/>
    <w:rsid w:val="00654A71"/>
    <w:rsid w:val="00654DC5"/>
    <w:rsid w:val="00654ED1"/>
    <w:rsid w:val="00654EDD"/>
    <w:rsid w:val="00655B69"/>
    <w:rsid w:val="0065637E"/>
    <w:rsid w:val="006563F6"/>
    <w:rsid w:val="006565E0"/>
    <w:rsid w:val="00657581"/>
    <w:rsid w:val="00657866"/>
    <w:rsid w:val="00657CE1"/>
    <w:rsid w:val="00660461"/>
    <w:rsid w:val="006606E1"/>
    <w:rsid w:val="00660E62"/>
    <w:rsid w:val="0066131A"/>
    <w:rsid w:val="006614C5"/>
    <w:rsid w:val="00661A80"/>
    <w:rsid w:val="00661A98"/>
    <w:rsid w:val="00662372"/>
    <w:rsid w:val="00663422"/>
    <w:rsid w:val="00663A6E"/>
    <w:rsid w:val="006646EC"/>
    <w:rsid w:val="00664EE2"/>
    <w:rsid w:val="00666000"/>
    <w:rsid w:val="006667E6"/>
    <w:rsid w:val="006668D0"/>
    <w:rsid w:val="00666FDD"/>
    <w:rsid w:val="006670E3"/>
    <w:rsid w:val="0066788A"/>
    <w:rsid w:val="006700EF"/>
    <w:rsid w:val="00670831"/>
    <w:rsid w:val="006711E5"/>
    <w:rsid w:val="00672549"/>
    <w:rsid w:val="00672C39"/>
    <w:rsid w:val="00673C9D"/>
    <w:rsid w:val="00673DCF"/>
    <w:rsid w:val="00673E2D"/>
    <w:rsid w:val="00674C06"/>
    <w:rsid w:val="00674E24"/>
    <w:rsid w:val="00675BC7"/>
    <w:rsid w:val="00676999"/>
    <w:rsid w:val="00677C34"/>
    <w:rsid w:val="00677FBB"/>
    <w:rsid w:val="006803B7"/>
    <w:rsid w:val="006803C5"/>
    <w:rsid w:val="00680B7C"/>
    <w:rsid w:val="00681775"/>
    <w:rsid w:val="006818F1"/>
    <w:rsid w:val="00681AA5"/>
    <w:rsid w:val="00682834"/>
    <w:rsid w:val="006828BA"/>
    <w:rsid w:val="00682C83"/>
    <w:rsid w:val="006833B9"/>
    <w:rsid w:val="006839C8"/>
    <w:rsid w:val="00683C09"/>
    <w:rsid w:val="00684E6C"/>
    <w:rsid w:val="006859B4"/>
    <w:rsid w:val="00686368"/>
    <w:rsid w:val="00686397"/>
    <w:rsid w:val="00687F32"/>
    <w:rsid w:val="00692EF0"/>
    <w:rsid w:val="0069338F"/>
    <w:rsid w:val="00693EEC"/>
    <w:rsid w:val="00695BE5"/>
    <w:rsid w:val="00696103"/>
    <w:rsid w:val="006A08C0"/>
    <w:rsid w:val="006A0AC4"/>
    <w:rsid w:val="006A0F47"/>
    <w:rsid w:val="006A11D1"/>
    <w:rsid w:val="006A30EE"/>
    <w:rsid w:val="006A505C"/>
    <w:rsid w:val="006A52E3"/>
    <w:rsid w:val="006A56A1"/>
    <w:rsid w:val="006A5E0D"/>
    <w:rsid w:val="006A6C8A"/>
    <w:rsid w:val="006B086F"/>
    <w:rsid w:val="006B0DB8"/>
    <w:rsid w:val="006B111F"/>
    <w:rsid w:val="006B1248"/>
    <w:rsid w:val="006B194B"/>
    <w:rsid w:val="006B37B0"/>
    <w:rsid w:val="006B3E40"/>
    <w:rsid w:val="006B4259"/>
    <w:rsid w:val="006B508F"/>
    <w:rsid w:val="006B55E0"/>
    <w:rsid w:val="006B6A52"/>
    <w:rsid w:val="006B724D"/>
    <w:rsid w:val="006B73CA"/>
    <w:rsid w:val="006B7ED2"/>
    <w:rsid w:val="006C06DE"/>
    <w:rsid w:val="006C0B13"/>
    <w:rsid w:val="006C0CD5"/>
    <w:rsid w:val="006C0F5C"/>
    <w:rsid w:val="006C10CA"/>
    <w:rsid w:val="006C2A4C"/>
    <w:rsid w:val="006C32BB"/>
    <w:rsid w:val="006C3A41"/>
    <w:rsid w:val="006C446F"/>
    <w:rsid w:val="006C4CA4"/>
    <w:rsid w:val="006C4FE8"/>
    <w:rsid w:val="006C5126"/>
    <w:rsid w:val="006C587A"/>
    <w:rsid w:val="006C63FE"/>
    <w:rsid w:val="006C7513"/>
    <w:rsid w:val="006D1FF2"/>
    <w:rsid w:val="006D20EE"/>
    <w:rsid w:val="006D221B"/>
    <w:rsid w:val="006D2BA5"/>
    <w:rsid w:val="006D357D"/>
    <w:rsid w:val="006D35F3"/>
    <w:rsid w:val="006D5D93"/>
    <w:rsid w:val="006D5EA8"/>
    <w:rsid w:val="006D6B89"/>
    <w:rsid w:val="006E0176"/>
    <w:rsid w:val="006E0624"/>
    <w:rsid w:val="006E11AF"/>
    <w:rsid w:val="006E1DA5"/>
    <w:rsid w:val="006E24C1"/>
    <w:rsid w:val="006E3203"/>
    <w:rsid w:val="006E332C"/>
    <w:rsid w:val="006E3EA8"/>
    <w:rsid w:val="006E4B1E"/>
    <w:rsid w:val="006E5C3E"/>
    <w:rsid w:val="006E60EF"/>
    <w:rsid w:val="006E62E1"/>
    <w:rsid w:val="006E6EFD"/>
    <w:rsid w:val="006E73A5"/>
    <w:rsid w:val="006E7577"/>
    <w:rsid w:val="006F0830"/>
    <w:rsid w:val="006F0CFE"/>
    <w:rsid w:val="006F0E92"/>
    <w:rsid w:val="006F1415"/>
    <w:rsid w:val="006F2473"/>
    <w:rsid w:val="006F2D35"/>
    <w:rsid w:val="006F30FE"/>
    <w:rsid w:val="006F3A6C"/>
    <w:rsid w:val="006F3ACA"/>
    <w:rsid w:val="006F4283"/>
    <w:rsid w:val="006F4E1D"/>
    <w:rsid w:val="006F54CE"/>
    <w:rsid w:val="006F76D7"/>
    <w:rsid w:val="006F7ADA"/>
    <w:rsid w:val="006F7C94"/>
    <w:rsid w:val="0070103F"/>
    <w:rsid w:val="00701632"/>
    <w:rsid w:val="0070200A"/>
    <w:rsid w:val="0070383F"/>
    <w:rsid w:val="007041D9"/>
    <w:rsid w:val="00704218"/>
    <w:rsid w:val="00704C69"/>
    <w:rsid w:val="00704FEB"/>
    <w:rsid w:val="0070511D"/>
    <w:rsid w:val="00705606"/>
    <w:rsid w:val="007059EB"/>
    <w:rsid w:val="007059F2"/>
    <w:rsid w:val="007064F7"/>
    <w:rsid w:val="007065BC"/>
    <w:rsid w:val="0070746F"/>
    <w:rsid w:val="00710930"/>
    <w:rsid w:val="00711424"/>
    <w:rsid w:val="007117E7"/>
    <w:rsid w:val="0071346B"/>
    <w:rsid w:val="007139AF"/>
    <w:rsid w:val="00713A48"/>
    <w:rsid w:val="0071518F"/>
    <w:rsid w:val="00715F53"/>
    <w:rsid w:val="007167BA"/>
    <w:rsid w:val="00716848"/>
    <w:rsid w:val="00720547"/>
    <w:rsid w:val="00721146"/>
    <w:rsid w:val="00721602"/>
    <w:rsid w:val="00721BA8"/>
    <w:rsid w:val="00722981"/>
    <w:rsid w:val="00723834"/>
    <w:rsid w:val="00723923"/>
    <w:rsid w:val="00723E90"/>
    <w:rsid w:val="00724157"/>
    <w:rsid w:val="007261D9"/>
    <w:rsid w:val="007263CB"/>
    <w:rsid w:val="007273A6"/>
    <w:rsid w:val="007304B2"/>
    <w:rsid w:val="00731099"/>
    <w:rsid w:val="00731774"/>
    <w:rsid w:val="0073197D"/>
    <w:rsid w:val="00731C98"/>
    <w:rsid w:val="00731F71"/>
    <w:rsid w:val="00732146"/>
    <w:rsid w:val="007322BD"/>
    <w:rsid w:val="00733544"/>
    <w:rsid w:val="007336D3"/>
    <w:rsid w:val="007348B5"/>
    <w:rsid w:val="00736340"/>
    <w:rsid w:val="00736C83"/>
    <w:rsid w:val="00736D38"/>
    <w:rsid w:val="007370BC"/>
    <w:rsid w:val="007403D6"/>
    <w:rsid w:val="00741421"/>
    <w:rsid w:val="00741D02"/>
    <w:rsid w:val="0074219D"/>
    <w:rsid w:val="00742720"/>
    <w:rsid w:val="007439D5"/>
    <w:rsid w:val="0074423C"/>
    <w:rsid w:val="00745146"/>
    <w:rsid w:val="00745540"/>
    <w:rsid w:val="00745A3C"/>
    <w:rsid w:val="00746355"/>
    <w:rsid w:val="007469EF"/>
    <w:rsid w:val="0075144C"/>
    <w:rsid w:val="00751D7C"/>
    <w:rsid w:val="00751FE6"/>
    <w:rsid w:val="00752364"/>
    <w:rsid w:val="00753827"/>
    <w:rsid w:val="0075382C"/>
    <w:rsid w:val="0075420C"/>
    <w:rsid w:val="0075473D"/>
    <w:rsid w:val="00754E57"/>
    <w:rsid w:val="00755578"/>
    <w:rsid w:val="007555B5"/>
    <w:rsid w:val="00755FC6"/>
    <w:rsid w:val="00755FD8"/>
    <w:rsid w:val="007566EB"/>
    <w:rsid w:val="00757885"/>
    <w:rsid w:val="00757935"/>
    <w:rsid w:val="0075795F"/>
    <w:rsid w:val="007602F2"/>
    <w:rsid w:val="007603AD"/>
    <w:rsid w:val="007604C6"/>
    <w:rsid w:val="007609DA"/>
    <w:rsid w:val="007612F6"/>
    <w:rsid w:val="00761613"/>
    <w:rsid w:val="00761F26"/>
    <w:rsid w:val="00762ABA"/>
    <w:rsid w:val="00764959"/>
    <w:rsid w:val="00764EB6"/>
    <w:rsid w:val="007654AC"/>
    <w:rsid w:val="0076565B"/>
    <w:rsid w:val="007657F8"/>
    <w:rsid w:val="00766D25"/>
    <w:rsid w:val="007676AF"/>
    <w:rsid w:val="00767718"/>
    <w:rsid w:val="00767C0A"/>
    <w:rsid w:val="007709DE"/>
    <w:rsid w:val="00771199"/>
    <w:rsid w:val="007714F9"/>
    <w:rsid w:val="00772012"/>
    <w:rsid w:val="007729EC"/>
    <w:rsid w:val="007733F3"/>
    <w:rsid w:val="00773E97"/>
    <w:rsid w:val="00773EF6"/>
    <w:rsid w:val="00774038"/>
    <w:rsid w:val="00774293"/>
    <w:rsid w:val="00775968"/>
    <w:rsid w:val="00776C63"/>
    <w:rsid w:val="00776D59"/>
    <w:rsid w:val="0077751D"/>
    <w:rsid w:val="007776A8"/>
    <w:rsid w:val="007779F2"/>
    <w:rsid w:val="00777AE4"/>
    <w:rsid w:val="00777D4A"/>
    <w:rsid w:val="00777F00"/>
    <w:rsid w:val="0078064A"/>
    <w:rsid w:val="00780F30"/>
    <w:rsid w:val="00781930"/>
    <w:rsid w:val="007820E5"/>
    <w:rsid w:val="007826EA"/>
    <w:rsid w:val="007835B1"/>
    <w:rsid w:val="00783E29"/>
    <w:rsid w:val="007846C8"/>
    <w:rsid w:val="00784955"/>
    <w:rsid w:val="00784BA6"/>
    <w:rsid w:val="00784C58"/>
    <w:rsid w:val="00784FD6"/>
    <w:rsid w:val="00785898"/>
    <w:rsid w:val="007872CA"/>
    <w:rsid w:val="0079032E"/>
    <w:rsid w:val="007910EC"/>
    <w:rsid w:val="0079124D"/>
    <w:rsid w:val="00792590"/>
    <w:rsid w:val="00792813"/>
    <w:rsid w:val="00792E74"/>
    <w:rsid w:val="0079550D"/>
    <w:rsid w:val="00795AC1"/>
    <w:rsid w:val="00795B10"/>
    <w:rsid w:val="00795C4D"/>
    <w:rsid w:val="007963BC"/>
    <w:rsid w:val="007A0629"/>
    <w:rsid w:val="007A070C"/>
    <w:rsid w:val="007A09CC"/>
    <w:rsid w:val="007A0D23"/>
    <w:rsid w:val="007A14DF"/>
    <w:rsid w:val="007A1B13"/>
    <w:rsid w:val="007A2411"/>
    <w:rsid w:val="007A29D1"/>
    <w:rsid w:val="007A2E36"/>
    <w:rsid w:val="007A3169"/>
    <w:rsid w:val="007A3893"/>
    <w:rsid w:val="007A41BC"/>
    <w:rsid w:val="007A4402"/>
    <w:rsid w:val="007A4595"/>
    <w:rsid w:val="007A4D46"/>
    <w:rsid w:val="007A53C4"/>
    <w:rsid w:val="007A588A"/>
    <w:rsid w:val="007A5CAF"/>
    <w:rsid w:val="007A7B7F"/>
    <w:rsid w:val="007B051F"/>
    <w:rsid w:val="007B07BE"/>
    <w:rsid w:val="007B0E12"/>
    <w:rsid w:val="007B1001"/>
    <w:rsid w:val="007B1A42"/>
    <w:rsid w:val="007B2278"/>
    <w:rsid w:val="007B3AC9"/>
    <w:rsid w:val="007B480F"/>
    <w:rsid w:val="007B49B6"/>
    <w:rsid w:val="007B5394"/>
    <w:rsid w:val="007B54D9"/>
    <w:rsid w:val="007B54DD"/>
    <w:rsid w:val="007B5DA7"/>
    <w:rsid w:val="007B69F0"/>
    <w:rsid w:val="007B7076"/>
    <w:rsid w:val="007B7441"/>
    <w:rsid w:val="007B78A0"/>
    <w:rsid w:val="007B79CB"/>
    <w:rsid w:val="007B7D0D"/>
    <w:rsid w:val="007C00F7"/>
    <w:rsid w:val="007C0199"/>
    <w:rsid w:val="007C0AAA"/>
    <w:rsid w:val="007C0F61"/>
    <w:rsid w:val="007C1065"/>
    <w:rsid w:val="007C130A"/>
    <w:rsid w:val="007C1E86"/>
    <w:rsid w:val="007C23B2"/>
    <w:rsid w:val="007C2862"/>
    <w:rsid w:val="007C2EE5"/>
    <w:rsid w:val="007C3329"/>
    <w:rsid w:val="007C373C"/>
    <w:rsid w:val="007C459D"/>
    <w:rsid w:val="007C4C6B"/>
    <w:rsid w:val="007C5C7F"/>
    <w:rsid w:val="007D026B"/>
    <w:rsid w:val="007D068E"/>
    <w:rsid w:val="007D0B3D"/>
    <w:rsid w:val="007D0B5A"/>
    <w:rsid w:val="007D163E"/>
    <w:rsid w:val="007D2598"/>
    <w:rsid w:val="007D2B28"/>
    <w:rsid w:val="007D2F51"/>
    <w:rsid w:val="007D3B9E"/>
    <w:rsid w:val="007D40D2"/>
    <w:rsid w:val="007D54D7"/>
    <w:rsid w:val="007D6EAF"/>
    <w:rsid w:val="007D7951"/>
    <w:rsid w:val="007D7A3D"/>
    <w:rsid w:val="007D7C19"/>
    <w:rsid w:val="007D7FAF"/>
    <w:rsid w:val="007E008F"/>
    <w:rsid w:val="007E02CC"/>
    <w:rsid w:val="007E0FCB"/>
    <w:rsid w:val="007E149F"/>
    <w:rsid w:val="007E1AF8"/>
    <w:rsid w:val="007E1B30"/>
    <w:rsid w:val="007E2262"/>
    <w:rsid w:val="007E2293"/>
    <w:rsid w:val="007E249E"/>
    <w:rsid w:val="007E2B76"/>
    <w:rsid w:val="007E3254"/>
    <w:rsid w:val="007E37EF"/>
    <w:rsid w:val="007E429B"/>
    <w:rsid w:val="007E42F0"/>
    <w:rsid w:val="007E447F"/>
    <w:rsid w:val="007E49DE"/>
    <w:rsid w:val="007E5CAD"/>
    <w:rsid w:val="007E5D31"/>
    <w:rsid w:val="007E69EE"/>
    <w:rsid w:val="007E7C00"/>
    <w:rsid w:val="007F053C"/>
    <w:rsid w:val="007F059F"/>
    <w:rsid w:val="007F0EED"/>
    <w:rsid w:val="007F30AD"/>
    <w:rsid w:val="007F31BA"/>
    <w:rsid w:val="007F3796"/>
    <w:rsid w:val="007F3E32"/>
    <w:rsid w:val="007F4D16"/>
    <w:rsid w:val="007F4E92"/>
    <w:rsid w:val="007F528D"/>
    <w:rsid w:val="007F5373"/>
    <w:rsid w:val="007F5E5E"/>
    <w:rsid w:val="007F681F"/>
    <w:rsid w:val="007F6CA6"/>
    <w:rsid w:val="007F6E97"/>
    <w:rsid w:val="007F75EF"/>
    <w:rsid w:val="007F7DBB"/>
    <w:rsid w:val="007F7EF7"/>
    <w:rsid w:val="008004EF"/>
    <w:rsid w:val="008005AE"/>
    <w:rsid w:val="008008C5"/>
    <w:rsid w:val="00801236"/>
    <w:rsid w:val="00801A26"/>
    <w:rsid w:val="00801A37"/>
    <w:rsid w:val="00801FFC"/>
    <w:rsid w:val="00802014"/>
    <w:rsid w:val="00802616"/>
    <w:rsid w:val="00804502"/>
    <w:rsid w:val="0080460C"/>
    <w:rsid w:val="00804C78"/>
    <w:rsid w:val="00804F6E"/>
    <w:rsid w:val="00805A39"/>
    <w:rsid w:val="00806EE3"/>
    <w:rsid w:val="00807316"/>
    <w:rsid w:val="0080762C"/>
    <w:rsid w:val="00807630"/>
    <w:rsid w:val="00810882"/>
    <w:rsid w:val="00810A66"/>
    <w:rsid w:val="00812406"/>
    <w:rsid w:val="0081244B"/>
    <w:rsid w:val="008135E1"/>
    <w:rsid w:val="00815155"/>
    <w:rsid w:val="00816717"/>
    <w:rsid w:val="008167EE"/>
    <w:rsid w:val="008219BF"/>
    <w:rsid w:val="00822AA0"/>
    <w:rsid w:val="00823E7A"/>
    <w:rsid w:val="00824EE5"/>
    <w:rsid w:val="008258B9"/>
    <w:rsid w:val="00827A6D"/>
    <w:rsid w:val="00827E29"/>
    <w:rsid w:val="008307BE"/>
    <w:rsid w:val="00830E60"/>
    <w:rsid w:val="0083104F"/>
    <w:rsid w:val="00831623"/>
    <w:rsid w:val="0083181E"/>
    <w:rsid w:val="00832ADA"/>
    <w:rsid w:val="008341AE"/>
    <w:rsid w:val="00834893"/>
    <w:rsid w:val="00835B32"/>
    <w:rsid w:val="00835F73"/>
    <w:rsid w:val="008364A3"/>
    <w:rsid w:val="00837D96"/>
    <w:rsid w:val="00837DE1"/>
    <w:rsid w:val="0084265E"/>
    <w:rsid w:val="00843462"/>
    <w:rsid w:val="00844F68"/>
    <w:rsid w:val="00844F7C"/>
    <w:rsid w:val="008463E3"/>
    <w:rsid w:val="00846518"/>
    <w:rsid w:val="00846562"/>
    <w:rsid w:val="0084661D"/>
    <w:rsid w:val="0084676C"/>
    <w:rsid w:val="0084676F"/>
    <w:rsid w:val="00847539"/>
    <w:rsid w:val="00850B15"/>
    <w:rsid w:val="00851A84"/>
    <w:rsid w:val="00851B45"/>
    <w:rsid w:val="00852951"/>
    <w:rsid w:val="00852D09"/>
    <w:rsid w:val="00853AF3"/>
    <w:rsid w:val="00853E7F"/>
    <w:rsid w:val="00853FAE"/>
    <w:rsid w:val="00856038"/>
    <w:rsid w:val="008565A0"/>
    <w:rsid w:val="008569B3"/>
    <w:rsid w:val="00856CDF"/>
    <w:rsid w:val="00856D7E"/>
    <w:rsid w:val="008571A1"/>
    <w:rsid w:val="0085728A"/>
    <w:rsid w:val="00861468"/>
    <w:rsid w:val="008619AD"/>
    <w:rsid w:val="008621D4"/>
    <w:rsid w:val="00862236"/>
    <w:rsid w:val="00862A1A"/>
    <w:rsid w:val="00862BD2"/>
    <w:rsid w:val="00863281"/>
    <w:rsid w:val="00863351"/>
    <w:rsid w:val="00863A4A"/>
    <w:rsid w:val="00863D62"/>
    <w:rsid w:val="0086407E"/>
    <w:rsid w:val="00864119"/>
    <w:rsid w:val="00864869"/>
    <w:rsid w:val="00864A66"/>
    <w:rsid w:val="00864DCB"/>
    <w:rsid w:val="0086551D"/>
    <w:rsid w:val="008663D9"/>
    <w:rsid w:val="0086640C"/>
    <w:rsid w:val="0086667E"/>
    <w:rsid w:val="008675A9"/>
    <w:rsid w:val="008709EE"/>
    <w:rsid w:val="00870EF6"/>
    <w:rsid w:val="00871152"/>
    <w:rsid w:val="00872483"/>
    <w:rsid w:val="00872C15"/>
    <w:rsid w:val="008731D1"/>
    <w:rsid w:val="00873A5F"/>
    <w:rsid w:val="00873E6B"/>
    <w:rsid w:val="00875A64"/>
    <w:rsid w:val="00875C5D"/>
    <w:rsid w:val="0087636A"/>
    <w:rsid w:val="0087695F"/>
    <w:rsid w:val="00876C13"/>
    <w:rsid w:val="00877ACA"/>
    <w:rsid w:val="00877FC6"/>
    <w:rsid w:val="0088086B"/>
    <w:rsid w:val="008816F3"/>
    <w:rsid w:val="0088199E"/>
    <w:rsid w:val="008826EE"/>
    <w:rsid w:val="00883F5C"/>
    <w:rsid w:val="00884D0B"/>
    <w:rsid w:val="00884DEB"/>
    <w:rsid w:val="00885DD5"/>
    <w:rsid w:val="0088605B"/>
    <w:rsid w:val="00886B66"/>
    <w:rsid w:val="008875E9"/>
    <w:rsid w:val="00890087"/>
    <w:rsid w:val="008906F4"/>
    <w:rsid w:val="0089070D"/>
    <w:rsid w:val="008908BC"/>
    <w:rsid w:val="00890945"/>
    <w:rsid w:val="00890AC2"/>
    <w:rsid w:val="008912B2"/>
    <w:rsid w:val="008915E7"/>
    <w:rsid w:val="0089180C"/>
    <w:rsid w:val="00891E86"/>
    <w:rsid w:val="00892AE4"/>
    <w:rsid w:val="008932B6"/>
    <w:rsid w:val="008936FF"/>
    <w:rsid w:val="00893ABF"/>
    <w:rsid w:val="00895EC0"/>
    <w:rsid w:val="008960E0"/>
    <w:rsid w:val="008963A5"/>
    <w:rsid w:val="00896548"/>
    <w:rsid w:val="0089660A"/>
    <w:rsid w:val="00896B37"/>
    <w:rsid w:val="0089720B"/>
    <w:rsid w:val="008972CC"/>
    <w:rsid w:val="008973F6"/>
    <w:rsid w:val="00897D6F"/>
    <w:rsid w:val="008A0007"/>
    <w:rsid w:val="008A0640"/>
    <w:rsid w:val="008A098D"/>
    <w:rsid w:val="008A0DD0"/>
    <w:rsid w:val="008A15F4"/>
    <w:rsid w:val="008A16A0"/>
    <w:rsid w:val="008A1857"/>
    <w:rsid w:val="008A1949"/>
    <w:rsid w:val="008A1B30"/>
    <w:rsid w:val="008A1E31"/>
    <w:rsid w:val="008A20D8"/>
    <w:rsid w:val="008A24B6"/>
    <w:rsid w:val="008A2BA0"/>
    <w:rsid w:val="008A2E62"/>
    <w:rsid w:val="008A3683"/>
    <w:rsid w:val="008A3B91"/>
    <w:rsid w:val="008A3DC3"/>
    <w:rsid w:val="008A405A"/>
    <w:rsid w:val="008A5A64"/>
    <w:rsid w:val="008A5CE6"/>
    <w:rsid w:val="008A5E43"/>
    <w:rsid w:val="008A6B32"/>
    <w:rsid w:val="008A6CB1"/>
    <w:rsid w:val="008A6FB3"/>
    <w:rsid w:val="008A7609"/>
    <w:rsid w:val="008A7AC0"/>
    <w:rsid w:val="008A7C55"/>
    <w:rsid w:val="008B09CE"/>
    <w:rsid w:val="008B3B8B"/>
    <w:rsid w:val="008B3C37"/>
    <w:rsid w:val="008B422E"/>
    <w:rsid w:val="008B42B8"/>
    <w:rsid w:val="008B4C55"/>
    <w:rsid w:val="008B52DB"/>
    <w:rsid w:val="008B585F"/>
    <w:rsid w:val="008B651A"/>
    <w:rsid w:val="008B70A7"/>
    <w:rsid w:val="008B74B7"/>
    <w:rsid w:val="008B7684"/>
    <w:rsid w:val="008B7ACF"/>
    <w:rsid w:val="008B7FE3"/>
    <w:rsid w:val="008C0104"/>
    <w:rsid w:val="008C0A92"/>
    <w:rsid w:val="008C0C7E"/>
    <w:rsid w:val="008C2420"/>
    <w:rsid w:val="008C2680"/>
    <w:rsid w:val="008C271B"/>
    <w:rsid w:val="008C2FB8"/>
    <w:rsid w:val="008C39E0"/>
    <w:rsid w:val="008C630E"/>
    <w:rsid w:val="008C698D"/>
    <w:rsid w:val="008C6D4E"/>
    <w:rsid w:val="008C7035"/>
    <w:rsid w:val="008C7488"/>
    <w:rsid w:val="008C7935"/>
    <w:rsid w:val="008D0024"/>
    <w:rsid w:val="008D1325"/>
    <w:rsid w:val="008D16A2"/>
    <w:rsid w:val="008D2EC9"/>
    <w:rsid w:val="008D3805"/>
    <w:rsid w:val="008D52F8"/>
    <w:rsid w:val="008D5FE7"/>
    <w:rsid w:val="008D6405"/>
    <w:rsid w:val="008D76A1"/>
    <w:rsid w:val="008E05B4"/>
    <w:rsid w:val="008E0A42"/>
    <w:rsid w:val="008E1875"/>
    <w:rsid w:val="008E1FE1"/>
    <w:rsid w:val="008E26FB"/>
    <w:rsid w:val="008E2B09"/>
    <w:rsid w:val="008E337D"/>
    <w:rsid w:val="008E3438"/>
    <w:rsid w:val="008E39B1"/>
    <w:rsid w:val="008E41D3"/>
    <w:rsid w:val="008E436C"/>
    <w:rsid w:val="008E56F0"/>
    <w:rsid w:val="008E6A31"/>
    <w:rsid w:val="008E6B0B"/>
    <w:rsid w:val="008E6E26"/>
    <w:rsid w:val="008E7918"/>
    <w:rsid w:val="008E79FB"/>
    <w:rsid w:val="008F0BD5"/>
    <w:rsid w:val="008F2229"/>
    <w:rsid w:val="008F2A2C"/>
    <w:rsid w:val="008F3075"/>
    <w:rsid w:val="008F3ECB"/>
    <w:rsid w:val="008F401D"/>
    <w:rsid w:val="008F4084"/>
    <w:rsid w:val="008F4313"/>
    <w:rsid w:val="008F459A"/>
    <w:rsid w:val="008F4F71"/>
    <w:rsid w:val="008F5251"/>
    <w:rsid w:val="008F555B"/>
    <w:rsid w:val="008F5983"/>
    <w:rsid w:val="009002DB"/>
    <w:rsid w:val="009008BC"/>
    <w:rsid w:val="00900AB0"/>
    <w:rsid w:val="0090194C"/>
    <w:rsid w:val="00901CC0"/>
    <w:rsid w:val="00902151"/>
    <w:rsid w:val="0090277F"/>
    <w:rsid w:val="00902F2F"/>
    <w:rsid w:val="0090511C"/>
    <w:rsid w:val="0090528A"/>
    <w:rsid w:val="0090545C"/>
    <w:rsid w:val="0090561C"/>
    <w:rsid w:val="009058A4"/>
    <w:rsid w:val="009060D2"/>
    <w:rsid w:val="009069B1"/>
    <w:rsid w:val="009072E8"/>
    <w:rsid w:val="00910134"/>
    <w:rsid w:val="00910564"/>
    <w:rsid w:val="0091093D"/>
    <w:rsid w:val="00911675"/>
    <w:rsid w:val="00911BD9"/>
    <w:rsid w:val="00911BF0"/>
    <w:rsid w:val="00912017"/>
    <w:rsid w:val="00912E4D"/>
    <w:rsid w:val="00913551"/>
    <w:rsid w:val="0091481A"/>
    <w:rsid w:val="00915535"/>
    <w:rsid w:val="009164CE"/>
    <w:rsid w:val="0091695B"/>
    <w:rsid w:val="00916D4C"/>
    <w:rsid w:val="00917325"/>
    <w:rsid w:val="00917CCA"/>
    <w:rsid w:val="00917DEB"/>
    <w:rsid w:val="00917F00"/>
    <w:rsid w:val="00920F2B"/>
    <w:rsid w:val="00921641"/>
    <w:rsid w:val="00921BFF"/>
    <w:rsid w:val="00922132"/>
    <w:rsid w:val="00922B46"/>
    <w:rsid w:val="00924782"/>
    <w:rsid w:val="00924908"/>
    <w:rsid w:val="00924950"/>
    <w:rsid w:val="00924E58"/>
    <w:rsid w:val="00925A65"/>
    <w:rsid w:val="00925E44"/>
    <w:rsid w:val="00926A3C"/>
    <w:rsid w:val="00926EAF"/>
    <w:rsid w:val="00927890"/>
    <w:rsid w:val="0093183C"/>
    <w:rsid w:val="0093204D"/>
    <w:rsid w:val="00932097"/>
    <w:rsid w:val="00932B2F"/>
    <w:rsid w:val="009355C3"/>
    <w:rsid w:val="00936068"/>
    <w:rsid w:val="009377CE"/>
    <w:rsid w:val="00937927"/>
    <w:rsid w:val="009403A8"/>
    <w:rsid w:val="00941581"/>
    <w:rsid w:val="00941D0A"/>
    <w:rsid w:val="00943040"/>
    <w:rsid w:val="00944007"/>
    <w:rsid w:val="00944F10"/>
    <w:rsid w:val="009455AF"/>
    <w:rsid w:val="009464B6"/>
    <w:rsid w:val="00946DB0"/>
    <w:rsid w:val="00947AED"/>
    <w:rsid w:val="00947C35"/>
    <w:rsid w:val="00951BE3"/>
    <w:rsid w:val="009531C2"/>
    <w:rsid w:val="009540B6"/>
    <w:rsid w:val="00955DB6"/>
    <w:rsid w:val="00955E90"/>
    <w:rsid w:val="009560A9"/>
    <w:rsid w:val="009561B0"/>
    <w:rsid w:val="00956594"/>
    <w:rsid w:val="00957466"/>
    <w:rsid w:val="00957FC2"/>
    <w:rsid w:val="00960357"/>
    <w:rsid w:val="009603AC"/>
    <w:rsid w:val="0096173F"/>
    <w:rsid w:val="00961EA4"/>
    <w:rsid w:val="009622C2"/>
    <w:rsid w:val="00962DE6"/>
    <w:rsid w:val="00963216"/>
    <w:rsid w:val="00963710"/>
    <w:rsid w:val="00964DFC"/>
    <w:rsid w:val="00964FBD"/>
    <w:rsid w:val="00965BBE"/>
    <w:rsid w:val="009665AD"/>
    <w:rsid w:val="00966AEE"/>
    <w:rsid w:val="00966E75"/>
    <w:rsid w:val="00967094"/>
    <w:rsid w:val="009672DE"/>
    <w:rsid w:val="0096775B"/>
    <w:rsid w:val="009703F5"/>
    <w:rsid w:val="00970EB1"/>
    <w:rsid w:val="00971A26"/>
    <w:rsid w:val="009724DF"/>
    <w:rsid w:val="0097273E"/>
    <w:rsid w:val="0097282A"/>
    <w:rsid w:val="0097319C"/>
    <w:rsid w:val="00973569"/>
    <w:rsid w:val="00973AFE"/>
    <w:rsid w:val="00973B27"/>
    <w:rsid w:val="00973E56"/>
    <w:rsid w:val="009750E9"/>
    <w:rsid w:val="0097562A"/>
    <w:rsid w:val="009767E1"/>
    <w:rsid w:val="00977A70"/>
    <w:rsid w:val="00977CF2"/>
    <w:rsid w:val="00977FD3"/>
    <w:rsid w:val="00980622"/>
    <w:rsid w:val="0098093D"/>
    <w:rsid w:val="00980A96"/>
    <w:rsid w:val="00980BD6"/>
    <w:rsid w:val="00980DDD"/>
    <w:rsid w:val="00981B20"/>
    <w:rsid w:val="00981F0C"/>
    <w:rsid w:val="00982427"/>
    <w:rsid w:val="00983A10"/>
    <w:rsid w:val="00983B0A"/>
    <w:rsid w:val="009846AB"/>
    <w:rsid w:val="009849E7"/>
    <w:rsid w:val="0098631F"/>
    <w:rsid w:val="009866BD"/>
    <w:rsid w:val="00986930"/>
    <w:rsid w:val="00986C0A"/>
    <w:rsid w:val="00986DB1"/>
    <w:rsid w:val="00986DD1"/>
    <w:rsid w:val="00987491"/>
    <w:rsid w:val="00987C1D"/>
    <w:rsid w:val="0099198F"/>
    <w:rsid w:val="009920CB"/>
    <w:rsid w:val="009950A4"/>
    <w:rsid w:val="009952CE"/>
    <w:rsid w:val="009962B6"/>
    <w:rsid w:val="00996963"/>
    <w:rsid w:val="00996B46"/>
    <w:rsid w:val="009979D8"/>
    <w:rsid w:val="00997DA4"/>
    <w:rsid w:val="00997FB0"/>
    <w:rsid w:val="009A02F7"/>
    <w:rsid w:val="009A0BA3"/>
    <w:rsid w:val="009A1726"/>
    <w:rsid w:val="009A1E1B"/>
    <w:rsid w:val="009A1FD0"/>
    <w:rsid w:val="009A2477"/>
    <w:rsid w:val="009A28F0"/>
    <w:rsid w:val="009A2FA2"/>
    <w:rsid w:val="009A34E3"/>
    <w:rsid w:val="009A3C14"/>
    <w:rsid w:val="009A3D00"/>
    <w:rsid w:val="009A43A2"/>
    <w:rsid w:val="009A5C4D"/>
    <w:rsid w:val="009A749F"/>
    <w:rsid w:val="009A7A1E"/>
    <w:rsid w:val="009B0CD6"/>
    <w:rsid w:val="009B0DE1"/>
    <w:rsid w:val="009B12A9"/>
    <w:rsid w:val="009B183A"/>
    <w:rsid w:val="009B1D3C"/>
    <w:rsid w:val="009B2FD6"/>
    <w:rsid w:val="009B3EE9"/>
    <w:rsid w:val="009B444A"/>
    <w:rsid w:val="009B5141"/>
    <w:rsid w:val="009B6112"/>
    <w:rsid w:val="009B627B"/>
    <w:rsid w:val="009B655F"/>
    <w:rsid w:val="009B6965"/>
    <w:rsid w:val="009C00B8"/>
    <w:rsid w:val="009C03B8"/>
    <w:rsid w:val="009C0462"/>
    <w:rsid w:val="009C0BA7"/>
    <w:rsid w:val="009C0E9F"/>
    <w:rsid w:val="009C1443"/>
    <w:rsid w:val="009C1685"/>
    <w:rsid w:val="009C1AF5"/>
    <w:rsid w:val="009C29A7"/>
    <w:rsid w:val="009C2E51"/>
    <w:rsid w:val="009C40AE"/>
    <w:rsid w:val="009C4B6D"/>
    <w:rsid w:val="009C4D49"/>
    <w:rsid w:val="009C5ABD"/>
    <w:rsid w:val="009C7410"/>
    <w:rsid w:val="009C75CA"/>
    <w:rsid w:val="009C7899"/>
    <w:rsid w:val="009D0F80"/>
    <w:rsid w:val="009D143D"/>
    <w:rsid w:val="009D32FA"/>
    <w:rsid w:val="009D367E"/>
    <w:rsid w:val="009D4138"/>
    <w:rsid w:val="009D4E79"/>
    <w:rsid w:val="009D508D"/>
    <w:rsid w:val="009D66F7"/>
    <w:rsid w:val="009D6C9E"/>
    <w:rsid w:val="009D773D"/>
    <w:rsid w:val="009D7A6B"/>
    <w:rsid w:val="009E0138"/>
    <w:rsid w:val="009E0160"/>
    <w:rsid w:val="009E04DD"/>
    <w:rsid w:val="009E0501"/>
    <w:rsid w:val="009E0969"/>
    <w:rsid w:val="009E0B67"/>
    <w:rsid w:val="009E1466"/>
    <w:rsid w:val="009E1C3C"/>
    <w:rsid w:val="009E1DCA"/>
    <w:rsid w:val="009E1FAB"/>
    <w:rsid w:val="009E317D"/>
    <w:rsid w:val="009E3897"/>
    <w:rsid w:val="009E3C5A"/>
    <w:rsid w:val="009E41E7"/>
    <w:rsid w:val="009E4A43"/>
    <w:rsid w:val="009E5007"/>
    <w:rsid w:val="009E69A8"/>
    <w:rsid w:val="009E6FD3"/>
    <w:rsid w:val="009E7806"/>
    <w:rsid w:val="009F10EF"/>
    <w:rsid w:val="009F4EDA"/>
    <w:rsid w:val="009F6B51"/>
    <w:rsid w:val="009F6C40"/>
    <w:rsid w:val="00A003E8"/>
    <w:rsid w:val="00A00700"/>
    <w:rsid w:val="00A01B75"/>
    <w:rsid w:val="00A02320"/>
    <w:rsid w:val="00A025D0"/>
    <w:rsid w:val="00A02954"/>
    <w:rsid w:val="00A03B3E"/>
    <w:rsid w:val="00A0442B"/>
    <w:rsid w:val="00A04ADE"/>
    <w:rsid w:val="00A051C2"/>
    <w:rsid w:val="00A05453"/>
    <w:rsid w:val="00A05D3B"/>
    <w:rsid w:val="00A06453"/>
    <w:rsid w:val="00A06931"/>
    <w:rsid w:val="00A074EC"/>
    <w:rsid w:val="00A077F6"/>
    <w:rsid w:val="00A07EB5"/>
    <w:rsid w:val="00A07FE9"/>
    <w:rsid w:val="00A109A5"/>
    <w:rsid w:val="00A10BB1"/>
    <w:rsid w:val="00A11479"/>
    <w:rsid w:val="00A11E5F"/>
    <w:rsid w:val="00A14DE3"/>
    <w:rsid w:val="00A154A6"/>
    <w:rsid w:val="00A158AC"/>
    <w:rsid w:val="00A1615B"/>
    <w:rsid w:val="00A1647C"/>
    <w:rsid w:val="00A16DF6"/>
    <w:rsid w:val="00A2073E"/>
    <w:rsid w:val="00A21359"/>
    <w:rsid w:val="00A21ABB"/>
    <w:rsid w:val="00A21E33"/>
    <w:rsid w:val="00A220E0"/>
    <w:rsid w:val="00A2263B"/>
    <w:rsid w:val="00A2287F"/>
    <w:rsid w:val="00A233D2"/>
    <w:rsid w:val="00A23816"/>
    <w:rsid w:val="00A23BCD"/>
    <w:rsid w:val="00A23BE1"/>
    <w:rsid w:val="00A2427C"/>
    <w:rsid w:val="00A24530"/>
    <w:rsid w:val="00A25D81"/>
    <w:rsid w:val="00A26BDC"/>
    <w:rsid w:val="00A30A1F"/>
    <w:rsid w:val="00A30C0B"/>
    <w:rsid w:val="00A317BC"/>
    <w:rsid w:val="00A31D42"/>
    <w:rsid w:val="00A32E3D"/>
    <w:rsid w:val="00A32E52"/>
    <w:rsid w:val="00A33130"/>
    <w:rsid w:val="00A3397E"/>
    <w:rsid w:val="00A33FA9"/>
    <w:rsid w:val="00A34356"/>
    <w:rsid w:val="00A36752"/>
    <w:rsid w:val="00A3693A"/>
    <w:rsid w:val="00A36E24"/>
    <w:rsid w:val="00A3776B"/>
    <w:rsid w:val="00A37840"/>
    <w:rsid w:val="00A37922"/>
    <w:rsid w:val="00A3799B"/>
    <w:rsid w:val="00A4004F"/>
    <w:rsid w:val="00A40D2A"/>
    <w:rsid w:val="00A41A5A"/>
    <w:rsid w:val="00A41C00"/>
    <w:rsid w:val="00A4264D"/>
    <w:rsid w:val="00A42876"/>
    <w:rsid w:val="00A42933"/>
    <w:rsid w:val="00A42E26"/>
    <w:rsid w:val="00A4321C"/>
    <w:rsid w:val="00A43B73"/>
    <w:rsid w:val="00A43BE5"/>
    <w:rsid w:val="00A441DD"/>
    <w:rsid w:val="00A4429E"/>
    <w:rsid w:val="00A4443B"/>
    <w:rsid w:val="00A45D57"/>
    <w:rsid w:val="00A4658E"/>
    <w:rsid w:val="00A46A91"/>
    <w:rsid w:val="00A46DFF"/>
    <w:rsid w:val="00A501AD"/>
    <w:rsid w:val="00A51ED0"/>
    <w:rsid w:val="00A52F1F"/>
    <w:rsid w:val="00A5423B"/>
    <w:rsid w:val="00A552EB"/>
    <w:rsid w:val="00A55CC9"/>
    <w:rsid w:val="00A56025"/>
    <w:rsid w:val="00A576FE"/>
    <w:rsid w:val="00A57839"/>
    <w:rsid w:val="00A60274"/>
    <w:rsid w:val="00A60841"/>
    <w:rsid w:val="00A630D7"/>
    <w:rsid w:val="00A63288"/>
    <w:rsid w:val="00A647C0"/>
    <w:rsid w:val="00A6557A"/>
    <w:rsid w:val="00A661FE"/>
    <w:rsid w:val="00A663E4"/>
    <w:rsid w:val="00A66943"/>
    <w:rsid w:val="00A66BD3"/>
    <w:rsid w:val="00A67B78"/>
    <w:rsid w:val="00A7121D"/>
    <w:rsid w:val="00A72BED"/>
    <w:rsid w:val="00A73125"/>
    <w:rsid w:val="00A7399F"/>
    <w:rsid w:val="00A74638"/>
    <w:rsid w:val="00A74CE8"/>
    <w:rsid w:val="00A76EC1"/>
    <w:rsid w:val="00A77053"/>
    <w:rsid w:val="00A77261"/>
    <w:rsid w:val="00A7764A"/>
    <w:rsid w:val="00A77817"/>
    <w:rsid w:val="00A77AD0"/>
    <w:rsid w:val="00A8026D"/>
    <w:rsid w:val="00A80F8F"/>
    <w:rsid w:val="00A81F62"/>
    <w:rsid w:val="00A8329E"/>
    <w:rsid w:val="00A8373A"/>
    <w:rsid w:val="00A83990"/>
    <w:rsid w:val="00A83EEC"/>
    <w:rsid w:val="00A84A62"/>
    <w:rsid w:val="00A85539"/>
    <w:rsid w:val="00A86BA8"/>
    <w:rsid w:val="00A871E1"/>
    <w:rsid w:val="00A90341"/>
    <w:rsid w:val="00A904E8"/>
    <w:rsid w:val="00A9203E"/>
    <w:rsid w:val="00A924E7"/>
    <w:rsid w:val="00A9309D"/>
    <w:rsid w:val="00A9480C"/>
    <w:rsid w:val="00A95620"/>
    <w:rsid w:val="00A95A00"/>
    <w:rsid w:val="00A95B37"/>
    <w:rsid w:val="00A9615C"/>
    <w:rsid w:val="00A96CB3"/>
    <w:rsid w:val="00A97245"/>
    <w:rsid w:val="00AA00FA"/>
    <w:rsid w:val="00AA04C8"/>
    <w:rsid w:val="00AA16EB"/>
    <w:rsid w:val="00AA1903"/>
    <w:rsid w:val="00AA225E"/>
    <w:rsid w:val="00AA25FF"/>
    <w:rsid w:val="00AA273A"/>
    <w:rsid w:val="00AA2DAE"/>
    <w:rsid w:val="00AA4049"/>
    <w:rsid w:val="00AA439F"/>
    <w:rsid w:val="00AA49BF"/>
    <w:rsid w:val="00AA4B96"/>
    <w:rsid w:val="00AA651B"/>
    <w:rsid w:val="00AA6778"/>
    <w:rsid w:val="00AA750B"/>
    <w:rsid w:val="00AA757C"/>
    <w:rsid w:val="00AA7D7D"/>
    <w:rsid w:val="00AA7E75"/>
    <w:rsid w:val="00AB064C"/>
    <w:rsid w:val="00AB15F9"/>
    <w:rsid w:val="00AB1AFF"/>
    <w:rsid w:val="00AB2FB7"/>
    <w:rsid w:val="00AB4EBA"/>
    <w:rsid w:val="00AB53E6"/>
    <w:rsid w:val="00AB6137"/>
    <w:rsid w:val="00AB67AD"/>
    <w:rsid w:val="00AB6B7F"/>
    <w:rsid w:val="00AB7249"/>
    <w:rsid w:val="00AC0080"/>
    <w:rsid w:val="00AC0836"/>
    <w:rsid w:val="00AC16A4"/>
    <w:rsid w:val="00AC4164"/>
    <w:rsid w:val="00AC4277"/>
    <w:rsid w:val="00AC463D"/>
    <w:rsid w:val="00AC4B78"/>
    <w:rsid w:val="00AC5AFC"/>
    <w:rsid w:val="00AC5DD0"/>
    <w:rsid w:val="00AC641B"/>
    <w:rsid w:val="00AC699A"/>
    <w:rsid w:val="00AC7541"/>
    <w:rsid w:val="00AC7AD2"/>
    <w:rsid w:val="00AC7E19"/>
    <w:rsid w:val="00AC7E93"/>
    <w:rsid w:val="00AD0F65"/>
    <w:rsid w:val="00AD2216"/>
    <w:rsid w:val="00AD3827"/>
    <w:rsid w:val="00AD3BCF"/>
    <w:rsid w:val="00AD414F"/>
    <w:rsid w:val="00AD436F"/>
    <w:rsid w:val="00AD4D28"/>
    <w:rsid w:val="00AD7094"/>
    <w:rsid w:val="00AD7D5B"/>
    <w:rsid w:val="00AE2B5D"/>
    <w:rsid w:val="00AE498B"/>
    <w:rsid w:val="00AE4B94"/>
    <w:rsid w:val="00AE54E9"/>
    <w:rsid w:val="00AE5AC2"/>
    <w:rsid w:val="00AE63EB"/>
    <w:rsid w:val="00AE6E12"/>
    <w:rsid w:val="00AE770B"/>
    <w:rsid w:val="00AF0158"/>
    <w:rsid w:val="00AF0EBC"/>
    <w:rsid w:val="00AF0F47"/>
    <w:rsid w:val="00AF122C"/>
    <w:rsid w:val="00AF1D0D"/>
    <w:rsid w:val="00AF38D0"/>
    <w:rsid w:val="00AF3C06"/>
    <w:rsid w:val="00AF4A51"/>
    <w:rsid w:val="00AF5A4A"/>
    <w:rsid w:val="00AF5E4F"/>
    <w:rsid w:val="00AF72DE"/>
    <w:rsid w:val="00AF7665"/>
    <w:rsid w:val="00AF76CE"/>
    <w:rsid w:val="00B00C3B"/>
    <w:rsid w:val="00B00DF0"/>
    <w:rsid w:val="00B02DEC"/>
    <w:rsid w:val="00B03408"/>
    <w:rsid w:val="00B03E77"/>
    <w:rsid w:val="00B04A42"/>
    <w:rsid w:val="00B05174"/>
    <w:rsid w:val="00B05644"/>
    <w:rsid w:val="00B057D9"/>
    <w:rsid w:val="00B05908"/>
    <w:rsid w:val="00B05D1B"/>
    <w:rsid w:val="00B06961"/>
    <w:rsid w:val="00B06DA0"/>
    <w:rsid w:val="00B072EF"/>
    <w:rsid w:val="00B101BF"/>
    <w:rsid w:val="00B1067A"/>
    <w:rsid w:val="00B10BC9"/>
    <w:rsid w:val="00B10CEA"/>
    <w:rsid w:val="00B11B6E"/>
    <w:rsid w:val="00B1200C"/>
    <w:rsid w:val="00B1296A"/>
    <w:rsid w:val="00B12EFC"/>
    <w:rsid w:val="00B132B3"/>
    <w:rsid w:val="00B146FA"/>
    <w:rsid w:val="00B147F2"/>
    <w:rsid w:val="00B14B34"/>
    <w:rsid w:val="00B1601F"/>
    <w:rsid w:val="00B17B2F"/>
    <w:rsid w:val="00B205E8"/>
    <w:rsid w:val="00B21A4A"/>
    <w:rsid w:val="00B221C7"/>
    <w:rsid w:val="00B223AA"/>
    <w:rsid w:val="00B23827"/>
    <w:rsid w:val="00B23E81"/>
    <w:rsid w:val="00B2449A"/>
    <w:rsid w:val="00B248C1"/>
    <w:rsid w:val="00B25D74"/>
    <w:rsid w:val="00B2647B"/>
    <w:rsid w:val="00B26C0F"/>
    <w:rsid w:val="00B27411"/>
    <w:rsid w:val="00B30506"/>
    <w:rsid w:val="00B308E3"/>
    <w:rsid w:val="00B31847"/>
    <w:rsid w:val="00B31948"/>
    <w:rsid w:val="00B32ADC"/>
    <w:rsid w:val="00B3350F"/>
    <w:rsid w:val="00B33AB0"/>
    <w:rsid w:val="00B348D0"/>
    <w:rsid w:val="00B361F6"/>
    <w:rsid w:val="00B377EB"/>
    <w:rsid w:val="00B40431"/>
    <w:rsid w:val="00B40AD9"/>
    <w:rsid w:val="00B42A8C"/>
    <w:rsid w:val="00B42AE4"/>
    <w:rsid w:val="00B445F5"/>
    <w:rsid w:val="00B44BFD"/>
    <w:rsid w:val="00B456B3"/>
    <w:rsid w:val="00B45721"/>
    <w:rsid w:val="00B4583F"/>
    <w:rsid w:val="00B46723"/>
    <w:rsid w:val="00B46AE2"/>
    <w:rsid w:val="00B46D64"/>
    <w:rsid w:val="00B47AB9"/>
    <w:rsid w:val="00B47F1F"/>
    <w:rsid w:val="00B501D3"/>
    <w:rsid w:val="00B5047E"/>
    <w:rsid w:val="00B50D7A"/>
    <w:rsid w:val="00B50E05"/>
    <w:rsid w:val="00B51E48"/>
    <w:rsid w:val="00B52678"/>
    <w:rsid w:val="00B52BE1"/>
    <w:rsid w:val="00B539B2"/>
    <w:rsid w:val="00B545D5"/>
    <w:rsid w:val="00B5562B"/>
    <w:rsid w:val="00B55CEC"/>
    <w:rsid w:val="00B55FA7"/>
    <w:rsid w:val="00B563A6"/>
    <w:rsid w:val="00B57FA9"/>
    <w:rsid w:val="00B60406"/>
    <w:rsid w:val="00B61100"/>
    <w:rsid w:val="00B6203A"/>
    <w:rsid w:val="00B62153"/>
    <w:rsid w:val="00B62306"/>
    <w:rsid w:val="00B626D6"/>
    <w:rsid w:val="00B62D12"/>
    <w:rsid w:val="00B64E97"/>
    <w:rsid w:val="00B65FFF"/>
    <w:rsid w:val="00B66633"/>
    <w:rsid w:val="00B67AB8"/>
    <w:rsid w:val="00B70661"/>
    <w:rsid w:val="00B7159D"/>
    <w:rsid w:val="00B7205D"/>
    <w:rsid w:val="00B7279F"/>
    <w:rsid w:val="00B72904"/>
    <w:rsid w:val="00B736A6"/>
    <w:rsid w:val="00B73A66"/>
    <w:rsid w:val="00B74FBB"/>
    <w:rsid w:val="00B74FF9"/>
    <w:rsid w:val="00B75B9C"/>
    <w:rsid w:val="00B7694A"/>
    <w:rsid w:val="00B76DEB"/>
    <w:rsid w:val="00B7712C"/>
    <w:rsid w:val="00B773E6"/>
    <w:rsid w:val="00B77931"/>
    <w:rsid w:val="00B81096"/>
    <w:rsid w:val="00B817EB"/>
    <w:rsid w:val="00B81B23"/>
    <w:rsid w:val="00B839D3"/>
    <w:rsid w:val="00B83D0D"/>
    <w:rsid w:val="00B85AD4"/>
    <w:rsid w:val="00B86230"/>
    <w:rsid w:val="00B86AC9"/>
    <w:rsid w:val="00B872FD"/>
    <w:rsid w:val="00B87583"/>
    <w:rsid w:val="00B9067F"/>
    <w:rsid w:val="00B912F0"/>
    <w:rsid w:val="00B92342"/>
    <w:rsid w:val="00B924A7"/>
    <w:rsid w:val="00B92D2B"/>
    <w:rsid w:val="00B92D4E"/>
    <w:rsid w:val="00B93143"/>
    <w:rsid w:val="00B937D0"/>
    <w:rsid w:val="00B940C5"/>
    <w:rsid w:val="00B941E5"/>
    <w:rsid w:val="00B94625"/>
    <w:rsid w:val="00B94A6D"/>
    <w:rsid w:val="00B95CBC"/>
    <w:rsid w:val="00B95DEC"/>
    <w:rsid w:val="00B96B2D"/>
    <w:rsid w:val="00B96BE6"/>
    <w:rsid w:val="00BA0759"/>
    <w:rsid w:val="00BA07E9"/>
    <w:rsid w:val="00BA089B"/>
    <w:rsid w:val="00BA0D9A"/>
    <w:rsid w:val="00BA1826"/>
    <w:rsid w:val="00BA1C60"/>
    <w:rsid w:val="00BA1CD8"/>
    <w:rsid w:val="00BA2DCB"/>
    <w:rsid w:val="00BA306E"/>
    <w:rsid w:val="00BA38AD"/>
    <w:rsid w:val="00BA3C0D"/>
    <w:rsid w:val="00BA3C7E"/>
    <w:rsid w:val="00BA4909"/>
    <w:rsid w:val="00BA583D"/>
    <w:rsid w:val="00BA5938"/>
    <w:rsid w:val="00BA70B5"/>
    <w:rsid w:val="00BA75C9"/>
    <w:rsid w:val="00BA7652"/>
    <w:rsid w:val="00BB0FA5"/>
    <w:rsid w:val="00BB1024"/>
    <w:rsid w:val="00BB21A9"/>
    <w:rsid w:val="00BB2697"/>
    <w:rsid w:val="00BB412C"/>
    <w:rsid w:val="00BB418C"/>
    <w:rsid w:val="00BB42CE"/>
    <w:rsid w:val="00BB4733"/>
    <w:rsid w:val="00BB58DB"/>
    <w:rsid w:val="00BB6AF1"/>
    <w:rsid w:val="00BB6B0F"/>
    <w:rsid w:val="00BC0628"/>
    <w:rsid w:val="00BC07A2"/>
    <w:rsid w:val="00BC172D"/>
    <w:rsid w:val="00BC2390"/>
    <w:rsid w:val="00BC3769"/>
    <w:rsid w:val="00BC3AF8"/>
    <w:rsid w:val="00BC4617"/>
    <w:rsid w:val="00BC4F76"/>
    <w:rsid w:val="00BC54F7"/>
    <w:rsid w:val="00BC67CB"/>
    <w:rsid w:val="00BC7074"/>
    <w:rsid w:val="00BC7860"/>
    <w:rsid w:val="00BC7A82"/>
    <w:rsid w:val="00BC7FEA"/>
    <w:rsid w:val="00BD067D"/>
    <w:rsid w:val="00BD1010"/>
    <w:rsid w:val="00BD1472"/>
    <w:rsid w:val="00BD1673"/>
    <w:rsid w:val="00BD262C"/>
    <w:rsid w:val="00BD5A23"/>
    <w:rsid w:val="00BD6F80"/>
    <w:rsid w:val="00BD7D13"/>
    <w:rsid w:val="00BE0F03"/>
    <w:rsid w:val="00BE1347"/>
    <w:rsid w:val="00BE24A9"/>
    <w:rsid w:val="00BE2945"/>
    <w:rsid w:val="00BE3FF8"/>
    <w:rsid w:val="00BE4F36"/>
    <w:rsid w:val="00BE50BE"/>
    <w:rsid w:val="00BE52AF"/>
    <w:rsid w:val="00BE5481"/>
    <w:rsid w:val="00BE61D1"/>
    <w:rsid w:val="00BE6A2B"/>
    <w:rsid w:val="00BE6C56"/>
    <w:rsid w:val="00BE7CA8"/>
    <w:rsid w:val="00BE7E85"/>
    <w:rsid w:val="00BF066C"/>
    <w:rsid w:val="00BF19DB"/>
    <w:rsid w:val="00BF2A08"/>
    <w:rsid w:val="00BF2B1D"/>
    <w:rsid w:val="00BF319D"/>
    <w:rsid w:val="00BF3258"/>
    <w:rsid w:val="00BF364F"/>
    <w:rsid w:val="00BF388C"/>
    <w:rsid w:val="00BF3BB9"/>
    <w:rsid w:val="00BF3EC9"/>
    <w:rsid w:val="00BF56A8"/>
    <w:rsid w:val="00BF5765"/>
    <w:rsid w:val="00BF5EE4"/>
    <w:rsid w:val="00BF64B6"/>
    <w:rsid w:val="00BF757E"/>
    <w:rsid w:val="00BF7618"/>
    <w:rsid w:val="00BF7673"/>
    <w:rsid w:val="00BF7F58"/>
    <w:rsid w:val="00C00260"/>
    <w:rsid w:val="00C0050D"/>
    <w:rsid w:val="00C00931"/>
    <w:rsid w:val="00C00C98"/>
    <w:rsid w:val="00C027AA"/>
    <w:rsid w:val="00C02CAB"/>
    <w:rsid w:val="00C0360F"/>
    <w:rsid w:val="00C03AA4"/>
    <w:rsid w:val="00C04102"/>
    <w:rsid w:val="00C04819"/>
    <w:rsid w:val="00C04C25"/>
    <w:rsid w:val="00C06E27"/>
    <w:rsid w:val="00C0707A"/>
    <w:rsid w:val="00C0722C"/>
    <w:rsid w:val="00C073E6"/>
    <w:rsid w:val="00C10261"/>
    <w:rsid w:val="00C10420"/>
    <w:rsid w:val="00C111E3"/>
    <w:rsid w:val="00C1192F"/>
    <w:rsid w:val="00C122FB"/>
    <w:rsid w:val="00C12D9E"/>
    <w:rsid w:val="00C1332F"/>
    <w:rsid w:val="00C13665"/>
    <w:rsid w:val="00C13E7E"/>
    <w:rsid w:val="00C1409A"/>
    <w:rsid w:val="00C153CE"/>
    <w:rsid w:val="00C156B9"/>
    <w:rsid w:val="00C167C6"/>
    <w:rsid w:val="00C16A0B"/>
    <w:rsid w:val="00C17CD4"/>
    <w:rsid w:val="00C201F8"/>
    <w:rsid w:val="00C21C39"/>
    <w:rsid w:val="00C22474"/>
    <w:rsid w:val="00C25E21"/>
    <w:rsid w:val="00C268F3"/>
    <w:rsid w:val="00C30685"/>
    <w:rsid w:val="00C3322F"/>
    <w:rsid w:val="00C334A3"/>
    <w:rsid w:val="00C33DFA"/>
    <w:rsid w:val="00C34627"/>
    <w:rsid w:val="00C34970"/>
    <w:rsid w:val="00C3578D"/>
    <w:rsid w:val="00C35ABD"/>
    <w:rsid w:val="00C361BB"/>
    <w:rsid w:val="00C36ED7"/>
    <w:rsid w:val="00C37BAC"/>
    <w:rsid w:val="00C40B55"/>
    <w:rsid w:val="00C41271"/>
    <w:rsid w:val="00C41DAA"/>
    <w:rsid w:val="00C41E41"/>
    <w:rsid w:val="00C425A5"/>
    <w:rsid w:val="00C438CE"/>
    <w:rsid w:val="00C442B0"/>
    <w:rsid w:val="00C44767"/>
    <w:rsid w:val="00C4580C"/>
    <w:rsid w:val="00C463C6"/>
    <w:rsid w:val="00C46A15"/>
    <w:rsid w:val="00C47798"/>
    <w:rsid w:val="00C47AF8"/>
    <w:rsid w:val="00C50142"/>
    <w:rsid w:val="00C50D33"/>
    <w:rsid w:val="00C513A8"/>
    <w:rsid w:val="00C5328D"/>
    <w:rsid w:val="00C533C4"/>
    <w:rsid w:val="00C53984"/>
    <w:rsid w:val="00C54F22"/>
    <w:rsid w:val="00C5503E"/>
    <w:rsid w:val="00C55340"/>
    <w:rsid w:val="00C5548F"/>
    <w:rsid w:val="00C55620"/>
    <w:rsid w:val="00C55F7C"/>
    <w:rsid w:val="00C568DF"/>
    <w:rsid w:val="00C56F91"/>
    <w:rsid w:val="00C57BE5"/>
    <w:rsid w:val="00C60D9A"/>
    <w:rsid w:val="00C615A1"/>
    <w:rsid w:val="00C6183E"/>
    <w:rsid w:val="00C61C6F"/>
    <w:rsid w:val="00C63073"/>
    <w:rsid w:val="00C635D1"/>
    <w:rsid w:val="00C644F0"/>
    <w:rsid w:val="00C65DF2"/>
    <w:rsid w:val="00C6610B"/>
    <w:rsid w:val="00C6667E"/>
    <w:rsid w:val="00C66F43"/>
    <w:rsid w:val="00C67AC9"/>
    <w:rsid w:val="00C67B4D"/>
    <w:rsid w:val="00C70003"/>
    <w:rsid w:val="00C7106C"/>
    <w:rsid w:val="00C719E5"/>
    <w:rsid w:val="00C7239B"/>
    <w:rsid w:val="00C72D0C"/>
    <w:rsid w:val="00C72F90"/>
    <w:rsid w:val="00C7327C"/>
    <w:rsid w:val="00C74335"/>
    <w:rsid w:val="00C748CB"/>
    <w:rsid w:val="00C75E96"/>
    <w:rsid w:val="00C76114"/>
    <w:rsid w:val="00C76C8E"/>
    <w:rsid w:val="00C77AB1"/>
    <w:rsid w:val="00C77F1F"/>
    <w:rsid w:val="00C80116"/>
    <w:rsid w:val="00C80139"/>
    <w:rsid w:val="00C80308"/>
    <w:rsid w:val="00C804A1"/>
    <w:rsid w:val="00C80AC6"/>
    <w:rsid w:val="00C8115B"/>
    <w:rsid w:val="00C811EA"/>
    <w:rsid w:val="00C819CB"/>
    <w:rsid w:val="00C81D06"/>
    <w:rsid w:val="00C8338B"/>
    <w:rsid w:val="00C84224"/>
    <w:rsid w:val="00C84468"/>
    <w:rsid w:val="00C8494F"/>
    <w:rsid w:val="00C858D0"/>
    <w:rsid w:val="00C87A68"/>
    <w:rsid w:val="00C87F04"/>
    <w:rsid w:val="00C900D4"/>
    <w:rsid w:val="00C909D2"/>
    <w:rsid w:val="00C90CCF"/>
    <w:rsid w:val="00C9194D"/>
    <w:rsid w:val="00C92722"/>
    <w:rsid w:val="00C927DF"/>
    <w:rsid w:val="00C92E0E"/>
    <w:rsid w:val="00C93644"/>
    <w:rsid w:val="00C9373A"/>
    <w:rsid w:val="00C93C30"/>
    <w:rsid w:val="00C93C79"/>
    <w:rsid w:val="00C944DF"/>
    <w:rsid w:val="00C94ACC"/>
    <w:rsid w:val="00C9629E"/>
    <w:rsid w:val="00C97756"/>
    <w:rsid w:val="00C9783D"/>
    <w:rsid w:val="00CA07F7"/>
    <w:rsid w:val="00CA15AD"/>
    <w:rsid w:val="00CA178A"/>
    <w:rsid w:val="00CA18A4"/>
    <w:rsid w:val="00CA1AC0"/>
    <w:rsid w:val="00CA2D74"/>
    <w:rsid w:val="00CA2F78"/>
    <w:rsid w:val="00CA3246"/>
    <w:rsid w:val="00CA3B71"/>
    <w:rsid w:val="00CA3D5F"/>
    <w:rsid w:val="00CA4A4A"/>
    <w:rsid w:val="00CA6A23"/>
    <w:rsid w:val="00CA6BB6"/>
    <w:rsid w:val="00CA747E"/>
    <w:rsid w:val="00CA779C"/>
    <w:rsid w:val="00CB0135"/>
    <w:rsid w:val="00CB1A55"/>
    <w:rsid w:val="00CB2BB8"/>
    <w:rsid w:val="00CB34BF"/>
    <w:rsid w:val="00CB399B"/>
    <w:rsid w:val="00CB39A0"/>
    <w:rsid w:val="00CB5E10"/>
    <w:rsid w:val="00CB6B8E"/>
    <w:rsid w:val="00CB7071"/>
    <w:rsid w:val="00CC1332"/>
    <w:rsid w:val="00CC15E5"/>
    <w:rsid w:val="00CC2D11"/>
    <w:rsid w:val="00CC44EA"/>
    <w:rsid w:val="00CC4DDD"/>
    <w:rsid w:val="00CC532A"/>
    <w:rsid w:val="00CC5886"/>
    <w:rsid w:val="00CC5B5F"/>
    <w:rsid w:val="00CC5F38"/>
    <w:rsid w:val="00CC666A"/>
    <w:rsid w:val="00CC677A"/>
    <w:rsid w:val="00CC69C5"/>
    <w:rsid w:val="00CC6E48"/>
    <w:rsid w:val="00CC7365"/>
    <w:rsid w:val="00CD08B4"/>
    <w:rsid w:val="00CD0D68"/>
    <w:rsid w:val="00CD15D9"/>
    <w:rsid w:val="00CD1D77"/>
    <w:rsid w:val="00CD2271"/>
    <w:rsid w:val="00CD2658"/>
    <w:rsid w:val="00CD2961"/>
    <w:rsid w:val="00CD4A03"/>
    <w:rsid w:val="00CD4AEC"/>
    <w:rsid w:val="00CD5142"/>
    <w:rsid w:val="00CD5367"/>
    <w:rsid w:val="00CD59CB"/>
    <w:rsid w:val="00CD63D1"/>
    <w:rsid w:val="00CD6874"/>
    <w:rsid w:val="00CE0C5D"/>
    <w:rsid w:val="00CE0FDE"/>
    <w:rsid w:val="00CE1167"/>
    <w:rsid w:val="00CE1A9F"/>
    <w:rsid w:val="00CE227F"/>
    <w:rsid w:val="00CE26FC"/>
    <w:rsid w:val="00CE29F3"/>
    <w:rsid w:val="00CE70D5"/>
    <w:rsid w:val="00CF0B5F"/>
    <w:rsid w:val="00CF311F"/>
    <w:rsid w:val="00CF4628"/>
    <w:rsid w:val="00CF47C9"/>
    <w:rsid w:val="00CF4D3A"/>
    <w:rsid w:val="00CF5AA4"/>
    <w:rsid w:val="00CF6148"/>
    <w:rsid w:val="00CF7A28"/>
    <w:rsid w:val="00D00215"/>
    <w:rsid w:val="00D00B83"/>
    <w:rsid w:val="00D00E0B"/>
    <w:rsid w:val="00D00E33"/>
    <w:rsid w:val="00D01059"/>
    <w:rsid w:val="00D0132B"/>
    <w:rsid w:val="00D01A41"/>
    <w:rsid w:val="00D02FD7"/>
    <w:rsid w:val="00D03D22"/>
    <w:rsid w:val="00D03F1E"/>
    <w:rsid w:val="00D0403A"/>
    <w:rsid w:val="00D04669"/>
    <w:rsid w:val="00D04C1F"/>
    <w:rsid w:val="00D04C68"/>
    <w:rsid w:val="00D04FB8"/>
    <w:rsid w:val="00D0500F"/>
    <w:rsid w:val="00D050F6"/>
    <w:rsid w:val="00D0617F"/>
    <w:rsid w:val="00D06D93"/>
    <w:rsid w:val="00D075B9"/>
    <w:rsid w:val="00D079D1"/>
    <w:rsid w:val="00D10877"/>
    <w:rsid w:val="00D10EBF"/>
    <w:rsid w:val="00D1216E"/>
    <w:rsid w:val="00D12FF8"/>
    <w:rsid w:val="00D134EB"/>
    <w:rsid w:val="00D1361A"/>
    <w:rsid w:val="00D138E1"/>
    <w:rsid w:val="00D1413F"/>
    <w:rsid w:val="00D14B60"/>
    <w:rsid w:val="00D154DE"/>
    <w:rsid w:val="00D15D25"/>
    <w:rsid w:val="00D17D6D"/>
    <w:rsid w:val="00D2121D"/>
    <w:rsid w:val="00D22377"/>
    <w:rsid w:val="00D22DDD"/>
    <w:rsid w:val="00D22E9F"/>
    <w:rsid w:val="00D22EF1"/>
    <w:rsid w:val="00D23091"/>
    <w:rsid w:val="00D235EE"/>
    <w:rsid w:val="00D237BA"/>
    <w:rsid w:val="00D23FF6"/>
    <w:rsid w:val="00D24634"/>
    <w:rsid w:val="00D25160"/>
    <w:rsid w:val="00D2580B"/>
    <w:rsid w:val="00D26503"/>
    <w:rsid w:val="00D2671F"/>
    <w:rsid w:val="00D26990"/>
    <w:rsid w:val="00D275C3"/>
    <w:rsid w:val="00D30401"/>
    <w:rsid w:val="00D30C0A"/>
    <w:rsid w:val="00D31999"/>
    <w:rsid w:val="00D32AD2"/>
    <w:rsid w:val="00D32D50"/>
    <w:rsid w:val="00D33872"/>
    <w:rsid w:val="00D34062"/>
    <w:rsid w:val="00D3532F"/>
    <w:rsid w:val="00D35BEA"/>
    <w:rsid w:val="00D3603E"/>
    <w:rsid w:val="00D3647A"/>
    <w:rsid w:val="00D36D24"/>
    <w:rsid w:val="00D372CC"/>
    <w:rsid w:val="00D37EB8"/>
    <w:rsid w:val="00D40807"/>
    <w:rsid w:val="00D40DB1"/>
    <w:rsid w:val="00D41059"/>
    <w:rsid w:val="00D419C8"/>
    <w:rsid w:val="00D4455E"/>
    <w:rsid w:val="00D44D47"/>
    <w:rsid w:val="00D451AB"/>
    <w:rsid w:val="00D4545D"/>
    <w:rsid w:val="00D45AF4"/>
    <w:rsid w:val="00D45C1B"/>
    <w:rsid w:val="00D46017"/>
    <w:rsid w:val="00D47149"/>
    <w:rsid w:val="00D473B3"/>
    <w:rsid w:val="00D5048B"/>
    <w:rsid w:val="00D50DBC"/>
    <w:rsid w:val="00D51CFC"/>
    <w:rsid w:val="00D52566"/>
    <w:rsid w:val="00D53082"/>
    <w:rsid w:val="00D5340E"/>
    <w:rsid w:val="00D53DA3"/>
    <w:rsid w:val="00D5455D"/>
    <w:rsid w:val="00D56963"/>
    <w:rsid w:val="00D57029"/>
    <w:rsid w:val="00D60326"/>
    <w:rsid w:val="00D60576"/>
    <w:rsid w:val="00D610A0"/>
    <w:rsid w:val="00D62174"/>
    <w:rsid w:val="00D62320"/>
    <w:rsid w:val="00D642E1"/>
    <w:rsid w:val="00D64463"/>
    <w:rsid w:val="00D64C0D"/>
    <w:rsid w:val="00D665D7"/>
    <w:rsid w:val="00D66D79"/>
    <w:rsid w:val="00D66FE8"/>
    <w:rsid w:val="00D6732F"/>
    <w:rsid w:val="00D703FF"/>
    <w:rsid w:val="00D715AC"/>
    <w:rsid w:val="00D7188C"/>
    <w:rsid w:val="00D71E41"/>
    <w:rsid w:val="00D71EC9"/>
    <w:rsid w:val="00D741C6"/>
    <w:rsid w:val="00D74244"/>
    <w:rsid w:val="00D74C39"/>
    <w:rsid w:val="00D75B8F"/>
    <w:rsid w:val="00D76256"/>
    <w:rsid w:val="00D76963"/>
    <w:rsid w:val="00D76C47"/>
    <w:rsid w:val="00D76FAA"/>
    <w:rsid w:val="00D772DF"/>
    <w:rsid w:val="00D80D3A"/>
    <w:rsid w:val="00D810E9"/>
    <w:rsid w:val="00D82F30"/>
    <w:rsid w:val="00D840CE"/>
    <w:rsid w:val="00D8419E"/>
    <w:rsid w:val="00D84B70"/>
    <w:rsid w:val="00D84FB2"/>
    <w:rsid w:val="00D87120"/>
    <w:rsid w:val="00D87486"/>
    <w:rsid w:val="00D87F07"/>
    <w:rsid w:val="00D87FC9"/>
    <w:rsid w:val="00D9052B"/>
    <w:rsid w:val="00D9181E"/>
    <w:rsid w:val="00D91FE8"/>
    <w:rsid w:val="00D92298"/>
    <w:rsid w:val="00D92481"/>
    <w:rsid w:val="00D92AB9"/>
    <w:rsid w:val="00D95437"/>
    <w:rsid w:val="00D956D8"/>
    <w:rsid w:val="00D95AFE"/>
    <w:rsid w:val="00D95C47"/>
    <w:rsid w:val="00D96AB6"/>
    <w:rsid w:val="00D97105"/>
    <w:rsid w:val="00DA01AF"/>
    <w:rsid w:val="00DA06DD"/>
    <w:rsid w:val="00DA146A"/>
    <w:rsid w:val="00DA1B17"/>
    <w:rsid w:val="00DA21B2"/>
    <w:rsid w:val="00DA2E84"/>
    <w:rsid w:val="00DA3110"/>
    <w:rsid w:val="00DA319D"/>
    <w:rsid w:val="00DA3E37"/>
    <w:rsid w:val="00DA406B"/>
    <w:rsid w:val="00DA420E"/>
    <w:rsid w:val="00DA49E7"/>
    <w:rsid w:val="00DA5685"/>
    <w:rsid w:val="00DA5EA5"/>
    <w:rsid w:val="00DA7286"/>
    <w:rsid w:val="00DB0643"/>
    <w:rsid w:val="00DB0B32"/>
    <w:rsid w:val="00DB20CC"/>
    <w:rsid w:val="00DB21B0"/>
    <w:rsid w:val="00DB2A8D"/>
    <w:rsid w:val="00DB2EB7"/>
    <w:rsid w:val="00DB3528"/>
    <w:rsid w:val="00DB43EC"/>
    <w:rsid w:val="00DB45B3"/>
    <w:rsid w:val="00DB4A64"/>
    <w:rsid w:val="00DB5883"/>
    <w:rsid w:val="00DB5D78"/>
    <w:rsid w:val="00DB5EE6"/>
    <w:rsid w:val="00DB609D"/>
    <w:rsid w:val="00DB6700"/>
    <w:rsid w:val="00DB6C63"/>
    <w:rsid w:val="00DB70BC"/>
    <w:rsid w:val="00DB7DCB"/>
    <w:rsid w:val="00DC0237"/>
    <w:rsid w:val="00DC0572"/>
    <w:rsid w:val="00DC133F"/>
    <w:rsid w:val="00DC1491"/>
    <w:rsid w:val="00DC2BD0"/>
    <w:rsid w:val="00DC3F8E"/>
    <w:rsid w:val="00DC4E68"/>
    <w:rsid w:val="00DC550C"/>
    <w:rsid w:val="00DC59E7"/>
    <w:rsid w:val="00DC641C"/>
    <w:rsid w:val="00DC6D74"/>
    <w:rsid w:val="00DC7BDD"/>
    <w:rsid w:val="00DC7E62"/>
    <w:rsid w:val="00DC7EBC"/>
    <w:rsid w:val="00DD0327"/>
    <w:rsid w:val="00DD12F2"/>
    <w:rsid w:val="00DD1E4E"/>
    <w:rsid w:val="00DD300E"/>
    <w:rsid w:val="00DD324A"/>
    <w:rsid w:val="00DD33BD"/>
    <w:rsid w:val="00DD3AD4"/>
    <w:rsid w:val="00DD4013"/>
    <w:rsid w:val="00DD45C1"/>
    <w:rsid w:val="00DD4C72"/>
    <w:rsid w:val="00DD4D22"/>
    <w:rsid w:val="00DD57BC"/>
    <w:rsid w:val="00DD5B1E"/>
    <w:rsid w:val="00DD5B74"/>
    <w:rsid w:val="00DD5BD0"/>
    <w:rsid w:val="00DD5E79"/>
    <w:rsid w:val="00DD603A"/>
    <w:rsid w:val="00DD787D"/>
    <w:rsid w:val="00DD7D08"/>
    <w:rsid w:val="00DE0009"/>
    <w:rsid w:val="00DE0B22"/>
    <w:rsid w:val="00DE1EF3"/>
    <w:rsid w:val="00DE2306"/>
    <w:rsid w:val="00DE2F44"/>
    <w:rsid w:val="00DE33FB"/>
    <w:rsid w:val="00DE46C0"/>
    <w:rsid w:val="00DE4C05"/>
    <w:rsid w:val="00DE5239"/>
    <w:rsid w:val="00DE536F"/>
    <w:rsid w:val="00DE5838"/>
    <w:rsid w:val="00DE593C"/>
    <w:rsid w:val="00DE5B43"/>
    <w:rsid w:val="00DE60E1"/>
    <w:rsid w:val="00DE67A0"/>
    <w:rsid w:val="00DE7DB7"/>
    <w:rsid w:val="00DF0A37"/>
    <w:rsid w:val="00DF0ABE"/>
    <w:rsid w:val="00DF0C47"/>
    <w:rsid w:val="00DF2066"/>
    <w:rsid w:val="00DF3F84"/>
    <w:rsid w:val="00DF48B9"/>
    <w:rsid w:val="00DF4E4B"/>
    <w:rsid w:val="00DF5930"/>
    <w:rsid w:val="00DF5C62"/>
    <w:rsid w:val="00DF634F"/>
    <w:rsid w:val="00DF6445"/>
    <w:rsid w:val="00DF681B"/>
    <w:rsid w:val="00E00D5D"/>
    <w:rsid w:val="00E022D4"/>
    <w:rsid w:val="00E03038"/>
    <w:rsid w:val="00E04F3C"/>
    <w:rsid w:val="00E05D5E"/>
    <w:rsid w:val="00E060CD"/>
    <w:rsid w:val="00E0700F"/>
    <w:rsid w:val="00E070E1"/>
    <w:rsid w:val="00E0729C"/>
    <w:rsid w:val="00E07510"/>
    <w:rsid w:val="00E07D02"/>
    <w:rsid w:val="00E1046A"/>
    <w:rsid w:val="00E11F09"/>
    <w:rsid w:val="00E1217C"/>
    <w:rsid w:val="00E129E5"/>
    <w:rsid w:val="00E132D2"/>
    <w:rsid w:val="00E13926"/>
    <w:rsid w:val="00E13B4E"/>
    <w:rsid w:val="00E146CD"/>
    <w:rsid w:val="00E14F72"/>
    <w:rsid w:val="00E153E6"/>
    <w:rsid w:val="00E165CE"/>
    <w:rsid w:val="00E17081"/>
    <w:rsid w:val="00E170C2"/>
    <w:rsid w:val="00E201F7"/>
    <w:rsid w:val="00E20704"/>
    <w:rsid w:val="00E20D01"/>
    <w:rsid w:val="00E20D90"/>
    <w:rsid w:val="00E213EE"/>
    <w:rsid w:val="00E2265C"/>
    <w:rsid w:val="00E22BE3"/>
    <w:rsid w:val="00E23689"/>
    <w:rsid w:val="00E2440F"/>
    <w:rsid w:val="00E24726"/>
    <w:rsid w:val="00E2488E"/>
    <w:rsid w:val="00E25665"/>
    <w:rsid w:val="00E257D8"/>
    <w:rsid w:val="00E26A0B"/>
    <w:rsid w:val="00E27FCD"/>
    <w:rsid w:val="00E30BEF"/>
    <w:rsid w:val="00E3112D"/>
    <w:rsid w:val="00E32C95"/>
    <w:rsid w:val="00E32E8A"/>
    <w:rsid w:val="00E32F37"/>
    <w:rsid w:val="00E33554"/>
    <w:rsid w:val="00E336D8"/>
    <w:rsid w:val="00E3406E"/>
    <w:rsid w:val="00E34618"/>
    <w:rsid w:val="00E36DDE"/>
    <w:rsid w:val="00E36FED"/>
    <w:rsid w:val="00E37077"/>
    <w:rsid w:val="00E37BFE"/>
    <w:rsid w:val="00E4115A"/>
    <w:rsid w:val="00E41C46"/>
    <w:rsid w:val="00E42C19"/>
    <w:rsid w:val="00E438AD"/>
    <w:rsid w:val="00E43ECD"/>
    <w:rsid w:val="00E45821"/>
    <w:rsid w:val="00E46F38"/>
    <w:rsid w:val="00E47FE7"/>
    <w:rsid w:val="00E50F1A"/>
    <w:rsid w:val="00E51017"/>
    <w:rsid w:val="00E519E0"/>
    <w:rsid w:val="00E5304D"/>
    <w:rsid w:val="00E53A0B"/>
    <w:rsid w:val="00E53D1F"/>
    <w:rsid w:val="00E54725"/>
    <w:rsid w:val="00E54922"/>
    <w:rsid w:val="00E549FD"/>
    <w:rsid w:val="00E55091"/>
    <w:rsid w:val="00E554D4"/>
    <w:rsid w:val="00E55A53"/>
    <w:rsid w:val="00E56DAA"/>
    <w:rsid w:val="00E578CE"/>
    <w:rsid w:val="00E57C77"/>
    <w:rsid w:val="00E57F93"/>
    <w:rsid w:val="00E60ABB"/>
    <w:rsid w:val="00E60FA9"/>
    <w:rsid w:val="00E610F6"/>
    <w:rsid w:val="00E61B9F"/>
    <w:rsid w:val="00E620DF"/>
    <w:rsid w:val="00E62302"/>
    <w:rsid w:val="00E62687"/>
    <w:rsid w:val="00E62F0A"/>
    <w:rsid w:val="00E63A40"/>
    <w:rsid w:val="00E660B5"/>
    <w:rsid w:val="00E6673C"/>
    <w:rsid w:val="00E709DE"/>
    <w:rsid w:val="00E72025"/>
    <w:rsid w:val="00E721F0"/>
    <w:rsid w:val="00E73002"/>
    <w:rsid w:val="00E73A76"/>
    <w:rsid w:val="00E74055"/>
    <w:rsid w:val="00E74F5B"/>
    <w:rsid w:val="00E76367"/>
    <w:rsid w:val="00E76A7C"/>
    <w:rsid w:val="00E772A6"/>
    <w:rsid w:val="00E776D6"/>
    <w:rsid w:val="00E8022E"/>
    <w:rsid w:val="00E803A8"/>
    <w:rsid w:val="00E81A68"/>
    <w:rsid w:val="00E82D01"/>
    <w:rsid w:val="00E8325D"/>
    <w:rsid w:val="00E8353F"/>
    <w:rsid w:val="00E83BB3"/>
    <w:rsid w:val="00E8405F"/>
    <w:rsid w:val="00E845AD"/>
    <w:rsid w:val="00E84814"/>
    <w:rsid w:val="00E84B8C"/>
    <w:rsid w:val="00E90649"/>
    <w:rsid w:val="00E9153C"/>
    <w:rsid w:val="00E92033"/>
    <w:rsid w:val="00E935C2"/>
    <w:rsid w:val="00E946B7"/>
    <w:rsid w:val="00E95054"/>
    <w:rsid w:val="00E953D1"/>
    <w:rsid w:val="00E96976"/>
    <w:rsid w:val="00E96B10"/>
    <w:rsid w:val="00E96C0B"/>
    <w:rsid w:val="00E97391"/>
    <w:rsid w:val="00E976ED"/>
    <w:rsid w:val="00EA02BD"/>
    <w:rsid w:val="00EA059C"/>
    <w:rsid w:val="00EA075A"/>
    <w:rsid w:val="00EA190A"/>
    <w:rsid w:val="00EA202F"/>
    <w:rsid w:val="00EA3598"/>
    <w:rsid w:val="00EA3A48"/>
    <w:rsid w:val="00EA3ACD"/>
    <w:rsid w:val="00EA3CD9"/>
    <w:rsid w:val="00EA572E"/>
    <w:rsid w:val="00EA5966"/>
    <w:rsid w:val="00EA6526"/>
    <w:rsid w:val="00EA65BA"/>
    <w:rsid w:val="00EA669E"/>
    <w:rsid w:val="00EA6E82"/>
    <w:rsid w:val="00EA724A"/>
    <w:rsid w:val="00EA7E31"/>
    <w:rsid w:val="00EB01FB"/>
    <w:rsid w:val="00EB0CA6"/>
    <w:rsid w:val="00EB1904"/>
    <w:rsid w:val="00EB213F"/>
    <w:rsid w:val="00EB2A74"/>
    <w:rsid w:val="00EB4AAA"/>
    <w:rsid w:val="00EB5CD6"/>
    <w:rsid w:val="00EB60F4"/>
    <w:rsid w:val="00EB6C87"/>
    <w:rsid w:val="00EB6FF2"/>
    <w:rsid w:val="00EB7805"/>
    <w:rsid w:val="00EC02C8"/>
    <w:rsid w:val="00EC090E"/>
    <w:rsid w:val="00EC0DA6"/>
    <w:rsid w:val="00EC1FEC"/>
    <w:rsid w:val="00EC20D6"/>
    <w:rsid w:val="00EC27FA"/>
    <w:rsid w:val="00EC2AEC"/>
    <w:rsid w:val="00EC2E33"/>
    <w:rsid w:val="00EC3FA7"/>
    <w:rsid w:val="00EC50B6"/>
    <w:rsid w:val="00EC585F"/>
    <w:rsid w:val="00EC5D1B"/>
    <w:rsid w:val="00EC5F0D"/>
    <w:rsid w:val="00EC6A50"/>
    <w:rsid w:val="00EC73AA"/>
    <w:rsid w:val="00EC7A38"/>
    <w:rsid w:val="00ED0AB3"/>
    <w:rsid w:val="00ED2B27"/>
    <w:rsid w:val="00ED335C"/>
    <w:rsid w:val="00ED39CB"/>
    <w:rsid w:val="00ED58F8"/>
    <w:rsid w:val="00ED5A41"/>
    <w:rsid w:val="00ED741B"/>
    <w:rsid w:val="00ED782C"/>
    <w:rsid w:val="00ED7BF0"/>
    <w:rsid w:val="00EE100E"/>
    <w:rsid w:val="00EE11A0"/>
    <w:rsid w:val="00EE1243"/>
    <w:rsid w:val="00EE1470"/>
    <w:rsid w:val="00EE26CF"/>
    <w:rsid w:val="00EE2951"/>
    <w:rsid w:val="00EE2AD2"/>
    <w:rsid w:val="00EE31C8"/>
    <w:rsid w:val="00EE3402"/>
    <w:rsid w:val="00EE3586"/>
    <w:rsid w:val="00EE3A63"/>
    <w:rsid w:val="00EE3E8C"/>
    <w:rsid w:val="00EE4775"/>
    <w:rsid w:val="00EE4804"/>
    <w:rsid w:val="00EE49FE"/>
    <w:rsid w:val="00EE5762"/>
    <w:rsid w:val="00EE624D"/>
    <w:rsid w:val="00EE6344"/>
    <w:rsid w:val="00EE6B28"/>
    <w:rsid w:val="00EE73D7"/>
    <w:rsid w:val="00EE7A71"/>
    <w:rsid w:val="00EE7E64"/>
    <w:rsid w:val="00EE7E7E"/>
    <w:rsid w:val="00EF0DB9"/>
    <w:rsid w:val="00EF1093"/>
    <w:rsid w:val="00EF1895"/>
    <w:rsid w:val="00EF6FCB"/>
    <w:rsid w:val="00EF720E"/>
    <w:rsid w:val="00EF730B"/>
    <w:rsid w:val="00EF74C5"/>
    <w:rsid w:val="00F0007B"/>
    <w:rsid w:val="00F0112E"/>
    <w:rsid w:val="00F0212D"/>
    <w:rsid w:val="00F02BED"/>
    <w:rsid w:val="00F03224"/>
    <w:rsid w:val="00F036F8"/>
    <w:rsid w:val="00F05398"/>
    <w:rsid w:val="00F055F6"/>
    <w:rsid w:val="00F05607"/>
    <w:rsid w:val="00F06243"/>
    <w:rsid w:val="00F06C33"/>
    <w:rsid w:val="00F078CE"/>
    <w:rsid w:val="00F101E0"/>
    <w:rsid w:val="00F10995"/>
    <w:rsid w:val="00F114C2"/>
    <w:rsid w:val="00F114C8"/>
    <w:rsid w:val="00F1179A"/>
    <w:rsid w:val="00F13E46"/>
    <w:rsid w:val="00F1488D"/>
    <w:rsid w:val="00F162FF"/>
    <w:rsid w:val="00F20688"/>
    <w:rsid w:val="00F2175F"/>
    <w:rsid w:val="00F21DB4"/>
    <w:rsid w:val="00F21EFA"/>
    <w:rsid w:val="00F22ACA"/>
    <w:rsid w:val="00F23731"/>
    <w:rsid w:val="00F23D6D"/>
    <w:rsid w:val="00F23FC3"/>
    <w:rsid w:val="00F24F99"/>
    <w:rsid w:val="00F25041"/>
    <w:rsid w:val="00F255B2"/>
    <w:rsid w:val="00F26485"/>
    <w:rsid w:val="00F273A5"/>
    <w:rsid w:val="00F27A40"/>
    <w:rsid w:val="00F302C0"/>
    <w:rsid w:val="00F30AD2"/>
    <w:rsid w:val="00F31875"/>
    <w:rsid w:val="00F31F87"/>
    <w:rsid w:val="00F3209A"/>
    <w:rsid w:val="00F320C3"/>
    <w:rsid w:val="00F34B06"/>
    <w:rsid w:val="00F355FD"/>
    <w:rsid w:val="00F3575F"/>
    <w:rsid w:val="00F35D22"/>
    <w:rsid w:val="00F36005"/>
    <w:rsid w:val="00F36070"/>
    <w:rsid w:val="00F36BF6"/>
    <w:rsid w:val="00F36CC9"/>
    <w:rsid w:val="00F36EED"/>
    <w:rsid w:val="00F37306"/>
    <w:rsid w:val="00F37A75"/>
    <w:rsid w:val="00F4019E"/>
    <w:rsid w:val="00F4055A"/>
    <w:rsid w:val="00F40641"/>
    <w:rsid w:val="00F4095A"/>
    <w:rsid w:val="00F4270C"/>
    <w:rsid w:val="00F43325"/>
    <w:rsid w:val="00F43560"/>
    <w:rsid w:val="00F43CAB"/>
    <w:rsid w:val="00F43CB7"/>
    <w:rsid w:val="00F44343"/>
    <w:rsid w:val="00F449CE"/>
    <w:rsid w:val="00F44A28"/>
    <w:rsid w:val="00F45642"/>
    <w:rsid w:val="00F4564E"/>
    <w:rsid w:val="00F460EA"/>
    <w:rsid w:val="00F46E56"/>
    <w:rsid w:val="00F46F6F"/>
    <w:rsid w:val="00F50F78"/>
    <w:rsid w:val="00F51CAA"/>
    <w:rsid w:val="00F5209F"/>
    <w:rsid w:val="00F521AD"/>
    <w:rsid w:val="00F567E6"/>
    <w:rsid w:val="00F56BCC"/>
    <w:rsid w:val="00F56CE2"/>
    <w:rsid w:val="00F572DB"/>
    <w:rsid w:val="00F57548"/>
    <w:rsid w:val="00F6023F"/>
    <w:rsid w:val="00F60ACD"/>
    <w:rsid w:val="00F60B7E"/>
    <w:rsid w:val="00F60BFE"/>
    <w:rsid w:val="00F610BC"/>
    <w:rsid w:val="00F61D82"/>
    <w:rsid w:val="00F62057"/>
    <w:rsid w:val="00F63253"/>
    <w:rsid w:val="00F634B4"/>
    <w:rsid w:val="00F643DD"/>
    <w:rsid w:val="00F644CB"/>
    <w:rsid w:val="00F645EA"/>
    <w:rsid w:val="00F66ADD"/>
    <w:rsid w:val="00F66B2A"/>
    <w:rsid w:val="00F66E45"/>
    <w:rsid w:val="00F66FD7"/>
    <w:rsid w:val="00F67EF9"/>
    <w:rsid w:val="00F70400"/>
    <w:rsid w:val="00F70687"/>
    <w:rsid w:val="00F71D7C"/>
    <w:rsid w:val="00F71F39"/>
    <w:rsid w:val="00F72543"/>
    <w:rsid w:val="00F72CE7"/>
    <w:rsid w:val="00F7315F"/>
    <w:rsid w:val="00F73379"/>
    <w:rsid w:val="00F734B0"/>
    <w:rsid w:val="00F746BE"/>
    <w:rsid w:val="00F75272"/>
    <w:rsid w:val="00F7582F"/>
    <w:rsid w:val="00F75B80"/>
    <w:rsid w:val="00F76338"/>
    <w:rsid w:val="00F76857"/>
    <w:rsid w:val="00F76D37"/>
    <w:rsid w:val="00F76FC2"/>
    <w:rsid w:val="00F77600"/>
    <w:rsid w:val="00F77819"/>
    <w:rsid w:val="00F77EAD"/>
    <w:rsid w:val="00F77F23"/>
    <w:rsid w:val="00F805B4"/>
    <w:rsid w:val="00F80C70"/>
    <w:rsid w:val="00F80E25"/>
    <w:rsid w:val="00F8104F"/>
    <w:rsid w:val="00F81251"/>
    <w:rsid w:val="00F8170A"/>
    <w:rsid w:val="00F81B77"/>
    <w:rsid w:val="00F83195"/>
    <w:rsid w:val="00F83241"/>
    <w:rsid w:val="00F83CCD"/>
    <w:rsid w:val="00F83F56"/>
    <w:rsid w:val="00F841C2"/>
    <w:rsid w:val="00F84620"/>
    <w:rsid w:val="00F84926"/>
    <w:rsid w:val="00F8492D"/>
    <w:rsid w:val="00F84BA2"/>
    <w:rsid w:val="00F851D5"/>
    <w:rsid w:val="00F8539C"/>
    <w:rsid w:val="00F85784"/>
    <w:rsid w:val="00F85D29"/>
    <w:rsid w:val="00F87D11"/>
    <w:rsid w:val="00F90441"/>
    <w:rsid w:val="00F90F74"/>
    <w:rsid w:val="00F91327"/>
    <w:rsid w:val="00F918CE"/>
    <w:rsid w:val="00F91931"/>
    <w:rsid w:val="00F920D9"/>
    <w:rsid w:val="00F9283F"/>
    <w:rsid w:val="00F92CEA"/>
    <w:rsid w:val="00F93169"/>
    <w:rsid w:val="00F93451"/>
    <w:rsid w:val="00F93B4E"/>
    <w:rsid w:val="00F93D1E"/>
    <w:rsid w:val="00F945C9"/>
    <w:rsid w:val="00F956E8"/>
    <w:rsid w:val="00F96AB2"/>
    <w:rsid w:val="00F97F9A"/>
    <w:rsid w:val="00FA1625"/>
    <w:rsid w:val="00FA1EBD"/>
    <w:rsid w:val="00FA20D5"/>
    <w:rsid w:val="00FA2B2A"/>
    <w:rsid w:val="00FA2D1E"/>
    <w:rsid w:val="00FA4CAF"/>
    <w:rsid w:val="00FA5F06"/>
    <w:rsid w:val="00FA7125"/>
    <w:rsid w:val="00FA7C31"/>
    <w:rsid w:val="00FB01DC"/>
    <w:rsid w:val="00FB03CC"/>
    <w:rsid w:val="00FB071E"/>
    <w:rsid w:val="00FB0F68"/>
    <w:rsid w:val="00FB1EE4"/>
    <w:rsid w:val="00FB2216"/>
    <w:rsid w:val="00FB435C"/>
    <w:rsid w:val="00FB44F2"/>
    <w:rsid w:val="00FB4BDD"/>
    <w:rsid w:val="00FB5531"/>
    <w:rsid w:val="00FB740E"/>
    <w:rsid w:val="00FB74FC"/>
    <w:rsid w:val="00FC0168"/>
    <w:rsid w:val="00FC0470"/>
    <w:rsid w:val="00FC0675"/>
    <w:rsid w:val="00FC1E06"/>
    <w:rsid w:val="00FC20A2"/>
    <w:rsid w:val="00FC28EB"/>
    <w:rsid w:val="00FC30DF"/>
    <w:rsid w:val="00FC42FB"/>
    <w:rsid w:val="00FC44EC"/>
    <w:rsid w:val="00FC4E14"/>
    <w:rsid w:val="00FC54B3"/>
    <w:rsid w:val="00FC5D3C"/>
    <w:rsid w:val="00FC606C"/>
    <w:rsid w:val="00FC7430"/>
    <w:rsid w:val="00FC77B5"/>
    <w:rsid w:val="00FC7CD8"/>
    <w:rsid w:val="00FC7CE2"/>
    <w:rsid w:val="00FD02FC"/>
    <w:rsid w:val="00FD1F3A"/>
    <w:rsid w:val="00FD23F8"/>
    <w:rsid w:val="00FD2705"/>
    <w:rsid w:val="00FD285C"/>
    <w:rsid w:val="00FD32A2"/>
    <w:rsid w:val="00FD6999"/>
    <w:rsid w:val="00FD6C53"/>
    <w:rsid w:val="00FD7D6E"/>
    <w:rsid w:val="00FD7FBA"/>
    <w:rsid w:val="00FE066A"/>
    <w:rsid w:val="00FE388A"/>
    <w:rsid w:val="00FE3D45"/>
    <w:rsid w:val="00FE3FF3"/>
    <w:rsid w:val="00FE4A6C"/>
    <w:rsid w:val="00FE4C62"/>
    <w:rsid w:val="00FE53BD"/>
    <w:rsid w:val="00FE5413"/>
    <w:rsid w:val="00FE5C75"/>
    <w:rsid w:val="00FE5D2D"/>
    <w:rsid w:val="00FE6586"/>
    <w:rsid w:val="00FE6AA8"/>
    <w:rsid w:val="00FE6E5A"/>
    <w:rsid w:val="00FE7062"/>
    <w:rsid w:val="00FE7254"/>
    <w:rsid w:val="00FF0F64"/>
    <w:rsid w:val="00FF181D"/>
    <w:rsid w:val="00FF1CF0"/>
    <w:rsid w:val="00FF2466"/>
    <w:rsid w:val="00FF27A4"/>
    <w:rsid w:val="00FF3005"/>
    <w:rsid w:val="00FF37B9"/>
    <w:rsid w:val="00FF38F5"/>
    <w:rsid w:val="00FF3A2B"/>
    <w:rsid w:val="00FF44CB"/>
    <w:rsid w:val="00FF46C0"/>
    <w:rsid w:val="00FF4858"/>
    <w:rsid w:val="00FF58F9"/>
    <w:rsid w:val="00FF6371"/>
    <w:rsid w:val="00FF6E9C"/>
    <w:rsid w:val="00FF77C1"/>
    <w:rsid w:val="00FF7A8E"/>
  </w:rsids>
  <m:mathPr>
    <m:mathFont m:val="Cambria Math"/>
    <m:brkBin m:val="before"/>
    <m:brkBinSub m:val="--"/>
    <m:smallFrac m:val="0"/>
    <m:dispDef/>
    <m:lMargin m:val="0"/>
    <m:rMargin m:val="0"/>
    <m:defJc m:val="centerGroup"/>
    <m:wrapIndent m:val="1440"/>
    <m:intLim m:val="subSup"/>
    <m:naryLim m:val="undOvr"/>
  </m:mathPr>
  <w:themeFontLang w:val="en-HK"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54EC91B"/>
  <w15:docId w15:val="{7AAB8719-FED9-BB44-A98C-1F0E276A92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HK"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92590"/>
    <w:rPr>
      <w:rFonts w:ascii="Times New Roman" w:eastAsia="Times New Roman" w:hAnsi="Times New Roman" w:cs="Times New Roman"/>
    </w:rPr>
  </w:style>
  <w:style w:type="paragraph" w:styleId="Heading1">
    <w:name w:val="heading 1"/>
    <w:basedOn w:val="Normal"/>
    <w:next w:val="Normal"/>
    <w:link w:val="Heading1Char"/>
    <w:uiPriority w:val="9"/>
    <w:qFormat/>
    <w:rsid w:val="0079259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792590"/>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792590"/>
    <w:pPr>
      <w:spacing w:before="100" w:beforeAutospacing="1" w:after="100" w:afterAutospacing="1"/>
      <w:outlineLvl w:val="2"/>
    </w:pPr>
    <w:rPr>
      <w:b/>
      <w:bCs/>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92590"/>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792590"/>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792590"/>
    <w:rPr>
      <w:rFonts w:ascii="Times New Roman" w:eastAsia="Times New Roman" w:hAnsi="Times New Roman" w:cs="Times New Roman"/>
      <w:b/>
      <w:bCs/>
      <w:sz w:val="27"/>
      <w:szCs w:val="27"/>
    </w:rPr>
  </w:style>
  <w:style w:type="character" w:styleId="Emphasis">
    <w:name w:val="Emphasis"/>
    <w:basedOn w:val="DefaultParagraphFont"/>
    <w:uiPriority w:val="20"/>
    <w:qFormat/>
    <w:rsid w:val="00792590"/>
    <w:rPr>
      <w:i/>
      <w:iCs/>
    </w:rPr>
  </w:style>
  <w:style w:type="character" w:customStyle="1" w:styleId="mi">
    <w:name w:val="mi"/>
    <w:basedOn w:val="DefaultParagraphFont"/>
    <w:rsid w:val="00792590"/>
  </w:style>
  <w:style w:type="character" w:styleId="Hyperlink">
    <w:name w:val="Hyperlink"/>
    <w:basedOn w:val="DefaultParagraphFont"/>
    <w:uiPriority w:val="99"/>
    <w:unhideWhenUsed/>
    <w:rsid w:val="00792590"/>
    <w:rPr>
      <w:color w:val="0000FF"/>
      <w:u w:val="single"/>
    </w:rPr>
  </w:style>
  <w:style w:type="paragraph" w:styleId="ListParagraph">
    <w:name w:val="List Paragraph"/>
    <w:basedOn w:val="Normal"/>
    <w:uiPriority w:val="34"/>
    <w:qFormat/>
    <w:rsid w:val="00792590"/>
    <w:pPr>
      <w:ind w:left="720"/>
      <w:contextualSpacing/>
    </w:pPr>
  </w:style>
  <w:style w:type="character" w:customStyle="1" w:styleId="citation-doi">
    <w:name w:val="citation-doi"/>
    <w:basedOn w:val="DefaultParagraphFont"/>
    <w:rsid w:val="00792590"/>
  </w:style>
  <w:style w:type="paragraph" w:styleId="Header">
    <w:name w:val="header"/>
    <w:basedOn w:val="Normal"/>
    <w:link w:val="HeaderChar"/>
    <w:uiPriority w:val="99"/>
    <w:unhideWhenUsed/>
    <w:rsid w:val="00792590"/>
    <w:pPr>
      <w:tabs>
        <w:tab w:val="center" w:pos="4513"/>
        <w:tab w:val="right" w:pos="9026"/>
      </w:tabs>
    </w:pPr>
  </w:style>
  <w:style w:type="character" w:customStyle="1" w:styleId="HeaderChar">
    <w:name w:val="Header Char"/>
    <w:basedOn w:val="DefaultParagraphFont"/>
    <w:link w:val="Header"/>
    <w:uiPriority w:val="99"/>
    <w:rsid w:val="00792590"/>
    <w:rPr>
      <w:rFonts w:ascii="Times New Roman" w:eastAsia="Times New Roman" w:hAnsi="Times New Roman" w:cs="Times New Roman"/>
    </w:rPr>
  </w:style>
  <w:style w:type="paragraph" w:styleId="Footer">
    <w:name w:val="footer"/>
    <w:basedOn w:val="Normal"/>
    <w:link w:val="FooterChar"/>
    <w:uiPriority w:val="99"/>
    <w:unhideWhenUsed/>
    <w:rsid w:val="00792590"/>
    <w:pPr>
      <w:tabs>
        <w:tab w:val="center" w:pos="4513"/>
        <w:tab w:val="right" w:pos="9026"/>
      </w:tabs>
    </w:pPr>
  </w:style>
  <w:style w:type="character" w:customStyle="1" w:styleId="FooterChar">
    <w:name w:val="Footer Char"/>
    <w:basedOn w:val="DefaultParagraphFont"/>
    <w:link w:val="Footer"/>
    <w:uiPriority w:val="99"/>
    <w:rsid w:val="00792590"/>
    <w:rPr>
      <w:rFonts w:ascii="Times New Roman" w:eastAsia="Times New Roman" w:hAnsi="Times New Roman" w:cs="Times New Roman"/>
    </w:rPr>
  </w:style>
  <w:style w:type="paragraph" w:styleId="FootnoteText">
    <w:name w:val="footnote text"/>
    <w:basedOn w:val="Normal"/>
    <w:link w:val="FootnoteTextChar"/>
    <w:uiPriority w:val="99"/>
    <w:semiHidden/>
    <w:unhideWhenUsed/>
    <w:rsid w:val="00792590"/>
    <w:rPr>
      <w:sz w:val="20"/>
      <w:szCs w:val="20"/>
    </w:rPr>
  </w:style>
  <w:style w:type="character" w:customStyle="1" w:styleId="FootnoteTextChar">
    <w:name w:val="Footnote Text Char"/>
    <w:basedOn w:val="DefaultParagraphFont"/>
    <w:link w:val="FootnoteText"/>
    <w:uiPriority w:val="99"/>
    <w:semiHidden/>
    <w:rsid w:val="00792590"/>
    <w:rPr>
      <w:rFonts w:ascii="Times New Roman" w:eastAsia="Times New Roman" w:hAnsi="Times New Roman" w:cs="Times New Roman"/>
      <w:sz w:val="20"/>
      <w:szCs w:val="20"/>
    </w:rPr>
  </w:style>
  <w:style w:type="character" w:styleId="FootnoteReference">
    <w:name w:val="footnote reference"/>
    <w:basedOn w:val="DefaultParagraphFont"/>
    <w:uiPriority w:val="99"/>
    <w:semiHidden/>
    <w:unhideWhenUsed/>
    <w:rsid w:val="00792590"/>
    <w:rPr>
      <w:vertAlign w:val="superscript"/>
    </w:rPr>
  </w:style>
  <w:style w:type="character" w:styleId="CommentReference">
    <w:name w:val="annotation reference"/>
    <w:basedOn w:val="DefaultParagraphFont"/>
    <w:uiPriority w:val="99"/>
    <w:semiHidden/>
    <w:unhideWhenUsed/>
    <w:rsid w:val="00792590"/>
    <w:rPr>
      <w:sz w:val="16"/>
      <w:szCs w:val="16"/>
    </w:rPr>
  </w:style>
  <w:style w:type="paragraph" w:styleId="CommentText">
    <w:name w:val="annotation text"/>
    <w:basedOn w:val="Normal"/>
    <w:link w:val="CommentTextChar"/>
    <w:uiPriority w:val="99"/>
    <w:semiHidden/>
    <w:unhideWhenUsed/>
    <w:rsid w:val="00792590"/>
    <w:rPr>
      <w:sz w:val="20"/>
      <w:szCs w:val="20"/>
    </w:rPr>
  </w:style>
  <w:style w:type="character" w:customStyle="1" w:styleId="CommentTextChar">
    <w:name w:val="Comment Text Char"/>
    <w:basedOn w:val="DefaultParagraphFont"/>
    <w:link w:val="CommentText"/>
    <w:uiPriority w:val="99"/>
    <w:semiHidden/>
    <w:rsid w:val="00792590"/>
    <w:rPr>
      <w:rFonts w:ascii="Times New Roman" w:eastAsia="Times New Roman" w:hAnsi="Times New Roman" w:cs="Times New Roman"/>
      <w:sz w:val="20"/>
      <w:szCs w:val="20"/>
    </w:rPr>
  </w:style>
  <w:style w:type="character" w:customStyle="1" w:styleId="CommentSubjectChar">
    <w:name w:val="Comment Subject Char"/>
    <w:basedOn w:val="CommentTextChar"/>
    <w:link w:val="CommentSubject"/>
    <w:uiPriority w:val="99"/>
    <w:semiHidden/>
    <w:rsid w:val="00792590"/>
    <w:rPr>
      <w:rFonts w:ascii="Times New Roman" w:eastAsia="Times New Roman" w:hAnsi="Times New Roman" w:cs="Times New Roman"/>
      <w:b/>
      <w:bCs/>
      <w:sz w:val="20"/>
      <w:szCs w:val="20"/>
    </w:rPr>
  </w:style>
  <w:style w:type="paragraph" w:styleId="CommentSubject">
    <w:name w:val="annotation subject"/>
    <w:basedOn w:val="CommentText"/>
    <w:next w:val="CommentText"/>
    <w:link w:val="CommentSubjectChar"/>
    <w:uiPriority w:val="99"/>
    <w:semiHidden/>
    <w:unhideWhenUsed/>
    <w:rsid w:val="00792590"/>
    <w:rPr>
      <w:b/>
      <w:bCs/>
    </w:rPr>
  </w:style>
  <w:style w:type="character" w:customStyle="1" w:styleId="CommentSubjectChar1">
    <w:name w:val="Comment Subject Char1"/>
    <w:basedOn w:val="CommentTextChar"/>
    <w:uiPriority w:val="99"/>
    <w:semiHidden/>
    <w:rsid w:val="00792590"/>
    <w:rPr>
      <w:rFonts w:ascii="Times New Roman" w:eastAsia="Times New Roman" w:hAnsi="Times New Roman" w:cs="Times New Roman"/>
      <w:b/>
      <w:bCs/>
      <w:sz w:val="20"/>
      <w:szCs w:val="20"/>
    </w:rPr>
  </w:style>
  <w:style w:type="character" w:customStyle="1" w:styleId="UnresolvedMention1">
    <w:name w:val="Unresolved Mention1"/>
    <w:basedOn w:val="DefaultParagraphFont"/>
    <w:uiPriority w:val="99"/>
    <w:semiHidden/>
    <w:unhideWhenUsed/>
    <w:rsid w:val="00792590"/>
    <w:rPr>
      <w:color w:val="605E5C"/>
      <w:shd w:val="clear" w:color="auto" w:fill="E1DFDD"/>
    </w:rPr>
  </w:style>
  <w:style w:type="paragraph" w:styleId="NoSpacing">
    <w:name w:val="No Spacing"/>
    <w:link w:val="NoSpacingChar"/>
    <w:uiPriority w:val="1"/>
    <w:qFormat/>
    <w:rsid w:val="00792590"/>
    <w:rPr>
      <w:sz w:val="22"/>
      <w:szCs w:val="22"/>
      <w:lang w:val="en-US" w:eastAsia="zh-CN"/>
    </w:rPr>
  </w:style>
  <w:style w:type="character" w:customStyle="1" w:styleId="NoSpacingChar">
    <w:name w:val="No Spacing Char"/>
    <w:basedOn w:val="DefaultParagraphFont"/>
    <w:link w:val="NoSpacing"/>
    <w:uiPriority w:val="1"/>
    <w:rsid w:val="00792590"/>
    <w:rPr>
      <w:sz w:val="22"/>
      <w:szCs w:val="22"/>
      <w:lang w:val="en-US" w:eastAsia="zh-CN"/>
    </w:rPr>
  </w:style>
  <w:style w:type="table" w:styleId="TableGrid">
    <w:name w:val="Table Grid"/>
    <w:basedOn w:val="TableNormal"/>
    <w:uiPriority w:val="39"/>
    <w:rsid w:val="0079259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qFormat/>
    <w:rsid w:val="00792590"/>
    <w:pPr>
      <w:spacing w:before="480" w:line="276" w:lineRule="auto"/>
      <w:outlineLvl w:val="9"/>
    </w:pPr>
    <w:rPr>
      <w:b/>
      <w:bCs/>
      <w:sz w:val="28"/>
      <w:szCs w:val="28"/>
      <w:lang w:val="en-US" w:eastAsia="en-US"/>
    </w:rPr>
  </w:style>
  <w:style w:type="paragraph" w:styleId="TOC2">
    <w:name w:val="toc 2"/>
    <w:basedOn w:val="Normal"/>
    <w:next w:val="Normal"/>
    <w:autoRedefine/>
    <w:uiPriority w:val="39"/>
    <w:unhideWhenUsed/>
    <w:rsid w:val="00792590"/>
    <w:pPr>
      <w:spacing w:before="120"/>
      <w:ind w:left="240"/>
    </w:pPr>
    <w:rPr>
      <w:rFonts w:asciiTheme="minorHAnsi" w:hAnsiTheme="minorHAnsi" w:cstheme="minorHAnsi"/>
      <w:b/>
      <w:bCs/>
      <w:sz w:val="22"/>
      <w:szCs w:val="22"/>
    </w:rPr>
  </w:style>
  <w:style w:type="paragraph" w:styleId="TOC1">
    <w:name w:val="toc 1"/>
    <w:basedOn w:val="Normal"/>
    <w:next w:val="Normal"/>
    <w:autoRedefine/>
    <w:uiPriority w:val="39"/>
    <w:unhideWhenUsed/>
    <w:rsid w:val="00792590"/>
    <w:pPr>
      <w:spacing w:before="120"/>
    </w:pPr>
    <w:rPr>
      <w:rFonts w:asciiTheme="minorHAnsi" w:hAnsiTheme="minorHAnsi" w:cstheme="minorHAnsi"/>
      <w:b/>
      <w:bCs/>
      <w:i/>
      <w:iCs/>
    </w:rPr>
  </w:style>
  <w:style w:type="paragraph" w:styleId="TOC3">
    <w:name w:val="toc 3"/>
    <w:basedOn w:val="Normal"/>
    <w:next w:val="Normal"/>
    <w:autoRedefine/>
    <w:uiPriority w:val="39"/>
    <w:unhideWhenUsed/>
    <w:rsid w:val="00792590"/>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792590"/>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792590"/>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792590"/>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792590"/>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792590"/>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792590"/>
    <w:pPr>
      <w:ind w:left="1920"/>
    </w:pPr>
    <w:rPr>
      <w:rFonts w:asciiTheme="minorHAnsi" w:hAnsiTheme="minorHAnsi" w:cstheme="minorHAnsi"/>
      <w:sz w:val="20"/>
      <w:szCs w:val="20"/>
    </w:rPr>
  </w:style>
  <w:style w:type="character" w:styleId="PageNumber">
    <w:name w:val="page number"/>
    <w:basedOn w:val="DefaultParagraphFont"/>
    <w:uiPriority w:val="99"/>
    <w:semiHidden/>
    <w:unhideWhenUsed/>
    <w:rsid w:val="00792590"/>
  </w:style>
  <w:style w:type="paragraph" w:styleId="Date">
    <w:name w:val="Date"/>
    <w:basedOn w:val="Normal"/>
    <w:next w:val="Normal"/>
    <w:link w:val="DateChar"/>
    <w:uiPriority w:val="99"/>
    <w:semiHidden/>
    <w:unhideWhenUsed/>
    <w:rsid w:val="00792590"/>
  </w:style>
  <w:style w:type="character" w:customStyle="1" w:styleId="DateChar">
    <w:name w:val="Date Char"/>
    <w:basedOn w:val="DefaultParagraphFont"/>
    <w:link w:val="Date"/>
    <w:uiPriority w:val="99"/>
    <w:semiHidden/>
    <w:rsid w:val="00792590"/>
    <w:rPr>
      <w:rFonts w:ascii="Times New Roman" w:eastAsia="Times New Roman" w:hAnsi="Times New Roman" w:cs="Times New Roman"/>
    </w:rPr>
  </w:style>
  <w:style w:type="paragraph" w:customStyle="1" w:styleId="conflict">
    <w:name w:val="conflict"/>
    <w:basedOn w:val="Normal"/>
    <w:rsid w:val="005942C3"/>
    <w:pPr>
      <w:spacing w:before="100" w:beforeAutospacing="1" w:after="100" w:afterAutospacing="1"/>
    </w:pPr>
    <w:rPr>
      <w:rFonts w:ascii="Times" w:eastAsiaTheme="minorEastAsia" w:hAnsi="Times" w:cstheme="minorBidi"/>
      <w:sz w:val="20"/>
      <w:szCs w:val="20"/>
      <w:lang w:val="en-US" w:eastAsia="en-US"/>
    </w:rPr>
  </w:style>
  <w:style w:type="paragraph" w:styleId="Revision">
    <w:name w:val="Revision"/>
    <w:hidden/>
    <w:uiPriority w:val="99"/>
    <w:semiHidden/>
    <w:rsid w:val="00347C75"/>
    <w:rPr>
      <w:rFonts w:ascii="Times New Roman" w:eastAsia="Times New Roman" w:hAnsi="Times New Roman" w:cs="Times New Roman"/>
    </w:rPr>
  </w:style>
  <w:style w:type="paragraph" w:styleId="BalloonText">
    <w:name w:val="Balloon Text"/>
    <w:basedOn w:val="Normal"/>
    <w:link w:val="BalloonTextChar"/>
    <w:uiPriority w:val="99"/>
    <w:semiHidden/>
    <w:unhideWhenUsed/>
    <w:rsid w:val="00C44767"/>
    <w:rPr>
      <w:sz w:val="18"/>
      <w:szCs w:val="18"/>
    </w:rPr>
  </w:style>
  <w:style w:type="character" w:customStyle="1" w:styleId="BalloonTextChar">
    <w:name w:val="Balloon Text Char"/>
    <w:basedOn w:val="DefaultParagraphFont"/>
    <w:link w:val="BalloonText"/>
    <w:uiPriority w:val="99"/>
    <w:semiHidden/>
    <w:rsid w:val="00C44767"/>
    <w:rPr>
      <w:rFonts w:ascii="Times New Roman" w:eastAsia="Times New Roman" w:hAnsi="Times New Roman" w:cs="Times New Roman"/>
      <w:sz w:val="18"/>
      <w:szCs w:val="18"/>
    </w:rPr>
  </w:style>
  <w:style w:type="character" w:styleId="FollowedHyperlink">
    <w:name w:val="FollowedHyperlink"/>
    <w:basedOn w:val="DefaultParagraphFont"/>
    <w:uiPriority w:val="99"/>
    <w:semiHidden/>
    <w:unhideWhenUsed/>
    <w:rsid w:val="00CA18A4"/>
    <w:rPr>
      <w:color w:val="954F72" w:themeColor="followedHyperlink"/>
      <w:u w:val="single"/>
    </w:rPr>
  </w:style>
  <w:style w:type="character" w:customStyle="1" w:styleId="UnresolvedMention2">
    <w:name w:val="Unresolved Mention2"/>
    <w:basedOn w:val="DefaultParagraphFont"/>
    <w:uiPriority w:val="99"/>
    <w:semiHidden/>
    <w:unhideWhenUsed/>
    <w:rsid w:val="0048511D"/>
    <w:rPr>
      <w:color w:val="605E5C"/>
      <w:shd w:val="clear" w:color="auto" w:fill="E1DFDD"/>
    </w:rPr>
  </w:style>
  <w:style w:type="character" w:styleId="LineNumber">
    <w:name w:val="line number"/>
    <w:basedOn w:val="DefaultParagraphFont"/>
    <w:uiPriority w:val="99"/>
    <w:semiHidden/>
    <w:unhideWhenUsed/>
    <w:rsid w:val="00AC008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500700">
      <w:bodyDiv w:val="1"/>
      <w:marLeft w:val="0"/>
      <w:marRight w:val="0"/>
      <w:marTop w:val="0"/>
      <w:marBottom w:val="0"/>
      <w:divBdr>
        <w:top w:val="none" w:sz="0" w:space="0" w:color="auto"/>
        <w:left w:val="none" w:sz="0" w:space="0" w:color="auto"/>
        <w:bottom w:val="none" w:sz="0" w:space="0" w:color="auto"/>
        <w:right w:val="none" w:sz="0" w:space="0" w:color="auto"/>
      </w:divBdr>
    </w:div>
    <w:div w:id="203712065">
      <w:bodyDiv w:val="1"/>
      <w:marLeft w:val="0"/>
      <w:marRight w:val="0"/>
      <w:marTop w:val="0"/>
      <w:marBottom w:val="0"/>
      <w:divBdr>
        <w:top w:val="none" w:sz="0" w:space="0" w:color="auto"/>
        <w:left w:val="none" w:sz="0" w:space="0" w:color="auto"/>
        <w:bottom w:val="none" w:sz="0" w:space="0" w:color="auto"/>
        <w:right w:val="none" w:sz="0" w:space="0" w:color="auto"/>
      </w:divBdr>
    </w:div>
    <w:div w:id="217474717">
      <w:bodyDiv w:val="1"/>
      <w:marLeft w:val="0"/>
      <w:marRight w:val="0"/>
      <w:marTop w:val="0"/>
      <w:marBottom w:val="0"/>
      <w:divBdr>
        <w:top w:val="none" w:sz="0" w:space="0" w:color="auto"/>
        <w:left w:val="none" w:sz="0" w:space="0" w:color="auto"/>
        <w:bottom w:val="none" w:sz="0" w:space="0" w:color="auto"/>
        <w:right w:val="none" w:sz="0" w:space="0" w:color="auto"/>
      </w:divBdr>
    </w:div>
    <w:div w:id="364913842">
      <w:bodyDiv w:val="1"/>
      <w:marLeft w:val="0"/>
      <w:marRight w:val="0"/>
      <w:marTop w:val="0"/>
      <w:marBottom w:val="0"/>
      <w:divBdr>
        <w:top w:val="none" w:sz="0" w:space="0" w:color="auto"/>
        <w:left w:val="none" w:sz="0" w:space="0" w:color="auto"/>
        <w:bottom w:val="none" w:sz="0" w:space="0" w:color="auto"/>
        <w:right w:val="none" w:sz="0" w:space="0" w:color="auto"/>
      </w:divBdr>
    </w:div>
    <w:div w:id="477302166">
      <w:bodyDiv w:val="1"/>
      <w:marLeft w:val="0"/>
      <w:marRight w:val="0"/>
      <w:marTop w:val="0"/>
      <w:marBottom w:val="0"/>
      <w:divBdr>
        <w:top w:val="none" w:sz="0" w:space="0" w:color="auto"/>
        <w:left w:val="none" w:sz="0" w:space="0" w:color="auto"/>
        <w:bottom w:val="none" w:sz="0" w:space="0" w:color="auto"/>
        <w:right w:val="none" w:sz="0" w:space="0" w:color="auto"/>
      </w:divBdr>
    </w:div>
    <w:div w:id="547382543">
      <w:bodyDiv w:val="1"/>
      <w:marLeft w:val="0"/>
      <w:marRight w:val="0"/>
      <w:marTop w:val="0"/>
      <w:marBottom w:val="0"/>
      <w:divBdr>
        <w:top w:val="none" w:sz="0" w:space="0" w:color="auto"/>
        <w:left w:val="none" w:sz="0" w:space="0" w:color="auto"/>
        <w:bottom w:val="none" w:sz="0" w:space="0" w:color="auto"/>
        <w:right w:val="none" w:sz="0" w:space="0" w:color="auto"/>
      </w:divBdr>
    </w:div>
    <w:div w:id="765350135">
      <w:bodyDiv w:val="1"/>
      <w:marLeft w:val="0"/>
      <w:marRight w:val="0"/>
      <w:marTop w:val="0"/>
      <w:marBottom w:val="0"/>
      <w:divBdr>
        <w:top w:val="none" w:sz="0" w:space="0" w:color="auto"/>
        <w:left w:val="none" w:sz="0" w:space="0" w:color="auto"/>
        <w:bottom w:val="none" w:sz="0" w:space="0" w:color="auto"/>
        <w:right w:val="none" w:sz="0" w:space="0" w:color="auto"/>
      </w:divBdr>
      <w:divsChild>
        <w:div w:id="1858883134">
          <w:marLeft w:val="0"/>
          <w:marRight w:val="0"/>
          <w:marTop w:val="0"/>
          <w:marBottom w:val="0"/>
          <w:divBdr>
            <w:top w:val="none" w:sz="0" w:space="0" w:color="auto"/>
            <w:left w:val="none" w:sz="0" w:space="0" w:color="auto"/>
            <w:bottom w:val="none" w:sz="0" w:space="0" w:color="auto"/>
            <w:right w:val="none" w:sz="0" w:space="0" w:color="auto"/>
          </w:divBdr>
          <w:divsChild>
            <w:div w:id="1392269374">
              <w:marLeft w:val="0"/>
              <w:marRight w:val="0"/>
              <w:marTop w:val="0"/>
              <w:marBottom w:val="0"/>
              <w:divBdr>
                <w:top w:val="none" w:sz="0" w:space="0" w:color="auto"/>
                <w:left w:val="none" w:sz="0" w:space="0" w:color="auto"/>
                <w:bottom w:val="none" w:sz="0" w:space="0" w:color="auto"/>
                <w:right w:val="none" w:sz="0" w:space="0" w:color="auto"/>
              </w:divBdr>
              <w:divsChild>
                <w:div w:id="520245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250113">
      <w:bodyDiv w:val="1"/>
      <w:marLeft w:val="0"/>
      <w:marRight w:val="0"/>
      <w:marTop w:val="0"/>
      <w:marBottom w:val="0"/>
      <w:divBdr>
        <w:top w:val="none" w:sz="0" w:space="0" w:color="auto"/>
        <w:left w:val="none" w:sz="0" w:space="0" w:color="auto"/>
        <w:bottom w:val="none" w:sz="0" w:space="0" w:color="auto"/>
        <w:right w:val="none" w:sz="0" w:space="0" w:color="auto"/>
      </w:divBdr>
    </w:div>
    <w:div w:id="914897105">
      <w:bodyDiv w:val="1"/>
      <w:marLeft w:val="0"/>
      <w:marRight w:val="0"/>
      <w:marTop w:val="0"/>
      <w:marBottom w:val="0"/>
      <w:divBdr>
        <w:top w:val="none" w:sz="0" w:space="0" w:color="auto"/>
        <w:left w:val="none" w:sz="0" w:space="0" w:color="auto"/>
        <w:bottom w:val="none" w:sz="0" w:space="0" w:color="auto"/>
        <w:right w:val="none" w:sz="0" w:space="0" w:color="auto"/>
      </w:divBdr>
    </w:div>
    <w:div w:id="919675170">
      <w:bodyDiv w:val="1"/>
      <w:marLeft w:val="0"/>
      <w:marRight w:val="0"/>
      <w:marTop w:val="0"/>
      <w:marBottom w:val="0"/>
      <w:divBdr>
        <w:top w:val="none" w:sz="0" w:space="0" w:color="auto"/>
        <w:left w:val="none" w:sz="0" w:space="0" w:color="auto"/>
        <w:bottom w:val="none" w:sz="0" w:space="0" w:color="auto"/>
        <w:right w:val="none" w:sz="0" w:space="0" w:color="auto"/>
      </w:divBdr>
    </w:div>
    <w:div w:id="943540904">
      <w:bodyDiv w:val="1"/>
      <w:marLeft w:val="0"/>
      <w:marRight w:val="0"/>
      <w:marTop w:val="0"/>
      <w:marBottom w:val="0"/>
      <w:divBdr>
        <w:top w:val="none" w:sz="0" w:space="0" w:color="auto"/>
        <w:left w:val="none" w:sz="0" w:space="0" w:color="auto"/>
        <w:bottom w:val="none" w:sz="0" w:space="0" w:color="auto"/>
        <w:right w:val="none" w:sz="0" w:space="0" w:color="auto"/>
      </w:divBdr>
    </w:div>
    <w:div w:id="996109713">
      <w:bodyDiv w:val="1"/>
      <w:marLeft w:val="0"/>
      <w:marRight w:val="0"/>
      <w:marTop w:val="0"/>
      <w:marBottom w:val="0"/>
      <w:divBdr>
        <w:top w:val="none" w:sz="0" w:space="0" w:color="auto"/>
        <w:left w:val="none" w:sz="0" w:space="0" w:color="auto"/>
        <w:bottom w:val="none" w:sz="0" w:space="0" w:color="auto"/>
        <w:right w:val="none" w:sz="0" w:space="0" w:color="auto"/>
      </w:divBdr>
    </w:div>
    <w:div w:id="1032458384">
      <w:bodyDiv w:val="1"/>
      <w:marLeft w:val="0"/>
      <w:marRight w:val="0"/>
      <w:marTop w:val="0"/>
      <w:marBottom w:val="0"/>
      <w:divBdr>
        <w:top w:val="none" w:sz="0" w:space="0" w:color="auto"/>
        <w:left w:val="none" w:sz="0" w:space="0" w:color="auto"/>
        <w:bottom w:val="none" w:sz="0" w:space="0" w:color="auto"/>
        <w:right w:val="none" w:sz="0" w:space="0" w:color="auto"/>
      </w:divBdr>
    </w:div>
    <w:div w:id="1083991012">
      <w:bodyDiv w:val="1"/>
      <w:marLeft w:val="0"/>
      <w:marRight w:val="0"/>
      <w:marTop w:val="0"/>
      <w:marBottom w:val="0"/>
      <w:divBdr>
        <w:top w:val="none" w:sz="0" w:space="0" w:color="auto"/>
        <w:left w:val="none" w:sz="0" w:space="0" w:color="auto"/>
        <w:bottom w:val="none" w:sz="0" w:space="0" w:color="auto"/>
        <w:right w:val="none" w:sz="0" w:space="0" w:color="auto"/>
      </w:divBdr>
    </w:div>
    <w:div w:id="1103766000">
      <w:bodyDiv w:val="1"/>
      <w:marLeft w:val="0"/>
      <w:marRight w:val="0"/>
      <w:marTop w:val="0"/>
      <w:marBottom w:val="0"/>
      <w:divBdr>
        <w:top w:val="none" w:sz="0" w:space="0" w:color="auto"/>
        <w:left w:val="none" w:sz="0" w:space="0" w:color="auto"/>
        <w:bottom w:val="none" w:sz="0" w:space="0" w:color="auto"/>
        <w:right w:val="none" w:sz="0" w:space="0" w:color="auto"/>
      </w:divBdr>
    </w:div>
    <w:div w:id="1119420889">
      <w:bodyDiv w:val="1"/>
      <w:marLeft w:val="0"/>
      <w:marRight w:val="0"/>
      <w:marTop w:val="0"/>
      <w:marBottom w:val="0"/>
      <w:divBdr>
        <w:top w:val="none" w:sz="0" w:space="0" w:color="auto"/>
        <w:left w:val="none" w:sz="0" w:space="0" w:color="auto"/>
        <w:bottom w:val="none" w:sz="0" w:space="0" w:color="auto"/>
        <w:right w:val="none" w:sz="0" w:space="0" w:color="auto"/>
      </w:divBdr>
    </w:div>
    <w:div w:id="1303391368">
      <w:bodyDiv w:val="1"/>
      <w:marLeft w:val="0"/>
      <w:marRight w:val="0"/>
      <w:marTop w:val="0"/>
      <w:marBottom w:val="0"/>
      <w:divBdr>
        <w:top w:val="none" w:sz="0" w:space="0" w:color="auto"/>
        <w:left w:val="none" w:sz="0" w:space="0" w:color="auto"/>
        <w:bottom w:val="none" w:sz="0" w:space="0" w:color="auto"/>
        <w:right w:val="none" w:sz="0" w:space="0" w:color="auto"/>
      </w:divBdr>
    </w:div>
    <w:div w:id="1324043449">
      <w:bodyDiv w:val="1"/>
      <w:marLeft w:val="0"/>
      <w:marRight w:val="0"/>
      <w:marTop w:val="0"/>
      <w:marBottom w:val="0"/>
      <w:divBdr>
        <w:top w:val="none" w:sz="0" w:space="0" w:color="auto"/>
        <w:left w:val="none" w:sz="0" w:space="0" w:color="auto"/>
        <w:bottom w:val="none" w:sz="0" w:space="0" w:color="auto"/>
        <w:right w:val="none" w:sz="0" w:space="0" w:color="auto"/>
      </w:divBdr>
    </w:div>
    <w:div w:id="1410034595">
      <w:bodyDiv w:val="1"/>
      <w:marLeft w:val="0"/>
      <w:marRight w:val="0"/>
      <w:marTop w:val="0"/>
      <w:marBottom w:val="0"/>
      <w:divBdr>
        <w:top w:val="none" w:sz="0" w:space="0" w:color="auto"/>
        <w:left w:val="none" w:sz="0" w:space="0" w:color="auto"/>
        <w:bottom w:val="none" w:sz="0" w:space="0" w:color="auto"/>
        <w:right w:val="none" w:sz="0" w:space="0" w:color="auto"/>
      </w:divBdr>
    </w:div>
    <w:div w:id="1414626690">
      <w:bodyDiv w:val="1"/>
      <w:marLeft w:val="0"/>
      <w:marRight w:val="0"/>
      <w:marTop w:val="0"/>
      <w:marBottom w:val="0"/>
      <w:divBdr>
        <w:top w:val="none" w:sz="0" w:space="0" w:color="auto"/>
        <w:left w:val="none" w:sz="0" w:space="0" w:color="auto"/>
        <w:bottom w:val="none" w:sz="0" w:space="0" w:color="auto"/>
        <w:right w:val="none" w:sz="0" w:space="0" w:color="auto"/>
      </w:divBdr>
    </w:div>
    <w:div w:id="1650285163">
      <w:bodyDiv w:val="1"/>
      <w:marLeft w:val="0"/>
      <w:marRight w:val="0"/>
      <w:marTop w:val="0"/>
      <w:marBottom w:val="0"/>
      <w:divBdr>
        <w:top w:val="none" w:sz="0" w:space="0" w:color="auto"/>
        <w:left w:val="none" w:sz="0" w:space="0" w:color="auto"/>
        <w:bottom w:val="none" w:sz="0" w:space="0" w:color="auto"/>
        <w:right w:val="none" w:sz="0" w:space="0" w:color="auto"/>
      </w:divBdr>
    </w:div>
    <w:div w:id="1712681208">
      <w:bodyDiv w:val="1"/>
      <w:marLeft w:val="0"/>
      <w:marRight w:val="0"/>
      <w:marTop w:val="0"/>
      <w:marBottom w:val="0"/>
      <w:divBdr>
        <w:top w:val="none" w:sz="0" w:space="0" w:color="auto"/>
        <w:left w:val="none" w:sz="0" w:space="0" w:color="auto"/>
        <w:bottom w:val="none" w:sz="0" w:space="0" w:color="auto"/>
        <w:right w:val="none" w:sz="0" w:space="0" w:color="auto"/>
      </w:divBdr>
    </w:div>
    <w:div w:id="1725790697">
      <w:bodyDiv w:val="1"/>
      <w:marLeft w:val="0"/>
      <w:marRight w:val="0"/>
      <w:marTop w:val="0"/>
      <w:marBottom w:val="0"/>
      <w:divBdr>
        <w:top w:val="none" w:sz="0" w:space="0" w:color="auto"/>
        <w:left w:val="none" w:sz="0" w:space="0" w:color="auto"/>
        <w:bottom w:val="none" w:sz="0" w:space="0" w:color="auto"/>
        <w:right w:val="none" w:sz="0" w:space="0" w:color="auto"/>
      </w:divBdr>
    </w:div>
    <w:div w:id="1984458125">
      <w:bodyDiv w:val="1"/>
      <w:marLeft w:val="0"/>
      <w:marRight w:val="0"/>
      <w:marTop w:val="0"/>
      <w:marBottom w:val="0"/>
      <w:divBdr>
        <w:top w:val="none" w:sz="0" w:space="0" w:color="auto"/>
        <w:left w:val="none" w:sz="0" w:space="0" w:color="auto"/>
        <w:bottom w:val="none" w:sz="0" w:space="0" w:color="auto"/>
        <w:right w:val="none" w:sz="0" w:space="0" w:color="auto"/>
      </w:divBdr>
    </w:div>
    <w:div w:id="2042586430">
      <w:bodyDiv w:val="1"/>
      <w:marLeft w:val="0"/>
      <w:marRight w:val="0"/>
      <w:marTop w:val="0"/>
      <w:marBottom w:val="0"/>
      <w:divBdr>
        <w:top w:val="none" w:sz="0" w:space="0" w:color="auto"/>
        <w:left w:val="none" w:sz="0" w:space="0" w:color="auto"/>
        <w:bottom w:val="none" w:sz="0" w:space="0" w:color="auto"/>
        <w:right w:val="none" w:sz="0" w:space="0" w:color="auto"/>
      </w:divBdr>
    </w:div>
    <w:div w:id="2053919272">
      <w:bodyDiv w:val="1"/>
      <w:marLeft w:val="0"/>
      <w:marRight w:val="0"/>
      <w:marTop w:val="0"/>
      <w:marBottom w:val="0"/>
      <w:divBdr>
        <w:top w:val="none" w:sz="0" w:space="0" w:color="auto"/>
        <w:left w:val="none" w:sz="0" w:space="0" w:color="auto"/>
        <w:bottom w:val="none" w:sz="0" w:space="0" w:color="auto"/>
        <w:right w:val="none" w:sz="0" w:space="0" w:color="auto"/>
      </w:divBdr>
    </w:div>
    <w:div w:id="2076276964">
      <w:bodyDiv w:val="1"/>
      <w:marLeft w:val="0"/>
      <w:marRight w:val="0"/>
      <w:marTop w:val="0"/>
      <w:marBottom w:val="0"/>
      <w:divBdr>
        <w:top w:val="none" w:sz="0" w:space="0" w:color="auto"/>
        <w:left w:val="none" w:sz="0" w:space="0" w:color="auto"/>
        <w:bottom w:val="none" w:sz="0" w:space="0" w:color="auto"/>
        <w:right w:val="none" w:sz="0" w:space="0" w:color="auto"/>
      </w:divBdr>
    </w:div>
    <w:div w:id="213151411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about:blank" TargetMode="External"/><Relationship Id="rId4" Type="http://schemas.openxmlformats.org/officeDocument/2006/relationships/settings" Target="settings.xml"/><Relationship Id="rId9" Type="http://schemas.openxmlformats.org/officeDocument/2006/relationships/hyperlink" Target="about:blank" TargetMode="External"/><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7A1A328-B107-3447-B121-C8C66027BB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439</TotalTime>
  <Pages>32</Pages>
  <Words>57702</Words>
  <Characters>328904</Characters>
  <Application>Microsoft Office Word</Application>
  <DocSecurity>0</DocSecurity>
  <Lines>2740</Lines>
  <Paragraphs>771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385835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Chan Stanley</dc:creator>
  <cp:keywords/>
  <dc:description/>
  <cp:lastModifiedBy>Chan Stanley</cp:lastModifiedBy>
  <cp:revision>107</cp:revision>
  <dcterms:created xsi:type="dcterms:W3CDTF">2021-10-28T07:32:00Z</dcterms:created>
  <dcterms:modified xsi:type="dcterms:W3CDTF">2021-11-11T15:14:00Z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http://www.zotero.org/styles/harvard-cite-them-right</vt:lpwstr>
  </property>
  <property fmtid="{D5CDD505-2E9C-101B-9397-08002B2CF9AE}" pid="11" name="Mendeley Recent Style Name 4_1">
    <vt:lpwstr>Cite Them Right 10th edition - Harvard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http://www.zotero.org/styles/methods-in-ecology-and-evolution</vt:lpwstr>
  </property>
  <property fmtid="{D5CDD505-2E9C-101B-9397-08002B2CF9AE}" pid="15" name="Mendeley Recent Style Name 6_1">
    <vt:lpwstr>Methods in Ecology and Evolution</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http://www.zotero.org/styles/science</vt:lpwstr>
  </property>
  <property fmtid="{D5CDD505-2E9C-101B-9397-08002B2CF9AE}" pid="21" name="Mendeley Recent Style Name 9_1">
    <vt:lpwstr>Science</vt:lpwstr>
  </property>
  <property fmtid="{D5CDD505-2E9C-101B-9397-08002B2CF9AE}" pid="22" name="Mendeley Document_1">
    <vt:lpwstr>True</vt:lpwstr>
  </property>
  <property fmtid="{D5CDD505-2E9C-101B-9397-08002B2CF9AE}" pid="23" name="Mendeley Unique User Id_1">
    <vt:lpwstr>3c2324f6-5f00-37ce-b4c4-57c467643168</vt:lpwstr>
  </property>
  <property fmtid="{D5CDD505-2E9C-101B-9397-08002B2CF9AE}" pid="24" name="Mendeley Citation Style_1">
    <vt:lpwstr>http://www.zotero.org/styles/harvard-cite-them-right</vt:lpwstr>
  </property>
</Properties>
</file>