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46C71F" w14:textId="77777777" w:rsidR="0014248F" w:rsidRPr="00C64F4E" w:rsidRDefault="0014248F" w:rsidP="00C64F4E">
      <w:pPr>
        <w:pStyle w:val="NoSpacing"/>
        <w:bidi w:val="0"/>
        <w:rPr>
          <w:b/>
          <w:bCs/>
        </w:rPr>
      </w:pPr>
      <w:bookmarkStart w:id="0" w:name="_Hlk82777754"/>
      <w:r w:rsidRPr="00C64F4E">
        <w:rPr>
          <w:b/>
          <w:bCs/>
        </w:rPr>
        <w:t>Cover Letter:</w:t>
      </w:r>
    </w:p>
    <w:p w14:paraId="0351BAE5" w14:textId="77777777" w:rsidR="0014248F" w:rsidRPr="00C64F4E" w:rsidRDefault="0014248F" w:rsidP="00C64F4E">
      <w:pPr>
        <w:pStyle w:val="NoSpacing"/>
        <w:bidi w:val="0"/>
      </w:pPr>
    </w:p>
    <w:p w14:paraId="2CD1757D" w14:textId="622BEC4A" w:rsidR="0014248F" w:rsidRDefault="0014248F" w:rsidP="00C64F4E">
      <w:pPr>
        <w:pStyle w:val="NoSpacing"/>
        <w:bidi w:val="0"/>
      </w:pPr>
      <w:r w:rsidRPr="00C64F4E">
        <w:t xml:space="preserve">Dear Editor, </w:t>
      </w:r>
    </w:p>
    <w:p w14:paraId="4A14AFB8" w14:textId="77777777" w:rsidR="00DA5B25" w:rsidRPr="00C64F4E" w:rsidRDefault="00DA5B25" w:rsidP="00DA5B25">
      <w:pPr>
        <w:pStyle w:val="NoSpacing"/>
        <w:bidi w:val="0"/>
      </w:pPr>
    </w:p>
    <w:p w14:paraId="5C0F2647" w14:textId="3E9821B7" w:rsidR="00200300" w:rsidRPr="00C64F4E" w:rsidRDefault="0014248F" w:rsidP="00C64F4E">
      <w:pPr>
        <w:pStyle w:val="NoSpacing"/>
        <w:bidi w:val="0"/>
      </w:pPr>
      <w:r w:rsidRPr="00C64F4E">
        <w:t>We wish to submit an article of case report entitled “</w:t>
      </w:r>
      <w:r w:rsidR="00200300" w:rsidRPr="00C64F4E">
        <w:t>The dilemma of Tocilizumab treatment for a patient with critical COVID-19 disease and neutropenia: Case report and review of the literature” for your reputable journal</w:t>
      </w:r>
      <w:r w:rsidR="00DD5DD3">
        <w:t xml:space="preserve"> (Clinical Case Reports – Wiley)</w:t>
      </w:r>
    </w:p>
    <w:p w14:paraId="40955430" w14:textId="4980D715" w:rsidR="0014248F" w:rsidRPr="00C64F4E" w:rsidRDefault="0014248F" w:rsidP="00C64F4E">
      <w:pPr>
        <w:pStyle w:val="NoSpacing"/>
        <w:bidi w:val="0"/>
      </w:pPr>
      <w:r w:rsidRPr="00C64F4E">
        <w:t xml:space="preserve"> </w:t>
      </w:r>
    </w:p>
    <w:p w14:paraId="3BCB7F64" w14:textId="2DDF33EF" w:rsidR="0014248F" w:rsidRPr="00C64F4E" w:rsidRDefault="0014248F" w:rsidP="00C64F4E">
      <w:pPr>
        <w:pStyle w:val="NoSpacing"/>
        <w:bidi w:val="0"/>
      </w:pPr>
      <w:r w:rsidRPr="00C64F4E">
        <w:t xml:space="preserve">During the Covid-19 pandemic, there were limited treatment options. Tocilizumab is one of few therapeutic options that showed mortality benefit particularly in patients </w:t>
      </w:r>
      <w:r w:rsidR="00200300" w:rsidRPr="00C64F4E">
        <w:t>whom clinical course has been complicated by COVID-19 related cytokine</w:t>
      </w:r>
      <w:r w:rsidRPr="00C64F4E">
        <w:t xml:space="preserve"> storm. </w:t>
      </w:r>
      <w:r w:rsidR="00200300" w:rsidRPr="00C64F4E">
        <w:t>N</w:t>
      </w:r>
      <w:r w:rsidRPr="00C64F4E">
        <w:t>eutropenia</w:t>
      </w:r>
      <w:r w:rsidR="00200300" w:rsidRPr="00C64F4E">
        <w:t xml:space="preserve"> is one of the precautionary measures that limits its use while viral infections such as COVID-19 itself can cause profound leukopenia. What to do with patients presenting with COVID-19 infection complicated by cytokine storm while having clinical severe </w:t>
      </w:r>
      <w:r w:rsidR="00F70532" w:rsidRPr="00C64F4E">
        <w:t>neutropenia?</w:t>
      </w:r>
      <w:r w:rsidR="00200300" w:rsidRPr="00C64F4E">
        <w:t xml:space="preserve"> </w:t>
      </w:r>
    </w:p>
    <w:p w14:paraId="66D821DA" w14:textId="77777777" w:rsidR="005377B7" w:rsidRPr="00C64F4E" w:rsidRDefault="005377B7" w:rsidP="00C64F4E">
      <w:pPr>
        <w:pStyle w:val="NoSpacing"/>
        <w:bidi w:val="0"/>
      </w:pPr>
    </w:p>
    <w:p w14:paraId="08E303E3" w14:textId="2D1E206B" w:rsidR="0014248F" w:rsidRPr="00C64F4E" w:rsidRDefault="0014248F" w:rsidP="00C64F4E">
      <w:pPr>
        <w:pStyle w:val="NoSpacing"/>
        <w:bidi w:val="0"/>
      </w:pPr>
      <w:r w:rsidRPr="00C64F4E">
        <w:t xml:space="preserve">In this case report, we </w:t>
      </w:r>
      <w:r w:rsidR="00200300" w:rsidRPr="00C64F4E">
        <w:t>present such dilemma which was managed through risk benefits assessment augmented b</w:t>
      </w:r>
      <w:r w:rsidR="005169A0" w:rsidRPr="00C64F4E">
        <w:t xml:space="preserve">y treatment </w:t>
      </w:r>
      <w:r w:rsidRPr="00C64F4E">
        <w:t>Granulocyte- Colony Stimulating Factor G-</w:t>
      </w:r>
      <w:r w:rsidR="005169A0" w:rsidRPr="00C64F4E">
        <w:t>CSF(Filgrastim</w:t>
      </w:r>
      <w:r w:rsidRPr="00C64F4E">
        <w:t xml:space="preserve">) </w:t>
      </w:r>
      <w:r w:rsidR="005169A0" w:rsidRPr="00C64F4E">
        <w:t xml:space="preserve">leading to </w:t>
      </w:r>
      <w:r w:rsidRPr="00C64F4E">
        <w:t xml:space="preserve">full </w:t>
      </w:r>
      <w:r w:rsidR="00F70532" w:rsidRPr="00C64F4E">
        <w:t>recovery.</w:t>
      </w:r>
      <w:r w:rsidR="005169A0" w:rsidRPr="00C64F4E">
        <w:t xml:space="preserve"> </w:t>
      </w:r>
    </w:p>
    <w:p w14:paraId="77CE657C" w14:textId="77777777" w:rsidR="005377B7" w:rsidRPr="00C64F4E" w:rsidRDefault="005377B7" w:rsidP="00C64F4E">
      <w:pPr>
        <w:pStyle w:val="NoSpacing"/>
        <w:bidi w:val="0"/>
      </w:pPr>
    </w:p>
    <w:p w14:paraId="0818C5CE" w14:textId="477708C2" w:rsidR="0014248F" w:rsidRDefault="0014248F" w:rsidP="00C64F4E">
      <w:pPr>
        <w:pStyle w:val="NoSpacing"/>
        <w:bidi w:val="0"/>
      </w:pPr>
      <w:r w:rsidRPr="00C64F4E">
        <w:t>Since the pandemic</w:t>
      </w:r>
      <w:r w:rsidR="005169A0" w:rsidRPr="00C64F4E">
        <w:t xml:space="preserve"> still </w:t>
      </w:r>
      <w:r w:rsidR="00F70532" w:rsidRPr="00C64F4E">
        <w:t>evolving,</w:t>
      </w:r>
      <w:r w:rsidRPr="00C64F4E">
        <w:t xml:space="preserve"> we believe the scientific community </w:t>
      </w:r>
      <w:r w:rsidR="005169A0" w:rsidRPr="00C64F4E">
        <w:t>deserved</w:t>
      </w:r>
      <w:r w:rsidRPr="00C64F4E">
        <w:t xml:space="preserve"> to collect evidence of </w:t>
      </w:r>
      <w:r w:rsidR="005169A0" w:rsidRPr="00C64F4E">
        <w:t xml:space="preserve">different </w:t>
      </w:r>
      <w:r w:rsidRPr="00C64F4E">
        <w:t xml:space="preserve">management strategies including treatment of such an important patients’ </w:t>
      </w:r>
      <w:r w:rsidR="005169A0" w:rsidRPr="00C64F4E">
        <w:t xml:space="preserve">cohorts to aid towards safe </w:t>
      </w:r>
      <w:r w:rsidR="00F70532" w:rsidRPr="00C64F4E">
        <w:t>outcomes.</w:t>
      </w:r>
    </w:p>
    <w:p w14:paraId="3C97C64E" w14:textId="77777777" w:rsidR="00DD5DD3" w:rsidRPr="00C64F4E" w:rsidRDefault="00DD5DD3" w:rsidP="00DD5DD3">
      <w:pPr>
        <w:pStyle w:val="NoSpacing"/>
        <w:bidi w:val="0"/>
      </w:pPr>
    </w:p>
    <w:p w14:paraId="4443E6C7" w14:textId="150519AB" w:rsidR="00F70532" w:rsidRPr="00C64F4E" w:rsidRDefault="0014248F" w:rsidP="00C64F4E">
      <w:pPr>
        <w:pStyle w:val="NoSpacing"/>
        <w:bidi w:val="0"/>
      </w:pPr>
      <w:r w:rsidRPr="00C64F4E">
        <w:t xml:space="preserve">We believe </w:t>
      </w:r>
      <w:r w:rsidR="005169A0" w:rsidRPr="00C64F4E">
        <w:t xml:space="preserve">the </w:t>
      </w:r>
      <w:r w:rsidRPr="00C64F4E">
        <w:t xml:space="preserve">manuscript is appropriate for publication by </w:t>
      </w:r>
      <w:r w:rsidR="005169A0" w:rsidRPr="00C64F4E">
        <w:rPr>
          <w:rFonts w:eastAsia="Times New Roman"/>
        </w:rPr>
        <w:t xml:space="preserve">at </w:t>
      </w:r>
      <w:r w:rsidR="00DD5DD3">
        <w:rPr>
          <w:rFonts w:eastAsia="Times New Roman"/>
        </w:rPr>
        <w:t>Clinical Case Reports</w:t>
      </w:r>
      <w:r w:rsidR="005169A0" w:rsidRPr="00C64F4E">
        <w:rPr>
          <w:rFonts w:eastAsia="Times New Roman"/>
        </w:rPr>
        <w:t xml:space="preserve"> </w:t>
      </w:r>
      <w:r w:rsidRPr="00C64F4E">
        <w:rPr>
          <w:rFonts w:eastAsia="Times New Roman"/>
        </w:rPr>
        <w:t>because</w:t>
      </w:r>
      <w:r w:rsidRPr="00C64F4E">
        <w:t xml:space="preserve"> it is within the spectrum</w:t>
      </w:r>
      <w:r w:rsidR="005169A0" w:rsidRPr="00C64F4E">
        <w:t xml:space="preserve"> and it provide new knowledge to the scientific community. </w:t>
      </w:r>
    </w:p>
    <w:p w14:paraId="2421269F" w14:textId="77777777" w:rsidR="005377B7" w:rsidRPr="00C64F4E" w:rsidRDefault="005377B7" w:rsidP="00C64F4E">
      <w:pPr>
        <w:pStyle w:val="NoSpacing"/>
        <w:bidi w:val="0"/>
      </w:pPr>
    </w:p>
    <w:p w14:paraId="4A82AB06" w14:textId="02C218E1" w:rsidR="00200300" w:rsidRDefault="00200300" w:rsidP="00C64F4E">
      <w:pPr>
        <w:pStyle w:val="NoSpacing"/>
        <w:bidi w:val="0"/>
      </w:pPr>
      <w:r w:rsidRPr="00C64F4E">
        <w:t>We confirm that this work is original and has not been published elsewhere, nor it is currently under consideration for publication elsewhere.</w:t>
      </w:r>
      <w:r w:rsidR="00DD5DD3">
        <w:t xml:space="preserve"> </w:t>
      </w:r>
    </w:p>
    <w:p w14:paraId="6B412B74" w14:textId="77777777" w:rsidR="00DD5DD3" w:rsidRPr="00C64F4E" w:rsidRDefault="00DD5DD3" w:rsidP="00DD5DD3">
      <w:pPr>
        <w:pStyle w:val="NoSpacing"/>
        <w:bidi w:val="0"/>
      </w:pPr>
    </w:p>
    <w:p w14:paraId="6C5EA388" w14:textId="307882AB" w:rsidR="0014248F" w:rsidRPr="00C64F4E" w:rsidRDefault="0014248F" w:rsidP="00C64F4E">
      <w:pPr>
        <w:pStyle w:val="NoSpacing"/>
        <w:bidi w:val="0"/>
      </w:pPr>
      <w:r w:rsidRPr="00C64F4E">
        <w:t xml:space="preserve">Thank you for your consideration </w:t>
      </w:r>
      <w:r w:rsidR="005169A0" w:rsidRPr="00C64F4E">
        <w:t>for the manuscript</w:t>
      </w:r>
      <w:r w:rsidRPr="00C64F4E">
        <w:t>.</w:t>
      </w:r>
    </w:p>
    <w:p w14:paraId="1A39B264" w14:textId="77777777" w:rsidR="005377B7" w:rsidRPr="00C64F4E" w:rsidRDefault="005377B7" w:rsidP="00C64F4E">
      <w:pPr>
        <w:pStyle w:val="NoSpacing"/>
        <w:bidi w:val="0"/>
      </w:pPr>
    </w:p>
    <w:p w14:paraId="05B47AF1" w14:textId="77777777" w:rsidR="0014248F" w:rsidRPr="00C64F4E" w:rsidRDefault="0014248F" w:rsidP="00C64F4E">
      <w:pPr>
        <w:pStyle w:val="NoSpacing"/>
        <w:bidi w:val="0"/>
      </w:pPr>
      <w:r w:rsidRPr="00C64F4E">
        <w:t>Sincerely,</w:t>
      </w:r>
    </w:p>
    <w:p w14:paraId="77DD1DA1" w14:textId="77777777" w:rsidR="0014248F" w:rsidRPr="00C64F4E" w:rsidRDefault="0014248F" w:rsidP="00C64F4E">
      <w:pPr>
        <w:pStyle w:val="NoSpacing"/>
        <w:bidi w:val="0"/>
      </w:pPr>
    </w:p>
    <w:p w14:paraId="78C69E86" w14:textId="22F6C0A0" w:rsidR="0014248F" w:rsidRPr="00C64F4E" w:rsidRDefault="0014248F" w:rsidP="00C64F4E">
      <w:pPr>
        <w:pStyle w:val="NoSpacing"/>
        <w:bidi w:val="0"/>
      </w:pPr>
      <w:r w:rsidRPr="00C64F4E">
        <w:t>Ahmad Al Bishawi.</w:t>
      </w:r>
    </w:p>
    <w:p w14:paraId="6F488F17" w14:textId="02008114" w:rsidR="00BB3B38" w:rsidRPr="00C64F4E" w:rsidRDefault="00BB3B38" w:rsidP="00C64F4E">
      <w:pPr>
        <w:pStyle w:val="NoSpacing"/>
        <w:bidi w:val="0"/>
      </w:pPr>
    </w:p>
    <w:p w14:paraId="68647C8F" w14:textId="269C1E18" w:rsidR="00BB3B38" w:rsidRPr="00C64F4E" w:rsidRDefault="00BB3B38" w:rsidP="00C64F4E">
      <w:pPr>
        <w:pStyle w:val="NoSpacing"/>
        <w:bidi w:val="0"/>
      </w:pPr>
    </w:p>
    <w:p w14:paraId="4E3B3A24" w14:textId="1E3797CA" w:rsidR="00BB3B38" w:rsidRPr="00C64F4E" w:rsidRDefault="00BB3B38" w:rsidP="00C64F4E">
      <w:pPr>
        <w:pStyle w:val="NoSpacing"/>
        <w:bidi w:val="0"/>
      </w:pPr>
    </w:p>
    <w:p w14:paraId="55C6E6E4" w14:textId="7CB13D95" w:rsidR="005377B7" w:rsidRPr="00C64F4E" w:rsidRDefault="005377B7" w:rsidP="00C64F4E">
      <w:pPr>
        <w:pStyle w:val="NoSpacing"/>
        <w:bidi w:val="0"/>
      </w:pPr>
    </w:p>
    <w:p w14:paraId="36946DAC" w14:textId="16CE626B" w:rsidR="005377B7" w:rsidRDefault="005377B7" w:rsidP="00C64F4E">
      <w:pPr>
        <w:pStyle w:val="NoSpacing"/>
        <w:bidi w:val="0"/>
      </w:pPr>
    </w:p>
    <w:p w14:paraId="06A2565A" w14:textId="0C842007" w:rsidR="00C64F4E" w:rsidRDefault="00C64F4E" w:rsidP="00C64F4E">
      <w:pPr>
        <w:pStyle w:val="NoSpacing"/>
        <w:bidi w:val="0"/>
      </w:pPr>
    </w:p>
    <w:p w14:paraId="43CD596D" w14:textId="5A20020F" w:rsidR="00C64F4E" w:rsidRDefault="00C64F4E" w:rsidP="00C64F4E">
      <w:pPr>
        <w:pStyle w:val="NoSpacing"/>
        <w:bidi w:val="0"/>
      </w:pPr>
    </w:p>
    <w:p w14:paraId="18FBD4DD" w14:textId="5C31EFA7" w:rsidR="00C64F4E" w:rsidRDefault="00C64F4E" w:rsidP="00C64F4E">
      <w:pPr>
        <w:pStyle w:val="NoSpacing"/>
        <w:bidi w:val="0"/>
      </w:pPr>
    </w:p>
    <w:p w14:paraId="02C3C6C5" w14:textId="773048CC" w:rsidR="00C64F4E" w:rsidRDefault="00C64F4E" w:rsidP="00C64F4E">
      <w:pPr>
        <w:pStyle w:val="NoSpacing"/>
        <w:bidi w:val="0"/>
      </w:pPr>
    </w:p>
    <w:p w14:paraId="1265B765" w14:textId="7827EA7D" w:rsidR="00C64F4E" w:rsidRDefault="00C64F4E" w:rsidP="00C64F4E">
      <w:pPr>
        <w:pStyle w:val="NoSpacing"/>
        <w:bidi w:val="0"/>
      </w:pPr>
    </w:p>
    <w:p w14:paraId="2E5BB572" w14:textId="1B5CCA7B" w:rsidR="00C64F4E" w:rsidRDefault="00C64F4E" w:rsidP="00C64F4E">
      <w:pPr>
        <w:pStyle w:val="NoSpacing"/>
        <w:bidi w:val="0"/>
      </w:pPr>
    </w:p>
    <w:p w14:paraId="51D07FF6" w14:textId="2C95AEDE" w:rsidR="00C64F4E" w:rsidRDefault="00C64F4E" w:rsidP="00C64F4E">
      <w:pPr>
        <w:pStyle w:val="NoSpacing"/>
        <w:bidi w:val="0"/>
      </w:pPr>
    </w:p>
    <w:p w14:paraId="05624F3F" w14:textId="3663D423" w:rsidR="00C64F4E" w:rsidRDefault="00C64F4E" w:rsidP="00C64F4E">
      <w:pPr>
        <w:pStyle w:val="NoSpacing"/>
        <w:bidi w:val="0"/>
      </w:pPr>
    </w:p>
    <w:p w14:paraId="2ECE1330" w14:textId="7264017D" w:rsidR="00C64F4E" w:rsidRDefault="00C64F4E" w:rsidP="00C64F4E">
      <w:pPr>
        <w:pStyle w:val="NoSpacing"/>
        <w:bidi w:val="0"/>
      </w:pPr>
    </w:p>
    <w:p w14:paraId="019A1578" w14:textId="56577A65" w:rsidR="00C64F4E" w:rsidRDefault="00C64F4E" w:rsidP="00C64F4E">
      <w:pPr>
        <w:pStyle w:val="NoSpacing"/>
        <w:bidi w:val="0"/>
      </w:pPr>
    </w:p>
    <w:p w14:paraId="74FF5798" w14:textId="2718DA05" w:rsidR="00C64F4E" w:rsidRDefault="00C64F4E" w:rsidP="00C64F4E">
      <w:pPr>
        <w:pStyle w:val="NoSpacing"/>
        <w:bidi w:val="0"/>
      </w:pPr>
    </w:p>
    <w:p w14:paraId="7F70C369" w14:textId="77777777" w:rsidR="00C64F4E" w:rsidRPr="00C64F4E" w:rsidRDefault="00C64F4E" w:rsidP="00C64F4E">
      <w:pPr>
        <w:pStyle w:val="NoSpacing"/>
        <w:bidi w:val="0"/>
      </w:pPr>
    </w:p>
    <w:p w14:paraId="5321968E" w14:textId="77777777" w:rsidR="006D6063" w:rsidRPr="00C64F4E" w:rsidRDefault="00BB3B38" w:rsidP="00C64F4E">
      <w:pPr>
        <w:pStyle w:val="NoSpacing"/>
        <w:bidi w:val="0"/>
        <w:rPr>
          <w:b/>
          <w:bCs/>
        </w:rPr>
      </w:pPr>
      <w:r w:rsidRPr="00C64F4E">
        <w:rPr>
          <w:b/>
          <w:bCs/>
        </w:rPr>
        <w:t xml:space="preserve">The dilemma of </w:t>
      </w:r>
      <w:r w:rsidR="0014248F" w:rsidRPr="00C64F4E">
        <w:rPr>
          <w:b/>
          <w:bCs/>
        </w:rPr>
        <w:t xml:space="preserve">Tocilizumab </w:t>
      </w:r>
      <w:r w:rsidR="001237CE" w:rsidRPr="00C64F4E">
        <w:rPr>
          <w:b/>
          <w:bCs/>
        </w:rPr>
        <w:t>therapy for</w:t>
      </w:r>
      <w:r w:rsidRPr="00C64F4E">
        <w:rPr>
          <w:b/>
          <w:bCs/>
        </w:rPr>
        <w:t xml:space="preserve"> a patient with </w:t>
      </w:r>
      <w:r w:rsidR="003E5BEC" w:rsidRPr="00C64F4E">
        <w:rPr>
          <w:b/>
          <w:bCs/>
        </w:rPr>
        <w:t>critical COVID</w:t>
      </w:r>
      <w:r w:rsidRPr="00C64F4E">
        <w:rPr>
          <w:b/>
          <w:bCs/>
        </w:rPr>
        <w:t xml:space="preserve">-19 disease and </w:t>
      </w:r>
      <w:r w:rsidR="00BB5F70" w:rsidRPr="00C64F4E">
        <w:rPr>
          <w:b/>
          <w:bCs/>
        </w:rPr>
        <w:t>neutropenia:</w:t>
      </w:r>
      <w:r w:rsidRPr="00C64F4E">
        <w:rPr>
          <w:b/>
          <w:bCs/>
        </w:rPr>
        <w:t xml:space="preserve"> Case report and review of the literature</w:t>
      </w:r>
    </w:p>
    <w:p w14:paraId="4C6897B4" w14:textId="09350C32" w:rsidR="00BB3B38" w:rsidRPr="00C64F4E" w:rsidRDefault="00BB3B38" w:rsidP="00C64F4E">
      <w:pPr>
        <w:pStyle w:val="NoSpacing"/>
        <w:bidi w:val="0"/>
        <w:rPr>
          <w:b/>
          <w:bCs/>
        </w:rPr>
      </w:pPr>
      <w:r w:rsidRPr="00C64F4E">
        <w:rPr>
          <w:b/>
          <w:bCs/>
        </w:rPr>
        <w:t xml:space="preserve"> </w:t>
      </w:r>
    </w:p>
    <w:p w14:paraId="1420F3C8" w14:textId="58CB76DC" w:rsidR="0014248F" w:rsidRPr="00C64F4E" w:rsidRDefault="0014248F" w:rsidP="00C64F4E">
      <w:pPr>
        <w:pStyle w:val="NoSpacing"/>
        <w:bidi w:val="0"/>
      </w:pPr>
      <w:r w:rsidRPr="00C64F4E">
        <w:t xml:space="preserve">Ahmad Al Bishawi </w:t>
      </w:r>
      <w:r w:rsidRPr="00C64F4E">
        <w:rPr>
          <w:vertAlign w:val="superscript"/>
        </w:rPr>
        <w:t>1</w:t>
      </w:r>
      <w:r w:rsidRPr="00C64F4E">
        <w:t>,</w:t>
      </w:r>
      <w:r w:rsidR="00AD248B" w:rsidRPr="00C64F4E">
        <w:rPr>
          <w:shd w:val="clear" w:color="auto" w:fill="FFFFFF"/>
        </w:rPr>
        <w:t xml:space="preserve"> </w:t>
      </w:r>
      <w:r w:rsidRPr="00C64F4E">
        <w:rPr>
          <w:shd w:val="clear" w:color="auto" w:fill="FFFFFF"/>
        </w:rPr>
        <w:t>Shiema Abdalla</w:t>
      </w:r>
      <w:r w:rsidRPr="00C64F4E">
        <w:rPr>
          <w:shd w:val="clear" w:color="auto" w:fill="FFFFFF"/>
          <w:vertAlign w:val="superscript"/>
        </w:rPr>
        <w:t>2</w:t>
      </w:r>
      <w:r w:rsidRPr="00C64F4E">
        <w:rPr>
          <w:shd w:val="clear" w:color="auto" w:fill="FFFFFF"/>
        </w:rPr>
        <w:t>, Marwa Askar</w:t>
      </w:r>
      <w:r w:rsidRPr="00C64F4E">
        <w:rPr>
          <w:shd w:val="clear" w:color="auto" w:fill="FFFFFF"/>
          <w:vertAlign w:val="superscript"/>
        </w:rPr>
        <w:t>3</w:t>
      </w:r>
      <w:r w:rsidRPr="00C64F4E">
        <w:rPr>
          <w:shd w:val="clear" w:color="auto" w:fill="FFFFFF"/>
        </w:rPr>
        <w:t>, Wael Kanjo</w:t>
      </w:r>
      <w:r w:rsidRPr="00C64F4E">
        <w:rPr>
          <w:shd w:val="clear" w:color="auto" w:fill="FFFFFF"/>
          <w:vertAlign w:val="superscript"/>
        </w:rPr>
        <w:t>4</w:t>
      </w:r>
      <w:r w:rsidRPr="00C64F4E">
        <w:t xml:space="preserve">, </w:t>
      </w:r>
      <w:r w:rsidRPr="00C64F4E">
        <w:rPr>
          <w:shd w:val="clear" w:color="auto" w:fill="FFFFFF"/>
        </w:rPr>
        <w:t>Amal Sameer</w:t>
      </w:r>
      <w:r w:rsidRPr="00C64F4E">
        <w:rPr>
          <w:shd w:val="clear" w:color="auto" w:fill="FFFFFF"/>
          <w:vertAlign w:val="superscript"/>
        </w:rPr>
        <w:t>1</w:t>
      </w:r>
      <w:r w:rsidRPr="00C64F4E">
        <w:rPr>
          <w:shd w:val="clear" w:color="auto" w:fill="FFFFFF"/>
        </w:rPr>
        <w:t xml:space="preserve">, </w:t>
      </w:r>
      <w:bookmarkStart w:id="1" w:name="_Hlk72144766"/>
      <w:r w:rsidRPr="00C64F4E">
        <w:rPr>
          <w:shd w:val="clear" w:color="auto" w:fill="FFFFFF"/>
        </w:rPr>
        <w:t>Gihan Mustafa</w:t>
      </w:r>
      <w:r w:rsidRPr="00C64F4E">
        <w:rPr>
          <w:shd w:val="clear" w:color="auto" w:fill="FFFFFF"/>
          <w:vertAlign w:val="superscript"/>
        </w:rPr>
        <w:t>1</w:t>
      </w:r>
      <w:r w:rsidR="002619C1" w:rsidRPr="00C64F4E">
        <w:rPr>
          <w:shd w:val="clear" w:color="auto" w:fill="FFFFFF"/>
        </w:rPr>
        <w:t>,</w:t>
      </w:r>
      <w:r w:rsidR="00FD0AC8" w:rsidRPr="00C64F4E">
        <w:rPr>
          <w:shd w:val="clear" w:color="auto" w:fill="FFFFFF"/>
        </w:rPr>
        <w:t xml:space="preserve"> Hamad Abdel Hadi </w:t>
      </w:r>
      <w:r w:rsidR="00FD0AC8" w:rsidRPr="00C64F4E">
        <w:rPr>
          <w:shd w:val="clear" w:color="auto" w:fill="FFFFFF"/>
          <w:vertAlign w:val="superscript"/>
        </w:rPr>
        <w:t>1</w:t>
      </w:r>
      <w:r w:rsidR="00FD0AC8" w:rsidRPr="00C64F4E">
        <w:rPr>
          <w:shd w:val="clear" w:color="auto" w:fill="FFFFFF"/>
        </w:rPr>
        <w:t xml:space="preserve">, </w:t>
      </w:r>
      <w:r w:rsidRPr="00C64F4E">
        <w:rPr>
          <w:shd w:val="clear" w:color="auto" w:fill="FFFFFF"/>
        </w:rPr>
        <w:t>Muna Al Maslamani</w:t>
      </w:r>
      <w:r w:rsidRPr="00C64F4E">
        <w:rPr>
          <w:shd w:val="clear" w:color="auto" w:fill="FFFFFF"/>
          <w:vertAlign w:val="superscript"/>
        </w:rPr>
        <w:t>1</w:t>
      </w:r>
      <w:r w:rsidRPr="00C64F4E">
        <w:rPr>
          <w:shd w:val="clear" w:color="auto" w:fill="FFFFFF"/>
        </w:rPr>
        <w:t xml:space="preserve">, </w:t>
      </w:r>
      <w:bookmarkEnd w:id="1"/>
      <w:r w:rsidRPr="00C64F4E">
        <w:rPr>
          <w:shd w:val="clear" w:color="auto" w:fill="FFFFFF"/>
        </w:rPr>
        <w:t>Alaaeldin Abdelmajid</w:t>
      </w:r>
      <w:r w:rsidRPr="00C64F4E">
        <w:rPr>
          <w:shd w:val="clear" w:color="auto" w:fill="FFFFFF"/>
          <w:vertAlign w:val="superscript"/>
        </w:rPr>
        <w:t>1</w:t>
      </w:r>
      <w:r w:rsidRPr="00C64F4E">
        <w:rPr>
          <w:shd w:val="clear" w:color="auto" w:fill="FFFFFF"/>
        </w:rPr>
        <w:t xml:space="preserve">. </w:t>
      </w:r>
    </w:p>
    <w:p w14:paraId="4F350603" w14:textId="77777777" w:rsidR="0014248F" w:rsidRPr="00C64F4E" w:rsidRDefault="0014248F" w:rsidP="00C64F4E">
      <w:pPr>
        <w:pStyle w:val="NoSpacing"/>
        <w:bidi w:val="0"/>
      </w:pPr>
    </w:p>
    <w:p w14:paraId="4034906F" w14:textId="5B599764" w:rsidR="0014248F" w:rsidRPr="00C64F4E" w:rsidRDefault="0014248F" w:rsidP="00C64F4E">
      <w:pPr>
        <w:pStyle w:val="NoSpacing"/>
        <w:bidi w:val="0"/>
      </w:pPr>
      <w:r w:rsidRPr="00C64F4E">
        <w:rPr>
          <w:vertAlign w:val="superscript"/>
        </w:rPr>
        <w:t>1</w:t>
      </w:r>
      <w:r w:rsidRPr="00C64F4E">
        <w:t xml:space="preserve">Division of </w:t>
      </w:r>
      <w:r w:rsidR="00BB3B38" w:rsidRPr="00C64F4E">
        <w:t>I</w:t>
      </w:r>
      <w:r w:rsidRPr="00C64F4E">
        <w:t xml:space="preserve">nfectious </w:t>
      </w:r>
      <w:r w:rsidR="00BB3B38" w:rsidRPr="00C64F4E">
        <w:t>D</w:t>
      </w:r>
      <w:r w:rsidRPr="00C64F4E">
        <w:t xml:space="preserve">iseases, </w:t>
      </w:r>
      <w:r w:rsidR="00BB3B38" w:rsidRPr="00C64F4E">
        <w:t xml:space="preserve">Communicable Diseases Centre, </w:t>
      </w:r>
      <w:r w:rsidRPr="00C64F4E">
        <w:t>Hamad Medical Corporation, Doha, Qatar.</w:t>
      </w:r>
    </w:p>
    <w:p w14:paraId="3B95C904" w14:textId="41623793" w:rsidR="0014248F" w:rsidRPr="00C64F4E" w:rsidRDefault="0014248F" w:rsidP="00C64F4E">
      <w:pPr>
        <w:pStyle w:val="NoSpacing"/>
        <w:bidi w:val="0"/>
      </w:pPr>
      <w:r w:rsidRPr="00C64F4E">
        <w:rPr>
          <w:vertAlign w:val="superscript"/>
        </w:rPr>
        <w:t xml:space="preserve">2 </w:t>
      </w:r>
      <w:r w:rsidRPr="00C64F4E">
        <w:t xml:space="preserve">Department of Clinical Pharmacy, Communicable </w:t>
      </w:r>
      <w:r w:rsidR="00BB3B38" w:rsidRPr="00C64F4E">
        <w:t>D</w:t>
      </w:r>
      <w:r w:rsidRPr="00C64F4E">
        <w:t>isease</w:t>
      </w:r>
      <w:r w:rsidR="00BB3B38" w:rsidRPr="00C64F4E">
        <w:t>s</w:t>
      </w:r>
      <w:r w:rsidRPr="00C64F4E">
        <w:t xml:space="preserve"> Center, Hamad medical corporation, Doha, Qatar. </w:t>
      </w:r>
    </w:p>
    <w:p w14:paraId="7C4D7E5C" w14:textId="3C4A2731" w:rsidR="0014248F" w:rsidRPr="00C64F4E" w:rsidRDefault="0014248F" w:rsidP="00C64F4E">
      <w:pPr>
        <w:pStyle w:val="NoSpacing"/>
        <w:bidi w:val="0"/>
      </w:pPr>
      <w:r w:rsidRPr="00C64F4E">
        <w:rPr>
          <w:vertAlign w:val="superscript"/>
        </w:rPr>
        <w:t>3</w:t>
      </w:r>
      <w:r w:rsidR="00376918">
        <w:rPr>
          <w:vertAlign w:val="superscript"/>
        </w:rPr>
        <w:t xml:space="preserve"> </w:t>
      </w:r>
      <w:r w:rsidRPr="00C64F4E">
        <w:t>D</w:t>
      </w:r>
      <w:r w:rsidR="00376918">
        <w:t>e</w:t>
      </w:r>
      <w:r w:rsidRPr="00C64F4E">
        <w:t xml:space="preserve">partment of Internal medicine, Division of Family medicine, Hamad medical corporation, Doha, Qatar. </w:t>
      </w:r>
    </w:p>
    <w:p w14:paraId="43F57C71" w14:textId="0219E3A1" w:rsidR="0014248F" w:rsidRPr="00C64F4E" w:rsidRDefault="0014248F" w:rsidP="00C64F4E">
      <w:pPr>
        <w:pStyle w:val="NoSpacing"/>
        <w:bidi w:val="0"/>
      </w:pPr>
      <w:r w:rsidRPr="00C64F4E">
        <w:rPr>
          <w:vertAlign w:val="superscript"/>
        </w:rPr>
        <w:t>4</w:t>
      </w:r>
      <w:r w:rsidR="00376918">
        <w:rPr>
          <w:vertAlign w:val="superscript"/>
        </w:rPr>
        <w:t xml:space="preserve"> </w:t>
      </w:r>
      <w:r w:rsidRPr="00C64F4E">
        <w:t>D</w:t>
      </w:r>
      <w:r w:rsidR="00175310">
        <w:t>e</w:t>
      </w:r>
      <w:r w:rsidRPr="00C64F4E">
        <w:t xml:space="preserve">partment of Internal medicine, Division of </w:t>
      </w:r>
      <w:r w:rsidR="00BB3B38" w:rsidRPr="00C64F4E">
        <w:t>Internal Medicine</w:t>
      </w:r>
      <w:r w:rsidRPr="00C64F4E">
        <w:t>, Hamad Medical Corporation, Doha, Qatar.</w:t>
      </w:r>
    </w:p>
    <w:p w14:paraId="3BB3DFFB" w14:textId="35145DD0" w:rsidR="0014248F" w:rsidRPr="00C64F4E" w:rsidRDefault="0014248F" w:rsidP="00C64F4E">
      <w:pPr>
        <w:pStyle w:val="NoSpacing"/>
        <w:bidi w:val="0"/>
        <w:rPr>
          <w:rtl/>
        </w:rPr>
      </w:pPr>
    </w:p>
    <w:p w14:paraId="5E014F2A" w14:textId="77777777" w:rsidR="00373FE6" w:rsidRPr="00C64F4E" w:rsidRDefault="00373FE6" w:rsidP="00C64F4E">
      <w:pPr>
        <w:pStyle w:val="NoSpacing"/>
        <w:bidi w:val="0"/>
      </w:pPr>
    </w:p>
    <w:p w14:paraId="7EA46D5B" w14:textId="77777777" w:rsidR="0014248F" w:rsidRPr="00C64F4E" w:rsidRDefault="0014248F" w:rsidP="00C64F4E">
      <w:pPr>
        <w:pStyle w:val="NoSpacing"/>
        <w:bidi w:val="0"/>
        <w:rPr>
          <w:b/>
          <w:bCs/>
        </w:rPr>
      </w:pPr>
      <w:r w:rsidRPr="00C64F4E">
        <w:rPr>
          <w:b/>
          <w:bCs/>
        </w:rPr>
        <w:t xml:space="preserve">Corresponding Author’s information:  </w:t>
      </w:r>
    </w:p>
    <w:p w14:paraId="05043FB6" w14:textId="77777777" w:rsidR="0014248F" w:rsidRPr="00C64F4E" w:rsidRDefault="0014248F" w:rsidP="00C64F4E">
      <w:pPr>
        <w:pStyle w:val="NoSpacing"/>
        <w:bidi w:val="0"/>
      </w:pPr>
      <w:r w:rsidRPr="00C64F4E">
        <w:t xml:space="preserve">Ahmad Al Bishawi, MD, MRCP </w:t>
      </w:r>
    </w:p>
    <w:p w14:paraId="0F0CE224" w14:textId="77777777" w:rsidR="0014248F" w:rsidRPr="00C64F4E" w:rsidRDefault="0014248F" w:rsidP="00C64F4E">
      <w:pPr>
        <w:pStyle w:val="NoSpacing"/>
        <w:bidi w:val="0"/>
      </w:pPr>
      <w:r w:rsidRPr="00C64F4E">
        <w:t xml:space="preserve">Department of Internal medicine, Division of Infectious diseases, </w:t>
      </w:r>
    </w:p>
    <w:p w14:paraId="7C4C3B51" w14:textId="77777777" w:rsidR="0014248F" w:rsidRPr="00C64F4E" w:rsidRDefault="0014248F" w:rsidP="00C64F4E">
      <w:pPr>
        <w:pStyle w:val="NoSpacing"/>
        <w:bidi w:val="0"/>
      </w:pPr>
      <w:r w:rsidRPr="00C64F4E">
        <w:t>Communicable diseases center, Hamad Medical Corporation</w:t>
      </w:r>
    </w:p>
    <w:p w14:paraId="138C9421" w14:textId="77777777" w:rsidR="0014248F" w:rsidRPr="00C64F4E" w:rsidRDefault="0014248F" w:rsidP="00C64F4E">
      <w:pPr>
        <w:pStyle w:val="NoSpacing"/>
        <w:bidi w:val="0"/>
      </w:pPr>
      <w:r w:rsidRPr="00C64F4E">
        <w:t>Doha, Qatar.</w:t>
      </w:r>
    </w:p>
    <w:p w14:paraId="131B79A7" w14:textId="77777777" w:rsidR="0014248F" w:rsidRPr="00341D72" w:rsidRDefault="0014248F" w:rsidP="00C64F4E">
      <w:pPr>
        <w:pStyle w:val="NoSpacing"/>
        <w:bidi w:val="0"/>
        <w:rPr>
          <w:rFonts w:cstheme="minorHAnsi"/>
        </w:rPr>
      </w:pPr>
      <w:r w:rsidRPr="00341D72">
        <w:rPr>
          <w:rFonts w:cstheme="minorHAnsi"/>
        </w:rPr>
        <w:t xml:space="preserve">E-mail: </w:t>
      </w:r>
      <w:hyperlink r:id="rId8" w:history="1">
        <w:r w:rsidRPr="00341D72">
          <w:rPr>
            <w:rStyle w:val="Hyperlink"/>
            <w:rFonts w:cstheme="minorHAnsi"/>
            <w:color w:val="auto"/>
          </w:rPr>
          <w:t>aalbishawi@hamad.qa</w:t>
        </w:r>
      </w:hyperlink>
    </w:p>
    <w:p w14:paraId="581629A1" w14:textId="1293748B" w:rsidR="00EA30D9" w:rsidRPr="00C64F4E" w:rsidRDefault="0014248F" w:rsidP="00C64F4E">
      <w:pPr>
        <w:pStyle w:val="NoSpacing"/>
        <w:bidi w:val="0"/>
      </w:pPr>
      <w:r w:rsidRPr="00C64F4E">
        <w:t>P.O. Box: 305</w:t>
      </w:r>
    </w:p>
    <w:p w14:paraId="3DEABE41" w14:textId="77777777" w:rsidR="006D6063" w:rsidRPr="00C64F4E" w:rsidRDefault="006D6063" w:rsidP="00C64F4E">
      <w:pPr>
        <w:pStyle w:val="NoSpacing"/>
        <w:bidi w:val="0"/>
        <w:rPr>
          <w:rtl/>
        </w:rPr>
      </w:pPr>
    </w:p>
    <w:bookmarkEnd w:id="0"/>
    <w:p w14:paraId="597E4E46" w14:textId="524919EA" w:rsidR="0051320F" w:rsidRPr="00C64F4E" w:rsidRDefault="0051320F" w:rsidP="00C64F4E">
      <w:pPr>
        <w:pStyle w:val="NoSpacing"/>
        <w:bidi w:val="0"/>
        <w:rPr>
          <w:rStyle w:val="SAP-AbtractTextChar"/>
          <w:rFonts w:asciiTheme="minorHAnsi" w:eastAsiaTheme="minorHAnsi" w:hAnsiTheme="minorHAnsi" w:cstheme="minorBidi"/>
          <w:b/>
          <w:bCs/>
          <w:sz w:val="22"/>
          <w:szCs w:val="22"/>
          <w:lang w:val="en-US" w:eastAsia="en-US"/>
        </w:rPr>
      </w:pPr>
      <w:proofErr w:type="spellStart"/>
      <w:r w:rsidRPr="00C64F4E">
        <w:rPr>
          <w:rStyle w:val="SAP-AbtractTextChar"/>
          <w:rFonts w:asciiTheme="minorHAnsi" w:eastAsiaTheme="minorHAnsi" w:hAnsiTheme="minorHAnsi" w:cstheme="minorBidi"/>
          <w:b/>
          <w:bCs/>
          <w:sz w:val="22"/>
          <w:szCs w:val="22"/>
          <w:lang w:val="en-US" w:eastAsia="en-US"/>
        </w:rPr>
        <w:t>MeSH</w:t>
      </w:r>
      <w:proofErr w:type="spellEnd"/>
      <w:r w:rsidRPr="00C64F4E">
        <w:rPr>
          <w:rStyle w:val="SAP-AbtractTextChar"/>
          <w:rFonts w:asciiTheme="minorHAnsi" w:eastAsiaTheme="minorHAnsi" w:hAnsiTheme="minorHAnsi" w:cstheme="minorBidi"/>
          <w:b/>
          <w:bCs/>
          <w:sz w:val="22"/>
          <w:szCs w:val="22"/>
          <w:lang w:val="en-US" w:eastAsia="en-US"/>
        </w:rPr>
        <w:t xml:space="preserve"> Keywords:</w:t>
      </w:r>
    </w:p>
    <w:p w14:paraId="57D676C7" w14:textId="08AACC96" w:rsidR="00373FE6" w:rsidRPr="00C64F4E" w:rsidRDefault="0051320F" w:rsidP="00C64F4E">
      <w:pPr>
        <w:pStyle w:val="NoSpacing"/>
        <w:bidi w:val="0"/>
        <w:rPr>
          <w:rStyle w:val="SAP-AbtractTextChar"/>
          <w:rFonts w:asciiTheme="minorHAnsi" w:eastAsiaTheme="minorHAnsi" w:hAnsiTheme="minorHAnsi" w:cstheme="minorBidi"/>
          <w:sz w:val="22"/>
          <w:szCs w:val="22"/>
          <w:lang w:val="en-US" w:eastAsia="en-US"/>
        </w:rPr>
      </w:pPr>
      <w:r w:rsidRPr="00C64F4E">
        <w:rPr>
          <w:rStyle w:val="SAP-AbtractTextChar"/>
          <w:rFonts w:asciiTheme="minorHAnsi" w:eastAsiaTheme="minorHAnsi" w:hAnsiTheme="minorHAnsi" w:cstheme="minorBidi"/>
          <w:sz w:val="22"/>
          <w:szCs w:val="22"/>
          <w:lang w:val="en-US" w:eastAsia="en-US"/>
        </w:rPr>
        <w:t xml:space="preserve">COVID 19, Cytokine </w:t>
      </w:r>
      <w:r w:rsidR="00373FE6" w:rsidRPr="00C64F4E">
        <w:rPr>
          <w:rStyle w:val="SAP-AbtractTextChar"/>
          <w:rFonts w:asciiTheme="minorHAnsi" w:eastAsiaTheme="minorHAnsi" w:hAnsiTheme="minorHAnsi" w:cstheme="minorBidi"/>
          <w:sz w:val="22"/>
          <w:szCs w:val="22"/>
          <w:lang w:val="en-US" w:eastAsia="en-US"/>
        </w:rPr>
        <w:t>S</w:t>
      </w:r>
      <w:r w:rsidRPr="00C64F4E">
        <w:rPr>
          <w:rStyle w:val="SAP-AbtractTextChar"/>
          <w:rFonts w:asciiTheme="minorHAnsi" w:eastAsiaTheme="minorHAnsi" w:hAnsiTheme="minorHAnsi" w:cstheme="minorBidi"/>
          <w:sz w:val="22"/>
          <w:szCs w:val="22"/>
          <w:lang w:val="en-US" w:eastAsia="en-US"/>
        </w:rPr>
        <w:t>torm, Tocilizumab, Interleukin 6, neutropenia,</w:t>
      </w:r>
      <w:r w:rsidR="00E31BA1" w:rsidRPr="00C64F4E">
        <w:rPr>
          <w:rStyle w:val="SAP-AbtractTextChar"/>
          <w:rFonts w:asciiTheme="minorHAnsi" w:eastAsiaTheme="minorHAnsi" w:hAnsiTheme="minorHAnsi" w:cstheme="minorBidi"/>
          <w:sz w:val="22"/>
          <w:szCs w:val="22"/>
          <w:lang w:val="en-US" w:eastAsia="en-US"/>
        </w:rPr>
        <w:t xml:space="preserve"> </w:t>
      </w:r>
      <w:r w:rsidRPr="00C64F4E">
        <w:rPr>
          <w:rStyle w:val="SAP-AbtractTextChar"/>
          <w:rFonts w:asciiTheme="minorHAnsi" w:eastAsiaTheme="minorHAnsi" w:hAnsiTheme="minorHAnsi" w:cstheme="minorBidi"/>
          <w:sz w:val="22"/>
          <w:szCs w:val="22"/>
          <w:lang w:val="en-US" w:eastAsia="en-US"/>
        </w:rPr>
        <w:t>Filgrastim</w:t>
      </w:r>
      <w:r w:rsidR="00E04C08" w:rsidRPr="00C64F4E">
        <w:rPr>
          <w:rStyle w:val="SAP-AbtractTextChar"/>
          <w:rFonts w:asciiTheme="minorHAnsi" w:eastAsiaTheme="minorHAnsi" w:hAnsiTheme="minorHAnsi" w:cstheme="minorBidi"/>
          <w:sz w:val="22"/>
          <w:szCs w:val="22"/>
          <w:lang w:val="en-US" w:eastAsia="en-US"/>
        </w:rPr>
        <w:t>.</w:t>
      </w:r>
    </w:p>
    <w:p w14:paraId="57CF8E4A" w14:textId="77777777" w:rsidR="00341D72" w:rsidRDefault="00341D72" w:rsidP="00C64F4E">
      <w:pPr>
        <w:pStyle w:val="NoSpacing"/>
        <w:bidi w:val="0"/>
        <w:rPr>
          <w:rStyle w:val="SAP-AbtractTextChar"/>
          <w:rFonts w:asciiTheme="minorHAnsi" w:eastAsiaTheme="minorHAnsi" w:hAnsiTheme="minorHAnsi" w:cstheme="minorBidi"/>
          <w:sz w:val="22"/>
          <w:szCs w:val="22"/>
          <w:lang w:val="en-US" w:eastAsia="en-US"/>
        </w:rPr>
      </w:pPr>
    </w:p>
    <w:p w14:paraId="3FC39876" w14:textId="01A721E9" w:rsidR="00373FE6" w:rsidRPr="00341D72" w:rsidRDefault="00373FE6" w:rsidP="00341D72">
      <w:pPr>
        <w:pStyle w:val="NoSpacing"/>
        <w:bidi w:val="0"/>
        <w:rPr>
          <w:rStyle w:val="SAP-AbtractTextChar"/>
          <w:rFonts w:asciiTheme="minorHAnsi" w:eastAsiaTheme="minorHAnsi" w:hAnsiTheme="minorHAnsi" w:cstheme="minorBidi"/>
          <w:b/>
          <w:bCs/>
          <w:sz w:val="22"/>
          <w:szCs w:val="22"/>
          <w:lang w:val="en-US" w:eastAsia="en-US"/>
        </w:rPr>
      </w:pPr>
      <w:r w:rsidRPr="00341D72">
        <w:rPr>
          <w:rStyle w:val="SAP-AbtractTextChar"/>
          <w:rFonts w:asciiTheme="minorHAnsi" w:eastAsiaTheme="minorHAnsi" w:hAnsiTheme="minorHAnsi" w:cstheme="minorBidi"/>
          <w:b/>
          <w:bCs/>
          <w:sz w:val="22"/>
          <w:szCs w:val="22"/>
          <w:lang w:val="en-US" w:eastAsia="en-US"/>
        </w:rPr>
        <w:t>Abbreviati</w:t>
      </w:r>
      <w:r w:rsidR="005169A0" w:rsidRPr="00341D72">
        <w:rPr>
          <w:rStyle w:val="SAP-AbtractTextChar"/>
          <w:rFonts w:asciiTheme="minorHAnsi" w:eastAsiaTheme="minorHAnsi" w:hAnsiTheme="minorHAnsi" w:cstheme="minorBidi"/>
          <w:b/>
          <w:bCs/>
          <w:sz w:val="22"/>
          <w:szCs w:val="22"/>
          <w:lang w:val="en-US" w:eastAsia="en-US"/>
        </w:rPr>
        <w:t>on</w:t>
      </w:r>
      <w:r w:rsidR="00341D72">
        <w:rPr>
          <w:rStyle w:val="SAP-AbtractTextChar"/>
          <w:rFonts w:asciiTheme="minorHAnsi" w:eastAsiaTheme="minorHAnsi" w:hAnsiTheme="minorHAnsi" w:cstheme="minorBidi"/>
          <w:b/>
          <w:bCs/>
          <w:sz w:val="22"/>
          <w:szCs w:val="22"/>
          <w:lang w:val="en-US" w:eastAsia="en-US"/>
        </w:rPr>
        <w:t>:</w:t>
      </w:r>
    </w:p>
    <w:p w14:paraId="4DBCB192" w14:textId="5973FE0C" w:rsidR="00373FE6" w:rsidRPr="00C64F4E" w:rsidRDefault="00373FE6" w:rsidP="00C64F4E">
      <w:pPr>
        <w:pStyle w:val="NoSpacing"/>
        <w:bidi w:val="0"/>
        <w:rPr>
          <w:rStyle w:val="SAP-AbtractTextChar"/>
          <w:rFonts w:asciiTheme="minorHAnsi" w:eastAsiaTheme="minorHAnsi" w:hAnsiTheme="minorHAnsi" w:cstheme="minorBidi"/>
          <w:sz w:val="22"/>
          <w:szCs w:val="22"/>
          <w:lang w:val="en-US" w:eastAsia="en-US"/>
        </w:rPr>
      </w:pPr>
      <w:r w:rsidRPr="00C64F4E">
        <w:rPr>
          <w:rStyle w:val="SAP-AbtractTextChar"/>
          <w:rFonts w:asciiTheme="minorHAnsi" w:eastAsiaTheme="minorHAnsi" w:hAnsiTheme="minorHAnsi" w:cstheme="minorBidi"/>
          <w:sz w:val="22"/>
          <w:szCs w:val="22"/>
          <w:lang w:val="en-US" w:eastAsia="en-US"/>
        </w:rPr>
        <w:t>WBC</w:t>
      </w:r>
      <w:r w:rsidR="00E04C08" w:rsidRPr="00C64F4E">
        <w:rPr>
          <w:rStyle w:val="SAP-AbtractTextChar"/>
          <w:rFonts w:asciiTheme="minorHAnsi" w:eastAsiaTheme="minorHAnsi" w:hAnsiTheme="minorHAnsi" w:cstheme="minorBidi"/>
          <w:sz w:val="22"/>
          <w:szCs w:val="22"/>
          <w:lang w:val="en-US" w:eastAsia="en-US"/>
        </w:rPr>
        <w:t>:</w:t>
      </w:r>
      <w:r w:rsidRPr="00C64F4E">
        <w:rPr>
          <w:rStyle w:val="SAP-AbtractTextChar"/>
          <w:rFonts w:asciiTheme="minorHAnsi" w:eastAsiaTheme="minorHAnsi" w:hAnsiTheme="minorHAnsi" w:cstheme="minorBidi"/>
          <w:sz w:val="22"/>
          <w:szCs w:val="22"/>
          <w:lang w:val="en-US" w:eastAsia="en-US"/>
        </w:rPr>
        <w:t xml:space="preserve"> White Blood count</w:t>
      </w:r>
    </w:p>
    <w:p w14:paraId="7A283CFC" w14:textId="4C405E88" w:rsidR="006D6063" w:rsidRPr="00C64F4E" w:rsidRDefault="00373FE6" w:rsidP="00C64F4E">
      <w:pPr>
        <w:pStyle w:val="NoSpacing"/>
        <w:bidi w:val="0"/>
        <w:rPr>
          <w:rStyle w:val="SAP-AbtractTextChar"/>
          <w:rFonts w:asciiTheme="minorHAnsi" w:eastAsiaTheme="minorHAnsi" w:hAnsiTheme="minorHAnsi" w:cstheme="minorBidi"/>
          <w:sz w:val="22"/>
          <w:szCs w:val="22"/>
          <w:lang w:val="en-US" w:eastAsia="en-US"/>
        </w:rPr>
      </w:pPr>
      <w:r w:rsidRPr="00C64F4E">
        <w:rPr>
          <w:rStyle w:val="SAP-AbtractTextChar"/>
          <w:rFonts w:asciiTheme="minorHAnsi" w:eastAsiaTheme="minorHAnsi" w:hAnsiTheme="minorHAnsi" w:cstheme="minorBidi"/>
          <w:sz w:val="22"/>
          <w:szCs w:val="22"/>
          <w:lang w:val="en-US" w:eastAsia="en-US"/>
        </w:rPr>
        <w:t>IL6: Interleukin 6</w:t>
      </w:r>
    </w:p>
    <w:p w14:paraId="5C776B82" w14:textId="758C9EAA" w:rsidR="006D6063" w:rsidRPr="00C64F4E" w:rsidRDefault="006D6063" w:rsidP="00C64F4E">
      <w:pPr>
        <w:pStyle w:val="NoSpacing"/>
        <w:bidi w:val="0"/>
        <w:rPr>
          <w:rStyle w:val="SAP-AbtractTextChar"/>
          <w:rFonts w:asciiTheme="minorHAnsi" w:eastAsiaTheme="minorHAnsi" w:hAnsiTheme="minorHAnsi" w:cstheme="minorBidi"/>
          <w:sz w:val="22"/>
          <w:szCs w:val="22"/>
          <w:lang w:val="en-US" w:eastAsia="en-US"/>
        </w:rPr>
      </w:pPr>
      <w:r w:rsidRPr="00C64F4E">
        <w:rPr>
          <w:rStyle w:val="SAP-AbtractTextChar"/>
          <w:rFonts w:asciiTheme="minorHAnsi" w:eastAsiaTheme="minorHAnsi" w:hAnsiTheme="minorHAnsi" w:cstheme="minorBidi"/>
          <w:sz w:val="22"/>
          <w:szCs w:val="22"/>
          <w:lang w:val="en-US" w:eastAsia="en-US"/>
        </w:rPr>
        <w:t>CSS: cytokine storm syndrome</w:t>
      </w:r>
    </w:p>
    <w:p w14:paraId="05C8EE14" w14:textId="72063DF8" w:rsidR="00373FE6" w:rsidRPr="00C64F4E" w:rsidRDefault="00373FE6" w:rsidP="00C64F4E">
      <w:pPr>
        <w:pStyle w:val="NoSpacing"/>
        <w:bidi w:val="0"/>
        <w:rPr>
          <w:rStyle w:val="SAP-AbtractTextChar"/>
          <w:rFonts w:asciiTheme="minorHAnsi" w:eastAsiaTheme="minorHAnsi" w:hAnsiTheme="minorHAnsi" w:cstheme="minorBidi"/>
          <w:sz w:val="22"/>
          <w:szCs w:val="22"/>
          <w:lang w:val="en-US" w:eastAsia="en-US"/>
        </w:rPr>
      </w:pPr>
      <w:r w:rsidRPr="00C64F4E">
        <w:rPr>
          <w:rStyle w:val="SAP-AbtractTextChar"/>
          <w:rFonts w:asciiTheme="minorHAnsi" w:eastAsiaTheme="minorHAnsi" w:hAnsiTheme="minorHAnsi" w:cstheme="minorBidi"/>
          <w:sz w:val="22"/>
          <w:szCs w:val="22"/>
          <w:lang w:val="en-US" w:eastAsia="en-US"/>
        </w:rPr>
        <w:t>PCR: Polymerase chain reaction</w:t>
      </w:r>
    </w:p>
    <w:p w14:paraId="08621E2E" w14:textId="77777777" w:rsidR="00373FE6" w:rsidRPr="00C64F4E" w:rsidRDefault="00373FE6" w:rsidP="00C64F4E">
      <w:pPr>
        <w:pStyle w:val="NoSpacing"/>
        <w:bidi w:val="0"/>
        <w:rPr>
          <w:rStyle w:val="SAP-AbtractTextChar"/>
          <w:rFonts w:asciiTheme="minorHAnsi" w:eastAsiaTheme="minorHAnsi" w:hAnsiTheme="minorHAnsi" w:cstheme="minorBidi"/>
          <w:sz w:val="22"/>
          <w:szCs w:val="22"/>
          <w:lang w:val="en-US" w:eastAsia="en-US"/>
        </w:rPr>
      </w:pPr>
      <w:r w:rsidRPr="00C64F4E">
        <w:rPr>
          <w:rStyle w:val="SAP-AbtractTextChar"/>
          <w:rFonts w:asciiTheme="minorHAnsi" w:eastAsiaTheme="minorHAnsi" w:hAnsiTheme="minorHAnsi" w:cstheme="minorBidi"/>
          <w:sz w:val="22"/>
          <w:szCs w:val="22"/>
          <w:lang w:val="en-US" w:eastAsia="en-US"/>
        </w:rPr>
        <w:t>G- CSF: Granulocyte colony stimulating factor</w:t>
      </w:r>
    </w:p>
    <w:p w14:paraId="372C84EE" w14:textId="74844D00" w:rsidR="00373FE6" w:rsidRPr="00C64F4E" w:rsidRDefault="00373FE6" w:rsidP="00C64F4E">
      <w:pPr>
        <w:pStyle w:val="NoSpacing"/>
        <w:bidi w:val="0"/>
        <w:rPr>
          <w:rStyle w:val="SAP-AbtractTextChar"/>
          <w:rFonts w:asciiTheme="minorHAnsi" w:eastAsiaTheme="minorHAnsi" w:hAnsiTheme="minorHAnsi" w:cstheme="minorBidi"/>
          <w:sz w:val="22"/>
          <w:szCs w:val="22"/>
          <w:lang w:val="en-US" w:eastAsia="en-US"/>
        </w:rPr>
      </w:pPr>
      <w:r w:rsidRPr="00C64F4E">
        <w:rPr>
          <w:rStyle w:val="SAP-AbtractTextChar"/>
          <w:rFonts w:asciiTheme="minorHAnsi" w:eastAsiaTheme="minorHAnsi" w:hAnsiTheme="minorHAnsi" w:cstheme="minorBidi"/>
          <w:sz w:val="22"/>
          <w:szCs w:val="22"/>
          <w:lang w:val="en-US" w:eastAsia="en-US"/>
        </w:rPr>
        <w:t>ANC: Absolute neutrophilic count</w:t>
      </w:r>
    </w:p>
    <w:p w14:paraId="41F47D78" w14:textId="128AE739" w:rsidR="00373FE6" w:rsidRPr="00C64F4E" w:rsidRDefault="00373FE6" w:rsidP="00C64F4E">
      <w:pPr>
        <w:pStyle w:val="NoSpacing"/>
        <w:bidi w:val="0"/>
        <w:rPr>
          <w:rStyle w:val="SAP-AbtractTextChar"/>
          <w:rFonts w:asciiTheme="minorHAnsi" w:eastAsiaTheme="minorHAnsi" w:hAnsiTheme="minorHAnsi" w:cstheme="minorBidi"/>
          <w:sz w:val="22"/>
          <w:szCs w:val="22"/>
          <w:lang w:val="en-US" w:eastAsia="en-US"/>
        </w:rPr>
      </w:pPr>
      <w:r w:rsidRPr="00C64F4E">
        <w:rPr>
          <w:rStyle w:val="SAP-AbtractTextChar"/>
          <w:rFonts w:asciiTheme="minorHAnsi" w:eastAsiaTheme="minorHAnsi" w:hAnsiTheme="minorHAnsi" w:cstheme="minorBidi"/>
          <w:sz w:val="22"/>
          <w:szCs w:val="22"/>
          <w:lang w:val="en-US" w:eastAsia="en-US"/>
        </w:rPr>
        <w:t>CT Value: cyclic threshold value</w:t>
      </w:r>
    </w:p>
    <w:p w14:paraId="5B7E4AB8" w14:textId="77777777" w:rsidR="00373FE6" w:rsidRPr="00C64F4E" w:rsidRDefault="00373FE6" w:rsidP="00C64F4E">
      <w:pPr>
        <w:pStyle w:val="NoSpacing"/>
        <w:bidi w:val="0"/>
        <w:rPr>
          <w:rStyle w:val="SAP-AbtractTextChar"/>
          <w:rFonts w:asciiTheme="minorHAnsi" w:eastAsiaTheme="minorHAnsi" w:hAnsiTheme="minorHAnsi" w:cstheme="minorBidi"/>
          <w:sz w:val="22"/>
          <w:szCs w:val="22"/>
          <w:lang w:val="en-US" w:eastAsia="en-US"/>
        </w:rPr>
      </w:pPr>
      <w:r w:rsidRPr="00C64F4E">
        <w:rPr>
          <w:rStyle w:val="SAP-AbtractTextChar"/>
          <w:rFonts w:asciiTheme="minorHAnsi" w:eastAsiaTheme="minorHAnsi" w:hAnsiTheme="minorHAnsi" w:cstheme="minorBidi"/>
          <w:sz w:val="22"/>
          <w:szCs w:val="22"/>
          <w:lang w:val="en-US" w:eastAsia="en-US"/>
        </w:rPr>
        <w:t>CTPA: CT Pulmonary Angiography.</w:t>
      </w:r>
    </w:p>
    <w:p w14:paraId="170564CA" w14:textId="77777777" w:rsidR="00373FE6" w:rsidRPr="00C64F4E" w:rsidRDefault="00373FE6" w:rsidP="00C64F4E">
      <w:pPr>
        <w:pStyle w:val="NoSpacing"/>
        <w:bidi w:val="0"/>
        <w:rPr>
          <w:rStyle w:val="SAP-AbtractTextChar"/>
          <w:rFonts w:asciiTheme="minorBidi" w:hAnsiTheme="minorBidi" w:cstheme="minorBidi"/>
        </w:rPr>
      </w:pPr>
    </w:p>
    <w:p w14:paraId="44F85B18" w14:textId="54E5913F" w:rsidR="00373FE6" w:rsidRDefault="00373FE6" w:rsidP="00C64F4E">
      <w:pPr>
        <w:pStyle w:val="NoSpacing"/>
        <w:bidi w:val="0"/>
        <w:rPr>
          <w:rStyle w:val="SAP-AbtractTextChar"/>
          <w:rFonts w:asciiTheme="minorBidi" w:hAnsiTheme="minorBidi" w:cstheme="minorBidi"/>
        </w:rPr>
      </w:pPr>
    </w:p>
    <w:p w14:paraId="0602013F" w14:textId="6E50835C" w:rsidR="00C64F4E" w:rsidRDefault="00C64F4E" w:rsidP="00C64F4E">
      <w:pPr>
        <w:pStyle w:val="NoSpacing"/>
        <w:bidi w:val="0"/>
        <w:rPr>
          <w:rStyle w:val="SAP-AbtractTextChar"/>
          <w:rFonts w:asciiTheme="minorBidi" w:hAnsiTheme="minorBidi" w:cstheme="minorBidi"/>
        </w:rPr>
      </w:pPr>
    </w:p>
    <w:p w14:paraId="21CC5589" w14:textId="38D1CA08" w:rsidR="00C64F4E" w:rsidRDefault="00C64F4E" w:rsidP="00C64F4E">
      <w:pPr>
        <w:pStyle w:val="NoSpacing"/>
        <w:bidi w:val="0"/>
        <w:rPr>
          <w:rStyle w:val="SAP-AbtractTextChar"/>
          <w:rFonts w:asciiTheme="minorBidi" w:hAnsiTheme="minorBidi" w:cstheme="minorBidi"/>
        </w:rPr>
      </w:pPr>
    </w:p>
    <w:p w14:paraId="6340732A" w14:textId="47DC32B6" w:rsidR="00C64F4E" w:rsidRDefault="00C64F4E" w:rsidP="00C64F4E">
      <w:pPr>
        <w:pStyle w:val="NoSpacing"/>
        <w:bidi w:val="0"/>
        <w:rPr>
          <w:rStyle w:val="SAP-AbtractTextChar"/>
          <w:rFonts w:asciiTheme="minorBidi" w:hAnsiTheme="minorBidi" w:cstheme="minorBidi"/>
        </w:rPr>
      </w:pPr>
    </w:p>
    <w:p w14:paraId="65925CB0" w14:textId="1D8F2A9E" w:rsidR="00C64F4E" w:rsidRDefault="00C64F4E" w:rsidP="00C64F4E">
      <w:pPr>
        <w:pStyle w:val="NoSpacing"/>
        <w:bidi w:val="0"/>
        <w:rPr>
          <w:rStyle w:val="SAP-AbtractTextChar"/>
          <w:rFonts w:asciiTheme="minorBidi" w:hAnsiTheme="minorBidi" w:cstheme="minorBidi"/>
        </w:rPr>
      </w:pPr>
    </w:p>
    <w:p w14:paraId="18629E88" w14:textId="4D9D6223" w:rsidR="00C64F4E" w:rsidRDefault="00C64F4E" w:rsidP="00C64F4E">
      <w:pPr>
        <w:pStyle w:val="NoSpacing"/>
        <w:bidi w:val="0"/>
        <w:rPr>
          <w:rStyle w:val="SAP-AbtractTextChar"/>
          <w:rFonts w:asciiTheme="minorBidi" w:hAnsiTheme="minorBidi" w:cstheme="minorBidi"/>
        </w:rPr>
      </w:pPr>
    </w:p>
    <w:p w14:paraId="29CAB1BB" w14:textId="45FF5561" w:rsidR="00C64F4E" w:rsidRDefault="00C64F4E" w:rsidP="00C64F4E">
      <w:pPr>
        <w:pStyle w:val="NoSpacing"/>
        <w:bidi w:val="0"/>
        <w:rPr>
          <w:rStyle w:val="SAP-AbtractTextChar"/>
          <w:rFonts w:asciiTheme="minorBidi" w:hAnsiTheme="minorBidi" w:cstheme="minorBidi"/>
        </w:rPr>
      </w:pPr>
    </w:p>
    <w:p w14:paraId="6F7B504A" w14:textId="3F8FA7BC" w:rsidR="00C64F4E" w:rsidRDefault="00C64F4E" w:rsidP="00C64F4E">
      <w:pPr>
        <w:pStyle w:val="NoSpacing"/>
        <w:bidi w:val="0"/>
        <w:rPr>
          <w:rStyle w:val="SAP-AbtractTextChar"/>
          <w:rFonts w:asciiTheme="minorBidi" w:hAnsiTheme="minorBidi" w:cstheme="minorBidi"/>
        </w:rPr>
      </w:pPr>
    </w:p>
    <w:p w14:paraId="05229F9B" w14:textId="6DDE7BFC" w:rsidR="00C64F4E" w:rsidRDefault="00C64F4E" w:rsidP="00C64F4E">
      <w:pPr>
        <w:pStyle w:val="NoSpacing"/>
        <w:bidi w:val="0"/>
        <w:rPr>
          <w:rStyle w:val="SAP-AbtractTextChar"/>
          <w:rFonts w:asciiTheme="minorBidi" w:hAnsiTheme="minorBidi" w:cstheme="minorBidi"/>
        </w:rPr>
      </w:pPr>
    </w:p>
    <w:p w14:paraId="0B4763D8" w14:textId="5A3D7C2A" w:rsidR="00C64F4E" w:rsidRDefault="00C64F4E" w:rsidP="00C64F4E">
      <w:pPr>
        <w:pStyle w:val="NoSpacing"/>
        <w:bidi w:val="0"/>
        <w:rPr>
          <w:rStyle w:val="SAP-AbtractTextChar"/>
          <w:rFonts w:asciiTheme="minorBidi" w:hAnsiTheme="minorBidi" w:cstheme="minorBidi"/>
        </w:rPr>
      </w:pPr>
    </w:p>
    <w:p w14:paraId="03D133B9" w14:textId="77777777" w:rsidR="00C64F4E" w:rsidRPr="00C64F4E" w:rsidRDefault="00C64F4E" w:rsidP="00C64F4E">
      <w:pPr>
        <w:pStyle w:val="NoSpacing"/>
        <w:bidi w:val="0"/>
        <w:rPr>
          <w:rStyle w:val="SAP-AbtractTextChar"/>
          <w:rFonts w:asciiTheme="minorBidi" w:hAnsiTheme="minorBidi" w:cstheme="minorBidi"/>
        </w:rPr>
      </w:pPr>
    </w:p>
    <w:p w14:paraId="3C64E255" w14:textId="115280B7" w:rsidR="001B776B" w:rsidRDefault="00F30E0B" w:rsidP="00C64F4E">
      <w:pPr>
        <w:pStyle w:val="NoSpacing"/>
        <w:bidi w:val="0"/>
      </w:pPr>
      <w:r w:rsidRPr="00C64F4E">
        <w:rPr>
          <w:rStyle w:val="SAP-AbstractHeadingChar"/>
          <w:rFonts w:asciiTheme="minorBidi" w:hAnsiTheme="minorBidi" w:cstheme="minorBidi"/>
        </w:rPr>
        <w:t>Abstract</w:t>
      </w:r>
      <w:r w:rsidRPr="00C64F4E">
        <w:t>:</w:t>
      </w:r>
    </w:p>
    <w:p w14:paraId="27C67FAD" w14:textId="77777777" w:rsidR="00AC4388" w:rsidRDefault="00AC4388" w:rsidP="00AC4388">
      <w:pPr>
        <w:pStyle w:val="NoSpacing"/>
        <w:bidi w:val="0"/>
      </w:pPr>
    </w:p>
    <w:p w14:paraId="6CE2FB37" w14:textId="77777777" w:rsidR="00CD0F4D" w:rsidRPr="00C64F4E" w:rsidRDefault="00CD0F4D" w:rsidP="00CD0F4D">
      <w:pPr>
        <w:pStyle w:val="NoSpacing"/>
        <w:bidi w:val="0"/>
        <w:rPr>
          <w:lang w:val="en-AU" w:eastAsia="zh-CN"/>
        </w:rPr>
      </w:pPr>
    </w:p>
    <w:p w14:paraId="32E1C90F" w14:textId="0C442BE0" w:rsidR="00BB3B38" w:rsidRPr="00C64F4E" w:rsidRDefault="00F30E0B" w:rsidP="00C64F4E">
      <w:pPr>
        <w:pStyle w:val="NoSpacing"/>
        <w:bidi w:val="0"/>
        <w:rPr>
          <w:b/>
          <w:bCs/>
        </w:rPr>
      </w:pPr>
      <w:r w:rsidRPr="00C64F4E">
        <w:rPr>
          <w:b/>
          <w:bCs/>
        </w:rPr>
        <w:t xml:space="preserve">Background: </w:t>
      </w:r>
    </w:p>
    <w:p w14:paraId="2E53D9F6" w14:textId="4F97B61D" w:rsidR="0097639A" w:rsidRDefault="0097639A" w:rsidP="00C64F4E">
      <w:pPr>
        <w:pStyle w:val="NoSpacing"/>
        <w:bidi w:val="0"/>
        <w:rPr>
          <w:rFonts w:cstheme="minorHAnsi"/>
          <w:sz w:val="24"/>
          <w:szCs w:val="24"/>
        </w:rPr>
      </w:pPr>
      <w:r w:rsidRPr="00C64F4E">
        <w:rPr>
          <w:rFonts w:cstheme="minorHAnsi"/>
          <w:sz w:val="24"/>
          <w:szCs w:val="24"/>
        </w:rPr>
        <w:t>Infection following SARS-Co V-2 leading to COVID-19 disease is associated with significant morbidity and mortality. The clinical entity, COVID-19 Cytokine Storm Syndrome (CSS) is a severe immunological manifestation of the disease associated with ominous consequences</w:t>
      </w:r>
      <w:r w:rsidR="00FA0D3E" w:rsidRPr="00C64F4E">
        <w:rPr>
          <w:rFonts w:cstheme="minorHAnsi"/>
          <w:sz w:val="24"/>
          <w:szCs w:val="24"/>
        </w:rPr>
        <w:t>.</w:t>
      </w:r>
    </w:p>
    <w:p w14:paraId="0A324B48" w14:textId="7593AF67" w:rsidR="00C64F4E" w:rsidRDefault="00C64F4E" w:rsidP="00C64F4E">
      <w:pPr>
        <w:pStyle w:val="NoSpacing"/>
        <w:bidi w:val="0"/>
        <w:rPr>
          <w:rFonts w:ascii="AppleSystemUIFont" w:hAnsi="AppleSystemUIFont" w:cs="AppleSystemUIFont"/>
          <w:sz w:val="24"/>
          <w:szCs w:val="24"/>
        </w:rPr>
      </w:pPr>
      <w:r w:rsidRPr="00226976">
        <w:rPr>
          <w:rFonts w:ascii="AppleSystemUIFont" w:hAnsi="AppleSystemUIFont" w:cs="AppleSystemUIFont"/>
          <w:sz w:val="24"/>
          <w:szCs w:val="24"/>
        </w:rPr>
        <w:t xml:space="preserve">Tocilizumab is Interleukin-6 inhibitors that has been shown to hamper the </w:t>
      </w:r>
      <w:r w:rsidR="00DA5B25" w:rsidRPr="00226976">
        <w:rPr>
          <w:rFonts w:ascii="AppleSystemUIFont" w:hAnsi="AppleSystemUIFont" w:cs="AppleSystemUIFont"/>
          <w:sz w:val="24"/>
          <w:szCs w:val="24"/>
        </w:rPr>
        <w:t>catastrophic outcomes</w:t>
      </w:r>
      <w:r w:rsidRPr="00226976">
        <w:rPr>
          <w:rFonts w:ascii="AppleSystemUIFont" w:hAnsi="AppleSystemUIFont" w:cs="AppleSystemUIFont"/>
          <w:sz w:val="24"/>
          <w:szCs w:val="24"/>
        </w:rPr>
        <w:t xml:space="preserve"> </w:t>
      </w:r>
      <w:r w:rsidR="00DA5B25" w:rsidRPr="00226976">
        <w:rPr>
          <w:rFonts w:ascii="AppleSystemUIFont" w:hAnsi="AppleSystemUIFont" w:cs="AppleSystemUIFont"/>
          <w:sz w:val="24"/>
          <w:szCs w:val="24"/>
        </w:rPr>
        <w:t>of CCS</w:t>
      </w:r>
      <w:r w:rsidRPr="00226976">
        <w:rPr>
          <w:rFonts w:ascii="AppleSystemUIFont" w:hAnsi="AppleSystemUIFont" w:cs="AppleSystemUIFont"/>
          <w:sz w:val="24"/>
          <w:szCs w:val="24"/>
        </w:rPr>
        <w:t xml:space="preserve"> including the need for mechanical ventilation as well as </w:t>
      </w:r>
      <w:r w:rsidR="00DA5B25" w:rsidRPr="00226976">
        <w:rPr>
          <w:rFonts w:ascii="AppleSystemUIFont" w:hAnsi="AppleSystemUIFont" w:cs="AppleSystemUIFont"/>
          <w:sz w:val="24"/>
          <w:szCs w:val="24"/>
        </w:rPr>
        <w:t>reduce mortality,</w:t>
      </w:r>
      <w:r w:rsidRPr="00226976">
        <w:rPr>
          <w:rFonts w:ascii="AppleSystemUIFont" w:hAnsi="AppleSystemUIFont" w:cs="AppleSystemUIFont"/>
          <w:sz w:val="24"/>
          <w:szCs w:val="24"/>
        </w:rPr>
        <w:t xml:space="preserve"> but usage is limited by warnings </w:t>
      </w:r>
      <w:r w:rsidR="00DA5B25" w:rsidRPr="00226976">
        <w:rPr>
          <w:rFonts w:ascii="AppleSystemUIFont" w:hAnsi="AppleSystemUIFont" w:cs="AppleSystemUIFont"/>
          <w:sz w:val="24"/>
          <w:szCs w:val="24"/>
        </w:rPr>
        <w:t>of reactivation of</w:t>
      </w:r>
      <w:r w:rsidRPr="00226976">
        <w:rPr>
          <w:rFonts w:ascii="AppleSystemUIFont" w:hAnsi="AppleSystemUIFont" w:cs="AppleSystemUIFont"/>
          <w:sz w:val="24"/>
          <w:szCs w:val="24"/>
        </w:rPr>
        <w:t xml:space="preserve"> </w:t>
      </w:r>
      <w:r w:rsidR="00DA5B25" w:rsidRPr="00226976">
        <w:rPr>
          <w:rFonts w:ascii="AppleSystemUIFont" w:hAnsi="AppleSystemUIFont" w:cs="AppleSystemUIFont"/>
          <w:sz w:val="24"/>
          <w:szCs w:val="24"/>
        </w:rPr>
        <w:t>potential latent</w:t>
      </w:r>
      <w:r w:rsidRPr="00226976">
        <w:rPr>
          <w:rFonts w:ascii="AppleSystemUIFont" w:hAnsi="AppleSystemUIFont" w:cs="AppleSystemUIFont"/>
          <w:sz w:val="24"/>
          <w:szCs w:val="24"/>
        </w:rPr>
        <w:t xml:space="preserve"> </w:t>
      </w:r>
      <w:r w:rsidR="00DA5B25" w:rsidRPr="00226976">
        <w:rPr>
          <w:rFonts w:ascii="AppleSystemUIFont" w:hAnsi="AppleSystemUIFont" w:cs="AppleSystemUIFont"/>
          <w:sz w:val="24"/>
          <w:szCs w:val="24"/>
        </w:rPr>
        <w:t>infections or</w:t>
      </w:r>
      <w:r w:rsidRPr="00226976">
        <w:rPr>
          <w:rFonts w:ascii="AppleSystemUIFont" w:hAnsi="AppleSystemUIFont" w:cs="AppleSystemUIFont"/>
          <w:sz w:val="24"/>
          <w:szCs w:val="24"/>
        </w:rPr>
        <w:t xml:space="preserve"> immune dysfunctions including severe neutropenia.</w:t>
      </w:r>
    </w:p>
    <w:p w14:paraId="3DBCFAC1" w14:textId="77777777" w:rsidR="00CD0F4D" w:rsidRPr="00226976" w:rsidRDefault="00CD0F4D" w:rsidP="00CD0F4D">
      <w:pPr>
        <w:pStyle w:val="NoSpacing"/>
        <w:bidi w:val="0"/>
        <w:rPr>
          <w:rFonts w:cstheme="minorHAnsi"/>
          <w:sz w:val="24"/>
          <w:szCs w:val="24"/>
        </w:rPr>
      </w:pPr>
    </w:p>
    <w:p w14:paraId="3AD9CBF8" w14:textId="5F5CE7BD" w:rsidR="00373FE6" w:rsidRDefault="00F30E0B" w:rsidP="00C64F4E">
      <w:pPr>
        <w:pStyle w:val="NoSpacing"/>
        <w:bidi w:val="0"/>
        <w:rPr>
          <w:rStyle w:val="SAP-AbtractTextChar"/>
          <w:rFonts w:asciiTheme="minorHAnsi" w:eastAsiaTheme="minorHAnsi" w:hAnsiTheme="minorHAnsi" w:cstheme="minorHAnsi"/>
          <w:lang w:val="en-US" w:eastAsia="en-US"/>
        </w:rPr>
      </w:pPr>
      <w:r w:rsidRPr="00C64F4E">
        <w:rPr>
          <w:rStyle w:val="SAP-AbtractTextChar"/>
          <w:rFonts w:asciiTheme="minorHAnsi" w:eastAsiaTheme="minorHAnsi" w:hAnsiTheme="minorHAnsi" w:cstheme="minorHAnsi"/>
          <w:b/>
          <w:bCs/>
          <w:lang w:val="en-US" w:eastAsia="en-US"/>
        </w:rPr>
        <w:t>Case Report:</w:t>
      </w:r>
      <w:r w:rsidRPr="00C64F4E">
        <w:rPr>
          <w:rStyle w:val="SAP-AbtractTextChar"/>
          <w:rFonts w:asciiTheme="minorHAnsi" w:eastAsiaTheme="minorHAnsi" w:hAnsiTheme="minorHAnsi" w:cstheme="minorHAnsi"/>
          <w:lang w:val="en-US" w:eastAsia="en-US"/>
        </w:rPr>
        <w:t xml:space="preserve"> </w:t>
      </w:r>
      <w:r w:rsidR="000F2C9E" w:rsidRPr="00C64F4E">
        <w:rPr>
          <w:rStyle w:val="SAP-AbtractTextChar"/>
          <w:rFonts w:asciiTheme="minorHAnsi" w:eastAsiaTheme="minorHAnsi" w:hAnsiTheme="minorHAnsi" w:cstheme="minorHAnsi"/>
          <w:lang w:val="en-US" w:eastAsia="en-US"/>
        </w:rPr>
        <w:t>We describe a case of 39</w:t>
      </w:r>
      <w:r w:rsidR="00FA0D3E" w:rsidRPr="00C64F4E">
        <w:rPr>
          <w:rStyle w:val="SAP-AbtractTextChar"/>
          <w:rFonts w:asciiTheme="minorHAnsi" w:eastAsiaTheme="minorHAnsi" w:hAnsiTheme="minorHAnsi" w:cstheme="minorHAnsi"/>
          <w:lang w:val="en-US" w:eastAsia="en-US"/>
        </w:rPr>
        <w:t>-</w:t>
      </w:r>
      <w:r w:rsidR="000F2C9E" w:rsidRPr="00C64F4E">
        <w:rPr>
          <w:rStyle w:val="SAP-AbtractTextChar"/>
          <w:rFonts w:asciiTheme="minorHAnsi" w:eastAsiaTheme="minorHAnsi" w:hAnsiTheme="minorHAnsi" w:cstheme="minorHAnsi"/>
          <w:lang w:val="en-US" w:eastAsia="en-US"/>
        </w:rPr>
        <w:t>year</w:t>
      </w:r>
      <w:r w:rsidR="00FA0D3E" w:rsidRPr="00C64F4E">
        <w:rPr>
          <w:rStyle w:val="SAP-AbtractTextChar"/>
          <w:rFonts w:asciiTheme="minorHAnsi" w:eastAsiaTheme="minorHAnsi" w:hAnsiTheme="minorHAnsi" w:cstheme="minorHAnsi"/>
          <w:lang w:val="en-US" w:eastAsia="en-US"/>
        </w:rPr>
        <w:t xml:space="preserve">- old </w:t>
      </w:r>
      <w:r w:rsidR="000F2C9E" w:rsidRPr="00C64F4E">
        <w:rPr>
          <w:rStyle w:val="SAP-AbtractTextChar"/>
          <w:rFonts w:asciiTheme="minorHAnsi" w:eastAsiaTheme="minorHAnsi" w:hAnsiTheme="minorHAnsi" w:cstheme="minorHAnsi"/>
          <w:lang w:val="en-US" w:eastAsia="en-US"/>
        </w:rPr>
        <w:t xml:space="preserve">Nepalese male  patient with a background of scleritis maintained on </w:t>
      </w:r>
      <w:r w:rsidRPr="00C64F4E">
        <w:rPr>
          <w:rStyle w:val="SAP-AbtractTextChar"/>
          <w:rFonts w:asciiTheme="minorHAnsi" w:eastAsiaTheme="minorHAnsi" w:hAnsiTheme="minorHAnsi" w:cstheme="minorHAnsi"/>
          <w:lang w:val="en-US" w:eastAsia="en-US"/>
        </w:rPr>
        <w:t xml:space="preserve"> azathioprine and </w:t>
      </w:r>
      <w:r w:rsidR="000F2C9E" w:rsidRPr="00C64F4E">
        <w:rPr>
          <w:rStyle w:val="SAP-AbtractTextChar"/>
          <w:rFonts w:asciiTheme="minorHAnsi" w:eastAsiaTheme="minorHAnsi" w:hAnsiTheme="minorHAnsi" w:cstheme="minorHAnsi"/>
          <w:lang w:val="en-US" w:eastAsia="en-US"/>
        </w:rPr>
        <w:t>r</w:t>
      </w:r>
      <w:r w:rsidRPr="00C64F4E">
        <w:rPr>
          <w:rStyle w:val="SAP-AbtractTextChar"/>
          <w:rFonts w:asciiTheme="minorHAnsi" w:eastAsiaTheme="minorHAnsi" w:hAnsiTheme="minorHAnsi" w:cstheme="minorHAnsi"/>
          <w:lang w:val="en-US" w:eastAsia="en-US"/>
        </w:rPr>
        <w:t xml:space="preserve">ituximab </w:t>
      </w:r>
      <w:r w:rsidR="000F2C9E" w:rsidRPr="00C64F4E">
        <w:rPr>
          <w:rStyle w:val="SAP-AbtractTextChar"/>
          <w:rFonts w:asciiTheme="minorHAnsi" w:eastAsiaTheme="minorHAnsi" w:hAnsiTheme="minorHAnsi" w:cstheme="minorHAnsi"/>
          <w:lang w:val="en-US" w:eastAsia="en-US"/>
        </w:rPr>
        <w:t xml:space="preserve">therapy with normal baseline parameters including </w:t>
      </w:r>
      <w:r w:rsidRPr="00C64F4E">
        <w:rPr>
          <w:rStyle w:val="SAP-AbtractTextChar"/>
          <w:rFonts w:asciiTheme="minorHAnsi" w:eastAsiaTheme="minorHAnsi" w:hAnsiTheme="minorHAnsi" w:cstheme="minorHAnsi"/>
          <w:lang w:val="en-US" w:eastAsia="en-US"/>
        </w:rPr>
        <w:t>complete blood count</w:t>
      </w:r>
      <w:r w:rsidR="000F2C9E" w:rsidRPr="00C64F4E">
        <w:rPr>
          <w:rStyle w:val="SAP-AbtractTextChar"/>
          <w:rFonts w:asciiTheme="minorHAnsi" w:eastAsiaTheme="minorHAnsi" w:hAnsiTheme="minorHAnsi" w:cstheme="minorHAnsi"/>
          <w:lang w:val="en-US" w:eastAsia="en-US"/>
        </w:rPr>
        <w:t xml:space="preserve"> who  presented with acute COVID-19 infection including associated leukopenia  as well as </w:t>
      </w:r>
      <w:r w:rsidR="004F0432" w:rsidRPr="00C64F4E">
        <w:rPr>
          <w:rStyle w:val="SAP-AbtractTextChar"/>
          <w:rFonts w:asciiTheme="minorHAnsi" w:eastAsiaTheme="minorHAnsi" w:hAnsiTheme="minorHAnsi" w:cstheme="minorHAnsi"/>
          <w:lang w:val="en-US" w:eastAsia="en-US"/>
        </w:rPr>
        <w:t xml:space="preserve">severe </w:t>
      </w:r>
      <w:r w:rsidR="000F2C9E" w:rsidRPr="00C64F4E">
        <w:rPr>
          <w:rStyle w:val="SAP-AbtractTextChar"/>
          <w:rFonts w:asciiTheme="minorHAnsi" w:eastAsiaTheme="minorHAnsi" w:hAnsiTheme="minorHAnsi" w:cstheme="minorHAnsi"/>
          <w:lang w:val="en-US" w:eastAsia="en-US"/>
        </w:rPr>
        <w:t>neutropenia</w:t>
      </w:r>
      <w:r w:rsidR="0051320F" w:rsidRPr="00C64F4E">
        <w:rPr>
          <w:rStyle w:val="SAP-AbtractTextChar"/>
          <w:rFonts w:asciiTheme="minorHAnsi" w:eastAsiaTheme="minorHAnsi" w:hAnsiTheme="minorHAnsi" w:cstheme="minorHAnsi"/>
          <w:lang w:val="en-US" w:eastAsia="en-US"/>
        </w:rPr>
        <w:t xml:space="preserve"> (absolute neutrophil count of 300 </w:t>
      </w:r>
      <w:r w:rsidR="0051320F" w:rsidRPr="00C64F4E">
        <w:rPr>
          <w:rFonts w:cstheme="minorHAnsi"/>
          <w:sz w:val="24"/>
          <w:szCs w:val="24"/>
        </w:rPr>
        <w:t>cells/µL)</w:t>
      </w:r>
      <w:r w:rsidR="00FA0D3E" w:rsidRPr="00C64F4E">
        <w:rPr>
          <w:rFonts w:cstheme="minorHAnsi"/>
          <w:sz w:val="24"/>
          <w:szCs w:val="24"/>
        </w:rPr>
        <w:t xml:space="preserve">, </w:t>
      </w:r>
      <w:r w:rsidR="000F2C9E" w:rsidRPr="00C64F4E">
        <w:rPr>
          <w:rStyle w:val="SAP-AbtractTextChar"/>
          <w:rFonts w:asciiTheme="minorHAnsi" w:eastAsiaTheme="minorHAnsi" w:hAnsiTheme="minorHAnsi" w:cstheme="minorHAnsi"/>
          <w:lang w:val="en-US" w:eastAsia="en-US"/>
        </w:rPr>
        <w:t xml:space="preserve">then progressed to critical disease </w:t>
      </w:r>
      <w:r w:rsidR="005169A0" w:rsidRPr="00C64F4E">
        <w:rPr>
          <w:rStyle w:val="SAP-AbtractTextChar"/>
          <w:rFonts w:asciiTheme="minorHAnsi" w:eastAsiaTheme="minorHAnsi" w:hAnsiTheme="minorHAnsi" w:cstheme="minorHAnsi"/>
          <w:lang w:val="en-US" w:eastAsia="en-US"/>
        </w:rPr>
        <w:t xml:space="preserve">culminating into </w:t>
      </w:r>
      <w:r w:rsidR="000F2C9E" w:rsidRPr="00C64F4E">
        <w:rPr>
          <w:rStyle w:val="SAP-AbtractTextChar"/>
          <w:rFonts w:asciiTheme="minorHAnsi" w:eastAsiaTheme="minorHAnsi" w:hAnsiTheme="minorHAnsi" w:cstheme="minorHAnsi"/>
          <w:lang w:val="en-US" w:eastAsia="en-US"/>
        </w:rPr>
        <w:t xml:space="preserve"> C</w:t>
      </w:r>
      <w:r w:rsidR="0033303B" w:rsidRPr="00C64F4E">
        <w:rPr>
          <w:rStyle w:val="SAP-AbtractTextChar"/>
          <w:rFonts w:asciiTheme="minorHAnsi" w:eastAsiaTheme="minorHAnsi" w:hAnsiTheme="minorHAnsi" w:cstheme="minorHAnsi"/>
          <w:lang w:val="en-US" w:eastAsia="en-US"/>
        </w:rPr>
        <w:t>SS</w:t>
      </w:r>
      <w:r w:rsidR="000F2C9E" w:rsidRPr="00C64F4E">
        <w:rPr>
          <w:rStyle w:val="SAP-AbtractTextChar"/>
          <w:rFonts w:asciiTheme="minorHAnsi" w:eastAsiaTheme="minorHAnsi" w:hAnsiTheme="minorHAnsi" w:cstheme="minorHAnsi"/>
          <w:lang w:val="en-US" w:eastAsia="en-US"/>
        </w:rPr>
        <w:t xml:space="preserve">. Based </w:t>
      </w:r>
      <w:r w:rsidR="0051320F" w:rsidRPr="00C64F4E">
        <w:rPr>
          <w:rStyle w:val="SAP-AbtractTextChar"/>
          <w:rFonts w:asciiTheme="minorHAnsi" w:eastAsiaTheme="minorHAnsi" w:hAnsiTheme="minorHAnsi" w:cstheme="minorHAnsi"/>
          <w:lang w:val="en-US" w:eastAsia="en-US"/>
        </w:rPr>
        <w:t>on</w:t>
      </w:r>
      <w:r w:rsidR="000F2C9E" w:rsidRPr="00C64F4E">
        <w:rPr>
          <w:rStyle w:val="SAP-AbtractTextChar"/>
          <w:rFonts w:asciiTheme="minorHAnsi" w:eastAsiaTheme="minorHAnsi" w:hAnsiTheme="minorHAnsi" w:cstheme="minorHAnsi"/>
          <w:lang w:val="en-US" w:eastAsia="en-US"/>
        </w:rPr>
        <w:t xml:space="preserve"> risk</w:t>
      </w:r>
      <w:r w:rsidR="001B776B" w:rsidRPr="00C64F4E">
        <w:rPr>
          <w:rStyle w:val="SAP-AbtractTextChar"/>
          <w:rFonts w:asciiTheme="minorHAnsi" w:eastAsiaTheme="minorHAnsi" w:hAnsiTheme="minorHAnsi" w:cstheme="minorHAnsi"/>
          <w:lang w:val="en-US" w:eastAsia="en-US"/>
        </w:rPr>
        <w:t xml:space="preserve">s </w:t>
      </w:r>
      <w:r w:rsidR="005169A0" w:rsidRPr="00C64F4E">
        <w:rPr>
          <w:rStyle w:val="SAP-AbtractTextChar"/>
          <w:rFonts w:asciiTheme="minorHAnsi" w:eastAsiaTheme="minorHAnsi" w:hAnsiTheme="minorHAnsi" w:cstheme="minorHAnsi"/>
          <w:lang w:val="en-US" w:eastAsia="en-US"/>
        </w:rPr>
        <w:t>and benefits</w:t>
      </w:r>
      <w:r w:rsidR="000F2C9E" w:rsidRPr="00C64F4E">
        <w:rPr>
          <w:rStyle w:val="SAP-AbtractTextChar"/>
          <w:rFonts w:asciiTheme="minorHAnsi" w:eastAsiaTheme="minorHAnsi" w:hAnsiTheme="minorHAnsi" w:cstheme="minorHAnsi"/>
          <w:lang w:val="en-US" w:eastAsia="en-US"/>
        </w:rPr>
        <w:t xml:space="preserve"> </w:t>
      </w:r>
      <w:r w:rsidR="0051320F" w:rsidRPr="00C64F4E">
        <w:rPr>
          <w:rStyle w:val="SAP-AbtractTextChar"/>
          <w:rFonts w:asciiTheme="minorHAnsi" w:eastAsiaTheme="minorHAnsi" w:hAnsiTheme="minorHAnsi" w:cstheme="minorHAnsi"/>
          <w:lang w:val="en-US" w:eastAsia="en-US"/>
        </w:rPr>
        <w:t>evaluation,</w:t>
      </w:r>
      <w:r w:rsidR="000F2C9E" w:rsidRPr="00C64F4E">
        <w:rPr>
          <w:rStyle w:val="SAP-AbtractTextChar"/>
          <w:rFonts w:asciiTheme="minorHAnsi" w:eastAsiaTheme="minorHAnsi" w:hAnsiTheme="minorHAnsi" w:cstheme="minorHAnsi"/>
          <w:lang w:val="en-US" w:eastAsia="en-US"/>
        </w:rPr>
        <w:t xml:space="preserve"> the patient was treated with Tocilizumab </w:t>
      </w:r>
      <w:r w:rsidR="004F0432" w:rsidRPr="00C64F4E">
        <w:rPr>
          <w:rStyle w:val="SAP-AbtractTextChar"/>
          <w:rFonts w:asciiTheme="minorHAnsi" w:eastAsiaTheme="minorHAnsi" w:hAnsiTheme="minorHAnsi" w:cstheme="minorHAnsi"/>
          <w:lang w:val="en-US" w:eastAsia="en-US"/>
        </w:rPr>
        <w:t xml:space="preserve">reinforced </w:t>
      </w:r>
      <w:r w:rsidR="000F2C9E" w:rsidRPr="00C64F4E">
        <w:rPr>
          <w:rStyle w:val="SAP-AbtractTextChar"/>
          <w:rFonts w:asciiTheme="minorHAnsi" w:eastAsiaTheme="minorHAnsi" w:hAnsiTheme="minorHAnsi" w:cstheme="minorHAnsi"/>
          <w:lang w:val="en-US" w:eastAsia="en-US"/>
        </w:rPr>
        <w:t>with Granulocytes -Colony Stimulating Factor (</w:t>
      </w:r>
      <w:r w:rsidR="0051320F" w:rsidRPr="00C64F4E">
        <w:rPr>
          <w:rStyle w:val="SAP-AbtractTextChar"/>
          <w:rFonts w:asciiTheme="minorHAnsi" w:eastAsiaTheme="minorHAnsi" w:hAnsiTheme="minorHAnsi" w:cstheme="minorHAnsi"/>
          <w:lang w:val="en-US" w:eastAsia="en-US"/>
        </w:rPr>
        <w:t>G</w:t>
      </w:r>
      <w:r w:rsidR="0033303B" w:rsidRPr="00C64F4E">
        <w:rPr>
          <w:rStyle w:val="SAP-AbtractTextChar"/>
          <w:rFonts w:asciiTheme="minorHAnsi" w:eastAsiaTheme="minorHAnsi" w:hAnsiTheme="minorHAnsi" w:cstheme="minorHAnsi"/>
          <w:lang w:val="en-US" w:eastAsia="en-US"/>
        </w:rPr>
        <w:t>-</w:t>
      </w:r>
      <w:r w:rsidR="0051320F" w:rsidRPr="00C64F4E">
        <w:rPr>
          <w:rStyle w:val="SAP-AbtractTextChar"/>
          <w:rFonts w:asciiTheme="minorHAnsi" w:eastAsiaTheme="minorHAnsi" w:hAnsiTheme="minorHAnsi" w:cstheme="minorHAnsi"/>
          <w:lang w:val="en-US" w:eastAsia="en-US"/>
        </w:rPr>
        <w:t>CSF</w:t>
      </w:r>
      <w:r w:rsidR="0033303B" w:rsidRPr="00C64F4E">
        <w:rPr>
          <w:rStyle w:val="SAP-AbtractTextChar"/>
          <w:rFonts w:asciiTheme="minorHAnsi" w:eastAsiaTheme="minorHAnsi" w:hAnsiTheme="minorHAnsi" w:cstheme="minorHAnsi"/>
          <w:lang w:val="en-US" w:eastAsia="en-US"/>
        </w:rPr>
        <w:t xml:space="preserve">, </w:t>
      </w:r>
      <w:r w:rsidR="0051320F" w:rsidRPr="00C64F4E">
        <w:rPr>
          <w:rStyle w:val="SAP-AbtractTextChar"/>
          <w:rFonts w:asciiTheme="minorHAnsi" w:eastAsiaTheme="minorHAnsi" w:hAnsiTheme="minorHAnsi" w:cstheme="minorHAnsi"/>
          <w:lang w:val="en-US" w:eastAsia="en-US"/>
        </w:rPr>
        <w:t xml:space="preserve">Filgrastim) to </w:t>
      </w:r>
      <w:r w:rsidR="004F0432" w:rsidRPr="00C64F4E">
        <w:rPr>
          <w:rStyle w:val="SAP-AbtractTextChar"/>
          <w:rFonts w:asciiTheme="minorHAnsi" w:eastAsiaTheme="minorHAnsi" w:hAnsiTheme="minorHAnsi" w:cstheme="minorHAnsi"/>
          <w:lang w:val="en-US" w:eastAsia="en-US"/>
        </w:rPr>
        <w:t xml:space="preserve">full recovery and </w:t>
      </w:r>
      <w:r w:rsidR="0051320F" w:rsidRPr="00C64F4E">
        <w:rPr>
          <w:rStyle w:val="SAP-AbtractTextChar"/>
          <w:rFonts w:asciiTheme="minorHAnsi" w:eastAsiaTheme="minorHAnsi" w:hAnsiTheme="minorHAnsi" w:cstheme="minorHAnsi"/>
          <w:lang w:val="en-US" w:eastAsia="en-US"/>
        </w:rPr>
        <w:t xml:space="preserve">safe outcome including reversal of </w:t>
      </w:r>
      <w:r w:rsidR="00373FE6" w:rsidRPr="00C64F4E">
        <w:rPr>
          <w:rStyle w:val="SAP-AbtractTextChar"/>
          <w:rFonts w:asciiTheme="minorHAnsi" w:eastAsiaTheme="minorHAnsi" w:hAnsiTheme="minorHAnsi" w:cstheme="minorHAnsi"/>
          <w:lang w:val="en-US" w:eastAsia="en-US"/>
        </w:rPr>
        <w:t>neutropenia.</w:t>
      </w:r>
    </w:p>
    <w:p w14:paraId="0A331C26" w14:textId="77777777" w:rsidR="00CD0F4D" w:rsidRPr="00C64F4E" w:rsidRDefault="00CD0F4D" w:rsidP="00CD0F4D">
      <w:pPr>
        <w:pStyle w:val="NoSpacing"/>
        <w:bidi w:val="0"/>
        <w:rPr>
          <w:rStyle w:val="SAP-AbtractTextChar"/>
          <w:rFonts w:asciiTheme="minorHAnsi" w:eastAsiaTheme="minorHAnsi" w:hAnsiTheme="minorHAnsi" w:cstheme="minorHAnsi"/>
          <w:lang w:val="en-US" w:eastAsia="en-US"/>
        </w:rPr>
      </w:pPr>
    </w:p>
    <w:p w14:paraId="22771ACB" w14:textId="6BBDAC92" w:rsidR="00F16214" w:rsidRPr="00606641" w:rsidRDefault="00DA5B25" w:rsidP="00C64F4E">
      <w:pPr>
        <w:pStyle w:val="NoSpacing"/>
        <w:bidi w:val="0"/>
        <w:rPr>
          <w:rStyle w:val="SAP-AbtractTextChar"/>
          <w:rFonts w:asciiTheme="minorHAnsi" w:eastAsiaTheme="minorHAnsi" w:hAnsiTheme="minorHAnsi" w:cstheme="minorHAnsi"/>
          <w:lang w:val="en-US" w:eastAsia="en-US"/>
        </w:rPr>
      </w:pPr>
      <w:r>
        <w:rPr>
          <w:rStyle w:val="SAP-AbtractTextChar"/>
          <w:rFonts w:asciiTheme="minorHAnsi" w:eastAsiaTheme="minorHAnsi" w:hAnsiTheme="minorHAnsi" w:cstheme="minorHAnsi"/>
          <w:b/>
          <w:bCs/>
          <w:lang w:val="en-US" w:eastAsia="en-US"/>
        </w:rPr>
        <w:t>Clinical Key Message</w:t>
      </w:r>
      <w:r w:rsidR="00606641" w:rsidRPr="00C64F4E">
        <w:rPr>
          <w:rStyle w:val="SAP-AbtractTextChar"/>
          <w:rFonts w:asciiTheme="minorHAnsi" w:eastAsiaTheme="minorHAnsi" w:hAnsiTheme="minorHAnsi" w:cstheme="minorHAnsi"/>
          <w:b/>
          <w:bCs/>
          <w:lang w:val="en-US" w:eastAsia="en-US"/>
        </w:rPr>
        <w:t xml:space="preserve">: </w:t>
      </w:r>
      <w:r w:rsidR="00606641" w:rsidRPr="00226976">
        <w:rPr>
          <w:rStyle w:val="SAP-AbtractTextChar"/>
          <w:rFonts w:asciiTheme="minorHAnsi" w:eastAsiaTheme="minorHAnsi" w:hAnsiTheme="minorHAnsi" w:cstheme="minorHAnsi"/>
          <w:lang w:val="en-US" w:eastAsia="en-US"/>
        </w:rPr>
        <w:t>for</w:t>
      </w:r>
      <w:r w:rsidR="0051320F" w:rsidRPr="00226976">
        <w:rPr>
          <w:rStyle w:val="SAP-AbtractTextChar"/>
          <w:rFonts w:asciiTheme="minorHAnsi" w:eastAsiaTheme="minorHAnsi" w:hAnsiTheme="minorHAnsi" w:cstheme="minorHAnsi"/>
          <w:lang w:val="en-US" w:eastAsia="en-US"/>
        </w:rPr>
        <w:t xml:space="preserve"> patients with COVID-19 disease progressing </w:t>
      </w:r>
      <w:r w:rsidR="00606641" w:rsidRPr="00226976">
        <w:rPr>
          <w:rStyle w:val="SAP-AbtractTextChar"/>
          <w:rFonts w:asciiTheme="minorHAnsi" w:eastAsiaTheme="minorHAnsi" w:hAnsiTheme="minorHAnsi" w:cstheme="minorHAnsi"/>
          <w:lang w:val="en-US" w:eastAsia="en-US"/>
        </w:rPr>
        <w:t>towards</w:t>
      </w:r>
      <w:r w:rsidR="00606641">
        <w:rPr>
          <w:rStyle w:val="SAP-AbtractTextChar"/>
          <w:rFonts w:asciiTheme="minorHAnsi" w:eastAsiaTheme="minorHAnsi" w:hAnsiTheme="minorHAnsi" w:cstheme="minorHAnsi"/>
          <w:lang w:val="en-US" w:eastAsia="en-US"/>
        </w:rPr>
        <w:t xml:space="preserve"> </w:t>
      </w:r>
      <w:r w:rsidR="0051320F" w:rsidRPr="00606641">
        <w:rPr>
          <w:rStyle w:val="SAP-AbtractTextChar"/>
          <w:rFonts w:asciiTheme="minorHAnsi" w:eastAsiaTheme="minorHAnsi" w:hAnsiTheme="minorHAnsi" w:cstheme="minorHAnsi"/>
          <w:lang w:val="en-US" w:eastAsia="en-US"/>
        </w:rPr>
        <w:t>C</w:t>
      </w:r>
      <w:r>
        <w:rPr>
          <w:rStyle w:val="SAP-AbtractTextChar"/>
          <w:rFonts w:asciiTheme="minorHAnsi" w:eastAsiaTheme="minorHAnsi" w:hAnsiTheme="minorHAnsi" w:cstheme="minorHAnsi"/>
          <w:lang w:val="en-US" w:eastAsia="en-US"/>
        </w:rPr>
        <w:t>ytokine Storm syndrome (CSS)</w:t>
      </w:r>
      <w:r w:rsidR="0051320F" w:rsidRPr="00606641">
        <w:rPr>
          <w:rStyle w:val="SAP-AbtractTextChar"/>
          <w:rFonts w:asciiTheme="minorHAnsi" w:eastAsiaTheme="minorHAnsi" w:hAnsiTheme="minorHAnsi" w:cstheme="minorHAnsi"/>
          <w:lang w:val="en-US" w:eastAsia="en-US"/>
        </w:rPr>
        <w:t xml:space="preserve"> in the presence of significant </w:t>
      </w:r>
      <w:r w:rsidR="004F0432" w:rsidRPr="00606641">
        <w:rPr>
          <w:rStyle w:val="SAP-AbtractTextChar"/>
          <w:rFonts w:asciiTheme="minorHAnsi" w:eastAsiaTheme="minorHAnsi" w:hAnsiTheme="minorHAnsi" w:cstheme="minorHAnsi"/>
          <w:lang w:val="en-US" w:eastAsia="en-US"/>
        </w:rPr>
        <w:t>neutropenia,</w:t>
      </w:r>
      <w:r w:rsidR="0051320F" w:rsidRPr="00606641">
        <w:rPr>
          <w:rStyle w:val="SAP-AbtractTextChar"/>
          <w:rFonts w:asciiTheme="minorHAnsi" w:eastAsiaTheme="minorHAnsi" w:hAnsiTheme="minorHAnsi" w:cstheme="minorHAnsi"/>
          <w:lang w:val="en-US" w:eastAsia="en-US"/>
        </w:rPr>
        <w:t xml:space="preserve"> </w:t>
      </w:r>
      <w:r w:rsidR="004F0432" w:rsidRPr="00606641">
        <w:rPr>
          <w:rStyle w:val="SAP-AbtractTextChar"/>
          <w:rFonts w:asciiTheme="minorHAnsi" w:eastAsiaTheme="minorHAnsi" w:hAnsiTheme="minorHAnsi" w:cstheme="minorHAnsi"/>
          <w:lang w:val="en-US" w:eastAsia="en-US"/>
        </w:rPr>
        <w:t>combined Tocilizumab</w:t>
      </w:r>
      <w:r w:rsidR="0051320F" w:rsidRPr="00606641">
        <w:rPr>
          <w:rStyle w:val="SAP-AbtractTextChar"/>
          <w:rFonts w:asciiTheme="minorHAnsi" w:eastAsiaTheme="minorHAnsi" w:hAnsiTheme="minorHAnsi" w:cstheme="minorHAnsi"/>
          <w:lang w:val="en-US" w:eastAsia="en-US"/>
        </w:rPr>
        <w:t xml:space="preserve"> and G</w:t>
      </w:r>
      <w:r w:rsidR="0033303B" w:rsidRPr="00606641">
        <w:rPr>
          <w:rStyle w:val="SAP-AbtractTextChar"/>
          <w:rFonts w:asciiTheme="minorHAnsi" w:eastAsiaTheme="minorHAnsi" w:hAnsiTheme="minorHAnsi" w:cstheme="minorHAnsi"/>
          <w:lang w:val="en-US" w:eastAsia="en-US"/>
        </w:rPr>
        <w:t>-</w:t>
      </w:r>
      <w:r w:rsidR="0051320F" w:rsidRPr="00606641">
        <w:rPr>
          <w:rStyle w:val="SAP-AbtractTextChar"/>
          <w:rFonts w:asciiTheme="minorHAnsi" w:eastAsiaTheme="minorHAnsi" w:hAnsiTheme="minorHAnsi" w:cstheme="minorHAnsi"/>
          <w:lang w:val="en-US" w:eastAsia="en-US"/>
        </w:rPr>
        <w:t xml:space="preserve">CSF therapy circumvent potential therapeutic limitations leading to safe outcomes.  </w:t>
      </w:r>
    </w:p>
    <w:p w14:paraId="1C274CB2" w14:textId="77777777" w:rsidR="00F16214" w:rsidRPr="00606641" w:rsidRDefault="00F16214" w:rsidP="00C64F4E">
      <w:pPr>
        <w:pStyle w:val="NoSpacing"/>
        <w:bidi w:val="0"/>
        <w:rPr>
          <w:rStyle w:val="SAP-AbtractTextChar"/>
          <w:rFonts w:asciiTheme="minorBidi" w:hAnsiTheme="minorBidi" w:cstheme="minorBidi"/>
        </w:rPr>
      </w:pPr>
    </w:p>
    <w:p w14:paraId="3D469944" w14:textId="77777777" w:rsidR="00F16214" w:rsidRPr="00C64F4E" w:rsidRDefault="00F16214" w:rsidP="00C64F4E">
      <w:pPr>
        <w:pStyle w:val="NoSpacing"/>
        <w:bidi w:val="0"/>
        <w:rPr>
          <w:rStyle w:val="SAP-AbtractTextChar"/>
          <w:rFonts w:asciiTheme="minorBidi" w:hAnsiTheme="minorBidi" w:cstheme="minorBidi"/>
        </w:rPr>
      </w:pPr>
    </w:p>
    <w:p w14:paraId="4B5162B4" w14:textId="77777777" w:rsidR="00F16214" w:rsidRPr="00C64F4E" w:rsidRDefault="00F16214" w:rsidP="00C64F4E">
      <w:pPr>
        <w:pStyle w:val="NoSpacing"/>
        <w:bidi w:val="0"/>
        <w:rPr>
          <w:rStyle w:val="SAP-AbtractTextChar"/>
          <w:rFonts w:asciiTheme="minorBidi" w:hAnsiTheme="minorBidi" w:cstheme="minorBidi"/>
        </w:rPr>
      </w:pPr>
    </w:p>
    <w:p w14:paraId="5547BFEB" w14:textId="77777777" w:rsidR="00F16214" w:rsidRPr="00C64F4E" w:rsidRDefault="00F16214" w:rsidP="00C64F4E">
      <w:pPr>
        <w:pStyle w:val="NoSpacing"/>
        <w:bidi w:val="0"/>
        <w:rPr>
          <w:rStyle w:val="SAP-AbtractTextChar"/>
          <w:rFonts w:asciiTheme="minorBidi" w:hAnsiTheme="minorBidi" w:cstheme="minorBidi"/>
        </w:rPr>
      </w:pPr>
    </w:p>
    <w:p w14:paraId="7CAD90E4" w14:textId="77777777" w:rsidR="00F16214" w:rsidRPr="00C64F4E" w:rsidRDefault="00F16214" w:rsidP="00C64F4E">
      <w:pPr>
        <w:pStyle w:val="NoSpacing"/>
        <w:bidi w:val="0"/>
        <w:rPr>
          <w:rStyle w:val="SAP-AbtractTextChar"/>
          <w:rFonts w:asciiTheme="minorBidi" w:hAnsiTheme="minorBidi" w:cstheme="minorBidi"/>
        </w:rPr>
      </w:pPr>
    </w:p>
    <w:p w14:paraId="2295FD3D" w14:textId="77777777" w:rsidR="00F16214" w:rsidRPr="00C64F4E" w:rsidRDefault="00F16214" w:rsidP="00C64F4E">
      <w:pPr>
        <w:pStyle w:val="NoSpacing"/>
        <w:bidi w:val="0"/>
        <w:rPr>
          <w:rStyle w:val="SAP-AbtractTextChar"/>
          <w:rFonts w:asciiTheme="minorBidi" w:hAnsiTheme="minorBidi" w:cstheme="minorBidi"/>
        </w:rPr>
      </w:pPr>
    </w:p>
    <w:p w14:paraId="52AC8F3F" w14:textId="77777777" w:rsidR="00F16214" w:rsidRPr="00C64F4E" w:rsidRDefault="00F16214" w:rsidP="00C64F4E">
      <w:pPr>
        <w:pStyle w:val="NoSpacing"/>
        <w:bidi w:val="0"/>
        <w:rPr>
          <w:rStyle w:val="SAP-AbtractTextChar"/>
          <w:rFonts w:asciiTheme="minorBidi" w:hAnsiTheme="minorBidi" w:cstheme="minorBidi"/>
        </w:rPr>
      </w:pPr>
    </w:p>
    <w:p w14:paraId="2227D93D" w14:textId="77777777" w:rsidR="00F16214" w:rsidRPr="00C64F4E" w:rsidRDefault="00F16214" w:rsidP="00C64F4E">
      <w:pPr>
        <w:pStyle w:val="NoSpacing"/>
        <w:bidi w:val="0"/>
        <w:rPr>
          <w:rStyle w:val="SAP-AbtractTextChar"/>
          <w:rFonts w:asciiTheme="minorBidi" w:hAnsiTheme="minorBidi" w:cstheme="minorBidi"/>
        </w:rPr>
      </w:pPr>
    </w:p>
    <w:p w14:paraId="7982FD3E" w14:textId="77777777" w:rsidR="00F16214" w:rsidRPr="00C64F4E" w:rsidRDefault="00F16214" w:rsidP="00C64F4E">
      <w:pPr>
        <w:pStyle w:val="NoSpacing"/>
        <w:bidi w:val="0"/>
        <w:rPr>
          <w:rStyle w:val="SAP-AbtractTextChar"/>
          <w:rFonts w:asciiTheme="minorBidi" w:hAnsiTheme="minorBidi" w:cstheme="minorBidi"/>
        </w:rPr>
      </w:pPr>
    </w:p>
    <w:p w14:paraId="38AC87C3" w14:textId="77777777" w:rsidR="00F16214" w:rsidRPr="00C64F4E" w:rsidRDefault="00F16214" w:rsidP="00C64F4E">
      <w:pPr>
        <w:pStyle w:val="NoSpacing"/>
        <w:bidi w:val="0"/>
        <w:rPr>
          <w:rStyle w:val="SAP-AbtractTextChar"/>
          <w:rFonts w:asciiTheme="minorBidi" w:hAnsiTheme="minorBidi" w:cstheme="minorBidi"/>
        </w:rPr>
      </w:pPr>
    </w:p>
    <w:p w14:paraId="3F080C3E" w14:textId="77777777" w:rsidR="00F16214" w:rsidRPr="00C64F4E" w:rsidRDefault="00F16214" w:rsidP="00C64F4E">
      <w:pPr>
        <w:pStyle w:val="NoSpacing"/>
        <w:bidi w:val="0"/>
        <w:rPr>
          <w:rStyle w:val="SAP-AbtractTextChar"/>
          <w:rFonts w:asciiTheme="minorBidi" w:hAnsiTheme="minorBidi" w:cstheme="minorBidi"/>
        </w:rPr>
      </w:pPr>
    </w:p>
    <w:p w14:paraId="3A96D9DC" w14:textId="62F599A8" w:rsidR="00F30E0B" w:rsidRDefault="00F30E0B" w:rsidP="00C64F4E">
      <w:pPr>
        <w:pStyle w:val="NoSpacing"/>
        <w:bidi w:val="0"/>
        <w:rPr>
          <w:rStyle w:val="SAP-AbtractTextChar"/>
          <w:rFonts w:asciiTheme="minorBidi" w:hAnsiTheme="minorBidi" w:cstheme="minorBidi"/>
        </w:rPr>
      </w:pPr>
    </w:p>
    <w:p w14:paraId="0314A504" w14:textId="111FEE72" w:rsidR="00C64F4E" w:rsidRDefault="00C64F4E" w:rsidP="00C64F4E">
      <w:pPr>
        <w:pStyle w:val="NoSpacing"/>
        <w:bidi w:val="0"/>
        <w:rPr>
          <w:rStyle w:val="SAP-AbtractTextChar"/>
          <w:rFonts w:asciiTheme="minorBidi" w:hAnsiTheme="minorBidi" w:cstheme="minorBidi"/>
        </w:rPr>
      </w:pPr>
    </w:p>
    <w:p w14:paraId="110B45F0" w14:textId="79A79081" w:rsidR="00C64F4E" w:rsidRDefault="00C64F4E" w:rsidP="00C64F4E">
      <w:pPr>
        <w:pStyle w:val="NoSpacing"/>
        <w:bidi w:val="0"/>
        <w:rPr>
          <w:rStyle w:val="SAP-AbtractTextChar"/>
          <w:rFonts w:asciiTheme="minorBidi" w:hAnsiTheme="minorBidi" w:cstheme="minorBidi"/>
        </w:rPr>
      </w:pPr>
    </w:p>
    <w:p w14:paraId="2C5FA48B" w14:textId="65533D6E" w:rsidR="00C64F4E" w:rsidRDefault="00C64F4E" w:rsidP="00C64F4E">
      <w:pPr>
        <w:pStyle w:val="NoSpacing"/>
        <w:bidi w:val="0"/>
        <w:rPr>
          <w:rStyle w:val="SAP-AbtractTextChar"/>
          <w:rFonts w:asciiTheme="minorBidi" w:hAnsiTheme="minorBidi" w:cstheme="minorBidi"/>
        </w:rPr>
      </w:pPr>
    </w:p>
    <w:p w14:paraId="45689475" w14:textId="31F25ADC" w:rsidR="00C64F4E" w:rsidRDefault="00C64F4E" w:rsidP="00C64F4E">
      <w:pPr>
        <w:pStyle w:val="NoSpacing"/>
        <w:bidi w:val="0"/>
        <w:rPr>
          <w:rStyle w:val="SAP-AbtractTextChar"/>
          <w:rFonts w:asciiTheme="minorBidi" w:hAnsiTheme="minorBidi" w:cstheme="minorBidi"/>
        </w:rPr>
      </w:pPr>
    </w:p>
    <w:p w14:paraId="399469C3" w14:textId="020B7EA6" w:rsidR="00C64F4E" w:rsidRDefault="00C64F4E" w:rsidP="00C64F4E">
      <w:pPr>
        <w:pStyle w:val="NoSpacing"/>
        <w:bidi w:val="0"/>
        <w:rPr>
          <w:rStyle w:val="SAP-AbtractTextChar"/>
          <w:rFonts w:asciiTheme="minorBidi" w:hAnsiTheme="minorBidi" w:cstheme="minorBidi"/>
        </w:rPr>
      </w:pPr>
    </w:p>
    <w:p w14:paraId="0E065D88" w14:textId="45BAAC43" w:rsidR="00C64F4E" w:rsidRDefault="00C64F4E" w:rsidP="00C64F4E">
      <w:pPr>
        <w:pStyle w:val="NoSpacing"/>
        <w:bidi w:val="0"/>
        <w:rPr>
          <w:rStyle w:val="SAP-AbtractTextChar"/>
          <w:rFonts w:asciiTheme="minorBidi" w:hAnsiTheme="minorBidi" w:cstheme="minorBidi"/>
        </w:rPr>
      </w:pPr>
    </w:p>
    <w:p w14:paraId="256F69FF" w14:textId="02025C34" w:rsidR="00C64F4E" w:rsidRDefault="00C64F4E" w:rsidP="00C64F4E">
      <w:pPr>
        <w:pStyle w:val="NoSpacing"/>
        <w:bidi w:val="0"/>
        <w:rPr>
          <w:rStyle w:val="SAP-AbtractTextChar"/>
          <w:rFonts w:asciiTheme="minorBidi" w:hAnsiTheme="minorBidi" w:cstheme="minorBidi"/>
        </w:rPr>
      </w:pPr>
    </w:p>
    <w:p w14:paraId="2F97E9B1" w14:textId="74EF0005" w:rsidR="00C64F4E" w:rsidRDefault="00C64F4E" w:rsidP="00C64F4E">
      <w:pPr>
        <w:pStyle w:val="NoSpacing"/>
        <w:bidi w:val="0"/>
        <w:rPr>
          <w:rStyle w:val="SAP-AbtractTextChar"/>
          <w:rFonts w:asciiTheme="minorBidi" w:hAnsiTheme="minorBidi" w:cstheme="minorBidi"/>
        </w:rPr>
      </w:pPr>
    </w:p>
    <w:p w14:paraId="0FE0C904" w14:textId="472E2A64" w:rsidR="00C64F4E" w:rsidRDefault="00C64F4E" w:rsidP="00C64F4E">
      <w:pPr>
        <w:pStyle w:val="NoSpacing"/>
        <w:bidi w:val="0"/>
        <w:rPr>
          <w:rStyle w:val="SAP-AbtractTextChar"/>
          <w:rFonts w:asciiTheme="minorBidi" w:hAnsiTheme="minorBidi" w:cstheme="minorBidi"/>
        </w:rPr>
      </w:pPr>
    </w:p>
    <w:p w14:paraId="511D0AD4" w14:textId="77777777" w:rsidR="00C64F4E" w:rsidRPr="00C64F4E" w:rsidRDefault="00C64F4E" w:rsidP="00C64F4E">
      <w:pPr>
        <w:pStyle w:val="NoSpacing"/>
        <w:bidi w:val="0"/>
        <w:rPr>
          <w:rStyle w:val="SAP-AbtractTextChar"/>
          <w:rFonts w:asciiTheme="minorBidi" w:hAnsiTheme="minorBidi" w:cstheme="minorBidi"/>
        </w:rPr>
      </w:pPr>
    </w:p>
    <w:p w14:paraId="1B6882D9" w14:textId="77777777" w:rsidR="00F16214" w:rsidRPr="00F16214" w:rsidRDefault="00F16214" w:rsidP="00F16214">
      <w:pPr>
        <w:pStyle w:val="NoSpacing"/>
        <w:bidi w:val="0"/>
        <w:rPr>
          <w:rFonts w:cstheme="minorHAnsi"/>
          <w:sz w:val="28"/>
          <w:szCs w:val="28"/>
        </w:rPr>
      </w:pPr>
    </w:p>
    <w:p w14:paraId="4830A364" w14:textId="7991724F" w:rsidR="00F30E0B" w:rsidRPr="00C64F4E" w:rsidRDefault="00373FE6" w:rsidP="00C64F4E">
      <w:pPr>
        <w:pStyle w:val="NoSpacing"/>
        <w:bidi w:val="0"/>
        <w:rPr>
          <w:b/>
          <w:bCs/>
          <w:sz w:val="24"/>
          <w:szCs w:val="24"/>
        </w:rPr>
      </w:pPr>
      <w:r w:rsidRPr="00C64F4E">
        <w:rPr>
          <w:b/>
          <w:bCs/>
          <w:sz w:val="24"/>
          <w:szCs w:val="24"/>
        </w:rPr>
        <w:t>Introductio</w:t>
      </w:r>
      <w:r w:rsidR="00F16214" w:rsidRPr="00C64F4E">
        <w:rPr>
          <w:b/>
          <w:bCs/>
          <w:sz w:val="24"/>
          <w:szCs w:val="24"/>
        </w:rPr>
        <w:t>n:</w:t>
      </w:r>
    </w:p>
    <w:p w14:paraId="6319E1CC" w14:textId="5964179E" w:rsidR="00FA0D3E" w:rsidRPr="00C64F4E" w:rsidRDefault="00373FE6" w:rsidP="00C64F4E">
      <w:pPr>
        <w:pStyle w:val="NoSpacing"/>
        <w:bidi w:val="0"/>
        <w:rPr>
          <w:sz w:val="24"/>
          <w:szCs w:val="24"/>
        </w:rPr>
      </w:pPr>
      <w:r w:rsidRPr="00C64F4E">
        <w:rPr>
          <w:sz w:val="24"/>
          <w:szCs w:val="24"/>
        </w:rPr>
        <w:t xml:space="preserve">The global pandemic of </w:t>
      </w:r>
      <w:r w:rsidR="00F30E0B" w:rsidRPr="00C64F4E">
        <w:rPr>
          <w:sz w:val="24"/>
          <w:szCs w:val="24"/>
        </w:rPr>
        <w:t xml:space="preserve">SARS-CoV-2 infection </w:t>
      </w:r>
      <w:r w:rsidRPr="00C64F4E">
        <w:rPr>
          <w:sz w:val="24"/>
          <w:szCs w:val="24"/>
        </w:rPr>
        <w:t xml:space="preserve">and COVID-19 disease engulfed the medical and scientific community around the world with </w:t>
      </w:r>
      <w:r w:rsidR="005E22A5" w:rsidRPr="00C64F4E">
        <w:rPr>
          <w:sz w:val="24"/>
          <w:szCs w:val="24"/>
        </w:rPr>
        <w:t>evolving experience i</w:t>
      </w:r>
      <w:r w:rsidR="005169A0" w:rsidRPr="00C64F4E">
        <w:rPr>
          <w:sz w:val="24"/>
          <w:szCs w:val="24"/>
        </w:rPr>
        <w:t xml:space="preserve">n </w:t>
      </w:r>
      <w:r w:rsidR="004F0432" w:rsidRPr="00C64F4E">
        <w:rPr>
          <w:sz w:val="24"/>
          <w:szCs w:val="24"/>
        </w:rPr>
        <w:t>the clinical</w:t>
      </w:r>
      <w:r w:rsidR="005E22A5" w:rsidRPr="00C64F4E">
        <w:rPr>
          <w:sz w:val="24"/>
          <w:szCs w:val="24"/>
        </w:rPr>
        <w:t xml:space="preserve"> evaluation and management of the disease spectrum. One of the intriguing </w:t>
      </w:r>
      <w:r w:rsidR="004F0432" w:rsidRPr="00C64F4E">
        <w:rPr>
          <w:sz w:val="24"/>
          <w:szCs w:val="24"/>
        </w:rPr>
        <w:t xml:space="preserve">phenomena observed during </w:t>
      </w:r>
      <w:r w:rsidR="005E22A5" w:rsidRPr="00C64F4E">
        <w:rPr>
          <w:sz w:val="24"/>
          <w:szCs w:val="24"/>
        </w:rPr>
        <w:t xml:space="preserve">the </w:t>
      </w:r>
      <w:r w:rsidR="000B76FC" w:rsidRPr="00C64F4E">
        <w:rPr>
          <w:sz w:val="24"/>
          <w:szCs w:val="24"/>
        </w:rPr>
        <w:t>pandemic is</w:t>
      </w:r>
      <w:r w:rsidR="005E22A5" w:rsidRPr="00C64F4E">
        <w:rPr>
          <w:sz w:val="24"/>
          <w:szCs w:val="24"/>
        </w:rPr>
        <w:t xml:space="preserve"> </w:t>
      </w:r>
      <w:r w:rsidR="000B76FC" w:rsidRPr="00C64F4E">
        <w:rPr>
          <w:sz w:val="24"/>
          <w:szCs w:val="24"/>
        </w:rPr>
        <w:t xml:space="preserve">the variations in the </w:t>
      </w:r>
      <w:r w:rsidR="00F30E0B" w:rsidRPr="00C64F4E">
        <w:rPr>
          <w:sz w:val="24"/>
          <w:szCs w:val="24"/>
        </w:rPr>
        <w:t xml:space="preserve">clinical </w:t>
      </w:r>
      <w:r w:rsidR="000B76FC" w:rsidRPr="00C64F4E">
        <w:rPr>
          <w:sz w:val="24"/>
          <w:szCs w:val="24"/>
        </w:rPr>
        <w:t xml:space="preserve">presentations of the </w:t>
      </w:r>
      <w:r w:rsidR="0033303B" w:rsidRPr="00C64F4E">
        <w:rPr>
          <w:sz w:val="24"/>
          <w:szCs w:val="24"/>
        </w:rPr>
        <w:t>disease,</w:t>
      </w:r>
      <w:r w:rsidR="000B76FC" w:rsidRPr="00C64F4E">
        <w:rPr>
          <w:sz w:val="24"/>
          <w:szCs w:val="24"/>
        </w:rPr>
        <w:t xml:space="preserve"> ranging</w:t>
      </w:r>
      <w:r w:rsidR="005E22A5" w:rsidRPr="00C64F4E">
        <w:rPr>
          <w:sz w:val="24"/>
          <w:szCs w:val="24"/>
        </w:rPr>
        <w:t xml:space="preserve"> from </w:t>
      </w:r>
      <w:r w:rsidR="00F30E0B" w:rsidRPr="00C64F4E">
        <w:rPr>
          <w:sz w:val="24"/>
          <w:szCs w:val="24"/>
        </w:rPr>
        <w:t xml:space="preserve">asymptomatic infection to </w:t>
      </w:r>
      <w:r w:rsidR="005169A0" w:rsidRPr="00C64F4E">
        <w:rPr>
          <w:sz w:val="24"/>
          <w:szCs w:val="24"/>
        </w:rPr>
        <w:t>severe disease</w:t>
      </w:r>
      <w:r w:rsidR="005E22A5" w:rsidRPr="00C64F4E">
        <w:rPr>
          <w:sz w:val="24"/>
          <w:szCs w:val="24"/>
        </w:rPr>
        <w:t xml:space="preserve"> necessitating critical care. It was recognized early </w:t>
      </w:r>
      <w:r w:rsidR="000B76FC" w:rsidRPr="00C64F4E">
        <w:rPr>
          <w:sz w:val="24"/>
          <w:szCs w:val="24"/>
        </w:rPr>
        <w:t xml:space="preserve">during the pandemic </w:t>
      </w:r>
      <w:r w:rsidR="005E22A5" w:rsidRPr="00C64F4E">
        <w:rPr>
          <w:sz w:val="24"/>
          <w:szCs w:val="24"/>
        </w:rPr>
        <w:t xml:space="preserve">that the pneumotropic </w:t>
      </w:r>
      <w:r w:rsidR="005169A0" w:rsidRPr="00C64F4E">
        <w:rPr>
          <w:sz w:val="24"/>
          <w:szCs w:val="24"/>
        </w:rPr>
        <w:t xml:space="preserve">virus </w:t>
      </w:r>
      <w:proofErr w:type="gramStart"/>
      <w:r w:rsidR="005169A0" w:rsidRPr="00C64F4E">
        <w:rPr>
          <w:sz w:val="24"/>
          <w:szCs w:val="24"/>
        </w:rPr>
        <w:t>is</w:t>
      </w:r>
      <w:r w:rsidR="005E22A5" w:rsidRPr="00C64F4E">
        <w:rPr>
          <w:sz w:val="24"/>
          <w:szCs w:val="24"/>
        </w:rPr>
        <w:t xml:space="preserve"> capable of causing</w:t>
      </w:r>
      <w:proofErr w:type="gramEnd"/>
      <w:r w:rsidR="005E22A5" w:rsidRPr="00C64F4E">
        <w:rPr>
          <w:sz w:val="24"/>
          <w:szCs w:val="24"/>
        </w:rPr>
        <w:t xml:space="preserve"> severe lower respiratory tract infections culminating </w:t>
      </w:r>
      <w:r w:rsidR="005169A0" w:rsidRPr="00C64F4E">
        <w:rPr>
          <w:sz w:val="24"/>
          <w:szCs w:val="24"/>
        </w:rPr>
        <w:t>towards severe</w:t>
      </w:r>
      <w:r w:rsidR="000B76FC" w:rsidRPr="00C64F4E">
        <w:rPr>
          <w:sz w:val="24"/>
          <w:szCs w:val="24"/>
        </w:rPr>
        <w:t xml:space="preserve"> </w:t>
      </w:r>
      <w:r w:rsidR="004F0432" w:rsidRPr="00C64F4E">
        <w:rPr>
          <w:sz w:val="24"/>
          <w:szCs w:val="24"/>
        </w:rPr>
        <w:t>sepsis,</w:t>
      </w:r>
      <w:r w:rsidR="000B76FC" w:rsidRPr="00C64F4E">
        <w:rPr>
          <w:sz w:val="24"/>
          <w:szCs w:val="24"/>
        </w:rPr>
        <w:t xml:space="preserve"> multiorgan </w:t>
      </w:r>
      <w:r w:rsidR="004F0432" w:rsidRPr="00C64F4E">
        <w:rPr>
          <w:sz w:val="24"/>
          <w:szCs w:val="24"/>
        </w:rPr>
        <w:t xml:space="preserve">dysfunctions, multitude of pulmonary diseases </w:t>
      </w:r>
      <w:r w:rsidR="000B76FC" w:rsidRPr="00C64F4E">
        <w:rPr>
          <w:sz w:val="24"/>
          <w:szCs w:val="24"/>
        </w:rPr>
        <w:t xml:space="preserve">including </w:t>
      </w:r>
      <w:r w:rsidR="00F30E0B" w:rsidRPr="00C64F4E">
        <w:rPr>
          <w:sz w:val="24"/>
          <w:szCs w:val="24"/>
        </w:rPr>
        <w:t>Acute Respiratory Distress Syndrome (ARDS)</w:t>
      </w:r>
      <w:r w:rsidR="000B76FC" w:rsidRPr="00C64F4E">
        <w:rPr>
          <w:sz w:val="24"/>
          <w:szCs w:val="24"/>
        </w:rPr>
        <w:t xml:space="preserve"> </w:t>
      </w:r>
      <w:r w:rsidR="00A8192B" w:rsidRPr="00C64F4E">
        <w:rPr>
          <w:sz w:val="24"/>
          <w:szCs w:val="24"/>
        </w:rPr>
        <w:t>[</w:t>
      </w:r>
      <w:r w:rsidR="00432CA0" w:rsidRPr="00C64F4E">
        <w:rPr>
          <w:sz w:val="24"/>
          <w:szCs w:val="24"/>
        </w:rPr>
        <w:t>1</w:t>
      </w:r>
      <w:r w:rsidR="00F30E0B" w:rsidRPr="00C64F4E">
        <w:rPr>
          <w:sz w:val="24"/>
          <w:szCs w:val="24"/>
        </w:rPr>
        <w:t>]</w:t>
      </w:r>
      <w:r w:rsidR="00FA0D3E" w:rsidRPr="00C64F4E">
        <w:rPr>
          <w:sz w:val="24"/>
          <w:szCs w:val="24"/>
        </w:rPr>
        <w:t xml:space="preserve">. </w:t>
      </w:r>
      <w:r w:rsidR="004F0432" w:rsidRPr="00C64F4E">
        <w:rPr>
          <w:sz w:val="24"/>
          <w:szCs w:val="24"/>
        </w:rPr>
        <w:t xml:space="preserve">Besides, it has been established that </w:t>
      </w:r>
      <w:r w:rsidR="001B776B" w:rsidRPr="00C64F4E">
        <w:rPr>
          <w:sz w:val="24"/>
          <w:szCs w:val="24"/>
        </w:rPr>
        <w:t>respiratory</w:t>
      </w:r>
      <w:r w:rsidR="000B76FC" w:rsidRPr="00C64F4E">
        <w:rPr>
          <w:sz w:val="24"/>
          <w:szCs w:val="24"/>
        </w:rPr>
        <w:t xml:space="preserve"> failure and ARDS is one of the commonest causes of prolonged intubation and </w:t>
      </w:r>
      <w:r w:rsidR="00F30E0B" w:rsidRPr="00C64F4E">
        <w:rPr>
          <w:sz w:val="24"/>
          <w:szCs w:val="24"/>
        </w:rPr>
        <w:t xml:space="preserve">mechanical ventilation </w:t>
      </w:r>
      <w:r w:rsidR="004F0432" w:rsidRPr="00C64F4E">
        <w:rPr>
          <w:sz w:val="24"/>
          <w:szCs w:val="24"/>
        </w:rPr>
        <w:t xml:space="preserve">leading to </w:t>
      </w:r>
      <w:r w:rsidR="000B76FC" w:rsidRPr="00C64F4E">
        <w:rPr>
          <w:sz w:val="24"/>
          <w:szCs w:val="24"/>
        </w:rPr>
        <w:t xml:space="preserve">reported </w:t>
      </w:r>
      <w:r w:rsidR="004F0432" w:rsidRPr="00C64F4E">
        <w:rPr>
          <w:sz w:val="24"/>
          <w:szCs w:val="24"/>
        </w:rPr>
        <w:t xml:space="preserve">significant </w:t>
      </w:r>
      <w:r w:rsidR="00FA0D3E" w:rsidRPr="00C64F4E">
        <w:rPr>
          <w:sz w:val="24"/>
          <w:szCs w:val="24"/>
        </w:rPr>
        <w:t>mortality [</w:t>
      </w:r>
      <w:r w:rsidR="00F30E0B" w:rsidRPr="00C64F4E">
        <w:rPr>
          <w:sz w:val="24"/>
          <w:szCs w:val="24"/>
        </w:rPr>
        <w:t>2</w:t>
      </w:r>
      <w:r w:rsidR="00044FD3" w:rsidRPr="00C64F4E">
        <w:rPr>
          <w:sz w:val="24"/>
          <w:szCs w:val="24"/>
        </w:rPr>
        <w:t>].</w:t>
      </w:r>
      <w:r w:rsidR="00CC3454" w:rsidRPr="00C64F4E">
        <w:rPr>
          <w:sz w:val="24"/>
          <w:szCs w:val="24"/>
        </w:rPr>
        <w:t xml:space="preserve"> </w:t>
      </w:r>
      <w:r w:rsidR="000B76FC" w:rsidRPr="00C64F4E">
        <w:rPr>
          <w:sz w:val="24"/>
          <w:szCs w:val="24"/>
        </w:rPr>
        <w:t xml:space="preserve">The </w:t>
      </w:r>
      <w:r w:rsidR="009C5668" w:rsidRPr="00C64F4E">
        <w:rPr>
          <w:sz w:val="24"/>
          <w:szCs w:val="24"/>
        </w:rPr>
        <w:t xml:space="preserve">full picture of the </w:t>
      </w:r>
      <w:r w:rsidR="000B76FC" w:rsidRPr="00C64F4E">
        <w:rPr>
          <w:sz w:val="24"/>
          <w:szCs w:val="24"/>
        </w:rPr>
        <w:t xml:space="preserve">underlying mechanisms leading </w:t>
      </w:r>
      <w:r w:rsidR="009C5668" w:rsidRPr="00C64F4E">
        <w:rPr>
          <w:sz w:val="24"/>
          <w:szCs w:val="24"/>
        </w:rPr>
        <w:t xml:space="preserve">to severe sepsis and </w:t>
      </w:r>
      <w:r w:rsidR="00F30E0B" w:rsidRPr="00C64F4E">
        <w:rPr>
          <w:sz w:val="24"/>
          <w:szCs w:val="24"/>
        </w:rPr>
        <w:t>ARDS</w:t>
      </w:r>
      <w:r w:rsidR="009C5668" w:rsidRPr="00C64F4E">
        <w:rPr>
          <w:sz w:val="24"/>
          <w:szCs w:val="24"/>
        </w:rPr>
        <w:t xml:space="preserve"> is not fully </w:t>
      </w:r>
      <w:r w:rsidR="004F0432" w:rsidRPr="00C64F4E">
        <w:rPr>
          <w:sz w:val="24"/>
          <w:szCs w:val="24"/>
        </w:rPr>
        <w:t xml:space="preserve">understood </w:t>
      </w:r>
      <w:r w:rsidR="009C5668" w:rsidRPr="00C64F4E">
        <w:rPr>
          <w:sz w:val="24"/>
          <w:szCs w:val="24"/>
        </w:rPr>
        <w:t xml:space="preserve"> but frequently linked to the development of </w:t>
      </w:r>
      <w:r w:rsidR="00F30E0B" w:rsidRPr="00C64F4E">
        <w:rPr>
          <w:sz w:val="24"/>
          <w:szCs w:val="24"/>
        </w:rPr>
        <w:t xml:space="preserve"> </w:t>
      </w:r>
      <w:r w:rsidR="009C5668" w:rsidRPr="00C64F4E">
        <w:rPr>
          <w:sz w:val="24"/>
          <w:szCs w:val="24"/>
        </w:rPr>
        <w:t xml:space="preserve">an intense </w:t>
      </w:r>
      <w:r w:rsidR="00F30E0B" w:rsidRPr="00C64F4E">
        <w:rPr>
          <w:sz w:val="24"/>
          <w:szCs w:val="24"/>
        </w:rPr>
        <w:t xml:space="preserve">hyperimmune response </w:t>
      </w:r>
      <w:r w:rsidR="009C5668" w:rsidRPr="00C64F4E">
        <w:rPr>
          <w:sz w:val="24"/>
          <w:szCs w:val="24"/>
        </w:rPr>
        <w:t xml:space="preserve">coined </w:t>
      </w:r>
      <w:r w:rsidR="00F30E0B" w:rsidRPr="00C64F4E">
        <w:rPr>
          <w:sz w:val="24"/>
          <w:szCs w:val="24"/>
        </w:rPr>
        <w:t xml:space="preserve"> </w:t>
      </w:r>
      <w:r w:rsidR="009C5668" w:rsidRPr="00C64F4E">
        <w:rPr>
          <w:sz w:val="24"/>
          <w:szCs w:val="24"/>
        </w:rPr>
        <w:t xml:space="preserve">COVID-19 </w:t>
      </w:r>
      <w:r w:rsidR="004F0432" w:rsidRPr="00C64F4E">
        <w:rPr>
          <w:sz w:val="24"/>
          <w:szCs w:val="24"/>
        </w:rPr>
        <w:t>C</w:t>
      </w:r>
      <w:r w:rsidR="00F30E0B" w:rsidRPr="00C64F4E">
        <w:rPr>
          <w:sz w:val="24"/>
          <w:szCs w:val="24"/>
        </w:rPr>
        <w:t xml:space="preserve">ytokine </w:t>
      </w:r>
      <w:r w:rsidR="004F0432" w:rsidRPr="00C64F4E">
        <w:rPr>
          <w:sz w:val="24"/>
          <w:szCs w:val="24"/>
        </w:rPr>
        <w:t>S</w:t>
      </w:r>
      <w:r w:rsidR="00F30E0B" w:rsidRPr="00C64F4E">
        <w:rPr>
          <w:sz w:val="24"/>
          <w:szCs w:val="24"/>
        </w:rPr>
        <w:t>torm</w:t>
      </w:r>
      <w:r w:rsidR="004F0432" w:rsidRPr="00C64F4E">
        <w:rPr>
          <w:sz w:val="24"/>
          <w:szCs w:val="24"/>
        </w:rPr>
        <w:t xml:space="preserve"> Syndrome </w:t>
      </w:r>
      <w:r w:rsidR="009C5668" w:rsidRPr="00C64F4E">
        <w:rPr>
          <w:sz w:val="24"/>
          <w:szCs w:val="24"/>
        </w:rPr>
        <w:t xml:space="preserve"> (</w:t>
      </w:r>
      <w:r w:rsidR="004F0432" w:rsidRPr="00C64F4E">
        <w:rPr>
          <w:sz w:val="24"/>
          <w:szCs w:val="24"/>
        </w:rPr>
        <w:t>CSS</w:t>
      </w:r>
      <w:r w:rsidR="009C5668" w:rsidRPr="00C64F4E">
        <w:rPr>
          <w:sz w:val="24"/>
          <w:szCs w:val="24"/>
        </w:rPr>
        <w:t xml:space="preserve">) </w:t>
      </w:r>
      <w:r w:rsidR="00F30E0B" w:rsidRPr="00C64F4E">
        <w:rPr>
          <w:sz w:val="24"/>
          <w:szCs w:val="24"/>
        </w:rPr>
        <w:t xml:space="preserve">, characterized by </w:t>
      </w:r>
      <w:r w:rsidR="00FD0AC8" w:rsidRPr="00C64F4E">
        <w:rPr>
          <w:sz w:val="24"/>
          <w:szCs w:val="24"/>
        </w:rPr>
        <w:t xml:space="preserve">simultaneous </w:t>
      </w:r>
      <w:r w:rsidR="009C5668" w:rsidRPr="00C64F4E">
        <w:rPr>
          <w:sz w:val="24"/>
          <w:szCs w:val="24"/>
        </w:rPr>
        <w:t xml:space="preserve"> surge in immune activation</w:t>
      </w:r>
      <w:r w:rsidR="00F30E0B" w:rsidRPr="00C64F4E">
        <w:rPr>
          <w:sz w:val="24"/>
          <w:szCs w:val="24"/>
        </w:rPr>
        <w:t xml:space="preserve"> </w:t>
      </w:r>
      <w:r w:rsidR="009C5668" w:rsidRPr="00C64F4E">
        <w:rPr>
          <w:sz w:val="24"/>
          <w:szCs w:val="24"/>
        </w:rPr>
        <w:t xml:space="preserve">, </w:t>
      </w:r>
      <w:r w:rsidR="00F30E0B" w:rsidRPr="00C64F4E">
        <w:rPr>
          <w:sz w:val="24"/>
          <w:szCs w:val="24"/>
        </w:rPr>
        <w:t xml:space="preserve">production of </w:t>
      </w:r>
      <w:r w:rsidR="009C5668" w:rsidRPr="00C64F4E">
        <w:rPr>
          <w:sz w:val="24"/>
          <w:szCs w:val="24"/>
        </w:rPr>
        <w:t xml:space="preserve">substantial </w:t>
      </w:r>
      <w:r w:rsidR="00F30E0B" w:rsidRPr="00C64F4E">
        <w:rPr>
          <w:sz w:val="24"/>
          <w:szCs w:val="24"/>
        </w:rPr>
        <w:t xml:space="preserve"> </w:t>
      </w:r>
      <w:r w:rsidR="009C5668" w:rsidRPr="00C64F4E">
        <w:rPr>
          <w:sz w:val="24"/>
          <w:szCs w:val="24"/>
        </w:rPr>
        <w:t xml:space="preserve">inflammatory responses  and </w:t>
      </w:r>
      <w:r w:rsidR="00F30E0B" w:rsidRPr="00C64F4E">
        <w:rPr>
          <w:sz w:val="24"/>
          <w:szCs w:val="24"/>
        </w:rPr>
        <w:t>cytokines</w:t>
      </w:r>
      <w:r w:rsidR="009C5668" w:rsidRPr="00C64F4E">
        <w:rPr>
          <w:sz w:val="24"/>
          <w:szCs w:val="24"/>
        </w:rPr>
        <w:t xml:space="preserve"> leading to </w:t>
      </w:r>
      <w:r w:rsidR="00FD0AC8" w:rsidRPr="00C64F4E">
        <w:rPr>
          <w:sz w:val="24"/>
          <w:szCs w:val="24"/>
        </w:rPr>
        <w:t xml:space="preserve">cascades of  </w:t>
      </w:r>
      <w:r w:rsidR="00866E70" w:rsidRPr="00C64F4E">
        <w:rPr>
          <w:sz w:val="24"/>
          <w:szCs w:val="24"/>
        </w:rPr>
        <w:t xml:space="preserve">systemic manifestations , </w:t>
      </w:r>
      <w:r w:rsidR="009C5668" w:rsidRPr="00C64F4E">
        <w:rPr>
          <w:sz w:val="24"/>
          <w:szCs w:val="24"/>
        </w:rPr>
        <w:t xml:space="preserve">end organs damage and subsequent </w:t>
      </w:r>
      <w:r w:rsidR="00495108" w:rsidRPr="00C64F4E">
        <w:rPr>
          <w:sz w:val="24"/>
          <w:szCs w:val="24"/>
        </w:rPr>
        <w:t xml:space="preserve">organs </w:t>
      </w:r>
      <w:r w:rsidR="009C5668" w:rsidRPr="00C64F4E">
        <w:rPr>
          <w:sz w:val="24"/>
          <w:szCs w:val="24"/>
        </w:rPr>
        <w:t xml:space="preserve">failure </w:t>
      </w:r>
      <w:r w:rsidR="00FA0D3E" w:rsidRPr="00C64F4E">
        <w:rPr>
          <w:sz w:val="24"/>
          <w:szCs w:val="24"/>
        </w:rPr>
        <w:t>[</w:t>
      </w:r>
      <w:r w:rsidR="00432CA0" w:rsidRPr="00C64F4E">
        <w:rPr>
          <w:sz w:val="24"/>
          <w:szCs w:val="24"/>
        </w:rPr>
        <w:t>3</w:t>
      </w:r>
      <w:r w:rsidR="00FA0D3E" w:rsidRPr="00C64F4E">
        <w:rPr>
          <w:sz w:val="24"/>
          <w:szCs w:val="24"/>
        </w:rPr>
        <w:t>]</w:t>
      </w:r>
      <w:r w:rsidR="00044FD3" w:rsidRPr="00C64F4E">
        <w:rPr>
          <w:sz w:val="24"/>
          <w:szCs w:val="24"/>
        </w:rPr>
        <w:t>.</w:t>
      </w:r>
      <w:r w:rsidR="00CC3454" w:rsidRPr="00C64F4E">
        <w:rPr>
          <w:sz w:val="24"/>
          <w:szCs w:val="24"/>
        </w:rPr>
        <w:t xml:space="preserve"> </w:t>
      </w:r>
    </w:p>
    <w:p w14:paraId="06F159B5" w14:textId="77777777" w:rsidR="00CC3454" w:rsidRPr="00C64F4E" w:rsidRDefault="00CC3454" w:rsidP="00C64F4E">
      <w:pPr>
        <w:pStyle w:val="NoSpacing"/>
        <w:bidi w:val="0"/>
        <w:rPr>
          <w:sz w:val="24"/>
          <w:szCs w:val="24"/>
        </w:rPr>
      </w:pPr>
    </w:p>
    <w:p w14:paraId="7AADC632" w14:textId="78497EAC" w:rsidR="00523F9B" w:rsidRPr="00C64F4E" w:rsidRDefault="00232084" w:rsidP="00C64F4E">
      <w:pPr>
        <w:pStyle w:val="NoSpacing"/>
        <w:bidi w:val="0"/>
        <w:rPr>
          <w:sz w:val="24"/>
          <w:szCs w:val="24"/>
        </w:rPr>
      </w:pPr>
      <w:r w:rsidRPr="00C64F4E">
        <w:rPr>
          <w:sz w:val="24"/>
          <w:szCs w:val="24"/>
        </w:rPr>
        <w:t>During the pandemic it was noticed th</w:t>
      </w:r>
      <w:r w:rsidR="00FD0AC8" w:rsidRPr="00C64F4E">
        <w:rPr>
          <w:sz w:val="24"/>
          <w:szCs w:val="24"/>
        </w:rPr>
        <w:t xml:space="preserve">at </w:t>
      </w:r>
      <w:proofErr w:type="gramStart"/>
      <w:r w:rsidR="00606641" w:rsidRPr="00C64F4E">
        <w:rPr>
          <w:sz w:val="24"/>
          <w:szCs w:val="24"/>
        </w:rPr>
        <w:t>the majority</w:t>
      </w:r>
      <w:r w:rsidRPr="00C64F4E">
        <w:rPr>
          <w:sz w:val="24"/>
          <w:szCs w:val="24"/>
        </w:rPr>
        <w:t xml:space="preserve"> of</w:t>
      </w:r>
      <w:proofErr w:type="gramEnd"/>
      <w:r w:rsidRPr="00C64F4E">
        <w:rPr>
          <w:sz w:val="24"/>
          <w:szCs w:val="24"/>
        </w:rPr>
        <w:t xml:space="preserve"> </w:t>
      </w:r>
      <w:r w:rsidR="00866E70" w:rsidRPr="00C64F4E">
        <w:rPr>
          <w:sz w:val="24"/>
          <w:szCs w:val="24"/>
        </w:rPr>
        <w:t xml:space="preserve">the </w:t>
      </w:r>
      <w:r w:rsidRPr="00C64F4E">
        <w:rPr>
          <w:sz w:val="24"/>
          <w:szCs w:val="24"/>
        </w:rPr>
        <w:t xml:space="preserve">worst outcomes </w:t>
      </w:r>
      <w:r w:rsidR="00495108" w:rsidRPr="00C64F4E">
        <w:rPr>
          <w:sz w:val="24"/>
          <w:szCs w:val="24"/>
        </w:rPr>
        <w:t xml:space="preserve">including </w:t>
      </w:r>
      <w:r w:rsidR="00866E70" w:rsidRPr="00C64F4E">
        <w:rPr>
          <w:sz w:val="24"/>
          <w:szCs w:val="24"/>
        </w:rPr>
        <w:t xml:space="preserve">the </w:t>
      </w:r>
      <w:r w:rsidR="00495108" w:rsidRPr="00C64F4E">
        <w:rPr>
          <w:sz w:val="24"/>
          <w:szCs w:val="24"/>
        </w:rPr>
        <w:t xml:space="preserve">worrying </w:t>
      </w:r>
      <w:r w:rsidR="00866E70" w:rsidRPr="00C64F4E">
        <w:rPr>
          <w:sz w:val="24"/>
          <w:szCs w:val="24"/>
        </w:rPr>
        <w:t xml:space="preserve">mortality is observed in </w:t>
      </w:r>
      <w:r w:rsidRPr="00C64F4E">
        <w:rPr>
          <w:sz w:val="24"/>
          <w:szCs w:val="24"/>
        </w:rPr>
        <w:t xml:space="preserve">  </w:t>
      </w:r>
      <w:r w:rsidR="00495108" w:rsidRPr="00C64F4E">
        <w:rPr>
          <w:sz w:val="24"/>
          <w:szCs w:val="24"/>
        </w:rPr>
        <w:t xml:space="preserve">patients with severe and critical disease who progress </w:t>
      </w:r>
      <w:r w:rsidR="00526CDE" w:rsidRPr="00C64F4E">
        <w:rPr>
          <w:sz w:val="24"/>
          <w:szCs w:val="24"/>
        </w:rPr>
        <w:t>towards mechanical</w:t>
      </w:r>
      <w:r w:rsidRPr="00C64F4E">
        <w:rPr>
          <w:sz w:val="24"/>
          <w:szCs w:val="24"/>
        </w:rPr>
        <w:t xml:space="preserve"> ventilat</w:t>
      </w:r>
      <w:r w:rsidR="00495108" w:rsidRPr="00C64F4E">
        <w:rPr>
          <w:sz w:val="24"/>
          <w:szCs w:val="24"/>
        </w:rPr>
        <w:t xml:space="preserve">ion </w:t>
      </w:r>
      <w:r w:rsidRPr="00C64F4E">
        <w:rPr>
          <w:sz w:val="24"/>
          <w:szCs w:val="24"/>
        </w:rPr>
        <w:t xml:space="preserve">as well in patients with ARDS </w:t>
      </w:r>
      <w:r w:rsidR="00495108" w:rsidRPr="00C64F4E">
        <w:rPr>
          <w:sz w:val="24"/>
          <w:szCs w:val="24"/>
        </w:rPr>
        <w:t>[</w:t>
      </w:r>
      <w:r w:rsidR="00432CA0" w:rsidRPr="00C64F4E">
        <w:rPr>
          <w:sz w:val="24"/>
          <w:szCs w:val="24"/>
        </w:rPr>
        <w:t>2,4]</w:t>
      </w:r>
      <w:r w:rsidR="00523F9B" w:rsidRPr="00C64F4E">
        <w:rPr>
          <w:sz w:val="24"/>
          <w:szCs w:val="24"/>
        </w:rPr>
        <w:t xml:space="preserve">. </w:t>
      </w:r>
      <w:r w:rsidR="00CC3454" w:rsidRPr="00C64F4E">
        <w:rPr>
          <w:sz w:val="24"/>
          <w:szCs w:val="24"/>
        </w:rPr>
        <w:t xml:space="preserve"> </w:t>
      </w:r>
      <w:r w:rsidR="00C64F4E" w:rsidRPr="00C64F4E">
        <w:rPr>
          <w:sz w:val="24"/>
          <w:szCs w:val="24"/>
        </w:rPr>
        <w:t>F</w:t>
      </w:r>
      <w:r w:rsidR="00495108" w:rsidRPr="00C64F4E">
        <w:rPr>
          <w:sz w:val="24"/>
          <w:szCs w:val="24"/>
        </w:rPr>
        <w:t xml:space="preserve">or such </w:t>
      </w:r>
      <w:r w:rsidR="002619C1" w:rsidRPr="00C64F4E">
        <w:rPr>
          <w:sz w:val="24"/>
          <w:szCs w:val="24"/>
        </w:rPr>
        <w:t>instances, it</w:t>
      </w:r>
      <w:r w:rsidRPr="00C64F4E">
        <w:rPr>
          <w:sz w:val="24"/>
          <w:szCs w:val="24"/>
        </w:rPr>
        <w:t xml:space="preserve"> imperative to </w:t>
      </w:r>
      <w:r w:rsidR="00495108" w:rsidRPr="00C64F4E">
        <w:rPr>
          <w:sz w:val="24"/>
          <w:szCs w:val="24"/>
        </w:rPr>
        <w:t xml:space="preserve">try to </w:t>
      </w:r>
      <w:r w:rsidRPr="00C64F4E">
        <w:rPr>
          <w:sz w:val="24"/>
          <w:szCs w:val="24"/>
        </w:rPr>
        <w:t xml:space="preserve">avoid early complications that might lead to such </w:t>
      </w:r>
      <w:r w:rsidR="00866E70" w:rsidRPr="00C64F4E">
        <w:rPr>
          <w:sz w:val="24"/>
          <w:szCs w:val="24"/>
        </w:rPr>
        <w:t>progressive complications.</w:t>
      </w:r>
      <w:r w:rsidR="00523F9B" w:rsidRPr="00C64F4E">
        <w:rPr>
          <w:sz w:val="24"/>
          <w:szCs w:val="24"/>
        </w:rPr>
        <w:t xml:space="preserve"> </w:t>
      </w:r>
      <w:r w:rsidR="00495108" w:rsidRPr="00C64F4E">
        <w:rPr>
          <w:sz w:val="24"/>
          <w:szCs w:val="24"/>
        </w:rPr>
        <w:t>Furthermore, w</w:t>
      </w:r>
      <w:r w:rsidR="009C5668" w:rsidRPr="00C64F4E">
        <w:rPr>
          <w:sz w:val="24"/>
          <w:szCs w:val="24"/>
        </w:rPr>
        <w:t xml:space="preserve">hile </w:t>
      </w:r>
      <w:r w:rsidR="00450DF0" w:rsidRPr="00C64F4E">
        <w:rPr>
          <w:sz w:val="24"/>
          <w:szCs w:val="24"/>
        </w:rPr>
        <w:t xml:space="preserve">studying inflammatory </w:t>
      </w:r>
      <w:r w:rsidR="009C5668" w:rsidRPr="00C64F4E">
        <w:rPr>
          <w:sz w:val="24"/>
          <w:szCs w:val="24"/>
        </w:rPr>
        <w:t xml:space="preserve"> mediators</w:t>
      </w:r>
      <w:r w:rsidR="00495108" w:rsidRPr="00C64F4E">
        <w:rPr>
          <w:sz w:val="24"/>
          <w:szCs w:val="24"/>
        </w:rPr>
        <w:t xml:space="preserve"> during the pandemic </w:t>
      </w:r>
      <w:r w:rsidR="009C5668" w:rsidRPr="00C64F4E">
        <w:rPr>
          <w:sz w:val="24"/>
          <w:szCs w:val="24"/>
        </w:rPr>
        <w:t xml:space="preserve">, </w:t>
      </w:r>
      <w:r w:rsidR="00450DF0" w:rsidRPr="00C64F4E">
        <w:rPr>
          <w:sz w:val="24"/>
          <w:szCs w:val="24"/>
        </w:rPr>
        <w:t>the cytokine i</w:t>
      </w:r>
      <w:r w:rsidR="009C5668" w:rsidRPr="00C64F4E">
        <w:rPr>
          <w:sz w:val="24"/>
          <w:szCs w:val="24"/>
        </w:rPr>
        <w:t xml:space="preserve">nterleukin -6 (IL-6)  was found to play a pivotal role in early immune activation so it was plausible to examine </w:t>
      </w:r>
      <w:r w:rsidRPr="00C64F4E">
        <w:rPr>
          <w:sz w:val="24"/>
          <w:szCs w:val="24"/>
        </w:rPr>
        <w:t>the</w:t>
      </w:r>
      <w:r w:rsidR="009C5668" w:rsidRPr="00C64F4E">
        <w:rPr>
          <w:sz w:val="24"/>
          <w:szCs w:val="24"/>
        </w:rPr>
        <w:t xml:space="preserve"> role </w:t>
      </w:r>
      <w:r w:rsidR="00450DF0" w:rsidRPr="00C64F4E">
        <w:rPr>
          <w:sz w:val="24"/>
          <w:szCs w:val="24"/>
        </w:rPr>
        <w:t xml:space="preserve">of related  </w:t>
      </w:r>
      <w:r w:rsidR="009C5668" w:rsidRPr="00C64F4E">
        <w:rPr>
          <w:sz w:val="24"/>
          <w:szCs w:val="24"/>
        </w:rPr>
        <w:t xml:space="preserve">inhibitors such as </w:t>
      </w:r>
      <w:r w:rsidR="00450DF0" w:rsidRPr="00C64F4E">
        <w:rPr>
          <w:sz w:val="24"/>
          <w:szCs w:val="24"/>
        </w:rPr>
        <w:t xml:space="preserve"> Tocilizumab</w:t>
      </w:r>
      <w:r w:rsidR="009C5668" w:rsidRPr="00C64F4E">
        <w:rPr>
          <w:sz w:val="24"/>
          <w:szCs w:val="24"/>
        </w:rPr>
        <w:t xml:space="preserve">  to explore</w:t>
      </w:r>
      <w:r w:rsidR="00866E70" w:rsidRPr="00C64F4E">
        <w:rPr>
          <w:sz w:val="24"/>
          <w:szCs w:val="24"/>
        </w:rPr>
        <w:t xml:space="preserve"> potential </w:t>
      </w:r>
      <w:r w:rsidR="009C5668" w:rsidRPr="00C64F4E">
        <w:rPr>
          <w:sz w:val="24"/>
          <w:szCs w:val="24"/>
        </w:rPr>
        <w:t xml:space="preserve"> </w:t>
      </w:r>
      <w:r w:rsidR="00450DF0" w:rsidRPr="00C64F4E">
        <w:rPr>
          <w:sz w:val="24"/>
          <w:szCs w:val="24"/>
        </w:rPr>
        <w:t>halting</w:t>
      </w:r>
      <w:r w:rsidR="00866E70" w:rsidRPr="00C64F4E">
        <w:rPr>
          <w:sz w:val="24"/>
          <w:szCs w:val="24"/>
        </w:rPr>
        <w:t xml:space="preserve"> of the </w:t>
      </w:r>
      <w:r w:rsidR="00450DF0" w:rsidRPr="00C64F4E">
        <w:rPr>
          <w:sz w:val="24"/>
          <w:szCs w:val="24"/>
        </w:rPr>
        <w:t xml:space="preserve"> harmful </w:t>
      </w:r>
      <w:r w:rsidR="009C5668" w:rsidRPr="00C64F4E">
        <w:rPr>
          <w:sz w:val="24"/>
          <w:szCs w:val="24"/>
        </w:rPr>
        <w:t xml:space="preserve">pathological consequences. </w:t>
      </w:r>
      <w:r w:rsidR="00DB4198" w:rsidRPr="00C64F4E">
        <w:rPr>
          <w:sz w:val="24"/>
          <w:szCs w:val="24"/>
        </w:rPr>
        <w:t xml:space="preserve">Tocilizumab is a recombinant humanized monoclonal antibody of the IgG1 class, that binds to soluble and membrane-bound IL-6 receptors inhibits signaling </w:t>
      </w:r>
      <w:r w:rsidR="00495108" w:rsidRPr="00C64F4E">
        <w:rPr>
          <w:sz w:val="24"/>
          <w:szCs w:val="24"/>
        </w:rPr>
        <w:t xml:space="preserve">pathways. Before the </w:t>
      </w:r>
      <w:r w:rsidR="00866E70" w:rsidRPr="00C64F4E">
        <w:rPr>
          <w:sz w:val="24"/>
          <w:szCs w:val="24"/>
        </w:rPr>
        <w:t xml:space="preserve">pandemic, </w:t>
      </w:r>
      <w:r w:rsidR="0033303B" w:rsidRPr="00C64F4E">
        <w:rPr>
          <w:sz w:val="24"/>
          <w:szCs w:val="24"/>
        </w:rPr>
        <w:t>it</w:t>
      </w:r>
      <w:r w:rsidR="00DB4198" w:rsidRPr="00C64F4E">
        <w:rPr>
          <w:sz w:val="24"/>
          <w:szCs w:val="24"/>
        </w:rPr>
        <w:t xml:space="preserve"> has been licensed to    treatment severe rheumatoid arthritis, juvenile idiopathic arthritis,</w:t>
      </w:r>
      <w:r w:rsidR="00495108" w:rsidRPr="00C64F4E">
        <w:rPr>
          <w:sz w:val="24"/>
          <w:szCs w:val="24"/>
        </w:rPr>
        <w:t xml:space="preserve"> </w:t>
      </w:r>
      <w:r w:rsidR="00DB4198" w:rsidRPr="00C64F4E">
        <w:rPr>
          <w:sz w:val="24"/>
          <w:szCs w:val="24"/>
        </w:rPr>
        <w:t>and life-threatening cytokine release syndrome induced by chimeric antigen receptor T cell therapy</w:t>
      </w:r>
      <w:r w:rsidR="00C64F4E" w:rsidRPr="00C64F4E">
        <w:rPr>
          <w:sz w:val="24"/>
          <w:szCs w:val="24"/>
        </w:rPr>
        <w:t xml:space="preserve"> </w:t>
      </w:r>
      <w:r w:rsidR="00DB4198" w:rsidRPr="00C64F4E">
        <w:rPr>
          <w:sz w:val="24"/>
          <w:szCs w:val="24"/>
        </w:rPr>
        <w:t>[</w:t>
      </w:r>
      <w:r w:rsidR="00432CA0" w:rsidRPr="00C64F4E">
        <w:rPr>
          <w:sz w:val="24"/>
          <w:szCs w:val="24"/>
        </w:rPr>
        <w:t>5</w:t>
      </w:r>
      <w:r w:rsidR="00523F9B" w:rsidRPr="00C64F4E">
        <w:rPr>
          <w:sz w:val="24"/>
          <w:szCs w:val="24"/>
        </w:rPr>
        <w:t>].</w:t>
      </w:r>
      <w:r w:rsidR="00526CDE" w:rsidRPr="00C64F4E">
        <w:rPr>
          <w:sz w:val="24"/>
          <w:szCs w:val="24"/>
        </w:rPr>
        <w:t xml:space="preserve"> </w:t>
      </w:r>
    </w:p>
    <w:p w14:paraId="168A3FD8" w14:textId="77777777" w:rsidR="00CC3454" w:rsidRPr="00C64F4E" w:rsidRDefault="00CC3454" w:rsidP="00C64F4E">
      <w:pPr>
        <w:pStyle w:val="NoSpacing"/>
        <w:bidi w:val="0"/>
        <w:rPr>
          <w:sz w:val="24"/>
          <w:szCs w:val="24"/>
        </w:rPr>
      </w:pPr>
    </w:p>
    <w:p w14:paraId="0CA33584" w14:textId="4C8C6B6C" w:rsidR="009812A6" w:rsidRPr="00C64F4E" w:rsidRDefault="00866E70" w:rsidP="00C64F4E">
      <w:pPr>
        <w:pStyle w:val="NoSpacing"/>
        <w:bidi w:val="0"/>
        <w:rPr>
          <w:sz w:val="24"/>
          <w:szCs w:val="24"/>
        </w:rPr>
      </w:pPr>
      <w:r w:rsidRPr="00C64F4E">
        <w:rPr>
          <w:sz w:val="24"/>
          <w:szCs w:val="24"/>
        </w:rPr>
        <w:t>B</w:t>
      </w:r>
      <w:r w:rsidR="00495108" w:rsidRPr="00C64F4E">
        <w:rPr>
          <w:sz w:val="24"/>
          <w:szCs w:val="24"/>
        </w:rPr>
        <w:t xml:space="preserve">asic research </w:t>
      </w:r>
      <w:r w:rsidRPr="00C64F4E">
        <w:rPr>
          <w:sz w:val="24"/>
          <w:szCs w:val="24"/>
        </w:rPr>
        <w:t xml:space="preserve">during the </w:t>
      </w:r>
      <w:r w:rsidR="00DB4198" w:rsidRPr="00C64F4E">
        <w:rPr>
          <w:sz w:val="24"/>
          <w:szCs w:val="24"/>
        </w:rPr>
        <w:t xml:space="preserve">COVID-19 </w:t>
      </w:r>
      <w:r w:rsidR="002619C1" w:rsidRPr="00C64F4E">
        <w:rPr>
          <w:sz w:val="24"/>
          <w:szCs w:val="24"/>
        </w:rPr>
        <w:t>pandemic,</w:t>
      </w:r>
      <w:r w:rsidR="00DB4198" w:rsidRPr="00C64F4E">
        <w:rPr>
          <w:sz w:val="24"/>
          <w:szCs w:val="24"/>
        </w:rPr>
        <w:t xml:space="preserve"> </w:t>
      </w:r>
      <w:r w:rsidR="00495108" w:rsidRPr="00C64F4E">
        <w:rPr>
          <w:sz w:val="24"/>
          <w:szCs w:val="24"/>
        </w:rPr>
        <w:t xml:space="preserve">led to </w:t>
      </w:r>
      <w:r w:rsidRPr="00C64F4E">
        <w:rPr>
          <w:sz w:val="24"/>
          <w:szCs w:val="24"/>
        </w:rPr>
        <w:t xml:space="preserve">repurposed therapeutic benefits  </w:t>
      </w:r>
      <w:r w:rsidR="002619C1" w:rsidRPr="00C64F4E">
        <w:rPr>
          <w:sz w:val="24"/>
          <w:szCs w:val="24"/>
        </w:rPr>
        <w:t>establish</w:t>
      </w:r>
      <w:r w:rsidRPr="00C64F4E">
        <w:rPr>
          <w:sz w:val="24"/>
          <w:szCs w:val="24"/>
        </w:rPr>
        <w:t>ed</w:t>
      </w:r>
      <w:r w:rsidR="002619C1" w:rsidRPr="00C64F4E">
        <w:rPr>
          <w:sz w:val="24"/>
          <w:szCs w:val="24"/>
        </w:rPr>
        <w:t xml:space="preserve"> </w:t>
      </w:r>
      <w:r w:rsidR="009C5668" w:rsidRPr="00C64F4E">
        <w:rPr>
          <w:sz w:val="24"/>
          <w:szCs w:val="24"/>
        </w:rPr>
        <w:t xml:space="preserve"> </w:t>
      </w:r>
      <w:r w:rsidRPr="00C64F4E">
        <w:rPr>
          <w:sz w:val="24"/>
          <w:szCs w:val="24"/>
        </w:rPr>
        <w:t xml:space="preserve">by the </w:t>
      </w:r>
      <w:r w:rsidR="009C5668" w:rsidRPr="00C64F4E">
        <w:rPr>
          <w:sz w:val="24"/>
          <w:szCs w:val="24"/>
        </w:rPr>
        <w:t xml:space="preserve"> efficacy </w:t>
      </w:r>
      <w:r w:rsidR="00250415" w:rsidRPr="00C64F4E">
        <w:rPr>
          <w:sz w:val="24"/>
          <w:szCs w:val="24"/>
        </w:rPr>
        <w:t xml:space="preserve">of the drug </w:t>
      </w:r>
      <w:r w:rsidR="009C5668" w:rsidRPr="00C64F4E">
        <w:rPr>
          <w:sz w:val="24"/>
          <w:szCs w:val="24"/>
        </w:rPr>
        <w:t xml:space="preserve">to </w:t>
      </w:r>
      <w:r w:rsidR="00450DF0" w:rsidRPr="00C64F4E">
        <w:rPr>
          <w:sz w:val="24"/>
          <w:szCs w:val="24"/>
        </w:rPr>
        <w:t xml:space="preserve">degrade immune activation including systemic </w:t>
      </w:r>
      <w:r w:rsidR="00232084" w:rsidRPr="00C64F4E">
        <w:rPr>
          <w:sz w:val="24"/>
          <w:szCs w:val="24"/>
        </w:rPr>
        <w:t>inflammation</w:t>
      </w:r>
      <w:r w:rsidRPr="00C64F4E">
        <w:rPr>
          <w:sz w:val="24"/>
          <w:szCs w:val="24"/>
        </w:rPr>
        <w:t xml:space="preserve"> which is </w:t>
      </w:r>
      <w:r w:rsidR="00232084" w:rsidRPr="00C64F4E">
        <w:rPr>
          <w:sz w:val="24"/>
          <w:szCs w:val="24"/>
        </w:rPr>
        <w:t xml:space="preserve"> </w:t>
      </w:r>
      <w:r w:rsidRPr="00C64F4E">
        <w:rPr>
          <w:sz w:val="24"/>
          <w:szCs w:val="24"/>
        </w:rPr>
        <w:t xml:space="preserve">supported by evidence from randomized clinical trials </w:t>
      </w:r>
      <w:r w:rsidR="00450DF0" w:rsidRPr="00C64F4E">
        <w:rPr>
          <w:sz w:val="24"/>
          <w:szCs w:val="24"/>
        </w:rPr>
        <w:t xml:space="preserve">in reducing associated mechanical ventilation as well as mortality outcomes </w:t>
      </w:r>
      <w:r w:rsidR="00DB4198" w:rsidRPr="00C64F4E">
        <w:rPr>
          <w:sz w:val="24"/>
          <w:szCs w:val="24"/>
        </w:rPr>
        <w:t>[</w:t>
      </w:r>
      <w:r w:rsidR="00D60B5B" w:rsidRPr="00C64F4E">
        <w:rPr>
          <w:sz w:val="24"/>
          <w:szCs w:val="24"/>
        </w:rPr>
        <w:t>6</w:t>
      </w:r>
      <w:r w:rsidR="006E7289" w:rsidRPr="00C64F4E">
        <w:rPr>
          <w:sz w:val="24"/>
          <w:szCs w:val="24"/>
        </w:rPr>
        <w:t>]</w:t>
      </w:r>
      <w:r w:rsidR="00523F9B" w:rsidRPr="00C64F4E">
        <w:rPr>
          <w:sz w:val="24"/>
          <w:szCs w:val="24"/>
        </w:rPr>
        <w:t xml:space="preserve">. </w:t>
      </w:r>
      <w:r w:rsidRPr="00C64F4E">
        <w:rPr>
          <w:sz w:val="24"/>
          <w:szCs w:val="24"/>
        </w:rPr>
        <w:t>However, e</w:t>
      </w:r>
      <w:r w:rsidR="002619C1" w:rsidRPr="00C64F4E">
        <w:rPr>
          <w:sz w:val="24"/>
          <w:szCs w:val="24"/>
        </w:rPr>
        <w:t>mergency licensing</w:t>
      </w:r>
      <w:r w:rsidRPr="00C64F4E">
        <w:rPr>
          <w:sz w:val="24"/>
          <w:szCs w:val="24"/>
        </w:rPr>
        <w:t xml:space="preserve"> </w:t>
      </w:r>
      <w:r w:rsidR="00526CDE" w:rsidRPr="00C64F4E">
        <w:rPr>
          <w:sz w:val="24"/>
          <w:szCs w:val="24"/>
        </w:rPr>
        <w:t>authorization warned</w:t>
      </w:r>
      <w:r w:rsidR="002619C1" w:rsidRPr="00C64F4E">
        <w:rPr>
          <w:sz w:val="24"/>
          <w:szCs w:val="24"/>
        </w:rPr>
        <w:t xml:space="preserve"> of precaut</w:t>
      </w:r>
      <w:r w:rsidR="00250415" w:rsidRPr="00C64F4E">
        <w:rPr>
          <w:sz w:val="24"/>
          <w:szCs w:val="24"/>
        </w:rPr>
        <w:t xml:space="preserve">ionary measure to limit usage in case of significant active diseases such as </w:t>
      </w:r>
      <w:r w:rsidR="00663E03" w:rsidRPr="00C64F4E">
        <w:rPr>
          <w:sz w:val="24"/>
          <w:szCs w:val="24"/>
        </w:rPr>
        <w:t>TB,</w:t>
      </w:r>
      <w:r w:rsidR="00250415" w:rsidRPr="00C64F4E">
        <w:rPr>
          <w:sz w:val="24"/>
          <w:szCs w:val="24"/>
        </w:rPr>
        <w:t xml:space="preserve"> infectious </w:t>
      </w:r>
      <w:r w:rsidR="00606641" w:rsidRPr="00C64F4E">
        <w:rPr>
          <w:sz w:val="24"/>
          <w:szCs w:val="24"/>
        </w:rPr>
        <w:t>hepatitis,</w:t>
      </w:r>
      <w:r w:rsidR="00250415" w:rsidRPr="00C64F4E">
        <w:rPr>
          <w:sz w:val="24"/>
          <w:szCs w:val="24"/>
        </w:rPr>
        <w:t xml:space="preserve"> or invasive fungal infections in addition to severe neutropenia with ANC &lt; </w:t>
      </w:r>
      <w:r w:rsidR="00526CDE" w:rsidRPr="00C64F4E">
        <w:rPr>
          <w:sz w:val="24"/>
          <w:szCs w:val="24"/>
        </w:rPr>
        <w:t>1000</w:t>
      </w:r>
      <w:r w:rsidR="00250415" w:rsidRPr="00C64F4E">
        <w:rPr>
          <w:sz w:val="24"/>
          <w:szCs w:val="24"/>
        </w:rPr>
        <w:t xml:space="preserve"> cells /</w:t>
      </w:r>
      <w:r w:rsidR="00F16214" w:rsidRPr="00C64F4E">
        <w:rPr>
          <w:sz w:val="24"/>
          <w:szCs w:val="24"/>
        </w:rPr>
        <w:t xml:space="preserve">uL </w:t>
      </w:r>
      <w:r w:rsidR="00526CDE" w:rsidRPr="00C64F4E">
        <w:rPr>
          <w:sz w:val="24"/>
          <w:szCs w:val="24"/>
        </w:rPr>
        <w:t>[</w:t>
      </w:r>
      <w:r w:rsidR="00D60B5B" w:rsidRPr="00C64F4E">
        <w:rPr>
          <w:sz w:val="24"/>
          <w:szCs w:val="24"/>
        </w:rPr>
        <w:t>7</w:t>
      </w:r>
      <w:r w:rsidR="00526CDE" w:rsidRPr="00C64F4E">
        <w:rPr>
          <w:sz w:val="24"/>
          <w:szCs w:val="24"/>
        </w:rPr>
        <w:t>]</w:t>
      </w:r>
      <w:r w:rsidR="00523F9B" w:rsidRPr="00C64F4E">
        <w:rPr>
          <w:sz w:val="24"/>
          <w:szCs w:val="24"/>
        </w:rPr>
        <w:t xml:space="preserve">. </w:t>
      </w:r>
      <w:r w:rsidR="009812A6" w:rsidRPr="00C64F4E">
        <w:rPr>
          <w:sz w:val="24"/>
          <w:szCs w:val="24"/>
        </w:rPr>
        <w:t xml:space="preserve"> </w:t>
      </w:r>
      <w:r w:rsidRPr="00C64F4E">
        <w:rPr>
          <w:sz w:val="24"/>
          <w:szCs w:val="24"/>
        </w:rPr>
        <w:t xml:space="preserve">This warning stems from the background history of  </w:t>
      </w:r>
      <w:r w:rsidR="00250415" w:rsidRPr="00C64F4E">
        <w:rPr>
          <w:sz w:val="24"/>
          <w:szCs w:val="24"/>
        </w:rPr>
        <w:t xml:space="preserve"> </w:t>
      </w:r>
      <w:r w:rsidR="00450DF0" w:rsidRPr="00C64F4E">
        <w:rPr>
          <w:sz w:val="24"/>
          <w:szCs w:val="24"/>
        </w:rPr>
        <w:t xml:space="preserve">biological treatment including Tocilizumab </w:t>
      </w:r>
      <w:r w:rsidRPr="00C64F4E">
        <w:rPr>
          <w:sz w:val="24"/>
          <w:szCs w:val="24"/>
        </w:rPr>
        <w:t xml:space="preserve">which </w:t>
      </w:r>
      <w:r w:rsidR="00450DF0" w:rsidRPr="00C64F4E">
        <w:rPr>
          <w:sz w:val="24"/>
          <w:szCs w:val="24"/>
        </w:rPr>
        <w:t xml:space="preserve">has been around for the past two decades to treat rheumatological and inflammatory condition such as connective tissues and </w:t>
      </w:r>
      <w:r w:rsidR="00450DF0" w:rsidRPr="00C64F4E">
        <w:rPr>
          <w:sz w:val="24"/>
          <w:szCs w:val="24"/>
        </w:rPr>
        <w:lastRenderedPageBreak/>
        <w:t>inflammatory bowe</w:t>
      </w:r>
      <w:r w:rsidR="00250415" w:rsidRPr="00C64F4E">
        <w:rPr>
          <w:sz w:val="24"/>
          <w:szCs w:val="24"/>
        </w:rPr>
        <w:t xml:space="preserve">l diseases. </w:t>
      </w:r>
      <w:r w:rsidR="00450DF0" w:rsidRPr="00C64F4E">
        <w:rPr>
          <w:sz w:val="24"/>
          <w:szCs w:val="24"/>
        </w:rPr>
        <w:t xml:space="preserve"> </w:t>
      </w:r>
      <w:r w:rsidR="00250415" w:rsidRPr="00C64F4E">
        <w:rPr>
          <w:sz w:val="24"/>
          <w:szCs w:val="24"/>
        </w:rPr>
        <w:t>Their</w:t>
      </w:r>
      <w:r w:rsidR="00450DF0" w:rsidRPr="00C64F4E">
        <w:rPr>
          <w:sz w:val="24"/>
          <w:szCs w:val="24"/>
        </w:rPr>
        <w:t xml:space="preserve"> efficacy </w:t>
      </w:r>
      <w:r w:rsidR="00250415" w:rsidRPr="00C64F4E">
        <w:rPr>
          <w:sz w:val="24"/>
          <w:szCs w:val="24"/>
        </w:rPr>
        <w:t xml:space="preserve">was balanced against </w:t>
      </w:r>
      <w:r w:rsidR="00232084" w:rsidRPr="00C64F4E">
        <w:rPr>
          <w:sz w:val="24"/>
          <w:szCs w:val="24"/>
        </w:rPr>
        <w:t xml:space="preserve">highlighted precautions of </w:t>
      </w:r>
      <w:r w:rsidR="00250415" w:rsidRPr="00C64F4E">
        <w:rPr>
          <w:sz w:val="24"/>
          <w:szCs w:val="24"/>
        </w:rPr>
        <w:t>re</w:t>
      </w:r>
      <w:r w:rsidR="00232084" w:rsidRPr="00C64F4E">
        <w:rPr>
          <w:sz w:val="24"/>
          <w:szCs w:val="24"/>
        </w:rPr>
        <w:t xml:space="preserve">activations </w:t>
      </w:r>
      <w:r w:rsidR="00BE174C" w:rsidRPr="00C64F4E">
        <w:rPr>
          <w:sz w:val="24"/>
          <w:szCs w:val="24"/>
        </w:rPr>
        <w:t xml:space="preserve">or propagation </w:t>
      </w:r>
      <w:r w:rsidR="00232084" w:rsidRPr="00C64F4E">
        <w:rPr>
          <w:sz w:val="24"/>
          <w:szCs w:val="24"/>
        </w:rPr>
        <w:t xml:space="preserve">of infections </w:t>
      </w:r>
      <w:r w:rsidR="00250415" w:rsidRPr="00C64F4E">
        <w:rPr>
          <w:sz w:val="24"/>
          <w:szCs w:val="24"/>
        </w:rPr>
        <w:t xml:space="preserve">or </w:t>
      </w:r>
      <w:r w:rsidR="00BE174C" w:rsidRPr="00C64F4E">
        <w:rPr>
          <w:sz w:val="24"/>
          <w:szCs w:val="24"/>
        </w:rPr>
        <w:t xml:space="preserve">enhanced </w:t>
      </w:r>
      <w:r w:rsidRPr="00C64F4E">
        <w:rPr>
          <w:sz w:val="24"/>
          <w:szCs w:val="24"/>
        </w:rPr>
        <w:t>susceptibility for secondary opportunistic</w:t>
      </w:r>
      <w:r w:rsidR="00250415" w:rsidRPr="00C64F4E">
        <w:rPr>
          <w:sz w:val="24"/>
          <w:szCs w:val="24"/>
        </w:rPr>
        <w:t xml:space="preserve"> </w:t>
      </w:r>
      <w:r w:rsidR="00526CDE" w:rsidRPr="00C64F4E">
        <w:rPr>
          <w:sz w:val="24"/>
          <w:szCs w:val="24"/>
        </w:rPr>
        <w:t>infections.</w:t>
      </w:r>
      <w:r w:rsidR="00232084" w:rsidRPr="00C64F4E">
        <w:rPr>
          <w:sz w:val="24"/>
          <w:szCs w:val="24"/>
        </w:rPr>
        <w:t xml:space="preserve"> </w:t>
      </w:r>
      <w:r w:rsidR="00450DF0" w:rsidRPr="00C64F4E">
        <w:rPr>
          <w:sz w:val="24"/>
          <w:szCs w:val="24"/>
        </w:rPr>
        <w:t xml:space="preserve">  </w:t>
      </w:r>
      <w:r w:rsidR="00250415" w:rsidRPr="00C64F4E">
        <w:rPr>
          <w:sz w:val="24"/>
          <w:szCs w:val="24"/>
        </w:rPr>
        <w:t>T</w:t>
      </w:r>
      <w:r w:rsidR="00232084" w:rsidRPr="00C64F4E">
        <w:rPr>
          <w:sz w:val="24"/>
          <w:szCs w:val="24"/>
        </w:rPr>
        <w:t>he</w:t>
      </w:r>
      <w:r w:rsidR="00250415" w:rsidRPr="00C64F4E">
        <w:rPr>
          <w:sz w:val="24"/>
          <w:szCs w:val="24"/>
        </w:rPr>
        <w:t>se</w:t>
      </w:r>
      <w:r w:rsidR="00232084" w:rsidRPr="00C64F4E">
        <w:rPr>
          <w:sz w:val="24"/>
          <w:szCs w:val="24"/>
        </w:rPr>
        <w:t xml:space="preserve"> </w:t>
      </w:r>
      <w:r w:rsidR="00DB4198" w:rsidRPr="00C64F4E">
        <w:rPr>
          <w:sz w:val="24"/>
          <w:szCs w:val="24"/>
        </w:rPr>
        <w:t>tangible risks</w:t>
      </w:r>
      <w:r w:rsidR="00232084" w:rsidRPr="00C64F4E">
        <w:rPr>
          <w:sz w:val="24"/>
          <w:szCs w:val="24"/>
        </w:rPr>
        <w:t xml:space="preserve"> of compromising the immune system leading to </w:t>
      </w:r>
      <w:r w:rsidRPr="00C64F4E">
        <w:rPr>
          <w:sz w:val="24"/>
          <w:szCs w:val="24"/>
        </w:rPr>
        <w:t xml:space="preserve">secondary </w:t>
      </w:r>
      <w:r w:rsidR="00232084" w:rsidRPr="00C64F4E">
        <w:rPr>
          <w:sz w:val="24"/>
          <w:szCs w:val="24"/>
        </w:rPr>
        <w:t xml:space="preserve">opportunistic infection has been </w:t>
      </w:r>
      <w:r w:rsidR="00DB4198" w:rsidRPr="00C64F4E">
        <w:rPr>
          <w:sz w:val="24"/>
          <w:szCs w:val="24"/>
        </w:rPr>
        <w:t>highlighted in</w:t>
      </w:r>
      <w:r w:rsidR="00232084" w:rsidRPr="00C64F4E">
        <w:rPr>
          <w:sz w:val="24"/>
          <w:szCs w:val="24"/>
        </w:rPr>
        <w:t xml:space="preserve"> many observational studies </w:t>
      </w:r>
      <w:r w:rsidR="00260171" w:rsidRPr="00C64F4E">
        <w:rPr>
          <w:sz w:val="24"/>
          <w:szCs w:val="24"/>
        </w:rPr>
        <w:t xml:space="preserve">being </w:t>
      </w:r>
      <w:r w:rsidR="00BE174C" w:rsidRPr="00C64F4E">
        <w:rPr>
          <w:sz w:val="24"/>
          <w:szCs w:val="24"/>
        </w:rPr>
        <w:t>variable with</w:t>
      </w:r>
      <w:r w:rsidR="00260171" w:rsidRPr="00C64F4E">
        <w:rPr>
          <w:sz w:val="24"/>
          <w:szCs w:val="24"/>
        </w:rPr>
        <w:t xml:space="preserve"> </w:t>
      </w:r>
      <w:r w:rsidR="00526CDE" w:rsidRPr="00C64F4E">
        <w:rPr>
          <w:sz w:val="24"/>
          <w:szCs w:val="24"/>
        </w:rPr>
        <w:t xml:space="preserve">the </w:t>
      </w:r>
      <w:r w:rsidR="0078416C" w:rsidRPr="00C64F4E">
        <w:rPr>
          <w:sz w:val="24"/>
          <w:szCs w:val="24"/>
        </w:rPr>
        <w:t>different biological</w:t>
      </w:r>
      <w:r w:rsidR="00260171" w:rsidRPr="00C64F4E">
        <w:rPr>
          <w:sz w:val="24"/>
          <w:szCs w:val="24"/>
        </w:rPr>
        <w:t xml:space="preserve"> </w:t>
      </w:r>
      <w:r w:rsidR="0078416C" w:rsidRPr="00C64F4E">
        <w:rPr>
          <w:sz w:val="24"/>
          <w:szCs w:val="24"/>
        </w:rPr>
        <w:t>agents [</w:t>
      </w:r>
      <w:r w:rsidR="00D60B5B" w:rsidRPr="00C64F4E">
        <w:rPr>
          <w:sz w:val="24"/>
          <w:szCs w:val="24"/>
        </w:rPr>
        <w:t>8,9</w:t>
      </w:r>
      <w:r w:rsidR="00663E03" w:rsidRPr="00C64F4E">
        <w:rPr>
          <w:sz w:val="24"/>
          <w:szCs w:val="24"/>
        </w:rPr>
        <w:t>].</w:t>
      </w:r>
      <w:r w:rsidR="005E18CC" w:rsidRPr="00C64F4E">
        <w:rPr>
          <w:sz w:val="24"/>
          <w:szCs w:val="24"/>
        </w:rPr>
        <w:t xml:space="preserve"> </w:t>
      </w:r>
    </w:p>
    <w:p w14:paraId="0E6DC8BF" w14:textId="4DA725F7" w:rsidR="00F30E0B" w:rsidRPr="00C64F4E" w:rsidRDefault="00DB4198" w:rsidP="00C64F4E">
      <w:pPr>
        <w:pStyle w:val="NoSpacing"/>
        <w:bidi w:val="0"/>
        <w:rPr>
          <w:sz w:val="24"/>
          <w:szCs w:val="24"/>
        </w:rPr>
      </w:pPr>
      <w:r w:rsidRPr="00C64F4E">
        <w:rPr>
          <w:sz w:val="24"/>
          <w:szCs w:val="24"/>
        </w:rPr>
        <w:t xml:space="preserve">While balancing </w:t>
      </w:r>
      <w:r w:rsidR="001C7E85" w:rsidRPr="00C64F4E">
        <w:rPr>
          <w:sz w:val="24"/>
          <w:szCs w:val="24"/>
        </w:rPr>
        <w:t>the</w:t>
      </w:r>
      <w:r w:rsidRPr="00C64F4E">
        <w:rPr>
          <w:sz w:val="24"/>
          <w:szCs w:val="24"/>
        </w:rPr>
        <w:t xml:space="preserve"> effective</w:t>
      </w:r>
      <w:r w:rsidR="001C7E85" w:rsidRPr="00C64F4E">
        <w:rPr>
          <w:sz w:val="24"/>
          <w:szCs w:val="24"/>
        </w:rPr>
        <w:t xml:space="preserve"> benefits </w:t>
      </w:r>
      <w:r w:rsidRPr="00C64F4E">
        <w:rPr>
          <w:sz w:val="24"/>
          <w:szCs w:val="24"/>
        </w:rPr>
        <w:t>of</w:t>
      </w:r>
      <w:r w:rsidR="001C7E85" w:rsidRPr="00C64F4E">
        <w:rPr>
          <w:sz w:val="24"/>
          <w:szCs w:val="24"/>
        </w:rPr>
        <w:t xml:space="preserve"> Tocilizumab</w:t>
      </w:r>
      <w:r w:rsidRPr="00C64F4E">
        <w:rPr>
          <w:sz w:val="24"/>
          <w:szCs w:val="24"/>
        </w:rPr>
        <w:t xml:space="preserve"> </w:t>
      </w:r>
      <w:r w:rsidR="001C7E85" w:rsidRPr="00C64F4E">
        <w:rPr>
          <w:sz w:val="24"/>
          <w:szCs w:val="24"/>
        </w:rPr>
        <w:t>therapy during COVID</w:t>
      </w:r>
      <w:r w:rsidRPr="00C64F4E">
        <w:rPr>
          <w:sz w:val="24"/>
          <w:szCs w:val="24"/>
        </w:rPr>
        <w:t xml:space="preserve">-19 </w:t>
      </w:r>
      <w:r w:rsidR="001C7E85" w:rsidRPr="00C64F4E">
        <w:rPr>
          <w:sz w:val="24"/>
          <w:szCs w:val="24"/>
        </w:rPr>
        <w:t>disease</w:t>
      </w:r>
      <w:r w:rsidRPr="00C64F4E">
        <w:rPr>
          <w:sz w:val="24"/>
          <w:szCs w:val="24"/>
        </w:rPr>
        <w:t xml:space="preserve"> specially </w:t>
      </w:r>
      <w:r w:rsidR="0033303B" w:rsidRPr="00C64F4E">
        <w:rPr>
          <w:sz w:val="24"/>
          <w:szCs w:val="24"/>
        </w:rPr>
        <w:t>CSS,</w:t>
      </w:r>
      <w:r w:rsidR="001C7E85" w:rsidRPr="00C64F4E">
        <w:rPr>
          <w:sz w:val="24"/>
          <w:szCs w:val="24"/>
        </w:rPr>
        <w:t xml:space="preserve"> </w:t>
      </w:r>
      <w:r w:rsidR="00495108" w:rsidRPr="00C64F4E">
        <w:rPr>
          <w:sz w:val="24"/>
          <w:szCs w:val="24"/>
        </w:rPr>
        <w:t>its</w:t>
      </w:r>
      <w:r w:rsidR="001C7E85" w:rsidRPr="00C64F4E">
        <w:rPr>
          <w:sz w:val="24"/>
          <w:szCs w:val="24"/>
        </w:rPr>
        <w:t xml:space="preserve"> potential risks including precautions in patients with profound neutropenia </w:t>
      </w:r>
      <w:r w:rsidR="0077296F" w:rsidRPr="00C64F4E">
        <w:rPr>
          <w:sz w:val="24"/>
          <w:szCs w:val="24"/>
        </w:rPr>
        <w:t>must</w:t>
      </w:r>
      <w:r w:rsidR="001C7E85" w:rsidRPr="00C64F4E">
        <w:rPr>
          <w:sz w:val="24"/>
          <w:szCs w:val="24"/>
        </w:rPr>
        <w:t xml:space="preserve"> be carefully weighed. Moreover, such conditions </w:t>
      </w:r>
      <w:r w:rsidR="00495108" w:rsidRPr="00C64F4E">
        <w:rPr>
          <w:sz w:val="24"/>
          <w:szCs w:val="24"/>
        </w:rPr>
        <w:t>have</w:t>
      </w:r>
      <w:r w:rsidR="001C7E85" w:rsidRPr="00C64F4E">
        <w:rPr>
          <w:sz w:val="24"/>
          <w:szCs w:val="24"/>
        </w:rPr>
        <w:t xml:space="preserve"> been highlighted as an indication to withheld or discontinue Tocilizumab therapy. </w:t>
      </w:r>
      <w:r w:rsidR="00495108" w:rsidRPr="00C64F4E">
        <w:rPr>
          <w:sz w:val="24"/>
          <w:szCs w:val="24"/>
        </w:rPr>
        <w:t>Nevertheless,</w:t>
      </w:r>
      <w:r w:rsidR="001C7E85" w:rsidRPr="00C64F4E">
        <w:rPr>
          <w:sz w:val="24"/>
          <w:szCs w:val="24"/>
        </w:rPr>
        <w:t xml:space="preserve"> experience during the pandemic circumvent</w:t>
      </w:r>
      <w:r w:rsidR="00BE174C" w:rsidRPr="00C64F4E">
        <w:rPr>
          <w:sz w:val="24"/>
          <w:szCs w:val="24"/>
        </w:rPr>
        <w:t>ed</w:t>
      </w:r>
      <w:r w:rsidR="001C7E85" w:rsidRPr="00C64F4E">
        <w:rPr>
          <w:sz w:val="24"/>
          <w:szCs w:val="24"/>
        </w:rPr>
        <w:t xml:space="preserve"> many restrictions and precautions in favor of safe patients’ </w:t>
      </w:r>
      <w:r w:rsidR="0077296F" w:rsidRPr="00C64F4E">
        <w:rPr>
          <w:sz w:val="24"/>
          <w:szCs w:val="24"/>
        </w:rPr>
        <w:t>outcomes.</w:t>
      </w:r>
      <w:r w:rsidR="001C7E85" w:rsidRPr="00C64F4E">
        <w:rPr>
          <w:sz w:val="24"/>
          <w:szCs w:val="24"/>
        </w:rPr>
        <w:t xml:space="preserve">    </w:t>
      </w:r>
    </w:p>
    <w:p w14:paraId="2E2DE8B4" w14:textId="5C77E718" w:rsidR="00F30E0B" w:rsidRPr="00C64F4E" w:rsidRDefault="00F30E0B" w:rsidP="00C64F4E">
      <w:pPr>
        <w:pStyle w:val="NoSpacing"/>
        <w:bidi w:val="0"/>
      </w:pPr>
      <w:r w:rsidRPr="00C64F4E">
        <w:t xml:space="preserve">Therefore, </w:t>
      </w:r>
      <w:r w:rsidR="001C7E85" w:rsidRPr="00C64F4E">
        <w:t xml:space="preserve">we outlay </w:t>
      </w:r>
      <w:r w:rsidR="00495108" w:rsidRPr="00C64F4E">
        <w:t xml:space="preserve">the </w:t>
      </w:r>
      <w:r w:rsidR="0077296F" w:rsidRPr="00C64F4E">
        <w:t>clinical dilemma</w:t>
      </w:r>
      <w:r w:rsidR="001C7E85" w:rsidRPr="00C64F4E">
        <w:t xml:space="preserve"> </w:t>
      </w:r>
      <w:r w:rsidRPr="00C64F4E">
        <w:t>of us</w:t>
      </w:r>
      <w:r w:rsidR="001C7E85" w:rsidRPr="00C64F4E">
        <w:t>ing</w:t>
      </w:r>
      <w:r w:rsidRPr="00C64F4E">
        <w:t xml:space="preserve"> Tocilizumab </w:t>
      </w:r>
      <w:r w:rsidR="001C7E85" w:rsidRPr="00C64F4E">
        <w:t>therapy in a patient with severe COVID-19 and active C</w:t>
      </w:r>
      <w:r w:rsidR="00F16214" w:rsidRPr="00C64F4E">
        <w:t>S</w:t>
      </w:r>
      <w:r w:rsidR="001C7E85" w:rsidRPr="00C64F4E">
        <w:t xml:space="preserve">S with potential fears of </w:t>
      </w:r>
      <w:r w:rsidR="00260171" w:rsidRPr="00C64F4E">
        <w:t>disease progression, in</w:t>
      </w:r>
      <w:r w:rsidR="001C7E85" w:rsidRPr="00C64F4E">
        <w:t xml:space="preserve"> the context of profound </w:t>
      </w:r>
      <w:r w:rsidR="00663E03" w:rsidRPr="00C64F4E">
        <w:t>clinical neutropenia</w:t>
      </w:r>
      <w:r w:rsidR="001C7E85" w:rsidRPr="00C64F4E">
        <w:t xml:space="preserve">. On risk benefits evaluation the patient was treated with the </w:t>
      </w:r>
      <w:r w:rsidR="001B776B" w:rsidRPr="00C64F4E">
        <w:t>effective therapy but covered with G</w:t>
      </w:r>
      <w:r w:rsidR="00F2134C" w:rsidRPr="00C64F4E">
        <w:t>-</w:t>
      </w:r>
      <w:r w:rsidR="001B776B" w:rsidRPr="00C64F4E">
        <w:t xml:space="preserve">CSF (Filgrastim) to safe outcome. </w:t>
      </w:r>
      <w:r w:rsidR="001C7E85" w:rsidRPr="00C64F4E">
        <w:t xml:space="preserve">  </w:t>
      </w:r>
    </w:p>
    <w:p w14:paraId="45BBB465" w14:textId="6CE1B2CF" w:rsidR="00F16214" w:rsidRPr="00C64F4E" w:rsidRDefault="00F16214" w:rsidP="00C64F4E">
      <w:pPr>
        <w:pStyle w:val="NoSpacing"/>
        <w:bidi w:val="0"/>
      </w:pPr>
    </w:p>
    <w:p w14:paraId="29959BB2" w14:textId="1A3A60FD" w:rsidR="00F16214" w:rsidRDefault="00F16214" w:rsidP="00F16214">
      <w:pPr>
        <w:pStyle w:val="NoSpacing"/>
        <w:bidi w:val="0"/>
        <w:rPr>
          <w:rFonts w:eastAsia="Shaker2Lancet-Regular" w:cstheme="minorHAnsi"/>
          <w:sz w:val="28"/>
          <w:szCs w:val="28"/>
        </w:rPr>
      </w:pPr>
    </w:p>
    <w:p w14:paraId="4CA78A16" w14:textId="6973AD28" w:rsidR="00F16214" w:rsidRDefault="00F16214" w:rsidP="00F16214">
      <w:pPr>
        <w:pStyle w:val="NoSpacing"/>
        <w:bidi w:val="0"/>
        <w:rPr>
          <w:rFonts w:eastAsia="Shaker2Lancet-Regular" w:cstheme="minorHAnsi"/>
          <w:sz w:val="28"/>
          <w:szCs w:val="28"/>
        </w:rPr>
      </w:pPr>
    </w:p>
    <w:p w14:paraId="15C6CC92" w14:textId="293A9B48" w:rsidR="00F16214" w:rsidRDefault="00F16214" w:rsidP="00F16214">
      <w:pPr>
        <w:pStyle w:val="NoSpacing"/>
        <w:bidi w:val="0"/>
        <w:rPr>
          <w:rFonts w:eastAsia="Shaker2Lancet-Regular" w:cstheme="minorHAnsi"/>
          <w:sz w:val="28"/>
          <w:szCs w:val="28"/>
        </w:rPr>
      </w:pPr>
    </w:p>
    <w:p w14:paraId="4863E788" w14:textId="1001D07D" w:rsidR="00F16214" w:rsidRDefault="00F16214" w:rsidP="00F16214">
      <w:pPr>
        <w:pStyle w:val="NoSpacing"/>
        <w:bidi w:val="0"/>
        <w:rPr>
          <w:rFonts w:eastAsia="Shaker2Lancet-Regular" w:cstheme="minorHAnsi"/>
          <w:sz w:val="28"/>
          <w:szCs w:val="28"/>
        </w:rPr>
      </w:pPr>
    </w:p>
    <w:p w14:paraId="30A815AA" w14:textId="713E00CE" w:rsidR="00F16214" w:rsidRDefault="00F16214" w:rsidP="00F16214">
      <w:pPr>
        <w:pStyle w:val="NoSpacing"/>
        <w:bidi w:val="0"/>
        <w:rPr>
          <w:rFonts w:eastAsia="Shaker2Lancet-Regular" w:cstheme="minorHAnsi"/>
          <w:sz w:val="28"/>
          <w:szCs w:val="28"/>
        </w:rPr>
      </w:pPr>
    </w:p>
    <w:p w14:paraId="72B1E3AE" w14:textId="36A27385" w:rsidR="00F16214" w:rsidRDefault="00F16214" w:rsidP="00F16214">
      <w:pPr>
        <w:pStyle w:val="NoSpacing"/>
        <w:bidi w:val="0"/>
        <w:rPr>
          <w:rFonts w:eastAsia="Shaker2Lancet-Regular" w:cstheme="minorHAnsi"/>
          <w:sz w:val="28"/>
          <w:szCs w:val="28"/>
        </w:rPr>
      </w:pPr>
    </w:p>
    <w:p w14:paraId="11368E42" w14:textId="1AEE1C44" w:rsidR="00F16214" w:rsidRDefault="00F16214" w:rsidP="00F16214">
      <w:pPr>
        <w:pStyle w:val="NoSpacing"/>
        <w:bidi w:val="0"/>
        <w:rPr>
          <w:rFonts w:eastAsia="Shaker2Lancet-Regular" w:cstheme="minorHAnsi"/>
          <w:sz w:val="28"/>
          <w:szCs w:val="28"/>
        </w:rPr>
      </w:pPr>
    </w:p>
    <w:p w14:paraId="3BBF2529" w14:textId="6C5F2861" w:rsidR="00F16214" w:rsidRDefault="00F16214" w:rsidP="00F16214">
      <w:pPr>
        <w:pStyle w:val="NoSpacing"/>
        <w:bidi w:val="0"/>
        <w:rPr>
          <w:rFonts w:eastAsia="Shaker2Lancet-Regular" w:cstheme="minorHAnsi"/>
          <w:sz w:val="28"/>
          <w:szCs w:val="28"/>
        </w:rPr>
      </w:pPr>
    </w:p>
    <w:p w14:paraId="199D0096" w14:textId="5024FA54" w:rsidR="00F16214" w:rsidRDefault="00F16214" w:rsidP="00F16214">
      <w:pPr>
        <w:pStyle w:val="NoSpacing"/>
        <w:bidi w:val="0"/>
        <w:rPr>
          <w:rFonts w:eastAsia="Shaker2Lancet-Regular" w:cstheme="minorHAnsi"/>
          <w:sz w:val="28"/>
          <w:szCs w:val="28"/>
        </w:rPr>
      </w:pPr>
    </w:p>
    <w:p w14:paraId="35A45443" w14:textId="687F3584" w:rsidR="00F16214" w:rsidRDefault="00F16214" w:rsidP="00F16214">
      <w:pPr>
        <w:pStyle w:val="NoSpacing"/>
        <w:bidi w:val="0"/>
        <w:rPr>
          <w:rFonts w:eastAsia="Shaker2Lancet-Regular" w:cstheme="minorHAnsi"/>
          <w:sz w:val="28"/>
          <w:szCs w:val="28"/>
        </w:rPr>
      </w:pPr>
    </w:p>
    <w:p w14:paraId="733501F6" w14:textId="53D28B3B" w:rsidR="00F16214" w:rsidRDefault="00F16214" w:rsidP="00F16214">
      <w:pPr>
        <w:pStyle w:val="NoSpacing"/>
        <w:bidi w:val="0"/>
        <w:rPr>
          <w:rFonts w:eastAsia="Shaker2Lancet-Regular" w:cstheme="minorHAnsi"/>
          <w:sz w:val="28"/>
          <w:szCs w:val="28"/>
        </w:rPr>
      </w:pPr>
    </w:p>
    <w:p w14:paraId="4F344687" w14:textId="352129DE" w:rsidR="00F16214" w:rsidRDefault="00F16214" w:rsidP="00F16214">
      <w:pPr>
        <w:pStyle w:val="NoSpacing"/>
        <w:bidi w:val="0"/>
        <w:rPr>
          <w:sz w:val="28"/>
          <w:szCs w:val="28"/>
        </w:rPr>
      </w:pPr>
    </w:p>
    <w:p w14:paraId="54500AC1" w14:textId="1ECE6A45" w:rsidR="00C64F4E" w:rsidRDefault="00C64F4E" w:rsidP="00C64F4E">
      <w:pPr>
        <w:pStyle w:val="NoSpacing"/>
        <w:bidi w:val="0"/>
        <w:rPr>
          <w:sz w:val="28"/>
          <w:szCs w:val="28"/>
        </w:rPr>
      </w:pPr>
    </w:p>
    <w:p w14:paraId="6FCFA531" w14:textId="797473AC" w:rsidR="00C64F4E" w:rsidRDefault="00C64F4E" w:rsidP="00C64F4E">
      <w:pPr>
        <w:pStyle w:val="NoSpacing"/>
        <w:bidi w:val="0"/>
        <w:rPr>
          <w:sz w:val="28"/>
          <w:szCs w:val="28"/>
        </w:rPr>
      </w:pPr>
    </w:p>
    <w:p w14:paraId="038680E1" w14:textId="1A5C699F" w:rsidR="00C64F4E" w:rsidRDefault="00C64F4E" w:rsidP="00C64F4E">
      <w:pPr>
        <w:pStyle w:val="NoSpacing"/>
        <w:bidi w:val="0"/>
        <w:rPr>
          <w:sz w:val="28"/>
          <w:szCs w:val="28"/>
        </w:rPr>
      </w:pPr>
    </w:p>
    <w:p w14:paraId="664CA8F0" w14:textId="4F53FE47" w:rsidR="00C64F4E" w:rsidRDefault="00C64F4E" w:rsidP="00C64F4E">
      <w:pPr>
        <w:pStyle w:val="NoSpacing"/>
        <w:bidi w:val="0"/>
        <w:rPr>
          <w:sz w:val="28"/>
          <w:szCs w:val="28"/>
        </w:rPr>
      </w:pPr>
    </w:p>
    <w:p w14:paraId="644EB698" w14:textId="786BAC13" w:rsidR="00C64F4E" w:rsidRDefault="00C64F4E" w:rsidP="00C64F4E">
      <w:pPr>
        <w:pStyle w:val="NoSpacing"/>
        <w:bidi w:val="0"/>
        <w:rPr>
          <w:sz w:val="28"/>
          <w:szCs w:val="28"/>
        </w:rPr>
      </w:pPr>
    </w:p>
    <w:p w14:paraId="55B54C0A" w14:textId="3FA28DD7" w:rsidR="00C64F4E" w:rsidRDefault="00C64F4E" w:rsidP="00C64F4E">
      <w:pPr>
        <w:pStyle w:val="NoSpacing"/>
        <w:bidi w:val="0"/>
        <w:rPr>
          <w:sz w:val="28"/>
          <w:szCs w:val="28"/>
        </w:rPr>
      </w:pPr>
    </w:p>
    <w:p w14:paraId="5A283597" w14:textId="40257E56" w:rsidR="00C64F4E" w:rsidRDefault="00C64F4E" w:rsidP="00C64F4E">
      <w:pPr>
        <w:pStyle w:val="NoSpacing"/>
        <w:bidi w:val="0"/>
        <w:rPr>
          <w:sz w:val="28"/>
          <w:szCs w:val="28"/>
        </w:rPr>
      </w:pPr>
    </w:p>
    <w:p w14:paraId="796C7AFC" w14:textId="74692738" w:rsidR="00C64F4E" w:rsidRDefault="00C64F4E" w:rsidP="00C64F4E">
      <w:pPr>
        <w:pStyle w:val="NoSpacing"/>
        <w:bidi w:val="0"/>
        <w:rPr>
          <w:sz w:val="28"/>
          <w:szCs w:val="28"/>
        </w:rPr>
      </w:pPr>
    </w:p>
    <w:p w14:paraId="0112855C" w14:textId="78C6C67D" w:rsidR="00C64F4E" w:rsidRDefault="00C64F4E" w:rsidP="00C64F4E">
      <w:pPr>
        <w:pStyle w:val="NoSpacing"/>
        <w:bidi w:val="0"/>
        <w:rPr>
          <w:sz w:val="28"/>
          <w:szCs w:val="28"/>
        </w:rPr>
      </w:pPr>
    </w:p>
    <w:p w14:paraId="7CB9B3F3" w14:textId="57AB8EDF" w:rsidR="00C64F4E" w:rsidRDefault="00C64F4E" w:rsidP="00C64F4E">
      <w:pPr>
        <w:pStyle w:val="NoSpacing"/>
        <w:bidi w:val="0"/>
        <w:rPr>
          <w:sz w:val="28"/>
          <w:szCs w:val="28"/>
        </w:rPr>
      </w:pPr>
    </w:p>
    <w:p w14:paraId="6B94EE2E" w14:textId="742A1961" w:rsidR="00C64F4E" w:rsidRDefault="00C64F4E" w:rsidP="00C64F4E">
      <w:pPr>
        <w:pStyle w:val="NoSpacing"/>
        <w:bidi w:val="0"/>
        <w:rPr>
          <w:sz w:val="28"/>
          <w:szCs w:val="28"/>
        </w:rPr>
      </w:pPr>
    </w:p>
    <w:p w14:paraId="0E1C8259" w14:textId="4FDA42E2" w:rsidR="00C64F4E" w:rsidRDefault="00C64F4E" w:rsidP="00C64F4E">
      <w:pPr>
        <w:pStyle w:val="NoSpacing"/>
        <w:bidi w:val="0"/>
        <w:rPr>
          <w:sz w:val="28"/>
          <w:szCs w:val="28"/>
        </w:rPr>
      </w:pPr>
    </w:p>
    <w:p w14:paraId="0344A73B" w14:textId="17A1D1EE" w:rsidR="00C64F4E" w:rsidRDefault="00C64F4E" w:rsidP="00C64F4E">
      <w:pPr>
        <w:pStyle w:val="NoSpacing"/>
        <w:bidi w:val="0"/>
        <w:rPr>
          <w:sz w:val="28"/>
          <w:szCs w:val="28"/>
        </w:rPr>
      </w:pPr>
    </w:p>
    <w:p w14:paraId="35FF62C4" w14:textId="1D3B932B" w:rsidR="00C64F4E" w:rsidRDefault="00C64F4E" w:rsidP="00C64F4E">
      <w:pPr>
        <w:pStyle w:val="NoSpacing"/>
        <w:bidi w:val="0"/>
        <w:rPr>
          <w:sz w:val="28"/>
          <w:szCs w:val="28"/>
        </w:rPr>
      </w:pPr>
    </w:p>
    <w:p w14:paraId="1189929E" w14:textId="56A5E46B" w:rsidR="00C64F4E" w:rsidRDefault="00C64F4E" w:rsidP="00C64F4E">
      <w:pPr>
        <w:pStyle w:val="NoSpacing"/>
        <w:bidi w:val="0"/>
        <w:rPr>
          <w:sz w:val="28"/>
          <w:szCs w:val="28"/>
        </w:rPr>
      </w:pPr>
    </w:p>
    <w:p w14:paraId="3538BECE" w14:textId="77777777" w:rsidR="00606641" w:rsidRDefault="00606641" w:rsidP="00606641">
      <w:pPr>
        <w:pStyle w:val="NoSpacing"/>
        <w:bidi w:val="0"/>
        <w:rPr>
          <w:sz w:val="28"/>
          <w:szCs w:val="28"/>
        </w:rPr>
      </w:pPr>
    </w:p>
    <w:p w14:paraId="45486272" w14:textId="77777777" w:rsidR="00C64F4E" w:rsidRPr="00F16214" w:rsidRDefault="00C64F4E" w:rsidP="00C64F4E">
      <w:pPr>
        <w:pStyle w:val="NoSpacing"/>
        <w:bidi w:val="0"/>
        <w:rPr>
          <w:sz w:val="28"/>
          <w:szCs w:val="28"/>
        </w:rPr>
      </w:pPr>
    </w:p>
    <w:p w14:paraId="6BC497C5" w14:textId="712BB88D" w:rsidR="00260171" w:rsidRPr="00C64F4E" w:rsidRDefault="00260171" w:rsidP="00F16214">
      <w:pPr>
        <w:pStyle w:val="NoSpacing"/>
        <w:bidi w:val="0"/>
        <w:rPr>
          <w:b/>
          <w:bCs/>
          <w:sz w:val="24"/>
          <w:szCs w:val="24"/>
        </w:rPr>
      </w:pPr>
      <w:r w:rsidRPr="00C64F4E">
        <w:rPr>
          <w:rFonts w:hint="cs"/>
          <w:b/>
          <w:bCs/>
          <w:sz w:val="24"/>
          <w:szCs w:val="24"/>
        </w:rPr>
        <w:t>C</w:t>
      </w:r>
      <w:r w:rsidRPr="00C64F4E">
        <w:rPr>
          <w:b/>
          <w:bCs/>
          <w:sz w:val="24"/>
          <w:szCs w:val="24"/>
        </w:rPr>
        <w:t xml:space="preserve">ase Report: </w:t>
      </w:r>
    </w:p>
    <w:p w14:paraId="1B80EE2B" w14:textId="21F07707" w:rsidR="00F30E0B" w:rsidRPr="00C64F4E" w:rsidRDefault="00495108" w:rsidP="00C64F4E">
      <w:pPr>
        <w:pStyle w:val="NoSpacing"/>
        <w:bidi w:val="0"/>
        <w:rPr>
          <w:sz w:val="24"/>
          <w:szCs w:val="24"/>
        </w:rPr>
      </w:pPr>
      <w:r w:rsidRPr="00C64F4E">
        <w:rPr>
          <w:sz w:val="24"/>
          <w:szCs w:val="24"/>
        </w:rPr>
        <w:t>A</w:t>
      </w:r>
      <w:r w:rsidR="00F30E0B" w:rsidRPr="00C64F4E">
        <w:rPr>
          <w:sz w:val="24"/>
          <w:szCs w:val="24"/>
        </w:rPr>
        <w:t xml:space="preserve"> 39-year-old male</w:t>
      </w:r>
      <w:r w:rsidRPr="00C64F4E">
        <w:rPr>
          <w:sz w:val="24"/>
          <w:szCs w:val="24"/>
        </w:rPr>
        <w:t xml:space="preserve"> patient with </w:t>
      </w:r>
      <w:r w:rsidR="00260171" w:rsidRPr="00C64F4E">
        <w:rPr>
          <w:sz w:val="24"/>
          <w:szCs w:val="24"/>
        </w:rPr>
        <w:t>a background</w:t>
      </w:r>
      <w:r w:rsidR="00A150FE" w:rsidRPr="00C64F4E">
        <w:rPr>
          <w:sz w:val="24"/>
          <w:szCs w:val="24"/>
        </w:rPr>
        <w:t xml:space="preserve"> </w:t>
      </w:r>
      <w:r w:rsidR="00F30E0B" w:rsidRPr="00C64F4E">
        <w:rPr>
          <w:sz w:val="24"/>
          <w:szCs w:val="24"/>
        </w:rPr>
        <w:t xml:space="preserve">history of </w:t>
      </w:r>
      <w:r w:rsidR="00A150FE" w:rsidRPr="00C64F4E">
        <w:rPr>
          <w:sz w:val="24"/>
          <w:szCs w:val="24"/>
        </w:rPr>
        <w:t xml:space="preserve">probable autoimmune disease leading to </w:t>
      </w:r>
      <w:r w:rsidR="00F30E0B" w:rsidRPr="00C64F4E">
        <w:rPr>
          <w:sz w:val="24"/>
          <w:szCs w:val="24"/>
        </w:rPr>
        <w:t xml:space="preserve">undifferentiated scleritis was maintained </w:t>
      </w:r>
      <w:r w:rsidR="00A150FE" w:rsidRPr="00C64F4E">
        <w:rPr>
          <w:sz w:val="24"/>
          <w:szCs w:val="24"/>
        </w:rPr>
        <w:t xml:space="preserve">by his ophthalmologist </w:t>
      </w:r>
      <w:r w:rsidR="00F30E0B" w:rsidRPr="00C64F4E">
        <w:rPr>
          <w:sz w:val="24"/>
          <w:szCs w:val="24"/>
        </w:rPr>
        <w:t xml:space="preserve">on azathioprine and rituximab </w:t>
      </w:r>
      <w:r w:rsidR="00A150FE" w:rsidRPr="00C64F4E">
        <w:rPr>
          <w:sz w:val="24"/>
          <w:szCs w:val="24"/>
        </w:rPr>
        <w:t xml:space="preserve">therapy with stable disease for six </w:t>
      </w:r>
      <w:r w:rsidR="0033303B" w:rsidRPr="00C64F4E">
        <w:rPr>
          <w:sz w:val="24"/>
          <w:szCs w:val="24"/>
        </w:rPr>
        <w:t>years.</w:t>
      </w:r>
      <w:r w:rsidR="00F30E0B" w:rsidRPr="00C64F4E">
        <w:rPr>
          <w:sz w:val="24"/>
          <w:szCs w:val="24"/>
        </w:rPr>
        <w:t xml:space="preserve"> </w:t>
      </w:r>
      <w:r w:rsidR="00A150FE" w:rsidRPr="00C64F4E">
        <w:rPr>
          <w:sz w:val="24"/>
          <w:szCs w:val="24"/>
        </w:rPr>
        <w:t xml:space="preserve">The patient presented with typical respiratory and systemic symptoms of COVID-19 disease including </w:t>
      </w:r>
      <w:r w:rsidR="00F30E0B" w:rsidRPr="00C64F4E">
        <w:rPr>
          <w:sz w:val="24"/>
          <w:szCs w:val="24"/>
        </w:rPr>
        <w:t xml:space="preserve">fever, dry cough, headache, </w:t>
      </w:r>
      <w:r w:rsidR="00A150FE" w:rsidRPr="00C64F4E">
        <w:rPr>
          <w:sz w:val="24"/>
          <w:szCs w:val="24"/>
        </w:rPr>
        <w:t xml:space="preserve">tiredness associated with </w:t>
      </w:r>
      <w:r w:rsidR="00F30E0B" w:rsidRPr="00C64F4E">
        <w:rPr>
          <w:sz w:val="24"/>
          <w:szCs w:val="24"/>
        </w:rPr>
        <w:t xml:space="preserve">nausea </w:t>
      </w:r>
      <w:r w:rsidR="00260171" w:rsidRPr="00C64F4E">
        <w:rPr>
          <w:sz w:val="24"/>
          <w:szCs w:val="24"/>
        </w:rPr>
        <w:t xml:space="preserve">of </w:t>
      </w:r>
      <w:r w:rsidR="00A150FE" w:rsidRPr="00C64F4E">
        <w:rPr>
          <w:sz w:val="24"/>
          <w:szCs w:val="24"/>
        </w:rPr>
        <w:t xml:space="preserve">one-week duration. </w:t>
      </w:r>
    </w:p>
    <w:p w14:paraId="587ED8C2" w14:textId="63030175" w:rsidR="00260171" w:rsidRPr="00C64F4E" w:rsidRDefault="00260171" w:rsidP="00F16214">
      <w:pPr>
        <w:pStyle w:val="NoSpacing"/>
        <w:bidi w:val="0"/>
        <w:rPr>
          <w:sz w:val="24"/>
          <w:szCs w:val="24"/>
        </w:rPr>
      </w:pPr>
      <w:r w:rsidRPr="00C64F4E">
        <w:rPr>
          <w:sz w:val="24"/>
          <w:szCs w:val="24"/>
        </w:rPr>
        <w:t>Prescribed medications</w:t>
      </w:r>
      <w:r w:rsidR="00A150FE" w:rsidRPr="00C64F4E">
        <w:rPr>
          <w:sz w:val="24"/>
          <w:szCs w:val="24"/>
        </w:rPr>
        <w:t xml:space="preserve"> included azathioprine</w:t>
      </w:r>
      <w:r w:rsidR="00F30E0B" w:rsidRPr="00C64F4E">
        <w:rPr>
          <w:sz w:val="24"/>
          <w:szCs w:val="24"/>
        </w:rPr>
        <w:t xml:space="preserve"> 150 mg daily and </w:t>
      </w:r>
      <w:r w:rsidR="00A150FE" w:rsidRPr="00C64F4E">
        <w:rPr>
          <w:sz w:val="24"/>
          <w:szCs w:val="24"/>
        </w:rPr>
        <w:t xml:space="preserve">parenteral </w:t>
      </w:r>
      <w:r w:rsidR="00F30E0B" w:rsidRPr="00C64F4E">
        <w:rPr>
          <w:sz w:val="24"/>
          <w:szCs w:val="24"/>
        </w:rPr>
        <w:t xml:space="preserve">Rituximab 1000 mg </w:t>
      </w:r>
      <w:r w:rsidR="00A150FE" w:rsidRPr="00C64F4E">
        <w:rPr>
          <w:sz w:val="24"/>
          <w:szCs w:val="24"/>
        </w:rPr>
        <w:t xml:space="preserve">injections last given 4 months prior to presentation. From follow up notes prior to current </w:t>
      </w:r>
      <w:r w:rsidRPr="00C64F4E">
        <w:rPr>
          <w:sz w:val="24"/>
          <w:szCs w:val="24"/>
        </w:rPr>
        <w:t>presentation, complete</w:t>
      </w:r>
      <w:r w:rsidR="00F30E0B" w:rsidRPr="00C64F4E">
        <w:rPr>
          <w:sz w:val="24"/>
          <w:szCs w:val="24"/>
        </w:rPr>
        <w:t xml:space="preserve"> blood counts</w:t>
      </w:r>
      <w:r w:rsidR="00A150FE" w:rsidRPr="00C64F4E">
        <w:rPr>
          <w:sz w:val="24"/>
          <w:szCs w:val="24"/>
        </w:rPr>
        <w:t xml:space="preserve"> including leukocytes </w:t>
      </w:r>
      <w:r w:rsidR="00285C2E" w:rsidRPr="00C64F4E">
        <w:rPr>
          <w:sz w:val="24"/>
          <w:szCs w:val="24"/>
        </w:rPr>
        <w:t>parameter were</w:t>
      </w:r>
      <w:r w:rsidR="00F30E0B" w:rsidRPr="00C64F4E">
        <w:rPr>
          <w:sz w:val="24"/>
          <w:szCs w:val="24"/>
        </w:rPr>
        <w:t xml:space="preserve"> within normal limit</w:t>
      </w:r>
      <w:r w:rsidR="00A150FE" w:rsidRPr="00C64F4E">
        <w:rPr>
          <w:sz w:val="24"/>
          <w:szCs w:val="24"/>
        </w:rPr>
        <w:t>s</w:t>
      </w:r>
      <w:r w:rsidRPr="00C64F4E">
        <w:rPr>
          <w:sz w:val="24"/>
          <w:szCs w:val="24"/>
        </w:rPr>
        <w:t xml:space="preserve">. </w:t>
      </w:r>
    </w:p>
    <w:p w14:paraId="6D763FBB" w14:textId="4492FEF3" w:rsidR="00F30E0B" w:rsidRPr="00C64F4E" w:rsidRDefault="00A150FE" w:rsidP="00F16214">
      <w:pPr>
        <w:pStyle w:val="NoSpacing"/>
        <w:bidi w:val="0"/>
        <w:rPr>
          <w:sz w:val="24"/>
          <w:szCs w:val="24"/>
        </w:rPr>
      </w:pPr>
      <w:r w:rsidRPr="00C64F4E">
        <w:rPr>
          <w:sz w:val="24"/>
          <w:szCs w:val="24"/>
        </w:rPr>
        <w:t xml:space="preserve"> I</w:t>
      </w:r>
      <w:r w:rsidR="00F30E0B" w:rsidRPr="00C64F4E">
        <w:rPr>
          <w:sz w:val="24"/>
          <w:szCs w:val="24"/>
        </w:rPr>
        <w:t xml:space="preserve">nitial evaluation </w:t>
      </w:r>
      <w:r w:rsidRPr="00C64F4E">
        <w:rPr>
          <w:sz w:val="24"/>
          <w:szCs w:val="24"/>
        </w:rPr>
        <w:t xml:space="preserve">demonstrated </w:t>
      </w:r>
      <w:r w:rsidR="00F30E0B" w:rsidRPr="00C64F4E">
        <w:rPr>
          <w:sz w:val="24"/>
          <w:szCs w:val="24"/>
        </w:rPr>
        <w:t xml:space="preserve">fever of 39.5° C, blood pressure of 103/64 mmHg, </w:t>
      </w:r>
      <w:r w:rsidR="00606641" w:rsidRPr="00226976">
        <w:rPr>
          <w:sz w:val="24"/>
          <w:szCs w:val="24"/>
        </w:rPr>
        <w:t>p</w:t>
      </w:r>
      <w:r w:rsidR="00F30E0B" w:rsidRPr="00226976">
        <w:rPr>
          <w:sz w:val="24"/>
          <w:szCs w:val="24"/>
        </w:rPr>
        <w:t>ulse</w:t>
      </w:r>
      <w:r w:rsidR="00F30E0B" w:rsidRPr="00C64F4E">
        <w:rPr>
          <w:sz w:val="24"/>
          <w:szCs w:val="24"/>
        </w:rPr>
        <w:t xml:space="preserve"> rate of 95 per minute, respiratory rate of 22 per minute and oxygen saturation of 98 % on room air </w:t>
      </w:r>
      <w:r w:rsidRPr="00C64F4E">
        <w:rPr>
          <w:sz w:val="24"/>
          <w:szCs w:val="24"/>
        </w:rPr>
        <w:t xml:space="preserve">with no </w:t>
      </w:r>
      <w:r w:rsidR="00F30E0B" w:rsidRPr="00C64F4E">
        <w:rPr>
          <w:sz w:val="24"/>
          <w:szCs w:val="24"/>
        </w:rPr>
        <w:t xml:space="preserve">signs of respiratory distress. </w:t>
      </w:r>
      <w:r w:rsidRPr="00C64F4E">
        <w:rPr>
          <w:sz w:val="24"/>
          <w:szCs w:val="24"/>
        </w:rPr>
        <w:t>C</w:t>
      </w:r>
      <w:r w:rsidR="00F30E0B" w:rsidRPr="00C64F4E">
        <w:rPr>
          <w:sz w:val="24"/>
          <w:szCs w:val="24"/>
        </w:rPr>
        <w:t xml:space="preserve">hest examination </w:t>
      </w:r>
      <w:r w:rsidRPr="00C64F4E">
        <w:rPr>
          <w:sz w:val="24"/>
          <w:szCs w:val="24"/>
        </w:rPr>
        <w:t xml:space="preserve">revealed evidence </w:t>
      </w:r>
      <w:r w:rsidR="00260171" w:rsidRPr="00C64F4E">
        <w:rPr>
          <w:sz w:val="24"/>
          <w:szCs w:val="24"/>
        </w:rPr>
        <w:t>of bilateral</w:t>
      </w:r>
      <w:r w:rsidR="00F30E0B" w:rsidRPr="00C64F4E">
        <w:rPr>
          <w:sz w:val="24"/>
          <w:szCs w:val="24"/>
        </w:rPr>
        <w:t xml:space="preserve"> basal crackles</w:t>
      </w:r>
      <w:r w:rsidRPr="00C64F4E">
        <w:rPr>
          <w:sz w:val="24"/>
          <w:szCs w:val="24"/>
        </w:rPr>
        <w:t xml:space="preserve"> while the </w:t>
      </w:r>
      <w:r w:rsidR="00F30E0B" w:rsidRPr="00C64F4E">
        <w:rPr>
          <w:sz w:val="24"/>
          <w:szCs w:val="24"/>
        </w:rPr>
        <w:t xml:space="preserve">rest of the physical examination was </w:t>
      </w:r>
      <w:r w:rsidR="0033303B" w:rsidRPr="00C64F4E">
        <w:rPr>
          <w:sz w:val="24"/>
          <w:szCs w:val="24"/>
        </w:rPr>
        <w:t>unremarkable.</w:t>
      </w:r>
      <w:r w:rsidR="00F30E0B" w:rsidRPr="00C64F4E">
        <w:rPr>
          <w:sz w:val="24"/>
          <w:szCs w:val="24"/>
        </w:rPr>
        <w:t xml:space="preserve"> </w:t>
      </w:r>
      <w:r w:rsidRPr="00C64F4E">
        <w:rPr>
          <w:sz w:val="24"/>
          <w:szCs w:val="24"/>
        </w:rPr>
        <w:t>I</w:t>
      </w:r>
      <w:r w:rsidR="00F30E0B" w:rsidRPr="00C64F4E">
        <w:rPr>
          <w:sz w:val="24"/>
          <w:szCs w:val="24"/>
        </w:rPr>
        <w:t xml:space="preserve">nitial blood investigations showed: </w:t>
      </w:r>
      <w:r w:rsidRPr="00C64F4E">
        <w:rPr>
          <w:sz w:val="24"/>
          <w:szCs w:val="24"/>
        </w:rPr>
        <w:t>l</w:t>
      </w:r>
      <w:r w:rsidR="00F30E0B" w:rsidRPr="00C64F4E">
        <w:rPr>
          <w:sz w:val="24"/>
          <w:szCs w:val="24"/>
        </w:rPr>
        <w:t xml:space="preserve">eucopenia with WBC count of 1.1 x10 </w:t>
      </w:r>
      <w:r w:rsidR="00F30E0B" w:rsidRPr="00C64F4E">
        <w:rPr>
          <w:sz w:val="24"/>
          <w:szCs w:val="24"/>
          <w:vertAlign w:val="superscript"/>
        </w:rPr>
        <w:t xml:space="preserve">3 </w:t>
      </w:r>
      <w:r w:rsidR="00F30E0B" w:rsidRPr="00C64F4E">
        <w:rPr>
          <w:sz w:val="24"/>
          <w:szCs w:val="24"/>
        </w:rPr>
        <w:t xml:space="preserve">uL, neutropenia with </w:t>
      </w:r>
      <w:r w:rsidRPr="00C64F4E">
        <w:rPr>
          <w:sz w:val="24"/>
          <w:szCs w:val="24"/>
        </w:rPr>
        <w:t xml:space="preserve">absolute neutrophils count (ANC) </w:t>
      </w:r>
      <w:r w:rsidR="00F30E0B" w:rsidRPr="00C64F4E">
        <w:rPr>
          <w:sz w:val="24"/>
          <w:szCs w:val="24"/>
        </w:rPr>
        <w:t xml:space="preserve">of 0.3 x10 </w:t>
      </w:r>
      <w:r w:rsidR="00F30E0B" w:rsidRPr="00C64F4E">
        <w:rPr>
          <w:sz w:val="24"/>
          <w:szCs w:val="24"/>
          <w:vertAlign w:val="superscript"/>
        </w:rPr>
        <w:t>3</w:t>
      </w:r>
      <w:r w:rsidR="00F30E0B" w:rsidRPr="00C64F4E">
        <w:rPr>
          <w:sz w:val="24"/>
          <w:szCs w:val="24"/>
        </w:rPr>
        <w:t xml:space="preserve">/uL and </w:t>
      </w:r>
      <w:r w:rsidRPr="00C64F4E">
        <w:rPr>
          <w:sz w:val="24"/>
          <w:szCs w:val="24"/>
        </w:rPr>
        <w:t>l</w:t>
      </w:r>
      <w:r w:rsidR="00F30E0B" w:rsidRPr="00C64F4E">
        <w:rPr>
          <w:sz w:val="24"/>
          <w:szCs w:val="24"/>
        </w:rPr>
        <w:t xml:space="preserve">ymphopenia of 0.6 x10 </w:t>
      </w:r>
      <w:r w:rsidR="00F30E0B" w:rsidRPr="00C64F4E">
        <w:rPr>
          <w:sz w:val="24"/>
          <w:szCs w:val="24"/>
          <w:vertAlign w:val="superscript"/>
        </w:rPr>
        <w:t>3</w:t>
      </w:r>
      <w:r w:rsidR="00F30E0B" w:rsidRPr="00C64F4E">
        <w:rPr>
          <w:sz w:val="24"/>
          <w:szCs w:val="24"/>
        </w:rPr>
        <w:t>uL</w:t>
      </w:r>
      <w:r w:rsidR="004252DC" w:rsidRPr="00C64F4E">
        <w:rPr>
          <w:sz w:val="24"/>
          <w:szCs w:val="24"/>
        </w:rPr>
        <w:t xml:space="preserve"> while </w:t>
      </w:r>
      <w:r w:rsidR="00F30E0B" w:rsidRPr="00C64F4E">
        <w:rPr>
          <w:sz w:val="24"/>
          <w:szCs w:val="24"/>
        </w:rPr>
        <w:t xml:space="preserve"> </w:t>
      </w:r>
      <w:r w:rsidR="004252DC" w:rsidRPr="00C64F4E">
        <w:rPr>
          <w:sz w:val="24"/>
          <w:szCs w:val="24"/>
        </w:rPr>
        <w:t xml:space="preserve">peripheral blood smear revealed markedly decreased WBC with severe neutropenia and lymphopenia with reactive changes (table 1 ). </w:t>
      </w:r>
      <w:r w:rsidRPr="00C64F4E">
        <w:rPr>
          <w:sz w:val="24"/>
          <w:szCs w:val="24"/>
        </w:rPr>
        <w:t xml:space="preserve">To assess for disease </w:t>
      </w:r>
      <w:r w:rsidR="004252DC" w:rsidRPr="00C64F4E">
        <w:rPr>
          <w:sz w:val="24"/>
          <w:szCs w:val="24"/>
        </w:rPr>
        <w:t>severity,</w:t>
      </w:r>
      <w:r w:rsidRPr="00C64F4E">
        <w:rPr>
          <w:sz w:val="24"/>
          <w:szCs w:val="24"/>
        </w:rPr>
        <w:t xml:space="preserve"> </w:t>
      </w:r>
      <w:r w:rsidR="00260171" w:rsidRPr="00C64F4E">
        <w:rPr>
          <w:sz w:val="24"/>
          <w:szCs w:val="24"/>
        </w:rPr>
        <w:t xml:space="preserve">severity biological markers were </w:t>
      </w:r>
      <w:r w:rsidR="00F30E0B" w:rsidRPr="00C64F4E">
        <w:rPr>
          <w:sz w:val="24"/>
          <w:szCs w:val="24"/>
        </w:rPr>
        <w:t>elevated: C-reactive protein (CRP) 124 mg/L, ferritin 1185 ug/L, lactate dehydrogenase (LDH) 459 U/</w:t>
      </w:r>
      <w:r w:rsidR="00285C2E" w:rsidRPr="00C64F4E">
        <w:rPr>
          <w:sz w:val="24"/>
          <w:szCs w:val="24"/>
        </w:rPr>
        <w:t>L and</w:t>
      </w:r>
      <w:r w:rsidR="00260171" w:rsidRPr="00C64F4E">
        <w:rPr>
          <w:sz w:val="24"/>
          <w:szCs w:val="24"/>
        </w:rPr>
        <w:t xml:space="preserve"> D-dimer 4.18 mg/L. </w:t>
      </w:r>
    </w:p>
    <w:p w14:paraId="2F5154FC" w14:textId="24455D46" w:rsidR="00F30E0B" w:rsidRPr="00C64F4E" w:rsidRDefault="004252DC" w:rsidP="00F16214">
      <w:pPr>
        <w:pStyle w:val="NoSpacing"/>
        <w:bidi w:val="0"/>
        <w:rPr>
          <w:sz w:val="24"/>
          <w:szCs w:val="24"/>
        </w:rPr>
      </w:pPr>
      <w:r w:rsidRPr="00C64F4E">
        <w:rPr>
          <w:sz w:val="24"/>
          <w:szCs w:val="24"/>
        </w:rPr>
        <w:t>C</w:t>
      </w:r>
      <w:r w:rsidR="00F30E0B" w:rsidRPr="00C64F4E">
        <w:rPr>
          <w:sz w:val="24"/>
          <w:szCs w:val="24"/>
        </w:rPr>
        <w:t xml:space="preserve">hest X-ray revealed </w:t>
      </w:r>
      <w:r w:rsidRPr="00C64F4E">
        <w:rPr>
          <w:sz w:val="24"/>
          <w:szCs w:val="24"/>
        </w:rPr>
        <w:t xml:space="preserve">bilateral </w:t>
      </w:r>
      <w:r w:rsidR="00F30E0B" w:rsidRPr="00C64F4E">
        <w:rPr>
          <w:sz w:val="24"/>
          <w:szCs w:val="24"/>
        </w:rPr>
        <w:t xml:space="preserve">infiltrates </w:t>
      </w:r>
      <w:r w:rsidRPr="00C64F4E">
        <w:rPr>
          <w:sz w:val="24"/>
          <w:szCs w:val="24"/>
        </w:rPr>
        <w:t xml:space="preserve">with </w:t>
      </w:r>
      <w:r w:rsidR="00F30E0B" w:rsidRPr="00C64F4E">
        <w:rPr>
          <w:sz w:val="24"/>
          <w:szCs w:val="24"/>
        </w:rPr>
        <w:t xml:space="preserve">visible hazy opacities (Figure </w:t>
      </w:r>
      <w:r w:rsidR="002239F9" w:rsidRPr="00C64F4E">
        <w:rPr>
          <w:sz w:val="24"/>
          <w:szCs w:val="24"/>
        </w:rPr>
        <w:t>1</w:t>
      </w:r>
      <w:r w:rsidR="00F30E0B" w:rsidRPr="00C64F4E">
        <w:rPr>
          <w:sz w:val="24"/>
          <w:szCs w:val="24"/>
        </w:rPr>
        <w:t xml:space="preserve">). </w:t>
      </w:r>
      <w:r w:rsidRPr="00C64F4E">
        <w:rPr>
          <w:sz w:val="24"/>
          <w:szCs w:val="24"/>
        </w:rPr>
        <w:t xml:space="preserve"> The clinical suspicion of moderate COVID-19 disease was confirmed </w:t>
      </w:r>
      <w:r w:rsidR="00260171" w:rsidRPr="00C64F4E">
        <w:rPr>
          <w:sz w:val="24"/>
          <w:szCs w:val="24"/>
        </w:rPr>
        <w:t>through COVID</w:t>
      </w:r>
      <w:r w:rsidRPr="00C64F4E">
        <w:rPr>
          <w:sz w:val="24"/>
          <w:szCs w:val="24"/>
        </w:rPr>
        <w:t>-</w:t>
      </w:r>
      <w:r w:rsidR="0033303B" w:rsidRPr="00C64F4E">
        <w:rPr>
          <w:sz w:val="24"/>
          <w:szCs w:val="24"/>
        </w:rPr>
        <w:t>19 PCR</w:t>
      </w:r>
      <w:r w:rsidR="00F30E0B" w:rsidRPr="00C64F4E">
        <w:rPr>
          <w:sz w:val="24"/>
          <w:szCs w:val="24"/>
        </w:rPr>
        <w:t xml:space="preserve"> </w:t>
      </w:r>
      <w:r w:rsidRPr="00C64F4E">
        <w:rPr>
          <w:sz w:val="24"/>
          <w:szCs w:val="24"/>
        </w:rPr>
        <w:t xml:space="preserve">with </w:t>
      </w:r>
      <w:r w:rsidR="00260171" w:rsidRPr="00C64F4E">
        <w:rPr>
          <w:sz w:val="24"/>
          <w:szCs w:val="24"/>
        </w:rPr>
        <w:t>C</w:t>
      </w:r>
      <w:r w:rsidRPr="00C64F4E">
        <w:rPr>
          <w:sz w:val="24"/>
          <w:szCs w:val="24"/>
        </w:rPr>
        <w:t xml:space="preserve">ycle Threshold value (CT </w:t>
      </w:r>
      <w:r w:rsidR="00285C2E" w:rsidRPr="00C64F4E">
        <w:rPr>
          <w:sz w:val="24"/>
          <w:szCs w:val="24"/>
        </w:rPr>
        <w:t>value)</w:t>
      </w:r>
      <w:r w:rsidRPr="00C64F4E">
        <w:rPr>
          <w:sz w:val="24"/>
          <w:szCs w:val="24"/>
        </w:rPr>
        <w:t xml:space="preserve"> of 24 denoting early clinical </w:t>
      </w:r>
      <w:r w:rsidR="00285C2E" w:rsidRPr="00C64F4E">
        <w:rPr>
          <w:sz w:val="24"/>
          <w:szCs w:val="24"/>
        </w:rPr>
        <w:t>disease.</w:t>
      </w:r>
      <w:r w:rsidRPr="00C64F4E">
        <w:rPr>
          <w:sz w:val="24"/>
          <w:szCs w:val="24"/>
        </w:rPr>
        <w:t xml:space="preserve"> </w:t>
      </w:r>
    </w:p>
    <w:p w14:paraId="5E361386" w14:textId="0142CCF5" w:rsidR="00F30E0B" w:rsidRPr="00C64F4E" w:rsidRDefault="00F30E0B" w:rsidP="00F16214">
      <w:pPr>
        <w:pStyle w:val="NoSpacing"/>
        <w:bidi w:val="0"/>
        <w:rPr>
          <w:sz w:val="24"/>
          <w:szCs w:val="24"/>
        </w:rPr>
      </w:pPr>
      <w:r w:rsidRPr="00C64F4E">
        <w:rPr>
          <w:sz w:val="24"/>
          <w:szCs w:val="24"/>
        </w:rPr>
        <w:t xml:space="preserve">The patient was admitted under airborne and contact precautions </w:t>
      </w:r>
      <w:r w:rsidR="004252DC" w:rsidRPr="00C64F4E">
        <w:rPr>
          <w:sz w:val="24"/>
          <w:szCs w:val="24"/>
        </w:rPr>
        <w:t xml:space="preserve">and </w:t>
      </w:r>
      <w:r w:rsidRPr="00C64F4E">
        <w:rPr>
          <w:sz w:val="24"/>
          <w:szCs w:val="24"/>
        </w:rPr>
        <w:t xml:space="preserve">started on </w:t>
      </w:r>
      <w:r w:rsidR="004252DC" w:rsidRPr="00C64F4E">
        <w:rPr>
          <w:sz w:val="24"/>
          <w:szCs w:val="24"/>
        </w:rPr>
        <w:t xml:space="preserve">the </w:t>
      </w:r>
      <w:r w:rsidR="00260171" w:rsidRPr="00C64F4E">
        <w:rPr>
          <w:sz w:val="24"/>
          <w:szCs w:val="24"/>
        </w:rPr>
        <w:t>local protocol</w:t>
      </w:r>
      <w:r w:rsidRPr="00C64F4E">
        <w:rPr>
          <w:sz w:val="24"/>
          <w:szCs w:val="24"/>
        </w:rPr>
        <w:t xml:space="preserve"> o</w:t>
      </w:r>
      <w:r w:rsidR="004252DC" w:rsidRPr="00C64F4E">
        <w:rPr>
          <w:sz w:val="24"/>
          <w:szCs w:val="24"/>
        </w:rPr>
        <w:t>f</w:t>
      </w:r>
      <w:r w:rsidRPr="00C64F4E">
        <w:rPr>
          <w:sz w:val="24"/>
          <w:szCs w:val="24"/>
        </w:rPr>
        <w:t xml:space="preserve"> Favipiravir, ampicillin/sulbactam </w:t>
      </w:r>
      <w:r w:rsidR="004252DC" w:rsidRPr="00C64F4E">
        <w:rPr>
          <w:sz w:val="24"/>
          <w:szCs w:val="24"/>
        </w:rPr>
        <w:t xml:space="preserve">therapy </w:t>
      </w:r>
      <w:r w:rsidRPr="00C64F4E">
        <w:rPr>
          <w:sz w:val="24"/>
          <w:szCs w:val="24"/>
        </w:rPr>
        <w:t>together with</w:t>
      </w:r>
      <w:r w:rsidR="00260171" w:rsidRPr="00C64F4E">
        <w:rPr>
          <w:sz w:val="24"/>
          <w:szCs w:val="24"/>
        </w:rPr>
        <w:t xml:space="preserve"> venous thromboembolism prophylaxis in form of low</w:t>
      </w:r>
      <w:r w:rsidR="004252DC" w:rsidRPr="00C64F4E">
        <w:rPr>
          <w:sz w:val="24"/>
          <w:szCs w:val="24"/>
        </w:rPr>
        <w:t xml:space="preserve"> molecular weight heparin </w:t>
      </w:r>
      <w:r w:rsidRPr="00C64F4E">
        <w:rPr>
          <w:sz w:val="24"/>
          <w:szCs w:val="24"/>
        </w:rPr>
        <w:t xml:space="preserve">in addition to symptomatic treatment. </w:t>
      </w:r>
    </w:p>
    <w:p w14:paraId="3DC44506" w14:textId="2E3969FD" w:rsidR="00F30E0B" w:rsidRPr="00C64F4E" w:rsidRDefault="004252DC" w:rsidP="00F16214">
      <w:pPr>
        <w:pStyle w:val="NoSpacing"/>
        <w:bidi w:val="0"/>
        <w:rPr>
          <w:sz w:val="24"/>
          <w:szCs w:val="24"/>
        </w:rPr>
      </w:pPr>
      <w:r w:rsidRPr="00C64F4E">
        <w:rPr>
          <w:sz w:val="24"/>
          <w:szCs w:val="24"/>
        </w:rPr>
        <w:t xml:space="preserve">Because of the acute infection and fears of immune dysfunctions, </w:t>
      </w:r>
      <w:r w:rsidR="00260171" w:rsidRPr="00C64F4E">
        <w:rPr>
          <w:sz w:val="24"/>
          <w:szCs w:val="24"/>
        </w:rPr>
        <w:t xml:space="preserve">prescribed </w:t>
      </w:r>
      <w:r w:rsidRPr="00C64F4E">
        <w:rPr>
          <w:sz w:val="24"/>
          <w:szCs w:val="24"/>
        </w:rPr>
        <w:t xml:space="preserve">immunosuppressive therapy </w:t>
      </w:r>
      <w:r w:rsidR="00260171" w:rsidRPr="00C64F4E">
        <w:rPr>
          <w:sz w:val="24"/>
          <w:szCs w:val="24"/>
        </w:rPr>
        <w:t>was</w:t>
      </w:r>
      <w:r w:rsidRPr="00C64F4E">
        <w:rPr>
          <w:sz w:val="24"/>
          <w:szCs w:val="24"/>
        </w:rPr>
        <w:t xml:space="preserve"> </w:t>
      </w:r>
      <w:r w:rsidR="003D71BB" w:rsidRPr="00C64F4E">
        <w:rPr>
          <w:sz w:val="24"/>
          <w:szCs w:val="24"/>
        </w:rPr>
        <w:t>withheld.</w:t>
      </w:r>
      <w:r w:rsidRPr="00C64F4E">
        <w:rPr>
          <w:sz w:val="24"/>
          <w:szCs w:val="24"/>
        </w:rPr>
        <w:t xml:space="preserve"> Over the following days, </w:t>
      </w:r>
      <w:r w:rsidR="008E2FBD" w:rsidRPr="00C64F4E">
        <w:rPr>
          <w:sz w:val="24"/>
          <w:szCs w:val="24"/>
        </w:rPr>
        <w:t>the patient</w:t>
      </w:r>
      <w:r w:rsidR="00F30E0B" w:rsidRPr="00C64F4E">
        <w:rPr>
          <w:sz w:val="24"/>
          <w:szCs w:val="24"/>
        </w:rPr>
        <w:t xml:space="preserve"> </w:t>
      </w:r>
      <w:r w:rsidRPr="00C64F4E">
        <w:rPr>
          <w:sz w:val="24"/>
          <w:szCs w:val="24"/>
        </w:rPr>
        <w:t xml:space="preserve">condition deteriorated </w:t>
      </w:r>
      <w:r w:rsidR="008E2FBD" w:rsidRPr="00C64F4E">
        <w:rPr>
          <w:sz w:val="24"/>
          <w:szCs w:val="24"/>
        </w:rPr>
        <w:t>with high</w:t>
      </w:r>
      <w:r w:rsidRPr="00C64F4E">
        <w:rPr>
          <w:sz w:val="24"/>
          <w:szCs w:val="24"/>
        </w:rPr>
        <w:t xml:space="preserve"> grade </w:t>
      </w:r>
      <w:r w:rsidR="00285C2E" w:rsidRPr="00C64F4E">
        <w:rPr>
          <w:sz w:val="24"/>
          <w:szCs w:val="24"/>
        </w:rPr>
        <w:t>fever,</w:t>
      </w:r>
      <w:r w:rsidRPr="00C64F4E">
        <w:rPr>
          <w:sz w:val="24"/>
          <w:szCs w:val="24"/>
        </w:rPr>
        <w:t xml:space="preserve"> worsening </w:t>
      </w:r>
      <w:r w:rsidR="008E2FBD" w:rsidRPr="00C64F4E">
        <w:rPr>
          <w:sz w:val="24"/>
          <w:szCs w:val="24"/>
        </w:rPr>
        <w:t xml:space="preserve">respiratory symptoms and laboratory </w:t>
      </w:r>
      <w:r w:rsidR="00285C2E" w:rsidRPr="00C64F4E">
        <w:rPr>
          <w:sz w:val="24"/>
          <w:szCs w:val="24"/>
        </w:rPr>
        <w:t>parameters including</w:t>
      </w:r>
      <w:r w:rsidRPr="00C64F4E">
        <w:rPr>
          <w:sz w:val="24"/>
          <w:szCs w:val="24"/>
        </w:rPr>
        <w:t xml:space="preserve"> </w:t>
      </w:r>
      <w:r w:rsidR="00260171" w:rsidRPr="00C64F4E">
        <w:rPr>
          <w:sz w:val="24"/>
          <w:szCs w:val="24"/>
        </w:rPr>
        <w:t xml:space="preserve">progressive </w:t>
      </w:r>
      <w:r w:rsidRPr="00C64F4E">
        <w:rPr>
          <w:sz w:val="24"/>
          <w:szCs w:val="24"/>
        </w:rPr>
        <w:t xml:space="preserve">neutropenia with a </w:t>
      </w:r>
      <w:r w:rsidR="00F30E0B" w:rsidRPr="00C64F4E">
        <w:rPr>
          <w:sz w:val="24"/>
          <w:szCs w:val="24"/>
        </w:rPr>
        <w:t xml:space="preserve">remarkable rise in D-dimer to &gt;35 mg/L </w:t>
      </w:r>
      <w:r w:rsidR="003D71BB" w:rsidRPr="00C64F4E">
        <w:rPr>
          <w:sz w:val="24"/>
          <w:szCs w:val="24"/>
        </w:rPr>
        <w:t>as well as IL-6 of 115</w:t>
      </w:r>
      <w:r w:rsidR="00285C2E" w:rsidRPr="00C64F4E">
        <w:rPr>
          <w:sz w:val="24"/>
          <w:szCs w:val="24"/>
        </w:rPr>
        <w:t xml:space="preserve"> pg/mL</w:t>
      </w:r>
      <w:r w:rsidR="003D71BB" w:rsidRPr="00C64F4E">
        <w:rPr>
          <w:sz w:val="24"/>
          <w:szCs w:val="24"/>
        </w:rPr>
        <w:t xml:space="preserve"> </w:t>
      </w:r>
      <w:r w:rsidR="00F30E0B" w:rsidRPr="00C64F4E">
        <w:rPr>
          <w:sz w:val="24"/>
          <w:szCs w:val="24"/>
        </w:rPr>
        <w:t>(Table 2).</w:t>
      </w:r>
      <w:r w:rsidR="008E2FBD" w:rsidRPr="00C64F4E">
        <w:rPr>
          <w:sz w:val="24"/>
          <w:szCs w:val="24"/>
        </w:rPr>
        <w:t xml:space="preserve"> Searching for septic foci </w:t>
      </w:r>
      <w:r w:rsidR="003D71BB" w:rsidRPr="00C64F4E">
        <w:rPr>
          <w:sz w:val="24"/>
          <w:szCs w:val="24"/>
        </w:rPr>
        <w:t xml:space="preserve">with </w:t>
      </w:r>
      <w:r w:rsidR="008E2FBD" w:rsidRPr="00C64F4E">
        <w:rPr>
          <w:sz w:val="24"/>
          <w:szCs w:val="24"/>
        </w:rPr>
        <w:t xml:space="preserve">repeated blood and urine cultures all </w:t>
      </w:r>
      <w:r w:rsidR="0033303B" w:rsidRPr="00C64F4E">
        <w:rPr>
          <w:sz w:val="24"/>
          <w:szCs w:val="24"/>
        </w:rPr>
        <w:t>returned</w:t>
      </w:r>
      <w:r w:rsidR="00260171" w:rsidRPr="00C64F4E">
        <w:rPr>
          <w:sz w:val="24"/>
          <w:szCs w:val="24"/>
        </w:rPr>
        <w:t xml:space="preserve"> </w:t>
      </w:r>
      <w:r w:rsidR="008E2FBD" w:rsidRPr="00C64F4E">
        <w:rPr>
          <w:sz w:val="24"/>
          <w:szCs w:val="24"/>
        </w:rPr>
        <w:t>negative</w:t>
      </w:r>
      <w:r w:rsidR="003D71BB" w:rsidRPr="00C64F4E">
        <w:rPr>
          <w:sz w:val="24"/>
          <w:szCs w:val="24"/>
        </w:rPr>
        <w:t>.</w:t>
      </w:r>
      <w:r w:rsidR="008E2FBD" w:rsidRPr="00C64F4E">
        <w:rPr>
          <w:sz w:val="24"/>
          <w:szCs w:val="24"/>
        </w:rPr>
        <w:t xml:space="preserve">  Associated pulmonary embolism was excluded with CT pulmonary angiogram (CTPA)</w:t>
      </w:r>
      <w:r w:rsidR="00260171" w:rsidRPr="00C64F4E">
        <w:rPr>
          <w:sz w:val="24"/>
          <w:szCs w:val="24"/>
        </w:rPr>
        <w:t xml:space="preserve"> but confirmed bilateral </w:t>
      </w:r>
      <w:r w:rsidR="0033303B" w:rsidRPr="00C64F4E">
        <w:rPr>
          <w:sz w:val="24"/>
          <w:szCs w:val="24"/>
        </w:rPr>
        <w:t xml:space="preserve">infiltrative </w:t>
      </w:r>
      <w:r w:rsidR="00106CA6" w:rsidRPr="00C64F4E">
        <w:rPr>
          <w:sz w:val="24"/>
          <w:szCs w:val="24"/>
        </w:rPr>
        <w:t>changes.</w:t>
      </w:r>
      <w:r w:rsidR="008E2FBD" w:rsidRPr="00C64F4E">
        <w:rPr>
          <w:sz w:val="24"/>
          <w:szCs w:val="24"/>
        </w:rPr>
        <w:t xml:space="preserve">  Despite these measures, the patient continued to deteriorate with respiratory compromise requiring higher oxygen supplementation.  Escalation of management with broadening of the </w:t>
      </w:r>
      <w:r w:rsidR="00106CA6" w:rsidRPr="00C64F4E">
        <w:rPr>
          <w:sz w:val="24"/>
          <w:szCs w:val="24"/>
        </w:rPr>
        <w:t>antibiotic</w:t>
      </w:r>
      <w:r w:rsidR="008E2FBD" w:rsidRPr="00C64F4E">
        <w:rPr>
          <w:sz w:val="24"/>
          <w:szCs w:val="24"/>
        </w:rPr>
        <w:t xml:space="preserve"> coverage with piperacillin-</w:t>
      </w:r>
      <w:r w:rsidR="00260171" w:rsidRPr="00C64F4E">
        <w:rPr>
          <w:sz w:val="24"/>
          <w:szCs w:val="24"/>
        </w:rPr>
        <w:t>tazobactam,</w:t>
      </w:r>
      <w:r w:rsidR="008E2FBD" w:rsidRPr="00C64F4E">
        <w:rPr>
          <w:sz w:val="24"/>
          <w:szCs w:val="24"/>
        </w:rPr>
        <w:t xml:space="preserve"> </w:t>
      </w:r>
      <w:r w:rsidR="003D71BB" w:rsidRPr="00C64F4E">
        <w:rPr>
          <w:sz w:val="24"/>
          <w:szCs w:val="24"/>
        </w:rPr>
        <w:t xml:space="preserve">together with </w:t>
      </w:r>
      <w:r w:rsidR="008E2FBD" w:rsidRPr="00C64F4E">
        <w:rPr>
          <w:sz w:val="24"/>
          <w:szCs w:val="24"/>
        </w:rPr>
        <w:t>COVID-19</w:t>
      </w:r>
      <w:r w:rsidR="003D71BB" w:rsidRPr="00C64F4E">
        <w:rPr>
          <w:sz w:val="24"/>
          <w:szCs w:val="24"/>
        </w:rPr>
        <w:t xml:space="preserve"> specific therapy in form of </w:t>
      </w:r>
      <w:r w:rsidR="00BE174C" w:rsidRPr="00C64F4E">
        <w:rPr>
          <w:sz w:val="24"/>
          <w:szCs w:val="24"/>
        </w:rPr>
        <w:t xml:space="preserve">200 mg of parenteral </w:t>
      </w:r>
      <w:r w:rsidR="00704599" w:rsidRPr="00C64F4E">
        <w:rPr>
          <w:sz w:val="24"/>
          <w:szCs w:val="24"/>
        </w:rPr>
        <w:t>Remdesivir</w:t>
      </w:r>
      <w:r w:rsidR="003D71BB" w:rsidRPr="00C64F4E">
        <w:rPr>
          <w:sz w:val="24"/>
          <w:szCs w:val="24"/>
        </w:rPr>
        <w:t xml:space="preserve"> </w:t>
      </w:r>
      <w:r w:rsidR="00BE174C" w:rsidRPr="00C64F4E">
        <w:rPr>
          <w:sz w:val="24"/>
          <w:szCs w:val="24"/>
        </w:rPr>
        <w:t xml:space="preserve">therapy </w:t>
      </w:r>
      <w:r w:rsidR="00285C2E" w:rsidRPr="00C64F4E">
        <w:rPr>
          <w:sz w:val="24"/>
          <w:szCs w:val="24"/>
        </w:rPr>
        <w:t xml:space="preserve"> for the first day followed by </w:t>
      </w:r>
      <w:r w:rsidR="00BE174C" w:rsidRPr="00C64F4E">
        <w:rPr>
          <w:sz w:val="24"/>
          <w:szCs w:val="24"/>
        </w:rPr>
        <w:t xml:space="preserve">daily </w:t>
      </w:r>
      <w:r w:rsidR="00285C2E" w:rsidRPr="00C64F4E">
        <w:rPr>
          <w:sz w:val="24"/>
          <w:szCs w:val="24"/>
        </w:rPr>
        <w:t xml:space="preserve">100 mg  daily for </w:t>
      </w:r>
      <w:r w:rsidR="00BE174C" w:rsidRPr="00C64F4E">
        <w:rPr>
          <w:sz w:val="24"/>
          <w:szCs w:val="24"/>
        </w:rPr>
        <w:t>the following 4</w:t>
      </w:r>
      <w:r w:rsidR="00285C2E" w:rsidRPr="00C64F4E">
        <w:rPr>
          <w:sz w:val="24"/>
          <w:szCs w:val="24"/>
        </w:rPr>
        <w:t xml:space="preserve"> </w:t>
      </w:r>
      <w:r w:rsidR="00704599" w:rsidRPr="00C64F4E">
        <w:rPr>
          <w:sz w:val="24"/>
          <w:szCs w:val="24"/>
        </w:rPr>
        <w:t>days as</w:t>
      </w:r>
      <w:r w:rsidR="003D71BB" w:rsidRPr="00C64F4E">
        <w:rPr>
          <w:sz w:val="24"/>
          <w:szCs w:val="24"/>
        </w:rPr>
        <w:t xml:space="preserve"> well as </w:t>
      </w:r>
      <w:r w:rsidR="00BE174C" w:rsidRPr="00C64F4E">
        <w:rPr>
          <w:sz w:val="24"/>
          <w:szCs w:val="24"/>
        </w:rPr>
        <w:t xml:space="preserve">augmented management  with 8 mg of parenteral </w:t>
      </w:r>
      <w:r w:rsidR="003D71BB" w:rsidRPr="00C64F4E">
        <w:rPr>
          <w:sz w:val="24"/>
          <w:szCs w:val="24"/>
        </w:rPr>
        <w:t xml:space="preserve">dexamethasone </w:t>
      </w:r>
      <w:r w:rsidR="00BE174C" w:rsidRPr="00C64F4E">
        <w:rPr>
          <w:sz w:val="24"/>
          <w:szCs w:val="24"/>
        </w:rPr>
        <w:t xml:space="preserve">therapy </w:t>
      </w:r>
      <w:r w:rsidR="003D71BB" w:rsidRPr="00C64F4E">
        <w:rPr>
          <w:sz w:val="24"/>
          <w:szCs w:val="24"/>
        </w:rPr>
        <w:t xml:space="preserve">.  </w:t>
      </w:r>
    </w:p>
    <w:p w14:paraId="1A26D0F5" w14:textId="6FA65DAF" w:rsidR="00F30E0B" w:rsidRPr="00C64F4E" w:rsidRDefault="003D71BB" w:rsidP="00AD248B">
      <w:pPr>
        <w:pStyle w:val="NoSpacing"/>
        <w:bidi w:val="0"/>
        <w:rPr>
          <w:sz w:val="24"/>
          <w:szCs w:val="24"/>
        </w:rPr>
      </w:pPr>
      <w:r w:rsidRPr="00C64F4E">
        <w:rPr>
          <w:sz w:val="24"/>
          <w:szCs w:val="24"/>
        </w:rPr>
        <w:lastRenderedPageBreak/>
        <w:t xml:space="preserve">The clinical </w:t>
      </w:r>
      <w:r w:rsidR="00260171" w:rsidRPr="00C64F4E">
        <w:rPr>
          <w:sz w:val="24"/>
          <w:szCs w:val="24"/>
        </w:rPr>
        <w:t>assessment of</w:t>
      </w:r>
      <w:r w:rsidRPr="00C64F4E">
        <w:rPr>
          <w:sz w:val="24"/>
          <w:szCs w:val="24"/>
        </w:rPr>
        <w:t xml:space="preserve"> an </w:t>
      </w:r>
      <w:r w:rsidR="0033303B" w:rsidRPr="00C64F4E">
        <w:rPr>
          <w:sz w:val="24"/>
          <w:szCs w:val="24"/>
        </w:rPr>
        <w:t>evolving COVID</w:t>
      </w:r>
      <w:r w:rsidRPr="00C64F4E">
        <w:rPr>
          <w:sz w:val="24"/>
          <w:szCs w:val="24"/>
        </w:rPr>
        <w:t>-19 cytokine storm</w:t>
      </w:r>
      <w:r w:rsidR="00260171" w:rsidRPr="00C64F4E">
        <w:rPr>
          <w:sz w:val="24"/>
          <w:szCs w:val="24"/>
        </w:rPr>
        <w:t xml:space="preserve"> </w:t>
      </w:r>
      <w:r w:rsidR="00FD7928" w:rsidRPr="00C64F4E">
        <w:rPr>
          <w:sz w:val="24"/>
          <w:szCs w:val="24"/>
        </w:rPr>
        <w:t>Syndrome (CSS)</w:t>
      </w:r>
      <w:r w:rsidRPr="00C64F4E">
        <w:rPr>
          <w:sz w:val="24"/>
          <w:szCs w:val="24"/>
        </w:rPr>
        <w:t xml:space="preserve"> was considered and the decisions of </w:t>
      </w:r>
      <w:r w:rsidR="00FD7928" w:rsidRPr="00C64F4E">
        <w:rPr>
          <w:sz w:val="24"/>
          <w:szCs w:val="24"/>
        </w:rPr>
        <w:t>administering Tocilizumab</w:t>
      </w:r>
      <w:r w:rsidR="00F30E0B" w:rsidRPr="00C64F4E">
        <w:rPr>
          <w:sz w:val="24"/>
          <w:szCs w:val="24"/>
        </w:rPr>
        <w:t xml:space="preserve"> </w:t>
      </w:r>
      <w:r w:rsidRPr="00C64F4E">
        <w:rPr>
          <w:sz w:val="24"/>
          <w:szCs w:val="24"/>
        </w:rPr>
        <w:t xml:space="preserve">therapy was evaluated </w:t>
      </w:r>
      <w:r w:rsidR="00BE174C" w:rsidRPr="00C64F4E">
        <w:rPr>
          <w:sz w:val="24"/>
          <w:szCs w:val="24"/>
        </w:rPr>
        <w:t xml:space="preserve">balanced </w:t>
      </w:r>
      <w:r w:rsidR="00FD7928" w:rsidRPr="00C64F4E">
        <w:rPr>
          <w:sz w:val="24"/>
          <w:szCs w:val="24"/>
        </w:rPr>
        <w:t>between known</w:t>
      </w:r>
      <w:r w:rsidRPr="00C64F4E">
        <w:rPr>
          <w:sz w:val="24"/>
          <w:szCs w:val="24"/>
        </w:rPr>
        <w:t xml:space="preserve"> benefits </w:t>
      </w:r>
      <w:r w:rsidR="00260171" w:rsidRPr="00C64F4E">
        <w:rPr>
          <w:sz w:val="24"/>
          <w:szCs w:val="24"/>
        </w:rPr>
        <w:t xml:space="preserve">in pending </w:t>
      </w:r>
      <w:r w:rsidRPr="00C64F4E">
        <w:rPr>
          <w:sz w:val="24"/>
          <w:szCs w:val="24"/>
        </w:rPr>
        <w:t>C</w:t>
      </w:r>
      <w:r w:rsidR="00260171" w:rsidRPr="00C64F4E">
        <w:rPr>
          <w:sz w:val="24"/>
          <w:szCs w:val="24"/>
        </w:rPr>
        <w:t>SS</w:t>
      </w:r>
      <w:r w:rsidRPr="00C64F4E">
        <w:rPr>
          <w:sz w:val="24"/>
          <w:szCs w:val="24"/>
        </w:rPr>
        <w:t xml:space="preserve">   against the patient clinical condition of severe COVID-19 infection with profound </w:t>
      </w:r>
      <w:r w:rsidR="00FD7928" w:rsidRPr="00C64F4E">
        <w:rPr>
          <w:sz w:val="24"/>
          <w:szCs w:val="24"/>
        </w:rPr>
        <w:t>neutropenia.</w:t>
      </w:r>
      <w:r w:rsidRPr="00C64F4E">
        <w:rPr>
          <w:sz w:val="24"/>
          <w:szCs w:val="24"/>
        </w:rPr>
        <w:t xml:space="preserve">  Eventually </w:t>
      </w:r>
      <w:r w:rsidR="00F30E0B" w:rsidRPr="00C64F4E">
        <w:rPr>
          <w:sz w:val="24"/>
          <w:szCs w:val="24"/>
        </w:rPr>
        <w:t>400 mg</w:t>
      </w:r>
      <w:r w:rsidRPr="00C64F4E">
        <w:rPr>
          <w:sz w:val="24"/>
          <w:szCs w:val="24"/>
        </w:rPr>
        <w:t xml:space="preserve"> of </w:t>
      </w:r>
      <w:r w:rsidR="00DD7B41" w:rsidRPr="00C64F4E">
        <w:rPr>
          <w:sz w:val="24"/>
          <w:szCs w:val="24"/>
        </w:rPr>
        <w:t>parenteral tocilizumab</w:t>
      </w:r>
      <w:r w:rsidRPr="00C64F4E">
        <w:rPr>
          <w:sz w:val="24"/>
          <w:szCs w:val="24"/>
        </w:rPr>
        <w:t xml:space="preserve"> was administered </w:t>
      </w:r>
      <w:r w:rsidR="00DD7B41" w:rsidRPr="00C64F4E">
        <w:rPr>
          <w:sz w:val="24"/>
          <w:szCs w:val="24"/>
        </w:rPr>
        <w:t xml:space="preserve">while closely monitoring clinical and laboratory </w:t>
      </w:r>
      <w:r w:rsidR="004C73DE" w:rsidRPr="00C64F4E">
        <w:rPr>
          <w:sz w:val="24"/>
          <w:szCs w:val="24"/>
        </w:rPr>
        <w:t>parameters.</w:t>
      </w:r>
      <w:r w:rsidR="00DD7B41" w:rsidRPr="00C64F4E">
        <w:rPr>
          <w:sz w:val="24"/>
          <w:szCs w:val="24"/>
        </w:rPr>
        <w:t xml:space="preserve"> Over the following days, there was gradual but remarkable improvement in clinical condition supported by falling </w:t>
      </w:r>
      <w:r w:rsidR="00BE174C" w:rsidRPr="00C64F4E">
        <w:rPr>
          <w:sz w:val="24"/>
          <w:szCs w:val="24"/>
        </w:rPr>
        <w:t xml:space="preserve">of </w:t>
      </w:r>
      <w:r w:rsidR="00DD7B41" w:rsidRPr="00C64F4E">
        <w:rPr>
          <w:sz w:val="24"/>
          <w:szCs w:val="24"/>
        </w:rPr>
        <w:t xml:space="preserve">inflammatory </w:t>
      </w:r>
      <w:r w:rsidR="004C73DE" w:rsidRPr="00C64F4E">
        <w:rPr>
          <w:sz w:val="24"/>
          <w:szCs w:val="24"/>
        </w:rPr>
        <w:t>parameters however</w:t>
      </w:r>
      <w:r w:rsidR="00DD7B41" w:rsidRPr="00C64F4E">
        <w:rPr>
          <w:sz w:val="24"/>
          <w:szCs w:val="24"/>
        </w:rPr>
        <w:t xml:space="preserve"> the profound neutropenia was </w:t>
      </w:r>
      <w:r w:rsidR="0033303B" w:rsidRPr="00C64F4E">
        <w:rPr>
          <w:sz w:val="24"/>
          <w:szCs w:val="24"/>
        </w:rPr>
        <w:t>persistent.</w:t>
      </w:r>
      <w:r w:rsidR="00DD7B41" w:rsidRPr="00C64F4E">
        <w:rPr>
          <w:sz w:val="24"/>
          <w:szCs w:val="24"/>
        </w:rPr>
        <w:t xml:space="preserve"> To curtail for </w:t>
      </w:r>
      <w:r w:rsidR="0033303B" w:rsidRPr="00C64F4E">
        <w:rPr>
          <w:sz w:val="24"/>
          <w:szCs w:val="24"/>
        </w:rPr>
        <w:t>that, the</w:t>
      </w:r>
      <w:r w:rsidR="004C73DE" w:rsidRPr="00C64F4E">
        <w:rPr>
          <w:sz w:val="24"/>
          <w:szCs w:val="24"/>
        </w:rPr>
        <w:t xml:space="preserve"> </w:t>
      </w:r>
      <w:r w:rsidR="00F30E0B" w:rsidRPr="00C64F4E">
        <w:rPr>
          <w:sz w:val="24"/>
          <w:szCs w:val="24"/>
        </w:rPr>
        <w:t xml:space="preserve">patient was started on </w:t>
      </w:r>
      <w:r w:rsidR="00DD7B41" w:rsidRPr="00C64F4E">
        <w:rPr>
          <w:sz w:val="24"/>
          <w:szCs w:val="24"/>
        </w:rPr>
        <w:t xml:space="preserve">GCSF in the form of </w:t>
      </w:r>
      <w:r w:rsidR="00F30E0B" w:rsidRPr="00C64F4E">
        <w:rPr>
          <w:sz w:val="24"/>
          <w:szCs w:val="24"/>
        </w:rPr>
        <w:t xml:space="preserve">Filgrastim 300 mcg twice daily </w:t>
      </w:r>
      <w:r w:rsidR="00DD7B41" w:rsidRPr="00C64F4E">
        <w:rPr>
          <w:sz w:val="24"/>
          <w:szCs w:val="24"/>
        </w:rPr>
        <w:t xml:space="preserve">with evident neutrophils </w:t>
      </w:r>
      <w:r w:rsidR="004C73DE" w:rsidRPr="00C64F4E">
        <w:rPr>
          <w:sz w:val="24"/>
          <w:szCs w:val="24"/>
        </w:rPr>
        <w:t xml:space="preserve">rise </w:t>
      </w:r>
      <w:r w:rsidR="00DD7B41" w:rsidRPr="00C64F4E">
        <w:rPr>
          <w:sz w:val="24"/>
          <w:szCs w:val="24"/>
        </w:rPr>
        <w:t xml:space="preserve">within few </w:t>
      </w:r>
      <w:r w:rsidR="00FD7928" w:rsidRPr="00C64F4E">
        <w:rPr>
          <w:sz w:val="24"/>
          <w:szCs w:val="24"/>
        </w:rPr>
        <w:t>days to</w:t>
      </w:r>
      <w:r w:rsidR="00DD7B41" w:rsidRPr="00C64F4E">
        <w:rPr>
          <w:sz w:val="24"/>
          <w:szCs w:val="24"/>
        </w:rPr>
        <w:t xml:space="preserve"> </w:t>
      </w:r>
      <w:r w:rsidR="00FD7928" w:rsidRPr="00C64F4E">
        <w:rPr>
          <w:sz w:val="24"/>
          <w:szCs w:val="24"/>
        </w:rPr>
        <w:t>ANC more than</w:t>
      </w:r>
      <w:r w:rsidR="00DD7B41" w:rsidRPr="00C64F4E">
        <w:rPr>
          <w:sz w:val="24"/>
          <w:szCs w:val="24"/>
        </w:rPr>
        <w:t xml:space="preserve"> 1000 </w:t>
      </w:r>
      <w:r w:rsidR="00F30E0B" w:rsidRPr="00C64F4E">
        <w:rPr>
          <w:sz w:val="24"/>
          <w:szCs w:val="24"/>
        </w:rPr>
        <w:t>(Table 1) (figure 2).</w:t>
      </w:r>
    </w:p>
    <w:p w14:paraId="12F6886B" w14:textId="205B2D76" w:rsidR="0077296F" w:rsidRPr="00C64F4E" w:rsidRDefault="00BF2C02" w:rsidP="00F16214">
      <w:pPr>
        <w:pStyle w:val="NoSpacing"/>
        <w:bidi w:val="0"/>
        <w:rPr>
          <w:sz w:val="24"/>
          <w:szCs w:val="24"/>
        </w:rPr>
      </w:pPr>
      <w:r w:rsidRPr="00C64F4E">
        <w:rPr>
          <w:sz w:val="24"/>
          <w:szCs w:val="24"/>
        </w:rPr>
        <w:t xml:space="preserve">During subsequent observation and hospital stay, the patient did </w:t>
      </w:r>
      <w:r w:rsidR="0033303B" w:rsidRPr="00C64F4E">
        <w:rPr>
          <w:sz w:val="24"/>
          <w:szCs w:val="24"/>
        </w:rPr>
        <w:t>not develop</w:t>
      </w:r>
      <w:r w:rsidRPr="00C64F4E">
        <w:rPr>
          <w:sz w:val="24"/>
          <w:szCs w:val="24"/>
        </w:rPr>
        <w:t xml:space="preserve"> </w:t>
      </w:r>
      <w:r w:rsidR="00FD7928" w:rsidRPr="00C64F4E">
        <w:rPr>
          <w:sz w:val="24"/>
          <w:szCs w:val="24"/>
        </w:rPr>
        <w:t>any active</w:t>
      </w:r>
      <w:r w:rsidRPr="00C64F4E">
        <w:rPr>
          <w:sz w:val="24"/>
          <w:szCs w:val="24"/>
        </w:rPr>
        <w:t xml:space="preserve"> or opportunistic </w:t>
      </w:r>
      <w:r w:rsidR="00FD7928" w:rsidRPr="00C64F4E">
        <w:rPr>
          <w:sz w:val="24"/>
          <w:szCs w:val="24"/>
        </w:rPr>
        <w:t>infections.</w:t>
      </w:r>
      <w:r w:rsidRPr="00C64F4E">
        <w:rPr>
          <w:sz w:val="24"/>
          <w:szCs w:val="24"/>
        </w:rPr>
        <w:t xml:space="preserve">  </w:t>
      </w:r>
      <w:r w:rsidR="00DD7B41" w:rsidRPr="00C64F4E">
        <w:rPr>
          <w:sz w:val="24"/>
          <w:szCs w:val="24"/>
        </w:rPr>
        <w:t xml:space="preserve">Following recovery and consultation with managing ophthalmologist, the decision was made to continue withholding immune suppressive therapy pending progress and the patient was discharged to </w:t>
      </w:r>
      <w:r w:rsidR="004C73DE" w:rsidRPr="00C64F4E">
        <w:rPr>
          <w:sz w:val="24"/>
          <w:szCs w:val="24"/>
        </w:rPr>
        <w:t xml:space="preserve">a </w:t>
      </w:r>
      <w:r w:rsidR="00DD7B41" w:rsidRPr="00C64F4E">
        <w:rPr>
          <w:sz w:val="24"/>
          <w:szCs w:val="24"/>
        </w:rPr>
        <w:t xml:space="preserve">safe </w:t>
      </w:r>
      <w:r w:rsidR="004C73DE" w:rsidRPr="00C64F4E">
        <w:rPr>
          <w:sz w:val="24"/>
          <w:szCs w:val="24"/>
        </w:rPr>
        <w:t>outcome.</w:t>
      </w:r>
      <w:r w:rsidRPr="00C64F4E">
        <w:rPr>
          <w:sz w:val="24"/>
          <w:szCs w:val="24"/>
        </w:rPr>
        <w:t xml:space="preserve"> Follow up revealed full recovery and no subsequent complications. </w:t>
      </w:r>
      <w:r w:rsidR="00DD7B41" w:rsidRPr="00C64F4E">
        <w:rPr>
          <w:sz w:val="24"/>
          <w:szCs w:val="24"/>
        </w:rPr>
        <w:t xml:space="preserve"> </w:t>
      </w:r>
    </w:p>
    <w:p w14:paraId="64EBCF6C" w14:textId="0D3D8D2C" w:rsidR="00F16214" w:rsidRPr="00C64F4E" w:rsidRDefault="00F16214" w:rsidP="00F16214">
      <w:pPr>
        <w:pStyle w:val="NoSpacing"/>
        <w:bidi w:val="0"/>
        <w:rPr>
          <w:sz w:val="24"/>
          <w:szCs w:val="24"/>
        </w:rPr>
      </w:pPr>
    </w:p>
    <w:p w14:paraId="0D5D7913" w14:textId="3985A817" w:rsidR="00F16214" w:rsidRPr="00C64F4E" w:rsidRDefault="00F16214" w:rsidP="00F16214">
      <w:pPr>
        <w:pStyle w:val="NoSpacing"/>
        <w:bidi w:val="0"/>
        <w:rPr>
          <w:sz w:val="24"/>
          <w:szCs w:val="24"/>
        </w:rPr>
      </w:pPr>
    </w:p>
    <w:p w14:paraId="578E55B1" w14:textId="63DE990E" w:rsidR="00F16214" w:rsidRPr="00C64F4E" w:rsidRDefault="00F16214" w:rsidP="00F16214">
      <w:pPr>
        <w:pStyle w:val="NoSpacing"/>
        <w:bidi w:val="0"/>
        <w:rPr>
          <w:sz w:val="24"/>
          <w:szCs w:val="24"/>
        </w:rPr>
      </w:pPr>
    </w:p>
    <w:p w14:paraId="6DA296E8" w14:textId="02516B93" w:rsidR="00F16214" w:rsidRPr="00C64F4E" w:rsidRDefault="00F16214" w:rsidP="00F16214">
      <w:pPr>
        <w:pStyle w:val="NoSpacing"/>
        <w:bidi w:val="0"/>
        <w:rPr>
          <w:sz w:val="24"/>
          <w:szCs w:val="24"/>
        </w:rPr>
      </w:pPr>
    </w:p>
    <w:p w14:paraId="0898A618" w14:textId="5CF39611" w:rsidR="00F16214" w:rsidRPr="00C64F4E" w:rsidRDefault="00F16214" w:rsidP="00F16214">
      <w:pPr>
        <w:pStyle w:val="NoSpacing"/>
        <w:bidi w:val="0"/>
        <w:rPr>
          <w:sz w:val="24"/>
          <w:szCs w:val="24"/>
        </w:rPr>
      </w:pPr>
    </w:p>
    <w:p w14:paraId="07D10117" w14:textId="37EBA931" w:rsidR="00F16214" w:rsidRPr="00C64F4E" w:rsidRDefault="00F16214" w:rsidP="00F16214">
      <w:pPr>
        <w:pStyle w:val="NoSpacing"/>
        <w:bidi w:val="0"/>
        <w:rPr>
          <w:sz w:val="24"/>
          <w:szCs w:val="24"/>
        </w:rPr>
      </w:pPr>
    </w:p>
    <w:p w14:paraId="66C69E21" w14:textId="735D77A6" w:rsidR="00F16214" w:rsidRPr="00C64F4E" w:rsidRDefault="00F16214" w:rsidP="00F16214">
      <w:pPr>
        <w:pStyle w:val="NoSpacing"/>
        <w:bidi w:val="0"/>
        <w:rPr>
          <w:sz w:val="24"/>
          <w:szCs w:val="24"/>
        </w:rPr>
      </w:pPr>
    </w:p>
    <w:p w14:paraId="63C420C0" w14:textId="0D451C11" w:rsidR="00F16214" w:rsidRPr="00C64F4E" w:rsidRDefault="00F16214" w:rsidP="00F16214">
      <w:pPr>
        <w:pStyle w:val="NoSpacing"/>
        <w:bidi w:val="0"/>
        <w:rPr>
          <w:sz w:val="24"/>
          <w:szCs w:val="24"/>
        </w:rPr>
      </w:pPr>
    </w:p>
    <w:p w14:paraId="2F52685B" w14:textId="60C912C1" w:rsidR="00F16214" w:rsidRDefault="00F16214" w:rsidP="00F16214">
      <w:pPr>
        <w:pStyle w:val="NoSpacing"/>
        <w:bidi w:val="0"/>
        <w:rPr>
          <w:sz w:val="28"/>
          <w:szCs w:val="28"/>
        </w:rPr>
      </w:pPr>
    </w:p>
    <w:p w14:paraId="1CE15C8B" w14:textId="1B901923" w:rsidR="00F16214" w:rsidRDefault="00F16214" w:rsidP="00F16214">
      <w:pPr>
        <w:pStyle w:val="NoSpacing"/>
        <w:bidi w:val="0"/>
        <w:rPr>
          <w:sz w:val="28"/>
          <w:szCs w:val="28"/>
        </w:rPr>
      </w:pPr>
    </w:p>
    <w:p w14:paraId="02210B77" w14:textId="677C1B5F" w:rsidR="00F16214" w:rsidRDefault="00F16214" w:rsidP="00F16214">
      <w:pPr>
        <w:pStyle w:val="NoSpacing"/>
        <w:bidi w:val="0"/>
        <w:rPr>
          <w:sz w:val="28"/>
          <w:szCs w:val="28"/>
        </w:rPr>
      </w:pPr>
    </w:p>
    <w:p w14:paraId="1F32FFF4" w14:textId="277D01CA" w:rsidR="00F16214" w:rsidRDefault="00F16214" w:rsidP="00F16214">
      <w:pPr>
        <w:pStyle w:val="NoSpacing"/>
        <w:bidi w:val="0"/>
        <w:rPr>
          <w:sz w:val="28"/>
          <w:szCs w:val="28"/>
        </w:rPr>
      </w:pPr>
    </w:p>
    <w:p w14:paraId="01BA5CE8" w14:textId="2A6DC35A" w:rsidR="00F16214" w:rsidRDefault="00F16214" w:rsidP="00F16214">
      <w:pPr>
        <w:pStyle w:val="NoSpacing"/>
        <w:bidi w:val="0"/>
        <w:rPr>
          <w:sz w:val="28"/>
          <w:szCs w:val="28"/>
        </w:rPr>
      </w:pPr>
    </w:p>
    <w:p w14:paraId="4FEC2FDB" w14:textId="514E7CDB" w:rsidR="00F16214" w:rsidRDefault="00F16214" w:rsidP="00F16214">
      <w:pPr>
        <w:pStyle w:val="NoSpacing"/>
        <w:bidi w:val="0"/>
        <w:rPr>
          <w:sz w:val="28"/>
          <w:szCs w:val="28"/>
        </w:rPr>
      </w:pPr>
    </w:p>
    <w:p w14:paraId="4B18B7EC" w14:textId="40A9CDDF" w:rsidR="00C64F4E" w:rsidRDefault="00C64F4E" w:rsidP="00C64F4E">
      <w:pPr>
        <w:pStyle w:val="NoSpacing"/>
        <w:bidi w:val="0"/>
        <w:rPr>
          <w:sz w:val="28"/>
          <w:szCs w:val="28"/>
        </w:rPr>
      </w:pPr>
    </w:p>
    <w:p w14:paraId="4D4BB981" w14:textId="08083F8B" w:rsidR="00C64F4E" w:rsidRDefault="00C64F4E" w:rsidP="00C64F4E">
      <w:pPr>
        <w:pStyle w:val="NoSpacing"/>
        <w:bidi w:val="0"/>
        <w:rPr>
          <w:sz w:val="28"/>
          <w:szCs w:val="28"/>
        </w:rPr>
      </w:pPr>
    </w:p>
    <w:p w14:paraId="3F7A7217" w14:textId="709E28DA" w:rsidR="00C64F4E" w:rsidRDefault="00C64F4E" w:rsidP="00C64F4E">
      <w:pPr>
        <w:pStyle w:val="NoSpacing"/>
        <w:bidi w:val="0"/>
        <w:rPr>
          <w:sz w:val="28"/>
          <w:szCs w:val="28"/>
        </w:rPr>
      </w:pPr>
    </w:p>
    <w:p w14:paraId="7E923890" w14:textId="1577B9FE" w:rsidR="00C64F4E" w:rsidRDefault="00C64F4E" w:rsidP="00C64F4E">
      <w:pPr>
        <w:pStyle w:val="NoSpacing"/>
        <w:bidi w:val="0"/>
        <w:rPr>
          <w:sz w:val="28"/>
          <w:szCs w:val="28"/>
        </w:rPr>
      </w:pPr>
    </w:p>
    <w:p w14:paraId="2D26F9BA" w14:textId="0935958F" w:rsidR="00C64F4E" w:rsidRDefault="00C64F4E" w:rsidP="00C64F4E">
      <w:pPr>
        <w:pStyle w:val="NoSpacing"/>
        <w:bidi w:val="0"/>
        <w:rPr>
          <w:sz w:val="28"/>
          <w:szCs w:val="28"/>
        </w:rPr>
      </w:pPr>
    </w:p>
    <w:p w14:paraId="67B750BC" w14:textId="64E2E5F6" w:rsidR="00C64F4E" w:rsidRDefault="00C64F4E" w:rsidP="00C64F4E">
      <w:pPr>
        <w:pStyle w:val="NoSpacing"/>
        <w:bidi w:val="0"/>
        <w:rPr>
          <w:sz w:val="28"/>
          <w:szCs w:val="28"/>
        </w:rPr>
      </w:pPr>
    </w:p>
    <w:p w14:paraId="6F9D0B32" w14:textId="0E4483CE" w:rsidR="00C64F4E" w:rsidRDefault="00C64F4E" w:rsidP="00C64F4E">
      <w:pPr>
        <w:pStyle w:val="NoSpacing"/>
        <w:bidi w:val="0"/>
        <w:rPr>
          <w:sz w:val="28"/>
          <w:szCs w:val="28"/>
        </w:rPr>
      </w:pPr>
    </w:p>
    <w:p w14:paraId="7581372C" w14:textId="5058729B" w:rsidR="00C64F4E" w:rsidRDefault="00C64F4E" w:rsidP="00C64F4E">
      <w:pPr>
        <w:pStyle w:val="NoSpacing"/>
        <w:bidi w:val="0"/>
        <w:rPr>
          <w:sz w:val="28"/>
          <w:szCs w:val="28"/>
        </w:rPr>
      </w:pPr>
    </w:p>
    <w:p w14:paraId="6C318B8F" w14:textId="2E4E4B5E" w:rsidR="00C64F4E" w:rsidRDefault="00C64F4E" w:rsidP="00C64F4E">
      <w:pPr>
        <w:pStyle w:val="NoSpacing"/>
        <w:bidi w:val="0"/>
        <w:rPr>
          <w:sz w:val="28"/>
          <w:szCs w:val="28"/>
        </w:rPr>
      </w:pPr>
    </w:p>
    <w:p w14:paraId="0CAE29E5" w14:textId="2C348CE0" w:rsidR="00C64F4E" w:rsidRDefault="00C64F4E" w:rsidP="00C64F4E">
      <w:pPr>
        <w:pStyle w:val="NoSpacing"/>
        <w:bidi w:val="0"/>
        <w:rPr>
          <w:sz w:val="28"/>
          <w:szCs w:val="28"/>
        </w:rPr>
      </w:pPr>
    </w:p>
    <w:p w14:paraId="770D433D" w14:textId="1A18088D" w:rsidR="00C64F4E" w:rsidRDefault="00C64F4E" w:rsidP="00C64F4E">
      <w:pPr>
        <w:pStyle w:val="NoSpacing"/>
        <w:bidi w:val="0"/>
        <w:rPr>
          <w:sz w:val="28"/>
          <w:szCs w:val="28"/>
        </w:rPr>
      </w:pPr>
    </w:p>
    <w:p w14:paraId="270CD820" w14:textId="65B9CA6B" w:rsidR="00C64F4E" w:rsidRDefault="00C64F4E" w:rsidP="00C64F4E">
      <w:pPr>
        <w:pStyle w:val="NoSpacing"/>
        <w:bidi w:val="0"/>
        <w:rPr>
          <w:sz w:val="28"/>
          <w:szCs w:val="28"/>
        </w:rPr>
      </w:pPr>
    </w:p>
    <w:p w14:paraId="23975E1D" w14:textId="1B70AC0D" w:rsidR="00C64F4E" w:rsidRDefault="00C64F4E" w:rsidP="00C64F4E">
      <w:pPr>
        <w:pStyle w:val="NoSpacing"/>
        <w:bidi w:val="0"/>
        <w:rPr>
          <w:sz w:val="28"/>
          <w:szCs w:val="28"/>
        </w:rPr>
      </w:pPr>
    </w:p>
    <w:p w14:paraId="4C8538AD" w14:textId="76C1E74F" w:rsidR="00C64F4E" w:rsidRDefault="00C64F4E" w:rsidP="00C64F4E">
      <w:pPr>
        <w:pStyle w:val="NoSpacing"/>
        <w:bidi w:val="0"/>
        <w:rPr>
          <w:sz w:val="28"/>
          <w:szCs w:val="28"/>
        </w:rPr>
      </w:pPr>
    </w:p>
    <w:p w14:paraId="07D3C6C7" w14:textId="244E4EA9" w:rsidR="00C64F4E" w:rsidRDefault="00C64F4E" w:rsidP="00C64F4E">
      <w:pPr>
        <w:pStyle w:val="NoSpacing"/>
        <w:bidi w:val="0"/>
        <w:rPr>
          <w:sz w:val="28"/>
          <w:szCs w:val="28"/>
        </w:rPr>
      </w:pPr>
    </w:p>
    <w:p w14:paraId="6B2C78E4" w14:textId="30DA8316" w:rsidR="00C64F4E" w:rsidRDefault="00C64F4E" w:rsidP="00C64F4E">
      <w:pPr>
        <w:pStyle w:val="NoSpacing"/>
        <w:bidi w:val="0"/>
        <w:rPr>
          <w:sz w:val="28"/>
          <w:szCs w:val="28"/>
        </w:rPr>
      </w:pPr>
    </w:p>
    <w:p w14:paraId="49E3BABC" w14:textId="558E7868" w:rsidR="00C64F4E" w:rsidRDefault="00C64F4E" w:rsidP="00C64F4E">
      <w:pPr>
        <w:pStyle w:val="NoSpacing"/>
        <w:bidi w:val="0"/>
        <w:rPr>
          <w:sz w:val="28"/>
          <w:szCs w:val="28"/>
        </w:rPr>
      </w:pPr>
    </w:p>
    <w:p w14:paraId="55AE0CCA" w14:textId="77777777" w:rsidR="00C64F4E" w:rsidRPr="00F16214" w:rsidRDefault="00C64F4E" w:rsidP="00C64F4E">
      <w:pPr>
        <w:pStyle w:val="NoSpacing"/>
        <w:bidi w:val="0"/>
        <w:rPr>
          <w:sz w:val="28"/>
          <w:szCs w:val="28"/>
        </w:rPr>
      </w:pPr>
    </w:p>
    <w:p w14:paraId="6ECC7618" w14:textId="75850ECC" w:rsidR="0077296F" w:rsidRPr="00E67799" w:rsidRDefault="0077296F" w:rsidP="00F16214">
      <w:pPr>
        <w:pStyle w:val="NoSpacing"/>
        <w:bidi w:val="0"/>
        <w:rPr>
          <w:rFonts w:cstheme="minorHAnsi"/>
          <w:b/>
          <w:bCs/>
          <w:sz w:val="24"/>
          <w:szCs w:val="24"/>
        </w:rPr>
      </w:pPr>
      <w:r w:rsidRPr="00E67799">
        <w:rPr>
          <w:rFonts w:cstheme="minorHAnsi"/>
          <w:b/>
          <w:bCs/>
          <w:sz w:val="24"/>
          <w:szCs w:val="24"/>
        </w:rPr>
        <w:t>Discussion</w:t>
      </w:r>
    </w:p>
    <w:p w14:paraId="52862FAE" w14:textId="77777777" w:rsidR="00C64F4E" w:rsidRPr="00E67799" w:rsidRDefault="004C73DE" w:rsidP="00C64F4E">
      <w:pPr>
        <w:pStyle w:val="NoSpacing"/>
        <w:bidi w:val="0"/>
        <w:rPr>
          <w:rFonts w:cstheme="minorHAnsi"/>
          <w:sz w:val="24"/>
          <w:szCs w:val="24"/>
        </w:rPr>
      </w:pPr>
      <w:r w:rsidRPr="00E67799">
        <w:rPr>
          <w:rFonts w:cstheme="minorHAnsi"/>
          <w:sz w:val="24"/>
          <w:szCs w:val="24"/>
        </w:rPr>
        <w:t>The spectrum of C</w:t>
      </w:r>
      <w:r w:rsidR="00E4304B" w:rsidRPr="00E67799">
        <w:rPr>
          <w:rFonts w:cstheme="minorHAnsi"/>
          <w:sz w:val="24"/>
          <w:szCs w:val="24"/>
        </w:rPr>
        <w:t>OVID-19</w:t>
      </w:r>
      <w:r w:rsidRPr="00E67799">
        <w:rPr>
          <w:rFonts w:cstheme="minorHAnsi"/>
          <w:sz w:val="24"/>
          <w:szCs w:val="24"/>
        </w:rPr>
        <w:t xml:space="preserve"> disease manifest with variable clinical presentations ranging from asymptomatic to severe and critical disease encompassing the immunologically mediated </w:t>
      </w:r>
      <w:r w:rsidR="00BF2C02" w:rsidRPr="00E67799">
        <w:rPr>
          <w:rFonts w:cstheme="minorHAnsi"/>
          <w:sz w:val="24"/>
          <w:szCs w:val="24"/>
        </w:rPr>
        <w:t xml:space="preserve">condition </w:t>
      </w:r>
      <w:r w:rsidRPr="00E67799">
        <w:rPr>
          <w:rFonts w:cstheme="minorHAnsi"/>
          <w:sz w:val="24"/>
          <w:szCs w:val="24"/>
        </w:rPr>
        <w:t xml:space="preserve">Cytokine Storm Syndrome (CSS) with significant morbidity and mortality </w:t>
      </w:r>
      <w:r w:rsidR="00106CA6" w:rsidRPr="00E67799">
        <w:rPr>
          <w:rFonts w:cstheme="minorHAnsi"/>
          <w:sz w:val="24"/>
          <w:szCs w:val="24"/>
        </w:rPr>
        <w:t>[</w:t>
      </w:r>
      <w:r w:rsidR="00432CA0" w:rsidRPr="00E67799">
        <w:rPr>
          <w:rFonts w:cstheme="minorHAnsi"/>
          <w:sz w:val="24"/>
          <w:szCs w:val="24"/>
        </w:rPr>
        <w:t>1</w:t>
      </w:r>
      <w:r w:rsidR="00106CA6" w:rsidRPr="00E67799">
        <w:rPr>
          <w:rFonts w:cstheme="minorHAnsi"/>
          <w:sz w:val="24"/>
          <w:szCs w:val="24"/>
        </w:rPr>
        <w:t>]</w:t>
      </w:r>
      <w:r w:rsidRPr="00E67799">
        <w:rPr>
          <w:rFonts w:cstheme="minorHAnsi"/>
          <w:sz w:val="24"/>
          <w:szCs w:val="24"/>
        </w:rPr>
        <w:t xml:space="preserve">. The clinical entity of CSS is characterized by an intense </w:t>
      </w:r>
      <w:r w:rsidR="00BF2C02" w:rsidRPr="00E67799">
        <w:rPr>
          <w:rFonts w:cstheme="minorHAnsi"/>
          <w:sz w:val="24"/>
          <w:szCs w:val="24"/>
        </w:rPr>
        <w:t xml:space="preserve">activation of the </w:t>
      </w:r>
      <w:r w:rsidRPr="00E67799">
        <w:rPr>
          <w:rFonts w:cstheme="minorHAnsi"/>
          <w:sz w:val="24"/>
          <w:szCs w:val="24"/>
        </w:rPr>
        <w:t>immun</w:t>
      </w:r>
      <w:r w:rsidR="00BF2C02" w:rsidRPr="00E67799">
        <w:rPr>
          <w:rFonts w:cstheme="minorHAnsi"/>
          <w:sz w:val="24"/>
          <w:szCs w:val="24"/>
        </w:rPr>
        <w:t xml:space="preserve">e system </w:t>
      </w:r>
      <w:r w:rsidRPr="00E67799">
        <w:rPr>
          <w:rFonts w:cstheme="minorHAnsi"/>
          <w:sz w:val="24"/>
          <w:szCs w:val="24"/>
        </w:rPr>
        <w:t xml:space="preserve"> with the release of various inflammatory mediators including cytokines such as</w:t>
      </w:r>
      <w:r w:rsidR="00575B65" w:rsidRPr="00E67799">
        <w:rPr>
          <w:rFonts w:cstheme="minorHAnsi"/>
          <w:sz w:val="24"/>
          <w:szCs w:val="24"/>
        </w:rPr>
        <w:t xml:space="preserve"> </w:t>
      </w:r>
      <w:r w:rsidRPr="00E67799">
        <w:rPr>
          <w:rFonts w:cstheme="minorHAnsi"/>
          <w:sz w:val="24"/>
          <w:szCs w:val="24"/>
        </w:rPr>
        <w:t xml:space="preserve"> </w:t>
      </w:r>
      <w:r w:rsidR="00575B65" w:rsidRPr="00E67799">
        <w:rPr>
          <w:rFonts w:cstheme="minorHAnsi"/>
          <w:sz w:val="24"/>
          <w:szCs w:val="24"/>
        </w:rPr>
        <w:t xml:space="preserve">interleukin 6 (IL-6), IL-10, and tumor necrosis factor α (TNF-α) </w:t>
      </w:r>
      <w:r w:rsidRPr="00E67799">
        <w:rPr>
          <w:rFonts w:cstheme="minorHAnsi"/>
          <w:sz w:val="24"/>
          <w:szCs w:val="24"/>
        </w:rPr>
        <w:t xml:space="preserve">leading to systemic manifestations , end organs damage and eventually </w:t>
      </w:r>
      <w:r w:rsidR="00575B65" w:rsidRPr="00E67799">
        <w:rPr>
          <w:rFonts w:cstheme="minorHAnsi"/>
          <w:sz w:val="24"/>
          <w:szCs w:val="24"/>
        </w:rPr>
        <w:t xml:space="preserve">failure and unfavorable outcomes </w:t>
      </w:r>
      <w:bookmarkStart w:id="2" w:name="_Hlk69566934"/>
      <w:r w:rsidR="00F30E0B" w:rsidRPr="00E67799">
        <w:rPr>
          <w:rFonts w:cstheme="minorHAnsi"/>
          <w:sz w:val="24"/>
          <w:szCs w:val="24"/>
        </w:rPr>
        <w:t>[</w:t>
      </w:r>
      <w:bookmarkEnd w:id="2"/>
      <w:r w:rsidR="00D60B5B" w:rsidRPr="00E67799">
        <w:rPr>
          <w:rFonts w:cstheme="minorHAnsi"/>
          <w:sz w:val="24"/>
          <w:szCs w:val="24"/>
        </w:rPr>
        <w:t>10]</w:t>
      </w:r>
      <w:r w:rsidR="00C64F4E" w:rsidRPr="00E67799">
        <w:rPr>
          <w:rFonts w:cstheme="minorHAnsi"/>
          <w:sz w:val="24"/>
          <w:szCs w:val="24"/>
        </w:rPr>
        <w:t xml:space="preserve">. </w:t>
      </w:r>
    </w:p>
    <w:p w14:paraId="663BEF95" w14:textId="5C86727C" w:rsidR="00106CA6" w:rsidRPr="00E67799" w:rsidRDefault="00575B65" w:rsidP="00C64F4E">
      <w:pPr>
        <w:pStyle w:val="NoSpacing"/>
        <w:bidi w:val="0"/>
        <w:rPr>
          <w:rFonts w:cstheme="minorHAnsi"/>
          <w:sz w:val="24"/>
          <w:szCs w:val="24"/>
        </w:rPr>
      </w:pPr>
      <w:r w:rsidRPr="00E67799">
        <w:rPr>
          <w:rFonts w:cstheme="minorHAnsi"/>
          <w:sz w:val="24"/>
          <w:szCs w:val="24"/>
        </w:rPr>
        <w:t xml:space="preserve">Because of circumstantial </w:t>
      </w:r>
      <w:r w:rsidR="00F30E0B" w:rsidRPr="00E67799">
        <w:rPr>
          <w:rFonts w:cstheme="minorHAnsi"/>
          <w:sz w:val="24"/>
          <w:szCs w:val="24"/>
        </w:rPr>
        <w:t>correlation with</w:t>
      </w:r>
      <w:r w:rsidRPr="00E67799">
        <w:rPr>
          <w:rFonts w:cstheme="minorHAnsi"/>
          <w:sz w:val="24"/>
          <w:szCs w:val="24"/>
        </w:rPr>
        <w:t xml:space="preserve"> </w:t>
      </w:r>
      <w:r w:rsidR="00BF2C02" w:rsidRPr="00E67799">
        <w:rPr>
          <w:rFonts w:cstheme="minorHAnsi"/>
          <w:sz w:val="24"/>
          <w:szCs w:val="24"/>
        </w:rPr>
        <w:t>disease progression</w:t>
      </w:r>
      <w:r w:rsidR="00F30E0B" w:rsidRPr="00E67799">
        <w:rPr>
          <w:rFonts w:cstheme="minorHAnsi"/>
          <w:sz w:val="24"/>
          <w:szCs w:val="24"/>
        </w:rPr>
        <w:t xml:space="preserve"> </w:t>
      </w:r>
      <w:r w:rsidRPr="00E67799">
        <w:rPr>
          <w:rFonts w:cstheme="minorHAnsi"/>
          <w:sz w:val="24"/>
          <w:szCs w:val="24"/>
        </w:rPr>
        <w:t>towards mechanical</w:t>
      </w:r>
      <w:r w:rsidR="00F30E0B" w:rsidRPr="00E67799">
        <w:rPr>
          <w:rFonts w:cstheme="minorHAnsi"/>
          <w:sz w:val="24"/>
          <w:szCs w:val="24"/>
        </w:rPr>
        <w:t xml:space="preserve"> ventilation, </w:t>
      </w:r>
      <w:r w:rsidRPr="00E67799">
        <w:rPr>
          <w:rFonts w:cstheme="minorHAnsi"/>
          <w:sz w:val="24"/>
          <w:szCs w:val="24"/>
        </w:rPr>
        <w:t xml:space="preserve">prolonged </w:t>
      </w:r>
      <w:r w:rsidR="00F30E0B" w:rsidRPr="00E67799">
        <w:rPr>
          <w:rFonts w:cstheme="minorHAnsi"/>
          <w:sz w:val="24"/>
          <w:szCs w:val="24"/>
        </w:rPr>
        <w:t xml:space="preserve">hospital stays, </w:t>
      </w:r>
      <w:r w:rsidRPr="00E67799">
        <w:rPr>
          <w:rFonts w:cstheme="minorHAnsi"/>
          <w:sz w:val="24"/>
          <w:szCs w:val="24"/>
        </w:rPr>
        <w:t xml:space="preserve">significant morbidity and </w:t>
      </w:r>
      <w:r w:rsidR="0033303B" w:rsidRPr="00E67799">
        <w:rPr>
          <w:rFonts w:cstheme="minorHAnsi"/>
          <w:sz w:val="24"/>
          <w:szCs w:val="24"/>
        </w:rPr>
        <w:t>mortality,</w:t>
      </w:r>
      <w:r w:rsidR="00F30E0B" w:rsidRPr="00E67799">
        <w:rPr>
          <w:rFonts w:cstheme="minorHAnsi"/>
          <w:sz w:val="24"/>
          <w:szCs w:val="24"/>
        </w:rPr>
        <w:t xml:space="preserve"> </w:t>
      </w:r>
      <w:r w:rsidRPr="00E67799">
        <w:rPr>
          <w:rFonts w:cstheme="minorHAnsi"/>
          <w:sz w:val="24"/>
          <w:szCs w:val="24"/>
        </w:rPr>
        <w:t>e</w:t>
      </w:r>
      <w:r w:rsidR="00F30E0B" w:rsidRPr="00E67799">
        <w:rPr>
          <w:rFonts w:cstheme="minorHAnsi"/>
          <w:sz w:val="24"/>
          <w:szCs w:val="24"/>
        </w:rPr>
        <w:t xml:space="preserve">arly detection of </w:t>
      </w:r>
      <w:r w:rsidRPr="00E67799">
        <w:rPr>
          <w:rFonts w:cstheme="minorHAnsi"/>
          <w:sz w:val="24"/>
          <w:szCs w:val="24"/>
        </w:rPr>
        <w:t xml:space="preserve">CSS is </w:t>
      </w:r>
      <w:r w:rsidR="0033303B" w:rsidRPr="00E67799">
        <w:rPr>
          <w:rFonts w:cstheme="minorHAnsi"/>
          <w:sz w:val="24"/>
          <w:szCs w:val="24"/>
        </w:rPr>
        <w:t xml:space="preserve">certainly </w:t>
      </w:r>
      <w:r w:rsidR="00700E82" w:rsidRPr="00E67799">
        <w:rPr>
          <w:rFonts w:cstheme="minorHAnsi"/>
          <w:sz w:val="24"/>
          <w:szCs w:val="24"/>
        </w:rPr>
        <w:t>beneficial.</w:t>
      </w:r>
      <w:r w:rsidRPr="00E67799">
        <w:rPr>
          <w:rFonts w:cstheme="minorHAnsi"/>
          <w:sz w:val="24"/>
          <w:szCs w:val="24"/>
        </w:rPr>
        <w:t xml:space="preserve">  The evaluation is based</w:t>
      </w:r>
      <w:r w:rsidR="00F30E0B" w:rsidRPr="00E67799">
        <w:rPr>
          <w:rFonts w:cstheme="minorHAnsi"/>
          <w:sz w:val="24"/>
          <w:szCs w:val="24"/>
        </w:rPr>
        <w:t xml:space="preserve"> </w:t>
      </w:r>
      <w:r w:rsidRPr="00E67799">
        <w:rPr>
          <w:rFonts w:cstheme="minorHAnsi"/>
          <w:sz w:val="24"/>
          <w:szCs w:val="24"/>
        </w:rPr>
        <w:t xml:space="preserve">upon </w:t>
      </w:r>
      <w:r w:rsidR="00F30E0B" w:rsidRPr="00E67799">
        <w:rPr>
          <w:rFonts w:cstheme="minorHAnsi"/>
          <w:sz w:val="24"/>
          <w:szCs w:val="24"/>
        </w:rPr>
        <w:t xml:space="preserve"> multiple </w:t>
      </w:r>
      <w:r w:rsidRPr="00E67799">
        <w:rPr>
          <w:rFonts w:cstheme="minorHAnsi"/>
          <w:sz w:val="24"/>
          <w:szCs w:val="24"/>
        </w:rPr>
        <w:t xml:space="preserve">studied clinical  </w:t>
      </w:r>
      <w:r w:rsidR="00F30E0B" w:rsidRPr="00E67799">
        <w:rPr>
          <w:rFonts w:cstheme="minorHAnsi"/>
          <w:sz w:val="24"/>
          <w:szCs w:val="24"/>
        </w:rPr>
        <w:t xml:space="preserve">and </w:t>
      </w:r>
      <w:r w:rsidRPr="00E67799">
        <w:rPr>
          <w:rFonts w:cstheme="minorHAnsi"/>
          <w:sz w:val="24"/>
          <w:szCs w:val="24"/>
        </w:rPr>
        <w:t xml:space="preserve">laboratory </w:t>
      </w:r>
      <w:r w:rsidR="004B662F" w:rsidRPr="00E67799">
        <w:rPr>
          <w:rFonts w:cstheme="minorHAnsi"/>
          <w:sz w:val="24"/>
          <w:szCs w:val="24"/>
        </w:rPr>
        <w:t xml:space="preserve">parameters </w:t>
      </w:r>
      <w:r w:rsidRPr="00E67799">
        <w:rPr>
          <w:rFonts w:cstheme="minorHAnsi"/>
          <w:sz w:val="24"/>
          <w:szCs w:val="24"/>
        </w:rPr>
        <w:t xml:space="preserve"> which primarily </w:t>
      </w:r>
      <w:r w:rsidR="00F30E0B" w:rsidRPr="00E67799">
        <w:rPr>
          <w:rFonts w:cstheme="minorHAnsi"/>
          <w:sz w:val="24"/>
          <w:szCs w:val="24"/>
        </w:rPr>
        <w:t xml:space="preserve"> </w:t>
      </w:r>
      <w:r w:rsidRPr="00E67799">
        <w:rPr>
          <w:rFonts w:cstheme="minorHAnsi"/>
          <w:sz w:val="24"/>
          <w:szCs w:val="24"/>
        </w:rPr>
        <w:t xml:space="preserve">heralded by </w:t>
      </w:r>
      <w:r w:rsidR="004B662F" w:rsidRPr="00E67799">
        <w:rPr>
          <w:rFonts w:cstheme="minorHAnsi"/>
          <w:sz w:val="24"/>
          <w:szCs w:val="24"/>
        </w:rPr>
        <w:t xml:space="preserve">new </w:t>
      </w:r>
      <w:r w:rsidRPr="00E67799">
        <w:rPr>
          <w:rFonts w:cstheme="minorHAnsi"/>
          <w:sz w:val="24"/>
          <w:szCs w:val="24"/>
        </w:rPr>
        <w:t>clinical deterioration i</w:t>
      </w:r>
      <w:r w:rsidR="004B662F" w:rsidRPr="00E67799">
        <w:rPr>
          <w:rFonts w:cstheme="minorHAnsi"/>
          <w:sz w:val="24"/>
          <w:szCs w:val="24"/>
        </w:rPr>
        <w:t xml:space="preserve">n the </w:t>
      </w:r>
      <w:r w:rsidRPr="00E67799">
        <w:rPr>
          <w:rFonts w:cstheme="minorHAnsi"/>
          <w:sz w:val="24"/>
          <w:szCs w:val="24"/>
        </w:rPr>
        <w:t xml:space="preserve"> cardiopulmonary status coupled </w:t>
      </w:r>
      <w:r w:rsidR="004B662F" w:rsidRPr="00E67799">
        <w:rPr>
          <w:rFonts w:cstheme="minorHAnsi"/>
          <w:sz w:val="24"/>
          <w:szCs w:val="24"/>
        </w:rPr>
        <w:t xml:space="preserve">with </w:t>
      </w:r>
      <w:r w:rsidRPr="00E67799">
        <w:rPr>
          <w:rFonts w:cstheme="minorHAnsi"/>
          <w:sz w:val="24"/>
          <w:szCs w:val="24"/>
        </w:rPr>
        <w:t xml:space="preserve">significant deterioration in laboratory parameters </w:t>
      </w:r>
      <w:r w:rsidR="002263EF" w:rsidRPr="00E67799">
        <w:rPr>
          <w:rFonts w:cstheme="minorHAnsi"/>
          <w:sz w:val="24"/>
          <w:szCs w:val="24"/>
        </w:rPr>
        <w:t xml:space="preserve">predominantly </w:t>
      </w:r>
      <w:r w:rsidR="004B662F" w:rsidRPr="00E67799">
        <w:rPr>
          <w:rFonts w:cstheme="minorHAnsi"/>
          <w:sz w:val="24"/>
          <w:szCs w:val="24"/>
        </w:rPr>
        <w:t xml:space="preserve"> </w:t>
      </w:r>
      <w:r w:rsidRPr="00E67799">
        <w:rPr>
          <w:rFonts w:cstheme="minorHAnsi"/>
          <w:sz w:val="24"/>
          <w:szCs w:val="24"/>
        </w:rPr>
        <w:t xml:space="preserve">inflammatory markers such as </w:t>
      </w:r>
      <w:r w:rsidR="004B662F" w:rsidRPr="00E67799">
        <w:rPr>
          <w:rFonts w:cstheme="minorHAnsi"/>
          <w:sz w:val="24"/>
          <w:szCs w:val="24"/>
        </w:rPr>
        <w:t xml:space="preserve">WBCs, </w:t>
      </w:r>
      <w:r w:rsidRPr="00E67799">
        <w:rPr>
          <w:rFonts w:cstheme="minorHAnsi"/>
          <w:sz w:val="24"/>
          <w:szCs w:val="24"/>
        </w:rPr>
        <w:t xml:space="preserve">CRP , ferritin </w:t>
      </w:r>
      <w:r w:rsidR="004B662F" w:rsidRPr="00E67799">
        <w:rPr>
          <w:rFonts w:cstheme="minorHAnsi"/>
          <w:sz w:val="24"/>
          <w:szCs w:val="24"/>
        </w:rPr>
        <w:t xml:space="preserve">, LDH </w:t>
      </w:r>
      <w:r w:rsidRPr="00E67799">
        <w:rPr>
          <w:rFonts w:cstheme="minorHAnsi"/>
          <w:sz w:val="24"/>
          <w:szCs w:val="24"/>
        </w:rPr>
        <w:t xml:space="preserve">and IL-6 </w:t>
      </w:r>
      <w:r w:rsidR="00C64F4E" w:rsidRPr="00E67799">
        <w:rPr>
          <w:rFonts w:cstheme="minorHAnsi"/>
          <w:sz w:val="24"/>
          <w:szCs w:val="24"/>
        </w:rPr>
        <w:t>[</w:t>
      </w:r>
      <w:r w:rsidR="00D60B5B" w:rsidRPr="00E67799">
        <w:rPr>
          <w:rFonts w:cstheme="minorHAnsi"/>
          <w:sz w:val="24"/>
          <w:szCs w:val="24"/>
        </w:rPr>
        <w:t>11]</w:t>
      </w:r>
      <w:r w:rsidR="00700E82" w:rsidRPr="00E67799">
        <w:rPr>
          <w:rFonts w:cstheme="minorHAnsi"/>
          <w:sz w:val="24"/>
          <w:szCs w:val="24"/>
        </w:rPr>
        <w:t xml:space="preserve"> </w:t>
      </w:r>
      <w:bookmarkStart w:id="3" w:name="_Hlk69566941"/>
      <w:r w:rsidR="00C64F4E" w:rsidRPr="00E67799">
        <w:rPr>
          <w:rFonts w:cstheme="minorHAnsi"/>
          <w:sz w:val="24"/>
          <w:szCs w:val="24"/>
        </w:rPr>
        <w:t xml:space="preserve">. </w:t>
      </w:r>
      <w:r w:rsidR="004B662F" w:rsidRPr="00E67799">
        <w:rPr>
          <w:rFonts w:cstheme="minorHAnsi"/>
          <w:sz w:val="24"/>
          <w:szCs w:val="24"/>
        </w:rPr>
        <w:t xml:space="preserve">As a </w:t>
      </w:r>
      <w:r w:rsidR="00003F4B" w:rsidRPr="00E67799">
        <w:rPr>
          <w:rFonts w:cstheme="minorHAnsi"/>
          <w:sz w:val="24"/>
          <w:szCs w:val="24"/>
        </w:rPr>
        <w:t>consequence,</w:t>
      </w:r>
      <w:r w:rsidR="004B662F" w:rsidRPr="00E67799">
        <w:rPr>
          <w:rFonts w:cstheme="minorHAnsi"/>
          <w:sz w:val="24"/>
          <w:szCs w:val="24"/>
        </w:rPr>
        <w:t xml:space="preserve"> multiple guidance including the </w:t>
      </w:r>
      <w:r w:rsidR="00F30E0B" w:rsidRPr="00E67799">
        <w:rPr>
          <w:rFonts w:cstheme="minorHAnsi"/>
          <w:sz w:val="24"/>
          <w:szCs w:val="24"/>
        </w:rPr>
        <w:t>I</w:t>
      </w:r>
      <w:r w:rsidR="00003F4B" w:rsidRPr="00E67799">
        <w:rPr>
          <w:rFonts w:cstheme="minorHAnsi"/>
          <w:sz w:val="24"/>
          <w:szCs w:val="24"/>
        </w:rPr>
        <w:t>nfectious Diseases Society of America (IDSA) recommends</w:t>
      </w:r>
      <w:r w:rsidR="00F30E0B" w:rsidRPr="00E67799">
        <w:rPr>
          <w:rFonts w:cstheme="minorHAnsi"/>
          <w:sz w:val="24"/>
          <w:szCs w:val="24"/>
        </w:rPr>
        <w:t xml:space="preserve"> the use of </w:t>
      </w:r>
      <w:r w:rsidR="002263EF" w:rsidRPr="00E67799">
        <w:rPr>
          <w:rFonts w:cstheme="minorHAnsi"/>
          <w:sz w:val="24"/>
          <w:szCs w:val="24"/>
        </w:rPr>
        <w:t xml:space="preserve">immune suppressive therapy such as </w:t>
      </w:r>
      <w:r w:rsidR="004B662F" w:rsidRPr="00E67799">
        <w:rPr>
          <w:rFonts w:cstheme="minorHAnsi"/>
          <w:sz w:val="24"/>
          <w:szCs w:val="24"/>
        </w:rPr>
        <w:t>T</w:t>
      </w:r>
      <w:r w:rsidR="00F30E0B" w:rsidRPr="00E67799">
        <w:rPr>
          <w:rFonts w:cstheme="minorHAnsi"/>
          <w:sz w:val="24"/>
          <w:szCs w:val="24"/>
        </w:rPr>
        <w:t xml:space="preserve">ocilizumab </w:t>
      </w:r>
      <w:r w:rsidR="004B662F" w:rsidRPr="00E67799">
        <w:rPr>
          <w:rFonts w:cstheme="minorHAnsi"/>
          <w:sz w:val="24"/>
          <w:szCs w:val="24"/>
        </w:rPr>
        <w:t>for hospitalized</w:t>
      </w:r>
      <w:r w:rsidR="00F30E0B" w:rsidRPr="00E67799">
        <w:rPr>
          <w:rFonts w:cstheme="minorHAnsi"/>
          <w:sz w:val="24"/>
          <w:szCs w:val="24"/>
        </w:rPr>
        <w:t xml:space="preserve"> adults with progressive severe or critical COVID-19 </w:t>
      </w:r>
      <w:r w:rsidR="00003F4B" w:rsidRPr="00E67799">
        <w:rPr>
          <w:rFonts w:cstheme="minorHAnsi"/>
          <w:sz w:val="24"/>
          <w:szCs w:val="24"/>
        </w:rPr>
        <w:t xml:space="preserve">disease </w:t>
      </w:r>
      <w:r w:rsidR="00F30E0B" w:rsidRPr="00E67799">
        <w:rPr>
          <w:rFonts w:cstheme="minorHAnsi"/>
          <w:sz w:val="24"/>
          <w:szCs w:val="24"/>
        </w:rPr>
        <w:t>who develop</w:t>
      </w:r>
      <w:r w:rsidR="004B662F" w:rsidRPr="00E67799">
        <w:rPr>
          <w:rFonts w:cstheme="minorHAnsi"/>
          <w:sz w:val="24"/>
          <w:szCs w:val="24"/>
        </w:rPr>
        <w:t xml:space="preserve">s features </w:t>
      </w:r>
      <w:r w:rsidR="00003F4B" w:rsidRPr="00E67799">
        <w:rPr>
          <w:rFonts w:cstheme="minorHAnsi"/>
          <w:sz w:val="24"/>
          <w:szCs w:val="24"/>
        </w:rPr>
        <w:t>of hyperinflammatory</w:t>
      </w:r>
      <w:r w:rsidR="00F30E0B" w:rsidRPr="00E67799">
        <w:rPr>
          <w:rFonts w:cstheme="minorHAnsi"/>
          <w:sz w:val="24"/>
          <w:szCs w:val="24"/>
        </w:rPr>
        <w:t xml:space="preserve"> syndrome along with </w:t>
      </w:r>
      <w:r w:rsidR="00003F4B" w:rsidRPr="00E67799">
        <w:rPr>
          <w:rFonts w:cstheme="minorHAnsi"/>
          <w:sz w:val="24"/>
          <w:szCs w:val="24"/>
        </w:rPr>
        <w:t xml:space="preserve">standards of </w:t>
      </w:r>
      <w:r w:rsidR="00F30E0B" w:rsidRPr="00E67799">
        <w:rPr>
          <w:rFonts w:cstheme="minorHAnsi"/>
          <w:sz w:val="24"/>
          <w:szCs w:val="24"/>
        </w:rPr>
        <w:t>usual care</w:t>
      </w:r>
      <w:r w:rsidR="002263EF" w:rsidRPr="00E67799">
        <w:rPr>
          <w:rFonts w:cstheme="minorHAnsi"/>
          <w:sz w:val="24"/>
          <w:szCs w:val="24"/>
        </w:rPr>
        <w:t xml:space="preserve"> such as steroids </w:t>
      </w:r>
      <w:r w:rsidR="00F30E0B" w:rsidRPr="00E67799">
        <w:rPr>
          <w:rFonts w:cstheme="minorHAnsi"/>
          <w:sz w:val="24"/>
          <w:szCs w:val="24"/>
        </w:rPr>
        <w:t xml:space="preserve"> </w:t>
      </w:r>
      <w:r w:rsidR="00106CA6" w:rsidRPr="00E67799">
        <w:rPr>
          <w:rFonts w:cstheme="minorHAnsi"/>
          <w:sz w:val="24"/>
          <w:szCs w:val="24"/>
        </w:rPr>
        <w:t>[</w:t>
      </w:r>
      <w:r w:rsidR="000C02A7" w:rsidRPr="00E67799">
        <w:rPr>
          <w:rFonts w:cstheme="minorHAnsi"/>
          <w:sz w:val="24"/>
          <w:szCs w:val="24"/>
        </w:rPr>
        <w:t>1</w:t>
      </w:r>
      <w:r w:rsidR="00D60B5B" w:rsidRPr="00E67799">
        <w:rPr>
          <w:rFonts w:cstheme="minorHAnsi"/>
          <w:sz w:val="24"/>
          <w:szCs w:val="24"/>
        </w:rPr>
        <w:t>2</w:t>
      </w:r>
      <w:r w:rsidR="00106CA6" w:rsidRPr="00E67799">
        <w:rPr>
          <w:rFonts w:cstheme="minorHAnsi"/>
          <w:sz w:val="24"/>
          <w:szCs w:val="24"/>
        </w:rPr>
        <w:t>]</w:t>
      </w:r>
      <w:r w:rsidR="00700E82" w:rsidRPr="00E67799">
        <w:rPr>
          <w:rFonts w:cstheme="minorHAnsi"/>
          <w:sz w:val="24"/>
          <w:szCs w:val="24"/>
        </w:rPr>
        <w:t xml:space="preserve">. </w:t>
      </w:r>
      <w:r w:rsidR="009812A6" w:rsidRPr="00E67799">
        <w:rPr>
          <w:rFonts w:cstheme="minorHAnsi"/>
          <w:sz w:val="24"/>
          <w:szCs w:val="24"/>
        </w:rPr>
        <w:t xml:space="preserve"> </w:t>
      </w:r>
    </w:p>
    <w:p w14:paraId="25EB0161" w14:textId="77777777" w:rsidR="009812A6" w:rsidRPr="00E67799" w:rsidRDefault="009812A6" w:rsidP="009812A6">
      <w:pPr>
        <w:pStyle w:val="NoSpacing"/>
        <w:bidi w:val="0"/>
        <w:rPr>
          <w:rFonts w:cstheme="minorHAnsi"/>
          <w:sz w:val="24"/>
          <w:szCs w:val="24"/>
        </w:rPr>
      </w:pPr>
    </w:p>
    <w:p w14:paraId="6D9E379C" w14:textId="61F08966" w:rsidR="00E67973" w:rsidRPr="00226976" w:rsidRDefault="004B662F" w:rsidP="00E67799">
      <w:pPr>
        <w:pStyle w:val="NoSpacing"/>
        <w:bidi w:val="0"/>
        <w:rPr>
          <w:rFonts w:cstheme="minorHAnsi"/>
          <w:sz w:val="24"/>
          <w:szCs w:val="24"/>
        </w:rPr>
      </w:pPr>
      <w:r w:rsidRPr="00E67799">
        <w:rPr>
          <w:rFonts w:cstheme="minorHAnsi"/>
          <w:sz w:val="24"/>
          <w:szCs w:val="24"/>
        </w:rPr>
        <w:t>T</w:t>
      </w:r>
      <w:r w:rsidR="00F30E0B" w:rsidRPr="00E67799">
        <w:rPr>
          <w:rFonts w:cstheme="minorHAnsi"/>
          <w:sz w:val="24"/>
          <w:szCs w:val="24"/>
        </w:rPr>
        <w:t xml:space="preserve">ocilizumab is </w:t>
      </w:r>
      <w:r w:rsidRPr="00E67799">
        <w:rPr>
          <w:rFonts w:cstheme="minorHAnsi"/>
          <w:sz w:val="24"/>
          <w:szCs w:val="24"/>
        </w:rPr>
        <w:t xml:space="preserve">a specific biological </w:t>
      </w:r>
      <w:r w:rsidR="002F576C" w:rsidRPr="00E67799">
        <w:rPr>
          <w:rFonts w:cstheme="minorHAnsi"/>
          <w:sz w:val="24"/>
          <w:szCs w:val="24"/>
        </w:rPr>
        <w:t xml:space="preserve">monoclonal </w:t>
      </w:r>
      <w:r w:rsidR="00003F4B" w:rsidRPr="00E67799">
        <w:rPr>
          <w:rFonts w:cstheme="minorHAnsi"/>
          <w:sz w:val="24"/>
          <w:szCs w:val="24"/>
        </w:rPr>
        <w:t>antibody directed</w:t>
      </w:r>
      <w:r w:rsidR="002F576C" w:rsidRPr="00E67799">
        <w:rPr>
          <w:rFonts w:cstheme="minorHAnsi"/>
          <w:sz w:val="24"/>
          <w:szCs w:val="24"/>
        </w:rPr>
        <w:t xml:space="preserve"> against </w:t>
      </w:r>
      <w:r w:rsidR="00F30E0B" w:rsidRPr="00E67799">
        <w:rPr>
          <w:rFonts w:cstheme="minorHAnsi"/>
          <w:sz w:val="24"/>
          <w:szCs w:val="24"/>
        </w:rPr>
        <w:t>anti-IL-6-receptor</w:t>
      </w:r>
      <w:r w:rsidR="002F576C" w:rsidRPr="00E67799">
        <w:rPr>
          <w:rFonts w:cstheme="minorHAnsi"/>
          <w:sz w:val="24"/>
          <w:szCs w:val="24"/>
        </w:rPr>
        <w:t>s</w:t>
      </w:r>
      <w:r w:rsidR="00F30E0B" w:rsidRPr="00E67799">
        <w:rPr>
          <w:rFonts w:cstheme="minorHAnsi"/>
          <w:sz w:val="24"/>
          <w:szCs w:val="24"/>
        </w:rPr>
        <w:t xml:space="preserve"> blocking</w:t>
      </w:r>
      <w:r w:rsidR="002F576C" w:rsidRPr="00E67799">
        <w:rPr>
          <w:rFonts w:cstheme="minorHAnsi"/>
          <w:sz w:val="24"/>
          <w:szCs w:val="24"/>
        </w:rPr>
        <w:t xml:space="preserve"> </w:t>
      </w:r>
      <w:proofErr w:type="gramStart"/>
      <w:r w:rsidR="00F16214" w:rsidRPr="00E67799">
        <w:rPr>
          <w:rFonts w:cstheme="minorHAnsi"/>
          <w:sz w:val="24"/>
          <w:szCs w:val="24"/>
        </w:rPr>
        <w:t>its</w:t>
      </w:r>
      <w:proofErr w:type="gramEnd"/>
      <w:r w:rsidR="002F576C" w:rsidRPr="00E67799">
        <w:rPr>
          <w:rFonts w:cstheme="minorHAnsi"/>
          <w:sz w:val="24"/>
          <w:szCs w:val="24"/>
        </w:rPr>
        <w:t xml:space="preserve"> signaling </w:t>
      </w:r>
      <w:r w:rsidR="00003F4B" w:rsidRPr="00E67799">
        <w:rPr>
          <w:rFonts w:cstheme="minorHAnsi"/>
          <w:sz w:val="24"/>
          <w:szCs w:val="24"/>
        </w:rPr>
        <w:t>pathways to</w:t>
      </w:r>
      <w:r w:rsidR="002F576C" w:rsidRPr="00E67799">
        <w:rPr>
          <w:rFonts w:cstheme="minorHAnsi"/>
          <w:sz w:val="24"/>
          <w:szCs w:val="24"/>
        </w:rPr>
        <w:t xml:space="preserve"> activate the immune system</w:t>
      </w:r>
      <w:r w:rsidR="00003F4B" w:rsidRPr="00E67799">
        <w:rPr>
          <w:rFonts w:cstheme="minorHAnsi"/>
          <w:sz w:val="24"/>
          <w:szCs w:val="24"/>
        </w:rPr>
        <w:t xml:space="preserve"> at cellular </w:t>
      </w:r>
      <w:r w:rsidR="0033303B" w:rsidRPr="00E67799">
        <w:rPr>
          <w:rFonts w:cstheme="minorHAnsi"/>
          <w:sz w:val="24"/>
          <w:szCs w:val="24"/>
        </w:rPr>
        <w:t>level.</w:t>
      </w:r>
      <w:r w:rsidR="002F576C" w:rsidRPr="00E67799">
        <w:rPr>
          <w:rFonts w:cstheme="minorHAnsi"/>
          <w:sz w:val="24"/>
          <w:szCs w:val="24"/>
        </w:rPr>
        <w:t xml:space="preserve"> It was </w:t>
      </w:r>
      <w:r w:rsidR="00F30E0B" w:rsidRPr="00E67799">
        <w:rPr>
          <w:rFonts w:cstheme="minorHAnsi"/>
          <w:sz w:val="24"/>
          <w:szCs w:val="24"/>
        </w:rPr>
        <w:t xml:space="preserve">approved by FDA for </w:t>
      </w:r>
      <w:r w:rsidR="002F576C" w:rsidRPr="00E67799">
        <w:rPr>
          <w:rFonts w:cstheme="minorHAnsi"/>
          <w:sz w:val="24"/>
          <w:szCs w:val="24"/>
        </w:rPr>
        <w:t xml:space="preserve">various </w:t>
      </w:r>
      <w:r w:rsidR="00F30E0B" w:rsidRPr="00E67799">
        <w:rPr>
          <w:rFonts w:cstheme="minorHAnsi"/>
          <w:sz w:val="24"/>
          <w:szCs w:val="24"/>
        </w:rPr>
        <w:t>rheumatologic conditions as well as cytokine release syndrome associated with CAR-T cell therapy</w:t>
      </w:r>
      <w:r w:rsidRPr="00E67799">
        <w:rPr>
          <w:rFonts w:cstheme="minorHAnsi"/>
          <w:sz w:val="24"/>
          <w:szCs w:val="24"/>
        </w:rPr>
        <w:t xml:space="preserve"> </w:t>
      </w:r>
      <w:r w:rsidR="00F30E0B" w:rsidRPr="00E67799">
        <w:rPr>
          <w:rFonts w:cstheme="minorHAnsi"/>
          <w:sz w:val="24"/>
          <w:szCs w:val="24"/>
        </w:rPr>
        <w:t>[</w:t>
      </w:r>
      <w:r w:rsidR="00D60B5B" w:rsidRPr="00E67799">
        <w:rPr>
          <w:rFonts w:cstheme="minorHAnsi"/>
          <w:sz w:val="24"/>
          <w:szCs w:val="24"/>
        </w:rPr>
        <w:t>9</w:t>
      </w:r>
      <w:r w:rsidR="00F2134C" w:rsidRPr="00E67799">
        <w:rPr>
          <w:rFonts w:cstheme="minorHAnsi"/>
          <w:sz w:val="24"/>
          <w:szCs w:val="24"/>
        </w:rPr>
        <w:t>]</w:t>
      </w:r>
      <w:r w:rsidR="00700E82" w:rsidRPr="00E67799">
        <w:rPr>
          <w:rFonts w:cstheme="minorHAnsi"/>
          <w:sz w:val="24"/>
          <w:szCs w:val="24"/>
        </w:rPr>
        <w:t>.</w:t>
      </w:r>
      <w:bookmarkEnd w:id="3"/>
      <w:r w:rsidR="00700E82" w:rsidRPr="00E67799">
        <w:rPr>
          <w:rFonts w:cstheme="minorHAnsi"/>
          <w:sz w:val="24"/>
          <w:szCs w:val="24"/>
        </w:rPr>
        <w:t xml:space="preserve"> </w:t>
      </w:r>
      <w:r w:rsidRPr="00E67799">
        <w:rPr>
          <w:rFonts w:cstheme="minorHAnsi"/>
          <w:sz w:val="24"/>
          <w:szCs w:val="24"/>
        </w:rPr>
        <w:t xml:space="preserve">The therapeutic benefit of the drug was recognized early during the pandemic in hindering immune activation thus </w:t>
      </w:r>
      <w:r w:rsidR="00F30E0B" w:rsidRPr="00E67799">
        <w:rPr>
          <w:rFonts w:cstheme="minorHAnsi"/>
          <w:sz w:val="24"/>
          <w:szCs w:val="24"/>
        </w:rPr>
        <w:t xml:space="preserve">decreasing </w:t>
      </w:r>
      <w:r w:rsidRPr="00E67799">
        <w:rPr>
          <w:rFonts w:cstheme="minorHAnsi"/>
          <w:sz w:val="24"/>
          <w:szCs w:val="24"/>
        </w:rPr>
        <w:t>end</w:t>
      </w:r>
      <w:r w:rsidR="002F576C" w:rsidRPr="00E67799">
        <w:rPr>
          <w:rFonts w:cstheme="minorHAnsi"/>
          <w:sz w:val="24"/>
          <w:szCs w:val="24"/>
        </w:rPr>
        <w:t>-</w:t>
      </w:r>
      <w:r w:rsidRPr="00E67799">
        <w:rPr>
          <w:rFonts w:cstheme="minorHAnsi"/>
          <w:sz w:val="24"/>
          <w:szCs w:val="24"/>
        </w:rPr>
        <w:t xml:space="preserve">organs dysfunctions as well as </w:t>
      </w:r>
      <w:r w:rsidR="00F30E0B" w:rsidRPr="00E67799">
        <w:rPr>
          <w:rFonts w:cstheme="minorHAnsi"/>
          <w:sz w:val="24"/>
          <w:szCs w:val="24"/>
        </w:rPr>
        <w:t xml:space="preserve">the need for intubation. </w:t>
      </w:r>
      <w:r w:rsidR="002F576C" w:rsidRPr="00E67799">
        <w:rPr>
          <w:rFonts w:cstheme="minorHAnsi"/>
          <w:sz w:val="24"/>
          <w:szCs w:val="24"/>
        </w:rPr>
        <w:t xml:space="preserve">Nevertheless, there were paucity of data </w:t>
      </w:r>
      <w:r w:rsidR="00F30E0B" w:rsidRPr="00E67799">
        <w:rPr>
          <w:rFonts w:cstheme="minorHAnsi"/>
          <w:sz w:val="24"/>
          <w:szCs w:val="24"/>
        </w:rPr>
        <w:t xml:space="preserve">about </w:t>
      </w:r>
      <w:r w:rsidR="002F576C" w:rsidRPr="00E67799">
        <w:rPr>
          <w:rFonts w:cstheme="minorHAnsi"/>
          <w:sz w:val="24"/>
          <w:szCs w:val="24"/>
        </w:rPr>
        <w:t xml:space="preserve">short term </w:t>
      </w:r>
      <w:r w:rsidR="00F30E0B" w:rsidRPr="00E67799">
        <w:rPr>
          <w:rFonts w:cstheme="minorHAnsi"/>
          <w:sz w:val="24"/>
          <w:szCs w:val="24"/>
        </w:rPr>
        <w:t xml:space="preserve">safety </w:t>
      </w:r>
      <w:r w:rsidRPr="00E67799">
        <w:rPr>
          <w:rFonts w:cstheme="minorHAnsi"/>
          <w:sz w:val="24"/>
          <w:szCs w:val="24"/>
        </w:rPr>
        <w:t xml:space="preserve">and tolerability of </w:t>
      </w:r>
      <w:r w:rsidR="002F576C" w:rsidRPr="00E67799">
        <w:rPr>
          <w:rFonts w:cstheme="minorHAnsi"/>
          <w:sz w:val="24"/>
          <w:szCs w:val="24"/>
        </w:rPr>
        <w:t>tocilizumab</w:t>
      </w:r>
      <w:r w:rsidR="002263EF" w:rsidRPr="00E67799">
        <w:rPr>
          <w:rFonts w:cstheme="minorHAnsi"/>
          <w:sz w:val="24"/>
          <w:szCs w:val="24"/>
        </w:rPr>
        <w:t xml:space="preserve"> as in COVID-19 disease.</w:t>
      </w:r>
      <w:r w:rsidR="002F576C" w:rsidRPr="00E67799">
        <w:rPr>
          <w:rFonts w:cstheme="minorHAnsi"/>
          <w:sz w:val="24"/>
          <w:szCs w:val="24"/>
        </w:rPr>
        <w:t xml:space="preserve"> </w:t>
      </w:r>
      <w:proofErr w:type="gramStart"/>
      <w:r w:rsidR="002F576C" w:rsidRPr="00E67799">
        <w:rPr>
          <w:rFonts w:cstheme="minorHAnsi"/>
          <w:sz w:val="24"/>
          <w:szCs w:val="24"/>
        </w:rPr>
        <w:t>The majority of</w:t>
      </w:r>
      <w:proofErr w:type="gramEnd"/>
      <w:r w:rsidR="002F576C" w:rsidRPr="00E67799">
        <w:rPr>
          <w:rFonts w:cstheme="minorHAnsi"/>
          <w:sz w:val="24"/>
          <w:szCs w:val="24"/>
        </w:rPr>
        <w:t xml:space="preserve"> previous published data </w:t>
      </w:r>
      <w:r w:rsidR="00F30E0B" w:rsidRPr="00E67799">
        <w:rPr>
          <w:rFonts w:cstheme="minorHAnsi"/>
          <w:sz w:val="24"/>
          <w:szCs w:val="24"/>
        </w:rPr>
        <w:t xml:space="preserve">was mainly </w:t>
      </w:r>
      <w:r w:rsidRPr="00E67799">
        <w:rPr>
          <w:rFonts w:cstheme="minorHAnsi"/>
          <w:sz w:val="24"/>
          <w:szCs w:val="24"/>
        </w:rPr>
        <w:t xml:space="preserve">reported in the context of </w:t>
      </w:r>
      <w:r w:rsidR="002F576C" w:rsidRPr="00E67799">
        <w:rPr>
          <w:rFonts w:cstheme="minorHAnsi"/>
          <w:sz w:val="24"/>
          <w:szCs w:val="24"/>
        </w:rPr>
        <w:t xml:space="preserve">prolonged treatment of </w:t>
      </w:r>
      <w:r w:rsidRPr="00E67799">
        <w:rPr>
          <w:rFonts w:cstheme="minorHAnsi"/>
          <w:sz w:val="24"/>
          <w:szCs w:val="24"/>
        </w:rPr>
        <w:t>rheumatological condition</w:t>
      </w:r>
      <w:r w:rsidR="00003F4B" w:rsidRPr="00E67799">
        <w:rPr>
          <w:rFonts w:cstheme="minorHAnsi"/>
          <w:sz w:val="24"/>
          <w:szCs w:val="24"/>
        </w:rPr>
        <w:t>s</w:t>
      </w:r>
      <w:r w:rsidRPr="00E67799">
        <w:rPr>
          <w:rFonts w:cstheme="minorHAnsi"/>
          <w:sz w:val="24"/>
          <w:szCs w:val="24"/>
        </w:rPr>
        <w:t xml:space="preserve"> </w:t>
      </w:r>
      <w:r w:rsidR="002F576C" w:rsidRPr="00E67799">
        <w:rPr>
          <w:rFonts w:cstheme="minorHAnsi"/>
          <w:sz w:val="24"/>
          <w:szCs w:val="24"/>
        </w:rPr>
        <w:t>including rheumatoid</w:t>
      </w:r>
      <w:r w:rsidR="00F30E0B" w:rsidRPr="00E67799">
        <w:rPr>
          <w:rFonts w:cstheme="minorHAnsi"/>
          <w:sz w:val="24"/>
          <w:szCs w:val="24"/>
        </w:rPr>
        <w:t xml:space="preserve"> arthritis. In a network metanalysis investigated potential </w:t>
      </w:r>
      <w:r w:rsidRPr="00E67799">
        <w:rPr>
          <w:rFonts w:cstheme="minorHAnsi"/>
          <w:sz w:val="24"/>
          <w:szCs w:val="24"/>
        </w:rPr>
        <w:t>adverse reactions</w:t>
      </w:r>
      <w:r w:rsidR="00F30E0B" w:rsidRPr="00E67799">
        <w:rPr>
          <w:rFonts w:cstheme="minorHAnsi"/>
          <w:sz w:val="24"/>
          <w:szCs w:val="24"/>
        </w:rPr>
        <w:t xml:space="preserve"> in patients with any disease condition</w:t>
      </w:r>
      <w:r w:rsidRPr="00E67799">
        <w:rPr>
          <w:rFonts w:cstheme="minorHAnsi"/>
          <w:sz w:val="24"/>
          <w:szCs w:val="24"/>
        </w:rPr>
        <w:t>s</w:t>
      </w:r>
      <w:r w:rsidR="00F30E0B" w:rsidRPr="00E67799">
        <w:rPr>
          <w:rFonts w:cstheme="minorHAnsi"/>
          <w:sz w:val="24"/>
          <w:szCs w:val="24"/>
        </w:rPr>
        <w:t xml:space="preserve"> except HIV, tocilizumab </w:t>
      </w:r>
      <w:r w:rsidRPr="00E67799">
        <w:rPr>
          <w:rFonts w:cstheme="minorHAnsi"/>
          <w:sz w:val="24"/>
          <w:szCs w:val="24"/>
        </w:rPr>
        <w:t xml:space="preserve">was associated </w:t>
      </w:r>
      <w:r w:rsidR="002F576C" w:rsidRPr="00E67799">
        <w:rPr>
          <w:rFonts w:cstheme="minorHAnsi"/>
          <w:sz w:val="24"/>
          <w:szCs w:val="24"/>
        </w:rPr>
        <w:t>with gastrointestinal</w:t>
      </w:r>
      <w:r w:rsidR="00F30E0B" w:rsidRPr="00E67799">
        <w:rPr>
          <w:rFonts w:cstheme="minorHAnsi"/>
          <w:sz w:val="24"/>
          <w:szCs w:val="24"/>
        </w:rPr>
        <w:t xml:space="preserve"> disorders, dyslipidemia, elevated liver enzymes </w:t>
      </w:r>
      <w:r w:rsidR="00003F4B" w:rsidRPr="00E67799">
        <w:rPr>
          <w:rFonts w:cstheme="minorHAnsi"/>
          <w:sz w:val="24"/>
          <w:szCs w:val="24"/>
        </w:rPr>
        <w:t>and neutropenia</w:t>
      </w:r>
      <w:r w:rsidR="00F30E0B" w:rsidRPr="00E67799">
        <w:rPr>
          <w:rFonts w:cstheme="minorHAnsi"/>
          <w:sz w:val="24"/>
          <w:szCs w:val="24"/>
        </w:rPr>
        <w:t xml:space="preserve">. </w:t>
      </w:r>
      <w:r w:rsidRPr="00E67799">
        <w:rPr>
          <w:rFonts w:cstheme="minorHAnsi"/>
          <w:sz w:val="24"/>
          <w:szCs w:val="24"/>
        </w:rPr>
        <w:t>M</w:t>
      </w:r>
      <w:r w:rsidR="00F30E0B" w:rsidRPr="00E67799">
        <w:rPr>
          <w:rFonts w:cstheme="minorHAnsi"/>
          <w:sz w:val="24"/>
          <w:szCs w:val="24"/>
        </w:rPr>
        <w:t>oreover, The US</w:t>
      </w:r>
      <w:r w:rsidR="002263EF" w:rsidRPr="00E67799">
        <w:rPr>
          <w:rFonts w:cstheme="minorHAnsi"/>
          <w:sz w:val="24"/>
          <w:szCs w:val="24"/>
        </w:rPr>
        <w:t>A</w:t>
      </w:r>
      <w:r w:rsidR="00F30E0B" w:rsidRPr="00E67799">
        <w:rPr>
          <w:rFonts w:cstheme="minorHAnsi"/>
          <w:sz w:val="24"/>
          <w:szCs w:val="24"/>
        </w:rPr>
        <w:t xml:space="preserve"> FDA’s black box warn</w:t>
      </w:r>
      <w:r w:rsidRPr="00E67799">
        <w:rPr>
          <w:rFonts w:cstheme="minorHAnsi"/>
          <w:sz w:val="24"/>
          <w:szCs w:val="24"/>
        </w:rPr>
        <w:t xml:space="preserve">ed </w:t>
      </w:r>
      <w:r w:rsidR="002F576C" w:rsidRPr="00E67799">
        <w:rPr>
          <w:rFonts w:cstheme="minorHAnsi"/>
          <w:sz w:val="24"/>
          <w:szCs w:val="24"/>
        </w:rPr>
        <w:t>against increased</w:t>
      </w:r>
      <w:r w:rsidR="00F30E0B" w:rsidRPr="00E67799">
        <w:rPr>
          <w:rFonts w:cstheme="minorHAnsi"/>
          <w:sz w:val="24"/>
          <w:szCs w:val="24"/>
        </w:rPr>
        <w:t xml:space="preserve"> serious infections </w:t>
      </w:r>
      <w:r w:rsidRPr="00E67799">
        <w:rPr>
          <w:rFonts w:cstheme="minorHAnsi"/>
          <w:sz w:val="24"/>
          <w:szCs w:val="24"/>
        </w:rPr>
        <w:t xml:space="preserve">with most biological treatment such as active </w:t>
      </w:r>
      <w:r w:rsidR="00F30E0B" w:rsidRPr="00E67799">
        <w:rPr>
          <w:rFonts w:cstheme="minorHAnsi"/>
          <w:sz w:val="24"/>
          <w:szCs w:val="24"/>
        </w:rPr>
        <w:t>tuberculosis,</w:t>
      </w:r>
      <w:r w:rsidRPr="00E67799">
        <w:rPr>
          <w:rFonts w:cstheme="minorHAnsi"/>
          <w:sz w:val="24"/>
          <w:szCs w:val="24"/>
        </w:rPr>
        <w:t xml:space="preserve"> bacterial </w:t>
      </w:r>
      <w:r w:rsidR="00003F4B" w:rsidRPr="00E67799">
        <w:rPr>
          <w:rFonts w:cstheme="minorHAnsi"/>
          <w:sz w:val="24"/>
          <w:szCs w:val="24"/>
        </w:rPr>
        <w:t>infections as</w:t>
      </w:r>
      <w:r w:rsidRPr="00E67799">
        <w:rPr>
          <w:rFonts w:cstheme="minorHAnsi"/>
          <w:sz w:val="24"/>
          <w:szCs w:val="24"/>
        </w:rPr>
        <w:t xml:space="preserve"> well as </w:t>
      </w:r>
      <w:r w:rsidR="00F30E0B" w:rsidRPr="00E67799">
        <w:rPr>
          <w:rFonts w:cstheme="minorHAnsi"/>
          <w:sz w:val="24"/>
          <w:szCs w:val="24"/>
        </w:rPr>
        <w:t xml:space="preserve">invasive fungal </w:t>
      </w:r>
      <w:r w:rsidR="00700E82" w:rsidRPr="00E67799">
        <w:rPr>
          <w:rFonts w:cstheme="minorHAnsi"/>
          <w:sz w:val="24"/>
          <w:szCs w:val="24"/>
        </w:rPr>
        <w:t>infections</w:t>
      </w:r>
      <w:r w:rsidR="00E67799" w:rsidRPr="00E67799">
        <w:rPr>
          <w:rFonts w:cstheme="minorHAnsi"/>
          <w:sz w:val="24"/>
          <w:szCs w:val="24"/>
        </w:rPr>
        <w:t xml:space="preserve"> </w:t>
      </w:r>
      <w:r w:rsidR="00F30E0B" w:rsidRPr="00E67799">
        <w:rPr>
          <w:rFonts w:cstheme="minorHAnsi"/>
          <w:sz w:val="24"/>
          <w:szCs w:val="24"/>
        </w:rPr>
        <w:t>[</w:t>
      </w:r>
      <w:r w:rsidR="00D60B5B" w:rsidRPr="00E67799">
        <w:rPr>
          <w:rFonts w:cstheme="minorHAnsi"/>
          <w:sz w:val="24"/>
          <w:szCs w:val="24"/>
        </w:rPr>
        <w:t>13</w:t>
      </w:r>
      <w:r w:rsidR="00F30E0B" w:rsidRPr="00E67799">
        <w:rPr>
          <w:rFonts w:cstheme="minorHAnsi"/>
          <w:sz w:val="24"/>
          <w:szCs w:val="24"/>
        </w:rPr>
        <w:t>]</w:t>
      </w:r>
      <w:r w:rsidR="002F576C" w:rsidRPr="00E67799">
        <w:rPr>
          <w:rFonts w:cstheme="minorHAnsi"/>
          <w:sz w:val="24"/>
          <w:szCs w:val="24"/>
        </w:rPr>
        <w:t>.</w:t>
      </w:r>
      <w:r w:rsidR="00015925" w:rsidRPr="00E67799">
        <w:rPr>
          <w:rFonts w:cstheme="minorHAnsi"/>
          <w:sz w:val="24"/>
          <w:szCs w:val="24"/>
        </w:rPr>
        <w:t xml:space="preserve"> </w:t>
      </w:r>
      <w:r w:rsidR="002F576C" w:rsidRPr="00E67799">
        <w:rPr>
          <w:rFonts w:cstheme="minorHAnsi"/>
          <w:sz w:val="24"/>
          <w:szCs w:val="24"/>
        </w:rPr>
        <w:t xml:space="preserve"> </w:t>
      </w:r>
      <w:r w:rsidR="00606641" w:rsidRPr="00226976">
        <w:rPr>
          <w:rFonts w:cstheme="minorHAnsi"/>
          <w:sz w:val="24"/>
          <w:szCs w:val="24"/>
        </w:rPr>
        <w:t>Therefore</w:t>
      </w:r>
      <w:r w:rsidR="00003F4B" w:rsidRPr="00226976">
        <w:rPr>
          <w:rFonts w:cstheme="minorHAnsi"/>
          <w:sz w:val="24"/>
          <w:szCs w:val="24"/>
        </w:rPr>
        <w:t>,</w:t>
      </w:r>
      <w:r w:rsidR="002F576C" w:rsidRPr="00E67799">
        <w:rPr>
          <w:rFonts w:cstheme="minorHAnsi"/>
          <w:sz w:val="24"/>
          <w:szCs w:val="24"/>
        </w:rPr>
        <w:t xml:space="preserve"> the FDA emergency use </w:t>
      </w:r>
      <w:r w:rsidR="00C43802" w:rsidRPr="00E67799">
        <w:rPr>
          <w:rFonts w:cstheme="minorHAnsi"/>
          <w:sz w:val="24"/>
          <w:szCs w:val="24"/>
        </w:rPr>
        <w:t>authorization for</w:t>
      </w:r>
      <w:r w:rsidR="00003F4B" w:rsidRPr="00E67799">
        <w:rPr>
          <w:rFonts w:cstheme="minorHAnsi"/>
          <w:sz w:val="24"/>
          <w:szCs w:val="24"/>
        </w:rPr>
        <w:t xml:space="preserve"> Tocilizumab in COVID-19 disease; </w:t>
      </w:r>
      <w:r w:rsidR="002F576C" w:rsidRPr="00E67799">
        <w:rPr>
          <w:rFonts w:cstheme="minorHAnsi"/>
          <w:sz w:val="24"/>
          <w:szCs w:val="24"/>
        </w:rPr>
        <w:t xml:space="preserve">recommended screening and monitoring for existing active or </w:t>
      </w:r>
      <w:r w:rsidR="002263EF" w:rsidRPr="00E67799">
        <w:rPr>
          <w:rFonts w:cstheme="minorHAnsi"/>
          <w:sz w:val="24"/>
          <w:szCs w:val="24"/>
        </w:rPr>
        <w:t>latent infections</w:t>
      </w:r>
      <w:r w:rsidR="002F576C" w:rsidRPr="00E67799">
        <w:rPr>
          <w:rFonts w:cstheme="minorHAnsi"/>
          <w:sz w:val="24"/>
          <w:szCs w:val="24"/>
        </w:rPr>
        <w:t xml:space="preserve"> as well as observing for associated </w:t>
      </w:r>
      <w:r w:rsidR="0033303B" w:rsidRPr="00E67799">
        <w:rPr>
          <w:rFonts w:cstheme="minorHAnsi"/>
          <w:sz w:val="24"/>
          <w:szCs w:val="24"/>
        </w:rPr>
        <w:t>neutropenia.</w:t>
      </w:r>
      <w:r w:rsidR="002F576C" w:rsidRPr="00E67799">
        <w:rPr>
          <w:rFonts w:cstheme="minorHAnsi"/>
          <w:sz w:val="24"/>
          <w:szCs w:val="24"/>
        </w:rPr>
        <w:t xml:space="preserve"> Notably, the recommendations warned </w:t>
      </w:r>
      <w:r w:rsidR="00654077" w:rsidRPr="00E67799">
        <w:rPr>
          <w:rFonts w:cstheme="minorHAnsi"/>
          <w:sz w:val="24"/>
          <w:szCs w:val="24"/>
        </w:rPr>
        <w:t>of</w:t>
      </w:r>
      <w:r w:rsidR="00003F4B" w:rsidRPr="00E67799">
        <w:rPr>
          <w:rFonts w:cstheme="minorHAnsi"/>
          <w:sz w:val="24"/>
          <w:szCs w:val="24"/>
        </w:rPr>
        <w:t xml:space="preserve"> </w:t>
      </w:r>
      <w:r w:rsidR="00C43802" w:rsidRPr="00E67799">
        <w:rPr>
          <w:rFonts w:cstheme="minorHAnsi"/>
          <w:sz w:val="24"/>
          <w:szCs w:val="24"/>
        </w:rPr>
        <w:t>cautious usage</w:t>
      </w:r>
      <w:r w:rsidR="00003F4B" w:rsidRPr="00E67799">
        <w:rPr>
          <w:rFonts w:cstheme="minorHAnsi"/>
          <w:sz w:val="24"/>
          <w:szCs w:val="24"/>
        </w:rPr>
        <w:t xml:space="preserve"> </w:t>
      </w:r>
      <w:r w:rsidR="00654077" w:rsidRPr="00E67799">
        <w:rPr>
          <w:rFonts w:cstheme="minorHAnsi"/>
          <w:sz w:val="24"/>
          <w:szCs w:val="24"/>
        </w:rPr>
        <w:t xml:space="preserve">while monitoring </w:t>
      </w:r>
      <w:r w:rsidR="002F576C" w:rsidRPr="00E67799">
        <w:rPr>
          <w:rFonts w:cstheme="minorHAnsi"/>
          <w:sz w:val="24"/>
          <w:szCs w:val="24"/>
        </w:rPr>
        <w:t xml:space="preserve">in </w:t>
      </w:r>
      <w:r w:rsidR="00654077" w:rsidRPr="00E67799">
        <w:rPr>
          <w:rFonts w:cstheme="minorHAnsi"/>
          <w:sz w:val="24"/>
          <w:szCs w:val="24"/>
        </w:rPr>
        <w:t xml:space="preserve">cases of </w:t>
      </w:r>
      <w:r w:rsidR="00C43802" w:rsidRPr="00E67799">
        <w:rPr>
          <w:rFonts w:cstheme="minorHAnsi"/>
          <w:sz w:val="24"/>
          <w:szCs w:val="24"/>
        </w:rPr>
        <w:t xml:space="preserve">remarkable </w:t>
      </w:r>
      <w:r w:rsidR="002F576C" w:rsidRPr="00E67799">
        <w:rPr>
          <w:rFonts w:cstheme="minorHAnsi"/>
          <w:sz w:val="24"/>
          <w:szCs w:val="24"/>
        </w:rPr>
        <w:t>neutropenia (ANC &lt; 1000 mm</w:t>
      </w:r>
      <w:r w:rsidR="00654077" w:rsidRPr="00E67799">
        <w:rPr>
          <w:rFonts w:cstheme="minorHAnsi"/>
          <w:sz w:val="24"/>
          <w:szCs w:val="24"/>
          <w:vertAlign w:val="superscript"/>
        </w:rPr>
        <w:t>3</w:t>
      </w:r>
      <w:r w:rsidR="0033303B" w:rsidRPr="00E67799">
        <w:rPr>
          <w:rFonts w:cstheme="minorHAnsi"/>
          <w:sz w:val="24"/>
          <w:szCs w:val="24"/>
        </w:rPr>
        <w:t>)</w:t>
      </w:r>
      <w:r w:rsidR="0033303B" w:rsidRPr="00E67799">
        <w:rPr>
          <w:rFonts w:cstheme="minorHAnsi"/>
          <w:sz w:val="24"/>
          <w:szCs w:val="24"/>
          <w:vertAlign w:val="superscript"/>
        </w:rPr>
        <w:t xml:space="preserve"> </w:t>
      </w:r>
      <w:r w:rsidR="0033303B" w:rsidRPr="00E67799">
        <w:rPr>
          <w:rFonts w:cstheme="minorHAnsi"/>
          <w:sz w:val="24"/>
          <w:szCs w:val="24"/>
        </w:rPr>
        <w:t>to</w:t>
      </w:r>
      <w:r w:rsidR="002F576C" w:rsidRPr="00E67799">
        <w:rPr>
          <w:rFonts w:cstheme="minorHAnsi"/>
          <w:sz w:val="24"/>
          <w:szCs w:val="24"/>
        </w:rPr>
        <w:t xml:space="preserve"> the point of recommending </w:t>
      </w:r>
      <w:r w:rsidR="00654077" w:rsidRPr="00E67799">
        <w:rPr>
          <w:rFonts w:cstheme="minorHAnsi"/>
          <w:sz w:val="24"/>
          <w:szCs w:val="24"/>
        </w:rPr>
        <w:t xml:space="preserve">against </w:t>
      </w:r>
      <w:r w:rsidR="00C43802" w:rsidRPr="00E67799">
        <w:rPr>
          <w:rFonts w:cstheme="minorHAnsi"/>
          <w:sz w:val="24"/>
          <w:szCs w:val="24"/>
        </w:rPr>
        <w:t xml:space="preserve">it </w:t>
      </w:r>
      <w:r w:rsidR="00654077" w:rsidRPr="00E67799">
        <w:rPr>
          <w:rFonts w:cstheme="minorHAnsi"/>
          <w:sz w:val="24"/>
          <w:szCs w:val="24"/>
        </w:rPr>
        <w:t xml:space="preserve">to discontinue or </w:t>
      </w:r>
      <w:r w:rsidR="002F576C" w:rsidRPr="00E67799">
        <w:rPr>
          <w:rFonts w:cstheme="minorHAnsi"/>
          <w:sz w:val="24"/>
          <w:szCs w:val="24"/>
        </w:rPr>
        <w:t xml:space="preserve">withholding treatment </w:t>
      </w:r>
      <w:r w:rsidR="00700E82" w:rsidRPr="00E67799">
        <w:rPr>
          <w:rFonts w:cstheme="minorHAnsi"/>
          <w:sz w:val="24"/>
          <w:szCs w:val="24"/>
        </w:rPr>
        <w:t>if ANC</w:t>
      </w:r>
      <w:r w:rsidR="002F576C" w:rsidRPr="00E67799">
        <w:rPr>
          <w:rFonts w:cstheme="minorHAnsi"/>
          <w:sz w:val="24"/>
          <w:szCs w:val="24"/>
        </w:rPr>
        <w:t xml:space="preserve"> </w:t>
      </w:r>
      <w:r w:rsidR="00700E82" w:rsidRPr="00E67799">
        <w:rPr>
          <w:rFonts w:cstheme="minorHAnsi"/>
          <w:sz w:val="24"/>
          <w:szCs w:val="24"/>
        </w:rPr>
        <w:t>is less than</w:t>
      </w:r>
      <w:r w:rsidR="002F576C" w:rsidRPr="00E67799">
        <w:rPr>
          <w:rFonts w:cstheme="minorHAnsi"/>
          <w:sz w:val="24"/>
          <w:szCs w:val="24"/>
        </w:rPr>
        <w:t xml:space="preserve"> 300 </w:t>
      </w:r>
      <w:r w:rsidR="00654077" w:rsidRPr="00E67799">
        <w:rPr>
          <w:rFonts w:cstheme="minorHAnsi"/>
          <w:sz w:val="24"/>
          <w:szCs w:val="24"/>
        </w:rPr>
        <w:t>mm</w:t>
      </w:r>
      <w:r w:rsidR="00654077" w:rsidRPr="00E67799">
        <w:rPr>
          <w:rFonts w:cstheme="minorHAnsi"/>
          <w:sz w:val="24"/>
          <w:szCs w:val="24"/>
          <w:vertAlign w:val="superscript"/>
        </w:rPr>
        <w:t>3</w:t>
      </w:r>
      <w:r w:rsidR="00654077" w:rsidRPr="00E67799">
        <w:rPr>
          <w:rFonts w:cstheme="minorHAnsi"/>
          <w:sz w:val="24"/>
          <w:szCs w:val="24"/>
        </w:rPr>
        <w:t xml:space="preserve"> </w:t>
      </w:r>
      <w:r w:rsidR="0087548A" w:rsidRPr="00E67799">
        <w:rPr>
          <w:rFonts w:cstheme="minorHAnsi"/>
          <w:sz w:val="24"/>
          <w:szCs w:val="24"/>
        </w:rPr>
        <w:t>[</w:t>
      </w:r>
      <w:r w:rsidR="00D60B5B" w:rsidRPr="00E67799">
        <w:rPr>
          <w:rFonts w:cstheme="minorHAnsi"/>
          <w:sz w:val="24"/>
          <w:szCs w:val="24"/>
        </w:rPr>
        <w:t>7</w:t>
      </w:r>
      <w:r w:rsidR="0087548A" w:rsidRPr="00E67799">
        <w:rPr>
          <w:rFonts w:cstheme="minorHAnsi"/>
          <w:sz w:val="24"/>
          <w:szCs w:val="24"/>
        </w:rPr>
        <w:t>]</w:t>
      </w:r>
      <w:r w:rsidR="00E67799" w:rsidRPr="00E67799">
        <w:rPr>
          <w:rFonts w:cstheme="minorHAnsi"/>
          <w:sz w:val="24"/>
          <w:szCs w:val="24"/>
        </w:rPr>
        <w:t xml:space="preserve">. </w:t>
      </w:r>
      <w:r w:rsidR="00654077" w:rsidRPr="00E67799">
        <w:rPr>
          <w:rFonts w:cstheme="minorHAnsi"/>
          <w:sz w:val="24"/>
          <w:szCs w:val="24"/>
        </w:rPr>
        <w:t xml:space="preserve">Of note, leukopenia mainly </w:t>
      </w:r>
      <w:r w:rsidR="008B3795" w:rsidRPr="00E67799">
        <w:rPr>
          <w:rFonts w:cstheme="minorHAnsi"/>
          <w:sz w:val="24"/>
          <w:szCs w:val="24"/>
        </w:rPr>
        <w:t>driven</w:t>
      </w:r>
      <w:r w:rsidR="00654077" w:rsidRPr="00E67799">
        <w:rPr>
          <w:rFonts w:cstheme="minorHAnsi"/>
          <w:sz w:val="24"/>
          <w:szCs w:val="24"/>
        </w:rPr>
        <w:t xml:space="preserve"> by lymphopenia </w:t>
      </w:r>
      <w:r w:rsidR="00690406" w:rsidRPr="00E67799">
        <w:rPr>
          <w:rFonts w:cstheme="minorHAnsi"/>
          <w:sz w:val="24"/>
          <w:szCs w:val="24"/>
        </w:rPr>
        <w:t xml:space="preserve">as well as thrombocytopenia </w:t>
      </w:r>
      <w:r w:rsidR="00654077" w:rsidRPr="00E67799">
        <w:rPr>
          <w:rFonts w:cstheme="minorHAnsi"/>
          <w:sz w:val="24"/>
          <w:szCs w:val="24"/>
        </w:rPr>
        <w:t xml:space="preserve">is known </w:t>
      </w:r>
      <w:r w:rsidR="00654077" w:rsidRPr="00E67799">
        <w:rPr>
          <w:rFonts w:cstheme="minorHAnsi"/>
          <w:sz w:val="24"/>
          <w:szCs w:val="24"/>
        </w:rPr>
        <w:lastRenderedPageBreak/>
        <w:t>manifestation</w:t>
      </w:r>
      <w:r w:rsidR="008B3795" w:rsidRPr="00E67799">
        <w:rPr>
          <w:rFonts w:cstheme="minorHAnsi"/>
          <w:sz w:val="24"/>
          <w:szCs w:val="24"/>
        </w:rPr>
        <w:t>s</w:t>
      </w:r>
      <w:r w:rsidR="00654077" w:rsidRPr="00E67799">
        <w:rPr>
          <w:rFonts w:cstheme="minorHAnsi"/>
          <w:sz w:val="24"/>
          <w:szCs w:val="24"/>
        </w:rPr>
        <w:t xml:space="preserve"> of COVId-19 disease since it </w:t>
      </w:r>
      <w:r w:rsidR="00D848C6" w:rsidRPr="00E67799">
        <w:rPr>
          <w:rFonts w:cstheme="minorHAnsi"/>
          <w:sz w:val="24"/>
          <w:szCs w:val="24"/>
        </w:rPr>
        <w:t>was observed</w:t>
      </w:r>
      <w:r w:rsidR="00654077" w:rsidRPr="00E67799">
        <w:rPr>
          <w:rFonts w:cstheme="minorHAnsi"/>
          <w:sz w:val="24"/>
          <w:szCs w:val="24"/>
        </w:rPr>
        <w:t xml:space="preserve"> to </w:t>
      </w:r>
      <w:r w:rsidR="00380E40" w:rsidRPr="00E67799">
        <w:rPr>
          <w:rFonts w:cstheme="minorHAnsi"/>
          <w:sz w:val="24"/>
          <w:szCs w:val="24"/>
        </w:rPr>
        <w:t xml:space="preserve">corelates </w:t>
      </w:r>
      <w:r w:rsidR="00654077" w:rsidRPr="00E67799">
        <w:rPr>
          <w:rFonts w:cstheme="minorHAnsi"/>
          <w:sz w:val="24"/>
          <w:szCs w:val="24"/>
        </w:rPr>
        <w:t>with disease severity as well as mortality</w:t>
      </w:r>
      <w:r w:rsidR="00D848C6" w:rsidRPr="00E67799">
        <w:rPr>
          <w:rFonts w:cstheme="minorHAnsi"/>
          <w:sz w:val="24"/>
          <w:szCs w:val="24"/>
        </w:rPr>
        <w:t xml:space="preserve"> </w:t>
      </w:r>
      <w:r w:rsidR="00F30E0B" w:rsidRPr="00E67799">
        <w:rPr>
          <w:rFonts w:cstheme="minorHAnsi"/>
          <w:sz w:val="24"/>
          <w:szCs w:val="24"/>
        </w:rPr>
        <w:t>[</w:t>
      </w:r>
      <w:r w:rsidR="000C02A7" w:rsidRPr="00E67799">
        <w:rPr>
          <w:rFonts w:cstheme="minorHAnsi"/>
          <w:sz w:val="24"/>
          <w:szCs w:val="24"/>
        </w:rPr>
        <w:t>20</w:t>
      </w:r>
      <w:r w:rsidR="00F30E0B" w:rsidRPr="00E67799">
        <w:rPr>
          <w:rFonts w:cstheme="minorHAnsi"/>
          <w:sz w:val="24"/>
          <w:szCs w:val="24"/>
        </w:rPr>
        <w:t>]</w:t>
      </w:r>
      <w:r w:rsidR="00D848C6" w:rsidRPr="00E67799">
        <w:rPr>
          <w:rFonts w:cstheme="minorHAnsi"/>
          <w:sz w:val="24"/>
          <w:szCs w:val="24"/>
        </w:rPr>
        <w:t>.</w:t>
      </w:r>
      <w:r w:rsidR="00F30E0B" w:rsidRPr="00E67799">
        <w:rPr>
          <w:rFonts w:cstheme="minorHAnsi"/>
          <w:sz w:val="24"/>
          <w:szCs w:val="24"/>
        </w:rPr>
        <w:t xml:space="preserve"> </w:t>
      </w:r>
      <w:r w:rsidR="00D848C6" w:rsidRPr="00E67799">
        <w:rPr>
          <w:rFonts w:cstheme="minorHAnsi"/>
          <w:sz w:val="24"/>
          <w:szCs w:val="24"/>
        </w:rPr>
        <w:t>Furthermore, pan</w:t>
      </w:r>
      <w:r w:rsidR="00690406" w:rsidRPr="00E67799">
        <w:rPr>
          <w:rFonts w:cstheme="minorHAnsi"/>
          <w:sz w:val="24"/>
          <w:szCs w:val="24"/>
        </w:rPr>
        <w:t>-</w:t>
      </w:r>
      <w:r w:rsidR="00D848C6" w:rsidRPr="00E67799">
        <w:rPr>
          <w:rFonts w:cstheme="minorHAnsi"/>
          <w:sz w:val="24"/>
          <w:szCs w:val="24"/>
        </w:rPr>
        <w:t>cytopenia including</w:t>
      </w:r>
      <w:r w:rsidR="00654077" w:rsidRPr="00E67799">
        <w:rPr>
          <w:rFonts w:cstheme="minorHAnsi"/>
          <w:sz w:val="24"/>
          <w:szCs w:val="24"/>
        </w:rPr>
        <w:t xml:space="preserve"> neutropenia has been reported as a feature of severe COVID-19 </w:t>
      </w:r>
      <w:r w:rsidR="00690406" w:rsidRPr="00E67799">
        <w:rPr>
          <w:rFonts w:cstheme="minorHAnsi"/>
          <w:sz w:val="24"/>
          <w:szCs w:val="24"/>
        </w:rPr>
        <w:t xml:space="preserve">particularly in the context CSS where bone marrow suppression or immune related cytopenia has been attributed as the underlying </w:t>
      </w:r>
      <w:r w:rsidR="00380E40" w:rsidRPr="00E67799">
        <w:rPr>
          <w:rFonts w:cstheme="minorHAnsi"/>
          <w:sz w:val="24"/>
          <w:szCs w:val="24"/>
        </w:rPr>
        <w:t xml:space="preserve">pathophysiological </w:t>
      </w:r>
      <w:r w:rsidR="00D848C6" w:rsidRPr="00E67799">
        <w:rPr>
          <w:rFonts w:cstheme="minorHAnsi"/>
          <w:sz w:val="24"/>
          <w:szCs w:val="24"/>
        </w:rPr>
        <w:t xml:space="preserve">  </w:t>
      </w:r>
      <w:r w:rsidR="00690406" w:rsidRPr="00E67799">
        <w:rPr>
          <w:rFonts w:cstheme="minorHAnsi"/>
          <w:sz w:val="24"/>
          <w:szCs w:val="24"/>
        </w:rPr>
        <w:t xml:space="preserve">mechanisms </w:t>
      </w:r>
      <w:r w:rsidR="00F30E0B" w:rsidRPr="00E67799">
        <w:rPr>
          <w:rFonts w:cstheme="minorHAnsi"/>
          <w:sz w:val="24"/>
          <w:szCs w:val="24"/>
        </w:rPr>
        <w:t>[</w:t>
      </w:r>
      <w:r w:rsidR="00D60B5B" w:rsidRPr="00E67799">
        <w:rPr>
          <w:rFonts w:cstheme="minorHAnsi"/>
          <w:sz w:val="24"/>
          <w:szCs w:val="24"/>
        </w:rPr>
        <w:t>14].</w:t>
      </w:r>
      <w:bookmarkStart w:id="4" w:name="_Hlk69566959"/>
      <w:r w:rsidR="00E67799" w:rsidRPr="00E67799">
        <w:rPr>
          <w:rFonts w:cstheme="minorHAnsi"/>
          <w:sz w:val="24"/>
          <w:szCs w:val="24"/>
        </w:rPr>
        <w:t xml:space="preserve"> </w:t>
      </w:r>
      <w:r w:rsidR="00606641" w:rsidRPr="00226976">
        <w:rPr>
          <w:rFonts w:cstheme="minorHAnsi"/>
          <w:sz w:val="24"/>
          <w:szCs w:val="24"/>
        </w:rPr>
        <w:t>Conversely,</w:t>
      </w:r>
      <w:r w:rsidR="006C7470" w:rsidRPr="00226976">
        <w:rPr>
          <w:rFonts w:cstheme="minorHAnsi"/>
          <w:sz w:val="24"/>
          <w:szCs w:val="24"/>
        </w:rPr>
        <w:t xml:space="preserve"> although one of the adverse events of Azathioprine therapy is bone </w:t>
      </w:r>
      <w:r w:rsidR="00226976" w:rsidRPr="00226976">
        <w:rPr>
          <w:rFonts w:cstheme="minorHAnsi"/>
          <w:sz w:val="24"/>
          <w:szCs w:val="24"/>
        </w:rPr>
        <w:t>marrow suppression</w:t>
      </w:r>
      <w:r w:rsidR="006C7470" w:rsidRPr="00226976">
        <w:rPr>
          <w:rFonts w:cstheme="minorHAnsi"/>
          <w:sz w:val="24"/>
          <w:szCs w:val="24"/>
        </w:rPr>
        <w:t xml:space="preserve"> including </w:t>
      </w:r>
      <w:r w:rsidR="00A42436" w:rsidRPr="00226976">
        <w:rPr>
          <w:rFonts w:cstheme="minorHAnsi"/>
          <w:sz w:val="24"/>
          <w:szCs w:val="24"/>
        </w:rPr>
        <w:t>neutropenia,</w:t>
      </w:r>
      <w:r w:rsidR="006C7470" w:rsidRPr="00226976">
        <w:rPr>
          <w:rFonts w:cstheme="minorHAnsi"/>
          <w:sz w:val="24"/>
          <w:szCs w:val="24"/>
        </w:rPr>
        <w:t xml:space="preserve"> our patient’s blood parameters were maintained to normal levels while on treatment for six years. Usually this established adverse events has a </w:t>
      </w:r>
      <w:r w:rsidR="00606641" w:rsidRPr="00226976">
        <w:rPr>
          <w:rFonts w:cstheme="minorHAnsi"/>
          <w:sz w:val="24"/>
          <w:szCs w:val="24"/>
        </w:rPr>
        <w:t xml:space="preserve">genetic </w:t>
      </w:r>
      <w:r w:rsidR="00226976" w:rsidRPr="00226976">
        <w:rPr>
          <w:rFonts w:cstheme="minorHAnsi"/>
          <w:sz w:val="24"/>
          <w:szCs w:val="24"/>
        </w:rPr>
        <w:t>predisposition since</w:t>
      </w:r>
      <w:r w:rsidR="006C7470" w:rsidRPr="00226976">
        <w:rPr>
          <w:rFonts w:cstheme="minorHAnsi"/>
          <w:sz w:val="24"/>
          <w:szCs w:val="24"/>
        </w:rPr>
        <w:t xml:space="preserve"> the </w:t>
      </w:r>
      <w:r w:rsidR="00E67799" w:rsidRPr="00226976">
        <w:rPr>
          <w:rFonts w:cstheme="minorHAnsi"/>
          <w:sz w:val="24"/>
          <w:szCs w:val="24"/>
        </w:rPr>
        <w:t>recognized</w:t>
      </w:r>
      <w:r w:rsidR="006C7470" w:rsidRPr="00226976">
        <w:rPr>
          <w:rFonts w:cstheme="minorHAnsi"/>
          <w:sz w:val="24"/>
          <w:szCs w:val="24"/>
        </w:rPr>
        <w:t xml:space="preserve"> association stems from inadequate level of the degrading enzymes Thiopurine Methyltrasferase (TPMT) and Nudix hydrolase (NUDT15) that metabolize Azathioprine [15]</w:t>
      </w:r>
    </w:p>
    <w:p w14:paraId="63D614DE" w14:textId="141E1623" w:rsidR="00E67973" w:rsidRPr="00E67799" w:rsidRDefault="00E67973" w:rsidP="00E67973">
      <w:pPr>
        <w:pStyle w:val="NoSpacing"/>
        <w:bidi w:val="0"/>
        <w:rPr>
          <w:rFonts w:cstheme="minorHAnsi"/>
          <w:sz w:val="24"/>
          <w:szCs w:val="24"/>
          <w:highlight w:val="yellow"/>
        </w:rPr>
      </w:pPr>
    </w:p>
    <w:p w14:paraId="6AF56969" w14:textId="4690BB08" w:rsidR="009812A6" w:rsidRPr="00E67799" w:rsidRDefault="00F75E67" w:rsidP="00C07A9E">
      <w:pPr>
        <w:pStyle w:val="NoSpacing"/>
        <w:bidi w:val="0"/>
        <w:rPr>
          <w:rFonts w:cstheme="minorHAnsi"/>
          <w:sz w:val="24"/>
          <w:szCs w:val="24"/>
        </w:rPr>
      </w:pPr>
      <w:r w:rsidRPr="00E67799">
        <w:rPr>
          <w:rFonts w:cstheme="minorHAnsi"/>
          <w:sz w:val="24"/>
          <w:szCs w:val="24"/>
        </w:rPr>
        <w:t>Nevertheless, our</w:t>
      </w:r>
      <w:r w:rsidR="00D848C6" w:rsidRPr="00E67799">
        <w:rPr>
          <w:rFonts w:cstheme="minorHAnsi"/>
          <w:sz w:val="24"/>
          <w:szCs w:val="24"/>
        </w:rPr>
        <w:t xml:space="preserve"> patient has stable blood counts for </w:t>
      </w:r>
      <w:r w:rsidRPr="00E67799">
        <w:rPr>
          <w:rFonts w:cstheme="minorHAnsi"/>
          <w:sz w:val="24"/>
          <w:szCs w:val="24"/>
        </w:rPr>
        <w:t xml:space="preserve">a </w:t>
      </w:r>
      <w:r w:rsidR="00D848C6" w:rsidRPr="00E67799">
        <w:rPr>
          <w:rFonts w:cstheme="minorHAnsi"/>
          <w:sz w:val="24"/>
          <w:szCs w:val="24"/>
        </w:rPr>
        <w:t xml:space="preserve">long time before his current presentation, which indicates that his </w:t>
      </w:r>
      <w:r w:rsidR="00AF50FE" w:rsidRPr="00226976">
        <w:rPr>
          <w:rFonts w:cstheme="minorHAnsi"/>
          <w:sz w:val="24"/>
          <w:szCs w:val="24"/>
        </w:rPr>
        <w:t>p</w:t>
      </w:r>
      <w:r w:rsidR="00D848C6" w:rsidRPr="00226976">
        <w:rPr>
          <w:rFonts w:cstheme="minorHAnsi"/>
          <w:sz w:val="24"/>
          <w:szCs w:val="24"/>
        </w:rPr>
        <w:t xml:space="preserve">an-cytopenia is </w:t>
      </w:r>
      <w:r w:rsidR="00AF50FE" w:rsidRPr="00226976">
        <w:rPr>
          <w:rFonts w:cstheme="minorHAnsi"/>
          <w:sz w:val="24"/>
          <w:szCs w:val="24"/>
        </w:rPr>
        <w:t>probably induced by infection</w:t>
      </w:r>
      <w:r w:rsidR="00AF50FE" w:rsidRPr="00E67799">
        <w:rPr>
          <w:rFonts w:cstheme="minorHAnsi"/>
          <w:sz w:val="24"/>
          <w:szCs w:val="24"/>
        </w:rPr>
        <w:t>.</w:t>
      </w:r>
      <w:r w:rsidR="00D848C6" w:rsidRPr="00E67799">
        <w:rPr>
          <w:rFonts w:cstheme="minorHAnsi"/>
          <w:sz w:val="24"/>
          <w:szCs w:val="24"/>
        </w:rPr>
        <w:t xml:space="preserve"> </w:t>
      </w:r>
      <w:r w:rsidR="00A204D8" w:rsidRPr="00E67799">
        <w:rPr>
          <w:rFonts w:cstheme="minorHAnsi"/>
          <w:sz w:val="24"/>
          <w:szCs w:val="24"/>
        </w:rPr>
        <w:t>Taking that into consideration, o</w:t>
      </w:r>
      <w:r w:rsidR="00F30E0B" w:rsidRPr="00E67799">
        <w:rPr>
          <w:rFonts w:cstheme="minorHAnsi"/>
          <w:sz w:val="24"/>
          <w:szCs w:val="24"/>
        </w:rPr>
        <w:t>ur patient presented with grade 4 severe neutropenia (ANC 0.3 x10</w:t>
      </w:r>
      <w:r w:rsidR="00F30E0B" w:rsidRPr="00E67799">
        <w:rPr>
          <w:rFonts w:cstheme="minorHAnsi"/>
          <w:sz w:val="24"/>
          <w:szCs w:val="24"/>
          <w:vertAlign w:val="superscript"/>
        </w:rPr>
        <w:t>3</w:t>
      </w:r>
      <w:r w:rsidR="00F30E0B" w:rsidRPr="00E67799">
        <w:rPr>
          <w:rFonts w:cstheme="minorHAnsi"/>
          <w:sz w:val="24"/>
          <w:szCs w:val="24"/>
        </w:rPr>
        <w:t xml:space="preserve"> uL) </w:t>
      </w:r>
      <w:r w:rsidR="00AA09A9" w:rsidRPr="00E67799">
        <w:rPr>
          <w:rFonts w:cstheme="minorHAnsi"/>
          <w:sz w:val="24"/>
          <w:szCs w:val="24"/>
        </w:rPr>
        <w:t>w</w:t>
      </w:r>
      <w:r w:rsidR="00F30E0B" w:rsidRPr="00E67799">
        <w:rPr>
          <w:rFonts w:cstheme="minorHAnsi"/>
          <w:sz w:val="24"/>
          <w:szCs w:val="24"/>
        </w:rPr>
        <w:t>hich most likely related to</w:t>
      </w:r>
      <w:r w:rsidR="00AA09A9" w:rsidRPr="00E67799">
        <w:rPr>
          <w:rFonts w:cstheme="minorHAnsi"/>
          <w:sz w:val="24"/>
          <w:szCs w:val="24"/>
        </w:rPr>
        <w:t xml:space="preserve"> the </w:t>
      </w:r>
      <w:r w:rsidR="00A204D8" w:rsidRPr="00E67799">
        <w:rPr>
          <w:rFonts w:cstheme="minorHAnsi"/>
          <w:sz w:val="24"/>
          <w:szCs w:val="24"/>
        </w:rPr>
        <w:t>severe acute COVID</w:t>
      </w:r>
      <w:r w:rsidR="00F30E0B" w:rsidRPr="00E67799">
        <w:rPr>
          <w:rFonts w:cstheme="minorHAnsi"/>
          <w:sz w:val="24"/>
          <w:szCs w:val="24"/>
        </w:rPr>
        <w:t xml:space="preserve">-19 </w:t>
      </w:r>
      <w:r w:rsidR="00AA09A9" w:rsidRPr="00E67799">
        <w:rPr>
          <w:rFonts w:cstheme="minorHAnsi"/>
          <w:sz w:val="24"/>
          <w:szCs w:val="24"/>
        </w:rPr>
        <w:t xml:space="preserve">disease </w:t>
      </w:r>
      <w:r w:rsidR="00F30E0B" w:rsidRPr="00E67799">
        <w:rPr>
          <w:rFonts w:cstheme="minorHAnsi"/>
          <w:sz w:val="24"/>
          <w:szCs w:val="24"/>
        </w:rPr>
        <w:t xml:space="preserve">rather than </w:t>
      </w:r>
      <w:r w:rsidR="00A204D8" w:rsidRPr="00E67799">
        <w:rPr>
          <w:rFonts w:cstheme="minorHAnsi"/>
          <w:sz w:val="24"/>
          <w:szCs w:val="24"/>
        </w:rPr>
        <w:t xml:space="preserve">prior </w:t>
      </w:r>
      <w:r w:rsidR="00F30E0B" w:rsidRPr="00E67799">
        <w:rPr>
          <w:rFonts w:cstheme="minorHAnsi"/>
          <w:sz w:val="24"/>
          <w:szCs w:val="24"/>
        </w:rPr>
        <w:t>immunosuppressants</w:t>
      </w:r>
      <w:r w:rsidR="00AA09A9" w:rsidRPr="00E67799">
        <w:rPr>
          <w:rFonts w:cstheme="minorHAnsi"/>
          <w:sz w:val="24"/>
          <w:szCs w:val="24"/>
        </w:rPr>
        <w:t xml:space="preserve"> </w:t>
      </w:r>
      <w:r w:rsidR="002263EF" w:rsidRPr="00E67799">
        <w:rPr>
          <w:rFonts w:cstheme="minorHAnsi"/>
          <w:sz w:val="24"/>
          <w:szCs w:val="24"/>
        </w:rPr>
        <w:t>therapy with</w:t>
      </w:r>
      <w:r w:rsidR="00F30E0B" w:rsidRPr="00E67799">
        <w:rPr>
          <w:rFonts w:cstheme="minorHAnsi"/>
          <w:sz w:val="24"/>
          <w:szCs w:val="24"/>
        </w:rPr>
        <w:t xml:space="preserve"> rituximab and azathioprine</w:t>
      </w:r>
      <w:r w:rsidR="00A204D8" w:rsidRPr="00E67799">
        <w:rPr>
          <w:rFonts w:cstheme="minorHAnsi"/>
          <w:sz w:val="24"/>
          <w:szCs w:val="24"/>
        </w:rPr>
        <w:t xml:space="preserve">. </w:t>
      </w:r>
      <w:r w:rsidR="00F30E0B" w:rsidRPr="00E67799">
        <w:rPr>
          <w:rFonts w:cstheme="minorHAnsi"/>
          <w:sz w:val="24"/>
          <w:szCs w:val="24"/>
        </w:rPr>
        <w:t xml:space="preserve"> </w:t>
      </w:r>
      <w:r w:rsidR="00A204D8" w:rsidRPr="00E67799">
        <w:rPr>
          <w:rFonts w:cstheme="minorHAnsi"/>
          <w:sz w:val="24"/>
          <w:szCs w:val="24"/>
        </w:rPr>
        <w:t xml:space="preserve">The clinical dilemma encountered during management was of a patient with progressively severe   COVID-19 disease with </w:t>
      </w:r>
      <w:r w:rsidR="00AF50FE" w:rsidRPr="00226976">
        <w:rPr>
          <w:rFonts w:cstheme="minorHAnsi"/>
          <w:sz w:val="24"/>
          <w:szCs w:val="24"/>
        </w:rPr>
        <w:t>established</w:t>
      </w:r>
      <w:r w:rsidR="00AF50FE">
        <w:rPr>
          <w:rFonts w:cstheme="minorHAnsi"/>
          <w:sz w:val="24"/>
          <w:szCs w:val="24"/>
        </w:rPr>
        <w:t xml:space="preserve"> </w:t>
      </w:r>
      <w:r w:rsidR="00AF50FE" w:rsidRPr="00E67799">
        <w:rPr>
          <w:rFonts w:cstheme="minorHAnsi"/>
          <w:sz w:val="24"/>
          <w:szCs w:val="24"/>
        </w:rPr>
        <w:t>CSS</w:t>
      </w:r>
      <w:r w:rsidR="00A204D8" w:rsidRPr="00E67799">
        <w:rPr>
          <w:rFonts w:cstheme="minorHAnsi"/>
          <w:sz w:val="24"/>
          <w:szCs w:val="24"/>
        </w:rPr>
        <w:t xml:space="preserve"> who has </w:t>
      </w:r>
      <w:r w:rsidR="00015925" w:rsidRPr="00E67799">
        <w:rPr>
          <w:rFonts w:cstheme="minorHAnsi"/>
          <w:sz w:val="24"/>
          <w:szCs w:val="24"/>
        </w:rPr>
        <w:t>concomitant profound</w:t>
      </w:r>
      <w:r w:rsidR="00A204D8" w:rsidRPr="00E67799">
        <w:rPr>
          <w:rFonts w:cstheme="minorHAnsi"/>
          <w:sz w:val="24"/>
          <w:szCs w:val="24"/>
        </w:rPr>
        <w:t xml:space="preserve"> neutropenia hindering </w:t>
      </w:r>
      <w:r w:rsidR="00015925" w:rsidRPr="00E67799">
        <w:rPr>
          <w:rFonts w:cstheme="minorHAnsi"/>
          <w:sz w:val="24"/>
          <w:szCs w:val="24"/>
        </w:rPr>
        <w:t>admiration of</w:t>
      </w:r>
      <w:r w:rsidR="00A204D8" w:rsidRPr="00E67799">
        <w:rPr>
          <w:rFonts w:cstheme="minorHAnsi"/>
          <w:sz w:val="24"/>
          <w:szCs w:val="24"/>
        </w:rPr>
        <w:t xml:space="preserve"> </w:t>
      </w:r>
      <w:r w:rsidR="00D848C6" w:rsidRPr="00E67799">
        <w:rPr>
          <w:rFonts w:cstheme="minorHAnsi"/>
          <w:sz w:val="24"/>
          <w:szCs w:val="24"/>
        </w:rPr>
        <w:t>Tocilizumab,</w:t>
      </w:r>
      <w:r w:rsidR="00A204D8" w:rsidRPr="00E67799">
        <w:rPr>
          <w:rFonts w:cstheme="minorHAnsi"/>
          <w:sz w:val="24"/>
          <w:szCs w:val="24"/>
        </w:rPr>
        <w:t xml:space="preserve"> an effective therapeutic agent that has been shown </w:t>
      </w:r>
      <w:r w:rsidR="00D848C6" w:rsidRPr="00E67799">
        <w:rPr>
          <w:rFonts w:cstheme="minorHAnsi"/>
          <w:sz w:val="24"/>
          <w:szCs w:val="24"/>
        </w:rPr>
        <w:t>to alter</w:t>
      </w:r>
      <w:r w:rsidR="00A204D8" w:rsidRPr="00E67799">
        <w:rPr>
          <w:rFonts w:cstheme="minorHAnsi"/>
          <w:sz w:val="24"/>
          <w:szCs w:val="24"/>
        </w:rPr>
        <w:t xml:space="preserve"> disease progression and </w:t>
      </w:r>
      <w:r w:rsidR="00D848C6" w:rsidRPr="00E67799">
        <w:rPr>
          <w:rFonts w:cstheme="minorHAnsi"/>
          <w:sz w:val="24"/>
          <w:szCs w:val="24"/>
        </w:rPr>
        <w:t>deterioration.</w:t>
      </w:r>
      <w:r w:rsidR="00A204D8" w:rsidRPr="00E67799">
        <w:rPr>
          <w:rFonts w:cstheme="minorHAnsi"/>
          <w:sz w:val="24"/>
          <w:szCs w:val="24"/>
        </w:rPr>
        <w:t xml:space="preserve"> </w:t>
      </w:r>
      <w:r w:rsidR="002263EF" w:rsidRPr="00E67799">
        <w:rPr>
          <w:rFonts w:cstheme="minorHAnsi"/>
          <w:sz w:val="24"/>
          <w:szCs w:val="24"/>
        </w:rPr>
        <w:t>In clinical practice, t</w:t>
      </w:r>
      <w:r w:rsidR="00880E6B" w:rsidRPr="00E67799">
        <w:rPr>
          <w:rFonts w:cstheme="minorHAnsi"/>
          <w:sz w:val="24"/>
          <w:szCs w:val="24"/>
        </w:rPr>
        <w:t xml:space="preserve">he golden ethical </w:t>
      </w:r>
      <w:r w:rsidR="00AF50FE">
        <w:rPr>
          <w:rFonts w:cstheme="minorHAnsi"/>
          <w:sz w:val="24"/>
          <w:szCs w:val="24"/>
        </w:rPr>
        <w:t xml:space="preserve">advice </w:t>
      </w:r>
      <w:r w:rsidR="00AF50FE" w:rsidRPr="00E67799">
        <w:rPr>
          <w:rFonts w:cstheme="minorHAnsi"/>
          <w:sz w:val="24"/>
          <w:szCs w:val="24"/>
        </w:rPr>
        <w:t>is</w:t>
      </w:r>
      <w:r w:rsidR="00880E6B" w:rsidRPr="00E67799">
        <w:rPr>
          <w:rFonts w:cstheme="minorHAnsi"/>
          <w:sz w:val="24"/>
          <w:szCs w:val="24"/>
        </w:rPr>
        <w:t xml:space="preserve"> </w:t>
      </w:r>
      <w:r w:rsidR="002263EF" w:rsidRPr="00E67799">
        <w:rPr>
          <w:rFonts w:cstheme="minorHAnsi"/>
          <w:sz w:val="24"/>
          <w:szCs w:val="24"/>
        </w:rPr>
        <w:t>to observe</w:t>
      </w:r>
      <w:r w:rsidR="00880E6B" w:rsidRPr="00E67799">
        <w:rPr>
          <w:rFonts w:cstheme="minorHAnsi"/>
          <w:sz w:val="24"/>
          <w:szCs w:val="24"/>
        </w:rPr>
        <w:t xml:space="preserve"> </w:t>
      </w:r>
      <w:r w:rsidR="0067054C" w:rsidRPr="00E67799">
        <w:rPr>
          <w:rFonts w:cstheme="minorHAnsi"/>
          <w:sz w:val="24"/>
          <w:szCs w:val="24"/>
        </w:rPr>
        <w:t>patient’s</w:t>
      </w:r>
      <w:r w:rsidR="00880E6B" w:rsidRPr="00E67799">
        <w:rPr>
          <w:rFonts w:cstheme="minorHAnsi"/>
          <w:sz w:val="24"/>
          <w:szCs w:val="24"/>
        </w:rPr>
        <w:t xml:space="preserve"> autonomy while </w:t>
      </w:r>
      <w:r w:rsidR="00AF50FE">
        <w:rPr>
          <w:rFonts w:cstheme="minorHAnsi"/>
          <w:sz w:val="24"/>
          <w:szCs w:val="24"/>
        </w:rPr>
        <w:t xml:space="preserve">implementing the </w:t>
      </w:r>
      <w:r w:rsidR="00AF50FE" w:rsidRPr="00226976">
        <w:rPr>
          <w:rFonts w:cstheme="minorHAnsi"/>
          <w:sz w:val="24"/>
          <w:szCs w:val="24"/>
        </w:rPr>
        <w:t>principles</w:t>
      </w:r>
      <w:r w:rsidR="00AF50FE">
        <w:rPr>
          <w:rFonts w:cstheme="minorHAnsi"/>
          <w:sz w:val="24"/>
          <w:szCs w:val="24"/>
        </w:rPr>
        <w:t xml:space="preserve"> </w:t>
      </w:r>
      <w:r w:rsidR="00AF50FE" w:rsidRPr="00E67799">
        <w:rPr>
          <w:rFonts w:cstheme="minorHAnsi"/>
          <w:sz w:val="24"/>
          <w:szCs w:val="24"/>
        </w:rPr>
        <w:t>beneficence</w:t>
      </w:r>
      <w:r w:rsidR="00880E6B" w:rsidRPr="00E67799">
        <w:rPr>
          <w:rFonts w:cstheme="minorHAnsi"/>
          <w:sz w:val="24"/>
          <w:szCs w:val="24"/>
        </w:rPr>
        <w:t xml:space="preserve"> and </w:t>
      </w:r>
      <w:r w:rsidR="00015925" w:rsidRPr="00E67799">
        <w:rPr>
          <w:rFonts w:cstheme="minorHAnsi"/>
          <w:sz w:val="24"/>
          <w:szCs w:val="24"/>
        </w:rPr>
        <w:t>doing no</w:t>
      </w:r>
      <w:r w:rsidR="00880E6B" w:rsidRPr="00E67799">
        <w:rPr>
          <w:rFonts w:cstheme="minorHAnsi"/>
          <w:sz w:val="24"/>
          <w:szCs w:val="24"/>
        </w:rPr>
        <w:t xml:space="preserve"> harm </w:t>
      </w:r>
      <w:r w:rsidR="00015925" w:rsidRPr="00E67799">
        <w:rPr>
          <w:rFonts w:cstheme="minorHAnsi"/>
          <w:sz w:val="24"/>
          <w:szCs w:val="24"/>
        </w:rPr>
        <w:t>[</w:t>
      </w:r>
      <w:r w:rsidR="00D60B5B" w:rsidRPr="00E67799">
        <w:rPr>
          <w:rFonts w:cstheme="minorHAnsi"/>
          <w:sz w:val="24"/>
          <w:szCs w:val="24"/>
        </w:rPr>
        <w:t>16</w:t>
      </w:r>
      <w:r w:rsidR="00D848C6" w:rsidRPr="00E67799">
        <w:rPr>
          <w:rFonts w:cstheme="minorHAnsi"/>
          <w:sz w:val="24"/>
          <w:szCs w:val="24"/>
        </w:rPr>
        <w:t>].</w:t>
      </w:r>
      <w:r w:rsidR="009812A6" w:rsidRPr="00E67799">
        <w:rPr>
          <w:rFonts w:cstheme="minorHAnsi"/>
          <w:sz w:val="24"/>
          <w:szCs w:val="24"/>
        </w:rPr>
        <w:t xml:space="preserve"> </w:t>
      </w:r>
    </w:p>
    <w:p w14:paraId="74F2A152" w14:textId="36FFB8C9" w:rsidR="006E7289" w:rsidRPr="00E67799" w:rsidRDefault="00880E6B" w:rsidP="00F16214">
      <w:pPr>
        <w:pStyle w:val="NoSpacing"/>
        <w:bidi w:val="0"/>
        <w:rPr>
          <w:rFonts w:cstheme="minorHAnsi"/>
          <w:sz w:val="24"/>
          <w:szCs w:val="24"/>
        </w:rPr>
      </w:pPr>
      <w:r w:rsidRPr="00E67799">
        <w:rPr>
          <w:rFonts w:cstheme="minorHAnsi"/>
          <w:sz w:val="24"/>
          <w:szCs w:val="24"/>
        </w:rPr>
        <w:t xml:space="preserve">Following discussion with the </w:t>
      </w:r>
      <w:r w:rsidR="002263EF" w:rsidRPr="00E67799">
        <w:rPr>
          <w:rFonts w:cstheme="minorHAnsi"/>
          <w:sz w:val="24"/>
          <w:szCs w:val="24"/>
        </w:rPr>
        <w:t>patients,</w:t>
      </w:r>
      <w:r w:rsidRPr="00E67799">
        <w:rPr>
          <w:rFonts w:cstheme="minorHAnsi"/>
          <w:sz w:val="24"/>
          <w:szCs w:val="24"/>
        </w:rPr>
        <w:t xml:space="preserve"> balancing benefits against risks, the clinical team decided </w:t>
      </w:r>
      <w:r w:rsidR="002263EF" w:rsidRPr="00E67799">
        <w:rPr>
          <w:rFonts w:cstheme="minorHAnsi"/>
          <w:sz w:val="24"/>
          <w:szCs w:val="24"/>
        </w:rPr>
        <w:t>to administer</w:t>
      </w:r>
      <w:r w:rsidRPr="00E67799">
        <w:rPr>
          <w:rFonts w:cstheme="minorHAnsi"/>
          <w:sz w:val="24"/>
          <w:szCs w:val="24"/>
        </w:rPr>
        <w:t xml:space="preserve"> </w:t>
      </w:r>
      <w:r w:rsidR="006E7289" w:rsidRPr="00E67799">
        <w:rPr>
          <w:rFonts w:cstheme="minorHAnsi"/>
          <w:sz w:val="24"/>
          <w:szCs w:val="24"/>
        </w:rPr>
        <w:t>Tocilizumab</w:t>
      </w:r>
      <w:r w:rsidRPr="00E67799">
        <w:rPr>
          <w:rFonts w:cstheme="minorHAnsi"/>
          <w:sz w:val="24"/>
          <w:szCs w:val="24"/>
        </w:rPr>
        <w:t xml:space="preserve"> therapy under monitoring then salvage </w:t>
      </w:r>
      <w:r w:rsidR="006E7289" w:rsidRPr="00E67799">
        <w:rPr>
          <w:rFonts w:cstheme="minorHAnsi"/>
          <w:sz w:val="24"/>
          <w:szCs w:val="24"/>
        </w:rPr>
        <w:t>the critical</w:t>
      </w:r>
      <w:r w:rsidRPr="00E67799">
        <w:rPr>
          <w:rFonts w:cstheme="minorHAnsi"/>
          <w:sz w:val="24"/>
          <w:szCs w:val="24"/>
        </w:rPr>
        <w:t xml:space="preserve"> neutropenia with </w:t>
      </w:r>
      <w:r w:rsidR="00F30E0B" w:rsidRPr="00E67799">
        <w:rPr>
          <w:rFonts w:cstheme="minorHAnsi"/>
          <w:sz w:val="24"/>
          <w:szCs w:val="24"/>
        </w:rPr>
        <w:t xml:space="preserve">G-CSF </w:t>
      </w:r>
      <w:r w:rsidR="002263EF" w:rsidRPr="00E67799">
        <w:rPr>
          <w:rFonts w:cstheme="minorHAnsi"/>
          <w:sz w:val="24"/>
          <w:szCs w:val="24"/>
        </w:rPr>
        <w:t>(</w:t>
      </w:r>
      <w:r w:rsidR="00F30E0B" w:rsidRPr="00E67799">
        <w:rPr>
          <w:rFonts w:cstheme="minorHAnsi"/>
          <w:sz w:val="24"/>
          <w:szCs w:val="24"/>
        </w:rPr>
        <w:t>filgrastim</w:t>
      </w:r>
      <w:r w:rsidR="002263EF" w:rsidRPr="00E67799">
        <w:rPr>
          <w:rFonts w:cstheme="minorHAnsi"/>
          <w:sz w:val="24"/>
          <w:szCs w:val="24"/>
        </w:rPr>
        <w:t>)</w:t>
      </w:r>
      <w:r w:rsidR="00F30E0B" w:rsidRPr="00E67799">
        <w:rPr>
          <w:rFonts w:cstheme="minorHAnsi"/>
          <w:sz w:val="24"/>
          <w:szCs w:val="24"/>
        </w:rPr>
        <w:t xml:space="preserve"> to stimulate neutrophil production </w:t>
      </w:r>
      <w:r w:rsidRPr="00E67799">
        <w:rPr>
          <w:rFonts w:cstheme="minorHAnsi"/>
          <w:sz w:val="24"/>
          <w:szCs w:val="24"/>
        </w:rPr>
        <w:t xml:space="preserve">to safe outcome </w:t>
      </w:r>
      <w:r w:rsidR="00944E0B" w:rsidRPr="00E67799">
        <w:rPr>
          <w:rFonts w:cstheme="minorHAnsi"/>
          <w:sz w:val="24"/>
          <w:szCs w:val="24"/>
        </w:rPr>
        <w:t>and recovery</w:t>
      </w:r>
      <w:r w:rsidR="0067054C" w:rsidRPr="00E67799">
        <w:rPr>
          <w:rFonts w:cstheme="minorHAnsi"/>
          <w:sz w:val="24"/>
          <w:szCs w:val="24"/>
        </w:rPr>
        <w:t xml:space="preserve">. </w:t>
      </w:r>
      <w:r w:rsidRPr="00E67799">
        <w:rPr>
          <w:rFonts w:cstheme="minorHAnsi"/>
          <w:sz w:val="24"/>
          <w:szCs w:val="24"/>
        </w:rPr>
        <w:t xml:space="preserve">Although our approach was </w:t>
      </w:r>
      <w:r w:rsidR="00944E0B" w:rsidRPr="00E67799">
        <w:rPr>
          <w:rFonts w:cstheme="minorHAnsi"/>
          <w:sz w:val="24"/>
          <w:szCs w:val="24"/>
        </w:rPr>
        <w:t>successful,</w:t>
      </w:r>
      <w:r w:rsidRPr="00E67799">
        <w:rPr>
          <w:rFonts w:cstheme="minorHAnsi"/>
          <w:sz w:val="24"/>
          <w:szCs w:val="24"/>
        </w:rPr>
        <w:t xml:space="preserve"> t</w:t>
      </w:r>
      <w:r w:rsidR="00F30E0B" w:rsidRPr="00E67799">
        <w:rPr>
          <w:rFonts w:cstheme="minorHAnsi"/>
          <w:sz w:val="24"/>
          <w:szCs w:val="24"/>
        </w:rPr>
        <w:t>he us</w:t>
      </w:r>
      <w:r w:rsidRPr="00E67799">
        <w:rPr>
          <w:rFonts w:cstheme="minorHAnsi"/>
          <w:sz w:val="24"/>
          <w:szCs w:val="24"/>
        </w:rPr>
        <w:t>age</w:t>
      </w:r>
      <w:r w:rsidR="00F30E0B" w:rsidRPr="00E67799">
        <w:rPr>
          <w:rFonts w:cstheme="minorHAnsi"/>
          <w:sz w:val="24"/>
          <w:szCs w:val="24"/>
        </w:rPr>
        <w:t xml:space="preserve"> of</w:t>
      </w:r>
      <w:r w:rsidR="00944E0B" w:rsidRPr="00E67799">
        <w:rPr>
          <w:rFonts w:cstheme="minorHAnsi"/>
          <w:sz w:val="24"/>
          <w:szCs w:val="24"/>
        </w:rPr>
        <w:t xml:space="preserve"> G-CSF </w:t>
      </w:r>
      <w:r w:rsidR="00F30E0B" w:rsidRPr="00E67799">
        <w:rPr>
          <w:rFonts w:cstheme="minorHAnsi"/>
          <w:sz w:val="24"/>
          <w:szCs w:val="24"/>
        </w:rPr>
        <w:t xml:space="preserve">in COVID 19 </w:t>
      </w:r>
      <w:r w:rsidR="002263EF" w:rsidRPr="00E67799">
        <w:rPr>
          <w:rFonts w:cstheme="minorHAnsi"/>
          <w:sz w:val="24"/>
          <w:szCs w:val="24"/>
        </w:rPr>
        <w:t xml:space="preserve">disease </w:t>
      </w:r>
      <w:r w:rsidR="00F30E0B" w:rsidRPr="00E67799">
        <w:rPr>
          <w:rFonts w:cstheme="minorHAnsi"/>
          <w:sz w:val="24"/>
          <w:szCs w:val="24"/>
        </w:rPr>
        <w:t>is still controversial with some reports relate</w:t>
      </w:r>
      <w:r w:rsidRPr="00E67799">
        <w:rPr>
          <w:rFonts w:cstheme="minorHAnsi"/>
          <w:sz w:val="24"/>
          <w:szCs w:val="24"/>
        </w:rPr>
        <w:t>s</w:t>
      </w:r>
      <w:r w:rsidR="00F30E0B" w:rsidRPr="00E67799">
        <w:rPr>
          <w:rFonts w:cstheme="minorHAnsi"/>
          <w:sz w:val="24"/>
          <w:szCs w:val="24"/>
        </w:rPr>
        <w:t xml:space="preserve"> its administration to increase oxygen </w:t>
      </w:r>
      <w:r w:rsidR="002263EF" w:rsidRPr="00E67799">
        <w:rPr>
          <w:rFonts w:cstheme="minorHAnsi"/>
          <w:sz w:val="24"/>
          <w:szCs w:val="24"/>
        </w:rPr>
        <w:t>requirements, possible</w:t>
      </w:r>
      <w:r w:rsidR="00F30E0B" w:rsidRPr="00E67799">
        <w:rPr>
          <w:rFonts w:cstheme="minorHAnsi"/>
          <w:sz w:val="24"/>
          <w:szCs w:val="24"/>
        </w:rPr>
        <w:t xml:space="preserve"> </w:t>
      </w:r>
      <w:r w:rsidRPr="00E67799">
        <w:rPr>
          <w:rFonts w:cstheme="minorHAnsi"/>
          <w:sz w:val="24"/>
          <w:szCs w:val="24"/>
        </w:rPr>
        <w:t xml:space="preserve">precipitation of </w:t>
      </w:r>
      <w:r w:rsidR="00F30E0B" w:rsidRPr="00E67799">
        <w:rPr>
          <w:rFonts w:cstheme="minorHAnsi"/>
          <w:sz w:val="24"/>
          <w:szCs w:val="24"/>
        </w:rPr>
        <w:t>cytokine storm</w:t>
      </w:r>
      <w:r w:rsidR="00944E0B" w:rsidRPr="00E67799">
        <w:rPr>
          <w:rFonts w:cstheme="minorHAnsi"/>
          <w:sz w:val="24"/>
          <w:szCs w:val="24"/>
        </w:rPr>
        <w:t xml:space="preserve"> as well as progression of alveolar </w:t>
      </w:r>
      <w:r w:rsidR="0067054C" w:rsidRPr="00E67799">
        <w:rPr>
          <w:rFonts w:cstheme="minorHAnsi"/>
          <w:sz w:val="24"/>
          <w:szCs w:val="24"/>
        </w:rPr>
        <w:t>damage [</w:t>
      </w:r>
      <w:r w:rsidR="00D60B5B" w:rsidRPr="00E67799">
        <w:rPr>
          <w:rFonts w:cstheme="minorHAnsi"/>
          <w:sz w:val="24"/>
          <w:szCs w:val="24"/>
        </w:rPr>
        <w:t>17</w:t>
      </w:r>
      <w:r w:rsidR="00B165BC" w:rsidRPr="00E67799">
        <w:rPr>
          <w:rFonts w:cstheme="minorHAnsi"/>
          <w:sz w:val="24"/>
          <w:szCs w:val="24"/>
        </w:rPr>
        <w:t>,18</w:t>
      </w:r>
      <w:r w:rsidR="006E7289" w:rsidRPr="00E67799">
        <w:rPr>
          <w:rFonts w:cstheme="minorHAnsi"/>
          <w:sz w:val="24"/>
          <w:szCs w:val="24"/>
        </w:rPr>
        <w:t>]</w:t>
      </w:r>
    </w:p>
    <w:p w14:paraId="66CEB9B3" w14:textId="77777777" w:rsidR="009812A6" w:rsidRPr="00E67799" w:rsidRDefault="009812A6" w:rsidP="009812A6">
      <w:pPr>
        <w:pStyle w:val="NoSpacing"/>
        <w:bidi w:val="0"/>
        <w:rPr>
          <w:rFonts w:cstheme="minorHAnsi"/>
          <w:sz w:val="24"/>
          <w:szCs w:val="24"/>
        </w:rPr>
      </w:pPr>
    </w:p>
    <w:bookmarkEnd w:id="4"/>
    <w:p w14:paraId="223A67AC" w14:textId="7B1CF71A" w:rsidR="00F30E0B" w:rsidRPr="00E67799" w:rsidRDefault="00944E0B" w:rsidP="00F16214">
      <w:pPr>
        <w:pStyle w:val="NoSpacing"/>
        <w:bidi w:val="0"/>
        <w:rPr>
          <w:rFonts w:cstheme="minorHAnsi"/>
          <w:sz w:val="24"/>
          <w:szCs w:val="24"/>
        </w:rPr>
      </w:pPr>
      <w:r w:rsidRPr="00E67799">
        <w:rPr>
          <w:rFonts w:cstheme="minorHAnsi"/>
          <w:sz w:val="24"/>
          <w:szCs w:val="24"/>
        </w:rPr>
        <w:t>Th</w:t>
      </w:r>
      <w:r w:rsidR="002263EF" w:rsidRPr="00E67799">
        <w:rPr>
          <w:rFonts w:cstheme="minorHAnsi"/>
          <w:sz w:val="24"/>
          <w:szCs w:val="24"/>
        </w:rPr>
        <w:t>is</w:t>
      </w:r>
      <w:r w:rsidRPr="00E67799">
        <w:rPr>
          <w:rFonts w:cstheme="minorHAnsi"/>
          <w:sz w:val="24"/>
          <w:szCs w:val="24"/>
        </w:rPr>
        <w:t xml:space="preserve"> case </w:t>
      </w:r>
      <w:r w:rsidR="0087548A" w:rsidRPr="00E67799">
        <w:rPr>
          <w:rFonts w:cstheme="minorHAnsi"/>
          <w:sz w:val="24"/>
          <w:szCs w:val="24"/>
        </w:rPr>
        <w:t>tries</w:t>
      </w:r>
      <w:r w:rsidRPr="00E67799">
        <w:rPr>
          <w:rFonts w:cstheme="minorHAnsi"/>
          <w:sz w:val="24"/>
          <w:szCs w:val="24"/>
        </w:rPr>
        <w:t xml:space="preserve"> to address two main issues: the use of </w:t>
      </w:r>
      <w:r w:rsidR="006E7289" w:rsidRPr="00E67799">
        <w:rPr>
          <w:rFonts w:cstheme="minorHAnsi"/>
          <w:sz w:val="24"/>
          <w:szCs w:val="24"/>
        </w:rPr>
        <w:t>Tocilizumab</w:t>
      </w:r>
      <w:r w:rsidRPr="00E67799">
        <w:rPr>
          <w:rFonts w:cstheme="minorHAnsi"/>
          <w:sz w:val="24"/>
          <w:szCs w:val="24"/>
        </w:rPr>
        <w:t xml:space="preserve"> in patients with severe COVID-19 disease </w:t>
      </w:r>
      <w:r w:rsidR="006E7289" w:rsidRPr="00E67799">
        <w:rPr>
          <w:rFonts w:cstheme="minorHAnsi"/>
          <w:sz w:val="24"/>
          <w:szCs w:val="24"/>
        </w:rPr>
        <w:t>and profound</w:t>
      </w:r>
      <w:r w:rsidRPr="00E67799">
        <w:rPr>
          <w:rFonts w:cstheme="minorHAnsi"/>
          <w:sz w:val="24"/>
          <w:szCs w:val="24"/>
        </w:rPr>
        <w:t xml:space="preserve"> neutropenia as well as G-CSF therapy in the context of CSS and COVID-19 </w:t>
      </w:r>
      <w:r w:rsidR="006E7289" w:rsidRPr="00E67799">
        <w:rPr>
          <w:rFonts w:cstheme="minorHAnsi"/>
          <w:sz w:val="24"/>
          <w:szCs w:val="24"/>
        </w:rPr>
        <w:t>disease.</w:t>
      </w:r>
      <w:r w:rsidRPr="00E67799">
        <w:rPr>
          <w:rFonts w:cstheme="minorHAnsi"/>
          <w:sz w:val="24"/>
          <w:szCs w:val="24"/>
        </w:rPr>
        <w:t xml:space="preserve"> Since there are paucity of data and clinical experience to answer these questions during the evolving pandemic only accumulate evidence will participate towards building the needed experience.  </w:t>
      </w:r>
      <w:r w:rsidR="00BF2C02" w:rsidRPr="00E67799">
        <w:rPr>
          <w:rFonts w:cstheme="minorHAnsi"/>
          <w:sz w:val="24"/>
          <w:szCs w:val="24"/>
        </w:rPr>
        <w:t>T</w:t>
      </w:r>
      <w:r w:rsidR="00F30E0B" w:rsidRPr="00E67799">
        <w:rPr>
          <w:rFonts w:cstheme="minorHAnsi"/>
          <w:sz w:val="24"/>
          <w:szCs w:val="24"/>
        </w:rPr>
        <w:t xml:space="preserve">o our knowledge this will be the first case report to </w:t>
      </w:r>
      <w:r w:rsidR="00BF2C02" w:rsidRPr="00E67799">
        <w:rPr>
          <w:rFonts w:cstheme="minorHAnsi"/>
          <w:sz w:val="24"/>
          <w:szCs w:val="24"/>
        </w:rPr>
        <w:t xml:space="preserve">successful </w:t>
      </w:r>
      <w:r w:rsidR="002263EF" w:rsidRPr="00E67799">
        <w:rPr>
          <w:rFonts w:cstheme="minorHAnsi"/>
          <w:sz w:val="24"/>
          <w:szCs w:val="24"/>
        </w:rPr>
        <w:t>tocilizumab therapy</w:t>
      </w:r>
      <w:r w:rsidR="00BF2C02" w:rsidRPr="00E67799">
        <w:rPr>
          <w:rFonts w:cstheme="minorHAnsi"/>
          <w:sz w:val="24"/>
          <w:szCs w:val="24"/>
        </w:rPr>
        <w:t xml:space="preserve"> </w:t>
      </w:r>
      <w:r w:rsidR="00F30E0B" w:rsidRPr="00E67799">
        <w:rPr>
          <w:rFonts w:cstheme="minorHAnsi"/>
          <w:sz w:val="24"/>
          <w:szCs w:val="24"/>
        </w:rPr>
        <w:t>in COVID 19 patient</w:t>
      </w:r>
      <w:r w:rsidR="00BF2C02" w:rsidRPr="00E67799">
        <w:rPr>
          <w:rFonts w:cstheme="minorHAnsi"/>
          <w:sz w:val="24"/>
          <w:szCs w:val="24"/>
        </w:rPr>
        <w:t>s</w:t>
      </w:r>
      <w:r w:rsidR="00F30E0B" w:rsidRPr="00E67799">
        <w:rPr>
          <w:rFonts w:cstheme="minorHAnsi"/>
          <w:sz w:val="24"/>
          <w:szCs w:val="24"/>
        </w:rPr>
        <w:t xml:space="preserve"> with </w:t>
      </w:r>
      <w:r w:rsidR="00BF2C02" w:rsidRPr="00E67799">
        <w:rPr>
          <w:rFonts w:cstheme="minorHAnsi"/>
          <w:sz w:val="24"/>
          <w:szCs w:val="24"/>
        </w:rPr>
        <w:t xml:space="preserve">profundo </w:t>
      </w:r>
      <w:r w:rsidR="00F30E0B" w:rsidRPr="00E67799">
        <w:rPr>
          <w:rFonts w:cstheme="minorHAnsi"/>
          <w:sz w:val="24"/>
          <w:szCs w:val="24"/>
        </w:rPr>
        <w:t>neutropenia. Further studies regarding tocilizumab</w:t>
      </w:r>
      <w:r w:rsidR="00BF2C02" w:rsidRPr="00E67799">
        <w:rPr>
          <w:rFonts w:cstheme="minorHAnsi"/>
          <w:sz w:val="24"/>
          <w:szCs w:val="24"/>
        </w:rPr>
        <w:t xml:space="preserve"> benefits in such </w:t>
      </w:r>
      <w:r w:rsidR="002263EF" w:rsidRPr="00E67799">
        <w:rPr>
          <w:rFonts w:cstheme="minorHAnsi"/>
          <w:sz w:val="24"/>
          <w:szCs w:val="24"/>
        </w:rPr>
        <w:t>cohort of</w:t>
      </w:r>
      <w:r w:rsidR="00BF2C02" w:rsidRPr="00E67799">
        <w:rPr>
          <w:rFonts w:cstheme="minorHAnsi"/>
          <w:sz w:val="24"/>
          <w:szCs w:val="24"/>
        </w:rPr>
        <w:t xml:space="preserve"> patients and </w:t>
      </w:r>
      <w:r w:rsidR="006E7289" w:rsidRPr="00E67799">
        <w:rPr>
          <w:rFonts w:cstheme="minorHAnsi"/>
          <w:sz w:val="24"/>
          <w:szCs w:val="24"/>
        </w:rPr>
        <w:t>whether the</w:t>
      </w:r>
      <w:r w:rsidR="00BF2C02" w:rsidRPr="00E67799">
        <w:rPr>
          <w:rFonts w:cstheme="minorHAnsi"/>
          <w:sz w:val="24"/>
          <w:szCs w:val="24"/>
        </w:rPr>
        <w:t xml:space="preserve"> additive action of </w:t>
      </w:r>
      <w:r w:rsidR="00F30E0B" w:rsidRPr="00E67799">
        <w:rPr>
          <w:rFonts w:cstheme="minorHAnsi"/>
          <w:sz w:val="24"/>
          <w:szCs w:val="24"/>
        </w:rPr>
        <w:t xml:space="preserve">G-CSF is recommended. </w:t>
      </w:r>
    </w:p>
    <w:p w14:paraId="1079F79D" w14:textId="77777777" w:rsidR="00F16214" w:rsidRPr="00E67799" w:rsidRDefault="00F16214" w:rsidP="00F16214">
      <w:pPr>
        <w:pStyle w:val="NoSpacing"/>
        <w:bidi w:val="0"/>
        <w:rPr>
          <w:rFonts w:cstheme="minorHAnsi"/>
          <w:sz w:val="24"/>
          <w:szCs w:val="24"/>
        </w:rPr>
      </w:pPr>
    </w:p>
    <w:p w14:paraId="0BD133D0" w14:textId="19EC9300" w:rsidR="00BF2C02" w:rsidRPr="00E67799" w:rsidRDefault="00C74141" w:rsidP="00F16214">
      <w:pPr>
        <w:pStyle w:val="NoSpacing"/>
        <w:bidi w:val="0"/>
        <w:rPr>
          <w:rFonts w:cstheme="minorHAnsi"/>
          <w:b/>
          <w:bCs/>
          <w:sz w:val="24"/>
          <w:szCs w:val="24"/>
        </w:rPr>
      </w:pPr>
      <w:r w:rsidRPr="00E67799">
        <w:rPr>
          <w:rFonts w:cstheme="minorHAnsi"/>
          <w:b/>
          <w:bCs/>
          <w:sz w:val="24"/>
          <w:szCs w:val="24"/>
        </w:rPr>
        <w:t>Conclusion:</w:t>
      </w:r>
    </w:p>
    <w:p w14:paraId="35A7FC90" w14:textId="5770E44F" w:rsidR="00F30E0B" w:rsidRPr="00E67799" w:rsidRDefault="00BF2C02" w:rsidP="00F16214">
      <w:pPr>
        <w:pStyle w:val="NoSpacing"/>
        <w:bidi w:val="0"/>
        <w:rPr>
          <w:rFonts w:cstheme="minorHAnsi"/>
          <w:sz w:val="24"/>
          <w:szCs w:val="24"/>
        </w:rPr>
      </w:pPr>
      <w:r w:rsidRPr="00E67799">
        <w:rPr>
          <w:rStyle w:val="SAP-AbtractTextChar"/>
          <w:rFonts w:asciiTheme="minorHAnsi" w:hAnsiTheme="minorHAnsi" w:cstheme="minorHAnsi"/>
        </w:rPr>
        <w:t>The COVID-19 pandemic is evolving with significant morbidity and mortality specially from Cytokine Storm Syndrome. Tocilizumab therapy is recommended to impede the deleterious consequences of CSS yet limited by precautionary measures in patients with severe neutropenia</w:t>
      </w:r>
      <w:r w:rsidR="002263EF" w:rsidRPr="00E67799">
        <w:rPr>
          <w:rStyle w:val="SAP-AbtractTextChar"/>
          <w:rFonts w:asciiTheme="minorHAnsi" w:hAnsiTheme="minorHAnsi" w:cstheme="minorHAnsi"/>
        </w:rPr>
        <w:t xml:space="preserve">. In patients with severe COVID-19 disease and </w:t>
      </w:r>
      <w:r w:rsidR="006E7289" w:rsidRPr="00E67799">
        <w:rPr>
          <w:rStyle w:val="SAP-AbtractTextChar"/>
          <w:rFonts w:asciiTheme="minorHAnsi" w:hAnsiTheme="minorHAnsi" w:cstheme="minorHAnsi"/>
        </w:rPr>
        <w:t>critical neutropenia</w:t>
      </w:r>
      <w:r w:rsidR="002263EF" w:rsidRPr="00E67799">
        <w:rPr>
          <w:rStyle w:val="SAP-AbtractTextChar"/>
          <w:rFonts w:asciiTheme="minorHAnsi" w:hAnsiTheme="minorHAnsi" w:cstheme="minorHAnsi"/>
        </w:rPr>
        <w:t xml:space="preserve">, </w:t>
      </w:r>
      <w:r w:rsidR="0004596E" w:rsidRPr="00E67799">
        <w:rPr>
          <w:rStyle w:val="SAP-AbtractTextChar"/>
          <w:rFonts w:asciiTheme="minorHAnsi" w:hAnsiTheme="minorHAnsi" w:cstheme="minorHAnsi"/>
        </w:rPr>
        <w:t>w</w:t>
      </w:r>
      <w:r w:rsidR="002263EF" w:rsidRPr="00E67799">
        <w:rPr>
          <w:rStyle w:val="SAP-AbtractTextChar"/>
          <w:rFonts w:asciiTheme="minorHAnsi" w:hAnsiTheme="minorHAnsi" w:cstheme="minorHAnsi"/>
        </w:rPr>
        <w:t xml:space="preserve">e recommend the cautious </w:t>
      </w:r>
      <w:r w:rsidR="006E7289" w:rsidRPr="00E67799">
        <w:rPr>
          <w:rStyle w:val="SAP-AbtractTextChar"/>
          <w:rFonts w:asciiTheme="minorHAnsi" w:hAnsiTheme="minorHAnsi" w:cstheme="minorHAnsi"/>
        </w:rPr>
        <w:t>administration of</w:t>
      </w:r>
      <w:r w:rsidR="002263EF" w:rsidRPr="00E67799">
        <w:rPr>
          <w:rStyle w:val="SAP-AbtractTextChar"/>
          <w:rFonts w:asciiTheme="minorHAnsi" w:hAnsiTheme="minorHAnsi" w:cstheme="minorHAnsi"/>
        </w:rPr>
        <w:t xml:space="preserve"> Tocilizumab supported by G-CSF on benefits </w:t>
      </w:r>
      <w:r w:rsidR="0004596E" w:rsidRPr="00E67799">
        <w:rPr>
          <w:rStyle w:val="SAP-AbtractTextChar"/>
          <w:rFonts w:asciiTheme="minorHAnsi" w:hAnsiTheme="minorHAnsi" w:cstheme="minorHAnsi"/>
        </w:rPr>
        <w:t xml:space="preserve">against </w:t>
      </w:r>
      <w:r w:rsidR="002263EF" w:rsidRPr="00E67799">
        <w:rPr>
          <w:rStyle w:val="SAP-AbtractTextChar"/>
          <w:rFonts w:asciiTheme="minorHAnsi" w:hAnsiTheme="minorHAnsi" w:cstheme="minorHAnsi"/>
        </w:rPr>
        <w:t xml:space="preserve">risks </w:t>
      </w:r>
      <w:r w:rsidR="0087548A" w:rsidRPr="00E67799">
        <w:rPr>
          <w:rStyle w:val="SAP-AbtractTextChar"/>
          <w:rFonts w:asciiTheme="minorHAnsi" w:hAnsiTheme="minorHAnsi" w:cstheme="minorHAnsi"/>
        </w:rPr>
        <w:t>assessment.</w:t>
      </w:r>
      <w:r w:rsidR="002263EF" w:rsidRPr="00E67799">
        <w:rPr>
          <w:rStyle w:val="SAP-AbtractTextChar"/>
          <w:rFonts w:asciiTheme="minorHAnsi" w:hAnsiTheme="minorHAnsi" w:cstheme="minorHAnsi"/>
        </w:rPr>
        <w:t xml:space="preserve">  </w:t>
      </w:r>
      <w:r w:rsidRPr="00E67799">
        <w:rPr>
          <w:rStyle w:val="SAP-AbtractTextChar"/>
          <w:rFonts w:asciiTheme="minorHAnsi" w:hAnsiTheme="minorHAnsi" w:cstheme="minorHAnsi"/>
        </w:rPr>
        <w:t xml:space="preserve"> </w:t>
      </w:r>
    </w:p>
    <w:p w14:paraId="0890FA4E" w14:textId="7FD5DEDD" w:rsidR="00F30E0B" w:rsidRDefault="00F30E0B" w:rsidP="00B72A1A">
      <w:pPr>
        <w:jc w:val="right"/>
        <w:rPr>
          <w:rFonts w:asciiTheme="majorBidi" w:hAnsiTheme="majorBidi" w:cstheme="majorBidi"/>
          <w:sz w:val="28"/>
          <w:szCs w:val="28"/>
        </w:rPr>
      </w:pPr>
    </w:p>
    <w:p w14:paraId="4AD3CB61" w14:textId="1911D031" w:rsidR="00E67799" w:rsidRDefault="00E67799" w:rsidP="00B72A1A">
      <w:pPr>
        <w:jc w:val="right"/>
        <w:rPr>
          <w:rFonts w:asciiTheme="majorBidi" w:hAnsiTheme="majorBidi" w:cstheme="majorBidi"/>
          <w:sz w:val="28"/>
          <w:szCs w:val="28"/>
          <w:rtl/>
        </w:rPr>
      </w:pPr>
    </w:p>
    <w:p w14:paraId="5B6C99B4" w14:textId="2E497BF9" w:rsidR="00AF50FE" w:rsidRDefault="00AF50FE" w:rsidP="00B72A1A">
      <w:pPr>
        <w:jc w:val="right"/>
        <w:rPr>
          <w:rFonts w:asciiTheme="majorBidi" w:hAnsiTheme="majorBidi" w:cstheme="majorBidi"/>
          <w:sz w:val="28"/>
          <w:szCs w:val="28"/>
          <w:rtl/>
        </w:rPr>
      </w:pPr>
    </w:p>
    <w:p w14:paraId="5425D9CF" w14:textId="77777777" w:rsidR="00AF50FE" w:rsidRPr="005377B7" w:rsidRDefault="00AF50FE" w:rsidP="00B72A1A">
      <w:pPr>
        <w:jc w:val="right"/>
        <w:rPr>
          <w:rFonts w:asciiTheme="majorBidi" w:hAnsiTheme="majorBidi" w:cstheme="majorBidi"/>
          <w:sz w:val="28"/>
          <w:szCs w:val="28"/>
        </w:rPr>
      </w:pPr>
    </w:p>
    <w:p w14:paraId="265EE2B7" w14:textId="1CF365B1" w:rsidR="005B7F11" w:rsidRPr="00F16214" w:rsidRDefault="005B7F11" w:rsidP="00F16214">
      <w:pPr>
        <w:pStyle w:val="NoSpacing"/>
        <w:bidi w:val="0"/>
        <w:rPr>
          <w:b/>
          <w:bCs/>
        </w:rPr>
      </w:pPr>
      <w:r w:rsidRPr="00F16214">
        <w:rPr>
          <w:b/>
          <w:bCs/>
        </w:rPr>
        <w:t xml:space="preserve">Authors Statement </w:t>
      </w:r>
      <w:proofErr w:type="spellStart"/>
      <w:r w:rsidR="006E7289" w:rsidRPr="00F16214">
        <w:rPr>
          <w:b/>
          <w:bCs/>
        </w:rPr>
        <w:t>CRedit</w:t>
      </w:r>
      <w:proofErr w:type="spellEnd"/>
      <w:r w:rsidR="006E7289" w:rsidRPr="00F16214">
        <w:rPr>
          <w:b/>
          <w:bCs/>
        </w:rPr>
        <w:t>:</w:t>
      </w:r>
    </w:p>
    <w:p w14:paraId="212C42BA" w14:textId="15C1496D" w:rsidR="005B7F11" w:rsidRPr="00E67799" w:rsidRDefault="005B7F11" w:rsidP="00F16214">
      <w:pPr>
        <w:pStyle w:val="NoSpacing"/>
        <w:bidi w:val="0"/>
        <w:rPr>
          <w:rFonts w:cstheme="minorHAnsi"/>
          <w:sz w:val="24"/>
          <w:szCs w:val="24"/>
        </w:rPr>
      </w:pPr>
      <w:r w:rsidRPr="00E67799">
        <w:rPr>
          <w:rFonts w:cstheme="minorHAnsi"/>
          <w:sz w:val="24"/>
          <w:szCs w:val="24"/>
        </w:rPr>
        <w:t xml:space="preserve">Ahmad Al Bishawi: </w:t>
      </w:r>
      <w:r w:rsidR="0067054C" w:rsidRPr="00E67799">
        <w:rPr>
          <w:rFonts w:cstheme="minorHAnsi"/>
          <w:sz w:val="24"/>
          <w:szCs w:val="24"/>
        </w:rPr>
        <w:t xml:space="preserve">Final </w:t>
      </w:r>
      <w:r w:rsidRPr="00E67799">
        <w:rPr>
          <w:rFonts w:cstheme="minorHAnsi"/>
          <w:sz w:val="24"/>
          <w:szCs w:val="24"/>
        </w:rPr>
        <w:t>Manuscript writing</w:t>
      </w:r>
      <w:r w:rsidR="0067054C" w:rsidRPr="00E67799">
        <w:rPr>
          <w:rFonts w:cstheme="minorHAnsi"/>
          <w:sz w:val="24"/>
          <w:szCs w:val="24"/>
        </w:rPr>
        <w:t xml:space="preserve"> and editing. </w:t>
      </w:r>
      <w:r w:rsidRPr="00E67799">
        <w:rPr>
          <w:rFonts w:cstheme="minorHAnsi"/>
          <w:sz w:val="24"/>
          <w:szCs w:val="24"/>
        </w:rPr>
        <w:t xml:space="preserve"> </w:t>
      </w:r>
    </w:p>
    <w:p w14:paraId="3A088E8C" w14:textId="77777777" w:rsidR="005B7F11" w:rsidRPr="00E67799" w:rsidRDefault="005B7F11" w:rsidP="00F16214">
      <w:pPr>
        <w:pStyle w:val="NoSpacing"/>
        <w:bidi w:val="0"/>
        <w:rPr>
          <w:rFonts w:cstheme="minorHAnsi"/>
          <w:sz w:val="24"/>
          <w:szCs w:val="24"/>
          <w:shd w:val="clear" w:color="auto" w:fill="FFFFFF"/>
        </w:rPr>
      </w:pPr>
      <w:r w:rsidRPr="00E67799">
        <w:rPr>
          <w:rFonts w:cstheme="minorHAnsi"/>
          <w:sz w:val="24"/>
          <w:szCs w:val="24"/>
          <w:shd w:val="clear" w:color="auto" w:fill="FFFFFF"/>
        </w:rPr>
        <w:t>Shiema Abdalla</w:t>
      </w:r>
      <w:r w:rsidRPr="00E67799">
        <w:rPr>
          <w:rFonts w:cstheme="minorHAnsi"/>
          <w:sz w:val="24"/>
          <w:szCs w:val="24"/>
          <w:shd w:val="clear" w:color="auto" w:fill="FFFFFF"/>
          <w:vertAlign w:val="superscript"/>
        </w:rPr>
        <w:t xml:space="preserve">: </w:t>
      </w:r>
      <w:r w:rsidRPr="00E67799">
        <w:rPr>
          <w:rFonts w:cstheme="minorHAnsi"/>
          <w:sz w:val="24"/>
          <w:szCs w:val="24"/>
          <w:shd w:val="clear" w:color="auto" w:fill="FFFFFF"/>
        </w:rPr>
        <w:t xml:space="preserve">Initial draft writing </w:t>
      </w:r>
    </w:p>
    <w:p w14:paraId="75515471" w14:textId="77777777" w:rsidR="005B7F11" w:rsidRPr="00E67799" w:rsidRDefault="005B7F11" w:rsidP="00F16214">
      <w:pPr>
        <w:pStyle w:val="NoSpacing"/>
        <w:bidi w:val="0"/>
        <w:rPr>
          <w:rFonts w:cstheme="minorHAnsi"/>
          <w:sz w:val="24"/>
          <w:szCs w:val="24"/>
          <w:shd w:val="clear" w:color="auto" w:fill="FFFFFF"/>
        </w:rPr>
      </w:pPr>
      <w:r w:rsidRPr="00E67799">
        <w:rPr>
          <w:rFonts w:cstheme="minorHAnsi"/>
          <w:sz w:val="24"/>
          <w:szCs w:val="24"/>
          <w:shd w:val="clear" w:color="auto" w:fill="FFFFFF"/>
        </w:rPr>
        <w:t>Marwa Askar</w:t>
      </w:r>
      <w:r w:rsidRPr="00E67799">
        <w:rPr>
          <w:rFonts w:cstheme="minorHAnsi"/>
          <w:sz w:val="24"/>
          <w:szCs w:val="24"/>
          <w:shd w:val="clear" w:color="auto" w:fill="FFFFFF"/>
          <w:vertAlign w:val="superscript"/>
        </w:rPr>
        <w:t xml:space="preserve">: </w:t>
      </w:r>
      <w:r w:rsidRPr="00E67799">
        <w:rPr>
          <w:rFonts w:cstheme="minorHAnsi"/>
          <w:sz w:val="24"/>
          <w:szCs w:val="24"/>
          <w:shd w:val="clear" w:color="auto" w:fill="FFFFFF"/>
        </w:rPr>
        <w:t>Initial draft writing</w:t>
      </w:r>
    </w:p>
    <w:p w14:paraId="4C216D1C" w14:textId="77777777" w:rsidR="005B7F11" w:rsidRPr="00E67799" w:rsidRDefault="005B7F11" w:rsidP="00F16214">
      <w:pPr>
        <w:pStyle w:val="NoSpacing"/>
        <w:bidi w:val="0"/>
        <w:rPr>
          <w:rFonts w:cstheme="minorHAnsi"/>
          <w:sz w:val="24"/>
          <w:szCs w:val="24"/>
          <w:shd w:val="clear" w:color="auto" w:fill="FFFFFF"/>
        </w:rPr>
      </w:pPr>
      <w:r w:rsidRPr="00E67799">
        <w:rPr>
          <w:rFonts w:cstheme="minorHAnsi"/>
          <w:sz w:val="24"/>
          <w:szCs w:val="24"/>
          <w:shd w:val="clear" w:color="auto" w:fill="FFFFFF"/>
        </w:rPr>
        <w:t>Wael Kanjo: Literature review</w:t>
      </w:r>
    </w:p>
    <w:p w14:paraId="3963A0F7" w14:textId="77777777" w:rsidR="005B7F11" w:rsidRPr="00E67799" w:rsidRDefault="005B7F11" w:rsidP="00F16214">
      <w:pPr>
        <w:pStyle w:val="NoSpacing"/>
        <w:bidi w:val="0"/>
        <w:rPr>
          <w:rFonts w:cstheme="minorHAnsi"/>
          <w:sz w:val="24"/>
          <w:szCs w:val="24"/>
          <w:shd w:val="clear" w:color="auto" w:fill="FFFFFF"/>
        </w:rPr>
      </w:pPr>
      <w:r w:rsidRPr="00E67799">
        <w:rPr>
          <w:rFonts w:cstheme="minorHAnsi"/>
          <w:sz w:val="24"/>
          <w:szCs w:val="24"/>
          <w:shd w:val="clear" w:color="auto" w:fill="FFFFFF"/>
        </w:rPr>
        <w:t>Amal Sameer</w:t>
      </w:r>
      <w:r w:rsidRPr="00E67799">
        <w:rPr>
          <w:rFonts w:cstheme="minorHAnsi"/>
          <w:sz w:val="24"/>
          <w:szCs w:val="24"/>
          <w:shd w:val="clear" w:color="auto" w:fill="FFFFFF"/>
          <w:vertAlign w:val="superscript"/>
        </w:rPr>
        <w:t xml:space="preserve">: </w:t>
      </w:r>
      <w:r w:rsidRPr="00E67799">
        <w:rPr>
          <w:rFonts w:cstheme="minorHAnsi"/>
          <w:sz w:val="24"/>
          <w:szCs w:val="24"/>
          <w:shd w:val="clear" w:color="auto" w:fill="FFFFFF"/>
        </w:rPr>
        <w:t>Literature review</w:t>
      </w:r>
    </w:p>
    <w:p w14:paraId="59D0FB7D" w14:textId="77777777" w:rsidR="00F75E67" w:rsidRPr="00E67799" w:rsidRDefault="005B7F11" w:rsidP="00F16214">
      <w:pPr>
        <w:pStyle w:val="NoSpacing"/>
        <w:bidi w:val="0"/>
        <w:rPr>
          <w:rFonts w:cstheme="minorHAnsi"/>
          <w:sz w:val="24"/>
          <w:szCs w:val="24"/>
          <w:shd w:val="clear" w:color="auto" w:fill="FFFFFF"/>
        </w:rPr>
      </w:pPr>
      <w:r w:rsidRPr="00E67799">
        <w:rPr>
          <w:rFonts w:cstheme="minorHAnsi"/>
          <w:sz w:val="24"/>
          <w:szCs w:val="24"/>
          <w:shd w:val="clear" w:color="auto" w:fill="FFFFFF"/>
        </w:rPr>
        <w:t>Gihan Mustafa: review and editing</w:t>
      </w:r>
    </w:p>
    <w:p w14:paraId="3E22FCBF" w14:textId="6E56CCF8" w:rsidR="005B7F11" w:rsidRPr="00E67799" w:rsidRDefault="00F75E67" w:rsidP="00F75E67">
      <w:pPr>
        <w:pStyle w:val="NoSpacing"/>
        <w:bidi w:val="0"/>
        <w:rPr>
          <w:rFonts w:cstheme="minorHAnsi"/>
          <w:sz w:val="24"/>
          <w:szCs w:val="24"/>
          <w:shd w:val="clear" w:color="auto" w:fill="FFFFFF"/>
        </w:rPr>
      </w:pPr>
      <w:r w:rsidRPr="00E67799">
        <w:rPr>
          <w:rFonts w:cstheme="minorHAnsi"/>
          <w:sz w:val="24"/>
          <w:szCs w:val="24"/>
          <w:shd w:val="clear" w:color="auto" w:fill="FFFFFF"/>
        </w:rPr>
        <w:t xml:space="preserve">Hamad Abdel Hadi: Case Supervision, literature review and final manuscript writing, editing and revision. </w:t>
      </w:r>
    </w:p>
    <w:p w14:paraId="6947876C" w14:textId="5E01F03A" w:rsidR="00F16214" w:rsidRDefault="0067054C" w:rsidP="00E67799">
      <w:pPr>
        <w:pStyle w:val="NoSpacing"/>
        <w:bidi w:val="0"/>
        <w:rPr>
          <w:rFonts w:cstheme="minorHAnsi"/>
          <w:sz w:val="24"/>
          <w:szCs w:val="24"/>
          <w:shd w:val="clear" w:color="auto" w:fill="FFFFFF"/>
        </w:rPr>
      </w:pPr>
      <w:r w:rsidRPr="00E67799">
        <w:rPr>
          <w:rFonts w:cstheme="minorHAnsi"/>
          <w:sz w:val="24"/>
          <w:szCs w:val="24"/>
          <w:shd w:val="clear" w:color="auto" w:fill="FFFFFF"/>
        </w:rPr>
        <w:t>Muna Al Maslamani and Alaaeldin Abdelmajid: Supervision and final manuscript revision.</w:t>
      </w:r>
    </w:p>
    <w:p w14:paraId="0B69C81A" w14:textId="77777777" w:rsidR="00E67799" w:rsidRPr="00E67799" w:rsidRDefault="00E67799" w:rsidP="00E67799">
      <w:pPr>
        <w:pStyle w:val="NoSpacing"/>
        <w:bidi w:val="0"/>
        <w:rPr>
          <w:rFonts w:cstheme="minorHAnsi"/>
          <w:sz w:val="24"/>
          <w:szCs w:val="24"/>
          <w:shd w:val="clear" w:color="auto" w:fill="FFFFFF"/>
        </w:rPr>
      </w:pPr>
    </w:p>
    <w:p w14:paraId="2A787096" w14:textId="7D470C13" w:rsidR="00B72A1A" w:rsidRPr="00E67799" w:rsidRDefault="00B72A1A" w:rsidP="00E67799">
      <w:pPr>
        <w:pStyle w:val="NoSpacing"/>
        <w:bidi w:val="0"/>
        <w:rPr>
          <w:rFonts w:cstheme="minorHAnsi"/>
          <w:b/>
          <w:bCs/>
          <w:sz w:val="28"/>
          <w:szCs w:val="28"/>
        </w:rPr>
      </w:pPr>
      <w:r w:rsidRPr="002E1FE9">
        <w:rPr>
          <w:rFonts w:cstheme="minorHAnsi"/>
          <w:b/>
          <w:bCs/>
          <w:sz w:val="28"/>
          <w:szCs w:val="28"/>
        </w:rPr>
        <w:t>Figure Legends</w:t>
      </w:r>
    </w:p>
    <w:p w14:paraId="6983FF89" w14:textId="419FDA0B" w:rsidR="00B72A1A" w:rsidRPr="002E1FE9" w:rsidRDefault="00B72A1A" w:rsidP="002E1FE9">
      <w:pPr>
        <w:pStyle w:val="NoSpacing"/>
        <w:bidi w:val="0"/>
        <w:rPr>
          <w:rFonts w:cstheme="minorHAnsi"/>
          <w:b/>
          <w:bCs/>
          <w:sz w:val="28"/>
          <w:szCs w:val="28"/>
        </w:rPr>
      </w:pPr>
      <w:r w:rsidRPr="002E1FE9">
        <w:rPr>
          <w:rFonts w:cstheme="minorHAnsi"/>
          <w:b/>
          <w:bCs/>
          <w:sz w:val="28"/>
          <w:szCs w:val="28"/>
        </w:rPr>
        <w:t xml:space="preserve">Table </w:t>
      </w:r>
      <w:r w:rsidRPr="002E1FE9">
        <w:rPr>
          <w:rFonts w:cstheme="minorHAnsi"/>
          <w:b/>
          <w:bCs/>
          <w:sz w:val="28"/>
          <w:szCs w:val="28"/>
        </w:rPr>
        <w:fldChar w:fldCharType="begin"/>
      </w:r>
      <w:r w:rsidRPr="002E1FE9">
        <w:rPr>
          <w:rFonts w:cstheme="minorHAnsi"/>
          <w:b/>
          <w:bCs/>
          <w:sz w:val="28"/>
          <w:szCs w:val="28"/>
        </w:rPr>
        <w:instrText xml:space="preserve"> SEQ Table \* ARABIC </w:instrText>
      </w:r>
      <w:r w:rsidRPr="002E1FE9">
        <w:rPr>
          <w:rFonts w:cstheme="minorHAnsi"/>
          <w:b/>
          <w:bCs/>
          <w:sz w:val="28"/>
          <w:szCs w:val="28"/>
        </w:rPr>
        <w:fldChar w:fldCharType="separate"/>
      </w:r>
      <w:r w:rsidR="00F477B0" w:rsidRPr="002E1FE9">
        <w:rPr>
          <w:rFonts w:cstheme="minorHAnsi"/>
          <w:b/>
          <w:bCs/>
          <w:noProof/>
          <w:sz w:val="28"/>
          <w:szCs w:val="28"/>
        </w:rPr>
        <w:t>1</w:t>
      </w:r>
      <w:r w:rsidRPr="002E1FE9">
        <w:rPr>
          <w:rFonts w:cstheme="minorHAnsi"/>
          <w:b/>
          <w:bCs/>
          <w:sz w:val="28"/>
          <w:szCs w:val="28"/>
        </w:rPr>
        <w:fldChar w:fldCharType="end"/>
      </w:r>
    </w:p>
    <w:p w14:paraId="07EF0AD5" w14:textId="77777777" w:rsidR="00B72A1A" w:rsidRPr="00E67799" w:rsidRDefault="00B72A1A" w:rsidP="002E1FE9">
      <w:pPr>
        <w:pStyle w:val="NoSpacing"/>
        <w:bidi w:val="0"/>
        <w:rPr>
          <w:rFonts w:cstheme="minorHAnsi"/>
          <w:sz w:val="24"/>
          <w:szCs w:val="24"/>
        </w:rPr>
      </w:pPr>
      <w:r w:rsidRPr="00E67799">
        <w:rPr>
          <w:rFonts w:cstheme="minorHAnsi"/>
          <w:sz w:val="24"/>
          <w:szCs w:val="24"/>
        </w:rPr>
        <w:t xml:space="preserve">White Blood Cell counts during patient Hospital stay. </w:t>
      </w:r>
    </w:p>
    <w:p w14:paraId="787F3B9B" w14:textId="77777777" w:rsidR="00B72A1A" w:rsidRPr="00E67799" w:rsidRDefault="00B72A1A" w:rsidP="002E1FE9">
      <w:pPr>
        <w:pStyle w:val="NoSpacing"/>
        <w:bidi w:val="0"/>
        <w:rPr>
          <w:rFonts w:cstheme="minorHAnsi"/>
          <w:sz w:val="24"/>
          <w:szCs w:val="24"/>
        </w:rPr>
      </w:pPr>
      <w:r w:rsidRPr="00E67799">
        <w:rPr>
          <w:rFonts w:cstheme="minorHAnsi"/>
          <w:sz w:val="24"/>
          <w:szCs w:val="24"/>
        </w:rPr>
        <w:t xml:space="preserve">Day 3: Tocilizumab administered </w:t>
      </w:r>
    </w:p>
    <w:p w14:paraId="3AD7ACAE" w14:textId="511F251A" w:rsidR="002239F9" w:rsidRPr="00E67799" w:rsidRDefault="00B72A1A" w:rsidP="00F76556">
      <w:pPr>
        <w:pStyle w:val="NoSpacing"/>
        <w:bidi w:val="0"/>
        <w:rPr>
          <w:rFonts w:cstheme="minorHAnsi"/>
          <w:sz w:val="24"/>
          <w:szCs w:val="24"/>
        </w:rPr>
      </w:pPr>
      <w:r w:rsidRPr="00E67799">
        <w:rPr>
          <w:rFonts w:cstheme="minorHAnsi"/>
          <w:sz w:val="24"/>
          <w:szCs w:val="24"/>
        </w:rPr>
        <w:t xml:space="preserve">Day 5: Filgrastim Administered  </w:t>
      </w:r>
    </w:p>
    <w:p w14:paraId="4BF0D389" w14:textId="77777777" w:rsidR="00614300" w:rsidRPr="002E1FE9" w:rsidRDefault="00614300" w:rsidP="002E1FE9">
      <w:pPr>
        <w:pStyle w:val="NoSpacing"/>
        <w:bidi w:val="0"/>
        <w:rPr>
          <w:rFonts w:cstheme="minorHAnsi"/>
          <w:sz w:val="28"/>
          <w:szCs w:val="28"/>
        </w:rPr>
      </w:pPr>
    </w:p>
    <w:tbl>
      <w:tblPr>
        <w:tblW w:w="0" w:type="auto"/>
        <w:tblLook w:val="04A0" w:firstRow="1" w:lastRow="0" w:firstColumn="1" w:lastColumn="0" w:noHBand="0" w:noVBand="1"/>
      </w:tblPr>
      <w:tblGrid>
        <w:gridCol w:w="1641"/>
        <w:gridCol w:w="1236"/>
        <w:gridCol w:w="767"/>
        <w:gridCol w:w="761"/>
        <w:gridCol w:w="733"/>
        <w:gridCol w:w="767"/>
        <w:gridCol w:w="765"/>
        <w:gridCol w:w="760"/>
        <w:gridCol w:w="760"/>
        <w:gridCol w:w="837"/>
      </w:tblGrid>
      <w:tr w:rsidR="00D76316" w:rsidRPr="002E1FE9" w14:paraId="4DD4A3B6" w14:textId="77777777" w:rsidTr="00D76316">
        <w:trPr>
          <w:trHeight w:val="290"/>
        </w:trPr>
        <w:tc>
          <w:tcPr>
            <w:tcW w:w="0" w:type="auto"/>
            <w:tcBorders>
              <w:top w:val="single" w:sz="4" w:space="0" w:color="auto"/>
              <w:left w:val="single" w:sz="4" w:space="0" w:color="auto"/>
              <w:bottom w:val="single" w:sz="4" w:space="0" w:color="auto"/>
              <w:right w:val="single" w:sz="4" w:space="0" w:color="auto"/>
            </w:tcBorders>
            <w:shd w:val="clear" w:color="auto" w:fill="2E74B5" w:themeFill="accent1" w:themeFillShade="BF"/>
            <w:noWrap/>
            <w:vAlign w:val="bottom"/>
            <w:hideMark/>
          </w:tcPr>
          <w:p w14:paraId="6CF7A9AE" w14:textId="217C0B26" w:rsidR="00B72A1A" w:rsidRPr="00D76316" w:rsidRDefault="00B72A1A" w:rsidP="00D76316">
            <w:pPr>
              <w:pStyle w:val="NoSpacing"/>
              <w:bidi w:val="0"/>
              <w:jc w:val="center"/>
              <w:rPr>
                <w:color w:val="FFFFFF" w:themeColor="background1"/>
              </w:rPr>
            </w:pPr>
            <w:bookmarkStart w:id="5" w:name="_Hlk95340148"/>
          </w:p>
        </w:tc>
        <w:tc>
          <w:tcPr>
            <w:tcW w:w="1236" w:type="dxa"/>
            <w:tcBorders>
              <w:top w:val="single" w:sz="4" w:space="0" w:color="auto"/>
              <w:left w:val="nil"/>
              <w:bottom w:val="single" w:sz="4" w:space="0" w:color="auto"/>
              <w:right w:val="single" w:sz="4" w:space="0" w:color="auto"/>
            </w:tcBorders>
            <w:shd w:val="clear" w:color="auto" w:fill="2E74B5" w:themeFill="accent1" w:themeFillShade="BF"/>
            <w:noWrap/>
            <w:vAlign w:val="bottom"/>
            <w:hideMark/>
          </w:tcPr>
          <w:p w14:paraId="74357AA9" w14:textId="77777777" w:rsidR="00B72A1A" w:rsidRPr="00D76316" w:rsidRDefault="00B72A1A" w:rsidP="00D76316">
            <w:pPr>
              <w:pStyle w:val="NoSpacing"/>
              <w:bidi w:val="0"/>
              <w:jc w:val="center"/>
              <w:rPr>
                <w:color w:val="FFFFFF" w:themeColor="background1"/>
              </w:rPr>
            </w:pPr>
            <w:r w:rsidRPr="00D76316">
              <w:rPr>
                <w:color w:val="FFFFFF" w:themeColor="background1"/>
              </w:rPr>
              <w:t>Baseline (In January 2021)</w:t>
            </w:r>
          </w:p>
        </w:tc>
        <w:tc>
          <w:tcPr>
            <w:tcW w:w="767" w:type="dxa"/>
            <w:tcBorders>
              <w:top w:val="single" w:sz="4" w:space="0" w:color="auto"/>
              <w:left w:val="nil"/>
              <w:bottom w:val="single" w:sz="4" w:space="0" w:color="auto"/>
              <w:right w:val="single" w:sz="4" w:space="0" w:color="auto"/>
            </w:tcBorders>
            <w:shd w:val="clear" w:color="auto" w:fill="2E74B5" w:themeFill="accent1" w:themeFillShade="BF"/>
            <w:noWrap/>
            <w:vAlign w:val="bottom"/>
            <w:hideMark/>
          </w:tcPr>
          <w:p w14:paraId="42AF8860" w14:textId="12BF391F" w:rsidR="00B72A1A" w:rsidRPr="00D76316" w:rsidRDefault="00B72A1A" w:rsidP="00D76316">
            <w:pPr>
              <w:pStyle w:val="NoSpacing"/>
              <w:bidi w:val="0"/>
              <w:jc w:val="center"/>
              <w:rPr>
                <w:color w:val="FFFFFF" w:themeColor="background1"/>
              </w:rPr>
            </w:pPr>
            <w:r w:rsidRPr="00D76316">
              <w:rPr>
                <w:color w:val="FFFFFF" w:themeColor="background1"/>
              </w:rPr>
              <w:t>Day 1</w:t>
            </w:r>
          </w:p>
        </w:tc>
        <w:tc>
          <w:tcPr>
            <w:tcW w:w="761" w:type="dxa"/>
            <w:tcBorders>
              <w:top w:val="single" w:sz="4" w:space="0" w:color="auto"/>
              <w:left w:val="nil"/>
              <w:bottom w:val="single" w:sz="4" w:space="0" w:color="auto"/>
              <w:right w:val="single" w:sz="4" w:space="0" w:color="auto"/>
            </w:tcBorders>
            <w:shd w:val="clear" w:color="auto" w:fill="2E74B5" w:themeFill="accent1" w:themeFillShade="BF"/>
            <w:noWrap/>
            <w:vAlign w:val="bottom"/>
            <w:hideMark/>
          </w:tcPr>
          <w:p w14:paraId="630FA2C4" w14:textId="77777777" w:rsidR="00B72A1A" w:rsidRPr="00D76316" w:rsidRDefault="00B72A1A" w:rsidP="00D76316">
            <w:pPr>
              <w:pStyle w:val="NoSpacing"/>
              <w:bidi w:val="0"/>
              <w:jc w:val="center"/>
              <w:rPr>
                <w:color w:val="FFFFFF" w:themeColor="background1"/>
              </w:rPr>
            </w:pPr>
            <w:r w:rsidRPr="00D76316">
              <w:rPr>
                <w:color w:val="FFFFFF" w:themeColor="background1"/>
              </w:rPr>
              <w:t>Day 2</w:t>
            </w:r>
          </w:p>
        </w:tc>
        <w:tc>
          <w:tcPr>
            <w:tcW w:w="733" w:type="dxa"/>
            <w:tcBorders>
              <w:top w:val="single" w:sz="4" w:space="0" w:color="auto"/>
              <w:left w:val="nil"/>
              <w:bottom w:val="single" w:sz="4" w:space="0" w:color="auto"/>
              <w:right w:val="single" w:sz="4" w:space="0" w:color="auto"/>
            </w:tcBorders>
            <w:shd w:val="clear" w:color="auto" w:fill="2E74B5" w:themeFill="accent1" w:themeFillShade="BF"/>
            <w:noWrap/>
            <w:vAlign w:val="bottom"/>
            <w:hideMark/>
          </w:tcPr>
          <w:p w14:paraId="69E41583" w14:textId="77777777" w:rsidR="00B72A1A" w:rsidRPr="00D76316" w:rsidRDefault="00B72A1A" w:rsidP="00D76316">
            <w:pPr>
              <w:pStyle w:val="NoSpacing"/>
              <w:bidi w:val="0"/>
              <w:jc w:val="center"/>
              <w:rPr>
                <w:color w:val="FFFFFF" w:themeColor="background1"/>
              </w:rPr>
            </w:pPr>
            <w:r w:rsidRPr="00D76316">
              <w:rPr>
                <w:color w:val="FFFFFF" w:themeColor="background1"/>
              </w:rPr>
              <w:t>Day 3</w:t>
            </w:r>
          </w:p>
        </w:tc>
        <w:tc>
          <w:tcPr>
            <w:tcW w:w="767" w:type="dxa"/>
            <w:tcBorders>
              <w:top w:val="single" w:sz="4" w:space="0" w:color="auto"/>
              <w:left w:val="nil"/>
              <w:bottom w:val="single" w:sz="4" w:space="0" w:color="auto"/>
              <w:right w:val="single" w:sz="4" w:space="0" w:color="auto"/>
            </w:tcBorders>
            <w:shd w:val="clear" w:color="auto" w:fill="2E74B5" w:themeFill="accent1" w:themeFillShade="BF"/>
            <w:noWrap/>
            <w:vAlign w:val="bottom"/>
            <w:hideMark/>
          </w:tcPr>
          <w:p w14:paraId="6E1A3A66" w14:textId="77777777" w:rsidR="00B72A1A" w:rsidRPr="00D76316" w:rsidRDefault="00B72A1A" w:rsidP="00D76316">
            <w:pPr>
              <w:pStyle w:val="NoSpacing"/>
              <w:bidi w:val="0"/>
              <w:jc w:val="center"/>
              <w:rPr>
                <w:color w:val="FFFFFF" w:themeColor="background1"/>
              </w:rPr>
            </w:pPr>
            <w:r w:rsidRPr="00D76316">
              <w:rPr>
                <w:color w:val="FFFFFF" w:themeColor="background1"/>
              </w:rPr>
              <w:t>Day 4</w:t>
            </w:r>
          </w:p>
        </w:tc>
        <w:tc>
          <w:tcPr>
            <w:tcW w:w="765" w:type="dxa"/>
            <w:tcBorders>
              <w:top w:val="single" w:sz="4" w:space="0" w:color="auto"/>
              <w:left w:val="nil"/>
              <w:bottom w:val="single" w:sz="4" w:space="0" w:color="auto"/>
              <w:right w:val="single" w:sz="4" w:space="0" w:color="auto"/>
            </w:tcBorders>
            <w:shd w:val="clear" w:color="auto" w:fill="2E74B5" w:themeFill="accent1" w:themeFillShade="BF"/>
            <w:noWrap/>
            <w:vAlign w:val="bottom"/>
            <w:hideMark/>
          </w:tcPr>
          <w:p w14:paraId="7F3F45E6" w14:textId="77777777" w:rsidR="00B72A1A" w:rsidRPr="00D76316" w:rsidRDefault="00B72A1A" w:rsidP="00D76316">
            <w:pPr>
              <w:pStyle w:val="NoSpacing"/>
              <w:bidi w:val="0"/>
              <w:jc w:val="center"/>
              <w:rPr>
                <w:color w:val="FFFFFF" w:themeColor="background1"/>
              </w:rPr>
            </w:pPr>
            <w:r w:rsidRPr="00D76316">
              <w:rPr>
                <w:color w:val="FFFFFF" w:themeColor="background1"/>
              </w:rPr>
              <w:t>Day 5</w:t>
            </w:r>
          </w:p>
        </w:tc>
        <w:tc>
          <w:tcPr>
            <w:tcW w:w="760" w:type="dxa"/>
            <w:tcBorders>
              <w:top w:val="single" w:sz="4" w:space="0" w:color="auto"/>
              <w:left w:val="nil"/>
              <w:bottom w:val="single" w:sz="4" w:space="0" w:color="auto"/>
              <w:right w:val="single" w:sz="4" w:space="0" w:color="auto"/>
            </w:tcBorders>
            <w:shd w:val="clear" w:color="auto" w:fill="2E74B5" w:themeFill="accent1" w:themeFillShade="BF"/>
            <w:noWrap/>
            <w:vAlign w:val="bottom"/>
            <w:hideMark/>
          </w:tcPr>
          <w:p w14:paraId="396989A8" w14:textId="77777777" w:rsidR="00B72A1A" w:rsidRPr="00D76316" w:rsidRDefault="00B72A1A" w:rsidP="00D76316">
            <w:pPr>
              <w:pStyle w:val="NoSpacing"/>
              <w:bidi w:val="0"/>
              <w:jc w:val="center"/>
              <w:rPr>
                <w:color w:val="FFFFFF" w:themeColor="background1"/>
              </w:rPr>
            </w:pPr>
            <w:r w:rsidRPr="00D76316">
              <w:rPr>
                <w:color w:val="FFFFFF" w:themeColor="background1"/>
              </w:rPr>
              <w:t>Day 6</w:t>
            </w:r>
          </w:p>
        </w:tc>
        <w:tc>
          <w:tcPr>
            <w:tcW w:w="760" w:type="dxa"/>
            <w:tcBorders>
              <w:top w:val="single" w:sz="4" w:space="0" w:color="auto"/>
              <w:left w:val="nil"/>
              <w:bottom w:val="single" w:sz="4" w:space="0" w:color="auto"/>
              <w:right w:val="single" w:sz="4" w:space="0" w:color="auto"/>
            </w:tcBorders>
            <w:shd w:val="clear" w:color="auto" w:fill="2E74B5" w:themeFill="accent1" w:themeFillShade="BF"/>
            <w:noWrap/>
            <w:vAlign w:val="bottom"/>
            <w:hideMark/>
          </w:tcPr>
          <w:p w14:paraId="20D2CAAC" w14:textId="77777777" w:rsidR="00B72A1A" w:rsidRPr="00D76316" w:rsidRDefault="00B72A1A" w:rsidP="00D76316">
            <w:pPr>
              <w:pStyle w:val="NoSpacing"/>
              <w:bidi w:val="0"/>
              <w:jc w:val="center"/>
              <w:rPr>
                <w:color w:val="FFFFFF" w:themeColor="background1"/>
              </w:rPr>
            </w:pPr>
            <w:r w:rsidRPr="00D76316">
              <w:rPr>
                <w:color w:val="FFFFFF" w:themeColor="background1"/>
              </w:rPr>
              <w:t>Day 7</w:t>
            </w:r>
          </w:p>
        </w:tc>
        <w:tc>
          <w:tcPr>
            <w:tcW w:w="837" w:type="dxa"/>
            <w:tcBorders>
              <w:top w:val="single" w:sz="4" w:space="0" w:color="auto"/>
              <w:left w:val="nil"/>
              <w:bottom w:val="single" w:sz="4" w:space="0" w:color="auto"/>
              <w:right w:val="single" w:sz="4" w:space="0" w:color="auto"/>
            </w:tcBorders>
            <w:shd w:val="clear" w:color="auto" w:fill="2E74B5" w:themeFill="accent1" w:themeFillShade="BF"/>
            <w:noWrap/>
            <w:vAlign w:val="bottom"/>
            <w:hideMark/>
          </w:tcPr>
          <w:p w14:paraId="51B5FDC1" w14:textId="77777777" w:rsidR="00B72A1A" w:rsidRPr="00D76316" w:rsidRDefault="00B72A1A" w:rsidP="00D76316">
            <w:pPr>
              <w:pStyle w:val="NoSpacing"/>
              <w:bidi w:val="0"/>
              <w:jc w:val="center"/>
              <w:rPr>
                <w:color w:val="FFFFFF" w:themeColor="background1"/>
              </w:rPr>
            </w:pPr>
            <w:r w:rsidRPr="00D76316">
              <w:rPr>
                <w:color w:val="FFFFFF" w:themeColor="background1"/>
              </w:rPr>
              <w:t>Day 8</w:t>
            </w:r>
          </w:p>
        </w:tc>
      </w:tr>
      <w:tr w:rsidR="00D76316" w:rsidRPr="002E1FE9" w14:paraId="26038CC2" w14:textId="77777777" w:rsidTr="00D76316">
        <w:trPr>
          <w:trHeight w:val="290"/>
        </w:trPr>
        <w:tc>
          <w:tcPr>
            <w:tcW w:w="0" w:type="auto"/>
            <w:tcBorders>
              <w:top w:val="single" w:sz="4" w:space="0" w:color="auto"/>
              <w:left w:val="single" w:sz="4" w:space="0" w:color="auto"/>
              <w:bottom w:val="single" w:sz="4" w:space="0" w:color="auto"/>
              <w:right w:val="single" w:sz="4" w:space="0" w:color="auto"/>
            </w:tcBorders>
            <w:shd w:val="clear" w:color="auto" w:fill="2E74B5" w:themeFill="accent1" w:themeFillShade="BF"/>
            <w:noWrap/>
            <w:vAlign w:val="bottom"/>
            <w:hideMark/>
          </w:tcPr>
          <w:p w14:paraId="71996BB5" w14:textId="2B4B8839" w:rsidR="00B72A1A" w:rsidRPr="00D76316" w:rsidRDefault="00B72A1A" w:rsidP="00D76316">
            <w:pPr>
              <w:pStyle w:val="NoSpacing"/>
              <w:bidi w:val="0"/>
              <w:jc w:val="center"/>
              <w:rPr>
                <w:color w:val="FFFFFF" w:themeColor="background1"/>
              </w:rPr>
            </w:pPr>
            <w:bookmarkStart w:id="6" w:name="_Hlk95341612"/>
            <w:r w:rsidRPr="00D76316">
              <w:rPr>
                <w:color w:val="FFFFFF" w:themeColor="background1"/>
              </w:rPr>
              <w:t xml:space="preserve">WBCs </w:t>
            </w:r>
            <w:bookmarkStart w:id="7" w:name="_Hlk70015703"/>
            <w:r w:rsidRPr="00D76316">
              <w:rPr>
                <w:color w:val="FFFFFF" w:themeColor="background1"/>
              </w:rPr>
              <w:t>(x103/uL)</w:t>
            </w:r>
            <w:bookmarkEnd w:id="7"/>
          </w:p>
        </w:tc>
        <w:tc>
          <w:tcPr>
            <w:tcW w:w="1236"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14:paraId="25C602DB" w14:textId="77777777" w:rsidR="00B72A1A" w:rsidRPr="00D76316" w:rsidRDefault="00B72A1A" w:rsidP="00D76316">
            <w:pPr>
              <w:pStyle w:val="NoSpacing"/>
              <w:bidi w:val="0"/>
              <w:jc w:val="center"/>
              <w:rPr>
                <w:color w:val="FFFFFF" w:themeColor="background1"/>
              </w:rPr>
            </w:pPr>
            <w:r w:rsidRPr="00D76316">
              <w:rPr>
                <w:color w:val="FFFFFF" w:themeColor="background1"/>
              </w:rPr>
              <w:t>7.8</w:t>
            </w:r>
          </w:p>
        </w:tc>
        <w:tc>
          <w:tcPr>
            <w:tcW w:w="767"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14:paraId="38684807" w14:textId="77777777" w:rsidR="00B72A1A" w:rsidRPr="00D76316" w:rsidRDefault="00B72A1A" w:rsidP="00D76316">
            <w:pPr>
              <w:pStyle w:val="NoSpacing"/>
              <w:bidi w:val="0"/>
              <w:jc w:val="center"/>
              <w:rPr>
                <w:color w:val="FFFFFF" w:themeColor="background1"/>
              </w:rPr>
            </w:pPr>
            <w:r w:rsidRPr="00D76316">
              <w:rPr>
                <w:color w:val="FFFFFF" w:themeColor="background1"/>
              </w:rPr>
              <w:t>1.1</w:t>
            </w:r>
          </w:p>
        </w:tc>
        <w:tc>
          <w:tcPr>
            <w:tcW w:w="761"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14:paraId="139FFE6D" w14:textId="77777777" w:rsidR="00B72A1A" w:rsidRPr="00D76316" w:rsidRDefault="00B72A1A" w:rsidP="00D76316">
            <w:pPr>
              <w:pStyle w:val="NoSpacing"/>
              <w:bidi w:val="0"/>
              <w:jc w:val="center"/>
              <w:rPr>
                <w:color w:val="FFFFFF" w:themeColor="background1"/>
              </w:rPr>
            </w:pPr>
            <w:r w:rsidRPr="00D76316">
              <w:rPr>
                <w:color w:val="FFFFFF" w:themeColor="background1"/>
              </w:rPr>
              <w:t>0.9</w:t>
            </w:r>
          </w:p>
        </w:tc>
        <w:tc>
          <w:tcPr>
            <w:tcW w:w="733"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14:paraId="7BF052D1" w14:textId="77777777" w:rsidR="00B72A1A" w:rsidRPr="00D76316" w:rsidRDefault="00B72A1A" w:rsidP="00D76316">
            <w:pPr>
              <w:pStyle w:val="NoSpacing"/>
              <w:bidi w:val="0"/>
              <w:jc w:val="center"/>
              <w:rPr>
                <w:color w:val="FFFFFF" w:themeColor="background1"/>
              </w:rPr>
            </w:pPr>
            <w:r w:rsidRPr="00D76316">
              <w:rPr>
                <w:color w:val="FFFFFF" w:themeColor="background1"/>
              </w:rPr>
              <w:t>0.9</w:t>
            </w:r>
          </w:p>
        </w:tc>
        <w:tc>
          <w:tcPr>
            <w:tcW w:w="767"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14:paraId="4DA6171B" w14:textId="77777777" w:rsidR="00B72A1A" w:rsidRPr="00D76316" w:rsidRDefault="00B72A1A" w:rsidP="00D76316">
            <w:pPr>
              <w:pStyle w:val="NoSpacing"/>
              <w:bidi w:val="0"/>
              <w:jc w:val="center"/>
              <w:rPr>
                <w:color w:val="FFFFFF" w:themeColor="background1"/>
              </w:rPr>
            </w:pPr>
            <w:r w:rsidRPr="00D76316">
              <w:rPr>
                <w:color w:val="FFFFFF" w:themeColor="background1"/>
              </w:rPr>
              <w:t>1.1</w:t>
            </w:r>
          </w:p>
        </w:tc>
        <w:tc>
          <w:tcPr>
            <w:tcW w:w="765"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14:paraId="77D15852" w14:textId="77777777" w:rsidR="00B72A1A" w:rsidRPr="00D76316" w:rsidRDefault="00B72A1A" w:rsidP="00D76316">
            <w:pPr>
              <w:pStyle w:val="NoSpacing"/>
              <w:bidi w:val="0"/>
              <w:jc w:val="center"/>
              <w:rPr>
                <w:color w:val="FFFFFF" w:themeColor="background1"/>
              </w:rPr>
            </w:pPr>
            <w:r w:rsidRPr="00D76316">
              <w:rPr>
                <w:color w:val="FFFFFF" w:themeColor="background1"/>
              </w:rPr>
              <w:t>1</w:t>
            </w:r>
          </w:p>
        </w:tc>
        <w:tc>
          <w:tcPr>
            <w:tcW w:w="760"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14:paraId="3536491C" w14:textId="77777777" w:rsidR="00B72A1A" w:rsidRPr="00D76316" w:rsidRDefault="00B72A1A" w:rsidP="00D76316">
            <w:pPr>
              <w:pStyle w:val="NoSpacing"/>
              <w:bidi w:val="0"/>
              <w:jc w:val="center"/>
              <w:rPr>
                <w:color w:val="FFFFFF" w:themeColor="background1"/>
              </w:rPr>
            </w:pPr>
            <w:r w:rsidRPr="00D76316">
              <w:rPr>
                <w:color w:val="FFFFFF" w:themeColor="background1"/>
              </w:rPr>
              <w:t>1.4</w:t>
            </w:r>
          </w:p>
        </w:tc>
        <w:tc>
          <w:tcPr>
            <w:tcW w:w="760"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14:paraId="7E9F92CE" w14:textId="77777777" w:rsidR="00B72A1A" w:rsidRPr="00D76316" w:rsidRDefault="00B72A1A" w:rsidP="00D76316">
            <w:pPr>
              <w:pStyle w:val="NoSpacing"/>
              <w:bidi w:val="0"/>
              <w:jc w:val="center"/>
              <w:rPr>
                <w:color w:val="FFFFFF" w:themeColor="background1"/>
              </w:rPr>
            </w:pPr>
            <w:r w:rsidRPr="00D76316">
              <w:rPr>
                <w:color w:val="FFFFFF" w:themeColor="background1"/>
              </w:rPr>
              <w:t>1.5</w:t>
            </w:r>
          </w:p>
        </w:tc>
        <w:tc>
          <w:tcPr>
            <w:tcW w:w="837"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14:paraId="4ACFEEA8" w14:textId="77777777" w:rsidR="00B72A1A" w:rsidRPr="00D76316" w:rsidRDefault="00B72A1A" w:rsidP="00D76316">
            <w:pPr>
              <w:pStyle w:val="NoSpacing"/>
              <w:bidi w:val="0"/>
              <w:jc w:val="center"/>
              <w:rPr>
                <w:color w:val="FFFFFF" w:themeColor="background1"/>
              </w:rPr>
            </w:pPr>
            <w:r w:rsidRPr="00D76316">
              <w:rPr>
                <w:color w:val="FFFFFF" w:themeColor="background1"/>
              </w:rPr>
              <w:t>4.1</w:t>
            </w:r>
          </w:p>
        </w:tc>
      </w:tr>
      <w:bookmarkEnd w:id="6"/>
      <w:tr w:rsidR="00D76316" w:rsidRPr="002E1FE9" w14:paraId="321B4877" w14:textId="77777777" w:rsidTr="00D76316">
        <w:trPr>
          <w:trHeight w:val="368"/>
        </w:trPr>
        <w:tc>
          <w:tcPr>
            <w:tcW w:w="0" w:type="auto"/>
            <w:tcBorders>
              <w:top w:val="single" w:sz="4" w:space="0" w:color="auto"/>
              <w:left w:val="single" w:sz="4" w:space="0" w:color="auto"/>
              <w:bottom w:val="single" w:sz="4" w:space="0" w:color="auto"/>
              <w:right w:val="single" w:sz="4" w:space="0" w:color="auto"/>
            </w:tcBorders>
            <w:shd w:val="clear" w:color="auto" w:fill="2E74B5" w:themeFill="accent1" w:themeFillShade="BF"/>
            <w:noWrap/>
            <w:vAlign w:val="bottom"/>
            <w:hideMark/>
          </w:tcPr>
          <w:p w14:paraId="713BAD44" w14:textId="4390F674" w:rsidR="00B72A1A" w:rsidRPr="00D76316" w:rsidRDefault="00B72A1A" w:rsidP="00D76316">
            <w:pPr>
              <w:pStyle w:val="NoSpacing"/>
              <w:bidi w:val="0"/>
              <w:jc w:val="center"/>
              <w:rPr>
                <w:color w:val="FFFFFF" w:themeColor="background1"/>
              </w:rPr>
            </w:pPr>
            <w:r w:rsidRPr="00D76316">
              <w:rPr>
                <w:color w:val="FFFFFF" w:themeColor="background1"/>
              </w:rPr>
              <w:t>ANC (x103/uL)</w:t>
            </w:r>
          </w:p>
        </w:tc>
        <w:tc>
          <w:tcPr>
            <w:tcW w:w="1236" w:type="dxa"/>
            <w:tcBorders>
              <w:top w:val="single" w:sz="4" w:space="0" w:color="auto"/>
              <w:left w:val="nil"/>
              <w:bottom w:val="single" w:sz="4" w:space="0" w:color="auto"/>
              <w:right w:val="single" w:sz="4" w:space="0" w:color="auto"/>
            </w:tcBorders>
            <w:shd w:val="clear" w:color="auto" w:fill="9CC2E5" w:themeFill="accent1" w:themeFillTint="99"/>
            <w:noWrap/>
            <w:vAlign w:val="bottom"/>
            <w:hideMark/>
          </w:tcPr>
          <w:p w14:paraId="1972EBC9" w14:textId="77777777" w:rsidR="00B72A1A" w:rsidRPr="00D76316" w:rsidRDefault="00B72A1A" w:rsidP="00D76316">
            <w:pPr>
              <w:pStyle w:val="NoSpacing"/>
              <w:bidi w:val="0"/>
              <w:jc w:val="center"/>
              <w:rPr>
                <w:color w:val="FFFFFF" w:themeColor="background1"/>
              </w:rPr>
            </w:pPr>
            <w:r w:rsidRPr="00D76316">
              <w:rPr>
                <w:color w:val="FFFFFF" w:themeColor="background1"/>
              </w:rPr>
              <w:t>5</w:t>
            </w:r>
          </w:p>
        </w:tc>
        <w:tc>
          <w:tcPr>
            <w:tcW w:w="767" w:type="dxa"/>
            <w:tcBorders>
              <w:top w:val="single" w:sz="4" w:space="0" w:color="auto"/>
              <w:left w:val="nil"/>
              <w:bottom w:val="single" w:sz="4" w:space="0" w:color="auto"/>
              <w:right w:val="single" w:sz="4" w:space="0" w:color="auto"/>
            </w:tcBorders>
            <w:shd w:val="clear" w:color="auto" w:fill="9CC2E5" w:themeFill="accent1" w:themeFillTint="99"/>
            <w:noWrap/>
            <w:vAlign w:val="bottom"/>
            <w:hideMark/>
          </w:tcPr>
          <w:p w14:paraId="68CC4F04" w14:textId="77777777" w:rsidR="00B72A1A" w:rsidRPr="00D76316" w:rsidRDefault="00B72A1A" w:rsidP="00D76316">
            <w:pPr>
              <w:pStyle w:val="NoSpacing"/>
              <w:bidi w:val="0"/>
              <w:jc w:val="center"/>
              <w:rPr>
                <w:color w:val="FFFFFF" w:themeColor="background1"/>
              </w:rPr>
            </w:pPr>
            <w:r w:rsidRPr="00D76316">
              <w:rPr>
                <w:color w:val="FFFFFF" w:themeColor="background1"/>
              </w:rPr>
              <w:t>0.3</w:t>
            </w:r>
          </w:p>
        </w:tc>
        <w:tc>
          <w:tcPr>
            <w:tcW w:w="761" w:type="dxa"/>
            <w:tcBorders>
              <w:top w:val="single" w:sz="4" w:space="0" w:color="auto"/>
              <w:left w:val="nil"/>
              <w:bottom w:val="single" w:sz="4" w:space="0" w:color="auto"/>
              <w:right w:val="single" w:sz="4" w:space="0" w:color="auto"/>
            </w:tcBorders>
            <w:shd w:val="clear" w:color="auto" w:fill="9CC2E5" w:themeFill="accent1" w:themeFillTint="99"/>
            <w:noWrap/>
            <w:vAlign w:val="bottom"/>
            <w:hideMark/>
          </w:tcPr>
          <w:p w14:paraId="010033DC" w14:textId="77777777" w:rsidR="00B72A1A" w:rsidRPr="00D76316" w:rsidRDefault="00B72A1A" w:rsidP="00D76316">
            <w:pPr>
              <w:pStyle w:val="NoSpacing"/>
              <w:bidi w:val="0"/>
              <w:jc w:val="center"/>
              <w:rPr>
                <w:color w:val="FFFFFF" w:themeColor="background1"/>
              </w:rPr>
            </w:pPr>
            <w:r w:rsidRPr="00D76316">
              <w:rPr>
                <w:color w:val="FFFFFF" w:themeColor="background1"/>
              </w:rPr>
              <w:t>0.2</w:t>
            </w:r>
          </w:p>
        </w:tc>
        <w:tc>
          <w:tcPr>
            <w:tcW w:w="733" w:type="dxa"/>
            <w:tcBorders>
              <w:top w:val="single" w:sz="4" w:space="0" w:color="auto"/>
              <w:left w:val="nil"/>
              <w:bottom w:val="single" w:sz="4" w:space="0" w:color="auto"/>
              <w:right w:val="single" w:sz="4" w:space="0" w:color="auto"/>
            </w:tcBorders>
            <w:shd w:val="clear" w:color="auto" w:fill="9CC2E5" w:themeFill="accent1" w:themeFillTint="99"/>
            <w:noWrap/>
            <w:vAlign w:val="bottom"/>
            <w:hideMark/>
          </w:tcPr>
          <w:p w14:paraId="7FD22582" w14:textId="77777777" w:rsidR="00B72A1A" w:rsidRPr="00D76316" w:rsidRDefault="00B72A1A" w:rsidP="00D76316">
            <w:pPr>
              <w:pStyle w:val="NoSpacing"/>
              <w:bidi w:val="0"/>
              <w:jc w:val="center"/>
              <w:rPr>
                <w:color w:val="FFFFFF" w:themeColor="background1"/>
              </w:rPr>
            </w:pPr>
            <w:r w:rsidRPr="00D76316">
              <w:rPr>
                <w:color w:val="FFFFFF" w:themeColor="background1"/>
              </w:rPr>
              <w:t>0.1</w:t>
            </w:r>
          </w:p>
        </w:tc>
        <w:tc>
          <w:tcPr>
            <w:tcW w:w="767" w:type="dxa"/>
            <w:tcBorders>
              <w:top w:val="single" w:sz="4" w:space="0" w:color="auto"/>
              <w:left w:val="nil"/>
              <w:bottom w:val="single" w:sz="4" w:space="0" w:color="auto"/>
              <w:right w:val="single" w:sz="4" w:space="0" w:color="auto"/>
            </w:tcBorders>
            <w:shd w:val="clear" w:color="auto" w:fill="9CC2E5" w:themeFill="accent1" w:themeFillTint="99"/>
            <w:noWrap/>
            <w:vAlign w:val="bottom"/>
            <w:hideMark/>
          </w:tcPr>
          <w:p w14:paraId="3BF5DAF9" w14:textId="77777777" w:rsidR="00B72A1A" w:rsidRPr="00D76316" w:rsidRDefault="00B72A1A" w:rsidP="00D76316">
            <w:pPr>
              <w:pStyle w:val="NoSpacing"/>
              <w:bidi w:val="0"/>
              <w:jc w:val="center"/>
              <w:rPr>
                <w:color w:val="FFFFFF" w:themeColor="background1"/>
              </w:rPr>
            </w:pPr>
            <w:r w:rsidRPr="00D76316">
              <w:rPr>
                <w:color w:val="FFFFFF" w:themeColor="background1"/>
              </w:rPr>
              <w:t>0</w:t>
            </w:r>
          </w:p>
        </w:tc>
        <w:tc>
          <w:tcPr>
            <w:tcW w:w="765" w:type="dxa"/>
            <w:tcBorders>
              <w:top w:val="single" w:sz="4" w:space="0" w:color="auto"/>
              <w:left w:val="nil"/>
              <w:bottom w:val="single" w:sz="4" w:space="0" w:color="auto"/>
              <w:right w:val="single" w:sz="4" w:space="0" w:color="auto"/>
            </w:tcBorders>
            <w:shd w:val="clear" w:color="auto" w:fill="9CC2E5" w:themeFill="accent1" w:themeFillTint="99"/>
            <w:noWrap/>
            <w:vAlign w:val="bottom"/>
            <w:hideMark/>
          </w:tcPr>
          <w:p w14:paraId="61DE534E" w14:textId="77777777" w:rsidR="00B72A1A" w:rsidRPr="00D76316" w:rsidRDefault="00B72A1A" w:rsidP="00D76316">
            <w:pPr>
              <w:pStyle w:val="NoSpacing"/>
              <w:bidi w:val="0"/>
              <w:jc w:val="center"/>
              <w:rPr>
                <w:color w:val="FFFFFF" w:themeColor="background1"/>
              </w:rPr>
            </w:pPr>
            <w:r w:rsidRPr="00D76316">
              <w:rPr>
                <w:color w:val="FFFFFF" w:themeColor="background1"/>
              </w:rPr>
              <w:t>0</w:t>
            </w:r>
          </w:p>
        </w:tc>
        <w:tc>
          <w:tcPr>
            <w:tcW w:w="760" w:type="dxa"/>
            <w:tcBorders>
              <w:top w:val="single" w:sz="4" w:space="0" w:color="auto"/>
              <w:left w:val="nil"/>
              <w:bottom w:val="single" w:sz="4" w:space="0" w:color="auto"/>
              <w:right w:val="single" w:sz="4" w:space="0" w:color="auto"/>
            </w:tcBorders>
            <w:shd w:val="clear" w:color="auto" w:fill="9CC2E5" w:themeFill="accent1" w:themeFillTint="99"/>
            <w:noWrap/>
            <w:vAlign w:val="bottom"/>
            <w:hideMark/>
          </w:tcPr>
          <w:p w14:paraId="292EB0CD" w14:textId="77777777" w:rsidR="00B72A1A" w:rsidRPr="00D76316" w:rsidRDefault="00B72A1A" w:rsidP="00D76316">
            <w:pPr>
              <w:pStyle w:val="NoSpacing"/>
              <w:bidi w:val="0"/>
              <w:jc w:val="center"/>
              <w:rPr>
                <w:color w:val="FFFFFF" w:themeColor="background1"/>
              </w:rPr>
            </w:pPr>
            <w:r w:rsidRPr="00D76316">
              <w:rPr>
                <w:color w:val="FFFFFF" w:themeColor="background1"/>
              </w:rPr>
              <w:t>0.1</w:t>
            </w:r>
          </w:p>
        </w:tc>
        <w:tc>
          <w:tcPr>
            <w:tcW w:w="760" w:type="dxa"/>
            <w:tcBorders>
              <w:top w:val="single" w:sz="4" w:space="0" w:color="auto"/>
              <w:left w:val="nil"/>
              <w:bottom w:val="single" w:sz="4" w:space="0" w:color="auto"/>
              <w:right w:val="single" w:sz="4" w:space="0" w:color="auto"/>
            </w:tcBorders>
            <w:shd w:val="clear" w:color="auto" w:fill="9CC2E5" w:themeFill="accent1" w:themeFillTint="99"/>
            <w:noWrap/>
            <w:vAlign w:val="bottom"/>
            <w:hideMark/>
          </w:tcPr>
          <w:p w14:paraId="7F417DAA" w14:textId="77777777" w:rsidR="00B72A1A" w:rsidRPr="00D76316" w:rsidRDefault="00B72A1A" w:rsidP="00D76316">
            <w:pPr>
              <w:pStyle w:val="NoSpacing"/>
              <w:bidi w:val="0"/>
              <w:jc w:val="center"/>
              <w:rPr>
                <w:color w:val="FFFFFF" w:themeColor="background1"/>
              </w:rPr>
            </w:pPr>
            <w:r w:rsidRPr="00D76316">
              <w:rPr>
                <w:color w:val="FFFFFF" w:themeColor="background1"/>
              </w:rPr>
              <w:t>0.1</w:t>
            </w:r>
          </w:p>
        </w:tc>
        <w:tc>
          <w:tcPr>
            <w:tcW w:w="837" w:type="dxa"/>
            <w:tcBorders>
              <w:top w:val="single" w:sz="4" w:space="0" w:color="auto"/>
              <w:left w:val="nil"/>
              <w:bottom w:val="single" w:sz="4" w:space="0" w:color="auto"/>
              <w:right w:val="single" w:sz="4" w:space="0" w:color="auto"/>
            </w:tcBorders>
            <w:shd w:val="clear" w:color="auto" w:fill="9CC2E5" w:themeFill="accent1" w:themeFillTint="99"/>
            <w:noWrap/>
            <w:vAlign w:val="bottom"/>
            <w:hideMark/>
          </w:tcPr>
          <w:p w14:paraId="0E7ED0C2" w14:textId="77777777" w:rsidR="00B72A1A" w:rsidRPr="00D76316" w:rsidRDefault="00B72A1A" w:rsidP="00D76316">
            <w:pPr>
              <w:pStyle w:val="NoSpacing"/>
              <w:bidi w:val="0"/>
              <w:jc w:val="center"/>
              <w:rPr>
                <w:color w:val="FFFFFF" w:themeColor="background1"/>
              </w:rPr>
            </w:pPr>
            <w:r w:rsidRPr="00D76316">
              <w:rPr>
                <w:color w:val="FFFFFF" w:themeColor="background1"/>
              </w:rPr>
              <w:t>1.4</w:t>
            </w:r>
          </w:p>
        </w:tc>
      </w:tr>
      <w:tr w:rsidR="00D76316" w:rsidRPr="002E1FE9" w14:paraId="21ED4D2D" w14:textId="77777777" w:rsidTr="00D76316">
        <w:trPr>
          <w:trHeight w:val="602"/>
        </w:trPr>
        <w:tc>
          <w:tcPr>
            <w:tcW w:w="0" w:type="auto"/>
            <w:tcBorders>
              <w:top w:val="single" w:sz="4" w:space="0" w:color="auto"/>
              <w:left w:val="single" w:sz="4" w:space="0" w:color="auto"/>
              <w:bottom w:val="single" w:sz="4" w:space="0" w:color="auto"/>
              <w:right w:val="single" w:sz="4" w:space="0" w:color="auto"/>
            </w:tcBorders>
            <w:shd w:val="clear" w:color="auto" w:fill="2E74B5" w:themeFill="accent1" w:themeFillShade="BF"/>
            <w:noWrap/>
            <w:vAlign w:val="bottom"/>
          </w:tcPr>
          <w:p w14:paraId="5BB7DA97" w14:textId="77777777" w:rsidR="00B72A1A" w:rsidRPr="00D76316" w:rsidRDefault="00B72A1A" w:rsidP="00D76316">
            <w:pPr>
              <w:pStyle w:val="NoSpacing"/>
              <w:bidi w:val="0"/>
              <w:jc w:val="center"/>
              <w:rPr>
                <w:color w:val="FFFFFF" w:themeColor="background1"/>
              </w:rPr>
            </w:pPr>
            <w:bookmarkStart w:id="8" w:name="_Hlk95341726"/>
            <w:r w:rsidRPr="00D76316">
              <w:rPr>
                <w:color w:val="FFFFFF" w:themeColor="background1"/>
              </w:rPr>
              <w:t>Lymphocytes</w:t>
            </w:r>
          </w:p>
          <w:p w14:paraId="3749B922" w14:textId="04870715" w:rsidR="00B72A1A" w:rsidRPr="00D76316" w:rsidRDefault="00B72A1A" w:rsidP="00D76316">
            <w:pPr>
              <w:pStyle w:val="NoSpacing"/>
              <w:bidi w:val="0"/>
              <w:jc w:val="center"/>
              <w:rPr>
                <w:color w:val="FFFFFF" w:themeColor="background1"/>
              </w:rPr>
            </w:pPr>
            <w:r w:rsidRPr="00D76316">
              <w:rPr>
                <w:color w:val="FFFFFF" w:themeColor="background1"/>
              </w:rPr>
              <w:t>(x103/uL)</w:t>
            </w:r>
          </w:p>
        </w:tc>
        <w:tc>
          <w:tcPr>
            <w:tcW w:w="1236" w:type="dxa"/>
            <w:tcBorders>
              <w:top w:val="single" w:sz="4" w:space="0" w:color="auto"/>
              <w:left w:val="nil"/>
              <w:bottom w:val="single" w:sz="4" w:space="0" w:color="auto"/>
              <w:right w:val="single" w:sz="4" w:space="0" w:color="auto"/>
            </w:tcBorders>
            <w:shd w:val="clear" w:color="auto" w:fill="DEEAF6" w:themeFill="accent1" w:themeFillTint="33"/>
            <w:noWrap/>
            <w:vAlign w:val="bottom"/>
          </w:tcPr>
          <w:p w14:paraId="225024DF" w14:textId="77777777" w:rsidR="00B72A1A" w:rsidRPr="00D76316" w:rsidRDefault="00B72A1A" w:rsidP="00D76316">
            <w:pPr>
              <w:pStyle w:val="NoSpacing"/>
              <w:bidi w:val="0"/>
              <w:jc w:val="center"/>
              <w:rPr>
                <w:color w:val="FFFFFF" w:themeColor="background1"/>
              </w:rPr>
            </w:pPr>
            <w:r w:rsidRPr="00D76316">
              <w:rPr>
                <w:color w:val="FFFFFF" w:themeColor="background1"/>
              </w:rPr>
              <w:t>2.1</w:t>
            </w:r>
          </w:p>
        </w:tc>
        <w:tc>
          <w:tcPr>
            <w:tcW w:w="767" w:type="dxa"/>
            <w:tcBorders>
              <w:top w:val="single" w:sz="4" w:space="0" w:color="auto"/>
              <w:left w:val="nil"/>
              <w:bottom w:val="single" w:sz="4" w:space="0" w:color="auto"/>
              <w:right w:val="single" w:sz="4" w:space="0" w:color="auto"/>
            </w:tcBorders>
            <w:shd w:val="clear" w:color="auto" w:fill="DEEAF6" w:themeFill="accent1" w:themeFillTint="33"/>
            <w:noWrap/>
            <w:vAlign w:val="bottom"/>
          </w:tcPr>
          <w:p w14:paraId="77A3387B" w14:textId="77777777" w:rsidR="00B72A1A" w:rsidRPr="00D76316" w:rsidRDefault="00B72A1A" w:rsidP="00D76316">
            <w:pPr>
              <w:pStyle w:val="NoSpacing"/>
              <w:bidi w:val="0"/>
              <w:jc w:val="center"/>
              <w:rPr>
                <w:color w:val="FFFFFF" w:themeColor="background1"/>
              </w:rPr>
            </w:pPr>
            <w:r w:rsidRPr="00D76316">
              <w:rPr>
                <w:color w:val="FFFFFF" w:themeColor="background1"/>
              </w:rPr>
              <w:t>0.6</w:t>
            </w:r>
          </w:p>
        </w:tc>
        <w:tc>
          <w:tcPr>
            <w:tcW w:w="761" w:type="dxa"/>
            <w:tcBorders>
              <w:top w:val="single" w:sz="4" w:space="0" w:color="auto"/>
              <w:left w:val="nil"/>
              <w:bottom w:val="single" w:sz="4" w:space="0" w:color="auto"/>
              <w:right w:val="single" w:sz="4" w:space="0" w:color="auto"/>
            </w:tcBorders>
            <w:shd w:val="clear" w:color="auto" w:fill="DEEAF6" w:themeFill="accent1" w:themeFillTint="33"/>
            <w:noWrap/>
            <w:vAlign w:val="bottom"/>
          </w:tcPr>
          <w:p w14:paraId="4BBAACBC" w14:textId="77777777" w:rsidR="00B72A1A" w:rsidRPr="00D76316" w:rsidRDefault="00B72A1A" w:rsidP="00D76316">
            <w:pPr>
              <w:pStyle w:val="NoSpacing"/>
              <w:bidi w:val="0"/>
              <w:jc w:val="center"/>
              <w:rPr>
                <w:color w:val="FFFFFF" w:themeColor="background1"/>
              </w:rPr>
            </w:pPr>
            <w:r w:rsidRPr="00D76316">
              <w:rPr>
                <w:color w:val="FFFFFF" w:themeColor="background1"/>
              </w:rPr>
              <w:t>0.6</w:t>
            </w:r>
          </w:p>
        </w:tc>
        <w:tc>
          <w:tcPr>
            <w:tcW w:w="733" w:type="dxa"/>
            <w:tcBorders>
              <w:top w:val="single" w:sz="4" w:space="0" w:color="auto"/>
              <w:left w:val="nil"/>
              <w:bottom w:val="single" w:sz="4" w:space="0" w:color="auto"/>
              <w:right w:val="single" w:sz="4" w:space="0" w:color="auto"/>
            </w:tcBorders>
            <w:shd w:val="clear" w:color="auto" w:fill="DEEAF6" w:themeFill="accent1" w:themeFillTint="33"/>
            <w:noWrap/>
            <w:vAlign w:val="bottom"/>
          </w:tcPr>
          <w:p w14:paraId="5381916C" w14:textId="77777777" w:rsidR="00B72A1A" w:rsidRPr="00D76316" w:rsidRDefault="00B72A1A" w:rsidP="00D76316">
            <w:pPr>
              <w:pStyle w:val="NoSpacing"/>
              <w:bidi w:val="0"/>
              <w:jc w:val="center"/>
              <w:rPr>
                <w:color w:val="FFFFFF" w:themeColor="background1"/>
              </w:rPr>
            </w:pPr>
            <w:r w:rsidRPr="00D76316">
              <w:rPr>
                <w:color w:val="FFFFFF" w:themeColor="background1"/>
              </w:rPr>
              <w:t>0.7</w:t>
            </w:r>
          </w:p>
        </w:tc>
        <w:tc>
          <w:tcPr>
            <w:tcW w:w="767" w:type="dxa"/>
            <w:tcBorders>
              <w:top w:val="single" w:sz="4" w:space="0" w:color="auto"/>
              <w:left w:val="nil"/>
              <w:bottom w:val="single" w:sz="4" w:space="0" w:color="auto"/>
              <w:right w:val="single" w:sz="4" w:space="0" w:color="auto"/>
            </w:tcBorders>
            <w:shd w:val="clear" w:color="auto" w:fill="DEEAF6" w:themeFill="accent1" w:themeFillTint="33"/>
            <w:noWrap/>
            <w:vAlign w:val="bottom"/>
          </w:tcPr>
          <w:p w14:paraId="2CB4B001" w14:textId="77777777" w:rsidR="00B72A1A" w:rsidRPr="00D76316" w:rsidRDefault="00B72A1A" w:rsidP="00D76316">
            <w:pPr>
              <w:pStyle w:val="NoSpacing"/>
              <w:bidi w:val="0"/>
              <w:jc w:val="center"/>
              <w:rPr>
                <w:color w:val="FFFFFF" w:themeColor="background1"/>
              </w:rPr>
            </w:pPr>
            <w:r w:rsidRPr="00D76316">
              <w:rPr>
                <w:color w:val="FFFFFF" w:themeColor="background1"/>
              </w:rPr>
              <w:t>0.8</w:t>
            </w:r>
          </w:p>
        </w:tc>
        <w:tc>
          <w:tcPr>
            <w:tcW w:w="765" w:type="dxa"/>
            <w:tcBorders>
              <w:top w:val="single" w:sz="4" w:space="0" w:color="auto"/>
              <w:left w:val="nil"/>
              <w:bottom w:val="single" w:sz="4" w:space="0" w:color="auto"/>
              <w:right w:val="single" w:sz="4" w:space="0" w:color="auto"/>
            </w:tcBorders>
            <w:shd w:val="clear" w:color="auto" w:fill="DEEAF6" w:themeFill="accent1" w:themeFillTint="33"/>
            <w:noWrap/>
            <w:vAlign w:val="bottom"/>
          </w:tcPr>
          <w:p w14:paraId="2AD0F30D" w14:textId="77777777" w:rsidR="00B72A1A" w:rsidRPr="00D76316" w:rsidRDefault="00B72A1A" w:rsidP="00D76316">
            <w:pPr>
              <w:pStyle w:val="NoSpacing"/>
              <w:bidi w:val="0"/>
              <w:jc w:val="center"/>
              <w:rPr>
                <w:color w:val="FFFFFF" w:themeColor="background1"/>
              </w:rPr>
            </w:pPr>
            <w:r w:rsidRPr="00D76316">
              <w:rPr>
                <w:color w:val="FFFFFF" w:themeColor="background1"/>
              </w:rPr>
              <w:t>0.7</w:t>
            </w:r>
          </w:p>
        </w:tc>
        <w:tc>
          <w:tcPr>
            <w:tcW w:w="760" w:type="dxa"/>
            <w:tcBorders>
              <w:top w:val="single" w:sz="4" w:space="0" w:color="auto"/>
              <w:left w:val="nil"/>
              <w:bottom w:val="single" w:sz="4" w:space="0" w:color="auto"/>
              <w:right w:val="single" w:sz="4" w:space="0" w:color="auto"/>
            </w:tcBorders>
            <w:shd w:val="clear" w:color="auto" w:fill="DEEAF6" w:themeFill="accent1" w:themeFillTint="33"/>
            <w:noWrap/>
            <w:vAlign w:val="bottom"/>
          </w:tcPr>
          <w:p w14:paraId="2D0907A6" w14:textId="77777777" w:rsidR="00B72A1A" w:rsidRPr="00D76316" w:rsidRDefault="00B72A1A" w:rsidP="00D76316">
            <w:pPr>
              <w:pStyle w:val="NoSpacing"/>
              <w:bidi w:val="0"/>
              <w:jc w:val="center"/>
              <w:rPr>
                <w:color w:val="FFFFFF" w:themeColor="background1"/>
              </w:rPr>
            </w:pPr>
            <w:r w:rsidRPr="00D76316">
              <w:rPr>
                <w:color w:val="FFFFFF" w:themeColor="background1"/>
              </w:rPr>
              <w:t>1</w:t>
            </w:r>
          </w:p>
        </w:tc>
        <w:tc>
          <w:tcPr>
            <w:tcW w:w="760" w:type="dxa"/>
            <w:tcBorders>
              <w:top w:val="single" w:sz="4" w:space="0" w:color="auto"/>
              <w:left w:val="nil"/>
              <w:bottom w:val="single" w:sz="4" w:space="0" w:color="auto"/>
              <w:right w:val="single" w:sz="4" w:space="0" w:color="auto"/>
            </w:tcBorders>
            <w:shd w:val="clear" w:color="auto" w:fill="DEEAF6" w:themeFill="accent1" w:themeFillTint="33"/>
            <w:noWrap/>
            <w:vAlign w:val="bottom"/>
          </w:tcPr>
          <w:p w14:paraId="4E77418C" w14:textId="77777777" w:rsidR="00B72A1A" w:rsidRPr="00D76316" w:rsidRDefault="00B72A1A" w:rsidP="00D76316">
            <w:pPr>
              <w:pStyle w:val="NoSpacing"/>
              <w:bidi w:val="0"/>
              <w:jc w:val="center"/>
              <w:rPr>
                <w:color w:val="FFFFFF" w:themeColor="background1"/>
              </w:rPr>
            </w:pPr>
            <w:r w:rsidRPr="00D76316">
              <w:rPr>
                <w:color w:val="FFFFFF" w:themeColor="background1"/>
              </w:rPr>
              <w:t>1</w:t>
            </w:r>
          </w:p>
        </w:tc>
        <w:tc>
          <w:tcPr>
            <w:tcW w:w="837" w:type="dxa"/>
            <w:tcBorders>
              <w:top w:val="single" w:sz="4" w:space="0" w:color="auto"/>
              <w:left w:val="nil"/>
              <w:bottom w:val="single" w:sz="4" w:space="0" w:color="auto"/>
              <w:right w:val="single" w:sz="4" w:space="0" w:color="auto"/>
            </w:tcBorders>
            <w:shd w:val="clear" w:color="auto" w:fill="DEEAF6" w:themeFill="accent1" w:themeFillTint="33"/>
            <w:noWrap/>
            <w:vAlign w:val="bottom"/>
          </w:tcPr>
          <w:p w14:paraId="501A7452" w14:textId="77777777" w:rsidR="00B72A1A" w:rsidRPr="00D76316" w:rsidRDefault="00B72A1A" w:rsidP="00D76316">
            <w:pPr>
              <w:pStyle w:val="NoSpacing"/>
              <w:bidi w:val="0"/>
              <w:jc w:val="center"/>
              <w:rPr>
                <w:color w:val="FFFFFF" w:themeColor="background1"/>
              </w:rPr>
            </w:pPr>
            <w:r w:rsidRPr="00D76316">
              <w:rPr>
                <w:color w:val="FFFFFF" w:themeColor="background1"/>
              </w:rPr>
              <w:t>1</w:t>
            </w:r>
          </w:p>
        </w:tc>
      </w:tr>
      <w:bookmarkEnd w:id="5"/>
      <w:bookmarkEnd w:id="8"/>
    </w:tbl>
    <w:p w14:paraId="698798BF" w14:textId="77777777" w:rsidR="00B72A1A" w:rsidRPr="002E1FE9" w:rsidRDefault="00B72A1A" w:rsidP="002E1FE9">
      <w:pPr>
        <w:pStyle w:val="NoSpacing"/>
        <w:bidi w:val="0"/>
        <w:rPr>
          <w:rFonts w:cstheme="minorHAnsi"/>
          <w:sz w:val="28"/>
          <w:szCs w:val="28"/>
        </w:rPr>
      </w:pPr>
    </w:p>
    <w:p w14:paraId="11FBD173" w14:textId="0834C1ED" w:rsidR="00B72A1A" w:rsidRPr="00F76556" w:rsidRDefault="00B72A1A" w:rsidP="002E1FE9">
      <w:pPr>
        <w:pStyle w:val="NoSpacing"/>
        <w:bidi w:val="0"/>
        <w:rPr>
          <w:rFonts w:cstheme="minorHAnsi"/>
          <w:b/>
          <w:bCs/>
          <w:sz w:val="28"/>
          <w:szCs w:val="28"/>
        </w:rPr>
      </w:pPr>
      <w:r w:rsidRPr="00F76556">
        <w:rPr>
          <w:rFonts w:cstheme="minorHAnsi"/>
          <w:b/>
          <w:bCs/>
          <w:sz w:val="28"/>
          <w:szCs w:val="28"/>
        </w:rPr>
        <w:t xml:space="preserve">Table </w:t>
      </w:r>
      <w:r w:rsidRPr="00F76556">
        <w:rPr>
          <w:rFonts w:cstheme="minorHAnsi"/>
          <w:b/>
          <w:bCs/>
          <w:sz w:val="28"/>
          <w:szCs w:val="28"/>
        </w:rPr>
        <w:fldChar w:fldCharType="begin"/>
      </w:r>
      <w:r w:rsidRPr="00F76556">
        <w:rPr>
          <w:rFonts w:cstheme="minorHAnsi"/>
          <w:b/>
          <w:bCs/>
          <w:sz w:val="28"/>
          <w:szCs w:val="28"/>
        </w:rPr>
        <w:instrText xml:space="preserve"> SEQ Table \* ARABIC </w:instrText>
      </w:r>
      <w:r w:rsidRPr="00F76556">
        <w:rPr>
          <w:rFonts w:cstheme="minorHAnsi"/>
          <w:b/>
          <w:bCs/>
          <w:sz w:val="28"/>
          <w:szCs w:val="28"/>
        </w:rPr>
        <w:fldChar w:fldCharType="separate"/>
      </w:r>
      <w:r w:rsidR="00F477B0" w:rsidRPr="00F76556">
        <w:rPr>
          <w:rFonts w:cstheme="minorHAnsi"/>
          <w:b/>
          <w:bCs/>
          <w:noProof/>
          <w:sz w:val="28"/>
          <w:szCs w:val="28"/>
        </w:rPr>
        <w:t>2</w:t>
      </w:r>
      <w:r w:rsidRPr="00F76556">
        <w:rPr>
          <w:rFonts w:cstheme="minorHAnsi"/>
          <w:b/>
          <w:bCs/>
          <w:sz w:val="28"/>
          <w:szCs w:val="28"/>
        </w:rPr>
        <w:fldChar w:fldCharType="end"/>
      </w:r>
    </w:p>
    <w:p w14:paraId="049ED823" w14:textId="77777777" w:rsidR="00B72A1A" w:rsidRPr="00E67799" w:rsidRDefault="00B72A1A" w:rsidP="002E1FE9">
      <w:pPr>
        <w:pStyle w:val="NoSpacing"/>
        <w:bidi w:val="0"/>
        <w:rPr>
          <w:rFonts w:cstheme="minorHAnsi"/>
          <w:sz w:val="24"/>
          <w:szCs w:val="24"/>
        </w:rPr>
      </w:pPr>
      <w:r w:rsidRPr="00E67799">
        <w:rPr>
          <w:rFonts w:cstheme="minorHAnsi"/>
          <w:sz w:val="24"/>
          <w:szCs w:val="24"/>
        </w:rPr>
        <w:t xml:space="preserve">Serial laboratory inflammatory markers during patient Hospital stay. </w:t>
      </w:r>
    </w:p>
    <w:p w14:paraId="5CD66266" w14:textId="77777777" w:rsidR="00B72A1A" w:rsidRPr="00E67799" w:rsidRDefault="00B72A1A" w:rsidP="002E1FE9">
      <w:pPr>
        <w:pStyle w:val="NoSpacing"/>
        <w:bidi w:val="0"/>
        <w:rPr>
          <w:rFonts w:cstheme="minorHAnsi"/>
          <w:b/>
          <w:bCs/>
          <w:sz w:val="24"/>
          <w:szCs w:val="24"/>
        </w:rPr>
      </w:pPr>
      <w:r w:rsidRPr="00E67799">
        <w:rPr>
          <w:rFonts w:cstheme="minorHAnsi"/>
          <w:b/>
          <w:bCs/>
          <w:sz w:val="24"/>
          <w:szCs w:val="24"/>
        </w:rPr>
        <w:t xml:space="preserve">Day 3: Tocilizumab administered </w:t>
      </w:r>
    </w:p>
    <w:p w14:paraId="2789B8ED" w14:textId="77777777" w:rsidR="00B72A1A" w:rsidRPr="00E67799" w:rsidRDefault="00B72A1A" w:rsidP="002E1FE9">
      <w:pPr>
        <w:pStyle w:val="NoSpacing"/>
        <w:bidi w:val="0"/>
        <w:rPr>
          <w:rFonts w:cstheme="minorHAnsi"/>
          <w:b/>
          <w:bCs/>
          <w:sz w:val="24"/>
          <w:szCs w:val="24"/>
        </w:rPr>
      </w:pPr>
      <w:r w:rsidRPr="00E67799">
        <w:rPr>
          <w:rFonts w:cstheme="minorHAnsi"/>
          <w:b/>
          <w:bCs/>
          <w:sz w:val="24"/>
          <w:szCs w:val="24"/>
        </w:rPr>
        <w:t xml:space="preserve">Day 5: Filgrastim Administered  </w:t>
      </w:r>
    </w:p>
    <w:p w14:paraId="698815B7" w14:textId="77777777" w:rsidR="00B72A1A" w:rsidRPr="002E1FE9" w:rsidRDefault="00B72A1A" w:rsidP="002E1FE9">
      <w:pPr>
        <w:pStyle w:val="NoSpacing"/>
        <w:bidi w:val="0"/>
        <w:rPr>
          <w:rFonts w:cstheme="minorHAnsi"/>
          <w:sz w:val="28"/>
          <w:szCs w:val="28"/>
        </w:rPr>
      </w:pPr>
    </w:p>
    <w:tbl>
      <w:tblPr>
        <w:tblW w:w="0" w:type="auto"/>
        <w:shd w:val="pct15" w:color="auto" w:fill="auto"/>
        <w:tblLook w:val="04A0" w:firstRow="1" w:lastRow="0" w:firstColumn="1" w:lastColumn="0" w:noHBand="0" w:noVBand="1"/>
      </w:tblPr>
      <w:tblGrid>
        <w:gridCol w:w="2245"/>
        <w:gridCol w:w="1156"/>
        <w:gridCol w:w="729"/>
        <w:gridCol w:w="729"/>
        <w:gridCol w:w="729"/>
        <w:gridCol w:w="729"/>
        <w:gridCol w:w="729"/>
        <w:gridCol w:w="729"/>
        <w:gridCol w:w="729"/>
      </w:tblGrid>
      <w:tr w:rsidR="005377B7" w:rsidRPr="002E1FE9" w14:paraId="6D847CD9" w14:textId="77777777" w:rsidTr="00D76316">
        <w:trPr>
          <w:trHeight w:val="290"/>
        </w:trPr>
        <w:tc>
          <w:tcPr>
            <w:tcW w:w="2245" w:type="dxa"/>
            <w:tcBorders>
              <w:top w:val="single" w:sz="4" w:space="0" w:color="auto"/>
              <w:left w:val="single" w:sz="4" w:space="0" w:color="auto"/>
              <w:bottom w:val="single" w:sz="4" w:space="0" w:color="auto"/>
              <w:right w:val="single" w:sz="4" w:space="0" w:color="auto"/>
            </w:tcBorders>
            <w:shd w:val="clear" w:color="auto" w:fill="F7CAAC" w:themeFill="accent2" w:themeFillTint="66"/>
            <w:noWrap/>
            <w:vAlign w:val="bottom"/>
            <w:hideMark/>
          </w:tcPr>
          <w:p w14:paraId="24B60179" w14:textId="71D3DA30" w:rsidR="00B72A1A" w:rsidRPr="00D76316" w:rsidRDefault="00B72A1A" w:rsidP="00D76316">
            <w:pPr>
              <w:pStyle w:val="NoSpacing"/>
              <w:bidi w:val="0"/>
              <w:jc w:val="center"/>
              <w:rPr>
                <w:rFonts w:cstheme="minorHAnsi"/>
              </w:rPr>
            </w:pPr>
          </w:p>
        </w:tc>
        <w:tc>
          <w:tcPr>
            <w:tcW w:w="1156" w:type="dxa"/>
            <w:tcBorders>
              <w:top w:val="single" w:sz="4" w:space="0" w:color="auto"/>
              <w:left w:val="nil"/>
              <w:bottom w:val="single" w:sz="4" w:space="0" w:color="auto"/>
              <w:right w:val="single" w:sz="4" w:space="0" w:color="auto"/>
            </w:tcBorders>
            <w:shd w:val="pct15" w:color="auto" w:fill="FFF2CC" w:themeFill="accent4" w:themeFillTint="33"/>
            <w:noWrap/>
            <w:vAlign w:val="bottom"/>
            <w:hideMark/>
          </w:tcPr>
          <w:p w14:paraId="75633953" w14:textId="77777777" w:rsidR="00B72A1A" w:rsidRPr="00D76316" w:rsidRDefault="00B72A1A" w:rsidP="00D76316">
            <w:pPr>
              <w:pStyle w:val="NoSpacing"/>
              <w:bidi w:val="0"/>
              <w:jc w:val="center"/>
              <w:rPr>
                <w:rFonts w:cstheme="minorHAnsi"/>
                <w:b/>
                <w:bCs/>
              </w:rPr>
            </w:pPr>
            <w:r w:rsidRPr="00D76316">
              <w:rPr>
                <w:rFonts w:cstheme="minorHAnsi"/>
                <w:b/>
                <w:bCs/>
              </w:rPr>
              <w:t>Day 1</w:t>
            </w:r>
          </w:p>
        </w:tc>
        <w:tc>
          <w:tcPr>
            <w:tcW w:w="0" w:type="auto"/>
            <w:tcBorders>
              <w:top w:val="single" w:sz="4" w:space="0" w:color="auto"/>
              <w:left w:val="nil"/>
              <w:bottom w:val="single" w:sz="4" w:space="0" w:color="auto"/>
              <w:right w:val="single" w:sz="4" w:space="0" w:color="auto"/>
            </w:tcBorders>
            <w:shd w:val="pct15" w:color="auto" w:fill="FFF2CC" w:themeFill="accent4" w:themeFillTint="33"/>
            <w:noWrap/>
            <w:vAlign w:val="bottom"/>
            <w:hideMark/>
          </w:tcPr>
          <w:p w14:paraId="7A9B1218" w14:textId="77777777" w:rsidR="00B72A1A" w:rsidRPr="00D76316" w:rsidRDefault="00B72A1A" w:rsidP="00D76316">
            <w:pPr>
              <w:pStyle w:val="NoSpacing"/>
              <w:bidi w:val="0"/>
              <w:jc w:val="center"/>
              <w:rPr>
                <w:rFonts w:cstheme="minorHAnsi"/>
                <w:b/>
                <w:bCs/>
              </w:rPr>
            </w:pPr>
            <w:r w:rsidRPr="00D76316">
              <w:rPr>
                <w:rFonts w:cstheme="minorHAnsi"/>
                <w:b/>
                <w:bCs/>
              </w:rPr>
              <w:t>Day 2</w:t>
            </w:r>
          </w:p>
        </w:tc>
        <w:tc>
          <w:tcPr>
            <w:tcW w:w="0" w:type="auto"/>
            <w:tcBorders>
              <w:top w:val="single" w:sz="4" w:space="0" w:color="auto"/>
              <w:left w:val="nil"/>
              <w:bottom w:val="single" w:sz="4" w:space="0" w:color="auto"/>
              <w:right w:val="single" w:sz="4" w:space="0" w:color="auto"/>
            </w:tcBorders>
            <w:shd w:val="pct15" w:color="auto" w:fill="FFF2CC" w:themeFill="accent4" w:themeFillTint="33"/>
            <w:noWrap/>
            <w:vAlign w:val="bottom"/>
            <w:hideMark/>
          </w:tcPr>
          <w:p w14:paraId="2A12271E" w14:textId="77777777" w:rsidR="00B72A1A" w:rsidRPr="00D76316" w:rsidRDefault="00B72A1A" w:rsidP="00D76316">
            <w:pPr>
              <w:pStyle w:val="NoSpacing"/>
              <w:bidi w:val="0"/>
              <w:jc w:val="center"/>
              <w:rPr>
                <w:rFonts w:cstheme="minorHAnsi"/>
                <w:b/>
                <w:bCs/>
              </w:rPr>
            </w:pPr>
            <w:r w:rsidRPr="00D76316">
              <w:rPr>
                <w:rFonts w:cstheme="minorHAnsi"/>
                <w:b/>
                <w:bCs/>
              </w:rPr>
              <w:t>Day 3</w:t>
            </w:r>
          </w:p>
        </w:tc>
        <w:tc>
          <w:tcPr>
            <w:tcW w:w="0" w:type="auto"/>
            <w:tcBorders>
              <w:top w:val="single" w:sz="4" w:space="0" w:color="auto"/>
              <w:left w:val="nil"/>
              <w:bottom w:val="single" w:sz="4" w:space="0" w:color="auto"/>
              <w:right w:val="single" w:sz="4" w:space="0" w:color="auto"/>
            </w:tcBorders>
            <w:shd w:val="pct15" w:color="auto" w:fill="FFF2CC" w:themeFill="accent4" w:themeFillTint="33"/>
            <w:noWrap/>
            <w:vAlign w:val="bottom"/>
            <w:hideMark/>
          </w:tcPr>
          <w:p w14:paraId="1573823E" w14:textId="77777777" w:rsidR="00B72A1A" w:rsidRPr="00D76316" w:rsidRDefault="00B72A1A" w:rsidP="00D76316">
            <w:pPr>
              <w:pStyle w:val="NoSpacing"/>
              <w:bidi w:val="0"/>
              <w:jc w:val="center"/>
              <w:rPr>
                <w:rFonts w:cstheme="minorHAnsi"/>
                <w:b/>
                <w:bCs/>
              </w:rPr>
            </w:pPr>
            <w:r w:rsidRPr="00D76316">
              <w:rPr>
                <w:rFonts w:cstheme="minorHAnsi"/>
                <w:b/>
                <w:bCs/>
              </w:rPr>
              <w:t>Day 4</w:t>
            </w:r>
          </w:p>
        </w:tc>
        <w:tc>
          <w:tcPr>
            <w:tcW w:w="0" w:type="auto"/>
            <w:tcBorders>
              <w:top w:val="single" w:sz="4" w:space="0" w:color="auto"/>
              <w:left w:val="nil"/>
              <w:bottom w:val="single" w:sz="4" w:space="0" w:color="auto"/>
              <w:right w:val="single" w:sz="4" w:space="0" w:color="auto"/>
            </w:tcBorders>
            <w:shd w:val="pct15" w:color="auto" w:fill="FFF2CC" w:themeFill="accent4" w:themeFillTint="33"/>
            <w:noWrap/>
            <w:vAlign w:val="bottom"/>
            <w:hideMark/>
          </w:tcPr>
          <w:p w14:paraId="0B583DEC" w14:textId="77777777" w:rsidR="00B72A1A" w:rsidRPr="00D76316" w:rsidRDefault="00B72A1A" w:rsidP="00D76316">
            <w:pPr>
              <w:pStyle w:val="NoSpacing"/>
              <w:bidi w:val="0"/>
              <w:jc w:val="center"/>
              <w:rPr>
                <w:rFonts w:cstheme="minorHAnsi"/>
                <w:b/>
                <w:bCs/>
              </w:rPr>
            </w:pPr>
            <w:r w:rsidRPr="00D76316">
              <w:rPr>
                <w:rFonts w:cstheme="minorHAnsi"/>
                <w:b/>
                <w:bCs/>
              </w:rPr>
              <w:t>Day 5</w:t>
            </w:r>
          </w:p>
        </w:tc>
        <w:tc>
          <w:tcPr>
            <w:tcW w:w="0" w:type="auto"/>
            <w:tcBorders>
              <w:top w:val="single" w:sz="4" w:space="0" w:color="auto"/>
              <w:left w:val="nil"/>
              <w:bottom w:val="single" w:sz="4" w:space="0" w:color="auto"/>
              <w:right w:val="single" w:sz="4" w:space="0" w:color="auto"/>
            </w:tcBorders>
            <w:shd w:val="pct15" w:color="auto" w:fill="FFF2CC" w:themeFill="accent4" w:themeFillTint="33"/>
            <w:noWrap/>
            <w:vAlign w:val="bottom"/>
            <w:hideMark/>
          </w:tcPr>
          <w:p w14:paraId="534C3F74" w14:textId="77777777" w:rsidR="00B72A1A" w:rsidRPr="00D76316" w:rsidRDefault="00B72A1A" w:rsidP="00D76316">
            <w:pPr>
              <w:pStyle w:val="NoSpacing"/>
              <w:bidi w:val="0"/>
              <w:jc w:val="center"/>
              <w:rPr>
                <w:rFonts w:cstheme="minorHAnsi"/>
                <w:b/>
                <w:bCs/>
              </w:rPr>
            </w:pPr>
            <w:r w:rsidRPr="00D76316">
              <w:rPr>
                <w:rFonts w:cstheme="minorHAnsi"/>
                <w:b/>
                <w:bCs/>
              </w:rPr>
              <w:t>Day 6</w:t>
            </w:r>
          </w:p>
        </w:tc>
        <w:tc>
          <w:tcPr>
            <w:tcW w:w="0" w:type="auto"/>
            <w:tcBorders>
              <w:top w:val="single" w:sz="4" w:space="0" w:color="auto"/>
              <w:left w:val="nil"/>
              <w:bottom w:val="single" w:sz="4" w:space="0" w:color="auto"/>
              <w:right w:val="single" w:sz="4" w:space="0" w:color="auto"/>
            </w:tcBorders>
            <w:shd w:val="pct15" w:color="auto" w:fill="FFF2CC" w:themeFill="accent4" w:themeFillTint="33"/>
            <w:noWrap/>
            <w:vAlign w:val="bottom"/>
            <w:hideMark/>
          </w:tcPr>
          <w:p w14:paraId="2F2B323D" w14:textId="77777777" w:rsidR="00B72A1A" w:rsidRPr="00D76316" w:rsidRDefault="00B72A1A" w:rsidP="00D76316">
            <w:pPr>
              <w:pStyle w:val="NoSpacing"/>
              <w:bidi w:val="0"/>
              <w:jc w:val="center"/>
              <w:rPr>
                <w:rFonts w:cstheme="minorHAnsi"/>
                <w:b/>
                <w:bCs/>
              </w:rPr>
            </w:pPr>
            <w:r w:rsidRPr="00D76316">
              <w:rPr>
                <w:rFonts w:cstheme="minorHAnsi"/>
                <w:b/>
                <w:bCs/>
              </w:rPr>
              <w:t>Day 7</w:t>
            </w:r>
          </w:p>
        </w:tc>
        <w:tc>
          <w:tcPr>
            <w:tcW w:w="0" w:type="auto"/>
            <w:tcBorders>
              <w:top w:val="single" w:sz="4" w:space="0" w:color="auto"/>
              <w:left w:val="nil"/>
              <w:bottom w:val="single" w:sz="4" w:space="0" w:color="auto"/>
              <w:right w:val="single" w:sz="4" w:space="0" w:color="auto"/>
            </w:tcBorders>
            <w:shd w:val="pct15" w:color="auto" w:fill="FFF2CC" w:themeFill="accent4" w:themeFillTint="33"/>
            <w:noWrap/>
            <w:vAlign w:val="bottom"/>
            <w:hideMark/>
          </w:tcPr>
          <w:p w14:paraId="2733139F" w14:textId="77777777" w:rsidR="00B72A1A" w:rsidRPr="00D76316" w:rsidRDefault="00B72A1A" w:rsidP="00D76316">
            <w:pPr>
              <w:pStyle w:val="NoSpacing"/>
              <w:bidi w:val="0"/>
              <w:jc w:val="center"/>
              <w:rPr>
                <w:rFonts w:cstheme="minorHAnsi"/>
                <w:b/>
                <w:bCs/>
              </w:rPr>
            </w:pPr>
            <w:r w:rsidRPr="00D76316">
              <w:rPr>
                <w:rFonts w:cstheme="minorHAnsi"/>
                <w:b/>
                <w:bCs/>
              </w:rPr>
              <w:t>Day 8</w:t>
            </w:r>
          </w:p>
        </w:tc>
      </w:tr>
      <w:tr w:rsidR="005377B7" w:rsidRPr="002E1FE9" w14:paraId="004A1ADB" w14:textId="77777777" w:rsidTr="00D76316">
        <w:trPr>
          <w:trHeight w:val="290"/>
        </w:trPr>
        <w:tc>
          <w:tcPr>
            <w:tcW w:w="2245" w:type="dxa"/>
            <w:tcBorders>
              <w:top w:val="single" w:sz="4" w:space="0" w:color="auto"/>
              <w:left w:val="single" w:sz="4" w:space="0" w:color="auto"/>
              <w:bottom w:val="single" w:sz="4" w:space="0" w:color="auto"/>
              <w:right w:val="single" w:sz="4" w:space="0" w:color="auto"/>
            </w:tcBorders>
            <w:shd w:val="clear" w:color="auto" w:fill="F7CAAC" w:themeFill="accent2" w:themeFillTint="66"/>
            <w:noWrap/>
            <w:vAlign w:val="bottom"/>
            <w:hideMark/>
          </w:tcPr>
          <w:p w14:paraId="0EB6729E" w14:textId="77777777" w:rsidR="00B72A1A" w:rsidRPr="00D76316" w:rsidRDefault="00B72A1A" w:rsidP="00D76316">
            <w:pPr>
              <w:pStyle w:val="NoSpacing"/>
              <w:bidi w:val="0"/>
              <w:jc w:val="center"/>
              <w:rPr>
                <w:rFonts w:cstheme="minorHAnsi"/>
                <w:b/>
                <w:bCs/>
              </w:rPr>
            </w:pPr>
            <w:r w:rsidRPr="00D76316">
              <w:rPr>
                <w:rFonts w:cstheme="minorHAnsi"/>
                <w:b/>
                <w:bCs/>
              </w:rPr>
              <w:t xml:space="preserve">D-Dimer </w:t>
            </w:r>
            <w:bookmarkStart w:id="9" w:name="_Hlk70015813"/>
            <w:r w:rsidRPr="00D76316">
              <w:rPr>
                <w:rFonts w:cstheme="minorHAnsi"/>
                <w:b/>
                <w:bCs/>
              </w:rPr>
              <w:t>(mg/L)</w:t>
            </w:r>
            <w:bookmarkEnd w:id="9"/>
          </w:p>
        </w:tc>
        <w:tc>
          <w:tcPr>
            <w:tcW w:w="1156" w:type="dxa"/>
            <w:tcBorders>
              <w:top w:val="single" w:sz="4" w:space="0" w:color="auto"/>
              <w:left w:val="nil"/>
              <w:bottom w:val="single" w:sz="4" w:space="0" w:color="auto"/>
              <w:right w:val="single" w:sz="4" w:space="0" w:color="auto"/>
            </w:tcBorders>
            <w:shd w:val="pct15" w:color="auto" w:fill="auto"/>
            <w:noWrap/>
            <w:vAlign w:val="bottom"/>
            <w:hideMark/>
          </w:tcPr>
          <w:p w14:paraId="0857CC87" w14:textId="77777777" w:rsidR="00B72A1A" w:rsidRPr="00D76316" w:rsidRDefault="00B72A1A" w:rsidP="00D76316">
            <w:pPr>
              <w:pStyle w:val="NoSpacing"/>
              <w:bidi w:val="0"/>
              <w:jc w:val="center"/>
              <w:rPr>
                <w:rFonts w:cstheme="minorHAnsi"/>
              </w:rPr>
            </w:pPr>
            <w:r w:rsidRPr="00D76316">
              <w:rPr>
                <w:rFonts w:cstheme="minorHAnsi"/>
              </w:rPr>
              <w:t>4.18</w:t>
            </w:r>
          </w:p>
        </w:tc>
        <w:tc>
          <w:tcPr>
            <w:tcW w:w="0" w:type="auto"/>
            <w:tcBorders>
              <w:top w:val="single" w:sz="4" w:space="0" w:color="auto"/>
              <w:left w:val="nil"/>
              <w:bottom w:val="single" w:sz="4" w:space="0" w:color="auto"/>
              <w:right w:val="single" w:sz="4" w:space="0" w:color="auto"/>
            </w:tcBorders>
            <w:shd w:val="pct15" w:color="auto" w:fill="auto"/>
            <w:noWrap/>
            <w:vAlign w:val="bottom"/>
            <w:hideMark/>
          </w:tcPr>
          <w:p w14:paraId="2B4E0234" w14:textId="77777777" w:rsidR="00B72A1A" w:rsidRPr="00D76316" w:rsidRDefault="00B72A1A" w:rsidP="00D76316">
            <w:pPr>
              <w:pStyle w:val="NoSpacing"/>
              <w:bidi w:val="0"/>
              <w:jc w:val="center"/>
              <w:rPr>
                <w:rFonts w:cstheme="minorHAnsi"/>
              </w:rPr>
            </w:pPr>
            <w:r w:rsidRPr="00D76316">
              <w:rPr>
                <w:rFonts w:cstheme="minorHAnsi"/>
              </w:rPr>
              <w:t>&gt;35.2</w:t>
            </w:r>
          </w:p>
        </w:tc>
        <w:tc>
          <w:tcPr>
            <w:tcW w:w="0" w:type="auto"/>
            <w:tcBorders>
              <w:top w:val="single" w:sz="4" w:space="0" w:color="auto"/>
              <w:left w:val="nil"/>
              <w:bottom w:val="single" w:sz="4" w:space="0" w:color="auto"/>
              <w:right w:val="single" w:sz="4" w:space="0" w:color="auto"/>
            </w:tcBorders>
            <w:shd w:val="pct15" w:color="auto" w:fill="auto"/>
            <w:noWrap/>
            <w:vAlign w:val="bottom"/>
            <w:hideMark/>
          </w:tcPr>
          <w:p w14:paraId="6AB75057" w14:textId="77777777" w:rsidR="00B72A1A" w:rsidRPr="00D76316" w:rsidRDefault="00B72A1A" w:rsidP="00D76316">
            <w:pPr>
              <w:pStyle w:val="NoSpacing"/>
              <w:bidi w:val="0"/>
              <w:jc w:val="center"/>
              <w:rPr>
                <w:rFonts w:cstheme="minorHAnsi"/>
              </w:rPr>
            </w:pPr>
            <w:r w:rsidRPr="00D76316">
              <w:rPr>
                <w:rFonts w:cstheme="minorHAnsi"/>
              </w:rPr>
              <w:t>&gt;35.2</w:t>
            </w:r>
          </w:p>
        </w:tc>
        <w:tc>
          <w:tcPr>
            <w:tcW w:w="0" w:type="auto"/>
            <w:tcBorders>
              <w:top w:val="single" w:sz="4" w:space="0" w:color="auto"/>
              <w:left w:val="nil"/>
              <w:bottom w:val="single" w:sz="4" w:space="0" w:color="auto"/>
              <w:right w:val="single" w:sz="4" w:space="0" w:color="auto"/>
            </w:tcBorders>
            <w:shd w:val="pct15" w:color="auto" w:fill="auto"/>
            <w:noWrap/>
            <w:vAlign w:val="bottom"/>
            <w:hideMark/>
          </w:tcPr>
          <w:p w14:paraId="15921670" w14:textId="67665C98" w:rsidR="00B72A1A" w:rsidRPr="00D76316" w:rsidRDefault="00B72A1A" w:rsidP="00D76316">
            <w:pPr>
              <w:pStyle w:val="NoSpacing"/>
              <w:bidi w:val="0"/>
              <w:jc w:val="center"/>
              <w:rPr>
                <w:rFonts w:cstheme="minorHAnsi"/>
              </w:rPr>
            </w:pPr>
          </w:p>
        </w:tc>
        <w:tc>
          <w:tcPr>
            <w:tcW w:w="0" w:type="auto"/>
            <w:tcBorders>
              <w:top w:val="single" w:sz="4" w:space="0" w:color="auto"/>
              <w:left w:val="nil"/>
              <w:bottom w:val="single" w:sz="4" w:space="0" w:color="auto"/>
              <w:right w:val="single" w:sz="4" w:space="0" w:color="auto"/>
            </w:tcBorders>
            <w:shd w:val="pct15" w:color="auto" w:fill="auto"/>
            <w:noWrap/>
            <w:vAlign w:val="bottom"/>
            <w:hideMark/>
          </w:tcPr>
          <w:p w14:paraId="207391B1" w14:textId="77777777" w:rsidR="00B72A1A" w:rsidRPr="00D76316" w:rsidRDefault="00B72A1A" w:rsidP="00D76316">
            <w:pPr>
              <w:pStyle w:val="NoSpacing"/>
              <w:bidi w:val="0"/>
              <w:jc w:val="center"/>
              <w:rPr>
                <w:rFonts w:cstheme="minorHAnsi"/>
              </w:rPr>
            </w:pPr>
            <w:r w:rsidRPr="00D76316">
              <w:rPr>
                <w:rFonts w:cstheme="minorHAnsi"/>
              </w:rPr>
              <w:t>0.7</w:t>
            </w:r>
          </w:p>
        </w:tc>
        <w:tc>
          <w:tcPr>
            <w:tcW w:w="0" w:type="auto"/>
            <w:tcBorders>
              <w:top w:val="single" w:sz="4" w:space="0" w:color="auto"/>
              <w:left w:val="nil"/>
              <w:bottom w:val="single" w:sz="4" w:space="0" w:color="auto"/>
              <w:right w:val="single" w:sz="4" w:space="0" w:color="auto"/>
            </w:tcBorders>
            <w:shd w:val="pct15" w:color="auto" w:fill="auto"/>
            <w:noWrap/>
            <w:vAlign w:val="bottom"/>
            <w:hideMark/>
          </w:tcPr>
          <w:p w14:paraId="0CA90653" w14:textId="77777777" w:rsidR="00B72A1A" w:rsidRPr="00D76316" w:rsidRDefault="00B72A1A" w:rsidP="00D76316">
            <w:pPr>
              <w:pStyle w:val="NoSpacing"/>
              <w:bidi w:val="0"/>
              <w:jc w:val="center"/>
              <w:rPr>
                <w:rFonts w:cstheme="minorHAnsi"/>
              </w:rPr>
            </w:pPr>
            <w:r w:rsidRPr="00D76316">
              <w:rPr>
                <w:rFonts w:cstheme="minorHAnsi"/>
              </w:rPr>
              <w:t>0.84</w:t>
            </w:r>
          </w:p>
        </w:tc>
        <w:tc>
          <w:tcPr>
            <w:tcW w:w="0" w:type="auto"/>
            <w:tcBorders>
              <w:top w:val="single" w:sz="4" w:space="0" w:color="auto"/>
              <w:left w:val="nil"/>
              <w:bottom w:val="single" w:sz="4" w:space="0" w:color="auto"/>
              <w:right w:val="single" w:sz="4" w:space="0" w:color="auto"/>
            </w:tcBorders>
            <w:shd w:val="pct15" w:color="auto" w:fill="auto"/>
            <w:noWrap/>
            <w:vAlign w:val="bottom"/>
            <w:hideMark/>
          </w:tcPr>
          <w:p w14:paraId="4B645B85" w14:textId="77777777" w:rsidR="00B72A1A" w:rsidRPr="00D76316" w:rsidRDefault="00B72A1A" w:rsidP="00D76316">
            <w:pPr>
              <w:pStyle w:val="NoSpacing"/>
              <w:bidi w:val="0"/>
              <w:jc w:val="center"/>
              <w:rPr>
                <w:rFonts w:cstheme="minorHAnsi"/>
              </w:rPr>
            </w:pPr>
            <w:r w:rsidRPr="00D76316">
              <w:rPr>
                <w:rFonts w:cstheme="minorHAnsi"/>
              </w:rPr>
              <w:t>0.62</w:t>
            </w:r>
          </w:p>
        </w:tc>
        <w:tc>
          <w:tcPr>
            <w:tcW w:w="0" w:type="auto"/>
            <w:tcBorders>
              <w:top w:val="single" w:sz="4" w:space="0" w:color="auto"/>
              <w:left w:val="nil"/>
              <w:bottom w:val="single" w:sz="4" w:space="0" w:color="auto"/>
              <w:right w:val="single" w:sz="4" w:space="0" w:color="auto"/>
            </w:tcBorders>
            <w:shd w:val="pct15" w:color="auto" w:fill="auto"/>
            <w:noWrap/>
            <w:vAlign w:val="bottom"/>
            <w:hideMark/>
          </w:tcPr>
          <w:p w14:paraId="6417CE16" w14:textId="77777777" w:rsidR="00B72A1A" w:rsidRPr="00D76316" w:rsidRDefault="00B72A1A" w:rsidP="00D76316">
            <w:pPr>
              <w:pStyle w:val="NoSpacing"/>
              <w:bidi w:val="0"/>
              <w:jc w:val="center"/>
              <w:rPr>
                <w:rFonts w:cstheme="minorHAnsi"/>
              </w:rPr>
            </w:pPr>
            <w:r w:rsidRPr="00D76316">
              <w:rPr>
                <w:rFonts w:cstheme="minorHAnsi"/>
              </w:rPr>
              <w:t>0.22</w:t>
            </w:r>
          </w:p>
        </w:tc>
      </w:tr>
      <w:tr w:rsidR="005377B7" w:rsidRPr="002E1FE9" w14:paraId="175FAF41" w14:textId="77777777" w:rsidTr="00D76316">
        <w:trPr>
          <w:trHeight w:val="290"/>
        </w:trPr>
        <w:tc>
          <w:tcPr>
            <w:tcW w:w="2245" w:type="dxa"/>
            <w:tcBorders>
              <w:top w:val="single" w:sz="4" w:space="0" w:color="auto"/>
              <w:left w:val="single" w:sz="4" w:space="0" w:color="auto"/>
              <w:bottom w:val="single" w:sz="4" w:space="0" w:color="auto"/>
              <w:right w:val="single" w:sz="4" w:space="0" w:color="auto"/>
            </w:tcBorders>
            <w:shd w:val="clear" w:color="auto" w:fill="F7CAAC" w:themeFill="accent2" w:themeFillTint="66"/>
            <w:noWrap/>
            <w:vAlign w:val="bottom"/>
            <w:hideMark/>
          </w:tcPr>
          <w:p w14:paraId="35F4F683" w14:textId="77777777" w:rsidR="00B72A1A" w:rsidRPr="00D76316" w:rsidRDefault="00B72A1A" w:rsidP="00D76316">
            <w:pPr>
              <w:pStyle w:val="NoSpacing"/>
              <w:bidi w:val="0"/>
              <w:jc w:val="center"/>
              <w:rPr>
                <w:rFonts w:cstheme="minorHAnsi"/>
                <w:b/>
                <w:bCs/>
              </w:rPr>
            </w:pPr>
            <w:r w:rsidRPr="00D76316">
              <w:rPr>
                <w:rFonts w:cstheme="minorHAnsi"/>
                <w:b/>
                <w:bCs/>
              </w:rPr>
              <w:t>CRP (mg/L)</w:t>
            </w:r>
          </w:p>
        </w:tc>
        <w:tc>
          <w:tcPr>
            <w:tcW w:w="1156" w:type="dxa"/>
            <w:tcBorders>
              <w:top w:val="nil"/>
              <w:left w:val="nil"/>
              <w:bottom w:val="single" w:sz="4" w:space="0" w:color="auto"/>
              <w:right w:val="single" w:sz="4" w:space="0" w:color="auto"/>
            </w:tcBorders>
            <w:shd w:val="pct15" w:color="auto" w:fill="auto"/>
            <w:noWrap/>
            <w:vAlign w:val="bottom"/>
            <w:hideMark/>
          </w:tcPr>
          <w:p w14:paraId="11A1C6DA" w14:textId="77777777" w:rsidR="00B72A1A" w:rsidRPr="00D76316" w:rsidRDefault="00B72A1A" w:rsidP="00D76316">
            <w:pPr>
              <w:pStyle w:val="NoSpacing"/>
              <w:bidi w:val="0"/>
              <w:jc w:val="center"/>
              <w:rPr>
                <w:rFonts w:cstheme="minorHAnsi"/>
              </w:rPr>
            </w:pPr>
            <w:r w:rsidRPr="00D76316">
              <w:rPr>
                <w:rFonts w:cstheme="minorHAnsi"/>
              </w:rPr>
              <w:t>124.6</w:t>
            </w:r>
          </w:p>
        </w:tc>
        <w:tc>
          <w:tcPr>
            <w:tcW w:w="0" w:type="auto"/>
            <w:tcBorders>
              <w:top w:val="nil"/>
              <w:left w:val="nil"/>
              <w:bottom w:val="single" w:sz="4" w:space="0" w:color="auto"/>
              <w:right w:val="single" w:sz="4" w:space="0" w:color="auto"/>
            </w:tcBorders>
            <w:shd w:val="pct15" w:color="auto" w:fill="auto"/>
            <w:noWrap/>
            <w:vAlign w:val="bottom"/>
            <w:hideMark/>
          </w:tcPr>
          <w:p w14:paraId="06565118" w14:textId="77777777" w:rsidR="00B72A1A" w:rsidRPr="00D76316" w:rsidRDefault="00B72A1A" w:rsidP="00D76316">
            <w:pPr>
              <w:pStyle w:val="NoSpacing"/>
              <w:bidi w:val="0"/>
              <w:jc w:val="center"/>
              <w:rPr>
                <w:rFonts w:cstheme="minorHAnsi"/>
              </w:rPr>
            </w:pPr>
            <w:r w:rsidRPr="00D76316">
              <w:rPr>
                <w:rFonts w:cstheme="minorHAnsi"/>
              </w:rPr>
              <w:t>148</w:t>
            </w:r>
          </w:p>
        </w:tc>
        <w:tc>
          <w:tcPr>
            <w:tcW w:w="0" w:type="auto"/>
            <w:tcBorders>
              <w:top w:val="single" w:sz="4" w:space="0" w:color="auto"/>
              <w:left w:val="nil"/>
              <w:bottom w:val="single" w:sz="4" w:space="0" w:color="auto"/>
              <w:right w:val="single" w:sz="4" w:space="0" w:color="auto"/>
            </w:tcBorders>
            <w:shd w:val="pct15" w:color="auto" w:fill="auto"/>
            <w:noWrap/>
            <w:vAlign w:val="bottom"/>
            <w:hideMark/>
          </w:tcPr>
          <w:p w14:paraId="3871CC87" w14:textId="77777777" w:rsidR="00B72A1A" w:rsidRPr="00D76316" w:rsidRDefault="00B72A1A" w:rsidP="00D76316">
            <w:pPr>
              <w:pStyle w:val="NoSpacing"/>
              <w:bidi w:val="0"/>
              <w:jc w:val="center"/>
              <w:rPr>
                <w:rFonts w:cstheme="minorHAnsi"/>
              </w:rPr>
            </w:pPr>
            <w:r w:rsidRPr="00D76316">
              <w:rPr>
                <w:rFonts w:cstheme="minorHAnsi"/>
              </w:rPr>
              <w:t>153.8</w:t>
            </w:r>
          </w:p>
        </w:tc>
        <w:tc>
          <w:tcPr>
            <w:tcW w:w="0" w:type="auto"/>
            <w:tcBorders>
              <w:top w:val="nil"/>
              <w:left w:val="nil"/>
              <w:bottom w:val="single" w:sz="4" w:space="0" w:color="auto"/>
              <w:right w:val="single" w:sz="4" w:space="0" w:color="auto"/>
            </w:tcBorders>
            <w:shd w:val="pct15" w:color="auto" w:fill="auto"/>
            <w:noWrap/>
            <w:vAlign w:val="bottom"/>
            <w:hideMark/>
          </w:tcPr>
          <w:p w14:paraId="00C02379" w14:textId="77777777" w:rsidR="00B72A1A" w:rsidRPr="00D76316" w:rsidRDefault="00B72A1A" w:rsidP="00D76316">
            <w:pPr>
              <w:pStyle w:val="NoSpacing"/>
              <w:bidi w:val="0"/>
              <w:jc w:val="center"/>
              <w:rPr>
                <w:rFonts w:cstheme="minorHAnsi"/>
              </w:rPr>
            </w:pPr>
            <w:r w:rsidRPr="00D76316">
              <w:rPr>
                <w:rFonts w:cstheme="minorHAnsi"/>
              </w:rPr>
              <w:t>159.3</w:t>
            </w:r>
          </w:p>
        </w:tc>
        <w:tc>
          <w:tcPr>
            <w:tcW w:w="0" w:type="auto"/>
            <w:tcBorders>
              <w:top w:val="nil"/>
              <w:left w:val="nil"/>
              <w:bottom w:val="single" w:sz="4" w:space="0" w:color="auto"/>
              <w:right w:val="single" w:sz="4" w:space="0" w:color="auto"/>
            </w:tcBorders>
            <w:shd w:val="pct15" w:color="auto" w:fill="auto"/>
            <w:noWrap/>
            <w:vAlign w:val="bottom"/>
            <w:hideMark/>
          </w:tcPr>
          <w:p w14:paraId="661D96EC" w14:textId="77777777" w:rsidR="00B72A1A" w:rsidRPr="00D76316" w:rsidRDefault="00B72A1A" w:rsidP="00D76316">
            <w:pPr>
              <w:pStyle w:val="NoSpacing"/>
              <w:bidi w:val="0"/>
              <w:jc w:val="center"/>
              <w:rPr>
                <w:rFonts w:cstheme="minorHAnsi"/>
              </w:rPr>
            </w:pPr>
            <w:r w:rsidRPr="00D76316">
              <w:rPr>
                <w:rFonts w:cstheme="minorHAnsi"/>
              </w:rPr>
              <w:t>86.1</w:t>
            </w:r>
          </w:p>
        </w:tc>
        <w:tc>
          <w:tcPr>
            <w:tcW w:w="0" w:type="auto"/>
            <w:tcBorders>
              <w:top w:val="nil"/>
              <w:left w:val="nil"/>
              <w:bottom w:val="single" w:sz="4" w:space="0" w:color="auto"/>
              <w:right w:val="single" w:sz="4" w:space="0" w:color="auto"/>
            </w:tcBorders>
            <w:shd w:val="pct15" w:color="auto" w:fill="auto"/>
            <w:noWrap/>
            <w:vAlign w:val="bottom"/>
            <w:hideMark/>
          </w:tcPr>
          <w:p w14:paraId="1833BDE5" w14:textId="77777777" w:rsidR="00B72A1A" w:rsidRPr="00D76316" w:rsidRDefault="00B72A1A" w:rsidP="00D76316">
            <w:pPr>
              <w:pStyle w:val="NoSpacing"/>
              <w:bidi w:val="0"/>
              <w:jc w:val="center"/>
              <w:rPr>
                <w:rFonts w:cstheme="minorHAnsi"/>
              </w:rPr>
            </w:pPr>
            <w:r w:rsidRPr="00D76316">
              <w:rPr>
                <w:rFonts w:cstheme="minorHAnsi"/>
              </w:rPr>
              <w:t>57.2</w:t>
            </w:r>
          </w:p>
        </w:tc>
        <w:tc>
          <w:tcPr>
            <w:tcW w:w="0" w:type="auto"/>
            <w:tcBorders>
              <w:top w:val="nil"/>
              <w:left w:val="nil"/>
              <w:bottom w:val="single" w:sz="4" w:space="0" w:color="auto"/>
              <w:right w:val="single" w:sz="4" w:space="0" w:color="auto"/>
            </w:tcBorders>
            <w:shd w:val="pct15" w:color="auto" w:fill="auto"/>
            <w:noWrap/>
            <w:vAlign w:val="bottom"/>
            <w:hideMark/>
          </w:tcPr>
          <w:p w14:paraId="1408B730" w14:textId="77777777" w:rsidR="00B72A1A" w:rsidRPr="00D76316" w:rsidRDefault="00B72A1A" w:rsidP="00D76316">
            <w:pPr>
              <w:pStyle w:val="NoSpacing"/>
              <w:bidi w:val="0"/>
              <w:jc w:val="center"/>
              <w:rPr>
                <w:rFonts w:cstheme="minorHAnsi"/>
              </w:rPr>
            </w:pPr>
            <w:r w:rsidRPr="00D76316">
              <w:rPr>
                <w:rFonts w:cstheme="minorHAnsi"/>
              </w:rPr>
              <w:t>35.1</w:t>
            </w:r>
          </w:p>
        </w:tc>
        <w:tc>
          <w:tcPr>
            <w:tcW w:w="0" w:type="auto"/>
            <w:tcBorders>
              <w:top w:val="nil"/>
              <w:left w:val="nil"/>
              <w:bottom w:val="single" w:sz="4" w:space="0" w:color="auto"/>
              <w:right w:val="single" w:sz="4" w:space="0" w:color="auto"/>
            </w:tcBorders>
            <w:shd w:val="pct15" w:color="auto" w:fill="auto"/>
            <w:noWrap/>
            <w:vAlign w:val="bottom"/>
            <w:hideMark/>
          </w:tcPr>
          <w:p w14:paraId="2D685A5F" w14:textId="77777777" w:rsidR="00B72A1A" w:rsidRPr="00D76316" w:rsidRDefault="00B72A1A" w:rsidP="00D76316">
            <w:pPr>
              <w:pStyle w:val="NoSpacing"/>
              <w:bidi w:val="0"/>
              <w:jc w:val="center"/>
              <w:rPr>
                <w:rFonts w:cstheme="minorHAnsi"/>
              </w:rPr>
            </w:pPr>
            <w:r w:rsidRPr="00D76316">
              <w:rPr>
                <w:rFonts w:cstheme="minorHAnsi"/>
              </w:rPr>
              <w:t>19.1</w:t>
            </w:r>
          </w:p>
        </w:tc>
      </w:tr>
      <w:tr w:rsidR="005377B7" w:rsidRPr="002E1FE9" w14:paraId="5D586CB1" w14:textId="77777777" w:rsidTr="00D76316">
        <w:trPr>
          <w:trHeight w:val="290"/>
        </w:trPr>
        <w:tc>
          <w:tcPr>
            <w:tcW w:w="2245" w:type="dxa"/>
            <w:tcBorders>
              <w:top w:val="single" w:sz="4" w:space="0" w:color="auto"/>
              <w:left w:val="single" w:sz="4" w:space="0" w:color="auto"/>
              <w:bottom w:val="single" w:sz="4" w:space="0" w:color="auto"/>
              <w:right w:val="single" w:sz="4" w:space="0" w:color="auto"/>
            </w:tcBorders>
            <w:shd w:val="clear" w:color="auto" w:fill="F7CAAC" w:themeFill="accent2" w:themeFillTint="66"/>
            <w:noWrap/>
            <w:vAlign w:val="bottom"/>
            <w:hideMark/>
          </w:tcPr>
          <w:p w14:paraId="4CD301B1" w14:textId="77777777" w:rsidR="00B72A1A" w:rsidRPr="00D76316" w:rsidRDefault="00B72A1A" w:rsidP="00D76316">
            <w:pPr>
              <w:pStyle w:val="NoSpacing"/>
              <w:bidi w:val="0"/>
              <w:jc w:val="center"/>
              <w:rPr>
                <w:rFonts w:cstheme="minorHAnsi"/>
                <w:b/>
                <w:bCs/>
              </w:rPr>
            </w:pPr>
            <w:r w:rsidRPr="00D76316">
              <w:rPr>
                <w:rFonts w:cstheme="minorHAnsi"/>
                <w:b/>
                <w:bCs/>
              </w:rPr>
              <w:t xml:space="preserve">LDH </w:t>
            </w:r>
            <w:bookmarkStart w:id="10" w:name="_Hlk70015939"/>
            <w:r w:rsidRPr="00D76316">
              <w:rPr>
                <w:rFonts w:cstheme="minorHAnsi"/>
                <w:b/>
                <w:bCs/>
              </w:rPr>
              <w:t>(U/L)</w:t>
            </w:r>
            <w:bookmarkEnd w:id="10"/>
          </w:p>
        </w:tc>
        <w:tc>
          <w:tcPr>
            <w:tcW w:w="1156" w:type="dxa"/>
            <w:tcBorders>
              <w:top w:val="single" w:sz="4" w:space="0" w:color="auto"/>
              <w:left w:val="nil"/>
              <w:bottom w:val="single" w:sz="4" w:space="0" w:color="auto"/>
              <w:right w:val="single" w:sz="4" w:space="0" w:color="auto"/>
            </w:tcBorders>
            <w:shd w:val="pct15" w:color="auto" w:fill="auto"/>
            <w:noWrap/>
            <w:vAlign w:val="bottom"/>
            <w:hideMark/>
          </w:tcPr>
          <w:p w14:paraId="55F4BC2A" w14:textId="5CFB287B" w:rsidR="00B72A1A" w:rsidRPr="00D76316" w:rsidRDefault="00B72A1A" w:rsidP="00D76316">
            <w:pPr>
              <w:pStyle w:val="NoSpacing"/>
              <w:bidi w:val="0"/>
              <w:jc w:val="center"/>
              <w:rPr>
                <w:rFonts w:cstheme="minorHAnsi"/>
              </w:rPr>
            </w:pPr>
          </w:p>
        </w:tc>
        <w:tc>
          <w:tcPr>
            <w:tcW w:w="0" w:type="auto"/>
            <w:tcBorders>
              <w:top w:val="single" w:sz="4" w:space="0" w:color="auto"/>
              <w:left w:val="nil"/>
              <w:bottom w:val="single" w:sz="4" w:space="0" w:color="auto"/>
              <w:right w:val="single" w:sz="4" w:space="0" w:color="auto"/>
            </w:tcBorders>
            <w:shd w:val="pct15" w:color="auto" w:fill="auto"/>
            <w:noWrap/>
            <w:vAlign w:val="bottom"/>
            <w:hideMark/>
          </w:tcPr>
          <w:p w14:paraId="28E3816F" w14:textId="77777777" w:rsidR="00B72A1A" w:rsidRPr="00D76316" w:rsidRDefault="00B72A1A" w:rsidP="00D76316">
            <w:pPr>
              <w:pStyle w:val="NoSpacing"/>
              <w:bidi w:val="0"/>
              <w:jc w:val="center"/>
              <w:rPr>
                <w:rFonts w:cstheme="minorHAnsi"/>
              </w:rPr>
            </w:pPr>
            <w:r w:rsidRPr="00D76316">
              <w:rPr>
                <w:rFonts w:cstheme="minorHAnsi"/>
              </w:rPr>
              <w:t>459</w:t>
            </w:r>
          </w:p>
        </w:tc>
        <w:tc>
          <w:tcPr>
            <w:tcW w:w="0" w:type="auto"/>
            <w:tcBorders>
              <w:top w:val="single" w:sz="4" w:space="0" w:color="auto"/>
              <w:left w:val="nil"/>
              <w:bottom w:val="single" w:sz="4" w:space="0" w:color="auto"/>
              <w:right w:val="single" w:sz="4" w:space="0" w:color="auto"/>
            </w:tcBorders>
            <w:shd w:val="pct15" w:color="auto" w:fill="auto"/>
            <w:noWrap/>
            <w:vAlign w:val="bottom"/>
            <w:hideMark/>
          </w:tcPr>
          <w:p w14:paraId="3AE94190" w14:textId="2A4CDACA" w:rsidR="00B72A1A" w:rsidRPr="00D76316" w:rsidRDefault="00B72A1A" w:rsidP="00D76316">
            <w:pPr>
              <w:pStyle w:val="NoSpacing"/>
              <w:bidi w:val="0"/>
              <w:jc w:val="center"/>
              <w:rPr>
                <w:rFonts w:cstheme="minorHAnsi"/>
              </w:rPr>
            </w:pPr>
          </w:p>
        </w:tc>
        <w:tc>
          <w:tcPr>
            <w:tcW w:w="0" w:type="auto"/>
            <w:tcBorders>
              <w:top w:val="single" w:sz="4" w:space="0" w:color="auto"/>
              <w:left w:val="nil"/>
              <w:bottom w:val="single" w:sz="4" w:space="0" w:color="auto"/>
              <w:right w:val="single" w:sz="4" w:space="0" w:color="auto"/>
            </w:tcBorders>
            <w:shd w:val="pct15" w:color="auto" w:fill="auto"/>
            <w:noWrap/>
            <w:vAlign w:val="bottom"/>
            <w:hideMark/>
          </w:tcPr>
          <w:p w14:paraId="2184FAAB" w14:textId="617244A2" w:rsidR="00B72A1A" w:rsidRPr="00D76316" w:rsidRDefault="00B72A1A" w:rsidP="00D76316">
            <w:pPr>
              <w:pStyle w:val="NoSpacing"/>
              <w:bidi w:val="0"/>
              <w:jc w:val="center"/>
              <w:rPr>
                <w:rFonts w:cstheme="minorHAnsi"/>
              </w:rPr>
            </w:pPr>
          </w:p>
        </w:tc>
        <w:tc>
          <w:tcPr>
            <w:tcW w:w="0" w:type="auto"/>
            <w:tcBorders>
              <w:top w:val="single" w:sz="4" w:space="0" w:color="auto"/>
              <w:left w:val="nil"/>
              <w:bottom w:val="single" w:sz="4" w:space="0" w:color="auto"/>
              <w:right w:val="single" w:sz="4" w:space="0" w:color="auto"/>
            </w:tcBorders>
            <w:shd w:val="pct15" w:color="auto" w:fill="auto"/>
            <w:noWrap/>
            <w:vAlign w:val="bottom"/>
            <w:hideMark/>
          </w:tcPr>
          <w:p w14:paraId="0591454C" w14:textId="77BFDF1A" w:rsidR="00B72A1A" w:rsidRPr="00D76316" w:rsidRDefault="00B72A1A" w:rsidP="00D76316">
            <w:pPr>
              <w:pStyle w:val="NoSpacing"/>
              <w:bidi w:val="0"/>
              <w:jc w:val="center"/>
              <w:rPr>
                <w:rFonts w:cstheme="minorHAnsi"/>
              </w:rPr>
            </w:pPr>
          </w:p>
        </w:tc>
        <w:tc>
          <w:tcPr>
            <w:tcW w:w="0" w:type="auto"/>
            <w:tcBorders>
              <w:top w:val="single" w:sz="4" w:space="0" w:color="auto"/>
              <w:left w:val="nil"/>
              <w:bottom w:val="single" w:sz="4" w:space="0" w:color="auto"/>
              <w:right w:val="single" w:sz="4" w:space="0" w:color="auto"/>
            </w:tcBorders>
            <w:shd w:val="pct15" w:color="auto" w:fill="auto"/>
            <w:noWrap/>
            <w:vAlign w:val="bottom"/>
            <w:hideMark/>
          </w:tcPr>
          <w:p w14:paraId="311C198D" w14:textId="16DEEA00" w:rsidR="00B72A1A" w:rsidRPr="00D76316" w:rsidRDefault="00B72A1A" w:rsidP="00D76316">
            <w:pPr>
              <w:pStyle w:val="NoSpacing"/>
              <w:bidi w:val="0"/>
              <w:jc w:val="center"/>
              <w:rPr>
                <w:rFonts w:cstheme="minorHAnsi"/>
              </w:rPr>
            </w:pPr>
          </w:p>
        </w:tc>
        <w:tc>
          <w:tcPr>
            <w:tcW w:w="0" w:type="auto"/>
            <w:tcBorders>
              <w:top w:val="single" w:sz="4" w:space="0" w:color="auto"/>
              <w:left w:val="nil"/>
              <w:bottom w:val="single" w:sz="4" w:space="0" w:color="auto"/>
              <w:right w:val="single" w:sz="4" w:space="0" w:color="auto"/>
            </w:tcBorders>
            <w:shd w:val="pct15" w:color="auto" w:fill="auto"/>
            <w:noWrap/>
            <w:vAlign w:val="bottom"/>
            <w:hideMark/>
          </w:tcPr>
          <w:p w14:paraId="1E0CFEC1" w14:textId="00C3B7BA" w:rsidR="00B72A1A" w:rsidRPr="00D76316" w:rsidRDefault="00B72A1A" w:rsidP="00D76316">
            <w:pPr>
              <w:pStyle w:val="NoSpacing"/>
              <w:bidi w:val="0"/>
              <w:jc w:val="center"/>
              <w:rPr>
                <w:rFonts w:cstheme="minorHAnsi"/>
              </w:rPr>
            </w:pPr>
          </w:p>
        </w:tc>
        <w:tc>
          <w:tcPr>
            <w:tcW w:w="0" w:type="auto"/>
            <w:tcBorders>
              <w:top w:val="single" w:sz="4" w:space="0" w:color="auto"/>
              <w:left w:val="nil"/>
              <w:bottom w:val="single" w:sz="4" w:space="0" w:color="auto"/>
              <w:right w:val="single" w:sz="4" w:space="0" w:color="auto"/>
            </w:tcBorders>
            <w:shd w:val="pct15" w:color="auto" w:fill="auto"/>
            <w:noWrap/>
            <w:vAlign w:val="bottom"/>
            <w:hideMark/>
          </w:tcPr>
          <w:p w14:paraId="7396055B" w14:textId="6F6C171C" w:rsidR="00B72A1A" w:rsidRPr="00D76316" w:rsidRDefault="00B72A1A" w:rsidP="00D76316">
            <w:pPr>
              <w:pStyle w:val="NoSpacing"/>
              <w:bidi w:val="0"/>
              <w:jc w:val="center"/>
              <w:rPr>
                <w:rFonts w:cstheme="minorHAnsi"/>
              </w:rPr>
            </w:pPr>
          </w:p>
        </w:tc>
      </w:tr>
      <w:tr w:rsidR="005377B7" w:rsidRPr="002E1FE9" w14:paraId="5498CECD" w14:textId="77777777" w:rsidTr="00D76316">
        <w:trPr>
          <w:trHeight w:val="290"/>
        </w:trPr>
        <w:tc>
          <w:tcPr>
            <w:tcW w:w="2245" w:type="dxa"/>
            <w:tcBorders>
              <w:top w:val="single" w:sz="4" w:space="0" w:color="auto"/>
              <w:left w:val="single" w:sz="4" w:space="0" w:color="auto"/>
              <w:bottom w:val="single" w:sz="4" w:space="0" w:color="auto"/>
              <w:right w:val="single" w:sz="4" w:space="0" w:color="auto"/>
            </w:tcBorders>
            <w:shd w:val="clear" w:color="auto" w:fill="F7CAAC" w:themeFill="accent2" w:themeFillTint="66"/>
            <w:noWrap/>
            <w:vAlign w:val="bottom"/>
            <w:hideMark/>
          </w:tcPr>
          <w:p w14:paraId="244EAD3A" w14:textId="77777777" w:rsidR="00B72A1A" w:rsidRPr="00D76316" w:rsidRDefault="00B72A1A" w:rsidP="00D76316">
            <w:pPr>
              <w:pStyle w:val="NoSpacing"/>
              <w:bidi w:val="0"/>
              <w:jc w:val="center"/>
              <w:rPr>
                <w:rFonts w:cstheme="minorHAnsi"/>
                <w:b/>
                <w:bCs/>
              </w:rPr>
            </w:pPr>
            <w:r w:rsidRPr="00D76316">
              <w:rPr>
                <w:rFonts w:cstheme="minorHAnsi"/>
                <w:b/>
                <w:bCs/>
              </w:rPr>
              <w:t xml:space="preserve">Ferritin </w:t>
            </w:r>
            <w:bookmarkStart w:id="11" w:name="_Hlk70016027"/>
            <w:r w:rsidRPr="00D76316">
              <w:rPr>
                <w:rFonts w:cstheme="minorHAnsi"/>
                <w:b/>
                <w:bCs/>
              </w:rPr>
              <w:t>(ug/L)</w:t>
            </w:r>
            <w:bookmarkEnd w:id="11"/>
          </w:p>
        </w:tc>
        <w:tc>
          <w:tcPr>
            <w:tcW w:w="1156" w:type="dxa"/>
            <w:tcBorders>
              <w:top w:val="nil"/>
              <w:left w:val="nil"/>
              <w:bottom w:val="single" w:sz="4" w:space="0" w:color="auto"/>
              <w:right w:val="single" w:sz="4" w:space="0" w:color="auto"/>
            </w:tcBorders>
            <w:shd w:val="pct15" w:color="auto" w:fill="auto"/>
            <w:noWrap/>
            <w:vAlign w:val="bottom"/>
            <w:hideMark/>
          </w:tcPr>
          <w:p w14:paraId="79584543" w14:textId="77777777" w:rsidR="00B72A1A" w:rsidRPr="00D76316" w:rsidRDefault="00B72A1A" w:rsidP="00D76316">
            <w:pPr>
              <w:pStyle w:val="NoSpacing"/>
              <w:bidi w:val="0"/>
              <w:jc w:val="center"/>
              <w:rPr>
                <w:rFonts w:cstheme="minorHAnsi"/>
              </w:rPr>
            </w:pPr>
            <w:r w:rsidRPr="00D76316">
              <w:rPr>
                <w:rFonts w:cstheme="minorHAnsi"/>
              </w:rPr>
              <w:t>1185</w:t>
            </w:r>
          </w:p>
        </w:tc>
        <w:tc>
          <w:tcPr>
            <w:tcW w:w="0" w:type="auto"/>
            <w:tcBorders>
              <w:top w:val="nil"/>
              <w:left w:val="nil"/>
              <w:bottom w:val="single" w:sz="4" w:space="0" w:color="auto"/>
              <w:right w:val="single" w:sz="4" w:space="0" w:color="auto"/>
            </w:tcBorders>
            <w:shd w:val="pct15" w:color="auto" w:fill="auto"/>
            <w:noWrap/>
            <w:vAlign w:val="bottom"/>
            <w:hideMark/>
          </w:tcPr>
          <w:p w14:paraId="4A660836" w14:textId="77777777" w:rsidR="00B72A1A" w:rsidRPr="00D76316" w:rsidRDefault="00B72A1A" w:rsidP="00D76316">
            <w:pPr>
              <w:pStyle w:val="NoSpacing"/>
              <w:bidi w:val="0"/>
              <w:jc w:val="center"/>
              <w:rPr>
                <w:rFonts w:cstheme="minorHAnsi"/>
              </w:rPr>
            </w:pPr>
            <w:r w:rsidRPr="00D76316">
              <w:rPr>
                <w:rFonts w:cstheme="minorHAnsi"/>
              </w:rPr>
              <w:t>6881</w:t>
            </w:r>
          </w:p>
        </w:tc>
        <w:tc>
          <w:tcPr>
            <w:tcW w:w="0" w:type="auto"/>
            <w:tcBorders>
              <w:top w:val="single" w:sz="4" w:space="0" w:color="auto"/>
              <w:left w:val="nil"/>
              <w:bottom w:val="single" w:sz="4" w:space="0" w:color="auto"/>
              <w:right w:val="single" w:sz="4" w:space="0" w:color="auto"/>
            </w:tcBorders>
            <w:shd w:val="pct15" w:color="auto" w:fill="auto"/>
            <w:noWrap/>
            <w:vAlign w:val="bottom"/>
            <w:hideMark/>
          </w:tcPr>
          <w:p w14:paraId="4755D69C" w14:textId="20BF8463" w:rsidR="00B72A1A" w:rsidRPr="00D76316" w:rsidRDefault="00B72A1A" w:rsidP="00D76316">
            <w:pPr>
              <w:pStyle w:val="NoSpacing"/>
              <w:bidi w:val="0"/>
              <w:jc w:val="center"/>
              <w:rPr>
                <w:rFonts w:cstheme="minorHAnsi"/>
              </w:rPr>
            </w:pPr>
          </w:p>
        </w:tc>
        <w:tc>
          <w:tcPr>
            <w:tcW w:w="0" w:type="auto"/>
            <w:tcBorders>
              <w:top w:val="nil"/>
              <w:left w:val="nil"/>
              <w:bottom w:val="single" w:sz="4" w:space="0" w:color="auto"/>
              <w:right w:val="single" w:sz="4" w:space="0" w:color="auto"/>
            </w:tcBorders>
            <w:shd w:val="pct15" w:color="auto" w:fill="auto"/>
            <w:noWrap/>
            <w:vAlign w:val="bottom"/>
            <w:hideMark/>
          </w:tcPr>
          <w:p w14:paraId="4316F417" w14:textId="6E4688AD" w:rsidR="00B72A1A" w:rsidRPr="00D76316" w:rsidRDefault="00B72A1A" w:rsidP="00D76316">
            <w:pPr>
              <w:pStyle w:val="NoSpacing"/>
              <w:bidi w:val="0"/>
              <w:jc w:val="center"/>
              <w:rPr>
                <w:rFonts w:cstheme="minorHAnsi"/>
              </w:rPr>
            </w:pPr>
          </w:p>
        </w:tc>
        <w:tc>
          <w:tcPr>
            <w:tcW w:w="0" w:type="auto"/>
            <w:tcBorders>
              <w:top w:val="nil"/>
              <w:left w:val="nil"/>
              <w:bottom w:val="single" w:sz="4" w:space="0" w:color="auto"/>
              <w:right w:val="single" w:sz="4" w:space="0" w:color="auto"/>
            </w:tcBorders>
            <w:shd w:val="pct15" w:color="auto" w:fill="auto"/>
            <w:noWrap/>
            <w:vAlign w:val="bottom"/>
            <w:hideMark/>
          </w:tcPr>
          <w:p w14:paraId="629EF2E4" w14:textId="22F65653" w:rsidR="00B72A1A" w:rsidRPr="00D76316" w:rsidRDefault="00B72A1A" w:rsidP="00D76316">
            <w:pPr>
              <w:pStyle w:val="NoSpacing"/>
              <w:bidi w:val="0"/>
              <w:jc w:val="center"/>
              <w:rPr>
                <w:rFonts w:cstheme="minorHAnsi"/>
              </w:rPr>
            </w:pPr>
          </w:p>
        </w:tc>
        <w:tc>
          <w:tcPr>
            <w:tcW w:w="0" w:type="auto"/>
            <w:tcBorders>
              <w:top w:val="nil"/>
              <w:left w:val="nil"/>
              <w:bottom w:val="single" w:sz="4" w:space="0" w:color="auto"/>
              <w:right w:val="single" w:sz="4" w:space="0" w:color="auto"/>
            </w:tcBorders>
            <w:shd w:val="pct15" w:color="auto" w:fill="auto"/>
            <w:noWrap/>
            <w:vAlign w:val="bottom"/>
            <w:hideMark/>
          </w:tcPr>
          <w:p w14:paraId="06D8FB2F" w14:textId="77777777" w:rsidR="00B72A1A" w:rsidRPr="00D76316" w:rsidRDefault="00B72A1A" w:rsidP="00D76316">
            <w:pPr>
              <w:pStyle w:val="NoSpacing"/>
              <w:bidi w:val="0"/>
              <w:jc w:val="center"/>
              <w:rPr>
                <w:rFonts w:cstheme="minorHAnsi"/>
              </w:rPr>
            </w:pPr>
            <w:r w:rsidRPr="00D76316">
              <w:rPr>
                <w:rFonts w:cstheme="minorHAnsi"/>
              </w:rPr>
              <w:t>4776</w:t>
            </w:r>
          </w:p>
        </w:tc>
        <w:tc>
          <w:tcPr>
            <w:tcW w:w="0" w:type="auto"/>
            <w:tcBorders>
              <w:top w:val="nil"/>
              <w:left w:val="nil"/>
              <w:bottom w:val="single" w:sz="4" w:space="0" w:color="auto"/>
              <w:right w:val="single" w:sz="4" w:space="0" w:color="auto"/>
            </w:tcBorders>
            <w:shd w:val="pct15" w:color="auto" w:fill="auto"/>
            <w:noWrap/>
            <w:vAlign w:val="bottom"/>
            <w:hideMark/>
          </w:tcPr>
          <w:p w14:paraId="4D28F232" w14:textId="5F5A8332" w:rsidR="00B72A1A" w:rsidRPr="00D76316" w:rsidRDefault="00B72A1A" w:rsidP="00D76316">
            <w:pPr>
              <w:pStyle w:val="NoSpacing"/>
              <w:bidi w:val="0"/>
              <w:jc w:val="center"/>
              <w:rPr>
                <w:rFonts w:cstheme="minorHAnsi"/>
              </w:rPr>
            </w:pPr>
          </w:p>
        </w:tc>
        <w:tc>
          <w:tcPr>
            <w:tcW w:w="0" w:type="auto"/>
            <w:tcBorders>
              <w:top w:val="nil"/>
              <w:left w:val="nil"/>
              <w:bottom w:val="single" w:sz="4" w:space="0" w:color="auto"/>
              <w:right w:val="single" w:sz="4" w:space="0" w:color="auto"/>
            </w:tcBorders>
            <w:shd w:val="pct15" w:color="auto" w:fill="auto"/>
            <w:noWrap/>
            <w:vAlign w:val="bottom"/>
            <w:hideMark/>
          </w:tcPr>
          <w:p w14:paraId="36E043E1" w14:textId="2E67F539" w:rsidR="00B72A1A" w:rsidRPr="00D76316" w:rsidRDefault="00B72A1A" w:rsidP="00D76316">
            <w:pPr>
              <w:pStyle w:val="NoSpacing"/>
              <w:bidi w:val="0"/>
              <w:jc w:val="center"/>
              <w:rPr>
                <w:rFonts w:cstheme="minorHAnsi"/>
              </w:rPr>
            </w:pPr>
          </w:p>
        </w:tc>
      </w:tr>
      <w:tr w:rsidR="005377B7" w:rsidRPr="002E1FE9" w14:paraId="6AFF916D" w14:textId="77777777" w:rsidTr="00D76316">
        <w:trPr>
          <w:trHeight w:val="290"/>
        </w:trPr>
        <w:tc>
          <w:tcPr>
            <w:tcW w:w="2245" w:type="dxa"/>
            <w:tcBorders>
              <w:top w:val="single" w:sz="4" w:space="0" w:color="auto"/>
              <w:left w:val="single" w:sz="4" w:space="0" w:color="auto"/>
              <w:bottom w:val="single" w:sz="4" w:space="0" w:color="auto"/>
              <w:right w:val="single" w:sz="4" w:space="0" w:color="auto"/>
            </w:tcBorders>
            <w:shd w:val="clear" w:color="auto" w:fill="F7CAAC" w:themeFill="accent2" w:themeFillTint="66"/>
            <w:noWrap/>
            <w:vAlign w:val="bottom"/>
            <w:hideMark/>
          </w:tcPr>
          <w:p w14:paraId="054273EE" w14:textId="77777777" w:rsidR="00B72A1A" w:rsidRPr="00D76316" w:rsidRDefault="00B72A1A" w:rsidP="00D76316">
            <w:pPr>
              <w:pStyle w:val="NoSpacing"/>
              <w:bidi w:val="0"/>
              <w:jc w:val="center"/>
              <w:rPr>
                <w:rFonts w:cstheme="minorHAnsi"/>
                <w:b/>
                <w:bCs/>
              </w:rPr>
            </w:pPr>
            <w:r w:rsidRPr="00D76316">
              <w:rPr>
                <w:rFonts w:cstheme="minorHAnsi"/>
                <w:b/>
                <w:bCs/>
              </w:rPr>
              <w:lastRenderedPageBreak/>
              <w:t>Procalcitonin (ng/mL)</w:t>
            </w:r>
          </w:p>
        </w:tc>
        <w:tc>
          <w:tcPr>
            <w:tcW w:w="1156" w:type="dxa"/>
            <w:tcBorders>
              <w:top w:val="single" w:sz="4" w:space="0" w:color="auto"/>
              <w:left w:val="nil"/>
              <w:bottom w:val="single" w:sz="4" w:space="0" w:color="auto"/>
              <w:right w:val="single" w:sz="4" w:space="0" w:color="auto"/>
            </w:tcBorders>
            <w:shd w:val="pct15" w:color="auto" w:fill="auto"/>
            <w:noWrap/>
            <w:vAlign w:val="bottom"/>
            <w:hideMark/>
          </w:tcPr>
          <w:p w14:paraId="616622B0" w14:textId="6537604D" w:rsidR="00B72A1A" w:rsidRPr="00D76316" w:rsidRDefault="00B72A1A" w:rsidP="00D76316">
            <w:pPr>
              <w:pStyle w:val="NoSpacing"/>
              <w:bidi w:val="0"/>
              <w:jc w:val="center"/>
              <w:rPr>
                <w:rFonts w:cstheme="minorHAnsi"/>
              </w:rPr>
            </w:pPr>
          </w:p>
        </w:tc>
        <w:tc>
          <w:tcPr>
            <w:tcW w:w="0" w:type="auto"/>
            <w:tcBorders>
              <w:top w:val="single" w:sz="4" w:space="0" w:color="auto"/>
              <w:left w:val="nil"/>
              <w:bottom w:val="single" w:sz="4" w:space="0" w:color="auto"/>
              <w:right w:val="single" w:sz="4" w:space="0" w:color="auto"/>
            </w:tcBorders>
            <w:shd w:val="pct15" w:color="auto" w:fill="auto"/>
            <w:noWrap/>
            <w:vAlign w:val="bottom"/>
            <w:hideMark/>
          </w:tcPr>
          <w:p w14:paraId="264DA0BE" w14:textId="77777777" w:rsidR="00B72A1A" w:rsidRPr="00D76316" w:rsidRDefault="00B72A1A" w:rsidP="00D76316">
            <w:pPr>
              <w:pStyle w:val="NoSpacing"/>
              <w:bidi w:val="0"/>
              <w:jc w:val="center"/>
              <w:rPr>
                <w:rFonts w:cstheme="minorHAnsi"/>
              </w:rPr>
            </w:pPr>
            <w:r w:rsidRPr="00D76316">
              <w:rPr>
                <w:rFonts w:cstheme="minorHAnsi"/>
              </w:rPr>
              <w:t>3.86</w:t>
            </w:r>
          </w:p>
        </w:tc>
        <w:tc>
          <w:tcPr>
            <w:tcW w:w="0" w:type="auto"/>
            <w:tcBorders>
              <w:top w:val="single" w:sz="4" w:space="0" w:color="auto"/>
              <w:left w:val="nil"/>
              <w:bottom w:val="single" w:sz="4" w:space="0" w:color="auto"/>
              <w:right w:val="single" w:sz="4" w:space="0" w:color="auto"/>
            </w:tcBorders>
            <w:shd w:val="pct15" w:color="auto" w:fill="auto"/>
            <w:noWrap/>
            <w:vAlign w:val="bottom"/>
            <w:hideMark/>
          </w:tcPr>
          <w:p w14:paraId="0B1C5498" w14:textId="18764696" w:rsidR="00B72A1A" w:rsidRPr="00D76316" w:rsidRDefault="00B72A1A" w:rsidP="00D76316">
            <w:pPr>
              <w:pStyle w:val="NoSpacing"/>
              <w:bidi w:val="0"/>
              <w:jc w:val="center"/>
              <w:rPr>
                <w:rFonts w:cstheme="minorHAnsi"/>
              </w:rPr>
            </w:pPr>
          </w:p>
        </w:tc>
        <w:tc>
          <w:tcPr>
            <w:tcW w:w="0" w:type="auto"/>
            <w:tcBorders>
              <w:top w:val="single" w:sz="4" w:space="0" w:color="auto"/>
              <w:left w:val="nil"/>
              <w:bottom w:val="single" w:sz="4" w:space="0" w:color="auto"/>
              <w:right w:val="single" w:sz="4" w:space="0" w:color="auto"/>
            </w:tcBorders>
            <w:shd w:val="pct15" w:color="auto" w:fill="auto"/>
            <w:noWrap/>
            <w:vAlign w:val="bottom"/>
            <w:hideMark/>
          </w:tcPr>
          <w:p w14:paraId="58E60E34" w14:textId="77777777" w:rsidR="00B72A1A" w:rsidRPr="00D76316" w:rsidRDefault="00B72A1A" w:rsidP="00D76316">
            <w:pPr>
              <w:pStyle w:val="NoSpacing"/>
              <w:bidi w:val="0"/>
              <w:jc w:val="center"/>
              <w:rPr>
                <w:rFonts w:cstheme="minorHAnsi"/>
              </w:rPr>
            </w:pPr>
            <w:r w:rsidRPr="00D76316">
              <w:rPr>
                <w:rFonts w:cstheme="minorHAnsi"/>
              </w:rPr>
              <w:t>2.28</w:t>
            </w:r>
          </w:p>
        </w:tc>
        <w:tc>
          <w:tcPr>
            <w:tcW w:w="0" w:type="auto"/>
            <w:tcBorders>
              <w:top w:val="single" w:sz="4" w:space="0" w:color="auto"/>
              <w:left w:val="nil"/>
              <w:bottom w:val="single" w:sz="4" w:space="0" w:color="auto"/>
              <w:right w:val="single" w:sz="4" w:space="0" w:color="auto"/>
            </w:tcBorders>
            <w:shd w:val="pct15" w:color="auto" w:fill="auto"/>
            <w:noWrap/>
            <w:vAlign w:val="bottom"/>
            <w:hideMark/>
          </w:tcPr>
          <w:p w14:paraId="0CBBC992" w14:textId="0C7EAF74" w:rsidR="00B72A1A" w:rsidRPr="00D76316" w:rsidRDefault="00B72A1A" w:rsidP="00D76316">
            <w:pPr>
              <w:pStyle w:val="NoSpacing"/>
              <w:bidi w:val="0"/>
              <w:jc w:val="center"/>
              <w:rPr>
                <w:rFonts w:cstheme="minorHAnsi"/>
              </w:rPr>
            </w:pPr>
          </w:p>
        </w:tc>
        <w:tc>
          <w:tcPr>
            <w:tcW w:w="0" w:type="auto"/>
            <w:tcBorders>
              <w:top w:val="single" w:sz="4" w:space="0" w:color="auto"/>
              <w:left w:val="nil"/>
              <w:bottom w:val="single" w:sz="4" w:space="0" w:color="auto"/>
              <w:right w:val="single" w:sz="4" w:space="0" w:color="auto"/>
            </w:tcBorders>
            <w:shd w:val="pct15" w:color="auto" w:fill="auto"/>
            <w:noWrap/>
            <w:vAlign w:val="bottom"/>
            <w:hideMark/>
          </w:tcPr>
          <w:p w14:paraId="1B309000" w14:textId="77777777" w:rsidR="00B72A1A" w:rsidRPr="00D76316" w:rsidRDefault="00B72A1A" w:rsidP="00D76316">
            <w:pPr>
              <w:pStyle w:val="NoSpacing"/>
              <w:bidi w:val="0"/>
              <w:jc w:val="center"/>
              <w:rPr>
                <w:rFonts w:cstheme="minorHAnsi"/>
              </w:rPr>
            </w:pPr>
            <w:r w:rsidRPr="00D76316">
              <w:rPr>
                <w:rFonts w:cstheme="minorHAnsi"/>
              </w:rPr>
              <w:t>0.81</w:t>
            </w:r>
          </w:p>
        </w:tc>
        <w:tc>
          <w:tcPr>
            <w:tcW w:w="0" w:type="auto"/>
            <w:tcBorders>
              <w:top w:val="single" w:sz="4" w:space="0" w:color="auto"/>
              <w:left w:val="nil"/>
              <w:bottom w:val="single" w:sz="4" w:space="0" w:color="auto"/>
              <w:right w:val="single" w:sz="4" w:space="0" w:color="auto"/>
            </w:tcBorders>
            <w:shd w:val="pct15" w:color="auto" w:fill="auto"/>
            <w:noWrap/>
            <w:vAlign w:val="bottom"/>
            <w:hideMark/>
          </w:tcPr>
          <w:p w14:paraId="31111F0D" w14:textId="731DA923" w:rsidR="00B72A1A" w:rsidRPr="00D76316" w:rsidRDefault="00B72A1A" w:rsidP="00D76316">
            <w:pPr>
              <w:pStyle w:val="NoSpacing"/>
              <w:bidi w:val="0"/>
              <w:jc w:val="center"/>
              <w:rPr>
                <w:rFonts w:cstheme="minorHAnsi"/>
              </w:rPr>
            </w:pPr>
          </w:p>
        </w:tc>
        <w:tc>
          <w:tcPr>
            <w:tcW w:w="0" w:type="auto"/>
            <w:tcBorders>
              <w:top w:val="single" w:sz="4" w:space="0" w:color="auto"/>
              <w:left w:val="nil"/>
              <w:bottom w:val="single" w:sz="4" w:space="0" w:color="auto"/>
              <w:right w:val="single" w:sz="4" w:space="0" w:color="auto"/>
            </w:tcBorders>
            <w:shd w:val="pct15" w:color="auto" w:fill="auto"/>
            <w:noWrap/>
            <w:vAlign w:val="bottom"/>
            <w:hideMark/>
          </w:tcPr>
          <w:p w14:paraId="78E10166" w14:textId="77777777" w:rsidR="00B72A1A" w:rsidRPr="00D76316" w:rsidRDefault="00B72A1A" w:rsidP="00D76316">
            <w:pPr>
              <w:pStyle w:val="NoSpacing"/>
              <w:bidi w:val="0"/>
              <w:jc w:val="center"/>
              <w:rPr>
                <w:rFonts w:cstheme="minorHAnsi"/>
              </w:rPr>
            </w:pPr>
            <w:r w:rsidRPr="00D76316">
              <w:rPr>
                <w:rFonts w:cstheme="minorHAnsi"/>
              </w:rPr>
              <w:t>0.16</w:t>
            </w:r>
          </w:p>
        </w:tc>
      </w:tr>
    </w:tbl>
    <w:p w14:paraId="3BFE6210" w14:textId="1A7AAC66" w:rsidR="00B72A1A" w:rsidRPr="002E1FE9" w:rsidRDefault="00B72A1A" w:rsidP="002E1FE9">
      <w:pPr>
        <w:pStyle w:val="NoSpacing"/>
        <w:bidi w:val="0"/>
        <w:rPr>
          <w:rFonts w:cstheme="minorHAnsi"/>
          <w:sz w:val="28"/>
          <w:szCs w:val="28"/>
        </w:rPr>
      </w:pPr>
    </w:p>
    <w:p w14:paraId="46A06948" w14:textId="77777777" w:rsidR="00F21FD2" w:rsidRPr="002E1FE9" w:rsidRDefault="00F21FD2" w:rsidP="002E1FE9">
      <w:pPr>
        <w:pStyle w:val="NoSpacing"/>
        <w:bidi w:val="0"/>
        <w:rPr>
          <w:rFonts w:cstheme="minorHAnsi"/>
          <w:sz w:val="28"/>
          <w:szCs w:val="28"/>
        </w:rPr>
      </w:pPr>
    </w:p>
    <w:p w14:paraId="2904CE6A" w14:textId="4BC24486" w:rsidR="00B72A1A" w:rsidRDefault="00B72A1A" w:rsidP="002E1FE9">
      <w:pPr>
        <w:pStyle w:val="NoSpacing"/>
        <w:bidi w:val="0"/>
        <w:rPr>
          <w:rFonts w:cstheme="minorHAnsi"/>
          <w:sz w:val="28"/>
          <w:szCs w:val="28"/>
        </w:rPr>
      </w:pPr>
    </w:p>
    <w:p w14:paraId="76CB9CD2" w14:textId="51A42096" w:rsidR="00F76556" w:rsidRDefault="00F76556" w:rsidP="00F76556">
      <w:pPr>
        <w:pStyle w:val="NoSpacing"/>
        <w:bidi w:val="0"/>
        <w:rPr>
          <w:rFonts w:cstheme="minorHAnsi"/>
          <w:sz w:val="28"/>
          <w:szCs w:val="28"/>
        </w:rPr>
      </w:pPr>
    </w:p>
    <w:p w14:paraId="2082ECD7" w14:textId="7B06642B" w:rsidR="00F76556" w:rsidRDefault="00F76556" w:rsidP="00F76556">
      <w:pPr>
        <w:pStyle w:val="NoSpacing"/>
        <w:bidi w:val="0"/>
        <w:rPr>
          <w:rFonts w:cstheme="minorHAnsi"/>
          <w:sz w:val="28"/>
          <w:szCs w:val="28"/>
        </w:rPr>
      </w:pPr>
    </w:p>
    <w:p w14:paraId="386F80BD" w14:textId="77777777" w:rsidR="00B72A1A" w:rsidRPr="00F76556" w:rsidRDefault="00B72A1A" w:rsidP="002E1FE9">
      <w:pPr>
        <w:pStyle w:val="NoSpacing"/>
        <w:bidi w:val="0"/>
        <w:rPr>
          <w:rFonts w:cstheme="minorHAnsi"/>
          <w:b/>
          <w:bCs/>
          <w:sz w:val="28"/>
          <w:szCs w:val="28"/>
        </w:rPr>
      </w:pPr>
      <w:r w:rsidRPr="00F76556">
        <w:rPr>
          <w:rFonts w:cstheme="minorHAnsi"/>
          <w:b/>
          <w:bCs/>
          <w:sz w:val="28"/>
          <w:szCs w:val="28"/>
        </w:rPr>
        <w:t>Figure 1:</w:t>
      </w:r>
    </w:p>
    <w:p w14:paraId="5EFDFFB0" w14:textId="0A439227" w:rsidR="00B72A1A" w:rsidRPr="0033356C" w:rsidRDefault="00BC69D3" w:rsidP="0033356C">
      <w:pPr>
        <w:pStyle w:val="NoSpacing"/>
        <w:bidi w:val="0"/>
        <w:rPr>
          <w:rFonts w:cstheme="minorHAnsi"/>
          <w:sz w:val="28"/>
          <w:szCs w:val="28"/>
        </w:rPr>
      </w:pPr>
      <w:r w:rsidRPr="005377B7">
        <w:rPr>
          <w:rFonts w:asciiTheme="majorBidi" w:hAnsiTheme="majorBidi" w:cstheme="majorBidi"/>
          <w:noProof/>
          <w:sz w:val="28"/>
          <w:szCs w:val="28"/>
        </w:rPr>
        <w:drawing>
          <wp:anchor distT="0" distB="0" distL="114300" distR="114300" simplePos="0" relativeHeight="251659264" behindDoc="1" locked="0" layoutInCell="1" allowOverlap="1" wp14:anchorId="6351DB7D" wp14:editId="35D53C4A">
            <wp:simplePos x="0" y="0"/>
            <wp:positionH relativeFrom="column">
              <wp:posOffset>38793</wp:posOffset>
            </wp:positionH>
            <wp:positionV relativeFrom="paragraph">
              <wp:posOffset>214053</wp:posOffset>
            </wp:positionV>
            <wp:extent cx="5448300" cy="477150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5453137" cy="4775741"/>
                    </a:xfrm>
                    <a:prstGeom prst="rect">
                      <a:avLst/>
                    </a:prstGeom>
                  </pic:spPr>
                </pic:pic>
              </a:graphicData>
            </a:graphic>
            <wp14:sizeRelH relativeFrom="margin">
              <wp14:pctWidth>0</wp14:pctWidth>
            </wp14:sizeRelH>
            <wp14:sizeRelV relativeFrom="margin">
              <wp14:pctHeight>0</wp14:pctHeight>
            </wp14:sizeRelV>
          </wp:anchor>
        </w:drawing>
      </w:r>
      <w:r w:rsidR="00B72A1A" w:rsidRPr="002E1FE9">
        <w:rPr>
          <w:rFonts w:cstheme="minorHAnsi"/>
          <w:sz w:val="28"/>
          <w:szCs w:val="28"/>
        </w:rPr>
        <w:t xml:space="preserve">Initial Chest X ray upon presentation showed bilateral peripheral faint opacities </w:t>
      </w:r>
    </w:p>
    <w:p w14:paraId="6F5CE8C6" w14:textId="0A877942" w:rsidR="00B72A1A" w:rsidRPr="005377B7" w:rsidRDefault="00B72A1A" w:rsidP="0033356C">
      <w:pPr>
        <w:jc w:val="center"/>
        <w:rPr>
          <w:rFonts w:asciiTheme="majorBidi" w:hAnsiTheme="majorBidi" w:cstheme="majorBidi"/>
          <w:sz w:val="28"/>
          <w:szCs w:val="28"/>
        </w:rPr>
      </w:pPr>
    </w:p>
    <w:p w14:paraId="01C02A5F" w14:textId="77777777" w:rsidR="00BE19E0" w:rsidRDefault="00BE19E0" w:rsidP="00B72A1A">
      <w:pPr>
        <w:jc w:val="right"/>
        <w:rPr>
          <w:rFonts w:asciiTheme="majorBidi" w:hAnsiTheme="majorBidi" w:cstheme="majorBidi"/>
          <w:b/>
          <w:bCs/>
          <w:sz w:val="28"/>
          <w:szCs w:val="28"/>
        </w:rPr>
      </w:pPr>
    </w:p>
    <w:p w14:paraId="09F0313C" w14:textId="77777777" w:rsidR="00BE19E0" w:rsidRDefault="00BE19E0" w:rsidP="00B72A1A">
      <w:pPr>
        <w:jc w:val="right"/>
        <w:rPr>
          <w:rFonts w:asciiTheme="majorBidi" w:hAnsiTheme="majorBidi" w:cstheme="majorBidi"/>
          <w:b/>
          <w:bCs/>
          <w:sz w:val="28"/>
          <w:szCs w:val="28"/>
        </w:rPr>
      </w:pPr>
    </w:p>
    <w:p w14:paraId="4A569AD9" w14:textId="77777777" w:rsidR="00BE19E0" w:rsidRDefault="00BE19E0" w:rsidP="00B72A1A">
      <w:pPr>
        <w:jc w:val="right"/>
        <w:rPr>
          <w:rFonts w:asciiTheme="majorBidi" w:hAnsiTheme="majorBidi" w:cstheme="majorBidi"/>
          <w:b/>
          <w:bCs/>
          <w:sz w:val="28"/>
          <w:szCs w:val="28"/>
        </w:rPr>
      </w:pPr>
    </w:p>
    <w:p w14:paraId="02D5BACA" w14:textId="77777777" w:rsidR="00BE19E0" w:rsidRDefault="00BE19E0" w:rsidP="00B72A1A">
      <w:pPr>
        <w:jc w:val="right"/>
        <w:rPr>
          <w:rFonts w:asciiTheme="majorBidi" w:hAnsiTheme="majorBidi" w:cstheme="majorBidi"/>
          <w:b/>
          <w:bCs/>
          <w:sz w:val="28"/>
          <w:szCs w:val="28"/>
        </w:rPr>
      </w:pPr>
    </w:p>
    <w:p w14:paraId="013E660A" w14:textId="77777777" w:rsidR="00BE19E0" w:rsidRDefault="00BE19E0" w:rsidP="00B72A1A">
      <w:pPr>
        <w:jc w:val="right"/>
        <w:rPr>
          <w:rFonts w:asciiTheme="majorBidi" w:hAnsiTheme="majorBidi" w:cstheme="majorBidi"/>
          <w:b/>
          <w:bCs/>
          <w:sz w:val="28"/>
          <w:szCs w:val="28"/>
        </w:rPr>
      </w:pPr>
    </w:p>
    <w:p w14:paraId="0FF7BB39" w14:textId="77777777" w:rsidR="00BE19E0" w:rsidRDefault="00BE19E0" w:rsidP="00B72A1A">
      <w:pPr>
        <w:jc w:val="right"/>
        <w:rPr>
          <w:rFonts w:asciiTheme="majorBidi" w:hAnsiTheme="majorBidi" w:cstheme="majorBidi"/>
          <w:b/>
          <w:bCs/>
          <w:sz w:val="28"/>
          <w:szCs w:val="28"/>
        </w:rPr>
      </w:pPr>
    </w:p>
    <w:p w14:paraId="302CE5BA" w14:textId="77777777" w:rsidR="00BE19E0" w:rsidRDefault="00BE19E0" w:rsidP="00B72A1A">
      <w:pPr>
        <w:jc w:val="right"/>
        <w:rPr>
          <w:rFonts w:asciiTheme="majorBidi" w:hAnsiTheme="majorBidi" w:cstheme="majorBidi"/>
          <w:b/>
          <w:bCs/>
          <w:sz w:val="28"/>
          <w:szCs w:val="28"/>
        </w:rPr>
      </w:pPr>
    </w:p>
    <w:p w14:paraId="4FBB1B64" w14:textId="77777777" w:rsidR="00BE19E0" w:rsidRDefault="00BE19E0" w:rsidP="00B72A1A">
      <w:pPr>
        <w:jc w:val="right"/>
        <w:rPr>
          <w:rFonts w:asciiTheme="majorBidi" w:hAnsiTheme="majorBidi" w:cstheme="majorBidi"/>
          <w:b/>
          <w:bCs/>
          <w:sz w:val="28"/>
          <w:szCs w:val="28"/>
        </w:rPr>
      </w:pPr>
    </w:p>
    <w:p w14:paraId="61983A77" w14:textId="77777777" w:rsidR="00BE19E0" w:rsidRDefault="00BE19E0" w:rsidP="00B72A1A">
      <w:pPr>
        <w:jc w:val="right"/>
        <w:rPr>
          <w:rFonts w:asciiTheme="majorBidi" w:hAnsiTheme="majorBidi" w:cstheme="majorBidi"/>
          <w:b/>
          <w:bCs/>
          <w:sz w:val="28"/>
          <w:szCs w:val="28"/>
        </w:rPr>
      </w:pPr>
    </w:p>
    <w:p w14:paraId="76E3ACF5" w14:textId="77777777" w:rsidR="00BE19E0" w:rsidRDefault="00BE19E0" w:rsidP="00B72A1A">
      <w:pPr>
        <w:jc w:val="right"/>
        <w:rPr>
          <w:rFonts w:asciiTheme="majorBidi" w:hAnsiTheme="majorBidi" w:cstheme="majorBidi"/>
          <w:b/>
          <w:bCs/>
          <w:sz w:val="28"/>
          <w:szCs w:val="28"/>
        </w:rPr>
      </w:pPr>
    </w:p>
    <w:p w14:paraId="3E359D56" w14:textId="77777777" w:rsidR="00BE19E0" w:rsidRDefault="00BE19E0" w:rsidP="00B72A1A">
      <w:pPr>
        <w:jc w:val="right"/>
        <w:rPr>
          <w:rFonts w:asciiTheme="majorBidi" w:hAnsiTheme="majorBidi" w:cstheme="majorBidi"/>
          <w:b/>
          <w:bCs/>
          <w:sz w:val="28"/>
          <w:szCs w:val="28"/>
        </w:rPr>
      </w:pPr>
    </w:p>
    <w:p w14:paraId="69522205" w14:textId="77777777" w:rsidR="00BE19E0" w:rsidRDefault="00BE19E0" w:rsidP="00B72A1A">
      <w:pPr>
        <w:jc w:val="right"/>
        <w:rPr>
          <w:rFonts w:asciiTheme="majorBidi" w:hAnsiTheme="majorBidi" w:cstheme="majorBidi"/>
          <w:b/>
          <w:bCs/>
          <w:sz w:val="28"/>
          <w:szCs w:val="28"/>
        </w:rPr>
      </w:pPr>
    </w:p>
    <w:p w14:paraId="15B50DA4" w14:textId="77777777" w:rsidR="00BE19E0" w:rsidRDefault="00BE19E0" w:rsidP="00B72A1A">
      <w:pPr>
        <w:jc w:val="right"/>
        <w:rPr>
          <w:rFonts w:asciiTheme="majorBidi" w:hAnsiTheme="majorBidi" w:cstheme="majorBidi"/>
          <w:b/>
          <w:bCs/>
          <w:sz w:val="28"/>
          <w:szCs w:val="28"/>
        </w:rPr>
      </w:pPr>
    </w:p>
    <w:p w14:paraId="4A1EAC3C" w14:textId="77777777" w:rsidR="00AF50FE" w:rsidRDefault="00AF50FE" w:rsidP="00E67799">
      <w:pPr>
        <w:pStyle w:val="NoSpacing"/>
        <w:jc w:val="right"/>
        <w:rPr>
          <w:b/>
          <w:bCs/>
          <w:sz w:val="24"/>
          <w:szCs w:val="24"/>
        </w:rPr>
      </w:pPr>
    </w:p>
    <w:p w14:paraId="3B27A459" w14:textId="77777777" w:rsidR="00AF50FE" w:rsidRDefault="00AF50FE" w:rsidP="00E67799">
      <w:pPr>
        <w:pStyle w:val="NoSpacing"/>
        <w:jc w:val="right"/>
        <w:rPr>
          <w:b/>
          <w:bCs/>
          <w:sz w:val="24"/>
          <w:szCs w:val="24"/>
        </w:rPr>
      </w:pPr>
    </w:p>
    <w:p w14:paraId="65623C5E" w14:textId="77777777" w:rsidR="00AF50FE" w:rsidRDefault="00AF50FE" w:rsidP="00E67799">
      <w:pPr>
        <w:pStyle w:val="NoSpacing"/>
        <w:jc w:val="right"/>
        <w:rPr>
          <w:b/>
          <w:bCs/>
          <w:sz w:val="24"/>
          <w:szCs w:val="24"/>
        </w:rPr>
      </w:pPr>
    </w:p>
    <w:p w14:paraId="3692C88B" w14:textId="77777777" w:rsidR="00AF50FE" w:rsidRDefault="00AF50FE" w:rsidP="00E67799">
      <w:pPr>
        <w:pStyle w:val="NoSpacing"/>
        <w:jc w:val="right"/>
        <w:rPr>
          <w:b/>
          <w:bCs/>
          <w:sz w:val="24"/>
          <w:szCs w:val="24"/>
        </w:rPr>
      </w:pPr>
    </w:p>
    <w:p w14:paraId="7808A69C" w14:textId="77777777" w:rsidR="00AF50FE" w:rsidRDefault="00AF50FE" w:rsidP="00E67799">
      <w:pPr>
        <w:pStyle w:val="NoSpacing"/>
        <w:jc w:val="right"/>
        <w:rPr>
          <w:b/>
          <w:bCs/>
          <w:sz w:val="24"/>
          <w:szCs w:val="24"/>
        </w:rPr>
      </w:pPr>
    </w:p>
    <w:p w14:paraId="64DCBF75" w14:textId="77777777" w:rsidR="00AF50FE" w:rsidRDefault="00AF50FE" w:rsidP="00E67799">
      <w:pPr>
        <w:pStyle w:val="NoSpacing"/>
        <w:jc w:val="right"/>
        <w:rPr>
          <w:b/>
          <w:bCs/>
          <w:sz w:val="24"/>
          <w:szCs w:val="24"/>
        </w:rPr>
      </w:pPr>
    </w:p>
    <w:p w14:paraId="650F8610" w14:textId="77777777" w:rsidR="00AF50FE" w:rsidRDefault="00AF50FE" w:rsidP="00E67799">
      <w:pPr>
        <w:pStyle w:val="NoSpacing"/>
        <w:jc w:val="right"/>
        <w:rPr>
          <w:b/>
          <w:bCs/>
          <w:sz w:val="24"/>
          <w:szCs w:val="24"/>
        </w:rPr>
      </w:pPr>
    </w:p>
    <w:p w14:paraId="394AFD47" w14:textId="77777777" w:rsidR="00AF50FE" w:rsidRDefault="00AF50FE" w:rsidP="00E67799">
      <w:pPr>
        <w:pStyle w:val="NoSpacing"/>
        <w:jc w:val="right"/>
        <w:rPr>
          <w:b/>
          <w:bCs/>
          <w:sz w:val="24"/>
          <w:szCs w:val="24"/>
        </w:rPr>
      </w:pPr>
    </w:p>
    <w:p w14:paraId="52C9580D" w14:textId="77777777" w:rsidR="00AF50FE" w:rsidRDefault="00AF50FE" w:rsidP="00E67799">
      <w:pPr>
        <w:pStyle w:val="NoSpacing"/>
        <w:jc w:val="right"/>
        <w:rPr>
          <w:b/>
          <w:bCs/>
          <w:sz w:val="24"/>
          <w:szCs w:val="24"/>
        </w:rPr>
      </w:pPr>
    </w:p>
    <w:p w14:paraId="76CCC4CE" w14:textId="77777777" w:rsidR="00AF50FE" w:rsidRDefault="00AF50FE" w:rsidP="00E67799">
      <w:pPr>
        <w:pStyle w:val="NoSpacing"/>
        <w:jc w:val="right"/>
        <w:rPr>
          <w:b/>
          <w:bCs/>
          <w:sz w:val="24"/>
          <w:szCs w:val="24"/>
        </w:rPr>
      </w:pPr>
    </w:p>
    <w:p w14:paraId="2ED713FA" w14:textId="77777777" w:rsidR="00AF50FE" w:rsidRDefault="00AF50FE" w:rsidP="00E67799">
      <w:pPr>
        <w:pStyle w:val="NoSpacing"/>
        <w:jc w:val="right"/>
        <w:rPr>
          <w:b/>
          <w:bCs/>
          <w:sz w:val="24"/>
          <w:szCs w:val="24"/>
        </w:rPr>
      </w:pPr>
    </w:p>
    <w:p w14:paraId="348A2261" w14:textId="77777777" w:rsidR="00AF50FE" w:rsidRDefault="00AF50FE" w:rsidP="00E67799">
      <w:pPr>
        <w:pStyle w:val="NoSpacing"/>
        <w:jc w:val="right"/>
        <w:rPr>
          <w:b/>
          <w:bCs/>
          <w:sz w:val="24"/>
          <w:szCs w:val="24"/>
        </w:rPr>
      </w:pPr>
    </w:p>
    <w:p w14:paraId="477EDC41" w14:textId="77777777" w:rsidR="00AF50FE" w:rsidRDefault="00AF50FE" w:rsidP="00E67799">
      <w:pPr>
        <w:pStyle w:val="NoSpacing"/>
        <w:jc w:val="right"/>
        <w:rPr>
          <w:b/>
          <w:bCs/>
          <w:sz w:val="24"/>
          <w:szCs w:val="24"/>
        </w:rPr>
      </w:pPr>
    </w:p>
    <w:p w14:paraId="57A87624" w14:textId="77777777" w:rsidR="00AF50FE" w:rsidRDefault="00AF50FE" w:rsidP="00E67799">
      <w:pPr>
        <w:pStyle w:val="NoSpacing"/>
        <w:jc w:val="right"/>
        <w:rPr>
          <w:b/>
          <w:bCs/>
          <w:sz w:val="24"/>
          <w:szCs w:val="24"/>
        </w:rPr>
      </w:pPr>
    </w:p>
    <w:p w14:paraId="30B5E8BC" w14:textId="77777777" w:rsidR="00AF50FE" w:rsidRDefault="00AF50FE" w:rsidP="00E67799">
      <w:pPr>
        <w:pStyle w:val="NoSpacing"/>
        <w:jc w:val="right"/>
        <w:rPr>
          <w:b/>
          <w:bCs/>
          <w:sz w:val="24"/>
          <w:szCs w:val="24"/>
        </w:rPr>
      </w:pPr>
    </w:p>
    <w:p w14:paraId="7686A968" w14:textId="77777777" w:rsidR="00AF50FE" w:rsidRDefault="00AF50FE" w:rsidP="00E67799">
      <w:pPr>
        <w:pStyle w:val="NoSpacing"/>
        <w:jc w:val="right"/>
        <w:rPr>
          <w:b/>
          <w:bCs/>
          <w:sz w:val="24"/>
          <w:szCs w:val="24"/>
        </w:rPr>
      </w:pPr>
    </w:p>
    <w:p w14:paraId="5A5AF3E8" w14:textId="6150DEF8" w:rsidR="00B72A1A" w:rsidRPr="00E67799" w:rsidRDefault="00B72A1A" w:rsidP="00E67799">
      <w:pPr>
        <w:pStyle w:val="NoSpacing"/>
        <w:jc w:val="right"/>
        <w:rPr>
          <w:b/>
          <w:bCs/>
          <w:sz w:val="24"/>
          <w:szCs w:val="24"/>
        </w:rPr>
      </w:pPr>
      <w:r w:rsidRPr="00E67799">
        <w:rPr>
          <w:b/>
          <w:bCs/>
          <w:sz w:val="24"/>
          <w:szCs w:val="24"/>
        </w:rPr>
        <w:t>Figure</w:t>
      </w:r>
      <w:r w:rsidR="00E67799" w:rsidRPr="00E67799">
        <w:rPr>
          <w:b/>
          <w:bCs/>
          <w:sz w:val="24"/>
          <w:szCs w:val="24"/>
        </w:rPr>
        <w:t xml:space="preserve"> 2:</w:t>
      </w:r>
    </w:p>
    <w:p w14:paraId="064628CE" w14:textId="7847C39B" w:rsidR="00226976" w:rsidRPr="00A42436" w:rsidRDefault="00B72A1A" w:rsidP="00226976">
      <w:pPr>
        <w:jc w:val="right"/>
        <w:rPr>
          <w:rFonts w:cstheme="minorHAnsi"/>
        </w:rPr>
      </w:pPr>
      <w:r w:rsidRPr="00A42436">
        <w:rPr>
          <w:rFonts w:cstheme="minorHAnsi"/>
        </w:rPr>
        <w:t xml:space="preserve">Patients serial </w:t>
      </w:r>
      <w:r w:rsidR="00614300" w:rsidRPr="00A42436">
        <w:rPr>
          <w:rFonts w:cstheme="minorHAnsi"/>
        </w:rPr>
        <w:t>WBC</w:t>
      </w:r>
      <w:r w:rsidRPr="00A42436">
        <w:rPr>
          <w:rFonts w:cstheme="minorHAnsi"/>
        </w:rPr>
        <w:t xml:space="preserve"> </w:t>
      </w:r>
      <w:r w:rsidR="00614300" w:rsidRPr="00A42436">
        <w:rPr>
          <w:rFonts w:cstheme="minorHAnsi"/>
        </w:rPr>
        <w:t xml:space="preserve">and CRP </w:t>
      </w:r>
      <w:r w:rsidRPr="00A42436">
        <w:rPr>
          <w:rFonts w:cstheme="minorHAnsi"/>
        </w:rPr>
        <w:t>measurements during his</w:t>
      </w:r>
      <w:r w:rsidR="00F21FD2" w:rsidRPr="00A42436">
        <w:rPr>
          <w:rFonts w:cstheme="minorHAnsi"/>
        </w:rPr>
        <w:t xml:space="preserve"> </w:t>
      </w:r>
      <w:r w:rsidR="00614300" w:rsidRPr="00A42436">
        <w:rPr>
          <w:rFonts w:cstheme="minorHAnsi"/>
        </w:rPr>
        <w:t>hospital stay.</w:t>
      </w:r>
      <w:r w:rsidRPr="00A42436">
        <w:rPr>
          <w:rFonts w:cstheme="minorHAnsi"/>
        </w:rPr>
        <w:t xml:space="preserve"> </w:t>
      </w:r>
    </w:p>
    <w:p w14:paraId="74280465" w14:textId="65B6054D" w:rsidR="00226976" w:rsidRPr="00A42436" w:rsidRDefault="00226976" w:rsidP="00226976">
      <w:pPr>
        <w:jc w:val="right"/>
        <w:rPr>
          <w:rFonts w:cstheme="minorHAnsi"/>
        </w:rPr>
      </w:pPr>
      <w:r w:rsidRPr="00A42436">
        <w:rPr>
          <w:rFonts w:cstheme="minorHAnsi"/>
        </w:rPr>
        <w:t xml:space="preserve">ANC: Absolute neutrophil count </w:t>
      </w:r>
    </w:p>
    <w:p w14:paraId="5AFD9446" w14:textId="31278F36" w:rsidR="00F30E0B" w:rsidRPr="005377B7" w:rsidRDefault="00614300" w:rsidP="00B72A1A">
      <w:pPr>
        <w:jc w:val="right"/>
        <w:rPr>
          <w:rFonts w:asciiTheme="majorBidi" w:hAnsiTheme="majorBidi" w:cstheme="majorBidi"/>
          <w:sz w:val="28"/>
          <w:szCs w:val="28"/>
        </w:rPr>
      </w:pPr>
      <w:r w:rsidRPr="005377B7">
        <w:rPr>
          <w:noProof/>
        </w:rPr>
        <w:drawing>
          <wp:anchor distT="0" distB="0" distL="114300" distR="114300" simplePos="0" relativeHeight="251658240" behindDoc="0" locked="0" layoutInCell="1" allowOverlap="1" wp14:anchorId="3D75D585" wp14:editId="0493364B">
            <wp:simplePos x="0" y="0"/>
            <wp:positionH relativeFrom="column">
              <wp:posOffset>0</wp:posOffset>
            </wp:positionH>
            <wp:positionV relativeFrom="paragraph">
              <wp:posOffset>0</wp:posOffset>
            </wp:positionV>
            <wp:extent cx="5943600" cy="3441700"/>
            <wp:effectExtent l="0" t="0" r="0" b="6350"/>
            <wp:wrapThrough wrapText="bothSides">
              <wp:wrapPolygon edited="0">
                <wp:start x="0" y="0"/>
                <wp:lineTo x="0" y="21520"/>
                <wp:lineTo x="21531" y="21520"/>
                <wp:lineTo x="21531" y="0"/>
                <wp:lineTo x="0" y="0"/>
              </wp:wrapPolygon>
            </wp:wrapThrough>
            <wp:docPr id="5" name="Chart 5">
              <a:extLst xmlns:a="http://schemas.openxmlformats.org/drawingml/2006/main">
                <a:ext uri="{FF2B5EF4-FFF2-40B4-BE49-F238E27FC236}">
                  <a16:creationId xmlns:a16="http://schemas.microsoft.com/office/drawing/2014/main" id="{25A70441-EDE8-4BC9-88C8-AAB08027B0D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sidR="00AF50FE">
        <w:rPr>
          <w:rFonts w:asciiTheme="majorBidi" w:hAnsiTheme="majorBidi" w:cstheme="majorBidi" w:hint="cs"/>
          <w:sz w:val="28"/>
          <w:szCs w:val="28"/>
          <w:rtl/>
        </w:rPr>
        <w:t xml:space="preserve"> </w:t>
      </w:r>
    </w:p>
    <w:p w14:paraId="4D2E36C4" w14:textId="77777777" w:rsidR="00F30E0B" w:rsidRPr="005377B7" w:rsidRDefault="00F30E0B" w:rsidP="00B72A1A">
      <w:pPr>
        <w:jc w:val="right"/>
        <w:rPr>
          <w:rFonts w:asciiTheme="majorBidi" w:hAnsiTheme="majorBidi" w:cstheme="majorBidi"/>
          <w:sz w:val="28"/>
          <w:szCs w:val="28"/>
        </w:rPr>
      </w:pPr>
    </w:p>
    <w:p w14:paraId="415666E2" w14:textId="77777777" w:rsidR="003E5BEC" w:rsidRPr="00E67799" w:rsidRDefault="003E5BEC" w:rsidP="003E5BEC">
      <w:pPr>
        <w:jc w:val="right"/>
        <w:rPr>
          <w:rFonts w:cstheme="minorHAnsi"/>
          <w:b/>
          <w:bCs/>
          <w:sz w:val="24"/>
          <w:szCs w:val="24"/>
        </w:rPr>
      </w:pPr>
      <w:r w:rsidRPr="00E67799">
        <w:rPr>
          <w:rFonts w:cstheme="minorHAnsi"/>
          <w:b/>
          <w:bCs/>
          <w:sz w:val="24"/>
          <w:szCs w:val="24"/>
        </w:rPr>
        <w:t xml:space="preserve">Acknowledgements:  </w:t>
      </w:r>
    </w:p>
    <w:p w14:paraId="2AB5CEC9" w14:textId="77777777" w:rsidR="003E5BEC" w:rsidRPr="00E67799" w:rsidRDefault="003E5BEC" w:rsidP="003E5BEC">
      <w:pPr>
        <w:jc w:val="right"/>
        <w:rPr>
          <w:rFonts w:cstheme="minorHAnsi"/>
          <w:sz w:val="24"/>
          <w:szCs w:val="24"/>
        </w:rPr>
      </w:pPr>
      <w:r w:rsidRPr="00E67799">
        <w:rPr>
          <w:rFonts w:cstheme="minorHAnsi"/>
          <w:sz w:val="24"/>
          <w:szCs w:val="24"/>
        </w:rPr>
        <w:t>Open Access was funded by Qatar National Library</w:t>
      </w:r>
    </w:p>
    <w:p w14:paraId="49F3B332" w14:textId="014BEB5D" w:rsidR="003E5BEC" w:rsidRPr="00E67799" w:rsidRDefault="003E5BEC" w:rsidP="00BE19E0">
      <w:pPr>
        <w:jc w:val="right"/>
        <w:rPr>
          <w:rFonts w:cstheme="minorHAnsi"/>
          <w:sz w:val="24"/>
          <w:szCs w:val="24"/>
        </w:rPr>
      </w:pPr>
      <w:r w:rsidRPr="00E67799">
        <w:rPr>
          <w:rFonts w:cstheme="minorHAnsi"/>
          <w:sz w:val="24"/>
          <w:szCs w:val="24"/>
        </w:rPr>
        <w:t xml:space="preserve">The case is </w:t>
      </w:r>
      <w:r w:rsidR="006E7289" w:rsidRPr="00E67799">
        <w:rPr>
          <w:rFonts w:cstheme="minorHAnsi"/>
          <w:sz w:val="24"/>
          <w:szCs w:val="24"/>
        </w:rPr>
        <w:t>authorized for</w:t>
      </w:r>
      <w:r w:rsidRPr="00E67799">
        <w:rPr>
          <w:rFonts w:cstheme="minorHAnsi"/>
          <w:sz w:val="24"/>
          <w:szCs w:val="24"/>
        </w:rPr>
        <w:t xml:space="preserve"> publication by HMC Medical Research </w:t>
      </w:r>
      <w:r w:rsidR="00BE19E0" w:rsidRPr="00E67799">
        <w:rPr>
          <w:rFonts w:cstheme="minorHAnsi"/>
          <w:sz w:val="24"/>
          <w:szCs w:val="24"/>
        </w:rPr>
        <w:t>Center (</w:t>
      </w:r>
      <w:r w:rsidR="00E50AC5" w:rsidRPr="00E67799">
        <w:rPr>
          <w:rFonts w:cstheme="minorHAnsi"/>
          <w:sz w:val="24"/>
          <w:szCs w:val="24"/>
        </w:rPr>
        <w:t>MRC</w:t>
      </w:r>
      <w:r w:rsidRPr="00E67799">
        <w:rPr>
          <w:rFonts w:cstheme="minorHAnsi"/>
          <w:sz w:val="24"/>
          <w:szCs w:val="24"/>
        </w:rPr>
        <w:t>-04-21-495)</w:t>
      </w:r>
    </w:p>
    <w:p w14:paraId="252E593C" w14:textId="77777777" w:rsidR="003E5BEC" w:rsidRPr="00E67799" w:rsidRDefault="003E5BEC" w:rsidP="003E5BEC">
      <w:pPr>
        <w:jc w:val="right"/>
        <w:rPr>
          <w:rFonts w:cstheme="minorHAnsi"/>
          <w:b/>
          <w:bCs/>
          <w:sz w:val="24"/>
          <w:szCs w:val="24"/>
        </w:rPr>
      </w:pPr>
      <w:r w:rsidRPr="00E67799">
        <w:rPr>
          <w:rFonts w:cstheme="minorHAnsi"/>
          <w:b/>
          <w:bCs/>
          <w:sz w:val="24"/>
          <w:szCs w:val="24"/>
        </w:rPr>
        <w:t>Conflict of Interest:</w:t>
      </w:r>
    </w:p>
    <w:p w14:paraId="7E2224FD" w14:textId="77777777" w:rsidR="003E5BEC" w:rsidRPr="00E67799" w:rsidRDefault="003E5BEC" w:rsidP="003E5BEC">
      <w:pPr>
        <w:jc w:val="right"/>
        <w:rPr>
          <w:rFonts w:cstheme="minorHAnsi"/>
          <w:sz w:val="24"/>
          <w:szCs w:val="24"/>
        </w:rPr>
      </w:pPr>
      <w:r w:rsidRPr="00E67799">
        <w:rPr>
          <w:rFonts w:cstheme="minorHAnsi"/>
          <w:sz w:val="24"/>
          <w:szCs w:val="24"/>
        </w:rPr>
        <w:t>The authors declare no conflict of interest</w:t>
      </w:r>
    </w:p>
    <w:p w14:paraId="3959F639" w14:textId="77777777" w:rsidR="003E5BEC" w:rsidRPr="00E67799" w:rsidRDefault="003E5BEC" w:rsidP="003E5BEC">
      <w:pPr>
        <w:jc w:val="right"/>
        <w:rPr>
          <w:rFonts w:cstheme="minorHAnsi"/>
          <w:b/>
          <w:bCs/>
          <w:sz w:val="24"/>
          <w:szCs w:val="24"/>
        </w:rPr>
      </w:pPr>
      <w:r w:rsidRPr="00E67799">
        <w:rPr>
          <w:rFonts w:cstheme="minorHAnsi"/>
          <w:b/>
          <w:bCs/>
          <w:sz w:val="24"/>
          <w:szCs w:val="24"/>
        </w:rPr>
        <w:t xml:space="preserve">Consent form: </w:t>
      </w:r>
    </w:p>
    <w:p w14:paraId="53ABDCE5" w14:textId="3AE7A1EC" w:rsidR="003E5BEC" w:rsidRDefault="003E5BEC" w:rsidP="00E67973">
      <w:pPr>
        <w:jc w:val="right"/>
        <w:rPr>
          <w:rFonts w:cstheme="minorHAnsi"/>
          <w:sz w:val="24"/>
          <w:szCs w:val="24"/>
        </w:rPr>
      </w:pPr>
      <w:r w:rsidRPr="00E67799">
        <w:rPr>
          <w:rFonts w:cstheme="minorHAnsi"/>
          <w:sz w:val="24"/>
          <w:szCs w:val="24"/>
        </w:rPr>
        <w:t xml:space="preserve">A written consent form was obtained and will be available upon editorial </w:t>
      </w:r>
      <w:r w:rsidR="006E7289" w:rsidRPr="00E67799">
        <w:rPr>
          <w:rFonts w:cstheme="minorHAnsi"/>
          <w:sz w:val="24"/>
          <w:szCs w:val="24"/>
        </w:rPr>
        <w:t>office request</w:t>
      </w:r>
    </w:p>
    <w:p w14:paraId="633BA19D" w14:textId="3FC637DC" w:rsidR="00AF50FE" w:rsidRDefault="00AF50FE" w:rsidP="00E67973">
      <w:pPr>
        <w:jc w:val="right"/>
        <w:rPr>
          <w:rFonts w:cstheme="minorHAnsi"/>
          <w:sz w:val="24"/>
          <w:szCs w:val="24"/>
        </w:rPr>
      </w:pPr>
    </w:p>
    <w:p w14:paraId="3259D24F" w14:textId="604EEC79" w:rsidR="00AF50FE" w:rsidRDefault="00AF50FE" w:rsidP="00E67973">
      <w:pPr>
        <w:jc w:val="right"/>
        <w:rPr>
          <w:rFonts w:cstheme="minorHAnsi"/>
          <w:sz w:val="24"/>
          <w:szCs w:val="24"/>
        </w:rPr>
      </w:pPr>
    </w:p>
    <w:p w14:paraId="52E9A7F3" w14:textId="4E190C7F" w:rsidR="00AF50FE" w:rsidRDefault="00AF50FE" w:rsidP="00E67973">
      <w:pPr>
        <w:jc w:val="right"/>
        <w:rPr>
          <w:rFonts w:cstheme="minorHAnsi"/>
          <w:sz w:val="24"/>
          <w:szCs w:val="24"/>
        </w:rPr>
      </w:pPr>
    </w:p>
    <w:p w14:paraId="3201477E" w14:textId="77777777" w:rsidR="00AF50FE" w:rsidRPr="00E67799" w:rsidRDefault="00AF50FE" w:rsidP="00E67973">
      <w:pPr>
        <w:jc w:val="right"/>
        <w:rPr>
          <w:rFonts w:cstheme="minorHAnsi"/>
          <w:sz w:val="24"/>
          <w:szCs w:val="24"/>
        </w:rPr>
      </w:pPr>
    </w:p>
    <w:p w14:paraId="4196B4EC" w14:textId="0D244F37" w:rsidR="00F30E0B" w:rsidRPr="00AF50FE" w:rsidRDefault="00F30E0B" w:rsidP="00AF50FE">
      <w:pPr>
        <w:pStyle w:val="NoSpacing"/>
        <w:jc w:val="right"/>
        <w:rPr>
          <w:rFonts w:cstheme="minorHAnsi"/>
          <w:b/>
          <w:bCs/>
          <w:sz w:val="24"/>
          <w:szCs w:val="24"/>
        </w:rPr>
      </w:pPr>
      <w:r w:rsidRPr="00AF50FE">
        <w:rPr>
          <w:rFonts w:cstheme="minorHAnsi"/>
          <w:b/>
          <w:bCs/>
          <w:sz w:val="24"/>
          <w:szCs w:val="24"/>
        </w:rPr>
        <w:t>References:</w:t>
      </w:r>
    </w:p>
    <w:p w14:paraId="7AC98B33" w14:textId="77777777" w:rsidR="00C07A9E" w:rsidRPr="00E67799" w:rsidRDefault="00C07A9E" w:rsidP="00E67799">
      <w:pPr>
        <w:pStyle w:val="NoSpacing"/>
        <w:bidi w:val="0"/>
        <w:rPr>
          <w:rFonts w:eastAsia="ScalaLancetPro" w:cstheme="minorHAnsi"/>
          <w:sz w:val="24"/>
          <w:szCs w:val="24"/>
        </w:rPr>
      </w:pPr>
      <w:r w:rsidRPr="00E67799">
        <w:rPr>
          <w:rFonts w:cstheme="minorHAnsi"/>
          <w:sz w:val="24"/>
          <w:szCs w:val="24"/>
        </w:rPr>
        <w:t>[</w:t>
      </w:r>
      <w:proofErr w:type="gramStart"/>
      <w:r w:rsidRPr="00E67799">
        <w:rPr>
          <w:rFonts w:cstheme="minorHAnsi"/>
          <w:sz w:val="24"/>
          <w:szCs w:val="24"/>
        </w:rPr>
        <w:t>1]</w:t>
      </w:r>
      <w:proofErr w:type="spellStart"/>
      <w:r w:rsidRPr="00E67799">
        <w:rPr>
          <w:rFonts w:cstheme="minorHAnsi"/>
          <w:sz w:val="24"/>
          <w:szCs w:val="24"/>
          <w:shd w:val="clear" w:color="auto" w:fill="FFFFFF"/>
        </w:rPr>
        <w:t>Coperchini</w:t>
      </w:r>
      <w:proofErr w:type="spellEnd"/>
      <w:proofErr w:type="gramEnd"/>
      <w:r w:rsidRPr="00E67799">
        <w:rPr>
          <w:rFonts w:cstheme="minorHAnsi"/>
          <w:sz w:val="24"/>
          <w:szCs w:val="24"/>
          <w:shd w:val="clear" w:color="auto" w:fill="FFFFFF"/>
        </w:rPr>
        <w:t xml:space="preserve"> F, </w:t>
      </w:r>
      <w:proofErr w:type="spellStart"/>
      <w:r w:rsidRPr="00E67799">
        <w:rPr>
          <w:rFonts w:cstheme="minorHAnsi"/>
          <w:sz w:val="24"/>
          <w:szCs w:val="24"/>
          <w:shd w:val="clear" w:color="auto" w:fill="FFFFFF"/>
        </w:rPr>
        <w:t>Chiovato</w:t>
      </w:r>
      <w:proofErr w:type="spellEnd"/>
      <w:r w:rsidRPr="00E67799">
        <w:rPr>
          <w:rFonts w:cstheme="minorHAnsi"/>
          <w:sz w:val="24"/>
          <w:szCs w:val="24"/>
          <w:shd w:val="clear" w:color="auto" w:fill="FFFFFF"/>
        </w:rPr>
        <w:t xml:space="preserve"> L, Croce L, </w:t>
      </w:r>
      <w:proofErr w:type="spellStart"/>
      <w:r w:rsidRPr="00E67799">
        <w:rPr>
          <w:rFonts w:cstheme="minorHAnsi"/>
          <w:sz w:val="24"/>
          <w:szCs w:val="24"/>
          <w:shd w:val="clear" w:color="auto" w:fill="FFFFFF"/>
        </w:rPr>
        <w:t>Magri</w:t>
      </w:r>
      <w:proofErr w:type="spellEnd"/>
      <w:r w:rsidRPr="00E67799">
        <w:rPr>
          <w:rFonts w:cstheme="minorHAnsi"/>
          <w:sz w:val="24"/>
          <w:szCs w:val="24"/>
          <w:shd w:val="clear" w:color="auto" w:fill="FFFFFF"/>
        </w:rPr>
        <w:t xml:space="preserve"> F, </w:t>
      </w:r>
      <w:proofErr w:type="spellStart"/>
      <w:r w:rsidRPr="00E67799">
        <w:rPr>
          <w:rFonts w:cstheme="minorHAnsi"/>
          <w:sz w:val="24"/>
          <w:szCs w:val="24"/>
          <w:shd w:val="clear" w:color="auto" w:fill="FFFFFF"/>
        </w:rPr>
        <w:t>Rotondi</w:t>
      </w:r>
      <w:proofErr w:type="spellEnd"/>
      <w:r w:rsidRPr="00E67799">
        <w:rPr>
          <w:rFonts w:cstheme="minorHAnsi"/>
          <w:sz w:val="24"/>
          <w:szCs w:val="24"/>
          <w:shd w:val="clear" w:color="auto" w:fill="FFFFFF"/>
        </w:rPr>
        <w:t xml:space="preserve"> M. The cytokine storm in COVID-19: An overview of the involvement of the chemokine/chemokine-receptor system. </w:t>
      </w:r>
      <w:r w:rsidRPr="00E67799">
        <w:rPr>
          <w:rFonts w:cstheme="minorHAnsi"/>
          <w:i/>
          <w:iCs/>
          <w:sz w:val="24"/>
          <w:szCs w:val="24"/>
          <w:shd w:val="clear" w:color="auto" w:fill="FFFFFF"/>
        </w:rPr>
        <w:t>Cytokine Growth Factor Rev</w:t>
      </w:r>
      <w:r w:rsidRPr="00E67799">
        <w:rPr>
          <w:rFonts w:cstheme="minorHAnsi"/>
          <w:sz w:val="24"/>
          <w:szCs w:val="24"/>
          <w:shd w:val="clear" w:color="auto" w:fill="FFFFFF"/>
        </w:rPr>
        <w:t xml:space="preserve">. </w:t>
      </w:r>
      <w:proofErr w:type="gramStart"/>
      <w:r w:rsidRPr="00E67799">
        <w:rPr>
          <w:rFonts w:cstheme="minorHAnsi"/>
          <w:sz w:val="24"/>
          <w:szCs w:val="24"/>
          <w:shd w:val="clear" w:color="auto" w:fill="FFFFFF"/>
        </w:rPr>
        <w:t>2020;53:25</w:t>
      </w:r>
      <w:proofErr w:type="gramEnd"/>
      <w:r w:rsidRPr="00E67799">
        <w:rPr>
          <w:rFonts w:cstheme="minorHAnsi"/>
          <w:sz w:val="24"/>
          <w:szCs w:val="24"/>
          <w:shd w:val="clear" w:color="auto" w:fill="FFFFFF"/>
        </w:rPr>
        <w:t xml:space="preserve">-32. </w:t>
      </w:r>
      <w:proofErr w:type="gramStart"/>
      <w:r w:rsidRPr="00E67799">
        <w:rPr>
          <w:rFonts w:cstheme="minorHAnsi"/>
          <w:sz w:val="24"/>
          <w:szCs w:val="24"/>
          <w:shd w:val="clear" w:color="auto" w:fill="FFFFFF"/>
        </w:rPr>
        <w:t>doi:10.1016/j.cytogfr</w:t>
      </w:r>
      <w:proofErr w:type="gramEnd"/>
      <w:r w:rsidRPr="00E67799">
        <w:rPr>
          <w:rFonts w:cstheme="minorHAnsi"/>
          <w:sz w:val="24"/>
          <w:szCs w:val="24"/>
          <w:shd w:val="clear" w:color="auto" w:fill="FFFFFF"/>
        </w:rPr>
        <w:t>.2020.05.003.</w:t>
      </w:r>
    </w:p>
    <w:p w14:paraId="20EE25AE" w14:textId="77777777" w:rsidR="00C07A9E" w:rsidRPr="00E67799" w:rsidRDefault="00C07A9E" w:rsidP="00E67799">
      <w:pPr>
        <w:pStyle w:val="NoSpacing"/>
        <w:bidi w:val="0"/>
        <w:rPr>
          <w:rFonts w:cstheme="minorHAnsi"/>
          <w:sz w:val="24"/>
          <w:szCs w:val="24"/>
          <w:shd w:val="clear" w:color="auto" w:fill="FFFFFF"/>
        </w:rPr>
      </w:pPr>
      <w:r w:rsidRPr="00E67799">
        <w:rPr>
          <w:rFonts w:cstheme="minorHAnsi"/>
          <w:sz w:val="24"/>
          <w:szCs w:val="24"/>
          <w:shd w:val="clear" w:color="auto" w:fill="FFFFFF"/>
        </w:rPr>
        <w:t>[</w:t>
      </w:r>
      <w:proofErr w:type="gramStart"/>
      <w:r w:rsidRPr="00E67799">
        <w:rPr>
          <w:rFonts w:cstheme="minorHAnsi"/>
          <w:sz w:val="24"/>
          <w:szCs w:val="24"/>
          <w:shd w:val="clear" w:color="auto" w:fill="FFFFFF"/>
        </w:rPr>
        <w:t>2]Gibson</w:t>
      </w:r>
      <w:proofErr w:type="gramEnd"/>
      <w:r w:rsidRPr="00E67799">
        <w:rPr>
          <w:rFonts w:cstheme="minorHAnsi"/>
          <w:sz w:val="24"/>
          <w:szCs w:val="24"/>
          <w:shd w:val="clear" w:color="auto" w:fill="FFFFFF"/>
        </w:rPr>
        <w:t xml:space="preserve"> PG, Qin L, Puah SH. COVID-19 acute respiratory distress syndrome (ARDS): clinical features and differences from typical pre-COVID-19 ARDS. </w:t>
      </w:r>
      <w:r w:rsidRPr="00E67799">
        <w:rPr>
          <w:rFonts w:cstheme="minorHAnsi"/>
          <w:i/>
          <w:iCs/>
          <w:sz w:val="24"/>
          <w:szCs w:val="24"/>
          <w:shd w:val="clear" w:color="auto" w:fill="FFFFFF"/>
        </w:rPr>
        <w:t>Med J Aust</w:t>
      </w:r>
      <w:r w:rsidRPr="00E67799">
        <w:rPr>
          <w:rFonts w:cstheme="minorHAnsi"/>
          <w:sz w:val="24"/>
          <w:szCs w:val="24"/>
          <w:shd w:val="clear" w:color="auto" w:fill="FFFFFF"/>
        </w:rPr>
        <w:t>. 2020;213(2):54-</w:t>
      </w:r>
      <w:proofErr w:type="gramStart"/>
      <w:r w:rsidRPr="00E67799">
        <w:rPr>
          <w:rFonts w:cstheme="minorHAnsi"/>
          <w:sz w:val="24"/>
          <w:szCs w:val="24"/>
          <w:shd w:val="clear" w:color="auto" w:fill="FFFFFF"/>
        </w:rPr>
        <w:t>56.e</w:t>
      </w:r>
      <w:proofErr w:type="gramEnd"/>
      <w:r w:rsidRPr="00E67799">
        <w:rPr>
          <w:rFonts w:cstheme="minorHAnsi"/>
          <w:sz w:val="24"/>
          <w:szCs w:val="24"/>
          <w:shd w:val="clear" w:color="auto" w:fill="FFFFFF"/>
        </w:rPr>
        <w:t>1. doi:10.5694/mja2.50674.</w:t>
      </w:r>
    </w:p>
    <w:p w14:paraId="03DE4ABB" w14:textId="357ADC71" w:rsidR="00C07A9E" w:rsidRPr="00E67799" w:rsidRDefault="00C07A9E" w:rsidP="00E67799">
      <w:pPr>
        <w:pStyle w:val="NoSpacing"/>
        <w:bidi w:val="0"/>
        <w:rPr>
          <w:rFonts w:cstheme="minorHAnsi"/>
          <w:sz w:val="24"/>
          <w:szCs w:val="24"/>
          <w:shd w:val="clear" w:color="auto" w:fill="FFFFFF"/>
        </w:rPr>
      </w:pPr>
      <w:r w:rsidRPr="00E67799">
        <w:rPr>
          <w:rFonts w:eastAsia="ScalaLancetPro" w:cstheme="minorHAnsi"/>
          <w:sz w:val="24"/>
          <w:szCs w:val="24"/>
        </w:rPr>
        <w:t>[</w:t>
      </w:r>
      <w:proofErr w:type="gramStart"/>
      <w:r w:rsidRPr="00E67799">
        <w:rPr>
          <w:rFonts w:eastAsia="ScalaLancetPro" w:cstheme="minorHAnsi"/>
          <w:sz w:val="24"/>
          <w:szCs w:val="24"/>
        </w:rPr>
        <w:t>3]</w:t>
      </w:r>
      <w:r w:rsidRPr="00E67799">
        <w:rPr>
          <w:rFonts w:cstheme="minorHAnsi"/>
          <w:sz w:val="24"/>
          <w:szCs w:val="24"/>
          <w:shd w:val="clear" w:color="auto" w:fill="FFFFFF"/>
        </w:rPr>
        <w:t>Bhaskar</w:t>
      </w:r>
      <w:proofErr w:type="gramEnd"/>
      <w:r w:rsidRPr="00E67799">
        <w:rPr>
          <w:rFonts w:cstheme="minorHAnsi"/>
          <w:sz w:val="24"/>
          <w:szCs w:val="24"/>
          <w:shd w:val="clear" w:color="auto" w:fill="FFFFFF"/>
        </w:rPr>
        <w:t xml:space="preserve"> S, Sinha A, Banach M, et al. Cytokine Storm in COVID-19-Immunopathological Mechanisms, Clinical Considerations, and Therapeutic Approaches: The REPROGRAM Consortium Position Paper. </w:t>
      </w:r>
      <w:r w:rsidRPr="00E67799">
        <w:rPr>
          <w:rFonts w:cstheme="minorHAnsi"/>
          <w:i/>
          <w:iCs/>
          <w:sz w:val="24"/>
          <w:szCs w:val="24"/>
          <w:shd w:val="clear" w:color="auto" w:fill="FFFFFF"/>
        </w:rPr>
        <w:t>Front Immunol</w:t>
      </w:r>
      <w:r w:rsidRPr="00E67799">
        <w:rPr>
          <w:rFonts w:cstheme="minorHAnsi"/>
          <w:sz w:val="24"/>
          <w:szCs w:val="24"/>
          <w:shd w:val="clear" w:color="auto" w:fill="FFFFFF"/>
        </w:rPr>
        <w:t xml:space="preserve">. </w:t>
      </w:r>
      <w:proofErr w:type="gramStart"/>
      <w:r w:rsidRPr="00E67799">
        <w:rPr>
          <w:rFonts w:cstheme="minorHAnsi"/>
          <w:sz w:val="24"/>
          <w:szCs w:val="24"/>
          <w:shd w:val="clear" w:color="auto" w:fill="FFFFFF"/>
        </w:rPr>
        <w:t>2020;11:1648</w:t>
      </w:r>
      <w:proofErr w:type="gramEnd"/>
      <w:r w:rsidRPr="00E67799">
        <w:rPr>
          <w:rFonts w:cstheme="minorHAnsi"/>
          <w:sz w:val="24"/>
          <w:szCs w:val="24"/>
          <w:shd w:val="clear" w:color="auto" w:fill="FFFFFF"/>
        </w:rPr>
        <w:t>. Published 2020 Jul 10. doi:10.3389/fimmu.2020.01648.</w:t>
      </w:r>
    </w:p>
    <w:p w14:paraId="5FA1E729" w14:textId="0F990678" w:rsidR="00C07A9E" w:rsidRPr="00E67799" w:rsidRDefault="00C07A9E" w:rsidP="00E67799">
      <w:pPr>
        <w:pStyle w:val="NoSpacing"/>
        <w:bidi w:val="0"/>
        <w:rPr>
          <w:rFonts w:cstheme="minorHAnsi"/>
          <w:sz w:val="24"/>
          <w:szCs w:val="24"/>
          <w:shd w:val="clear" w:color="auto" w:fill="FFFFFF"/>
        </w:rPr>
      </w:pPr>
      <w:r w:rsidRPr="00E67799">
        <w:rPr>
          <w:rFonts w:eastAsia="ScalaLancetPro" w:cstheme="minorHAnsi"/>
          <w:sz w:val="24"/>
          <w:szCs w:val="24"/>
        </w:rPr>
        <w:t>[</w:t>
      </w:r>
      <w:proofErr w:type="gramStart"/>
      <w:r w:rsidRPr="00E67799">
        <w:rPr>
          <w:rFonts w:eastAsia="ScalaLancetPro" w:cstheme="minorHAnsi"/>
          <w:sz w:val="24"/>
          <w:szCs w:val="24"/>
        </w:rPr>
        <w:t>4]</w:t>
      </w:r>
      <w:r w:rsidRPr="00E67799">
        <w:rPr>
          <w:rFonts w:cstheme="minorHAnsi"/>
          <w:sz w:val="24"/>
          <w:szCs w:val="24"/>
          <w:shd w:val="clear" w:color="auto" w:fill="FFFFFF"/>
        </w:rPr>
        <w:t>Farooqi</w:t>
      </w:r>
      <w:proofErr w:type="gramEnd"/>
      <w:r w:rsidRPr="00E67799">
        <w:rPr>
          <w:rFonts w:cstheme="minorHAnsi"/>
          <w:sz w:val="24"/>
          <w:szCs w:val="24"/>
          <w:shd w:val="clear" w:color="auto" w:fill="FFFFFF"/>
        </w:rPr>
        <w:t xml:space="preserve">, F., Dhawan, N., Morgan, R., </w:t>
      </w:r>
      <w:proofErr w:type="spellStart"/>
      <w:r w:rsidRPr="00E67799">
        <w:rPr>
          <w:rFonts w:cstheme="minorHAnsi"/>
          <w:sz w:val="24"/>
          <w:szCs w:val="24"/>
          <w:shd w:val="clear" w:color="auto" w:fill="FFFFFF"/>
        </w:rPr>
        <w:t>Dinh</w:t>
      </w:r>
      <w:proofErr w:type="spellEnd"/>
      <w:r w:rsidRPr="00E67799">
        <w:rPr>
          <w:rFonts w:cstheme="minorHAnsi"/>
          <w:sz w:val="24"/>
          <w:szCs w:val="24"/>
          <w:shd w:val="clear" w:color="auto" w:fill="FFFFFF"/>
        </w:rPr>
        <w:t xml:space="preserve">, J., </w:t>
      </w:r>
      <w:proofErr w:type="spellStart"/>
      <w:r w:rsidRPr="00E67799">
        <w:rPr>
          <w:rFonts w:cstheme="minorHAnsi"/>
          <w:sz w:val="24"/>
          <w:szCs w:val="24"/>
          <w:shd w:val="clear" w:color="auto" w:fill="FFFFFF"/>
        </w:rPr>
        <w:t>Nedd</w:t>
      </w:r>
      <w:proofErr w:type="spellEnd"/>
      <w:r w:rsidRPr="00E67799">
        <w:rPr>
          <w:rFonts w:cstheme="minorHAnsi"/>
          <w:sz w:val="24"/>
          <w:szCs w:val="24"/>
          <w:shd w:val="clear" w:color="auto" w:fill="FFFFFF"/>
        </w:rPr>
        <w:t xml:space="preserve">, K., &amp; </w:t>
      </w:r>
      <w:proofErr w:type="spellStart"/>
      <w:r w:rsidRPr="00E67799">
        <w:rPr>
          <w:rFonts w:cstheme="minorHAnsi"/>
          <w:sz w:val="24"/>
          <w:szCs w:val="24"/>
          <w:shd w:val="clear" w:color="auto" w:fill="FFFFFF"/>
        </w:rPr>
        <w:t>Yatzkan</w:t>
      </w:r>
      <w:proofErr w:type="spellEnd"/>
      <w:r w:rsidRPr="00E67799">
        <w:rPr>
          <w:rFonts w:cstheme="minorHAnsi"/>
          <w:sz w:val="24"/>
          <w:szCs w:val="24"/>
          <w:shd w:val="clear" w:color="auto" w:fill="FFFFFF"/>
        </w:rPr>
        <w:t>, G. (2020). Treatment of Severe COVID-19 with Tocilizumab Mitigates Cytokine Storm and Averts Mechanical Ventilation during Acute Respiratory Distress: A Case Report and Literature Review. </w:t>
      </w:r>
      <w:r w:rsidRPr="00E67799">
        <w:rPr>
          <w:rFonts w:cstheme="minorHAnsi"/>
          <w:i/>
          <w:iCs/>
          <w:sz w:val="24"/>
          <w:szCs w:val="24"/>
          <w:shd w:val="clear" w:color="auto" w:fill="FFFFFF"/>
        </w:rPr>
        <w:t xml:space="preserve">Tropical Medicine </w:t>
      </w:r>
      <w:proofErr w:type="gramStart"/>
      <w:r w:rsidRPr="00E67799">
        <w:rPr>
          <w:rFonts w:cstheme="minorHAnsi"/>
          <w:i/>
          <w:iCs/>
          <w:sz w:val="24"/>
          <w:szCs w:val="24"/>
          <w:shd w:val="clear" w:color="auto" w:fill="FFFFFF"/>
        </w:rPr>
        <w:t>And</w:t>
      </w:r>
      <w:proofErr w:type="gramEnd"/>
      <w:r w:rsidRPr="00E67799">
        <w:rPr>
          <w:rFonts w:cstheme="minorHAnsi"/>
          <w:i/>
          <w:iCs/>
          <w:sz w:val="24"/>
          <w:szCs w:val="24"/>
          <w:shd w:val="clear" w:color="auto" w:fill="FFFFFF"/>
        </w:rPr>
        <w:t xml:space="preserve"> Infectious Disease</w:t>
      </w:r>
      <w:r w:rsidRPr="00E67799">
        <w:rPr>
          <w:rFonts w:cstheme="minorHAnsi"/>
          <w:sz w:val="24"/>
          <w:szCs w:val="24"/>
          <w:shd w:val="clear" w:color="auto" w:fill="FFFFFF"/>
        </w:rPr>
        <w:t>, </w:t>
      </w:r>
      <w:r w:rsidRPr="00E67799">
        <w:rPr>
          <w:rFonts w:cstheme="minorHAnsi"/>
          <w:i/>
          <w:iCs/>
          <w:sz w:val="24"/>
          <w:szCs w:val="24"/>
          <w:shd w:val="clear" w:color="auto" w:fill="FFFFFF"/>
        </w:rPr>
        <w:t>5</w:t>
      </w:r>
      <w:r w:rsidRPr="00E67799">
        <w:rPr>
          <w:rFonts w:cstheme="minorHAnsi"/>
          <w:sz w:val="24"/>
          <w:szCs w:val="24"/>
          <w:shd w:val="clear" w:color="auto" w:fill="FFFFFF"/>
        </w:rPr>
        <w:t xml:space="preserve">(3), 112. </w:t>
      </w:r>
      <w:proofErr w:type="spellStart"/>
      <w:r w:rsidRPr="00E67799">
        <w:rPr>
          <w:rFonts w:cstheme="minorHAnsi"/>
          <w:sz w:val="24"/>
          <w:szCs w:val="24"/>
          <w:shd w:val="clear" w:color="auto" w:fill="FFFFFF"/>
        </w:rPr>
        <w:t>doi</w:t>
      </w:r>
      <w:proofErr w:type="spellEnd"/>
      <w:r w:rsidRPr="00E67799">
        <w:rPr>
          <w:rFonts w:cstheme="minorHAnsi"/>
          <w:sz w:val="24"/>
          <w:szCs w:val="24"/>
          <w:shd w:val="clear" w:color="auto" w:fill="FFFFFF"/>
        </w:rPr>
        <w:t xml:space="preserve">: 10.3390/tropicalmed5030112. </w:t>
      </w:r>
    </w:p>
    <w:p w14:paraId="3CC5536F" w14:textId="38F3A02C" w:rsidR="00C07A9E" w:rsidRPr="00E67799" w:rsidRDefault="00C07A9E" w:rsidP="00E67799">
      <w:pPr>
        <w:pStyle w:val="NoSpacing"/>
        <w:bidi w:val="0"/>
        <w:rPr>
          <w:rFonts w:cstheme="minorHAnsi"/>
          <w:sz w:val="24"/>
          <w:szCs w:val="24"/>
          <w:shd w:val="clear" w:color="auto" w:fill="FFFFFF"/>
        </w:rPr>
      </w:pPr>
      <w:r w:rsidRPr="00E67799">
        <w:rPr>
          <w:rFonts w:eastAsia="ScalaLancetPro" w:cstheme="minorHAnsi"/>
          <w:sz w:val="24"/>
          <w:szCs w:val="24"/>
        </w:rPr>
        <w:t>[</w:t>
      </w:r>
      <w:proofErr w:type="gramStart"/>
      <w:r w:rsidRPr="00E67799">
        <w:rPr>
          <w:rFonts w:eastAsia="ScalaLancetPro" w:cstheme="minorHAnsi"/>
          <w:sz w:val="24"/>
          <w:szCs w:val="24"/>
        </w:rPr>
        <w:t>5]</w:t>
      </w:r>
      <w:r w:rsidRPr="00E67799">
        <w:rPr>
          <w:rFonts w:cstheme="minorHAnsi"/>
          <w:sz w:val="24"/>
          <w:szCs w:val="24"/>
          <w:shd w:val="clear" w:color="auto" w:fill="FFFFFF"/>
        </w:rPr>
        <w:t>Bernardo</w:t>
      </w:r>
      <w:proofErr w:type="gramEnd"/>
      <w:r w:rsidRPr="00E67799">
        <w:rPr>
          <w:rFonts w:cstheme="minorHAnsi"/>
          <w:sz w:val="24"/>
          <w:szCs w:val="24"/>
          <w:shd w:val="clear" w:color="auto" w:fill="FFFFFF"/>
        </w:rPr>
        <w:t xml:space="preserve">, L., Del Sesto, S., Giordano, L., </w:t>
      </w:r>
      <w:proofErr w:type="spellStart"/>
      <w:r w:rsidRPr="00E67799">
        <w:rPr>
          <w:rFonts w:cstheme="minorHAnsi"/>
          <w:sz w:val="24"/>
          <w:szCs w:val="24"/>
          <w:shd w:val="clear" w:color="auto" w:fill="FFFFFF"/>
        </w:rPr>
        <w:t>Benincaso</w:t>
      </w:r>
      <w:proofErr w:type="spellEnd"/>
      <w:r w:rsidRPr="00E67799">
        <w:rPr>
          <w:rFonts w:cstheme="minorHAnsi"/>
          <w:sz w:val="24"/>
          <w:szCs w:val="24"/>
          <w:shd w:val="clear" w:color="auto" w:fill="FFFFFF"/>
        </w:rPr>
        <w:t xml:space="preserve">, A., Biondi, P., &amp; </w:t>
      </w:r>
      <w:proofErr w:type="spellStart"/>
      <w:r w:rsidRPr="00E67799">
        <w:rPr>
          <w:rFonts w:cstheme="minorHAnsi"/>
          <w:sz w:val="24"/>
          <w:szCs w:val="24"/>
          <w:shd w:val="clear" w:color="auto" w:fill="FFFFFF"/>
        </w:rPr>
        <w:t>Goj</w:t>
      </w:r>
      <w:proofErr w:type="spellEnd"/>
      <w:r w:rsidRPr="00E67799">
        <w:rPr>
          <w:rFonts w:cstheme="minorHAnsi"/>
          <w:sz w:val="24"/>
          <w:szCs w:val="24"/>
          <w:shd w:val="clear" w:color="auto" w:fill="FFFFFF"/>
        </w:rPr>
        <w:t>, V. et al. (2020). Severe prolonged neutropenia following administration of tocilizumab in a patient affected by COVID-19: a case report and brief review of the literature. </w:t>
      </w:r>
      <w:r w:rsidRPr="00E67799">
        <w:rPr>
          <w:rFonts w:cstheme="minorHAnsi"/>
          <w:i/>
          <w:iCs/>
          <w:sz w:val="24"/>
          <w:szCs w:val="24"/>
          <w:shd w:val="clear" w:color="auto" w:fill="FFFFFF"/>
        </w:rPr>
        <w:t>Drugs &amp; Therapy Perspectives</w:t>
      </w:r>
      <w:r w:rsidRPr="00E67799">
        <w:rPr>
          <w:rFonts w:cstheme="minorHAnsi"/>
          <w:sz w:val="24"/>
          <w:szCs w:val="24"/>
          <w:shd w:val="clear" w:color="auto" w:fill="FFFFFF"/>
        </w:rPr>
        <w:t>, </w:t>
      </w:r>
      <w:r w:rsidRPr="00E67799">
        <w:rPr>
          <w:rFonts w:cstheme="minorHAnsi"/>
          <w:i/>
          <w:iCs/>
          <w:sz w:val="24"/>
          <w:szCs w:val="24"/>
          <w:shd w:val="clear" w:color="auto" w:fill="FFFFFF"/>
        </w:rPr>
        <w:t>36</w:t>
      </w:r>
      <w:r w:rsidRPr="00E67799">
        <w:rPr>
          <w:rFonts w:cstheme="minorHAnsi"/>
          <w:sz w:val="24"/>
          <w:szCs w:val="24"/>
          <w:shd w:val="clear" w:color="auto" w:fill="FFFFFF"/>
        </w:rPr>
        <w:t xml:space="preserve">(12), 568-572. </w:t>
      </w:r>
      <w:proofErr w:type="spellStart"/>
      <w:r w:rsidRPr="00E67799">
        <w:rPr>
          <w:rFonts w:cstheme="minorHAnsi"/>
          <w:sz w:val="24"/>
          <w:szCs w:val="24"/>
          <w:shd w:val="clear" w:color="auto" w:fill="FFFFFF"/>
        </w:rPr>
        <w:t>doi</w:t>
      </w:r>
      <w:proofErr w:type="spellEnd"/>
      <w:r w:rsidRPr="00E67799">
        <w:rPr>
          <w:rFonts w:cstheme="minorHAnsi"/>
          <w:sz w:val="24"/>
          <w:szCs w:val="24"/>
          <w:shd w:val="clear" w:color="auto" w:fill="FFFFFF"/>
        </w:rPr>
        <w:t>: 10.1007/s40267-020-00777-z.</w:t>
      </w:r>
    </w:p>
    <w:p w14:paraId="25E80522" w14:textId="1D1B754E" w:rsidR="00C07A9E" w:rsidRPr="00E67799" w:rsidRDefault="00C07A9E" w:rsidP="00E67799">
      <w:pPr>
        <w:pStyle w:val="NoSpacing"/>
        <w:bidi w:val="0"/>
        <w:rPr>
          <w:rFonts w:cstheme="minorHAnsi"/>
          <w:sz w:val="24"/>
          <w:szCs w:val="24"/>
        </w:rPr>
      </w:pPr>
      <w:r w:rsidRPr="00E67799">
        <w:rPr>
          <w:rFonts w:eastAsia="Shaker2Lancet-Regular" w:cstheme="minorHAnsi"/>
          <w:sz w:val="24"/>
          <w:szCs w:val="24"/>
        </w:rPr>
        <w:t>[</w:t>
      </w:r>
      <w:proofErr w:type="gramStart"/>
      <w:r w:rsidRPr="00E67799">
        <w:rPr>
          <w:rFonts w:eastAsia="Shaker2Lancet-Regular" w:cstheme="minorHAnsi"/>
          <w:sz w:val="24"/>
          <w:szCs w:val="24"/>
        </w:rPr>
        <w:t>6]</w:t>
      </w:r>
      <w:r w:rsidRPr="00E67799">
        <w:rPr>
          <w:rFonts w:cstheme="minorHAnsi"/>
          <w:sz w:val="24"/>
          <w:szCs w:val="24"/>
        </w:rPr>
        <w:t>Morris</w:t>
      </w:r>
      <w:proofErr w:type="gramEnd"/>
      <w:r w:rsidRPr="00E67799">
        <w:rPr>
          <w:rFonts w:cstheme="minorHAnsi"/>
          <w:sz w:val="24"/>
          <w:szCs w:val="24"/>
        </w:rPr>
        <w:t xml:space="preserve"> AM, Stall NM, Bobos P, et al. Tocilizumab for hospitalized patients with COVID-19. Science Briefs of the Ontario COVID-19 Science Advisory Table. 2021;2(11). </w:t>
      </w:r>
      <w:hyperlink r:id="rId11" w:history="1">
        <w:r w:rsidRPr="00E67799">
          <w:rPr>
            <w:rStyle w:val="Hyperlink"/>
            <w:rFonts w:cstheme="minorHAnsi"/>
            <w:color w:val="auto"/>
            <w:sz w:val="24"/>
            <w:szCs w:val="24"/>
          </w:rPr>
          <w:t>https://doi.org/10.47326/ocsat.2021.02.11.1.0</w:t>
        </w:r>
      </w:hyperlink>
      <w:r w:rsidRPr="00E67799">
        <w:rPr>
          <w:rFonts w:cstheme="minorHAnsi"/>
          <w:sz w:val="24"/>
          <w:szCs w:val="24"/>
        </w:rPr>
        <w:t>.</w:t>
      </w:r>
    </w:p>
    <w:p w14:paraId="603A7052" w14:textId="37DFCA39" w:rsidR="00C07A9E" w:rsidRPr="00E67799" w:rsidRDefault="00C07A9E" w:rsidP="00E67799">
      <w:pPr>
        <w:pStyle w:val="NoSpacing"/>
        <w:bidi w:val="0"/>
        <w:rPr>
          <w:rFonts w:cstheme="minorHAnsi"/>
          <w:sz w:val="24"/>
          <w:szCs w:val="24"/>
        </w:rPr>
      </w:pPr>
      <w:r w:rsidRPr="00E67799">
        <w:rPr>
          <w:rFonts w:eastAsia="ScalaLancetPro" w:cstheme="minorHAnsi"/>
          <w:sz w:val="24"/>
          <w:szCs w:val="24"/>
        </w:rPr>
        <w:t xml:space="preserve">[7] </w:t>
      </w:r>
      <w:r w:rsidRPr="00E67799">
        <w:rPr>
          <w:rFonts w:cstheme="minorHAnsi"/>
          <w:sz w:val="24"/>
          <w:szCs w:val="24"/>
        </w:rPr>
        <w:t xml:space="preserve">FACT SHEET FOR HEALTHCARE PROVIDERS: EMERGENCY USE AUTHORIZATION FOR ACTEMRA® (tocilizumab).Available at </w:t>
      </w:r>
      <w:hyperlink r:id="rId12" w:history="1">
        <w:r w:rsidRPr="00E67799">
          <w:rPr>
            <w:rStyle w:val="Hyperlink"/>
            <w:rFonts w:cstheme="minorHAnsi"/>
            <w:color w:val="auto"/>
            <w:sz w:val="24"/>
            <w:szCs w:val="24"/>
          </w:rPr>
          <w:t>https://www.fda.gov/media/150321/download</w:t>
        </w:r>
      </w:hyperlink>
      <w:r w:rsidRPr="00E67799">
        <w:rPr>
          <w:rFonts w:cstheme="minorHAnsi"/>
          <w:sz w:val="24"/>
          <w:szCs w:val="24"/>
        </w:rPr>
        <w:t>: Last Accessed : 9.2.2022.</w:t>
      </w:r>
    </w:p>
    <w:p w14:paraId="75436888" w14:textId="1283DC9B" w:rsidR="00C07A9E" w:rsidRPr="00E67799" w:rsidRDefault="00C07A9E" w:rsidP="00E67799">
      <w:pPr>
        <w:pStyle w:val="NoSpacing"/>
        <w:bidi w:val="0"/>
        <w:rPr>
          <w:rFonts w:eastAsia="ScalaLancetPro" w:cstheme="minorHAnsi"/>
          <w:sz w:val="24"/>
          <w:szCs w:val="24"/>
        </w:rPr>
      </w:pPr>
      <w:r w:rsidRPr="00E67799">
        <w:rPr>
          <w:rFonts w:eastAsia="ScalaLancetPro" w:cstheme="minorHAnsi"/>
          <w:sz w:val="24"/>
          <w:szCs w:val="24"/>
        </w:rPr>
        <w:t xml:space="preserve">[8] </w:t>
      </w:r>
      <w:r w:rsidRPr="00E67799">
        <w:rPr>
          <w:rFonts w:cstheme="minorHAnsi"/>
          <w:sz w:val="24"/>
          <w:szCs w:val="24"/>
        </w:rPr>
        <w:t xml:space="preserve">Moots RJ, </w:t>
      </w:r>
      <w:proofErr w:type="spellStart"/>
      <w:r w:rsidRPr="00E67799">
        <w:rPr>
          <w:rFonts w:cstheme="minorHAnsi"/>
          <w:sz w:val="24"/>
          <w:szCs w:val="24"/>
        </w:rPr>
        <w:t>Sebba</w:t>
      </w:r>
      <w:proofErr w:type="spellEnd"/>
      <w:r w:rsidRPr="00E67799">
        <w:rPr>
          <w:rFonts w:cstheme="minorHAnsi"/>
          <w:sz w:val="24"/>
          <w:szCs w:val="24"/>
        </w:rPr>
        <w:t xml:space="preserve"> A, Rigby W, et al. Effect of tocilizumab on neutrophils in adult patients with rheumatoid arthritis: pooled analysis of data from phase 3 and 4 clinical trials. Rheumatology (Oxford). 2017;56(4):541–9.</w:t>
      </w:r>
    </w:p>
    <w:p w14:paraId="360E1A2D" w14:textId="77777777" w:rsidR="00C07A9E" w:rsidRPr="00E67799" w:rsidRDefault="00C07A9E" w:rsidP="00E67799">
      <w:pPr>
        <w:pStyle w:val="NoSpacing"/>
        <w:bidi w:val="0"/>
        <w:rPr>
          <w:rStyle w:val="Hyperlink"/>
          <w:rFonts w:cstheme="minorHAnsi"/>
          <w:color w:val="auto"/>
          <w:sz w:val="24"/>
          <w:szCs w:val="24"/>
          <w:shd w:val="clear" w:color="auto" w:fill="FFFFFF"/>
        </w:rPr>
      </w:pPr>
      <w:r w:rsidRPr="00E67799">
        <w:rPr>
          <w:rFonts w:cstheme="minorHAnsi"/>
          <w:sz w:val="24"/>
          <w:szCs w:val="24"/>
        </w:rPr>
        <w:t>[</w:t>
      </w:r>
      <w:proofErr w:type="gramStart"/>
      <w:r w:rsidRPr="00E67799">
        <w:rPr>
          <w:rFonts w:cstheme="minorHAnsi"/>
          <w:sz w:val="24"/>
          <w:szCs w:val="24"/>
        </w:rPr>
        <w:t>9]</w:t>
      </w:r>
      <w:proofErr w:type="spellStart"/>
      <w:r w:rsidRPr="00E67799">
        <w:rPr>
          <w:rFonts w:cstheme="minorHAnsi"/>
          <w:sz w:val="24"/>
          <w:szCs w:val="24"/>
          <w:shd w:val="clear" w:color="auto" w:fill="FFFFFF"/>
        </w:rPr>
        <w:t>Rubbert</w:t>
      </w:r>
      <w:proofErr w:type="spellEnd"/>
      <w:proofErr w:type="gramEnd"/>
      <w:r w:rsidRPr="00E67799">
        <w:rPr>
          <w:rFonts w:cstheme="minorHAnsi"/>
          <w:sz w:val="24"/>
          <w:szCs w:val="24"/>
          <w:shd w:val="clear" w:color="auto" w:fill="FFFFFF"/>
        </w:rPr>
        <w:t xml:space="preserve">-Roth, A., </w:t>
      </w:r>
      <w:proofErr w:type="spellStart"/>
      <w:r w:rsidRPr="00E67799">
        <w:rPr>
          <w:rFonts w:cstheme="minorHAnsi"/>
          <w:sz w:val="24"/>
          <w:szCs w:val="24"/>
          <w:shd w:val="clear" w:color="auto" w:fill="FFFFFF"/>
        </w:rPr>
        <w:t>Furst</w:t>
      </w:r>
      <w:proofErr w:type="spellEnd"/>
      <w:r w:rsidRPr="00E67799">
        <w:rPr>
          <w:rFonts w:cstheme="minorHAnsi"/>
          <w:sz w:val="24"/>
          <w:szCs w:val="24"/>
          <w:shd w:val="clear" w:color="auto" w:fill="FFFFFF"/>
        </w:rPr>
        <w:t xml:space="preserve">, D. E., </w:t>
      </w:r>
      <w:proofErr w:type="spellStart"/>
      <w:r w:rsidRPr="00E67799">
        <w:rPr>
          <w:rFonts w:cstheme="minorHAnsi"/>
          <w:sz w:val="24"/>
          <w:szCs w:val="24"/>
          <w:shd w:val="clear" w:color="auto" w:fill="FFFFFF"/>
        </w:rPr>
        <w:t>Nebesky</w:t>
      </w:r>
      <w:proofErr w:type="spellEnd"/>
      <w:r w:rsidRPr="00E67799">
        <w:rPr>
          <w:rFonts w:cstheme="minorHAnsi"/>
          <w:sz w:val="24"/>
          <w:szCs w:val="24"/>
          <w:shd w:val="clear" w:color="auto" w:fill="FFFFFF"/>
        </w:rPr>
        <w:t xml:space="preserve">, J. M., </w:t>
      </w:r>
      <w:proofErr w:type="spellStart"/>
      <w:r w:rsidRPr="00E67799">
        <w:rPr>
          <w:rFonts w:cstheme="minorHAnsi"/>
          <w:sz w:val="24"/>
          <w:szCs w:val="24"/>
          <w:shd w:val="clear" w:color="auto" w:fill="FFFFFF"/>
        </w:rPr>
        <w:t>Jin</w:t>
      </w:r>
      <w:proofErr w:type="spellEnd"/>
      <w:r w:rsidRPr="00E67799">
        <w:rPr>
          <w:rFonts w:cstheme="minorHAnsi"/>
          <w:sz w:val="24"/>
          <w:szCs w:val="24"/>
          <w:shd w:val="clear" w:color="auto" w:fill="FFFFFF"/>
        </w:rPr>
        <w:t>, A., &amp; Berber, E. (2018). A Review of Recent Advances Using Tocilizumab in the Treatment of Rheumatic Diseases. </w:t>
      </w:r>
      <w:r w:rsidRPr="00E67799">
        <w:rPr>
          <w:rFonts w:cstheme="minorHAnsi"/>
          <w:i/>
          <w:iCs/>
          <w:sz w:val="24"/>
          <w:szCs w:val="24"/>
          <w:shd w:val="clear" w:color="auto" w:fill="FFFFFF"/>
        </w:rPr>
        <w:t>Rheumatology and therapy</w:t>
      </w:r>
      <w:r w:rsidRPr="00E67799">
        <w:rPr>
          <w:rFonts w:cstheme="minorHAnsi"/>
          <w:sz w:val="24"/>
          <w:szCs w:val="24"/>
          <w:shd w:val="clear" w:color="auto" w:fill="FFFFFF"/>
        </w:rPr>
        <w:t>, </w:t>
      </w:r>
      <w:r w:rsidRPr="00E67799">
        <w:rPr>
          <w:rFonts w:cstheme="minorHAnsi"/>
          <w:i/>
          <w:iCs/>
          <w:sz w:val="24"/>
          <w:szCs w:val="24"/>
          <w:shd w:val="clear" w:color="auto" w:fill="FFFFFF"/>
        </w:rPr>
        <w:t>5</w:t>
      </w:r>
      <w:r w:rsidRPr="00E67799">
        <w:rPr>
          <w:rFonts w:cstheme="minorHAnsi"/>
          <w:sz w:val="24"/>
          <w:szCs w:val="24"/>
          <w:shd w:val="clear" w:color="auto" w:fill="FFFFFF"/>
        </w:rPr>
        <w:t xml:space="preserve">(1), 21–42. </w:t>
      </w:r>
      <w:hyperlink r:id="rId13" w:history="1">
        <w:r w:rsidRPr="00E67799">
          <w:rPr>
            <w:rStyle w:val="Hyperlink"/>
            <w:rFonts w:cstheme="minorHAnsi"/>
            <w:color w:val="auto"/>
            <w:sz w:val="24"/>
            <w:szCs w:val="24"/>
            <w:shd w:val="clear" w:color="auto" w:fill="FFFFFF"/>
          </w:rPr>
          <w:t>https://doi.org/10.1007/s40744-018-0102-x</w:t>
        </w:r>
      </w:hyperlink>
      <w:r w:rsidRPr="00E67799">
        <w:rPr>
          <w:rStyle w:val="Hyperlink"/>
          <w:rFonts w:cstheme="minorHAnsi"/>
          <w:color w:val="auto"/>
          <w:sz w:val="24"/>
          <w:szCs w:val="24"/>
          <w:shd w:val="clear" w:color="auto" w:fill="FFFFFF"/>
        </w:rPr>
        <w:t xml:space="preserve">. </w:t>
      </w:r>
    </w:p>
    <w:p w14:paraId="3BFE30B5" w14:textId="3B4216F1" w:rsidR="00C07A9E" w:rsidRPr="00E67799" w:rsidRDefault="00C07A9E" w:rsidP="00E67799">
      <w:pPr>
        <w:pStyle w:val="NoSpacing"/>
        <w:bidi w:val="0"/>
        <w:rPr>
          <w:rFonts w:cstheme="minorHAnsi"/>
          <w:sz w:val="24"/>
          <w:szCs w:val="24"/>
          <w:shd w:val="clear" w:color="auto" w:fill="FFFFFF"/>
        </w:rPr>
      </w:pPr>
      <w:r w:rsidRPr="00E67799">
        <w:rPr>
          <w:rFonts w:cstheme="minorHAnsi"/>
          <w:sz w:val="24"/>
          <w:szCs w:val="24"/>
          <w:shd w:val="clear" w:color="auto" w:fill="FFFFFF"/>
        </w:rPr>
        <w:t>[</w:t>
      </w:r>
      <w:proofErr w:type="gramStart"/>
      <w:r w:rsidRPr="00E67799">
        <w:rPr>
          <w:rFonts w:cstheme="minorHAnsi"/>
          <w:sz w:val="24"/>
          <w:szCs w:val="24"/>
          <w:shd w:val="clear" w:color="auto" w:fill="FFFFFF"/>
        </w:rPr>
        <w:t>10]Mehta</w:t>
      </w:r>
      <w:proofErr w:type="gramEnd"/>
      <w:r w:rsidRPr="00E67799">
        <w:rPr>
          <w:rFonts w:cstheme="minorHAnsi"/>
          <w:sz w:val="24"/>
          <w:szCs w:val="24"/>
          <w:shd w:val="clear" w:color="auto" w:fill="FFFFFF"/>
        </w:rPr>
        <w:t xml:space="preserve">, P., McAuley, D. F., Brown, M., Sanchez, E., Tattersall, R. S., Manson, J. J., &amp; HLH Across </w:t>
      </w:r>
      <w:proofErr w:type="spellStart"/>
      <w:r w:rsidRPr="00E67799">
        <w:rPr>
          <w:rFonts w:cstheme="minorHAnsi"/>
          <w:sz w:val="24"/>
          <w:szCs w:val="24"/>
          <w:shd w:val="clear" w:color="auto" w:fill="FFFFFF"/>
        </w:rPr>
        <w:t>Speciality</w:t>
      </w:r>
      <w:proofErr w:type="spellEnd"/>
      <w:r w:rsidRPr="00E67799">
        <w:rPr>
          <w:rFonts w:cstheme="minorHAnsi"/>
          <w:sz w:val="24"/>
          <w:szCs w:val="24"/>
          <w:shd w:val="clear" w:color="auto" w:fill="FFFFFF"/>
        </w:rPr>
        <w:t xml:space="preserve"> Collaboration, UK (2020). COVID-19: consider cytokine storm syndromes and immunosuppression. </w:t>
      </w:r>
      <w:r w:rsidRPr="00E67799">
        <w:rPr>
          <w:rFonts w:cstheme="minorHAnsi"/>
          <w:i/>
          <w:iCs/>
          <w:sz w:val="24"/>
          <w:szCs w:val="24"/>
          <w:shd w:val="clear" w:color="auto" w:fill="FFFFFF"/>
        </w:rPr>
        <w:t>Lancet (London, England)</w:t>
      </w:r>
      <w:r w:rsidRPr="00E67799">
        <w:rPr>
          <w:rFonts w:cstheme="minorHAnsi"/>
          <w:sz w:val="24"/>
          <w:szCs w:val="24"/>
          <w:shd w:val="clear" w:color="auto" w:fill="FFFFFF"/>
        </w:rPr>
        <w:t>, </w:t>
      </w:r>
      <w:r w:rsidRPr="00E67799">
        <w:rPr>
          <w:rFonts w:cstheme="minorHAnsi"/>
          <w:i/>
          <w:iCs/>
          <w:sz w:val="24"/>
          <w:szCs w:val="24"/>
          <w:shd w:val="clear" w:color="auto" w:fill="FFFFFF"/>
        </w:rPr>
        <w:t>395</w:t>
      </w:r>
      <w:r w:rsidRPr="00E67799">
        <w:rPr>
          <w:rFonts w:cstheme="minorHAnsi"/>
          <w:sz w:val="24"/>
          <w:szCs w:val="24"/>
          <w:shd w:val="clear" w:color="auto" w:fill="FFFFFF"/>
        </w:rPr>
        <w:t xml:space="preserve">(10229), 1033–1034. </w:t>
      </w:r>
      <w:hyperlink r:id="rId14" w:history="1">
        <w:r w:rsidRPr="00E67799">
          <w:rPr>
            <w:rStyle w:val="Hyperlink"/>
            <w:rFonts w:cstheme="minorHAnsi"/>
            <w:color w:val="auto"/>
            <w:sz w:val="24"/>
            <w:szCs w:val="24"/>
            <w:shd w:val="clear" w:color="auto" w:fill="FFFFFF"/>
          </w:rPr>
          <w:t>https://doi.org/10.1016/S0140-6736(20)30628-0</w:t>
        </w:r>
      </w:hyperlink>
      <w:r w:rsidRPr="00E67799">
        <w:rPr>
          <w:rFonts w:cstheme="minorHAnsi"/>
          <w:sz w:val="24"/>
          <w:szCs w:val="24"/>
          <w:shd w:val="clear" w:color="auto" w:fill="FFFFFF"/>
        </w:rPr>
        <w:t xml:space="preserve"> .</w:t>
      </w:r>
    </w:p>
    <w:p w14:paraId="7ABCC83C" w14:textId="5D31D927" w:rsidR="00C07A9E" w:rsidRPr="00E67799" w:rsidRDefault="00C07A9E" w:rsidP="00E67799">
      <w:pPr>
        <w:pStyle w:val="NoSpacing"/>
        <w:bidi w:val="0"/>
        <w:rPr>
          <w:rFonts w:cstheme="minorHAnsi"/>
          <w:sz w:val="24"/>
          <w:szCs w:val="24"/>
          <w:u w:val="single"/>
          <w:shd w:val="clear" w:color="auto" w:fill="FFFFFF"/>
        </w:rPr>
      </w:pPr>
      <w:r w:rsidRPr="00E67799">
        <w:rPr>
          <w:rFonts w:cstheme="minorHAnsi"/>
          <w:sz w:val="24"/>
          <w:szCs w:val="24"/>
          <w:shd w:val="clear" w:color="auto" w:fill="FFFFFF"/>
        </w:rPr>
        <w:t xml:space="preserve">[11] Webb, B. J., </w:t>
      </w:r>
      <w:proofErr w:type="spellStart"/>
      <w:r w:rsidRPr="00E67799">
        <w:rPr>
          <w:rFonts w:cstheme="minorHAnsi"/>
          <w:sz w:val="24"/>
          <w:szCs w:val="24"/>
          <w:shd w:val="clear" w:color="auto" w:fill="FFFFFF"/>
        </w:rPr>
        <w:t>Peltan</w:t>
      </w:r>
      <w:proofErr w:type="spellEnd"/>
      <w:r w:rsidRPr="00E67799">
        <w:rPr>
          <w:rFonts w:cstheme="minorHAnsi"/>
          <w:sz w:val="24"/>
          <w:szCs w:val="24"/>
          <w:shd w:val="clear" w:color="auto" w:fill="FFFFFF"/>
        </w:rPr>
        <w:t xml:space="preserve">, I. D., Jensen, P., </w:t>
      </w:r>
      <w:proofErr w:type="spellStart"/>
      <w:r w:rsidRPr="00E67799">
        <w:rPr>
          <w:rFonts w:cstheme="minorHAnsi"/>
          <w:sz w:val="24"/>
          <w:szCs w:val="24"/>
          <w:shd w:val="clear" w:color="auto" w:fill="FFFFFF"/>
        </w:rPr>
        <w:t>Hoda</w:t>
      </w:r>
      <w:proofErr w:type="spellEnd"/>
      <w:r w:rsidRPr="00E67799">
        <w:rPr>
          <w:rFonts w:cstheme="minorHAnsi"/>
          <w:sz w:val="24"/>
          <w:szCs w:val="24"/>
          <w:shd w:val="clear" w:color="auto" w:fill="FFFFFF"/>
        </w:rPr>
        <w:t xml:space="preserve">, D., Hunter, B., Silver, A., Starr, N., </w:t>
      </w:r>
      <w:proofErr w:type="spellStart"/>
      <w:r w:rsidRPr="00E67799">
        <w:rPr>
          <w:rFonts w:cstheme="minorHAnsi"/>
          <w:sz w:val="24"/>
          <w:szCs w:val="24"/>
          <w:shd w:val="clear" w:color="auto" w:fill="FFFFFF"/>
        </w:rPr>
        <w:t>Buckel</w:t>
      </w:r>
      <w:proofErr w:type="spellEnd"/>
      <w:r w:rsidRPr="00E67799">
        <w:rPr>
          <w:rFonts w:cstheme="minorHAnsi"/>
          <w:sz w:val="24"/>
          <w:szCs w:val="24"/>
          <w:shd w:val="clear" w:color="auto" w:fill="FFFFFF"/>
        </w:rPr>
        <w:t xml:space="preserve">, W., Grisel, N., Hummel, E., Snow, G., Morris, D., </w:t>
      </w:r>
      <w:proofErr w:type="spellStart"/>
      <w:r w:rsidRPr="00E67799">
        <w:rPr>
          <w:rFonts w:cstheme="minorHAnsi"/>
          <w:sz w:val="24"/>
          <w:szCs w:val="24"/>
          <w:shd w:val="clear" w:color="auto" w:fill="FFFFFF"/>
        </w:rPr>
        <w:t>Stenehjem</w:t>
      </w:r>
      <w:proofErr w:type="spellEnd"/>
      <w:r w:rsidRPr="00E67799">
        <w:rPr>
          <w:rFonts w:cstheme="minorHAnsi"/>
          <w:sz w:val="24"/>
          <w:szCs w:val="24"/>
          <w:shd w:val="clear" w:color="auto" w:fill="FFFFFF"/>
        </w:rPr>
        <w:t xml:space="preserve">, E., Srivastava, R., &amp; Brown, S. M. </w:t>
      </w:r>
      <w:r w:rsidRPr="00E67799">
        <w:rPr>
          <w:rFonts w:cstheme="minorHAnsi"/>
          <w:sz w:val="24"/>
          <w:szCs w:val="24"/>
          <w:shd w:val="clear" w:color="auto" w:fill="FFFFFF"/>
        </w:rPr>
        <w:lastRenderedPageBreak/>
        <w:t>(2020). Clinical criteria for COVID-19-associated hyperinflammatory syndrome: a cohort study. </w:t>
      </w:r>
      <w:r w:rsidRPr="00E67799">
        <w:rPr>
          <w:rFonts w:cstheme="minorHAnsi"/>
          <w:i/>
          <w:iCs/>
          <w:sz w:val="24"/>
          <w:szCs w:val="24"/>
          <w:shd w:val="clear" w:color="auto" w:fill="FFFFFF"/>
        </w:rPr>
        <w:t>The Lancet. Rheumatology</w:t>
      </w:r>
      <w:r w:rsidRPr="00E67799">
        <w:rPr>
          <w:rFonts w:cstheme="minorHAnsi"/>
          <w:sz w:val="24"/>
          <w:szCs w:val="24"/>
          <w:shd w:val="clear" w:color="auto" w:fill="FFFFFF"/>
        </w:rPr>
        <w:t>, </w:t>
      </w:r>
      <w:r w:rsidRPr="00E67799">
        <w:rPr>
          <w:rFonts w:cstheme="minorHAnsi"/>
          <w:i/>
          <w:iCs/>
          <w:sz w:val="24"/>
          <w:szCs w:val="24"/>
          <w:shd w:val="clear" w:color="auto" w:fill="FFFFFF"/>
        </w:rPr>
        <w:t>2</w:t>
      </w:r>
      <w:r w:rsidRPr="00E67799">
        <w:rPr>
          <w:rFonts w:cstheme="minorHAnsi"/>
          <w:sz w:val="24"/>
          <w:szCs w:val="24"/>
          <w:shd w:val="clear" w:color="auto" w:fill="FFFFFF"/>
        </w:rPr>
        <w:t xml:space="preserve">(12), e754–e763. </w:t>
      </w:r>
      <w:hyperlink r:id="rId15" w:history="1">
        <w:r w:rsidRPr="00E67799">
          <w:rPr>
            <w:rStyle w:val="Hyperlink"/>
            <w:rFonts w:cstheme="minorHAnsi"/>
            <w:color w:val="auto"/>
            <w:sz w:val="24"/>
            <w:szCs w:val="24"/>
            <w:shd w:val="clear" w:color="auto" w:fill="FFFFFF"/>
          </w:rPr>
          <w:t>https://doi.org/10.1016/S2665-9913(20)30343-X</w:t>
        </w:r>
      </w:hyperlink>
      <w:r w:rsidRPr="00E67799">
        <w:rPr>
          <w:rStyle w:val="Hyperlink"/>
          <w:rFonts w:cstheme="minorHAnsi"/>
          <w:color w:val="auto"/>
          <w:sz w:val="24"/>
          <w:szCs w:val="24"/>
          <w:shd w:val="clear" w:color="auto" w:fill="FFFFFF"/>
        </w:rPr>
        <w:t>.</w:t>
      </w:r>
    </w:p>
    <w:p w14:paraId="375A95F7" w14:textId="77777777" w:rsidR="00C07A9E" w:rsidRPr="00E67799" w:rsidRDefault="00C07A9E" w:rsidP="00E67799">
      <w:pPr>
        <w:pStyle w:val="NoSpacing"/>
        <w:bidi w:val="0"/>
        <w:rPr>
          <w:rFonts w:eastAsia="Times New Roman" w:cstheme="minorHAnsi"/>
          <w:kern w:val="36"/>
          <w:sz w:val="24"/>
          <w:szCs w:val="24"/>
        </w:rPr>
      </w:pPr>
      <w:r w:rsidRPr="00E67799">
        <w:rPr>
          <w:rFonts w:cstheme="minorHAnsi"/>
          <w:sz w:val="24"/>
          <w:szCs w:val="24"/>
        </w:rPr>
        <w:t>[</w:t>
      </w:r>
      <w:proofErr w:type="gramStart"/>
      <w:r w:rsidRPr="00E67799">
        <w:rPr>
          <w:rFonts w:cstheme="minorHAnsi"/>
          <w:sz w:val="24"/>
          <w:szCs w:val="24"/>
        </w:rPr>
        <w:t>12]</w:t>
      </w:r>
      <w:r w:rsidRPr="00E67799">
        <w:rPr>
          <w:rFonts w:eastAsia="Times New Roman" w:cstheme="minorHAnsi"/>
          <w:kern w:val="36"/>
          <w:sz w:val="24"/>
          <w:szCs w:val="24"/>
        </w:rPr>
        <w:t>IDSA</w:t>
      </w:r>
      <w:proofErr w:type="gramEnd"/>
      <w:r w:rsidRPr="00E67799">
        <w:rPr>
          <w:rFonts w:eastAsia="Times New Roman" w:cstheme="minorHAnsi"/>
          <w:kern w:val="36"/>
          <w:sz w:val="24"/>
          <w:szCs w:val="24"/>
        </w:rPr>
        <w:t xml:space="preserve"> Guidelines on the Treatment and Management of Patients with COVID-19</w:t>
      </w:r>
    </w:p>
    <w:p w14:paraId="3B1DD819" w14:textId="330B9ED0" w:rsidR="00C07A9E" w:rsidRPr="00E67799" w:rsidRDefault="00C07A9E" w:rsidP="00E67799">
      <w:pPr>
        <w:pStyle w:val="NoSpacing"/>
        <w:bidi w:val="0"/>
        <w:rPr>
          <w:rFonts w:cstheme="minorHAnsi"/>
          <w:sz w:val="24"/>
          <w:szCs w:val="24"/>
        </w:rPr>
      </w:pPr>
      <w:r w:rsidRPr="00E67799">
        <w:rPr>
          <w:rFonts w:eastAsia="Times New Roman" w:cstheme="minorHAnsi"/>
          <w:sz w:val="24"/>
          <w:szCs w:val="24"/>
        </w:rPr>
        <w:t>Published by IDSA on 4/11/2020. Last updated, 2/8/2022</w:t>
      </w:r>
      <w:r w:rsidRPr="00E67799">
        <w:rPr>
          <w:rFonts w:cstheme="minorHAnsi"/>
          <w:sz w:val="24"/>
          <w:szCs w:val="24"/>
        </w:rPr>
        <w:t xml:space="preserve"> </w:t>
      </w:r>
      <w:hyperlink r:id="rId16" w:history="1">
        <w:r w:rsidRPr="00E67799">
          <w:rPr>
            <w:rStyle w:val="Hyperlink"/>
            <w:rFonts w:cstheme="minorHAnsi"/>
            <w:color w:val="auto"/>
            <w:sz w:val="24"/>
            <w:szCs w:val="24"/>
          </w:rPr>
          <w:t xml:space="preserve">https://www.idsociety.org/practice-guideline/covid-19-guideline-treatment-and-management/. Last Accessed 9.2.2022. </w:t>
        </w:r>
      </w:hyperlink>
    </w:p>
    <w:p w14:paraId="03548C66" w14:textId="365DA4AC" w:rsidR="00C07A9E" w:rsidRPr="00E67799" w:rsidRDefault="00C07A9E" w:rsidP="00E67799">
      <w:pPr>
        <w:pStyle w:val="NoSpacing"/>
        <w:bidi w:val="0"/>
        <w:rPr>
          <w:rFonts w:cstheme="minorHAnsi"/>
          <w:sz w:val="24"/>
          <w:szCs w:val="24"/>
          <w:shd w:val="clear" w:color="auto" w:fill="FFFFFF"/>
        </w:rPr>
      </w:pPr>
      <w:r w:rsidRPr="00E67799">
        <w:rPr>
          <w:rFonts w:cstheme="minorHAnsi"/>
          <w:sz w:val="24"/>
          <w:szCs w:val="24"/>
          <w:shd w:val="clear" w:color="auto" w:fill="FFFFFF"/>
        </w:rPr>
        <w:t xml:space="preserve">[13] Singh, J. A., Wells, G. A., Christensen, R., Tanjong </w:t>
      </w:r>
      <w:proofErr w:type="spellStart"/>
      <w:r w:rsidRPr="00E67799">
        <w:rPr>
          <w:rFonts w:cstheme="minorHAnsi"/>
          <w:sz w:val="24"/>
          <w:szCs w:val="24"/>
          <w:shd w:val="clear" w:color="auto" w:fill="FFFFFF"/>
        </w:rPr>
        <w:t>Ghogomu</w:t>
      </w:r>
      <w:proofErr w:type="spellEnd"/>
      <w:r w:rsidRPr="00E67799">
        <w:rPr>
          <w:rFonts w:cstheme="minorHAnsi"/>
          <w:sz w:val="24"/>
          <w:szCs w:val="24"/>
          <w:shd w:val="clear" w:color="auto" w:fill="FFFFFF"/>
        </w:rPr>
        <w:t xml:space="preserve">, E., Maxwell, L., Macdonald, J. K., </w:t>
      </w:r>
      <w:proofErr w:type="spellStart"/>
      <w:r w:rsidRPr="00E67799">
        <w:rPr>
          <w:rFonts w:cstheme="minorHAnsi"/>
          <w:sz w:val="24"/>
          <w:szCs w:val="24"/>
          <w:shd w:val="clear" w:color="auto" w:fill="FFFFFF"/>
        </w:rPr>
        <w:t>Filippini</w:t>
      </w:r>
      <w:proofErr w:type="spellEnd"/>
      <w:r w:rsidRPr="00E67799">
        <w:rPr>
          <w:rFonts w:cstheme="minorHAnsi"/>
          <w:sz w:val="24"/>
          <w:szCs w:val="24"/>
          <w:shd w:val="clear" w:color="auto" w:fill="FFFFFF"/>
        </w:rPr>
        <w:t xml:space="preserve">, G., </w:t>
      </w:r>
      <w:proofErr w:type="spellStart"/>
      <w:r w:rsidRPr="00E67799">
        <w:rPr>
          <w:rFonts w:cstheme="minorHAnsi"/>
          <w:sz w:val="24"/>
          <w:szCs w:val="24"/>
          <w:shd w:val="clear" w:color="auto" w:fill="FFFFFF"/>
        </w:rPr>
        <w:t>Skoetz</w:t>
      </w:r>
      <w:proofErr w:type="spellEnd"/>
      <w:r w:rsidRPr="00E67799">
        <w:rPr>
          <w:rFonts w:cstheme="minorHAnsi"/>
          <w:sz w:val="24"/>
          <w:szCs w:val="24"/>
          <w:shd w:val="clear" w:color="auto" w:fill="FFFFFF"/>
        </w:rPr>
        <w:t xml:space="preserve">, N., Francis, D., Lopes, L. C., </w:t>
      </w:r>
      <w:proofErr w:type="spellStart"/>
      <w:r w:rsidRPr="00E67799">
        <w:rPr>
          <w:rFonts w:cstheme="minorHAnsi"/>
          <w:sz w:val="24"/>
          <w:szCs w:val="24"/>
          <w:shd w:val="clear" w:color="auto" w:fill="FFFFFF"/>
        </w:rPr>
        <w:t>Guyatt</w:t>
      </w:r>
      <w:proofErr w:type="spellEnd"/>
      <w:r w:rsidRPr="00E67799">
        <w:rPr>
          <w:rFonts w:cstheme="minorHAnsi"/>
          <w:sz w:val="24"/>
          <w:szCs w:val="24"/>
          <w:shd w:val="clear" w:color="auto" w:fill="FFFFFF"/>
        </w:rPr>
        <w:t xml:space="preserve">, G. H., Schmitt, J., La </w:t>
      </w:r>
      <w:proofErr w:type="spellStart"/>
      <w:r w:rsidRPr="00E67799">
        <w:rPr>
          <w:rFonts w:cstheme="minorHAnsi"/>
          <w:sz w:val="24"/>
          <w:szCs w:val="24"/>
          <w:shd w:val="clear" w:color="auto" w:fill="FFFFFF"/>
        </w:rPr>
        <w:t>Mantia</w:t>
      </w:r>
      <w:proofErr w:type="spellEnd"/>
      <w:r w:rsidRPr="00E67799">
        <w:rPr>
          <w:rFonts w:cstheme="minorHAnsi"/>
          <w:sz w:val="24"/>
          <w:szCs w:val="24"/>
          <w:shd w:val="clear" w:color="auto" w:fill="FFFFFF"/>
        </w:rPr>
        <w:t xml:space="preserve">, L., </w:t>
      </w:r>
      <w:proofErr w:type="spellStart"/>
      <w:r w:rsidRPr="00E67799">
        <w:rPr>
          <w:rFonts w:cstheme="minorHAnsi"/>
          <w:sz w:val="24"/>
          <w:szCs w:val="24"/>
          <w:shd w:val="clear" w:color="auto" w:fill="FFFFFF"/>
        </w:rPr>
        <w:t>Weberschock</w:t>
      </w:r>
      <w:proofErr w:type="spellEnd"/>
      <w:r w:rsidRPr="00E67799">
        <w:rPr>
          <w:rFonts w:cstheme="minorHAnsi"/>
          <w:sz w:val="24"/>
          <w:szCs w:val="24"/>
          <w:shd w:val="clear" w:color="auto" w:fill="FFFFFF"/>
        </w:rPr>
        <w:t xml:space="preserve">, T., </w:t>
      </w:r>
      <w:proofErr w:type="spellStart"/>
      <w:r w:rsidRPr="00E67799">
        <w:rPr>
          <w:rFonts w:cstheme="minorHAnsi"/>
          <w:sz w:val="24"/>
          <w:szCs w:val="24"/>
          <w:shd w:val="clear" w:color="auto" w:fill="FFFFFF"/>
        </w:rPr>
        <w:t>Roos</w:t>
      </w:r>
      <w:proofErr w:type="spellEnd"/>
      <w:r w:rsidRPr="00E67799">
        <w:rPr>
          <w:rFonts w:cstheme="minorHAnsi"/>
          <w:sz w:val="24"/>
          <w:szCs w:val="24"/>
          <w:shd w:val="clear" w:color="auto" w:fill="FFFFFF"/>
        </w:rPr>
        <w:t xml:space="preserve">, J. F., Siebert, H., </w:t>
      </w:r>
      <w:proofErr w:type="spellStart"/>
      <w:r w:rsidRPr="00E67799">
        <w:rPr>
          <w:rFonts w:cstheme="minorHAnsi"/>
          <w:sz w:val="24"/>
          <w:szCs w:val="24"/>
          <w:shd w:val="clear" w:color="auto" w:fill="FFFFFF"/>
        </w:rPr>
        <w:t>Hershan</w:t>
      </w:r>
      <w:proofErr w:type="spellEnd"/>
      <w:r w:rsidRPr="00E67799">
        <w:rPr>
          <w:rFonts w:cstheme="minorHAnsi"/>
          <w:sz w:val="24"/>
          <w:szCs w:val="24"/>
          <w:shd w:val="clear" w:color="auto" w:fill="FFFFFF"/>
        </w:rPr>
        <w:t xml:space="preserve">, S., Lunn, M. P., </w:t>
      </w:r>
      <w:proofErr w:type="spellStart"/>
      <w:r w:rsidRPr="00E67799">
        <w:rPr>
          <w:rFonts w:cstheme="minorHAnsi"/>
          <w:sz w:val="24"/>
          <w:szCs w:val="24"/>
          <w:shd w:val="clear" w:color="auto" w:fill="FFFFFF"/>
        </w:rPr>
        <w:t>Tugwell</w:t>
      </w:r>
      <w:proofErr w:type="spellEnd"/>
      <w:r w:rsidRPr="00E67799">
        <w:rPr>
          <w:rFonts w:cstheme="minorHAnsi"/>
          <w:sz w:val="24"/>
          <w:szCs w:val="24"/>
          <w:shd w:val="clear" w:color="auto" w:fill="FFFFFF"/>
        </w:rPr>
        <w:t>, P., &amp; Buchbinder, R. (2011). Adverse effects of biologics: a network meta-analysis and Cochrane overview. </w:t>
      </w:r>
      <w:r w:rsidRPr="00E67799">
        <w:rPr>
          <w:rFonts w:cstheme="minorHAnsi"/>
          <w:i/>
          <w:iCs/>
          <w:sz w:val="24"/>
          <w:szCs w:val="24"/>
          <w:shd w:val="clear" w:color="auto" w:fill="FFFFFF"/>
        </w:rPr>
        <w:t>The Cochrane database of systematic reviews</w:t>
      </w:r>
      <w:r w:rsidRPr="00E67799">
        <w:rPr>
          <w:rFonts w:cstheme="minorHAnsi"/>
          <w:sz w:val="24"/>
          <w:szCs w:val="24"/>
          <w:shd w:val="clear" w:color="auto" w:fill="FFFFFF"/>
        </w:rPr>
        <w:t>, </w:t>
      </w:r>
      <w:r w:rsidRPr="00E67799">
        <w:rPr>
          <w:rFonts w:cstheme="minorHAnsi"/>
          <w:i/>
          <w:iCs/>
          <w:sz w:val="24"/>
          <w:szCs w:val="24"/>
          <w:shd w:val="clear" w:color="auto" w:fill="FFFFFF"/>
        </w:rPr>
        <w:t>2011</w:t>
      </w:r>
      <w:r w:rsidRPr="00E67799">
        <w:rPr>
          <w:rFonts w:cstheme="minorHAnsi"/>
          <w:sz w:val="24"/>
          <w:szCs w:val="24"/>
          <w:shd w:val="clear" w:color="auto" w:fill="FFFFFF"/>
        </w:rPr>
        <w:t xml:space="preserve">(2), CD008794. </w:t>
      </w:r>
      <w:hyperlink r:id="rId17" w:history="1">
        <w:r w:rsidRPr="00E67799">
          <w:rPr>
            <w:rStyle w:val="Hyperlink"/>
            <w:rFonts w:cstheme="minorHAnsi"/>
            <w:color w:val="auto"/>
            <w:sz w:val="24"/>
            <w:szCs w:val="24"/>
            <w:shd w:val="clear" w:color="auto" w:fill="FFFFFF"/>
          </w:rPr>
          <w:t>https://doi.org/10.1002/14651858.CD008794.pub2</w:t>
        </w:r>
      </w:hyperlink>
      <w:r w:rsidRPr="00E67799">
        <w:rPr>
          <w:rFonts w:cstheme="minorHAnsi"/>
          <w:sz w:val="24"/>
          <w:szCs w:val="24"/>
          <w:shd w:val="clear" w:color="auto" w:fill="FFFFFF"/>
        </w:rPr>
        <w:t>.</w:t>
      </w:r>
    </w:p>
    <w:p w14:paraId="60F708E7" w14:textId="6CE36F49" w:rsidR="00C07A9E" w:rsidRPr="00E67799" w:rsidRDefault="00C07A9E" w:rsidP="00E67799">
      <w:pPr>
        <w:pStyle w:val="NoSpacing"/>
        <w:bidi w:val="0"/>
        <w:rPr>
          <w:rFonts w:cstheme="minorHAnsi"/>
          <w:sz w:val="24"/>
          <w:szCs w:val="24"/>
        </w:rPr>
      </w:pPr>
      <w:r w:rsidRPr="00E67799">
        <w:rPr>
          <w:rFonts w:cstheme="minorHAnsi"/>
          <w:sz w:val="24"/>
          <w:szCs w:val="24"/>
        </w:rPr>
        <w:t xml:space="preserve">[14] López-Pereira P, </w:t>
      </w:r>
      <w:proofErr w:type="spellStart"/>
      <w:r w:rsidRPr="00E67799">
        <w:rPr>
          <w:rFonts w:cstheme="minorHAnsi"/>
          <w:sz w:val="24"/>
          <w:szCs w:val="24"/>
        </w:rPr>
        <w:t>Iturrate</w:t>
      </w:r>
      <w:proofErr w:type="spellEnd"/>
      <w:r w:rsidRPr="00E67799">
        <w:rPr>
          <w:rFonts w:cstheme="minorHAnsi"/>
          <w:sz w:val="24"/>
          <w:szCs w:val="24"/>
        </w:rPr>
        <w:t xml:space="preserve"> I, de La </w:t>
      </w:r>
      <w:proofErr w:type="spellStart"/>
      <w:r w:rsidRPr="00E67799">
        <w:rPr>
          <w:rFonts w:cstheme="minorHAnsi"/>
          <w:sz w:val="24"/>
          <w:szCs w:val="24"/>
        </w:rPr>
        <w:t>Cámara</w:t>
      </w:r>
      <w:proofErr w:type="spellEnd"/>
      <w:r w:rsidRPr="00E67799">
        <w:rPr>
          <w:rFonts w:cstheme="minorHAnsi"/>
          <w:sz w:val="24"/>
          <w:szCs w:val="24"/>
        </w:rPr>
        <w:t xml:space="preserve"> R, </w:t>
      </w:r>
      <w:proofErr w:type="spellStart"/>
      <w:r w:rsidRPr="00E67799">
        <w:rPr>
          <w:rFonts w:cstheme="minorHAnsi"/>
          <w:sz w:val="24"/>
          <w:szCs w:val="24"/>
        </w:rPr>
        <w:t>Cardeñoso</w:t>
      </w:r>
      <w:proofErr w:type="spellEnd"/>
      <w:r w:rsidRPr="00E67799">
        <w:rPr>
          <w:rFonts w:cstheme="minorHAnsi"/>
          <w:sz w:val="24"/>
          <w:szCs w:val="24"/>
        </w:rPr>
        <w:t xml:space="preserve"> L, Alegre A, </w:t>
      </w:r>
      <w:proofErr w:type="spellStart"/>
      <w:r w:rsidRPr="00E67799">
        <w:rPr>
          <w:rFonts w:cstheme="minorHAnsi"/>
          <w:sz w:val="24"/>
          <w:szCs w:val="24"/>
        </w:rPr>
        <w:t>Aguado</w:t>
      </w:r>
      <w:proofErr w:type="spellEnd"/>
      <w:r w:rsidRPr="00E67799">
        <w:rPr>
          <w:rFonts w:cstheme="minorHAnsi"/>
          <w:sz w:val="24"/>
          <w:szCs w:val="24"/>
        </w:rPr>
        <w:t xml:space="preserve"> B. Can COVID-19 cause severe </w:t>
      </w:r>
      <w:proofErr w:type="gramStart"/>
      <w:r w:rsidRPr="00E67799">
        <w:rPr>
          <w:rFonts w:cstheme="minorHAnsi"/>
          <w:sz w:val="24"/>
          <w:szCs w:val="24"/>
        </w:rPr>
        <w:t>neutropenia?.</w:t>
      </w:r>
      <w:proofErr w:type="gramEnd"/>
      <w:r w:rsidRPr="00E67799">
        <w:rPr>
          <w:rFonts w:cstheme="minorHAnsi"/>
          <w:sz w:val="24"/>
          <w:szCs w:val="24"/>
        </w:rPr>
        <w:t xml:space="preserve"> </w:t>
      </w:r>
      <w:r w:rsidRPr="00E67799">
        <w:rPr>
          <w:rFonts w:cstheme="minorHAnsi"/>
          <w:i/>
          <w:iCs/>
          <w:sz w:val="24"/>
          <w:szCs w:val="24"/>
        </w:rPr>
        <w:t>Clin Case Rep</w:t>
      </w:r>
      <w:r w:rsidRPr="00E67799">
        <w:rPr>
          <w:rFonts w:cstheme="minorHAnsi"/>
          <w:sz w:val="24"/>
          <w:szCs w:val="24"/>
        </w:rPr>
        <w:t xml:space="preserve">. </w:t>
      </w:r>
      <w:proofErr w:type="gramStart"/>
      <w:r w:rsidRPr="00E67799">
        <w:rPr>
          <w:rFonts w:cstheme="minorHAnsi"/>
          <w:sz w:val="24"/>
          <w:szCs w:val="24"/>
        </w:rPr>
        <w:t>2020;8:3348</w:t>
      </w:r>
      <w:proofErr w:type="gramEnd"/>
      <w:r w:rsidRPr="00E67799">
        <w:rPr>
          <w:rFonts w:cstheme="minorHAnsi"/>
          <w:sz w:val="24"/>
          <w:szCs w:val="24"/>
        </w:rPr>
        <w:t xml:space="preserve">–3350. </w:t>
      </w:r>
      <w:hyperlink r:id="rId18" w:history="1">
        <w:r w:rsidRPr="00E67799">
          <w:rPr>
            <w:rStyle w:val="Hyperlink"/>
            <w:rFonts w:cstheme="minorHAnsi"/>
            <w:color w:val="auto"/>
            <w:sz w:val="24"/>
            <w:szCs w:val="24"/>
          </w:rPr>
          <w:t>https://doi.org/10.1002/ccr3.3369</w:t>
        </w:r>
      </w:hyperlink>
      <w:r w:rsidRPr="00E67799">
        <w:rPr>
          <w:rFonts w:cstheme="minorHAnsi"/>
          <w:sz w:val="24"/>
          <w:szCs w:val="24"/>
        </w:rPr>
        <w:t xml:space="preserve"> .</w:t>
      </w:r>
    </w:p>
    <w:p w14:paraId="02F4FB62" w14:textId="088E40F5" w:rsidR="00C07A9E" w:rsidRPr="00E67799" w:rsidRDefault="00C07A9E" w:rsidP="00E67799">
      <w:pPr>
        <w:pStyle w:val="NoSpacing"/>
        <w:bidi w:val="0"/>
        <w:rPr>
          <w:rFonts w:eastAsia="Times New Roman" w:cstheme="minorHAnsi"/>
          <w:sz w:val="24"/>
          <w:szCs w:val="24"/>
        </w:rPr>
      </w:pPr>
      <w:r w:rsidRPr="00E67799">
        <w:rPr>
          <w:rFonts w:cstheme="minorHAnsi"/>
          <w:sz w:val="24"/>
          <w:szCs w:val="24"/>
        </w:rPr>
        <w:t>[15]</w:t>
      </w:r>
      <w:r w:rsidRPr="00E67799">
        <w:rPr>
          <w:rFonts w:cstheme="minorHAnsi"/>
          <w:color w:val="212121"/>
          <w:sz w:val="24"/>
          <w:szCs w:val="24"/>
          <w:shd w:val="clear" w:color="auto" w:fill="FFFFFF"/>
        </w:rPr>
        <w:t xml:space="preserve"> </w:t>
      </w:r>
      <w:r w:rsidRPr="00E67799">
        <w:rPr>
          <w:rFonts w:eastAsia="Times New Roman" w:cstheme="minorHAnsi"/>
          <w:color w:val="212121"/>
          <w:sz w:val="24"/>
          <w:szCs w:val="24"/>
          <w:shd w:val="clear" w:color="auto" w:fill="FFFFFF"/>
        </w:rPr>
        <w:t xml:space="preserve">Jena A, Jha DK, Kumar-M P, et al. Prevalence of polymorphisms in thiopurine metabolism and association with adverse outcomes: </w:t>
      </w:r>
      <w:proofErr w:type="gramStart"/>
      <w:r w:rsidRPr="00E67799">
        <w:rPr>
          <w:rFonts w:eastAsia="Times New Roman" w:cstheme="minorHAnsi"/>
          <w:color w:val="212121"/>
          <w:sz w:val="24"/>
          <w:szCs w:val="24"/>
          <w:shd w:val="clear" w:color="auto" w:fill="FFFFFF"/>
        </w:rPr>
        <w:t>a</w:t>
      </w:r>
      <w:proofErr w:type="gramEnd"/>
      <w:r w:rsidRPr="00E67799">
        <w:rPr>
          <w:rFonts w:eastAsia="Times New Roman" w:cstheme="minorHAnsi"/>
          <w:color w:val="212121"/>
          <w:sz w:val="24"/>
          <w:szCs w:val="24"/>
          <w:shd w:val="clear" w:color="auto" w:fill="FFFFFF"/>
        </w:rPr>
        <w:t xml:space="preserve"> South Asian region-specific systematic review and meta-analysis. </w:t>
      </w:r>
      <w:r w:rsidRPr="00E67799">
        <w:rPr>
          <w:rFonts w:eastAsia="Times New Roman" w:cstheme="minorHAnsi"/>
          <w:i/>
          <w:iCs/>
          <w:color w:val="212121"/>
          <w:sz w:val="24"/>
          <w:szCs w:val="24"/>
          <w:shd w:val="clear" w:color="auto" w:fill="FFFFFF"/>
        </w:rPr>
        <w:t xml:space="preserve">Expert Rev Clin </w:t>
      </w:r>
      <w:proofErr w:type="spellStart"/>
      <w:r w:rsidRPr="00E67799">
        <w:rPr>
          <w:rFonts w:eastAsia="Times New Roman" w:cstheme="minorHAnsi"/>
          <w:i/>
          <w:iCs/>
          <w:color w:val="212121"/>
          <w:sz w:val="24"/>
          <w:szCs w:val="24"/>
          <w:shd w:val="clear" w:color="auto" w:fill="FFFFFF"/>
        </w:rPr>
        <w:t>Pharmacol</w:t>
      </w:r>
      <w:proofErr w:type="spellEnd"/>
      <w:r w:rsidRPr="00E67799">
        <w:rPr>
          <w:rFonts w:eastAsia="Times New Roman" w:cstheme="minorHAnsi"/>
          <w:color w:val="212121"/>
          <w:sz w:val="24"/>
          <w:szCs w:val="24"/>
          <w:shd w:val="clear" w:color="auto" w:fill="FFFFFF"/>
        </w:rPr>
        <w:t>. 2021;14(4):491-501. doi:10.1080/17512433.2021.1900729</w:t>
      </w:r>
    </w:p>
    <w:p w14:paraId="7A963B36" w14:textId="442A1B41" w:rsidR="00C07A9E" w:rsidRPr="00E67799" w:rsidRDefault="00C07A9E" w:rsidP="00E67799">
      <w:pPr>
        <w:pStyle w:val="NoSpacing"/>
        <w:bidi w:val="0"/>
        <w:rPr>
          <w:rFonts w:cstheme="minorHAnsi"/>
          <w:sz w:val="24"/>
          <w:szCs w:val="24"/>
          <w:shd w:val="clear" w:color="auto" w:fill="FFFFFF"/>
        </w:rPr>
      </w:pPr>
      <w:r w:rsidRPr="00E67799">
        <w:rPr>
          <w:rFonts w:cstheme="minorHAnsi"/>
          <w:sz w:val="24"/>
          <w:szCs w:val="24"/>
        </w:rPr>
        <w:t>[16]</w:t>
      </w:r>
      <w:r w:rsidRPr="00E67799">
        <w:rPr>
          <w:rFonts w:cstheme="minorHAnsi"/>
          <w:sz w:val="24"/>
          <w:szCs w:val="24"/>
          <w:shd w:val="clear" w:color="auto" w:fill="FFFFFF"/>
        </w:rPr>
        <w:t xml:space="preserve"> Gillon R. Medical ethics: four principles plus attention to scope. </w:t>
      </w:r>
      <w:r w:rsidRPr="00E67799">
        <w:rPr>
          <w:rFonts w:cstheme="minorHAnsi"/>
          <w:i/>
          <w:iCs/>
          <w:sz w:val="24"/>
          <w:szCs w:val="24"/>
          <w:shd w:val="clear" w:color="auto" w:fill="FFFFFF"/>
        </w:rPr>
        <w:t>BMJ</w:t>
      </w:r>
      <w:r w:rsidRPr="00E67799">
        <w:rPr>
          <w:rFonts w:cstheme="minorHAnsi"/>
          <w:sz w:val="24"/>
          <w:szCs w:val="24"/>
          <w:shd w:val="clear" w:color="auto" w:fill="FFFFFF"/>
        </w:rPr>
        <w:t>. 1994;309(6948):184-188. doi:10.1136/bmj.309.6948.184.</w:t>
      </w:r>
    </w:p>
    <w:p w14:paraId="42AA5D96" w14:textId="42370028" w:rsidR="00C07A9E" w:rsidRPr="00E67799" w:rsidRDefault="00C07A9E" w:rsidP="00E67799">
      <w:pPr>
        <w:pStyle w:val="NoSpacing"/>
        <w:bidi w:val="0"/>
        <w:rPr>
          <w:rFonts w:cstheme="minorHAnsi"/>
          <w:sz w:val="24"/>
          <w:szCs w:val="24"/>
          <w:shd w:val="clear" w:color="auto" w:fill="FFFFFF"/>
        </w:rPr>
      </w:pPr>
      <w:r w:rsidRPr="00E67799">
        <w:rPr>
          <w:rFonts w:cstheme="minorHAnsi"/>
          <w:sz w:val="24"/>
          <w:szCs w:val="24"/>
        </w:rPr>
        <w:t xml:space="preserve">[17] </w:t>
      </w:r>
      <w:proofErr w:type="spellStart"/>
      <w:r w:rsidRPr="00E67799">
        <w:rPr>
          <w:rFonts w:cstheme="minorHAnsi"/>
          <w:sz w:val="24"/>
          <w:szCs w:val="24"/>
          <w:shd w:val="clear" w:color="auto" w:fill="FFFFFF"/>
        </w:rPr>
        <w:t>Morjaria</w:t>
      </w:r>
      <w:proofErr w:type="spellEnd"/>
      <w:r w:rsidRPr="00E67799">
        <w:rPr>
          <w:rFonts w:cstheme="minorHAnsi"/>
          <w:sz w:val="24"/>
          <w:szCs w:val="24"/>
          <w:shd w:val="clear" w:color="auto" w:fill="FFFFFF"/>
        </w:rPr>
        <w:t xml:space="preserve"> S, Zhang A, </w:t>
      </w:r>
      <w:proofErr w:type="spellStart"/>
      <w:r w:rsidRPr="00E67799">
        <w:rPr>
          <w:rFonts w:cstheme="minorHAnsi"/>
          <w:sz w:val="24"/>
          <w:szCs w:val="24"/>
          <w:shd w:val="clear" w:color="auto" w:fill="FFFFFF"/>
        </w:rPr>
        <w:t>Kaltsas</w:t>
      </w:r>
      <w:proofErr w:type="spellEnd"/>
      <w:r w:rsidRPr="00E67799">
        <w:rPr>
          <w:rFonts w:cstheme="minorHAnsi"/>
          <w:sz w:val="24"/>
          <w:szCs w:val="24"/>
          <w:shd w:val="clear" w:color="auto" w:fill="FFFFFF"/>
        </w:rPr>
        <w:t xml:space="preserve"> Md A, et al. The Effect of Neutropenia and Filgrastim (G-CSF) in Cancer Patients With COVID-19 Infection. Preprint. </w:t>
      </w:r>
      <w:proofErr w:type="spellStart"/>
      <w:r w:rsidRPr="00E67799">
        <w:rPr>
          <w:rFonts w:cstheme="minorHAnsi"/>
          <w:i/>
          <w:iCs/>
          <w:sz w:val="24"/>
          <w:szCs w:val="24"/>
          <w:shd w:val="clear" w:color="auto" w:fill="FFFFFF"/>
        </w:rPr>
        <w:t>medRxiv</w:t>
      </w:r>
      <w:proofErr w:type="spellEnd"/>
      <w:r w:rsidRPr="00E67799">
        <w:rPr>
          <w:rFonts w:cstheme="minorHAnsi"/>
          <w:sz w:val="24"/>
          <w:szCs w:val="24"/>
          <w:shd w:val="clear" w:color="auto" w:fill="FFFFFF"/>
        </w:rPr>
        <w:t>. 2020;2020.08.13.20174565. Published 2020 Aug 15. doi:10.1101/2020.08.13.20174565.</w:t>
      </w:r>
    </w:p>
    <w:p w14:paraId="1CD52DF8" w14:textId="5BD6B693" w:rsidR="00C07A9E" w:rsidRPr="00E67799" w:rsidRDefault="00C07A9E" w:rsidP="00E67799">
      <w:pPr>
        <w:pStyle w:val="NoSpacing"/>
        <w:bidi w:val="0"/>
        <w:rPr>
          <w:rFonts w:cstheme="minorHAnsi"/>
          <w:sz w:val="24"/>
          <w:szCs w:val="24"/>
        </w:rPr>
      </w:pPr>
      <w:r w:rsidRPr="00E67799">
        <w:rPr>
          <w:rFonts w:cstheme="minorHAnsi"/>
          <w:sz w:val="24"/>
          <w:szCs w:val="24"/>
        </w:rPr>
        <w:t xml:space="preserve">[18] </w:t>
      </w:r>
      <w:r w:rsidRPr="00E67799">
        <w:rPr>
          <w:rFonts w:cstheme="minorHAnsi"/>
          <w:sz w:val="24"/>
          <w:szCs w:val="24"/>
          <w:shd w:val="clear" w:color="auto" w:fill="FFFFFF"/>
        </w:rPr>
        <w:t>Lazarus HM, Gale RP. G-CSF and GM-CSF Are Different. Which One Is Better for COVID-19. </w:t>
      </w:r>
      <w:r w:rsidRPr="00E67799">
        <w:rPr>
          <w:rFonts w:cstheme="minorHAnsi"/>
          <w:i/>
          <w:iCs/>
          <w:sz w:val="24"/>
          <w:szCs w:val="24"/>
          <w:shd w:val="clear" w:color="auto" w:fill="FFFFFF"/>
        </w:rPr>
        <w:t xml:space="preserve">Acta </w:t>
      </w:r>
      <w:proofErr w:type="spellStart"/>
      <w:r w:rsidRPr="00E67799">
        <w:rPr>
          <w:rFonts w:cstheme="minorHAnsi"/>
          <w:i/>
          <w:iCs/>
          <w:sz w:val="24"/>
          <w:szCs w:val="24"/>
          <w:shd w:val="clear" w:color="auto" w:fill="FFFFFF"/>
        </w:rPr>
        <w:t>Haematol</w:t>
      </w:r>
      <w:proofErr w:type="spellEnd"/>
      <w:r w:rsidRPr="00E67799">
        <w:rPr>
          <w:rFonts w:cstheme="minorHAnsi"/>
          <w:sz w:val="24"/>
          <w:szCs w:val="24"/>
          <w:shd w:val="clear" w:color="auto" w:fill="FFFFFF"/>
        </w:rPr>
        <w:t>. 2021;144(4):355-359. doi:10.1159/000510352</w:t>
      </w:r>
    </w:p>
    <w:p w14:paraId="63FE5060" w14:textId="3F1025A1" w:rsidR="003E5BEC" w:rsidRPr="005377B7" w:rsidRDefault="003E5BEC" w:rsidP="00B72A1A">
      <w:pPr>
        <w:jc w:val="right"/>
        <w:rPr>
          <w:rFonts w:asciiTheme="majorBidi" w:hAnsiTheme="majorBidi" w:cstheme="majorBidi"/>
          <w:b/>
          <w:bCs/>
          <w:sz w:val="28"/>
          <w:szCs w:val="28"/>
        </w:rPr>
      </w:pPr>
    </w:p>
    <w:p w14:paraId="1D26B909" w14:textId="77777777" w:rsidR="00F30E0B" w:rsidRPr="005377B7" w:rsidRDefault="00F30E0B" w:rsidP="00B72A1A">
      <w:pPr>
        <w:jc w:val="right"/>
        <w:rPr>
          <w:rFonts w:asciiTheme="majorBidi" w:hAnsiTheme="majorBidi" w:cstheme="majorBidi"/>
          <w:sz w:val="28"/>
          <w:szCs w:val="28"/>
        </w:rPr>
      </w:pPr>
    </w:p>
    <w:p w14:paraId="71955C0B" w14:textId="77777777" w:rsidR="00F30E0B" w:rsidRPr="005377B7" w:rsidRDefault="00F30E0B" w:rsidP="00B72A1A">
      <w:pPr>
        <w:jc w:val="right"/>
        <w:rPr>
          <w:rFonts w:asciiTheme="majorBidi" w:hAnsiTheme="majorBidi" w:cstheme="majorBidi"/>
          <w:sz w:val="28"/>
          <w:szCs w:val="28"/>
        </w:rPr>
      </w:pPr>
    </w:p>
    <w:p w14:paraId="09F900AB" w14:textId="77777777" w:rsidR="00F30E0B" w:rsidRPr="005377B7" w:rsidRDefault="00F30E0B" w:rsidP="00B72A1A">
      <w:pPr>
        <w:jc w:val="right"/>
        <w:rPr>
          <w:rFonts w:asciiTheme="majorBidi" w:hAnsiTheme="majorBidi" w:cstheme="majorBidi"/>
          <w:sz w:val="28"/>
          <w:szCs w:val="28"/>
        </w:rPr>
      </w:pPr>
    </w:p>
    <w:p w14:paraId="309B5E8A" w14:textId="77777777" w:rsidR="00F30E0B" w:rsidRPr="005377B7" w:rsidRDefault="00F30E0B" w:rsidP="00B72A1A">
      <w:pPr>
        <w:jc w:val="right"/>
        <w:rPr>
          <w:rFonts w:asciiTheme="majorBidi" w:hAnsiTheme="majorBidi" w:cstheme="majorBidi"/>
          <w:sz w:val="28"/>
          <w:szCs w:val="28"/>
        </w:rPr>
      </w:pPr>
    </w:p>
    <w:p w14:paraId="50790232" w14:textId="594BF3A9" w:rsidR="00765660" w:rsidRPr="005377B7" w:rsidRDefault="00765660" w:rsidP="00B72A1A">
      <w:pPr>
        <w:jc w:val="right"/>
        <w:rPr>
          <w:rFonts w:asciiTheme="majorBidi" w:hAnsiTheme="majorBidi" w:cstheme="majorBidi"/>
          <w:sz w:val="28"/>
          <w:szCs w:val="28"/>
          <w:rtl/>
        </w:rPr>
      </w:pPr>
    </w:p>
    <w:sectPr w:rsidR="00765660" w:rsidRPr="005377B7" w:rsidSect="002239F9">
      <w:footerReference w:type="default" r:id="rId19"/>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A680B0" w14:textId="77777777" w:rsidR="008338CB" w:rsidRDefault="008338CB" w:rsidP="00CA587E">
      <w:pPr>
        <w:spacing w:after="0" w:line="240" w:lineRule="auto"/>
      </w:pPr>
      <w:r>
        <w:separator/>
      </w:r>
    </w:p>
  </w:endnote>
  <w:endnote w:type="continuationSeparator" w:id="0">
    <w:p w14:paraId="40E3B8E4" w14:textId="77777777" w:rsidR="008338CB" w:rsidRDefault="008338CB" w:rsidP="00CA58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Open Sans">
    <w:altName w:val="Calibri"/>
    <w:charset w:val="00"/>
    <w:family w:val="swiss"/>
    <w:pitch w:val="variable"/>
    <w:sig w:usb0="E00002EF" w:usb1="4000205B" w:usb2="00000028"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ppleSystemUIFont">
    <w:altName w:val="Calibri"/>
    <w:panose1 w:val="00000000000000000000"/>
    <w:charset w:val="00"/>
    <w:family w:val="auto"/>
    <w:notTrueType/>
    <w:pitch w:val="default"/>
    <w:sig w:usb0="00000003" w:usb1="00000000" w:usb2="00000000" w:usb3="00000000" w:csb0="00000001" w:csb1="00000000"/>
  </w:font>
  <w:font w:name="Shaker2Lancet-Regular">
    <w:altName w:val="MS Gothic"/>
    <w:panose1 w:val="00000000000000000000"/>
    <w:charset w:val="80"/>
    <w:family w:val="swiss"/>
    <w:notTrueType/>
    <w:pitch w:val="default"/>
    <w:sig w:usb0="00000000" w:usb1="08070000" w:usb2="00000010" w:usb3="00000000" w:csb0="00020000" w:csb1="00000000"/>
  </w:font>
  <w:font w:name="ScalaLancetPro">
    <w:altName w:val="MS Mincho"/>
    <w:panose1 w:val="00000000000000000000"/>
    <w:charset w:val="80"/>
    <w:family w:val="roman"/>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tl/>
      </w:rPr>
      <w:id w:val="1255470792"/>
      <w:docPartObj>
        <w:docPartGallery w:val="Page Numbers (Bottom of Page)"/>
        <w:docPartUnique/>
      </w:docPartObj>
    </w:sdtPr>
    <w:sdtEndPr>
      <w:rPr>
        <w:noProof/>
      </w:rPr>
    </w:sdtEndPr>
    <w:sdtContent>
      <w:p w14:paraId="5FD3A509" w14:textId="5E33EBE3" w:rsidR="00AA6D2B" w:rsidRDefault="00AA6D2B">
        <w:pPr>
          <w:pStyle w:val="Footer"/>
          <w:jc w:val="center"/>
        </w:pPr>
        <w:r>
          <w:fldChar w:fldCharType="begin"/>
        </w:r>
        <w:r>
          <w:instrText xml:space="preserve"> PAGE   \* MERGEFORMAT </w:instrText>
        </w:r>
        <w:r>
          <w:fldChar w:fldCharType="separate"/>
        </w:r>
        <w:r>
          <w:rPr>
            <w:noProof/>
            <w:rtl/>
          </w:rPr>
          <w:t>1</w:t>
        </w:r>
        <w:r>
          <w:rPr>
            <w:noProof/>
          </w:rPr>
          <w:fldChar w:fldCharType="end"/>
        </w:r>
      </w:p>
    </w:sdtContent>
  </w:sdt>
  <w:p w14:paraId="2E2494BF" w14:textId="77777777" w:rsidR="00AA6D2B" w:rsidRDefault="00AA6D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FBC625" w14:textId="77777777" w:rsidR="008338CB" w:rsidRDefault="008338CB" w:rsidP="00CA587E">
      <w:pPr>
        <w:spacing w:after="0" w:line="240" w:lineRule="auto"/>
      </w:pPr>
      <w:r>
        <w:separator/>
      </w:r>
    </w:p>
  </w:footnote>
  <w:footnote w:type="continuationSeparator" w:id="0">
    <w:p w14:paraId="4D7420FB" w14:textId="77777777" w:rsidR="008338CB" w:rsidRDefault="008338CB" w:rsidP="00CA58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B631FD"/>
    <w:multiLevelType w:val="hybridMultilevel"/>
    <w:tmpl w:val="2F7AD9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0E1FF8"/>
    <w:multiLevelType w:val="hybridMultilevel"/>
    <w:tmpl w:val="58F878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9A6936"/>
    <w:multiLevelType w:val="multilevel"/>
    <w:tmpl w:val="3A0AE2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7F85D84"/>
    <w:multiLevelType w:val="multilevel"/>
    <w:tmpl w:val="95E8652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 w15:restartNumberingAfterBreak="0">
    <w:nsid w:val="3DCE3836"/>
    <w:multiLevelType w:val="hybridMultilevel"/>
    <w:tmpl w:val="7F0A3A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17175AE"/>
    <w:multiLevelType w:val="hybridMultilevel"/>
    <w:tmpl w:val="9E34CE6C"/>
    <w:lvl w:ilvl="0" w:tplc="521EA1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3D8054B"/>
    <w:multiLevelType w:val="hybridMultilevel"/>
    <w:tmpl w:val="C10A51A4"/>
    <w:lvl w:ilvl="0" w:tplc="5DE6D8C0">
      <w:start w:val="1"/>
      <w:numFmt w:val="decimal"/>
      <w:lvlText w:val="%1."/>
      <w:lvlJc w:val="left"/>
      <w:pPr>
        <w:ind w:left="720" w:hanging="360"/>
      </w:pPr>
      <w:rPr>
        <w:rFonts w:ascii="Open Sans" w:hAnsi="Open Sans" w:cs="Open Sans" w:hint="default"/>
        <w:color w:val="000000"/>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5"/>
  </w:num>
  <w:num w:numId="4">
    <w:abstractNumId w:val="2"/>
  </w:num>
  <w:num w:numId="5">
    <w:abstractNumId w:val="6"/>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73457A60-15FB-4764-B2B7-932E7D4626EB}"/>
    <w:docVar w:name="dgnword-eventsink" w:val="2758594775088"/>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A83B32"/>
    <w:rsid w:val="000025AB"/>
    <w:rsid w:val="00003F4B"/>
    <w:rsid w:val="0000431E"/>
    <w:rsid w:val="00006E2C"/>
    <w:rsid w:val="00015925"/>
    <w:rsid w:val="000159DD"/>
    <w:rsid w:val="00020B6B"/>
    <w:rsid w:val="00021358"/>
    <w:rsid w:val="000376E3"/>
    <w:rsid w:val="000420DD"/>
    <w:rsid w:val="000442A5"/>
    <w:rsid w:val="00044FD3"/>
    <w:rsid w:val="0004596E"/>
    <w:rsid w:val="00052BCE"/>
    <w:rsid w:val="000575D4"/>
    <w:rsid w:val="000645C2"/>
    <w:rsid w:val="00065983"/>
    <w:rsid w:val="000720BE"/>
    <w:rsid w:val="00085892"/>
    <w:rsid w:val="000868EF"/>
    <w:rsid w:val="00087F27"/>
    <w:rsid w:val="000A47F3"/>
    <w:rsid w:val="000A7509"/>
    <w:rsid w:val="000B76FC"/>
    <w:rsid w:val="000C02A7"/>
    <w:rsid w:val="000C1514"/>
    <w:rsid w:val="000C183E"/>
    <w:rsid w:val="000C1ABC"/>
    <w:rsid w:val="000C1B49"/>
    <w:rsid w:val="000C3B05"/>
    <w:rsid w:val="000D43D5"/>
    <w:rsid w:val="000D7526"/>
    <w:rsid w:val="000E2A32"/>
    <w:rsid w:val="000E33CA"/>
    <w:rsid w:val="000F0B71"/>
    <w:rsid w:val="000F2C9E"/>
    <w:rsid w:val="000F4ECD"/>
    <w:rsid w:val="00106CA6"/>
    <w:rsid w:val="001234B0"/>
    <w:rsid w:val="001237CE"/>
    <w:rsid w:val="0013013C"/>
    <w:rsid w:val="001304B6"/>
    <w:rsid w:val="00136949"/>
    <w:rsid w:val="00136E7E"/>
    <w:rsid w:val="0014248F"/>
    <w:rsid w:val="00152919"/>
    <w:rsid w:val="00154D9C"/>
    <w:rsid w:val="00154E06"/>
    <w:rsid w:val="00164A00"/>
    <w:rsid w:val="00174131"/>
    <w:rsid w:val="00174338"/>
    <w:rsid w:val="00174CA8"/>
    <w:rsid w:val="00175310"/>
    <w:rsid w:val="00194846"/>
    <w:rsid w:val="001A2F94"/>
    <w:rsid w:val="001A66EB"/>
    <w:rsid w:val="001B4B05"/>
    <w:rsid w:val="001B776B"/>
    <w:rsid w:val="001C7E85"/>
    <w:rsid w:val="001D1583"/>
    <w:rsid w:val="001D4EBC"/>
    <w:rsid w:val="001E5D3F"/>
    <w:rsid w:val="00200300"/>
    <w:rsid w:val="002006A3"/>
    <w:rsid w:val="002059CC"/>
    <w:rsid w:val="00217926"/>
    <w:rsid w:val="002239F9"/>
    <w:rsid w:val="002263EF"/>
    <w:rsid w:val="00226976"/>
    <w:rsid w:val="00232084"/>
    <w:rsid w:val="00232E62"/>
    <w:rsid w:val="00236E6B"/>
    <w:rsid w:val="00240C2A"/>
    <w:rsid w:val="0024143A"/>
    <w:rsid w:val="00250415"/>
    <w:rsid w:val="0025329B"/>
    <w:rsid w:val="00260171"/>
    <w:rsid w:val="002619C1"/>
    <w:rsid w:val="00285C2E"/>
    <w:rsid w:val="00286755"/>
    <w:rsid w:val="002970D9"/>
    <w:rsid w:val="002970F1"/>
    <w:rsid w:val="00297C0C"/>
    <w:rsid w:val="002A3E2A"/>
    <w:rsid w:val="002A7FBD"/>
    <w:rsid w:val="002B6E4D"/>
    <w:rsid w:val="002C0C03"/>
    <w:rsid w:val="002D28A3"/>
    <w:rsid w:val="002E091C"/>
    <w:rsid w:val="002E1B96"/>
    <w:rsid w:val="002E1FE9"/>
    <w:rsid w:val="002F13C7"/>
    <w:rsid w:val="002F576C"/>
    <w:rsid w:val="002F6539"/>
    <w:rsid w:val="0030256F"/>
    <w:rsid w:val="003171B2"/>
    <w:rsid w:val="003247C7"/>
    <w:rsid w:val="0033081E"/>
    <w:rsid w:val="00330D26"/>
    <w:rsid w:val="00331D67"/>
    <w:rsid w:val="0033303B"/>
    <w:rsid w:val="003333D5"/>
    <w:rsid w:val="0033356C"/>
    <w:rsid w:val="003375DB"/>
    <w:rsid w:val="00341D72"/>
    <w:rsid w:val="00343F5B"/>
    <w:rsid w:val="00346B92"/>
    <w:rsid w:val="00354230"/>
    <w:rsid w:val="00373FE6"/>
    <w:rsid w:val="00376918"/>
    <w:rsid w:val="00377726"/>
    <w:rsid w:val="00380D77"/>
    <w:rsid w:val="00380E40"/>
    <w:rsid w:val="003931A5"/>
    <w:rsid w:val="00393727"/>
    <w:rsid w:val="003A66A5"/>
    <w:rsid w:val="003D0E5C"/>
    <w:rsid w:val="003D71BB"/>
    <w:rsid w:val="003E3E63"/>
    <w:rsid w:val="003E5A56"/>
    <w:rsid w:val="003E5BEC"/>
    <w:rsid w:val="003F3662"/>
    <w:rsid w:val="003F7A6C"/>
    <w:rsid w:val="00403A1A"/>
    <w:rsid w:val="0041753D"/>
    <w:rsid w:val="004252DC"/>
    <w:rsid w:val="00432CA0"/>
    <w:rsid w:val="00434C6F"/>
    <w:rsid w:val="00437F17"/>
    <w:rsid w:val="004459B4"/>
    <w:rsid w:val="00450D59"/>
    <w:rsid w:val="00450DF0"/>
    <w:rsid w:val="0046189D"/>
    <w:rsid w:val="00461C63"/>
    <w:rsid w:val="004667E5"/>
    <w:rsid w:val="00467DDF"/>
    <w:rsid w:val="0047596B"/>
    <w:rsid w:val="00481F8C"/>
    <w:rsid w:val="0048346C"/>
    <w:rsid w:val="00484719"/>
    <w:rsid w:val="00485866"/>
    <w:rsid w:val="0049048B"/>
    <w:rsid w:val="004911EA"/>
    <w:rsid w:val="00495108"/>
    <w:rsid w:val="004A3FF2"/>
    <w:rsid w:val="004B4FCE"/>
    <w:rsid w:val="004B6143"/>
    <w:rsid w:val="004B662F"/>
    <w:rsid w:val="004C2613"/>
    <w:rsid w:val="004C73DE"/>
    <w:rsid w:val="004E44B2"/>
    <w:rsid w:val="004E7E38"/>
    <w:rsid w:val="004F0432"/>
    <w:rsid w:val="004F4C2E"/>
    <w:rsid w:val="00501C98"/>
    <w:rsid w:val="005076C2"/>
    <w:rsid w:val="00512A86"/>
    <w:rsid w:val="0051320F"/>
    <w:rsid w:val="0051367A"/>
    <w:rsid w:val="0051698B"/>
    <w:rsid w:val="005169A0"/>
    <w:rsid w:val="00523F9B"/>
    <w:rsid w:val="00524ADD"/>
    <w:rsid w:val="00524E5A"/>
    <w:rsid w:val="00526CDE"/>
    <w:rsid w:val="00530423"/>
    <w:rsid w:val="00532B9B"/>
    <w:rsid w:val="005377B7"/>
    <w:rsid w:val="00542E1D"/>
    <w:rsid w:val="005444D9"/>
    <w:rsid w:val="00556976"/>
    <w:rsid w:val="00575B65"/>
    <w:rsid w:val="005858F8"/>
    <w:rsid w:val="0059589B"/>
    <w:rsid w:val="00595D17"/>
    <w:rsid w:val="005A7066"/>
    <w:rsid w:val="005B1C98"/>
    <w:rsid w:val="005B7C33"/>
    <w:rsid w:val="005B7F11"/>
    <w:rsid w:val="005C1D5A"/>
    <w:rsid w:val="005D3091"/>
    <w:rsid w:val="005D7837"/>
    <w:rsid w:val="005E18CC"/>
    <w:rsid w:val="005E22A5"/>
    <w:rsid w:val="005F277B"/>
    <w:rsid w:val="005F5F85"/>
    <w:rsid w:val="00601163"/>
    <w:rsid w:val="00606641"/>
    <w:rsid w:val="0060686D"/>
    <w:rsid w:val="00614300"/>
    <w:rsid w:val="006159ED"/>
    <w:rsid w:val="00617C02"/>
    <w:rsid w:val="00617EE3"/>
    <w:rsid w:val="00621C25"/>
    <w:rsid w:val="00621C2E"/>
    <w:rsid w:val="00623E28"/>
    <w:rsid w:val="00630691"/>
    <w:rsid w:val="006311F7"/>
    <w:rsid w:val="00631CBA"/>
    <w:rsid w:val="006378BF"/>
    <w:rsid w:val="0065139B"/>
    <w:rsid w:val="00654077"/>
    <w:rsid w:val="006543FA"/>
    <w:rsid w:val="00655A5B"/>
    <w:rsid w:val="00663E03"/>
    <w:rsid w:val="00670374"/>
    <w:rsid w:val="0067054C"/>
    <w:rsid w:val="00690406"/>
    <w:rsid w:val="006A3F6C"/>
    <w:rsid w:val="006C7470"/>
    <w:rsid w:val="006D3152"/>
    <w:rsid w:val="006D6063"/>
    <w:rsid w:val="006E6E91"/>
    <w:rsid w:val="006E7289"/>
    <w:rsid w:val="006F63D8"/>
    <w:rsid w:val="00700E82"/>
    <w:rsid w:val="00704599"/>
    <w:rsid w:val="00707038"/>
    <w:rsid w:val="00717C49"/>
    <w:rsid w:val="00721DD8"/>
    <w:rsid w:val="0072602E"/>
    <w:rsid w:val="00731227"/>
    <w:rsid w:val="007503C5"/>
    <w:rsid w:val="00751586"/>
    <w:rsid w:val="00755904"/>
    <w:rsid w:val="00765660"/>
    <w:rsid w:val="00767C0C"/>
    <w:rsid w:val="00771CF0"/>
    <w:rsid w:val="0077296F"/>
    <w:rsid w:val="00775869"/>
    <w:rsid w:val="0078416C"/>
    <w:rsid w:val="00785B5A"/>
    <w:rsid w:val="00787DD8"/>
    <w:rsid w:val="007A104A"/>
    <w:rsid w:val="007B0618"/>
    <w:rsid w:val="007B1200"/>
    <w:rsid w:val="007C6018"/>
    <w:rsid w:val="007C750A"/>
    <w:rsid w:val="007D05C6"/>
    <w:rsid w:val="0080109E"/>
    <w:rsid w:val="008037EF"/>
    <w:rsid w:val="008178FC"/>
    <w:rsid w:val="008338CB"/>
    <w:rsid w:val="0083573D"/>
    <w:rsid w:val="00855AFD"/>
    <w:rsid w:val="00855F9D"/>
    <w:rsid w:val="00866E70"/>
    <w:rsid w:val="0087548A"/>
    <w:rsid w:val="00880E6B"/>
    <w:rsid w:val="00882478"/>
    <w:rsid w:val="00896896"/>
    <w:rsid w:val="008A4D2E"/>
    <w:rsid w:val="008B04DF"/>
    <w:rsid w:val="008B069C"/>
    <w:rsid w:val="008B3795"/>
    <w:rsid w:val="008B78A6"/>
    <w:rsid w:val="008C4649"/>
    <w:rsid w:val="008C47F5"/>
    <w:rsid w:val="008C5DB3"/>
    <w:rsid w:val="008D079F"/>
    <w:rsid w:val="008E2FBD"/>
    <w:rsid w:val="00905302"/>
    <w:rsid w:val="0090771D"/>
    <w:rsid w:val="00910837"/>
    <w:rsid w:val="009278E5"/>
    <w:rsid w:val="009401E6"/>
    <w:rsid w:val="00940B29"/>
    <w:rsid w:val="009449E1"/>
    <w:rsid w:val="00944E0B"/>
    <w:rsid w:val="00945C54"/>
    <w:rsid w:val="00953207"/>
    <w:rsid w:val="00954EBC"/>
    <w:rsid w:val="00955C86"/>
    <w:rsid w:val="009565A7"/>
    <w:rsid w:val="00957CD6"/>
    <w:rsid w:val="00960BBA"/>
    <w:rsid w:val="00961246"/>
    <w:rsid w:val="00964D0D"/>
    <w:rsid w:val="0096540E"/>
    <w:rsid w:val="0097639A"/>
    <w:rsid w:val="0097763E"/>
    <w:rsid w:val="00980E7D"/>
    <w:rsid w:val="009812A6"/>
    <w:rsid w:val="0098611F"/>
    <w:rsid w:val="00986E9D"/>
    <w:rsid w:val="009921FB"/>
    <w:rsid w:val="009A7496"/>
    <w:rsid w:val="009B3382"/>
    <w:rsid w:val="009C5668"/>
    <w:rsid w:val="009F48E1"/>
    <w:rsid w:val="009F7E59"/>
    <w:rsid w:val="00A0401C"/>
    <w:rsid w:val="00A06355"/>
    <w:rsid w:val="00A067CB"/>
    <w:rsid w:val="00A150FE"/>
    <w:rsid w:val="00A204D8"/>
    <w:rsid w:val="00A2473F"/>
    <w:rsid w:val="00A42436"/>
    <w:rsid w:val="00A5055C"/>
    <w:rsid w:val="00A61627"/>
    <w:rsid w:val="00A62EB2"/>
    <w:rsid w:val="00A65064"/>
    <w:rsid w:val="00A72DC8"/>
    <w:rsid w:val="00A8192B"/>
    <w:rsid w:val="00A83B32"/>
    <w:rsid w:val="00A977A0"/>
    <w:rsid w:val="00AA09A9"/>
    <w:rsid w:val="00AA6D2B"/>
    <w:rsid w:val="00AB3A75"/>
    <w:rsid w:val="00AC4388"/>
    <w:rsid w:val="00AD248B"/>
    <w:rsid w:val="00AD5D10"/>
    <w:rsid w:val="00AF4458"/>
    <w:rsid w:val="00AF50FE"/>
    <w:rsid w:val="00B04236"/>
    <w:rsid w:val="00B064E5"/>
    <w:rsid w:val="00B165BC"/>
    <w:rsid w:val="00B2649C"/>
    <w:rsid w:val="00B27115"/>
    <w:rsid w:val="00B31E2E"/>
    <w:rsid w:val="00B32C70"/>
    <w:rsid w:val="00B33C7D"/>
    <w:rsid w:val="00B33F85"/>
    <w:rsid w:val="00B404BB"/>
    <w:rsid w:val="00B433C3"/>
    <w:rsid w:val="00B436B3"/>
    <w:rsid w:val="00B453F0"/>
    <w:rsid w:val="00B51973"/>
    <w:rsid w:val="00B52686"/>
    <w:rsid w:val="00B53418"/>
    <w:rsid w:val="00B66085"/>
    <w:rsid w:val="00B67F9D"/>
    <w:rsid w:val="00B71102"/>
    <w:rsid w:val="00B72A1A"/>
    <w:rsid w:val="00B91931"/>
    <w:rsid w:val="00B92AD7"/>
    <w:rsid w:val="00B93850"/>
    <w:rsid w:val="00B968D4"/>
    <w:rsid w:val="00B976F5"/>
    <w:rsid w:val="00BA1693"/>
    <w:rsid w:val="00BA2860"/>
    <w:rsid w:val="00BA5617"/>
    <w:rsid w:val="00BB0B05"/>
    <w:rsid w:val="00BB3B38"/>
    <w:rsid w:val="00BB531F"/>
    <w:rsid w:val="00BB5AD7"/>
    <w:rsid w:val="00BB5F70"/>
    <w:rsid w:val="00BC3601"/>
    <w:rsid w:val="00BC69D3"/>
    <w:rsid w:val="00BC7A7D"/>
    <w:rsid w:val="00BD49F6"/>
    <w:rsid w:val="00BE174C"/>
    <w:rsid w:val="00BE19E0"/>
    <w:rsid w:val="00BE27F4"/>
    <w:rsid w:val="00BE3196"/>
    <w:rsid w:val="00BF1A33"/>
    <w:rsid w:val="00BF2C02"/>
    <w:rsid w:val="00BF6496"/>
    <w:rsid w:val="00C016D4"/>
    <w:rsid w:val="00C04160"/>
    <w:rsid w:val="00C07A9E"/>
    <w:rsid w:val="00C30262"/>
    <w:rsid w:val="00C41E77"/>
    <w:rsid w:val="00C43802"/>
    <w:rsid w:val="00C52F80"/>
    <w:rsid w:val="00C64F4E"/>
    <w:rsid w:val="00C7007D"/>
    <w:rsid w:val="00C74141"/>
    <w:rsid w:val="00C77578"/>
    <w:rsid w:val="00C832C1"/>
    <w:rsid w:val="00C869E6"/>
    <w:rsid w:val="00C91D05"/>
    <w:rsid w:val="00CA306E"/>
    <w:rsid w:val="00CA32F6"/>
    <w:rsid w:val="00CA587E"/>
    <w:rsid w:val="00CB0C19"/>
    <w:rsid w:val="00CC0945"/>
    <w:rsid w:val="00CC3454"/>
    <w:rsid w:val="00CD0F4D"/>
    <w:rsid w:val="00CD15CB"/>
    <w:rsid w:val="00CD31FF"/>
    <w:rsid w:val="00D03E4F"/>
    <w:rsid w:val="00D05A0D"/>
    <w:rsid w:val="00D16455"/>
    <w:rsid w:val="00D310BD"/>
    <w:rsid w:val="00D311E4"/>
    <w:rsid w:val="00D31B8E"/>
    <w:rsid w:val="00D34D01"/>
    <w:rsid w:val="00D45B21"/>
    <w:rsid w:val="00D60B5B"/>
    <w:rsid w:val="00D64B27"/>
    <w:rsid w:val="00D71643"/>
    <w:rsid w:val="00D7221D"/>
    <w:rsid w:val="00D755FA"/>
    <w:rsid w:val="00D76316"/>
    <w:rsid w:val="00D773A2"/>
    <w:rsid w:val="00D800CD"/>
    <w:rsid w:val="00D82B93"/>
    <w:rsid w:val="00D83B75"/>
    <w:rsid w:val="00D84547"/>
    <w:rsid w:val="00D848C6"/>
    <w:rsid w:val="00D91ACC"/>
    <w:rsid w:val="00DA5B25"/>
    <w:rsid w:val="00DA70B8"/>
    <w:rsid w:val="00DB14A4"/>
    <w:rsid w:val="00DB34FD"/>
    <w:rsid w:val="00DB4198"/>
    <w:rsid w:val="00DD491B"/>
    <w:rsid w:val="00DD5DD3"/>
    <w:rsid w:val="00DD7A7E"/>
    <w:rsid w:val="00DD7B41"/>
    <w:rsid w:val="00DE70B5"/>
    <w:rsid w:val="00DF13A9"/>
    <w:rsid w:val="00DF7E89"/>
    <w:rsid w:val="00E02E92"/>
    <w:rsid w:val="00E04C08"/>
    <w:rsid w:val="00E139A6"/>
    <w:rsid w:val="00E14CF9"/>
    <w:rsid w:val="00E207BD"/>
    <w:rsid w:val="00E25CFB"/>
    <w:rsid w:val="00E31BA1"/>
    <w:rsid w:val="00E36188"/>
    <w:rsid w:val="00E4304B"/>
    <w:rsid w:val="00E50AC5"/>
    <w:rsid w:val="00E52F6C"/>
    <w:rsid w:val="00E53BA0"/>
    <w:rsid w:val="00E54A7D"/>
    <w:rsid w:val="00E6137C"/>
    <w:rsid w:val="00E67799"/>
    <w:rsid w:val="00E67917"/>
    <w:rsid w:val="00E67973"/>
    <w:rsid w:val="00E70722"/>
    <w:rsid w:val="00E72CF1"/>
    <w:rsid w:val="00E76DE5"/>
    <w:rsid w:val="00E82AD2"/>
    <w:rsid w:val="00E92273"/>
    <w:rsid w:val="00E9756A"/>
    <w:rsid w:val="00EA30D9"/>
    <w:rsid w:val="00EC4158"/>
    <w:rsid w:val="00ED5C1A"/>
    <w:rsid w:val="00EE3891"/>
    <w:rsid w:val="00EF68FB"/>
    <w:rsid w:val="00F0225D"/>
    <w:rsid w:val="00F0379E"/>
    <w:rsid w:val="00F123F3"/>
    <w:rsid w:val="00F14BAE"/>
    <w:rsid w:val="00F16214"/>
    <w:rsid w:val="00F2134C"/>
    <w:rsid w:val="00F21FD2"/>
    <w:rsid w:val="00F22339"/>
    <w:rsid w:val="00F30E0B"/>
    <w:rsid w:val="00F30F92"/>
    <w:rsid w:val="00F353BC"/>
    <w:rsid w:val="00F455A5"/>
    <w:rsid w:val="00F477B0"/>
    <w:rsid w:val="00F61578"/>
    <w:rsid w:val="00F70532"/>
    <w:rsid w:val="00F729BB"/>
    <w:rsid w:val="00F75E67"/>
    <w:rsid w:val="00F76556"/>
    <w:rsid w:val="00F837E9"/>
    <w:rsid w:val="00F964BC"/>
    <w:rsid w:val="00FA0D3E"/>
    <w:rsid w:val="00FA5C94"/>
    <w:rsid w:val="00FC0857"/>
    <w:rsid w:val="00FC10FE"/>
    <w:rsid w:val="00FC4765"/>
    <w:rsid w:val="00FC5EF9"/>
    <w:rsid w:val="00FD0AC8"/>
    <w:rsid w:val="00FD3D79"/>
    <w:rsid w:val="00FD7928"/>
    <w:rsid w:val="00FE7BAD"/>
    <w:rsid w:val="76FDF48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E27F34"/>
  <w15:chartTrackingRefBased/>
  <w15:docId w15:val="{7C8E6657-10A9-4A76-BD35-D4E47E5D6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756A"/>
    <w:pPr>
      <w:bidi/>
    </w:pPr>
  </w:style>
  <w:style w:type="paragraph" w:styleId="Heading1">
    <w:name w:val="heading 1"/>
    <w:basedOn w:val="Normal"/>
    <w:next w:val="Normal"/>
    <w:link w:val="Heading1Char"/>
    <w:uiPriority w:val="9"/>
    <w:qFormat/>
    <w:rsid w:val="001D158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9756A"/>
    <w:rPr>
      <w:color w:val="0563C1" w:themeColor="hyperlink"/>
      <w:u w:val="single"/>
    </w:rPr>
  </w:style>
  <w:style w:type="table" w:styleId="TableGrid">
    <w:name w:val="Table Grid"/>
    <w:basedOn w:val="TableNormal"/>
    <w:uiPriority w:val="39"/>
    <w:rsid w:val="002B6E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B34FD"/>
    <w:pPr>
      <w:ind w:left="720"/>
      <w:contextualSpacing/>
    </w:pPr>
  </w:style>
  <w:style w:type="character" w:styleId="Strong">
    <w:name w:val="Strong"/>
    <w:basedOn w:val="DefaultParagraphFont"/>
    <w:uiPriority w:val="22"/>
    <w:qFormat/>
    <w:rsid w:val="00855AFD"/>
    <w:rPr>
      <w:b/>
      <w:bCs/>
    </w:rPr>
  </w:style>
  <w:style w:type="character" w:styleId="LineNumber">
    <w:name w:val="line number"/>
    <w:basedOn w:val="DefaultParagraphFont"/>
    <w:uiPriority w:val="99"/>
    <w:semiHidden/>
    <w:unhideWhenUsed/>
    <w:rsid w:val="00A2473F"/>
  </w:style>
  <w:style w:type="character" w:customStyle="1" w:styleId="UnresolvedMention1">
    <w:name w:val="Unresolved Mention1"/>
    <w:basedOn w:val="DefaultParagraphFont"/>
    <w:uiPriority w:val="99"/>
    <w:semiHidden/>
    <w:unhideWhenUsed/>
    <w:rsid w:val="00A2473F"/>
    <w:rPr>
      <w:color w:val="605E5C"/>
      <w:shd w:val="clear" w:color="auto" w:fill="E1DFDD"/>
    </w:rPr>
  </w:style>
  <w:style w:type="paragraph" w:styleId="Header">
    <w:name w:val="header"/>
    <w:basedOn w:val="Normal"/>
    <w:link w:val="HeaderChar"/>
    <w:uiPriority w:val="99"/>
    <w:unhideWhenUsed/>
    <w:rsid w:val="00BA16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1693"/>
  </w:style>
  <w:style w:type="paragraph" w:styleId="Footer">
    <w:name w:val="footer"/>
    <w:basedOn w:val="Normal"/>
    <w:link w:val="FooterChar"/>
    <w:uiPriority w:val="99"/>
    <w:unhideWhenUsed/>
    <w:rsid w:val="00BA16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1693"/>
  </w:style>
  <w:style w:type="paragraph" w:customStyle="1" w:styleId="EndNoteBibliographyTitle">
    <w:name w:val="EndNote Bibliography Title"/>
    <w:basedOn w:val="Normal"/>
    <w:link w:val="EndNoteBibliographyTitleChar"/>
    <w:rsid w:val="00A72DC8"/>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A72DC8"/>
    <w:rPr>
      <w:rFonts w:ascii="Calibri" w:hAnsi="Calibri" w:cs="Calibri"/>
      <w:noProof/>
    </w:rPr>
  </w:style>
  <w:style w:type="paragraph" w:customStyle="1" w:styleId="EndNoteBibliography">
    <w:name w:val="EndNote Bibliography"/>
    <w:basedOn w:val="Normal"/>
    <w:link w:val="EndNoteBibliographyChar"/>
    <w:rsid w:val="00A72DC8"/>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A72DC8"/>
    <w:rPr>
      <w:rFonts w:ascii="Calibri" w:hAnsi="Calibri" w:cs="Calibri"/>
      <w:noProof/>
    </w:rPr>
  </w:style>
  <w:style w:type="character" w:styleId="CommentReference">
    <w:name w:val="annotation reference"/>
    <w:basedOn w:val="DefaultParagraphFont"/>
    <w:uiPriority w:val="99"/>
    <w:semiHidden/>
    <w:unhideWhenUsed/>
    <w:rsid w:val="008C47F5"/>
    <w:rPr>
      <w:sz w:val="16"/>
      <w:szCs w:val="16"/>
    </w:rPr>
  </w:style>
  <w:style w:type="paragraph" w:styleId="CommentText">
    <w:name w:val="annotation text"/>
    <w:basedOn w:val="Normal"/>
    <w:link w:val="CommentTextChar"/>
    <w:uiPriority w:val="99"/>
    <w:semiHidden/>
    <w:unhideWhenUsed/>
    <w:rsid w:val="008C47F5"/>
    <w:pPr>
      <w:spacing w:line="240" w:lineRule="auto"/>
    </w:pPr>
    <w:rPr>
      <w:sz w:val="20"/>
      <w:szCs w:val="20"/>
    </w:rPr>
  </w:style>
  <w:style w:type="character" w:customStyle="1" w:styleId="CommentTextChar">
    <w:name w:val="Comment Text Char"/>
    <w:basedOn w:val="DefaultParagraphFont"/>
    <w:link w:val="CommentText"/>
    <w:uiPriority w:val="99"/>
    <w:semiHidden/>
    <w:rsid w:val="008C47F5"/>
    <w:rPr>
      <w:sz w:val="20"/>
      <w:szCs w:val="20"/>
    </w:rPr>
  </w:style>
  <w:style w:type="paragraph" w:styleId="CommentSubject">
    <w:name w:val="annotation subject"/>
    <w:basedOn w:val="CommentText"/>
    <w:next w:val="CommentText"/>
    <w:link w:val="CommentSubjectChar"/>
    <w:uiPriority w:val="99"/>
    <w:semiHidden/>
    <w:unhideWhenUsed/>
    <w:rsid w:val="008C47F5"/>
    <w:rPr>
      <w:b/>
      <w:bCs/>
    </w:rPr>
  </w:style>
  <w:style w:type="character" w:customStyle="1" w:styleId="CommentSubjectChar">
    <w:name w:val="Comment Subject Char"/>
    <w:basedOn w:val="CommentTextChar"/>
    <w:link w:val="CommentSubject"/>
    <w:uiPriority w:val="99"/>
    <w:semiHidden/>
    <w:rsid w:val="008C47F5"/>
    <w:rPr>
      <w:b/>
      <w:bCs/>
      <w:sz w:val="20"/>
      <w:szCs w:val="20"/>
    </w:rPr>
  </w:style>
  <w:style w:type="paragraph" w:styleId="BalloonText">
    <w:name w:val="Balloon Text"/>
    <w:basedOn w:val="Normal"/>
    <w:link w:val="BalloonTextChar"/>
    <w:uiPriority w:val="99"/>
    <w:semiHidden/>
    <w:unhideWhenUsed/>
    <w:rsid w:val="008C47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47F5"/>
    <w:rPr>
      <w:rFonts w:ascii="Segoe UI" w:hAnsi="Segoe UI" w:cs="Segoe UI"/>
      <w:sz w:val="18"/>
      <w:szCs w:val="18"/>
    </w:rPr>
  </w:style>
  <w:style w:type="character" w:styleId="Emphasis">
    <w:name w:val="Emphasis"/>
    <w:basedOn w:val="DefaultParagraphFont"/>
    <w:uiPriority w:val="20"/>
    <w:qFormat/>
    <w:rsid w:val="004A3FF2"/>
    <w:rPr>
      <w:i/>
      <w:iCs/>
    </w:rPr>
  </w:style>
  <w:style w:type="character" w:customStyle="1" w:styleId="Heading1Char">
    <w:name w:val="Heading 1 Char"/>
    <w:basedOn w:val="DefaultParagraphFont"/>
    <w:link w:val="Heading1"/>
    <w:uiPriority w:val="9"/>
    <w:rsid w:val="001D1583"/>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765660"/>
    <w:rPr>
      <w:color w:val="605E5C"/>
      <w:shd w:val="clear" w:color="auto" w:fill="E1DFDD"/>
    </w:rPr>
  </w:style>
  <w:style w:type="paragraph" w:styleId="NoSpacing">
    <w:name w:val="No Spacing"/>
    <w:uiPriority w:val="1"/>
    <w:qFormat/>
    <w:rsid w:val="00B31E2E"/>
    <w:pPr>
      <w:bidi/>
      <w:spacing w:after="0" w:line="240" w:lineRule="auto"/>
    </w:pPr>
  </w:style>
  <w:style w:type="table" w:styleId="GridTable4-Accent1">
    <w:name w:val="Grid Table 4 Accent 1"/>
    <w:basedOn w:val="TableNormal"/>
    <w:uiPriority w:val="49"/>
    <w:rsid w:val="00154D9C"/>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ref-journal">
    <w:name w:val="ref-journal"/>
    <w:basedOn w:val="DefaultParagraphFont"/>
    <w:rsid w:val="00154D9C"/>
  </w:style>
  <w:style w:type="character" w:customStyle="1" w:styleId="ref-vol">
    <w:name w:val="ref-vol"/>
    <w:basedOn w:val="DefaultParagraphFont"/>
    <w:rsid w:val="00154D9C"/>
  </w:style>
  <w:style w:type="paragraph" w:styleId="Title">
    <w:name w:val="Title"/>
    <w:basedOn w:val="Normal"/>
    <w:next w:val="Normal"/>
    <w:link w:val="TitleChar"/>
    <w:uiPriority w:val="10"/>
    <w:qFormat/>
    <w:rsid w:val="00955C8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55C86"/>
    <w:rPr>
      <w:rFonts w:asciiTheme="majorHAnsi" w:eastAsiaTheme="majorEastAsia" w:hAnsiTheme="majorHAnsi" w:cstheme="majorBidi"/>
      <w:spacing w:val="-10"/>
      <w:kern w:val="28"/>
      <w:sz w:val="56"/>
      <w:szCs w:val="56"/>
    </w:rPr>
  </w:style>
  <w:style w:type="character" w:styleId="FollowedHyperlink">
    <w:name w:val="FollowedHyperlink"/>
    <w:basedOn w:val="DefaultParagraphFont"/>
    <w:uiPriority w:val="99"/>
    <w:semiHidden/>
    <w:unhideWhenUsed/>
    <w:rsid w:val="00E82AD2"/>
    <w:rPr>
      <w:color w:val="954F72" w:themeColor="followedHyperlink"/>
      <w:u w:val="single"/>
    </w:rPr>
  </w:style>
  <w:style w:type="paragraph" w:styleId="NormalWeb">
    <w:name w:val="Normal (Web)"/>
    <w:basedOn w:val="Normal"/>
    <w:uiPriority w:val="99"/>
    <w:unhideWhenUsed/>
    <w:rsid w:val="0014248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AP-KeywordsHeading">
    <w:name w:val="SAP-Keywords Heading"/>
    <w:basedOn w:val="Normal"/>
    <w:next w:val="Normal"/>
    <w:link w:val="SAP-KeywordsHeadingChar"/>
    <w:rsid w:val="00F30E0B"/>
    <w:pPr>
      <w:bidi w:val="0"/>
      <w:adjustRightInd w:val="0"/>
      <w:snapToGrid w:val="0"/>
      <w:spacing w:before="156" w:after="156" w:line="240" w:lineRule="exact"/>
      <w:jc w:val="both"/>
    </w:pPr>
    <w:rPr>
      <w:rFonts w:ascii="Times New Roman" w:eastAsia="Times New Roman" w:hAnsi="Times New Roman" w:cs="Times New Roman"/>
      <w:b/>
      <w:sz w:val="24"/>
      <w:szCs w:val="24"/>
      <w:lang w:val="en-GB" w:eastAsia="en-GB"/>
    </w:rPr>
  </w:style>
  <w:style w:type="character" w:customStyle="1" w:styleId="SAP-KeywordsHeadingChar">
    <w:name w:val="SAP-Keywords Heading Char"/>
    <w:link w:val="SAP-KeywordsHeading"/>
    <w:rsid w:val="00F30E0B"/>
    <w:rPr>
      <w:rFonts w:ascii="Times New Roman" w:eastAsia="Times New Roman" w:hAnsi="Times New Roman" w:cs="Times New Roman"/>
      <w:b/>
      <w:sz w:val="24"/>
      <w:szCs w:val="24"/>
      <w:lang w:val="en-GB" w:eastAsia="en-GB"/>
    </w:rPr>
  </w:style>
  <w:style w:type="paragraph" w:customStyle="1" w:styleId="SAP-AbstractHeading">
    <w:name w:val="SAP-Abstract Heading"/>
    <w:basedOn w:val="SAP-AbtractText"/>
    <w:next w:val="SAP-AbtractText"/>
    <w:link w:val="SAP-AbstractHeadingChar"/>
    <w:rsid w:val="00F30E0B"/>
    <w:rPr>
      <w:b/>
    </w:rPr>
  </w:style>
  <w:style w:type="character" w:customStyle="1" w:styleId="SAP-AbstractHeadingChar">
    <w:name w:val="SAP-Abstract Heading Char"/>
    <w:link w:val="SAP-AbstractHeading"/>
    <w:rsid w:val="00F30E0B"/>
    <w:rPr>
      <w:rFonts w:ascii="Times New Roman" w:eastAsia="SimSun" w:hAnsi="Times New Roman" w:cs="Times New Roman"/>
      <w:b/>
      <w:sz w:val="24"/>
      <w:szCs w:val="24"/>
      <w:lang w:val="en-AU" w:eastAsia="zh-CN"/>
    </w:rPr>
  </w:style>
  <w:style w:type="paragraph" w:customStyle="1" w:styleId="SAP-AbtractText">
    <w:name w:val="SAP-Abtract Text"/>
    <w:basedOn w:val="Normal"/>
    <w:next w:val="Normal"/>
    <w:link w:val="SAP-AbtractTextChar"/>
    <w:rsid w:val="00F30E0B"/>
    <w:pPr>
      <w:keepNext/>
      <w:bidi w:val="0"/>
      <w:spacing w:after="0" w:line="240" w:lineRule="auto"/>
    </w:pPr>
    <w:rPr>
      <w:rFonts w:ascii="Times New Roman" w:eastAsia="SimSun" w:hAnsi="Times New Roman" w:cs="Times New Roman"/>
      <w:sz w:val="24"/>
      <w:szCs w:val="24"/>
      <w:lang w:val="en-AU" w:eastAsia="zh-CN"/>
    </w:rPr>
  </w:style>
  <w:style w:type="character" w:customStyle="1" w:styleId="SAP-AbtractTextChar">
    <w:name w:val="SAP-Abtract Text Char"/>
    <w:link w:val="SAP-AbtractText"/>
    <w:rsid w:val="00F30E0B"/>
    <w:rPr>
      <w:rFonts w:ascii="Times New Roman" w:eastAsia="SimSun" w:hAnsi="Times New Roman" w:cs="Times New Roman"/>
      <w:sz w:val="24"/>
      <w:szCs w:val="24"/>
      <w:lang w:val="en-AU" w:eastAsia="zh-CN"/>
    </w:rPr>
  </w:style>
  <w:style w:type="character" w:customStyle="1" w:styleId="selectable">
    <w:name w:val="selectable"/>
    <w:basedOn w:val="DefaultParagraphFont"/>
    <w:rsid w:val="00F30E0B"/>
  </w:style>
  <w:style w:type="character" w:customStyle="1" w:styleId="author">
    <w:name w:val="author"/>
    <w:basedOn w:val="DefaultParagraphFont"/>
    <w:rsid w:val="00F30E0B"/>
    <w:rPr>
      <w:rFonts w:cs="Times New Roman"/>
    </w:rPr>
  </w:style>
  <w:style w:type="character" w:customStyle="1" w:styleId="articletitle">
    <w:name w:val="articletitle"/>
    <w:basedOn w:val="DefaultParagraphFont"/>
    <w:rsid w:val="00F30E0B"/>
    <w:rPr>
      <w:rFonts w:cs="Times New Roman"/>
    </w:rPr>
  </w:style>
  <w:style w:type="character" w:customStyle="1" w:styleId="pubyear">
    <w:name w:val="pubyear"/>
    <w:basedOn w:val="DefaultParagraphFont"/>
    <w:rsid w:val="00F30E0B"/>
    <w:rPr>
      <w:rFonts w:cs="Times New Roman"/>
    </w:rPr>
  </w:style>
  <w:style w:type="character" w:customStyle="1" w:styleId="vol">
    <w:name w:val="vol"/>
    <w:basedOn w:val="DefaultParagraphFont"/>
    <w:rsid w:val="00F30E0B"/>
    <w:rPr>
      <w:rFonts w:cs="Times New Roman"/>
    </w:rPr>
  </w:style>
  <w:style w:type="character" w:customStyle="1" w:styleId="pagefirst">
    <w:name w:val="pagefirst"/>
    <w:basedOn w:val="DefaultParagraphFont"/>
    <w:rsid w:val="00F30E0B"/>
    <w:rPr>
      <w:rFonts w:cs="Times New Roman"/>
    </w:rPr>
  </w:style>
  <w:style w:type="character" w:customStyle="1" w:styleId="pagelast">
    <w:name w:val="pagelast"/>
    <w:basedOn w:val="DefaultParagraphFont"/>
    <w:rsid w:val="00F30E0B"/>
    <w:rPr>
      <w:rFonts w:cs="Times New Roman"/>
    </w:rPr>
  </w:style>
  <w:style w:type="paragraph" w:customStyle="1" w:styleId="Default">
    <w:name w:val="Default"/>
    <w:rsid w:val="006E7289"/>
    <w:pPr>
      <w:autoSpaceDE w:val="0"/>
      <w:autoSpaceDN w:val="0"/>
      <w:adjustRightInd w:val="0"/>
      <w:spacing w:after="0" w:line="240" w:lineRule="auto"/>
    </w:pPr>
    <w:rPr>
      <w:rFonts w:ascii="Calibri" w:hAnsi="Calibri" w:cs="Calibri"/>
      <w:color w:val="000000"/>
      <w:sz w:val="24"/>
      <w:szCs w:val="24"/>
    </w:rPr>
  </w:style>
  <w:style w:type="table" w:styleId="ListTable5Dark-Accent1">
    <w:name w:val="List Table 5 Dark Accent 1"/>
    <w:basedOn w:val="TableNormal"/>
    <w:uiPriority w:val="50"/>
    <w:rsid w:val="00614300"/>
    <w:pPr>
      <w:spacing w:after="0" w:line="240" w:lineRule="auto"/>
    </w:pPr>
    <w:rPr>
      <w:color w:val="FFFFFF" w:themeColor="background1"/>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5">
    <w:name w:val="Grid Table 5 Dark Accent 5"/>
    <w:basedOn w:val="TableNormal"/>
    <w:uiPriority w:val="50"/>
    <w:rsid w:val="002239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GridTable5Dark-Accent1">
    <w:name w:val="Grid Table 5 Dark Accent 1"/>
    <w:basedOn w:val="TableNormal"/>
    <w:uiPriority w:val="50"/>
    <w:rsid w:val="002239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998694">
      <w:bodyDiv w:val="1"/>
      <w:marLeft w:val="0"/>
      <w:marRight w:val="0"/>
      <w:marTop w:val="0"/>
      <w:marBottom w:val="0"/>
      <w:divBdr>
        <w:top w:val="none" w:sz="0" w:space="0" w:color="auto"/>
        <w:left w:val="none" w:sz="0" w:space="0" w:color="auto"/>
        <w:bottom w:val="none" w:sz="0" w:space="0" w:color="auto"/>
        <w:right w:val="none" w:sz="0" w:space="0" w:color="auto"/>
      </w:divBdr>
    </w:div>
    <w:div w:id="131413732">
      <w:bodyDiv w:val="1"/>
      <w:marLeft w:val="0"/>
      <w:marRight w:val="0"/>
      <w:marTop w:val="0"/>
      <w:marBottom w:val="0"/>
      <w:divBdr>
        <w:top w:val="none" w:sz="0" w:space="0" w:color="auto"/>
        <w:left w:val="none" w:sz="0" w:space="0" w:color="auto"/>
        <w:bottom w:val="none" w:sz="0" w:space="0" w:color="auto"/>
        <w:right w:val="none" w:sz="0" w:space="0" w:color="auto"/>
      </w:divBdr>
    </w:div>
    <w:div w:id="594482665">
      <w:bodyDiv w:val="1"/>
      <w:marLeft w:val="0"/>
      <w:marRight w:val="0"/>
      <w:marTop w:val="0"/>
      <w:marBottom w:val="0"/>
      <w:divBdr>
        <w:top w:val="none" w:sz="0" w:space="0" w:color="auto"/>
        <w:left w:val="none" w:sz="0" w:space="0" w:color="auto"/>
        <w:bottom w:val="none" w:sz="0" w:space="0" w:color="auto"/>
        <w:right w:val="none" w:sz="0" w:space="0" w:color="auto"/>
      </w:divBdr>
      <w:divsChild>
        <w:div w:id="1890721928">
          <w:marLeft w:val="0"/>
          <w:marRight w:val="0"/>
          <w:marTop w:val="0"/>
          <w:marBottom w:val="0"/>
          <w:divBdr>
            <w:top w:val="none" w:sz="0" w:space="0" w:color="auto"/>
            <w:left w:val="none" w:sz="0" w:space="0" w:color="auto"/>
            <w:bottom w:val="none" w:sz="0" w:space="0" w:color="auto"/>
            <w:right w:val="none" w:sz="0" w:space="0" w:color="auto"/>
          </w:divBdr>
          <w:divsChild>
            <w:div w:id="492382155">
              <w:marLeft w:val="0"/>
              <w:marRight w:val="0"/>
              <w:marTop w:val="0"/>
              <w:marBottom w:val="0"/>
              <w:divBdr>
                <w:top w:val="none" w:sz="0" w:space="0" w:color="auto"/>
                <w:left w:val="none" w:sz="0" w:space="0" w:color="auto"/>
                <w:bottom w:val="none" w:sz="0" w:space="0" w:color="auto"/>
                <w:right w:val="none" w:sz="0" w:space="0" w:color="auto"/>
              </w:divBdr>
              <w:divsChild>
                <w:div w:id="1765608910">
                  <w:marLeft w:val="0"/>
                  <w:marRight w:val="0"/>
                  <w:marTop w:val="0"/>
                  <w:marBottom w:val="0"/>
                  <w:divBdr>
                    <w:top w:val="none" w:sz="0" w:space="0" w:color="auto"/>
                    <w:left w:val="none" w:sz="0" w:space="0" w:color="auto"/>
                    <w:bottom w:val="none" w:sz="0" w:space="0" w:color="auto"/>
                    <w:right w:val="none" w:sz="0" w:space="0" w:color="auto"/>
                  </w:divBdr>
                </w:div>
              </w:divsChild>
            </w:div>
            <w:div w:id="484974766">
              <w:marLeft w:val="0"/>
              <w:marRight w:val="0"/>
              <w:marTop w:val="0"/>
              <w:marBottom w:val="0"/>
              <w:divBdr>
                <w:top w:val="none" w:sz="0" w:space="0" w:color="auto"/>
                <w:left w:val="none" w:sz="0" w:space="0" w:color="auto"/>
                <w:bottom w:val="none" w:sz="0" w:space="0" w:color="auto"/>
                <w:right w:val="none" w:sz="0" w:space="0" w:color="auto"/>
              </w:divBdr>
              <w:divsChild>
                <w:div w:id="406194704">
                  <w:marLeft w:val="0"/>
                  <w:marRight w:val="0"/>
                  <w:marTop w:val="0"/>
                  <w:marBottom w:val="0"/>
                  <w:divBdr>
                    <w:top w:val="none" w:sz="0" w:space="0" w:color="auto"/>
                    <w:left w:val="none" w:sz="0" w:space="0" w:color="auto"/>
                    <w:bottom w:val="none" w:sz="0" w:space="0" w:color="auto"/>
                    <w:right w:val="none" w:sz="0" w:space="0" w:color="auto"/>
                  </w:divBdr>
                </w:div>
              </w:divsChild>
            </w:div>
            <w:div w:id="57826680">
              <w:marLeft w:val="0"/>
              <w:marRight w:val="0"/>
              <w:marTop w:val="0"/>
              <w:marBottom w:val="0"/>
              <w:divBdr>
                <w:top w:val="none" w:sz="0" w:space="0" w:color="auto"/>
                <w:left w:val="none" w:sz="0" w:space="0" w:color="auto"/>
                <w:bottom w:val="none" w:sz="0" w:space="0" w:color="auto"/>
                <w:right w:val="none" w:sz="0" w:space="0" w:color="auto"/>
              </w:divBdr>
              <w:divsChild>
                <w:div w:id="1261647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9710932">
      <w:bodyDiv w:val="1"/>
      <w:marLeft w:val="0"/>
      <w:marRight w:val="0"/>
      <w:marTop w:val="0"/>
      <w:marBottom w:val="0"/>
      <w:divBdr>
        <w:top w:val="none" w:sz="0" w:space="0" w:color="auto"/>
        <w:left w:val="none" w:sz="0" w:space="0" w:color="auto"/>
        <w:bottom w:val="none" w:sz="0" w:space="0" w:color="auto"/>
        <w:right w:val="none" w:sz="0" w:space="0" w:color="auto"/>
      </w:divBdr>
    </w:div>
    <w:div w:id="1664358622">
      <w:bodyDiv w:val="1"/>
      <w:marLeft w:val="0"/>
      <w:marRight w:val="0"/>
      <w:marTop w:val="0"/>
      <w:marBottom w:val="0"/>
      <w:divBdr>
        <w:top w:val="none" w:sz="0" w:space="0" w:color="auto"/>
        <w:left w:val="none" w:sz="0" w:space="0" w:color="auto"/>
        <w:bottom w:val="none" w:sz="0" w:space="0" w:color="auto"/>
        <w:right w:val="none" w:sz="0" w:space="0" w:color="auto"/>
      </w:divBdr>
      <w:divsChild>
        <w:div w:id="1486244865">
          <w:marLeft w:val="0"/>
          <w:marRight w:val="0"/>
          <w:marTop w:val="0"/>
          <w:marBottom w:val="0"/>
          <w:divBdr>
            <w:top w:val="none" w:sz="0" w:space="0" w:color="auto"/>
            <w:left w:val="none" w:sz="0" w:space="0" w:color="auto"/>
            <w:bottom w:val="none" w:sz="0" w:space="0" w:color="auto"/>
            <w:right w:val="none" w:sz="0" w:space="0" w:color="auto"/>
          </w:divBdr>
          <w:divsChild>
            <w:div w:id="500702739">
              <w:marLeft w:val="0"/>
              <w:marRight w:val="0"/>
              <w:marTop w:val="0"/>
              <w:marBottom w:val="0"/>
              <w:divBdr>
                <w:top w:val="none" w:sz="0" w:space="0" w:color="auto"/>
                <w:left w:val="none" w:sz="0" w:space="0" w:color="auto"/>
                <w:bottom w:val="none" w:sz="0" w:space="0" w:color="auto"/>
                <w:right w:val="none" w:sz="0" w:space="0" w:color="auto"/>
              </w:divBdr>
              <w:divsChild>
                <w:div w:id="208498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442669">
      <w:bodyDiv w:val="1"/>
      <w:marLeft w:val="0"/>
      <w:marRight w:val="0"/>
      <w:marTop w:val="0"/>
      <w:marBottom w:val="0"/>
      <w:divBdr>
        <w:top w:val="none" w:sz="0" w:space="0" w:color="auto"/>
        <w:left w:val="none" w:sz="0" w:space="0" w:color="auto"/>
        <w:bottom w:val="none" w:sz="0" w:space="0" w:color="auto"/>
        <w:right w:val="none" w:sz="0" w:space="0" w:color="auto"/>
      </w:divBdr>
    </w:div>
    <w:div w:id="2026981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albishawi@hamad.qa" TargetMode="External"/><Relationship Id="rId13" Type="http://schemas.openxmlformats.org/officeDocument/2006/relationships/hyperlink" Target="https://doi.org/10.1007/s40744-018-0102-x" TargetMode="External"/><Relationship Id="rId18" Type="http://schemas.openxmlformats.org/officeDocument/2006/relationships/hyperlink" Target="https://doi.org/10.1002/ccr3.3369"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fda.gov/media/150321/download" TargetMode="External"/><Relationship Id="rId17" Type="http://schemas.openxmlformats.org/officeDocument/2006/relationships/hyperlink" Target="https://doi.org/10.1002/14651858.CD008794.pub2" TargetMode="External"/><Relationship Id="rId2" Type="http://schemas.openxmlformats.org/officeDocument/2006/relationships/numbering" Target="numbering.xml"/><Relationship Id="rId16" Type="http://schemas.openxmlformats.org/officeDocument/2006/relationships/hyperlink" Target="https://www.idsociety.org/practice-guideline/covid-19-guideline-treatment-and-management/.%20Last%20Accessed%209.2.2022.%2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47326/ocsat.2021.02.11.1.0" TargetMode="External"/><Relationship Id="rId5" Type="http://schemas.openxmlformats.org/officeDocument/2006/relationships/webSettings" Target="webSettings.xml"/><Relationship Id="rId15" Type="http://schemas.openxmlformats.org/officeDocument/2006/relationships/hyperlink" Target="https://doi.org/10.1016/S2665-9913(20)30343-X" TargetMode="External"/><Relationship Id="rId10" Type="http://schemas.openxmlformats.org/officeDocument/2006/relationships/chart" Target="charts/chart1.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doi.org/10.1016/S0140-6736(20)30628-0"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2"/>
          <c:order val="2"/>
          <c:tx>
            <c:strRef>
              <c:f>Sheet1!$D$1</c:f>
              <c:strCache>
                <c:ptCount val="1"/>
                <c:pt idx="0">
                  <c:v>CRP</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f>Sheet1!$A$2:$A$9</c:f>
              <c:strCache>
                <c:ptCount val="8"/>
                <c:pt idx="0">
                  <c:v>Day1</c:v>
                </c:pt>
                <c:pt idx="1">
                  <c:v>Day 2</c:v>
                </c:pt>
                <c:pt idx="2">
                  <c:v>Day 3</c:v>
                </c:pt>
                <c:pt idx="3">
                  <c:v>Day 4</c:v>
                </c:pt>
                <c:pt idx="4">
                  <c:v>Day 5</c:v>
                </c:pt>
                <c:pt idx="5">
                  <c:v>Day 6</c:v>
                </c:pt>
                <c:pt idx="6">
                  <c:v>Day 7</c:v>
                </c:pt>
                <c:pt idx="7">
                  <c:v>Day 8</c:v>
                </c:pt>
              </c:strCache>
            </c:strRef>
          </c:cat>
          <c:val>
            <c:numRef>
              <c:f>Sheet1!$D$2:$D$9</c:f>
              <c:numCache>
                <c:formatCode>General</c:formatCode>
                <c:ptCount val="8"/>
                <c:pt idx="0">
                  <c:v>124</c:v>
                </c:pt>
                <c:pt idx="1">
                  <c:v>148</c:v>
                </c:pt>
                <c:pt idx="2">
                  <c:v>153</c:v>
                </c:pt>
                <c:pt idx="3">
                  <c:v>159</c:v>
                </c:pt>
                <c:pt idx="4">
                  <c:v>86</c:v>
                </c:pt>
                <c:pt idx="5">
                  <c:v>57</c:v>
                </c:pt>
                <c:pt idx="6">
                  <c:v>35</c:v>
                </c:pt>
                <c:pt idx="7">
                  <c:v>19</c:v>
                </c:pt>
              </c:numCache>
            </c:numRef>
          </c:val>
          <c:smooth val="0"/>
          <c:extLst>
            <c:ext xmlns:c16="http://schemas.microsoft.com/office/drawing/2014/chart" uri="{C3380CC4-5D6E-409C-BE32-E72D297353CC}">
              <c16:uniqueId val="{00000000-9616-47A8-B245-191D52504907}"/>
            </c:ext>
          </c:extLst>
        </c:ser>
        <c:dLbls>
          <c:showLegendKey val="0"/>
          <c:showVal val="0"/>
          <c:showCatName val="0"/>
          <c:showSerName val="0"/>
          <c:showPercent val="0"/>
          <c:showBubbleSize val="0"/>
        </c:dLbls>
        <c:marker val="1"/>
        <c:smooth val="0"/>
        <c:axId val="1259370512"/>
        <c:axId val="1397127120"/>
      </c:lineChart>
      <c:lineChart>
        <c:grouping val="standard"/>
        <c:varyColors val="0"/>
        <c:ser>
          <c:idx val="0"/>
          <c:order val="0"/>
          <c:tx>
            <c:strRef>
              <c:f>Sheet1!$B$1</c:f>
              <c:strCache>
                <c:ptCount val="1"/>
                <c:pt idx="0">
                  <c:v>WBC</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Sheet1!$A$2:$A$9</c:f>
              <c:strCache>
                <c:ptCount val="8"/>
                <c:pt idx="0">
                  <c:v>Day1</c:v>
                </c:pt>
                <c:pt idx="1">
                  <c:v>Day 2</c:v>
                </c:pt>
                <c:pt idx="2">
                  <c:v>Day 3</c:v>
                </c:pt>
                <c:pt idx="3">
                  <c:v>Day 4</c:v>
                </c:pt>
                <c:pt idx="4">
                  <c:v>Day 5</c:v>
                </c:pt>
                <c:pt idx="5">
                  <c:v>Day 6</c:v>
                </c:pt>
                <c:pt idx="6">
                  <c:v>Day 7</c:v>
                </c:pt>
                <c:pt idx="7">
                  <c:v>Day 8</c:v>
                </c:pt>
              </c:strCache>
            </c:strRef>
          </c:cat>
          <c:val>
            <c:numRef>
              <c:f>Sheet1!$B$2:$B$9</c:f>
              <c:numCache>
                <c:formatCode>General</c:formatCode>
                <c:ptCount val="8"/>
                <c:pt idx="0">
                  <c:v>1.1000000000000001</c:v>
                </c:pt>
                <c:pt idx="1">
                  <c:v>0.9</c:v>
                </c:pt>
                <c:pt idx="2">
                  <c:v>0.9</c:v>
                </c:pt>
                <c:pt idx="3">
                  <c:v>1.1000000000000001</c:v>
                </c:pt>
                <c:pt idx="4">
                  <c:v>1</c:v>
                </c:pt>
                <c:pt idx="5">
                  <c:v>1.4</c:v>
                </c:pt>
                <c:pt idx="6">
                  <c:v>1.5</c:v>
                </c:pt>
                <c:pt idx="7">
                  <c:v>4.0999999999999996</c:v>
                </c:pt>
              </c:numCache>
            </c:numRef>
          </c:val>
          <c:smooth val="0"/>
          <c:extLst>
            <c:ext xmlns:c16="http://schemas.microsoft.com/office/drawing/2014/chart" uri="{C3380CC4-5D6E-409C-BE32-E72D297353CC}">
              <c16:uniqueId val="{00000001-9616-47A8-B245-191D52504907}"/>
            </c:ext>
          </c:extLst>
        </c:ser>
        <c:ser>
          <c:idx val="1"/>
          <c:order val="1"/>
          <c:tx>
            <c:strRef>
              <c:f>Sheet1!$C$1</c:f>
              <c:strCache>
                <c:ptCount val="1"/>
                <c:pt idx="0">
                  <c:v>ANC</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Sheet1!$A$2:$A$9</c:f>
              <c:strCache>
                <c:ptCount val="8"/>
                <c:pt idx="0">
                  <c:v>Day1</c:v>
                </c:pt>
                <c:pt idx="1">
                  <c:v>Day 2</c:v>
                </c:pt>
                <c:pt idx="2">
                  <c:v>Day 3</c:v>
                </c:pt>
                <c:pt idx="3">
                  <c:v>Day 4</c:v>
                </c:pt>
                <c:pt idx="4">
                  <c:v>Day 5</c:v>
                </c:pt>
                <c:pt idx="5">
                  <c:v>Day 6</c:v>
                </c:pt>
                <c:pt idx="6">
                  <c:v>Day 7</c:v>
                </c:pt>
                <c:pt idx="7">
                  <c:v>Day 8</c:v>
                </c:pt>
              </c:strCache>
            </c:strRef>
          </c:cat>
          <c:val>
            <c:numRef>
              <c:f>Sheet1!$C$2:$C$9</c:f>
              <c:numCache>
                <c:formatCode>General</c:formatCode>
                <c:ptCount val="8"/>
                <c:pt idx="0">
                  <c:v>0.3</c:v>
                </c:pt>
                <c:pt idx="1">
                  <c:v>0.2</c:v>
                </c:pt>
                <c:pt idx="2">
                  <c:v>0.1</c:v>
                </c:pt>
                <c:pt idx="3">
                  <c:v>0</c:v>
                </c:pt>
                <c:pt idx="4">
                  <c:v>0</c:v>
                </c:pt>
                <c:pt idx="5">
                  <c:v>0.1</c:v>
                </c:pt>
                <c:pt idx="6">
                  <c:v>0.1</c:v>
                </c:pt>
                <c:pt idx="7">
                  <c:v>1.4</c:v>
                </c:pt>
              </c:numCache>
            </c:numRef>
          </c:val>
          <c:smooth val="0"/>
          <c:extLst>
            <c:ext xmlns:c16="http://schemas.microsoft.com/office/drawing/2014/chart" uri="{C3380CC4-5D6E-409C-BE32-E72D297353CC}">
              <c16:uniqueId val="{00000002-9616-47A8-B245-191D52504907}"/>
            </c:ext>
          </c:extLst>
        </c:ser>
        <c:dLbls>
          <c:showLegendKey val="0"/>
          <c:showVal val="0"/>
          <c:showCatName val="0"/>
          <c:showSerName val="0"/>
          <c:showPercent val="0"/>
          <c:showBubbleSize val="0"/>
        </c:dLbls>
        <c:marker val="1"/>
        <c:smooth val="0"/>
        <c:axId val="1436658544"/>
        <c:axId val="1261275552"/>
      </c:lineChart>
      <c:catAx>
        <c:axId val="1259370512"/>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97127120"/>
        <c:crosses val="autoZero"/>
        <c:auto val="1"/>
        <c:lblAlgn val="ctr"/>
        <c:lblOffset val="100"/>
        <c:noMultiLvlLbl val="0"/>
      </c:catAx>
      <c:valAx>
        <c:axId val="1397127120"/>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mg/dl</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59370512"/>
        <c:crosses val="autoZero"/>
        <c:crossBetween val="between"/>
      </c:valAx>
      <c:valAx>
        <c:axId val="1261275552"/>
        <c:scaling>
          <c:orientation val="minMax"/>
        </c:scaling>
        <c:delete val="0"/>
        <c:axPos val="r"/>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000" b="0" i="0" u="none" strike="noStrike" baseline="0">
                    <a:effectLst/>
                  </a:rPr>
                  <a:t>x10</a:t>
                </a:r>
                <a:r>
                  <a:rPr lang="en-US" sz="1000" b="0" i="0" u="none" strike="noStrike" baseline="30000">
                    <a:effectLst/>
                  </a:rPr>
                  <a:t>3</a:t>
                </a:r>
                <a:r>
                  <a:rPr lang="en-US" sz="1000" b="0" i="0" u="none" strike="noStrike" baseline="0">
                    <a:effectLst/>
                  </a:rPr>
                  <a:t>/uL</a:t>
                </a:r>
                <a:endParaRPr 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36658544"/>
        <c:crosses val="max"/>
        <c:crossBetween val="between"/>
      </c:valAx>
      <c:catAx>
        <c:axId val="1436658544"/>
        <c:scaling>
          <c:orientation val="minMax"/>
        </c:scaling>
        <c:delete val="0"/>
        <c:axPos val="t"/>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61275552"/>
        <c:crosses val="max"/>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0.28176</cdr:x>
      <cdr:y>0.37551</cdr:y>
    </cdr:from>
    <cdr:to>
      <cdr:x>0.42708</cdr:x>
      <cdr:y>0.46743</cdr:y>
    </cdr:to>
    <cdr:sp macro="" textlink="">
      <cdr:nvSpPr>
        <cdr:cNvPr id="2" name="TextBox 1">
          <a:extLst xmlns:a="http://schemas.openxmlformats.org/drawingml/2006/main">
            <a:ext uri="{FF2B5EF4-FFF2-40B4-BE49-F238E27FC236}">
              <a16:creationId xmlns:a16="http://schemas.microsoft.com/office/drawing/2014/main" id="{21337894-B59F-4AD4-8516-0D5FE97634A8}"/>
            </a:ext>
          </a:extLst>
        </cdr:cNvPr>
        <cdr:cNvSpPr txBox="1"/>
      </cdr:nvSpPr>
      <cdr:spPr>
        <a:xfrm xmlns:a="http://schemas.openxmlformats.org/drawingml/2006/main">
          <a:off x="1674675" y="1292377"/>
          <a:ext cx="863724" cy="31636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t>Tocilizumab</a:t>
          </a:r>
        </a:p>
      </cdr:txBody>
    </cdr:sp>
  </cdr:relSizeAnchor>
  <cdr:relSizeAnchor xmlns:cdr="http://schemas.openxmlformats.org/drawingml/2006/chartDrawing">
    <cdr:from>
      <cdr:x>0.4812</cdr:x>
      <cdr:y>0.36808</cdr:y>
    </cdr:from>
    <cdr:to>
      <cdr:x>0.60737</cdr:x>
      <cdr:y>0.47019</cdr:y>
    </cdr:to>
    <cdr:sp macro="" textlink="">
      <cdr:nvSpPr>
        <cdr:cNvPr id="3" name="TextBox 2">
          <a:extLst xmlns:a="http://schemas.openxmlformats.org/drawingml/2006/main">
            <a:ext uri="{FF2B5EF4-FFF2-40B4-BE49-F238E27FC236}">
              <a16:creationId xmlns:a16="http://schemas.microsoft.com/office/drawing/2014/main" id="{4DD12945-0CF2-4861-B971-0080FF190F3B}"/>
            </a:ext>
          </a:extLst>
        </cdr:cNvPr>
        <cdr:cNvSpPr txBox="1"/>
      </cdr:nvSpPr>
      <cdr:spPr>
        <a:xfrm xmlns:a="http://schemas.openxmlformats.org/drawingml/2006/main">
          <a:off x="2860044" y="1266825"/>
          <a:ext cx="749931" cy="35143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t>Filgastrim</a:t>
          </a:r>
        </a:p>
      </cdr:txBody>
    </cdr:sp>
  </cdr:relSizeAnchor>
  <cdr:relSizeAnchor xmlns:cdr="http://schemas.openxmlformats.org/drawingml/2006/chartDrawing">
    <cdr:from>
      <cdr:x>0.32372</cdr:x>
      <cdr:y>0.44004</cdr:y>
    </cdr:from>
    <cdr:to>
      <cdr:x>0.375</cdr:x>
      <cdr:y>0.61162</cdr:y>
    </cdr:to>
    <cdr:sp macro="" textlink="">
      <cdr:nvSpPr>
        <cdr:cNvPr id="4" name="Arrow: Down 3"/>
        <cdr:cNvSpPr/>
      </cdr:nvSpPr>
      <cdr:spPr>
        <a:xfrm xmlns:a="http://schemas.openxmlformats.org/drawingml/2006/main">
          <a:off x="1924050" y="1514475"/>
          <a:ext cx="304800" cy="590550"/>
        </a:xfrm>
        <a:prstGeom xmlns:a="http://schemas.openxmlformats.org/drawingml/2006/main" prst="downArrow">
          <a:avLst/>
        </a:prstGeom>
      </cdr:spPr>
      <cdr:style>
        <a:lnRef xmlns:a="http://schemas.openxmlformats.org/drawingml/2006/main" idx="2">
          <a:schemeClr val="dk1">
            <a:shade val="50000"/>
          </a:schemeClr>
        </a:lnRef>
        <a:fillRef xmlns:a="http://schemas.openxmlformats.org/drawingml/2006/main" idx="1">
          <a:schemeClr val="dk1"/>
        </a:fillRef>
        <a:effectRef xmlns:a="http://schemas.openxmlformats.org/drawingml/2006/main" idx="0">
          <a:schemeClr val="dk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0.52724</cdr:x>
      <cdr:y>0.4345</cdr:y>
    </cdr:from>
    <cdr:to>
      <cdr:x>0.58013</cdr:x>
      <cdr:y>0.60886</cdr:y>
    </cdr:to>
    <cdr:sp macro="" textlink="">
      <cdr:nvSpPr>
        <cdr:cNvPr id="5" name="Arrow: Down 4"/>
        <cdr:cNvSpPr/>
      </cdr:nvSpPr>
      <cdr:spPr>
        <a:xfrm xmlns:a="http://schemas.openxmlformats.org/drawingml/2006/main">
          <a:off x="3133725" y="1495425"/>
          <a:ext cx="314325" cy="600075"/>
        </a:xfrm>
        <a:prstGeom xmlns:a="http://schemas.openxmlformats.org/drawingml/2006/main" prst="downArrow">
          <a:avLst/>
        </a:prstGeom>
      </cdr:spPr>
      <cdr:style>
        <a:lnRef xmlns:a="http://schemas.openxmlformats.org/drawingml/2006/main" idx="2">
          <a:schemeClr val="dk1">
            <a:shade val="50000"/>
          </a:schemeClr>
        </a:lnRef>
        <a:fillRef xmlns:a="http://schemas.openxmlformats.org/drawingml/2006/main" idx="1">
          <a:schemeClr val="dk1"/>
        </a:fillRef>
        <a:effectRef xmlns:a="http://schemas.openxmlformats.org/drawingml/2006/main" idx="0">
          <a:schemeClr val="dk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C259DA-9BCB-D043-8D2C-4390F3B89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14</Pages>
  <Words>4072</Words>
  <Characters>23215</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Sidra Medicine</Company>
  <LinksUpToDate>false</LinksUpToDate>
  <CharactersWithSpaces>27233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Ahmad A A Al Bishawi</dc:creator>
  <cp:keywords/>
  <dc:description/>
  <cp:lastModifiedBy>Ahmad A A Al Bishawi</cp:lastModifiedBy>
  <cp:revision>16</cp:revision>
  <cp:lastPrinted>2022-01-24T05:41:00Z</cp:lastPrinted>
  <dcterms:created xsi:type="dcterms:W3CDTF">2022-02-13T05:26:00Z</dcterms:created>
  <dcterms:modified xsi:type="dcterms:W3CDTF">2022-02-19T14:26:00Z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73f5887-035d-4765-8d10-97aaac8deb4a_Enabled">
    <vt:lpwstr>true</vt:lpwstr>
  </property>
  <property fmtid="{D5CDD505-2E9C-101B-9397-08002B2CF9AE}" pid="3" name="MSIP_Label_573f5887-035d-4765-8d10-97aaac8deb4a_SetDate">
    <vt:lpwstr>2021-08-24T08:33:33Z</vt:lpwstr>
  </property>
  <property fmtid="{D5CDD505-2E9C-101B-9397-08002B2CF9AE}" pid="4" name="MSIP_Label_573f5887-035d-4765-8d10-97aaac8deb4a_Method">
    <vt:lpwstr>Standard</vt:lpwstr>
  </property>
  <property fmtid="{D5CDD505-2E9C-101B-9397-08002B2CF9AE}" pid="5" name="MSIP_Label_573f5887-035d-4765-8d10-97aaac8deb4a_Name">
    <vt:lpwstr>Public</vt:lpwstr>
  </property>
  <property fmtid="{D5CDD505-2E9C-101B-9397-08002B2CF9AE}" pid="6" name="MSIP_Label_573f5887-035d-4765-8d10-97aaac8deb4a_SiteId">
    <vt:lpwstr>f08ae827-76a0-4eda-8325-df208f3835ab</vt:lpwstr>
  </property>
  <property fmtid="{D5CDD505-2E9C-101B-9397-08002B2CF9AE}" pid="7" name="MSIP_Label_573f5887-035d-4765-8d10-97aaac8deb4a_ActionId">
    <vt:lpwstr>a07702f2-e373-48d5-8926-04ea96bf9238</vt:lpwstr>
  </property>
  <property fmtid="{D5CDD505-2E9C-101B-9397-08002B2CF9AE}" pid="8" name="MSIP_Label_573f5887-035d-4765-8d10-97aaac8deb4a_ContentBits">
    <vt:lpwstr>0</vt:lpwstr>
  </property>
</Properties>
</file>