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1BBFE" w14:textId="6D7BBF23" w:rsidR="005538D5" w:rsidRDefault="0017517F" w:rsidP="00811515">
      <w:pPr>
        <w:spacing w:after="0" w:line="360" w:lineRule="auto"/>
        <w:jc w:val="both"/>
        <w:rPr>
          <w:rFonts w:ascii="Garamond" w:hAnsi="Garamond"/>
          <w:b/>
          <w:bCs/>
          <w:sz w:val="28"/>
          <w:szCs w:val="28"/>
          <w:lang w:val="en-US"/>
        </w:rPr>
      </w:pPr>
      <w:r>
        <w:rPr>
          <w:rFonts w:ascii="Garamond" w:hAnsi="Garamond"/>
          <w:b/>
          <w:bCs/>
          <w:sz w:val="28"/>
          <w:szCs w:val="28"/>
          <w:lang w:val="en-US"/>
        </w:rPr>
        <w:t xml:space="preserve">TITLE: </w:t>
      </w:r>
      <w:r w:rsidR="005538D5" w:rsidRPr="00226312">
        <w:rPr>
          <w:rFonts w:ascii="Garamond" w:hAnsi="Garamond"/>
          <w:b/>
          <w:bCs/>
          <w:sz w:val="28"/>
          <w:szCs w:val="28"/>
          <w:lang w:val="en-US"/>
        </w:rPr>
        <w:t>Three</w:t>
      </w:r>
      <w:r w:rsidR="00AF4239">
        <w:rPr>
          <w:rFonts w:ascii="Garamond" w:hAnsi="Garamond"/>
          <w:b/>
          <w:bCs/>
          <w:sz w:val="28"/>
          <w:szCs w:val="28"/>
          <w:lang w:val="en-US"/>
        </w:rPr>
        <w:t xml:space="preserve"> </w:t>
      </w:r>
      <w:r w:rsidR="00DE12F5" w:rsidRPr="00226312">
        <w:rPr>
          <w:rFonts w:ascii="Garamond" w:hAnsi="Garamond"/>
          <w:b/>
          <w:bCs/>
          <w:sz w:val="28"/>
          <w:szCs w:val="28"/>
          <w:lang w:val="en-US"/>
        </w:rPr>
        <w:t>season</w:t>
      </w:r>
      <w:r w:rsidR="00AF4239">
        <w:rPr>
          <w:rFonts w:ascii="Garamond" w:hAnsi="Garamond"/>
          <w:b/>
          <w:bCs/>
          <w:sz w:val="28"/>
          <w:szCs w:val="28"/>
          <w:lang w:val="en-US"/>
        </w:rPr>
        <w:t>s of</w:t>
      </w:r>
      <w:r w:rsidR="005538D5" w:rsidRPr="00226312">
        <w:rPr>
          <w:rFonts w:ascii="Garamond" w:hAnsi="Garamond"/>
          <w:b/>
          <w:bCs/>
          <w:sz w:val="28"/>
          <w:szCs w:val="28"/>
          <w:lang w:val="en-US"/>
        </w:rPr>
        <w:t xml:space="preserve"> enhanced safety surveillance of </w:t>
      </w:r>
      <w:r w:rsidR="00A97154" w:rsidRPr="00226312">
        <w:rPr>
          <w:rFonts w:ascii="Garamond" w:hAnsi="Garamond"/>
          <w:b/>
          <w:bCs/>
          <w:sz w:val="28"/>
          <w:szCs w:val="28"/>
          <w:lang w:val="en-US"/>
        </w:rPr>
        <w:t>a cell culture</w:t>
      </w:r>
      <w:r w:rsidR="00DE12F5" w:rsidRPr="00226312">
        <w:rPr>
          <w:rFonts w:ascii="Garamond" w:hAnsi="Garamond"/>
          <w:b/>
          <w:bCs/>
          <w:sz w:val="28"/>
          <w:szCs w:val="28"/>
          <w:lang w:val="en-US"/>
        </w:rPr>
        <w:t>-based</w:t>
      </w:r>
      <w:r w:rsidR="00A97154" w:rsidRPr="00226312">
        <w:rPr>
          <w:rFonts w:ascii="Garamond" w:hAnsi="Garamond"/>
          <w:b/>
          <w:bCs/>
          <w:sz w:val="28"/>
          <w:szCs w:val="28"/>
          <w:lang w:val="en-US"/>
        </w:rPr>
        <w:t xml:space="preserve"> </w:t>
      </w:r>
      <w:r w:rsidR="001E25A7" w:rsidRPr="00226312">
        <w:rPr>
          <w:rFonts w:ascii="Garamond" w:hAnsi="Garamond"/>
          <w:b/>
          <w:bCs/>
          <w:sz w:val="28"/>
          <w:szCs w:val="28"/>
          <w:lang w:val="en-US"/>
        </w:rPr>
        <w:t xml:space="preserve">quadrivalent </w:t>
      </w:r>
      <w:r w:rsidR="00A97154" w:rsidRPr="00226312">
        <w:rPr>
          <w:rFonts w:ascii="Garamond" w:hAnsi="Garamond"/>
          <w:b/>
          <w:bCs/>
          <w:sz w:val="28"/>
          <w:szCs w:val="28"/>
          <w:lang w:val="en-US"/>
        </w:rPr>
        <w:t>influenza vaccine</w:t>
      </w:r>
    </w:p>
    <w:p w14:paraId="3F608E36" w14:textId="763C880D" w:rsidR="0017517F" w:rsidRDefault="0017517F" w:rsidP="00811515">
      <w:pPr>
        <w:spacing w:after="0" w:line="360" w:lineRule="auto"/>
        <w:jc w:val="both"/>
        <w:rPr>
          <w:rFonts w:ascii="Garamond" w:hAnsi="Garamond"/>
          <w:b/>
          <w:bCs/>
          <w:sz w:val="28"/>
          <w:szCs w:val="28"/>
          <w:lang w:val="en-US"/>
        </w:rPr>
      </w:pPr>
    </w:p>
    <w:p w14:paraId="0B3C6425" w14:textId="05552959" w:rsidR="0017517F" w:rsidRPr="00226312" w:rsidRDefault="0017517F" w:rsidP="00811515">
      <w:pPr>
        <w:spacing w:after="0" w:line="360" w:lineRule="auto"/>
        <w:jc w:val="both"/>
        <w:rPr>
          <w:rFonts w:ascii="Garamond" w:hAnsi="Garamond"/>
          <w:b/>
          <w:bCs/>
          <w:sz w:val="28"/>
          <w:szCs w:val="28"/>
          <w:lang w:val="en-US"/>
        </w:rPr>
      </w:pPr>
      <w:r>
        <w:rPr>
          <w:rFonts w:ascii="Garamond" w:hAnsi="Garamond"/>
          <w:b/>
          <w:bCs/>
          <w:sz w:val="28"/>
          <w:szCs w:val="28"/>
          <w:lang w:val="en-US"/>
        </w:rPr>
        <w:t xml:space="preserve">RUNNING TITLE: </w:t>
      </w:r>
      <w:r w:rsidR="004155AE">
        <w:rPr>
          <w:rFonts w:ascii="Garamond" w:hAnsi="Garamond"/>
          <w:b/>
          <w:bCs/>
          <w:sz w:val="28"/>
          <w:szCs w:val="28"/>
          <w:lang w:val="en-US"/>
        </w:rPr>
        <w:t>E</w:t>
      </w:r>
      <w:r w:rsidR="004155AE" w:rsidRPr="004155AE">
        <w:rPr>
          <w:rFonts w:ascii="Garamond" w:hAnsi="Garamond"/>
          <w:b/>
          <w:bCs/>
          <w:sz w:val="28"/>
          <w:szCs w:val="28"/>
          <w:lang w:val="en-US"/>
        </w:rPr>
        <w:t>nhanced safety surveillance</w:t>
      </w:r>
      <w:r w:rsidR="004155AE">
        <w:rPr>
          <w:rFonts w:ascii="Garamond" w:hAnsi="Garamond"/>
          <w:b/>
          <w:bCs/>
          <w:sz w:val="28"/>
          <w:szCs w:val="28"/>
          <w:lang w:val="en-US"/>
        </w:rPr>
        <w:t xml:space="preserve"> of Flucelvax Tetra</w:t>
      </w:r>
    </w:p>
    <w:p w14:paraId="189DDEF8" w14:textId="0BA5835B" w:rsidR="005538D5" w:rsidRDefault="005538D5" w:rsidP="00811515">
      <w:pPr>
        <w:spacing w:after="0" w:line="360" w:lineRule="auto"/>
        <w:jc w:val="both"/>
        <w:rPr>
          <w:rFonts w:ascii="Garamond" w:hAnsi="Garamond"/>
          <w:sz w:val="20"/>
          <w:szCs w:val="20"/>
          <w:lang w:val="en-US"/>
        </w:rPr>
      </w:pPr>
    </w:p>
    <w:p w14:paraId="63988865" w14:textId="1C985898" w:rsidR="0017517F" w:rsidRPr="00A02A54" w:rsidRDefault="0017517F" w:rsidP="0017517F">
      <w:pPr>
        <w:spacing w:after="0" w:line="360" w:lineRule="auto"/>
        <w:jc w:val="both"/>
        <w:rPr>
          <w:rFonts w:ascii="Garamond" w:hAnsi="Garamond"/>
          <w:sz w:val="20"/>
          <w:szCs w:val="20"/>
        </w:rPr>
      </w:pPr>
      <w:r w:rsidRPr="00A02A54">
        <w:rPr>
          <w:rFonts w:ascii="Garamond" w:hAnsi="Garamond"/>
          <w:sz w:val="20"/>
          <w:szCs w:val="20"/>
        </w:rPr>
        <w:t>Alexander Domnich</w:t>
      </w:r>
      <w:r>
        <w:rPr>
          <w:rFonts w:ascii="Garamond" w:hAnsi="Garamond"/>
          <w:sz w:val="20"/>
          <w:szCs w:val="20"/>
          <w:vertAlign w:val="superscript"/>
        </w:rPr>
        <w:t>1</w:t>
      </w:r>
      <w:r w:rsidR="00206709">
        <w:rPr>
          <w:rFonts w:ascii="Garamond" w:hAnsi="Garamond"/>
          <w:sz w:val="20"/>
          <w:szCs w:val="20"/>
        </w:rPr>
        <w:t xml:space="preserve">, </w:t>
      </w:r>
      <w:r w:rsidRPr="00A02A54">
        <w:rPr>
          <w:rFonts w:ascii="Garamond" w:hAnsi="Garamond"/>
          <w:sz w:val="20"/>
          <w:szCs w:val="20"/>
        </w:rPr>
        <w:t>Daniela Amicizia</w:t>
      </w:r>
      <w:r>
        <w:rPr>
          <w:rFonts w:ascii="Garamond" w:hAnsi="Garamond"/>
          <w:sz w:val="20"/>
          <w:szCs w:val="20"/>
          <w:vertAlign w:val="superscript"/>
        </w:rPr>
        <w:t>2,3</w:t>
      </w:r>
      <w:r w:rsidRPr="00A02A54">
        <w:rPr>
          <w:rFonts w:ascii="Garamond" w:hAnsi="Garamond"/>
          <w:sz w:val="20"/>
          <w:szCs w:val="20"/>
        </w:rPr>
        <w:t>, Piero Luigi Lai</w:t>
      </w:r>
      <w:r>
        <w:rPr>
          <w:rFonts w:ascii="Garamond" w:hAnsi="Garamond"/>
          <w:sz w:val="20"/>
          <w:szCs w:val="20"/>
          <w:vertAlign w:val="superscript"/>
        </w:rPr>
        <w:t>2,3</w:t>
      </w:r>
      <w:r w:rsidRPr="00A02A54">
        <w:rPr>
          <w:rFonts w:ascii="Garamond" w:hAnsi="Garamond"/>
          <w:sz w:val="20"/>
          <w:szCs w:val="20"/>
        </w:rPr>
        <w:t xml:space="preserve">, </w:t>
      </w:r>
      <w:r w:rsidR="000E5AB7">
        <w:rPr>
          <w:rFonts w:ascii="Garamond" w:hAnsi="Garamond"/>
          <w:sz w:val="20"/>
          <w:szCs w:val="20"/>
        </w:rPr>
        <w:t>Matilde</w:t>
      </w:r>
      <w:r w:rsidR="000E5AB7" w:rsidRPr="00A02A54">
        <w:rPr>
          <w:rFonts w:ascii="Garamond" w:hAnsi="Garamond"/>
          <w:sz w:val="20"/>
          <w:szCs w:val="20"/>
        </w:rPr>
        <w:t xml:space="preserve"> </w:t>
      </w:r>
      <w:r w:rsidR="000E5AB7">
        <w:rPr>
          <w:rFonts w:ascii="Garamond" w:hAnsi="Garamond"/>
          <w:sz w:val="20"/>
          <w:szCs w:val="20"/>
        </w:rPr>
        <w:t>Ogliastro</w:t>
      </w:r>
      <w:r w:rsidR="000E5AB7">
        <w:rPr>
          <w:rFonts w:ascii="Garamond" w:hAnsi="Garamond"/>
          <w:sz w:val="20"/>
          <w:szCs w:val="20"/>
          <w:vertAlign w:val="superscript"/>
        </w:rPr>
        <w:t>2</w:t>
      </w:r>
      <w:r w:rsidR="000E5AB7" w:rsidRPr="00A02A54">
        <w:rPr>
          <w:rFonts w:ascii="Garamond" w:hAnsi="Garamond"/>
          <w:sz w:val="20"/>
          <w:szCs w:val="20"/>
        </w:rPr>
        <w:t xml:space="preserve">, </w:t>
      </w:r>
      <w:r w:rsidRPr="00F951E0">
        <w:rPr>
          <w:rFonts w:ascii="Garamond" w:hAnsi="Garamond"/>
          <w:sz w:val="20"/>
          <w:szCs w:val="20"/>
        </w:rPr>
        <w:t>Maria</w:t>
      </w:r>
      <w:r>
        <w:rPr>
          <w:rFonts w:ascii="Garamond" w:hAnsi="Garamond"/>
          <w:sz w:val="20"/>
          <w:szCs w:val="20"/>
        </w:rPr>
        <w:t xml:space="preserve"> </w:t>
      </w:r>
      <w:r w:rsidRPr="00F951E0">
        <w:rPr>
          <w:rFonts w:ascii="Garamond" w:hAnsi="Garamond"/>
          <w:sz w:val="20"/>
          <w:szCs w:val="20"/>
        </w:rPr>
        <w:t>Piedrahita</w:t>
      </w:r>
      <w:r>
        <w:rPr>
          <w:rFonts w:ascii="Garamond" w:hAnsi="Garamond"/>
          <w:sz w:val="20"/>
          <w:szCs w:val="20"/>
        </w:rPr>
        <w:t>-Tovar</w:t>
      </w:r>
      <w:r>
        <w:rPr>
          <w:rFonts w:ascii="Garamond" w:hAnsi="Garamond"/>
          <w:sz w:val="20"/>
          <w:szCs w:val="20"/>
          <w:vertAlign w:val="superscript"/>
        </w:rPr>
        <w:t>4</w:t>
      </w:r>
      <w:r>
        <w:rPr>
          <w:rFonts w:ascii="Garamond" w:hAnsi="Garamond"/>
          <w:sz w:val="20"/>
          <w:szCs w:val="20"/>
        </w:rPr>
        <w:t xml:space="preserve">, </w:t>
      </w:r>
      <w:r w:rsidRPr="00A02A54">
        <w:rPr>
          <w:rFonts w:ascii="Garamond" w:hAnsi="Garamond"/>
          <w:sz w:val="20"/>
          <w:szCs w:val="20"/>
        </w:rPr>
        <w:t>Andrea Orsi</w:t>
      </w:r>
      <w:r>
        <w:rPr>
          <w:rFonts w:ascii="Garamond" w:hAnsi="Garamond"/>
          <w:sz w:val="20"/>
          <w:szCs w:val="20"/>
          <w:vertAlign w:val="superscript"/>
        </w:rPr>
        <w:t>1,2,3</w:t>
      </w:r>
      <w:r w:rsidRPr="00A02A54">
        <w:rPr>
          <w:rFonts w:ascii="Garamond" w:hAnsi="Garamond"/>
          <w:sz w:val="20"/>
          <w:szCs w:val="20"/>
        </w:rPr>
        <w:t>, Giancarlo Icardi</w:t>
      </w:r>
      <w:r>
        <w:rPr>
          <w:rFonts w:ascii="Garamond" w:hAnsi="Garamond"/>
          <w:sz w:val="20"/>
          <w:szCs w:val="20"/>
          <w:vertAlign w:val="superscript"/>
        </w:rPr>
        <w:t>1,2,3</w:t>
      </w:r>
      <w:r w:rsidRPr="00A02A54">
        <w:rPr>
          <w:rFonts w:ascii="Garamond" w:hAnsi="Garamond"/>
          <w:sz w:val="20"/>
          <w:szCs w:val="20"/>
        </w:rPr>
        <w:t>, Donatella Panatto</w:t>
      </w:r>
      <w:r>
        <w:rPr>
          <w:rFonts w:ascii="Garamond" w:hAnsi="Garamond"/>
          <w:sz w:val="20"/>
          <w:szCs w:val="20"/>
          <w:vertAlign w:val="superscript"/>
        </w:rPr>
        <w:t>2,3</w:t>
      </w:r>
    </w:p>
    <w:p w14:paraId="6DB5820D" w14:textId="77777777" w:rsidR="0017517F" w:rsidRDefault="0017517F" w:rsidP="0017517F">
      <w:pPr>
        <w:spacing w:after="0" w:line="360" w:lineRule="auto"/>
        <w:jc w:val="both"/>
        <w:rPr>
          <w:rFonts w:ascii="Garamond" w:hAnsi="Garamond"/>
          <w:sz w:val="20"/>
          <w:szCs w:val="20"/>
        </w:rPr>
      </w:pPr>
    </w:p>
    <w:p w14:paraId="674B141F" w14:textId="77777777" w:rsidR="0017517F" w:rsidRPr="00A02A54" w:rsidRDefault="0017517F" w:rsidP="0017517F">
      <w:pPr>
        <w:spacing w:after="0" w:line="360" w:lineRule="auto"/>
        <w:jc w:val="both"/>
        <w:rPr>
          <w:rFonts w:ascii="Garamond" w:hAnsi="Garamond"/>
          <w:sz w:val="20"/>
          <w:szCs w:val="20"/>
          <w:lang w:val="en-US"/>
        </w:rPr>
      </w:pPr>
      <w:r>
        <w:rPr>
          <w:rFonts w:ascii="Garamond" w:hAnsi="Garamond"/>
          <w:sz w:val="20"/>
          <w:szCs w:val="20"/>
          <w:vertAlign w:val="superscript"/>
          <w:lang w:val="en-US"/>
        </w:rPr>
        <w:t>1</w:t>
      </w:r>
      <w:r w:rsidRPr="00A02A54">
        <w:rPr>
          <w:rFonts w:ascii="Garamond" w:hAnsi="Garamond"/>
          <w:sz w:val="20"/>
          <w:szCs w:val="20"/>
          <w:lang w:val="en-US"/>
        </w:rPr>
        <w:t>Hygiene Unit, San Martino Polyclinic Hospital-IRCCS for Oncology and Neurosciences, Genoa, Italy</w:t>
      </w:r>
    </w:p>
    <w:p w14:paraId="464FDC94" w14:textId="77777777" w:rsidR="0017517F" w:rsidRPr="00A02A54" w:rsidRDefault="0017517F" w:rsidP="0017517F">
      <w:pPr>
        <w:spacing w:after="0" w:line="360" w:lineRule="auto"/>
        <w:jc w:val="both"/>
        <w:rPr>
          <w:rFonts w:ascii="Garamond" w:hAnsi="Garamond"/>
          <w:sz w:val="20"/>
          <w:szCs w:val="20"/>
          <w:lang w:val="en-US"/>
        </w:rPr>
      </w:pPr>
      <w:r>
        <w:rPr>
          <w:rFonts w:ascii="Garamond" w:hAnsi="Garamond"/>
          <w:sz w:val="20"/>
          <w:szCs w:val="20"/>
          <w:vertAlign w:val="superscript"/>
          <w:lang w:val="en-US"/>
        </w:rPr>
        <w:t>2</w:t>
      </w:r>
      <w:r w:rsidRPr="00A02A54">
        <w:rPr>
          <w:rFonts w:ascii="Garamond" w:hAnsi="Garamond"/>
          <w:sz w:val="20"/>
          <w:szCs w:val="20"/>
          <w:lang w:val="en-US"/>
        </w:rPr>
        <w:t>Department of Health Sciences (DISSAL), University of Genoa, Genoa, Italy</w:t>
      </w:r>
    </w:p>
    <w:p w14:paraId="00CDE227" w14:textId="77777777" w:rsidR="0017517F" w:rsidRPr="00A02A54" w:rsidRDefault="0017517F" w:rsidP="0017517F">
      <w:pPr>
        <w:spacing w:after="0" w:line="360" w:lineRule="auto"/>
        <w:jc w:val="both"/>
        <w:rPr>
          <w:rFonts w:ascii="Garamond" w:hAnsi="Garamond"/>
          <w:sz w:val="20"/>
          <w:szCs w:val="20"/>
          <w:lang w:val="en-US"/>
        </w:rPr>
      </w:pPr>
      <w:r>
        <w:rPr>
          <w:rFonts w:ascii="Garamond" w:hAnsi="Garamond"/>
          <w:sz w:val="20"/>
          <w:szCs w:val="20"/>
          <w:vertAlign w:val="superscript"/>
          <w:lang w:val="en-US"/>
        </w:rPr>
        <w:t>3</w:t>
      </w:r>
      <w:r w:rsidRPr="00A02A54">
        <w:rPr>
          <w:rFonts w:ascii="Garamond" w:hAnsi="Garamond"/>
          <w:sz w:val="20"/>
          <w:szCs w:val="20"/>
          <w:lang w:val="en-US"/>
        </w:rPr>
        <w:t>Interuniversity Research Center on Influenza and Other Transmissible Infections (CIRI-IT), Genoa, Italy</w:t>
      </w:r>
    </w:p>
    <w:p w14:paraId="7569911C" w14:textId="77777777" w:rsidR="0017517F" w:rsidRPr="00A02A54" w:rsidRDefault="0017517F" w:rsidP="0017517F">
      <w:pPr>
        <w:spacing w:after="0" w:line="360" w:lineRule="auto"/>
        <w:jc w:val="both"/>
        <w:rPr>
          <w:rFonts w:ascii="Garamond" w:hAnsi="Garamond"/>
          <w:sz w:val="20"/>
          <w:szCs w:val="20"/>
          <w:lang w:val="en-US"/>
        </w:rPr>
      </w:pPr>
      <w:r>
        <w:rPr>
          <w:rFonts w:ascii="Garamond" w:hAnsi="Garamond"/>
          <w:sz w:val="20"/>
          <w:szCs w:val="20"/>
          <w:vertAlign w:val="superscript"/>
          <w:lang w:val="en-US"/>
        </w:rPr>
        <w:t>4</w:t>
      </w:r>
      <w:r w:rsidRPr="00A02A54">
        <w:rPr>
          <w:rFonts w:ascii="Garamond" w:hAnsi="Garamond"/>
          <w:sz w:val="20"/>
          <w:szCs w:val="20"/>
          <w:lang w:val="en-US"/>
        </w:rPr>
        <w:t>CSL Seqirus, Global Clinical Safety &amp; Pharmacovigilance, Maidenhead, UK</w:t>
      </w:r>
    </w:p>
    <w:p w14:paraId="6DF0E00C" w14:textId="77777777" w:rsidR="0017517F" w:rsidRPr="00A02A54" w:rsidRDefault="0017517F" w:rsidP="0017517F">
      <w:pPr>
        <w:spacing w:after="0" w:line="360" w:lineRule="auto"/>
        <w:jc w:val="both"/>
        <w:rPr>
          <w:rFonts w:ascii="Garamond" w:hAnsi="Garamond"/>
          <w:sz w:val="20"/>
          <w:szCs w:val="20"/>
          <w:lang w:val="en-US"/>
        </w:rPr>
      </w:pPr>
    </w:p>
    <w:p w14:paraId="4CD021EC" w14:textId="77777777" w:rsidR="0017517F" w:rsidRPr="007F6AB3" w:rsidRDefault="0017517F" w:rsidP="0017517F">
      <w:pPr>
        <w:spacing w:after="0" w:line="360" w:lineRule="auto"/>
        <w:jc w:val="both"/>
        <w:rPr>
          <w:rFonts w:ascii="Garamond" w:hAnsi="Garamond"/>
          <w:sz w:val="20"/>
          <w:szCs w:val="20"/>
          <w:lang w:val="en-US"/>
        </w:rPr>
      </w:pPr>
      <w:r w:rsidRPr="00A02A54">
        <w:rPr>
          <w:rFonts w:ascii="Garamond" w:hAnsi="Garamond"/>
          <w:sz w:val="20"/>
          <w:szCs w:val="20"/>
          <w:lang w:val="en-US"/>
        </w:rPr>
        <w:t>Correspond</w:t>
      </w:r>
      <w:r>
        <w:rPr>
          <w:rFonts w:ascii="Garamond" w:hAnsi="Garamond"/>
          <w:sz w:val="20"/>
          <w:szCs w:val="20"/>
          <w:lang w:val="en-US"/>
        </w:rPr>
        <w:t>ence</w:t>
      </w:r>
      <w:r w:rsidRPr="00A02A54">
        <w:rPr>
          <w:rFonts w:ascii="Garamond" w:hAnsi="Garamond"/>
          <w:sz w:val="20"/>
          <w:szCs w:val="20"/>
          <w:lang w:val="en-US"/>
        </w:rPr>
        <w:t>: Department of Health Sciences (DISSAL), University of Genoa, Via A. Pastore, 1 16132 Genoa, Italy</w:t>
      </w:r>
      <w:r>
        <w:rPr>
          <w:rFonts w:ascii="Garamond" w:hAnsi="Garamond"/>
          <w:sz w:val="20"/>
          <w:szCs w:val="20"/>
          <w:lang w:val="en-US"/>
        </w:rPr>
        <w:t xml:space="preserve">. Email: </w:t>
      </w:r>
      <w:r w:rsidRPr="00A02A54">
        <w:rPr>
          <w:rFonts w:ascii="Garamond" w:hAnsi="Garamond"/>
          <w:sz w:val="20"/>
          <w:szCs w:val="20"/>
          <w:lang w:val="en-US"/>
        </w:rPr>
        <w:t>panatto@unige.it</w:t>
      </w:r>
    </w:p>
    <w:p w14:paraId="4CE4BB44" w14:textId="77777777" w:rsidR="0017517F" w:rsidRDefault="0017517F" w:rsidP="0017517F">
      <w:pPr>
        <w:spacing w:after="0" w:line="360" w:lineRule="auto"/>
        <w:jc w:val="both"/>
        <w:rPr>
          <w:rFonts w:ascii="Garamond" w:hAnsi="Garamond"/>
          <w:b/>
          <w:bCs/>
          <w:sz w:val="28"/>
          <w:szCs w:val="28"/>
          <w:lang w:val="en-US"/>
        </w:rPr>
      </w:pPr>
    </w:p>
    <w:p w14:paraId="3041EF30" w14:textId="481AF2E3" w:rsidR="0017517F" w:rsidRPr="0017517F" w:rsidRDefault="0017517F" w:rsidP="0017517F">
      <w:pPr>
        <w:spacing w:after="0" w:line="360" w:lineRule="auto"/>
        <w:jc w:val="both"/>
        <w:rPr>
          <w:rFonts w:ascii="Garamond" w:hAnsi="Garamond"/>
          <w:b/>
          <w:bCs/>
          <w:sz w:val="28"/>
          <w:szCs w:val="28"/>
          <w:lang w:val="en-US"/>
        </w:rPr>
      </w:pPr>
      <w:r>
        <w:rPr>
          <w:rFonts w:ascii="Garamond" w:hAnsi="Garamond"/>
          <w:b/>
          <w:bCs/>
          <w:sz w:val="28"/>
          <w:szCs w:val="28"/>
          <w:lang w:val="en-US"/>
        </w:rPr>
        <w:t>D</w:t>
      </w:r>
      <w:r w:rsidRPr="0017517F">
        <w:rPr>
          <w:rFonts w:ascii="Garamond" w:hAnsi="Garamond"/>
          <w:b/>
          <w:bCs/>
          <w:sz w:val="28"/>
          <w:szCs w:val="28"/>
          <w:lang w:val="en-US"/>
        </w:rPr>
        <w:t>ata availability statement</w:t>
      </w:r>
    </w:p>
    <w:p w14:paraId="1504CB92" w14:textId="6F9E99B0" w:rsidR="0017517F" w:rsidRDefault="0017517F" w:rsidP="0017517F">
      <w:pPr>
        <w:spacing w:after="0" w:line="360" w:lineRule="auto"/>
        <w:jc w:val="both"/>
        <w:rPr>
          <w:rFonts w:ascii="Garamond" w:hAnsi="Garamond"/>
          <w:b/>
          <w:bCs/>
          <w:sz w:val="28"/>
          <w:szCs w:val="28"/>
          <w:lang w:val="en-US"/>
        </w:rPr>
      </w:pPr>
      <w:r w:rsidRPr="0017517F">
        <w:rPr>
          <w:rFonts w:ascii="Garamond" w:hAnsi="Garamond"/>
          <w:sz w:val="20"/>
          <w:szCs w:val="20"/>
          <w:lang w:val="en-US"/>
        </w:rPr>
        <w:t>Al</w:t>
      </w:r>
      <w:r w:rsidR="006956D6">
        <w:rPr>
          <w:rFonts w:ascii="Garamond" w:hAnsi="Garamond"/>
          <w:sz w:val="20"/>
          <w:szCs w:val="20"/>
          <w:lang w:val="en-US"/>
        </w:rPr>
        <w:t>l relevant data are within the manuscript and associated supporting information.</w:t>
      </w:r>
    </w:p>
    <w:p w14:paraId="2A1424C9" w14:textId="77777777" w:rsidR="006956D6" w:rsidRDefault="006956D6" w:rsidP="0017517F">
      <w:pPr>
        <w:spacing w:after="0" w:line="360" w:lineRule="auto"/>
        <w:jc w:val="both"/>
        <w:rPr>
          <w:rFonts w:ascii="Garamond" w:hAnsi="Garamond"/>
          <w:b/>
          <w:bCs/>
          <w:sz w:val="28"/>
          <w:szCs w:val="28"/>
          <w:lang w:val="en-US"/>
        </w:rPr>
      </w:pPr>
    </w:p>
    <w:p w14:paraId="6C81DC07" w14:textId="0F64D38B" w:rsidR="0017517F" w:rsidRPr="0017517F" w:rsidRDefault="0017517F" w:rsidP="0017517F">
      <w:pPr>
        <w:spacing w:after="0" w:line="360" w:lineRule="auto"/>
        <w:jc w:val="both"/>
        <w:rPr>
          <w:rFonts w:ascii="Garamond" w:hAnsi="Garamond"/>
          <w:b/>
          <w:bCs/>
          <w:sz w:val="28"/>
          <w:szCs w:val="28"/>
          <w:lang w:val="en-US"/>
        </w:rPr>
      </w:pPr>
      <w:r>
        <w:rPr>
          <w:rFonts w:ascii="Garamond" w:hAnsi="Garamond"/>
          <w:b/>
          <w:bCs/>
          <w:sz w:val="28"/>
          <w:szCs w:val="28"/>
          <w:lang w:val="en-US"/>
        </w:rPr>
        <w:t>F</w:t>
      </w:r>
      <w:r w:rsidRPr="0017517F">
        <w:rPr>
          <w:rFonts w:ascii="Garamond" w:hAnsi="Garamond"/>
          <w:b/>
          <w:bCs/>
          <w:sz w:val="28"/>
          <w:szCs w:val="28"/>
          <w:lang w:val="en-US"/>
        </w:rPr>
        <w:t>unding statement</w:t>
      </w:r>
    </w:p>
    <w:p w14:paraId="380C709C" w14:textId="06BE9774" w:rsidR="0017517F" w:rsidRPr="0017517F" w:rsidRDefault="008E5242" w:rsidP="0017517F">
      <w:pPr>
        <w:spacing w:after="0" w:line="360" w:lineRule="auto"/>
        <w:jc w:val="both"/>
        <w:rPr>
          <w:rFonts w:ascii="Garamond" w:hAnsi="Garamond"/>
          <w:b/>
          <w:bCs/>
          <w:sz w:val="28"/>
          <w:szCs w:val="28"/>
          <w:lang w:val="en-US"/>
        </w:rPr>
      </w:pPr>
      <w:r w:rsidRPr="008E5242">
        <w:rPr>
          <w:rFonts w:ascii="Garamond" w:hAnsi="Garamond"/>
          <w:sz w:val="20"/>
          <w:szCs w:val="20"/>
          <w:lang w:val="en-US"/>
        </w:rPr>
        <w:t>This EPSS was funded by CSL Seqirus. The Sponsor was involved in all aspects of the enhanced passive safety surveillance.</w:t>
      </w:r>
    </w:p>
    <w:p w14:paraId="440327CE" w14:textId="77777777" w:rsidR="0017517F" w:rsidRDefault="0017517F" w:rsidP="0017517F">
      <w:pPr>
        <w:spacing w:after="0" w:line="360" w:lineRule="auto"/>
        <w:jc w:val="both"/>
        <w:rPr>
          <w:rFonts w:ascii="Garamond" w:hAnsi="Garamond"/>
          <w:b/>
          <w:bCs/>
          <w:sz w:val="28"/>
          <w:szCs w:val="28"/>
          <w:lang w:val="en-US"/>
        </w:rPr>
      </w:pPr>
    </w:p>
    <w:p w14:paraId="4CE2DF58" w14:textId="4B3B7BA4" w:rsidR="0017517F" w:rsidRPr="0017517F" w:rsidRDefault="0017517F" w:rsidP="0017517F">
      <w:pPr>
        <w:spacing w:after="0" w:line="360" w:lineRule="auto"/>
        <w:jc w:val="both"/>
        <w:rPr>
          <w:rFonts w:ascii="Garamond" w:hAnsi="Garamond"/>
          <w:b/>
          <w:bCs/>
          <w:sz w:val="28"/>
          <w:szCs w:val="28"/>
          <w:lang w:val="en-US"/>
        </w:rPr>
      </w:pPr>
      <w:r>
        <w:rPr>
          <w:rFonts w:ascii="Garamond" w:hAnsi="Garamond"/>
          <w:b/>
          <w:bCs/>
          <w:sz w:val="28"/>
          <w:szCs w:val="28"/>
          <w:lang w:val="en-US"/>
        </w:rPr>
        <w:t>C</w:t>
      </w:r>
      <w:r w:rsidRPr="0017517F">
        <w:rPr>
          <w:rFonts w:ascii="Garamond" w:hAnsi="Garamond"/>
          <w:b/>
          <w:bCs/>
          <w:sz w:val="28"/>
          <w:szCs w:val="28"/>
          <w:lang w:val="en-US"/>
        </w:rPr>
        <w:t>onflict of interest disclosure</w:t>
      </w:r>
    </w:p>
    <w:p w14:paraId="6C919924" w14:textId="5914BF03" w:rsidR="0017517F" w:rsidRDefault="006956D6" w:rsidP="0017517F">
      <w:pPr>
        <w:spacing w:after="0" w:line="360" w:lineRule="auto"/>
        <w:jc w:val="both"/>
        <w:rPr>
          <w:rFonts w:ascii="Garamond" w:hAnsi="Garamond"/>
          <w:b/>
          <w:bCs/>
          <w:sz w:val="28"/>
          <w:szCs w:val="28"/>
          <w:lang w:val="en-US"/>
        </w:rPr>
      </w:pPr>
      <w:r w:rsidRPr="006956D6">
        <w:rPr>
          <w:rFonts w:ascii="Garamond" w:hAnsi="Garamond"/>
          <w:sz w:val="20"/>
          <w:szCs w:val="20"/>
          <w:lang w:val="en-US"/>
        </w:rPr>
        <w:t xml:space="preserve">Maria </w:t>
      </w:r>
      <w:proofErr w:type="spellStart"/>
      <w:r w:rsidRPr="006956D6">
        <w:rPr>
          <w:rFonts w:ascii="Garamond" w:hAnsi="Garamond"/>
          <w:sz w:val="20"/>
          <w:szCs w:val="20"/>
          <w:lang w:val="en-US"/>
        </w:rPr>
        <w:t>Piedrahita</w:t>
      </w:r>
      <w:proofErr w:type="spellEnd"/>
      <w:r w:rsidRPr="006956D6">
        <w:rPr>
          <w:rFonts w:ascii="Garamond" w:hAnsi="Garamond"/>
          <w:sz w:val="20"/>
          <w:szCs w:val="20"/>
          <w:lang w:val="en-US"/>
        </w:rPr>
        <w:t>-Tovar</w:t>
      </w:r>
      <w:r w:rsidR="0017517F" w:rsidRPr="0017517F">
        <w:rPr>
          <w:rFonts w:ascii="Garamond" w:hAnsi="Garamond"/>
          <w:sz w:val="20"/>
          <w:szCs w:val="20"/>
          <w:lang w:val="en-US"/>
        </w:rPr>
        <w:t xml:space="preserve"> is a full-time employee of CSL Seqirus, a pharmaceutical company that manufactures and markets influenza vaccines, including Flucelvax</w:t>
      </w:r>
      <w:r w:rsidR="0017517F" w:rsidRPr="006956D6">
        <w:rPr>
          <w:rFonts w:ascii="Garamond" w:hAnsi="Garamond"/>
          <w:sz w:val="20"/>
          <w:szCs w:val="20"/>
          <w:vertAlign w:val="superscript"/>
          <w:lang w:val="en-US"/>
        </w:rPr>
        <w:t>®</w:t>
      </w:r>
      <w:r w:rsidR="0017517F" w:rsidRPr="0017517F">
        <w:rPr>
          <w:rFonts w:ascii="Garamond" w:hAnsi="Garamond"/>
          <w:sz w:val="20"/>
          <w:szCs w:val="20"/>
          <w:lang w:val="en-US"/>
        </w:rPr>
        <w:t xml:space="preserve"> Tetra. A</w:t>
      </w:r>
      <w:r>
        <w:rPr>
          <w:rFonts w:ascii="Garamond" w:hAnsi="Garamond"/>
          <w:sz w:val="20"/>
          <w:szCs w:val="20"/>
          <w:lang w:val="en-US"/>
        </w:rPr>
        <w:t xml:space="preserve">lexander </w:t>
      </w:r>
      <w:r w:rsidR="0017517F" w:rsidRPr="0017517F">
        <w:rPr>
          <w:rFonts w:ascii="Garamond" w:hAnsi="Garamond"/>
          <w:sz w:val="20"/>
          <w:szCs w:val="20"/>
          <w:lang w:val="en-US"/>
        </w:rPr>
        <w:t>D</w:t>
      </w:r>
      <w:r>
        <w:rPr>
          <w:rFonts w:ascii="Garamond" w:hAnsi="Garamond"/>
          <w:sz w:val="20"/>
          <w:szCs w:val="20"/>
          <w:lang w:val="en-US"/>
        </w:rPr>
        <w:t>omnich</w:t>
      </w:r>
      <w:r w:rsidR="0017517F" w:rsidRPr="0017517F">
        <w:rPr>
          <w:rFonts w:ascii="Garamond" w:hAnsi="Garamond"/>
          <w:sz w:val="20"/>
          <w:szCs w:val="20"/>
          <w:lang w:val="en-US"/>
        </w:rPr>
        <w:t xml:space="preserve"> was previously a full-time employee of Seqirus </w:t>
      </w:r>
      <w:proofErr w:type="spellStart"/>
      <w:r w:rsidR="0017517F" w:rsidRPr="0017517F">
        <w:rPr>
          <w:rFonts w:ascii="Garamond" w:hAnsi="Garamond"/>
          <w:sz w:val="20"/>
          <w:szCs w:val="20"/>
          <w:lang w:val="en-US"/>
        </w:rPr>
        <w:t>s.r.l</w:t>
      </w:r>
      <w:proofErr w:type="spellEnd"/>
      <w:r w:rsidR="0017517F" w:rsidRPr="0017517F">
        <w:rPr>
          <w:rFonts w:ascii="Garamond" w:hAnsi="Garamond"/>
          <w:sz w:val="20"/>
          <w:szCs w:val="20"/>
          <w:lang w:val="en-US"/>
        </w:rPr>
        <w:t>. The other authors declare that they have no known competing financial interests or personal relationships that could have appeared to influence the work reported in this paper.</w:t>
      </w:r>
    </w:p>
    <w:p w14:paraId="643E75D6" w14:textId="77777777" w:rsidR="0017517F" w:rsidRPr="00A71367" w:rsidRDefault="0017517F" w:rsidP="0017517F">
      <w:pPr>
        <w:spacing w:after="0" w:line="360" w:lineRule="auto"/>
        <w:jc w:val="both"/>
        <w:rPr>
          <w:rFonts w:ascii="Garamond" w:hAnsi="Garamond"/>
          <w:sz w:val="20"/>
          <w:szCs w:val="20"/>
          <w:lang w:val="en-US"/>
        </w:rPr>
      </w:pPr>
    </w:p>
    <w:p w14:paraId="369F14E7" w14:textId="3D0E2F6E" w:rsidR="0017517F" w:rsidRPr="00A71367" w:rsidRDefault="0017517F" w:rsidP="0017517F">
      <w:pPr>
        <w:spacing w:after="0" w:line="360" w:lineRule="auto"/>
        <w:jc w:val="both"/>
        <w:rPr>
          <w:rFonts w:ascii="Garamond" w:hAnsi="Garamond"/>
          <w:b/>
          <w:bCs/>
          <w:sz w:val="28"/>
          <w:szCs w:val="28"/>
          <w:lang w:val="en-US"/>
        </w:rPr>
      </w:pPr>
      <w:r w:rsidRPr="00A71367">
        <w:rPr>
          <w:rFonts w:ascii="Garamond" w:hAnsi="Garamond"/>
          <w:b/>
          <w:bCs/>
          <w:sz w:val="28"/>
          <w:szCs w:val="28"/>
          <w:lang w:val="en-US"/>
        </w:rPr>
        <w:t>Ethics approval statement</w:t>
      </w:r>
    </w:p>
    <w:p w14:paraId="6B3E9054" w14:textId="75E99646" w:rsidR="0017517F" w:rsidRPr="00A71367" w:rsidRDefault="00A71367" w:rsidP="0017517F">
      <w:pPr>
        <w:spacing w:after="0" w:line="360" w:lineRule="auto"/>
        <w:jc w:val="both"/>
        <w:rPr>
          <w:rFonts w:ascii="Garamond" w:hAnsi="Garamond"/>
          <w:sz w:val="20"/>
          <w:szCs w:val="20"/>
          <w:lang w:val="en-US"/>
        </w:rPr>
      </w:pPr>
      <w:r w:rsidRPr="00A71367">
        <w:rPr>
          <w:rFonts w:ascii="Garamond" w:hAnsi="Garamond"/>
          <w:sz w:val="20"/>
          <w:szCs w:val="20"/>
          <w:lang w:val="en-US"/>
        </w:rPr>
        <w:t>Protocols for the EPSS activity were approved by the Ethics Committee of Liguria Region (resolutions 222/2019 and 346/2020).</w:t>
      </w:r>
    </w:p>
    <w:p w14:paraId="2BF32B20" w14:textId="77777777" w:rsidR="006956D6" w:rsidRDefault="006956D6" w:rsidP="0017517F">
      <w:pPr>
        <w:spacing w:after="0" w:line="360" w:lineRule="auto"/>
        <w:jc w:val="both"/>
        <w:rPr>
          <w:rFonts w:ascii="Garamond" w:hAnsi="Garamond"/>
          <w:b/>
          <w:bCs/>
          <w:sz w:val="28"/>
          <w:szCs w:val="28"/>
          <w:lang w:val="en-US"/>
        </w:rPr>
      </w:pPr>
    </w:p>
    <w:p w14:paraId="0FF1A4E8" w14:textId="2ABA5189" w:rsidR="0017517F" w:rsidRPr="0017517F" w:rsidRDefault="006956D6" w:rsidP="0017517F">
      <w:pPr>
        <w:spacing w:after="0" w:line="360" w:lineRule="auto"/>
        <w:jc w:val="both"/>
        <w:rPr>
          <w:rFonts w:ascii="Garamond" w:hAnsi="Garamond"/>
          <w:b/>
          <w:bCs/>
          <w:sz w:val="28"/>
          <w:szCs w:val="28"/>
          <w:lang w:val="en-US"/>
        </w:rPr>
      </w:pPr>
      <w:r>
        <w:rPr>
          <w:rFonts w:ascii="Garamond" w:hAnsi="Garamond"/>
          <w:b/>
          <w:bCs/>
          <w:sz w:val="28"/>
          <w:szCs w:val="28"/>
          <w:lang w:val="en-US"/>
        </w:rPr>
        <w:t>P</w:t>
      </w:r>
      <w:r w:rsidR="0017517F" w:rsidRPr="0017517F">
        <w:rPr>
          <w:rFonts w:ascii="Garamond" w:hAnsi="Garamond"/>
          <w:b/>
          <w:bCs/>
          <w:sz w:val="28"/>
          <w:szCs w:val="28"/>
          <w:lang w:val="en-US"/>
        </w:rPr>
        <w:t>atient consent statement</w:t>
      </w:r>
    </w:p>
    <w:p w14:paraId="5A8F7B7F" w14:textId="7A01B12A" w:rsidR="0017517F" w:rsidRDefault="00A71367" w:rsidP="0017517F">
      <w:pPr>
        <w:spacing w:after="0" w:line="360" w:lineRule="auto"/>
        <w:jc w:val="both"/>
        <w:rPr>
          <w:rFonts w:ascii="Garamond" w:hAnsi="Garamond"/>
          <w:sz w:val="20"/>
          <w:szCs w:val="20"/>
          <w:lang w:val="en-US"/>
        </w:rPr>
      </w:pPr>
      <w:r>
        <w:rPr>
          <w:rFonts w:ascii="Garamond" w:hAnsi="Garamond"/>
          <w:sz w:val="20"/>
          <w:szCs w:val="20"/>
          <w:lang w:val="en-US"/>
        </w:rPr>
        <w:t>T</w:t>
      </w:r>
      <w:r w:rsidRPr="00A71367">
        <w:rPr>
          <w:rFonts w:ascii="Garamond" w:hAnsi="Garamond"/>
          <w:sz w:val="20"/>
          <w:szCs w:val="20"/>
          <w:lang w:val="en-US"/>
        </w:rPr>
        <w:t xml:space="preserve">he decision to vaccinate is part of routine clinical care and the choice of </w:t>
      </w:r>
      <w:r>
        <w:rPr>
          <w:rFonts w:ascii="Garamond" w:hAnsi="Garamond"/>
          <w:sz w:val="20"/>
          <w:szCs w:val="20"/>
          <w:lang w:val="en-US"/>
        </w:rPr>
        <w:t>vaccine</w:t>
      </w:r>
      <w:r w:rsidRPr="00A71367">
        <w:rPr>
          <w:rFonts w:ascii="Garamond" w:hAnsi="Garamond"/>
          <w:sz w:val="20"/>
          <w:szCs w:val="20"/>
          <w:lang w:val="en-US"/>
        </w:rPr>
        <w:t xml:space="preserve"> type or brand is solely at the discretion of the vaccinating physicians</w:t>
      </w:r>
      <w:r>
        <w:rPr>
          <w:rFonts w:ascii="Garamond" w:hAnsi="Garamond"/>
          <w:sz w:val="20"/>
          <w:szCs w:val="20"/>
          <w:lang w:val="en-US"/>
        </w:rPr>
        <w:t>.</w:t>
      </w:r>
      <w:r w:rsidR="000E5AB7">
        <w:rPr>
          <w:rFonts w:ascii="Garamond" w:hAnsi="Garamond"/>
          <w:sz w:val="20"/>
          <w:szCs w:val="20"/>
          <w:lang w:val="en-US"/>
        </w:rPr>
        <w:t xml:space="preserve"> General practitioners obtained informed consent for vaccination from all subjects. </w:t>
      </w:r>
    </w:p>
    <w:p w14:paraId="717E252B" w14:textId="77777777" w:rsidR="006956D6" w:rsidRDefault="006956D6" w:rsidP="0017517F">
      <w:pPr>
        <w:spacing w:after="0" w:line="360" w:lineRule="auto"/>
        <w:jc w:val="both"/>
        <w:rPr>
          <w:rFonts w:ascii="Garamond" w:hAnsi="Garamond"/>
          <w:b/>
          <w:bCs/>
          <w:sz w:val="28"/>
          <w:szCs w:val="28"/>
          <w:lang w:val="en-US"/>
        </w:rPr>
      </w:pPr>
    </w:p>
    <w:p w14:paraId="6B4CC248" w14:textId="4519D872" w:rsidR="0017517F" w:rsidRPr="000E5AB7" w:rsidRDefault="0017517F" w:rsidP="0017517F">
      <w:pPr>
        <w:spacing w:after="0" w:line="360" w:lineRule="auto"/>
        <w:jc w:val="both"/>
        <w:rPr>
          <w:rFonts w:ascii="Garamond" w:hAnsi="Garamond"/>
          <w:b/>
          <w:bCs/>
          <w:sz w:val="28"/>
          <w:szCs w:val="28"/>
          <w:lang w:val="en-US"/>
        </w:rPr>
      </w:pPr>
      <w:r w:rsidRPr="000E5AB7">
        <w:rPr>
          <w:rFonts w:ascii="Garamond" w:hAnsi="Garamond"/>
          <w:b/>
          <w:bCs/>
          <w:sz w:val="28"/>
          <w:szCs w:val="28"/>
          <w:lang w:val="en-US"/>
        </w:rPr>
        <w:lastRenderedPageBreak/>
        <w:t xml:space="preserve">Permission to reproduce material from other </w:t>
      </w:r>
      <w:proofErr w:type="gramStart"/>
      <w:r w:rsidRPr="000E5AB7">
        <w:rPr>
          <w:rFonts w:ascii="Garamond" w:hAnsi="Garamond"/>
          <w:b/>
          <w:bCs/>
          <w:sz w:val="28"/>
          <w:szCs w:val="28"/>
          <w:lang w:val="en-US"/>
        </w:rPr>
        <w:t>sources</w:t>
      </w:r>
      <w:proofErr w:type="gramEnd"/>
    </w:p>
    <w:p w14:paraId="238CAB58" w14:textId="13A6F714" w:rsidR="0017517F" w:rsidRPr="000E5AB7" w:rsidRDefault="0017517F" w:rsidP="00A02A54">
      <w:pPr>
        <w:spacing w:after="0" w:line="360" w:lineRule="auto"/>
        <w:jc w:val="both"/>
        <w:rPr>
          <w:rFonts w:ascii="Garamond" w:hAnsi="Garamond"/>
          <w:sz w:val="20"/>
          <w:szCs w:val="20"/>
          <w:lang w:val="en-US"/>
        </w:rPr>
      </w:pPr>
      <w:r w:rsidRPr="000E5AB7">
        <w:rPr>
          <w:rFonts w:ascii="Garamond" w:hAnsi="Garamond"/>
          <w:sz w:val="20"/>
          <w:szCs w:val="20"/>
          <w:lang w:val="en-US"/>
        </w:rPr>
        <w:t>Not applicable.</w:t>
      </w:r>
    </w:p>
    <w:p w14:paraId="28F06726" w14:textId="77777777" w:rsidR="0017517F" w:rsidRPr="008E5242" w:rsidRDefault="0017517F" w:rsidP="00A02A54">
      <w:pPr>
        <w:spacing w:after="0" w:line="360" w:lineRule="auto"/>
        <w:jc w:val="both"/>
        <w:rPr>
          <w:rFonts w:ascii="Garamond" w:hAnsi="Garamond"/>
          <w:sz w:val="20"/>
          <w:szCs w:val="20"/>
        </w:rPr>
      </w:pPr>
    </w:p>
    <w:p w14:paraId="06687E25" w14:textId="77777777" w:rsidR="008E5242" w:rsidRPr="000E5AB7" w:rsidRDefault="008E5242" w:rsidP="008E5242">
      <w:pPr>
        <w:spacing w:after="0" w:line="360" w:lineRule="auto"/>
        <w:jc w:val="both"/>
        <w:rPr>
          <w:rFonts w:ascii="Garamond" w:hAnsi="Garamond"/>
          <w:b/>
          <w:bCs/>
          <w:sz w:val="28"/>
          <w:szCs w:val="28"/>
          <w:lang w:val="en-US"/>
        </w:rPr>
      </w:pPr>
      <w:r w:rsidRPr="000E5AB7">
        <w:rPr>
          <w:rFonts w:ascii="Garamond" w:hAnsi="Garamond"/>
          <w:b/>
          <w:bCs/>
          <w:sz w:val="28"/>
          <w:szCs w:val="28"/>
          <w:lang w:val="en-US"/>
        </w:rPr>
        <w:t>Acknowledgements</w:t>
      </w:r>
    </w:p>
    <w:p w14:paraId="71BBF448" w14:textId="77777777" w:rsidR="008E5242" w:rsidRPr="000E5AB7" w:rsidRDefault="008E5242" w:rsidP="008E5242">
      <w:pPr>
        <w:spacing w:after="0" w:line="360" w:lineRule="auto"/>
        <w:jc w:val="both"/>
        <w:rPr>
          <w:rFonts w:ascii="Garamond" w:hAnsi="Garamond"/>
          <w:sz w:val="20"/>
          <w:szCs w:val="20"/>
          <w:lang w:val="en-US"/>
        </w:rPr>
      </w:pPr>
    </w:p>
    <w:p w14:paraId="135B14A9" w14:textId="5C429EFD" w:rsidR="008E5242" w:rsidRPr="000E5AB7" w:rsidRDefault="008E5242" w:rsidP="008E5242">
      <w:pPr>
        <w:spacing w:after="0" w:line="360" w:lineRule="auto"/>
        <w:jc w:val="both"/>
        <w:rPr>
          <w:rFonts w:ascii="Garamond" w:hAnsi="Garamond"/>
          <w:sz w:val="20"/>
          <w:szCs w:val="20"/>
          <w:lang w:val="en-US"/>
        </w:rPr>
      </w:pPr>
      <w:r w:rsidRPr="000E5AB7">
        <w:rPr>
          <w:rFonts w:ascii="Garamond" w:hAnsi="Garamond"/>
          <w:sz w:val="20"/>
          <w:szCs w:val="20"/>
          <w:lang w:val="en-US"/>
        </w:rPr>
        <w:t xml:space="preserve">The authors thank all EPSS participants and physicians of CIRI-IT network (Amato Fabio, </w:t>
      </w:r>
      <w:proofErr w:type="spellStart"/>
      <w:r w:rsidRPr="000E5AB7">
        <w:rPr>
          <w:rFonts w:ascii="Garamond" w:hAnsi="Garamond"/>
          <w:sz w:val="20"/>
          <w:szCs w:val="20"/>
          <w:lang w:val="en-US"/>
        </w:rPr>
        <w:t>Brasesco</w:t>
      </w:r>
      <w:proofErr w:type="spellEnd"/>
      <w:r w:rsidRPr="000E5AB7">
        <w:rPr>
          <w:rFonts w:ascii="Garamond" w:hAnsi="Garamond"/>
          <w:sz w:val="20"/>
          <w:szCs w:val="20"/>
          <w:lang w:val="en-US"/>
        </w:rPr>
        <w:t xml:space="preserve"> </w:t>
      </w:r>
      <w:proofErr w:type="spellStart"/>
      <w:r w:rsidRPr="000E5AB7">
        <w:rPr>
          <w:rFonts w:ascii="Garamond" w:hAnsi="Garamond"/>
          <w:sz w:val="20"/>
          <w:szCs w:val="20"/>
          <w:lang w:val="en-US"/>
        </w:rPr>
        <w:t>Pierclaudio</w:t>
      </w:r>
      <w:proofErr w:type="spellEnd"/>
      <w:r w:rsidRPr="000E5AB7">
        <w:rPr>
          <w:rFonts w:ascii="Garamond" w:hAnsi="Garamond"/>
          <w:sz w:val="20"/>
          <w:szCs w:val="20"/>
          <w:lang w:val="en-US"/>
        </w:rPr>
        <w:t xml:space="preserve">, </w:t>
      </w:r>
      <w:proofErr w:type="spellStart"/>
      <w:r w:rsidRPr="000E5AB7">
        <w:rPr>
          <w:rFonts w:ascii="Garamond" w:hAnsi="Garamond"/>
          <w:sz w:val="20"/>
          <w:szCs w:val="20"/>
          <w:lang w:val="en-US"/>
        </w:rPr>
        <w:t>Levati</w:t>
      </w:r>
      <w:proofErr w:type="spellEnd"/>
      <w:r w:rsidRPr="000E5AB7">
        <w:rPr>
          <w:rFonts w:ascii="Garamond" w:hAnsi="Garamond"/>
          <w:sz w:val="20"/>
          <w:szCs w:val="20"/>
          <w:lang w:val="en-US"/>
        </w:rPr>
        <w:t xml:space="preserve"> Enrico, </w:t>
      </w:r>
      <w:proofErr w:type="spellStart"/>
      <w:r w:rsidRPr="000E5AB7">
        <w:rPr>
          <w:rFonts w:ascii="Garamond" w:hAnsi="Garamond"/>
          <w:sz w:val="20"/>
          <w:szCs w:val="20"/>
          <w:lang w:val="en-US"/>
        </w:rPr>
        <w:t>Pestarino</w:t>
      </w:r>
      <w:proofErr w:type="spellEnd"/>
      <w:r w:rsidRPr="000E5AB7">
        <w:rPr>
          <w:rFonts w:ascii="Garamond" w:hAnsi="Garamond"/>
          <w:sz w:val="20"/>
          <w:szCs w:val="20"/>
          <w:lang w:val="en-US"/>
        </w:rPr>
        <w:t xml:space="preserve"> Luca, </w:t>
      </w:r>
      <w:proofErr w:type="spellStart"/>
      <w:r w:rsidRPr="000E5AB7">
        <w:rPr>
          <w:rFonts w:ascii="Garamond" w:hAnsi="Garamond"/>
          <w:sz w:val="20"/>
          <w:szCs w:val="20"/>
          <w:lang w:val="en-US"/>
        </w:rPr>
        <w:t>Musolino</w:t>
      </w:r>
      <w:proofErr w:type="spellEnd"/>
      <w:r w:rsidRPr="000E5AB7">
        <w:rPr>
          <w:rFonts w:ascii="Garamond" w:hAnsi="Garamond"/>
          <w:sz w:val="20"/>
          <w:szCs w:val="20"/>
          <w:lang w:val="en-US"/>
        </w:rPr>
        <w:t xml:space="preserve"> Beatrice, </w:t>
      </w:r>
      <w:proofErr w:type="spellStart"/>
      <w:r w:rsidRPr="000E5AB7">
        <w:rPr>
          <w:rFonts w:ascii="Garamond" w:hAnsi="Garamond"/>
          <w:sz w:val="20"/>
          <w:szCs w:val="20"/>
          <w:lang w:val="en-US"/>
        </w:rPr>
        <w:t>Orsi</w:t>
      </w:r>
      <w:proofErr w:type="spellEnd"/>
      <w:r w:rsidRPr="000E5AB7">
        <w:rPr>
          <w:rFonts w:ascii="Garamond" w:hAnsi="Garamond"/>
          <w:sz w:val="20"/>
          <w:szCs w:val="20"/>
          <w:lang w:val="en-US"/>
        </w:rPr>
        <w:t xml:space="preserve"> Paola, </w:t>
      </w:r>
      <w:proofErr w:type="spellStart"/>
      <w:r w:rsidRPr="000E5AB7">
        <w:rPr>
          <w:rFonts w:ascii="Garamond" w:hAnsi="Garamond"/>
          <w:sz w:val="20"/>
          <w:szCs w:val="20"/>
          <w:lang w:val="en-US"/>
        </w:rPr>
        <w:t>Proietti</w:t>
      </w:r>
      <w:proofErr w:type="spellEnd"/>
      <w:r w:rsidRPr="000E5AB7">
        <w:rPr>
          <w:rFonts w:ascii="Garamond" w:hAnsi="Garamond"/>
          <w:sz w:val="20"/>
          <w:szCs w:val="20"/>
          <w:lang w:val="en-US"/>
        </w:rPr>
        <w:t xml:space="preserve"> Carlo, </w:t>
      </w:r>
      <w:proofErr w:type="spellStart"/>
      <w:r w:rsidRPr="000E5AB7">
        <w:rPr>
          <w:rFonts w:ascii="Garamond" w:hAnsi="Garamond"/>
          <w:sz w:val="20"/>
          <w:szCs w:val="20"/>
          <w:lang w:val="en-US"/>
        </w:rPr>
        <w:t>Semino</w:t>
      </w:r>
      <w:proofErr w:type="spellEnd"/>
      <w:r w:rsidRPr="000E5AB7">
        <w:rPr>
          <w:rFonts w:ascii="Garamond" w:hAnsi="Garamond"/>
          <w:sz w:val="20"/>
          <w:szCs w:val="20"/>
          <w:lang w:val="en-US"/>
        </w:rPr>
        <w:t xml:space="preserve"> Stefano, Cresta Lorenzo, </w:t>
      </w:r>
      <w:proofErr w:type="spellStart"/>
      <w:r w:rsidRPr="000E5AB7">
        <w:rPr>
          <w:rFonts w:ascii="Garamond" w:hAnsi="Garamond"/>
          <w:sz w:val="20"/>
          <w:szCs w:val="20"/>
          <w:lang w:val="en-US"/>
        </w:rPr>
        <w:t>Ruocco</w:t>
      </w:r>
      <w:proofErr w:type="spellEnd"/>
      <w:r w:rsidRPr="000E5AB7">
        <w:rPr>
          <w:rFonts w:ascii="Garamond" w:hAnsi="Garamond"/>
          <w:sz w:val="20"/>
          <w:szCs w:val="20"/>
          <w:lang w:val="en-US"/>
        </w:rPr>
        <w:t xml:space="preserve"> Anna, </w:t>
      </w:r>
      <w:proofErr w:type="spellStart"/>
      <w:r w:rsidRPr="000E5AB7">
        <w:rPr>
          <w:rFonts w:ascii="Garamond" w:hAnsi="Garamond"/>
          <w:sz w:val="20"/>
          <w:szCs w:val="20"/>
          <w:lang w:val="en-US"/>
        </w:rPr>
        <w:t>Semprini</w:t>
      </w:r>
      <w:proofErr w:type="spellEnd"/>
      <w:r w:rsidRPr="000E5AB7">
        <w:rPr>
          <w:rFonts w:ascii="Garamond" w:hAnsi="Garamond"/>
          <w:sz w:val="20"/>
          <w:szCs w:val="20"/>
          <w:lang w:val="en-US"/>
        </w:rPr>
        <w:t xml:space="preserve"> Giovanni, </w:t>
      </w:r>
      <w:proofErr w:type="spellStart"/>
      <w:r w:rsidRPr="000E5AB7">
        <w:rPr>
          <w:rFonts w:ascii="Garamond" w:hAnsi="Garamond"/>
          <w:sz w:val="20"/>
          <w:szCs w:val="20"/>
          <w:lang w:val="en-US"/>
        </w:rPr>
        <w:t>Giannattasio</w:t>
      </w:r>
      <w:proofErr w:type="spellEnd"/>
      <w:r w:rsidRPr="000E5AB7">
        <w:rPr>
          <w:rFonts w:ascii="Garamond" w:hAnsi="Garamond"/>
          <w:sz w:val="20"/>
          <w:szCs w:val="20"/>
          <w:lang w:val="en-US"/>
        </w:rPr>
        <w:t xml:space="preserve"> Alessandro) who participated in the EPSS activity. The authors thank Stefano </w:t>
      </w:r>
      <w:proofErr w:type="spellStart"/>
      <w:r w:rsidRPr="000E5AB7">
        <w:rPr>
          <w:rFonts w:ascii="Garamond" w:hAnsi="Garamond"/>
          <w:sz w:val="20"/>
          <w:szCs w:val="20"/>
          <w:lang w:val="en-US"/>
        </w:rPr>
        <w:t>Mosca</w:t>
      </w:r>
      <w:proofErr w:type="spellEnd"/>
      <w:r w:rsidRPr="000E5AB7">
        <w:rPr>
          <w:rFonts w:ascii="Garamond" w:hAnsi="Garamond"/>
          <w:sz w:val="20"/>
          <w:szCs w:val="20"/>
          <w:lang w:val="en-US"/>
        </w:rPr>
        <w:t xml:space="preserve"> for the IT support.</w:t>
      </w:r>
    </w:p>
    <w:p w14:paraId="2615717A" w14:textId="77777777" w:rsidR="00D42EBA" w:rsidRDefault="00D42EBA">
      <w:pPr>
        <w:rPr>
          <w:rFonts w:ascii="Garamond" w:hAnsi="Garamond"/>
          <w:b/>
          <w:bCs/>
          <w:szCs w:val="24"/>
          <w:lang w:val="en-US"/>
        </w:rPr>
      </w:pPr>
      <w:r>
        <w:rPr>
          <w:rFonts w:ascii="Garamond" w:hAnsi="Garamond"/>
          <w:b/>
          <w:bCs/>
          <w:szCs w:val="24"/>
          <w:lang w:val="en-US"/>
        </w:rPr>
        <w:br w:type="page"/>
      </w:r>
    </w:p>
    <w:p w14:paraId="30E0F405" w14:textId="5E5CB841" w:rsidR="004F36C4" w:rsidRPr="004F36C4" w:rsidRDefault="004F36C4" w:rsidP="00811515">
      <w:pPr>
        <w:spacing w:after="0" w:line="360" w:lineRule="auto"/>
        <w:jc w:val="both"/>
        <w:rPr>
          <w:rFonts w:ascii="Garamond" w:hAnsi="Garamond"/>
          <w:b/>
          <w:bCs/>
          <w:szCs w:val="24"/>
          <w:lang w:val="en-US"/>
        </w:rPr>
      </w:pPr>
      <w:r w:rsidRPr="004F36C4">
        <w:rPr>
          <w:rFonts w:ascii="Garamond" w:hAnsi="Garamond"/>
          <w:b/>
          <w:bCs/>
          <w:szCs w:val="24"/>
          <w:lang w:val="en-US"/>
        </w:rPr>
        <w:lastRenderedPageBreak/>
        <w:t>A</w:t>
      </w:r>
      <w:r w:rsidR="00647779">
        <w:rPr>
          <w:rFonts w:ascii="Garamond" w:hAnsi="Garamond"/>
          <w:b/>
          <w:bCs/>
          <w:szCs w:val="24"/>
          <w:lang w:val="en-US"/>
        </w:rPr>
        <w:t>bstract</w:t>
      </w:r>
    </w:p>
    <w:p w14:paraId="6BCE26D8" w14:textId="5EB52866" w:rsidR="004F36C4" w:rsidRPr="004F36C4" w:rsidRDefault="004F36C4" w:rsidP="00811515">
      <w:pPr>
        <w:spacing w:after="0" w:line="360" w:lineRule="auto"/>
        <w:jc w:val="both"/>
        <w:rPr>
          <w:rFonts w:ascii="Garamond" w:hAnsi="Garamond"/>
          <w:b/>
          <w:bCs/>
          <w:szCs w:val="24"/>
          <w:lang w:val="en-US"/>
        </w:rPr>
      </w:pPr>
    </w:p>
    <w:p w14:paraId="0F496950" w14:textId="593B9CA2" w:rsidR="004F36C4" w:rsidRPr="00647779" w:rsidRDefault="00647779" w:rsidP="004F36C4">
      <w:pPr>
        <w:spacing w:after="0" w:line="360" w:lineRule="auto"/>
        <w:jc w:val="both"/>
        <w:rPr>
          <w:rFonts w:ascii="Garamond" w:hAnsi="Garamond"/>
          <w:b/>
          <w:sz w:val="20"/>
          <w:lang w:val="en-US"/>
        </w:rPr>
      </w:pPr>
      <w:r>
        <w:rPr>
          <w:rFonts w:ascii="Garamond" w:hAnsi="Garamond"/>
          <w:b/>
          <w:sz w:val="20"/>
          <w:lang w:val="en-US"/>
        </w:rPr>
        <w:t xml:space="preserve">Background: </w:t>
      </w:r>
      <w:r w:rsidR="00AF4239">
        <w:rPr>
          <w:rFonts w:ascii="Garamond" w:hAnsi="Garamond"/>
          <w:sz w:val="20"/>
          <w:lang w:val="en-US"/>
        </w:rPr>
        <w:t>E</w:t>
      </w:r>
      <w:r w:rsidR="004F36C4" w:rsidRPr="004F36C4">
        <w:rPr>
          <w:rFonts w:ascii="Garamond" w:hAnsi="Garamond"/>
          <w:sz w:val="20"/>
          <w:lang w:val="en-US"/>
        </w:rPr>
        <w:t>nhanced safety surveillance (ESS) of seasonal influenza vaccines is required by the European Medicines Agency</w:t>
      </w:r>
      <w:r w:rsidR="00FF5877">
        <w:rPr>
          <w:rFonts w:ascii="Garamond" w:hAnsi="Garamond"/>
          <w:sz w:val="20"/>
          <w:lang w:val="en-US"/>
        </w:rPr>
        <w:t xml:space="preserve"> (EMA)</w:t>
      </w:r>
      <w:r w:rsidR="004F36C4" w:rsidRPr="004F36C4">
        <w:rPr>
          <w:rFonts w:ascii="Garamond" w:hAnsi="Garamond"/>
          <w:sz w:val="20"/>
          <w:lang w:val="en-US"/>
        </w:rPr>
        <w:t xml:space="preserve">. ESS </w:t>
      </w:r>
      <w:r w:rsidR="00CA132A">
        <w:rPr>
          <w:rFonts w:ascii="Garamond" w:hAnsi="Garamond"/>
          <w:sz w:val="20"/>
          <w:lang w:val="en-US"/>
        </w:rPr>
        <w:t>is conducted during each Northern Hemisphere</w:t>
      </w:r>
      <w:r w:rsidR="003470F0">
        <w:rPr>
          <w:rFonts w:ascii="Garamond" w:hAnsi="Garamond"/>
          <w:sz w:val="20"/>
          <w:lang w:val="en-US"/>
        </w:rPr>
        <w:t xml:space="preserve"> (NH)</w:t>
      </w:r>
      <w:r w:rsidR="00CA132A">
        <w:rPr>
          <w:rFonts w:ascii="Garamond" w:hAnsi="Garamond"/>
          <w:sz w:val="20"/>
          <w:lang w:val="en-US"/>
        </w:rPr>
        <w:t xml:space="preserve"> influenza season</w:t>
      </w:r>
      <w:r>
        <w:rPr>
          <w:rFonts w:ascii="Garamond" w:hAnsi="Garamond"/>
          <w:sz w:val="20"/>
          <w:lang w:val="en-US"/>
        </w:rPr>
        <w:t xml:space="preserve"> </w:t>
      </w:r>
      <w:r w:rsidR="00CA132A">
        <w:rPr>
          <w:rFonts w:ascii="Garamond" w:hAnsi="Garamond"/>
          <w:sz w:val="20"/>
          <w:lang w:val="en-US"/>
        </w:rPr>
        <w:t xml:space="preserve">and </w:t>
      </w:r>
      <w:r w:rsidR="004F36C4" w:rsidRPr="004F36C4">
        <w:rPr>
          <w:rFonts w:ascii="Garamond" w:hAnsi="Garamond"/>
          <w:sz w:val="20"/>
          <w:lang w:val="en-US"/>
        </w:rPr>
        <w:t xml:space="preserve">aims to </w:t>
      </w:r>
      <w:r w:rsidR="003470F0">
        <w:rPr>
          <w:rFonts w:ascii="Garamond" w:hAnsi="Garamond"/>
          <w:sz w:val="20"/>
          <w:lang w:val="en-US"/>
        </w:rPr>
        <w:t>monitor the reactogenicity of influenza vaccine</w:t>
      </w:r>
      <w:r w:rsidR="00AF4239">
        <w:rPr>
          <w:rFonts w:ascii="Garamond" w:hAnsi="Garamond"/>
          <w:sz w:val="20"/>
          <w:lang w:val="en-US"/>
        </w:rPr>
        <w:t>s</w:t>
      </w:r>
      <w:r w:rsidR="003470F0">
        <w:rPr>
          <w:rFonts w:ascii="Garamond" w:hAnsi="Garamond"/>
          <w:sz w:val="20"/>
          <w:lang w:val="en-US"/>
        </w:rPr>
        <w:t xml:space="preserve"> early in the season</w:t>
      </w:r>
      <w:r w:rsidR="004F36C4" w:rsidRPr="004F36C4">
        <w:rPr>
          <w:rFonts w:ascii="Garamond" w:hAnsi="Garamond"/>
          <w:sz w:val="20"/>
          <w:lang w:val="en-US"/>
        </w:rPr>
        <w:t>. A cell culture-based quadrivalent influenza vaccine (QIVc; Flucelvax</w:t>
      </w:r>
      <w:r w:rsidR="000E6043" w:rsidRPr="00CA3C0B">
        <w:rPr>
          <w:rFonts w:ascii="Garamond" w:hAnsi="Garamond"/>
          <w:sz w:val="20"/>
          <w:vertAlign w:val="superscript"/>
          <w:lang w:val="en-US"/>
        </w:rPr>
        <w:t>®</w:t>
      </w:r>
      <w:r w:rsidR="004F36C4" w:rsidRPr="004F36C4">
        <w:rPr>
          <w:rFonts w:ascii="Garamond" w:hAnsi="Garamond"/>
          <w:sz w:val="20"/>
          <w:lang w:val="en-US"/>
        </w:rPr>
        <w:t xml:space="preserve"> Tetra), which has an advantage of avoiding egg-adaptive mutations that may reduce vaccine effectiveness, has been available in Europe since </w:t>
      </w:r>
      <w:r w:rsidR="00AF4239">
        <w:rPr>
          <w:rFonts w:ascii="Garamond" w:hAnsi="Garamond"/>
          <w:sz w:val="20"/>
          <w:lang w:val="en-US"/>
        </w:rPr>
        <w:t xml:space="preserve">the </w:t>
      </w:r>
      <w:r w:rsidR="004F36C4" w:rsidRPr="004F36C4">
        <w:rPr>
          <w:rFonts w:ascii="Garamond" w:hAnsi="Garamond"/>
          <w:sz w:val="20"/>
          <w:lang w:val="en-US"/>
        </w:rPr>
        <w:t>2019/20</w:t>
      </w:r>
      <w:r w:rsidR="00AF4239">
        <w:rPr>
          <w:rFonts w:ascii="Garamond" w:hAnsi="Garamond"/>
          <w:sz w:val="20"/>
          <w:lang w:val="en-US"/>
        </w:rPr>
        <w:t xml:space="preserve"> influenza</w:t>
      </w:r>
      <w:r w:rsidR="004F36C4" w:rsidRPr="004F36C4">
        <w:rPr>
          <w:rFonts w:ascii="Garamond" w:hAnsi="Garamond"/>
          <w:sz w:val="20"/>
          <w:lang w:val="en-US"/>
        </w:rPr>
        <w:t xml:space="preserve"> season. The objective of this manuscript is to summarize ESS activity</w:t>
      </w:r>
      <w:r w:rsidR="00AF4239">
        <w:rPr>
          <w:rFonts w:ascii="Garamond" w:hAnsi="Garamond"/>
          <w:sz w:val="20"/>
          <w:lang w:val="en-US"/>
        </w:rPr>
        <w:t xml:space="preserve"> across three seasons</w:t>
      </w:r>
      <w:r w:rsidR="004F36C4" w:rsidRPr="004F36C4">
        <w:rPr>
          <w:rFonts w:ascii="Garamond" w:hAnsi="Garamond"/>
          <w:sz w:val="20"/>
          <w:lang w:val="en-US"/>
        </w:rPr>
        <w:t xml:space="preserve"> </w:t>
      </w:r>
      <w:r w:rsidR="00AF4239">
        <w:rPr>
          <w:rFonts w:ascii="Garamond" w:hAnsi="Garamond"/>
          <w:sz w:val="20"/>
          <w:lang w:val="en-US"/>
        </w:rPr>
        <w:t>for</w:t>
      </w:r>
      <w:r w:rsidR="00AF4239" w:rsidRPr="004F36C4">
        <w:rPr>
          <w:rFonts w:ascii="Garamond" w:hAnsi="Garamond"/>
          <w:sz w:val="20"/>
          <w:lang w:val="en-US"/>
        </w:rPr>
        <w:t xml:space="preserve"> </w:t>
      </w:r>
      <w:r w:rsidR="004F36C4" w:rsidRPr="004F36C4">
        <w:rPr>
          <w:rFonts w:ascii="Garamond" w:hAnsi="Garamond"/>
          <w:sz w:val="20"/>
          <w:lang w:val="en-US"/>
        </w:rPr>
        <w:t>QIVc in all age</w:t>
      </w:r>
      <w:r w:rsidR="00F951E0">
        <w:rPr>
          <w:rFonts w:ascii="Garamond" w:hAnsi="Garamond"/>
          <w:sz w:val="20"/>
          <w:lang w:val="en-US"/>
        </w:rPr>
        <w:t xml:space="preserve"> groups</w:t>
      </w:r>
      <w:r w:rsidR="004F36C4" w:rsidRPr="004F36C4">
        <w:rPr>
          <w:rFonts w:ascii="Garamond" w:hAnsi="Garamond"/>
          <w:sz w:val="20"/>
          <w:lang w:val="en-US"/>
        </w:rPr>
        <w:t>.</w:t>
      </w:r>
    </w:p>
    <w:p w14:paraId="6F94D95C" w14:textId="461FBAD4" w:rsidR="004F36C4" w:rsidRPr="00647779" w:rsidRDefault="004F36C4" w:rsidP="004F36C4">
      <w:pPr>
        <w:spacing w:after="0" w:line="360" w:lineRule="auto"/>
        <w:jc w:val="both"/>
        <w:rPr>
          <w:rFonts w:ascii="Garamond" w:hAnsi="Garamond"/>
          <w:b/>
          <w:sz w:val="20"/>
          <w:lang w:val="en-US"/>
        </w:rPr>
      </w:pPr>
      <w:r w:rsidRPr="004F36C4">
        <w:rPr>
          <w:rFonts w:ascii="Garamond" w:hAnsi="Garamond"/>
          <w:b/>
          <w:sz w:val="20"/>
          <w:lang w:val="en-US"/>
        </w:rPr>
        <w:t>Methods</w:t>
      </w:r>
      <w:r w:rsidR="00647779">
        <w:rPr>
          <w:rFonts w:ascii="Garamond" w:hAnsi="Garamond"/>
          <w:b/>
          <w:sz w:val="20"/>
          <w:lang w:val="en-US"/>
        </w:rPr>
        <w:t xml:space="preserve">: </w:t>
      </w:r>
      <w:r w:rsidRPr="004F36C4">
        <w:rPr>
          <w:rFonts w:ascii="Garamond" w:hAnsi="Garamond"/>
          <w:sz w:val="20"/>
          <w:lang w:val="en-US"/>
        </w:rPr>
        <w:t xml:space="preserve">As per </w:t>
      </w:r>
      <w:r w:rsidR="00FF5877">
        <w:rPr>
          <w:rFonts w:ascii="Garamond" w:hAnsi="Garamond"/>
          <w:sz w:val="20"/>
          <w:lang w:val="en-US"/>
        </w:rPr>
        <w:t>EMA</w:t>
      </w:r>
      <w:r w:rsidR="00FF5877" w:rsidRPr="004F36C4">
        <w:rPr>
          <w:rFonts w:ascii="Garamond" w:hAnsi="Garamond"/>
          <w:sz w:val="20"/>
          <w:lang w:val="en-US"/>
        </w:rPr>
        <w:t xml:space="preserve"> </w:t>
      </w:r>
      <w:r w:rsidRPr="004F36C4">
        <w:rPr>
          <w:rFonts w:ascii="Garamond" w:hAnsi="Garamond"/>
          <w:sz w:val="20"/>
          <w:lang w:val="en-US"/>
        </w:rPr>
        <w:t xml:space="preserve">guidelines, </w:t>
      </w:r>
      <w:r w:rsidR="00FF5877">
        <w:rPr>
          <w:rFonts w:ascii="Garamond" w:hAnsi="Garamond"/>
          <w:sz w:val="20"/>
          <w:lang w:val="en-US"/>
        </w:rPr>
        <w:t>an enhanced</w:t>
      </w:r>
      <w:r w:rsidRPr="004F36C4">
        <w:rPr>
          <w:rFonts w:ascii="Garamond" w:hAnsi="Garamond"/>
          <w:sz w:val="20"/>
          <w:lang w:val="en-US"/>
        </w:rPr>
        <w:t xml:space="preserve"> passive </w:t>
      </w:r>
      <w:r w:rsidR="00FF5877">
        <w:rPr>
          <w:rFonts w:ascii="Garamond" w:hAnsi="Garamond"/>
          <w:sz w:val="20"/>
          <w:lang w:val="en-US"/>
        </w:rPr>
        <w:t xml:space="preserve">safety surveillance (EPSS) </w:t>
      </w:r>
      <w:r w:rsidRPr="004F36C4">
        <w:rPr>
          <w:rFonts w:ascii="Garamond" w:hAnsi="Garamond"/>
          <w:sz w:val="20"/>
          <w:lang w:val="en-US"/>
        </w:rPr>
        <w:t xml:space="preserve">approach was adopted. </w:t>
      </w:r>
      <w:r w:rsidR="00EA55C6">
        <w:rPr>
          <w:rFonts w:ascii="Garamond" w:hAnsi="Garamond"/>
          <w:sz w:val="20"/>
          <w:lang w:val="en-US"/>
        </w:rPr>
        <w:t xml:space="preserve">The </w:t>
      </w:r>
      <w:r w:rsidRPr="004F36C4">
        <w:rPr>
          <w:rFonts w:ascii="Garamond" w:hAnsi="Garamond"/>
          <w:sz w:val="20"/>
          <w:lang w:val="en-US"/>
        </w:rPr>
        <w:t xml:space="preserve">EPSS envisages near-real-time surveillance of </w:t>
      </w:r>
      <w:r w:rsidR="003470F0">
        <w:rPr>
          <w:rFonts w:ascii="Garamond" w:hAnsi="Garamond"/>
          <w:sz w:val="20"/>
          <w:lang w:val="en-US"/>
        </w:rPr>
        <w:t>adverse events (</w:t>
      </w:r>
      <w:r w:rsidRPr="004F36C4">
        <w:rPr>
          <w:rFonts w:ascii="Garamond" w:hAnsi="Garamond"/>
          <w:sz w:val="20"/>
          <w:lang w:val="en-US"/>
        </w:rPr>
        <w:t>AEs</w:t>
      </w:r>
      <w:r w:rsidR="003470F0">
        <w:rPr>
          <w:rFonts w:ascii="Garamond" w:hAnsi="Garamond"/>
          <w:sz w:val="20"/>
          <w:lang w:val="en-US"/>
        </w:rPr>
        <w:t>)</w:t>
      </w:r>
      <w:r w:rsidRPr="004F36C4">
        <w:rPr>
          <w:rFonts w:ascii="Garamond" w:hAnsi="Garamond"/>
          <w:sz w:val="20"/>
          <w:lang w:val="en-US"/>
        </w:rPr>
        <w:t xml:space="preserve"> that are reported spontaneously by vaccine</w:t>
      </w:r>
      <w:r w:rsidR="00CB28F1">
        <w:rPr>
          <w:rFonts w:ascii="Garamond" w:hAnsi="Garamond"/>
          <w:sz w:val="20"/>
          <w:lang w:val="en-US"/>
        </w:rPr>
        <w:t>es</w:t>
      </w:r>
      <w:r w:rsidR="0001717C">
        <w:rPr>
          <w:rFonts w:ascii="Garamond" w:hAnsi="Garamond"/>
          <w:sz w:val="20"/>
          <w:lang w:val="en-US"/>
        </w:rPr>
        <w:t>.</w:t>
      </w:r>
      <w:r w:rsidRPr="004F36C4">
        <w:rPr>
          <w:rFonts w:ascii="Garamond" w:hAnsi="Garamond"/>
          <w:sz w:val="20"/>
          <w:lang w:val="en-US"/>
        </w:rPr>
        <w:t xml:space="preserve"> </w:t>
      </w:r>
      <w:r w:rsidR="00EA55C6">
        <w:rPr>
          <w:rFonts w:ascii="Garamond" w:hAnsi="Garamond"/>
          <w:sz w:val="20"/>
          <w:lang w:val="en-US"/>
        </w:rPr>
        <w:t xml:space="preserve">The </w:t>
      </w:r>
      <w:r w:rsidRPr="004F36C4">
        <w:rPr>
          <w:rFonts w:ascii="Garamond" w:hAnsi="Garamond"/>
          <w:sz w:val="20"/>
          <w:lang w:val="en-US"/>
        </w:rPr>
        <w:t xml:space="preserve">EPSS was conducted in </w:t>
      </w:r>
      <w:r w:rsidR="00FF5877">
        <w:rPr>
          <w:rFonts w:ascii="Garamond" w:hAnsi="Garamond"/>
          <w:sz w:val="20"/>
          <w:lang w:val="en-US"/>
        </w:rPr>
        <w:t xml:space="preserve">primary care setting in </w:t>
      </w:r>
      <w:r w:rsidRPr="004F36C4">
        <w:rPr>
          <w:rFonts w:ascii="Garamond" w:hAnsi="Garamond"/>
          <w:sz w:val="20"/>
          <w:lang w:val="en-US"/>
        </w:rPr>
        <w:t>Genoa (Italy) during the</w:t>
      </w:r>
      <w:r w:rsidR="00EA55C6">
        <w:rPr>
          <w:rFonts w:ascii="Garamond" w:hAnsi="Garamond"/>
          <w:sz w:val="20"/>
          <w:lang w:val="en-US"/>
        </w:rPr>
        <w:t xml:space="preserve"> </w:t>
      </w:r>
      <w:r w:rsidRPr="004F36C4">
        <w:rPr>
          <w:rFonts w:ascii="Garamond" w:hAnsi="Garamond"/>
          <w:sz w:val="20"/>
          <w:lang w:val="en-US"/>
        </w:rPr>
        <w:t>seasons</w:t>
      </w:r>
      <w:r w:rsidR="00FF5877">
        <w:rPr>
          <w:rFonts w:ascii="Garamond" w:hAnsi="Garamond"/>
          <w:sz w:val="20"/>
          <w:lang w:val="en-US"/>
        </w:rPr>
        <w:t xml:space="preserve"> </w:t>
      </w:r>
      <w:r w:rsidRPr="004F36C4">
        <w:rPr>
          <w:rFonts w:ascii="Garamond" w:hAnsi="Garamond"/>
          <w:sz w:val="20"/>
          <w:lang w:val="en-US"/>
        </w:rPr>
        <w:t xml:space="preserve">2019/20, 2020/21 and 2021/22. All </w:t>
      </w:r>
      <w:r w:rsidR="003470F0">
        <w:rPr>
          <w:rFonts w:ascii="Garamond" w:hAnsi="Garamond"/>
          <w:sz w:val="20"/>
          <w:lang w:val="en-US"/>
        </w:rPr>
        <w:t>AEs</w:t>
      </w:r>
      <w:r w:rsidRPr="004F36C4">
        <w:rPr>
          <w:rFonts w:ascii="Garamond" w:hAnsi="Garamond"/>
          <w:sz w:val="20"/>
          <w:lang w:val="en-US"/>
        </w:rPr>
        <w:t xml:space="preserve"> registered within the first 7 days following immunization were analyzed by season, type, age group and seriousness.</w:t>
      </w:r>
    </w:p>
    <w:p w14:paraId="4FC42CB3" w14:textId="17540CC0" w:rsidR="004F36C4" w:rsidRPr="00647779" w:rsidRDefault="004F36C4" w:rsidP="004F36C4">
      <w:pPr>
        <w:spacing w:after="0" w:line="360" w:lineRule="auto"/>
        <w:jc w:val="both"/>
        <w:rPr>
          <w:rFonts w:ascii="Garamond" w:hAnsi="Garamond"/>
          <w:b/>
          <w:sz w:val="20"/>
          <w:lang w:val="en-US"/>
        </w:rPr>
      </w:pPr>
      <w:r w:rsidRPr="004F36C4">
        <w:rPr>
          <w:rFonts w:ascii="Garamond" w:hAnsi="Garamond"/>
          <w:b/>
          <w:sz w:val="20"/>
          <w:lang w:val="en-US"/>
        </w:rPr>
        <w:t>Results</w:t>
      </w:r>
      <w:r w:rsidR="00647779">
        <w:rPr>
          <w:rFonts w:ascii="Garamond" w:hAnsi="Garamond"/>
          <w:b/>
          <w:sz w:val="20"/>
          <w:lang w:val="en-US"/>
        </w:rPr>
        <w:t xml:space="preserve">: </w:t>
      </w:r>
      <w:r w:rsidR="0001717C">
        <w:rPr>
          <w:rFonts w:ascii="Garamond" w:hAnsi="Garamond"/>
          <w:sz w:val="20"/>
          <w:lang w:val="en-US"/>
        </w:rPr>
        <w:t>Over three seasons, a total of 3</w:t>
      </w:r>
      <w:r w:rsidR="00CA3C0B">
        <w:rPr>
          <w:rFonts w:ascii="Garamond" w:hAnsi="Garamond"/>
          <w:sz w:val="20"/>
          <w:lang w:val="en-US"/>
        </w:rPr>
        <w:t>,</w:t>
      </w:r>
      <w:r w:rsidR="0001717C">
        <w:rPr>
          <w:rFonts w:ascii="Garamond" w:hAnsi="Garamond"/>
          <w:sz w:val="20"/>
          <w:lang w:val="en-US"/>
        </w:rPr>
        <w:t>603</w:t>
      </w:r>
      <w:r w:rsidRPr="004F36C4">
        <w:rPr>
          <w:rFonts w:ascii="Garamond" w:hAnsi="Garamond"/>
          <w:sz w:val="20"/>
          <w:lang w:val="en-US"/>
        </w:rPr>
        <w:t xml:space="preserve"> QIVc exposures were recorded within EPSS. No safety signals were identified. The overall</w:t>
      </w:r>
      <w:r w:rsidR="00FA13AC">
        <w:rPr>
          <w:rFonts w:ascii="Garamond" w:hAnsi="Garamond"/>
          <w:sz w:val="20"/>
          <w:lang w:val="en-US"/>
        </w:rPr>
        <w:t xml:space="preserve"> reporting</w:t>
      </w:r>
      <w:r w:rsidRPr="004F36C4">
        <w:rPr>
          <w:rFonts w:ascii="Garamond" w:hAnsi="Garamond"/>
          <w:sz w:val="20"/>
          <w:lang w:val="en-US"/>
        </w:rPr>
        <w:t xml:space="preserve"> rates of individual case safety reports</w:t>
      </w:r>
      <w:r w:rsidR="00D7106E">
        <w:rPr>
          <w:rFonts w:ascii="Garamond" w:hAnsi="Garamond"/>
          <w:sz w:val="20"/>
          <w:lang w:val="en-US"/>
        </w:rPr>
        <w:t xml:space="preserve"> (ICSRs)</w:t>
      </w:r>
      <w:r w:rsidRPr="004F36C4">
        <w:rPr>
          <w:rFonts w:ascii="Garamond" w:hAnsi="Garamond"/>
          <w:sz w:val="20"/>
          <w:lang w:val="en-US"/>
        </w:rPr>
        <w:t xml:space="preserve"> for the seasons 2019/20, 2020/21 and 2021/22 were 1.75%</w:t>
      </w:r>
      <w:r w:rsidR="0001717C">
        <w:rPr>
          <w:rFonts w:ascii="Garamond" w:hAnsi="Garamond"/>
          <w:sz w:val="20"/>
          <w:lang w:val="en-US"/>
        </w:rPr>
        <w:t xml:space="preserve"> (18/1030)</w:t>
      </w:r>
      <w:r w:rsidRPr="004F36C4">
        <w:rPr>
          <w:rFonts w:ascii="Garamond" w:hAnsi="Garamond"/>
          <w:sz w:val="20"/>
          <w:lang w:val="en-US"/>
        </w:rPr>
        <w:t>, 0.48%</w:t>
      </w:r>
      <w:r w:rsidR="0001717C">
        <w:rPr>
          <w:rFonts w:ascii="Garamond" w:hAnsi="Garamond"/>
          <w:sz w:val="20"/>
          <w:lang w:val="en-US"/>
        </w:rPr>
        <w:t xml:space="preserve"> (5/1032)</w:t>
      </w:r>
      <w:r w:rsidRPr="004F36C4">
        <w:rPr>
          <w:rFonts w:ascii="Garamond" w:hAnsi="Garamond"/>
          <w:sz w:val="20"/>
          <w:lang w:val="en-US"/>
        </w:rPr>
        <w:t xml:space="preserve"> and 0.40%</w:t>
      </w:r>
      <w:r w:rsidR="0001717C">
        <w:rPr>
          <w:rFonts w:ascii="Garamond" w:hAnsi="Garamond"/>
          <w:sz w:val="20"/>
          <w:lang w:val="en-US"/>
        </w:rPr>
        <w:t xml:space="preserve"> (4/1001)</w:t>
      </w:r>
      <w:r w:rsidRPr="004F36C4">
        <w:rPr>
          <w:rFonts w:ascii="Garamond" w:hAnsi="Garamond"/>
          <w:sz w:val="20"/>
          <w:lang w:val="en-US"/>
        </w:rPr>
        <w:t xml:space="preserve">, respectively. The average number of AEs per </w:t>
      </w:r>
      <w:r w:rsidR="00D7106E">
        <w:rPr>
          <w:rFonts w:ascii="Garamond" w:hAnsi="Garamond"/>
          <w:sz w:val="20"/>
          <w:lang w:val="en-US"/>
        </w:rPr>
        <w:t>ICSR</w:t>
      </w:r>
      <w:r w:rsidR="003470F0">
        <w:rPr>
          <w:rFonts w:ascii="Garamond" w:hAnsi="Garamond"/>
          <w:sz w:val="20"/>
          <w:lang w:val="en-US"/>
        </w:rPr>
        <w:t xml:space="preserve"> </w:t>
      </w:r>
      <w:r w:rsidRPr="004F36C4">
        <w:rPr>
          <w:rFonts w:ascii="Garamond" w:hAnsi="Garamond"/>
          <w:sz w:val="20"/>
          <w:lang w:val="en-US"/>
        </w:rPr>
        <w:t xml:space="preserve">was similar (range 3.3–3.8) </w:t>
      </w:r>
      <w:r w:rsidR="00FA13AC">
        <w:rPr>
          <w:rFonts w:ascii="Garamond" w:hAnsi="Garamond"/>
          <w:sz w:val="20"/>
          <w:lang w:val="en-US"/>
        </w:rPr>
        <w:t>across</w:t>
      </w:r>
      <w:r w:rsidR="00FA13AC" w:rsidRPr="004F36C4">
        <w:rPr>
          <w:rFonts w:ascii="Garamond" w:hAnsi="Garamond"/>
          <w:sz w:val="20"/>
          <w:lang w:val="en-US"/>
        </w:rPr>
        <w:t xml:space="preserve"> </w:t>
      </w:r>
      <w:r w:rsidRPr="004F36C4">
        <w:rPr>
          <w:rFonts w:ascii="Garamond" w:hAnsi="Garamond"/>
          <w:sz w:val="20"/>
          <w:lang w:val="en-US"/>
        </w:rPr>
        <w:t xml:space="preserve">the three seasons. Most AEs were reactogenic in nature. The rate of </w:t>
      </w:r>
      <w:r w:rsidR="003470F0">
        <w:rPr>
          <w:rFonts w:ascii="Garamond" w:hAnsi="Garamond"/>
          <w:sz w:val="20"/>
          <w:lang w:val="en-US"/>
        </w:rPr>
        <w:t>AEs</w:t>
      </w:r>
      <w:r w:rsidRPr="004F36C4">
        <w:rPr>
          <w:rFonts w:ascii="Garamond" w:hAnsi="Garamond"/>
          <w:sz w:val="20"/>
          <w:lang w:val="en-US"/>
        </w:rPr>
        <w:t xml:space="preserve"> was similarly low in</w:t>
      </w:r>
      <w:r w:rsidR="00EA55C6">
        <w:rPr>
          <w:rFonts w:ascii="Garamond" w:hAnsi="Garamond"/>
          <w:sz w:val="20"/>
          <w:lang w:val="en-US"/>
        </w:rPr>
        <w:t xml:space="preserve"> all age groups.</w:t>
      </w:r>
    </w:p>
    <w:p w14:paraId="77368A60" w14:textId="7D76A75A" w:rsidR="004F36C4" w:rsidRPr="00647779" w:rsidRDefault="004F36C4" w:rsidP="004F36C4">
      <w:pPr>
        <w:spacing w:after="0" w:line="360" w:lineRule="auto"/>
        <w:jc w:val="both"/>
        <w:rPr>
          <w:rFonts w:ascii="Garamond" w:hAnsi="Garamond"/>
          <w:b/>
          <w:sz w:val="20"/>
          <w:lang w:val="en-US"/>
        </w:rPr>
      </w:pPr>
      <w:r w:rsidRPr="004F36C4">
        <w:rPr>
          <w:rFonts w:ascii="Garamond" w:hAnsi="Garamond"/>
          <w:b/>
          <w:sz w:val="20"/>
          <w:lang w:val="en-US"/>
        </w:rPr>
        <w:t>Conclusions</w:t>
      </w:r>
      <w:r w:rsidR="00647779">
        <w:rPr>
          <w:rFonts w:ascii="Garamond" w:hAnsi="Garamond"/>
          <w:b/>
          <w:sz w:val="20"/>
          <w:lang w:val="en-US"/>
        </w:rPr>
        <w:t xml:space="preserve">: </w:t>
      </w:r>
      <w:r w:rsidRPr="004F36C4">
        <w:rPr>
          <w:rFonts w:ascii="Garamond" w:hAnsi="Garamond"/>
          <w:sz w:val="20"/>
          <w:lang w:val="en-US"/>
        </w:rPr>
        <w:t xml:space="preserve">These results </w:t>
      </w:r>
      <w:r w:rsidR="00FA13AC">
        <w:rPr>
          <w:rFonts w:ascii="Garamond" w:hAnsi="Garamond"/>
          <w:sz w:val="20"/>
          <w:lang w:val="en-US"/>
        </w:rPr>
        <w:t>support</w:t>
      </w:r>
      <w:r w:rsidR="00FA13AC" w:rsidRPr="004F36C4">
        <w:rPr>
          <w:rFonts w:ascii="Garamond" w:hAnsi="Garamond"/>
          <w:sz w:val="20"/>
          <w:lang w:val="en-US"/>
        </w:rPr>
        <w:t xml:space="preserve"> </w:t>
      </w:r>
      <w:r w:rsidRPr="004F36C4">
        <w:rPr>
          <w:rFonts w:ascii="Garamond" w:hAnsi="Garamond"/>
          <w:sz w:val="20"/>
          <w:lang w:val="en-US"/>
        </w:rPr>
        <w:t xml:space="preserve">the </w:t>
      </w:r>
      <w:r w:rsidR="0001717C">
        <w:rPr>
          <w:rFonts w:ascii="Garamond" w:hAnsi="Garamond"/>
          <w:sz w:val="20"/>
          <w:lang w:val="en-US"/>
        </w:rPr>
        <w:t>favorable</w:t>
      </w:r>
      <w:r w:rsidR="00FA13AC" w:rsidRPr="004F36C4">
        <w:rPr>
          <w:rFonts w:ascii="Garamond" w:hAnsi="Garamond"/>
          <w:sz w:val="20"/>
          <w:lang w:val="en-US"/>
        </w:rPr>
        <w:t xml:space="preserve"> </w:t>
      </w:r>
      <w:r w:rsidRPr="004F36C4">
        <w:rPr>
          <w:rFonts w:ascii="Garamond" w:hAnsi="Garamond"/>
          <w:sz w:val="20"/>
          <w:lang w:val="en-US"/>
        </w:rPr>
        <w:t xml:space="preserve">safety profile of QIVc in all </w:t>
      </w:r>
      <w:r w:rsidR="0073587A">
        <w:rPr>
          <w:rFonts w:ascii="Garamond" w:hAnsi="Garamond"/>
          <w:sz w:val="20"/>
          <w:lang w:val="en-US"/>
        </w:rPr>
        <w:t>indicated age</w:t>
      </w:r>
      <w:r w:rsidR="003470F0">
        <w:rPr>
          <w:rFonts w:ascii="Garamond" w:hAnsi="Garamond"/>
          <w:sz w:val="20"/>
          <w:lang w:val="en-US"/>
        </w:rPr>
        <w:t xml:space="preserve"> </w:t>
      </w:r>
      <w:r w:rsidRPr="004F36C4">
        <w:rPr>
          <w:rFonts w:ascii="Garamond" w:hAnsi="Garamond"/>
          <w:sz w:val="20"/>
          <w:lang w:val="en-US"/>
        </w:rPr>
        <w:t>groups.</w:t>
      </w:r>
    </w:p>
    <w:p w14:paraId="66DBBBAD" w14:textId="02676BC1" w:rsidR="004F36C4" w:rsidRPr="004F36C4" w:rsidRDefault="004F36C4" w:rsidP="00811515">
      <w:pPr>
        <w:spacing w:after="0" w:line="360" w:lineRule="auto"/>
        <w:jc w:val="both"/>
        <w:rPr>
          <w:rFonts w:ascii="Garamond" w:hAnsi="Garamond"/>
          <w:b/>
          <w:bCs/>
          <w:szCs w:val="24"/>
          <w:lang w:val="en-US"/>
        </w:rPr>
      </w:pPr>
    </w:p>
    <w:p w14:paraId="744ADD85" w14:textId="1F10AE52" w:rsidR="004F36C4" w:rsidRPr="004F36C4" w:rsidRDefault="004F36C4" w:rsidP="00811515">
      <w:pPr>
        <w:spacing w:after="0" w:line="360" w:lineRule="auto"/>
        <w:jc w:val="both"/>
        <w:rPr>
          <w:rFonts w:ascii="Garamond" w:hAnsi="Garamond"/>
          <w:b/>
          <w:bCs/>
          <w:szCs w:val="24"/>
          <w:lang w:val="en-US"/>
        </w:rPr>
      </w:pPr>
      <w:r w:rsidRPr="004F36C4">
        <w:rPr>
          <w:rFonts w:ascii="Garamond" w:hAnsi="Garamond"/>
          <w:b/>
          <w:bCs/>
          <w:szCs w:val="24"/>
          <w:lang w:val="en-US"/>
        </w:rPr>
        <w:t>Keywords</w:t>
      </w:r>
    </w:p>
    <w:p w14:paraId="345C00F0" w14:textId="77777777" w:rsidR="00CB28F1" w:rsidRDefault="00CB28F1" w:rsidP="00811515">
      <w:pPr>
        <w:spacing w:after="0" w:line="360" w:lineRule="auto"/>
        <w:jc w:val="both"/>
        <w:rPr>
          <w:rFonts w:ascii="Garamond" w:hAnsi="Garamond"/>
          <w:bCs/>
          <w:sz w:val="20"/>
          <w:szCs w:val="24"/>
          <w:lang w:val="en-US"/>
        </w:rPr>
      </w:pPr>
    </w:p>
    <w:p w14:paraId="702F1A23" w14:textId="6FA69D09" w:rsidR="00D42EBA" w:rsidRDefault="004F36C4" w:rsidP="00811515">
      <w:pPr>
        <w:spacing w:after="0" w:line="360" w:lineRule="auto"/>
        <w:jc w:val="both"/>
        <w:rPr>
          <w:rFonts w:ascii="Garamond" w:hAnsi="Garamond"/>
          <w:bCs/>
          <w:sz w:val="20"/>
          <w:szCs w:val="24"/>
          <w:lang w:val="en-US"/>
        </w:rPr>
      </w:pPr>
      <w:r w:rsidRPr="0001717C">
        <w:rPr>
          <w:rFonts w:ascii="Garamond" w:hAnsi="Garamond"/>
          <w:bCs/>
          <w:sz w:val="20"/>
          <w:szCs w:val="24"/>
          <w:lang w:val="en-US"/>
        </w:rPr>
        <w:t>Influenza</w:t>
      </w:r>
      <w:r w:rsidR="00CB28F1">
        <w:rPr>
          <w:rFonts w:ascii="Garamond" w:hAnsi="Garamond"/>
          <w:bCs/>
          <w:sz w:val="20"/>
          <w:szCs w:val="24"/>
          <w:lang w:val="en-US"/>
        </w:rPr>
        <w:t>,</w:t>
      </w:r>
      <w:r w:rsidRPr="0001717C">
        <w:rPr>
          <w:rFonts w:ascii="Garamond" w:hAnsi="Garamond"/>
          <w:bCs/>
          <w:sz w:val="20"/>
          <w:szCs w:val="24"/>
          <w:lang w:val="en-US"/>
        </w:rPr>
        <w:t xml:space="preserve"> </w:t>
      </w:r>
      <w:r w:rsidR="00CB28F1">
        <w:rPr>
          <w:rFonts w:ascii="Garamond" w:hAnsi="Garamond"/>
          <w:bCs/>
          <w:sz w:val="20"/>
          <w:szCs w:val="24"/>
          <w:lang w:val="en-US"/>
        </w:rPr>
        <w:t>c</w:t>
      </w:r>
      <w:r w:rsidRPr="0001717C">
        <w:rPr>
          <w:rFonts w:ascii="Garamond" w:hAnsi="Garamond"/>
          <w:bCs/>
          <w:sz w:val="20"/>
          <w:szCs w:val="24"/>
          <w:lang w:val="en-US"/>
        </w:rPr>
        <w:t>ell-based influenza vaccine</w:t>
      </w:r>
      <w:r w:rsidR="00CB28F1">
        <w:rPr>
          <w:rFonts w:ascii="Garamond" w:hAnsi="Garamond"/>
          <w:bCs/>
          <w:sz w:val="20"/>
          <w:szCs w:val="24"/>
          <w:lang w:val="en-US"/>
        </w:rPr>
        <w:t>,</w:t>
      </w:r>
      <w:r w:rsidRPr="0001717C">
        <w:rPr>
          <w:rFonts w:ascii="Garamond" w:hAnsi="Garamond"/>
          <w:bCs/>
          <w:sz w:val="20"/>
          <w:szCs w:val="24"/>
          <w:lang w:val="en-US"/>
        </w:rPr>
        <w:t xml:space="preserve"> Flucelvax</w:t>
      </w:r>
      <w:r w:rsidR="00420E75" w:rsidRPr="0001717C">
        <w:rPr>
          <w:rFonts w:ascii="Garamond" w:hAnsi="Garamond"/>
          <w:bCs/>
          <w:sz w:val="20"/>
          <w:szCs w:val="24"/>
          <w:vertAlign w:val="superscript"/>
          <w:lang w:val="en-US"/>
        </w:rPr>
        <w:t>®</w:t>
      </w:r>
      <w:r w:rsidRPr="0001717C">
        <w:rPr>
          <w:rFonts w:ascii="Garamond" w:hAnsi="Garamond"/>
          <w:bCs/>
          <w:sz w:val="20"/>
          <w:szCs w:val="24"/>
          <w:lang w:val="en-US"/>
        </w:rPr>
        <w:t xml:space="preserve"> Tetra</w:t>
      </w:r>
      <w:r w:rsidR="00CB28F1">
        <w:rPr>
          <w:rFonts w:ascii="Garamond" w:hAnsi="Garamond"/>
          <w:bCs/>
          <w:sz w:val="20"/>
          <w:szCs w:val="24"/>
          <w:lang w:val="en-US"/>
        </w:rPr>
        <w:t>,</w:t>
      </w:r>
      <w:r w:rsidRPr="0001717C">
        <w:rPr>
          <w:rFonts w:ascii="Garamond" w:hAnsi="Garamond"/>
          <w:bCs/>
          <w:sz w:val="20"/>
          <w:szCs w:val="24"/>
          <w:lang w:val="en-US"/>
        </w:rPr>
        <w:t xml:space="preserve"> </w:t>
      </w:r>
      <w:r w:rsidR="00CB28F1">
        <w:rPr>
          <w:rFonts w:ascii="Garamond" w:hAnsi="Garamond"/>
          <w:bCs/>
          <w:sz w:val="20"/>
          <w:szCs w:val="24"/>
          <w:lang w:val="en-US"/>
        </w:rPr>
        <w:t>e</w:t>
      </w:r>
      <w:r w:rsidRPr="0001717C">
        <w:rPr>
          <w:rFonts w:ascii="Garamond" w:hAnsi="Garamond"/>
          <w:bCs/>
          <w:sz w:val="20"/>
          <w:szCs w:val="24"/>
          <w:lang w:val="en-US"/>
        </w:rPr>
        <w:t>nhanced safety surveillance</w:t>
      </w:r>
      <w:r w:rsidR="00CB28F1">
        <w:rPr>
          <w:rFonts w:ascii="Garamond" w:hAnsi="Garamond"/>
          <w:bCs/>
          <w:sz w:val="20"/>
          <w:szCs w:val="24"/>
          <w:lang w:val="en-US"/>
        </w:rPr>
        <w:t>,</w:t>
      </w:r>
      <w:r w:rsidRPr="0001717C">
        <w:rPr>
          <w:rFonts w:ascii="Garamond" w:hAnsi="Garamond"/>
          <w:bCs/>
          <w:sz w:val="20"/>
          <w:szCs w:val="24"/>
          <w:lang w:val="en-US"/>
        </w:rPr>
        <w:t xml:space="preserve"> </w:t>
      </w:r>
      <w:r w:rsidR="00CB28F1">
        <w:rPr>
          <w:rFonts w:ascii="Garamond" w:hAnsi="Garamond"/>
          <w:bCs/>
          <w:sz w:val="20"/>
          <w:szCs w:val="24"/>
          <w:lang w:val="en-US"/>
        </w:rPr>
        <w:t>s</w:t>
      </w:r>
      <w:r w:rsidRPr="0001717C">
        <w:rPr>
          <w:rFonts w:ascii="Garamond" w:hAnsi="Garamond"/>
          <w:bCs/>
          <w:sz w:val="20"/>
          <w:szCs w:val="24"/>
          <w:lang w:val="en-US"/>
        </w:rPr>
        <w:t xml:space="preserve">afety; </w:t>
      </w:r>
      <w:r w:rsidR="00CB28F1">
        <w:rPr>
          <w:rFonts w:ascii="Garamond" w:hAnsi="Garamond"/>
          <w:bCs/>
          <w:sz w:val="20"/>
          <w:szCs w:val="24"/>
          <w:lang w:val="en-US"/>
        </w:rPr>
        <w:t>a</w:t>
      </w:r>
      <w:r w:rsidRPr="0001717C">
        <w:rPr>
          <w:rFonts w:ascii="Garamond" w:hAnsi="Garamond"/>
          <w:bCs/>
          <w:sz w:val="20"/>
          <w:szCs w:val="24"/>
          <w:lang w:val="en-US"/>
        </w:rPr>
        <w:t>dverse event</w:t>
      </w:r>
    </w:p>
    <w:p w14:paraId="261430F3" w14:textId="1FAF2353" w:rsidR="004F36C4" w:rsidRPr="00D42EBA" w:rsidRDefault="00D42EBA" w:rsidP="00D42EBA">
      <w:pPr>
        <w:rPr>
          <w:rFonts w:ascii="Garamond" w:hAnsi="Garamond"/>
          <w:bCs/>
          <w:sz w:val="20"/>
          <w:szCs w:val="24"/>
          <w:lang w:val="en-US"/>
        </w:rPr>
      </w:pPr>
      <w:r>
        <w:rPr>
          <w:rFonts w:ascii="Garamond" w:hAnsi="Garamond"/>
          <w:bCs/>
          <w:sz w:val="20"/>
          <w:szCs w:val="24"/>
          <w:lang w:val="en-US"/>
        </w:rPr>
        <w:br w:type="page"/>
      </w:r>
    </w:p>
    <w:p w14:paraId="028CBC93" w14:textId="3E4FDE6E" w:rsidR="00C51618" w:rsidRPr="002F0A24" w:rsidRDefault="00494BE9" w:rsidP="002F0A24">
      <w:pPr>
        <w:pStyle w:val="Paragrafoelenco"/>
        <w:numPr>
          <w:ilvl w:val="0"/>
          <w:numId w:val="2"/>
        </w:numPr>
        <w:spacing w:after="0" w:line="360" w:lineRule="auto"/>
        <w:jc w:val="both"/>
        <w:rPr>
          <w:rFonts w:ascii="Garamond" w:hAnsi="Garamond"/>
          <w:b/>
          <w:bCs/>
          <w:sz w:val="24"/>
          <w:szCs w:val="24"/>
          <w:lang w:val="en-US"/>
        </w:rPr>
      </w:pPr>
      <w:r w:rsidRPr="002F0A24">
        <w:rPr>
          <w:rFonts w:ascii="Garamond" w:hAnsi="Garamond"/>
          <w:b/>
          <w:bCs/>
          <w:sz w:val="24"/>
          <w:szCs w:val="24"/>
          <w:lang w:val="en-US"/>
        </w:rPr>
        <w:lastRenderedPageBreak/>
        <w:t>Introduction</w:t>
      </w:r>
    </w:p>
    <w:p w14:paraId="4225C7A1" w14:textId="77777777" w:rsidR="00494BE9" w:rsidRPr="007F6AB3" w:rsidRDefault="00494BE9" w:rsidP="00811515">
      <w:pPr>
        <w:spacing w:after="0" w:line="360" w:lineRule="auto"/>
        <w:jc w:val="both"/>
        <w:rPr>
          <w:rFonts w:ascii="Garamond" w:hAnsi="Garamond"/>
          <w:sz w:val="20"/>
          <w:szCs w:val="20"/>
          <w:lang w:val="en-US"/>
        </w:rPr>
      </w:pPr>
    </w:p>
    <w:p w14:paraId="2F1705DF" w14:textId="06E1478D" w:rsidR="001E62AD" w:rsidRPr="007F6AB3" w:rsidRDefault="00797FDD" w:rsidP="00811515">
      <w:pPr>
        <w:spacing w:after="0" w:line="360" w:lineRule="auto"/>
        <w:jc w:val="both"/>
        <w:rPr>
          <w:rFonts w:ascii="Garamond" w:hAnsi="Garamond"/>
          <w:sz w:val="20"/>
          <w:szCs w:val="20"/>
          <w:lang w:val="en-US"/>
        </w:rPr>
      </w:pPr>
      <w:r w:rsidRPr="007F6AB3">
        <w:rPr>
          <w:rFonts w:ascii="Garamond" w:hAnsi="Garamond"/>
          <w:sz w:val="20"/>
          <w:szCs w:val="20"/>
          <w:lang w:val="en-US"/>
        </w:rPr>
        <w:t>Seasonal</w:t>
      </w:r>
      <w:r w:rsidR="00494BE9" w:rsidRPr="007F6AB3">
        <w:rPr>
          <w:rFonts w:ascii="Garamond" w:hAnsi="Garamond"/>
          <w:sz w:val="20"/>
          <w:szCs w:val="20"/>
          <w:lang w:val="en-US"/>
        </w:rPr>
        <w:t xml:space="preserve"> influenza </w:t>
      </w:r>
      <w:r w:rsidR="006F1039" w:rsidRPr="007F6AB3">
        <w:rPr>
          <w:rFonts w:ascii="Garamond" w:hAnsi="Garamond"/>
          <w:sz w:val="20"/>
          <w:szCs w:val="20"/>
          <w:lang w:val="en-US"/>
        </w:rPr>
        <w:t xml:space="preserve">is responsible </w:t>
      </w:r>
      <w:r w:rsidR="0080142D" w:rsidRPr="007F6AB3">
        <w:rPr>
          <w:rFonts w:ascii="Garamond" w:hAnsi="Garamond"/>
          <w:sz w:val="20"/>
          <w:szCs w:val="20"/>
          <w:lang w:val="en-US"/>
        </w:rPr>
        <w:t xml:space="preserve">for a </w:t>
      </w:r>
      <w:r w:rsidR="0080142D" w:rsidRPr="00263987">
        <w:rPr>
          <w:rFonts w:ascii="Garamond" w:hAnsi="Garamond"/>
          <w:sz w:val="20"/>
          <w:szCs w:val="20"/>
          <w:lang w:val="en-US"/>
        </w:rPr>
        <w:t xml:space="preserve">large </w:t>
      </w:r>
      <w:r w:rsidR="009C3C55">
        <w:rPr>
          <w:rFonts w:ascii="Garamond" w:hAnsi="Garamond"/>
          <w:sz w:val="20"/>
          <w:szCs w:val="20"/>
          <w:lang w:val="en-US"/>
        </w:rPr>
        <w:t>global burden of disease</w:t>
      </w:r>
      <w:r w:rsidR="009E5DA7">
        <w:rPr>
          <w:rFonts w:ascii="Garamond" w:hAnsi="Garamond"/>
          <w:sz w:val="20"/>
          <w:szCs w:val="20"/>
          <w:lang w:val="en-US"/>
        </w:rPr>
        <w:t xml:space="preserve">, with approximately </w:t>
      </w:r>
      <w:r w:rsidR="00600B1E" w:rsidRPr="007F6AB3">
        <w:rPr>
          <w:rFonts w:ascii="Garamond" w:hAnsi="Garamond"/>
          <w:sz w:val="20"/>
          <w:szCs w:val="20"/>
          <w:lang w:val="en-US"/>
        </w:rPr>
        <w:t>one billion</w:t>
      </w:r>
      <w:r w:rsidR="00435372" w:rsidRPr="007F6AB3">
        <w:rPr>
          <w:rFonts w:ascii="Garamond" w:hAnsi="Garamond"/>
          <w:sz w:val="20"/>
          <w:szCs w:val="20"/>
          <w:lang w:val="en-US"/>
        </w:rPr>
        <w:t xml:space="preserve"> cases</w:t>
      </w:r>
      <w:r w:rsidR="009E5DA7">
        <w:rPr>
          <w:rFonts w:ascii="Garamond" w:hAnsi="Garamond"/>
          <w:sz w:val="20"/>
          <w:szCs w:val="20"/>
          <w:lang w:val="en-US"/>
        </w:rPr>
        <w:t xml:space="preserve"> each year</w:t>
      </w:r>
      <w:r w:rsidR="00D12E2A" w:rsidRPr="007F6AB3">
        <w:rPr>
          <w:rFonts w:ascii="Garamond" w:hAnsi="Garamond"/>
          <w:sz w:val="20"/>
          <w:szCs w:val="20"/>
          <w:lang w:val="en-US"/>
        </w:rPr>
        <w:t xml:space="preserve">, of which 290,000–650,000 </w:t>
      </w:r>
      <w:r w:rsidR="0082516F" w:rsidRPr="007F6AB3">
        <w:rPr>
          <w:rFonts w:ascii="Garamond" w:hAnsi="Garamond"/>
          <w:sz w:val="20"/>
          <w:szCs w:val="20"/>
          <w:lang w:val="en-US"/>
        </w:rPr>
        <w:t>result in death.</w:t>
      </w:r>
      <w:r w:rsidR="00F22C4A" w:rsidRPr="00F22C4A">
        <w:rPr>
          <w:rFonts w:ascii="Garamond" w:hAnsi="Garamond"/>
          <w:sz w:val="20"/>
          <w:szCs w:val="20"/>
          <w:vertAlign w:val="superscript"/>
          <w:lang w:val="en-US"/>
        </w:rPr>
        <w:t>1</w:t>
      </w:r>
      <w:r w:rsidR="00160845" w:rsidRPr="007F6AB3">
        <w:rPr>
          <w:rFonts w:ascii="Garamond" w:hAnsi="Garamond"/>
          <w:sz w:val="20"/>
          <w:szCs w:val="20"/>
          <w:lang w:val="en-US"/>
        </w:rPr>
        <w:t xml:space="preserve"> </w:t>
      </w:r>
      <w:r w:rsidR="009E5DA7">
        <w:rPr>
          <w:rFonts w:ascii="Garamond" w:hAnsi="Garamond"/>
          <w:sz w:val="20"/>
          <w:szCs w:val="20"/>
          <w:lang w:val="en-US"/>
        </w:rPr>
        <w:t>I</w:t>
      </w:r>
      <w:r w:rsidR="00160845" w:rsidRPr="007F6AB3">
        <w:rPr>
          <w:rFonts w:ascii="Garamond" w:hAnsi="Garamond"/>
          <w:sz w:val="20"/>
          <w:szCs w:val="20"/>
          <w:lang w:val="en-US"/>
        </w:rPr>
        <w:t xml:space="preserve">nfluenza vaccination </w:t>
      </w:r>
      <w:r w:rsidR="009C2FEB" w:rsidRPr="007F6AB3">
        <w:rPr>
          <w:rFonts w:ascii="Garamond" w:hAnsi="Garamond"/>
          <w:sz w:val="20"/>
          <w:szCs w:val="20"/>
          <w:lang w:val="en-US"/>
        </w:rPr>
        <w:t xml:space="preserve">is </w:t>
      </w:r>
      <w:r w:rsidR="009E5DA7">
        <w:rPr>
          <w:rFonts w:ascii="Garamond" w:hAnsi="Garamond"/>
          <w:sz w:val="20"/>
          <w:szCs w:val="20"/>
          <w:lang w:val="en-US"/>
        </w:rPr>
        <w:t>an important</w:t>
      </w:r>
      <w:r w:rsidR="009C2FEB" w:rsidRPr="007F6AB3">
        <w:rPr>
          <w:rFonts w:ascii="Garamond" w:hAnsi="Garamond"/>
          <w:sz w:val="20"/>
          <w:szCs w:val="20"/>
          <w:lang w:val="en-US"/>
        </w:rPr>
        <w:t xml:space="preserve"> </w:t>
      </w:r>
      <w:r w:rsidR="00235AC5" w:rsidRPr="007F6AB3">
        <w:rPr>
          <w:rFonts w:ascii="Garamond" w:hAnsi="Garamond"/>
          <w:sz w:val="20"/>
          <w:szCs w:val="20"/>
          <w:lang w:val="en-US"/>
        </w:rPr>
        <w:t xml:space="preserve">public health </w:t>
      </w:r>
      <w:r w:rsidR="003C16D7" w:rsidRPr="007F6AB3">
        <w:rPr>
          <w:rFonts w:ascii="Garamond" w:hAnsi="Garamond"/>
          <w:sz w:val="20"/>
          <w:szCs w:val="20"/>
          <w:lang w:val="en-US"/>
        </w:rPr>
        <w:t>mean</w:t>
      </w:r>
      <w:r w:rsidR="009E5DA7">
        <w:rPr>
          <w:rFonts w:ascii="Garamond" w:hAnsi="Garamond"/>
          <w:sz w:val="20"/>
          <w:szCs w:val="20"/>
          <w:lang w:val="en-US"/>
        </w:rPr>
        <w:t>s</w:t>
      </w:r>
      <w:r w:rsidR="00235AC5" w:rsidRPr="007F6AB3">
        <w:rPr>
          <w:rFonts w:ascii="Garamond" w:hAnsi="Garamond"/>
          <w:sz w:val="20"/>
          <w:szCs w:val="20"/>
          <w:lang w:val="en-US"/>
        </w:rPr>
        <w:t xml:space="preserve"> </w:t>
      </w:r>
      <w:r w:rsidR="009E5DA7">
        <w:rPr>
          <w:rFonts w:ascii="Garamond" w:hAnsi="Garamond"/>
          <w:sz w:val="20"/>
          <w:szCs w:val="20"/>
          <w:lang w:val="en-US"/>
        </w:rPr>
        <w:t>for</w:t>
      </w:r>
      <w:r w:rsidR="00235AC5" w:rsidRPr="007F6AB3">
        <w:rPr>
          <w:rFonts w:ascii="Garamond" w:hAnsi="Garamond"/>
          <w:sz w:val="20"/>
          <w:szCs w:val="20"/>
          <w:lang w:val="en-US"/>
        </w:rPr>
        <w:t xml:space="preserve"> reduc</w:t>
      </w:r>
      <w:r w:rsidR="009E5DA7">
        <w:rPr>
          <w:rFonts w:ascii="Garamond" w:hAnsi="Garamond"/>
          <w:sz w:val="20"/>
          <w:szCs w:val="20"/>
          <w:lang w:val="en-US"/>
        </w:rPr>
        <w:t>ing</w:t>
      </w:r>
      <w:r w:rsidR="00235AC5" w:rsidRPr="007F6AB3">
        <w:rPr>
          <w:rFonts w:ascii="Garamond" w:hAnsi="Garamond"/>
          <w:sz w:val="20"/>
          <w:szCs w:val="20"/>
          <w:lang w:val="en-US"/>
        </w:rPr>
        <w:t xml:space="preserve"> </w:t>
      </w:r>
      <w:r w:rsidR="00361C80" w:rsidRPr="007F6AB3">
        <w:rPr>
          <w:rFonts w:ascii="Garamond" w:hAnsi="Garamond"/>
          <w:sz w:val="20"/>
          <w:szCs w:val="20"/>
          <w:lang w:val="en-US"/>
        </w:rPr>
        <w:t>the</w:t>
      </w:r>
      <w:r w:rsidR="009E5DA7">
        <w:rPr>
          <w:rFonts w:ascii="Garamond" w:hAnsi="Garamond"/>
          <w:sz w:val="20"/>
          <w:szCs w:val="20"/>
          <w:lang w:val="en-US"/>
        </w:rPr>
        <w:t xml:space="preserve"> global</w:t>
      </w:r>
      <w:r w:rsidR="00361C80" w:rsidRPr="007F6AB3">
        <w:rPr>
          <w:rFonts w:ascii="Garamond" w:hAnsi="Garamond"/>
          <w:sz w:val="20"/>
          <w:szCs w:val="20"/>
          <w:lang w:val="en-US"/>
        </w:rPr>
        <w:t xml:space="preserve"> burden of disease.</w:t>
      </w:r>
      <w:r w:rsidR="00F22C4A">
        <w:rPr>
          <w:rFonts w:ascii="Garamond" w:hAnsi="Garamond"/>
          <w:sz w:val="20"/>
          <w:szCs w:val="20"/>
          <w:vertAlign w:val="superscript"/>
          <w:lang w:val="en-US"/>
        </w:rPr>
        <w:t>2</w:t>
      </w:r>
      <w:r w:rsidR="00DA137D" w:rsidRPr="007F6AB3">
        <w:rPr>
          <w:rFonts w:ascii="Garamond" w:hAnsi="Garamond"/>
          <w:sz w:val="20"/>
          <w:szCs w:val="20"/>
          <w:lang w:val="en-US"/>
        </w:rPr>
        <w:t xml:space="preserve"> </w:t>
      </w:r>
      <w:r w:rsidR="00A77576" w:rsidRPr="007F6AB3">
        <w:rPr>
          <w:rFonts w:ascii="Garamond" w:hAnsi="Garamond"/>
          <w:sz w:val="20"/>
          <w:szCs w:val="20"/>
          <w:lang w:val="en-US"/>
        </w:rPr>
        <w:t xml:space="preserve">Pregnant women, </w:t>
      </w:r>
      <w:r w:rsidR="001E25A7">
        <w:rPr>
          <w:rFonts w:ascii="Garamond" w:hAnsi="Garamond"/>
          <w:sz w:val="20"/>
          <w:szCs w:val="20"/>
          <w:lang w:val="en-US"/>
        </w:rPr>
        <w:t xml:space="preserve">young </w:t>
      </w:r>
      <w:r w:rsidR="00A77576" w:rsidRPr="007F6AB3">
        <w:rPr>
          <w:rFonts w:ascii="Garamond" w:hAnsi="Garamond"/>
          <w:sz w:val="20"/>
          <w:szCs w:val="20"/>
          <w:lang w:val="en-US"/>
        </w:rPr>
        <w:t>c</w:t>
      </w:r>
      <w:r w:rsidR="00DA137D" w:rsidRPr="007F6AB3">
        <w:rPr>
          <w:rFonts w:ascii="Garamond" w:hAnsi="Garamond"/>
          <w:sz w:val="20"/>
          <w:szCs w:val="20"/>
          <w:lang w:val="en-US"/>
        </w:rPr>
        <w:t xml:space="preserve">hildren, </w:t>
      </w:r>
      <w:r w:rsidR="00D10BE3" w:rsidRPr="007F6AB3">
        <w:rPr>
          <w:rFonts w:ascii="Garamond" w:hAnsi="Garamond"/>
          <w:sz w:val="20"/>
          <w:szCs w:val="20"/>
          <w:lang w:val="en-US"/>
        </w:rPr>
        <w:t>older adults, subjects with underlying medical conditions</w:t>
      </w:r>
      <w:r w:rsidR="00A77576" w:rsidRPr="007F6AB3">
        <w:rPr>
          <w:rFonts w:ascii="Garamond" w:hAnsi="Garamond"/>
          <w:sz w:val="20"/>
          <w:szCs w:val="20"/>
          <w:lang w:val="en-US"/>
        </w:rPr>
        <w:t xml:space="preserve"> and</w:t>
      </w:r>
      <w:r w:rsidR="00D10BE3" w:rsidRPr="007F6AB3">
        <w:rPr>
          <w:rFonts w:ascii="Garamond" w:hAnsi="Garamond"/>
          <w:sz w:val="20"/>
          <w:szCs w:val="20"/>
          <w:lang w:val="en-US"/>
        </w:rPr>
        <w:t xml:space="preserve"> healthcare workers</w:t>
      </w:r>
      <w:r w:rsidR="00B63D9C" w:rsidRPr="007F6AB3">
        <w:rPr>
          <w:rFonts w:ascii="Garamond" w:hAnsi="Garamond"/>
          <w:sz w:val="20"/>
          <w:szCs w:val="20"/>
          <w:lang w:val="en-US"/>
        </w:rPr>
        <w:t xml:space="preserve"> (HCWs)</w:t>
      </w:r>
      <w:r w:rsidR="00A77576" w:rsidRPr="007F6AB3">
        <w:rPr>
          <w:rFonts w:ascii="Garamond" w:hAnsi="Garamond"/>
          <w:sz w:val="20"/>
          <w:szCs w:val="20"/>
          <w:lang w:val="en-US"/>
        </w:rPr>
        <w:t xml:space="preserve"> have been identified</w:t>
      </w:r>
      <w:r w:rsidR="00F22C4A" w:rsidRPr="00F22C4A">
        <w:rPr>
          <w:rFonts w:ascii="Garamond" w:hAnsi="Garamond"/>
          <w:sz w:val="20"/>
          <w:szCs w:val="20"/>
          <w:vertAlign w:val="superscript"/>
          <w:lang w:val="en-US"/>
        </w:rPr>
        <w:t>1</w:t>
      </w:r>
      <w:r w:rsidR="008861E8" w:rsidRPr="007F6AB3">
        <w:rPr>
          <w:rFonts w:ascii="Garamond" w:hAnsi="Garamond"/>
          <w:sz w:val="20"/>
          <w:szCs w:val="20"/>
          <w:lang w:val="en-US"/>
        </w:rPr>
        <w:t xml:space="preserve"> </w:t>
      </w:r>
      <w:r w:rsidR="00A77576" w:rsidRPr="007F6AB3">
        <w:rPr>
          <w:rFonts w:ascii="Garamond" w:hAnsi="Garamond"/>
          <w:sz w:val="20"/>
          <w:szCs w:val="20"/>
          <w:lang w:val="en-US"/>
        </w:rPr>
        <w:t>as</w:t>
      </w:r>
      <w:r w:rsidR="008861E8" w:rsidRPr="007F6AB3">
        <w:rPr>
          <w:rFonts w:ascii="Garamond" w:hAnsi="Garamond"/>
          <w:sz w:val="20"/>
          <w:szCs w:val="20"/>
          <w:lang w:val="en-US"/>
        </w:rPr>
        <w:t xml:space="preserve"> principal </w:t>
      </w:r>
      <w:r w:rsidR="001E62AD" w:rsidRPr="007F6AB3">
        <w:rPr>
          <w:rFonts w:ascii="Garamond" w:hAnsi="Garamond"/>
          <w:sz w:val="20"/>
          <w:szCs w:val="20"/>
          <w:lang w:val="en-US"/>
        </w:rPr>
        <w:t>target population</w:t>
      </w:r>
      <w:r w:rsidR="001E25A7">
        <w:rPr>
          <w:rFonts w:ascii="Garamond" w:hAnsi="Garamond"/>
          <w:sz w:val="20"/>
          <w:szCs w:val="20"/>
          <w:lang w:val="en-US"/>
        </w:rPr>
        <w:t>s</w:t>
      </w:r>
      <w:r w:rsidR="001E62AD" w:rsidRPr="007F6AB3">
        <w:rPr>
          <w:rFonts w:ascii="Garamond" w:hAnsi="Garamond"/>
          <w:sz w:val="20"/>
          <w:szCs w:val="20"/>
          <w:lang w:val="en-US"/>
        </w:rPr>
        <w:t xml:space="preserve"> for annual </w:t>
      </w:r>
      <w:r w:rsidR="00C23B41" w:rsidRPr="007F6AB3">
        <w:rPr>
          <w:rFonts w:ascii="Garamond" w:hAnsi="Garamond"/>
          <w:sz w:val="20"/>
          <w:szCs w:val="20"/>
          <w:lang w:val="en-US"/>
        </w:rPr>
        <w:t>immunization</w:t>
      </w:r>
      <w:r w:rsidR="001E62AD" w:rsidRPr="007F6AB3">
        <w:rPr>
          <w:rFonts w:ascii="Garamond" w:hAnsi="Garamond"/>
          <w:sz w:val="20"/>
          <w:szCs w:val="20"/>
          <w:lang w:val="en-US"/>
        </w:rPr>
        <w:t>.</w:t>
      </w:r>
    </w:p>
    <w:p w14:paraId="3F80ACFA" w14:textId="75FB6A88" w:rsidR="00494BE9" w:rsidRPr="007F6AB3" w:rsidRDefault="00C23B41" w:rsidP="00811515">
      <w:pPr>
        <w:spacing w:after="0" w:line="360" w:lineRule="auto"/>
        <w:jc w:val="both"/>
        <w:rPr>
          <w:rFonts w:ascii="Garamond" w:hAnsi="Garamond"/>
          <w:sz w:val="20"/>
          <w:szCs w:val="20"/>
          <w:lang w:val="en-US"/>
        </w:rPr>
      </w:pPr>
      <w:r w:rsidRPr="007F6AB3">
        <w:rPr>
          <w:rFonts w:ascii="Garamond" w:hAnsi="Garamond"/>
          <w:sz w:val="20"/>
          <w:szCs w:val="20"/>
          <w:lang w:val="en-US"/>
        </w:rPr>
        <w:t>The c</w:t>
      </w:r>
      <w:r w:rsidR="00645B2B" w:rsidRPr="007F6AB3">
        <w:rPr>
          <w:rFonts w:ascii="Garamond" w:hAnsi="Garamond"/>
          <w:sz w:val="20"/>
          <w:szCs w:val="20"/>
          <w:lang w:val="en-US"/>
        </w:rPr>
        <w:t xml:space="preserve">urrently available </w:t>
      </w:r>
      <w:r w:rsidRPr="007F6AB3">
        <w:rPr>
          <w:rFonts w:ascii="Garamond" w:hAnsi="Garamond"/>
          <w:sz w:val="20"/>
          <w:szCs w:val="20"/>
          <w:lang w:val="en-US"/>
        </w:rPr>
        <w:t>seasonal influenza vaccines (SIVs)</w:t>
      </w:r>
      <w:r w:rsidR="001512B1" w:rsidRPr="007F6AB3">
        <w:rPr>
          <w:rFonts w:ascii="Garamond" w:hAnsi="Garamond"/>
          <w:sz w:val="20"/>
          <w:szCs w:val="20"/>
          <w:lang w:val="en-US"/>
        </w:rPr>
        <w:t xml:space="preserve"> differ by several </w:t>
      </w:r>
      <w:r w:rsidR="001A2B72" w:rsidRPr="007F6AB3">
        <w:rPr>
          <w:rFonts w:ascii="Garamond" w:hAnsi="Garamond"/>
          <w:sz w:val="20"/>
          <w:szCs w:val="20"/>
          <w:lang w:val="en-US"/>
        </w:rPr>
        <w:t>characteristics, including</w:t>
      </w:r>
      <w:r w:rsidR="007D2584" w:rsidRPr="007F6AB3">
        <w:rPr>
          <w:rFonts w:ascii="Garamond" w:hAnsi="Garamond"/>
          <w:sz w:val="20"/>
          <w:szCs w:val="20"/>
          <w:lang w:val="en-US"/>
        </w:rPr>
        <w:t xml:space="preserve"> virus </w:t>
      </w:r>
      <w:r w:rsidR="00380DA4" w:rsidRPr="007F6AB3">
        <w:rPr>
          <w:rFonts w:ascii="Garamond" w:hAnsi="Garamond"/>
          <w:sz w:val="20"/>
          <w:szCs w:val="20"/>
          <w:lang w:val="en-US"/>
        </w:rPr>
        <w:t>inactivation patterns</w:t>
      </w:r>
      <w:r w:rsidR="001A2B72" w:rsidRPr="007F6AB3">
        <w:rPr>
          <w:rFonts w:ascii="Garamond" w:hAnsi="Garamond"/>
          <w:sz w:val="20"/>
          <w:szCs w:val="20"/>
          <w:lang w:val="en-US"/>
        </w:rPr>
        <w:t xml:space="preserve"> </w:t>
      </w:r>
      <w:r w:rsidR="008E7BD8" w:rsidRPr="007F6AB3">
        <w:rPr>
          <w:rFonts w:ascii="Garamond" w:hAnsi="Garamond"/>
          <w:sz w:val="20"/>
          <w:szCs w:val="20"/>
          <w:lang w:val="en-US"/>
        </w:rPr>
        <w:t xml:space="preserve">(live attenuated, </w:t>
      </w:r>
      <w:r w:rsidR="00380DA4" w:rsidRPr="007F6AB3">
        <w:rPr>
          <w:rFonts w:ascii="Garamond" w:hAnsi="Garamond"/>
          <w:sz w:val="20"/>
          <w:szCs w:val="20"/>
          <w:lang w:val="en-US"/>
        </w:rPr>
        <w:t xml:space="preserve">inactivated </w:t>
      </w:r>
      <w:r w:rsidR="008E7BD8" w:rsidRPr="007F6AB3">
        <w:rPr>
          <w:rFonts w:ascii="Garamond" w:hAnsi="Garamond"/>
          <w:sz w:val="20"/>
          <w:szCs w:val="20"/>
          <w:lang w:val="en-US"/>
        </w:rPr>
        <w:t>split virion or subunit)</w:t>
      </w:r>
      <w:r w:rsidR="00380DA4" w:rsidRPr="007F6AB3">
        <w:rPr>
          <w:rFonts w:ascii="Garamond" w:hAnsi="Garamond"/>
          <w:sz w:val="20"/>
          <w:szCs w:val="20"/>
          <w:lang w:val="en-US"/>
        </w:rPr>
        <w:t xml:space="preserve">, </w:t>
      </w:r>
      <w:r w:rsidR="002B62DE" w:rsidRPr="007F6AB3">
        <w:rPr>
          <w:rFonts w:ascii="Garamond" w:hAnsi="Garamond"/>
          <w:sz w:val="20"/>
          <w:szCs w:val="20"/>
          <w:lang w:val="en-US"/>
        </w:rPr>
        <w:t>antigen content (standard</w:t>
      </w:r>
      <w:r w:rsidR="00937AC5">
        <w:rPr>
          <w:rFonts w:ascii="Garamond" w:hAnsi="Garamond"/>
          <w:sz w:val="20"/>
          <w:szCs w:val="20"/>
          <w:lang w:val="en-US"/>
        </w:rPr>
        <w:t xml:space="preserve"> </w:t>
      </w:r>
      <w:r w:rsidR="001E25A7">
        <w:rPr>
          <w:rFonts w:ascii="Garamond" w:hAnsi="Garamond"/>
          <w:sz w:val="20"/>
          <w:szCs w:val="20"/>
          <w:lang w:val="en-US"/>
        </w:rPr>
        <w:t>dose</w:t>
      </w:r>
      <w:r w:rsidR="00937AC5">
        <w:rPr>
          <w:rFonts w:ascii="Garamond" w:hAnsi="Garamond"/>
          <w:sz w:val="20"/>
          <w:szCs w:val="20"/>
          <w:lang w:val="en-US"/>
        </w:rPr>
        <w:t xml:space="preserve"> of 15 </w:t>
      </w:r>
      <w:r w:rsidR="00937AC5" w:rsidRPr="0066725A">
        <w:rPr>
          <w:rFonts w:ascii="Garamond" w:hAnsi="Garamond"/>
          <w:i/>
          <w:sz w:val="20"/>
          <w:szCs w:val="20"/>
          <w:lang w:val="en-US"/>
        </w:rPr>
        <w:t>µ</w:t>
      </w:r>
      <w:r w:rsidR="00937AC5">
        <w:rPr>
          <w:rFonts w:ascii="Garamond" w:hAnsi="Garamond"/>
          <w:sz w:val="20"/>
          <w:szCs w:val="20"/>
          <w:lang w:val="en-US"/>
        </w:rPr>
        <w:t>g per strain</w:t>
      </w:r>
      <w:r w:rsidR="001E25A7">
        <w:rPr>
          <w:rFonts w:ascii="Garamond" w:hAnsi="Garamond"/>
          <w:sz w:val="20"/>
          <w:szCs w:val="20"/>
          <w:lang w:val="en-US"/>
        </w:rPr>
        <w:t xml:space="preserve"> </w:t>
      </w:r>
      <w:r w:rsidR="002B62DE" w:rsidRPr="007F6AB3">
        <w:rPr>
          <w:rFonts w:ascii="Garamond" w:hAnsi="Garamond"/>
          <w:sz w:val="20"/>
          <w:szCs w:val="20"/>
          <w:lang w:val="en-US"/>
        </w:rPr>
        <w:t>vs high</w:t>
      </w:r>
      <w:r w:rsidR="00937AC5">
        <w:rPr>
          <w:rFonts w:ascii="Garamond" w:hAnsi="Garamond"/>
          <w:sz w:val="20"/>
          <w:szCs w:val="20"/>
          <w:lang w:val="en-US"/>
        </w:rPr>
        <w:t xml:space="preserve"> </w:t>
      </w:r>
      <w:r w:rsidR="002B62DE" w:rsidRPr="007F6AB3">
        <w:rPr>
          <w:rFonts w:ascii="Garamond" w:hAnsi="Garamond"/>
          <w:sz w:val="20"/>
          <w:szCs w:val="20"/>
          <w:lang w:val="en-US"/>
        </w:rPr>
        <w:t>dose</w:t>
      </w:r>
      <w:r w:rsidR="00937AC5">
        <w:rPr>
          <w:rFonts w:ascii="Garamond" w:hAnsi="Garamond"/>
          <w:sz w:val="20"/>
          <w:szCs w:val="20"/>
          <w:lang w:val="en-US"/>
        </w:rPr>
        <w:t xml:space="preserve"> of 60 </w:t>
      </w:r>
      <w:r w:rsidR="00937AC5" w:rsidRPr="0066725A">
        <w:rPr>
          <w:rFonts w:ascii="Garamond" w:hAnsi="Garamond"/>
          <w:i/>
          <w:sz w:val="20"/>
          <w:szCs w:val="20"/>
          <w:lang w:val="en-US"/>
        </w:rPr>
        <w:t>µ</w:t>
      </w:r>
      <w:r w:rsidR="00937AC5">
        <w:rPr>
          <w:rFonts w:ascii="Garamond" w:hAnsi="Garamond"/>
          <w:sz w:val="20"/>
          <w:szCs w:val="20"/>
          <w:lang w:val="en-US"/>
        </w:rPr>
        <w:t>g per strain</w:t>
      </w:r>
      <w:r w:rsidR="002B62DE" w:rsidRPr="007F6AB3">
        <w:rPr>
          <w:rFonts w:ascii="Garamond" w:hAnsi="Garamond"/>
          <w:sz w:val="20"/>
          <w:szCs w:val="20"/>
          <w:lang w:val="en-US"/>
        </w:rPr>
        <w:t>) and presence or absence of adjuvants.</w:t>
      </w:r>
      <w:r w:rsidR="00600B1E" w:rsidRPr="007F6AB3">
        <w:rPr>
          <w:rFonts w:ascii="Garamond" w:hAnsi="Garamond"/>
          <w:sz w:val="20"/>
          <w:szCs w:val="20"/>
          <w:lang w:val="en-US"/>
        </w:rPr>
        <w:t xml:space="preserve"> </w:t>
      </w:r>
      <w:r w:rsidR="00515215" w:rsidRPr="007F6AB3">
        <w:rPr>
          <w:rFonts w:ascii="Garamond" w:hAnsi="Garamond"/>
          <w:sz w:val="20"/>
          <w:szCs w:val="20"/>
          <w:lang w:val="en-US"/>
        </w:rPr>
        <w:t xml:space="preserve">In the United States </w:t>
      </w:r>
      <w:r w:rsidR="00414842" w:rsidRPr="007F6AB3">
        <w:rPr>
          <w:rFonts w:ascii="Garamond" w:hAnsi="Garamond"/>
          <w:sz w:val="20"/>
          <w:szCs w:val="20"/>
          <w:lang w:val="en-US"/>
        </w:rPr>
        <w:t>(US)</w:t>
      </w:r>
      <w:r w:rsidR="00F22C4A" w:rsidRPr="00F22C4A">
        <w:rPr>
          <w:rFonts w:ascii="Garamond" w:hAnsi="Garamond"/>
          <w:sz w:val="20"/>
          <w:szCs w:val="20"/>
          <w:vertAlign w:val="superscript"/>
          <w:lang w:val="en-US"/>
        </w:rPr>
        <w:t xml:space="preserve"> </w:t>
      </w:r>
      <w:r w:rsidR="00F22C4A">
        <w:rPr>
          <w:rFonts w:ascii="Garamond" w:hAnsi="Garamond"/>
          <w:sz w:val="20"/>
          <w:szCs w:val="20"/>
          <w:vertAlign w:val="superscript"/>
          <w:lang w:val="en-US"/>
        </w:rPr>
        <w:t>3</w:t>
      </w:r>
      <w:r w:rsidR="00414842" w:rsidRPr="007F6AB3">
        <w:rPr>
          <w:rFonts w:ascii="Garamond" w:hAnsi="Garamond"/>
          <w:sz w:val="20"/>
          <w:szCs w:val="20"/>
          <w:lang w:val="en-US"/>
        </w:rPr>
        <w:t xml:space="preserve"> </w:t>
      </w:r>
      <w:r w:rsidR="00515215" w:rsidRPr="007F6AB3">
        <w:rPr>
          <w:rFonts w:ascii="Garamond" w:hAnsi="Garamond"/>
          <w:sz w:val="20"/>
          <w:szCs w:val="20"/>
          <w:lang w:val="en-US"/>
        </w:rPr>
        <w:t xml:space="preserve">and </w:t>
      </w:r>
      <w:r w:rsidR="00414842" w:rsidRPr="007F6AB3">
        <w:rPr>
          <w:rFonts w:ascii="Garamond" w:hAnsi="Garamond"/>
          <w:sz w:val="20"/>
          <w:szCs w:val="20"/>
          <w:lang w:val="en-US"/>
        </w:rPr>
        <w:t>most European countries like Italy</w:t>
      </w:r>
      <w:r w:rsidR="006962FA" w:rsidRPr="007F6AB3">
        <w:rPr>
          <w:rFonts w:ascii="Garamond" w:hAnsi="Garamond"/>
          <w:sz w:val="20"/>
          <w:szCs w:val="20"/>
          <w:lang w:val="en-US"/>
        </w:rPr>
        <w:t>,</w:t>
      </w:r>
      <w:r w:rsidR="00F22C4A">
        <w:rPr>
          <w:rFonts w:ascii="Garamond" w:hAnsi="Garamond"/>
          <w:sz w:val="20"/>
          <w:szCs w:val="20"/>
          <w:vertAlign w:val="superscript"/>
          <w:lang w:val="en-US"/>
        </w:rPr>
        <w:t>4</w:t>
      </w:r>
      <w:r w:rsidR="005C3EAE" w:rsidRPr="007F6AB3">
        <w:rPr>
          <w:rFonts w:ascii="Garamond" w:hAnsi="Garamond"/>
          <w:sz w:val="20"/>
          <w:szCs w:val="20"/>
          <w:lang w:val="en-US"/>
        </w:rPr>
        <w:t xml:space="preserve"> all the above-described SIVs are quadrivalent (QIV)</w:t>
      </w:r>
      <w:r w:rsidR="0035012B" w:rsidRPr="007F6AB3">
        <w:rPr>
          <w:rFonts w:ascii="Garamond" w:hAnsi="Garamond"/>
          <w:sz w:val="20"/>
          <w:szCs w:val="20"/>
          <w:lang w:val="en-US"/>
        </w:rPr>
        <w:t xml:space="preserve">, </w:t>
      </w:r>
      <w:r w:rsidR="00F03E93">
        <w:rPr>
          <w:rFonts w:ascii="Garamond" w:hAnsi="Garamond"/>
          <w:sz w:val="20"/>
          <w:szCs w:val="20"/>
          <w:lang w:val="en-US"/>
        </w:rPr>
        <w:t>containing</w:t>
      </w:r>
      <w:r w:rsidR="0035012B" w:rsidRPr="00A02A54">
        <w:rPr>
          <w:rFonts w:ascii="Garamond" w:hAnsi="Garamond"/>
          <w:sz w:val="20"/>
          <w:szCs w:val="20"/>
          <w:lang w:val="en-US"/>
        </w:rPr>
        <w:t xml:space="preserve"> </w:t>
      </w:r>
      <w:r w:rsidR="00DA4189" w:rsidRPr="00A02A54">
        <w:rPr>
          <w:rFonts w:ascii="Garamond" w:hAnsi="Garamond"/>
          <w:sz w:val="20"/>
          <w:szCs w:val="20"/>
          <w:lang w:val="en-US"/>
        </w:rPr>
        <w:t>two</w:t>
      </w:r>
      <w:r w:rsidR="00DA4189" w:rsidRPr="007F6AB3">
        <w:rPr>
          <w:rFonts w:ascii="Garamond" w:hAnsi="Garamond"/>
          <w:sz w:val="20"/>
          <w:szCs w:val="20"/>
          <w:lang w:val="en-US"/>
        </w:rPr>
        <w:t xml:space="preserve"> influenza A strains A</w:t>
      </w:r>
      <w:r w:rsidR="00615E74" w:rsidRPr="007F6AB3">
        <w:rPr>
          <w:rFonts w:ascii="Garamond" w:hAnsi="Garamond"/>
          <w:sz w:val="20"/>
          <w:szCs w:val="20"/>
          <w:lang w:val="en-US"/>
        </w:rPr>
        <w:t>(</w:t>
      </w:r>
      <w:r w:rsidR="00DA4189" w:rsidRPr="007F6AB3">
        <w:rPr>
          <w:rFonts w:ascii="Garamond" w:hAnsi="Garamond"/>
          <w:sz w:val="20"/>
          <w:szCs w:val="20"/>
          <w:lang w:val="en-US"/>
        </w:rPr>
        <w:t>H1N</w:t>
      </w:r>
      <w:proofErr w:type="gramStart"/>
      <w:r w:rsidR="00DA4189" w:rsidRPr="007F6AB3">
        <w:rPr>
          <w:rFonts w:ascii="Garamond" w:hAnsi="Garamond"/>
          <w:sz w:val="20"/>
          <w:szCs w:val="20"/>
          <w:lang w:val="en-US"/>
        </w:rPr>
        <w:t>1</w:t>
      </w:r>
      <w:r w:rsidR="00615E74" w:rsidRPr="007F6AB3">
        <w:rPr>
          <w:rFonts w:ascii="Garamond" w:hAnsi="Garamond"/>
          <w:sz w:val="20"/>
          <w:szCs w:val="20"/>
          <w:lang w:val="en-US"/>
        </w:rPr>
        <w:t>)pdm</w:t>
      </w:r>
      <w:proofErr w:type="gramEnd"/>
      <w:r w:rsidR="00615E74" w:rsidRPr="007F6AB3">
        <w:rPr>
          <w:rFonts w:ascii="Garamond" w:hAnsi="Garamond"/>
          <w:sz w:val="20"/>
          <w:szCs w:val="20"/>
          <w:lang w:val="en-US"/>
        </w:rPr>
        <w:t>09</w:t>
      </w:r>
      <w:r w:rsidR="00DA4189" w:rsidRPr="007F6AB3">
        <w:rPr>
          <w:rFonts w:ascii="Garamond" w:hAnsi="Garamond"/>
          <w:sz w:val="20"/>
          <w:szCs w:val="20"/>
          <w:lang w:val="en-US"/>
        </w:rPr>
        <w:t xml:space="preserve"> and</w:t>
      </w:r>
      <w:r w:rsidR="008A21E0" w:rsidRPr="007F6AB3">
        <w:rPr>
          <w:rFonts w:ascii="Garamond" w:hAnsi="Garamond"/>
          <w:sz w:val="20"/>
          <w:szCs w:val="20"/>
          <w:lang w:val="en-US"/>
        </w:rPr>
        <w:t xml:space="preserve"> </w:t>
      </w:r>
      <w:r w:rsidR="00615E74" w:rsidRPr="007F6AB3">
        <w:rPr>
          <w:rFonts w:ascii="Garamond" w:hAnsi="Garamond"/>
          <w:sz w:val="20"/>
          <w:szCs w:val="20"/>
          <w:lang w:val="en-US"/>
        </w:rPr>
        <w:t xml:space="preserve">A(H3N2) </w:t>
      </w:r>
      <w:r w:rsidR="00D25A44" w:rsidRPr="007F6AB3">
        <w:rPr>
          <w:rFonts w:ascii="Garamond" w:hAnsi="Garamond"/>
          <w:sz w:val="20"/>
          <w:szCs w:val="20"/>
          <w:lang w:val="en-US"/>
        </w:rPr>
        <w:t>and two B strains belonging to lineages Victoria and Yamagata.</w:t>
      </w:r>
      <w:r w:rsidR="00230BDC" w:rsidRPr="007F6AB3">
        <w:rPr>
          <w:rFonts w:ascii="Garamond" w:hAnsi="Garamond"/>
          <w:sz w:val="20"/>
          <w:szCs w:val="20"/>
          <w:lang w:val="en-US"/>
        </w:rPr>
        <w:t xml:space="preserve"> </w:t>
      </w:r>
      <w:r w:rsidR="00DB191B">
        <w:rPr>
          <w:rFonts w:ascii="Garamond" w:hAnsi="Garamond"/>
          <w:sz w:val="20"/>
          <w:szCs w:val="20"/>
          <w:lang w:val="en-US"/>
        </w:rPr>
        <w:t>W</w:t>
      </w:r>
      <w:r w:rsidR="00230BDC" w:rsidRPr="007F6AB3">
        <w:rPr>
          <w:rFonts w:ascii="Garamond" w:hAnsi="Garamond"/>
          <w:sz w:val="20"/>
          <w:szCs w:val="20"/>
          <w:lang w:val="en-US"/>
        </w:rPr>
        <w:t xml:space="preserve">hile most QIVs are still produced in eggs, </w:t>
      </w:r>
      <w:r w:rsidR="007E47C0" w:rsidRPr="007F6AB3">
        <w:rPr>
          <w:rFonts w:ascii="Garamond" w:hAnsi="Garamond"/>
          <w:sz w:val="20"/>
          <w:szCs w:val="20"/>
          <w:lang w:val="en-US"/>
        </w:rPr>
        <w:t xml:space="preserve">recent advances </w:t>
      </w:r>
      <w:r w:rsidR="00880EA2" w:rsidRPr="007F6AB3">
        <w:rPr>
          <w:rFonts w:ascii="Garamond" w:hAnsi="Garamond"/>
          <w:sz w:val="20"/>
          <w:szCs w:val="20"/>
          <w:lang w:val="en-US"/>
        </w:rPr>
        <w:t xml:space="preserve">have brought </w:t>
      </w:r>
      <w:r w:rsidR="00B33C25" w:rsidRPr="007F6AB3">
        <w:rPr>
          <w:rFonts w:ascii="Garamond" w:hAnsi="Garamond"/>
          <w:sz w:val="20"/>
          <w:szCs w:val="20"/>
          <w:lang w:val="en-US"/>
        </w:rPr>
        <w:t>alternative egg-free production platforms, such as cell culture and recombinant technologies.</w:t>
      </w:r>
      <w:r w:rsidR="00F22C4A">
        <w:rPr>
          <w:rFonts w:ascii="Garamond" w:hAnsi="Garamond"/>
          <w:sz w:val="20"/>
          <w:szCs w:val="20"/>
          <w:vertAlign w:val="superscript"/>
          <w:lang w:val="en-US"/>
        </w:rPr>
        <w:t>5</w:t>
      </w:r>
      <w:r w:rsidR="00303D92" w:rsidRPr="007F6AB3">
        <w:rPr>
          <w:rFonts w:ascii="Garamond" w:hAnsi="Garamond"/>
          <w:sz w:val="20"/>
          <w:szCs w:val="20"/>
          <w:lang w:val="en-US"/>
        </w:rPr>
        <w:t xml:space="preserve"> </w:t>
      </w:r>
      <w:r w:rsidR="000E58FB">
        <w:rPr>
          <w:rFonts w:ascii="Garamond" w:hAnsi="Garamond"/>
          <w:sz w:val="20"/>
          <w:szCs w:val="20"/>
          <w:lang w:val="en-US"/>
        </w:rPr>
        <w:t>Advantages of these technologies include a lack of reliance on large-scale</w:t>
      </w:r>
      <w:r w:rsidR="005309C3" w:rsidRPr="007F6AB3">
        <w:rPr>
          <w:rFonts w:ascii="Garamond" w:hAnsi="Garamond"/>
          <w:sz w:val="20"/>
          <w:szCs w:val="20"/>
          <w:lang w:val="en-US"/>
        </w:rPr>
        <w:t xml:space="preserve"> </w:t>
      </w:r>
      <w:r w:rsidR="0029664F" w:rsidRPr="007F6AB3">
        <w:rPr>
          <w:rFonts w:ascii="Garamond" w:hAnsi="Garamond"/>
          <w:sz w:val="20"/>
          <w:szCs w:val="20"/>
          <w:lang w:val="en-US"/>
        </w:rPr>
        <w:t>egg supply</w:t>
      </w:r>
      <w:r w:rsidR="005309C3" w:rsidRPr="007F6AB3">
        <w:rPr>
          <w:rFonts w:ascii="Garamond" w:hAnsi="Garamond"/>
          <w:sz w:val="20"/>
          <w:szCs w:val="20"/>
          <w:lang w:val="en-US"/>
        </w:rPr>
        <w:t>, scalab</w:t>
      </w:r>
      <w:r w:rsidR="000E58FB">
        <w:rPr>
          <w:rFonts w:ascii="Garamond" w:hAnsi="Garamond"/>
          <w:sz w:val="20"/>
          <w:szCs w:val="20"/>
          <w:lang w:val="en-US"/>
        </w:rPr>
        <w:t>ility</w:t>
      </w:r>
      <w:r w:rsidR="005309C3" w:rsidRPr="007F6AB3">
        <w:rPr>
          <w:rFonts w:ascii="Garamond" w:hAnsi="Garamond"/>
          <w:sz w:val="20"/>
          <w:szCs w:val="20"/>
          <w:lang w:val="en-US"/>
        </w:rPr>
        <w:t xml:space="preserve"> and </w:t>
      </w:r>
      <w:r w:rsidR="000E58FB">
        <w:rPr>
          <w:rFonts w:ascii="Garamond" w:hAnsi="Garamond"/>
          <w:sz w:val="20"/>
          <w:szCs w:val="20"/>
          <w:lang w:val="en-US"/>
        </w:rPr>
        <w:t xml:space="preserve">use of </w:t>
      </w:r>
      <w:r w:rsidR="004473DB" w:rsidRPr="007F6AB3">
        <w:rPr>
          <w:rFonts w:ascii="Garamond" w:hAnsi="Garamond"/>
          <w:sz w:val="20"/>
          <w:szCs w:val="20"/>
          <w:lang w:val="en-US"/>
        </w:rPr>
        <w:t>closed-system bioreactor manufacturing process</w:t>
      </w:r>
      <w:r w:rsidR="001E25A7">
        <w:rPr>
          <w:rFonts w:ascii="Garamond" w:hAnsi="Garamond"/>
          <w:sz w:val="20"/>
          <w:szCs w:val="20"/>
          <w:lang w:val="en-US"/>
        </w:rPr>
        <w:t>es</w:t>
      </w:r>
      <w:r w:rsidR="007305AA" w:rsidRPr="007F6AB3">
        <w:rPr>
          <w:rFonts w:ascii="Garamond" w:hAnsi="Garamond"/>
          <w:sz w:val="20"/>
          <w:szCs w:val="20"/>
          <w:lang w:val="en-US"/>
        </w:rPr>
        <w:t xml:space="preserve"> that reduce ri</w:t>
      </w:r>
      <w:r w:rsidR="00B6631D" w:rsidRPr="007F6AB3">
        <w:rPr>
          <w:rFonts w:ascii="Garamond" w:hAnsi="Garamond"/>
          <w:sz w:val="20"/>
          <w:szCs w:val="20"/>
          <w:lang w:val="en-US"/>
        </w:rPr>
        <w:t>s</w:t>
      </w:r>
      <w:r w:rsidR="007305AA" w:rsidRPr="007F6AB3">
        <w:rPr>
          <w:rFonts w:ascii="Garamond" w:hAnsi="Garamond"/>
          <w:sz w:val="20"/>
          <w:szCs w:val="20"/>
          <w:lang w:val="en-US"/>
        </w:rPr>
        <w:t>k of contamination</w:t>
      </w:r>
      <w:r w:rsidR="00294EE0" w:rsidRPr="007F6AB3">
        <w:rPr>
          <w:rFonts w:ascii="Garamond" w:hAnsi="Garamond"/>
          <w:sz w:val="20"/>
          <w:szCs w:val="20"/>
          <w:lang w:val="en-US"/>
        </w:rPr>
        <w:t>.</w:t>
      </w:r>
      <w:r w:rsidR="00F22C4A">
        <w:rPr>
          <w:rFonts w:ascii="Garamond" w:hAnsi="Garamond"/>
          <w:sz w:val="20"/>
          <w:szCs w:val="20"/>
          <w:vertAlign w:val="superscript"/>
          <w:lang w:val="en-US"/>
        </w:rPr>
        <w:t>6</w:t>
      </w:r>
      <w:r w:rsidR="00483E02" w:rsidRPr="007F6AB3">
        <w:rPr>
          <w:rFonts w:ascii="Garamond" w:hAnsi="Garamond"/>
          <w:sz w:val="20"/>
          <w:szCs w:val="20"/>
          <w:lang w:val="en-US"/>
        </w:rPr>
        <w:t xml:space="preserve"> </w:t>
      </w:r>
      <w:r w:rsidR="00B50852" w:rsidRPr="007F6AB3">
        <w:rPr>
          <w:rFonts w:ascii="Garamond" w:hAnsi="Garamond"/>
          <w:sz w:val="20"/>
          <w:szCs w:val="20"/>
          <w:lang w:val="en-US"/>
        </w:rPr>
        <w:t xml:space="preserve">However, the most important </w:t>
      </w:r>
      <w:r w:rsidR="00294EE0" w:rsidRPr="007F6AB3">
        <w:rPr>
          <w:rFonts w:ascii="Garamond" w:hAnsi="Garamond"/>
          <w:sz w:val="20"/>
          <w:szCs w:val="20"/>
          <w:lang w:val="en-US"/>
        </w:rPr>
        <w:t>benefit</w:t>
      </w:r>
      <w:r w:rsidR="00E87BA2" w:rsidRPr="007F6AB3">
        <w:rPr>
          <w:rFonts w:ascii="Garamond" w:hAnsi="Garamond"/>
          <w:sz w:val="20"/>
          <w:szCs w:val="20"/>
          <w:lang w:val="en-US"/>
        </w:rPr>
        <w:t xml:space="preserve"> of the cell-based SIVs </w:t>
      </w:r>
      <w:r w:rsidR="006030B6" w:rsidRPr="007F6AB3">
        <w:rPr>
          <w:rFonts w:ascii="Garamond" w:hAnsi="Garamond"/>
          <w:sz w:val="20"/>
          <w:szCs w:val="20"/>
          <w:lang w:val="en-US"/>
        </w:rPr>
        <w:t>is</w:t>
      </w:r>
      <w:r w:rsidR="00F87CD6" w:rsidRPr="007F6AB3">
        <w:rPr>
          <w:rFonts w:ascii="Garamond" w:hAnsi="Garamond"/>
          <w:sz w:val="20"/>
          <w:szCs w:val="20"/>
          <w:lang w:val="en-US"/>
        </w:rPr>
        <w:t xml:space="preserve"> the </w:t>
      </w:r>
      <w:r w:rsidR="00F20F31" w:rsidRPr="007F6AB3">
        <w:rPr>
          <w:rFonts w:ascii="Garamond" w:hAnsi="Garamond"/>
          <w:sz w:val="20"/>
          <w:szCs w:val="20"/>
          <w:lang w:val="en-US"/>
        </w:rPr>
        <w:t>prevention</w:t>
      </w:r>
      <w:r w:rsidR="00F87CD6" w:rsidRPr="007F6AB3">
        <w:rPr>
          <w:rFonts w:ascii="Garamond" w:hAnsi="Garamond"/>
          <w:sz w:val="20"/>
          <w:szCs w:val="20"/>
          <w:lang w:val="en-US"/>
        </w:rPr>
        <w:t xml:space="preserve"> of egg-adaptive mutations, which </w:t>
      </w:r>
      <w:r w:rsidR="000E58FB">
        <w:rPr>
          <w:rFonts w:ascii="Garamond" w:hAnsi="Garamond"/>
          <w:sz w:val="20"/>
          <w:szCs w:val="20"/>
          <w:lang w:val="en-US"/>
        </w:rPr>
        <w:t>can</w:t>
      </w:r>
      <w:r w:rsidR="000E58FB" w:rsidRPr="007F6AB3">
        <w:rPr>
          <w:rFonts w:ascii="Garamond" w:hAnsi="Garamond"/>
          <w:sz w:val="20"/>
          <w:szCs w:val="20"/>
          <w:lang w:val="en-US"/>
        </w:rPr>
        <w:t xml:space="preserve"> </w:t>
      </w:r>
      <w:r w:rsidR="002C0921" w:rsidRPr="007F6AB3">
        <w:rPr>
          <w:rFonts w:ascii="Garamond" w:hAnsi="Garamond"/>
          <w:sz w:val="20"/>
          <w:szCs w:val="20"/>
          <w:lang w:val="en-US"/>
        </w:rPr>
        <w:t>arise during serial egg passages</w:t>
      </w:r>
      <w:r w:rsidR="00A51B7B" w:rsidRPr="007F6AB3">
        <w:rPr>
          <w:rFonts w:ascii="Garamond" w:hAnsi="Garamond"/>
          <w:sz w:val="20"/>
          <w:szCs w:val="20"/>
          <w:lang w:val="en-US"/>
        </w:rPr>
        <w:t>.</w:t>
      </w:r>
      <w:r w:rsidR="00F22C4A">
        <w:rPr>
          <w:rFonts w:ascii="Garamond" w:hAnsi="Garamond"/>
          <w:sz w:val="20"/>
          <w:szCs w:val="20"/>
          <w:vertAlign w:val="superscript"/>
          <w:lang w:val="en-US"/>
        </w:rPr>
        <w:t>7</w:t>
      </w:r>
      <w:r w:rsidR="00A51B7B" w:rsidRPr="007F6AB3">
        <w:rPr>
          <w:rFonts w:ascii="Garamond" w:hAnsi="Garamond"/>
          <w:sz w:val="20"/>
          <w:szCs w:val="20"/>
          <w:lang w:val="en-US"/>
        </w:rPr>
        <w:t xml:space="preserve"> Egg-adaptive mutations</w:t>
      </w:r>
      <w:r w:rsidR="00F64F75" w:rsidRPr="007F6AB3">
        <w:rPr>
          <w:rFonts w:ascii="Garamond" w:hAnsi="Garamond"/>
          <w:sz w:val="20"/>
          <w:szCs w:val="20"/>
          <w:lang w:val="en-US"/>
        </w:rPr>
        <w:t xml:space="preserve"> </w:t>
      </w:r>
      <w:r w:rsidR="003F23A4" w:rsidRPr="007F6AB3">
        <w:rPr>
          <w:rFonts w:ascii="Garamond" w:hAnsi="Garamond"/>
          <w:sz w:val="20"/>
          <w:szCs w:val="20"/>
          <w:lang w:val="en-US"/>
        </w:rPr>
        <w:t>frequently</w:t>
      </w:r>
      <w:r w:rsidR="00FA27A6" w:rsidRPr="007F6AB3">
        <w:rPr>
          <w:rFonts w:ascii="Garamond" w:hAnsi="Garamond"/>
          <w:sz w:val="20"/>
          <w:szCs w:val="20"/>
          <w:lang w:val="en-US"/>
        </w:rPr>
        <w:t xml:space="preserve"> alter </w:t>
      </w:r>
      <w:r w:rsidR="003F23A4" w:rsidRPr="007F6AB3">
        <w:rPr>
          <w:rFonts w:ascii="Garamond" w:hAnsi="Garamond"/>
          <w:sz w:val="20"/>
          <w:szCs w:val="20"/>
          <w:lang w:val="en-US"/>
        </w:rPr>
        <w:t xml:space="preserve">vaccine </w:t>
      </w:r>
      <w:r w:rsidR="00FA27A6" w:rsidRPr="007F6AB3">
        <w:rPr>
          <w:rFonts w:ascii="Garamond" w:hAnsi="Garamond"/>
          <w:sz w:val="20"/>
          <w:szCs w:val="20"/>
          <w:lang w:val="en-US"/>
        </w:rPr>
        <w:t xml:space="preserve">antigenicity </w:t>
      </w:r>
      <w:r w:rsidR="004148B9" w:rsidRPr="007F6AB3">
        <w:rPr>
          <w:rFonts w:ascii="Garamond" w:hAnsi="Garamond"/>
          <w:sz w:val="20"/>
          <w:szCs w:val="20"/>
          <w:lang w:val="en-US"/>
        </w:rPr>
        <w:t>properties</w:t>
      </w:r>
      <w:r w:rsidR="00F22C4A">
        <w:rPr>
          <w:rFonts w:ascii="Garamond" w:hAnsi="Garamond"/>
          <w:sz w:val="20"/>
          <w:szCs w:val="20"/>
          <w:vertAlign w:val="superscript"/>
          <w:lang w:val="en-US"/>
        </w:rPr>
        <w:t>8</w:t>
      </w:r>
      <w:r w:rsidR="004148B9" w:rsidRPr="007F6AB3">
        <w:rPr>
          <w:rFonts w:ascii="Garamond" w:hAnsi="Garamond"/>
          <w:sz w:val="20"/>
          <w:szCs w:val="20"/>
          <w:lang w:val="en-US"/>
        </w:rPr>
        <w:t xml:space="preserve"> </w:t>
      </w:r>
      <w:r w:rsidR="00FA27A6" w:rsidRPr="007F6AB3">
        <w:rPr>
          <w:rFonts w:ascii="Garamond" w:hAnsi="Garamond"/>
          <w:sz w:val="20"/>
          <w:szCs w:val="20"/>
          <w:lang w:val="en-US"/>
        </w:rPr>
        <w:t xml:space="preserve">and </w:t>
      </w:r>
      <w:r w:rsidR="001820E1" w:rsidRPr="007F6AB3">
        <w:rPr>
          <w:rFonts w:ascii="Garamond" w:hAnsi="Garamond"/>
          <w:sz w:val="20"/>
          <w:szCs w:val="20"/>
          <w:lang w:val="en-US"/>
        </w:rPr>
        <w:t xml:space="preserve">have been </w:t>
      </w:r>
      <w:r w:rsidR="000E58FB">
        <w:rPr>
          <w:rFonts w:ascii="Garamond" w:hAnsi="Garamond"/>
          <w:sz w:val="20"/>
          <w:szCs w:val="20"/>
          <w:lang w:val="en-US"/>
        </w:rPr>
        <w:t xml:space="preserve">proposed </w:t>
      </w:r>
      <w:r w:rsidR="003C32EC" w:rsidRPr="007F6AB3">
        <w:rPr>
          <w:rFonts w:ascii="Garamond" w:hAnsi="Garamond"/>
          <w:sz w:val="20"/>
          <w:szCs w:val="20"/>
          <w:lang w:val="en-US"/>
        </w:rPr>
        <w:t>to be an important driver</w:t>
      </w:r>
      <w:r w:rsidR="004148B9" w:rsidRPr="007F6AB3">
        <w:rPr>
          <w:rFonts w:ascii="Garamond" w:hAnsi="Garamond"/>
          <w:sz w:val="20"/>
          <w:szCs w:val="20"/>
          <w:lang w:val="en-US"/>
        </w:rPr>
        <w:t xml:space="preserve"> o</w:t>
      </w:r>
      <w:r w:rsidR="008A401E" w:rsidRPr="007F6AB3">
        <w:rPr>
          <w:rFonts w:ascii="Garamond" w:hAnsi="Garamond"/>
          <w:sz w:val="20"/>
          <w:szCs w:val="20"/>
          <w:lang w:val="en-US"/>
        </w:rPr>
        <w:t xml:space="preserve">f the suboptimal </w:t>
      </w:r>
      <w:r w:rsidR="004148B9" w:rsidRPr="007F6AB3">
        <w:rPr>
          <w:rFonts w:ascii="Garamond" w:hAnsi="Garamond"/>
          <w:sz w:val="20"/>
          <w:szCs w:val="20"/>
          <w:lang w:val="en-US"/>
        </w:rPr>
        <w:t xml:space="preserve">SIV </w:t>
      </w:r>
      <w:r w:rsidR="008A401E" w:rsidRPr="007F6AB3">
        <w:rPr>
          <w:rFonts w:ascii="Garamond" w:hAnsi="Garamond"/>
          <w:sz w:val="20"/>
          <w:szCs w:val="20"/>
          <w:lang w:val="en-US"/>
        </w:rPr>
        <w:t>effectiveness</w:t>
      </w:r>
      <w:r w:rsidR="00937AC5">
        <w:rPr>
          <w:rFonts w:ascii="Garamond" w:hAnsi="Garamond"/>
          <w:sz w:val="20"/>
          <w:szCs w:val="20"/>
          <w:lang w:val="en-US"/>
        </w:rPr>
        <w:t>, especially against influenza</w:t>
      </w:r>
      <w:r w:rsidR="008A401E" w:rsidRPr="007F6AB3">
        <w:rPr>
          <w:rFonts w:ascii="Garamond" w:hAnsi="Garamond"/>
          <w:sz w:val="20"/>
          <w:szCs w:val="20"/>
          <w:lang w:val="en-US"/>
        </w:rPr>
        <w:t xml:space="preserve"> A(H3N2)</w:t>
      </w:r>
      <w:r w:rsidR="0055650B" w:rsidRPr="007F6AB3">
        <w:rPr>
          <w:rFonts w:ascii="Garamond" w:hAnsi="Garamond"/>
          <w:sz w:val="20"/>
          <w:szCs w:val="20"/>
          <w:lang w:val="en-US"/>
        </w:rPr>
        <w:t>.</w:t>
      </w:r>
      <w:r w:rsidR="00F22C4A">
        <w:rPr>
          <w:rFonts w:ascii="Garamond" w:hAnsi="Garamond"/>
          <w:sz w:val="20"/>
          <w:szCs w:val="20"/>
          <w:vertAlign w:val="superscript"/>
          <w:lang w:val="en-US"/>
        </w:rPr>
        <w:t>8,9</w:t>
      </w:r>
      <w:r w:rsidR="003F23A4" w:rsidRPr="007F6AB3">
        <w:rPr>
          <w:rFonts w:ascii="Garamond" w:hAnsi="Garamond"/>
          <w:sz w:val="20"/>
          <w:szCs w:val="20"/>
          <w:lang w:val="en-US"/>
        </w:rPr>
        <w:t xml:space="preserve"> </w:t>
      </w:r>
      <w:r w:rsidR="00DB191B">
        <w:rPr>
          <w:rFonts w:ascii="Garamond" w:hAnsi="Garamond"/>
          <w:sz w:val="20"/>
          <w:szCs w:val="20"/>
          <w:lang w:val="en-US"/>
        </w:rPr>
        <w:t>T</w:t>
      </w:r>
      <w:r w:rsidR="006072B7" w:rsidRPr="007F6AB3">
        <w:rPr>
          <w:rFonts w:ascii="Garamond" w:hAnsi="Garamond"/>
          <w:sz w:val="20"/>
          <w:szCs w:val="20"/>
          <w:lang w:val="en-US"/>
        </w:rPr>
        <w:t>he available systematic evidence suggests</w:t>
      </w:r>
      <w:r w:rsidR="00F22C4A" w:rsidRPr="00F22C4A">
        <w:rPr>
          <w:rFonts w:ascii="Garamond" w:hAnsi="Garamond"/>
          <w:sz w:val="20"/>
          <w:szCs w:val="20"/>
          <w:vertAlign w:val="superscript"/>
          <w:lang w:val="en-US"/>
        </w:rPr>
        <w:t>1</w:t>
      </w:r>
      <w:r w:rsidR="00F22C4A">
        <w:rPr>
          <w:rFonts w:ascii="Garamond" w:hAnsi="Garamond"/>
          <w:sz w:val="20"/>
          <w:szCs w:val="20"/>
          <w:vertAlign w:val="superscript"/>
          <w:lang w:val="en-US"/>
        </w:rPr>
        <w:t>0</w:t>
      </w:r>
      <w:r w:rsidR="006072B7" w:rsidRPr="007F6AB3">
        <w:rPr>
          <w:rFonts w:ascii="Garamond" w:hAnsi="Garamond"/>
          <w:sz w:val="20"/>
          <w:szCs w:val="20"/>
          <w:lang w:val="en-US"/>
        </w:rPr>
        <w:t xml:space="preserve"> that</w:t>
      </w:r>
      <w:r w:rsidR="00F4410F" w:rsidRPr="007F6AB3">
        <w:rPr>
          <w:rFonts w:ascii="Garamond" w:hAnsi="Garamond"/>
          <w:sz w:val="20"/>
          <w:szCs w:val="20"/>
          <w:lang w:val="en-US"/>
        </w:rPr>
        <w:t xml:space="preserve"> in some season</w:t>
      </w:r>
      <w:r w:rsidR="00937AC5">
        <w:rPr>
          <w:rFonts w:ascii="Garamond" w:hAnsi="Garamond"/>
          <w:sz w:val="20"/>
          <w:szCs w:val="20"/>
          <w:lang w:val="en-US"/>
        </w:rPr>
        <w:t>s</w:t>
      </w:r>
      <w:r w:rsidR="00F4410F" w:rsidRPr="007F6AB3">
        <w:rPr>
          <w:rFonts w:ascii="Garamond" w:hAnsi="Garamond"/>
          <w:sz w:val="20"/>
          <w:szCs w:val="20"/>
          <w:lang w:val="en-US"/>
        </w:rPr>
        <w:t xml:space="preserve"> cell-based </w:t>
      </w:r>
      <w:r w:rsidR="00937AC5">
        <w:rPr>
          <w:rFonts w:ascii="Garamond" w:hAnsi="Garamond"/>
          <w:sz w:val="20"/>
          <w:szCs w:val="20"/>
          <w:lang w:val="en-US"/>
        </w:rPr>
        <w:t>Q</w:t>
      </w:r>
      <w:r w:rsidR="00F4410F" w:rsidRPr="007F6AB3">
        <w:rPr>
          <w:rFonts w:ascii="Garamond" w:hAnsi="Garamond"/>
          <w:sz w:val="20"/>
          <w:szCs w:val="20"/>
          <w:lang w:val="en-US"/>
        </w:rPr>
        <w:t xml:space="preserve">IVs may be more effective than egg-based </w:t>
      </w:r>
      <w:r w:rsidR="00937AC5">
        <w:rPr>
          <w:rFonts w:ascii="Garamond" w:hAnsi="Garamond"/>
          <w:sz w:val="20"/>
          <w:szCs w:val="20"/>
          <w:lang w:val="en-US"/>
        </w:rPr>
        <w:t>Q</w:t>
      </w:r>
      <w:r w:rsidR="00F4410F" w:rsidRPr="007F6AB3">
        <w:rPr>
          <w:rFonts w:ascii="Garamond" w:hAnsi="Garamond"/>
          <w:sz w:val="20"/>
          <w:szCs w:val="20"/>
          <w:lang w:val="en-US"/>
        </w:rPr>
        <w:t>IVs.</w:t>
      </w:r>
    </w:p>
    <w:p w14:paraId="4D4AAEA5" w14:textId="0E30D77E" w:rsidR="001225C9" w:rsidRPr="007F6AB3" w:rsidRDefault="00243126" w:rsidP="00811515">
      <w:pPr>
        <w:spacing w:after="0" w:line="360" w:lineRule="auto"/>
        <w:jc w:val="both"/>
        <w:rPr>
          <w:rFonts w:ascii="Garamond" w:hAnsi="Garamond"/>
          <w:sz w:val="20"/>
          <w:szCs w:val="20"/>
          <w:lang w:val="en-US"/>
        </w:rPr>
      </w:pPr>
      <w:r w:rsidRPr="007F6AB3">
        <w:rPr>
          <w:rFonts w:ascii="Garamond" w:hAnsi="Garamond"/>
          <w:sz w:val="20"/>
          <w:szCs w:val="20"/>
          <w:lang w:val="en-US"/>
        </w:rPr>
        <w:t xml:space="preserve">Contrary to other pharmaceuticals, vaccines are mostly given to </w:t>
      </w:r>
      <w:r w:rsidR="0076730F" w:rsidRPr="007F6AB3">
        <w:rPr>
          <w:rFonts w:ascii="Garamond" w:hAnsi="Garamond"/>
          <w:sz w:val="20"/>
          <w:szCs w:val="20"/>
          <w:lang w:val="en-US"/>
        </w:rPr>
        <w:t xml:space="preserve">large numbers of </w:t>
      </w:r>
      <w:r w:rsidRPr="007F6AB3">
        <w:rPr>
          <w:rFonts w:ascii="Garamond" w:hAnsi="Garamond"/>
          <w:sz w:val="20"/>
          <w:szCs w:val="20"/>
          <w:lang w:val="en-US"/>
        </w:rPr>
        <w:t xml:space="preserve">healthy </w:t>
      </w:r>
      <w:r w:rsidR="0076730F" w:rsidRPr="007F6AB3">
        <w:rPr>
          <w:rFonts w:ascii="Garamond" w:hAnsi="Garamond"/>
          <w:sz w:val="20"/>
          <w:szCs w:val="20"/>
          <w:lang w:val="en-US"/>
        </w:rPr>
        <w:t>individuals</w:t>
      </w:r>
      <w:r w:rsidRPr="007F6AB3">
        <w:rPr>
          <w:rFonts w:ascii="Garamond" w:hAnsi="Garamond"/>
          <w:sz w:val="20"/>
          <w:szCs w:val="20"/>
          <w:lang w:val="en-US"/>
        </w:rPr>
        <w:t xml:space="preserve"> and</w:t>
      </w:r>
      <w:r w:rsidR="00481847" w:rsidRPr="007F6AB3">
        <w:rPr>
          <w:rFonts w:ascii="Garamond" w:hAnsi="Garamond"/>
          <w:sz w:val="20"/>
          <w:szCs w:val="20"/>
          <w:lang w:val="en-US"/>
        </w:rPr>
        <w:t xml:space="preserve"> therefore </w:t>
      </w:r>
      <w:r w:rsidR="001225C9" w:rsidRPr="007F6AB3">
        <w:rPr>
          <w:rFonts w:ascii="Garamond" w:hAnsi="Garamond"/>
          <w:sz w:val="20"/>
          <w:szCs w:val="20"/>
          <w:lang w:val="en-US"/>
        </w:rPr>
        <w:t>continuous post-marketing monitoring of their safety is essential.</w:t>
      </w:r>
      <w:r w:rsidR="00F22C4A" w:rsidRPr="00F22C4A">
        <w:rPr>
          <w:rFonts w:ascii="Garamond" w:hAnsi="Garamond"/>
          <w:sz w:val="20"/>
          <w:szCs w:val="20"/>
          <w:vertAlign w:val="superscript"/>
          <w:lang w:val="en-US"/>
        </w:rPr>
        <w:t>1</w:t>
      </w:r>
      <w:r w:rsidR="00F22C4A">
        <w:rPr>
          <w:rFonts w:ascii="Garamond" w:hAnsi="Garamond"/>
          <w:sz w:val="20"/>
          <w:szCs w:val="20"/>
          <w:vertAlign w:val="superscript"/>
          <w:lang w:val="en-US"/>
        </w:rPr>
        <w:t>1</w:t>
      </w:r>
      <w:r w:rsidR="003A23F2" w:rsidRPr="007F6AB3">
        <w:rPr>
          <w:rFonts w:ascii="Garamond" w:hAnsi="Garamond"/>
          <w:sz w:val="20"/>
          <w:szCs w:val="20"/>
          <w:lang w:val="en-US"/>
        </w:rPr>
        <w:t xml:space="preserve"> SIVs </w:t>
      </w:r>
      <w:r w:rsidR="00280CE2">
        <w:rPr>
          <w:rFonts w:ascii="Garamond" w:hAnsi="Garamond"/>
          <w:sz w:val="20"/>
          <w:szCs w:val="20"/>
          <w:lang w:val="en-US"/>
        </w:rPr>
        <w:t>have</w:t>
      </w:r>
      <w:r w:rsidR="005D18DF">
        <w:rPr>
          <w:rFonts w:ascii="Garamond" w:hAnsi="Garamond"/>
          <w:sz w:val="20"/>
          <w:szCs w:val="20"/>
          <w:lang w:val="en-US"/>
        </w:rPr>
        <w:t xml:space="preserve"> </w:t>
      </w:r>
      <w:r w:rsidR="00CA3C0B">
        <w:rPr>
          <w:rFonts w:ascii="Garamond" w:hAnsi="Garamond"/>
          <w:sz w:val="20"/>
          <w:szCs w:val="20"/>
          <w:lang w:val="en-US"/>
        </w:rPr>
        <w:t xml:space="preserve">at least </w:t>
      </w:r>
      <w:r w:rsidR="005D18DF">
        <w:rPr>
          <w:rFonts w:ascii="Garamond" w:hAnsi="Garamond"/>
          <w:sz w:val="20"/>
          <w:szCs w:val="20"/>
          <w:lang w:val="en-US"/>
        </w:rPr>
        <w:t xml:space="preserve">three </w:t>
      </w:r>
      <w:r w:rsidR="00280CE2">
        <w:rPr>
          <w:rFonts w:ascii="Garamond" w:hAnsi="Garamond"/>
          <w:sz w:val="20"/>
          <w:szCs w:val="20"/>
          <w:lang w:val="en-US"/>
        </w:rPr>
        <w:t xml:space="preserve">distinctive </w:t>
      </w:r>
      <w:r w:rsidR="005D18DF">
        <w:rPr>
          <w:rFonts w:ascii="Garamond" w:hAnsi="Garamond"/>
          <w:sz w:val="20"/>
          <w:szCs w:val="20"/>
          <w:lang w:val="en-US"/>
        </w:rPr>
        <w:t xml:space="preserve">features </w:t>
      </w:r>
      <w:r w:rsidR="000E58FB">
        <w:rPr>
          <w:rFonts w:ascii="Garamond" w:hAnsi="Garamond"/>
          <w:sz w:val="20"/>
          <w:szCs w:val="20"/>
          <w:lang w:val="en-US"/>
        </w:rPr>
        <w:t>compared to</w:t>
      </w:r>
      <w:r w:rsidR="00CE63E0" w:rsidRPr="007F6AB3">
        <w:rPr>
          <w:rFonts w:ascii="Garamond" w:hAnsi="Garamond"/>
          <w:sz w:val="20"/>
          <w:szCs w:val="20"/>
          <w:lang w:val="en-US"/>
        </w:rPr>
        <w:t xml:space="preserve"> other vaccines</w:t>
      </w:r>
      <w:r w:rsidR="00967135" w:rsidRPr="007F6AB3">
        <w:rPr>
          <w:rFonts w:ascii="Garamond" w:hAnsi="Garamond"/>
          <w:sz w:val="20"/>
          <w:szCs w:val="20"/>
          <w:lang w:val="en-US"/>
        </w:rPr>
        <w:t>: (</w:t>
      </w:r>
      <w:proofErr w:type="spellStart"/>
      <w:r w:rsidR="00967135" w:rsidRPr="007F6AB3">
        <w:rPr>
          <w:rFonts w:ascii="Garamond" w:hAnsi="Garamond"/>
          <w:sz w:val="20"/>
          <w:szCs w:val="20"/>
          <w:lang w:val="en-US"/>
        </w:rPr>
        <w:t>i</w:t>
      </w:r>
      <w:proofErr w:type="spellEnd"/>
      <w:r w:rsidR="00967135" w:rsidRPr="007F6AB3">
        <w:rPr>
          <w:rFonts w:ascii="Garamond" w:hAnsi="Garamond"/>
          <w:sz w:val="20"/>
          <w:szCs w:val="20"/>
          <w:lang w:val="en-US"/>
        </w:rPr>
        <w:t>)</w:t>
      </w:r>
      <w:r w:rsidR="00CE63E0" w:rsidRPr="007F6AB3">
        <w:rPr>
          <w:rFonts w:ascii="Garamond" w:hAnsi="Garamond"/>
          <w:sz w:val="20"/>
          <w:szCs w:val="20"/>
          <w:lang w:val="en-US"/>
        </w:rPr>
        <w:t xml:space="preserve"> </w:t>
      </w:r>
      <w:r w:rsidR="00115770" w:rsidRPr="0022617D">
        <w:rPr>
          <w:rFonts w:ascii="Garamond" w:hAnsi="Garamond"/>
          <w:sz w:val="20"/>
          <w:szCs w:val="20"/>
          <w:lang w:val="en-US"/>
        </w:rPr>
        <w:t xml:space="preserve">their formulation </w:t>
      </w:r>
      <w:r w:rsidR="00CA3C0B">
        <w:rPr>
          <w:rFonts w:ascii="Garamond" w:hAnsi="Garamond"/>
          <w:sz w:val="20"/>
          <w:szCs w:val="20"/>
          <w:lang w:val="en-US"/>
        </w:rPr>
        <w:t>may</w:t>
      </w:r>
      <w:r w:rsidR="000E58FB" w:rsidRPr="0001717C">
        <w:rPr>
          <w:rFonts w:ascii="Garamond" w:hAnsi="Garamond"/>
          <w:sz w:val="20"/>
          <w:szCs w:val="20"/>
          <w:lang w:val="en-US"/>
        </w:rPr>
        <w:t xml:space="preserve"> change </w:t>
      </w:r>
      <w:r w:rsidR="00151F3B" w:rsidRPr="0022617D">
        <w:rPr>
          <w:rFonts w:ascii="Garamond" w:hAnsi="Garamond"/>
          <w:sz w:val="20"/>
          <w:szCs w:val="20"/>
          <w:lang w:val="en-US"/>
        </w:rPr>
        <w:t>every season</w:t>
      </w:r>
      <w:r w:rsidR="005D18DF" w:rsidRPr="0022617D">
        <w:rPr>
          <w:rFonts w:ascii="Garamond" w:hAnsi="Garamond"/>
          <w:sz w:val="20"/>
          <w:szCs w:val="20"/>
          <w:lang w:val="en-US"/>
        </w:rPr>
        <w:t xml:space="preserve"> (</w:t>
      </w:r>
      <w:r w:rsidR="000E58FB" w:rsidRPr="0001717C">
        <w:rPr>
          <w:rFonts w:ascii="Garamond" w:hAnsi="Garamond"/>
          <w:sz w:val="20"/>
          <w:szCs w:val="20"/>
          <w:lang w:val="en-US"/>
        </w:rPr>
        <w:t xml:space="preserve">up to </w:t>
      </w:r>
      <w:r w:rsidR="005D18DF" w:rsidRPr="0022617D">
        <w:rPr>
          <w:rFonts w:ascii="Garamond" w:hAnsi="Garamond"/>
          <w:sz w:val="20"/>
          <w:szCs w:val="20"/>
          <w:lang w:val="en-US"/>
        </w:rPr>
        <w:t>twice a year)</w:t>
      </w:r>
      <w:r w:rsidR="000E58FB" w:rsidRPr="0001717C">
        <w:rPr>
          <w:rFonts w:ascii="Garamond" w:hAnsi="Garamond"/>
          <w:sz w:val="20"/>
          <w:szCs w:val="20"/>
          <w:lang w:val="en-US"/>
        </w:rPr>
        <w:t xml:space="preserve"> </w:t>
      </w:r>
      <w:r w:rsidR="005A5491" w:rsidRPr="0022617D">
        <w:rPr>
          <w:rFonts w:ascii="Garamond" w:hAnsi="Garamond"/>
          <w:sz w:val="20"/>
          <w:szCs w:val="20"/>
          <w:lang w:val="en-US"/>
        </w:rPr>
        <w:t xml:space="preserve">to keep </w:t>
      </w:r>
      <w:r w:rsidR="000E58FB" w:rsidRPr="0022617D">
        <w:rPr>
          <w:rFonts w:ascii="Garamond" w:hAnsi="Garamond"/>
          <w:sz w:val="20"/>
          <w:szCs w:val="20"/>
          <w:lang w:val="en-US"/>
        </w:rPr>
        <w:t>pa</w:t>
      </w:r>
      <w:r w:rsidR="000E58FB" w:rsidRPr="0001717C">
        <w:rPr>
          <w:rFonts w:ascii="Garamond" w:hAnsi="Garamond"/>
          <w:sz w:val="20"/>
          <w:szCs w:val="20"/>
          <w:lang w:val="en-US"/>
        </w:rPr>
        <w:t>ce</w:t>
      </w:r>
      <w:r w:rsidR="000E58FB" w:rsidRPr="0022617D">
        <w:rPr>
          <w:rFonts w:ascii="Garamond" w:hAnsi="Garamond"/>
          <w:sz w:val="20"/>
          <w:szCs w:val="20"/>
          <w:lang w:val="en-US"/>
        </w:rPr>
        <w:t xml:space="preserve"> </w:t>
      </w:r>
      <w:r w:rsidR="005A5491" w:rsidRPr="0022617D">
        <w:rPr>
          <w:rFonts w:ascii="Garamond" w:hAnsi="Garamond"/>
          <w:sz w:val="20"/>
          <w:szCs w:val="20"/>
          <w:lang w:val="en-US"/>
        </w:rPr>
        <w:t xml:space="preserve">with </w:t>
      </w:r>
      <w:r w:rsidR="00967135" w:rsidRPr="0022617D">
        <w:rPr>
          <w:rFonts w:ascii="Garamond" w:hAnsi="Garamond"/>
          <w:sz w:val="20"/>
          <w:szCs w:val="20"/>
          <w:lang w:val="en-US"/>
        </w:rPr>
        <w:t xml:space="preserve">the </w:t>
      </w:r>
      <w:r w:rsidR="005A5491" w:rsidRPr="0022617D">
        <w:rPr>
          <w:rFonts w:ascii="Garamond" w:hAnsi="Garamond"/>
          <w:sz w:val="20"/>
          <w:szCs w:val="20"/>
          <w:lang w:val="en-US"/>
        </w:rPr>
        <w:t xml:space="preserve">evolving virus </w:t>
      </w:r>
      <w:r w:rsidR="00967135" w:rsidRPr="0022617D">
        <w:rPr>
          <w:rFonts w:ascii="Garamond" w:hAnsi="Garamond"/>
          <w:sz w:val="20"/>
          <w:szCs w:val="20"/>
          <w:lang w:val="en-US"/>
        </w:rPr>
        <w:t>population</w:t>
      </w:r>
      <w:r w:rsidR="00CA3C0B">
        <w:rPr>
          <w:rFonts w:ascii="Garamond" w:hAnsi="Garamond"/>
          <w:sz w:val="20"/>
          <w:szCs w:val="20"/>
          <w:lang w:val="en-US"/>
        </w:rPr>
        <w:t>;</w:t>
      </w:r>
      <w:r w:rsidR="00D30E2F" w:rsidRPr="007F6AB3">
        <w:rPr>
          <w:rFonts w:ascii="Garamond" w:hAnsi="Garamond"/>
          <w:sz w:val="20"/>
          <w:szCs w:val="20"/>
          <w:lang w:val="en-US"/>
        </w:rPr>
        <w:t xml:space="preserve"> </w:t>
      </w:r>
      <w:r w:rsidR="00967135" w:rsidRPr="007F6AB3">
        <w:rPr>
          <w:rFonts w:ascii="Garamond" w:hAnsi="Garamond"/>
          <w:sz w:val="20"/>
          <w:szCs w:val="20"/>
          <w:lang w:val="en-US"/>
        </w:rPr>
        <w:t xml:space="preserve">(ii) </w:t>
      </w:r>
      <w:r w:rsidR="00516BE4" w:rsidRPr="007F6AB3">
        <w:rPr>
          <w:rFonts w:ascii="Garamond" w:hAnsi="Garamond"/>
          <w:sz w:val="20"/>
          <w:szCs w:val="20"/>
          <w:lang w:val="en-US"/>
        </w:rPr>
        <w:t xml:space="preserve">SIV campaigns </w:t>
      </w:r>
      <w:r w:rsidR="00621149" w:rsidRPr="007F6AB3">
        <w:rPr>
          <w:rFonts w:ascii="Garamond" w:hAnsi="Garamond"/>
          <w:sz w:val="20"/>
          <w:szCs w:val="20"/>
          <w:lang w:val="en-US"/>
        </w:rPr>
        <w:t>take place</w:t>
      </w:r>
      <w:r w:rsidR="00516BE4" w:rsidRPr="007F6AB3">
        <w:rPr>
          <w:rFonts w:ascii="Garamond" w:hAnsi="Garamond"/>
          <w:sz w:val="20"/>
          <w:szCs w:val="20"/>
          <w:lang w:val="en-US"/>
        </w:rPr>
        <w:t xml:space="preserve"> </w:t>
      </w:r>
      <w:r w:rsidR="00621149" w:rsidRPr="007F6AB3">
        <w:rPr>
          <w:rFonts w:ascii="Garamond" w:hAnsi="Garamond"/>
          <w:sz w:val="20"/>
          <w:szCs w:val="20"/>
          <w:lang w:val="en-US"/>
        </w:rPr>
        <w:t>in a well-defined and relatively short time window</w:t>
      </w:r>
      <w:r w:rsidR="00F22C4A" w:rsidRPr="00F22C4A">
        <w:rPr>
          <w:rFonts w:ascii="Garamond" w:hAnsi="Garamond"/>
          <w:sz w:val="20"/>
          <w:szCs w:val="20"/>
          <w:vertAlign w:val="superscript"/>
          <w:lang w:val="en-US"/>
        </w:rPr>
        <w:t>1</w:t>
      </w:r>
      <w:r w:rsidR="00F22C4A">
        <w:rPr>
          <w:rFonts w:ascii="Garamond" w:hAnsi="Garamond"/>
          <w:sz w:val="20"/>
          <w:szCs w:val="20"/>
          <w:vertAlign w:val="superscript"/>
          <w:lang w:val="en-US"/>
        </w:rPr>
        <w:t>2</w:t>
      </w:r>
      <w:r w:rsidR="0028015F" w:rsidRPr="007F6AB3">
        <w:rPr>
          <w:rFonts w:ascii="Garamond" w:hAnsi="Garamond"/>
          <w:sz w:val="20"/>
          <w:szCs w:val="20"/>
          <w:lang w:val="en-US"/>
        </w:rPr>
        <w:t xml:space="preserve"> </w:t>
      </w:r>
      <w:r w:rsidR="00D30E2F" w:rsidRPr="007F6AB3">
        <w:rPr>
          <w:rFonts w:ascii="Garamond" w:hAnsi="Garamond"/>
          <w:sz w:val="20"/>
          <w:szCs w:val="20"/>
          <w:lang w:val="en-US"/>
        </w:rPr>
        <w:t xml:space="preserve">and </w:t>
      </w:r>
      <w:r w:rsidR="00CE6311" w:rsidRPr="007F6AB3">
        <w:rPr>
          <w:rFonts w:ascii="Garamond" w:hAnsi="Garamond"/>
          <w:sz w:val="20"/>
          <w:szCs w:val="20"/>
          <w:lang w:val="en-US"/>
        </w:rPr>
        <w:t xml:space="preserve">(iii) </w:t>
      </w:r>
      <w:r w:rsidR="000E58FB">
        <w:rPr>
          <w:rFonts w:ascii="Garamond" w:hAnsi="Garamond"/>
          <w:sz w:val="20"/>
          <w:szCs w:val="20"/>
          <w:lang w:val="en-US"/>
        </w:rPr>
        <w:t>availability</w:t>
      </w:r>
      <w:r w:rsidR="005E295D" w:rsidRPr="007F6AB3">
        <w:rPr>
          <w:rFonts w:ascii="Garamond" w:hAnsi="Garamond"/>
          <w:sz w:val="20"/>
          <w:szCs w:val="20"/>
          <w:lang w:val="en-US"/>
        </w:rPr>
        <w:t xml:space="preserve"> of several SIV brands</w:t>
      </w:r>
      <w:r w:rsidR="00777EBA">
        <w:rPr>
          <w:rFonts w:ascii="Garamond" w:hAnsi="Garamond"/>
          <w:sz w:val="20"/>
          <w:szCs w:val="20"/>
          <w:vertAlign w:val="superscript"/>
          <w:lang w:val="en-US"/>
        </w:rPr>
        <w:t>3,4</w:t>
      </w:r>
      <w:r w:rsidR="000E58FB">
        <w:rPr>
          <w:rFonts w:ascii="Garamond" w:hAnsi="Garamond"/>
          <w:sz w:val="20"/>
          <w:szCs w:val="20"/>
          <w:lang w:val="en-US"/>
        </w:rPr>
        <w:t xml:space="preserve"> utilizing different manufacturing technologies</w:t>
      </w:r>
      <w:r w:rsidR="003324D7" w:rsidRPr="007F6AB3">
        <w:rPr>
          <w:rFonts w:ascii="Garamond" w:hAnsi="Garamond"/>
          <w:sz w:val="20"/>
          <w:szCs w:val="20"/>
          <w:lang w:val="en-US"/>
        </w:rPr>
        <w:t>, which may have different safety profiles</w:t>
      </w:r>
      <w:r w:rsidR="00621149" w:rsidRPr="007F6AB3">
        <w:rPr>
          <w:rFonts w:ascii="Garamond" w:hAnsi="Garamond"/>
          <w:sz w:val="20"/>
          <w:szCs w:val="20"/>
          <w:lang w:val="en-US"/>
        </w:rPr>
        <w:t>.</w:t>
      </w:r>
      <w:r w:rsidR="00F22C4A" w:rsidRPr="00F22C4A">
        <w:rPr>
          <w:rFonts w:ascii="Garamond" w:hAnsi="Garamond"/>
          <w:sz w:val="20"/>
          <w:szCs w:val="20"/>
          <w:vertAlign w:val="superscript"/>
          <w:lang w:val="en-US"/>
        </w:rPr>
        <w:t>1</w:t>
      </w:r>
      <w:r w:rsidR="00F22C4A">
        <w:rPr>
          <w:rFonts w:ascii="Garamond" w:hAnsi="Garamond"/>
          <w:sz w:val="20"/>
          <w:szCs w:val="20"/>
          <w:vertAlign w:val="superscript"/>
          <w:lang w:val="en-US"/>
        </w:rPr>
        <w:t>3</w:t>
      </w:r>
      <w:r w:rsidR="00441958" w:rsidRPr="007F6AB3">
        <w:rPr>
          <w:rFonts w:ascii="Garamond" w:hAnsi="Garamond"/>
          <w:sz w:val="20"/>
          <w:szCs w:val="20"/>
          <w:lang w:val="en-US"/>
        </w:rPr>
        <w:t xml:space="preserve"> These </w:t>
      </w:r>
      <w:r w:rsidR="00AA7459" w:rsidRPr="007F6AB3">
        <w:rPr>
          <w:rFonts w:ascii="Garamond" w:hAnsi="Garamond"/>
          <w:sz w:val="20"/>
          <w:szCs w:val="20"/>
          <w:lang w:val="en-US"/>
        </w:rPr>
        <w:t>aspects</w:t>
      </w:r>
      <w:r w:rsidR="00441958" w:rsidRPr="007F6AB3">
        <w:rPr>
          <w:rFonts w:ascii="Garamond" w:hAnsi="Garamond"/>
          <w:sz w:val="20"/>
          <w:szCs w:val="20"/>
          <w:lang w:val="en-US"/>
        </w:rPr>
        <w:t xml:space="preserve"> further </w:t>
      </w:r>
      <w:r w:rsidR="00CC112E" w:rsidRPr="007F6AB3">
        <w:rPr>
          <w:rFonts w:ascii="Garamond" w:hAnsi="Garamond"/>
          <w:sz w:val="20"/>
          <w:szCs w:val="20"/>
          <w:lang w:val="en-US"/>
        </w:rPr>
        <w:t xml:space="preserve">enhance the </w:t>
      </w:r>
      <w:r w:rsidR="000E58FB">
        <w:rPr>
          <w:rFonts w:ascii="Garamond" w:hAnsi="Garamond"/>
          <w:sz w:val="20"/>
          <w:szCs w:val="20"/>
          <w:lang w:val="en-US"/>
        </w:rPr>
        <w:t>need for</w:t>
      </w:r>
      <w:r w:rsidR="00891B4A" w:rsidRPr="007F6AB3">
        <w:rPr>
          <w:rFonts w:ascii="Garamond" w:hAnsi="Garamond"/>
          <w:sz w:val="20"/>
          <w:szCs w:val="20"/>
          <w:lang w:val="en-US"/>
        </w:rPr>
        <w:t xml:space="preserve"> near-real-time safety surveillance activities </w:t>
      </w:r>
      <w:r w:rsidR="000E58FB">
        <w:rPr>
          <w:rFonts w:ascii="Garamond" w:hAnsi="Garamond"/>
          <w:sz w:val="20"/>
          <w:szCs w:val="20"/>
          <w:lang w:val="en-US"/>
        </w:rPr>
        <w:t xml:space="preserve">to be </w:t>
      </w:r>
      <w:r w:rsidR="00891B4A" w:rsidRPr="007F6AB3">
        <w:rPr>
          <w:rFonts w:ascii="Garamond" w:hAnsi="Garamond"/>
          <w:sz w:val="20"/>
          <w:szCs w:val="20"/>
          <w:lang w:val="en-US"/>
        </w:rPr>
        <w:t xml:space="preserve">able to </w:t>
      </w:r>
      <w:r w:rsidR="00D8646E" w:rsidRPr="007F6AB3">
        <w:rPr>
          <w:rFonts w:ascii="Garamond" w:hAnsi="Garamond"/>
          <w:sz w:val="20"/>
          <w:szCs w:val="20"/>
          <w:lang w:val="en-US"/>
        </w:rPr>
        <w:t>rapidly</w:t>
      </w:r>
      <w:r w:rsidR="00743087" w:rsidRPr="007F6AB3">
        <w:rPr>
          <w:rFonts w:ascii="Garamond" w:hAnsi="Garamond"/>
          <w:sz w:val="20"/>
          <w:szCs w:val="20"/>
          <w:lang w:val="en-US"/>
        </w:rPr>
        <w:t xml:space="preserve"> identify </w:t>
      </w:r>
      <w:r w:rsidR="005A26EE" w:rsidRPr="007F6AB3">
        <w:rPr>
          <w:rFonts w:ascii="Garamond" w:hAnsi="Garamond"/>
          <w:sz w:val="20"/>
          <w:szCs w:val="20"/>
          <w:lang w:val="en-US"/>
        </w:rPr>
        <w:t>safety signals</w:t>
      </w:r>
      <w:r w:rsidR="00D8646E" w:rsidRPr="007F6AB3">
        <w:rPr>
          <w:rFonts w:ascii="Garamond" w:hAnsi="Garamond"/>
          <w:sz w:val="20"/>
          <w:szCs w:val="20"/>
          <w:lang w:val="en-US"/>
        </w:rPr>
        <w:t xml:space="preserve"> </w:t>
      </w:r>
      <w:r w:rsidR="00AC21F9" w:rsidRPr="007F6AB3">
        <w:rPr>
          <w:rFonts w:ascii="Garamond" w:hAnsi="Garamond"/>
          <w:sz w:val="20"/>
          <w:szCs w:val="20"/>
          <w:lang w:val="en-US"/>
        </w:rPr>
        <w:t xml:space="preserve">and </w:t>
      </w:r>
      <w:r w:rsidR="00D8646E" w:rsidRPr="007F6AB3">
        <w:rPr>
          <w:rFonts w:ascii="Garamond" w:hAnsi="Garamond"/>
          <w:sz w:val="20"/>
          <w:szCs w:val="20"/>
          <w:lang w:val="en-US"/>
        </w:rPr>
        <w:t xml:space="preserve">enable re-assessment of </w:t>
      </w:r>
      <w:r w:rsidR="00AC21F9" w:rsidRPr="007F6AB3">
        <w:rPr>
          <w:rFonts w:ascii="Garamond" w:hAnsi="Garamond"/>
          <w:sz w:val="20"/>
          <w:szCs w:val="20"/>
          <w:lang w:val="en-US"/>
        </w:rPr>
        <w:t>SIV</w:t>
      </w:r>
      <w:r w:rsidR="00D8646E" w:rsidRPr="007F6AB3">
        <w:rPr>
          <w:rFonts w:ascii="Garamond" w:hAnsi="Garamond"/>
          <w:sz w:val="20"/>
          <w:szCs w:val="20"/>
          <w:lang w:val="en-US"/>
        </w:rPr>
        <w:t xml:space="preserve"> benefit</w:t>
      </w:r>
      <w:r w:rsidR="00937AC5">
        <w:rPr>
          <w:rFonts w:ascii="Garamond" w:hAnsi="Garamond"/>
          <w:sz w:val="20"/>
          <w:szCs w:val="20"/>
          <w:lang w:val="en-US"/>
        </w:rPr>
        <w:t>–</w:t>
      </w:r>
      <w:r w:rsidR="00D8646E" w:rsidRPr="007F6AB3">
        <w:rPr>
          <w:rFonts w:ascii="Garamond" w:hAnsi="Garamond"/>
          <w:sz w:val="20"/>
          <w:szCs w:val="20"/>
          <w:lang w:val="en-US"/>
        </w:rPr>
        <w:t>risk.</w:t>
      </w:r>
      <w:r w:rsidR="00A75738" w:rsidRPr="007F6AB3">
        <w:rPr>
          <w:rFonts w:ascii="Garamond" w:hAnsi="Garamond"/>
          <w:sz w:val="20"/>
          <w:szCs w:val="20"/>
          <w:lang w:val="en-US"/>
        </w:rPr>
        <w:t xml:space="preserve"> In this regard, the European Medicine Agency (EMA) </w:t>
      </w:r>
      <w:r w:rsidR="00956043" w:rsidRPr="007F6AB3">
        <w:rPr>
          <w:rFonts w:ascii="Garamond" w:hAnsi="Garamond"/>
          <w:sz w:val="20"/>
          <w:szCs w:val="20"/>
          <w:lang w:val="en-US"/>
        </w:rPr>
        <w:t xml:space="preserve">has </w:t>
      </w:r>
      <w:r w:rsidR="002F2873" w:rsidRPr="007F6AB3">
        <w:rPr>
          <w:rFonts w:ascii="Garamond" w:hAnsi="Garamond"/>
          <w:sz w:val="20"/>
          <w:szCs w:val="20"/>
          <w:lang w:val="en-US"/>
        </w:rPr>
        <w:t>issued</w:t>
      </w:r>
      <w:r w:rsidR="00F22C4A" w:rsidRPr="00F22C4A">
        <w:rPr>
          <w:rFonts w:ascii="Garamond" w:hAnsi="Garamond"/>
          <w:sz w:val="20"/>
          <w:szCs w:val="20"/>
          <w:vertAlign w:val="superscript"/>
          <w:lang w:val="en-US"/>
        </w:rPr>
        <w:t>1</w:t>
      </w:r>
      <w:r w:rsidR="00F22C4A">
        <w:rPr>
          <w:rFonts w:ascii="Garamond" w:hAnsi="Garamond"/>
          <w:sz w:val="20"/>
          <w:szCs w:val="20"/>
          <w:vertAlign w:val="superscript"/>
          <w:lang w:val="en-US"/>
        </w:rPr>
        <w:t>4</w:t>
      </w:r>
      <w:r w:rsidR="00A6774D" w:rsidRPr="007F6AB3">
        <w:rPr>
          <w:rFonts w:ascii="Garamond" w:hAnsi="Garamond"/>
          <w:sz w:val="20"/>
          <w:szCs w:val="20"/>
          <w:lang w:val="en-US"/>
        </w:rPr>
        <w:t xml:space="preserve"> </w:t>
      </w:r>
      <w:r w:rsidR="002F2873" w:rsidRPr="007F6AB3">
        <w:rPr>
          <w:rFonts w:ascii="Garamond" w:hAnsi="Garamond"/>
          <w:sz w:val="20"/>
          <w:szCs w:val="20"/>
          <w:lang w:val="en-US"/>
        </w:rPr>
        <w:t xml:space="preserve">requirements for annual enhanced safety surveillance (ESS) </w:t>
      </w:r>
      <w:r w:rsidR="00B6326B" w:rsidRPr="007F6AB3">
        <w:rPr>
          <w:rFonts w:ascii="Garamond" w:hAnsi="Garamond"/>
          <w:sz w:val="20"/>
          <w:szCs w:val="20"/>
          <w:lang w:val="en-US"/>
        </w:rPr>
        <w:t xml:space="preserve">to be performed </w:t>
      </w:r>
      <w:r w:rsidR="000E58FB">
        <w:rPr>
          <w:rFonts w:ascii="Garamond" w:hAnsi="Garamond"/>
          <w:sz w:val="20"/>
          <w:szCs w:val="20"/>
          <w:lang w:val="en-US"/>
        </w:rPr>
        <w:t>throughout the post-marketing</w:t>
      </w:r>
      <w:r w:rsidR="00B6326B" w:rsidRPr="007F6AB3">
        <w:rPr>
          <w:rFonts w:ascii="Garamond" w:hAnsi="Garamond"/>
          <w:sz w:val="20"/>
          <w:szCs w:val="20"/>
          <w:lang w:val="en-US"/>
        </w:rPr>
        <w:t xml:space="preserve"> life cycle of</w:t>
      </w:r>
      <w:r w:rsidR="005D18DF">
        <w:rPr>
          <w:rFonts w:ascii="Garamond" w:hAnsi="Garamond"/>
          <w:sz w:val="20"/>
          <w:szCs w:val="20"/>
          <w:lang w:val="en-US"/>
        </w:rPr>
        <w:t xml:space="preserve"> approved</w:t>
      </w:r>
      <w:r w:rsidR="00B6326B" w:rsidRPr="007F6AB3">
        <w:rPr>
          <w:rFonts w:ascii="Garamond" w:hAnsi="Garamond"/>
          <w:sz w:val="20"/>
          <w:szCs w:val="20"/>
          <w:lang w:val="en-US"/>
        </w:rPr>
        <w:t xml:space="preserve"> SIV</w:t>
      </w:r>
      <w:r w:rsidR="005D18DF">
        <w:rPr>
          <w:rFonts w:ascii="Garamond" w:hAnsi="Garamond"/>
          <w:sz w:val="20"/>
          <w:szCs w:val="20"/>
          <w:lang w:val="en-US"/>
        </w:rPr>
        <w:t>s</w:t>
      </w:r>
      <w:r w:rsidR="000E58FB">
        <w:rPr>
          <w:rFonts w:ascii="Garamond" w:hAnsi="Garamond"/>
          <w:sz w:val="20"/>
          <w:szCs w:val="20"/>
          <w:lang w:val="en-US"/>
        </w:rPr>
        <w:t xml:space="preserve"> in the E</w:t>
      </w:r>
      <w:r w:rsidR="00CA3C0B">
        <w:rPr>
          <w:rFonts w:ascii="Garamond" w:hAnsi="Garamond"/>
          <w:sz w:val="20"/>
          <w:szCs w:val="20"/>
          <w:lang w:val="en-US"/>
        </w:rPr>
        <w:t xml:space="preserve">uropean </w:t>
      </w:r>
      <w:r w:rsidR="000E58FB">
        <w:rPr>
          <w:rFonts w:ascii="Garamond" w:hAnsi="Garamond"/>
          <w:sz w:val="20"/>
          <w:szCs w:val="20"/>
          <w:lang w:val="en-US"/>
        </w:rPr>
        <w:t>U</w:t>
      </w:r>
      <w:r w:rsidR="00CA3C0B">
        <w:rPr>
          <w:rFonts w:ascii="Garamond" w:hAnsi="Garamond"/>
          <w:sz w:val="20"/>
          <w:szCs w:val="20"/>
          <w:lang w:val="en-US"/>
        </w:rPr>
        <w:t>nion (EU)</w:t>
      </w:r>
      <w:r w:rsidR="00B6326B" w:rsidRPr="007F6AB3">
        <w:rPr>
          <w:rFonts w:ascii="Garamond" w:hAnsi="Garamond"/>
          <w:sz w:val="20"/>
          <w:szCs w:val="20"/>
          <w:lang w:val="en-US"/>
        </w:rPr>
        <w:t>.</w:t>
      </w:r>
    </w:p>
    <w:p w14:paraId="7B751A12" w14:textId="5F5045CA" w:rsidR="00BF0CB9" w:rsidRDefault="007D6816" w:rsidP="00811515">
      <w:pPr>
        <w:spacing w:after="0" w:line="360" w:lineRule="auto"/>
        <w:jc w:val="both"/>
        <w:rPr>
          <w:rFonts w:ascii="Garamond" w:hAnsi="Garamond"/>
          <w:sz w:val="20"/>
          <w:szCs w:val="20"/>
          <w:lang w:val="en-US"/>
        </w:rPr>
      </w:pPr>
      <w:bookmarkStart w:id="0" w:name="_Hlk122349667"/>
      <w:r w:rsidRPr="007F6AB3">
        <w:rPr>
          <w:rFonts w:ascii="Garamond" w:hAnsi="Garamond"/>
          <w:sz w:val="20"/>
          <w:szCs w:val="20"/>
          <w:lang w:val="en-US"/>
        </w:rPr>
        <w:t xml:space="preserve">In Italy, </w:t>
      </w:r>
      <w:r w:rsidR="00450366" w:rsidRPr="007F6AB3">
        <w:rPr>
          <w:rFonts w:ascii="Garamond" w:hAnsi="Garamond"/>
          <w:sz w:val="20"/>
          <w:szCs w:val="20"/>
          <w:lang w:val="en-US"/>
        </w:rPr>
        <w:t xml:space="preserve">a </w:t>
      </w:r>
      <w:r w:rsidRPr="007F6AB3">
        <w:rPr>
          <w:rFonts w:ascii="Garamond" w:hAnsi="Garamond"/>
          <w:sz w:val="20"/>
          <w:szCs w:val="20"/>
          <w:lang w:val="en-US"/>
        </w:rPr>
        <w:t xml:space="preserve">cell </w:t>
      </w:r>
      <w:r w:rsidRPr="00F52FB3">
        <w:rPr>
          <w:rFonts w:ascii="Garamond" w:hAnsi="Garamond"/>
          <w:sz w:val="20"/>
          <w:szCs w:val="20"/>
          <w:lang w:val="en-US"/>
        </w:rPr>
        <w:t xml:space="preserve">culture-based </w:t>
      </w:r>
      <w:r w:rsidR="00937AC5" w:rsidRPr="00F52FB3">
        <w:rPr>
          <w:rFonts w:ascii="Garamond" w:hAnsi="Garamond"/>
          <w:sz w:val="20"/>
          <w:szCs w:val="20"/>
          <w:lang w:val="en-US"/>
        </w:rPr>
        <w:t>Q</w:t>
      </w:r>
      <w:r w:rsidR="00450366" w:rsidRPr="00F52FB3">
        <w:rPr>
          <w:rFonts w:ascii="Garamond" w:hAnsi="Garamond"/>
          <w:sz w:val="20"/>
          <w:szCs w:val="20"/>
          <w:lang w:val="en-US"/>
        </w:rPr>
        <w:t>IV (QIVc; Flucelvax</w:t>
      </w:r>
      <w:r w:rsidR="00420E75" w:rsidRPr="00F52FB3">
        <w:rPr>
          <w:rFonts w:ascii="Garamond" w:hAnsi="Garamond"/>
          <w:bCs/>
          <w:sz w:val="20"/>
          <w:szCs w:val="24"/>
          <w:vertAlign w:val="superscript"/>
          <w:lang w:val="en-US"/>
        </w:rPr>
        <w:t>®</w:t>
      </w:r>
      <w:r w:rsidR="00450366" w:rsidRPr="00F52FB3">
        <w:rPr>
          <w:rFonts w:ascii="Garamond" w:hAnsi="Garamond"/>
          <w:sz w:val="20"/>
          <w:szCs w:val="20"/>
          <w:lang w:val="en-US"/>
        </w:rPr>
        <w:t xml:space="preserve"> Tetra, Seqirus Inc, Summit, NJ, USA) has been available since </w:t>
      </w:r>
      <w:r w:rsidR="00215E24" w:rsidRPr="00F52FB3">
        <w:rPr>
          <w:rFonts w:ascii="Garamond" w:hAnsi="Garamond"/>
          <w:sz w:val="20"/>
          <w:szCs w:val="20"/>
          <w:lang w:val="en-US"/>
        </w:rPr>
        <w:t>the 2019/20 influenza season</w:t>
      </w:r>
      <w:r w:rsidR="00D056A0" w:rsidRPr="00F52FB3">
        <w:rPr>
          <w:rFonts w:ascii="Garamond" w:hAnsi="Garamond"/>
          <w:sz w:val="20"/>
          <w:szCs w:val="20"/>
          <w:lang w:val="en-US"/>
        </w:rPr>
        <w:t>.</w:t>
      </w:r>
      <w:r w:rsidR="00F22C4A" w:rsidRPr="00F22C4A">
        <w:rPr>
          <w:rFonts w:ascii="Garamond" w:hAnsi="Garamond"/>
          <w:sz w:val="20"/>
          <w:szCs w:val="20"/>
          <w:vertAlign w:val="superscript"/>
          <w:lang w:val="en-US"/>
        </w:rPr>
        <w:t>1</w:t>
      </w:r>
      <w:r w:rsidR="00F22C4A">
        <w:rPr>
          <w:rFonts w:ascii="Garamond" w:hAnsi="Garamond"/>
          <w:sz w:val="20"/>
          <w:szCs w:val="20"/>
          <w:vertAlign w:val="superscript"/>
          <w:lang w:val="en-US"/>
        </w:rPr>
        <w:t>5</w:t>
      </w:r>
      <w:r w:rsidR="00D056A0" w:rsidRPr="00F52FB3">
        <w:rPr>
          <w:rFonts w:ascii="Garamond" w:hAnsi="Garamond"/>
          <w:sz w:val="20"/>
          <w:szCs w:val="20"/>
          <w:lang w:val="en-US"/>
        </w:rPr>
        <w:t xml:space="preserve"> </w:t>
      </w:r>
      <w:r w:rsidR="00F52FB3" w:rsidRPr="00F52FB3">
        <w:rPr>
          <w:rFonts w:ascii="Garamond" w:hAnsi="Garamond"/>
          <w:sz w:val="20"/>
          <w:szCs w:val="20"/>
          <w:lang w:val="en-US"/>
        </w:rPr>
        <w:t>Despite s</w:t>
      </w:r>
      <w:r w:rsidR="00CA3C0B" w:rsidRPr="00F52FB3">
        <w:rPr>
          <w:rFonts w:ascii="Garamond" w:hAnsi="Garamond"/>
          <w:sz w:val="20"/>
          <w:szCs w:val="20"/>
          <w:lang w:val="en-US"/>
        </w:rPr>
        <w:t xml:space="preserve">everal phase III randomized clinical trials have suggested a good safety profile of QIVc, which is </w:t>
      </w:r>
      <w:proofErr w:type="gramStart"/>
      <w:r w:rsidR="00CA3C0B" w:rsidRPr="00F52FB3">
        <w:rPr>
          <w:rFonts w:ascii="Garamond" w:hAnsi="Garamond"/>
          <w:sz w:val="20"/>
          <w:szCs w:val="20"/>
          <w:lang w:val="en-US"/>
        </w:rPr>
        <w:t>similar to</w:t>
      </w:r>
      <w:proofErr w:type="gramEnd"/>
      <w:r w:rsidR="00CA3C0B" w:rsidRPr="00F52FB3">
        <w:rPr>
          <w:rFonts w:ascii="Garamond" w:hAnsi="Garamond"/>
          <w:sz w:val="20"/>
          <w:szCs w:val="20"/>
          <w:lang w:val="en-US"/>
        </w:rPr>
        <w:t xml:space="preserve"> standard egg-based SIVs</w:t>
      </w:r>
      <w:r w:rsidR="00F52FB3" w:rsidRPr="00F52FB3">
        <w:rPr>
          <w:rFonts w:ascii="Garamond" w:hAnsi="Garamond"/>
          <w:sz w:val="20"/>
          <w:szCs w:val="20"/>
          <w:lang w:val="en-US"/>
        </w:rPr>
        <w:t>,</w:t>
      </w:r>
      <w:r w:rsidR="00F22C4A" w:rsidRPr="00F22C4A">
        <w:rPr>
          <w:rFonts w:ascii="Garamond" w:hAnsi="Garamond"/>
          <w:sz w:val="20"/>
          <w:szCs w:val="20"/>
          <w:vertAlign w:val="superscript"/>
          <w:lang w:val="en-US"/>
        </w:rPr>
        <w:t>1</w:t>
      </w:r>
      <w:r w:rsidR="00F22C4A">
        <w:rPr>
          <w:rFonts w:ascii="Garamond" w:hAnsi="Garamond"/>
          <w:sz w:val="20"/>
          <w:szCs w:val="20"/>
          <w:vertAlign w:val="superscript"/>
          <w:lang w:val="en-US"/>
        </w:rPr>
        <w:t>6</w:t>
      </w:r>
      <w:r w:rsidR="00F52FB3" w:rsidRPr="00F52FB3">
        <w:rPr>
          <w:rFonts w:ascii="Garamond" w:hAnsi="Garamond"/>
          <w:sz w:val="20"/>
          <w:szCs w:val="20"/>
          <w:lang w:val="en-US"/>
        </w:rPr>
        <w:t xml:space="preserve"> no ESS data for QIVc has been available</w:t>
      </w:r>
      <w:r w:rsidR="00CA3C0B" w:rsidRPr="00F52FB3">
        <w:rPr>
          <w:rFonts w:ascii="Garamond" w:hAnsi="Garamond"/>
          <w:sz w:val="20"/>
          <w:szCs w:val="20"/>
          <w:lang w:val="en-US"/>
        </w:rPr>
        <w:t xml:space="preserve">. </w:t>
      </w:r>
      <w:r w:rsidR="00821013" w:rsidRPr="00F52FB3">
        <w:rPr>
          <w:rFonts w:ascii="Garamond" w:hAnsi="Garamond"/>
          <w:sz w:val="20"/>
          <w:szCs w:val="20"/>
          <w:lang w:val="en-US"/>
        </w:rPr>
        <w:t>The</w:t>
      </w:r>
      <w:r w:rsidR="00821013" w:rsidRPr="007F6AB3">
        <w:rPr>
          <w:rFonts w:ascii="Garamond" w:hAnsi="Garamond"/>
          <w:sz w:val="20"/>
          <w:szCs w:val="20"/>
          <w:lang w:val="en-US"/>
        </w:rPr>
        <w:t xml:space="preserve"> objective of this paper </w:t>
      </w:r>
      <w:r w:rsidR="00903E8E">
        <w:rPr>
          <w:rFonts w:ascii="Garamond" w:hAnsi="Garamond"/>
          <w:sz w:val="20"/>
          <w:szCs w:val="20"/>
          <w:lang w:val="en-US"/>
        </w:rPr>
        <w:t>i</w:t>
      </w:r>
      <w:r w:rsidR="00903E8E" w:rsidRPr="007F6AB3">
        <w:rPr>
          <w:rFonts w:ascii="Garamond" w:hAnsi="Garamond"/>
          <w:sz w:val="20"/>
          <w:szCs w:val="20"/>
          <w:lang w:val="en-US"/>
        </w:rPr>
        <w:t xml:space="preserve">s </w:t>
      </w:r>
      <w:r w:rsidR="00821013" w:rsidRPr="007F6AB3">
        <w:rPr>
          <w:rFonts w:ascii="Garamond" w:hAnsi="Garamond"/>
          <w:sz w:val="20"/>
          <w:szCs w:val="20"/>
          <w:lang w:val="en-US"/>
        </w:rPr>
        <w:t xml:space="preserve">to </w:t>
      </w:r>
      <w:r w:rsidR="00AB193D" w:rsidRPr="007F6AB3">
        <w:rPr>
          <w:rFonts w:ascii="Garamond" w:hAnsi="Garamond"/>
          <w:sz w:val="20"/>
          <w:szCs w:val="20"/>
          <w:lang w:val="en-US"/>
        </w:rPr>
        <w:t xml:space="preserve">summarize </w:t>
      </w:r>
      <w:r w:rsidR="001812EF">
        <w:rPr>
          <w:rFonts w:ascii="Garamond" w:hAnsi="Garamond"/>
          <w:sz w:val="20"/>
          <w:szCs w:val="20"/>
          <w:lang w:val="en-US"/>
        </w:rPr>
        <w:t xml:space="preserve">ESS activity across </w:t>
      </w:r>
      <w:r w:rsidR="00AB193D" w:rsidRPr="007F6AB3">
        <w:rPr>
          <w:rFonts w:ascii="Garamond" w:hAnsi="Garamond"/>
          <w:sz w:val="20"/>
          <w:szCs w:val="20"/>
          <w:lang w:val="en-US"/>
        </w:rPr>
        <w:t>three</w:t>
      </w:r>
      <w:r w:rsidR="001812EF">
        <w:rPr>
          <w:rFonts w:ascii="Garamond" w:hAnsi="Garamond"/>
          <w:sz w:val="20"/>
          <w:szCs w:val="20"/>
          <w:lang w:val="en-US"/>
        </w:rPr>
        <w:t xml:space="preserve"> </w:t>
      </w:r>
      <w:r w:rsidR="00AB193D" w:rsidRPr="007F6AB3">
        <w:rPr>
          <w:rFonts w:ascii="Garamond" w:hAnsi="Garamond"/>
          <w:sz w:val="20"/>
          <w:szCs w:val="20"/>
          <w:lang w:val="en-US"/>
        </w:rPr>
        <w:t>season</w:t>
      </w:r>
      <w:r w:rsidR="001812EF">
        <w:rPr>
          <w:rFonts w:ascii="Garamond" w:hAnsi="Garamond"/>
          <w:sz w:val="20"/>
          <w:szCs w:val="20"/>
          <w:lang w:val="en-US"/>
        </w:rPr>
        <w:t>s</w:t>
      </w:r>
      <w:r w:rsidR="00AB193D" w:rsidRPr="007F6AB3">
        <w:rPr>
          <w:rFonts w:ascii="Garamond" w:hAnsi="Garamond"/>
          <w:sz w:val="20"/>
          <w:szCs w:val="20"/>
          <w:lang w:val="en-US"/>
        </w:rPr>
        <w:t xml:space="preserve"> </w:t>
      </w:r>
      <w:r w:rsidR="0089365C" w:rsidRPr="007F6AB3">
        <w:rPr>
          <w:rFonts w:ascii="Garamond" w:hAnsi="Garamond"/>
          <w:sz w:val="20"/>
          <w:szCs w:val="20"/>
          <w:lang w:val="en-US"/>
        </w:rPr>
        <w:t xml:space="preserve">(from 2019/20 to 2021/22) </w:t>
      </w:r>
      <w:r w:rsidR="00903E8E">
        <w:rPr>
          <w:rFonts w:ascii="Garamond" w:hAnsi="Garamond"/>
          <w:sz w:val="20"/>
          <w:szCs w:val="20"/>
          <w:lang w:val="en-US"/>
        </w:rPr>
        <w:t xml:space="preserve">for </w:t>
      </w:r>
      <w:r w:rsidR="008F41F5" w:rsidRPr="007F6AB3">
        <w:rPr>
          <w:rFonts w:ascii="Garamond" w:hAnsi="Garamond"/>
          <w:sz w:val="20"/>
          <w:szCs w:val="20"/>
          <w:lang w:val="en-US"/>
        </w:rPr>
        <w:t xml:space="preserve">QIVc </w:t>
      </w:r>
      <w:r w:rsidR="008E4501" w:rsidRPr="007F6AB3">
        <w:rPr>
          <w:rFonts w:ascii="Garamond" w:hAnsi="Garamond"/>
          <w:sz w:val="20"/>
          <w:szCs w:val="20"/>
          <w:lang w:val="en-US"/>
        </w:rPr>
        <w:t>in all age groups.</w:t>
      </w:r>
    </w:p>
    <w:bookmarkEnd w:id="0"/>
    <w:p w14:paraId="684C5C0F" w14:textId="77777777" w:rsidR="00811515" w:rsidRDefault="00811515" w:rsidP="00811515">
      <w:pPr>
        <w:spacing w:after="0" w:line="360" w:lineRule="auto"/>
        <w:jc w:val="both"/>
        <w:rPr>
          <w:rFonts w:ascii="Garamond" w:hAnsi="Garamond"/>
          <w:sz w:val="20"/>
          <w:szCs w:val="20"/>
          <w:lang w:val="en-US"/>
        </w:rPr>
      </w:pPr>
    </w:p>
    <w:p w14:paraId="41C5E81D" w14:textId="3C8D11EA" w:rsidR="00F757CF" w:rsidRPr="002F0A24" w:rsidRDefault="00F757CF" w:rsidP="002F0A24">
      <w:pPr>
        <w:pStyle w:val="Paragrafoelenco"/>
        <w:numPr>
          <w:ilvl w:val="0"/>
          <w:numId w:val="2"/>
        </w:numPr>
        <w:spacing w:after="0" w:line="360" w:lineRule="auto"/>
        <w:jc w:val="both"/>
        <w:rPr>
          <w:rFonts w:ascii="Garamond" w:hAnsi="Garamond"/>
          <w:b/>
          <w:bCs/>
          <w:sz w:val="24"/>
          <w:szCs w:val="20"/>
          <w:lang w:val="en-US"/>
        </w:rPr>
      </w:pPr>
      <w:r w:rsidRPr="002F0A24">
        <w:rPr>
          <w:rFonts w:ascii="Garamond" w:hAnsi="Garamond"/>
          <w:b/>
          <w:bCs/>
          <w:sz w:val="24"/>
          <w:szCs w:val="20"/>
          <w:lang w:val="en-US"/>
        </w:rPr>
        <w:t>Methods</w:t>
      </w:r>
    </w:p>
    <w:p w14:paraId="738CB70A" w14:textId="77777777" w:rsidR="00811515" w:rsidRDefault="00811515" w:rsidP="00811515">
      <w:pPr>
        <w:spacing w:after="0" w:line="360" w:lineRule="auto"/>
        <w:jc w:val="both"/>
        <w:rPr>
          <w:rFonts w:ascii="Garamond" w:hAnsi="Garamond"/>
          <w:b/>
          <w:sz w:val="20"/>
          <w:szCs w:val="20"/>
          <w:lang w:val="en-US"/>
        </w:rPr>
      </w:pPr>
    </w:p>
    <w:p w14:paraId="6F3F1ABF" w14:textId="118A9FDB" w:rsidR="00811515" w:rsidRPr="002F0A24" w:rsidRDefault="00811515" w:rsidP="002F0A24">
      <w:pPr>
        <w:pStyle w:val="Paragrafoelenco"/>
        <w:numPr>
          <w:ilvl w:val="1"/>
          <w:numId w:val="2"/>
        </w:numPr>
        <w:spacing w:after="0" w:line="360" w:lineRule="auto"/>
        <w:jc w:val="both"/>
        <w:rPr>
          <w:rFonts w:ascii="Garamond" w:hAnsi="Garamond"/>
          <w:b/>
          <w:sz w:val="20"/>
          <w:szCs w:val="20"/>
          <w:lang w:val="en-US"/>
        </w:rPr>
      </w:pPr>
      <w:r w:rsidRPr="002F0A24">
        <w:rPr>
          <w:rFonts w:ascii="Garamond" w:hAnsi="Garamond"/>
          <w:b/>
          <w:sz w:val="20"/>
          <w:szCs w:val="20"/>
          <w:lang w:val="en-US"/>
        </w:rPr>
        <w:t>Overall surveillance design and setting</w:t>
      </w:r>
    </w:p>
    <w:p w14:paraId="62F1FEC8" w14:textId="77777777" w:rsidR="00811515" w:rsidRPr="00811515" w:rsidRDefault="00811515" w:rsidP="00811515">
      <w:pPr>
        <w:spacing w:after="0" w:line="360" w:lineRule="auto"/>
        <w:jc w:val="both"/>
        <w:rPr>
          <w:rFonts w:ascii="Garamond" w:hAnsi="Garamond"/>
          <w:sz w:val="20"/>
          <w:szCs w:val="20"/>
          <w:lang w:val="en-US"/>
        </w:rPr>
      </w:pPr>
    </w:p>
    <w:p w14:paraId="78C81FFC" w14:textId="1F0B7C20" w:rsidR="00811515" w:rsidRPr="00811515" w:rsidRDefault="00F10E87" w:rsidP="00811515">
      <w:pPr>
        <w:spacing w:after="0" w:line="360" w:lineRule="auto"/>
        <w:jc w:val="both"/>
        <w:rPr>
          <w:rFonts w:ascii="Garamond" w:hAnsi="Garamond"/>
          <w:sz w:val="20"/>
          <w:szCs w:val="20"/>
          <w:lang w:val="en-US"/>
        </w:rPr>
      </w:pPr>
      <w:r>
        <w:rPr>
          <w:rFonts w:ascii="Garamond" w:hAnsi="Garamond"/>
          <w:sz w:val="20"/>
          <w:szCs w:val="20"/>
          <w:lang w:val="en-US"/>
        </w:rPr>
        <w:t xml:space="preserve">The </w:t>
      </w:r>
      <w:r w:rsidR="00811515">
        <w:rPr>
          <w:rFonts w:ascii="Garamond" w:hAnsi="Garamond"/>
          <w:sz w:val="20"/>
          <w:szCs w:val="20"/>
          <w:lang w:val="en-US"/>
        </w:rPr>
        <w:t>ESS</w:t>
      </w:r>
      <w:r w:rsidR="00811515" w:rsidRPr="00811515">
        <w:rPr>
          <w:rFonts w:ascii="Garamond" w:hAnsi="Garamond"/>
          <w:sz w:val="20"/>
          <w:szCs w:val="20"/>
          <w:lang w:val="en-US"/>
        </w:rPr>
        <w:t xml:space="preserve"> was coordinated by the Interuniversity Research Center on Influenza and Other Transmissible Infections (CIRI-IT; Genoa, Italy), which is an interregional influenza surveillance network</w:t>
      </w:r>
      <w:r w:rsidR="001812EF">
        <w:rPr>
          <w:rFonts w:ascii="Garamond" w:hAnsi="Garamond"/>
          <w:sz w:val="20"/>
          <w:szCs w:val="20"/>
          <w:lang w:val="en-US"/>
        </w:rPr>
        <w:t>,</w:t>
      </w:r>
      <w:r w:rsidR="00166EFC">
        <w:rPr>
          <w:rFonts w:ascii="Garamond" w:hAnsi="Garamond"/>
          <w:sz w:val="20"/>
          <w:szCs w:val="20"/>
          <w:lang w:val="en-US"/>
        </w:rPr>
        <w:t xml:space="preserve"> and was conducted in the metropolitan city of Genoa (Italy)</w:t>
      </w:r>
      <w:r w:rsidR="00811515" w:rsidRPr="00811515">
        <w:rPr>
          <w:rFonts w:ascii="Garamond" w:hAnsi="Garamond"/>
          <w:sz w:val="20"/>
          <w:szCs w:val="20"/>
          <w:lang w:val="en-US"/>
        </w:rPr>
        <w:t>. The interim guidance issued by EMA</w:t>
      </w:r>
      <w:r w:rsidR="00F22C4A" w:rsidRPr="00F22C4A">
        <w:rPr>
          <w:rFonts w:ascii="Garamond" w:hAnsi="Garamond"/>
          <w:sz w:val="20"/>
          <w:szCs w:val="20"/>
          <w:vertAlign w:val="superscript"/>
          <w:lang w:val="en-US"/>
        </w:rPr>
        <w:t>1</w:t>
      </w:r>
      <w:r w:rsidR="00F22C4A">
        <w:rPr>
          <w:rFonts w:ascii="Garamond" w:hAnsi="Garamond"/>
          <w:sz w:val="20"/>
          <w:szCs w:val="20"/>
          <w:vertAlign w:val="superscript"/>
          <w:lang w:val="en-US"/>
        </w:rPr>
        <w:t>4</w:t>
      </w:r>
      <w:r w:rsidR="00811515" w:rsidRPr="00811515">
        <w:rPr>
          <w:rFonts w:ascii="Garamond" w:hAnsi="Garamond"/>
          <w:sz w:val="20"/>
          <w:szCs w:val="20"/>
          <w:lang w:val="en-US"/>
        </w:rPr>
        <w:t xml:space="preserve"> </w:t>
      </w:r>
      <w:r w:rsidR="001812EF">
        <w:rPr>
          <w:rFonts w:ascii="Garamond" w:hAnsi="Garamond"/>
          <w:sz w:val="20"/>
          <w:szCs w:val="20"/>
          <w:lang w:val="en-US"/>
        </w:rPr>
        <w:t>outlines</w:t>
      </w:r>
      <w:r w:rsidR="00811515" w:rsidRPr="00811515">
        <w:rPr>
          <w:rFonts w:ascii="Garamond" w:hAnsi="Garamond"/>
          <w:sz w:val="20"/>
          <w:szCs w:val="20"/>
          <w:lang w:val="en-US"/>
        </w:rPr>
        <w:t xml:space="preserve"> three options for carrying out ESS, namely active surveillance, passive </w:t>
      </w:r>
      <w:r w:rsidR="00A71367" w:rsidRPr="00811515">
        <w:rPr>
          <w:rFonts w:ascii="Garamond" w:hAnsi="Garamond"/>
          <w:sz w:val="20"/>
          <w:szCs w:val="20"/>
          <w:lang w:val="en-US"/>
        </w:rPr>
        <w:t>surveillance,</w:t>
      </w:r>
      <w:r w:rsidR="00811515" w:rsidRPr="00811515">
        <w:rPr>
          <w:rFonts w:ascii="Garamond" w:hAnsi="Garamond"/>
          <w:sz w:val="20"/>
          <w:szCs w:val="20"/>
          <w:lang w:val="en-US"/>
        </w:rPr>
        <w:t xml:space="preserve"> and data mining/use of electronic record data. The choice among the three options should be justified and agreed with </w:t>
      </w:r>
      <w:r w:rsidR="001812EF">
        <w:rPr>
          <w:rFonts w:ascii="Garamond" w:hAnsi="Garamond"/>
          <w:sz w:val="20"/>
          <w:szCs w:val="20"/>
          <w:lang w:val="en-US"/>
        </w:rPr>
        <w:t xml:space="preserve">the EMA or relevant local </w:t>
      </w:r>
      <w:r w:rsidR="00811515" w:rsidRPr="00811515">
        <w:rPr>
          <w:rFonts w:ascii="Garamond" w:hAnsi="Garamond"/>
          <w:sz w:val="20"/>
          <w:szCs w:val="20"/>
          <w:lang w:val="en-US"/>
        </w:rPr>
        <w:t>competent authorit</w:t>
      </w:r>
      <w:r w:rsidR="00F52FB3">
        <w:rPr>
          <w:rFonts w:ascii="Garamond" w:hAnsi="Garamond"/>
          <w:sz w:val="20"/>
          <w:szCs w:val="20"/>
          <w:lang w:val="en-US"/>
        </w:rPr>
        <w:t>ies</w:t>
      </w:r>
      <w:r w:rsidR="00811515" w:rsidRPr="00811515">
        <w:rPr>
          <w:rFonts w:ascii="Garamond" w:hAnsi="Garamond"/>
          <w:sz w:val="20"/>
          <w:szCs w:val="20"/>
          <w:lang w:val="en-US"/>
        </w:rPr>
        <w:t xml:space="preserve">. </w:t>
      </w:r>
      <w:r w:rsidR="0001717C">
        <w:rPr>
          <w:rFonts w:ascii="Garamond" w:hAnsi="Garamond"/>
          <w:sz w:val="20"/>
          <w:szCs w:val="20"/>
          <w:lang w:val="en-US"/>
        </w:rPr>
        <w:t>Accordingly</w:t>
      </w:r>
      <w:r w:rsidR="00811515" w:rsidRPr="00811515">
        <w:rPr>
          <w:rFonts w:ascii="Garamond" w:hAnsi="Garamond"/>
          <w:sz w:val="20"/>
          <w:szCs w:val="20"/>
          <w:lang w:val="en-US"/>
        </w:rPr>
        <w:t xml:space="preserve">, CSL Seqirus included enhanced </w:t>
      </w:r>
      <w:r w:rsidR="001812EF">
        <w:rPr>
          <w:rFonts w:ascii="Garamond" w:hAnsi="Garamond"/>
          <w:sz w:val="20"/>
          <w:szCs w:val="20"/>
          <w:lang w:val="en-US"/>
        </w:rPr>
        <w:t xml:space="preserve">passive </w:t>
      </w:r>
      <w:r w:rsidR="00811515" w:rsidRPr="00811515">
        <w:rPr>
          <w:rFonts w:ascii="Garamond" w:hAnsi="Garamond"/>
          <w:sz w:val="20"/>
          <w:szCs w:val="20"/>
          <w:lang w:val="en-US"/>
        </w:rPr>
        <w:t>safety surveillance (EPSS) in its routine pharmacovigilance activit</w:t>
      </w:r>
      <w:r>
        <w:rPr>
          <w:rFonts w:ascii="Garamond" w:hAnsi="Garamond"/>
          <w:sz w:val="20"/>
          <w:szCs w:val="20"/>
          <w:lang w:val="en-US"/>
        </w:rPr>
        <w:t>ies</w:t>
      </w:r>
      <w:r w:rsidR="00811515" w:rsidRPr="00811515">
        <w:rPr>
          <w:rFonts w:ascii="Garamond" w:hAnsi="Garamond"/>
          <w:sz w:val="20"/>
          <w:szCs w:val="20"/>
          <w:lang w:val="en-US"/>
        </w:rPr>
        <w:t>.</w:t>
      </w:r>
      <w:r w:rsidR="0001717C">
        <w:rPr>
          <w:rFonts w:ascii="Garamond" w:hAnsi="Garamond"/>
          <w:sz w:val="20"/>
          <w:szCs w:val="20"/>
          <w:lang w:val="en-US"/>
        </w:rPr>
        <w:t xml:space="preserve"> S</w:t>
      </w:r>
      <w:r w:rsidR="0001717C" w:rsidRPr="0001717C">
        <w:rPr>
          <w:rFonts w:ascii="Garamond" w:hAnsi="Garamond"/>
          <w:sz w:val="20"/>
          <w:szCs w:val="20"/>
          <w:lang w:val="en-US"/>
        </w:rPr>
        <w:t>ome of the benefits of the data collection through the EPSS are</w:t>
      </w:r>
      <w:r w:rsidR="0001717C">
        <w:rPr>
          <w:rFonts w:ascii="Garamond" w:hAnsi="Garamond"/>
          <w:sz w:val="20"/>
          <w:szCs w:val="20"/>
          <w:lang w:val="en-US"/>
        </w:rPr>
        <w:t xml:space="preserve">: </w:t>
      </w:r>
      <w:r w:rsidR="00064059">
        <w:rPr>
          <w:rFonts w:ascii="Garamond" w:hAnsi="Garamond"/>
          <w:sz w:val="20"/>
          <w:szCs w:val="20"/>
          <w:lang w:val="en-US"/>
        </w:rPr>
        <w:t>(</w:t>
      </w:r>
      <w:proofErr w:type="spellStart"/>
      <w:r w:rsidR="00064059">
        <w:rPr>
          <w:rFonts w:ascii="Garamond" w:hAnsi="Garamond"/>
          <w:sz w:val="20"/>
          <w:szCs w:val="20"/>
          <w:lang w:val="en-US"/>
        </w:rPr>
        <w:t>i</w:t>
      </w:r>
      <w:proofErr w:type="spellEnd"/>
      <w:r w:rsidR="00064059">
        <w:rPr>
          <w:rFonts w:ascii="Garamond" w:hAnsi="Garamond"/>
          <w:sz w:val="20"/>
          <w:szCs w:val="20"/>
          <w:lang w:val="en-US"/>
        </w:rPr>
        <w:t xml:space="preserve">) </w:t>
      </w:r>
      <w:r w:rsidR="00064059">
        <w:rPr>
          <w:rFonts w:ascii="Garamond" w:hAnsi="Garamond"/>
          <w:sz w:val="20"/>
          <w:szCs w:val="20"/>
          <w:lang w:val="en-US"/>
        </w:rPr>
        <w:lastRenderedPageBreak/>
        <w:t>increased vaccinee’s awareness of reporting AEs; (ii) facilitation of the reporting by providing vaccinees with contact information for signaling AEs and (iii) improvement of quality of the individual case safety reports (ICSRs)</w:t>
      </w:r>
      <w:r w:rsidR="00811515" w:rsidRPr="00811515">
        <w:rPr>
          <w:rFonts w:ascii="Garamond" w:hAnsi="Garamond"/>
          <w:sz w:val="20"/>
          <w:szCs w:val="20"/>
          <w:lang w:val="en-US"/>
        </w:rPr>
        <w:t>.</w:t>
      </w:r>
      <w:r w:rsidR="00F22C4A" w:rsidRPr="00F22C4A">
        <w:rPr>
          <w:rFonts w:ascii="Garamond" w:hAnsi="Garamond"/>
          <w:sz w:val="20"/>
          <w:szCs w:val="20"/>
          <w:vertAlign w:val="superscript"/>
          <w:lang w:val="en-US"/>
        </w:rPr>
        <w:t>1</w:t>
      </w:r>
      <w:r w:rsidR="00F22C4A">
        <w:rPr>
          <w:rFonts w:ascii="Garamond" w:hAnsi="Garamond"/>
          <w:sz w:val="20"/>
          <w:szCs w:val="20"/>
          <w:vertAlign w:val="superscript"/>
          <w:lang w:val="en-US"/>
        </w:rPr>
        <w:t>7</w:t>
      </w:r>
      <w:r w:rsidR="00811515" w:rsidRPr="00811515">
        <w:rPr>
          <w:rFonts w:ascii="Garamond" w:hAnsi="Garamond"/>
          <w:sz w:val="20"/>
          <w:szCs w:val="20"/>
          <w:lang w:val="en-US"/>
        </w:rPr>
        <w:t xml:space="preserve"> In Europe, the EPSS approach has been adopted for other SIVs, including MF59-adjuvanted subunit,</w:t>
      </w:r>
      <w:r w:rsidR="00F22C4A" w:rsidRPr="00F22C4A">
        <w:rPr>
          <w:rFonts w:ascii="Garamond" w:hAnsi="Garamond"/>
          <w:sz w:val="20"/>
          <w:szCs w:val="20"/>
          <w:vertAlign w:val="superscript"/>
          <w:lang w:val="en-US"/>
        </w:rPr>
        <w:t>1</w:t>
      </w:r>
      <w:r w:rsidR="00F22C4A">
        <w:rPr>
          <w:rFonts w:ascii="Garamond" w:hAnsi="Garamond"/>
          <w:sz w:val="20"/>
          <w:szCs w:val="20"/>
          <w:vertAlign w:val="superscript"/>
          <w:lang w:val="en-US"/>
        </w:rPr>
        <w:t>7</w:t>
      </w:r>
      <w:r w:rsidR="00811515" w:rsidRPr="00811515">
        <w:rPr>
          <w:rFonts w:ascii="Garamond" w:hAnsi="Garamond"/>
          <w:sz w:val="20"/>
          <w:szCs w:val="20"/>
          <w:lang w:val="en-US"/>
        </w:rPr>
        <w:t xml:space="preserve"> split virion standard</w:t>
      </w:r>
      <w:r w:rsidR="00937AC5">
        <w:rPr>
          <w:rFonts w:ascii="Garamond" w:hAnsi="Garamond"/>
          <w:sz w:val="20"/>
          <w:szCs w:val="20"/>
          <w:lang w:val="en-US"/>
        </w:rPr>
        <w:t>-</w:t>
      </w:r>
      <w:r w:rsidR="00811515" w:rsidRPr="00811515">
        <w:rPr>
          <w:rFonts w:ascii="Garamond" w:hAnsi="Garamond"/>
          <w:sz w:val="20"/>
          <w:szCs w:val="20"/>
          <w:lang w:val="en-US"/>
        </w:rPr>
        <w:t>dose</w:t>
      </w:r>
      <w:r w:rsidR="00F22C4A" w:rsidRPr="00F22C4A">
        <w:rPr>
          <w:rFonts w:ascii="Garamond" w:hAnsi="Garamond"/>
          <w:sz w:val="20"/>
          <w:szCs w:val="20"/>
          <w:vertAlign w:val="superscript"/>
          <w:lang w:val="en-US"/>
        </w:rPr>
        <w:t>1</w:t>
      </w:r>
      <w:r w:rsidR="00F22C4A">
        <w:rPr>
          <w:rFonts w:ascii="Garamond" w:hAnsi="Garamond"/>
          <w:sz w:val="20"/>
          <w:szCs w:val="20"/>
          <w:vertAlign w:val="superscript"/>
          <w:lang w:val="en-US"/>
        </w:rPr>
        <w:t>8-21</w:t>
      </w:r>
      <w:r w:rsidR="00811515" w:rsidRPr="00811515">
        <w:rPr>
          <w:rFonts w:ascii="Garamond" w:hAnsi="Garamond"/>
          <w:sz w:val="20"/>
          <w:szCs w:val="20"/>
          <w:lang w:val="en-US"/>
        </w:rPr>
        <w:t xml:space="preserve"> and high</w:t>
      </w:r>
      <w:r w:rsidR="00937AC5">
        <w:rPr>
          <w:rFonts w:ascii="Garamond" w:hAnsi="Garamond"/>
          <w:sz w:val="20"/>
          <w:szCs w:val="20"/>
          <w:lang w:val="en-US"/>
        </w:rPr>
        <w:t>-</w:t>
      </w:r>
      <w:r w:rsidR="00811515" w:rsidRPr="00811515">
        <w:rPr>
          <w:rFonts w:ascii="Garamond" w:hAnsi="Garamond"/>
          <w:sz w:val="20"/>
          <w:szCs w:val="20"/>
          <w:lang w:val="en-US"/>
        </w:rPr>
        <w:t>dose</w:t>
      </w:r>
      <w:r w:rsidR="00F22C4A">
        <w:rPr>
          <w:rFonts w:ascii="Garamond" w:hAnsi="Garamond"/>
          <w:sz w:val="20"/>
          <w:szCs w:val="20"/>
          <w:vertAlign w:val="superscript"/>
          <w:lang w:val="en-US"/>
        </w:rPr>
        <w:t>20</w:t>
      </w:r>
      <w:r w:rsidR="00811515" w:rsidRPr="00811515">
        <w:rPr>
          <w:rFonts w:ascii="Garamond" w:hAnsi="Garamond"/>
          <w:sz w:val="20"/>
          <w:szCs w:val="20"/>
          <w:lang w:val="en-US"/>
        </w:rPr>
        <w:t xml:space="preserve"> formulations.</w:t>
      </w:r>
    </w:p>
    <w:p w14:paraId="01D96C4D" w14:textId="1CAB09A8" w:rsidR="00060506" w:rsidRDefault="000F2A93" w:rsidP="00811515">
      <w:pPr>
        <w:spacing w:after="0" w:line="360" w:lineRule="auto"/>
        <w:jc w:val="both"/>
        <w:rPr>
          <w:rFonts w:ascii="Garamond" w:hAnsi="Garamond"/>
          <w:sz w:val="20"/>
          <w:szCs w:val="20"/>
          <w:lang w:val="en-US"/>
        </w:rPr>
      </w:pPr>
      <w:r>
        <w:rPr>
          <w:rFonts w:ascii="Garamond" w:hAnsi="Garamond"/>
          <w:sz w:val="20"/>
          <w:szCs w:val="20"/>
          <w:lang w:val="en-US"/>
        </w:rPr>
        <w:t xml:space="preserve">This report describes results of the EPSS conducted during three consecutive </w:t>
      </w:r>
      <w:r w:rsidR="009B669E">
        <w:rPr>
          <w:rFonts w:ascii="Garamond" w:hAnsi="Garamond"/>
          <w:sz w:val="20"/>
          <w:szCs w:val="20"/>
          <w:lang w:val="en-US"/>
        </w:rPr>
        <w:t>NH</w:t>
      </w:r>
      <w:r w:rsidR="00937AC5">
        <w:rPr>
          <w:rFonts w:ascii="Garamond" w:hAnsi="Garamond"/>
          <w:sz w:val="20"/>
          <w:szCs w:val="20"/>
          <w:lang w:val="en-US"/>
        </w:rPr>
        <w:t xml:space="preserve"> </w:t>
      </w:r>
      <w:r>
        <w:rPr>
          <w:rFonts w:ascii="Garamond" w:hAnsi="Garamond"/>
          <w:sz w:val="20"/>
          <w:szCs w:val="20"/>
          <w:lang w:val="en-US"/>
        </w:rPr>
        <w:t xml:space="preserve">influenza seasons (2019/20, 2020/21 and 2021/22). The </w:t>
      </w:r>
      <w:r w:rsidR="009B669E">
        <w:rPr>
          <w:rFonts w:ascii="Garamond" w:hAnsi="Garamond"/>
          <w:sz w:val="20"/>
          <w:szCs w:val="20"/>
          <w:lang w:val="en-US"/>
        </w:rPr>
        <w:t xml:space="preserve">EPSS </w:t>
      </w:r>
      <w:r>
        <w:rPr>
          <w:rFonts w:ascii="Garamond" w:hAnsi="Garamond"/>
          <w:sz w:val="20"/>
          <w:szCs w:val="20"/>
          <w:lang w:val="en-US"/>
        </w:rPr>
        <w:t>protocol was compliant with the interim EMA guidelines .</w:t>
      </w:r>
      <w:r w:rsidR="00F22C4A" w:rsidRPr="00F22C4A">
        <w:rPr>
          <w:rFonts w:ascii="Garamond" w:hAnsi="Garamond"/>
          <w:sz w:val="20"/>
          <w:szCs w:val="20"/>
          <w:vertAlign w:val="superscript"/>
          <w:lang w:val="en-US"/>
        </w:rPr>
        <w:t>1</w:t>
      </w:r>
      <w:r w:rsidR="00F22C4A">
        <w:rPr>
          <w:rFonts w:ascii="Garamond" w:hAnsi="Garamond"/>
          <w:sz w:val="20"/>
          <w:szCs w:val="20"/>
          <w:vertAlign w:val="superscript"/>
          <w:lang w:val="en-US"/>
        </w:rPr>
        <w:t>4</w:t>
      </w:r>
      <w:r>
        <w:rPr>
          <w:rFonts w:ascii="Garamond" w:hAnsi="Garamond"/>
          <w:sz w:val="20"/>
          <w:szCs w:val="20"/>
          <w:lang w:val="en-US"/>
        </w:rPr>
        <w:t xml:space="preserve"> </w:t>
      </w:r>
      <w:r w:rsidR="00060506">
        <w:rPr>
          <w:rFonts w:ascii="Garamond" w:hAnsi="Garamond"/>
          <w:sz w:val="20"/>
          <w:szCs w:val="20"/>
          <w:lang w:val="en-US"/>
        </w:rPr>
        <w:t xml:space="preserve">For each season, </w:t>
      </w:r>
      <w:r>
        <w:rPr>
          <w:rFonts w:ascii="Garamond" w:hAnsi="Garamond"/>
          <w:sz w:val="20"/>
          <w:szCs w:val="20"/>
          <w:lang w:val="en-US"/>
        </w:rPr>
        <w:t xml:space="preserve">we </w:t>
      </w:r>
      <w:r w:rsidR="00060506">
        <w:rPr>
          <w:rFonts w:ascii="Garamond" w:hAnsi="Garamond"/>
          <w:sz w:val="20"/>
          <w:szCs w:val="20"/>
          <w:lang w:val="en-US"/>
        </w:rPr>
        <w:t>aim</w:t>
      </w:r>
      <w:r>
        <w:rPr>
          <w:rFonts w:ascii="Garamond" w:hAnsi="Garamond"/>
          <w:sz w:val="20"/>
          <w:szCs w:val="20"/>
          <w:lang w:val="en-US"/>
        </w:rPr>
        <w:t>ed</w:t>
      </w:r>
      <w:r w:rsidR="00060506">
        <w:rPr>
          <w:rFonts w:ascii="Garamond" w:hAnsi="Garamond"/>
          <w:sz w:val="20"/>
          <w:szCs w:val="20"/>
          <w:lang w:val="en-US"/>
        </w:rPr>
        <w:t xml:space="preserve"> to include at least 1</w:t>
      </w:r>
      <w:r w:rsidR="00F52FB3">
        <w:rPr>
          <w:rFonts w:ascii="Garamond" w:hAnsi="Garamond"/>
          <w:sz w:val="20"/>
          <w:szCs w:val="20"/>
          <w:lang w:val="en-US"/>
        </w:rPr>
        <w:t>,</w:t>
      </w:r>
      <w:r w:rsidR="00060506">
        <w:rPr>
          <w:rFonts w:ascii="Garamond" w:hAnsi="Garamond"/>
          <w:sz w:val="20"/>
          <w:szCs w:val="20"/>
          <w:lang w:val="en-US"/>
        </w:rPr>
        <w:t xml:space="preserve">000 </w:t>
      </w:r>
      <w:r>
        <w:rPr>
          <w:rFonts w:ascii="Garamond" w:hAnsi="Garamond"/>
          <w:sz w:val="20"/>
          <w:szCs w:val="20"/>
          <w:lang w:val="en-US"/>
        </w:rPr>
        <w:t xml:space="preserve">routine </w:t>
      </w:r>
      <w:r w:rsidR="00060506">
        <w:rPr>
          <w:rFonts w:ascii="Garamond" w:hAnsi="Garamond"/>
          <w:sz w:val="20"/>
          <w:szCs w:val="20"/>
          <w:lang w:val="en-US"/>
        </w:rPr>
        <w:t>exposures to QIVc</w:t>
      </w:r>
      <w:r w:rsidR="008F6F29">
        <w:rPr>
          <w:rFonts w:ascii="Garamond" w:hAnsi="Garamond"/>
          <w:sz w:val="20"/>
          <w:szCs w:val="20"/>
          <w:lang w:val="en-US"/>
        </w:rPr>
        <w:t xml:space="preserve">, </w:t>
      </w:r>
      <w:r w:rsidR="008F6F29" w:rsidRPr="00F52FB3">
        <w:rPr>
          <w:rFonts w:ascii="Garamond" w:hAnsi="Garamond"/>
          <w:sz w:val="20"/>
          <w:szCs w:val="20"/>
          <w:lang w:val="en-US"/>
        </w:rPr>
        <w:t>which</w:t>
      </w:r>
      <w:r w:rsidR="00270966" w:rsidRPr="00F52FB3">
        <w:rPr>
          <w:rFonts w:ascii="Garamond" w:hAnsi="Garamond"/>
          <w:sz w:val="20"/>
          <w:szCs w:val="20"/>
          <w:lang w:val="en-US"/>
        </w:rPr>
        <w:t xml:space="preserve"> is</w:t>
      </w:r>
      <w:r w:rsidR="008F6F29" w:rsidRPr="00F52FB3">
        <w:rPr>
          <w:rFonts w:ascii="Garamond" w:hAnsi="Garamond"/>
          <w:sz w:val="20"/>
          <w:szCs w:val="20"/>
          <w:lang w:val="en-US"/>
        </w:rPr>
        <w:t xml:space="preserve"> a </w:t>
      </w:r>
      <w:r w:rsidR="00147436" w:rsidRPr="00F52FB3">
        <w:rPr>
          <w:rFonts w:ascii="Garamond" w:hAnsi="Garamond"/>
          <w:sz w:val="20"/>
          <w:szCs w:val="20"/>
          <w:lang w:val="en-US"/>
        </w:rPr>
        <w:t>commonly used sample size in EPSS</w:t>
      </w:r>
      <w:r w:rsidR="00060506" w:rsidRPr="00F52FB3">
        <w:rPr>
          <w:rFonts w:ascii="Garamond" w:hAnsi="Garamond"/>
          <w:sz w:val="20"/>
          <w:szCs w:val="20"/>
          <w:lang w:val="en-US"/>
        </w:rPr>
        <w:t>.</w:t>
      </w:r>
      <w:proofErr w:type="gramStart"/>
      <w:r w:rsidR="00F22C4A" w:rsidRPr="00F22C4A">
        <w:rPr>
          <w:rFonts w:ascii="Garamond" w:hAnsi="Garamond"/>
          <w:sz w:val="20"/>
          <w:szCs w:val="20"/>
          <w:vertAlign w:val="superscript"/>
          <w:lang w:val="en-US"/>
        </w:rPr>
        <w:t>1</w:t>
      </w:r>
      <w:r w:rsidR="00F22C4A">
        <w:rPr>
          <w:rFonts w:ascii="Garamond" w:hAnsi="Garamond"/>
          <w:sz w:val="20"/>
          <w:szCs w:val="20"/>
          <w:vertAlign w:val="superscript"/>
          <w:lang w:val="en-US"/>
        </w:rPr>
        <w:t>7-21</w:t>
      </w:r>
      <w:r w:rsidR="00060506" w:rsidRPr="00F52FB3">
        <w:rPr>
          <w:rFonts w:ascii="Garamond" w:hAnsi="Garamond"/>
          <w:sz w:val="20"/>
          <w:szCs w:val="20"/>
          <w:lang w:val="en-US"/>
        </w:rPr>
        <w:t xml:space="preserve"> </w:t>
      </w:r>
      <w:r w:rsidR="00147436" w:rsidRPr="00F52FB3">
        <w:rPr>
          <w:rFonts w:ascii="Garamond" w:hAnsi="Garamond"/>
          <w:sz w:val="20"/>
          <w:szCs w:val="20"/>
          <w:lang w:val="en-US"/>
        </w:rPr>
        <w:t>In particular, by</w:t>
      </w:r>
      <w:proofErr w:type="gramEnd"/>
      <w:r w:rsidR="00147436" w:rsidRPr="00F52FB3">
        <w:rPr>
          <w:rFonts w:ascii="Garamond" w:hAnsi="Garamond"/>
          <w:sz w:val="20"/>
          <w:szCs w:val="20"/>
          <w:lang w:val="en-US"/>
        </w:rPr>
        <w:t xml:space="preserve"> </w:t>
      </w:r>
      <w:r w:rsidR="00F52FB3" w:rsidRPr="00F52FB3">
        <w:rPr>
          <w:rFonts w:ascii="Garamond" w:hAnsi="Garamond"/>
          <w:sz w:val="20"/>
          <w:szCs w:val="20"/>
          <w:lang w:val="en-US"/>
        </w:rPr>
        <w:t>vaccinating</w:t>
      </w:r>
      <w:r w:rsidR="00147436" w:rsidRPr="00F52FB3">
        <w:rPr>
          <w:rFonts w:ascii="Garamond" w:hAnsi="Garamond"/>
          <w:sz w:val="20"/>
          <w:szCs w:val="20"/>
          <w:lang w:val="en-US"/>
        </w:rPr>
        <w:t xml:space="preserve"> 1</w:t>
      </w:r>
      <w:r w:rsidR="00CA3C0B" w:rsidRPr="00F52FB3">
        <w:rPr>
          <w:rFonts w:ascii="Garamond" w:hAnsi="Garamond"/>
          <w:sz w:val="20"/>
          <w:szCs w:val="20"/>
          <w:lang w:val="en-US"/>
        </w:rPr>
        <w:t>,</w:t>
      </w:r>
      <w:r w:rsidR="00147436" w:rsidRPr="00F52FB3">
        <w:rPr>
          <w:rFonts w:ascii="Garamond" w:hAnsi="Garamond"/>
          <w:sz w:val="20"/>
          <w:szCs w:val="20"/>
          <w:lang w:val="en-US"/>
        </w:rPr>
        <w:t xml:space="preserve">000 </w:t>
      </w:r>
      <w:r w:rsidR="008D21AE" w:rsidRPr="00F52FB3">
        <w:rPr>
          <w:rFonts w:ascii="Garamond" w:hAnsi="Garamond"/>
          <w:sz w:val="20"/>
          <w:szCs w:val="20"/>
          <w:lang w:val="en-US"/>
        </w:rPr>
        <w:t>individuals</w:t>
      </w:r>
      <w:r w:rsidR="00147436" w:rsidRPr="00F52FB3">
        <w:rPr>
          <w:rFonts w:ascii="Garamond" w:hAnsi="Garamond"/>
          <w:sz w:val="20"/>
          <w:szCs w:val="20"/>
          <w:lang w:val="en-US"/>
        </w:rPr>
        <w:t>, the cumulative Poisson law probability of observing at least one AE is &gt; 99.9%.</w:t>
      </w:r>
    </w:p>
    <w:p w14:paraId="308004E1" w14:textId="5C83B89B" w:rsidR="00811515" w:rsidRDefault="00811515" w:rsidP="00811515">
      <w:pPr>
        <w:spacing w:after="0" w:line="360" w:lineRule="auto"/>
        <w:jc w:val="both"/>
        <w:rPr>
          <w:rFonts w:ascii="Garamond" w:hAnsi="Garamond"/>
          <w:sz w:val="20"/>
          <w:szCs w:val="20"/>
          <w:lang w:val="en-US"/>
        </w:rPr>
      </w:pPr>
      <w:r w:rsidRPr="00811515">
        <w:rPr>
          <w:rFonts w:ascii="Garamond" w:hAnsi="Garamond"/>
          <w:sz w:val="20"/>
          <w:szCs w:val="20"/>
          <w:lang w:val="en-US"/>
        </w:rPr>
        <w:t>EPSS is a routine pharmacovigilance activity</w:t>
      </w:r>
      <w:r w:rsidR="0085201B">
        <w:rPr>
          <w:rFonts w:ascii="Garamond" w:hAnsi="Garamond"/>
          <w:sz w:val="20"/>
          <w:szCs w:val="20"/>
          <w:lang w:val="en-US"/>
        </w:rPr>
        <w:t>,</w:t>
      </w:r>
      <w:r w:rsidR="009B669E">
        <w:rPr>
          <w:rFonts w:ascii="Garamond" w:hAnsi="Garamond"/>
          <w:sz w:val="20"/>
          <w:szCs w:val="20"/>
          <w:lang w:val="en-US"/>
        </w:rPr>
        <w:t xml:space="preserve"> </w:t>
      </w:r>
      <w:r w:rsidR="00F52FB3">
        <w:rPr>
          <w:rFonts w:ascii="Garamond" w:hAnsi="Garamond"/>
          <w:sz w:val="20"/>
          <w:szCs w:val="20"/>
          <w:lang w:val="en-US"/>
        </w:rPr>
        <w:t xml:space="preserve">as </w:t>
      </w:r>
      <w:r w:rsidRPr="00811515">
        <w:rPr>
          <w:rFonts w:ascii="Garamond" w:hAnsi="Garamond"/>
          <w:sz w:val="20"/>
          <w:szCs w:val="20"/>
          <w:lang w:val="en-US"/>
        </w:rPr>
        <w:t xml:space="preserve">the decision to vaccinate </w:t>
      </w:r>
      <w:r w:rsidR="0086370A">
        <w:rPr>
          <w:rFonts w:ascii="Garamond" w:hAnsi="Garamond"/>
          <w:sz w:val="20"/>
          <w:szCs w:val="20"/>
          <w:lang w:val="en-US"/>
        </w:rPr>
        <w:t>is</w:t>
      </w:r>
      <w:r w:rsidR="008D21AE">
        <w:rPr>
          <w:rFonts w:ascii="Garamond" w:hAnsi="Garamond"/>
          <w:sz w:val="20"/>
          <w:szCs w:val="20"/>
          <w:lang w:val="en-US"/>
        </w:rPr>
        <w:t xml:space="preserve"> </w:t>
      </w:r>
      <w:r w:rsidRPr="00811515">
        <w:rPr>
          <w:rFonts w:ascii="Garamond" w:hAnsi="Garamond"/>
          <w:sz w:val="20"/>
          <w:szCs w:val="20"/>
          <w:lang w:val="en-US"/>
        </w:rPr>
        <w:t>part of routine</w:t>
      </w:r>
      <w:r w:rsidR="009B669E">
        <w:rPr>
          <w:rFonts w:ascii="Garamond" w:hAnsi="Garamond"/>
          <w:sz w:val="20"/>
          <w:szCs w:val="20"/>
          <w:lang w:val="en-US"/>
        </w:rPr>
        <w:t xml:space="preserve"> clinical</w:t>
      </w:r>
      <w:r w:rsidRPr="00811515">
        <w:rPr>
          <w:rFonts w:ascii="Garamond" w:hAnsi="Garamond"/>
          <w:sz w:val="20"/>
          <w:szCs w:val="20"/>
          <w:lang w:val="en-US"/>
        </w:rPr>
        <w:t xml:space="preserve"> care and the choice </w:t>
      </w:r>
      <w:r w:rsidR="00F46FE6">
        <w:rPr>
          <w:rFonts w:ascii="Garamond" w:hAnsi="Garamond"/>
          <w:sz w:val="20"/>
          <w:szCs w:val="20"/>
          <w:lang w:val="en-US"/>
        </w:rPr>
        <w:t>of SIV</w:t>
      </w:r>
      <w:r w:rsidRPr="00811515">
        <w:rPr>
          <w:rFonts w:ascii="Garamond" w:hAnsi="Garamond"/>
          <w:sz w:val="20"/>
          <w:szCs w:val="20"/>
          <w:lang w:val="en-US"/>
        </w:rPr>
        <w:t xml:space="preserve"> type or brand (including QIVc) </w:t>
      </w:r>
      <w:r w:rsidR="00F46FE6">
        <w:rPr>
          <w:rFonts w:ascii="Garamond" w:hAnsi="Garamond"/>
          <w:sz w:val="20"/>
          <w:szCs w:val="20"/>
          <w:lang w:val="en-US"/>
        </w:rPr>
        <w:t xml:space="preserve">is </w:t>
      </w:r>
      <w:r w:rsidR="009B669E">
        <w:rPr>
          <w:rFonts w:ascii="Garamond" w:hAnsi="Garamond"/>
          <w:sz w:val="20"/>
          <w:szCs w:val="20"/>
          <w:lang w:val="en-US"/>
        </w:rPr>
        <w:t>solely at the</w:t>
      </w:r>
      <w:r w:rsidRPr="00811515">
        <w:rPr>
          <w:rFonts w:ascii="Garamond" w:hAnsi="Garamond"/>
          <w:sz w:val="20"/>
          <w:szCs w:val="20"/>
          <w:lang w:val="en-US"/>
        </w:rPr>
        <w:t xml:space="preserve"> discretion of </w:t>
      </w:r>
      <w:r w:rsidR="00F46FE6">
        <w:rPr>
          <w:rFonts w:ascii="Garamond" w:hAnsi="Garamond"/>
          <w:sz w:val="20"/>
          <w:szCs w:val="20"/>
          <w:lang w:val="en-US"/>
        </w:rPr>
        <w:t xml:space="preserve">the </w:t>
      </w:r>
      <w:r w:rsidRPr="00811515">
        <w:rPr>
          <w:rFonts w:ascii="Garamond" w:hAnsi="Garamond"/>
          <w:sz w:val="20"/>
          <w:szCs w:val="20"/>
          <w:lang w:val="en-US"/>
        </w:rPr>
        <w:t>vaccinating physician</w:t>
      </w:r>
      <w:r w:rsidR="00937AC5">
        <w:rPr>
          <w:rFonts w:ascii="Garamond" w:hAnsi="Garamond"/>
          <w:sz w:val="20"/>
          <w:szCs w:val="20"/>
          <w:lang w:val="en-US"/>
        </w:rPr>
        <w:t>s</w:t>
      </w:r>
      <w:r w:rsidRPr="00811515">
        <w:rPr>
          <w:rFonts w:ascii="Garamond" w:hAnsi="Garamond"/>
          <w:sz w:val="20"/>
          <w:szCs w:val="20"/>
          <w:lang w:val="en-US"/>
        </w:rPr>
        <w:t xml:space="preserve">. Protocols for the EPSS activity were approved by the </w:t>
      </w:r>
      <w:r w:rsidRPr="00A71367">
        <w:rPr>
          <w:rFonts w:ascii="Garamond" w:hAnsi="Garamond"/>
          <w:sz w:val="20"/>
          <w:szCs w:val="20"/>
          <w:lang w:val="en-US"/>
        </w:rPr>
        <w:t>Ethics Committee of Liguria Region</w:t>
      </w:r>
      <w:r w:rsidR="00A71367" w:rsidRPr="00A71367">
        <w:rPr>
          <w:rFonts w:ascii="Garamond" w:hAnsi="Garamond"/>
          <w:sz w:val="20"/>
          <w:szCs w:val="20"/>
          <w:lang w:val="en-US"/>
        </w:rPr>
        <w:t xml:space="preserve"> (</w:t>
      </w:r>
      <w:r w:rsidR="00A71367">
        <w:rPr>
          <w:rFonts w:ascii="Garamond" w:hAnsi="Garamond"/>
          <w:sz w:val="20"/>
          <w:szCs w:val="20"/>
          <w:lang w:val="en-US"/>
        </w:rPr>
        <w:t>resolutions</w:t>
      </w:r>
      <w:r w:rsidR="00A71367" w:rsidRPr="00A71367">
        <w:rPr>
          <w:rFonts w:ascii="Garamond" w:hAnsi="Garamond"/>
          <w:sz w:val="20"/>
          <w:szCs w:val="20"/>
          <w:lang w:val="en-US"/>
        </w:rPr>
        <w:t xml:space="preserve"> 222/2019</w:t>
      </w:r>
      <w:r w:rsidR="00A71367">
        <w:rPr>
          <w:rFonts w:ascii="Garamond" w:hAnsi="Garamond"/>
          <w:sz w:val="20"/>
          <w:szCs w:val="20"/>
          <w:lang w:val="en-US"/>
        </w:rPr>
        <w:t xml:space="preserve"> and </w:t>
      </w:r>
      <w:r w:rsidR="00A71367" w:rsidRPr="00A71367">
        <w:rPr>
          <w:rFonts w:ascii="Garamond" w:hAnsi="Garamond"/>
          <w:sz w:val="20"/>
          <w:szCs w:val="20"/>
          <w:lang w:val="en-US"/>
        </w:rPr>
        <w:t>346/2020</w:t>
      </w:r>
      <w:r w:rsidR="00A71367">
        <w:rPr>
          <w:rFonts w:ascii="Garamond" w:hAnsi="Garamond"/>
          <w:sz w:val="20"/>
          <w:szCs w:val="20"/>
          <w:lang w:val="en-US"/>
        </w:rPr>
        <w:t>)</w:t>
      </w:r>
      <w:r w:rsidRPr="00A71367">
        <w:rPr>
          <w:rFonts w:ascii="Garamond" w:hAnsi="Garamond"/>
          <w:sz w:val="20"/>
          <w:szCs w:val="20"/>
          <w:lang w:val="en-US"/>
        </w:rPr>
        <w:t>.</w:t>
      </w:r>
    </w:p>
    <w:p w14:paraId="0CA69F6F" w14:textId="77777777" w:rsidR="00811515" w:rsidRDefault="00811515" w:rsidP="00811515">
      <w:pPr>
        <w:spacing w:after="0" w:line="360" w:lineRule="auto"/>
        <w:jc w:val="both"/>
        <w:rPr>
          <w:rFonts w:ascii="Garamond" w:hAnsi="Garamond"/>
          <w:b/>
          <w:bCs/>
          <w:sz w:val="20"/>
          <w:szCs w:val="20"/>
          <w:lang w:val="en-US"/>
        </w:rPr>
      </w:pPr>
    </w:p>
    <w:p w14:paraId="68ACCAF3" w14:textId="07632822" w:rsidR="00226312" w:rsidRPr="002F0A24" w:rsidRDefault="00AA5194" w:rsidP="002F0A24">
      <w:pPr>
        <w:pStyle w:val="Paragrafoelenco"/>
        <w:numPr>
          <w:ilvl w:val="1"/>
          <w:numId w:val="2"/>
        </w:numPr>
        <w:spacing w:after="0" w:line="360" w:lineRule="auto"/>
        <w:jc w:val="both"/>
        <w:rPr>
          <w:rFonts w:ascii="Garamond" w:hAnsi="Garamond"/>
          <w:b/>
          <w:bCs/>
          <w:sz w:val="20"/>
          <w:szCs w:val="20"/>
          <w:lang w:val="en-US"/>
        </w:rPr>
      </w:pPr>
      <w:r w:rsidRPr="002F0A24">
        <w:rPr>
          <w:rFonts w:ascii="Garamond" w:hAnsi="Garamond"/>
          <w:b/>
          <w:bCs/>
          <w:sz w:val="20"/>
          <w:szCs w:val="20"/>
          <w:lang w:val="en-US"/>
        </w:rPr>
        <w:t>Exposure to the c</w:t>
      </w:r>
      <w:r w:rsidR="009062E9" w:rsidRPr="002F0A24">
        <w:rPr>
          <w:rFonts w:ascii="Garamond" w:hAnsi="Garamond"/>
          <w:b/>
          <w:bCs/>
          <w:sz w:val="20"/>
          <w:szCs w:val="20"/>
          <w:lang w:val="en-US"/>
        </w:rPr>
        <w:t>ell culture-based quadrivalent influenza vaccine (QIVc)</w:t>
      </w:r>
    </w:p>
    <w:p w14:paraId="5852B2F4" w14:textId="77777777" w:rsidR="00F757CF" w:rsidRDefault="00F757CF" w:rsidP="00811515">
      <w:pPr>
        <w:spacing w:after="0" w:line="360" w:lineRule="auto"/>
        <w:jc w:val="both"/>
        <w:rPr>
          <w:rFonts w:ascii="Garamond" w:hAnsi="Garamond"/>
          <w:sz w:val="20"/>
          <w:szCs w:val="20"/>
          <w:lang w:val="en-US"/>
        </w:rPr>
      </w:pPr>
    </w:p>
    <w:p w14:paraId="583D33F9" w14:textId="1E7BCF30" w:rsidR="00811515" w:rsidRDefault="00BB6ABB" w:rsidP="00811515">
      <w:pPr>
        <w:spacing w:after="0" w:line="360" w:lineRule="auto"/>
        <w:jc w:val="both"/>
        <w:rPr>
          <w:rFonts w:ascii="Garamond" w:hAnsi="Garamond"/>
          <w:sz w:val="20"/>
          <w:szCs w:val="20"/>
          <w:lang w:val="en-US"/>
        </w:rPr>
      </w:pPr>
      <w:r>
        <w:rPr>
          <w:rFonts w:ascii="Garamond" w:hAnsi="Garamond"/>
          <w:sz w:val="20"/>
          <w:szCs w:val="20"/>
          <w:lang w:val="en-US"/>
        </w:rPr>
        <w:t xml:space="preserve">QIVc is </w:t>
      </w:r>
      <w:r w:rsidR="00CC5577">
        <w:rPr>
          <w:rFonts w:ascii="Garamond" w:hAnsi="Garamond"/>
          <w:sz w:val="20"/>
          <w:szCs w:val="20"/>
          <w:lang w:val="en-US"/>
        </w:rPr>
        <w:t>a</w:t>
      </w:r>
      <w:r w:rsidR="00030818">
        <w:rPr>
          <w:rFonts w:ascii="Garamond" w:hAnsi="Garamond"/>
          <w:sz w:val="20"/>
          <w:szCs w:val="20"/>
          <w:lang w:val="en-US"/>
        </w:rPr>
        <w:t>n</w:t>
      </w:r>
      <w:r w:rsidR="00CC5577">
        <w:rPr>
          <w:rFonts w:ascii="Garamond" w:hAnsi="Garamond"/>
          <w:sz w:val="20"/>
          <w:szCs w:val="20"/>
          <w:lang w:val="en-US"/>
        </w:rPr>
        <w:t xml:space="preserve"> inactivated </w:t>
      </w:r>
      <w:r w:rsidR="004D170E">
        <w:rPr>
          <w:rFonts w:ascii="Garamond" w:hAnsi="Garamond"/>
          <w:sz w:val="20"/>
          <w:szCs w:val="20"/>
          <w:lang w:val="en-US"/>
        </w:rPr>
        <w:t xml:space="preserve">non-adjuvanted </w:t>
      </w:r>
      <w:r w:rsidR="00E57074">
        <w:rPr>
          <w:rFonts w:ascii="Garamond" w:hAnsi="Garamond"/>
          <w:sz w:val="20"/>
          <w:szCs w:val="20"/>
          <w:lang w:val="en-US"/>
        </w:rPr>
        <w:t xml:space="preserve">standard-dose (15 </w:t>
      </w:r>
      <w:proofErr w:type="spellStart"/>
      <w:r w:rsidR="00E57074" w:rsidRPr="0066725A">
        <w:rPr>
          <w:rFonts w:ascii="Garamond" w:hAnsi="Garamond"/>
          <w:i/>
          <w:sz w:val="20"/>
          <w:szCs w:val="20"/>
          <w:lang w:val="en-US"/>
        </w:rPr>
        <w:t>μ</w:t>
      </w:r>
      <w:r w:rsidR="00E57074">
        <w:rPr>
          <w:rFonts w:ascii="Garamond" w:hAnsi="Garamond"/>
          <w:sz w:val="20"/>
          <w:szCs w:val="20"/>
          <w:lang w:val="en-US"/>
        </w:rPr>
        <w:t>g</w:t>
      </w:r>
      <w:proofErr w:type="spellEnd"/>
      <w:r w:rsidR="00E57074">
        <w:rPr>
          <w:rFonts w:ascii="Garamond" w:hAnsi="Garamond"/>
          <w:sz w:val="20"/>
          <w:szCs w:val="20"/>
          <w:lang w:val="en-US"/>
        </w:rPr>
        <w:t xml:space="preserve"> of hemagglutinin per strain) </w:t>
      </w:r>
      <w:r w:rsidR="00C02780">
        <w:rPr>
          <w:rFonts w:ascii="Garamond" w:hAnsi="Garamond"/>
          <w:sz w:val="20"/>
          <w:szCs w:val="20"/>
          <w:lang w:val="en-US"/>
        </w:rPr>
        <w:t xml:space="preserve">subunit </w:t>
      </w:r>
      <w:r w:rsidR="00030818">
        <w:rPr>
          <w:rFonts w:ascii="Garamond" w:hAnsi="Garamond"/>
          <w:sz w:val="20"/>
          <w:szCs w:val="20"/>
          <w:lang w:val="en-US"/>
        </w:rPr>
        <w:t xml:space="preserve">vaccine </w:t>
      </w:r>
      <w:r w:rsidR="0080648C">
        <w:rPr>
          <w:rFonts w:ascii="Garamond" w:hAnsi="Garamond"/>
          <w:sz w:val="20"/>
          <w:szCs w:val="20"/>
          <w:lang w:val="en-US"/>
        </w:rPr>
        <w:t xml:space="preserve">that contains surface antigens </w:t>
      </w:r>
      <w:r w:rsidR="002D51E6">
        <w:rPr>
          <w:rFonts w:ascii="Garamond" w:hAnsi="Garamond"/>
          <w:sz w:val="20"/>
          <w:szCs w:val="20"/>
          <w:lang w:val="en-US"/>
        </w:rPr>
        <w:t xml:space="preserve">(hemagglutinin and neuraminidase) </w:t>
      </w:r>
      <w:r w:rsidR="002000F4">
        <w:rPr>
          <w:rFonts w:ascii="Garamond" w:hAnsi="Garamond"/>
          <w:sz w:val="20"/>
          <w:szCs w:val="20"/>
          <w:lang w:val="en-US"/>
        </w:rPr>
        <w:t xml:space="preserve">of four </w:t>
      </w:r>
      <w:r w:rsidR="00691FF1">
        <w:rPr>
          <w:rFonts w:ascii="Garamond" w:hAnsi="Garamond"/>
          <w:sz w:val="20"/>
          <w:szCs w:val="20"/>
          <w:lang w:val="en-US"/>
        </w:rPr>
        <w:t>strains</w:t>
      </w:r>
      <w:r w:rsidR="00FE24B9">
        <w:rPr>
          <w:rFonts w:ascii="Garamond" w:hAnsi="Garamond"/>
          <w:sz w:val="20"/>
          <w:szCs w:val="20"/>
          <w:lang w:val="en-US"/>
        </w:rPr>
        <w:t xml:space="preserve">, which are </w:t>
      </w:r>
      <w:r w:rsidR="00D53C94">
        <w:rPr>
          <w:rFonts w:ascii="Garamond" w:hAnsi="Garamond"/>
          <w:sz w:val="20"/>
          <w:szCs w:val="20"/>
          <w:lang w:val="en-US"/>
        </w:rPr>
        <w:t xml:space="preserve">regularly </w:t>
      </w:r>
      <w:r w:rsidR="00FE24B9">
        <w:rPr>
          <w:rFonts w:ascii="Garamond" w:hAnsi="Garamond"/>
          <w:sz w:val="20"/>
          <w:szCs w:val="20"/>
          <w:lang w:val="en-US"/>
        </w:rPr>
        <w:t xml:space="preserve">updated </w:t>
      </w:r>
      <w:r w:rsidR="00783A9E">
        <w:rPr>
          <w:rFonts w:ascii="Garamond" w:hAnsi="Garamond"/>
          <w:sz w:val="20"/>
          <w:szCs w:val="20"/>
          <w:lang w:val="en-US"/>
        </w:rPr>
        <w:t xml:space="preserve">according to the World Health Organization’s (WHO) </w:t>
      </w:r>
      <w:r w:rsidR="00D53C94">
        <w:rPr>
          <w:rFonts w:ascii="Garamond" w:hAnsi="Garamond"/>
          <w:sz w:val="20"/>
          <w:szCs w:val="20"/>
          <w:lang w:val="en-US"/>
        </w:rPr>
        <w:t>recommendations</w:t>
      </w:r>
      <w:r w:rsidR="0022411E">
        <w:rPr>
          <w:rFonts w:ascii="Garamond" w:hAnsi="Garamond"/>
          <w:sz w:val="20"/>
          <w:szCs w:val="20"/>
          <w:lang w:val="en-US"/>
        </w:rPr>
        <w:t xml:space="preserve"> for </w:t>
      </w:r>
      <w:r w:rsidR="009B5D69">
        <w:rPr>
          <w:rFonts w:ascii="Garamond" w:hAnsi="Garamond"/>
          <w:sz w:val="20"/>
          <w:szCs w:val="20"/>
          <w:lang w:val="en-US"/>
        </w:rPr>
        <w:t>the NH season</w:t>
      </w:r>
      <w:r w:rsidR="00D53C94">
        <w:rPr>
          <w:rFonts w:ascii="Garamond" w:hAnsi="Garamond"/>
          <w:sz w:val="20"/>
          <w:szCs w:val="20"/>
          <w:lang w:val="en-US"/>
        </w:rPr>
        <w:t>.</w:t>
      </w:r>
      <w:r w:rsidR="00F22C4A">
        <w:rPr>
          <w:rFonts w:ascii="Garamond" w:hAnsi="Garamond"/>
          <w:sz w:val="20"/>
          <w:szCs w:val="20"/>
          <w:vertAlign w:val="superscript"/>
          <w:lang w:val="en-US"/>
        </w:rPr>
        <w:t>22</w:t>
      </w:r>
      <w:r w:rsidR="00A059CB">
        <w:rPr>
          <w:rFonts w:ascii="Garamond" w:hAnsi="Garamond"/>
          <w:sz w:val="20"/>
          <w:szCs w:val="20"/>
          <w:lang w:val="en-US"/>
        </w:rPr>
        <w:t xml:space="preserve"> In particular, </w:t>
      </w:r>
      <w:r w:rsidR="00B92018">
        <w:rPr>
          <w:rFonts w:ascii="Garamond" w:hAnsi="Garamond"/>
          <w:sz w:val="20"/>
          <w:szCs w:val="20"/>
          <w:lang w:val="en-US"/>
        </w:rPr>
        <w:t xml:space="preserve">during the </w:t>
      </w:r>
      <w:r w:rsidR="00811515">
        <w:rPr>
          <w:rFonts w:ascii="Garamond" w:hAnsi="Garamond"/>
          <w:sz w:val="20"/>
          <w:szCs w:val="20"/>
          <w:lang w:val="en-US"/>
        </w:rPr>
        <w:t>surveillance</w:t>
      </w:r>
      <w:r w:rsidR="00B92018">
        <w:rPr>
          <w:rFonts w:ascii="Garamond" w:hAnsi="Garamond"/>
          <w:sz w:val="20"/>
          <w:szCs w:val="20"/>
          <w:lang w:val="en-US"/>
        </w:rPr>
        <w:t xml:space="preserve"> period of three consecutive seasons </w:t>
      </w:r>
      <w:r w:rsidR="00A059CB">
        <w:rPr>
          <w:rFonts w:ascii="Garamond" w:hAnsi="Garamond"/>
          <w:sz w:val="20"/>
          <w:szCs w:val="20"/>
          <w:lang w:val="en-US"/>
        </w:rPr>
        <w:t xml:space="preserve">both </w:t>
      </w:r>
      <w:r w:rsidR="009B5D69">
        <w:rPr>
          <w:rFonts w:ascii="Garamond" w:hAnsi="Garamond"/>
          <w:sz w:val="20"/>
          <w:szCs w:val="20"/>
          <w:lang w:val="en-US"/>
        </w:rPr>
        <w:t xml:space="preserve">the </w:t>
      </w:r>
      <w:r w:rsidR="00A059CB">
        <w:rPr>
          <w:rFonts w:ascii="Garamond" w:hAnsi="Garamond"/>
          <w:sz w:val="20"/>
          <w:szCs w:val="20"/>
          <w:lang w:val="en-US"/>
        </w:rPr>
        <w:t xml:space="preserve">A(H1N1)pdm09 and A(H3N2) </w:t>
      </w:r>
      <w:r w:rsidR="009B5D69">
        <w:rPr>
          <w:rFonts w:ascii="Garamond" w:hAnsi="Garamond"/>
          <w:sz w:val="20"/>
          <w:szCs w:val="20"/>
          <w:lang w:val="en-US"/>
        </w:rPr>
        <w:t xml:space="preserve">strains </w:t>
      </w:r>
      <w:r w:rsidR="00926FEF">
        <w:rPr>
          <w:rFonts w:ascii="Garamond" w:hAnsi="Garamond"/>
          <w:sz w:val="20"/>
          <w:szCs w:val="20"/>
          <w:lang w:val="en-US"/>
        </w:rPr>
        <w:t xml:space="preserve">changed each year. </w:t>
      </w:r>
      <w:r w:rsidR="0013535A">
        <w:rPr>
          <w:rFonts w:ascii="Garamond" w:hAnsi="Garamond"/>
          <w:sz w:val="20"/>
          <w:szCs w:val="20"/>
          <w:lang w:val="en-US"/>
        </w:rPr>
        <w:t>B/</w:t>
      </w:r>
      <w:r w:rsidR="00C743F3">
        <w:rPr>
          <w:rFonts w:ascii="Garamond" w:hAnsi="Garamond"/>
          <w:sz w:val="20"/>
          <w:szCs w:val="20"/>
          <w:lang w:val="en-US"/>
        </w:rPr>
        <w:t>Victoria</w:t>
      </w:r>
      <w:r w:rsidR="0013535A">
        <w:rPr>
          <w:rFonts w:ascii="Garamond" w:hAnsi="Garamond"/>
          <w:sz w:val="20"/>
          <w:szCs w:val="20"/>
          <w:lang w:val="en-US"/>
        </w:rPr>
        <w:t xml:space="preserve"> vaccine strain changed </w:t>
      </w:r>
      <w:r w:rsidR="005F61AD">
        <w:rPr>
          <w:rFonts w:ascii="Garamond" w:hAnsi="Garamond"/>
          <w:sz w:val="20"/>
          <w:szCs w:val="20"/>
          <w:lang w:val="en-US"/>
        </w:rPr>
        <w:t>for</w:t>
      </w:r>
      <w:r w:rsidR="00C31272">
        <w:rPr>
          <w:rFonts w:ascii="Garamond" w:hAnsi="Garamond"/>
          <w:sz w:val="20"/>
          <w:szCs w:val="20"/>
          <w:lang w:val="en-US"/>
        </w:rPr>
        <w:t xml:space="preserve"> the 2020/21 season, whil</w:t>
      </w:r>
      <w:r w:rsidR="009B5D69">
        <w:rPr>
          <w:rFonts w:ascii="Garamond" w:hAnsi="Garamond"/>
          <w:sz w:val="20"/>
          <w:szCs w:val="20"/>
          <w:lang w:val="en-US"/>
        </w:rPr>
        <w:t>st the</w:t>
      </w:r>
      <w:r w:rsidR="00C743F3">
        <w:rPr>
          <w:rFonts w:ascii="Garamond" w:hAnsi="Garamond"/>
          <w:sz w:val="20"/>
          <w:szCs w:val="20"/>
          <w:lang w:val="en-US"/>
        </w:rPr>
        <w:t xml:space="preserve"> B/Yamagata QIVc </w:t>
      </w:r>
      <w:r w:rsidR="009B5D69">
        <w:rPr>
          <w:rFonts w:ascii="Garamond" w:hAnsi="Garamond"/>
          <w:sz w:val="20"/>
          <w:szCs w:val="20"/>
          <w:lang w:val="en-US"/>
        </w:rPr>
        <w:t xml:space="preserve">strain </w:t>
      </w:r>
      <w:r w:rsidR="00604D3E">
        <w:rPr>
          <w:rFonts w:ascii="Garamond" w:hAnsi="Garamond"/>
          <w:sz w:val="20"/>
          <w:szCs w:val="20"/>
          <w:lang w:val="en-US"/>
        </w:rPr>
        <w:t xml:space="preserve">remained </w:t>
      </w:r>
      <w:r w:rsidR="00F06260">
        <w:rPr>
          <w:rFonts w:ascii="Garamond" w:hAnsi="Garamond"/>
          <w:sz w:val="20"/>
          <w:szCs w:val="20"/>
          <w:lang w:val="en-US"/>
        </w:rPr>
        <w:t>unchanged</w:t>
      </w:r>
      <w:r w:rsidR="00604D3E">
        <w:rPr>
          <w:rFonts w:ascii="Garamond" w:hAnsi="Garamond"/>
          <w:sz w:val="20"/>
          <w:szCs w:val="20"/>
          <w:lang w:val="en-US"/>
        </w:rPr>
        <w:t xml:space="preserve"> for all three seasons</w:t>
      </w:r>
      <w:r w:rsidR="00F06260">
        <w:rPr>
          <w:rFonts w:ascii="Garamond" w:hAnsi="Garamond"/>
          <w:sz w:val="20"/>
          <w:szCs w:val="20"/>
          <w:lang w:val="en-US"/>
        </w:rPr>
        <w:t xml:space="preserve"> (</w:t>
      </w:r>
      <w:r w:rsidR="006956D6">
        <w:rPr>
          <w:rFonts w:ascii="Garamond" w:hAnsi="Garamond"/>
          <w:sz w:val="20"/>
          <w:szCs w:val="20"/>
          <w:lang w:val="en-US"/>
        </w:rPr>
        <w:t>Table</w:t>
      </w:r>
      <w:r w:rsidR="00F06260">
        <w:rPr>
          <w:rFonts w:ascii="Garamond" w:hAnsi="Garamond"/>
          <w:sz w:val="20"/>
          <w:szCs w:val="20"/>
          <w:lang w:val="en-US"/>
        </w:rPr>
        <w:t xml:space="preserve"> </w:t>
      </w:r>
      <w:r w:rsidR="006956D6">
        <w:rPr>
          <w:rFonts w:ascii="Garamond" w:hAnsi="Garamond"/>
          <w:sz w:val="20"/>
          <w:szCs w:val="20"/>
          <w:lang w:val="en-US"/>
        </w:rPr>
        <w:t>S</w:t>
      </w:r>
      <w:r w:rsidR="00F06260">
        <w:rPr>
          <w:rFonts w:ascii="Garamond" w:hAnsi="Garamond"/>
          <w:sz w:val="20"/>
          <w:szCs w:val="20"/>
          <w:lang w:val="en-US"/>
        </w:rPr>
        <w:t>1)</w:t>
      </w:r>
      <w:r w:rsidR="00604D3E">
        <w:rPr>
          <w:rFonts w:ascii="Garamond" w:hAnsi="Garamond"/>
          <w:sz w:val="20"/>
          <w:szCs w:val="20"/>
          <w:lang w:val="en-US"/>
        </w:rPr>
        <w:t>.</w:t>
      </w:r>
      <w:r w:rsidR="00237943">
        <w:rPr>
          <w:rFonts w:ascii="Garamond" w:hAnsi="Garamond"/>
          <w:sz w:val="20"/>
          <w:szCs w:val="20"/>
          <w:lang w:val="en-US"/>
        </w:rPr>
        <w:t xml:space="preserve"> QIVc </w:t>
      </w:r>
      <w:r w:rsidR="002D65D9" w:rsidRPr="002D65D9">
        <w:rPr>
          <w:rFonts w:ascii="Garamond" w:hAnsi="Garamond"/>
          <w:sz w:val="20"/>
          <w:szCs w:val="20"/>
          <w:lang w:val="en-US"/>
        </w:rPr>
        <w:t xml:space="preserve">is manufactured from influenza viruses propagated in </w:t>
      </w:r>
      <w:r w:rsidR="00937AC5">
        <w:rPr>
          <w:rFonts w:ascii="Garamond" w:hAnsi="Garamond"/>
          <w:sz w:val="20"/>
          <w:szCs w:val="20"/>
          <w:lang w:val="en-US"/>
        </w:rPr>
        <w:t xml:space="preserve">the </w:t>
      </w:r>
      <w:proofErr w:type="spellStart"/>
      <w:r w:rsidR="002D65D9" w:rsidRPr="002D65D9">
        <w:rPr>
          <w:rFonts w:ascii="Garamond" w:hAnsi="Garamond"/>
          <w:sz w:val="20"/>
          <w:szCs w:val="20"/>
          <w:lang w:val="en-US"/>
        </w:rPr>
        <w:t>Madin</w:t>
      </w:r>
      <w:proofErr w:type="spellEnd"/>
      <w:r w:rsidR="002D65D9" w:rsidRPr="002D65D9">
        <w:rPr>
          <w:rFonts w:ascii="Garamond" w:hAnsi="Garamond"/>
          <w:sz w:val="20"/>
          <w:szCs w:val="20"/>
          <w:lang w:val="en-US"/>
        </w:rPr>
        <w:t>-Darby canine kidney</w:t>
      </w:r>
      <w:r w:rsidR="00237943">
        <w:rPr>
          <w:rFonts w:ascii="Garamond" w:hAnsi="Garamond"/>
          <w:sz w:val="20"/>
          <w:szCs w:val="20"/>
          <w:lang w:val="en-US"/>
        </w:rPr>
        <w:t xml:space="preserve"> (MDCK) cell culture.</w:t>
      </w:r>
      <w:r w:rsidR="00060506">
        <w:rPr>
          <w:rFonts w:ascii="Garamond" w:hAnsi="Garamond"/>
          <w:sz w:val="20"/>
          <w:szCs w:val="20"/>
          <w:lang w:val="en-US"/>
        </w:rPr>
        <w:t xml:space="preserve"> </w:t>
      </w:r>
      <w:r w:rsidR="00811515">
        <w:rPr>
          <w:rFonts w:ascii="Garamond" w:hAnsi="Garamond"/>
          <w:sz w:val="20"/>
          <w:szCs w:val="20"/>
          <w:lang w:val="en-US"/>
        </w:rPr>
        <w:t xml:space="preserve">Vaccinees were enrolled according to the age indication of QIVc, </w:t>
      </w:r>
      <w:r w:rsidR="00937AC5">
        <w:rPr>
          <w:rFonts w:ascii="Garamond" w:hAnsi="Garamond"/>
          <w:sz w:val="20"/>
          <w:szCs w:val="20"/>
          <w:lang w:val="en-US"/>
        </w:rPr>
        <w:t xml:space="preserve">which </w:t>
      </w:r>
      <w:r w:rsidR="00060506">
        <w:rPr>
          <w:rFonts w:ascii="Garamond" w:hAnsi="Garamond"/>
          <w:sz w:val="20"/>
          <w:szCs w:val="20"/>
          <w:lang w:val="en-US"/>
        </w:rPr>
        <w:t>for the 2021/22 season</w:t>
      </w:r>
      <w:r w:rsidR="00F46FE6">
        <w:rPr>
          <w:rFonts w:ascii="Garamond" w:hAnsi="Garamond"/>
          <w:sz w:val="20"/>
          <w:szCs w:val="20"/>
          <w:lang w:val="en-US"/>
        </w:rPr>
        <w:t xml:space="preserve"> changed</w:t>
      </w:r>
      <w:r w:rsidR="00060506">
        <w:rPr>
          <w:rFonts w:ascii="Garamond" w:hAnsi="Garamond"/>
          <w:sz w:val="20"/>
          <w:szCs w:val="20"/>
          <w:lang w:val="en-US"/>
        </w:rPr>
        <w:t xml:space="preserve"> from</w:t>
      </w:r>
      <w:r w:rsidR="009B5D69">
        <w:rPr>
          <w:rFonts w:ascii="Garamond" w:hAnsi="Garamond"/>
          <w:sz w:val="20"/>
          <w:szCs w:val="20"/>
          <w:lang w:val="en-US"/>
        </w:rPr>
        <w:t xml:space="preserve"> adults and children</w:t>
      </w:r>
      <w:r w:rsidR="00060506">
        <w:rPr>
          <w:rFonts w:ascii="Garamond" w:hAnsi="Garamond"/>
          <w:sz w:val="20"/>
          <w:szCs w:val="20"/>
          <w:lang w:val="en-US"/>
        </w:rPr>
        <w:t xml:space="preserve"> </w:t>
      </w:r>
      <w:r w:rsidR="00060506" w:rsidRPr="00060506">
        <w:rPr>
          <w:rFonts w:ascii="Garamond" w:hAnsi="Garamond"/>
          <w:sz w:val="20"/>
          <w:szCs w:val="20"/>
          <w:lang w:val="en-US"/>
        </w:rPr>
        <w:t>≥</w:t>
      </w:r>
      <w:r w:rsidR="00060506">
        <w:rPr>
          <w:rFonts w:ascii="Garamond" w:hAnsi="Garamond"/>
          <w:sz w:val="20"/>
          <w:szCs w:val="20"/>
          <w:lang w:val="en-US"/>
        </w:rPr>
        <w:t xml:space="preserve"> 9 years to </w:t>
      </w:r>
      <w:r w:rsidR="009B5D69">
        <w:rPr>
          <w:rFonts w:ascii="Garamond" w:hAnsi="Garamond"/>
          <w:sz w:val="20"/>
          <w:szCs w:val="20"/>
          <w:lang w:val="en-US"/>
        </w:rPr>
        <w:t xml:space="preserve">adults and children </w:t>
      </w:r>
      <w:r w:rsidR="00060506" w:rsidRPr="00060506">
        <w:rPr>
          <w:rFonts w:ascii="Garamond" w:hAnsi="Garamond"/>
          <w:sz w:val="20"/>
          <w:szCs w:val="20"/>
          <w:lang w:val="en-US"/>
        </w:rPr>
        <w:t>≥</w:t>
      </w:r>
      <w:r w:rsidR="00060506">
        <w:rPr>
          <w:rFonts w:ascii="Garamond" w:hAnsi="Garamond"/>
          <w:sz w:val="20"/>
          <w:szCs w:val="20"/>
          <w:lang w:val="en-US"/>
        </w:rPr>
        <w:t xml:space="preserve"> 2 years.</w:t>
      </w:r>
    </w:p>
    <w:p w14:paraId="7EE19FED" w14:textId="3C456E2D" w:rsidR="003910B3" w:rsidRDefault="00AA5194" w:rsidP="003910B3">
      <w:pPr>
        <w:spacing w:after="0" w:line="360" w:lineRule="auto"/>
        <w:jc w:val="both"/>
        <w:rPr>
          <w:rFonts w:ascii="Garamond" w:hAnsi="Garamond"/>
          <w:sz w:val="20"/>
          <w:szCs w:val="20"/>
          <w:lang w:val="en-US"/>
        </w:rPr>
      </w:pPr>
      <w:r>
        <w:rPr>
          <w:rFonts w:ascii="Garamond" w:hAnsi="Garamond"/>
          <w:sz w:val="20"/>
          <w:szCs w:val="20"/>
          <w:lang w:val="en-US"/>
        </w:rPr>
        <w:t xml:space="preserve">During </w:t>
      </w:r>
      <w:r w:rsidR="00937AC5">
        <w:rPr>
          <w:rFonts w:ascii="Garamond" w:hAnsi="Garamond"/>
          <w:sz w:val="20"/>
          <w:szCs w:val="20"/>
          <w:lang w:val="en-US"/>
        </w:rPr>
        <w:t xml:space="preserve">the </w:t>
      </w:r>
      <w:r>
        <w:rPr>
          <w:rFonts w:ascii="Garamond" w:hAnsi="Garamond"/>
          <w:sz w:val="20"/>
          <w:szCs w:val="20"/>
          <w:lang w:val="en-US"/>
        </w:rPr>
        <w:t>three seasons, 13</w:t>
      </w:r>
      <w:r w:rsidR="00FB5F25">
        <w:rPr>
          <w:rFonts w:ascii="Garamond" w:hAnsi="Garamond"/>
          <w:sz w:val="20"/>
          <w:szCs w:val="20"/>
          <w:lang w:val="en-US"/>
        </w:rPr>
        <w:t>–</w:t>
      </w:r>
      <w:r>
        <w:rPr>
          <w:rFonts w:ascii="Garamond" w:hAnsi="Garamond"/>
          <w:sz w:val="20"/>
          <w:szCs w:val="20"/>
          <w:lang w:val="en-US"/>
        </w:rPr>
        <w:t xml:space="preserve">14 </w:t>
      </w:r>
      <w:r w:rsidR="00EE57CB">
        <w:rPr>
          <w:rFonts w:ascii="Garamond" w:hAnsi="Garamond"/>
          <w:sz w:val="20"/>
          <w:szCs w:val="20"/>
          <w:lang w:val="en-US"/>
        </w:rPr>
        <w:t>general practitioners (</w:t>
      </w:r>
      <w:r w:rsidR="00937AC5">
        <w:rPr>
          <w:rFonts w:ascii="Garamond" w:hAnsi="Garamond"/>
          <w:sz w:val="20"/>
          <w:szCs w:val="20"/>
          <w:lang w:val="en-US"/>
        </w:rPr>
        <w:t>GPs</w:t>
      </w:r>
      <w:r w:rsidR="00EE57CB">
        <w:rPr>
          <w:rFonts w:ascii="Garamond" w:hAnsi="Garamond"/>
          <w:sz w:val="20"/>
          <w:szCs w:val="20"/>
          <w:lang w:val="en-US"/>
        </w:rPr>
        <w:t>)</w:t>
      </w:r>
      <w:r>
        <w:rPr>
          <w:rFonts w:ascii="Garamond" w:hAnsi="Garamond"/>
          <w:sz w:val="20"/>
          <w:szCs w:val="20"/>
          <w:lang w:val="en-US"/>
        </w:rPr>
        <w:t xml:space="preserve"> and primary care pediatricians routinely administered QIVc at their practices. Before the start of each vaccination campaign, all physicians were trained on all relevant aspects of the EPSS. Following immunization, each vaccine</w:t>
      </w:r>
      <w:r w:rsidR="00741030">
        <w:rPr>
          <w:rFonts w:ascii="Garamond" w:hAnsi="Garamond"/>
          <w:sz w:val="20"/>
          <w:szCs w:val="20"/>
          <w:lang w:val="en-US"/>
        </w:rPr>
        <w:t>e</w:t>
      </w:r>
      <w:r>
        <w:rPr>
          <w:rFonts w:ascii="Garamond" w:hAnsi="Garamond"/>
          <w:sz w:val="20"/>
          <w:szCs w:val="20"/>
          <w:lang w:val="en-US"/>
        </w:rPr>
        <w:t xml:space="preserve"> or his/her legal representative were encouraged to report any </w:t>
      </w:r>
      <w:r w:rsidR="00CB081C">
        <w:rPr>
          <w:rFonts w:ascii="Garamond" w:hAnsi="Garamond"/>
          <w:sz w:val="20"/>
          <w:szCs w:val="20"/>
          <w:lang w:val="en-US"/>
        </w:rPr>
        <w:t>AE</w:t>
      </w:r>
      <w:r>
        <w:rPr>
          <w:rFonts w:ascii="Garamond" w:hAnsi="Garamond"/>
          <w:sz w:val="20"/>
          <w:szCs w:val="20"/>
          <w:lang w:val="en-US"/>
        </w:rPr>
        <w:t xml:space="preserve"> in general and</w:t>
      </w:r>
      <w:proofErr w:type="gramStart"/>
      <w:r>
        <w:rPr>
          <w:rFonts w:ascii="Garamond" w:hAnsi="Garamond"/>
          <w:sz w:val="20"/>
          <w:szCs w:val="20"/>
          <w:lang w:val="en-US"/>
        </w:rPr>
        <w:t xml:space="preserve">, in particular, </w:t>
      </w:r>
      <w:r w:rsidR="00CB081C">
        <w:rPr>
          <w:rFonts w:ascii="Garamond" w:hAnsi="Garamond"/>
          <w:sz w:val="20"/>
          <w:szCs w:val="20"/>
          <w:lang w:val="en-US"/>
        </w:rPr>
        <w:t>tho</w:t>
      </w:r>
      <w:r>
        <w:rPr>
          <w:rFonts w:ascii="Garamond" w:hAnsi="Garamond"/>
          <w:sz w:val="20"/>
          <w:szCs w:val="20"/>
          <w:lang w:val="en-US"/>
        </w:rPr>
        <w:t>s</w:t>
      </w:r>
      <w:r w:rsidR="00CB081C">
        <w:rPr>
          <w:rFonts w:ascii="Garamond" w:hAnsi="Garamond"/>
          <w:sz w:val="20"/>
          <w:szCs w:val="20"/>
          <w:lang w:val="en-US"/>
        </w:rPr>
        <w:t>e</w:t>
      </w:r>
      <w:proofErr w:type="gramEnd"/>
      <w:r>
        <w:rPr>
          <w:rFonts w:ascii="Garamond" w:hAnsi="Garamond"/>
          <w:sz w:val="20"/>
          <w:szCs w:val="20"/>
          <w:lang w:val="en-US"/>
        </w:rPr>
        <w:t xml:space="preserve"> occurring in the first 7 days. </w:t>
      </w:r>
      <w:r w:rsidR="003D6C90">
        <w:rPr>
          <w:rFonts w:ascii="Garamond" w:hAnsi="Garamond"/>
          <w:sz w:val="20"/>
          <w:szCs w:val="20"/>
          <w:lang w:val="en-US"/>
        </w:rPr>
        <w:t xml:space="preserve">To facilitate spontaneous reporting, each vaccinee was provided </w:t>
      </w:r>
      <w:r w:rsidR="00CB081C">
        <w:rPr>
          <w:rFonts w:ascii="Garamond" w:hAnsi="Garamond"/>
          <w:sz w:val="20"/>
          <w:szCs w:val="20"/>
          <w:lang w:val="en-US"/>
        </w:rPr>
        <w:t xml:space="preserve">with </w:t>
      </w:r>
      <w:r w:rsidR="003D6C90">
        <w:rPr>
          <w:rFonts w:ascii="Garamond" w:hAnsi="Garamond"/>
          <w:sz w:val="20"/>
          <w:szCs w:val="20"/>
          <w:lang w:val="en-US"/>
        </w:rPr>
        <w:t>a standardized and uniquely numbered vaccination card that reported SIV brand (Flucelvax</w:t>
      </w:r>
      <w:r w:rsidR="00420E75" w:rsidRPr="00064059">
        <w:rPr>
          <w:rFonts w:ascii="Garamond" w:hAnsi="Garamond"/>
          <w:bCs/>
          <w:sz w:val="20"/>
          <w:szCs w:val="24"/>
          <w:vertAlign w:val="superscript"/>
          <w:lang w:val="en-US"/>
        </w:rPr>
        <w:t>®</w:t>
      </w:r>
      <w:r w:rsidR="003D6C90">
        <w:rPr>
          <w:rFonts w:ascii="Garamond" w:hAnsi="Garamond"/>
          <w:sz w:val="20"/>
          <w:szCs w:val="20"/>
          <w:lang w:val="en-US"/>
        </w:rPr>
        <w:t xml:space="preserve"> Tetra) and associated batch number, date of vaccination and contact details to report AEs.</w:t>
      </w:r>
      <w:r w:rsidR="003910B3">
        <w:rPr>
          <w:rFonts w:ascii="Garamond" w:hAnsi="Garamond"/>
          <w:sz w:val="20"/>
          <w:szCs w:val="20"/>
          <w:lang w:val="en-US"/>
        </w:rPr>
        <w:t xml:space="preserve"> The number of vaccination cards distributed corresponds</w:t>
      </w:r>
      <w:r w:rsidR="00CB081C">
        <w:rPr>
          <w:rFonts w:ascii="Garamond" w:hAnsi="Garamond"/>
          <w:sz w:val="20"/>
          <w:szCs w:val="20"/>
          <w:lang w:val="en-US"/>
        </w:rPr>
        <w:t xml:space="preserve"> </w:t>
      </w:r>
      <w:r w:rsidR="003910B3">
        <w:rPr>
          <w:rFonts w:ascii="Garamond" w:hAnsi="Garamond"/>
          <w:sz w:val="20"/>
          <w:szCs w:val="20"/>
          <w:lang w:val="en-US"/>
        </w:rPr>
        <w:t>to the total exposure (denominator</w:t>
      </w:r>
      <w:r w:rsidR="00D7106E">
        <w:rPr>
          <w:rFonts w:ascii="Garamond" w:hAnsi="Garamond"/>
          <w:sz w:val="20"/>
          <w:szCs w:val="20"/>
          <w:lang w:val="en-US"/>
        </w:rPr>
        <w:t xml:space="preserve"> for the reporting rate calculation</w:t>
      </w:r>
      <w:r w:rsidR="003910B3">
        <w:rPr>
          <w:rFonts w:ascii="Garamond" w:hAnsi="Garamond"/>
          <w:sz w:val="20"/>
          <w:szCs w:val="20"/>
          <w:lang w:val="en-US"/>
        </w:rPr>
        <w:t>).</w:t>
      </w:r>
    </w:p>
    <w:p w14:paraId="0556073F" w14:textId="77777777" w:rsidR="00AA5194" w:rsidRDefault="00AA5194" w:rsidP="00811515">
      <w:pPr>
        <w:spacing w:after="0" w:line="360" w:lineRule="auto"/>
        <w:jc w:val="both"/>
        <w:rPr>
          <w:rFonts w:ascii="Garamond" w:hAnsi="Garamond"/>
          <w:sz w:val="20"/>
          <w:szCs w:val="20"/>
          <w:lang w:val="en-US"/>
        </w:rPr>
      </w:pPr>
    </w:p>
    <w:p w14:paraId="23BFBCE4" w14:textId="197A3DE6" w:rsidR="007A16B2" w:rsidRPr="002F0A24" w:rsidRDefault="007A16B2" w:rsidP="002F0A24">
      <w:pPr>
        <w:pStyle w:val="Paragrafoelenco"/>
        <w:numPr>
          <w:ilvl w:val="1"/>
          <w:numId w:val="2"/>
        </w:numPr>
        <w:spacing w:after="0" w:line="360" w:lineRule="auto"/>
        <w:jc w:val="both"/>
        <w:rPr>
          <w:rFonts w:ascii="Garamond" w:hAnsi="Garamond"/>
          <w:b/>
          <w:bCs/>
          <w:sz w:val="20"/>
          <w:szCs w:val="20"/>
          <w:lang w:val="en-US"/>
        </w:rPr>
      </w:pPr>
      <w:r w:rsidRPr="002F0A24">
        <w:rPr>
          <w:rFonts w:ascii="Garamond" w:hAnsi="Garamond"/>
          <w:b/>
          <w:bCs/>
          <w:sz w:val="20"/>
          <w:szCs w:val="20"/>
          <w:lang w:val="en-US"/>
        </w:rPr>
        <w:t>Data collection and analysis</w:t>
      </w:r>
    </w:p>
    <w:p w14:paraId="47DB1051" w14:textId="3A0DE0E6" w:rsidR="007A16B2" w:rsidRDefault="007A16B2" w:rsidP="00811515">
      <w:pPr>
        <w:spacing w:after="0" w:line="360" w:lineRule="auto"/>
        <w:jc w:val="both"/>
        <w:rPr>
          <w:rFonts w:ascii="Garamond" w:hAnsi="Garamond"/>
          <w:sz w:val="20"/>
          <w:szCs w:val="20"/>
          <w:lang w:val="en-US"/>
        </w:rPr>
      </w:pPr>
    </w:p>
    <w:p w14:paraId="64DFFC49" w14:textId="6C8E459D" w:rsidR="007A16B2" w:rsidRDefault="001C2DC2" w:rsidP="00811515">
      <w:pPr>
        <w:spacing w:after="0" w:line="360" w:lineRule="auto"/>
        <w:jc w:val="both"/>
        <w:rPr>
          <w:rFonts w:ascii="Garamond" w:hAnsi="Garamond"/>
          <w:sz w:val="20"/>
          <w:szCs w:val="20"/>
          <w:lang w:val="en-US"/>
        </w:rPr>
      </w:pPr>
      <w:r>
        <w:rPr>
          <w:rFonts w:ascii="Garamond" w:hAnsi="Garamond"/>
          <w:sz w:val="20"/>
          <w:szCs w:val="20"/>
          <w:lang w:val="en-US"/>
        </w:rPr>
        <w:t>The</w:t>
      </w:r>
      <w:r w:rsidR="0085201B">
        <w:rPr>
          <w:rFonts w:ascii="Garamond" w:hAnsi="Garamond"/>
          <w:sz w:val="20"/>
          <w:szCs w:val="20"/>
          <w:lang w:val="en-US"/>
        </w:rPr>
        <w:t xml:space="preserve"> </w:t>
      </w:r>
      <w:r w:rsidR="007A16B2" w:rsidRPr="007A16B2">
        <w:rPr>
          <w:rFonts w:ascii="Garamond" w:hAnsi="Garamond"/>
          <w:sz w:val="20"/>
          <w:szCs w:val="20"/>
          <w:lang w:val="en-US"/>
        </w:rPr>
        <w:t>ICSR</w:t>
      </w:r>
      <w:r w:rsidR="00E421BD">
        <w:rPr>
          <w:rFonts w:ascii="Garamond" w:hAnsi="Garamond"/>
          <w:sz w:val="20"/>
          <w:szCs w:val="20"/>
          <w:lang w:val="en-US"/>
        </w:rPr>
        <w:t>s</w:t>
      </w:r>
      <w:r w:rsidR="007A16B2">
        <w:rPr>
          <w:rFonts w:ascii="Garamond" w:hAnsi="Garamond"/>
          <w:sz w:val="20"/>
          <w:szCs w:val="20"/>
          <w:lang w:val="en-US"/>
        </w:rPr>
        <w:t xml:space="preserve"> </w:t>
      </w:r>
      <w:r w:rsidR="00F52FB3">
        <w:rPr>
          <w:rFonts w:ascii="Garamond" w:hAnsi="Garamond"/>
          <w:sz w:val="20"/>
          <w:szCs w:val="20"/>
          <w:lang w:val="en-US"/>
        </w:rPr>
        <w:t xml:space="preserve">was </w:t>
      </w:r>
      <w:r w:rsidR="001B16E9">
        <w:rPr>
          <w:rFonts w:ascii="Garamond" w:hAnsi="Garamond"/>
          <w:sz w:val="20"/>
          <w:szCs w:val="20"/>
          <w:lang w:val="en-US"/>
        </w:rPr>
        <w:t xml:space="preserve">created when </w:t>
      </w:r>
      <w:r w:rsidR="00F52FB3" w:rsidRPr="00BB48E6">
        <w:rPr>
          <w:rFonts w:ascii="Garamond" w:hAnsi="Garamond"/>
          <w:sz w:val="20"/>
          <w:szCs w:val="20"/>
          <w:lang w:val="en-US"/>
        </w:rPr>
        <w:t>≥</w:t>
      </w:r>
      <w:r w:rsidR="00F52FB3">
        <w:rPr>
          <w:rFonts w:ascii="Garamond" w:hAnsi="Garamond"/>
          <w:sz w:val="20"/>
          <w:szCs w:val="20"/>
          <w:lang w:val="en-US"/>
        </w:rPr>
        <w:t xml:space="preserve"> 1</w:t>
      </w:r>
      <w:r w:rsidR="001B16E9">
        <w:rPr>
          <w:rFonts w:ascii="Garamond" w:hAnsi="Garamond"/>
          <w:sz w:val="20"/>
          <w:szCs w:val="20"/>
          <w:lang w:val="en-US"/>
        </w:rPr>
        <w:t xml:space="preserve"> AE was reported for a vaccine recipient </w:t>
      </w:r>
      <w:r w:rsidR="00F52FB3">
        <w:rPr>
          <w:rFonts w:ascii="Garamond" w:hAnsi="Garamond"/>
          <w:sz w:val="20"/>
          <w:szCs w:val="20"/>
          <w:lang w:val="en-US"/>
        </w:rPr>
        <w:t xml:space="preserve">and </w:t>
      </w:r>
      <w:r w:rsidR="0085201B">
        <w:rPr>
          <w:rFonts w:ascii="Garamond" w:hAnsi="Garamond"/>
          <w:sz w:val="20"/>
          <w:szCs w:val="20"/>
          <w:lang w:val="en-US"/>
        </w:rPr>
        <w:t>served as</w:t>
      </w:r>
      <w:r w:rsidR="001B16E9">
        <w:rPr>
          <w:rFonts w:ascii="Garamond" w:hAnsi="Garamond"/>
          <w:sz w:val="20"/>
          <w:szCs w:val="20"/>
          <w:lang w:val="en-US"/>
        </w:rPr>
        <w:t xml:space="preserve"> the primary</w:t>
      </w:r>
      <w:r w:rsidR="00E421BD">
        <w:rPr>
          <w:rFonts w:ascii="Garamond" w:hAnsi="Garamond"/>
          <w:sz w:val="20"/>
          <w:szCs w:val="20"/>
          <w:lang w:val="en-US"/>
        </w:rPr>
        <w:t xml:space="preserve"> source data</w:t>
      </w:r>
      <w:r w:rsidR="001B16E9">
        <w:rPr>
          <w:rFonts w:ascii="Garamond" w:hAnsi="Garamond"/>
          <w:sz w:val="20"/>
          <w:szCs w:val="20"/>
          <w:lang w:val="en-US"/>
        </w:rPr>
        <w:t>. ICSRs</w:t>
      </w:r>
      <w:r w:rsidR="007A16B2">
        <w:rPr>
          <w:rFonts w:ascii="Garamond" w:hAnsi="Garamond"/>
          <w:sz w:val="20"/>
          <w:szCs w:val="20"/>
          <w:lang w:val="en-US"/>
        </w:rPr>
        <w:t xml:space="preserve"> were collected and processed by trained personnel </w:t>
      </w:r>
      <w:r w:rsidR="001B16E9">
        <w:rPr>
          <w:rFonts w:ascii="Garamond" w:hAnsi="Garamond"/>
          <w:sz w:val="20"/>
          <w:szCs w:val="20"/>
          <w:lang w:val="en-US"/>
        </w:rPr>
        <w:t xml:space="preserve">at </w:t>
      </w:r>
      <w:r w:rsidR="007A16B2">
        <w:rPr>
          <w:rFonts w:ascii="Garamond" w:hAnsi="Garamond"/>
          <w:sz w:val="20"/>
          <w:szCs w:val="20"/>
          <w:lang w:val="en-US"/>
        </w:rPr>
        <w:t>a toll</w:t>
      </w:r>
      <w:r w:rsidR="00CB081C">
        <w:rPr>
          <w:rFonts w:ascii="Garamond" w:hAnsi="Garamond"/>
          <w:sz w:val="20"/>
          <w:szCs w:val="20"/>
          <w:lang w:val="en-US"/>
        </w:rPr>
        <w:t>-</w:t>
      </w:r>
      <w:r w:rsidR="007A16B2">
        <w:rPr>
          <w:rFonts w:ascii="Garamond" w:hAnsi="Garamond"/>
          <w:sz w:val="20"/>
          <w:szCs w:val="20"/>
          <w:lang w:val="en-US"/>
        </w:rPr>
        <w:t>free</w:t>
      </w:r>
      <w:r w:rsidR="00CB081C">
        <w:rPr>
          <w:rFonts w:ascii="Garamond" w:hAnsi="Garamond"/>
          <w:sz w:val="20"/>
          <w:szCs w:val="20"/>
          <w:lang w:val="en-US"/>
        </w:rPr>
        <w:t xml:space="preserve"> </w:t>
      </w:r>
      <w:r w:rsidR="007A16B2">
        <w:rPr>
          <w:rFonts w:ascii="Garamond" w:hAnsi="Garamond"/>
          <w:sz w:val="20"/>
          <w:szCs w:val="20"/>
          <w:lang w:val="en-US"/>
        </w:rPr>
        <w:t xml:space="preserve">call center, </w:t>
      </w:r>
      <w:r w:rsidR="001B16E9">
        <w:rPr>
          <w:rFonts w:ascii="Garamond" w:hAnsi="Garamond"/>
          <w:sz w:val="20"/>
          <w:szCs w:val="20"/>
          <w:lang w:val="en-US"/>
        </w:rPr>
        <w:t xml:space="preserve">the </w:t>
      </w:r>
      <w:r w:rsidR="007A16B2">
        <w:rPr>
          <w:rFonts w:ascii="Garamond" w:hAnsi="Garamond"/>
          <w:sz w:val="20"/>
          <w:szCs w:val="20"/>
          <w:lang w:val="en-US"/>
        </w:rPr>
        <w:t xml:space="preserve">phone number </w:t>
      </w:r>
      <w:r w:rsidR="001B16E9">
        <w:rPr>
          <w:rFonts w:ascii="Garamond" w:hAnsi="Garamond"/>
          <w:sz w:val="20"/>
          <w:szCs w:val="20"/>
          <w:lang w:val="en-US"/>
        </w:rPr>
        <w:t xml:space="preserve">for </w:t>
      </w:r>
      <w:r w:rsidR="007A16B2">
        <w:rPr>
          <w:rFonts w:ascii="Garamond" w:hAnsi="Garamond"/>
          <w:sz w:val="20"/>
          <w:szCs w:val="20"/>
          <w:lang w:val="en-US"/>
        </w:rPr>
        <w:t xml:space="preserve">which was </w:t>
      </w:r>
      <w:r w:rsidR="001B16E9">
        <w:rPr>
          <w:rFonts w:ascii="Garamond" w:hAnsi="Garamond"/>
          <w:sz w:val="20"/>
          <w:szCs w:val="20"/>
          <w:lang w:val="en-US"/>
        </w:rPr>
        <w:t>provided</w:t>
      </w:r>
      <w:r w:rsidR="007A16B2">
        <w:rPr>
          <w:rFonts w:ascii="Garamond" w:hAnsi="Garamond"/>
          <w:sz w:val="20"/>
          <w:szCs w:val="20"/>
          <w:lang w:val="en-US"/>
        </w:rPr>
        <w:t xml:space="preserve"> on vaccination cards, </w:t>
      </w:r>
      <w:r w:rsidR="007A16B2" w:rsidRPr="007A16B2">
        <w:rPr>
          <w:rFonts w:ascii="Garamond" w:hAnsi="Garamond"/>
          <w:sz w:val="20"/>
          <w:szCs w:val="20"/>
          <w:lang w:val="en-US"/>
        </w:rPr>
        <w:t xml:space="preserve">through a structured </w:t>
      </w:r>
      <w:r w:rsidR="007A16B2">
        <w:rPr>
          <w:rFonts w:ascii="Garamond" w:hAnsi="Garamond"/>
          <w:sz w:val="20"/>
          <w:szCs w:val="20"/>
          <w:lang w:val="en-US"/>
        </w:rPr>
        <w:t xml:space="preserve">standardized </w:t>
      </w:r>
      <w:r w:rsidR="007A16B2" w:rsidRPr="007A16B2">
        <w:rPr>
          <w:rFonts w:ascii="Garamond" w:hAnsi="Garamond"/>
          <w:sz w:val="20"/>
          <w:szCs w:val="20"/>
          <w:lang w:val="en-US"/>
        </w:rPr>
        <w:t>interview</w:t>
      </w:r>
      <w:r w:rsidR="007A16B2">
        <w:rPr>
          <w:rFonts w:ascii="Garamond" w:hAnsi="Garamond"/>
          <w:sz w:val="20"/>
          <w:szCs w:val="20"/>
          <w:lang w:val="en-US"/>
        </w:rPr>
        <w:t xml:space="preserve">. This </w:t>
      </w:r>
      <w:r w:rsidR="001B16E9">
        <w:rPr>
          <w:rFonts w:ascii="Garamond" w:hAnsi="Garamond"/>
          <w:sz w:val="20"/>
          <w:szCs w:val="20"/>
          <w:lang w:val="en-US"/>
        </w:rPr>
        <w:t xml:space="preserve">interview </w:t>
      </w:r>
      <w:r w:rsidR="007A16B2">
        <w:rPr>
          <w:rFonts w:ascii="Garamond" w:hAnsi="Garamond"/>
          <w:sz w:val="20"/>
          <w:szCs w:val="20"/>
          <w:lang w:val="en-US"/>
        </w:rPr>
        <w:t xml:space="preserve">aimed to systematically collect the following information: verbatim </w:t>
      </w:r>
      <w:r w:rsidR="007A16B2" w:rsidRPr="007A16B2">
        <w:rPr>
          <w:rFonts w:ascii="Garamond" w:hAnsi="Garamond"/>
          <w:sz w:val="20"/>
          <w:szCs w:val="20"/>
          <w:lang w:val="en-US"/>
        </w:rPr>
        <w:t xml:space="preserve">description of </w:t>
      </w:r>
      <w:r w:rsidR="003910B3">
        <w:rPr>
          <w:rFonts w:ascii="Garamond" w:hAnsi="Garamond"/>
          <w:sz w:val="20"/>
          <w:szCs w:val="20"/>
          <w:lang w:val="en-US"/>
        </w:rPr>
        <w:t xml:space="preserve">the </w:t>
      </w:r>
      <w:r w:rsidR="007A16B2">
        <w:rPr>
          <w:rFonts w:ascii="Garamond" w:hAnsi="Garamond"/>
          <w:sz w:val="20"/>
          <w:szCs w:val="20"/>
          <w:lang w:val="en-US"/>
        </w:rPr>
        <w:t>AE</w:t>
      </w:r>
      <w:r w:rsidR="003910B3">
        <w:rPr>
          <w:rFonts w:ascii="Garamond" w:hAnsi="Garamond"/>
          <w:sz w:val="20"/>
          <w:szCs w:val="20"/>
          <w:lang w:val="en-US"/>
        </w:rPr>
        <w:t>s experienced</w:t>
      </w:r>
      <w:r w:rsidR="007A16B2" w:rsidRPr="007A16B2">
        <w:rPr>
          <w:rFonts w:ascii="Garamond" w:hAnsi="Garamond"/>
          <w:sz w:val="20"/>
          <w:szCs w:val="20"/>
          <w:lang w:val="en-US"/>
        </w:rPr>
        <w:t>,</w:t>
      </w:r>
      <w:r w:rsidR="003910B3">
        <w:rPr>
          <w:rFonts w:ascii="Garamond" w:hAnsi="Garamond"/>
          <w:sz w:val="20"/>
          <w:szCs w:val="20"/>
          <w:lang w:val="en-US"/>
        </w:rPr>
        <w:t xml:space="preserve"> their </w:t>
      </w:r>
      <w:r w:rsidR="00C123F6">
        <w:rPr>
          <w:rFonts w:ascii="Garamond" w:hAnsi="Garamond"/>
          <w:sz w:val="20"/>
          <w:szCs w:val="20"/>
          <w:lang w:val="en-US"/>
        </w:rPr>
        <w:t>onset</w:t>
      </w:r>
      <w:r w:rsidR="003910B3">
        <w:rPr>
          <w:rFonts w:ascii="Garamond" w:hAnsi="Garamond"/>
          <w:sz w:val="20"/>
          <w:szCs w:val="20"/>
          <w:lang w:val="en-US"/>
        </w:rPr>
        <w:t>, severity and outcome, vaccination card number, vaccinee’s demographics, past and present health-related conditions, and concomitant medications</w:t>
      </w:r>
      <w:r w:rsidR="007A16B2" w:rsidRPr="007A16B2">
        <w:rPr>
          <w:rFonts w:ascii="Garamond" w:hAnsi="Garamond"/>
          <w:sz w:val="20"/>
          <w:szCs w:val="20"/>
          <w:lang w:val="en-US"/>
        </w:rPr>
        <w:t>.</w:t>
      </w:r>
    </w:p>
    <w:p w14:paraId="540286D2" w14:textId="1A277733" w:rsidR="007F4DDC" w:rsidRDefault="00BC737F" w:rsidP="00811515">
      <w:pPr>
        <w:spacing w:after="0" w:line="360" w:lineRule="auto"/>
        <w:jc w:val="both"/>
        <w:rPr>
          <w:rFonts w:ascii="Garamond" w:hAnsi="Garamond"/>
          <w:sz w:val="20"/>
          <w:szCs w:val="20"/>
          <w:lang w:val="en-US"/>
        </w:rPr>
      </w:pPr>
      <w:proofErr w:type="gramStart"/>
      <w:r>
        <w:rPr>
          <w:rFonts w:ascii="Garamond" w:hAnsi="Garamond"/>
          <w:sz w:val="20"/>
          <w:szCs w:val="20"/>
          <w:lang w:val="en-US"/>
        </w:rPr>
        <w:t>For the purpose of</w:t>
      </w:r>
      <w:proofErr w:type="gramEnd"/>
      <w:r>
        <w:rPr>
          <w:rFonts w:ascii="Garamond" w:hAnsi="Garamond"/>
          <w:sz w:val="20"/>
          <w:szCs w:val="20"/>
          <w:lang w:val="en-US"/>
        </w:rPr>
        <w:t xml:space="preserve"> </w:t>
      </w:r>
      <w:r w:rsidR="00C9289C">
        <w:rPr>
          <w:rFonts w:ascii="Garamond" w:hAnsi="Garamond"/>
          <w:sz w:val="20"/>
          <w:szCs w:val="20"/>
          <w:lang w:val="en-US"/>
        </w:rPr>
        <w:t xml:space="preserve">EPSS, each ICSR had to meet the following </w:t>
      </w:r>
      <w:r>
        <w:rPr>
          <w:rFonts w:ascii="Garamond" w:hAnsi="Garamond"/>
          <w:sz w:val="20"/>
          <w:szCs w:val="20"/>
          <w:lang w:val="en-US"/>
        </w:rPr>
        <w:t>eligibility</w:t>
      </w:r>
      <w:r w:rsidR="001B16E9">
        <w:rPr>
          <w:rFonts w:ascii="Garamond" w:hAnsi="Garamond"/>
          <w:sz w:val="20"/>
          <w:szCs w:val="20"/>
          <w:lang w:val="en-US"/>
        </w:rPr>
        <w:t xml:space="preserve"> and validity</w:t>
      </w:r>
      <w:r w:rsidR="0001623D">
        <w:rPr>
          <w:rFonts w:ascii="Garamond" w:hAnsi="Garamond"/>
          <w:sz w:val="20"/>
          <w:szCs w:val="20"/>
          <w:lang w:val="en-US"/>
        </w:rPr>
        <w:t xml:space="preserve"> </w:t>
      </w:r>
      <w:r w:rsidR="00C9289C">
        <w:rPr>
          <w:rFonts w:ascii="Garamond" w:hAnsi="Garamond"/>
          <w:sz w:val="20"/>
          <w:szCs w:val="20"/>
          <w:lang w:val="en-US"/>
        </w:rPr>
        <w:t>criteria</w:t>
      </w:r>
      <w:r w:rsidR="0001623D">
        <w:rPr>
          <w:rFonts w:ascii="Garamond" w:hAnsi="Garamond"/>
          <w:sz w:val="20"/>
          <w:szCs w:val="20"/>
          <w:lang w:val="en-US"/>
        </w:rPr>
        <w:t>:</w:t>
      </w:r>
      <w:r w:rsidR="00C9289C">
        <w:rPr>
          <w:rFonts w:ascii="Garamond" w:hAnsi="Garamond"/>
          <w:sz w:val="20"/>
          <w:szCs w:val="20"/>
          <w:lang w:val="en-US"/>
        </w:rPr>
        <w:t xml:space="preserve"> (</w:t>
      </w:r>
      <w:proofErr w:type="spellStart"/>
      <w:r w:rsidR="00C9289C">
        <w:rPr>
          <w:rFonts w:ascii="Garamond" w:hAnsi="Garamond"/>
          <w:sz w:val="20"/>
          <w:szCs w:val="20"/>
          <w:lang w:val="en-US"/>
        </w:rPr>
        <w:t>i</w:t>
      </w:r>
      <w:proofErr w:type="spellEnd"/>
      <w:r w:rsidR="00C9289C">
        <w:rPr>
          <w:rFonts w:ascii="Garamond" w:hAnsi="Garamond"/>
          <w:sz w:val="20"/>
          <w:szCs w:val="20"/>
          <w:lang w:val="en-US"/>
        </w:rPr>
        <w:t xml:space="preserve">) reported to the call center within the EPSS activity; (ii) AE occurrence within the first 7 days post-vaccination; (iii) </w:t>
      </w:r>
      <w:r w:rsidR="00C9289C" w:rsidRPr="00BB48E6">
        <w:rPr>
          <w:rFonts w:ascii="Garamond" w:hAnsi="Garamond"/>
          <w:sz w:val="20"/>
          <w:szCs w:val="20"/>
          <w:lang w:val="en-US"/>
        </w:rPr>
        <w:t>≥</w:t>
      </w:r>
      <w:r w:rsidR="00C9289C">
        <w:rPr>
          <w:rFonts w:ascii="Garamond" w:hAnsi="Garamond"/>
          <w:sz w:val="20"/>
          <w:szCs w:val="20"/>
          <w:lang w:val="en-US"/>
        </w:rPr>
        <w:t xml:space="preserve"> </w:t>
      </w:r>
      <w:r w:rsidR="00C9289C" w:rsidRPr="00BB48E6">
        <w:rPr>
          <w:rFonts w:ascii="Garamond" w:hAnsi="Garamond"/>
          <w:sz w:val="20"/>
          <w:szCs w:val="20"/>
          <w:lang w:val="en-US"/>
        </w:rPr>
        <w:t>1 identifiable reporter</w:t>
      </w:r>
      <w:r w:rsidR="00C9289C">
        <w:rPr>
          <w:rFonts w:ascii="Garamond" w:hAnsi="Garamond"/>
          <w:sz w:val="20"/>
          <w:szCs w:val="20"/>
          <w:lang w:val="en-US"/>
        </w:rPr>
        <w:t>; (iv)</w:t>
      </w:r>
      <w:r w:rsidR="00C9289C" w:rsidRPr="00BB48E6">
        <w:rPr>
          <w:rFonts w:ascii="Garamond" w:hAnsi="Garamond"/>
          <w:sz w:val="20"/>
          <w:szCs w:val="20"/>
          <w:lang w:val="en-US"/>
        </w:rPr>
        <w:t xml:space="preserve"> ≥</w:t>
      </w:r>
      <w:r w:rsidR="00C9289C">
        <w:rPr>
          <w:rFonts w:ascii="Garamond" w:hAnsi="Garamond"/>
          <w:sz w:val="20"/>
          <w:szCs w:val="20"/>
          <w:lang w:val="en-US"/>
        </w:rPr>
        <w:t xml:space="preserve"> </w:t>
      </w:r>
      <w:r w:rsidR="00C9289C" w:rsidRPr="00BB48E6">
        <w:rPr>
          <w:rFonts w:ascii="Garamond" w:hAnsi="Garamond"/>
          <w:sz w:val="20"/>
          <w:szCs w:val="20"/>
          <w:lang w:val="en-US"/>
        </w:rPr>
        <w:t xml:space="preserve">1 identifiable </w:t>
      </w:r>
      <w:r w:rsidR="00C9289C">
        <w:rPr>
          <w:rFonts w:ascii="Garamond" w:hAnsi="Garamond"/>
          <w:sz w:val="20"/>
          <w:szCs w:val="20"/>
          <w:lang w:val="en-US"/>
        </w:rPr>
        <w:t>vaccine</w:t>
      </w:r>
      <w:r w:rsidR="00343212">
        <w:rPr>
          <w:rFonts w:ascii="Garamond" w:hAnsi="Garamond"/>
          <w:sz w:val="20"/>
          <w:szCs w:val="20"/>
          <w:lang w:val="en-US"/>
        </w:rPr>
        <w:t xml:space="preserve"> </w:t>
      </w:r>
      <w:r w:rsidR="00CA3C0B">
        <w:rPr>
          <w:rFonts w:ascii="Garamond" w:hAnsi="Garamond"/>
          <w:sz w:val="20"/>
          <w:szCs w:val="20"/>
          <w:lang w:val="en-US"/>
        </w:rPr>
        <w:t>recipient</w:t>
      </w:r>
      <w:r w:rsidR="00C9289C">
        <w:rPr>
          <w:rFonts w:ascii="Garamond" w:hAnsi="Garamond"/>
          <w:sz w:val="20"/>
          <w:szCs w:val="20"/>
          <w:lang w:val="en-US"/>
        </w:rPr>
        <w:t>; (v)</w:t>
      </w:r>
      <w:r w:rsidR="00C9289C" w:rsidRPr="00BB48E6">
        <w:rPr>
          <w:rFonts w:ascii="Garamond" w:hAnsi="Garamond"/>
          <w:sz w:val="20"/>
          <w:szCs w:val="20"/>
          <w:lang w:val="en-US"/>
        </w:rPr>
        <w:t xml:space="preserve"> ≥</w:t>
      </w:r>
      <w:r w:rsidR="00C9289C">
        <w:rPr>
          <w:rFonts w:ascii="Garamond" w:hAnsi="Garamond"/>
          <w:sz w:val="20"/>
          <w:szCs w:val="20"/>
          <w:lang w:val="en-US"/>
        </w:rPr>
        <w:t xml:space="preserve"> </w:t>
      </w:r>
      <w:r w:rsidR="00C9289C" w:rsidRPr="00BB48E6">
        <w:rPr>
          <w:rFonts w:ascii="Garamond" w:hAnsi="Garamond"/>
          <w:sz w:val="20"/>
          <w:szCs w:val="20"/>
          <w:lang w:val="en-US"/>
        </w:rPr>
        <w:t xml:space="preserve">1 suspected </w:t>
      </w:r>
      <w:r w:rsidR="00C9289C">
        <w:rPr>
          <w:rFonts w:ascii="Garamond" w:hAnsi="Garamond"/>
          <w:sz w:val="20"/>
          <w:szCs w:val="20"/>
          <w:lang w:val="en-US"/>
        </w:rPr>
        <w:t>AE; (vi)</w:t>
      </w:r>
      <w:r w:rsidR="00C9289C" w:rsidRPr="00BB48E6">
        <w:rPr>
          <w:rFonts w:ascii="Garamond" w:hAnsi="Garamond"/>
          <w:sz w:val="20"/>
          <w:szCs w:val="20"/>
          <w:lang w:val="en-US"/>
        </w:rPr>
        <w:t xml:space="preserve"> ≥</w:t>
      </w:r>
      <w:r w:rsidR="00C9289C">
        <w:rPr>
          <w:rFonts w:ascii="Garamond" w:hAnsi="Garamond"/>
          <w:sz w:val="20"/>
          <w:szCs w:val="20"/>
          <w:lang w:val="en-US"/>
        </w:rPr>
        <w:t xml:space="preserve"> </w:t>
      </w:r>
      <w:r w:rsidR="00C9289C" w:rsidRPr="00BB48E6">
        <w:rPr>
          <w:rFonts w:ascii="Garamond" w:hAnsi="Garamond"/>
          <w:sz w:val="20"/>
          <w:szCs w:val="20"/>
          <w:lang w:val="en-US"/>
        </w:rPr>
        <w:t xml:space="preserve">1 suspected </w:t>
      </w:r>
      <w:r w:rsidR="00C9289C">
        <w:rPr>
          <w:rFonts w:ascii="Garamond" w:hAnsi="Garamond"/>
          <w:sz w:val="20"/>
          <w:szCs w:val="20"/>
          <w:lang w:val="en-US"/>
        </w:rPr>
        <w:t>vaccine</w:t>
      </w:r>
      <w:r w:rsidR="00C9289C" w:rsidRPr="00BB48E6">
        <w:rPr>
          <w:rFonts w:ascii="Garamond" w:hAnsi="Garamond"/>
          <w:sz w:val="20"/>
          <w:szCs w:val="20"/>
          <w:lang w:val="en-US"/>
        </w:rPr>
        <w:t>.</w:t>
      </w:r>
      <w:r w:rsidR="0001623D">
        <w:rPr>
          <w:rFonts w:ascii="Garamond" w:hAnsi="Garamond"/>
          <w:sz w:val="20"/>
          <w:szCs w:val="20"/>
          <w:lang w:val="en-US"/>
        </w:rPr>
        <w:t xml:space="preserve"> </w:t>
      </w:r>
      <w:r w:rsidR="00C123F6">
        <w:rPr>
          <w:rFonts w:ascii="Garamond" w:hAnsi="Garamond"/>
          <w:sz w:val="20"/>
          <w:szCs w:val="20"/>
          <w:lang w:val="en-US"/>
        </w:rPr>
        <w:t xml:space="preserve">Ineligible </w:t>
      </w:r>
      <w:r w:rsidR="0001623D">
        <w:rPr>
          <w:rFonts w:ascii="Garamond" w:hAnsi="Garamond"/>
          <w:sz w:val="20"/>
          <w:szCs w:val="20"/>
          <w:lang w:val="en-US"/>
        </w:rPr>
        <w:t>ICSRs were excluded</w:t>
      </w:r>
      <w:r w:rsidR="007F4DDC">
        <w:rPr>
          <w:rFonts w:ascii="Garamond" w:hAnsi="Garamond"/>
          <w:sz w:val="20"/>
          <w:szCs w:val="20"/>
          <w:lang w:val="en-US"/>
        </w:rPr>
        <w:t xml:space="preserve"> from the EPSS analysis</w:t>
      </w:r>
      <w:r w:rsidR="00C123F6">
        <w:rPr>
          <w:rFonts w:ascii="Garamond" w:hAnsi="Garamond"/>
          <w:sz w:val="20"/>
          <w:szCs w:val="20"/>
          <w:lang w:val="en-US"/>
        </w:rPr>
        <w:t xml:space="preserve"> </w:t>
      </w:r>
      <w:r w:rsidR="007F4DDC">
        <w:rPr>
          <w:rFonts w:ascii="Garamond" w:hAnsi="Garamond"/>
          <w:sz w:val="20"/>
          <w:szCs w:val="20"/>
          <w:lang w:val="en-US"/>
        </w:rPr>
        <w:t xml:space="preserve">but were included </w:t>
      </w:r>
      <w:r w:rsidR="007F4DDC" w:rsidRPr="007F4DDC">
        <w:rPr>
          <w:rFonts w:ascii="Garamond" w:hAnsi="Garamond"/>
          <w:sz w:val="20"/>
          <w:szCs w:val="20"/>
          <w:lang w:val="en-US"/>
        </w:rPr>
        <w:t xml:space="preserve">in the continuous routine </w:t>
      </w:r>
      <w:r w:rsidR="007F4DDC">
        <w:rPr>
          <w:rFonts w:ascii="Garamond" w:hAnsi="Garamond"/>
          <w:sz w:val="20"/>
          <w:szCs w:val="20"/>
          <w:lang w:val="en-US"/>
        </w:rPr>
        <w:t>surveillance</w:t>
      </w:r>
      <w:r w:rsidR="007F4DDC" w:rsidRPr="007F4DDC">
        <w:rPr>
          <w:rFonts w:ascii="Garamond" w:hAnsi="Garamond"/>
          <w:sz w:val="20"/>
          <w:szCs w:val="20"/>
          <w:lang w:val="en-US"/>
        </w:rPr>
        <w:t xml:space="preserve"> of</w:t>
      </w:r>
      <w:r w:rsidR="007F4DDC">
        <w:rPr>
          <w:rFonts w:ascii="Garamond" w:hAnsi="Garamond"/>
          <w:sz w:val="20"/>
          <w:szCs w:val="20"/>
          <w:lang w:val="en-US"/>
        </w:rPr>
        <w:t xml:space="preserve"> QIVc</w:t>
      </w:r>
      <w:r w:rsidR="007F4DDC" w:rsidRPr="007F4DDC">
        <w:rPr>
          <w:rFonts w:ascii="Garamond" w:hAnsi="Garamond"/>
          <w:sz w:val="20"/>
          <w:szCs w:val="20"/>
          <w:lang w:val="en-US"/>
        </w:rPr>
        <w:t xml:space="preserve"> data in the </w:t>
      </w:r>
      <w:r w:rsidR="00F52FB3">
        <w:rPr>
          <w:rFonts w:ascii="Garamond" w:hAnsi="Garamond"/>
          <w:sz w:val="20"/>
          <w:szCs w:val="20"/>
          <w:lang w:val="en-US"/>
        </w:rPr>
        <w:t xml:space="preserve">CSL </w:t>
      </w:r>
      <w:r w:rsidR="001B16E9">
        <w:rPr>
          <w:rFonts w:ascii="Garamond" w:hAnsi="Garamond"/>
          <w:sz w:val="20"/>
          <w:szCs w:val="20"/>
          <w:lang w:val="en-US"/>
        </w:rPr>
        <w:t xml:space="preserve">Seqirus </w:t>
      </w:r>
      <w:r w:rsidR="007F4DDC" w:rsidRPr="007F4DDC">
        <w:rPr>
          <w:rFonts w:ascii="Garamond" w:hAnsi="Garamond"/>
          <w:sz w:val="20"/>
          <w:szCs w:val="20"/>
          <w:lang w:val="en-US"/>
        </w:rPr>
        <w:t>global safety database.</w:t>
      </w:r>
    </w:p>
    <w:p w14:paraId="066E2B3E" w14:textId="2D2A9E8D" w:rsidR="004305A7" w:rsidRDefault="004305A7" w:rsidP="00811515">
      <w:pPr>
        <w:spacing w:after="0" w:line="360" w:lineRule="auto"/>
        <w:jc w:val="both"/>
        <w:rPr>
          <w:rFonts w:ascii="Garamond" w:hAnsi="Garamond"/>
          <w:sz w:val="20"/>
          <w:szCs w:val="20"/>
          <w:lang w:val="en-US"/>
        </w:rPr>
      </w:pPr>
      <w:r>
        <w:rPr>
          <w:rFonts w:ascii="Garamond" w:hAnsi="Garamond"/>
          <w:sz w:val="20"/>
          <w:szCs w:val="20"/>
          <w:lang w:val="en-US"/>
        </w:rPr>
        <w:lastRenderedPageBreak/>
        <w:t xml:space="preserve">Vaccinee’s reported verbatim text was translated </w:t>
      </w:r>
      <w:r w:rsidR="00CB081C">
        <w:rPr>
          <w:rFonts w:ascii="Garamond" w:hAnsi="Garamond"/>
          <w:sz w:val="20"/>
          <w:szCs w:val="20"/>
          <w:lang w:val="en-US"/>
        </w:rPr>
        <w:t xml:space="preserve">into English </w:t>
      </w:r>
      <w:r>
        <w:rPr>
          <w:rFonts w:ascii="Garamond" w:hAnsi="Garamond"/>
          <w:sz w:val="20"/>
          <w:szCs w:val="20"/>
          <w:lang w:val="en-US"/>
        </w:rPr>
        <w:t xml:space="preserve">and </w:t>
      </w:r>
      <w:r w:rsidR="00C123F6">
        <w:rPr>
          <w:rFonts w:ascii="Garamond" w:hAnsi="Garamond"/>
          <w:sz w:val="20"/>
          <w:szCs w:val="20"/>
          <w:lang w:val="en-US"/>
        </w:rPr>
        <w:t xml:space="preserve">coded </w:t>
      </w:r>
      <w:r>
        <w:rPr>
          <w:rFonts w:ascii="Garamond" w:hAnsi="Garamond"/>
          <w:sz w:val="20"/>
          <w:szCs w:val="20"/>
          <w:lang w:val="en-US"/>
        </w:rPr>
        <w:t>to the preferred terms</w:t>
      </w:r>
      <w:r w:rsidR="00F21A0C">
        <w:rPr>
          <w:rFonts w:ascii="Garamond" w:hAnsi="Garamond"/>
          <w:sz w:val="20"/>
          <w:szCs w:val="20"/>
          <w:lang w:val="en-US"/>
        </w:rPr>
        <w:t xml:space="preserve"> (PTs)</w:t>
      </w:r>
      <w:r>
        <w:rPr>
          <w:rFonts w:ascii="Garamond" w:hAnsi="Garamond"/>
          <w:sz w:val="20"/>
          <w:szCs w:val="20"/>
          <w:lang w:val="en-US"/>
        </w:rPr>
        <w:t xml:space="preserve"> </w:t>
      </w:r>
      <w:r w:rsidR="00C123F6">
        <w:rPr>
          <w:rFonts w:ascii="Garamond" w:hAnsi="Garamond"/>
          <w:sz w:val="20"/>
          <w:szCs w:val="20"/>
          <w:lang w:val="en-US"/>
        </w:rPr>
        <w:t>using the current (at the time of each seasonal EPSS) version of the</w:t>
      </w:r>
      <w:r w:rsidRPr="004305A7">
        <w:rPr>
          <w:rFonts w:ascii="Garamond" w:hAnsi="Garamond"/>
          <w:sz w:val="20"/>
          <w:szCs w:val="20"/>
          <w:lang w:val="en-US"/>
        </w:rPr>
        <w:t xml:space="preserve"> </w:t>
      </w:r>
      <w:r w:rsidR="001B16E9">
        <w:rPr>
          <w:rFonts w:ascii="Garamond" w:hAnsi="Garamond"/>
          <w:sz w:val="20"/>
          <w:szCs w:val="20"/>
          <w:lang w:val="en-US"/>
        </w:rPr>
        <w:t>M</w:t>
      </w:r>
      <w:r w:rsidR="001B16E9" w:rsidRPr="004305A7">
        <w:rPr>
          <w:rFonts w:ascii="Garamond" w:hAnsi="Garamond"/>
          <w:sz w:val="20"/>
          <w:szCs w:val="20"/>
          <w:lang w:val="en-US"/>
        </w:rPr>
        <w:t xml:space="preserve">edical </w:t>
      </w:r>
      <w:r w:rsidR="001B16E9">
        <w:rPr>
          <w:rFonts w:ascii="Garamond" w:hAnsi="Garamond"/>
          <w:sz w:val="20"/>
          <w:szCs w:val="20"/>
          <w:lang w:val="en-US"/>
        </w:rPr>
        <w:t>D</w:t>
      </w:r>
      <w:r w:rsidR="001B16E9" w:rsidRPr="004305A7">
        <w:rPr>
          <w:rFonts w:ascii="Garamond" w:hAnsi="Garamond"/>
          <w:sz w:val="20"/>
          <w:szCs w:val="20"/>
          <w:lang w:val="en-US"/>
        </w:rPr>
        <w:t xml:space="preserve">ictionary </w:t>
      </w:r>
      <w:r w:rsidRPr="004305A7">
        <w:rPr>
          <w:rFonts w:ascii="Garamond" w:hAnsi="Garamond"/>
          <w:sz w:val="20"/>
          <w:szCs w:val="20"/>
          <w:lang w:val="en-US"/>
        </w:rPr>
        <w:t xml:space="preserve">for </w:t>
      </w:r>
      <w:r w:rsidR="001B16E9">
        <w:rPr>
          <w:rFonts w:ascii="Garamond" w:hAnsi="Garamond"/>
          <w:sz w:val="20"/>
          <w:szCs w:val="20"/>
          <w:lang w:val="en-US"/>
        </w:rPr>
        <w:t>R</w:t>
      </w:r>
      <w:r w:rsidR="001B16E9" w:rsidRPr="004305A7">
        <w:rPr>
          <w:rFonts w:ascii="Garamond" w:hAnsi="Garamond"/>
          <w:sz w:val="20"/>
          <w:szCs w:val="20"/>
          <w:lang w:val="en-US"/>
        </w:rPr>
        <w:t xml:space="preserve">egulatory </w:t>
      </w:r>
      <w:r w:rsidR="001B16E9">
        <w:rPr>
          <w:rFonts w:ascii="Garamond" w:hAnsi="Garamond"/>
          <w:sz w:val="20"/>
          <w:szCs w:val="20"/>
          <w:lang w:val="en-US"/>
        </w:rPr>
        <w:t>A</w:t>
      </w:r>
      <w:r w:rsidR="001B16E9" w:rsidRPr="004305A7">
        <w:rPr>
          <w:rFonts w:ascii="Garamond" w:hAnsi="Garamond"/>
          <w:sz w:val="20"/>
          <w:szCs w:val="20"/>
          <w:lang w:val="en-US"/>
        </w:rPr>
        <w:t xml:space="preserve">ctivities </w:t>
      </w:r>
      <w:r w:rsidRPr="004305A7">
        <w:rPr>
          <w:rFonts w:ascii="Garamond" w:hAnsi="Garamond"/>
          <w:sz w:val="20"/>
          <w:szCs w:val="20"/>
          <w:lang w:val="en-US"/>
        </w:rPr>
        <w:t>(MedDRA).</w:t>
      </w:r>
      <w:r>
        <w:rPr>
          <w:rFonts w:ascii="Garamond" w:hAnsi="Garamond"/>
          <w:sz w:val="20"/>
          <w:szCs w:val="20"/>
          <w:lang w:val="en-US"/>
        </w:rPr>
        <w:t xml:space="preserve"> ICSRs were then reviewed by </w:t>
      </w:r>
      <w:r w:rsidR="00CB081C">
        <w:rPr>
          <w:rFonts w:ascii="Garamond" w:hAnsi="Garamond"/>
          <w:sz w:val="20"/>
          <w:szCs w:val="20"/>
          <w:lang w:val="en-US"/>
        </w:rPr>
        <w:t xml:space="preserve">the </w:t>
      </w:r>
      <w:r w:rsidR="00F52FB3">
        <w:rPr>
          <w:rFonts w:ascii="Garamond" w:hAnsi="Garamond"/>
          <w:sz w:val="20"/>
          <w:szCs w:val="20"/>
          <w:lang w:val="en-US"/>
        </w:rPr>
        <w:t xml:space="preserve">CSL </w:t>
      </w:r>
      <w:r>
        <w:rPr>
          <w:rFonts w:ascii="Garamond" w:hAnsi="Garamond"/>
          <w:sz w:val="20"/>
          <w:szCs w:val="20"/>
          <w:lang w:val="en-US"/>
        </w:rPr>
        <w:t xml:space="preserve">Seqirus </w:t>
      </w:r>
      <w:r w:rsidR="001B16E9">
        <w:rPr>
          <w:rFonts w:ascii="Garamond" w:hAnsi="Garamond"/>
          <w:sz w:val="20"/>
          <w:szCs w:val="20"/>
          <w:lang w:val="en-US"/>
        </w:rPr>
        <w:t xml:space="preserve">Pharmacovigilance </w:t>
      </w:r>
      <w:r>
        <w:rPr>
          <w:rFonts w:ascii="Garamond" w:hAnsi="Garamond"/>
          <w:sz w:val="20"/>
          <w:szCs w:val="20"/>
          <w:lang w:val="en-US"/>
        </w:rPr>
        <w:t xml:space="preserve">and </w:t>
      </w:r>
      <w:r w:rsidR="001B16E9">
        <w:rPr>
          <w:rFonts w:ascii="Garamond" w:hAnsi="Garamond"/>
          <w:sz w:val="20"/>
          <w:szCs w:val="20"/>
          <w:lang w:val="en-US"/>
        </w:rPr>
        <w:t>Risk M</w:t>
      </w:r>
      <w:r>
        <w:rPr>
          <w:rFonts w:ascii="Garamond" w:hAnsi="Garamond"/>
          <w:sz w:val="20"/>
          <w:szCs w:val="20"/>
          <w:lang w:val="en-US"/>
        </w:rPr>
        <w:t xml:space="preserve">anagement </w:t>
      </w:r>
      <w:r w:rsidR="001B16E9">
        <w:rPr>
          <w:rFonts w:ascii="Garamond" w:hAnsi="Garamond"/>
          <w:sz w:val="20"/>
          <w:szCs w:val="20"/>
          <w:lang w:val="en-US"/>
        </w:rPr>
        <w:t xml:space="preserve">Team </w:t>
      </w:r>
      <w:r>
        <w:rPr>
          <w:rFonts w:ascii="Garamond" w:hAnsi="Garamond"/>
          <w:sz w:val="20"/>
          <w:szCs w:val="20"/>
          <w:lang w:val="en-US"/>
        </w:rPr>
        <w:t xml:space="preserve">according to </w:t>
      </w:r>
      <w:r w:rsidR="001B16E9">
        <w:rPr>
          <w:rFonts w:ascii="Garamond" w:hAnsi="Garamond"/>
          <w:sz w:val="20"/>
          <w:szCs w:val="20"/>
          <w:lang w:val="en-US"/>
        </w:rPr>
        <w:t xml:space="preserve">standard </w:t>
      </w:r>
      <w:r>
        <w:rPr>
          <w:rFonts w:ascii="Garamond" w:hAnsi="Garamond"/>
          <w:sz w:val="20"/>
          <w:szCs w:val="20"/>
          <w:lang w:val="en-US"/>
        </w:rPr>
        <w:t>good pharmacovigilance practice.</w:t>
      </w:r>
      <w:r w:rsidR="00F22C4A">
        <w:rPr>
          <w:rFonts w:ascii="Garamond" w:hAnsi="Garamond"/>
          <w:sz w:val="20"/>
          <w:szCs w:val="20"/>
          <w:vertAlign w:val="superscript"/>
          <w:lang w:val="en-US"/>
        </w:rPr>
        <w:t>23</w:t>
      </w:r>
    </w:p>
    <w:p w14:paraId="3991DF56" w14:textId="3802F266" w:rsidR="00182CF1" w:rsidRDefault="00F54172" w:rsidP="00811515">
      <w:pPr>
        <w:spacing w:after="0" w:line="360" w:lineRule="auto"/>
        <w:jc w:val="both"/>
        <w:rPr>
          <w:rFonts w:ascii="Garamond" w:hAnsi="Garamond"/>
          <w:sz w:val="20"/>
          <w:szCs w:val="20"/>
          <w:lang w:val="en-US"/>
        </w:rPr>
      </w:pPr>
      <w:r>
        <w:rPr>
          <w:rFonts w:ascii="Garamond" w:hAnsi="Garamond"/>
          <w:sz w:val="20"/>
          <w:szCs w:val="20"/>
          <w:lang w:val="en-US"/>
        </w:rPr>
        <w:t xml:space="preserve">The AEs </w:t>
      </w:r>
      <w:r w:rsidR="009725AA">
        <w:rPr>
          <w:rFonts w:ascii="Garamond" w:hAnsi="Garamond"/>
          <w:sz w:val="20"/>
          <w:szCs w:val="20"/>
          <w:lang w:val="en-US"/>
        </w:rPr>
        <w:t xml:space="preserve">received </w:t>
      </w:r>
      <w:r w:rsidR="00F52FB3">
        <w:rPr>
          <w:rFonts w:ascii="Garamond" w:hAnsi="Garamond"/>
          <w:sz w:val="20"/>
          <w:szCs w:val="20"/>
          <w:lang w:val="en-US"/>
        </w:rPr>
        <w:t>within</w:t>
      </w:r>
      <w:r w:rsidR="009725AA">
        <w:rPr>
          <w:rFonts w:ascii="Garamond" w:hAnsi="Garamond"/>
          <w:sz w:val="20"/>
          <w:szCs w:val="20"/>
          <w:lang w:val="en-US"/>
        </w:rPr>
        <w:t xml:space="preserve"> EPSS</w:t>
      </w:r>
      <w:r w:rsidR="00C9289C">
        <w:rPr>
          <w:rFonts w:ascii="Garamond" w:hAnsi="Garamond"/>
          <w:sz w:val="20"/>
          <w:szCs w:val="20"/>
          <w:lang w:val="en-US"/>
        </w:rPr>
        <w:t xml:space="preserve"> </w:t>
      </w:r>
      <w:r w:rsidR="009725AA">
        <w:rPr>
          <w:rFonts w:ascii="Garamond" w:hAnsi="Garamond"/>
          <w:sz w:val="20"/>
          <w:szCs w:val="20"/>
          <w:lang w:val="en-US"/>
        </w:rPr>
        <w:t>were</w:t>
      </w:r>
      <w:r w:rsidR="00C9289C">
        <w:rPr>
          <w:rFonts w:ascii="Garamond" w:hAnsi="Garamond"/>
          <w:sz w:val="20"/>
          <w:szCs w:val="20"/>
          <w:lang w:val="en-US"/>
        </w:rPr>
        <w:t xml:space="preserve"> </w:t>
      </w:r>
      <w:r w:rsidR="009725AA">
        <w:rPr>
          <w:rFonts w:ascii="Garamond" w:hAnsi="Garamond"/>
          <w:sz w:val="20"/>
          <w:szCs w:val="20"/>
          <w:lang w:val="en-US"/>
        </w:rPr>
        <w:t>analyzed</w:t>
      </w:r>
      <w:r w:rsidR="005D0C0E">
        <w:rPr>
          <w:rFonts w:ascii="Garamond" w:hAnsi="Garamond"/>
          <w:sz w:val="20"/>
          <w:szCs w:val="20"/>
          <w:lang w:val="en-US"/>
        </w:rPr>
        <w:t xml:space="preserve"> </w:t>
      </w:r>
      <w:r w:rsidR="009725AA">
        <w:rPr>
          <w:rFonts w:ascii="Garamond" w:hAnsi="Garamond"/>
          <w:sz w:val="20"/>
          <w:szCs w:val="20"/>
          <w:lang w:val="en-US"/>
        </w:rPr>
        <w:t>and</w:t>
      </w:r>
      <w:r w:rsidR="00C9289C">
        <w:rPr>
          <w:rFonts w:ascii="Garamond" w:hAnsi="Garamond"/>
          <w:sz w:val="20"/>
          <w:szCs w:val="20"/>
          <w:lang w:val="en-US"/>
        </w:rPr>
        <w:t xml:space="preserve"> </w:t>
      </w:r>
      <w:r w:rsidR="00702EFB">
        <w:rPr>
          <w:rFonts w:ascii="Garamond" w:hAnsi="Garamond"/>
          <w:sz w:val="20"/>
          <w:szCs w:val="20"/>
          <w:lang w:val="en-US"/>
        </w:rPr>
        <w:t xml:space="preserve">classified </w:t>
      </w:r>
      <w:r w:rsidR="009725AA">
        <w:rPr>
          <w:rFonts w:ascii="Garamond" w:hAnsi="Garamond"/>
          <w:sz w:val="20"/>
          <w:szCs w:val="20"/>
          <w:lang w:val="en-US"/>
        </w:rPr>
        <w:t>as</w:t>
      </w:r>
      <w:r w:rsidR="00C9289C">
        <w:rPr>
          <w:rFonts w:ascii="Garamond" w:hAnsi="Garamond"/>
          <w:sz w:val="20"/>
          <w:szCs w:val="20"/>
          <w:lang w:val="en-US"/>
        </w:rPr>
        <w:t xml:space="preserve"> </w:t>
      </w:r>
      <w:r w:rsidR="00C9289C" w:rsidRPr="00C9289C">
        <w:rPr>
          <w:rFonts w:ascii="Garamond" w:hAnsi="Garamond"/>
          <w:sz w:val="20"/>
          <w:szCs w:val="20"/>
          <w:lang w:val="en-US"/>
        </w:rPr>
        <w:t>reactogenic AEs of interest (</w:t>
      </w:r>
      <w:proofErr w:type="spellStart"/>
      <w:r w:rsidR="00C9289C" w:rsidRPr="00C9289C">
        <w:rPr>
          <w:rFonts w:ascii="Garamond" w:hAnsi="Garamond"/>
          <w:sz w:val="20"/>
          <w:szCs w:val="20"/>
          <w:lang w:val="en-US"/>
        </w:rPr>
        <w:t>rAEIs</w:t>
      </w:r>
      <w:proofErr w:type="spellEnd"/>
      <w:r w:rsidR="005D0C0E" w:rsidRPr="00C9289C">
        <w:rPr>
          <w:rFonts w:ascii="Garamond" w:hAnsi="Garamond"/>
          <w:sz w:val="20"/>
          <w:szCs w:val="20"/>
          <w:lang w:val="en-US"/>
        </w:rPr>
        <w:t>)</w:t>
      </w:r>
      <w:r w:rsidR="005D0C0E">
        <w:rPr>
          <w:rFonts w:ascii="Garamond" w:hAnsi="Garamond"/>
          <w:sz w:val="20"/>
          <w:szCs w:val="20"/>
          <w:lang w:val="en-US"/>
        </w:rPr>
        <w:t xml:space="preserve">, events of interests monitored for the periodic safety update reports (PSUR) </w:t>
      </w:r>
      <w:r w:rsidR="00702EFB">
        <w:rPr>
          <w:rFonts w:ascii="Garamond" w:hAnsi="Garamond"/>
          <w:sz w:val="20"/>
          <w:szCs w:val="20"/>
          <w:lang w:val="en-US"/>
        </w:rPr>
        <w:t>or</w:t>
      </w:r>
      <w:r w:rsidR="005D0C0E">
        <w:rPr>
          <w:rFonts w:ascii="Garamond" w:hAnsi="Garamond"/>
          <w:sz w:val="20"/>
          <w:szCs w:val="20"/>
          <w:lang w:val="en-US"/>
        </w:rPr>
        <w:t xml:space="preserve"> other events</w:t>
      </w:r>
      <w:r w:rsidR="00C9289C">
        <w:rPr>
          <w:rFonts w:ascii="Garamond" w:hAnsi="Garamond"/>
          <w:sz w:val="20"/>
          <w:szCs w:val="20"/>
          <w:lang w:val="en-US"/>
        </w:rPr>
        <w:t xml:space="preserve">. </w:t>
      </w:r>
      <w:proofErr w:type="spellStart"/>
      <w:r w:rsidR="00C9289C">
        <w:rPr>
          <w:rFonts w:ascii="Garamond" w:hAnsi="Garamond"/>
          <w:sz w:val="20"/>
          <w:szCs w:val="20"/>
          <w:lang w:val="en-US"/>
        </w:rPr>
        <w:t>rAEIs</w:t>
      </w:r>
      <w:proofErr w:type="spellEnd"/>
      <w:r w:rsidR="00C9289C">
        <w:rPr>
          <w:rFonts w:ascii="Garamond" w:hAnsi="Garamond"/>
          <w:sz w:val="20"/>
          <w:szCs w:val="20"/>
          <w:lang w:val="en-US"/>
        </w:rPr>
        <w:t xml:space="preserve"> </w:t>
      </w:r>
      <w:r w:rsidR="00182CF1">
        <w:rPr>
          <w:rFonts w:ascii="Garamond" w:hAnsi="Garamond"/>
          <w:sz w:val="20"/>
          <w:szCs w:val="20"/>
          <w:lang w:val="en-US"/>
        </w:rPr>
        <w:t xml:space="preserve">included </w:t>
      </w:r>
      <w:r w:rsidR="005D0C0E">
        <w:rPr>
          <w:rFonts w:ascii="Garamond" w:hAnsi="Garamond"/>
          <w:sz w:val="20"/>
          <w:szCs w:val="20"/>
          <w:lang w:val="en-US"/>
        </w:rPr>
        <w:t>systemic events, such as</w:t>
      </w:r>
      <w:r w:rsidR="00182CF1">
        <w:rPr>
          <w:rFonts w:ascii="Garamond" w:hAnsi="Garamond"/>
          <w:sz w:val="20"/>
          <w:szCs w:val="20"/>
          <w:lang w:val="en-US"/>
        </w:rPr>
        <w:t xml:space="preserve"> </w:t>
      </w:r>
      <w:r w:rsidR="00182CF1" w:rsidRPr="00182CF1">
        <w:rPr>
          <w:rFonts w:ascii="Garamond" w:hAnsi="Garamond"/>
          <w:sz w:val="20"/>
          <w:szCs w:val="20"/>
          <w:lang w:val="en-US"/>
        </w:rPr>
        <w:t xml:space="preserve">fever, nausea, vomiting, malaise, headache, decreased appetite, myalgia, arthralgia, </w:t>
      </w:r>
      <w:r w:rsidR="00182CF1">
        <w:rPr>
          <w:rFonts w:ascii="Garamond" w:hAnsi="Garamond"/>
          <w:sz w:val="20"/>
          <w:szCs w:val="20"/>
          <w:lang w:val="en-US"/>
        </w:rPr>
        <w:t xml:space="preserve">irritability and crying (for children aged &lt; 5 years), </w:t>
      </w:r>
      <w:r w:rsidR="005D0C0E" w:rsidRPr="00182CF1">
        <w:rPr>
          <w:rFonts w:ascii="Garamond" w:hAnsi="Garamond"/>
          <w:sz w:val="20"/>
          <w:szCs w:val="20"/>
          <w:lang w:val="en-US"/>
        </w:rPr>
        <w:t xml:space="preserve">injection site reactions </w:t>
      </w:r>
      <w:r w:rsidR="005D0C0E">
        <w:rPr>
          <w:rFonts w:ascii="Garamond" w:hAnsi="Garamond"/>
          <w:sz w:val="20"/>
          <w:szCs w:val="20"/>
          <w:lang w:val="en-US"/>
        </w:rPr>
        <w:t xml:space="preserve">such as </w:t>
      </w:r>
      <w:r w:rsidR="005D0C0E" w:rsidRPr="00182CF1">
        <w:rPr>
          <w:rFonts w:ascii="Garamond" w:hAnsi="Garamond"/>
          <w:sz w:val="20"/>
          <w:szCs w:val="20"/>
          <w:lang w:val="en-US"/>
        </w:rPr>
        <w:t xml:space="preserve">pain, erythema, </w:t>
      </w:r>
      <w:r w:rsidR="005D0C0E">
        <w:rPr>
          <w:rFonts w:ascii="Garamond" w:hAnsi="Garamond"/>
          <w:sz w:val="20"/>
          <w:szCs w:val="20"/>
          <w:lang w:val="en-US"/>
        </w:rPr>
        <w:t>induration</w:t>
      </w:r>
      <w:r w:rsidR="00DF59D6">
        <w:rPr>
          <w:rFonts w:ascii="Garamond" w:hAnsi="Garamond"/>
          <w:sz w:val="20"/>
          <w:szCs w:val="20"/>
          <w:lang w:val="en-US"/>
        </w:rPr>
        <w:t xml:space="preserve"> </w:t>
      </w:r>
      <w:r w:rsidR="005D0C0E" w:rsidRPr="00182CF1">
        <w:rPr>
          <w:rFonts w:ascii="Garamond" w:hAnsi="Garamond"/>
          <w:sz w:val="20"/>
          <w:szCs w:val="20"/>
          <w:lang w:val="en-US"/>
        </w:rPr>
        <w:t>and swelling</w:t>
      </w:r>
      <w:r w:rsidR="00DF59D6">
        <w:rPr>
          <w:rFonts w:ascii="Garamond" w:hAnsi="Garamond"/>
          <w:sz w:val="20"/>
          <w:szCs w:val="20"/>
          <w:lang w:val="en-US"/>
        </w:rPr>
        <w:t xml:space="preserve">, and </w:t>
      </w:r>
      <w:r w:rsidR="00182CF1" w:rsidRPr="00182CF1">
        <w:rPr>
          <w:rFonts w:ascii="Garamond" w:hAnsi="Garamond"/>
          <w:sz w:val="20"/>
          <w:szCs w:val="20"/>
          <w:lang w:val="en-US"/>
        </w:rPr>
        <w:t xml:space="preserve">events indicative of allergic and hypersensitivity reactions (including </w:t>
      </w:r>
      <w:r w:rsidR="005D0C0E">
        <w:rPr>
          <w:rFonts w:ascii="Garamond" w:hAnsi="Garamond"/>
          <w:sz w:val="20"/>
          <w:szCs w:val="20"/>
          <w:lang w:val="en-US"/>
        </w:rPr>
        <w:t xml:space="preserve">rash and </w:t>
      </w:r>
      <w:r w:rsidR="00182CF1" w:rsidRPr="00182CF1">
        <w:rPr>
          <w:rFonts w:ascii="Garamond" w:hAnsi="Garamond"/>
          <w:sz w:val="20"/>
          <w:szCs w:val="20"/>
          <w:lang w:val="en-US"/>
        </w:rPr>
        <w:t>ocular symptoms)</w:t>
      </w:r>
      <w:r w:rsidR="00DF59D6">
        <w:rPr>
          <w:rFonts w:ascii="Garamond" w:hAnsi="Garamond"/>
          <w:sz w:val="20"/>
          <w:szCs w:val="20"/>
          <w:lang w:val="en-US"/>
        </w:rPr>
        <w:t xml:space="preserve">. </w:t>
      </w:r>
      <w:r w:rsidR="00AD2D71">
        <w:rPr>
          <w:rFonts w:ascii="Garamond" w:hAnsi="Garamond"/>
          <w:sz w:val="20"/>
          <w:szCs w:val="20"/>
          <w:lang w:val="en-US"/>
        </w:rPr>
        <w:t>All AEs were also classified by seriousness (serious vs non-serious). Serious AEs were defined as those</w:t>
      </w:r>
      <w:r w:rsidR="00AD2D71" w:rsidRPr="00AD2D71">
        <w:rPr>
          <w:rFonts w:ascii="Garamond" w:hAnsi="Garamond"/>
          <w:sz w:val="20"/>
          <w:szCs w:val="20"/>
          <w:lang w:val="en-US"/>
        </w:rPr>
        <w:t xml:space="preserve"> that result</w:t>
      </w:r>
      <w:r w:rsidR="00AD2D71">
        <w:rPr>
          <w:rFonts w:ascii="Garamond" w:hAnsi="Garamond"/>
          <w:sz w:val="20"/>
          <w:szCs w:val="20"/>
          <w:lang w:val="en-US"/>
        </w:rPr>
        <w:t>ed</w:t>
      </w:r>
      <w:r w:rsidR="00AD2D71" w:rsidRPr="00AD2D71">
        <w:rPr>
          <w:rFonts w:ascii="Garamond" w:hAnsi="Garamond"/>
          <w:sz w:val="20"/>
          <w:szCs w:val="20"/>
          <w:lang w:val="en-US"/>
        </w:rPr>
        <w:t xml:space="preserve"> in death, persistent or significant disability or incapacity</w:t>
      </w:r>
      <w:r w:rsidR="00AD2D71">
        <w:rPr>
          <w:rFonts w:ascii="Garamond" w:hAnsi="Garamond"/>
          <w:sz w:val="20"/>
          <w:szCs w:val="20"/>
          <w:lang w:val="en-US"/>
        </w:rPr>
        <w:t>,</w:t>
      </w:r>
      <w:r w:rsidR="00AD2D71" w:rsidRPr="00AD2D71">
        <w:rPr>
          <w:rFonts w:ascii="Garamond" w:hAnsi="Garamond"/>
          <w:sz w:val="20"/>
          <w:szCs w:val="20"/>
          <w:lang w:val="en-US"/>
        </w:rPr>
        <w:t xml:space="preserve"> </w:t>
      </w:r>
      <w:r w:rsidR="00AD2D71">
        <w:rPr>
          <w:rFonts w:ascii="Garamond" w:hAnsi="Garamond"/>
          <w:sz w:val="20"/>
          <w:szCs w:val="20"/>
          <w:lang w:val="en-US"/>
        </w:rPr>
        <w:t>were</w:t>
      </w:r>
      <w:r w:rsidR="00AD2D71" w:rsidRPr="00AD2D71">
        <w:rPr>
          <w:rFonts w:ascii="Garamond" w:hAnsi="Garamond"/>
          <w:sz w:val="20"/>
          <w:szCs w:val="20"/>
          <w:lang w:val="en-US"/>
        </w:rPr>
        <w:t xml:space="preserve"> life-threatening</w:t>
      </w:r>
      <w:r w:rsidR="00AD2D71">
        <w:rPr>
          <w:rFonts w:ascii="Garamond" w:hAnsi="Garamond"/>
          <w:sz w:val="20"/>
          <w:szCs w:val="20"/>
          <w:lang w:val="en-US"/>
        </w:rPr>
        <w:t xml:space="preserve"> or</w:t>
      </w:r>
      <w:r w:rsidR="00AD2D71" w:rsidRPr="00AD2D71">
        <w:rPr>
          <w:rFonts w:ascii="Garamond" w:hAnsi="Garamond"/>
          <w:sz w:val="20"/>
          <w:szCs w:val="20"/>
          <w:lang w:val="en-US"/>
        </w:rPr>
        <w:t xml:space="preserve"> require</w:t>
      </w:r>
      <w:r w:rsidR="00AD2D71">
        <w:rPr>
          <w:rFonts w:ascii="Garamond" w:hAnsi="Garamond"/>
          <w:sz w:val="20"/>
          <w:szCs w:val="20"/>
          <w:lang w:val="en-US"/>
        </w:rPr>
        <w:t>d</w:t>
      </w:r>
      <w:r w:rsidR="00AD2D71" w:rsidRPr="00AD2D71">
        <w:rPr>
          <w:rFonts w:ascii="Garamond" w:hAnsi="Garamond"/>
          <w:sz w:val="20"/>
          <w:szCs w:val="20"/>
          <w:lang w:val="en-US"/>
        </w:rPr>
        <w:t xml:space="preserve"> hospitalization. </w:t>
      </w:r>
      <w:r w:rsidR="00182CF1">
        <w:rPr>
          <w:rFonts w:ascii="Garamond" w:hAnsi="Garamond"/>
          <w:sz w:val="20"/>
          <w:szCs w:val="20"/>
          <w:lang w:val="en-US"/>
        </w:rPr>
        <w:t>Frequency of AEs was described overall, by their seriousness and age</w:t>
      </w:r>
      <w:r w:rsidR="00F637D3">
        <w:rPr>
          <w:rFonts w:ascii="Garamond" w:hAnsi="Garamond"/>
          <w:sz w:val="20"/>
          <w:szCs w:val="20"/>
          <w:lang w:val="en-US"/>
        </w:rPr>
        <w:t xml:space="preserve"> </w:t>
      </w:r>
      <w:r w:rsidR="009725AA">
        <w:rPr>
          <w:rFonts w:ascii="Garamond" w:hAnsi="Garamond"/>
          <w:sz w:val="20"/>
          <w:szCs w:val="20"/>
          <w:lang w:val="en-US"/>
        </w:rPr>
        <w:t>groups</w:t>
      </w:r>
      <w:r w:rsidR="00182CF1">
        <w:rPr>
          <w:rFonts w:ascii="Garamond" w:hAnsi="Garamond"/>
          <w:sz w:val="20"/>
          <w:szCs w:val="20"/>
          <w:lang w:val="en-US"/>
        </w:rPr>
        <w:t xml:space="preserve"> (2</w:t>
      </w:r>
      <w:r w:rsidR="00702EFB">
        <w:rPr>
          <w:rFonts w:ascii="Garamond" w:hAnsi="Garamond"/>
          <w:sz w:val="20"/>
          <w:szCs w:val="20"/>
          <w:lang w:val="en-US"/>
        </w:rPr>
        <w:t>-8</w:t>
      </w:r>
      <w:r w:rsidR="00182CF1">
        <w:rPr>
          <w:rFonts w:ascii="Garamond" w:hAnsi="Garamond"/>
          <w:sz w:val="20"/>
          <w:szCs w:val="20"/>
          <w:lang w:val="en-US"/>
        </w:rPr>
        <w:t xml:space="preserve">/9–17, 18–64 and </w:t>
      </w:r>
      <w:r w:rsidR="00182CF1" w:rsidRPr="00182CF1">
        <w:rPr>
          <w:rFonts w:ascii="Garamond" w:hAnsi="Garamond"/>
          <w:sz w:val="20"/>
          <w:szCs w:val="20"/>
          <w:lang w:val="en-US"/>
        </w:rPr>
        <w:t>≥</w:t>
      </w:r>
      <w:r w:rsidR="00182CF1">
        <w:rPr>
          <w:rFonts w:ascii="Garamond" w:hAnsi="Garamond"/>
          <w:sz w:val="20"/>
          <w:szCs w:val="20"/>
          <w:lang w:val="en-US"/>
        </w:rPr>
        <w:t xml:space="preserve"> 65 years</w:t>
      </w:r>
      <w:r w:rsidR="00DF59D6">
        <w:rPr>
          <w:rFonts w:ascii="Garamond" w:hAnsi="Garamond"/>
          <w:sz w:val="20"/>
          <w:szCs w:val="20"/>
          <w:lang w:val="en-US"/>
        </w:rPr>
        <w:t xml:space="preserve"> of age</w:t>
      </w:r>
      <w:r w:rsidR="00182CF1">
        <w:rPr>
          <w:rFonts w:ascii="Garamond" w:hAnsi="Garamond"/>
          <w:sz w:val="20"/>
          <w:szCs w:val="20"/>
          <w:lang w:val="en-US"/>
        </w:rPr>
        <w:t xml:space="preserve">) and compared with their expected frequency, as per the </w:t>
      </w:r>
      <w:r w:rsidR="007258F3">
        <w:rPr>
          <w:rFonts w:ascii="Garamond" w:hAnsi="Garamond"/>
          <w:sz w:val="20"/>
          <w:szCs w:val="20"/>
          <w:lang w:val="en-US"/>
        </w:rPr>
        <w:t>s</w:t>
      </w:r>
      <w:r w:rsidR="00702EFB">
        <w:rPr>
          <w:rFonts w:ascii="Garamond" w:hAnsi="Garamond"/>
          <w:sz w:val="20"/>
          <w:szCs w:val="20"/>
          <w:lang w:val="en-US"/>
        </w:rPr>
        <w:t xml:space="preserve">ummary </w:t>
      </w:r>
      <w:r w:rsidR="00182CF1">
        <w:rPr>
          <w:rFonts w:ascii="Garamond" w:hAnsi="Garamond"/>
          <w:sz w:val="20"/>
          <w:szCs w:val="20"/>
          <w:lang w:val="en-US"/>
        </w:rPr>
        <w:t xml:space="preserve">of </w:t>
      </w:r>
      <w:r w:rsidR="007258F3">
        <w:rPr>
          <w:rFonts w:ascii="Garamond" w:hAnsi="Garamond"/>
          <w:sz w:val="20"/>
          <w:szCs w:val="20"/>
          <w:lang w:val="en-US"/>
        </w:rPr>
        <w:t>p</w:t>
      </w:r>
      <w:r w:rsidR="00702EFB">
        <w:rPr>
          <w:rFonts w:ascii="Garamond" w:hAnsi="Garamond"/>
          <w:sz w:val="20"/>
          <w:szCs w:val="20"/>
          <w:lang w:val="en-US"/>
        </w:rPr>
        <w:t xml:space="preserve">roduct </w:t>
      </w:r>
      <w:r w:rsidR="007258F3">
        <w:rPr>
          <w:rFonts w:ascii="Garamond" w:hAnsi="Garamond"/>
          <w:sz w:val="20"/>
          <w:szCs w:val="20"/>
          <w:lang w:val="en-US"/>
        </w:rPr>
        <w:t>c</w:t>
      </w:r>
      <w:r w:rsidR="00702EFB">
        <w:rPr>
          <w:rFonts w:ascii="Garamond" w:hAnsi="Garamond"/>
          <w:sz w:val="20"/>
          <w:szCs w:val="20"/>
          <w:lang w:val="en-US"/>
        </w:rPr>
        <w:t xml:space="preserve">haracteristics </w:t>
      </w:r>
      <w:r w:rsidR="00182CF1">
        <w:rPr>
          <w:rFonts w:ascii="Garamond" w:hAnsi="Garamond"/>
          <w:sz w:val="20"/>
          <w:szCs w:val="20"/>
          <w:lang w:val="en-US"/>
        </w:rPr>
        <w:t>(SmPC) of QIVc.</w:t>
      </w:r>
      <w:r w:rsidR="00F22C4A">
        <w:rPr>
          <w:rFonts w:ascii="Garamond" w:hAnsi="Garamond"/>
          <w:sz w:val="20"/>
          <w:szCs w:val="20"/>
          <w:vertAlign w:val="superscript"/>
          <w:lang w:val="en-US"/>
        </w:rPr>
        <w:t>24</w:t>
      </w:r>
    </w:p>
    <w:p w14:paraId="10812F24" w14:textId="77777777" w:rsidR="007A16B2" w:rsidRDefault="007A16B2" w:rsidP="00811515">
      <w:pPr>
        <w:spacing w:after="0" w:line="360" w:lineRule="auto"/>
        <w:jc w:val="both"/>
        <w:rPr>
          <w:rFonts w:ascii="Garamond" w:hAnsi="Garamond"/>
          <w:sz w:val="20"/>
          <w:szCs w:val="20"/>
          <w:lang w:val="en-US"/>
        </w:rPr>
      </w:pPr>
    </w:p>
    <w:p w14:paraId="22249B80" w14:textId="2E311139" w:rsidR="003910B3" w:rsidRPr="002F0A24" w:rsidRDefault="003910B3" w:rsidP="002F0A24">
      <w:pPr>
        <w:pStyle w:val="Paragrafoelenco"/>
        <w:numPr>
          <w:ilvl w:val="1"/>
          <w:numId w:val="2"/>
        </w:numPr>
        <w:spacing w:after="0" w:line="360" w:lineRule="auto"/>
        <w:jc w:val="both"/>
        <w:rPr>
          <w:rFonts w:ascii="Garamond" w:hAnsi="Garamond"/>
          <w:b/>
          <w:bCs/>
          <w:sz w:val="20"/>
          <w:szCs w:val="20"/>
          <w:lang w:val="en-US"/>
        </w:rPr>
      </w:pPr>
      <w:r w:rsidRPr="002F0A24">
        <w:rPr>
          <w:rFonts w:ascii="Garamond" w:hAnsi="Garamond"/>
          <w:b/>
          <w:bCs/>
          <w:sz w:val="20"/>
          <w:szCs w:val="20"/>
          <w:lang w:val="en-US"/>
        </w:rPr>
        <w:t>Statistical analysis</w:t>
      </w:r>
    </w:p>
    <w:p w14:paraId="716E3A6A" w14:textId="77777777" w:rsidR="003910B3" w:rsidRDefault="003910B3" w:rsidP="003910B3">
      <w:pPr>
        <w:spacing w:after="0" w:line="360" w:lineRule="auto"/>
        <w:jc w:val="both"/>
        <w:rPr>
          <w:rFonts w:ascii="Garamond" w:hAnsi="Garamond"/>
          <w:sz w:val="20"/>
          <w:szCs w:val="20"/>
          <w:lang w:val="en-US"/>
        </w:rPr>
      </w:pPr>
    </w:p>
    <w:p w14:paraId="4A6D846E" w14:textId="5660A71F" w:rsidR="00F757CF" w:rsidRPr="007F6AB3" w:rsidRDefault="003910B3" w:rsidP="00811515">
      <w:pPr>
        <w:spacing w:after="0" w:line="360" w:lineRule="auto"/>
        <w:jc w:val="both"/>
        <w:rPr>
          <w:rFonts w:ascii="Garamond" w:hAnsi="Garamond"/>
          <w:sz w:val="20"/>
          <w:szCs w:val="20"/>
          <w:lang w:val="en-US"/>
        </w:rPr>
      </w:pPr>
      <w:r>
        <w:rPr>
          <w:rFonts w:ascii="Garamond" w:hAnsi="Garamond"/>
          <w:sz w:val="20"/>
          <w:szCs w:val="20"/>
          <w:lang w:val="en-US"/>
        </w:rPr>
        <w:t xml:space="preserve">Rates of ICSRs and </w:t>
      </w:r>
      <w:r w:rsidR="00702EFB">
        <w:rPr>
          <w:rFonts w:ascii="Garamond" w:hAnsi="Garamond"/>
          <w:sz w:val="20"/>
          <w:szCs w:val="20"/>
          <w:lang w:val="en-US"/>
        </w:rPr>
        <w:t xml:space="preserve">individual </w:t>
      </w:r>
      <w:r>
        <w:rPr>
          <w:rFonts w:ascii="Garamond" w:hAnsi="Garamond"/>
          <w:sz w:val="20"/>
          <w:szCs w:val="20"/>
          <w:lang w:val="en-US"/>
        </w:rPr>
        <w:t>AEs of interest were reported as percentages with exact Clopper-Pearson’s 95% confidence intervals (CIs).</w:t>
      </w:r>
      <w:r w:rsidR="00C51AD8">
        <w:rPr>
          <w:rFonts w:ascii="Garamond" w:hAnsi="Garamond"/>
          <w:sz w:val="20"/>
          <w:szCs w:val="20"/>
          <w:lang w:val="en-US"/>
        </w:rPr>
        <w:t xml:space="preserve"> </w:t>
      </w:r>
      <w:r w:rsidR="00C570FC">
        <w:rPr>
          <w:rFonts w:ascii="Garamond" w:hAnsi="Garamond"/>
          <w:sz w:val="20"/>
          <w:szCs w:val="20"/>
          <w:lang w:val="en-US"/>
        </w:rPr>
        <w:t xml:space="preserve">Fisher’s exact test was used to compare </w:t>
      </w:r>
      <w:r w:rsidR="0029015F">
        <w:rPr>
          <w:rFonts w:ascii="Garamond" w:hAnsi="Garamond"/>
          <w:sz w:val="20"/>
          <w:szCs w:val="20"/>
          <w:lang w:val="en-US"/>
        </w:rPr>
        <w:t>reporting rates across the seasons.</w:t>
      </w:r>
      <w:r w:rsidR="00C51AD8">
        <w:rPr>
          <w:rFonts w:ascii="Garamond" w:hAnsi="Garamond"/>
          <w:sz w:val="20"/>
          <w:szCs w:val="20"/>
          <w:lang w:val="en-US"/>
        </w:rPr>
        <w:t xml:space="preserve"> </w:t>
      </w:r>
      <w:r w:rsidR="00FA0B47">
        <w:rPr>
          <w:rFonts w:ascii="Garamond" w:hAnsi="Garamond"/>
          <w:sz w:val="20"/>
          <w:szCs w:val="20"/>
          <w:lang w:val="en-US"/>
        </w:rPr>
        <w:t>The e</w:t>
      </w:r>
      <w:r w:rsidR="00D00BAD">
        <w:rPr>
          <w:rFonts w:ascii="Garamond" w:hAnsi="Garamond"/>
          <w:sz w:val="20"/>
          <w:szCs w:val="20"/>
          <w:lang w:val="en-US"/>
        </w:rPr>
        <w:t xml:space="preserve">xact binomial test </w:t>
      </w:r>
      <w:r w:rsidR="00FA0B47">
        <w:rPr>
          <w:rFonts w:ascii="Garamond" w:hAnsi="Garamond"/>
          <w:sz w:val="20"/>
          <w:szCs w:val="20"/>
          <w:lang w:val="en-US"/>
        </w:rPr>
        <w:t xml:space="preserve">was used to test the null hypothesis of the equal sex distribution of ICSRs. </w:t>
      </w:r>
      <w:r w:rsidR="00C51AD8">
        <w:rPr>
          <w:rFonts w:ascii="Garamond" w:hAnsi="Garamond"/>
          <w:sz w:val="20"/>
          <w:szCs w:val="20"/>
          <w:lang w:val="en-US"/>
        </w:rPr>
        <w:t>Statistical analysis was performed in R stats packages v. 4.2.2 (R Foundation for Statistical Computing, Vienna, Austria).</w:t>
      </w:r>
    </w:p>
    <w:p w14:paraId="4764D29F" w14:textId="77777777" w:rsidR="00811515" w:rsidRDefault="00811515" w:rsidP="00811515">
      <w:pPr>
        <w:spacing w:after="0" w:line="360" w:lineRule="auto"/>
        <w:jc w:val="both"/>
        <w:rPr>
          <w:rFonts w:ascii="Garamond" w:hAnsi="Garamond"/>
          <w:b/>
          <w:bCs/>
          <w:sz w:val="20"/>
          <w:szCs w:val="20"/>
          <w:lang w:val="en-US"/>
        </w:rPr>
      </w:pPr>
    </w:p>
    <w:p w14:paraId="3FCCA997" w14:textId="39C77B0F" w:rsidR="00BF0CB9" w:rsidRPr="002F0A24" w:rsidRDefault="00BF0CB9" w:rsidP="002F0A24">
      <w:pPr>
        <w:pStyle w:val="Paragrafoelenco"/>
        <w:numPr>
          <w:ilvl w:val="0"/>
          <w:numId w:val="2"/>
        </w:numPr>
        <w:spacing w:after="0" w:line="360" w:lineRule="auto"/>
        <w:jc w:val="both"/>
        <w:rPr>
          <w:rFonts w:ascii="Garamond" w:hAnsi="Garamond"/>
          <w:b/>
          <w:bCs/>
          <w:sz w:val="24"/>
          <w:szCs w:val="20"/>
          <w:lang w:val="en-US"/>
        </w:rPr>
      </w:pPr>
      <w:r w:rsidRPr="002F0A24">
        <w:rPr>
          <w:rFonts w:ascii="Garamond" w:hAnsi="Garamond"/>
          <w:b/>
          <w:bCs/>
          <w:sz w:val="24"/>
          <w:szCs w:val="20"/>
          <w:lang w:val="en-US"/>
        </w:rPr>
        <w:t>Results</w:t>
      </w:r>
    </w:p>
    <w:p w14:paraId="11E4FCD0" w14:textId="77777777" w:rsidR="00811515" w:rsidRDefault="00811515" w:rsidP="00811515">
      <w:pPr>
        <w:spacing w:after="0" w:line="360" w:lineRule="auto"/>
        <w:jc w:val="both"/>
        <w:rPr>
          <w:rFonts w:ascii="Garamond" w:hAnsi="Garamond"/>
          <w:sz w:val="20"/>
          <w:szCs w:val="20"/>
          <w:lang w:val="en-US"/>
        </w:rPr>
      </w:pPr>
    </w:p>
    <w:p w14:paraId="3DE96844" w14:textId="580C29F8" w:rsidR="00BF0D4E" w:rsidRDefault="00B1725B" w:rsidP="00811515">
      <w:pPr>
        <w:spacing w:after="0" w:line="360" w:lineRule="auto"/>
        <w:jc w:val="both"/>
        <w:rPr>
          <w:rFonts w:ascii="Garamond" w:hAnsi="Garamond"/>
          <w:sz w:val="20"/>
          <w:szCs w:val="20"/>
          <w:lang w:val="en-US"/>
        </w:rPr>
      </w:pPr>
      <w:r>
        <w:rPr>
          <w:rFonts w:ascii="Garamond" w:hAnsi="Garamond"/>
          <w:sz w:val="20"/>
          <w:szCs w:val="20"/>
          <w:lang w:val="en-US"/>
        </w:rPr>
        <w:t xml:space="preserve">Distribution of </w:t>
      </w:r>
      <w:r w:rsidR="00C51AD8">
        <w:rPr>
          <w:rFonts w:ascii="Garamond" w:hAnsi="Garamond"/>
          <w:sz w:val="20"/>
          <w:szCs w:val="20"/>
          <w:lang w:val="en-US"/>
        </w:rPr>
        <w:t>vaccination cards</w:t>
      </w:r>
      <w:r>
        <w:rPr>
          <w:rFonts w:ascii="Garamond" w:hAnsi="Garamond"/>
          <w:sz w:val="20"/>
          <w:szCs w:val="20"/>
          <w:lang w:val="en-US"/>
        </w:rPr>
        <w:t xml:space="preserve"> </w:t>
      </w:r>
      <w:r w:rsidR="004140FF">
        <w:rPr>
          <w:rFonts w:ascii="Garamond" w:hAnsi="Garamond"/>
          <w:sz w:val="20"/>
          <w:szCs w:val="20"/>
          <w:lang w:val="en-US"/>
        </w:rPr>
        <w:t xml:space="preserve">coincided with the beginning </w:t>
      </w:r>
      <w:r w:rsidR="00F063B8">
        <w:rPr>
          <w:rFonts w:ascii="Garamond" w:hAnsi="Garamond"/>
          <w:sz w:val="20"/>
          <w:szCs w:val="20"/>
          <w:lang w:val="en-US"/>
        </w:rPr>
        <w:t>of national imm</w:t>
      </w:r>
      <w:r w:rsidR="00377617">
        <w:rPr>
          <w:rFonts w:ascii="Garamond" w:hAnsi="Garamond"/>
          <w:sz w:val="20"/>
          <w:szCs w:val="20"/>
          <w:lang w:val="en-US"/>
        </w:rPr>
        <w:t>unization campaign</w:t>
      </w:r>
      <w:r w:rsidR="00C51AD8">
        <w:rPr>
          <w:rFonts w:ascii="Garamond" w:hAnsi="Garamond"/>
          <w:sz w:val="20"/>
          <w:szCs w:val="20"/>
          <w:lang w:val="en-US"/>
        </w:rPr>
        <w:t>s</w:t>
      </w:r>
      <w:r w:rsidR="00377617">
        <w:rPr>
          <w:rFonts w:ascii="Garamond" w:hAnsi="Garamond"/>
          <w:sz w:val="20"/>
          <w:szCs w:val="20"/>
          <w:lang w:val="en-US"/>
        </w:rPr>
        <w:t xml:space="preserve"> and most doses were administered between mid-October and November of each season. </w:t>
      </w:r>
      <w:r w:rsidR="00EC0F36" w:rsidRPr="00EC0F36">
        <w:rPr>
          <w:rFonts w:ascii="Garamond" w:hAnsi="Garamond"/>
          <w:sz w:val="20"/>
          <w:szCs w:val="20"/>
          <w:lang w:val="en-US"/>
        </w:rPr>
        <w:t>As per protocol, in each</w:t>
      </w:r>
      <w:r w:rsidR="00EC0F36">
        <w:rPr>
          <w:rFonts w:ascii="Garamond" w:hAnsi="Garamond"/>
          <w:sz w:val="20"/>
          <w:szCs w:val="20"/>
          <w:lang w:val="en-US"/>
        </w:rPr>
        <w:t xml:space="preserve"> season at least 1</w:t>
      </w:r>
      <w:r w:rsidR="007258F3">
        <w:rPr>
          <w:rFonts w:ascii="Garamond" w:hAnsi="Garamond"/>
          <w:sz w:val="20"/>
          <w:szCs w:val="20"/>
          <w:lang w:val="en-US"/>
        </w:rPr>
        <w:t>,</w:t>
      </w:r>
      <w:r w:rsidR="00EC0F36">
        <w:rPr>
          <w:rFonts w:ascii="Garamond" w:hAnsi="Garamond"/>
          <w:sz w:val="20"/>
          <w:szCs w:val="20"/>
          <w:lang w:val="en-US"/>
        </w:rPr>
        <w:t xml:space="preserve">000 </w:t>
      </w:r>
      <w:r w:rsidR="00C51AD8">
        <w:rPr>
          <w:rFonts w:ascii="Garamond" w:hAnsi="Garamond"/>
          <w:sz w:val="20"/>
          <w:szCs w:val="20"/>
          <w:lang w:val="en-US"/>
        </w:rPr>
        <w:t>vaccination cards</w:t>
      </w:r>
      <w:r w:rsidR="00EC0F36">
        <w:rPr>
          <w:rFonts w:ascii="Garamond" w:hAnsi="Garamond"/>
          <w:sz w:val="20"/>
          <w:szCs w:val="20"/>
          <w:lang w:val="en-US"/>
        </w:rPr>
        <w:t xml:space="preserve"> were </w:t>
      </w:r>
      <w:r w:rsidR="007A6CC8">
        <w:rPr>
          <w:rFonts w:ascii="Garamond" w:hAnsi="Garamond"/>
          <w:sz w:val="20"/>
          <w:szCs w:val="20"/>
          <w:lang w:val="en-US"/>
        </w:rPr>
        <w:t>distributed,</w:t>
      </w:r>
      <w:r w:rsidR="007A4521">
        <w:rPr>
          <w:rFonts w:ascii="Garamond" w:hAnsi="Garamond"/>
          <w:sz w:val="20"/>
          <w:szCs w:val="20"/>
          <w:lang w:val="en-US"/>
        </w:rPr>
        <w:t xml:space="preserve"> and most exposures occurred in </w:t>
      </w:r>
      <w:r w:rsidR="006624F0">
        <w:rPr>
          <w:rFonts w:ascii="Garamond" w:hAnsi="Garamond"/>
          <w:sz w:val="20"/>
          <w:szCs w:val="20"/>
          <w:lang w:val="en-US"/>
        </w:rPr>
        <w:t xml:space="preserve">working-age </w:t>
      </w:r>
      <w:r w:rsidR="007A4521">
        <w:rPr>
          <w:rFonts w:ascii="Garamond" w:hAnsi="Garamond"/>
          <w:sz w:val="20"/>
          <w:szCs w:val="20"/>
          <w:lang w:val="en-US"/>
        </w:rPr>
        <w:t>adults (Table 1).</w:t>
      </w:r>
    </w:p>
    <w:p w14:paraId="1B360CED" w14:textId="7B4EA328" w:rsidR="00D26E9E" w:rsidRDefault="005C3F9B" w:rsidP="00811515">
      <w:pPr>
        <w:spacing w:after="0" w:line="360" w:lineRule="auto"/>
        <w:jc w:val="both"/>
        <w:rPr>
          <w:rFonts w:ascii="Garamond" w:hAnsi="Garamond"/>
          <w:sz w:val="20"/>
          <w:szCs w:val="20"/>
          <w:lang w:val="en-US"/>
        </w:rPr>
      </w:pPr>
      <w:r>
        <w:rPr>
          <w:rFonts w:ascii="Garamond" w:hAnsi="Garamond"/>
          <w:sz w:val="20"/>
          <w:szCs w:val="20"/>
          <w:lang w:val="en-US"/>
        </w:rPr>
        <w:t>T</w:t>
      </w:r>
      <w:r w:rsidR="00450126">
        <w:rPr>
          <w:rFonts w:ascii="Garamond" w:hAnsi="Garamond"/>
          <w:sz w:val="20"/>
          <w:szCs w:val="20"/>
          <w:lang w:val="en-US"/>
        </w:rPr>
        <w:t xml:space="preserve">he overall </w:t>
      </w:r>
      <w:r w:rsidR="00976F0E">
        <w:rPr>
          <w:rFonts w:ascii="Garamond" w:hAnsi="Garamond"/>
          <w:sz w:val="20"/>
          <w:szCs w:val="20"/>
          <w:lang w:val="en-US"/>
        </w:rPr>
        <w:t>frequency</w:t>
      </w:r>
      <w:r w:rsidR="00450126">
        <w:rPr>
          <w:rFonts w:ascii="Garamond" w:hAnsi="Garamond"/>
          <w:sz w:val="20"/>
          <w:szCs w:val="20"/>
          <w:lang w:val="en-US"/>
        </w:rPr>
        <w:t xml:space="preserve"> of ICSRs </w:t>
      </w:r>
      <w:r>
        <w:rPr>
          <w:rFonts w:ascii="Garamond" w:hAnsi="Garamond"/>
          <w:sz w:val="20"/>
          <w:szCs w:val="20"/>
          <w:lang w:val="en-US"/>
        </w:rPr>
        <w:t xml:space="preserve">diminished </w:t>
      </w:r>
      <w:r w:rsidR="00E574BF">
        <w:rPr>
          <w:rFonts w:ascii="Garamond" w:hAnsi="Garamond"/>
          <w:sz w:val="20"/>
          <w:szCs w:val="20"/>
          <w:lang w:val="en-US"/>
        </w:rPr>
        <w:t>(</w:t>
      </w:r>
      <w:r w:rsidR="00781716" w:rsidRPr="00781716">
        <w:rPr>
          <w:rFonts w:ascii="Garamond" w:hAnsi="Garamond"/>
          <w:i/>
          <w:iCs/>
          <w:sz w:val="20"/>
          <w:szCs w:val="20"/>
          <w:lang w:val="en-US"/>
        </w:rPr>
        <w:t>p</w:t>
      </w:r>
      <w:r w:rsidR="00781716">
        <w:rPr>
          <w:rFonts w:ascii="Garamond" w:hAnsi="Garamond"/>
          <w:sz w:val="20"/>
          <w:szCs w:val="20"/>
          <w:lang w:val="en-US"/>
        </w:rPr>
        <w:t xml:space="preserve"> = 0.002</w:t>
      </w:r>
      <w:r w:rsidR="00E574BF">
        <w:rPr>
          <w:rFonts w:ascii="Garamond" w:hAnsi="Garamond"/>
          <w:sz w:val="20"/>
          <w:szCs w:val="20"/>
          <w:lang w:val="en-US"/>
        </w:rPr>
        <w:t xml:space="preserve">) </w:t>
      </w:r>
      <w:r>
        <w:rPr>
          <w:rFonts w:ascii="Garamond" w:hAnsi="Garamond"/>
          <w:sz w:val="20"/>
          <w:szCs w:val="20"/>
          <w:lang w:val="en-US"/>
        </w:rPr>
        <w:t>over time</w:t>
      </w:r>
      <w:r w:rsidR="00041CB6">
        <w:rPr>
          <w:rFonts w:ascii="Garamond" w:hAnsi="Garamond"/>
          <w:sz w:val="20"/>
          <w:szCs w:val="20"/>
          <w:lang w:val="en-US"/>
        </w:rPr>
        <w:t xml:space="preserve"> with reporting rates of </w:t>
      </w:r>
      <w:bookmarkStart w:id="1" w:name="_Hlk122351426"/>
      <w:r w:rsidR="00041CB6">
        <w:rPr>
          <w:rFonts w:ascii="Garamond" w:hAnsi="Garamond"/>
          <w:sz w:val="20"/>
          <w:szCs w:val="20"/>
          <w:lang w:val="en-US"/>
        </w:rPr>
        <w:t>1.75</w:t>
      </w:r>
      <w:r w:rsidR="00976F0E">
        <w:rPr>
          <w:rFonts w:ascii="Garamond" w:hAnsi="Garamond"/>
          <w:sz w:val="20"/>
          <w:szCs w:val="20"/>
          <w:lang w:val="en-US"/>
        </w:rPr>
        <w:t xml:space="preserve">% (18/1030), </w:t>
      </w:r>
      <w:r w:rsidR="00AB1B0B">
        <w:rPr>
          <w:rFonts w:ascii="Garamond" w:hAnsi="Garamond"/>
          <w:sz w:val="20"/>
          <w:szCs w:val="20"/>
          <w:lang w:val="en-US"/>
        </w:rPr>
        <w:t xml:space="preserve">0.48% (5/1032) and 0.40% (4/1001) </w:t>
      </w:r>
      <w:r w:rsidR="00B13BB4">
        <w:rPr>
          <w:rFonts w:ascii="Garamond" w:hAnsi="Garamond"/>
          <w:sz w:val="20"/>
          <w:szCs w:val="20"/>
          <w:lang w:val="en-US"/>
        </w:rPr>
        <w:t xml:space="preserve">documented during the </w:t>
      </w:r>
      <w:r w:rsidR="001A45EB">
        <w:rPr>
          <w:rFonts w:ascii="Garamond" w:hAnsi="Garamond"/>
          <w:sz w:val="20"/>
          <w:szCs w:val="20"/>
          <w:lang w:val="en-US"/>
        </w:rPr>
        <w:t xml:space="preserve">NH </w:t>
      </w:r>
      <w:r w:rsidR="00B13BB4">
        <w:rPr>
          <w:rFonts w:ascii="Garamond" w:hAnsi="Garamond"/>
          <w:sz w:val="20"/>
          <w:szCs w:val="20"/>
          <w:lang w:val="en-US"/>
        </w:rPr>
        <w:t>seasons 2019/20, 2020/21 and 2021/22, respectively</w:t>
      </w:r>
      <w:bookmarkEnd w:id="1"/>
      <w:r>
        <w:rPr>
          <w:rFonts w:ascii="Garamond" w:hAnsi="Garamond"/>
          <w:sz w:val="20"/>
          <w:szCs w:val="20"/>
          <w:lang w:val="en-US"/>
        </w:rPr>
        <w:t xml:space="preserve">. </w:t>
      </w:r>
      <w:r w:rsidR="000B200F">
        <w:rPr>
          <w:rFonts w:ascii="Garamond" w:hAnsi="Garamond"/>
          <w:sz w:val="20"/>
          <w:szCs w:val="20"/>
          <w:lang w:val="en-US"/>
        </w:rPr>
        <w:t xml:space="preserve">However, in the 2019/20 season, 8 out of 18 ICSRs did not meet the </w:t>
      </w:r>
      <w:r w:rsidR="00DF59D6">
        <w:rPr>
          <w:rFonts w:ascii="Garamond" w:hAnsi="Garamond"/>
          <w:sz w:val="20"/>
          <w:szCs w:val="20"/>
          <w:lang w:val="en-US"/>
        </w:rPr>
        <w:t xml:space="preserve">eligibility </w:t>
      </w:r>
      <w:r w:rsidR="000B200F">
        <w:rPr>
          <w:rFonts w:ascii="Garamond" w:hAnsi="Garamond"/>
          <w:sz w:val="20"/>
          <w:szCs w:val="20"/>
          <w:lang w:val="en-US"/>
        </w:rPr>
        <w:t>criteri</w:t>
      </w:r>
      <w:r w:rsidR="006C5177">
        <w:rPr>
          <w:rFonts w:ascii="Garamond" w:hAnsi="Garamond"/>
          <w:sz w:val="20"/>
          <w:szCs w:val="20"/>
          <w:lang w:val="en-US"/>
        </w:rPr>
        <w:t>on of the availability of a unique identification number of the vaccination card and were therefore excluded</w:t>
      </w:r>
      <w:r w:rsidR="000B200F">
        <w:rPr>
          <w:rFonts w:ascii="Garamond" w:hAnsi="Garamond"/>
          <w:sz w:val="20"/>
          <w:szCs w:val="20"/>
          <w:lang w:val="en-US"/>
        </w:rPr>
        <w:t>.</w:t>
      </w:r>
      <w:r w:rsidR="006C5177">
        <w:rPr>
          <w:rFonts w:ascii="Garamond" w:hAnsi="Garamond"/>
          <w:sz w:val="20"/>
          <w:szCs w:val="20"/>
          <w:lang w:val="en-US"/>
        </w:rPr>
        <w:t xml:space="preserve"> Characteristics of the excluded ICSRs are reported in </w:t>
      </w:r>
      <w:r w:rsidR="006956D6">
        <w:rPr>
          <w:rFonts w:ascii="Garamond" w:hAnsi="Garamond"/>
          <w:sz w:val="20"/>
          <w:szCs w:val="20"/>
          <w:lang w:val="en-US"/>
        </w:rPr>
        <w:t>Table</w:t>
      </w:r>
      <w:r w:rsidR="006C5177">
        <w:rPr>
          <w:rFonts w:ascii="Garamond" w:hAnsi="Garamond"/>
          <w:sz w:val="20"/>
          <w:szCs w:val="20"/>
          <w:lang w:val="en-US"/>
        </w:rPr>
        <w:t xml:space="preserve"> </w:t>
      </w:r>
      <w:r w:rsidR="006956D6">
        <w:rPr>
          <w:rFonts w:ascii="Garamond" w:hAnsi="Garamond"/>
          <w:sz w:val="20"/>
          <w:szCs w:val="20"/>
          <w:lang w:val="en-US"/>
        </w:rPr>
        <w:t>S</w:t>
      </w:r>
      <w:r w:rsidR="006C5177">
        <w:rPr>
          <w:rFonts w:ascii="Garamond" w:hAnsi="Garamond"/>
          <w:sz w:val="20"/>
          <w:szCs w:val="20"/>
          <w:lang w:val="en-US"/>
        </w:rPr>
        <w:t>2.</w:t>
      </w:r>
    </w:p>
    <w:p w14:paraId="52CA5B04" w14:textId="599E7DE3" w:rsidR="00155D01" w:rsidRDefault="00155D01" w:rsidP="00155D01">
      <w:pPr>
        <w:spacing w:after="0" w:line="360" w:lineRule="auto"/>
        <w:jc w:val="both"/>
        <w:rPr>
          <w:rFonts w:ascii="Garamond" w:hAnsi="Garamond"/>
          <w:sz w:val="20"/>
          <w:szCs w:val="20"/>
          <w:lang w:val="en-US"/>
        </w:rPr>
      </w:pPr>
      <w:r>
        <w:rPr>
          <w:rFonts w:ascii="Garamond" w:hAnsi="Garamond"/>
          <w:sz w:val="20"/>
          <w:szCs w:val="20"/>
          <w:lang w:val="en-US"/>
        </w:rPr>
        <w:t xml:space="preserve">Most ICSRs concerned working-age adults. </w:t>
      </w:r>
      <w:r w:rsidR="00D00BAD">
        <w:rPr>
          <w:rFonts w:ascii="Garamond" w:hAnsi="Garamond"/>
          <w:sz w:val="20"/>
          <w:szCs w:val="20"/>
          <w:lang w:val="en-US"/>
        </w:rPr>
        <w:t xml:space="preserve">Conversely, during the three seasons there was only one ICSR registered in the pediatric age-class </w:t>
      </w:r>
      <w:r>
        <w:rPr>
          <w:rFonts w:ascii="Garamond" w:hAnsi="Garamond"/>
          <w:sz w:val="20"/>
          <w:szCs w:val="20"/>
          <w:lang w:val="en-US"/>
        </w:rPr>
        <w:t>(Table 2).</w:t>
      </w:r>
      <w:r w:rsidR="00D00BAD">
        <w:rPr>
          <w:rFonts w:ascii="Garamond" w:hAnsi="Garamond"/>
          <w:sz w:val="20"/>
          <w:szCs w:val="20"/>
          <w:lang w:val="en-US"/>
        </w:rPr>
        <w:t xml:space="preserve"> </w:t>
      </w:r>
      <w:proofErr w:type="gramStart"/>
      <w:r w:rsidR="00D00BAD">
        <w:rPr>
          <w:rFonts w:ascii="Garamond" w:hAnsi="Garamond"/>
          <w:sz w:val="20"/>
          <w:szCs w:val="20"/>
          <w:lang w:val="en-US"/>
        </w:rPr>
        <w:t>With regard to</w:t>
      </w:r>
      <w:proofErr w:type="gramEnd"/>
      <w:r w:rsidR="00D00BAD">
        <w:rPr>
          <w:rFonts w:ascii="Garamond" w:hAnsi="Garamond"/>
          <w:sz w:val="20"/>
          <w:szCs w:val="20"/>
          <w:lang w:val="en-US"/>
        </w:rPr>
        <w:t xml:space="preserve"> </w:t>
      </w:r>
      <w:r w:rsidR="001A45EB">
        <w:rPr>
          <w:rFonts w:ascii="Garamond" w:hAnsi="Garamond"/>
          <w:sz w:val="20"/>
          <w:szCs w:val="20"/>
          <w:lang w:val="en-US"/>
        </w:rPr>
        <w:t>sex</w:t>
      </w:r>
      <w:r w:rsidR="00D00BAD">
        <w:rPr>
          <w:rFonts w:ascii="Garamond" w:hAnsi="Garamond"/>
          <w:sz w:val="20"/>
          <w:szCs w:val="20"/>
          <w:lang w:val="en-US"/>
        </w:rPr>
        <w:t>, most (</w:t>
      </w:r>
      <w:r w:rsidR="00FA0B47">
        <w:rPr>
          <w:rFonts w:ascii="Garamond" w:hAnsi="Garamond"/>
          <w:sz w:val="20"/>
          <w:szCs w:val="20"/>
          <w:lang w:val="en-US"/>
        </w:rPr>
        <w:t>8</w:t>
      </w:r>
      <w:r w:rsidR="00D00BAD">
        <w:rPr>
          <w:rFonts w:ascii="Garamond" w:hAnsi="Garamond"/>
          <w:sz w:val="20"/>
          <w:szCs w:val="20"/>
          <w:lang w:val="en-US"/>
        </w:rPr>
        <w:t xml:space="preserve">4.7%, 16/19; </w:t>
      </w:r>
      <w:r w:rsidR="00D00BAD" w:rsidRPr="00D00BAD">
        <w:rPr>
          <w:rFonts w:ascii="Garamond" w:hAnsi="Garamond"/>
          <w:i/>
          <w:sz w:val="20"/>
          <w:szCs w:val="20"/>
          <w:lang w:val="en-US"/>
        </w:rPr>
        <w:t>p</w:t>
      </w:r>
      <w:r w:rsidR="00D00BAD">
        <w:rPr>
          <w:rFonts w:ascii="Garamond" w:hAnsi="Garamond"/>
          <w:sz w:val="20"/>
          <w:szCs w:val="20"/>
          <w:lang w:val="en-US"/>
        </w:rPr>
        <w:t xml:space="preserve"> = 0.00</w:t>
      </w:r>
      <w:r w:rsidR="00FA0B47">
        <w:rPr>
          <w:rFonts w:ascii="Garamond" w:hAnsi="Garamond"/>
          <w:sz w:val="20"/>
          <w:szCs w:val="20"/>
          <w:lang w:val="en-US"/>
        </w:rPr>
        <w:t>4</w:t>
      </w:r>
      <w:r w:rsidR="00D00BAD">
        <w:rPr>
          <w:rFonts w:ascii="Garamond" w:hAnsi="Garamond"/>
          <w:sz w:val="20"/>
          <w:szCs w:val="20"/>
          <w:lang w:val="en-US"/>
        </w:rPr>
        <w:t xml:space="preserve">) ICSRs </w:t>
      </w:r>
      <w:r w:rsidR="00A52146">
        <w:rPr>
          <w:rFonts w:ascii="Garamond" w:hAnsi="Garamond"/>
          <w:sz w:val="20"/>
          <w:szCs w:val="20"/>
          <w:lang w:val="en-US"/>
        </w:rPr>
        <w:t>were</w:t>
      </w:r>
      <w:r w:rsidR="00D00BAD">
        <w:rPr>
          <w:rFonts w:ascii="Garamond" w:hAnsi="Garamond"/>
          <w:sz w:val="20"/>
          <w:szCs w:val="20"/>
          <w:lang w:val="en-US"/>
        </w:rPr>
        <w:t xml:space="preserve"> </w:t>
      </w:r>
      <w:r w:rsidR="001A45EB">
        <w:rPr>
          <w:rFonts w:ascii="Garamond" w:hAnsi="Garamond"/>
          <w:sz w:val="20"/>
          <w:szCs w:val="20"/>
          <w:lang w:val="en-US"/>
        </w:rPr>
        <w:t xml:space="preserve">reported for </w:t>
      </w:r>
      <w:r w:rsidR="007258F3">
        <w:rPr>
          <w:rFonts w:ascii="Garamond" w:hAnsi="Garamond"/>
          <w:sz w:val="20"/>
          <w:szCs w:val="20"/>
          <w:lang w:val="en-US"/>
        </w:rPr>
        <w:t>women</w:t>
      </w:r>
      <w:r w:rsidR="00D00BAD">
        <w:rPr>
          <w:rFonts w:ascii="Garamond" w:hAnsi="Garamond"/>
          <w:sz w:val="20"/>
          <w:szCs w:val="20"/>
          <w:lang w:val="en-US"/>
        </w:rPr>
        <w:t xml:space="preserve">, especially during the first two </w:t>
      </w:r>
      <w:r w:rsidR="001A45EB">
        <w:rPr>
          <w:rFonts w:ascii="Garamond" w:hAnsi="Garamond"/>
          <w:sz w:val="20"/>
          <w:szCs w:val="20"/>
          <w:lang w:val="en-US"/>
        </w:rPr>
        <w:t xml:space="preserve">seasons </w:t>
      </w:r>
      <w:r w:rsidR="00D00BAD">
        <w:rPr>
          <w:rFonts w:ascii="Garamond" w:hAnsi="Garamond"/>
          <w:sz w:val="20"/>
          <w:szCs w:val="20"/>
          <w:lang w:val="en-US"/>
        </w:rPr>
        <w:t>(2019/20: 9/10; 2020/21: 5/5; 2021/22: 2/4).</w:t>
      </w:r>
    </w:p>
    <w:p w14:paraId="708E5695" w14:textId="54F82A1A" w:rsidR="006C5177" w:rsidRPr="00EC0F36" w:rsidRDefault="006C5177" w:rsidP="006C5177">
      <w:pPr>
        <w:spacing w:after="0" w:line="360" w:lineRule="auto"/>
        <w:jc w:val="both"/>
        <w:rPr>
          <w:rFonts w:ascii="Garamond" w:hAnsi="Garamond"/>
          <w:sz w:val="20"/>
          <w:szCs w:val="20"/>
          <w:lang w:val="en-US"/>
        </w:rPr>
      </w:pPr>
      <w:r>
        <w:rPr>
          <w:rFonts w:ascii="Garamond" w:hAnsi="Garamond"/>
          <w:sz w:val="20"/>
          <w:szCs w:val="20"/>
          <w:lang w:val="en-US"/>
        </w:rPr>
        <w:t xml:space="preserve">The average number of AEs (any AE) per ICSR analyzed was similar across the three seasons </w:t>
      </w:r>
      <w:r w:rsidR="00FA0B47">
        <w:rPr>
          <w:rFonts w:ascii="Garamond" w:hAnsi="Garamond"/>
          <w:sz w:val="20"/>
          <w:szCs w:val="20"/>
          <w:lang w:val="en-US"/>
        </w:rPr>
        <w:t>(</w:t>
      </w:r>
      <w:r>
        <w:rPr>
          <w:rFonts w:ascii="Garamond" w:hAnsi="Garamond"/>
          <w:sz w:val="20"/>
          <w:szCs w:val="20"/>
          <w:lang w:val="en-US"/>
        </w:rPr>
        <w:t>2019/20: 3.5</w:t>
      </w:r>
      <w:r w:rsidR="00FA0B47">
        <w:rPr>
          <w:rFonts w:ascii="Garamond" w:hAnsi="Garamond"/>
          <w:sz w:val="20"/>
          <w:szCs w:val="20"/>
          <w:lang w:val="en-US"/>
        </w:rPr>
        <w:t xml:space="preserve">, </w:t>
      </w:r>
      <w:r>
        <w:rPr>
          <w:rFonts w:ascii="Garamond" w:hAnsi="Garamond"/>
          <w:sz w:val="20"/>
          <w:szCs w:val="20"/>
          <w:lang w:val="en-US"/>
        </w:rPr>
        <w:t>35/10; 2020/21: 3.8</w:t>
      </w:r>
      <w:r w:rsidR="00FA0B47">
        <w:rPr>
          <w:rFonts w:ascii="Garamond" w:hAnsi="Garamond"/>
          <w:sz w:val="20"/>
          <w:szCs w:val="20"/>
          <w:lang w:val="en-US"/>
        </w:rPr>
        <w:t xml:space="preserve">, </w:t>
      </w:r>
      <w:r>
        <w:rPr>
          <w:rFonts w:ascii="Garamond" w:hAnsi="Garamond"/>
          <w:sz w:val="20"/>
          <w:szCs w:val="20"/>
          <w:lang w:val="en-US"/>
        </w:rPr>
        <w:t>19/5; 2021/22: 3.3</w:t>
      </w:r>
      <w:r w:rsidR="00FA0B47">
        <w:rPr>
          <w:rFonts w:ascii="Garamond" w:hAnsi="Garamond"/>
          <w:sz w:val="20"/>
          <w:szCs w:val="20"/>
          <w:lang w:val="en-US"/>
        </w:rPr>
        <w:t>,</w:t>
      </w:r>
      <w:r>
        <w:rPr>
          <w:rFonts w:ascii="Garamond" w:hAnsi="Garamond"/>
          <w:sz w:val="20"/>
          <w:szCs w:val="20"/>
          <w:lang w:val="en-US"/>
        </w:rPr>
        <w:t xml:space="preserve"> 13/4) and most of these were considered </w:t>
      </w:r>
      <w:proofErr w:type="spellStart"/>
      <w:r>
        <w:rPr>
          <w:rFonts w:ascii="Garamond" w:hAnsi="Garamond"/>
          <w:sz w:val="20"/>
          <w:szCs w:val="20"/>
          <w:lang w:val="en-US"/>
        </w:rPr>
        <w:t>rAEIs</w:t>
      </w:r>
      <w:proofErr w:type="spellEnd"/>
      <w:r>
        <w:rPr>
          <w:rFonts w:ascii="Garamond" w:hAnsi="Garamond"/>
          <w:sz w:val="20"/>
          <w:szCs w:val="20"/>
          <w:lang w:val="en-US"/>
        </w:rPr>
        <w:t>. As shown in Table 3,</w:t>
      </w:r>
      <w:r w:rsidR="00FA0B47">
        <w:rPr>
          <w:rFonts w:ascii="Garamond" w:hAnsi="Garamond"/>
          <w:sz w:val="20"/>
          <w:szCs w:val="20"/>
          <w:lang w:val="en-US"/>
        </w:rPr>
        <w:t xml:space="preserve"> the most common systemic </w:t>
      </w:r>
      <w:proofErr w:type="spellStart"/>
      <w:r w:rsidR="00FA0B47">
        <w:rPr>
          <w:rFonts w:ascii="Garamond" w:hAnsi="Garamond"/>
          <w:sz w:val="20"/>
          <w:szCs w:val="20"/>
          <w:lang w:val="en-US"/>
        </w:rPr>
        <w:t>rAEIs</w:t>
      </w:r>
      <w:proofErr w:type="spellEnd"/>
      <w:r w:rsidR="00FA0B47">
        <w:rPr>
          <w:rFonts w:ascii="Garamond" w:hAnsi="Garamond"/>
          <w:sz w:val="20"/>
          <w:szCs w:val="20"/>
          <w:lang w:val="en-US"/>
        </w:rPr>
        <w:t xml:space="preserve"> were fever, malaise and headache, while injection site </w:t>
      </w:r>
      <w:proofErr w:type="gramStart"/>
      <w:r w:rsidR="00FA0B47">
        <w:rPr>
          <w:rFonts w:ascii="Garamond" w:hAnsi="Garamond"/>
          <w:sz w:val="20"/>
          <w:szCs w:val="20"/>
          <w:lang w:val="en-US"/>
        </w:rPr>
        <w:t>swelling</w:t>
      </w:r>
      <w:proofErr w:type="gramEnd"/>
      <w:r w:rsidR="00FA0B47">
        <w:rPr>
          <w:rFonts w:ascii="Garamond" w:hAnsi="Garamond"/>
          <w:sz w:val="20"/>
          <w:szCs w:val="20"/>
          <w:lang w:val="en-US"/>
        </w:rPr>
        <w:t xml:space="preserve"> and erythema were the most common local </w:t>
      </w:r>
      <w:proofErr w:type="spellStart"/>
      <w:r w:rsidR="00FA0B47">
        <w:rPr>
          <w:rFonts w:ascii="Garamond" w:hAnsi="Garamond"/>
          <w:sz w:val="20"/>
          <w:szCs w:val="20"/>
          <w:lang w:val="en-US"/>
        </w:rPr>
        <w:t>rAIEs</w:t>
      </w:r>
      <w:proofErr w:type="spellEnd"/>
      <w:r w:rsidR="00FA0B47">
        <w:rPr>
          <w:rFonts w:ascii="Garamond" w:hAnsi="Garamond"/>
          <w:sz w:val="20"/>
          <w:szCs w:val="20"/>
          <w:lang w:val="en-US"/>
        </w:rPr>
        <w:t>.</w:t>
      </w:r>
    </w:p>
    <w:p w14:paraId="3437B322" w14:textId="74445007" w:rsidR="00F07659" w:rsidRDefault="006B1EFC" w:rsidP="00811515">
      <w:pPr>
        <w:spacing w:after="0" w:line="360" w:lineRule="auto"/>
        <w:jc w:val="both"/>
        <w:rPr>
          <w:rFonts w:ascii="Garamond" w:hAnsi="Garamond"/>
          <w:sz w:val="20"/>
          <w:szCs w:val="20"/>
          <w:lang w:val="en-US"/>
        </w:rPr>
      </w:pPr>
      <w:r>
        <w:rPr>
          <w:rFonts w:ascii="Garamond" w:hAnsi="Garamond"/>
          <w:sz w:val="20"/>
          <w:szCs w:val="20"/>
          <w:lang w:val="en-US"/>
        </w:rPr>
        <w:t>T</w:t>
      </w:r>
      <w:r w:rsidR="00CF6B08">
        <w:rPr>
          <w:rFonts w:ascii="Garamond" w:hAnsi="Garamond"/>
          <w:sz w:val="20"/>
          <w:szCs w:val="20"/>
          <w:lang w:val="en-US"/>
        </w:rPr>
        <w:t xml:space="preserve">wo ICSRs </w:t>
      </w:r>
      <w:r w:rsidR="00A52146">
        <w:rPr>
          <w:rFonts w:ascii="Garamond" w:hAnsi="Garamond"/>
          <w:sz w:val="20"/>
          <w:szCs w:val="20"/>
          <w:lang w:val="en-US"/>
        </w:rPr>
        <w:t xml:space="preserve">were likely to be </w:t>
      </w:r>
      <w:r w:rsidR="00CF6B08">
        <w:rPr>
          <w:rFonts w:ascii="Garamond" w:hAnsi="Garamond"/>
          <w:sz w:val="20"/>
          <w:szCs w:val="20"/>
          <w:lang w:val="en-US"/>
        </w:rPr>
        <w:t>hypersensitivity</w:t>
      </w:r>
      <w:r w:rsidR="00A52146">
        <w:rPr>
          <w:rFonts w:ascii="Garamond" w:hAnsi="Garamond"/>
          <w:sz w:val="20"/>
          <w:szCs w:val="20"/>
          <w:lang w:val="en-US"/>
        </w:rPr>
        <w:t xml:space="preserve"> reaction</w:t>
      </w:r>
      <w:r w:rsidR="00DF59D6">
        <w:rPr>
          <w:rFonts w:ascii="Garamond" w:hAnsi="Garamond"/>
          <w:sz w:val="20"/>
          <w:szCs w:val="20"/>
          <w:lang w:val="en-US"/>
        </w:rPr>
        <w:t>s</w:t>
      </w:r>
      <w:r w:rsidR="00CF6B08">
        <w:rPr>
          <w:rFonts w:ascii="Garamond" w:hAnsi="Garamond"/>
          <w:sz w:val="20"/>
          <w:szCs w:val="20"/>
          <w:lang w:val="en-US"/>
        </w:rPr>
        <w:t xml:space="preserve">. The first </w:t>
      </w:r>
      <w:r w:rsidR="001A45EB">
        <w:rPr>
          <w:rFonts w:ascii="Garamond" w:hAnsi="Garamond"/>
          <w:sz w:val="20"/>
          <w:szCs w:val="20"/>
          <w:lang w:val="en-US"/>
        </w:rPr>
        <w:t>occurred in</w:t>
      </w:r>
      <w:r w:rsidR="00CF6B08">
        <w:rPr>
          <w:rFonts w:ascii="Garamond" w:hAnsi="Garamond"/>
          <w:sz w:val="20"/>
          <w:szCs w:val="20"/>
          <w:lang w:val="en-US"/>
        </w:rPr>
        <w:t xml:space="preserve"> a 43-year-old female who reported dry mouth, tongue erythema and </w:t>
      </w:r>
      <w:r w:rsidR="001A45EB">
        <w:rPr>
          <w:rFonts w:ascii="Garamond" w:hAnsi="Garamond"/>
          <w:sz w:val="20"/>
          <w:szCs w:val="20"/>
          <w:lang w:val="en-US"/>
        </w:rPr>
        <w:t xml:space="preserve">a </w:t>
      </w:r>
      <w:r w:rsidR="00CF6B08">
        <w:rPr>
          <w:rFonts w:ascii="Garamond" w:hAnsi="Garamond"/>
          <w:sz w:val="20"/>
          <w:szCs w:val="20"/>
          <w:lang w:val="en-US"/>
        </w:rPr>
        <w:t>stretching sensation around her mouth (coded as oral discomfort)</w:t>
      </w:r>
      <w:r w:rsidR="001A45EB">
        <w:rPr>
          <w:rFonts w:ascii="Garamond" w:hAnsi="Garamond"/>
          <w:sz w:val="20"/>
          <w:szCs w:val="20"/>
          <w:lang w:val="en-US"/>
        </w:rPr>
        <w:t xml:space="preserve"> a</w:t>
      </w:r>
      <w:r w:rsidR="00CF6B08">
        <w:rPr>
          <w:rFonts w:ascii="Garamond" w:hAnsi="Garamond"/>
          <w:sz w:val="20"/>
          <w:szCs w:val="20"/>
          <w:lang w:val="en-US"/>
        </w:rPr>
        <w:t xml:space="preserve"> few hours after being administered QIVc</w:t>
      </w:r>
      <w:r w:rsidR="00382793">
        <w:rPr>
          <w:rFonts w:ascii="Garamond" w:hAnsi="Garamond"/>
          <w:sz w:val="20"/>
          <w:szCs w:val="20"/>
          <w:lang w:val="en-US"/>
        </w:rPr>
        <w:t xml:space="preserve">, all judged non-serious. </w:t>
      </w:r>
      <w:r w:rsidR="00CF6B08">
        <w:rPr>
          <w:rFonts w:ascii="Garamond" w:hAnsi="Garamond"/>
          <w:sz w:val="20"/>
          <w:szCs w:val="20"/>
          <w:lang w:val="en-US"/>
        </w:rPr>
        <w:t xml:space="preserve">No systemic allergic </w:t>
      </w:r>
      <w:r w:rsidR="00C71D69">
        <w:rPr>
          <w:rFonts w:ascii="Garamond" w:hAnsi="Garamond"/>
          <w:sz w:val="20"/>
          <w:szCs w:val="20"/>
          <w:lang w:val="en-US"/>
        </w:rPr>
        <w:t xml:space="preserve">AEs </w:t>
      </w:r>
      <w:r w:rsidR="00CF6B08">
        <w:rPr>
          <w:rFonts w:ascii="Garamond" w:hAnsi="Garamond"/>
          <w:sz w:val="20"/>
          <w:szCs w:val="20"/>
          <w:lang w:val="en-US"/>
        </w:rPr>
        <w:t xml:space="preserve">were reported. From </w:t>
      </w:r>
      <w:r w:rsidR="00C71D69">
        <w:rPr>
          <w:rFonts w:ascii="Garamond" w:hAnsi="Garamond"/>
          <w:sz w:val="20"/>
          <w:szCs w:val="20"/>
          <w:lang w:val="en-US"/>
        </w:rPr>
        <w:t xml:space="preserve">the reported </w:t>
      </w:r>
      <w:r w:rsidR="00CF6B08">
        <w:rPr>
          <w:rFonts w:ascii="Garamond" w:hAnsi="Garamond"/>
          <w:sz w:val="20"/>
          <w:szCs w:val="20"/>
          <w:lang w:val="en-US"/>
        </w:rPr>
        <w:t>medical history, the patient was allergic to some food</w:t>
      </w:r>
      <w:r w:rsidR="00C71D69">
        <w:rPr>
          <w:rFonts w:ascii="Garamond" w:hAnsi="Garamond"/>
          <w:sz w:val="20"/>
          <w:szCs w:val="20"/>
          <w:lang w:val="en-US"/>
        </w:rPr>
        <w:t>s</w:t>
      </w:r>
      <w:r w:rsidR="00CF6B08">
        <w:rPr>
          <w:rFonts w:ascii="Garamond" w:hAnsi="Garamond"/>
          <w:sz w:val="20"/>
          <w:szCs w:val="20"/>
          <w:lang w:val="en-US"/>
        </w:rPr>
        <w:t xml:space="preserve"> and recalled </w:t>
      </w:r>
      <w:r w:rsidR="00C71D69">
        <w:rPr>
          <w:rFonts w:ascii="Garamond" w:hAnsi="Garamond"/>
          <w:sz w:val="20"/>
          <w:szCs w:val="20"/>
          <w:lang w:val="en-US"/>
        </w:rPr>
        <w:t>experiencing a similar sensation</w:t>
      </w:r>
      <w:r w:rsidR="00CF6B08">
        <w:rPr>
          <w:rFonts w:ascii="Garamond" w:hAnsi="Garamond"/>
          <w:sz w:val="20"/>
          <w:szCs w:val="20"/>
          <w:lang w:val="en-US"/>
        </w:rPr>
        <w:t xml:space="preserve"> </w:t>
      </w:r>
      <w:r w:rsidR="00382793">
        <w:rPr>
          <w:rFonts w:ascii="Garamond" w:hAnsi="Garamond"/>
          <w:sz w:val="20"/>
          <w:szCs w:val="20"/>
          <w:lang w:val="en-US"/>
        </w:rPr>
        <w:t xml:space="preserve">after previous episodes of food allergy. The patient recovered from all events within 12 hours. The causality assessment was confounded by food the patient ate that day. The second </w:t>
      </w:r>
      <w:r w:rsidR="00C71D69">
        <w:rPr>
          <w:rFonts w:ascii="Garamond" w:hAnsi="Garamond"/>
          <w:sz w:val="20"/>
          <w:szCs w:val="20"/>
          <w:lang w:val="en-US"/>
        </w:rPr>
        <w:t xml:space="preserve">ICSR </w:t>
      </w:r>
      <w:r w:rsidR="00382793">
        <w:rPr>
          <w:rFonts w:ascii="Garamond" w:hAnsi="Garamond"/>
          <w:sz w:val="20"/>
          <w:szCs w:val="20"/>
          <w:lang w:val="en-US"/>
        </w:rPr>
        <w:t>was reported by a consumer (</w:t>
      </w:r>
      <w:r w:rsidR="00EE57CB">
        <w:rPr>
          <w:rFonts w:ascii="Garamond" w:hAnsi="Garamond"/>
          <w:sz w:val="20"/>
          <w:szCs w:val="20"/>
          <w:lang w:val="en-US"/>
        </w:rPr>
        <w:t xml:space="preserve">neither patient </w:t>
      </w:r>
      <w:r w:rsidR="00382793">
        <w:rPr>
          <w:rFonts w:ascii="Garamond" w:hAnsi="Garamond"/>
          <w:sz w:val="20"/>
          <w:szCs w:val="20"/>
          <w:lang w:val="en-US"/>
        </w:rPr>
        <w:t>no</w:t>
      </w:r>
      <w:r w:rsidR="00EE57CB">
        <w:rPr>
          <w:rFonts w:ascii="Garamond" w:hAnsi="Garamond"/>
          <w:sz w:val="20"/>
          <w:szCs w:val="20"/>
          <w:lang w:val="en-US"/>
        </w:rPr>
        <w:t>r</w:t>
      </w:r>
      <w:r w:rsidR="001E25A7">
        <w:rPr>
          <w:rFonts w:ascii="Garamond" w:hAnsi="Garamond"/>
          <w:sz w:val="20"/>
          <w:szCs w:val="20"/>
          <w:lang w:val="en-US"/>
        </w:rPr>
        <w:t xml:space="preserve"> </w:t>
      </w:r>
      <w:r w:rsidR="00382793">
        <w:rPr>
          <w:rFonts w:ascii="Garamond" w:hAnsi="Garamond"/>
          <w:sz w:val="20"/>
          <w:szCs w:val="20"/>
          <w:lang w:val="en-US"/>
        </w:rPr>
        <w:t xml:space="preserve">HCW) and regarded a woman of unknown age who developed </w:t>
      </w:r>
      <w:r w:rsidR="00382793">
        <w:rPr>
          <w:rFonts w:ascii="Garamond" w:hAnsi="Garamond"/>
          <w:sz w:val="20"/>
          <w:szCs w:val="20"/>
          <w:lang w:val="en-US"/>
        </w:rPr>
        <w:lastRenderedPageBreak/>
        <w:t>a</w:t>
      </w:r>
      <w:r w:rsidR="00DF610B">
        <w:rPr>
          <w:rFonts w:ascii="Garamond" w:hAnsi="Garamond"/>
          <w:sz w:val="20"/>
          <w:szCs w:val="20"/>
          <w:lang w:val="en-US"/>
        </w:rPr>
        <w:t>n</w:t>
      </w:r>
      <w:r w:rsidR="00382793">
        <w:rPr>
          <w:rFonts w:ascii="Garamond" w:hAnsi="Garamond"/>
          <w:sz w:val="20"/>
          <w:szCs w:val="20"/>
          <w:lang w:val="en-US"/>
        </w:rPr>
        <w:t xml:space="preserve"> allergic reaction (</w:t>
      </w:r>
      <w:r w:rsidR="00BD0A4D" w:rsidRPr="00BD0A4D">
        <w:rPr>
          <w:rFonts w:ascii="Garamond" w:hAnsi="Garamond"/>
          <w:sz w:val="20"/>
          <w:szCs w:val="20"/>
          <w:lang w:val="en-US"/>
        </w:rPr>
        <w:t xml:space="preserve">swollen tongue, lip swelling, swelling face, dyspnea, tachycardia, vomiting, hand erythema, cold sweats, </w:t>
      </w:r>
      <w:proofErr w:type="gramStart"/>
      <w:r w:rsidR="00BD0A4D" w:rsidRPr="00BD0A4D">
        <w:rPr>
          <w:rFonts w:ascii="Garamond" w:hAnsi="Garamond"/>
          <w:sz w:val="20"/>
          <w:szCs w:val="20"/>
          <w:lang w:val="en-US"/>
        </w:rPr>
        <w:t>tinnitus</w:t>
      </w:r>
      <w:proofErr w:type="gramEnd"/>
      <w:r w:rsidR="00BD0A4D" w:rsidRPr="00BD0A4D">
        <w:rPr>
          <w:rFonts w:ascii="Garamond" w:hAnsi="Garamond"/>
          <w:sz w:val="20"/>
          <w:szCs w:val="20"/>
          <w:lang w:val="en-US"/>
        </w:rPr>
        <w:t xml:space="preserve"> and paresthesia</w:t>
      </w:r>
      <w:r w:rsidR="00382793">
        <w:rPr>
          <w:rFonts w:ascii="Garamond" w:hAnsi="Garamond"/>
          <w:sz w:val="20"/>
          <w:szCs w:val="20"/>
          <w:lang w:val="en-US"/>
        </w:rPr>
        <w:t xml:space="preserve">) approximately one hour after exposure to QIVc. </w:t>
      </w:r>
      <w:r w:rsidR="001E25A7">
        <w:rPr>
          <w:rFonts w:ascii="Garamond" w:hAnsi="Garamond"/>
          <w:sz w:val="20"/>
          <w:szCs w:val="20"/>
          <w:lang w:val="en-US"/>
        </w:rPr>
        <w:t xml:space="preserve">From her </w:t>
      </w:r>
      <w:proofErr w:type="gramStart"/>
      <w:r w:rsidR="001E25A7">
        <w:rPr>
          <w:rFonts w:ascii="Garamond" w:hAnsi="Garamond"/>
          <w:sz w:val="20"/>
          <w:szCs w:val="20"/>
          <w:lang w:val="en-US"/>
        </w:rPr>
        <w:t>past history</w:t>
      </w:r>
      <w:proofErr w:type="gramEnd"/>
      <w:r w:rsidR="001E25A7">
        <w:rPr>
          <w:rFonts w:ascii="Garamond" w:hAnsi="Garamond"/>
          <w:sz w:val="20"/>
          <w:szCs w:val="20"/>
          <w:lang w:val="en-US"/>
        </w:rPr>
        <w:t xml:space="preserve">, she had undergone surgery for metastatic thyroid cancer and at the time of QIVc receipt was on </w:t>
      </w:r>
      <w:r w:rsidR="001E25A7" w:rsidRPr="001E25A7">
        <w:rPr>
          <w:rFonts w:ascii="Garamond" w:hAnsi="Garamond"/>
          <w:sz w:val="20"/>
          <w:szCs w:val="20"/>
          <w:lang w:val="en-US"/>
        </w:rPr>
        <w:t xml:space="preserve">levothyroxine </w:t>
      </w:r>
      <w:r w:rsidR="001E25A7">
        <w:rPr>
          <w:rFonts w:ascii="Garamond" w:hAnsi="Garamond"/>
          <w:sz w:val="20"/>
          <w:szCs w:val="20"/>
          <w:lang w:val="en-US"/>
        </w:rPr>
        <w:t>replacement treatment. The patient had never been vaccinated with SIV.</w:t>
      </w:r>
      <w:r w:rsidR="00BD0A4D">
        <w:rPr>
          <w:rFonts w:ascii="Garamond" w:hAnsi="Garamond"/>
          <w:sz w:val="20"/>
          <w:szCs w:val="20"/>
          <w:lang w:val="en-US"/>
        </w:rPr>
        <w:t xml:space="preserve"> </w:t>
      </w:r>
      <w:r w:rsidR="00382793">
        <w:rPr>
          <w:rFonts w:ascii="Garamond" w:hAnsi="Garamond"/>
          <w:sz w:val="20"/>
          <w:szCs w:val="20"/>
          <w:lang w:val="en-US"/>
        </w:rPr>
        <w:t xml:space="preserve">Following sublingual administration of </w:t>
      </w:r>
      <w:r w:rsidR="00BD0A4D">
        <w:rPr>
          <w:rFonts w:ascii="Garamond" w:hAnsi="Garamond"/>
          <w:sz w:val="20"/>
          <w:szCs w:val="20"/>
          <w:lang w:val="en-US"/>
        </w:rPr>
        <w:t xml:space="preserve">betamethasone sodium citrate, </w:t>
      </w:r>
      <w:r w:rsidR="00C71D69">
        <w:rPr>
          <w:rFonts w:ascii="Garamond" w:hAnsi="Garamond"/>
          <w:sz w:val="20"/>
          <w:szCs w:val="20"/>
          <w:lang w:val="en-US"/>
        </w:rPr>
        <w:t xml:space="preserve">her </w:t>
      </w:r>
      <w:r w:rsidR="00BD0A4D">
        <w:rPr>
          <w:rFonts w:ascii="Garamond" w:hAnsi="Garamond"/>
          <w:sz w:val="20"/>
          <w:szCs w:val="20"/>
          <w:lang w:val="en-US"/>
        </w:rPr>
        <w:t xml:space="preserve">symptoms started to </w:t>
      </w:r>
      <w:proofErr w:type="gramStart"/>
      <w:r w:rsidR="00BD0A4D">
        <w:rPr>
          <w:rFonts w:ascii="Garamond" w:hAnsi="Garamond"/>
          <w:sz w:val="20"/>
          <w:szCs w:val="20"/>
          <w:lang w:val="en-US"/>
        </w:rPr>
        <w:t>abate</w:t>
      </w:r>
      <w:proofErr w:type="gramEnd"/>
      <w:r w:rsidR="00BD0A4D">
        <w:rPr>
          <w:rFonts w:ascii="Garamond" w:hAnsi="Garamond"/>
          <w:sz w:val="20"/>
          <w:szCs w:val="20"/>
          <w:lang w:val="en-US"/>
        </w:rPr>
        <w:t xml:space="preserve"> and t</w:t>
      </w:r>
      <w:r w:rsidR="00382793">
        <w:rPr>
          <w:rFonts w:ascii="Garamond" w:hAnsi="Garamond"/>
          <w:sz w:val="20"/>
          <w:szCs w:val="20"/>
          <w:lang w:val="en-US"/>
        </w:rPr>
        <w:t xml:space="preserve">he patient was </w:t>
      </w:r>
      <w:r w:rsidR="00BD0A4D">
        <w:rPr>
          <w:rFonts w:ascii="Garamond" w:hAnsi="Garamond"/>
          <w:sz w:val="20"/>
          <w:szCs w:val="20"/>
          <w:lang w:val="en-US"/>
        </w:rPr>
        <w:t xml:space="preserve">transferred to </w:t>
      </w:r>
      <w:r w:rsidR="00A52D2B">
        <w:rPr>
          <w:rFonts w:ascii="Garamond" w:hAnsi="Garamond"/>
          <w:sz w:val="20"/>
          <w:szCs w:val="20"/>
          <w:lang w:val="en-US"/>
        </w:rPr>
        <w:t xml:space="preserve">an </w:t>
      </w:r>
      <w:r w:rsidR="00BD0A4D">
        <w:rPr>
          <w:rFonts w:ascii="Garamond" w:hAnsi="Garamond"/>
          <w:sz w:val="20"/>
          <w:szCs w:val="20"/>
          <w:lang w:val="en-US"/>
        </w:rPr>
        <w:t xml:space="preserve">emergency department, where the corticosteroid therapy was continued. </w:t>
      </w:r>
      <w:r w:rsidR="00382793">
        <w:rPr>
          <w:rFonts w:ascii="Garamond" w:hAnsi="Garamond"/>
          <w:sz w:val="20"/>
          <w:szCs w:val="20"/>
          <w:lang w:val="en-US"/>
        </w:rPr>
        <w:t>The patient recovered from all events on the same day.</w:t>
      </w:r>
      <w:r w:rsidR="00CF6B08">
        <w:rPr>
          <w:rFonts w:ascii="Garamond" w:hAnsi="Garamond"/>
          <w:sz w:val="20"/>
          <w:szCs w:val="20"/>
          <w:lang w:val="en-US"/>
        </w:rPr>
        <w:t xml:space="preserve"> </w:t>
      </w:r>
      <w:r w:rsidR="00BD0A4D">
        <w:rPr>
          <w:rFonts w:ascii="Garamond" w:hAnsi="Garamond"/>
          <w:sz w:val="20"/>
          <w:szCs w:val="20"/>
          <w:lang w:val="en-US"/>
        </w:rPr>
        <w:t>This event was judged</w:t>
      </w:r>
      <w:r w:rsidR="001E25A7">
        <w:rPr>
          <w:rFonts w:ascii="Garamond" w:hAnsi="Garamond"/>
          <w:sz w:val="20"/>
          <w:szCs w:val="20"/>
          <w:lang w:val="en-US"/>
        </w:rPr>
        <w:t xml:space="preserve"> serious and</w:t>
      </w:r>
      <w:r w:rsidR="00BD0A4D">
        <w:rPr>
          <w:rFonts w:ascii="Garamond" w:hAnsi="Garamond"/>
          <w:sz w:val="20"/>
          <w:szCs w:val="20"/>
          <w:lang w:val="en-US"/>
        </w:rPr>
        <w:t xml:space="preserve"> related to QIVc.</w:t>
      </w:r>
    </w:p>
    <w:p w14:paraId="669B57D3" w14:textId="0DC1DF06" w:rsidR="003658AD" w:rsidRDefault="003658AD" w:rsidP="00811515">
      <w:pPr>
        <w:spacing w:after="0" w:line="360" w:lineRule="auto"/>
        <w:jc w:val="both"/>
        <w:rPr>
          <w:rFonts w:ascii="Garamond" w:hAnsi="Garamond"/>
          <w:sz w:val="20"/>
          <w:szCs w:val="20"/>
          <w:lang w:val="en-US"/>
        </w:rPr>
      </w:pPr>
      <w:r>
        <w:rPr>
          <w:rFonts w:ascii="Garamond" w:hAnsi="Garamond"/>
          <w:sz w:val="20"/>
          <w:szCs w:val="20"/>
          <w:lang w:val="en-US"/>
        </w:rPr>
        <w:t xml:space="preserve">When analyzed by age group, all rates of all </w:t>
      </w:r>
      <w:proofErr w:type="spellStart"/>
      <w:r>
        <w:rPr>
          <w:rFonts w:ascii="Garamond" w:hAnsi="Garamond"/>
          <w:sz w:val="20"/>
          <w:szCs w:val="20"/>
          <w:lang w:val="en-US"/>
        </w:rPr>
        <w:t>rAEIs</w:t>
      </w:r>
      <w:proofErr w:type="spellEnd"/>
      <w:r>
        <w:rPr>
          <w:rFonts w:ascii="Garamond" w:hAnsi="Garamond"/>
          <w:sz w:val="20"/>
          <w:szCs w:val="20"/>
          <w:lang w:val="en-US"/>
        </w:rPr>
        <w:t xml:space="preserve"> were below the corresponding expected rates (</w:t>
      </w:r>
      <w:r w:rsidR="006956D6">
        <w:rPr>
          <w:rFonts w:ascii="Garamond" w:hAnsi="Garamond"/>
          <w:sz w:val="20"/>
          <w:szCs w:val="20"/>
          <w:lang w:val="en-US"/>
        </w:rPr>
        <w:t>Tables</w:t>
      </w:r>
      <w:r>
        <w:rPr>
          <w:rFonts w:ascii="Garamond" w:hAnsi="Garamond"/>
          <w:sz w:val="20"/>
          <w:szCs w:val="20"/>
          <w:lang w:val="en-US"/>
        </w:rPr>
        <w:t xml:space="preserve"> </w:t>
      </w:r>
      <w:r w:rsidR="006956D6">
        <w:rPr>
          <w:rFonts w:ascii="Garamond" w:hAnsi="Garamond"/>
          <w:sz w:val="20"/>
          <w:szCs w:val="20"/>
          <w:lang w:val="en-US"/>
        </w:rPr>
        <w:t>S</w:t>
      </w:r>
      <w:r>
        <w:rPr>
          <w:rFonts w:ascii="Garamond" w:hAnsi="Garamond"/>
          <w:sz w:val="20"/>
          <w:szCs w:val="20"/>
          <w:lang w:val="en-US"/>
        </w:rPr>
        <w:t>3–</w:t>
      </w:r>
      <w:r w:rsidR="006956D6">
        <w:rPr>
          <w:rFonts w:ascii="Garamond" w:hAnsi="Garamond"/>
          <w:sz w:val="20"/>
          <w:szCs w:val="20"/>
          <w:lang w:val="en-US"/>
        </w:rPr>
        <w:t>S</w:t>
      </w:r>
      <w:r>
        <w:rPr>
          <w:rFonts w:ascii="Garamond" w:hAnsi="Garamond"/>
          <w:sz w:val="20"/>
          <w:szCs w:val="20"/>
          <w:lang w:val="en-US"/>
        </w:rPr>
        <w:t>5).</w:t>
      </w:r>
    </w:p>
    <w:p w14:paraId="0F9912B3" w14:textId="06F778CC" w:rsidR="003658AD" w:rsidRPr="00EC0F36" w:rsidRDefault="003658AD" w:rsidP="00811515">
      <w:pPr>
        <w:spacing w:after="0" w:line="360" w:lineRule="auto"/>
        <w:jc w:val="both"/>
        <w:rPr>
          <w:rFonts w:ascii="Garamond" w:hAnsi="Garamond"/>
          <w:sz w:val="20"/>
          <w:szCs w:val="20"/>
          <w:lang w:val="en-US"/>
        </w:rPr>
      </w:pPr>
      <w:r>
        <w:rPr>
          <w:rFonts w:ascii="Garamond" w:hAnsi="Garamond"/>
          <w:sz w:val="20"/>
          <w:szCs w:val="20"/>
          <w:lang w:val="en-US"/>
        </w:rPr>
        <w:t xml:space="preserve">Other AEs were less frequently reported </w:t>
      </w:r>
      <w:r w:rsidR="006B70BC">
        <w:rPr>
          <w:rFonts w:ascii="Garamond" w:hAnsi="Garamond"/>
          <w:sz w:val="20"/>
          <w:szCs w:val="20"/>
          <w:lang w:val="en-US"/>
        </w:rPr>
        <w:t xml:space="preserve">than </w:t>
      </w:r>
      <w:proofErr w:type="spellStart"/>
      <w:r w:rsidR="006B70BC">
        <w:rPr>
          <w:rFonts w:ascii="Garamond" w:hAnsi="Garamond"/>
          <w:sz w:val="20"/>
          <w:szCs w:val="20"/>
          <w:lang w:val="en-US"/>
        </w:rPr>
        <w:t>rAEIs</w:t>
      </w:r>
      <w:proofErr w:type="spellEnd"/>
      <w:r w:rsidR="006B70BC">
        <w:rPr>
          <w:rFonts w:ascii="Garamond" w:hAnsi="Garamond"/>
          <w:sz w:val="20"/>
          <w:szCs w:val="20"/>
          <w:lang w:val="en-US"/>
        </w:rPr>
        <w:t xml:space="preserve"> and the reporting rate of single AEs did not exceed 0.2% (</w:t>
      </w:r>
      <w:r w:rsidR="006956D6">
        <w:rPr>
          <w:rFonts w:ascii="Garamond" w:hAnsi="Garamond"/>
          <w:sz w:val="20"/>
          <w:szCs w:val="20"/>
          <w:lang w:val="en-US"/>
        </w:rPr>
        <w:t>Table</w:t>
      </w:r>
      <w:r w:rsidR="006B70BC">
        <w:rPr>
          <w:rFonts w:ascii="Garamond" w:hAnsi="Garamond"/>
          <w:sz w:val="20"/>
          <w:szCs w:val="20"/>
          <w:lang w:val="en-US"/>
        </w:rPr>
        <w:t xml:space="preserve"> </w:t>
      </w:r>
      <w:r w:rsidR="006956D6">
        <w:rPr>
          <w:rFonts w:ascii="Garamond" w:hAnsi="Garamond"/>
          <w:sz w:val="20"/>
          <w:szCs w:val="20"/>
          <w:lang w:val="en-US"/>
        </w:rPr>
        <w:t>S</w:t>
      </w:r>
      <w:r w:rsidR="006B70BC">
        <w:rPr>
          <w:rFonts w:ascii="Garamond" w:hAnsi="Garamond"/>
          <w:sz w:val="20"/>
          <w:szCs w:val="20"/>
          <w:lang w:val="en-US"/>
        </w:rPr>
        <w:t xml:space="preserve">6). There were two cases, both judged serious, </w:t>
      </w:r>
      <w:r w:rsidR="0066725A">
        <w:rPr>
          <w:rFonts w:ascii="Garamond" w:hAnsi="Garamond"/>
          <w:sz w:val="20"/>
          <w:szCs w:val="20"/>
          <w:lang w:val="en-US"/>
        </w:rPr>
        <w:t xml:space="preserve">identified by </w:t>
      </w:r>
      <w:r w:rsidR="006B70BC">
        <w:rPr>
          <w:rFonts w:ascii="Garamond" w:hAnsi="Garamond"/>
          <w:sz w:val="20"/>
          <w:szCs w:val="20"/>
          <w:lang w:val="en-US"/>
        </w:rPr>
        <w:t xml:space="preserve">the </w:t>
      </w:r>
      <w:r w:rsidR="006B70BC" w:rsidRPr="006B70BC">
        <w:rPr>
          <w:rFonts w:ascii="Garamond" w:hAnsi="Garamond"/>
          <w:sz w:val="20"/>
          <w:szCs w:val="20"/>
          <w:lang w:val="en-US"/>
        </w:rPr>
        <w:t xml:space="preserve">MedDRA </w:t>
      </w:r>
      <w:r w:rsidR="00DF610B">
        <w:rPr>
          <w:rFonts w:ascii="Garamond" w:hAnsi="Garamond"/>
          <w:sz w:val="20"/>
          <w:szCs w:val="20"/>
          <w:lang w:val="en-US"/>
        </w:rPr>
        <w:t>PT</w:t>
      </w:r>
      <w:r w:rsidR="006B70BC">
        <w:rPr>
          <w:rFonts w:ascii="Garamond" w:hAnsi="Garamond"/>
          <w:sz w:val="20"/>
          <w:szCs w:val="20"/>
          <w:lang w:val="en-US"/>
        </w:rPr>
        <w:t xml:space="preserve"> </w:t>
      </w:r>
      <w:r w:rsidR="0066725A">
        <w:rPr>
          <w:rFonts w:ascii="Garamond" w:hAnsi="Garamond"/>
          <w:sz w:val="20"/>
          <w:szCs w:val="20"/>
          <w:lang w:val="en-US"/>
        </w:rPr>
        <w:t>as</w:t>
      </w:r>
      <w:r w:rsidR="006B70BC">
        <w:rPr>
          <w:rFonts w:ascii="Garamond" w:hAnsi="Garamond"/>
          <w:sz w:val="20"/>
          <w:szCs w:val="20"/>
          <w:lang w:val="en-US"/>
        </w:rPr>
        <w:t xml:space="preserve"> “Influenza”. </w:t>
      </w:r>
      <w:r w:rsidR="0056521B">
        <w:rPr>
          <w:rFonts w:ascii="Garamond" w:hAnsi="Garamond"/>
          <w:sz w:val="20"/>
          <w:szCs w:val="20"/>
          <w:lang w:val="en-US"/>
        </w:rPr>
        <w:t>In the conte</w:t>
      </w:r>
      <w:r w:rsidR="0066725A">
        <w:rPr>
          <w:rFonts w:ascii="Garamond" w:hAnsi="Garamond"/>
          <w:sz w:val="20"/>
          <w:szCs w:val="20"/>
          <w:lang w:val="en-US"/>
        </w:rPr>
        <w:t>x</w:t>
      </w:r>
      <w:r w:rsidR="0056521B">
        <w:rPr>
          <w:rFonts w:ascii="Garamond" w:hAnsi="Garamond"/>
          <w:sz w:val="20"/>
          <w:szCs w:val="20"/>
          <w:lang w:val="en-US"/>
        </w:rPr>
        <w:t>t of symptom</w:t>
      </w:r>
      <w:r w:rsidR="0066725A">
        <w:rPr>
          <w:rFonts w:ascii="Garamond" w:hAnsi="Garamond"/>
          <w:sz w:val="20"/>
          <w:szCs w:val="20"/>
          <w:lang w:val="en-US"/>
        </w:rPr>
        <w:t xml:space="preserve"> onset of</w:t>
      </w:r>
      <w:r w:rsidR="0056521B">
        <w:rPr>
          <w:rFonts w:ascii="Garamond" w:hAnsi="Garamond"/>
          <w:sz w:val="20"/>
          <w:szCs w:val="20"/>
          <w:lang w:val="en-US"/>
        </w:rPr>
        <w:t xml:space="preserve"> one and two days after QIVc administration, respectively, vaccination failure was not</w:t>
      </w:r>
      <w:r w:rsidR="00CE1131">
        <w:rPr>
          <w:rFonts w:ascii="Garamond" w:hAnsi="Garamond"/>
          <w:sz w:val="20"/>
          <w:szCs w:val="20"/>
          <w:lang w:val="en-US"/>
        </w:rPr>
        <w:t xml:space="preserve"> biologically</w:t>
      </w:r>
      <w:r w:rsidR="0056521B">
        <w:rPr>
          <w:rFonts w:ascii="Garamond" w:hAnsi="Garamond"/>
          <w:sz w:val="20"/>
          <w:szCs w:val="20"/>
          <w:lang w:val="en-US"/>
        </w:rPr>
        <w:t xml:space="preserve"> plausible </w:t>
      </w:r>
      <w:r w:rsidR="00CE1131">
        <w:rPr>
          <w:rFonts w:ascii="Garamond" w:hAnsi="Garamond"/>
          <w:sz w:val="20"/>
          <w:szCs w:val="20"/>
          <w:lang w:val="en-US"/>
        </w:rPr>
        <w:t xml:space="preserve">as insufficient time had passed for a complete immune response to develop, </w:t>
      </w:r>
      <w:r w:rsidR="0056521B">
        <w:rPr>
          <w:rFonts w:ascii="Garamond" w:hAnsi="Garamond"/>
          <w:sz w:val="20"/>
          <w:szCs w:val="20"/>
          <w:lang w:val="en-US"/>
        </w:rPr>
        <w:t xml:space="preserve">and the reported events </w:t>
      </w:r>
      <w:r w:rsidR="0066725A">
        <w:rPr>
          <w:rFonts w:ascii="Garamond" w:hAnsi="Garamond"/>
          <w:sz w:val="20"/>
          <w:szCs w:val="20"/>
          <w:lang w:val="en-US"/>
        </w:rPr>
        <w:t>were</w:t>
      </w:r>
      <w:r w:rsidR="0056521B">
        <w:rPr>
          <w:rFonts w:ascii="Garamond" w:hAnsi="Garamond"/>
          <w:sz w:val="20"/>
          <w:szCs w:val="20"/>
          <w:lang w:val="en-US"/>
        </w:rPr>
        <w:t xml:space="preserve"> likely ascribable to influenza-like symptoms.</w:t>
      </w:r>
    </w:p>
    <w:p w14:paraId="42F722FC" w14:textId="4F73F91E" w:rsidR="004B5CF5" w:rsidRDefault="004B5CF5" w:rsidP="004B5CF5">
      <w:pPr>
        <w:spacing w:after="0" w:line="360" w:lineRule="auto"/>
        <w:jc w:val="both"/>
        <w:rPr>
          <w:rFonts w:ascii="Garamond" w:hAnsi="Garamond"/>
          <w:sz w:val="20"/>
          <w:szCs w:val="20"/>
          <w:lang w:val="en-US"/>
        </w:rPr>
      </w:pPr>
      <w:r>
        <w:rPr>
          <w:rFonts w:ascii="Garamond" w:hAnsi="Garamond"/>
          <w:sz w:val="20"/>
          <w:szCs w:val="20"/>
          <w:lang w:val="en-US"/>
        </w:rPr>
        <w:t>The proportion of serious AEs was 11.4% (4/35), 26.3% (5/19) and 30.8% (4/13) for the 2019/20, 2020/21 and 2021/22 seasons, respectively (</w:t>
      </w:r>
      <w:r w:rsidRPr="003658AD">
        <w:rPr>
          <w:rFonts w:ascii="Garamond" w:hAnsi="Garamond"/>
          <w:i/>
          <w:sz w:val="20"/>
          <w:szCs w:val="20"/>
          <w:lang w:val="en-US"/>
        </w:rPr>
        <w:t>p</w:t>
      </w:r>
      <w:r>
        <w:rPr>
          <w:rFonts w:ascii="Garamond" w:hAnsi="Garamond"/>
          <w:sz w:val="20"/>
          <w:szCs w:val="20"/>
          <w:lang w:val="en-US"/>
        </w:rPr>
        <w:t xml:space="preserve"> = 0.24). None of the serious AEs were life-threatening or fatal.</w:t>
      </w:r>
    </w:p>
    <w:p w14:paraId="33634BAF" w14:textId="16E5F032" w:rsidR="00FA0B47" w:rsidRDefault="00FA0B47" w:rsidP="00811515">
      <w:pPr>
        <w:spacing w:after="0" w:line="360" w:lineRule="auto"/>
        <w:jc w:val="both"/>
        <w:rPr>
          <w:rFonts w:ascii="Garamond" w:hAnsi="Garamond"/>
          <w:sz w:val="20"/>
          <w:szCs w:val="20"/>
          <w:lang w:val="en-US"/>
        </w:rPr>
      </w:pPr>
      <w:r>
        <w:rPr>
          <w:rFonts w:ascii="Garamond" w:hAnsi="Garamond"/>
          <w:sz w:val="20"/>
          <w:szCs w:val="20"/>
          <w:lang w:val="en-US"/>
        </w:rPr>
        <w:t>Finally, given a significant proportion of non-valid ICSRs</w:t>
      </w:r>
      <w:r w:rsidR="003068C5">
        <w:rPr>
          <w:rFonts w:ascii="Garamond" w:hAnsi="Garamond"/>
          <w:sz w:val="20"/>
          <w:szCs w:val="20"/>
          <w:lang w:val="en-US"/>
        </w:rPr>
        <w:t xml:space="preserve"> (</w:t>
      </w:r>
      <w:r w:rsidR="003068C5" w:rsidRPr="003068C5">
        <w:rPr>
          <w:rFonts w:ascii="Garamond" w:hAnsi="Garamond"/>
          <w:i/>
          <w:sz w:val="20"/>
          <w:szCs w:val="20"/>
          <w:lang w:val="en-US"/>
        </w:rPr>
        <w:t>n</w:t>
      </w:r>
      <w:r w:rsidR="003068C5">
        <w:rPr>
          <w:rFonts w:ascii="Garamond" w:hAnsi="Garamond"/>
          <w:sz w:val="20"/>
          <w:szCs w:val="20"/>
          <w:lang w:val="en-US"/>
        </w:rPr>
        <w:t xml:space="preserve"> = 8)</w:t>
      </w:r>
      <w:r>
        <w:rPr>
          <w:rFonts w:ascii="Garamond" w:hAnsi="Garamond"/>
          <w:sz w:val="20"/>
          <w:szCs w:val="20"/>
          <w:lang w:val="en-US"/>
        </w:rPr>
        <w:t xml:space="preserve"> registered during the 2019/20 season, we conducted a </w:t>
      </w:r>
      <w:r w:rsidRPr="0056521B">
        <w:rPr>
          <w:rFonts w:ascii="Garamond" w:hAnsi="Garamond"/>
          <w:i/>
          <w:sz w:val="20"/>
          <w:szCs w:val="20"/>
          <w:lang w:val="en-US"/>
        </w:rPr>
        <w:t>post-hoc</w:t>
      </w:r>
      <w:r>
        <w:rPr>
          <w:rFonts w:ascii="Garamond" w:hAnsi="Garamond"/>
          <w:sz w:val="20"/>
          <w:szCs w:val="20"/>
          <w:lang w:val="en-US"/>
        </w:rPr>
        <w:t xml:space="preserve"> sensitivity analysis</w:t>
      </w:r>
      <w:r w:rsidR="003068C5">
        <w:rPr>
          <w:rFonts w:ascii="Garamond" w:hAnsi="Garamond"/>
          <w:sz w:val="20"/>
          <w:szCs w:val="20"/>
          <w:lang w:val="en-US"/>
        </w:rPr>
        <w:t>, in which these ICSRs were included (</w:t>
      </w:r>
      <w:r w:rsidR="006956D6">
        <w:rPr>
          <w:rFonts w:ascii="Garamond" w:hAnsi="Garamond"/>
          <w:sz w:val="20"/>
          <w:szCs w:val="20"/>
          <w:lang w:val="en-US"/>
        </w:rPr>
        <w:t>Table</w:t>
      </w:r>
      <w:r w:rsidR="003068C5">
        <w:rPr>
          <w:rFonts w:ascii="Garamond" w:hAnsi="Garamond"/>
          <w:sz w:val="20"/>
          <w:szCs w:val="20"/>
          <w:lang w:val="en-US"/>
        </w:rPr>
        <w:t xml:space="preserve"> </w:t>
      </w:r>
      <w:r w:rsidR="006956D6">
        <w:rPr>
          <w:rFonts w:ascii="Garamond" w:hAnsi="Garamond"/>
          <w:sz w:val="20"/>
          <w:szCs w:val="20"/>
          <w:lang w:val="en-US"/>
        </w:rPr>
        <w:t>S</w:t>
      </w:r>
      <w:r w:rsidR="003068C5">
        <w:rPr>
          <w:rFonts w:ascii="Garamond" w:hAnsi="Garamond"/>
          <w:sz w:val="20"/>
          <w:szCs w:val="20"/>
          <w:lang w:val="en-US"/>
        </w:rPr>
        <w:t xml:space="preserve">7). The overall number of AEs increased by 65.7% (from 35 to 58) and this increase regarded mostly </w:t>
      </w:r>
      <w:proofErr w:type="spellStart"/>
      <w:r w:rsidR="003068C5">
        <w:rPr>
          <w:rFonts w:ascii="Garamond" w:hAnsi="Garamond"/>
          <w:sz w:val="20"/>
          <w:szCs w:val="20"/>
          <w:lang w:val="en-US"/>
        </w:rPr>
        <w:t>rAEIs</w:t>
      </w:r>
      <w:proofErr w:type="spellEnd"/>
      <w:r w:rsidR="003068C5">
        <w:rPr>
          <w:rFonts w:ascii="Garamond" w:hAnsi="Garamond"/>
          <w:sz w:val="20"/>
          <w:szCs w:val="20"/>
          <w:lang w:val="en-US"/>
        </w:rPr>
        <w:t xml:space="preserve"> like fever</w:t>
      </w:r>
      <w:r w:rsidR="00D53880">
        <w:rPr>
          <w:rFonts w:ascii="Garamond" w:hAnsi="Garamond"/>
          <w:sz w:val="20"/>
          <w:szCs w:val="20"/>
          <w:lang w:val="en-US"/>
        </w:rPr>
        <w:t>, malaise (from 0.29% to 0.49% for both)</w:t>
      </w:r>
      <w:r w:rsidR="003068C5">
        <w:rPr>
          <w:rFonts w:ascii="Garamond" w:hAnsi="Garamond"/>
          <w:sz w:val="20"/>
          <w:szCs w:val="20"/>
          <w:lang w:val="en-US"/>
        </w:rPr>
        <w:t>, malaise and injection site pruritus</w:t>
      </w:r>
      <w:r w:rsidR="00D53880">
        <w:rPr>
          <w:rFonts w:ascii="Garamond" w:hAnsi="Garamond"/>
          <w:sz w:val="20"/>
          <w:szCs w:val="20"/>
          <w:lang w:val="en-US"/>
        </w:rPr>
        <w:t xml:space="preserve"> (from 0.10% to 0.29%)</w:t>
      </w:r>
      <w:r w:rsidR="003068C5">
        <w:rPr>
          <w:rFonts w:ascii="Garamond" w:hAnsi="Garamond"/>
          <w:sz w:val="20"/>
          <w:szCs w:val="20"/>
          <w:lang w:val="en-US"/>
        </w:rPr>
        <w:t>. However, all AEs were constantly below</w:t>
      </w:r>
      <w:r w:rsidR="004B5CF5">
        <w:rPr>
          <w:rFonts w:ascii="Garamond" w:hAnsi="Garamond"/>
          <w:sz w:val="20"/>
          <w:szCs w:val="20"/>
          <w:lang w:val="en-US"/>
        </w:rPr>
        <w:t xml:space="preserve"> the expected rates (&lt; 0.5% for all)</w:t>
      </w:r>
      <w:r w:rsidR="00D53880">
        <w:rPr>
          <w:rFonts w:ascii="Garamond" w:hAnsi="Garamond"/>
          <w:sz w:val="20"/>
          <w:szCs w:val="20"/>
          <w:lang w:val="en-US"/>
        </w:rPr>
        <w:t>.</w:t>
      </w:r>
    </w:p>
    <w:p w14:paraId="03B4F642" w14:textId="77777777" w:rsidR="004022D4" w:rsidRPr="007F6AB3" w:rsidRDefault="004022D4" w:rsidP="00811515">
      <w:pPr>
        <w:spacing w:after="0" w:line="360" w:lineRule="auto"/>
        <w:jc w:val="both"/>
        <w:rPr>
          <w:rFonts w:ascii="Garamond" w:hAnsi="Garamond"/>
          <w:sz w:val="20"/>
          <w:szCs w:val="20"/>
          <w:lang w:val="en-US"/>
        </w:rPr>
      </w:pPr>
    </w:p>
    <w:p w14:paraId="64B57B8E" w14:textId="7C42C67E" w:rsidR="008A41AE" w:rsidRPr="002F0A24" w:rsidRDefault="002D426A" w:rsidP="002F0A24">
      <w:pPr>
        <w:pStyle w:val="Paragrafoelenco"/>
        <w:numPr>
          <w:ilvl w:val="0"/>
          <w:numId w:val="2"/>
        </w:numPr>
        <w:spacing w:after="0" w:line="360" w:lineRule="auto"/>
        <w:jc w:val="both"/>
        <w:rPr>
          <w:rFonts w:ascii="Garamond" w:hAnsi="Garamond"/>
          <w:b/>
          <w:bCs/>
          <w:sz w:val="24"/>
          <w:szCs w:val="20"/>
          <w:lang w:val="en-US"/>
        </w:rPr>
      </w:pPr>
      <w:r w:rsidRPr="002F0A24">
        <w:rPr>
          <w:rFonts w:ascii="Garamond" w:hAnsi="Garamond"/>
          <w:b/>
          <w:bCs/>
          <w:sz w:val="24"/>
          <w:szCs w:val="20"/>
          <w:lang w:val="en-US"/>
        </w:rPr>
        <w:t>Discussion</w:t>
      </w:r>
    </w:p>
    <w:p w14:paraId="3FC590D8" w14:textId="7AFDDBF5" w:rsidR="006E1B4E" w:rsidRDefault="006E1B4E" w:rsidP="00811515">
      <w:pPr>
        <w:spacing w:after="0" w:line="360" w:lineRule="auto"/>
        <w:jc w:val="both"/>
        <w:rPr>
          <w:rFonts w:ascii="Garamond" w:hAnsi="Garamond"/>
          <w:sz w:val="20"/>
          <w:szCs w:val="20"/>
          <w:lang w:val="en-US"/>
        </w:rPr>
      </w:pPr>
    </w:p>
    <w:p w14:paraId="2F5DA3D3" w14:textId="23B19586" w:rsidR="004022D4" w:rsidRDefault="00E47332" w:rsidP="00811515">
      <w:pPr>
        <w:spacing w:after="0" w:line="360" w:lineRule="auto"/>
        <w:jc w:val="both"/>
        <w:rPr>
          <w:rFonts w:ascii="Garamond" w:hAnsi="Garamond"/>
          <w:sz w:val="20"/>
          <w:szCs w:val="20"/>
          <w:lang w:val="en-US"/>
        </w:rPr>
      </w:pPr>
      <w:r>
        <w:rPr>
          <w:rFonts w:ascii="Garamond" w:hAnsi="Garamond"/>
          <w:sz w:val="20"/>
          <w:szCs w:val="20"/>
          <w:lang w:val="en-US"/>
        </w:rPr>
        <w:t xml:space="preserve">This </w:t>
      </w:r>
      <w:r w:rsidR="00CE1131">
        <w:rPr>
          <w:rFonts w:ascii="Garamond" w:hAnsi="Garamond"/>
          <w:sz w:val="20"/>
          <w:szCs w:val="20"/>
          <w:lang w:val="en-US"/>
        </w:rPr>
        <w:t>E</w:t>
      </w:r>
      <w:r w:rsidR="007258F3">
        <w:rPr>
          <w:rFonts w:ascii="Garamond" w:hAnsi="Garamond"/>
          <w:sz w:val="20"/>
          <w:szCs w:val="20"/>
          <w:lang w:val="en-US"/>
        </w:rPr>
        <w:t>P</w:t>
      </w:r>
      <w:r w:rsidR="00CE1131">
        <w:rPr>
          <w:rFonts w:ascii="Garamond" w:hAnsi="Garamond"/>
          <w:sz w:val="20"/>
          <w:szCs w:val="20"/>
          <w:lang w:val="en-US"/>
        </w:rPr>
        <w:t>SS</w:t>
      </w:r>
      <w:r>
        <w:rPr>
          <w:rFonts w:ascii="Garamond" w:hAnsi="Garamond"/>
          <w:sz w:val="20"/>
          <w:szCs w:val="20"/>
          <w:lang w:val="en-US"/>
        </w:rPr>
        <w:t xml:space="preserve"> activity </w:t>
      </w:r>
      <w:r w:rsidR="00CE1131">
        <w:rPr>
          <w:rFonts w:ascii="Garamond" w:hAnsi="Garamond"/>
          <w:sz w:val="20"/>
          <w:szCs w:val="20"/>
          <w:lang w:val="en-US"/>
        </w:rPr>
        <w:t>supports</w:t>
      </w:r>
      <w:r w:rsidR="007A4AC2">
        <w:rPr>
          <w:rFonts w:ascii="Garamond" w:hAnsi="Garamond"/>
          <w:sz w:val="20"/>
          <w:szCs w:val="20"/>
          <w:vertAlign w:val="superscript"/>
          <w:lang w:val="en-US"/>
        </w:rPr>
        <w:t>24</w:t>
      </w:r>
      <w:r>
        <w:rPr>
          <w:rFonts w:ascii="Garamond" w:hAnsi="Garamond"/>
          <w:sz w:val="20"/>
          <w:szCs w:val="20"/>
          <w:lang w:val="en-US"/>
        </w:rPr>
        <w:t xml:space="preserve"> a </w:t>
      </w:r>
      <w:r w:rsidR="004B5CF5">
        <w:rPr>
          <w:rFonts w:ascii="Garamond" w:hAnsi="Garamond"/>
          <w:sz w:val="20"/>
          <w:szCs w:val="20"/>
          <w:lang w:val="en-US"/>
        </w:rPr>
        <w:t>favorable</w:t>
      </w:r>
      <w:r w:rsidR="00CE1131">
        <w:rPr>
          <w:rFonts w:ascii="Garamond" w:hAnsi="Garamond"/>
          <w:sz w:val="20"/>
          <w:szCs w:val="20"/>
          <w:lang w:val="en-US"/>
        </w:rPr>
        <w:t xml:space="preserve"> </w:t>
      </w:r>
      <w:r>
        <w:rPr>
          <w:rFonts w:ascii="Garamond" w:hAnsi="Garamond"/>
          <w:sz w:val="20"/>
          <w:szCs w:val="20"/>
          <w:lang w:val="en-US"/>
        </w:rPr>
        <w:t xml:space="preserve">safety profile </w:t>
      </w:r>
      <w:r w:rsidR="00CE1131">
        <w:rPr>
          <w:rFonts w:ascii="Garamond" w:hAnsi="Garamond"/>
          <w:sz w:val="20"/>
          <w:szCs w:val="20"/>
          <w:lang w:val="en-US"/>
        </w:rPr>
        <w:t xml:space="preserve">for </w:t>
      </w:r>
      <w:r>
        <w:rPr>
          <w:rFonts w:ascii="Garamond" w:hAnsi="Garamond"/>
          <w:sz w:val="20"/>
          <w:szCs w:val="20"/>
          <w:lang w:val="en-US"/>
        </w:rPr>
        <w:t xml:space="preserve">QIVc, which was consistent across </w:t>
      </w:r>
      <w:r w:rsidR="00CE1131">
        <w:rPr>
          <w:rFonts w:ascii="Garamond" w:hAnsi="Garamond"/>
          <w:sz w:val="20"/>
          <w:szCs w:val="20"/>
          <w:lang w:val="en-US"/>
        </w:rPr>
        <w:t xml:space="preserve">the </w:t>
      </w:r>
      <w:r>
        <w:rPr>
          <w:rFonts w:ascii="Garamond" w:hAnsi="Garamond"/>
          <w:sz w:val="20"/>
          <w:szCs w:val="20"/>
          <w:lang w:val="en-US"/>
        </w:rPr>
        <w:t>three seasons</w:t>
      </w:r>
      <w:r w:rsidR="0068226A">
        <w:rPr>
          <w:rFonts w:ascii="Garamond" w:hAnsi="Garamond"/>
          <w:sz w:val="20"/>
          <w:szCs w:val="20"/>
          <w:lang w:val="en-US"/>
        </w:rPr>
        <w:t xml:space="preserve"> and</w:t>
      </w:r>
      <w:r>
        <w:rPr>
          <w:rFonts w:ascii="Garamond" w:hAnsi="Garamond"/>
          <w:sz w:val="20"/>
          <w:szCs w:val="20"/>
          <w:lang w:val="en-US"/>
        </w:rPr>
        <w:t xml:space="preserve"> all age groups. </w:t>
      </w:r>
      <w:r w:rsidR="004022D4">
        <w:rPr>
          <w:rFonts w:ascii="Garamond" w:hAnsi="Garamond"/>
          <w:sz w:val="20"/>
          <w:szCs w:val="20"/>
          <w:lang w:val="en-US"/>
        </w:rPr>
        <w:t xml:space="preserve">Spontaneous surveillance </w:t>
      </w:r>
      <w:r w:rsidR="00F637D3">
        <w:rPr>
          <w:rFonts w:ascii="Garamond" w:hAnsi="Garamond"/>
          <w:sz w:val="20"/>
          <w:szCs w:val="20"/>
          <w:lang w:val="en-US"/>
        </w:rPr>
        <w:t>activities</w:t>
      </w:r>
      <w:r w:rsidR="004022D4">
        <w:rPr>
          <w:rFonts w:ascii="Garamond" w:hAnsi="Garamond"/>
          <w:sz w:val="20"/>
          <w:szCs w:val="20"/>
          <w:lang w:val="en-US"/>
        </w:rPr>
        <w:t xml:space="preserve"> like E</w:t>
      </w:r>
      <w:r w:rsidR="007258F3">
        <w:rPr>
          <w:rFonts w:ascii="Garamond" w:hAnsi="Garamond"/>
          <w:sz w:val="20"/>
          <w:szCs w:val="20"/>
          <w:lang w:val="en-US"/>
        </w:rPr>
        <w:t>P</w:t>
      </w:r>
      <w:r w:rsidR="004022D4">
        <w:rPr>
          <w:rFonts w:ascii="Garamond" w:hAnsi="Garamond"/>
          <w:sz w:val="20"/>
          <w:szCs w:val="20"/>
          <w:lang w:val="en-US"/>
        </w:rPr>
        <w:t>SS</w:t>
      </w:r>
      <w:r w:rsidR="00777EBA" w:rsidRPr="00F22C4A">
        <w:rPr>
          <w:rFonts w:ascii="Garamond" w:hAnsi="Garamond"/>
          <w:sz w:val="20"/>
          <w:szCs w:val="20"/>
          <w:vertAlign w:val="superscript"/>
          <w:lang w:val="en-US"/>
        </w:rPr>
        <w:t>1</w:t>
      </w:r>
      <w:r w:rsidR="00777EBA">
        <w:rPr>
          <w:rFonts w:ascii="Garamond" w:hAnsi="Garamond"/>
          <w:sz w:val="20"/>
          <w:szCs w:val="20"/>
          <w:vertAlign w:val="superscript"/>
          <w:lang w:val="en-US"/>
        </w:rPr>
        <w:t>4</w:t>
      </w:r>
      <w:r w:rsidR="00E13254">
        <w:rPr>
          <w:rFonts w:ascii="Garamond" w:hAnsi="Garamond"/>
          <w:sz w:val="20"/>
          <w:szCs w:val="20"/>
          <w:lang w:val="en-US"/>
        </w:rPr>
        <w:t xml:space="preserve"> </w:t>
      </w:r>
      <w:r w:rsidR="004022D4">
        <w:rPr>
          <w:rFonts w:ascii="Garamond" w:hAnsi="Garamond"/>
          <w:sz w:val="20"/>
          <w:szCs w:val="20"/>
          <w:lang w:val="en-US"/>
        </w:rPr>
        <w:t xml:space="preserve">have the main aim of </w:t>
      </w:r>
      <w:r w:rsidR="004022D4" w:rsidRPr="004022D4">
        <w:rPr>
          <w:rFonts w:ascii="Garamond" w:hAnsi="Garamond"/>
          <w:sz w:val="20"/>
          <w:szCs w:val="20"/>
          <w:lang w:val="en-US"/>
        </w:rPr>
        <w:t>safety signal detection</w:t>
      </w:r>
      <w:r w:rsidR="00E13254">
        <w:rPr>
          <w:rFonts w:ascii="Garamond" w:hAnsi="Garamond"/>
          <w:sz w:val="20"/>
          <w:szCs w:val="20"/>
          <w:lang w:val="en-US"/>
        </w:rPr>
        <w:t>s</w:t>
      </w:r>
      <w:r w:rsidR="004022D4" w:rsidRPr="004022D4">
        <w:rPr>
          <w:rFonts w:ascii="Garamond" w:hAnsi="Garamond"/>
          <w:sz w:val="20"/>
          <w:szCs w:val="20"/>
          <w:lang w:val="en-US"/>
        </w:rPr>
        <w:t xml:space="preserve"> and hypothesis generating.</w:t>
      </w:r>
      <w:r w:rsidR="00DB4268">
        <w:rPr>
          <w:rFonts w:ascii="Garamond" w:hAnsi="Garamond"/>
          <w:sz w:val="20"/>
          <w:szCs w:val="20"/>
          <w:lang w:val="en-US"/>
        </w:rPr>
        <w:t xml:space="preserve"> </w:t>
      </w:r>
      <w:r w:rsidR="00F637D3">
        <w:rPr>
          <w:rFonts w:ascii="Garamond" w:hAnsi="Garamond"/>
          <w:sz w:val="20"/>
          <w:szCs w:val="20"/>
          <w:lang w:val="en-US"/>
        </w:rPr>
        <w:t>Although different in nature</w:t>
      </w:r>
      <w:r w:rsidR="00DB4268">
        <w:rPr>
          <w:rFonts w:ascii="Garamond" w:hAnsi="Garamond"/>
          <w:sz w:val="20"/>
          <w:szCs w:val="20"/>
          <w:lang w:val="en-US"/>
        </w:rPr>
        <w:t xml:space="preserve">, </w:t>
      </w:r>
      <w:r w:rsidR="00F637D3">
        <w:rPr>
          <w:rFonts w:ascii="Garamond" w:hAnsi="Garamond"/>
          <w:sz w:val="20"/>
          <w:szCs w:val="20"/>
          <w:lang w:val="en-US"/>
        </w:rPr>
        <w:t xml:space="preserve">the </w:t>
      </w:r>
      <w:r w:rsidR="00F637D3" w:rsidRPr="00F637D3">
        <w:rPr>
          <w:rFonts w:ascii="Garamond" w:hAnsi="Garamond"/>
          <w:sz w:val="20"/>
          <w:szCs w:val="20"/>
          <w:lang w:val="en-US"/>
        </w:rPr>
        <w:t>US Vaccine Adverse Event Reporting System (VAERS)</w:t>
      </w:r>
      <w:r w:rsidR="007A4AC2">
        <w:rPr>
          <w:rFonts w:ascii="Garamond" w:hAnsi="Garamond"/>
          <w:sz w:val="20"/>
          <w:szCs w:val="20"/>
          <w:vertAlign w:val="superscript"/>
          <w:lang w:val="en-US"/>
        </w:rPr>
        <w:t>25</w:t>
      </w:r>
      <w:r w:rsidR="00DB4268">
        <w:rPr>
          <w:rFonts w:ascii="Garamond" w:hAnsi="Garamond"/>
          <w:sz w:val="20"/>
          <w:szCs w:val="20"/>
          <w:lang w:val="en-US"/>
        </w:rPr>
        <w:t xml:space="preserve"> was able to successfully identify </w:t>
      </w:r>
      <w:r w:rsidR="007B4722">
        <w:rPr>
          <w:rFonts w:ascii="Garamond" w:hAnsi="Garamond"/>
          <w:sz w:val="20"/>
          <w:szCs w:val="20"/>
          <w:lang w:val="en-US"/>
        </w:rPr>
        <w:t xml:space="preserve">a </w:t>
      </w:r>
      <w:r w:rsidR="00DB4268">
        <w:rPr>
          <w:rFonts w:ascii="Garamond" w:hAnsi="Garamond"/>
          <w:sz w:val="20"/>
          <w:szCs w:val="20"/>
          <w:lang w:val="en-US"/>
        </w:rPr>
        <w:t>safety signal</w:t>
      </w:r>
      <w:r w:rsidR="007B4722">
        <w:rPr>
          <w:rFonts w:ascii="Garamond" w:hAnsi="Garamond"/>
          <w:sz w:val="20"/>
          <w:szCs w:val="20"/>
          <w:lang w:val="en-US"/>
        </w:rPr>
        <w:t xml:space="preserve"> of </w:t>
      </w:r>
      <w:r w:rsidR="007B4722" w:rsidRPr="007B4722">
        <w:rPr>
          <w:rFonts w:ascii="Garamond" w:hAnsi="Garamond"/>
          <w:sz w:val="20"/>
          <w:szCs w:val="20"/>
          <w:lang w:val="en-US"/>
        </w:rPr>
        <w:t xml:space="preserve">febrile seizures in young children </w:t>
      </w:r>
      <w:r w:rsidR="008C4F5D">
        <w:rPr>
          <w:rFonts w:ascii="Garamond" w:hAnsi="Garamond"/>
          <w:sz w:val="20"/>
          <w:szCs w:val="20"/>
          <w:lang w:val="en-US"/>
        </w:rPr>
        <w:t>vaccinated with</w:t>
      </w:r>
      <w:r w:rsidR="007B4722" w:rsidRPr="007B4722">
        <w:rPr>
          <w:rFonts w:ascii="Garamond" w:hAnsi="Garamond"/>
          <w:sz w:val="20"/>
          <w:szCs w:val="20"/>
          <w:lang w:val="en-US"/>
        </w:rPr>
        <w:t xml:space="preserve"> </w:t>
      </w:r>
      <w:r w:rsidR="008C4F5D">
        <w:rPr>
          <w:rFonts w:ascii="Garamond" w:hAnsi="Garamond"/>
          <w:sz w:val="20"/>
          <w:szCs w:val="20"/>
          <w:lang w:val="en-US"/>
        </w:rPr>
        <w:t>an egg-based trivalent SIV.</w:t>
      </w:r>
      <w:r w:rsidR="007A4AC2">
        <w:rPr>
          <w:rFonts w:ascii="Garamond" w:hAnsi="Garamond"/>
          <w:sz w:val="20"/>
          <w:szCs w:val="20"/>
          <w:vertAlign w:val="superscript"/>
          <w:lang w:val="en-US"/>
        </w:rPr>
        <w:t>26-27</w:t>
      </w:r>
      <w:r>
        <w:rPr>
          <w:rFonts w:ascii="Garamond" w:hAnsi="Garamond"/>
          <w:sz w:val="20"/>
          <w:szCs w:val="20"/>
          <w:lang w:val="en-US"/>
        </w:rPr>
        <w:t xml:space="preserve"> Th</w:t>
      </w:r>
      <w:r w:rsidR="00E13254">
        <w:rPr>
          <w:rFonts w:ascii="Garamond" w:hAnsi="Garamond"/>
          <w:sz w:val="20"/>
          <w:szCs w:val="20"/>
          <w:lang w:val="en-US"/>
        </w:rPr>
        <w:t>e present</w:t>
      </w:r>
      <w:r>
        <w:rPr>
          <w:rFonts w:ascii="Garamond" w:hAnsi="Garamond"/>
          <w:sz w:val="20"/>
          <w:szCs w:val="20"/>
          <w:lang w:val="en-US"/>
        </w:rPr>
        <w:t xml:space="preserve"> EPSS did not identify any safety signal</w:t>
      </w:r>
      <w:r w:rsidR="00E35A08">
        <w:rPr>
          <w:rFonts w:ascii="Garamond" w:hAnsi="Garamond"/>
          <w:sz w:val="20"/>
          <w:szCs w:val="20"/>
          <w:lang w:val="en-US"/>
        </w:rPr>
        <w:t xml:space="preserve"> that </w:t>
      </w:r>
      <w:r>
        <w:rPr>
          <w:rFonts w:ascii="Garamond" w:hAnsi="Garamond"/>
          <w:sz w:val="20"/>
          <w:szCs w:val="20"/>
          <w:lang w:val="en-US"/>
        </w:rPr>
        <w:t xml:space="preserve">could alter the </w:t>
      </w:r>
      <w:r w:rsidR="00DF610B">
        <w:rPr>
          <w:rFonts w:ascii="Garamond" w:hAnsi="Garamond"/>
          <w:sz w:val="20"/>
          <w:szCs w:val="20"/>
          <w:lang w:val="en-US"/>
        </w:rPr>
        <w:t>benefit-</w:t>
      </w:r>
      <w:r>
        <w:rPr>
          <w:rFonts w:ascii="Garamond" w:hAnsi="Garamond"/>
          <w:sz w:val="20"/>
          <w:szCs w:val="20"/>
          <w:lang w:val="en-US"/>
        </w:rPr>
        <w:t>risk</w:t>
      </w:r>
      <w:r w:rsidR="00DF610B">
        <w:rPr>
          <w:rFonts w:ascii="Garamond" w:hAnsi="Garamond"/>
          <w:sz w:val="20"/>
          <w:szCs w:val="20"/>
          <w:lang w:val="en-US"/>
        </w:rPr>
        <w:t xml:space="preserve"> profile</w:t>
      </w:r>
      <w:r>
        <w:rPr>
          <w:rFonts w:ascii="Garamond" w:hAnsi="Garamond"/>
          <w:sz w:val="20"/>
          <w:szCs w:val="20"/>
          <w:lang w:val="en-US"/>
        </w:rPr>
        <w:t xml:space="preserve"> of QIVc.</w:t>
      </w:r>
    </w:p>
    <w:p w14:paraId="7FD42A65" w14:textId="428EF86D" w:rsidR="004022D4" w:rsidRDefault="00E47332" w:rsidP="00811515">
      <w:pPr>
        <w:spacing w:after="0" w:line="360" w:lineRule="auto"/>
        <w:jc w:val="both"/>
        <w:rPr>
          <w:rFonts w:ascii="Garamond" w:hAnsi="Garamond"/>
          <w:sz w:val="20"/>
          <w:szCs w:val="20"/>
          <w:lang w:val="en-US"/>
        </w:rPr>
      </w:pPr>
      <w:r>
        <w:rPr>
          <w:rFonts w:ascii="Garamond" w:hAnsi="Garamond"/>
          <w:sz w:val="20"/>
          <w:szCs w:val="20"/>
          <w:lang w:val="en-US"/>
        </w:rPr>
        <w:t xml:space="preserve">Most AEs </w:t>
      </w:r>
      <w:r w:rsidR="00CE1131">
        <w:rPr>
          <w:rFonts w:ascii="Garamond" w:hAnsi="Garamond"/>
          <w:sz w:val="20"/>
          <w:szCs w:val="20"/>
          <w:lang w:val="en-US"/>
        </w:rPr>
        <w:t xml:space="preserve">reported </w:t>
      </w:r>
      <w:r>
        <w:rPr>
          <w:rFonts w:ascii="Garamond" w:hAnsi="Garamond"/>
          <w:sz w:val="20"/>
          <w:szCs w:val="20"/>
          <w:lang w:val="en-US"/>
        </w:rPr>
        <w:t xml:space="preserve">were judged </w:t>
      </w:r>
      <w:r w:rsidR="001A6AA2">
        <w:rPr>
          <w:rFonts w:ascii="Garamond" w:hAnsi="Garamond"/>
          <w:sz w:val="20"/>
          <w:szCs w:val="20"/>
          <w:lang w:val="en-US"/>
        </w:rPr>
        <w:t xml:space="preserve">reactogenic in nature and </w:t>
      </w:r>
      <w:r>
        <w:rPr>
          <w:rFonts w:ascii="Garamond" w:hAnsi="Garamond"/>
          <w:sz w:val="20"/>
          <w:szCs w:val="20"/>
          <w:lang w:val="en-US"/>
        </w:rPr>
        <w:t>non-serious</w:t>
      </w:r>
      <w:r w:rsidR="00E35A08">
        <w:rPr>
          <w:rFonts w:ascii="Garamond" w:hAnsi="Garamond"/>
          <w:sz w:val="20"/>
          <w:szCs w:val="20"/>
          <w:lang w:val="en-US"/>
        </w:rPr>
        <w:t>, which is in line with</w:t>
      </w:r>
      <w:r w:rsidR="001A6AA2">
        <w:rPr>
          <w:rFonts w:ascii="Garamond" w:hAnsi="Garamond"/>
          <w:sz w:val="20"/>
          <w:szCs w:val="20"/>
          <w:lang w:val="en-US"/>
        </w:rPr>
        <w:t xml:space="preserve"> both the current SmPC</w:t>
      </w:r>
      <w:r w:rsidR="007A4AC2">
        <w:rPr>
          <w:rFonts w:ascii="Garamond" w:hAnsi="Garamond"/>
          <w:sz w:val="20"/>
          <w:szCs w:val="20"/>
          <w:vertAlign w:val="superscript"/>
          <w:lang w:val="en-US"/>
        </w:rPr>
        <w:t>24</w:t>
      </w:r>
      <w:r w:rsidR="001A6AA2">
        <w:rPr>
          <w:rFonts w:ascii="Garamond" w:hAnsi="Garamond"/>
          <w:sz w:val="20"/>
          <w:szCs w:val="20"/>
          <w:lang w:val="en-US"/>
        </w:rPr>
        <w:t xml:space="preserve"> and</w:t>
      </w:r>
      <w:r w:rsidR="00E35A08">
        <w:rPr>
          <w:rFonts w:ascii="Garamond" w:hAnsi="Garamond"/>
          <w:sz w:val="20"/>
          <w:szCs w:val="20"/>
          <w:lang w:val="en-US"/>
        </w:rPr>
        <w:t xml:space="preserve"> data from QIVc clinical development (reviewed in </w:t>
      </w:r>
      <w:r w:rsidR="007A4AC2">
        <w:rPr>
          <w:rFonts w:ascii="Garamond" w:hAnsi="Garamond"/>
          <w:sz w:val="20"/>
          <w:szCs w:val="20"/>
          <w:vertAlign w:val="superscript"/>
          <w:lang w:val="en-US"/>
        </w:rPr>
        <w:t>28</w:t>
      </w:r>
      <w:r w:rsidR="00E35A08">
        <w:rPr>
          <w:rFonts w:ascii="Garamond" w:hAnsi="Garamond"/>
          <w:sz w:val="20"/>
          <w:szCs w:val="20"/>
          <w:lang w:val="en-US"/>
        </w:rPr>
        <w:t>). Analogously, active post-marketing surveillance o</w:t>
      </w:r>
      <w:r w:rsidR="00CE1131">
        <w:rPr>
          <w:rFonts w:ascii="Garamond" w:hAnsi="Garamond"/>
          <w:sz w:val="20"/>
          <w:szCs w:val="20"/>
          <w:lang w:val="en-US"/>
        </w:rPr>
        <w:t>f</w:t>
      </w:r>
      <w:r w:rsidR="00E35A08">
        <w:rPr>
          <w:rFonts w:ascii="Garamond" w:hAnsi="Garamond"/>
          <w:sz w:val="20"/>
          <w:szCs w:val="20"/>
          <w:lang w:val="en-US"/>
        </w:rPr>
        <w:t xml:space="preserve"> the safety of QIVc administered to Italian </w:t>
      </w:r>
      <w:r w:rsidR="008231AF">
        <w:rPr>
          <w:rFonts w:ascii="Garamond" w:hAnsi="Garamond"/>
          <w:sz w:val="20"/>
          <w:szCs w:val="20"/>
          <w:lang w:val="en-US"/>
        </w:rPr>
        <w:t>HCWs</w:t>
      </w:r>
      <w:r w:rsidR="00E35A08">
        <w:rPr>
          <w:rFonts w:ascii="Garamond" w:hAnsi="Garamond"/>
          <w:sz w:val="20"/>
          <w:szCs w:val="20"/>
          <w:lang w:val="en-US"/>
        </w:rPr>
        <w:t xml:space="preserve"> (</w:t>
      </w:r>
      <w:r w:rsidR="00E35A08" w:rsidRPr="0066725A">
        <w:rPr>
          <w:rFonts w:ascii="Garamond" w:hAnsi="Garamond"/>
          <w:i/>
          <w:sz w:val="20"/>
          <w:szCs w:val="20"/>
          <w:lang w:val="en-US"/>
        </w:rPr>
        <w:t>n</w:t>
      </w:r>
      <w:r w:rsidR="00E35A08">
        <w:rPr>
          <w:rFonts w:ascii="Garamond" w:hAnsi="Garamond"/>
          <w:sz w:val="20"/>
          <w:szCs w:val="20"/>
          <w:lang w:val="en-US"/>
        </w:rPr>
        <w:t xml:space="preserve"> = 775) </w:t>
      </w:r>
      <w:r w:rsidR="00E35A08" w:rsidRPr="00E35A08">
        <w:rPr>
          <w:rFonts w:ascii="Garamond" w:hAnsi="Garamond"/>
          <w:sz w:val="20"/>
          <w:szCs w:val="20"/>
          <w:lang w:val="en-US"/>
        </w:rPr>
        <w:t>during the 2019/20 influenza season</w:t>
      </w:r>
      <w:r w:rsidR="007A4AC2">
        <w:rPr>
          <w:rFonts w:ascii="Garamond" w:hAnsi="Garamond"/>
          <w:sz w:val="20"/>
          <w:szCs w:val="20"/>
          <w:vertAlign w:val="superscript"/>
          <w:lang w:val="en-US"/>
        </w:rPr>
        <w:t>29</w:t>
      </w:r>
      <w:r w:rsidR="00E13254">
        <w:rPr>
          <w:rFonts w:ascii="Garamond" w:hAnsi="Garamond"/>
          <w:sz w:val="20"/>
          <w:szCs w:val="20"/>
          <w:lang w:val="en-US"/>
        </w:rPr>
        <w:t xml:space="preserve"> documented</w:t>
      </w:r>
      <w:r w:rsidR="00E35A08">
        <w:rPr>
          <w:rFonts w:ascii="Garamond" w:hAnsi="Garamond"/>
          <w:sz w:val="20"/>
          <w:szCs w:val="20"/>
          <w:lang w:val="en-US"/>
        </w:rPr>
        <w:t xml:space="preserve"> only one (0.13%) serious AE</w:t>
      </w:r>
      <w:r w:rsidR="00E13254">
        <w:rPr>
          <w:rFonts w:ascii="Garamond" w:hAnsi="Garamond"/>
          <w:sz w:val="20"/>
          <w:szCs w:val="20"/>
          <w:lang w:val="en-US"/>
        </w:rPr>
        <w:t xml:space="preserve">, which </w:t>
      </w:r>
      <w:r w:rsidR="00E35A08">
        <w:rPr>
          <w:rFonts w:ascii="Garamond" w:hAnsi="Garamond"/>
          <w:sz w:val="20"/>
          <w:szCs w:val="20"/>
          <w:lang w:val="en-US"/>
        </w:rPr>
        <w:t>was judged unrelated to QIVc.</w:t>
      </w:r>
    </w:p>
    <w:p w14:paraId="5C2FFF6C" w14:textId="053964E9" w:rsidR="008231AF" w:rsidRDefault="001A6AA2" w:rsidP="00811515">
      <w:pPr>
        <w:spacing w:after="0" w:line="360" w:lineRule="auto"/>
        <w:jc w:val="both"/>
        <w:rPr>
          <w:rFonts w:ascii="Garamond" w:hAnsi="Garamond"/>
          <w:sz w:val="20"/>
          <w:szCs w:val="20"/>
          <w:lang w:val="en-US"/>
        </w:rPr>
      </w:pPr>
      <w:r>
        <w:rPr>
          <w:rFonts w:ascii="Garamond" w:hAnsi="Garamond"/>
          <w:sz w:val="20"/>
          <w:szCs w:val="20"/>
          <w:lang w:val="en-US"/>
        </w:rPr>
        <w:t xml:space="preserve">Compared with more recent 2020/21 and 2021/22 seasons, the overall AE reporting rate was significantly higher during the 2019/20 influenza season. A similar trend was observed in the Italian monitoring system of AEs following </w:t>
      </w:r>
      <w:r w:rsidR="00521214">
        <w:rPr>
          <w:rFonts w:ascii="Garamond" w:hAnsi="Garamond"/>
          <w:sz w:val="20"/>
          <w:szCs w:val="20"/>
          <w:lang w:val="en-US"/>
        </w:rPr>
        <w:t>vaccination with any available SIV: from 2019/20 to 2020/21 the overall reporting rate dropped from 20</w:t>
      </w:r>
      <w:r w:rsidR="007A4AC2">
        <w:rPr>
          <w:rFonts w:ascii="Garamond" w:hAnsi="Garamond"/>
          <w:sz w:val="20"/>
          <w:szCs w:val="20"/>
          <w:vertAlign w:val="superscript"/>
          <w:lang w:val="en-US"/>
        </w:rPr>
        <w:t>30</w:t>
      </w:r>
      <w:r w:rsidR="00521214">
        <w:rPr>
          <w:rFonts w:ascii="Garamond" w:hAnsi="Garamond"/>
          <w:sz w:val="20"/>
          <w:szCs w:val="20"/>
          <w:lang w:val="en-US"/>
        </w:rPr>
        <w:t xml:space="preserve"> to 3.9</w:t>
      </w:r>
      <w:r w:rsidR="007A4AC2">
        <w:rPr>
          <w:rFonts w:ascii="Garamond" w:hAnsi="Garamond"/>
          <w:sz w:val="20"/>
          <w:szCs w:val="20"/>
          <w:vertAlign w:val="superscript"/>
          <w:lang w:val="en-US"/>
        </w:rPr>
        <w:t>31</w:t>
      </w:r>
      <w:r w:rsidR="00521214">
        <w:rPr>
          <w:rFonts w:ascii="Garamond" w:hAnsi="Garamond"/>
          <w:sz w:val="20"/>
          <w:szCs w:val="20"/>
          <w:lang w:val="en-US"/>
        </w:rPr>
        <w:t xml:space="preserve"> per 100,000 doses </w:t>
      </w:r>
      <w:r w:rsidR="00E13254">
        <w:rPr>
          <w:rFonts w:ascii="Garamond" w:hAnsi="Garamond"/>
          <w:sz w:val="20"/>
          <w:szCs w:val="20"/>
          <w:lang w:val="en-US"/>
        </w:rPr>
        <w:t>administered</w:t>
      </w:r>
      <w:r w:rsidR="00521214">
        <w:rPr>
          <w:rFonts w:ascii="Garamond" w:hAnsi="Garamond"/>
          <w:sz w:val="20"/>
          <w:szCs w:val="20"/>
          <w:lang w:val="en-US"/>
        </w:rPr>
        <w:t xml:space="preserve">. </w:t>
      </w:r>
      <w:r w:rsidR="00CE2ACB">
        <w:rPr>
          <w:rFonts w:ascii="Garamond" w:hAnsi="Garamond"/>
          <w:sz w:val="20"/>
          <w:szCs w:val="20"/>
          <w:lang w:val="en-US"/>
        </w:rPr>
        <w:t xml:space="preserve">In the same manner, EPSS of an egg-based QIV noted a two-fold decrease (from 5.96% to 2.88%) in </w:t>
      </w:r>
      <w:r w:rsidR="00CE1131">
        <w:rPr>
          <w:rFonts w:ascii="Garamond" w:hAnsi="Garamond"/>
          <w:sz w:val="20"/>
          <w:szCs w:val="20"/>
          <w:lang w:val="en-US"/>
        </w:rPr>
        <w:t xml:space="preserve">the </w:t>
      </w:r>
      <w:r w:rsidR="00CE2ACB">
        <w:rPr>
          <w:rFonts w:ascii="Garamond" w:hAnsi="Garamond"/>
          <w:sz w:val="20"/>
          <w:szCs w:val="20"/>
          <w:lang w:val="en-US"/>
        </w:rPr>
        <w:t xml:space="preserve">ICSR </w:t>
      </w:r>
      <w:r w:rsidR="00CE1131">
        <w:rPr>
          <w:rFonts w:ascii="Garamond" w:hAnsi="Garamond"/>
          <w:sz w:val="20"/>
          <w:szCs w:val="20"/>
          <w:lang w:val="en-US"/>
        </w:rPr>
        <w:t xml:space="preserve">reporting </w:t>
      </w:r>
      <w:r w:rsidR="00CE2ACB">
        <w:rPr>
          <w:rFonts w:ascii="Garamond" w:hAnsi="Garamond"/>
          <w:sz w:val="20"/>
          <w:szCs w:val="20"/>
          <w:lang w:val="en-US"/>
        </w:rPr>
        <w:t>rate from 2019/20 to 2020/21.</w:t>
      </w:r>
      <w:r w:rsidR="007A4AC2">
        <w:rPr>
          <w:rFonts w:ascii="Garamond" w:hAnsi="Garamond"/>
          <w:sz w:val="20"/>
          <w:szCs w:val="20"/>
          <w:vertAlign w:val="superscript"/>
          <w:lang w:val="en-US"/>
        </w:rPr>
        <w:t>21</w:t>
      </w:r>
      <w:r w:rsidR="00D322FF">
        <w:rPr>
          <w:rFonts w:ascii="Garamond" w:hAnsi="Garamond"/>
          <w:sz w:val="20"/>
          <w:szCs w:val="20"/>
          <w:lang w:val="en-US"/>
        </w:rPr>
        <w:t xml:space="preserve"> </w:t>
      </w:r>
      <w:r w:rsidR="00E13254">
        <w:rPr>
          <w:rFonts w:ascii="Garamond" w:hAnsi="Garamond"/>
          <w:sz w:val="20"/>
          <w:szCs w:val="20"/>
          <w:lang w:val="en-US"/>
        </w:rPr>
        <w:t xml:space="preserve">It is therefore likely that this decrease was not </w:t>
      </w:r>
      <w:r w:rsidR="00756167">
        <w:rPr>
          <w:rFonts w:ascii="Garamond" w:hAnsi="Garamond"/>
          <w:sz w:val="20"/>
          <w:szCs w:val="20"/>
          <w:lang w:val="en-US"/>
        </w:rPr>
        <w:t xml:space="preserve">driven </w:t>
      </w:r>
      <w:r w:rsidR="00E13254">
        <w:rPr>
          <w:rFonts w:ascii="Garamond" w:hAnsi="Garamond"/>
          <w:sz w:val="20"/>
          <w:szCs w:val="20"/>
          <w:lang w:val="en-US"/>
        </w:rPr>
        <w:t xml:space="preserve">by changes in the safety profile of QIVc or any other </w:t>
      </w:r>
      <w:r w:rsidR="006B630A">
        <w:rPr>
          <w:rFonts w:ascii="Garamond" w:hAnsi="Garamond"/>
          <w:sz w:val="20"/>
          <w:szCs w:val="20"/>
          <w:lang w:val="en-US"/>
        </w:rPr>
        <w:t>SIV</w:t>
      </w:r>
      <w:r w:rsidR="00E13254">
        <w:rPr>
          <w:rFonts w:ascii="Garamond" w:hAnsi="Garamond"/>
          <w:sz w:val="20"/>
          <w:szCs w:val="20"/>
          <w:lang w:val="en-US"/>
        </w:rPr>
        <w:t>, but</w:t>
      </w:r>
      <w:r w:rsidR="00756167">
        <w:rPr>
          <w:rFonts w:ascii="Garamond" w:hAnsi="Garamond"/>
          <w:sz w:val="20"/>
          <w:szCs w:val="20"/>
          <w:lang w:val="en-US"/>
        </w:rPr>
        <w:t xml:space="preserve"> rather was due to the external influence of the </w:t>
      </w:r>
      <w:r w:rsidR="00E13254">
        <w:rPr>
          <w:rFonts w:ascii="Garamond" w:hAnsi="Garamond"/>
          <w:sz w:val="20"/>
          <w:szCs w:val="20"/>
          <w:lang w:val="en-US"/>
        </w:rPr>
        <w:t xml:space="preserve">COVID-19 pandemic. </w:t>
      </w:r>
      <w:r w:rsidR="00F637D3">
        <w:rPr>
          <w:rFonts w:ascii="Garamond" w:hAnsi="Garamond"/>
          <w:sz w:val="20"/>
          <w:szCs w:val="20"/>
          <w:lang w:val="en-US"/>
        </w:rPr>
        <w:t>On the other hand, i</w:t>
      </w:r>
      <w:r w:rsidR="00756167">
        <w:rPr>
          <w:rFonts w:ascii="Garamond" w:hAnsi="Garamond"/>
          <w:sz w:val="20"/>
          <w:szCs w:val="20"/>
          <w:lang w:val="en-US"/>
        </w:rPr>
        <w:t>t appears t</w:t>
      </w:r>
      <w:r w:rsidR="00D322FF">
        <w:rPr>
          <w:rFonts w:ascii="Garamond" w:hAnsi="Garamond"/>
          <w:sz w:val="20"/>
          <w:szCs w:val="20"/>
          <w:lang w:val="en-US"/>
        </w:rPr>
        <w:t xml:space="preserve">hat the COVID-19 pandemic had </w:t>
      </w:r>
      <w:r w:rsidR="00756167">
        <w:rPr>
          <w:rFonts w:ascii="Garamond" w:hAnsi="Garamond"/>
          <w:sz w:val="20"/>
          <w:szCs w:val="20"/>
          <w:lang w:val="en-US"/>
        </w:rPr>
        <w:t>an</w:t>
      </w:r>
      <w:r w:rsidR="00D322FF">
        <w:rPr>
          <w:rFonts w:ascii="Garamond" w:hAnsi="Garamond"/>
          <w:sz w:val="20"/>
          <w:szCs w:val="20"/>
          <w:lang w:val="en-US"/>
        </w:rPr>
        <w:t xml:space="preserve"> impact on reporting only non-serious AEs. Indeed, </w:t>
      </w:r>
      <w:r w:rsidR="003658AD">
        <w:rPr>
          <w:rFonts w:ascii="Garamond" w:hAnsi="Garamond"/>
          <w:sz w:val="20"/>
          <w:szCs w:val="20"/>
          <w:lang w:val="en-US"/>
        </w:rPr>
        <w:t>although non-significant (</w:t>
      </w:r>
      <w:r w:rsidR="003658AD" w:rsidRPr="003658AD">
        <w:rPr>
          <w:rFonts w:ascii="Garamond" w:hAnsi="Garamond"/>
          <w:i/>
          <w:sz w:val="20"/>
          <w:szCs w:val="20"/>
          <w:lang w:val="en-US"/>
        </w:rPr>
        <w:t>p</w:t>
      </w:r>
      <w:r w:rsidR="003658AD">
        <w:rPr>
          <w:rFonts w:ascii="Garamond" w:hAnsi="Garamond"/>
          <w:sz w:val="20"/>
          <w:szCs w:val="20"/>
          <w:lang w:val="en-US"/>
        </w:rPr>
        <w:t xml:space="preserve"> = 0.24) for a small number of cases, we observed </w:t>
      </w:r>
      <w:r w:rsidR="006B1EFC">
        <w:rPr>
          <w:rFonts w:ascii="Garamond" w:hAnsi="Garamond"/>
          <w:sz w:val="20"/>
          <w:szCs w:val="20"/>
          <w:lang w:val="en-US"/>
        </w:rPr>
        <w:t>a relative increase in the proportion of serious AEs</w:t>
      </w:r>
      <w:r w:rsidR="003658AD">
        <w:rPr>
          <w:rFonts w:ascii="Garamond" w:hAnsi="Garamond"/>
          <w:sz w:val="20"/>
          <w:szCs w:val="20"/>
          <w:lang w:val="en-US"/>
        </w:rPr>
        <w:t>, which was in countertrend to the overall reporting</w:t>
      </w:r>
      <w:r w:rsidR="006B1EFC">
        <w:rPr>
          <w:rFonts w:ascii="Garamond" w:hAnsi="Garamond"/>
          <w:sz w:val="20"/>
          <w:szCs w:val="20"/>
          <w:lang w:val="en-US"/>
        </w:rPr>
        <w:t>. In this regard, t</w:t>
      </w:r>
      <w:r w:rsidR="00D322FF">
        <w:rPr>
          <w:rFonts w:ascii="Garamond" w:hAnsi="Garamond"/>
          <w:sz w:val="20"/>
          <w:szCs w:val="20"/>
          <w:lang w:val="en-US"/>
        </w:rPr>
        <w:t xml:space="preserve">he above-mentioned Italian </w:t>
      </w:r>
      <w:proofErr w:type="spellStart"/>
      <w:r w:rsidR="00D322FF">
        <w:rPr>
          <w:rFonts w:ascii="Garamond" w:hAnsi="Garamond"/>
          <w:sz w:val="20"/>
          <w:szCs w:val="20"/>
          <w:lang w:val="en-US"/>
        </w:rPr>
        <w:t>vaccinovigilance</w:t>
      </w:r>
      <w:proofErr w:type="spellEnd"/>
      <w:r w:rsidR="00D322FF">
        <w:rPr>
          <w:rFonts w:ascii="Garamond" w:hAnsi="Garamond"/>
          <w:sz w:val="20"/>
          <w:szCs w:val="20"/>
          <w:lang w:val="en-US"/>
        </w:rPr>
        <w:t xml:space="preserve"> platform reported</w:t>
      </w:r>
      <w:r w:rsidR="007A4AC2">
        <w:rPr>
          <w:rFonts w:ascii="Garamond" w:hAnsi="Garamond"/>
          <w:sz w:val="20"/>
          <w:szCs w:val="20"/>
          <w:vertAlign w:val="superscript"/>
          <w:lang w:val="en-US"/>
        </w:rPr>
        <w:t>31</w:t>
      </w:r>
      <w:r w:rsidR="00D322FF">
        <w:rPr>
          <w:rFonts w:ascii="Garamond" w:hAnsi="Garamond"/>
          <w:sz w:val="20"/>
          <w:szCs w:val="20"/>
          <w:lang w:val="en-US"/>
        </w:rPr>
        <w:t xml:space="preserve"> a stable notification rate of serious AEs, suggesting </w:t>
      </w:r>
      <w:r w:rsidR="00E13254">
        <w:rPr>
          <w:rFonts w:ascii="Garamond" w:hAnsi="Garamond"/>
          <w:sz w:val="20"/>
          <w:szCs w:val="20"/>
          <w:lang w:val="en-US"/>
        </w:rPr>
        <w:t xml:space="preserve">a </w:t>
      </w:r>
      <w:r w:rsidR="00D322FF">
        <w:rPr>
          <w:rFonts w:ascii="Garamond" w:hAnsi="Garamond"/>
          <w:sz w:val="20"/>
          <w:szCs w:val="20"/>
          <w:lang w:val="en-US"/>
        </w:rPr>
        <w:t>high</w:t>
      </w:r>
      <w:r w:rsidR="00493D83">
        <w:rPr>
          <w:rFonts w:ascii="Garamond" w:hAnsi="Garamond"/>
          <w:sz w:val="20"/>
          <w:szCs w:val="20"/>
          <w:lang w:val="en-US"/>
        </w:rPr>
        <w:t>er</w:t>
      </w:r>
      <w:r w:rsidR="00D322FF">
        <w:rPr>
          <w:rFonts w:ascii="Garamond" w:hAnsi="Garamond"/>
          <w:sz w:val="20"/>
          <w:szCs w:val="20"/>
          <w:lang w:val="en-US"/>
        </w:rPr>
        <w:t xml:space="preserve"> population awareness </w:t>
      </w:r>
      <w:r w:rsidR="00493D83">
        <w:rPr>
          <w:rFonts w:ascii="Garamond" w:hAnsi="Garamond"/>
          <w:sz w:val="20"/>
          <w:szCs w:val="20"/>
          <w:lang w:val="en-US"/>
        </w:rPr>
        <w:t>to</w:t>
      </w:r>
      <w:r w:rsidR="00D322FF">
        <w:rPr>
          <w:rFonts w:ascii="Garamond" w:hAnsi="Garamond"/>
          <w:sz w:val="20"/>
          <w:szCs w:val="20"/>
          <w:lang w:val="en-US"/>
        </w:rPr>
        <w:t xml:space="preserve"> </w:t>
      </w:r>
      <w:r w:rsidR="00493D83">
        <w:rPr>
          <w:rFonts w:ascii="Garamond" w:hAnsi="Garamond"/>
          <w:sz w:val="20"/>
          <w:szCs w:val="20"/>
          <w:lang w:val="en-US"/>
        </w:rPr>
        <w:t>report</w:t>
      </w:r>
      <w:r w:rsidR="00D322FF">
        <w:rPr>
          <w:rFonts w:ascii="Garamond" w:hAnsi="Garamond"/>
          <w:sz w:val="20"/>
          <w:szCs w:val="20"/>
          <w:lang w:val="en-US"/>
        </w:rPr>
        <w:t xml:space="preserve"> th</w:t>
      </w:r>
      <w:r w:rsidR="00E13254">
        <w:rPr>
          <w:rFonts w:ascii="Garamond" w:hAnsi="Garamond"/>
          <w:sz w:val="20"/>
          <w:szCs w:val="20"/>
          <w:lang w:val="en-US"/>
        </w:rPr>
        <w:t>is type of</w:t>
      </w:r>
      <w:r w:rsidR="00D322FF">
        <w:rPr>
          <w:rFonts w:ascii="Garamond" w:hAnsi="Garamond"/>
          <w:sz w:val="20"/>
          <w:szCs w:val="20"/>
          <w:lang w:val="en-US"/>
        </w:rPr>
        <w:t xml:space="preserve"> events.</w:t>
      </w:r>
      <w:r w:rsidR="007A6B91">
        <w:rPr>
          <w:rFonts w:ascii="Garamond" w:hAnsi="Garamond"/>
          <w:sz w:val="20"/>
          <w:szCs w:val="20"/>
          <w:lang w:val="en-US"/>
        </w:rPr>
        <w:t xml:space="preserve"> Furthermore, a comprehensive time-series analysis of the Pfizer’s safety database</w:t>
      </w:r>
      <w:r w:rsidR="007A6B91" w:rsidRPr="007A6B91">
        <w:rPr>
          <w:rFonts w:ascii="Garamond" w:hAnsi="Garamond"/>
          <w:sz w:val="20"/>
          <w:szCs w:val="20"/>
          <w:lang w:val="en-US"/>
        </w:rPr>
        <w:t xml:space="preserve"> (700,362 spontaneous reports</w:t>
      </w:r>
      <w:r w:rsidR="007A6B91">
        <w:rPr>
          <w:rFonts w:ascii="Garamond" w:hAnsi="Garamond"/>
          <w:sz w:val="20"/>
          <w:szCs w:val="20"/>
          <w:lang w:val="en-US"/>
        </w:rPr>
        <w:t xml:space="preserve"> of all Pfizer’s medi</w:t>
      </w:r>
      <w:r w:rsidR="008231AF">
        <w:rPr>
          <w:rFonts w:ascii="Garamond" w:hAnsi="Garamond"/>
          <w:sz w:val="20"/>
          <w:szCs w:val="20"/>
          <w:lang w:val="en-US"/>
        </w:rPr>
        <w:t>cines</w:t>
      </w:r>
      <w:r w:rsidR="007A6B91">
        <w:rPr>
          <w:rFonts w:ascii="Garamond" w:hAnsi="Garamond"/>
          <w:sz w:val="20"/>
          <w:szCs w:val="20"/>
          <w:lang w:val="en-US"/>
        </w:rPr>
        <w:t xml:space="preserve">) has </w:t>
      </w:r>
      <w:r w:rsidR="007A6B91">
        <w:rPr>
          <w:rFonts w:ascii="Garamond" w:hAnsi="Garamond"/>
          <w:sz w:val="20"/>
          <w:szCs w:val="20"/>
          <w:lang w:val="en-US"/>
        </w:rPr>
        <w:lastRenderedPageBreak/>
        <w:t xml:space="preserve">demonstrated that the </w:t>
      </w:r>
      <w:r w:rsidR="00E13254">
        <w:rPr>
          <w:rFonts w:ascii="Garamond" w:hAnsi="Garamond"/>
          <w:sz w:val="20"/>
          <w:szCs w:val="20"/>
          <w:lang w:val="en-US"/>
        </w:rPr>
        <w:t xml:space="preserve">overall </w:t>
      </w:r>
      <w:r w:rsidR="007A6B91">
        <w:rPr>
          <w:rFonts w:ascii="Garamond" w:hAnsi="Garamond"/>
          <w:sz w:val="20"/>
          <w:szCs w:val="20"/>
          <w:lang w:val="en-US"/>
        </w:rPr>
        <w:t xml:space="preserve">decline </w:t>
      </w:r>
      <w:r w:rsidR="008231AF">
        <w:rPr>
          <w:rFonts w:ascii="Garamond" w:hAnsi="Garamond"/>
          <w:sz w:val="20"/>
          <w:szCs w:val="20"/>
          <w:lang w:val="en-US"/>
        </w:rPr>
        <w:t xml:space="preserve">in reporting observed during the first pandemic waves was country-specific and driven mainly by HCWs </w:t>
      </w:r>
      <w:r w:rsidR="00E13254">
        <w:rPr>
          <w:rFonts w:ascii="Garamond" w:hAnsi="Garamond"/>
          <w:sz w:val="20"/>
          <w:szCs w:val="20"/>
          <w:lang w:val="en-US"/>
        </w:rPr>
        <w:t xml:space="preserve">(as opposed to consumers) </w:t>
      </w:r>
      <w:r w:rsidR="008231AF">
        <w:rPr>
          <w:rFonts w:ascii="Garamond" w:hAnsi="Garamond"/>
          <w:sz w:val="20"/>
          <w:szCs w:val="20"/>
          <w:lang w:val="en-US"/>
        </w:rPr>
        <w:t>and non-serious AEs.</w:t>
      </w:r>
      <w:r w:rsidR="007A4AC2">
        <w:rPr>
          <w:rFonts w:ascii="Garamond" w:hAnsi="Garamond"/>
          <w:sz w:val="20"/>
          <w:szCs w:val="20"/>
          <w:vertAlign w:val="superscript"/>
          <w:lang w:val="en-US"/>
        </w:rPr>
        <w:t>32</w:t>
      </w:r>
    </w:p>
    <w:p w14:paraId="773000C4" w14:textId="51D8CAB9" w:rsidR="004022D4" w:rsidRDefault="008231AF" w:rsidP="00811515">
      <w:pPr>
        <w:spacing w:after="0" w:line="360" w:lineRule="auto"/>
        <w:jc w:val="both"/>
        <w:rPr>
          <w:rFonts w:ascii="Garamond" w:hAnsi="Garamond"/>
          <w:sz w:val="20"/>
          <w:szCs w:val="20"/>
          <w:lang w:val="en-US"/>
        </w:rPr>
      </w:pPr>
      <w:r>
        <w:rPr>
          <w:rFonts w:ascii="Garamond" w:hAnsi="Garamond"/>
          <w:sz w:val="20"/>
          <w:szCs w:val="20"/>
          <w:lang w:val="en-US"/>
        </w:rPr>
        <w:t xml:space="preserve">Across </w:t>
      </w:r>
      <w:r w:rsidR="00756167">
        <w:rPr>
          <w:rFonts w:ascii="Garamond" w:hAnsi="Garamond"/>
          <w:sz w:val="20"/>
          <w:szCs w:val="20"/>
          <w:lang w:val="en-US"/>
        </w:rPr>
        <w:t xml:space="preserve">the </w:t>
      </w:r>
      <w:r>
        <w:rPr>
          <w:rFonts w:ascii="Garamond" w:hAnsi="Garamond"/>
          <w:sz w:val="20"/>
          <w:szCs w:val="20"/>
          <w:lang w:val="en-US"/>
        </w:rPr>
        <w:t>three seasons, most AEs were reported by female</w:t>
      </w:r>
      <w:r w:rsidR="00E13254">
        <w:rPr>
          <w:rFonts w:ascii="Garamond" w:hAnsi="Garamond"/>
          <w:sz w:val="20"/>
          <w:szCs w:val="20"/>
          <w:lang w:val="en-US"/>
        </w:rPr>
        <w:t xml:space="preserve"> vaccinee</w:t>
      </w:r>
      <w:r>
        <w:rPr>
          <w:rFonts w:ascii="Garamond" w:hAnsi="Garamond"/>
          <w:sz w:val="20"/>
          <w:szCs w:val="20"/>
          <w:lang w:val="en-US"/>
        </w:rPr>
        <w:t>s.</w:t>
      </w:r>
      <w:r w:rsidR="007A6B91">
        <w:rPr>
          <w:rFonts w:ascii="Garamond" w:hAnsi="Garamond"/>
          <w:sz w:val="20"/>
          <w:szCs w:val="20"/>
          <w:lang w:val="en-US"/>
        </w:rPr>
        <w:t xml:space="preserve"> </w:t>
      </w:r>
      <w:r>
        <w:rPr>
          <w:rFonts w:ascii="Garamond" w:hAnsi="Garamond"/>
          <w:sz w:val="20"/>
          <w:szCs w:val="20"/>
          <w:lang w:val="en-US"/>
        </w:rPr>
        <w:t xml:space="preserve">Overall, it </w:t>
      </w:r>
      <w:r w:rsidR="00EF2EDE">
        <w:rPr>
          <w:rFonts w:ascii="Garamond" w:hAnsi="Garamond"/>
          <w:sz w:val="20"/>
          <w:szCs w:val="20"/>
          <w:lang w:val="en-US"/>
        </w:rPr>
        <w:t>seems</w:t>
      </w:r>
      <w:r>
        <w:rPr>
          <w:rFonts w:ascii="Garamond" w:hAnsi="Garamond"/>
          <w:sz w:val="20"/>
          <w:szCs w:val="20"/>
          <w:lang w:val="en-US"/>
        </w:rPr>
        <w:t xml:space="preserve"> that </w:t>
      </w:r>
      <w:r w:rsidR="00EF2EDE">
        <w:rPr>
          <w:rFonts w:ascii="Garamond" w:hAnsi="Garamond"/>
          <w:sz w:val="20"/>
          <w:szCs w:val="20"/>
          <w:lang w:val="en-US"/>
        </w:rPr>
        <w:t>women are involved in more AE reporting</w:t>
      </w:r>
      <w:r w:rsidR="00011458">
        <w:rPr>
          <w:rFonts w:ascii="Garamond" w:hAnsi="Garamond"/>
          <w:sz w:val="20"/>
          <w:szCs w:val="20"/>
          <w:lang w:val="en-US"/>
        </w:rPr>
        <w:t xml:space="preserve">, especially </w:t>
      </w:r>
      <w:r w:rsidR="00756167">
        <w:rPr>
          <w:rFonts w:ascii="Garamond" w:hAnsi="Garamond"/>
          <w:sz w:val="20"/>
          <w:szCs w:val="20"/>
          <w:lang w:val="en-US"/>
        </w:rPr>
        <w:t>for</w:t>
      </w:r>
      <w:r w:rsidR="00011458">
        <w:rPr>
          <w:rFonts w:ascii="Garamond" w:hAnsi="Garamond"/>
          <w:sz w:val="20"/>
          <w:szCs w:val="20"/>
          <w:lang w:val="en-US"/>
        </w:rPr>
        <w:t xml:space="preserve"> non-serious</w:t>
      </w:r>
      <w:r w:rsidR="00EF2EDE">
        <w:rPr>
          <w:rFonts w:ascii="Garamond" w:hAnsi="Garamond"/>
          <w:sz w:val="20"/>
          <w:szCs w:val="20"/>
          <w:lang w:val="en-US"/>
        </w:rPr>
        <w:t xml:space="preserve"> </w:t>
      </w:r>
      <w:r w:rsidR="00756167">
        <w:rPr>
          <w:rFonts w:ascii="Garamond" w:hAnsi="Garamond"/>
          <w:sz w:val="20"/>
          <w:szCs w:val="20"/>
          <w:lang w:val="en-US"/>
        </w:rPr>
        <w:t xml:space="preserve">AEs </w:t>
      </w:r>
      <w:r w:rsidR="00EF2EDE">
        <w:rPr>
          <w:rFonts w:ascii="Garamond" w:hAnsi="Garamond"/>
          <w:sz w:val="20"/>
          <w:szCs w:val="20"/>
          <w:lang w:val="en-US"/>
        </w:rPr>
        <w:t xml:space="preserve">(reviewed in </w:t>
      </w:r>
      <w:r w:rsidR="007A4AC2">
        <w:rPr>
          <w:rFonts w:ascii="Garamond" w:hAnsi="Garamond"/>
          <w:sz w:val="20"/>
          <w:szCs w:val="20"/>
          <w:vertAlign w:val="superscript"/>
          <w:lang w:val="en-US"/>
        </w:rPr>
        <w:t>33,34</w:t>
      </w:r>
      <w:r w:rsidR="00EF2EDE">
        <w:rPr>
          <w:rFonts w:ascii="Garamond" w:hAnsi="Garamond"/>
          <w:sz w:val="20"/>
          <w:szCs w:val="20"/>
          <w:lang w:val="en-US"/>
        </w:rPr>
        <w:t>)</w:t>
      </w:r>
      <w:r w:rsidR="004325ED">
        <w:rPr>
          <w:rFonts w:ascii="Garamond" w:hAnsi="Garamond"/>
          <w:sz w:val="20"/>
          <w:szCs w:val="20"/>
          <w:lang w:val="en-US"/>
        </w:rPr>
        <w:t>.</w:t>
      </w:r>
      <w:r w:rsidR="007A6B91">
        <w:rPr>
          <w:rFonts w:ascii="Garamond" w:hAnsi="Garamond"/>
          <w:sz w:val="20"/>
          <w:szCs w:val="20"/>
          <w:lang w:val="en-US"/>
        </w:rPr>
        <w:t xml:space="preserve"> </w:t>
      </w:r>
      <w:r w:rsidR="00EF2EDE">
        <w:rPr>
          <w:rFonts w:ascii="Garamond" w:hAnsi="Garamond"/>
          <w:sz w:val="20"/>
          <w:szCs w:val="20"/>
          <w:lang w:val="en-US"/>
        </w:rPr>
        <w:t>It has been estimated</w:t>
      </w:r>
      <w:r w:rsidR="007A4AC2">
        <w:rPr>
          <w:rFonts w:ascii="Garamond" w:hAnsi="Garamond"/>
          <w:sz w:val="20"/>
          <w:szCs w:val="20"/>
          <w:vertAlign w:val="superscript"/>
          <w:lang w:val="en-US"/>
        </w:rPr>
        <w:t>35</w:t>
      </w:r>
      <w:r w:rsidR="00EF2EDE">
        <w:rPr>
          <w:rFonts w:ascii="Garamond" w:hAnsi="Garamond"/>
          <w:sz w:val="20"/>
          <w:szCs w:val="20"/>
          <w:lang w:val="en-US"/>
        </w:rPr>
        <w:t xml:space="preserve"> that</w:t>
      </w:r>
      <w:r w:rsidR="004325ED">
        <w:rPr>
          <w:rFonts w:ascii="Garamond" w:hAnsi="Garamond"/>
          <w:sz w:val="20"/>
          <w:szCs w:val="20"/>
          <w:lang w:val="en-US"/>
        </w:rPr>
        <w:t xml:space="preserve"> approximately 70% of all (</w:t>
      </w:r>
      <w:r w:rsidR="004325ED" w:rsidRPr="00CA3C0B">
        <w:rPr>
          <w:rFonts w:ascii="Garamond" w:hAnsi="Garamond"/>
          <w:i/>
          <w:sz w:val="20"/>
          <w:szCs w:val="20"/>
          <w:lang w:val="en-US"/>
        </w:rPr>
        <w:t>n</w:t>
      </w:r>
      <w:r w:rsidR="004325ED">
        <w:rPr>
          <w:rFonts w:ascii="Garamond" w:hAnsi="Garamond"/>
          <w:sz w:val="20"/>
          <w:szCs w:val="20"/>
          <w:lang w:val="en-US"/>
        </w:rPr>
        <w:t xml:space="preserve"> = 15,871) VAERS reports on SIV</w:t>
      </w:r>
      <w:r w:rsidR="00E13254">
        <w:rPr>
          <w:rFonts w:ascii="Garamond" w:hAnsi="Garamond"/>
          <w:sz w:val="20"/>
          <w:szCs w:val="20"/>
          <w:lang w:val="en-US"/>
        </w:rPr>
        <w:t>s</w:t>
      </w:r>
      <w:r w:rsidR="004325ED">
        <w:rPr>
          <w:rFonts w:ascii="Garamond" w:hAnsi="Garamond"/>
          <w:sz w:val="20"/>
          <w:szCs w:val="20"/>
          <w:lang w:val="en-US"/>
        </w:rPr>
        <w:t xml:space="preserve"> submitted between </w:t>
      </w:r>
      <w:r w:rsidR="004325ED" w:rsidRPr="004325ED">
        <w:rPr>
          <w:rFonts w:ascii="Garamond" w:hAnsi="Garamond"/>
          <w:sz w:val="20"/>
          <w:szCs w:val="20"/>
          <w:lang w:val="en-US"/>
        </w:rPr>
        <w:t>1 December</w:t>
      </w:r>
      <w:r w:rsidR="004325ED">
        <w:rPr>
          <w:rFonts w:ascii="Garamond" w:hAnsi="Garamond"/>
          <w:sz w:val="20"/>
          <w:szCs w:val="20"/>
          <w:lang w:val="en-US"/>
        </w:rPr>
        <w:t xml:space="preserve"> 1,</w:t>
      </w:r>
      <w:r w:rsidR="004325ED" w:rsidRPr="004325ED">
        <w:rPr>
          <w:rFonts w:ascii="Garamond" w:hAnsi="Garamond"/>
          <w:sz w:val="20"/>
          <w:szCs w:val="20"/>
          <w:lang w:val="en-US"/>
        </w:rPr>
        <w:t xml:space="preserve"> </w:t>
      </w:r>
      <w:proofErr w:type="gramStart"/>
      <w:r w:rsidR="004325ED" w:rsidRPr="004325ED">
        <w:rPr>
          <w:rFonts w:ascii="Garamond" w:hAnsi="Garamond"/>
          <w:sz w:val="20"/>
          <w:szCs w:val="20"/>
          <w:lang w:val="en-US"/>
        </w:rPr>
        <w:t>2020</w:t>
      </w:r>
      <w:proofErr w:type="gramEnd"/>
      <w:r w:rsidR="004325ED" w:rsidRPr="004325ED">
        <w:rPr>
          <w:rFonts w:ascii="Garamond" w:hAnsi="Garamond"/>
          <w:sz w:val="20"/>
          <w:szCs w:val="20"/>
          <w:lang w:val="en-US"/>
        </w:rPr>
        <w:t xml:space="preserve"> </w:t>
      </w:r>
      <w:r w:rsidR="004325ED">
        <w:rPr>
          <w:rFonts w:ascii="Garamond" w:hAnsi="Garamond"/>
          <w:sz w:val="20"/>
          <w:szCs w:val="20"/>
          <w:lang w:val="en-US"/>
        </w:rPr>
        <w:t>and</w:t>
      </w:r>
      <w:r w:rsidR="004325ED" w:rsidRPr="004325ED">
        <w:rPr>
          <w:rFonts w:ascii="Garamond" w:hAnsi="Garamond"/>
          <w:sz w:val="20"/>
          <w:szCs w:val="20"/>
          <w:lang w:val="en-US"/>
        </w:rPr>
        <w:t xml:space="preserve"> October</w:t>
      </w:r>
      <w:r w:rsidR="004325ED">
        <w:rPr>
          <w:rFonts w:ascii="Garamond" w:hAnsi="Garamond"/>
          <w:sz w:val="20"/>
          <w:szCs w:val="20"/>
          <w:lang w:val="en-US"/>
        </w:rPr>
        <w:t xml:space="preserve"> 8,</w:t>
      </w:r>
      <w:r w:rsidR="004325ED" w:rsidRPr="004325ED">
        <w:rPr>
          <w:rFonts w:ascii="Garamond" w:hAnsi="Garamond"/>
          <w:sz w:val="20"/>
          <w:szCs w:val="20"/>
          <w:lang w:val="en-US"/>
        </w:rPr>
        <w:t xml:space="preserve"> 2021</w:t>
      </w:r>
      <w:r w:rsidR="004325ED">
        <w:rPr>
          <w:rFonts w:ascii="Garamond" w:hAnsi="Garamond"/>
          <w:sz w:val="20"/>
          <w:szCs w:val="20"/>
          <w:lang w:val="en-US"/>
        </w:rPr>
        <w:t xml:space="preserve"> regarded women. </w:t>
      </w:r>
      <w:r w:rsidR="00011458">
        <w:rPr>
          <w:rFonts w:ascii="Garamond" w:hAnsi="Garamond"/>
          <w:sz w:val="20"/>
          <w:szCs w:val="20"/>
          <w:lang w:val="en-US"/>
        </w:rPr>
        <w:t xml:space="preserve">This </w:t>
      </w:r>
      <w:r w:rsidR="00796071">
        <w:rPr>
          <w:rFonts w:ascii="Garamond" w:hAnsi="Garamond"/>
          <w:sz w:val="20"/>
          <w:szCs w:val="20"/>
          <w:lang w:val="en-US"/>
        </w:rPr>
        <w:t>gender</w:t>
      </w:r>
      <w:r w:rsidR="00011458">
        <w:rPr>
          <w:rFonts w:ascii="Garamond" w:hAnsi="Garamond"/>
          <w:sz w:val="20"/>
          <w:szCs w:val="20"/>
          <w:lang w:val="en-US"/>
        </w:rPr>
        <w:t>-related gap m</w:t>
      </w:r>
      <w:r w:rsidR="00E13254">
        <w:rPr>
          <w:rFonts w:ascii="Garamond" w:hAnsi="Garamond"/>
          <w:sz w:val="20"/>
          <w:szCs w:val="20"/>
          <w:lang w:val="en-US"/>
        </w:rPr>
        <w:t>ay</w:t>
      </w:r>
      <w:r w:rsidR="00011458">
        <w:rPr>
          <w:rFonts w:ascii="Garamond" w:hAnsi="Garamond"/>
          <w:sz w:val="20"/>
          <w:szCs w:val="20"/>
          <w:lang w:val="en-US"/>
        </w:rPr>
        <w:t xml:space="preserve"> be explained by </w:t>
      </w:r>
      <w:r w:rsidR="00E13254">
        <w:rPr>
          <w:rFonts w:ascii="Garamond" w:hAnsi="Garamond"/>
          <w:sz w:val="20"/>
          <w:szCs w:val="20"/>
          <w:lang w:val="en-US"/>
        </w:rPr>
        <w:t>a true</w:t>
      </w:r>
      <w:r w:rsidR="00011458">
        <w:rPr>
          <w:rFonts w:ascii="Garamond" w:hAnsi="Garamond"/>
          <w:sz w:val="20"/>
          <w:szCs w:val="20"/>
          <w:lang w:val="en-US"/>
        </w:rPr>
        <w:t xml:space="preserve"> increase in the reactogenicity of SIVs in women, but more </w:t>
      </w:r>
      <w:r w:rsidR="007258F3">
        <w:rPr>
          <w:rFonts w:ascii="Garamond" w:hAnsi="Garamond"/>
          <w:sz w:val="20"/>
          <w:szCs w:val="20"/>
          <w:lang w:val="en-US"/>
        </w:rPr>
        <w:t>likely</w:t>
      </w:r>
      <w:r w:rsidR="00011458">
        <w:rPr>
          <w:rFonts w:ascii="Garamond" w:hAnsi="Garamond"/>
          <w:sz w:val="20"/>
          <w:szCs w:val="20"/>
          <w:lang w:val="en-US"/>
        </w:rPr>
        <w:t>, by</w:t>
      </w:r>
      <w:r w:rsidR="00E13254">
        <w:rPr>
          <w:rFonts w:ascii="Garamond" w:hAnsi="Garamond"/>
          <w:sz w:val="20"/>
          <w:szCs w:val="20"/>
          <w:lang w:val="en-US"/>
        </w:rPr>
        <w:t xml:space="preserve"> a</w:t>
      </w:r>
      <w:r w:rsidR="00011458">
        <w:rPr>
          <w:rFonts w:ascii="Garamond" w:hAnsi="Garamond"/>
          <w:sz w:val="20"/>
          <w:szCs w:val="20"/>
          <w:lang w:val="en-US"/>
        </w:rPr>
        <w:t xml:space="preserve"> higher propensity of females to report AEs.</w:t>
      </w:r>
      <w:r w:rsidR="007A4AC2">
        <w:rPr>
          <w:rFonts w:ascii="Garamond" w:hAnsi="Garamond"/>
          <w:sz w:val="20"/>
          <w:szCs w:val="20"/>
          <w:vertAlign w:val="superscript"/>
          <w:lang w:val="en-US"/>
        </w:rPr>
        <w:t>33-34</w:t>
      </w:r>
      <w:r w:rsidR="00011458">
        <w:rPr>
          <w:rFonts w:ascii="Garamond" w:hAnsi="Garamond"/>
          <w:sz w:val="20"/>
          <w:szCs w:val="20"/>
          <w:lang w:val="en-US"/>
        </w:rPr>
        <w:t xml:space="preserve"> Taken together, these data indicate that </w:t>
      </w:r>
      <w:r w:rsidR="00756167">
        <w:rPr>
          <w:rFonts w:ascii="Garamond" w:hAnsi="Garamond"/>
          <w:sz w:val="20"/>
          <w:szCs w:val="20"/>
          <w:lang w:val="en-US"/>
        </w:rPr>
        <w:t xml:space="preserve">healthcare professionals </w:t>
      </w:r>
      <w:r w:rsidR="00011458">
        <w:rPr>
          <w:rFonts w:ascii="Garamond" w:hAnsi="Garamond"/>
          <w:sz w:val="20"/>
          <w:szCs w:val="20"/>
          <w:lang w:val="en-US"/>
        </w:rPr>
        <w:t xml:space="preserve">should </w:t>
      </w:r>
      <w:r w:rsidR="00BD7F6D">
        <w:rPr>
          <w:rFonts w:ascii="Garamond" w:hAnsi="Garamond"/>
          <w:sz w:val="20"/>
          <w:szCs w:val="20"/>
          <w:lang w:val="en-US"/>
        </w:rPr>
        <w:t xml:space="preserve">put an extra </w:t>
      </w:r>
      <w:r w:rsidR="00011458">
        <w:rPr>
          <w:rFonts w:ascii="Garamond" w:hAnsi="Garamond"/>
          <w:sz w:val="20"/>
          <w:szCs w:val="20"/>
          <w:lang w:val="en-US"/>
        </w:rPr>
        <w:t xml:space="preserve">effort on raising awareness </w:t>
      </w:r>
      <w:r w:rsidR="00BD7F6D">
        <w:rPr>
          <w:rFonts w:ascii="Garamond" w:hAnsi="Garamond"/>
          <w:sz w:val="20"/>
          <w:szCs w:val="20"/>
          <w:lang w:val="en-US"/>
        </w:rPr>
        <w:t>of reporting AEs following vaccination of men.</w:t>
      </w:r>
    </w:p>
    <w:p w14:paraId="45787AA2" w14:textId="27CFFF32" w:rsidR="00CC6C33" w:rsidRDefault="00CC6C33" w:rsidP="00811515">
      <w:pPr>
        <w:spacing w:after="0" w:line="360" w:lineRule="auto"/>
        <w:jc w:val="both"/>
        <w:rPr>
          <w:rFonts w:ascii="Garamond" w:hAnsi="Garamond"/>
          <w:sz w:val="20"/>
          <w:szCs w:val="20"/>
          <w:lang w:val="en-US"/>
        </w:rPr>
      </w:pPr>
      <w:r>
        <w:rPr>
          <w:rFonts w:ascii="Garamond" w:hAnsi="Garamond"/>
          <w:sz w:val="20"/>
          <w:szCs w:val="20"/>
          <w:lang w:val="en-US"/>
        </w:rPr>
        <w:t>The main</w:t>
      </w:r>
      <w:r w:rsidR="004022D4">
        <w:rPr>
          <w:rFonts w:ascii="Garamond" w:hAnsi="Garamond"/>
          <w:sz w:val="20"/>
          <w:szCs w:val="20"/>
          <w:lang w:val="en-US"/>
        </w:rPr>
        <w:t xml:space="preserve"> inherent</w:t>
      </w:r>
      <w:r>
        <w:rPr>
          <w:rFonts w:ascii="Garamond" w:hAnsi="Garamond"/>
          <w:sz w:val="20"/>
          <w:szCs w:val="20"/>
          <w:lang w:val="en-US"/>
        </w:rPr>
        <w:t xml:space="preserve"> limitation of the EPSS </w:t>
      </w:r>
      <w:r w:rsidR="004022D4">
        <w:rPr>
          <w:rFonts w:ascii="Garamond" w:hAnsi="Garamond"/>
          <w:sz w:val="20"/>
          <w:szCs w:val="20"/>
          <w:lang w:val="en-US"/>
        </w:rPr>
        <w:t xml:space="preserve">is that AEs are reported spontaneously (and not gathered actively) and therefore are subject to </w:t>
      </w:r>
      <w:r w:rsidR="00EE57CB">
        <w:rPr>
          <w:rFonts w:ascii="Garamond" w:hAnsi="Garamond"/>
          <w:sz w:val="20"/>
          <w:szCs w:val="20"/>
          <w:lang w:val="en-US"/>
        </w:rPr>
        <w:t xml:space="preserve">some </w:t>
      </w:r>
      <w:r>
        <w:rPr>
          <w:rFonts w:ascii="Garamond" w:hAnsi="Garamond"/>
          <w:sz w:val="20"/>
          <w:szCs w:val="20"/>
          <w:lang w:val="en-US"/>
        </w:rPr>
        <w:t xml:space="preserve">under-reporting. On the other hand, vaccinees taking part in EPSS were </w:t>
      </w:r>
      <w:r w:rsidRPr="00CC6C33">
        <w:rPr>
          <w:rFonts w:ascii="Garamond" w:hAnsi="Garamond"/>
          <w:sz w:val="20"/>
          <w:szCs w:val="20"/>
          <w:lang w:val="en-US"/>
        </w:rPr>
        <w:t>encourag</w:t>
      </w:r>
      <w:r>
        <w:rPr>
          <w:rFonts w:ascii="Garamond" w:hAnsi="Garamond"/>
          <w:sz w:val="20"/>
          <w:szCs w:val="20"/>
          <w:lang w:val="en-US"/>
        </w:rPr>
        <w:t>ed by their GPs</w:t>
      </w:r>
      <w:r w:rsidRPr="00CC6C33">
        <w:rPr>
          <w:rFonts w:ascii="Garamond" w:hAnsi="Garamond"/>
          <w:sz w:val="20"/>
          <w:szCs w:val="20"/>
          <w:lang w:val="en-US"/>
        </w:rPr>
        <w:t xml:space="preserve"> to </w:t>
      </w:r>
      <w:r w:rsidR="00EE57CB">
        <w:rPr>
          <w:rFonts w:ascii="Garamond" w:hAnsi="Garamond"/>
          <w:sz w:val="20"/>
          <w:szCs w:val="20"/>
          <w:lang w:val="en-US"/>
        </w:rPr>
        <w:t>signal</w:t>
      </w:r>
      <w:r w:rsidRPr="00CC6C33">
        <w:rPr>
          <w:rFonts w:ascii="Garamond" w:hAnsi="Garamond"/>
          <w:sz w:val="20"/>
          <w:szCs w:val="20"/>
          <w:lang w:val="en-US"/>
        </w:rPr>
        <w:t xml:space="preserve"> </w:t>
      </w:r>
      <w:r>
        <w:rPr>
          <w:rFonts w:ascii="Garamond" w:hAnsi="Garamond"/>
          <w:sz w:val="20"/>
          <w:szCs w:val="20"/>
          <w:lang w:val="en-US"/>
        </w:rPr>
        <w:t>all AE</w:t>
      </w:r>
      <w:r w:rsidR="00605270">
        <w:rPr>
          <w:rFonts w:ascii="Garamond" w:hAnsi="Garamond"/>
          <w:sz w:val="20"/>
          <w:szCs w:val="20"/>
          <w:lang w:val="en-US"/>
        </w:rPr>
        <w:t xml:space="preserve">s, which </w:t>
      </w:r>
      <w:r w:rsidR="002F338B">
        <w:rPr>
          <w:rFonts w:ascii="Garamond" w:hAnsi="Garamond"/>
          <w:sz w:val="20"/>
          <w:szCs w:val="20"/>
          <w:lang w:val="en-US"/>
        </w:rPr>
        <w:t xml:space="preserve">is expected to have </w:t>
      </w:r>
      <w:r w:rsidR="00605270">
        <w:rPr>
          <w:rFonts w:ascii="Garamond" w:hAnsi="Garamond"/>
          <w:sz w:val="20"/>
          <w:szCs w:val="20"/>
          <w:lang w:val="en-US"/>
        </w:rPr>
        <w:t>increased the overall reporting rate. Indeed, during the 2019/20</w:t>
      </w:r>
      <w:r w:rsidR="007A4AC2">
        <w:rPr>
          <w:rFonts w:ascii="Garamond" w:hAnsi="Garamond"/>
          <w:sz w:val="20"/>
          <w:szCs w:val="20"/>
          <w:vertAlign w:val="superscript"/>
          <w:lang w:val="en-US"/>
        </w:rPr>
        <w:t>30</w:t>
      </w:r>
      <w:r w:rsidR="00605270">
        <w:rPr>
          <w:rFonts w:ascii="Garamond" w:hAnsi="Garamond"/>
          <w:sz w:val="20"/>
          <w:szCs w:val="20"/>
          <w:lang w:val="en-US"/>
        </w:rPr>
        <w:t xml:space="preserve"> and 2020/21</w:t>
      </w:r>
      <w:r w:rsidR="007A4AC2">
        <w:rPr>
          <w:rFonts w:ascii="Garamond" w:hAnsi="Garamond"/>
          <w:sz w:val="20"/>
          <w:szCs w:val="20"/>
          <w:vertAlign w:val="superscript"/>
          <w:lang w:val="en-US"/>
        </w:rPr>
        <w:t>31</w:t>
      </w:r>
      <w:r w:rsidR="00605270">
        <w:rPr>
          <w:rFonts w:ascii="Garamond" w:hAnsi="Garamond"/>
          <w:sz w:val="20"/>
          <w:szCs w:val="20"/>
          <w:lang w:val="en-US"/>
        </w:rPr>
        <w:t xml:space="preserve"> influenza seasons, </w:t>
      </w:r>
      <w:r w:rsidR="00EE57CB">
        <w:rPr>
          <w:rFonts w:ascii="Garamond" w:hAnsi="Garamond"/>
          <w:sz w:val="20"/>
          <w:szCs w:val="20"/>
          <w:lang w:val="en-US"/>
        </w:rPr>
        <w:t xml:space="preserve">the rates of AEs following any marketed SIV reported by </w:t>
      </w:r>
      <w:r w:rsidR="00605270">
        <w:rPr>
          <w:rFonts w:ascii="Garamond" w:hAnsi="Garamond"/>
          <w:sz w:val="20"/>
          <w:szCs w:val="20"/>
          <w:lang w:val="en-US"/>
        </w:rPr>
        <w:t xml:space="preserve">the Italian Medicines Agency </w:t>
      </w:r>
      <w:r w:rsidR="00EE57CB">
        <w:rPr>
          <w:rFonts w:ascii="Garamond" w:hAnsi="Garamond"/>
          <w:sz w:val="20"/>
          <w:szCs w:val="20"/>
          <w:lang w:val="en-US"/>
        </w:rPr>
        <w:t>were</w:t>
      </w:r>
      <w:r w:rsidR="00605270">
        <w:rPr>
          <w:rFonts w:ascii="Garamond" w:hAnsi="Garamond"/>
          <w:sz w:val="20"/>
          <w:szCs w:val="20"/>
          <w:lang w:val="en-US"/>
        </w:rPr>
        <w:t xml:space="preserve"> 20 and 3.9 per 100,000 doses, respectively</w:t>
      </w:r>
      <w:r w:rsidR="00EE57CB">
        <w:rPr>
          <w:rFonts w:ascii="Garamond" w:hAnsi="Garamond"/>
          <w:sz w:val="20"/>
          <w:szCs w:val="20"/>
          <w:lang w:val="en-US"/>
        </w:rPr>
        <w:t>.</w:t>
      </w:r>
      <w:r w:rsidR="00605270">
        <w:rPr>
          <w:rFonts w:ascii="Garamond" w:hAnsi="Garamond"/>
          <w:sz w:val="20"/>
          <w:szCs w:val="20"/>
          <w:lang w:val="en-US"/>
        </w:rPr>
        <w:t xml:space="preserve"> </w:t>
      </w:r>
      <w:r w:rsidR="004022D4">
        <w:rPr>
          <w:rFonts w:ascii="Garamond" w:hAnsi="Garamond"/>
          <w:sz w:val="20"/>
          <w:szCs w:val="20"/>
          <w:lang w:val="en-US"/>
        </w:rPr>
        <w:t xml:space="preserve">The corresponding frequencies established in the </w:t>
      </w:r>
      <w:r w:rsidR="00EE57CB">
        <w:rPr>
          <w:rFonts w:ascii="Garamond" w:hAnsi="Garamond"/>
          <w:sz w:val="20"/>
          <w:szCs w:val="20"/>
          <w:lang w:val="en-US"/>
        </w:rPr>
        <w:t xml:space="preserve">current </w:t>
      </w:r>
      <w:r w:rsidR="004022D4">
        <w:rPr>
          <w:rFonts w:ascii="Garamond" w:hAnsi="Garamond"/>
          <w:sz w:val="20"/>
          <w:szCs w:val="20"/>
          <w:lang w:val="en-US"/>
        </w:rPr>
        <w:t>EPSS were 88 (1</w:t>
      </w:r>
      <w:r w:rsidR="007258F3">
        <w:rPr>
          <w:rFonts w:ascii="Garamond" w:hAnsi="Garamond"/>
          <w:sz w:val="20"/>
          <w:szCs w:val="20"/>
          <w:lang w:val="en-US"/>
        </w:rPr>
        <w:t>,</w:t>
      </w:r>
      <w:r w:rsidR="004022D4">
        <w:rPr>
          <w:rFonts w:ascii="Garamond" w:hAnsi="Garamond"/>
          <w:sz w:val="20"/>
          <w:szCs w:val="20"/>
          <w:lang w:val="en-US"/>
        </w:rPr>
        <w:t>750 per 100,000 doses) and 123 (480 per 100,000 doses) times higher for the 2019/20 and 2020/21 seasons, respectively.</w:t>
      </w:r>
      <w:r w:rsidR="00F1355E">
        <w:rPr>
          <w:rFonts w:ascii="Garamond" w:hAnsi="Garamond"/>
          <w:sz w:val="20"/>
          <w:szCs w:val="20"/>
          <w:lang w:val="en-US"/>
        </w:rPr>
        <w:t xml:space="preserve"> Another shortcoming </w:t>
      </w:r>
      <w:r w:rsidR="006C5177">
        <w:rPr>
          <w:rFonts w:ascii="Garamond" w:hAnsi="Garamond"/>
          <w:sz w:val="20"/>
          <w:szCs w:val="20"/>
          <w:lang w:val="en-US"/>
        </w:rPr>
        <w:t xml:space="preserve">is </w:t>
      </w:r>
      <w:r w:rsidR="002F338B">
        <w:rPr>
          <w:rFonts w:ascii="Garamond" w:hAnsi="Garamond"/>
          <w:sz w:val="20"/>
          <w:szCs w:val="20"/>
          <w:lang w:val="en-US"/>
        </w:rPr>
        <w:t xml:space="preserve">the </w:t>
      </w:r>
      <w:r w:rsidR="006C5177">
        <w:rPr>
          <w:rFonts w:ascii="Garamond" w:hAnsi="Garamond"/>
          <w:sz w:val="20"/>
          <w:szCs w:val="20"/>
          <w:lang w:val="en-US"/>
        </w:rPr>
        <w:t>lower exposure to QIVc of the pediatric population, especially during the 2019/20 season. This, however, reflects a very low influenza vaccination coverage rate among Italian children.</w:t>
      </w:r>
      <w:r w:rsidR="007A4AC2">
        <w:rPr>
          <w:rFonts w:ascii="Garamond" w:hAnsi="Garamond"/>
          <w:sz w:val="20"/>
          <w:szCs w:val="20"/>
          <w:vertAlign w:val="superscript"/>
          <w:lang w:val="en-US"/>
        </w:rPr>
        <w:t>36</w:t>
      </w:r>
    </w:p>
    <w:p w14:paraId="62D583EC" w14:textId="1536A469" w:rsidR="004F36C4" w:rsidRPr="004F36C4" w:rsidRDefault="00BD7F6D" w:rsidP="004F36C4">
      <w:pPr>
        <w:spacing w:after="0" w:line="360" w:lineRule="auto"/>
        <w:jc w:val="both"/>
        <w:rPr>
          <w:rFonts w:ascii="Garamond" w:hAnsi="Garamond"/>
          <w:sz w:val="20"/>
          <w:szCs w:val="20"/>
          <w:lang w:val="en-US"/>
        </w:rPr>
      </w:pPr>
      <w:r>
        <w:rPr>
          <w:rFonts w:ascii="Garamond" w:hAnsi="Garamond"/>
          <w:sz w:val="20"/>
          <w:szCs w:val="20"/>
          <w:lang w:val="en-US"/>
        </w:rPr>
        <w:t>In conclusion, th</w:t>
      </w:r>
      <w:r w:rsidR="00EE57CB">
        <w:rPr>
          <w:rFonts w:ascii="Garamond" w:hAnsi="Garamond"/>
          <w:sz w:val="20"/>
          <w:szCs w:val="20"/>
          <w:lang w:val="en-US"/>
        </w:rPr>
        <w:t>is</w:t>
      </w:r>
      <w:r>
        <w:rPr>
          <w:rFonts w:ascii="Garamond" w:hAnsi="Garamond"/>
          <w:sz w:val="20"/>
          <w:szCs w:val="20"/>
          <w:lang w:val="en-US"/>
        </w:rPr>
        <w:t xml:space="preserve"> </w:t>
      </w:r>
      <w:r w:rsidR="002F338B">
        <w:rPr>
          <w:rFonts w:ascii="Garamond" w:hAnsi="Garamond"/>
          <w:sz w:val="20"/>
          <w:szCs w:val="20"/>
          <w:lang w:val="en-US"/>
        </w:rPr>
        <w:t>EPSS of</w:t>
      </w:r>
      <w:r>
        <w:rPr>
          <w:rFonts w:ascii="Garamond" w:hAnsi="Garamond"/>
          <w:sz w:val="20"/>
          <w:szCs w:val="20"/>
          <w:lang w:val="en-US"/>
        </w:rPr>
        <w:t xml:space="preserve"> AEs following vaccination with QIVc did not identify any safety signal and confirmed the</w:t>
      </w:r>
      <w:r w:rsidR="002F338B">
        <w:rPr>
          <w:rFonts w:ascii="Garamond" w:hAnsi="Garamond"/>
          <w:sz w:val="20"/>
          <w:szCs w:val="20"/>
          <w:lang w:val="en-US"/>
        </w:rPr>
        <w:t xml:space="preserve"> </w:t>
      </w:r>
      <w:r w:rsidR="00CA3C0B">
        <w:rPr>
          <w:rFonts w:ascii="Garamond" w:hAnsi="Garamond"/>
          <w:sz w:val="20"/>
          <w:szCs w:val="20"/>
          <w:lang w:val="en-US"/>
        </w:rPr>
        <w:t>favorable</w:t>
      </w:r>
      <w:r>
        <w:rPr>
          <w:rFonts w:ascii="Garamond" w:hAnsi="Garamond"/>
          <w:sz w:val="20"/>
          <w:szCs w:val="20"/>
          <w:lang w:val="en-US"/>
        </w:rPr>
        <w:t xml:space="preserve"> safety profile of QIVc in both </w:t>
      </w:r>
      <w:r w:rsidR="002F338B">
        <w:rPr>
          <w:rFonts w:ascii="Garamond" w:hAnsi="Garamond"/>
          <w:sz w:val="20"/>
          <w:szCs w:val="20"/>
          <w:lang w:val="en-US"/>
        </w:rPr>
        <w:t xml:space="preserve">the </w:t>
      </w:r>
      <w:r>
        <w:rPr>
          <w:rFonts w:ascii="Garamond" w:hAnsi="Garamond"/>
          <w:sz w:val="20"/>
          <w:szCs w:val="20"/>
          <w:lang w:val="en-US"/>
        </w:rPr>
        <w:t xml:space="preserve">pediatric and adult populations. EPSS is a feasible </w:t>
      </w:r>
      <w:r w:rsidR="00E5403D">
        <w:rPr>
          <w:rFonts w:ascii="Garamond" w:hAnsi="Garamond"/>
          <w:sz w:val="20"/>
          <w:szCs w:val="20"/>
          <w:lang w:val="en-US"/>
        </w:rPr>
        <w:t xml:space="preserve">safety signal detection method that </w:t>
      </w:r>
      <w:r w:rsidR="002F338B">
        <w:rPr>
          <w:rFonts w:ascii="Garamond" w:hAnsi="Garamond"/>
          <w:sz w:val="20"/>
          <w:szCs w:val="20"/>
          <w:lang w:val="en-US"/>
        </w:rPr>
        <w:t xml:space="preserve">can </w:t>
      </w:r>
      <w:r w:rsidR="00E5403D">
        <w:rPr>
          <w:rFonts w:ascii="Garamond" w:hAnsi="Garamond"/>
          <w:sz w:val="20"/>
          <w:szCs w:val="20"/>
          <w:lang w:val="en-US"/>
        </w:rPr>
        <w:t xml:space="preserve">be conducted on </w:t>
      </w:r>
      <w:r w:rsidR="00EE57CB">
        <w:rPr>
          <w:rFonts w:ascii="Garamond" w:hAnsi="Garamond"/>
          <w:sz w:val="20"/>
          <w:szCs w:val="20"/>
          <w:lang w:val="en-US"/>
        </w:rPr>
        <w:t>the annual</w:t>
      </w:r>
      <w:r w:rsidR="00E5403D">
        <w:rPr>
          <w:rFonts w:ascii="Garamond" w:hAnsi="Garamond"/>
          <w:sz w:val="20"/>
          <w:szCs w:val="20"/>
          <w:lang w:val="en-US"/>
        </w:rPr>
        <w:t xml:space="preserve"> basis.</w:t>
      </w:r>
    </w:p>
    <w:p w14:paraId="23D33AE2" w14:textId="77777777" w:rsidR="004F36C4" w:rsidRDefault="004F36C4" w:rsidP="00811515">
      <w:pPr>
        <w:spacing w:after="0" w:line="360" w:lineRule="auto"/>
        <w:jc w:val="both"/>
        <w:rPr>
          <w:rFonts w:ascii="Garamond" w:hAnsi="Garamond"/>
          <w:sz w:val="20"/>
          <w:szCs w:val="20"/>
          <w:lang w:val="en-US"/>
        </w:rPr>
      </w:pPr>
    </w:p>
    <w:p w14:paraId="04375E86" w14:textId="77777777" w:rsidR="00772249" w:rsidRPr="009504FF" w:rsidRDefault="00772249" w:rsidP="00772249">
      <w:pPr>
        <w:spacing w:after="0" w:line="360" w:lineRule="auto"/>
        <w:jc w:val="both"/>
        <w:rPr>
          <w:rFonts w:ascii="Garamond" w:hAnsi="Garamond"/>
          <w:b/>
          <w:bCs/>
          <w:sz w:val="20"/>
          <w:szCs w:val="20"/>
          <w:lang w:val="en-US"/>
        </w:rPr>
      </w:pPr>
      <w:r w:rsidRPr="009504FF">
        <w:rPr>
          <w:rFonts w:ascii="Garamond" w:hAnsi="Garamond"/>
          <w:b/>
          <w:bCs/>
          <w:sz w:val="20"/>
          <w:szCs w:val="20"/>
          <w:lang w:val="en-US"/>
        </w:rPr>
        <w:t>References</w:t>
      </w:r>
    </w:p>
    <w:p w14:paraId="22964838" w14:textId="77777777" w:rsidR="00772249" w:rsidRPr="009504FF" w:rsidRDefault="00772249" w:rsidP="00772249">
      <w:pPr>
        <w:spacing w:after="0" w:line="360" w:lineRule="auto"/>
        <w:jc w:val="both"/>
        <w:rPr>
          <w:rFonts w:ascii="Garamond" w:hAnsi="Garamond"/>
          <w:sz w:val="20"/>
          <w:szCs w:val="20"/>
          <w:lang w:val="en-US"/>
        </w:rPr>
      </w:pPr>
    </w:p>
    <w:p w14:paraId="7A5D4908" w14:textId="77777777" w:rsidR="00772249" w:rsidRPr="009504FF" w:rsidRDefault="00772249" w:rsidP="00772249">
      <w:pPr>
        <w:pStyle w:val="Paragrafoelenco"/>
        <w:numPr>
          <w:ilvl w:val="0"/>
          <w:numId w:val="1"/>
        </w:numPr>
        <w:spacing w:after="0" w:line="360" w:lineRule="auto"/>
        <w:jc w:val="both"/>
        <w:rPr>
          <w:rFonts w:ascii="Garamond" w:hAnsi="Garamond"/>
          <w:sz w:val="20"/>
          <w:szCs w:val="20"/>
          <w:lang w:val="en-US"/>
        </w:rPr>
      </w:pPr>
      <w:r w:rsidRPr="009504FF">
        <w:rPr>
          <w:rFonts w:ascii="Garamond" w:hAnsi="Garamond"/>
          <w:sz w:val="20"/>
          <w:szCs w:val="20"/>
          <w:lang w:val="en-US"/>
        </w:rPr>
        <w:t xml:space="preserve">World Health Organization (WHO). Vaccines against influenza: WHO position paper – May 2022. </w:t>
      </w:r>
      <w:proofErr w:type="spellStart"/>
      <w:r w:rsidRPr="001B299E">
        <w:rPr>
          <w:rFonts w:ascii="Garamond" w:hAnsi="Garamond"/>
          <w:i/>
          <w:iCs/>
          <w:sz w:val="20"/>
          <w:szCs w:val="20"/>
          <w:lang w:val="en-US"/>
        </w:rPr>
        <w:t>Wkly</w:t>
      </w:r>
      <w:proofErr w:type="spellEnd"/>
      <w:r w:rsidRPr="001B299E">
        <w:rPr>
          <w:rFonts w:ascii="Garamond" w:hAnsi="Garamond"/>
          <w:i/>
          <w:iCs/>
          <w:sz w:val="20"/>
          <w:szCs w:val="20"/>
          <w:lang w:val="en-US"/>
        </w:rPr>
        <w:t xml:space="preserve"> Epidemiol Rec. </w:t>
      </w:r>
      <w:r w:rsidRPr="009504FF">
        <w:rPr>
          <w:rFonts w:ascii="Garamond" w:hAnsi="Garamond"/>
          <w:sz w:val="20"/>
          <w:szCs w:val="20"/>
          <w:lang w:val="en-US"/>
        </w:rPr>
        <w:t>2022;97(19):185-208.</w:t>
      </w:r>
    </w:p>
    <w:p w14:paraId="67C7BD0D" w14:textId="67814F6C" w:rsidR="00772249" w:rsidRPr="009504FF" w:rsidRDefault="00772249" w:rsidP="00772249">
      <w:pPr>
        <w:pStyle w:val="Paragrafoelenco"/>
        <w:numPr>
          <w:ilvl w:val="0"/>
          <w:numId w:val="1"/>
        </w:numPr>
        <w:spacing w:after="0" w:line="360" w:lineRule="auto"/>
        <w:jc w:val="both"/>
        <w:rPr>
          <w:rFonts w:ascii="Garamond" w:hAnsi="Garamond"/>
          <w:sz w:val="20"/>
          <w:szCs w:val="20"/>
          <w:lang w:val="en-US"/>
        </w:rPr>
      </w:pPr>
      <w:r w:rsidRPr="009504FF">
        <w:rPr>
          <w:rFonts w:ascii="Garamond" w:hAnsi="Garamond"/>
          <w:sz w:val="20"/>
          <w:szCs w:val="20"/>
          <w:lang w:val="en-US"/>
        </w:rPr>
        <w:t xml:space="preserve">Rizzo C, </w:t>
      </w:r>
      <w:proofErr w:type="spellStart"/>
      <w:r w:rsidRPr="009504FF">
        <w:rPr>
          <w:rFonts w:ascii="Garamond" w:hAnsi="Garamond"/>
          <w:sz w:val="20"/>
          <w:szCs w:val="20"/>
          <w:lang w:val="en-US"/>
        </w:rPr>
        <w:t>Rezza</w:t>
      </w:r>
      <w:proofErr w:type="spellEnd"/>
      <w:r w:rsidRPr="009504FF">
        <w:rPr>
          <w:rFonts w:ascii="Garamond" w:hAnsi="Garamond"/>
          <w:sz w:val="20"/>
          <w:szCs w:val="20"/>
          <w:lang w:val="en-US"/>
        </w:rPr>
        <w:t xml:space="preserve"> G, Ricciardi W. Strategies in recommending influenza vaccination in Europe and US. </w:t>
      </w:r>
      <w:r w:rsidRPr="001B299E">
        <w:rPr>
          <w:rFonts w:ascii="Garamond" w:hAnsi="Garamond"/>
          <w:i/>
          <w:iCs/>
          <w:sz w:val="20"/>
          <w:szCs w:val="20"/>
          <w:lang w:val="en-US"/>
        </w:rPr>
        <w:t xml:space="preserve">Hum </w:t>
      </w:r>
      <w:proofErr w:type="spellStart"/>
      <w:r w:rsidRPr="001B299E">
        <w:rPr>
          <w:rFonts w:ascii="Garamond" w:hAnsi="Garamond"/>
          <w:i/>
          <w:iCs/>
          <w:sz w:val="20"/>
          <w:szCs w:val="20"/>
          <w:lang w:val="en-US"/>
        </w:rPr>
        <w:t>Vaccin</w:t>
      </w:r>
      <w:proofErr w:type="spellEnd"/>
      <w:r w:rsidRPr="001B299E">
        <w:rPr>
          <w:rFonts w:ascii="Garamond" w:hAnsi="Garamond"/>
          <w:i/>
          <w:iCs/>
          <w:sz w:val="20"/>
          <w:szCs w:val="20"/>
          <w:lang w:val="en-US"/>
        </w:rPr>
        <w:t xml:space="preserve"> </w:t>
      </w:r>
      <w:proofErr w:type="spellStart"/>
      <w:r w:rsidRPr="001B299E">
        <w:rPr>
          <w:rFonts w:ascii="Garamond" w:hAnsi="Garamond"/>
          <w:i/>
          <w:iCs/>
          <w:sz w:val="20"/>
          <w:szCs w:val="20"/>
          <w:lang w:val="en-US"/>
        </w:rPr>
        <w:t>Immunother</w:t>
      </w:r>
      <w:proofErr w:type="spellEnd"/>
      <w:r w:rsidRPr="001B299E">
        <w:rPr>
          <w:rFonts w:ascii="Garamond" w:hAnsi="Garamond"/>
          <w:i/>
          <w:iCs/>
          <w:sz w:val="20"/>
          <w:szCs w:val="20"/>
          <w:lang w:val="en-US"/>
        </w:rPr>
        <w:t>.</w:t>
      </w:r>
      <w:r w:rsidRPr="009504FF">
        <w:rPr>
          <w:rFonts w:ascii="Garamond" w:hAnsi="Garamond"/>
          <w:sz w:val="20"/>
          <w:szCs w:val="20"/>
          <w:lang w:val="en-US"/>
        </w:rPr>
        <w:t xml:space="preserve"> 2018;14(3):693-698. doi:10.1080/21645515.2017.1367463</w:t>
      </w:r>
    </w:p>
    <w:p w14:paraId="74AC9361" w14:textId="6C4E1633" w:rsidR="00772249" w:rsidRPr="009504FF" w:rsidRDefault="00772249" w:rsidP="00772249">
      <w:pPr>
        <w:pStyle w:val="Paragrafoelenco"/>
        <w:numPr>
          <w:ilvl w:val="0"/>
          <w:numId w:val="1"/>
        </w:numPr>
        <w:spacing w:after="0" w:line="360" w:lineRule="auto"/>
        <w:jc w:val="both"/>
        <w:rPr>
          <w:rFonts w:ascii="Garamond" w:hAnsi="Garamond"/>
          <w:sz w:val="20"/>
          <w:szCs w:val="20"/>
          <w:lang w:val="en-US"/>
        </w:rPr>
      </w:pPr>
      <w:proofErr w:type="spellStart"/>
      <w:r w:rsidRPr="001B299E">
        <w:rPr>
          <w:rFonts w:ascii="Garamond" w:hAnsi="Garamond"/>
          <w:sz w:val="20"/>
          <w:szCs w:val="20"/>
        </w:rPr>
        <w:t>Grohskopf</w:t>
      </w:r>
      <w:proofErr w:type="spellEnd"/>
      <w:r w:rsidRPr="001B299E">
        <w:rPr>
          <w:rFonts w:ascii="Garamond" w:hAnsi="Garamond"/>
          <w:sz w:val="20"/>
          <w:szCs w:val="20"/>
        </w:rPr>
        <w:t xml:space="preserve"> LA, Blanton LH, </w:t>
      </w:r>
      <w:proofErr w:type="spellStart"/>
      <w:r w:rsidRPr="001B299E">
        <w:rPr>
          <w:rFonts w:ascii="Garamond" w:hAnsi="Garamond"/>
          <w:sz w:val="20"/>
          <w:szCs w:val="20"/>
        </w:rPr>
        <w:t>Ferdinands</w:t>
      </w:r>
      <w:proofErr w:type="spellEnd"/>
      <w:r w:rsidRPr="001B299E">
        <w:rPr>
          <w:rFonts w:ascii="Garamond" w:hAnsi="Garamond"/>
          <w:sz w:val="20"/>
          <w:szCs w:val="20"/>
        </w:rPr>
        <w:t xml:space="preserve"> JM, </w:t>
      </w:r>
      <w:r w:rsidR="001B299E" w:rsidRPr="001B299E">
        <w:rPr>
          <w:rFonts w:ascii="Garamond" w:hAnsi="Garamond"/>
          <w:sz w:val="20"/>
          <w:szCs w:val="20"/>
        </w:rPr>
        <w:t>et al</w:t>
      </w:r>
      <w:r w:rsidRPr="001B299E">
        <w:rPr>
          <w:rFonts w:ascii="Garamond" w:hAnsi="Garamond"/>
          <w:sz w:val="20"/>
          <w:szCs w:val="20"/>
        </w:rPr>
        <w:t xml:space="preserve">. </w:t>
      </w:r>
      <w:r w:rsidRPr="009504FF">
        <w:rPr>
          <w:rFonts w:ascii="Garamond" w:hAnsi="Garamond"/>
          <w:sz w:val="20"/>
          <w:szCs w:val="20"/>
          <w:lang w:val="en-US"/>
        </w:rPr>
        <w:t xml:space="preserve">Prevention and </w:t>
      </w:r>
      <w:r w:rsidR="001B299E">
        <w:rPr>
          <w:rFonts w:ascii="Garamond" w:hAnsi="Garamond"/>
          <w:sz w:val="20"/>
          <w:szCs w:val="20"/>
          <w:lang w:val="en-US"/>
        </w:rPr>
        <w:t>c</w:t>
      </w:r>
      <w:r w:rsidRPr="009504FF">
        <w:rPr>
          <w:rFonts w:ascii="Garamond" w:hAnsi="Garamond"/>
          <w:sz w:val="20"/>
          <w:szCs w:val="20"/>
          <w:lang w:val="en-US"/>
        </w:rPr>
        <w:t xml:space="preserve">ontrol of </w:t>
      </w:r>
      <w:r w:rsidR="001B299E">
        <w:rPr>
          <w:rFonts w:ascii="Garamond" w:hAnsi="Garamond"/>
          <w:sz w:val="20"/>
          <w:szCs w:val="20"/>
          <w:lang w:val="en-US"/>
        </w:rPr>
        <w:t>s</w:t>
      </w:r>
      <w:r w:rsidRPr="009504FF">
        <w:rPr>
          <w:rFonts w:ascii="Garamond" w:hAnsi="Garamond"/>
          <w:sz w:val="20"/>
          <w:szCs w:val="20"/>
          <w:lang w:val="en-US"/>
        </w:rPr>
        <w:t xml:space="preserve">easonal </w:t>
      </w:r>
      <w:r w:rsidR="001B299E">
        <w:rPr>
          <w:rFonts w:ascii="Garamond" w:hAnsi="Garamond"/>
          <w:sz w:val="20"/>
          <w:szCs w:val="20"/>
          <w:lang w:val="en-US"/>
        </w:rPr>
        <w:t>i</w:t>
      </w:r>
      <w:r w:rsidRPr="009504FF">
        <w:rPr>
          <w:rFonts w:ascii="Garamond" w:hAnsi="Garamond"/>
          <w:sz w:val="20"/>
          <w:szCs w:val="20"/>
          <w:lang w:val="en-US"/>
        </w:rPr>
        <w:t xml:space="preserve">nfluenza with </w:t>
      </w:r>
      <w:r w:rsidR="001B299E">
        <w:rPr>
          <w:rFonts w:ascii="Garamond" w:hAnsi="Garamond"/>
          <w:sz w:val="20"/>
          <w:szCs w:val="20"/>
          <w:lang w:val="en-US"/>
        </w:rPr>
        <w:t>v</w:t>
      </w:r>
      <w:r w:rsidRPr="009504FF">
        <w:rPr>
          <w:rFonts w:ascii="Garamond" w:hAnsi="Garamond"/>
          <w:sz w:val="20"/>
          <w:szCs w:val="20"/>
          <w:lang w:val="en-US"/>
        </w:rPr>
        <w:t xml:space="preserve">accines: Recommendations of the Advisory Committee on Immunization Practices - United States, 2022-23 </w:t>
      </w:r>
      <w:r w:rsidR="001B299E">
        <w:rPr>
          <w:rFonts w:ascii="Garamond" w:hAnsi="Garamond"/>
          <w:sz w:val="20"/>
          <w:szCs w:val="20"/>
          <w:lang w:val="en-US"/>
        </w:rPr>
        <w:t>i</w:t>
      </w:r>
      <w:r w:rsidRPr="009504FF">
        <w:rPr>
          <w:rFonts w:ascii="Garamond" w:hAnsi="Garamond"/>
          <w:sz w:val="20"/>
          <w:szCs w:val="20"/>
          <w:lang w:val="en-US"/>
        </w:rPr>
        <w:t xml:space="preserve">nfluenza </w:t>
      </w:r>
      <w:r w:rsidR="001B299E">
        <w:rPr>
          <w:rFonts w:ascii="Garamond" w:hAnsi="Garamond"/>
          <w:sz w:val="20"/>
          <w:szCs w:val="20"/>
          <w:lang w:val="en-US"/>
        </w:rPr>
        <w:t>s</w:t>
      </w:r>
      <w:r w:rsidRPr="009504FF">
        <w:rPr>
          <w:rFonts w:ascii="Garamond" w:hAnsi="Garamond"/>
          <w:sz w:val="20"/>
          <w:szCs w:val="20"/>
          <w:lang w:val="en-US"/>
        </w:rPr>
        <w:t xml:space="preserve">eason. </w:t>
      </w:r>
      <w:r w:rsidRPr="001B299E">
        <w:rPr>
          <w:rFonts w:ascii="Garamond" w:hAnsi="Garamond"/>
          <w:i/>
          <w:iCs/>
          <w:sz w:val="20"/>
          <w:szCs w:val="20"/>
          <w:lang w:val="en-US"/>
        </w:rPr>
        <w:t xml:space="preserve">MMWR </w:t>
      </w:r>
      <w:proofErr w:type="spellStart"/>
      <w:r w:rsidRPr="001B299E">
        <w:rPr>
          <w:rFonts w:ascii="Garamond" w:hAnsi="Garamond"/>
          <w:i/>
          <w:iCs/>
          <w:sz w:val="20"/>
          <w:szCs w:val="20"/>
          <w:lang w:val="en-US"/>
        </w:rPr>
        <w:t>Recomm</w:t>
      </w:r>
      <w:proofErr w:type="spellEnd"/>
      <w:r w:rsidRPr="001B299E">
        <w:rPr>
          <w:rFonts w:ascii="Garamond" w:hAnsi="Garamond"/>
          <w:i/>
          <w:iCs/>
          <w:sz w:val="20"/>
          <w:szCs w:val="20"/>
          <w:lang w:val="en-US"/>
        </w:rPr>
        <w:t xml:space="preserve"> Rep.</w:t>
      </w:r>
      <w:r w:rsidRPr="009504FF">
        <w:rPr>
          <w:rFonts w:ascii="Garamond" w:hAnsi="Garamond"/>
          <w:sz w:val="20"/>
          <w:szCs w:val="20"/>
          <w:lang w:val="en-US"/>
        </w:rPr>
        <w:t xml:space="preserve"> 2022;71(1):1-28. doi:10.15585/</w:t>
      </w:r>
      <w:proofErr w:type="gramStart"/>
      <w:r w:rsidRPr="009504FF">
        <w:rPr>
          <w:rFonts w:ascii="Garamond" w:hAnsi="Garamond"/>
          <w:sz w:val="20"/>
          <w:szCs w:val="20"/>
          <w:lang w:val="en-US"/>
        </w:rPr>
        <w:t>mmwr.rr</w:t>
      </w:r>
      <w:proofErr w:type="gramEnd"/>
      <w:r w:rsidRPr="009504FF">
        <w:rPr>
          <w:rFonts w:ascii="Garamond" w:hAnsi="Garamond"/>
          <w:sz w:val="20"/>
          <w:szCs w:val="20"/>
          <w:lang w:val="en-US"/>
        </w:rPr>
        <w:t>7101a1</w:t>
      </w:r>
    </w:p>
    <w:p w14:paraId="1B9EF384" w14:textId="18FD71A4" w:rsidR="00772249" w:rsidRDefault="00772249" w:rsidP="00772249">
      <w:pPr>
        <w:pStyle w:val="Paragrafoelenco"/>
        <w:numPr>
          <w:ilvl w:val="0"/>
          <w:numId w:val="1"/>
        </w:numPr>
        <w:spacing w:after="0" w:line="360" w:lineRule="auto"/>
        <w:jc w:val="both"/>
        <w:rPr>
          <w:rFonts w:ascii="Garamond" w:hAnsi="Garamond"/>
          <w:sz w:val="20"/>
          <w:szCs w:val="20"/>
          <w:lang w:val="en-US"/>
        </w:rPr>
      </w:pPr>
      <w:r w:rsidRPr="009504FF">
        <w:rPr>
          <w:rFonts w:ascii="Garamond" w:hAnsi="Garamond"/>
          <w:sz w:val="20"/>
          <w:szCs w:val="20"/>
          <w:lang w:val="en-US"/>
        </w:rPr>
        <w:t xml:space="preserve">Italian Ministry of Health. Prevention and control of influenza: Recommendations for the 2022-2023 season. </w:t>
      </w:r>
      <w:r w:rsidR="001B299E" w:rsidRPr="001B299E">
        <w:rPr>
          <w:rFonts w:ascii="Garamond" w:hAnsi="Garamond"/>
          <w:sz w:val="20"/>
          <w:szCs w:val="20"/>
          <w:lang w:val="en-US"/>
        </w:rPr>
        <w:t>https://www.trovanorme.salute.gov.it/norme/renderNormsanPdf?anno=2022&amp;codLeg=87997&amp;parte=1%20&amp;serie=null</w:t>
      </w:r>
      <w:r>
        <w:rPr>
          <w:rFonts w:ascii="Garamond" w:hAnsi="Garamond"/>
          <w:sz w:val="20"/>
          <w:szCs w:val="20"/>
          <w:lang w:val="en-US"/>
        </w:rPr>
        <w:t>.</w:t>
      </w:r>
      <w:r w:rsidR="001B299E">
        <w:rPr>
          <w:rFonts w:ascii="Garamond" w:hAnsi="Garamond"/>
          <w:sz w:val="20"/>
          <w:szCs w:val="20"/>
          <w:lang w:val="en-US"/>
        </w:rPr>
        <w:t xml:space="preserve"> (Accessed January 19, 2023).</w:t>
      </w:r>
    </w:p>
    <w:p w14:paraId="3BF0CB6C" w14:textId="2E2AC540" w:rsidR="00772249" w:rsidRDefault="00772249" w:rsidP="00772249">
      <w:pPr>
        <w:pStyle w:val="Paragrafoelenco"/>
        <w:numPr>
          <w:ilvl w:val="0"/>
          <w:numId w:val="1"/>
        </w:numPr>
        <w:spacing w:after="0" w:line="360" w:lineRule="auto"/>
        <w:jc w:val="both"/>
        <w:rPr>
          <w:rFonts w:ascii="Garamond" w:hAnsi="Garamond"/>
          <w:sz w:val="20"/>
          <w:szCs w:val="20"/>
          <w:lang w:val="en-US"/>
        </w:rPr>
      </w:pPr>
      <w:r w:rsidRPr="001B299E">
        <w:rPr>
          <w:rFonts w:ascii="Garamond" w:hAnsi="Garamond"/>
          <w:sz w:val="20"/>
          <w:szCs w:val="20"/>
        </w:rPr>
        <w:t xml:space="preserve">Manini I, Trombetta CM, Lazzeri G, </w:t>
      </w:r>
      <w:r w:rsidR="001B299E" w:rsidRPr="001B299E">
        <w:rPr>
          <w:rFonts w:ascii="Garamond" w:hAnsi="Garamond"/>
          <w:sz w:val="20"/>
          <w:szCs w:val="20"/>
        </w:rPr>
        <w:t>et al</w:t>
      </w:r>
      <w:r w:rsidRPr="001B299E">
        <w:rPr>
          <w:rFonts w:ascii="Garamond" w:hAnsi="Garamond"/>
          <w:sz w:val="20"/>
          <w:szCs w:val="20"/>
        </w:rPr>
        <w:t xml:space="preserve">. </w:t>
      </w:r>
      <w:r w:rsidRPr="009504FF">
        <w:rPr>
          <w:rFonts w:ascii="Garamond" w:hAnsi="Garamond"/>
          <w:sz w:val="20"/>
          <w:szCs w:val="20"/>
          <w:lang w:val="en-US"/>
        </w:rPr>
        <w:t>Egg-independent influenza vaccines and vaccine candidates. V</w:t>
      </w:r>
      <w:r w:rsidRPr="001B299E">
        <w:rPr>
          <w:rFonts w:ascii="Garamond" w:hAnsi="Garamond"/>
          <w:i/>
          <w:iCs/>
          <w:sz w:val="20"/>
          <w:szCs w:val="20"/>
          <w:lang w:val="en-US"/>
        </w:rPr>
        <w:t>accines (Basel)</w:t>
      </w:r>
      <w:r w:rsidRPr="009504FF">
        <w:rPr>
          <w:rFonts w:ascii="Garamond" w:hAnsi="Garamond"/>
          <w:sz w:val="20"/>
          <w:szCs w:val="20"/>
          <w:lang w:val="en-US"/>
        </w:rPr>
        <w:t xml:space="preserve"> 2017;5(3):18. doi:10.3390/vaccines5030018</w:t>
      </w:r>
    </w:p>
    <w:p w14:paraId="1FB8B81E" w14:textId="3D9828FE" w:rsidR="00772249" w:rsidRDefault="00772249" w:rsidP="00772249">
      <w:pPr>
        <w:pStyle w:val="Paragrafoelenco"/>
        <w:numPr>
          <w:ilvl w:val="0"/>
          <w:numId w:val="1"/>
        </w:numPr>
        <w:spacing w:after="0" w:line="360" w:lineRule="auto"/>
        <w:jc w:val="both"/>
        <w:rPr>
          <w:rFonts w:ascii="Garamond" w:hAnsi="Garamond"/>
          <w:sz w:val="20"/>
          <w:szCs w:val="20"/>
          <w:lang w:val="en-US"/>
        </w:rPr>
      </w:pPr>
      <w:r w:rsidRPr="001B299E">
        <w:rPr>
          <w:rFonts w:ascii="Garamond" w:hAnsi="Garamond"/>
          <w:sz w:val="20"/>
          <w:szCs w:val="20"/>
        </w:rPr>
        <w:t xml:space="preserve">Manini I, Domnich A, Amicizia D, </w:t>
      </w:r>
      <w:r w:rsidR="001B299E">
        <w:rPr>
          <w:rFonts w:ascii="Garamond" w:hAnsi="Garamond"/>
          <w:sz w:val="20"/>
          <w:szCs w:val="20"/>
        </w:rPr>
        <w:t>et al</w:t>
      </w:r>
      <w:r w:rsidRPr="001B299E">
        <w:rPr>
          <w:rFonts w:ascii="Garamond" w:hAnsi="Garamond"/>
          <w:sz w:val="20"/>
          <w:szCs w:val="20"/>
        </w:rPr>
        <w:t xml:space="preserve">. </w:t>
      </w:r>
      <w:r w:rsidRPr="00A71367">
        <w:rPr>
          <w:rFonts w:ascii="Garamond" w:hAnsi="Garamond"/>
          <w:sz w:val="20"/>
          <w:szCs w:val="20"/>
          <w:lang w:val="en-US"/>
        </w:rPr>
        <w:t>Flucelvax (</w:t>
      </w:r>
      <w:proofErr w:type="spellStart"/>
      <w:r w:rsidRPr="00A71367">
        <w:rPr>
          <w:rFonts w:ascii="Garamond" w:hAnsi="Garamond"/>
          <w:sz w:val="20"/>
          <w:szCs w:val="20"/>
          <w:lang w:val="en-US"/>
        </w:rPr>
        <w:t>Optaflu</w:t>
      </w:r>
      <w:proofErr w:type="spellEnd"/>
      <w:r w:rsidRPr="00A71367">
        <w:rPr>
          <w:rFonts w:ascii="Garamond" w:hAnsi="Garamond"/>
          <w:sz w:val="20"/>
          <w:szCs w:val="20"/>
          <w:lang w:val="en-US"/>
        </w:rPr>
        <w:t xml:space="preserve">) for seasonal influenza. </w:t>
      </w:r>
      <w:r w:rsidRPr="001B299E">
        <w:rPr>
          <w:rFonts w:ascii="Garamond" w:hAnsi="Garamond"/>
          <w:i/>
          <w:iCs/>
          <w:sz w:val="20"/>
          <w:szCs w:val="20"/>
          <w:lang w:val="en-US"/>
        </w:rPr>
        <w:t>Expert Rev Vaccines</w:t>
      </w:r>
      <w:r w:rsidRPr="009504FF">
        <w:rPr>
          <w:rFonts w:ascii="Garamond" w:hAnsi="Garamond"/>
          <w:sz w:val="20"/>
          <w:szCs w:val="20"/>
          <w:lang w:val="en-US"/>
        </w:rPr>
        <w:t xml:space="preserve"> 2015;14(6):789-804. doi:10.1586/14760584.2015.1039520</w:t>
      </w:r>
    </w:p>
    <w:p w14:paraId="0C7C0E20" w14:textId="06EEB4A6" w:rsidR="00772249" w:rsidRDefault="00772249" w:rsidP="00772249">
      <w:pPr>
        <w:pStyle w:val="Paragrafoelenco"/>
        <w:numPr>
          <w:ilvl w:val="0"/>
          <w:numId w:val="1"/>
        </w:numPr>
        <w:spacing w:after="0" w:line="360" w:lineRule="auto"/>
        <w:jc w:val="both"/>
        <w:rPr>
          <w:rFonts w:ascii="Garamond" w:hAnsi="Garamond"/>
          <w:sz w:val="20"/>
          <w:szCs w:val="20"/>
          <w:lang w:val="en-US"/>
        </w:rPr>
      </w:pPr>
      <w:r w:rsidRPr="009504FF">
        <w:rPr>
          <w:rFonts w:ascii="Garamond" w:hAnsi="Garamond"/>
          <w:sz w:val="20"/>
          <w:szCs w:val="20"/>
          <w:lang w:val="en-US"/>
        </w:rPr>
        <w:t xml:space="preserve">Barr IG, </w:t>
      </w:r>
      <w:proofErr w:type="spellStart"/>
      <w:r w:rsidRPr="009504FF">
        <w:rPr>
          <w:rFonts w:ascii="Garamond" w:hAnsi="Garamond"/>
          <w:sz w:val="20"/>
          <w:szCs w:val="20"/>
          <w:lang w:val="en-US"/>
        </w:rPr>
        <w:t>Donis</w:t>
      </w:r>
      <w:proofErr w:type="spellEnd"/>
      <w:r w:rsidRPr="009504FF">
        <w:rPr>
          <w:rFonts w:ascii="Garamond" w:hAnsi="Garamond"/>
          <w:sz w:val="20"/>
          <w:szCs w:val="20"/>
          <w:lang w:val="en-US"/>
        </w:rPr>
        <w:t xml:space="preserve"> RO, Katz JM, </w:t>
      </w:r>
      <w:r w:rsidR="001B299E">
        <w:rPr>
          <w:rFonts w:ascii="Garamond" w:hAnsi="Garamond"/>
          <w:sz w:val="20"/>
          <w:szCs w:val="20"/>
          <w:lang w:val="en-US"/>
        </w:rPr>
        <w:t>et al</w:t>
      </w:r>
      <w:r w:rsidRPr="009504FF">
        <w:rPr>
          <w:rFonts w:ascii="Garamond" w:hAnsi="Garamond"/>
          <w:sz w:val="20"/>
          <w:szCs w:val="20"/>
          <w:lang w:val="en-US"/>
        </w:rPr>
        <w:t xml:space="preserve">. Cell culture-derived influenza vaccines in the severe 2017-2018 epidemic season: a step towards improved influenza vaccine effectiveness. </w:t>
      </w:r>
      <w:r w:rsidRPr="001B299E">
        <w:rPr>
          <w:rFonts w:ascii="Garamond" w:hAnsi="Garamond"/>
          <w:i/>
          <w:iCs/>
          <w:sz w:val="20"/>
          <w:szCs w:val="20"/>
          <w:lang w:val="en-US"/>
        </w:rPr>
        <w:t>NPJ Vaccines</w:t>
      </w:r>
      <w:r w:rsidRPr="009504FF">
        <w:rPr>
          <w:rFonts w:ascii="Garamond" w:hAnsi="Garamond"/>
          <w:sz w:val="20"/>
          <w:szCs w:val="20"/>
          <w:lang w:val="en-US"/>
        </w:rPr>
        <w:t xml:space="preserve"> </w:t>
      </w:r>
      <w:proofErr w:type="gramStart"/>
      <w:r w:rsidRPr="009504FF">
        <w:rPr>
          <w:rFonts w:ascii="Garamond" w:hAnsi="Garamond"/>
          <w:sz w:val="20"/>
          <w:szCs w:val="20"/>
          <w:lang w:val="en-US"/>
        </w:rPr>
        <w:t>2018;3:44</w:t>
      </w:r>
      <w:proofErr w:type="gramEnd"/>
      <w:r w:rsidRPr="009504FF">
        <w:rPr>
          <w:rFonts w:ascii="Garamond" w:hAnsi="Garamond"/>
          <w:sz w:val="20"/>
          <w:szCs w:val="20"/>
          <w:lang w:val="en-US"/>
        </w:rPr>
        <w:t>. doi:10.1038/s41541-018-0079-z</w:t>
      </w:r>
    </w:p>
    <w:p w14:paraId="0E369015" w14:textId="10FB521F" w:rsidR="00772249" w:rsidRDefault="00772249" w:rsidP="00772249">
      <w:pPr>
        <w:pStyle w:val="Paragrafoelenco"/>
        <w:numPr>
          <w:ilvl w:val="0"/>
          <w:numId w:val="1"/>
        </w:numPr>
        <w:spacing w:after="0" w:line="360" w:lineRule="auto"/>
        <w:jc w:val="both"/>
        <w:rPr>
          <w:rFonts w:ascii="Garamond" w:hAnsi="Garamond"/>
          <w:sz w:val="20"/>
          <w:szCs w:val="20"/>
          <w:lang w:val="en-US"/>
        </w:rPr>
      </w:pPr>
      <w:r w:rsidRPr="009504FF">
        <w:rPr>
          <w:rFonts w:ascii="Garamond" w:hAnsi="Garamond"/>
          <w:sz w:val="20"/>
          <w:szCs w:val="20"/>
          <w:lang w:val="en-US"/>
        </w:rPr>
        <w:t xml:space="preserve">Rajaram S, </w:t>
      </w:r>
      <w:proofErr w:type="spellStart"/>
      <w:r w:rsidRPr="009504FF">
        <w:rPr>
          <w:rFonts w:ascii="Garamond" w:hAnsi="Garamond"/>
          <w:sz w:val="20"/>
          <w:szCs w:val="20"/>
          <w:lang w:val="en-US"/>
        </w:rPr>
        <w:t>Suphaphiphat</w:t>
      </w:r>
      <w:proofErr w:type="spellEnd"/>
      <w:r w:rsidRPr="009504FF">
        <w:rPr>
          <w:rFonts w:ascii="Garamond" w:hAnsi="Garamond"/>
          <w:sz w:val="20"/>
          <w:szCs w:val="20"/>
          <w:lang w:val="en-US"/>
        </w:rPr>
        <w:t xml:space="preserve"> P, van </w:t>
      </w:r>
      <w:proofErr w:type="spellStart"/>
      <w:r w:rsidRPr="009504FF">
        <w:rPr>
          <w:rFonts w:ascii="Garamond" w:hAnsi="Garamond"/>
          <w:sz w:val="20"/>
          <w:szCs w:val="20"/>
          <w:lang w:val="en-US"/>
        </w:rPr>
        <w:t>Boxmeer</w:t>
      </w:r>
      <w:proofErr w:type="spellEnd"/>
      <w:r w:rsidRPr="009504FF">
        <w:rPr>
          <w:rFonts w:ascii="Garamond" w:hAnsi="Garamond"/>
          <w:sz w:val="20"/>
          <w:szCs w:val="20"/>
          <w:lang w:val="en-US"/>
        </w:rPr>
        <w:t xml:space="preserve"> J, </w:t>
      </w:r>
      <w:r w:rsidR="001B299E">
        <w:rPr>
          <w:rFonts w:ascii="Garamond" w:hAnsi="Garamond"/>
          <w:sz w:val="20"/>
          <w:szCs w:val="20"/>
          <w:lang w:val="en-US"/>
        </w:rPr>
        <w:t>et al</w:t>
      </w:r>
      <w:r w:rsidRPr="009504FF">
        <w:rPr>
          <w:rFonts w:ascii="Garamond" w:hAnsi="Garamond"/>
          <w:sz w:val="20"/>
          <w:szCs w:val="20"/>
          <w:lang w:val="en-US"/>
        </w:rPr>
        <w:t xml:space="preserve">. Retrospective assessment of the antigenic similarity of egg-propagated and cell culture-propagated reference influenza viruses as compared with circulating viruses across influenza seasons 2002-2003 to 2017-2018. </w:t>
      </w:r>
      <w:r w:rsidRPr="001B299E">
        <w:rPr>
          <w:rFonts w:ascii="Garamond" w:hAnsi="Garamond"/>
          <w:i/>
          <w:iCs/>
          <w:sz w:val="20"/>
          <w:szCs w:val="20"/>
          <w:lang w:val="en-US"/>
        </w:rPr>
        <w:t>Int J Environ Res Public Health</w:t>
      </w:r>
      <w:r w:rsidRPr="009504FF">
        <w:rPr>
          <w:rFonts w:ascii="Garamond" w:hAnsi="Garamond"/>
          <w:sz w:val="20"/>
          <w:szCs w:val="20"/>
          <w:lang w:val="en-US"/>
        </w:rPr>
        <w:t xml:space="preserve"> 2020;17(15):5423. doi:10.3390/ijerph17155423</w:t>
      </w:r>
    </w:p>
    <w:p w14:paraId="5E4240C8" w14:textId="3EF02F9E" w:rsidR="00772249" w:rsidRDefault="00772249" w:rsidP="00772249">
      <w:pPr>
        <w:pStyle w:val="Paragrafoelenco"/>
        <w:numPr>
          <w:ilvl w:val="0"/>
          <w:numId w:val="1"/>
        </w:numPr>
        <w:spacing w:after="0" w:line="360" w:lineRule="auto"/>
        <w:jc w:val="both"/>
        <w:rPr>
          <w:rFonts w:ascii="Garamond" w:hAnsi="Garamond"/>
          <w:sz w:val="20"/>
          <w:szCs w:val="20"/>
          <w:lang w:val="en-US"/>
        </w:rPr>
      </w:pPr>
      <w:proofErr w:type="spellStart"/>
      <w:r w:rsidRPr="009504FF">
        <w:rPr>
          <w:rFonts w:ascii="Garamond" w:hAnsi="Garamond"/>
          <w:sz w:val="20"/>
          <w:szCs w:val="20"/>
          <w:lang w:val="en-US"/>
        </w:rPr>
        <w:lastRenderedPageBreak/>
        <w:t>Belongia</w:t>
      </w:r>
      <w:proofErr w:type="spellEnd"/>
      <w:r w:rsidRPr="009504FF">
        <w:rPr>
          <w:rFonts w:ascii="Garamond" w:hAnsi="Garamond"/>
          <w:sz w:val="20"/>
          <w:szCs w:val="20"/>
          <w:lang w:val="en-US"/>
        </w:rPr>
        <w:t xml:space="preserve"> EA, McLean HQ. Influenza </w:t>
      </w:r>
      <w:r w:rsidR="001B299E">
        <w:rPr>
          <w:rFonts w:ascii="Garamond" w:hAnsi="Garamond"/>
          <w:sz w:val="20"/>
          <w:szCs w:val="20"/>
          <w:lang w:val="en-US"/>
        </w:rPr>
        <w:t>v</w:t>
      </w:r>
      <w:r w:rsidRPr="009504FF">
        <w:rPr>
          <w:rFonts w:ascii="Garamond" w:hAnsi="Garamond"/>
          <w:sz w:val="20"/>
          <w:szCs w:val="20"/>
          <w:lang w:val="en-US"/>
        </w:rPr>
        <w:t xml:space="preserve">accine </w:t>
      </w:r>
      <w:r w:rsidR="001B299E">
        <w:rPr>
          <w:rFonts w:ascii="Garamond" w:hAnsi="Garamond"/>
          <w:sz w:val="20"/>
          <w:szCs w:val="20"/>
          <w:lang w:val="en-US"/>
        </w:rPr>
        <w:t>e</w:t>
      </w:r>
      <w:r w:rsidRPr="009504FF">
        <w:rPr>
          <w:rFonts w:ascii="Garamond" w:hAnsi="Garamond"/>
          <w:sz w:val="20"/>
          <w:szCs w:val="20"/>
          <w:lang w:val="en-US"/>
        </w:rPr>
        <w:t xml:space="preserve">ffectiveness: Defining the H3N2 </w:t>
      </w:r>
      <w:r w:rsidR="001B299E">
        <w:rPr>
          <w:rFonts w:ascii="Garamond" w:hAnsi="Garamond"/>
          <w:sz w:val="20"/>
          <w:szCs w:val="20"/>
          <w:lang w:val="en-US"/>
        </w:rPr>
        <w:t>p</w:t>
      </w:r>
      <w:r w:rsidRPr="009504FF">
        <w:rPr>
          <w:rFonts w:ascii="Garamond" w:hAnsi="Garamond"/>
          <w:sz w:val="20"/>
          <w:szCs w:val="20"/>
          <w:lang w:val="en-US"/>
        </w:rPr>
        <w:t xml:space="preserve">roblem. </w:t>
      </w:r>
      <w:r w:rsidRPr="001B299E">
        <w:rPr>
          <w:rFonts w:ascii="Garamond" w:hAnsi="Garamond"/>
          <w:i/>
          <w:iCs/>
          <w:sz w:val="20"/>
          <w:szCs w:val="20"/>
          <w:lang w:val="en-US"/>
        </w:rPr>
        <w:t>Clin Infect Dis.</w:t>
      </w:r>
      <w:r w:rsidRPr="009504FF">
        <w:rPr>
          <w:rFonts w:ascii="Garamond" w:hAnsi="Garamond"/>
          <w:sz w:val="20"/>
          <w:szCs w:val="20"/>
          <w:lang w:val="en-US"/>
        </w:rPr>
        <w:t xml:space="preserve"> 2019;69(10):1817-1823. doi:10.1093/</w:t>
      </w:r>
      <w:proofErr w:type="spellStart"/>
      <w:r w:rsidRPr="009504FF">
        <w:rPr>
          <w:rFonts w:ascii="Garamond" w:hAnsi="Garamond"/>
          <w:sz w:val="20"/>
          <w:szCs w:val="20"/>
          <w:lang w:val="en-US"/>
        </w:rPr>
        <w:t>cid</w:t>
      </w:r>
      <w:proofErr w:type="spellEnd"/>
      <w:r w:rsidRPr="009504FF">
        <w:rPr>
          <w:rFonts w:ascii="Garamond" w:hAnsi="Garamond"/>
          <w:sz w:val="20"/>
          <w:szCs w:val="20"/>
          <w:lang w:val="en-US"/>
        </w:rPr>
        <w:t>/ciz411</w:t>
      </w:r>
    </w:p>
    <w:p w14:paraId="2EBC199D" w14:textId="7AEC6187" w:rsidR="00772249" w:rsidRDefault="00772249" w:rsidP="00772249">
      <w:pPr>
        <w:pStyle w:val="Paragrafoelenco"/>
        <w:numPr>
          <w:ilvl w:val="0"/>
          <w:numId w:val="1"/>
        </w:numPr>
        <w:spacing w:after="0" w:line="360" w:lineRule="auto"/>
        <w:jc w:val="both"/>
        <w:rPr>
          <w:rFonts w:ascii="Garamond" w:hAnsi="Garamond"/>
          <w:sz w:val="20"/>
          <w:szCs w:val="20"/>
          <w:lang w:val="en-US"/>
        </w:rPr>
      </w:pPr>
      <w:r w:rsidRPr="009504FF">
        <w:rPr>
          <w:rFonts w:ascii="Garamond" w:hAnsi="Garamond"/>
          <w:sz w:val="20"/>
          <w:szCs w:val="20"/>
          <w:lang w:val="en-US"/>
        </w:rPr>
        <w:t>Puig-</w:t>
      </w:r>
      <w:proofErr w:type="spellStart"/>
      <w:r w:rsidRPr="009504FF">
        <w:rPr>
          <w:rFonts w:ascii="Garamond" w:hAnsi="Garamond"/>
          <w:sz w:val="20"/>
          <w:szCs w:val="20"/>
          <w:lang w:val="en-US"/>
        </w:rPr>
        <w:t>Barberà</w:t>
      </w:r>
      <w:proofErr w:type="spellEnd"/>
      <w:r w:rsidRPr="009504FF">
        <w:rPr>
          <w:rFonts w:ascii="Garamond" w:hAnsi="Garamond"/>
          <w:sz w:val="20"/>
          <w:szCs w:val="20"/>
          <w:lang w:val="en-US"/>
        </w:rPr>
        <w:t xml:space="preserve"> J, </w:t>
      </w:r>
      <w:proofErr w:type="spellStart"/>
      <w:r w:rsidRPr="009504FF">
        <w:rPr>
          <w:rFonts w:ascii="Garamond" w:hAnsi="Garamond"/>
          <w:sz w:val="20"/>
          <w:szCs w:val="20"/>
          <w:lang w:val="en-US"/>
        </w:rPr>
        <w:t>Tamames</w:t>
      </w:r>
      <w:proofErr w:type="spellEnd"/>
      <w:r w:rsidRPr="009504FF">
        <w:rPr>
          <w:rFonts w:ascii="Garamond" w:hAnsi="Garamond"/>
          <w:sz w:val="20"/>
          <w:szCs w:val="20"/>
          <w:lang w:val="en-US"/>
        </w:rPr>
        <w:t xml:space="preserve">-Gómez S, Plans-Rubio P, </w:t>
      </w:r>
      <w:r w:rsidR="001B299E">
        <w:rPr>
          <w:rFonts w:ascii="Garamond" w:hAnsi="Garamond"/>
          <w:sz w:val="20"/>
          <w:szCs w:val="20"/>
          <w:lang w:val="en-US"/>
        </w:rPr>
        <w:t>et al</w:t>
      </w:r>
      <w:r w:rsidRPr="009504FF">
        <w:rPr>
          <w:rFonts w:ascii="Garamond" w:hAnsi="Garamond"/>
          <w:sz w:val="20"/>
          <w:szCs w:val="20"/>
          <w:lang w:val="en-US"/>
        </w:rPr>
        <w:t xml:space="preserve">. Relative effectiveness of cell-cultured versus egg-based seasonal influenza vaccines in preventing influenza-related outcomes in subjects 18 years old or older: A systematic review and meta-analysis. </w:t>
      </w:r>
      <w:r w:rsidRPr="001B299E">
        <w:rPr>
          <w:rFonts w:ascii="Garamond" w:hAnsi="Garamond"/>
          <w:i/>
          <w:iCs/>
          <w:sz w:val="20"/>
          <w:szCs w:val="20"/>
          <w:lang w:val="en-US"/>
        </w:rPr>
        <w:t>Int J Environ Res Public Health</w:t>
      </w:r>
      <w:r w:rsidRPr="009504FF">
        <w:rPr>
          <w:rFonts w:ascii="Garamond" w:hAnsi="Garamond"/>
          <w:sz w:val="20"/>
          <w:szCs w:val="20"/>
          <w:lang w:val="en-US"/>
        </w:rPr>
        <w:t xml:space="preserve"> 2022;19(2):818. doi:10.3390/ijerph19020818</w:t>
      </w:r>
      <w:bookmarkStart w:id="2" w:name="_Hlk121376180"/>
    </w:p>
    <w:p w14:paraId="012F7787" w14:textId="05AA68DD" w:rsidR="00772249" w:rsidRDefault="00772249" w:rsidP="00772249">
      <w:pPr>
        <w:pStyle w:val="Paragrafoelenco"/>
        <w:numPr>
          <w:ilvl w:val="0"/>
          <w:numId w:val="1"/>
        </w:numPr>
        <w:spacing w:after="0" w:line="360" w:lineRule="auto"/>
        <w:jc w:val="both"/>
        <w:rPr>
          <w:rFonts w:ascii="Garamond" w:hAnsi="Garamond"/>
          <w:sz w:val="20"/>
          <w:szCs w:val="20"/>
          <w:lang w:val="en-US"/>
        </w:rPr>
      </w:pPr>
      <w:proofErr w:type="spellStart"/>
      <w:r w:rsidRPr="001B299E">
        <w:rPr>
          <w:rFonts w:ascii="Garamond" w:hAnsi="Garamond"/>
          <w:sz w:val="20"/>
          <w:szCs w:val="20"/>
        </w:rPr>
        <w:t>Sturkenboom</w:t>
      </w:r>
      <w:proofErr w:type="spellEnd"/>
      <w:r w:rsidRPr="001B299E">
        <w:rPr>
          <w:rFonts w:ascii="Garamond" w:hAnsi="Garamond"/>
          <w:sz w:val="20"/>
          <w:szCs w:val="20"/>
        </w:rPr>
        <w:t xml:space="preserve"> </w:t>
      </w:r>
      <w:bookmarkEnd w:id="2"/>
      <w:r w:rsidRPr="001B299E">
        <w:rPr>
          <w:rFonts w:ascii="Garamond" w:hAnsi="Garamond"/>
          <w:sz w:val="20"/>
          <w:szCs w:val="20"/>
        </w:rPr>
        <w:t xml:space="preserve">M, Bahri P, </w:t>
      </w:r>
      <w:proofErr w:type="spellStart"/>
      <w:r w:rsidRPr="001B299E">
        <w:rPr>
          <w:rFonts w:ascii="Garamond" w:hAnsi="Garamond"/>
          <w:sz w:val="20"/>
          <w:szCs w:val="20"/>
        </w:rPr>
        <w:t>Chiucchiuini</w:t>
      </w:r>
      <w:proofErr w:type="spellEnd"/>
      <w:r w:rsidRPr="001B299E">
        <w:rPr>
          <w:rFonts w:ascii="Garamond" w:hAnsi="Garamond"/>
          <w:sz w:val="20"/>
          <w:szCs w:val="20"/>
        </w:rPr>
        <w:t xml:space="preserve"> A, </w:t>
      </w:r>
      <w:r w:rsidR="001B299E" w:rsidRPr="001B299E">
        <w:rPr>
          <w:rFonts w:ascii="Garamond" w:hAnsi="Garamond"/>
          <w:sz w:val="20"/>
          <w:szCs w:val="20"/>
        </w:rPr>
        <w:t>et al</w:t>
      </w:r>
      <w:r w:rsidRPr="001B299E">
        <w:rPr>
          <w:rFonts w:ascii="Garamond" w:hAnsi="Garamond"/>
          <w:sz w:val="20"/>
          <w:szCs w:val="20"/>
        </w:rPr>
        <w:t xml:space="preserve">. </w:t>
      </w:r>
      <w:r w:rsidRPr="009504FF">
        <w:rPr>
          <w:rFonts w:ascii="Garamond" w:hAnsi="Garamond"/>
          <w:sz w:val="20"/>
          <w:szCs w:val="20"/>
          <w:lang w:val="en-US"/>
        </w:rPr>
        <w:t xml:space="preserve">Why we need more collaboration in Europe to enhance post-marketing surveillance of vaccines. </w:t>
      </w:r>
      <w:r w:rsidRPr="001B299E">
        <w:rPr>
          <w:rFonts w:ascii="Garamond" w:hAnsi="Garamond"/>
          <w:i/>
          <w:iCs/>
          <w:sz w:val="20"/>
          <w:szCs w:val="20"/>
          <w:lang w:val="en-US"/>
        </w:rPr>
        <w:t>Vaccine</w:t>
      </w:r>
      <w:r w:rsidRPr="009504FF">
        <w:rPr>
          <w:rFonts w:ascii="Garamond" w:hAnsi="Garamond"/>
          <w:sz w:val="20"/>
          <w:szCs w:val="20"/>
          <w:lang w:val="en-US"/>
        </w:rPr>
        <w:t xml:space="preserve"> 2020;38 Suppl </w:t>
      </w:r>
      <w:proofErr w:type="gramStart"/>
      <w:r w:rsidRPr="009504FF">
        <w:rPr>
          <w:rFonts w:ascii="Garamond" w:hAnsi="Garamond"/>
          <w:sz w:val="20"/>
          <w:szCs w:val="20"/>
          <w:lang w:val="en-US"/>
        </w:rPr>
        <w:t>2:B</w:t>
      </w:r>
      <w:proofErr w:type="gramEnd"/>
      <w:r w:rsidRPr="009504FF">
        <w:rPr>
          <w:rFonts w:ascii="Garamond" w:hAnsi="Garamond"/>
          <w:sz w:val="20"/>
          <w:szCs w:val="20"/>
          <w:lang w:val="en-US"/>
        </w:rPr>
        <w:t xml:space="preserve">1-B7. </w:t>
      </w:r>
      <w:proofErr w:type="gramStart"/>
      <w:r w:rsidRPr="009504FF">
        <w:rPr>
          <w:rFonts w:ascii="Garamond" w:hAnsi="Garamond"/>
          <w:sz w:val="20"/>
          <w:szCs w:val="20"/>
          <w:lang w:val="en-US"/>
        </w:rPr>
        <w:t>doi:10.1016/j.vaccine</w:t>
      </w:r>
      <w:proofErr w:type="gramEnd"/>
      <w:r w:rsidRPr="009504FF">
        <w:rPr>
          <w:rFonts w:ascii="Garamond" w:hAnsi="Garamond"/>
          <w:sz w:val="20"/>
          <w:szCs w:val="20"/>
          <w:lang w:val="en-US"/>
        </w:rPr>
        <w:t>.2019.07.081</w:t>
      </w:r>
    </w:p>
    <w:p w14:paraId="15092134" w14:textId="73CD9F2C" w:rsidR="00772249" w:rsidRDefault="00772249" w:rsidP="00772249">
      <w:pPr>
        <w:pStyle w:val="Paragrafoelenco"/>
        <w:numPr>
          <w:ilvl w:val="0"/>
          <w:numId w:val="1"/>
        </w:numPr>
        <w:spacing w:after="0" w:line="360" w:lineRule="auto"/>
        <w:jc w:val="both"/>
        <w:rPr>
          <w:rFonts w:ascii="Garamond" w:hAnsi="Garamond"/>
          <w:sz w:val="20"/>
          <w:szCs w:val="20"/>
          <w:lang w:val="en-US"/>
        </w:rPr>
      </w:pPr>
      <w:proofErr w:type="spellStart"/>
      <w:r w:rsidRPr="009504FF">
        <w:rPr>
          <w:rFonts w:ascii="Garamond" w:hAnsi="Garamond"/>
          <w:sz w:val="20"/>
          <w:szCs w:val="20"/>
          <w:lang w:val="en-US"/>
        </w:rPr>
        <w:t>Gerdil</w:t>
      </w:r>
      <w:proofErr w:type="spellEnd"/>
      <w:r w:rsidRPr="009504FF">
        <w:rPr>
          <w:rFonts w:ascii="Garamond" w:hAnsi="Garamond"/>
          <w:sz w:val="20"/>
          <w:szCs w:val="20"/>
          <w:lang w:val="en-US"/>
        </w:rPr>
        <w:t xml:space="preserve"> C. The annual production cycle for influenza vaccine. </w:t>
      </w:r>
      <w:r w:rsidRPr="001B299E">
        <w:rPr>
          <w:rFonts w:ascii="Garamond" w:hAnsi="Garamond"/>
          <w:i/>
          <w:iCs/>
          <w:sz w:val="20"/>
          <w:szCs w:val="20"/>
          <w:lang w:val="en-US"/>
        </w:rPr>
        <w:t>Vaccine</w:t>
      </w:r>
      <w:r w:rsidRPr="009504FF">
        <w:rPr>
          <w:rFonts w:ascii="Garamond" w:hAnsi="Garamond"/>
          <w:sz w:val="20"/>
          <w:szCs w:val="20"/>
          <w:lang w:val="en-US"/>
        </w:rPr>
        <w:t xml:space="preserve"> 2003;21(16):1776-</w:t>
      </w:r>
      <w:r w:rsidR="001B299E">
        <w:rPr>
          <w:rFonts w:ascii="Garamond" w:hAnsi="Garamond"/>
          <w:sz w:val="20"/>
          <w:szCs w:val="20"/>
          <w:lang w:val="en-US"/>
        </w:rPr>
        <w:t>177</w:t>
      </w:r>
      <w:r w:rsidRPr="009504FF">
        <w:rPr>
          <w:rFonts w:ascii="Garamond" w:hAnsi="Garamond"/>
          <w:sz w:val="20"/>
          <w:szCs w:val="20"/>
          <w:lang w:val="en-US"/>
        </w:rPr>
        <w:t>9. doi:10.1016/s0264-410</w:t>
      </w:r>
      <w:proofErr w:type="gramStart"/>
      <w:r w:rsidRPr="009504FF">
        <w:rPr>
          <w:rFonts w:ascii="Garamond" w:hAnsi="Garamond"/>
          <w:sz w:val="20"/>
          <w:szCs w:val="20"/>
          <w:lang w:val="en-US"/>
        </w:rPr>
        <w:t>x(</w:t>
      </w:r>
      <w:proofErr w:type="gramEnd"/>
      <w:r w:rsidRPr="009504FF">
        <w:rPr>
          <w:rFonts w:ascii="Garamond" w:hAnsi="Garamond"/>
          <w:sz w:val="20"/>
          <w:szCs w:val="20"/>
          <w:lang w:val="en-US"/>
        </w:rPr>
        <w:t>03)00071-9</w:t>
      </w:r>
    </w:p>
    <w:p w14:paraId="1A4B9359" w14:textId="35ED4A4E" w:rsidR="00772249" w:rsidRDefault="00772249" w:rsidP="00772249">
      <w:pPr>
        <w:pStyle w:val="Paragrafoelenco"/>
        <w:numPr>
          <w:ilvl w:val="0"/>
          <w:numId w:val="1"/>
        </w:numPr>
        <w:spacing w:after="0" w:line="360" w:lineRule="auto"/>
        <w:jc w:val="both"/>
        <w:rPr>
          <w:rFonts w:ascii="Garamond" w:hAnsi="Garamond"/>
          <w:sz w:val="20"/>
          <w:szCs w:val="20"/>
          <w:lang w:val="en-US"/>
        </w:rPr>
      </w:pPr>
      <w:proofErr w:type="spellStart"/>
      <w:r w:rsidRPr="009504FF">
        <w:rPr>
          <w:rFonts w:ascii="Garamond" w:hAnsi="Garamond"/>
          <w:sz w:val="20"/>
          <w:szCs w:val="20"/>
          <w:lang w:val="en-US"/>
        </w:rPr>
        <w:t>Minozzi</w:t>
      </w:r>
      <w:proofErr w:type="spellEnd"/>
      <w:r w:rsidRPr="009504FF">
        <w:rPr>
          <w:rFonts w:ascii="Garamond" w:hAnsi="Garamond"/>
          <w:sz w:val="20"/>
          <w:szCs w:val="20"/>
          <w:lang w:val="en-US"/>
        </w:rPr>
        <w:t xml:space="preserve"> S, </w:t>
      </w:r>
      <w:proofErr w:type="spellStart"/>
      <w:r w:rsidRPr="009504FF">
        <w:rPr>
          <w:rFonts w:ascii="Garamond" w:hAnsi="Garamond"/>
          <w:sz w:val="20"/>
          <w:szCs w:val="20"/>
          <w:lang w:val="en-US"/>
        </w:rPr>
        <w:t>Lytras</w:t>
      </w:r>
      <w:proofErr w:type="spellEnd"/>
      <w:r w:rsidRPr="009504FF">
        <w:rPr>
          <w:rFonts w:ascii="Garamond" w:hAnsi="Garamond"/>
          <w:sz w:val="20"/>
          <w:szCs w:val="20"/>
          <w:lang w:val="en-US"/>
        </w:rPr>
        <w:t xml:space="preserve"> T, </w:t>
      </w:r>
      <w:proofErr w:type="spellStart"/>
      <w:r w:rsidRPr="009504FF">
        <w:rPr>
          <w:rFonts w:ascii="Garamond" w:hAnsi="Garamond"/>
          <w:sz w:val="20"/>
          <w:szCs w:val="20"/>
          <w:lang w:val="en-US"/>
        </w:rPr>
        <w:t>Gianola</w:t>
      </w:r>
      <w:proofErr w:type="spellEnd"/>
      <w:r w:rsidRPr="009504FF">
        <w:rPr>
          <w:rFonts w:ascii="Garamond" w:hAnsi="Garamond"/>
          <w:sz w:val="20"/>
          <w:szCs w:val="20"/>
          <w:lang w:val="en-US"/>
        </w:rPr>
        <w:t xml:space="preserve"> S, </w:t>
      </w:r>
      <w:r w:rsidR="001B299E">
        <w:rPr>
          <w:rFonts w:ascii="Garamond" w:hAnsi="Garamond"/>
          <w:sz w:val="20"/>
          <w:szCs w:val="20"/>
          <w:lang w:val="en-US"/>
        </w:rPr>
        <w:t>et al</w:t>
      </w:r>
      <w:r w:rsidRPr="009504FF">
        <w:rPr>
          <w:rFonts w:ascii="Garamond" w:hAnsi="Garamond"/>
          <w:sz w:val="20"/>
          <w:szCs w:val="20"/>
          <w:lang w:val="en-US"/>
        </w:rPr>
        <w:t xml:space="preserve">. Comparative </w:t>
      </w:r>
      <w:proofErr w:type="gramStart"/>
      <w:r w:rsidRPr="009504FF">
        <w:rPr>
          <w:rFonts w:ascii="Garamond" w:hAnsi="Garamond"/>
          <w:sz w:val="20"/>
          <w:szCs w:val="20"/>
          <w:lang w:val="en-US"/>
        </w:rPr>
        <w:t>efficacy</w:t>
      </w:r>
      <w:proofErr w:type="gramEnd"/>
      <w:r w:rsidRPr="009504FF">
        <w:rPr>
          <w:rFonts w:ascii="Garamond" w:hAnsi="Garamond"/>
          <w:sz w:val="20"/>
          <w:szCs w:val="20"/>
          <w:lang w:val="en-US"/>
        </w:rPr>
        <w:t xml:space="preserve"> and safety of vaccines to prevent seasonal influenza: A systematic review and network meta-analysis. </w:t>
      </w:r>
      <w:proofErr w:type="spellStart"/>
      <w:r w:rsidRPr="001B299E">
        <w:rPr>
          <w:rFonts w:ascii="Garamond" w:hAnsi="Garamond"/>
          <w:i/>
          <w:iCs/>
          <w:sz w:val="20"/>
          <w:szCs w:val="20"/>
          <w:lang w:val="en-US"/>
        </w:rPr>
        <w:t>EClinicalMedicine</w:t>
      </w:r>
      <w:proofErr w:type="spellEnd"/>
      <w:r w:rsidRPr="009504FF">
        <w:rPr>
          <w:rFonts w:ascii="Garamond" w:hAnsi="Garamond"/>
          <w:sz w:val="20"/>
          <w:szCs w:val="20"/>
          <w:lang w:val="en-US"/>
        </w:rPr>
        <w:t xml:space="preserve"> </w:t>
      </w:r>
      <w:proofErr w:type="gramStart"/>
      <w:r w:rsidRPr="009504FF">
        <w:rPr>
          <w:rFonts w:ascii="Garamond" w:hAnsi="Garamond"/>
          <w:sz w:val="20"/>
          <w:szCs w:val="20"/>
          <w:lang w:val="en-US"/>
        </w:rPr>
        <w:t>2022;46:101331</w:t>
      </w:r>
      <w:proofErr w:type="gramEnd"/>
      <w:r w:rsidRPr="009504FF">
        <w:rPr>
          <w:rFonts w:ascii="Garamond" w:hAnsi="Garamond"/>
          <w:sz w:val="20"/>
          <w:szCs w:val="20"/>
          <w:lang w:val="en-US"/>
        </w:rPr>
        <w:t xml:space="preserve">. </w:t>
      </w:r>
      <w:proofErr w:type="gramStart"/>
      <w:r w:rsidRPr="009504FF">
        <w:rPr>
          <w:rFonts w:ascii="Garamond" w:hAnsi="Garamond"/>
          <w:sz w:val="20"/>
          <w:szCs w:val="20"/>
          <w:lang w:val="en-US"/>
        </w:rPr>
        <w:t>doi:10.1016/j.eclinm</w:t>
      </w:r>
      <w:proofErr w:type="gramEnd"/>
      <w:r w:rsidRPr="009504FF">
        <w:rPr>
          <w:rFonts w:ascii="Garamond" w:hAnsi="Garamond"/>
          <w:sz w:val="20"/>
          <w:szCs w:val="20"/>
          <w:lang w:val="en-US"/>
        </w:rPr>
        <w:t>.2022.101331</w:t>
      </w:r>
    </w:p>
    <w:p w14:paraId="606078F0" w14:textId="7E956D0C" w:rsidR="00772249" w:rsidRPr="00772249" w:rsidRDefault="00772249" w:rsidP="00772249">
      <w:pPr>
        <w:pStyle w:val="Paragrafoelenco"/>
        <w:numPr>
          <w:ilvl w:val="0"/>
          <w:numId w:val="1"/>
        </w:numPr>
        <w:spacing w:after="0" w:line="360" w:lineRule="auto"/>
        <w:jc w:val="both"/>
        <w:rPr>
          <w:rStyle w:val="Collegamentoipertestuale"/>
          <w:rFonts w:ascii="Garamond" w:hAnsi="Garamond"/>
          <w:color w:val="auto"/>
          <w:sz w:val="20"/>
          <w:szCs w:val="20"/>
          <w:u w:val="none"/>
          <w:lang w:val="en-US"/>
        </w:rPr>
      </w:pPr>
      <w:r w:rsidRPr="009504FF">
        <w:rPr>
          <w:rFonts w:ascii="Garamond" w:hAnsi="Garamond"/>
          <w:sz w:val="20"/>
          <w:szCs w:val="20"/>
          <w:lang w:val="en-US"/>
        </w:rPr>
        <w:t xml:space="preserve">European Medicines Agency (EMA). Interim guidance on enhanced safety surveillance for seasonal influenza vaccines in the EU - Scientific guideline. </w:t>
      </w:r>
      <w:r w:rsidRPr="00772249">
        <w:rPr>
          <w:rFonts w:ascii="Garamond" w:hAnsi="Garamond"/>
          <w:sz w:val="20"/>
          <w:szCs w:val="20"/>
          <w:lang w:val="en-US"/>
        </w:rPr>
        <w:t>https://www.ema.europa.eu/en/documents/scientific-guideline/interim-guidance-enhanced-safety-surveillance-seasonal-influenza-vaccines-eu_en.pdf</w:t>
      </w:r>
      <w:r>
        <w:rPr>
          <w:rFonts w:ascii="Garamond" w:hAnsi="Garamond"/>
          <w:sz w:val="20"/>
          <w:szCs w:val="20"/>
          <w:lang w:val="en-US"/>
        </w:rPr>
        <w:t>.</w:t>
      </w:r>
      <w:r w:rsidR="001B299E" w:rsidRPr="001B299E">
        <w:rPr>
          <w:rFonts w:ascii="Garamond" w:hAnsi="Garamond"/>
          <w:sz w:val="20"/>
          <w:szCs w:val="20"/>
          <w:lang w:val="en-US"/>
        </w:rPr>
        <w:t xml:space="preserve"> </w:t>
      </w:r>
      <w:r w:rsidR="001B299E">
        <w:rPr>
          <w:rFonts w:ascii="Garamond" w:hAnsi="Garamond"/>
          <w:sz w:val="20"/>
          <w:szCs w:val="20"/>
          <w:lang w:val="en-US"/>
        </w:rPr>
        <w:t>(Accessed January 19, 2023).</w:t>
      </w:r>
    </w:p>
    <w:p w14:paraId="700C68D6" w14:textId="12C4B755" w:rsidR="00772249" w:rsidRPr="009504FF" w:rsidRDefault="00772249" w:rsidP="00772249">
      <w:pPr>
        <w:pStyle w:val="Paragrafoelenco"/>
        <w:numPr>
          <w:ilvl w:val="0"/>
          <w:numId w:val="1"/>
        </w:numPr>
        <w:spacing w:after="0" w:line="360" w:lineRule="auto"/>
        <w:jc w:val="both"/>
        <w:rPr>
          <w:rFonts w:ascii="Garamond" w:hAnsi="Garamond"/>
          <w:sz w:val="20"/>
          <w:szCs w:val="20"/>
          <w:lang w:val="en-US"/>
        </w:rPr>
      </w:pPr>
      <w:r w:rsidRPr="009E632A">
        <w:rPr>
          <w:rFonts w:ascii="Garamond" w:hAnsi="Garamond"/>
          <w:sz w:val="20"/>
          <w:szCs w:val="20"/>
        </w:rPr>
        <w:t xml:space="preserve">Calabrò GE, Specchia ML, Boccalini S, </w:t>
      </w:r>
      <w:r w:rsidR="001B299E" w:rsidRPr="009E632A">
        <w:rPr>
          <w:rFonts w:ascii="Garamond" w:hAnsi="Garamond"/>
          <w:sz w:val="20"/>
          <w:szCs w:val="20"/>
        </w:rPr>
        <w:t>et al</w:t>
      </w:r>
      <w:r w:rsidRPr="009E632A">
        <w:rPr>
          <w:rFonts w:ascii="Garamond" w:hAnsi="Garamond"/>
          <w:sz w:val="20"/>
          <w:szCs w:val="20"/>
        </w:rPr>
        <w:t xml:space="preserve">. </w:t>
      </w:r>
      <w:r w:rsidRPr="0001623D">
        <w:rPr>
          <w:rFonts w:ascii="Garamond" w:hAnsi="Garamond"/>
          <w:sz w:val="20"/>
          <w:szCs w:val="20"/>
          <w:lang w:val="en-US"/>
        </w:rPr>
        <w:t xml:space="preserve">Strengthening the evidence-based approach to guiding effective influenza vaccination policies. </w:t>
      </w:r>
      <w:r w:rsidRPr="009E632A">
        <w:rPr>
          <w:rFonts w:ascii="Garamond" w:hAnsi="Garamond"/>
          <w:i/>
          <w:iCs/>
          <w:sz w:val="20"/>
          <w:szCs w:val="20"/>
          <w:lang w:val="en-US"/>
        </w:rPr>
        <w:t>Vaccines (Basel)</w:t>
      </w:r>
      <w:r w:rsidRPr="009504FF">
        <w:rPr>
          <w:rFonts w:ascii="Garamond" w:hAnsi="Garamond"/>
          <w:sz w:val="20"/>
          <w:szCs w:val="20"/>
          <w:lang w:val="en-US"/>
        </w:rPr>
        <w:t xml:space="preserve"> 2020;8(3):342. doi:10.3390/vaccines8030342</w:t>
      </w:r>
    </w:p>
    <w:p w14:paraId="271ED394" w14:textId="6F63651A" w:rsidR="00772249" w:rsidRDefault="00772249" w:rsidP="00772249">
      <w:pPr>
        <w:pStyle w:val="Paragrafoelenco"/>
        <w:numPr>
          <w:ilvl w:val="0"/>
          <w:numId w:val="1"/>
        </w:numPr>
        <w:spacing w:after="0" w:line="360" w:lineRule="auto"/>
        <w:jc w:val="both"/>
        <w:rPr>
          <w:rFonts w:ascii="Garamond" w:hAnsi="Garamond"/>
          <w:sz w:val="20"/>
          <w:szCs w:val="20"/>
          <w:lang w:val="en-US"/>
        </w:rPr>
      </w:pPr>
      <w:r w:rsidRPr="009504FF">
        <w:rPr>
          <w:rFonts w:ascii="Garamond" w:hAnsi="Garamond"/>
          <w:sz w:val="20"/>
          <w:szCs w:val="20"/>
          <w:lang w:val="en-US"/>
        </w:rPr>
        <w:t>Lamb YN. Cell-</w:t>
      </w:r>
      <w:r w:rsidR="009E632A">
        <w:rPr>
          <w:rFonts w:ascii="Garamond" w:hAnsi="Garamond"/>
          <w:sz w:val="20"/>
          <w:szCs w:val="20"/>
          <w:lang w:val="en-US"/>
        </w:rPr>
        <w:t>b</w:t>
      </w:r>
      <w:r w:rsidRPr="009504FF">
        <w:rPr>
          <w:rFonts w:ascii="Garamond" w:hAnsi="Garamond"/>
          <w:sz w:val="20"/>
          <w:szCs w:val="20"/>
          <w:lang w:val="en-US"/>
        </w:rPr>
        <w:t xml:space="preserve">ased </w:t>
      </w:r>
      <w:r w:rsidR="009E632A">
        <w:rPr>
          <w:rFonts w:ascii="Garamond" w:hAnsi="Garamond"/>
          <w:sz w:val="20"/>
          <w:szCs w:val="20"/>
          <w:lang w:val="en-US"/>
        </w:rPr>
        <w:t>q</w:t>
      </w:r>
      <w:r w:rsidRPr="009504FF">
        <w:rPr>
          <w:rFonts w:ascii="Garamond" w:hAnsi="Garamond"/>
          <w:sz w:val="20"/>
          <w:szCs w:val="20"/>
          <w:lang w:val="en-US"/>
        </w:rPr>
        <w:t xml:space="preserve">uadrivalent </w:t>
      </w:r>
      <w:r w:rsidR="009E632A">
        <w:rPr>
          <w:rFonts w:ascii="Garamond" w:hAnsi="Garamond"/>
          <w:sz w:val="20"/>
          <w:szCs w:val="20"/>
          <w:lang w:val="en-US"/>
        </w:rPr>
        <w:t>i</w:t>
      </w:r>
      <w:r w:rsidRPr="009504FF">
        <w:rPr>
          <w:rFonts w:ascii="Garamond" w:hAnsi="Garamond"/>
          <w:sz w:val="20"/>
          <w:szCs w:val="20"/>
          <w:lang w:val="en-US"/>
        </w:rPr>
        <w:t xml:space="preserve">nactivated </w:t>
      </w:r>
      <w:r w:rsidR="009E632A">
        <w:rPr>
          <w:rFonts w:ascii="Garamond" w:hAnsi="Garamond"/>
          <w:sz w:val="20"/>
          <w:szCs w:val="20"/>
          <w:lang w:val="en-US"/>
        </w:rPr>
        <w:t>i</w:t>
      </w:r>
      <w:r w:rsidRPr="009504FF">
        <w:rPr>
          <w:rFonts w:ascii="Garamond" w:hAnsi="Garamond"/>
          <w:sz w:val="20"/>
          <w:szCs w:val="20"/>
          <w:lang w:val="en-US"/>
        </w:rPr>
        <w:t xml:space="preserve">nfluenza </w:t>
      </w:r>
      <w:r w:rsidR="009E632A">
        <w:rPr>
          <w:rFonts w:ascii="Garamond" w:hAnsi="Garamond"/>
          <w:sz w:val="20"/>
          <w:szCs w:val="20"/>
          <w:lang w:val="en-US"/>
        </w:rPr>
        <w:t>v</w:t>
      </w:r>
      <w:r w:rsidRPr="009504FF">
        <w:rPr>
          <w:rFonts w:ascii="Garamond" w:hAnsi="Garamond"/>
          <w:sz w:val="20"/>
          <w:szCs w:val="20"/>
          <w:lang w:val="en-US"/>
        </w:rPr>
        <w:t xml:space="preserve">irus </w:t>
      </w:r>
      <w:r w:rsidR="009E632A">
        <w:rPr>
          <w:rFonts w:ascii="Garamond" w:hAnsi="Garamond"/>
          <w:sz w:val="20"/>
          <w:szCs w:val="20"/>
          <w:lang w:val="en-US"/>
        </w:rPr>
        <w:t>v</w:t>
      </w:r>
      <w:r w:rsidRPr="009504FF">
        <w:rPr>
          <w:rFonts w:ascii="Garamond" w:hAnsi="Garamond"/>
          <w:sz w:val="20"/>
          <w:szCs w:val="20"/>
          <w:lang w:val="en-US"/>
        </w:rPr>
        <w:t xml:space="preserve">accine (Flucelvax® Tetra/Flucelvax Quadrivalent®): A </w:t>
      </w:r>
      <w:r w:rsidR="009E632A">
        <w:rPr>
          <w:rFonts w:ascii="Garamond" w:hAnsi="Garamond"/>
          <w:sz w:val="20"/>
          <w:szCs w:val="20"/>
          <w:lang w:val="en-US"/>
        </w:rPr>
        <w:t>r</w:t>
      </w:r>
      <w:r w:rsidRPr="009504FF">
        <w:rPr>
          <w:rFonts w:ascii="Garamond" w:hAnsi="Garamond"/>
          <w:sz w:val="20"/>
          <w:szCs w:val="20"/>
          <w:lang w:val="en-US"/>
        </w:rPr>
        <w:t xml:space="preserve">eview in the </w:t>
      </w:r>
      <w:r w:rsidR="009E632A">
        <w:rPr>
          <w:rFonts w:ascii="Garamond" w:hAnsi="Garamond"/>
          <w:sz w:val="20"/>
          <w:szCs w:val="20"/>
          <w:lang w:val="en-US"/>
        </w:rPr>
        <w:t>p</w:t>
      </w:r>
      <w:r w:rsidRPr="009504FF">
        <w:rPr>
          <w:rFonts w:ascii="Garamond" w:hAnsi="Garamond"/>
          <w:sz w:val="20"/>
          <w:szCs w:val="20"/>
          <w:lang w:val="en-US"/>
        </w:rPr>
        <w:t xml:space="preserve">revention of </w:t>
      </w:r>
      <w:r w:rsidR="009E632A">
        <w:rPr>
          <w:rFonts w:ascii="Garamond" w:hAnsi="Garamond"/>
          <w:sz w:val="20"/>
          <w:szCs w:val="20"/>
          <w:lang w:val="en-US"/>
        </w:rPr>
        <w:t>i</w:t>
      </w:r>
      <w:r w:rsidRPr="009504FF">
        <w:rPr>
          <w:rFonts w:ascii="Garamond" w:hAnsi="Garamond"/>
          <w:sz w:val="20"/>
          <w:szCs w:val="20"/>
          <w:lang w:val="en-US"/>
        </w:rPr>
        <w:t xml:space="preserve">nfluenza. </w:t>
      </w:r>
      <w:r w:rsidRPr="009E632A">
        <w:rPr>
          <w:rFonts w:ascii="Garamond" w:hAnsi="Garamond"/>
          <w:i/>
          <w:iCs/>
          <w:sz w:val="20"/>
          <w:szCs w:val="20"/>
          <w:lang w:val="en-US"/>
        </w:rPr>
        <w:t>Drugs</w:t>
      </w:r>
      <w:r w:rsidRPr="009504FF">
        <w:rPr>
          <w:rFonts w:ascii="Garamond" w:hAnsi="Garamond"/>
          <w:sz w:val="20"/>
          <w:szCs w:val="20"/>
          <w:lang w:val="en-US"/>
        </w:rPr>
        <w:t xml:space="preserve"> 2019;79(12):1337-1348. doi:10.1007/s40265-019-01176-z</w:t>
      </w:r>
    </w:p>
    <w:p w14:paraId="64A795BA" w14:textId="7A0DDB0E" w:rsidR="00772249" w:rsidRDefault="00772249" w:rsidP="00772249">
      <w:pPr>
        <w:pStyle w:val="Paragrafoelenco"/>
        <w:numPr>
          <w:ilvl w:val="0"/>
          <w:numId w:val="1"/>
        </w:numPr>
        <w:spacing w:after="0" w:line="360" w:lineRule="auto"/>
        <w:jc w:val="both"/>
        <w:rPr>
          <w:rFonts w:ascii="Garamond" w:hAnsi="Garamond"/>
          <w:sz w:val="20"/>
          <w:szCs w:val="20"/>
          <w:lang w:val="en-US"/>
        </w:rPr>
      </w:pPr>
      <w:proofErr w:type="spellStart"/>
      <w:r w:rsidRPr="009504FF">
        <w:rPr>
          <w:rFonts w:ascii="Garamond" w:hAnsi="Garamond"/>
          <w:sz w:val="20"/>
          <w:szCs w:val="20"/>
        </w:rPr>
        <w:t>Panatto</w:t>
      </w:r>
      <w:proofErr w:type="spellEnd"/>
      <w:r w:rsidRPr="009504FF">
        <w:rPr>
          <w:rFonts w:ascii="Garamond" w:hAnsi="Garamond"/>
          <w:sz w:val="20"/>
          <w:szCs w:val="20"/>
        </w:rPr>
        <w:t xml:space="preserve"> D, Haag M, Lai PL, </w:t>
      </w:r>
      <w:r w:rsidR="009E632A">
        <w:rPr>
          <w:rFonts w:ascii="Garamond" w:hAnsi="Garamond"/>
          <w:sz w:val="20"/>
          <w:szCs w:val="20"/>
        </w:rPr>
        <w:t>et al</w:t>
      </w:r>
      <w:r w:rsidRPr="009504FF">
        <w:rPr>
          <w:rFonts w:ascii="Garamond" w:hAnsi="Garamond"/>
          <w:sz w:val="20"/>
          <w:szCs w:val="20"/>
        </w:rPr>
        <w:t xml:space="preserve">. </w:t>
      </w:r>
      <w:r w:rsidRPr="009504FF">
        <w:rPr>
          <w:rFonts w:ascii="Garamond" w:hAnsi="Garamond"/>
          <w:sz w:val="20"/>
          <w:szCs w:val="20"/>
          <w:lang w:val="en-US"/>
        </w:rPr>
        <w:t xml:space="preserve">Enhanced Passive Safety Surveillance (EPSS) confirms an optimal safety profile of the use of MF59® -adjuvanted influenza vaccine in older adults: Results from three consecutive seasons. </w:t>
      </w:r>
      <w:r w:rsidRPr="009E632A">
        <w:rPr>
          <w:rFonts w:ascii="Garamond" w:hAnsi="Garamond"/>
          <w:i/>
          <w:iCs/>
          <w:sz w:val="20"/>
          <w:szCs w:val="20"/>
          <w:lang w:val="en-US"/>
        </w:rPr>
        <w:t xml:space="preserve">Influenza Other Respir Viruses </w:t>
      </w:r>
      <w:r w:rsidRPr="009504FF">
        <w:rPr>
          <w:rFonts w:ascii="Garamond" w:hAnsi="Garamond"/>
          <w:sz w:val="20"/>
          <w:szCs w:val="20"/>
          <w:lang w:val="en-US"/>
        </w:rPr>
        <w:t>2020;14(1):61-66. doi:10.1111/irv.12685</w:t>
      </w:r>
    </w:p>
    <w:p w14:paraId="0C27ECEC" w14:textId="6DE68004" w:rsidR="00772249" w:rsidRDefault="00772249" w:rsidP="00772249">
      <w:pPr>
        <w:pStyle w:val="Paragrafoelenco"/>
        <w:numPr>
          <w:ilvl w:val="0"/>
          <w:numId w:val="1"/>
        </w:numPr>
        <w:spacing w:after="0" w:line="360" w:lineRule="auto"/>
        <w:jc w:val="both"/>
        <w:rPr>
          <w:rFonts w:ascii="Garamond" w:hAnsi="Garamond"/>
          <w:sz w:val="20"/>
          <w:szCs w:val="20"/>
          <w:lang w:val="en-US"/>
        </w:rPr>
      </w:pPr>
      <w:r w:rsidRPr="009E632A">
        <w:rPr>
          <w:rFonts w:ascii="Garamond" w:hAnsi="Garamond"/>
          <w:sz w:val="20"/>
          <w:szCs w:val="20"/>
        </w:rPr>
        <w:t xml:space="preserve">Salamanca de la Cueva I, </w:t>
      </w:r>
      <w:proofErr w:type="spellStart"/>
      <w:r w:rsidRPr="009E632A">
        <w:rPr>
          <w:rFonts w:ascii="Garamond" w:hAnsi="Garamond"/>
          <w:sz w:val="20"/>
          <w:szCs w:val="20"/>
        </w:rPr>
        <w:t>Cinconze</w:t>
      </w:r>
      <w:proofErr w:type="spellEnd"/>
      <w:r w:rsidRPr="009E632A">
        <w:rPr>
          <w:rFonts w:ascii="Garamond" w:hAnsi="Garamond"/>
          <w:sz w:val="20"/>
          <w:szCs w:val="20"/>
        </w:rPr>
        <w:t xml:space="preserve"> E, Eckermann T, </w:t>
      </w:r>
      <w:r w:rsidR="009E632A" w:rsidRPr="009E632A">
        <w:rPr>
          <w:rFonts w:ascii="Garamond" w:hAnsi="Garamond"/>
          <w:sz w:val="20"/>
          <w:szCs w:val="20"/>
        </w:rPr>
        <w:t>et al</w:t>
      </w:r>
      <w:r w:rsidRPr="009E632A">
        <w:rPr>
          <w:rFonts w:ascii="Garamond" w:hAnsi="Garamond"/>
          <w:sz w:val="20"/>
          <w:szCs w:val="20"/>
        </w:rPr>
        <w:t xml:space="preserve">. </w:t>
      </w:r>
      <w:r w:rsidRPr="009504FF">
        <w:rPr>
          <w:rFonts w:ascii="Garamond" w:hAnsi="Garamond"/>
          <w:sz w:val="20"/>
          <w:szCs w:val="20"/>
          <w:lang w:val="en-US"/>
        </w:rPr>
        <w:t xml:space="preserve">Safety profile of GSK's inactivated quadrivalent seasonal influenza vaccine in Belgium, </w:t>
      </w:r>
      <w:proofErr w:type="gramStart"/>
      <w:r w:rsidRPr="009504FF">
        <w:rPr>
          <w:rFonts w:ascii="Garamond" w:hAnsi="Garamond"/>
          <w:sz w:val="20"/>
          <w:szCs w:val="20"/>
          <w:lang w:val="en-US"/>
        </w:rPr>
        <w:t>Germany</w:t>
      </w:r>
      <w:proofErr w:type="gramEnd"/>
      <w:r w:rsidRPr="009504FF">
        <w:rPr>
          <w:rFonts w:ascii="Garamond" w:hAnsi="Garamond"/>
          <w:sz w:val="20"/>
          <w:szCs w:val="20"/>
          <w:lang w:val="en-US"/>
        </w:rPr>
        <w:t xml:space="preserve"> and Spain: passive enhanced safety surveillance study for the 2019/2020 influenza season. </w:t>
      </w:r>
      <w:r w:rsidRPr="009E632A">
        <w:rPr>
          <w:rFonts w:ascii="Garamond" w:hAnsi="Garamond"/>
          <w:i/>
          <w:iCs/>
          <w:sz w:val="20"/>
          <w:szCs w:val="20"/>
          <w:lang w:val="en-US"/>
        </w:rPr>
        <w:t xml:space="preserve">Drug </w:t>
      </w:r>
      <w:proofErr w:type="spellStart"/>
      <w:r w:rsidRPr="009E632A">
        <w:rPr>
          <w:rFonts w:ascii="Garamond" w:hAnsi="Garamond"/>
          <w:i/>
          <w:iCs/>
          <w:sz w:val="20"/>
          <w:szCs w:val="20"/>
          <w:lang w:val="en-US"/>
        </w:rPr>
        <w:t>Saf</w:t>
      </w:r>
      <w:proofErr w:type="spellEnd"/>
      <w:r w:rsidR="009E632A">
        <w:rPr>
          <w:rFonts w:ascii="Garamond" w:hAnsi="Garamond"/>
          <w:i/>
          <w:iCs/>
          <w:sz w:val="20"/>
          <w:szCs w:val="20"/>
          <w:lang w:val="en-US"/>
        </w:rPr>
        <w:t>.</w:t>
      </w:r>
      <w:r w:rsidRPr="009504FF">
        <w:rPr>
          <w:rFonts w:ascii="Garamond" w:hAnsi="Garamond"/>
          <w:sz w:val="20"/>
          <w:szCs w:val="20"/>
          <w:lang w:val="en-US"/>
        </w:rPr>
        <w:t xml:space="preserve"> 2021;44(12):1375-1390. doi:10.1007/s40264-021-01121-8</w:t>
      </w:r>
    </w:p>
    <w:p w14:paraId="72B8BFDF" w14:textId="13246070" w:rsidR="00772249" w:rsidRDefault="00772249" w:rsidP="00772249">
      <w:pPr>
        <w:pStyle w:val="Paragrafoelenco"/>
        <w:numPr>
          <w:ilvl w:val="0"/>
          <w:numId w:val="1"/>
        </w:numPr>
        <w:spacing w:after="0" w:line="360" w:lineRule="auto"/>
        <w:jc w:val="both"/>
        <w:rPr>
          <w:rFonts w:ascii="Garamond" w:hAnsi="Garamond"/>
          <w:sz w:val="20"/>
          <w:szCs w:val="20"/>
          <w:lang w:val="en-US"/>
        </w:rPr>
      </w:pPr>
      <w:proofErr w:type="spellStart"/>
      <w:r w:rsidRPr="009504FF">
        <w:rPr>
          <w:rFonts w:ascii="Garamond" w:hAnsi="Garamond"/>
          <w:sz w:val="20"/>
          <w:szCs w:val="20"/>
          <w:lang w:val="en-US"/>
        </w:rPr>
        <w:t>Chabanon</w:t>
      </w:r>
      <w:proofErr w:type="spellEnd"/>
      <w:r w:rsidRPr="009504FF">
        <w:rPr>
          <w:rFonts w:ascii="Garamond" w:hAnsi="Garamond"/>
          <w:sz w:val="20"/>
          <w:szCs w:val="20"/>
          <w:lang w:val="en-US"/>
        </w:rPr>
        <w:t xml:space="preserve"> AL, </w:t>
      </w:r>
      <w:proofErr w:type="spellStart"/>
      <w:r w:rsidRPr="009504FF">
        <w:rPr>
          <w:rFonts w:ascii="Garamond" w:hAnsi="Garamond"/>
          <w:sz w:val="20"/>
          <w:szCs w:val="20"/>
          <w:lang w:val="en-US"/>
        </w:rPr>
        <w:t>Wague</w:t>
      </w:r>
      <w:proofErr w:type="spellEnd"/>
      <w:r w:rsidRPr="009504FF">
        <w:rPr>
          <w:rFonts w:ascii="Garamond" w:hAnsi="Garamond"/>
          <w:sz w:val="20"/>
          <w:szCs w:val="20"/>
          <w:lang w:val="en-US"/>
        </w:rPr>
        <w:t xml:space="preserve"> S, </w:t>
      </w:r>
      <w:proofErr w:type="spellStart"/>
      <w:r w:rsidRPr="009504FF">
        <w:rPr>
          <w:rFonts w:ascii="Garamond" w:hAnsi="Garamond"/>
          <w:sz w:val="20"/>
          <w:szCs w:val="20"/>
          <w:lang w:val="en-US"/>
        </w:rPr>
        <w:t>Moureau</w:t>
      </w:r>
      <w:proofErr w:type="spellEnd"/>
      <w:r w:rsidRPr="009504FF">
        <w:rPr>
          <w:rFonts w:ascii="Garamond" w:hAnsi="Garamond"/>
          <w:sz w:val="20"/>
          <w:szCs w:val="20"/>
          <w:lang w:val="en-US"/>
        </w:rPr>
        <w:t xml:space="preserve"> A, </w:t>
      </w:r>
      <w:r w:rsidR="009E632A">
        <w:rPr>
          <w:rFonts w:ascii="Garamond" w:hAnsi="Garamond"/>
          <w:sz w:val="20"/>
          <w:szCs w:val="20"/>
          <w:lang w:val="en-US"/>
        </w:rPr>
        <w:t>et al</w:t>
      </w:r>
      <w:r w:rsidRPr="009504FF">
        <w:rPr>
          <w:rFonts w:ascii="Garamond" w:hAnsi="Garamond"/>
          <w:sz w:val="20"/>
          <w:szCs w:val="20"/>
          <w:lang w:val="en-US"/>
        </w:rPr>
        <w:t xml:space="preserve">. Enhanced passive safety surveillance of the quadrivalent inactivated split-virion influenza vaccine (IIV4) in Finland during the 2019/20 influenza season. </w:t>
      </w:r>
      <w:r w:rsidRPr="009E632A">
        <w:rPr>
          <w:rFonts w:ascii="Garamond" w:hAnsi="Garamond"/>
          <w:i/>
          <w:iCs/>
          <w:sz w:val="20"/>
          <w:szCs w:val="20"/>
          <w:lang w:val="en-US"/>
        </w:rPr>
        <w:t>BMC Public Health</w:t>
      </w:r>
      <w:r w:rsidRPr="009504FF">
        <w:rPr>
          <w:rFonts w:ascii="Garamond" w:hAnsi="Garamond"/>
          <w:sz w:val="20"/>
          <w:szCs w:val="20"/>
          <w:lang w:val="en-US"/>
        </w:rPr>
        <w:t xml:space="preserve"> 2021;21(1):358. doi:10.1186/s12889-021-10378-8</w:t>
      </w:r>
    </w:p>
    <w:p w14:paraId="34A5B94F" w14:textId="64BEEAC2" w:rsidR="00772249" w:rsidRDefault="00772249" w:rsidP="00772249">
      <w:pPr>
        <w:pStyle w:val="Paragrafoelenco"/>
        <w:numPr>
          <w:ilvl w:val="0"/>
          <w:numId w:val="1"/>
        </w:numPr>
        <w:spacing w:after="0" w:line="360" w:lineRule="auto"/>
        <w:jc w:val="both"/>
        <w:rPr>
          <w:rFonts w:ascii="Garamond" w:hAnsi="Garamond"/>
          <w:sz w:val="20"/>
          <w:szCs w:val="20"/>
          <w:lang w:val="en-US"/>
        </w:rPr>
      </w:pPr>
      <w:r w:rsidRPr="009504FF">
        <w:rPr>
          <w:rFonts w:ascii="Garamond" w:hAnsi="Garamond"/>
          <w:sz w:val="20"/>
          <w:szCs w:val="20"/>
          <w:lang w:val="en-US"/>
        </w:rPr>
        <w:t xml:space="preserve">Gandhi-Banga S, </w:t>
      </w:r>
      <w:proofErr w:type="spellStart"/>
      <w:r w:rsidRPr="009504FF">
        <w:rPr>
          <w:rFonts w:ascii="Garamond" w:hAnsi="Garamond"/>
          <w:sz w:val="20"/>
          <w:szCs w:val="20"/>
          <w:lang w:val="en-US"/>
        </w:rPr>
        <w:t>Wague</w:t>
      </w:r>
      <w:proofErr w:type="spellEnd"/>
      <w:r w:rsidRPr="009504FF">
        <w:rPr>
          <w:rFonts w:ascii="Garamond" w:hAnsi="Garamond"/>
          <w:sz w:val="20"/>
          <w:szCs w:val="20"/>
          <w:lang w:val="en-US"/>
        </w:rPr>
        <w:t xml:space="preserve"> S, Shrestha A, </w:t>
      </w:r>
      <w:r w:rsidR="009E632A">
        <w:rPr>
          <w:rFonts w:ascii="Garamond" w:hAnsi="Garamond"/>
          <w:sz w:val="20"/>
          <w:szCs w:val="20"/>
          <w:lang w:val="en-US"/>
        </w:rPr>
        <w:t>et al</w:t>
      </w:r>
      <w:r w:rsidRPr="009504FF">
        <w:rPr>
          <w:rFonts w:ascii="Garamond" w:hAnsi="Garamond"/>
          <w:sz w:val="20"/>
          <w:szCs w:val="20"/>
          <w:lang w:val="en-US"/>
        </w:rPr>
        <w:t xml:space="preserve">. Enhanced passive safety surveillance of high-dose and standard-dose quadrivalent inactivated split-virion influenza vaccines in Germany and Finland during the influenza season 2021/22. </w:t>
      </w:r>
      <w:r w:rsidRPr="009E632A">
        <w:rPr>
          <w:rFonts w:ascii="Garamond" w:hAnsi="Garamond"/>
          <w:i/>
          <w:iCs/>
          <w:sz w:val="20"/>
          <w:szCs w:val="20"/>
          <w:lang w:val="en-US"/>
        </w:rPr>
        <w:t>Influenza Other Respir Viruses</w:t>
      </w:r>
      <w:r w:rsidRPr="009504FF">
        <w:rPr>
          <w:rFonts w:ascii="Garamond" w:hAnsi="Garamond"/>
          <w:sz w:val="20"/>
          <w:szCs w:val="20"/>
          <w:lang w:val="en-US"/>
        </w:rPr>
        <w:t xml:space="preserve"> 2022</w:t>
      </w:r>
      <w:r w:rsidR="009E632A">
        <w:rPr>
          <w:rFonts w:ascii="Garamond" w:hAnsi="Garamond"/>
          <w:sz w:val="20"/>
          <w:szCs w:val="20"/>
          <w:lang w:val="en-US"/>
        </w:rPr>
        <w:t>, In press</w:t>
      </w:r>
      <w:r w:rsidRPr="009504FF">
        <w:rPr>
          <w:rFonts w:ascii="Garamond" w:hAnsi="Garamond"/>
          <w:sz w:val="20"/>
          <w:szCs w:val="20"/>
          <w:lang w:val="en-US"/>
        </w:rPr>
        <w:t>. doi:10.1111/irv.13071</w:t>
      </w:r>
    </w:p>
    <w:p w14:paraId="54C2E9BC" w14:textId="08FEAE95" w:rsidR="00772249" w:rsidRDefault="00772249" w:rsidP="00772249">
      <w:pPr>
        <w:pStyle w:val="Paragrafoelenco"/>
        <w:numPr>
          <w:ilvl w:val="0"/>
          <w:numId w:val="1"/>
        </w:numPr>
        <w:spacing w:after="0" w:line="360" w:lineRule="auto"/>
        <w:jc w:val="both"/>
        <w:rPr>
          <w:rFonts w:ascii="Garamond" w:hAnsi="Garamond"/>
          <w:sz w:val="20"/>
          <w:szCs w:val="20"/>
          <w:lang w:val="en-US"/>
        </w:rPr>
      </w:pPr>
      <w:proofErr w:type="spellStart"/>
      <w:r w:rsidRPr="009504FF">
        <w:rPr>
          <w:rFonts w:ascii="Garamond" w:hAnsi="Garamond"/>
          <w:sz w:val="20"/>
          <w:szCs w:val="20"/>
          <w:lang w:val="en-US"/>
        </w:rPr>
        <w:t>Syrkina</w:t>
      </w:r>
      <w:proofErr w:type="spellEnd"/>
      <w:r w:rsidRPr="009504FF">
        <w:rPr>
          <w:rFonts w:ascii="Garamond" w:hAnsi="Garamond"/>
          <w:sz w:val="20"/>
          <w:szCs w:val="20"/>
          <w:lang w:val="en-US"/>
        </w:rPr>
        <w:t xml:space="preserve"> O, Inamdar A, </w:t>
      </w:r>
      <w:proofErr w:type="spellStart"/>
      <w:r w:rsidRPr="009504FF">
        <w:rPr>
          <w:rFonts w:ascii="Garamond" w:hAnsi="Garamond"/>
          <w:sz w:val="20"/>
          <w:szCs w:val="20"/>
          <w:lang w:val="en-US"/>
        </w:rPr>
        <w:t>Wague</w:t>
      </w:r>
      <w:proofErr w:type="spellEnd"/>
      <w:r w:rsidRPr="009504FF">
        <w:rPr>
          <w:rFonts w:ascii="Garamond" w:hAnsi="Garamond"/>
          <w:sz w:val="20"/>
          <w:szCs w:val="20"/>
          <w:lang w:val="en-US"/>
        </w:rPr>
        <w:t xml:space="preserve"> S,</w:t>
      </w:r>
      <w:r w:rsidR="009E632A">
        <w:rPr>
          <w:rFonts w:ascii="Garamond" w:hAnsi="Garamond"/>
          <w:sz w:val="20"/>
          <w:szCs w:val="20"/>
          <w:lang w:val="en-US"/>
        </w:rPr>
        <w:t xml:space="preserve"> et al</w:t>
      </w:r>
      <w:r w:rsidRPr="009504FF">
        <w:rPr>
          <w:rFonts w:ascii="Garamond" w:hAnsi="Garamond"/>
          <w:sz w:val="20"/>
          <w:szCs w:val="20"/>
          <w:lang w:val="en-US"/>
        </w:rPr>
        <w:t xml:space="preserve">. Enhanced passive safety surveillance of a quadrivalent inactivated split virion influenza vaccine in Finland during the influenza season 2020/21. </w:t>
      </w:r>
      <w:r w:rsidRPr="009E632A">
        <w:rPr>
          <w:rFonts w:ascii="Garamond" w:hAnsi="Garamond"/>
          <w:i/>
          <w:iCs/>
          <w:sz w:val="20"/>
          <w:szCs w:val="20"/>
          <w:lang w:val="en-US"/>
        </w:rPr>
        <w:t>BMC Public Health</w:t>
      </w:r>
      <w:r w:rsidRPr="009504FF">
        <w:rPr>
          <w:rFonts w:ascii="Garamond" w:hAnsi="Garamond"/>
          <w:sz w:val="20"/>
          <w:szCs w:val="20"/>
          <w:lang w:val="en-US"/>
        </w:rPr>
        <w:t xml:space="preserve"> 2022;22(1):1506. doi:10.1186/s12889-022-13898-z</w:t>
      </w:r>
    </w:p>
    <w:p w14:paraId="548DA990" w14:textId="6930CEAF" w:rsidR="00772249" w:rsidRPr="00772249" w:rsidRDefault="00772249" w:rsidP="00772249">
      <w:pPr>
        <w:pStyle w:val="Paragrafoelenco"/>
        <w:numPr>
          <w:ilvl w:val="0"/>
          <w:numId w:val="1"/>
        </w:numPr>
        <w:spacing w:after="0" w:line="360" w:lineRule="auto"/>
        <w:jc w:val="both"/>
        <w:rPr>
          <w:rStyle w:val="Collegamentoipertestuale"/>
          <w:rFonts w:ascii="Garamond" w:hAnsi="Garamond"/>
          <w:color w:val="auto"/>
          <w:sz w:val="20"/>
          <w:szCs w:val="20"/>
          <w:u w:val="none"/>
          <w:lang w:val="en-US"/>
        </w:rPr>
      </w:pPr>
      <w:r w:rsidRPr="009504FF">
        <w:rPr>
          <w:rFonts w:ascii="Garamond" w:hAnsi="Garamond"/>
          <w:sz w:val="20"/>
          <w:szCs w:val="20"/>
          <w:lang w:val="en-US"/>
        </w:rPr>
        <w:t xml:space="preserve">World Health Organization (WHO). Recommendations for influenza vaccine composition. </w:t>
      </w:r>
      <w:r w:rsidRPr="00772249">
        <w:rPr>
          <w:rFonts w:ascii="Garamond" w:hAnsi="Garamond"/>
          <w:sz w:val="20"/>
          <w:szCs w:val="20"/>
          <w:lang w:val="en-US"/>
        </w:rPr>
        <w:t>https://www.who.int/teams/global-influenza-programme/vaccines/who-recommendations</w:t>
      </w:r>
      <w:r w:rsidRPr="00772249">
        <w:rPr>
          <w:rStyle w:val="Collegamentoipertestuale"/>
          <w:rFonts w:ascii="Garamond" w:hAnsi="Garamond"/>
          <w:sz w:val="20"/>
          <w:szCs w:val="20"/>
          <w:lang w:val="en-US"/>
        </w:rPr>
        <w:t>.</w:t>
      </w:r>
      <w:r w:rsidR="009E632A" w:rsidRPr="009E632A">
        <w:rPr>
          <w:rFonts w:ascii="Garamond" w:hAnsi="Garamond"/>
          <w:sz w:val="20"/>
          <w:szCs w:val="20"/>
          <w:lang w:val="en-US"/>
        </w:rPr>
        <w:t xml:space="preserve"> </w:t>
      </w:r>
      <w:r w:rsidR="009E632A">
        <w:rPr>
          <w:rFonts w:ascii="Garamond" w:hAnsi="Garamond"/>
          <w:sz w:val="20"/>
          <w:szCs w:val="20"/>
          <w:lang w:val="en-US"/>
        </w:rPr>
        <w:t>(Accessed January 19, 2023).</w:t>
      </w:r>
    </w:p>
    <w:p w14:paraId="59AED21A" w14:textId="199BF5BF" w:rsidR="00772249" w:rsidRDefault="00772249" w:rsidP="00772249">
      <w:pPr>
        <w:pStyle w:val="Paragrafoelenco"/>
        <w:numPr>
          <w:ilvl w:val="0"/>
          <w:numId w:val="1"/>
        </w:numPr>
        <w:spacing w:after="0" w:line="360" w:lineRule="auto"/>
        <w:jc w:val="both"/>
        <w:rPr>
          <w:rFonts w:ascii="Garamond" w:hAnsi="Garamond"/>
          <w:sz w:val="20"/>
          <w:szCs w:val="20"/>
          <w:lang w:val="en-US"/>
        </w:rPr>
      </w:pPr>
      <w:r w:rsidRPr="009504FF">
        <w:rPr>
          <w:rFonts w:ascii="Garamond" w:hAnsi="Garamond"/>
          <w:sz w:val="20"/>
          <w:szCs w:val="20"/>
          <w:lang w:val="en-US"/>
        </w:rPr>
        <w:t xml:space="preserve">European Medicines Agency (EMA). Good pharmacovigilance practices. </w:t>
      </w:r>
      <w:r w:rsidRPr="00772249">
        <w:rPr>
          <w:rFonts w:ascii="Garamond" w:hAnsi="Garamond"/>
          <w:sz w:val="20"/>
          <w:szCs w:val="20"/>
          <w:lang w:val="en-US"/>
        </w:rPr>
        <w:t>https://www.ema.europa.eu/en/human-regulatory/post-authorisation/pharmacovigilance/good-pharmacovigilance-practices</w:t>
      </w:r>
      <w:r>
        <w:rPr>
          <w:rFonts w:ascii="Garamond" w:hAnsi="Garamond"/>
          <w:sz w:val="20"/>
          <w:szCs w:val="20"/>
          <w:lang w:val="en-US"/>
        </w:rPr>
        <w:t>.</w:t>
      </w:r>
      <w:r w:rsidR="009E632A" w:rsidRPr="009E632A">
        <w:rPr>
          <w:rFonts w:ascii="Garamond" w:hAnsi="Garamond"/>
          <w:sz w:val="20"/>
          <w:szCs w:val="20"/>
          <w:lang w:val="en-US"/>
        </w:rPr>
        <w:t xml:space="preserve"> </w:t>
      </w:r>
      <w:r w:rsidR="009E632A">
        <w:rPr>
          <w:rFonts w:ascii="Garamond" w:hAnsi="Garamond"/>
          <w:sz w:val="20"/>
          <w:szCs w:val="20"/>
          <w:lang w:val="en-US"/>
        </w:rPr>
        <w:t>(Accessed January 19, 2023).</w:t>
      </w:r>
    </w:p>
    <w:p w14:paraId="22BF12A7" w14:textId="28E1723B" w:rsidR="00772249" w:rsidRDefault="00772249" w:rsidP="00772249">
      <w:pPr>
        <w:pStyle w:val="Paragrafoelenco"/>
        <w:numPr>
          <w:ilvl w:val="0"/>
          <w:numId w:val="1"/>
        </w:numPr>
        <w:spacing w:after="0" w:line="360" w:lineRule="auto"/>
        <w:jc w:val="both"/>
        <w:rPr>
          <w:rFonts w:ascii="Garamond" w:hAnsi="Garamond"/>
          <w:sz w:val="20"/>
          <w:szCs w:val="20"/>
          <w:lang w:val="en-US"/>
        </w:rPr>
      </w:pPr>
      <w:r w:rsidRPr="009504FF">
        <w:rPr>
          <w:rFonts w:ascii="Garamond" w:hAnsi="Garamond"/>
          <w:sz w:val="20"/>
          <w:szCs w:val="20"/>
          <w:lang w:val="en-US"/>
        </w:rPr>
        <w:t xml:space="preserve">European Medicines Agency (EMA). </w:t>
      </w:r>
      <w:proofErr w:type="spellStart"/>
      <w:r>
        <w:rPr>
          <w:rFonts w:ascii="Garamond" w:hAnsi="Garamond"/>
          <w:sz w:val="20"/>
          <w:szCs w:val="20"/>
          <w:lang w:val="en-US"/>
        </w:rPr>
        <w:t>Flucelcax</w:t>
      </w:r>
      <w:proofErr w:type="spellEnd"/>
      <w:r>
        <w:rPr>
          <w:rFonts w:ascii="Garamond" w:hAnsi="Garamond"/>
          <w:sz w:val="20"/>
          <w:szCs w:val="20"/>
          <w:lang w:val="en-US"/>
        </w:rPr>
        <w:t xml:space="preserve"> Tetra, summary of product characteristics. </w:t>
      </w:r>
      <w:r w:rsidRPr="00772249">
        <w:rPr>
          <w:rFonts w:ascii="Garamond" w:hAnsi="Garamond"/>
          <w:sz w:val="20"/>
          <w:szCs w:val="20"/>
          <w:lang w:val="en-US"/>
        </w:rPr>
        <w:t>https://www.ema.europa.eu/en/documents/product-information/flucelvax-tetra-epar-product-information_en.pdf</w:t>
      </w:r>
      <w:r>
        <w:rPr>
          <w:rFonts w:ascii="Garamond" w:hAnsi="Garamond"/>
          <w:sz w:val="20"/>
          <w:szCs w:val="20"/>
          <w:lang w:val="en-US"/>
        </w:rPr>
        <w:t>.</w:t>
      </w:r>
      <w:r w:rsidR="009E632A" w:rsidRPr="009E632A">
        <w:rPr>
          <w:rFonts w:ascii="Garamond" w:hAnsi="Garamond"/>
          <w:sz w:val="20"/>
          <w:szCs w:val="20"/>
          <w:lang w:val="en-US"/>
        </w:rPr>
        <w:t xml:space="preserve"> </w:t>
      </w:r>
      <w:r w:rsidR="009E632A">
        <w:rPr>
          <w:rFonts w:ascii="Garamond" w:hAnsi="Garamond"/>
          <w:sz w:val="20"/>
          <w:szCs w:val="20"/>
          <w:lang w:val="en-US"/>
        </w:rPr>
        <w:t>(Accessed January 19, 2023).</w:t>
      </w:r>
    </w:p>
    <w:p w14:paraId="173B5707" w14:textId="70D69478" w:rsidR="00772249" w:rsidRDefault="00772249" w:rsidP="00772249">
      <w:pPr>
        <w:pStyle w:val="Paragrafoelenco"/>
        <w:numPr>
          <w:ilvl w:val="0"/>
          <w:numId w:val="1"/>
        </w:numPr>
        <w:spacing w:after="0" w:line="360" w:lineRule="auto"/>
        <w:jc w:val="both"/>
        <w:rPr>
          <w:rFonts w:ascii="Garamond" w:hAnsi="Garamond"/>
          <w:sz w:val="20"/>
          <w:szCs w:val="20"/>
          <w:lang w:val="en-US"/>
        </w:rPr>
      </w:pPr>
      <w:r w:rsidRPr="009504FF">
        <w:rPr>
          <w:rFonts w:ascii="Garamond" w:hAnsi="Garamond"/>
          <w:sz w:val="20"/>
          <w:szCs w:val="20"/>
          <w:lang w:val="en-US"/>
        </w:rPr>
        <w:lastRenderedPageBreak/>
        <w:t xml:space="preserve">Shimabukuro TT, Nguyen M, Martin D, </w:t>
      </w:r>
      <w:r w:rsidR="009E632A">
        <w:rPr>
          <w:rFonts w:ascii="Garamond" w:hAnsi="Garamond"/>
          <w:sz w:val="20"/>
          <w:szCs w:val="20"/>
          <w:lang w:val="en-US"/>
        </w:rPr>
        <w:t>et al</w:t>
      </w:r>
      <w:r w:rsidRPr="009504FF">
        <w:rPr>
          <w:rFonts w:ascii="Garamond" w:hAnsi="Garamond"/>
          <w:sz w:val="20"/>
          <w:szCs w:val="20"/>
          <w:lang w:val="en-US"/>
        </w:rPr>
        <w:t xml:space="preserve">. Safety monitoring in the Vaccine Adverse Event Reporting System (VAERS). </w:t>
      </w:r>
      <w:r w:rsidRPr="009E632A">
        <w:rPr>
          <w:rFonts w:ascii="Garamond" w:hAnsi="Garamond"/>
          <w:i/>
          <w:iCs/>
          <w:sz w:val="20"/>
          <w:szCs w:val="20"/>
          <w:lang w:val="en-US"/>
        </w:rPr>
        <w:t>Vaccine</w:t>
      </w:r>
      <w:r w:rsidRPr="009504FF">
        <w:rPr>
          <w:rFonts w:ascii="Garamond" w:hAnsi="Garamond"/>
          <w:sz w:val="20"/>
          <w:szCs w:val="20"/>
          <w:lang w:val="en-US"/>
        </w:rPr>
        <w:t xml:space="preserve"> 2015;33(36):4398-</w:t>
      </w:r>
      <w:r w:rsidR="009E632A">
        <w:rPr>
          <w:rFonts w:ascii="Garamond" w:hAnsi="Garamond"/>
          <w:sz w:val="20"/>
          <w:szCs w:val="20"/>
          <w:lang w:val="en-US"/>
        </w:rPr>
        <w:t>4</w:t>
      </w:r>
      <w:r w:rsidRPr="009504FF">
        <w:rPr>
          <w:rFonts w:ascii="Garamond" w:hAnsi="Garamond"/>
          <w:sz w:val="20"/>
          <w:szCs w:val="20"/>
          <w:lang w:val="en-US"/>
        </w:rPr>
        <w:t xml:space="preserve">405. </w:t>
      </w:r>
      <w:proofErr w:type="gramStart"/>
      <w:r w:rsidRPr="009504FF">
        <w:rPr>
          <w:rFonts w:ascii="Garamond" w:hAnsi="Garamond"/>
          <w:sz w:val="20"/>
          <w:szCs w:val="20"/>
          <w:lang w:val="en-US"/>
        </w:rPr>
        <w:t>doi:10.1016/j.vaccine</w:t>
      </w:r>
      <w:proofErr w:type="gramEnd"/>
      <w:r w:rsidRPr="009504FF">
        <w:rPr>
          <w:rFonts w:ascii="Garamond" w:hAnsi="Garamond"/>
          <w:sz w:val="20"/>
          <w:szCs w:val="20"/>
          <w:lang w:val="en-US"/>
        </w:rPr>
        <w:t>.2015.07.035</w:t>
      </w:r>
    </w:p>
    <w:p w14:paraId="5A867086" w14:textId="2DFA3D7F" w:rsidR="00772249" w:rsidRDefault="00772249" w:rsidP="00772249">
      <w:pPr>
        <w:pStyle w:val="Paragrafoelenco"/>
        <w:numPr>
          <w:ilvl w:val="0"/>
          <w:numId w:val="1"/>
        </w:numPr>
        <w:spacing w:after="0" w:line="360" w:lineRule="auto"/>
        <w:jc w:val="both"/>
        <w:rPr>
          <w:rFonts w:ascii="Garamond" w:hAnsi="Garamond"/>
          <w:sz w:val="20"/>
          <w:szCs w:val="20"/>
          <w:lang w:val="en-US"/>
        </w:rPr>
      </w:pPr>
      <w:r w:rsidRPr="009504FF">
        <w:rPr>
          <w:rFonts w:ascii="Garamond" w:hAnsi="Garamond"/>
          <w:sz w:val="20"/>
          <w:szCs w:val="20"/>
          <w:lang w:val="en-US"/>
        </w:rPr>
        <w:t xml:space="preserve">Leroy Z, Broder K, </w:t>
      </w:r>
      <w:proofErr w:type="spellStart"/>
      <w:r w:rsidRPr="009504FF">
        <w:rPr>
          <w:rFonts w:ascii="Garamond" w:hAnsi="Garamond"/>
          <w:sz w:val="20"/>
          <w:szCs w:val="20"/>
          <w:lang w:val="en-US"/>
        </w:rPr>
        <w:t>Menschik</w:t>
      </w:r>
      <w:proofErr w:type="spellEnd"/>
      <w:r w:rsidRPr="009504FF">
        <w:rPr>
          <w:rFonts w:ascii="Garamond" w:hAnsi="Garamond"/>
          <w:sz w:val="20"/>
          <w:szCs w:val="20"/>
          <w:lang w:val="en-US"/>
        </w:rPr>
        <w:t xml:space="preserve"> D, </w:t>
      </w:r>
      <w:r w:rsidR="009E632A">
        <w:rPr>
          <w:rFonts w:ascii="Garamond" w:hAnsi="Garamond"/>
          <w:sz w:val="20"/>
          <w:szCs w:val="20"/>
          <w:lang w:val="en-US"/>
        </w:rPr>
        <w:t>et al</w:t>
      </w:r>
      <w:r w:rsidRPr="009504FF">
        <w:rPr>
          <w:rFonts w:ascii="Garamond" w:hAnsi="Garamond"/>
          <w:sz w:val="20"/>
          <w:szCs w:val="20"/>
          <w:lang w:val="en-US"/>
        </w:rPr>
        <w:t xml:space="preserve">. Febrile seizures after 2010-2011 influenza vaccine in young children, United States: a vaccine safety signal from the vaccine adverse event reporting system. </w:t>
      </w:r>
      <w:r w:rsidRPr="009E632A">
        <w:rPr>
          <w:rFonts w:ascii="Garamond" w:hAnsi="Garamond"/>
          <w:i/>
          <w:iCs/>
          <w:sz w:val="20"/>
          <w:szCs w:val="20"/>
          <w:lang w:val="en-US"/>
        </w:rPr>
        <w:t>Vaccine</w:t>
      </w:r>
      <w:r w:rsidRPr="009504FF">
        <w:rPr>
          <w:rFonts w:ascii="Garamond" w:hAnsi="Garamond"/>
          <w:sz w:val="20"/>
          <w:szCs w:val="20"/>
          <w:lang w:val="en-US"/>
        </w:rPr>
        <w:t xml:space="preserve"> 2012;30(11):2020-</w:t>
      </w:r>
      <w:r w:rsidR="009E632A">
        <w:rPr>
          <w:rFonts w:ascii="Garamond" w:hAnsi="Garamond"/>
          <w:sz w:val="20"/>
          <w:szCs w:val="20"/>
          <w:lang w:val="en-US"/>
        </w:rPr>
        <w:t>202</w:t>
      </w:r>
      <w:r w:rsidRPr="009504FF">
        <w:rPr>
          <w:rFonts w:ascii="Garamond" w:hAnsi="Garamond"/>
          <w:sz w:val="20"/>
          <w:szCs w:val="20"/>
          <w:lang w:val="en-US"/>
        </w:rPr>
        <w:t xml:space="preserve">3. </w:t>
      </w:r>
      <w:proofErr w:type="gramStart"/>
      <w:r w:rsidRPr="009504FF">
        <w:rPr>
          <w:rFonts w:ascii="Garamond" w:hAnsi="Garamond"/>
          <w:sz w:val="20"/>
          <w:szCs w:val="20"/>
          <w:lang w:val="en-US"/>
        </w:rPr>
        <w:t>doi:10.1016/j.vaccine</w:t>
      </w:r>
      <w:proofErr w:type="gramEnd"/>
      <w:r w:rsidRPr="009504FF">
        <w:rPr>
          <w:rFonts w:ascii="Garamond" w:hAnsi="Garamond"/>
          <w:sz w:val="20"/>
          <w:szCs w:val="20"/>
          <w:lang w:val="en-US"/>
        </w:rPr>
        <w:t>.2011.12.042</w:t>
      </w:r>
    </w:p>
    <w:p w14:paraId="72979B5E" w14:textId="10DFABFA" w:rsidR="00772249" w:rsidRDefault="00772249" w:rsidP="00772249">
      <w:pPr>
        <w:pStyle w:val="Paragrafoelenco"/>
        <w:numPr>
          <w:ilvl w:val="0"/>
          <w:numId w:val="1"/>
        </w:numPr>
        <w:spacing w:after="0" w:line="360" w:lineRule="auto"/>
        <w:jc w:val="both"/>
        <w:rPr>
          <w:rFonts w:ascii="Garamond" w:hAnsi="Garamond"/>
          <w:sz w:val="20"/>
          <w:szCs w:val="20"/>
          <w:lang w:val="en-US"/>
        </w:rPr>
      </w:pPr>
      <w:r w:rsidRPr="009504FF">
        <w:rPr>
          <w:rFonts w:ascii="Garamond" w:hAnsi="Garamond"/>
          <w:sz w:val="20"/>
          <w:szCs w:val="20"/>
          <w:lang w:val="en-US"/>
        </w:rPr>
        <w:t xml:space="preserve">Martin D, </w:t>
      </w:r>
      <w:proofErr w:type="spellStart"/>
      <w:r w:rsidRPr="009504FF">
        <w:rPr>
          <w:rFonts w:ascii="Garamond" w:hAnsi="Garamond"/>
          <w:sz w:val="20"/>
          <w:szCs w:val="20"/>
          <w:lang w:val="en-US"/>
        </w:rPr>
        <w:t>Menschik</w:t>
      </w:r>
      <w:proofErr w:type="spellEnd"/>
      <w:r w:rsidRPr="009504FF">
        <w:rPr>
          <w:rFonts w:ascii="Garamond" w:hAnsi="Garamond"/>
          <w:sz w:val="20"/>
          <w:szCs w:val="20"/>
          <w:lang w:val="en-US"/>
        </w:rPr>
        <w:t xml:space="preserve"> D, Bryant-</w:t>
      </w:r>
      <w:proofErr w:type="spellStart"/>
      <w:r w:rsidRPr="009504FF">
        <w:rPr>
          <w:rFonts w:ascii="Garamond" w:hAnsi="Garamond"/>
          <w:sz w:val="20"/>
          <w:szCs w:val="20"/>
          <w:lang w:val="en-US"/>
        </w:rPr>
        <w:t>Genevier</w:t>
      </w:r>
      <w:proofErr w:type="spellEnd"/>
      <w:r w:rsidRPr="009504FF">
        <w:rPr>
          <w:rFonts w:ascii="Garamond" w:hAnsi="Garamond"/>
          <w:sz w:val="20"/>
          <w:szCs w:val="20"/>
          <w:lang w:val="en-US"/>
        </w:rPr>
        <w:t xml:space="preserve"> M, </w:t>
      </w:r>
      <w:r w:rsidR="009E632A">
        <w:rPr>
          <w:rFonts w:ascii="Garamond" w:hAnsi="Garamond"/>
          <w:sz w:val="20"/>
          <w:szCs w:val="20"/>
          <w:lang w:val="en-US"/>
        </w:rPr>
        <w:t>et al</w:t>
      </w:r>
      <w:r w:rsidRPr="009504FF">
        <w:rPr>
          <w:rFonts w:ascii="Garamond" w:hAnsi="Garamond"/>
          <w:sz w:val="20"/>
          <w:szCs w:val="20"/>
          <w:lang w:val="en-US"/>
        </w:rPr>
        <w:t xml:space="preserve">. Data mining for prospective early detection of safety signals in the Vaccine Adverse Event Reporting System (VAERS): </w:t>
      </w:r>
      <w:r w:rsidR="009E632A">
        <w:rPr>
          <w:rFonts w:ascii="Garamond" w:hAnsi="Garamond"/>
          <w:sz w:val="20"/>
          <w:szCs w:val="20"/>
          <w:lang w:val="en-US"/>
        </w:rPr>
        <w:t>A</w:t>
      </w:r>
      <w:r w:rsidRPr="009504FF">
        <w:rPr>
          <w:rFonts w:ascii="Garamond" w:hAnsi="Garamond"/>
          <w:sz w:val="20"/>
          <w:szCs w:val="20"/>
          <w:lang w:val="en-US"/>
        </w:rPr>
        <w:t xml:space="preserve"> case study of febrile seizures after a 2010-2011 seasonal influenza virus vaccine. </w:t>
      </w:r>
      <w:r w:rsidRPr="009E632A">
        <w:rPr>
          <w:rFonts w:ascii="Garamond" w:hAnsi="Garamond"/>
          <w:i/>
          <w:iCs/>
          <w:sz w:val="20"/>
          <w:szCs w:val="20"/>
          <w:lang w:val="en-US"/>
        </w:rPr>
        <w:t xml:space="preserve">Drug </w:t>
      </w:r>
      <w:proofErr w:type="spellStart"/>
      <w:r w:rsidRPr="009E632A">
        <w:rPr>
          <w:rFonts w:ascii="Garamond" w:hAnsi="Garamond"/>
          <w:i/>
          <w:iCs/>
          <w:sz w:val="20"/>
          <w:szCs w:val="20"/>
          <w:lang w:val="en-US"/>
        </w:rPr>
        <w:t>Saf</w:t>
      </w:r>
      <w:proofErr w:type="spellEnd"/>
      <w:r w:rsidRPr="009504FF">
        <w:rPr>
          <w:rFonts w:ascii="Garamond" w:hAnsi="Garamond"/>
          <w:sz w:val="20"/>
          <w:szCs w:val="20"/>
          <w:lang w:val="en-US"/>
        </w:rPr>
        <w:t xml:space="preserve"> 2013;36(7):547-</w:t>
      </w:r>
      <w:r w:rsidR="009E632A">
        <w:rPr>
          <w:rFonts w:ascii="Garamond" w:hAnsi="Garamond"/>
          <w:sz w:val="20"/>
          <w:szCs w:val="20"/>
          <w:lang w:val="en-US"/>
        </w:rPr>
        <w:t>5</w:t>
      </w:r>
      <w:r w:rsidRPr="009504FF">
        <w:rPr>
          <w:rFonts w:ascii="Garamond" w:hAnsi="Garamond"/>
          <w:sz w:val="20"/>
          <w:szCs w:val="20"/>
          <w:lang w:val="en-US"/>
        </w:rPr>
        <w:t>56. doi:10.1007/s40264-013-0051-9</w:t>
      </w:r>
    </w:p>
    <w:p w14:paraId="3D306B6C" w14:textId="641CD7D6" w:rsidR="00772249" w:rsidRPr="009504FF" w:rsidRDefault="00772249" w:rsidP="00772249">
      <w:pPr>
        <w:pStyle w:val="Paragrafoelenco"/>
        <w:numPr>
          <w:ilvl w:val="0"/>
          <w:numId w:val="1"/>
        </w:numPr>
        <w:spacing w:after="0" w:line="360" w:lineRule="auto"/>
        <w:jc w:val="both"/>
        <w:rPr>
          <w:rFonts w:ascii="Garamond" w:hAnsi="Garamond"/>
          <w:sz w:val="20"/>
          <w:szCs w:val="20"/>
          <w:lang w:val="en-US"/>
        </w:rPr>
      </w:pPr>
      <w:r w:rsidRPr="009504FF">
        <w:rPr>
          <w:rFonts w:ascii="Garamond" w:hAnsi="Garamond"/>
          <w:sz w:val="20"/>
          <w:szCs w:val="20"/>
          <w:lang w:val="en-US"/>
        </w:rPr>
        <w:t xml:space="preserve">Jordan K, </w:t>
      </w:r>
      <w:proofErr w:type="spellStart"/>
      <w:r w:rsidRPr="009504FF">
        <w:rPr>
          <w:rFonts w:ascii="Garamond" w:hAnsi="Garamond"/>
          <w:sz w:val="20"/>
          <w:szCs w:val="20"/>
          <w:lang w:val="en-US"/>
        </w:rPr>
        <w:t>Murchu</w:t>
      </w:r>
      <w:proofErr w:type="spellEnd"/>
      <w:r w:rsidRPr="009504FF">
        <w:rPr>
          <w:rFonts w:ascii="Garamond" w:hAnsi="Garamond"/>
          <w:sz w:val="20"/>
          <w:szCs w:val="20"/>
          <w:lang w:val="en-US"/>
        </w:rPr>
        <w:t xml:space="preserve"> EO, Comber L, </w:t>
      </w:r>
      <w:r w:rsidR="009E632A">
        <w:rPr>
          <w:rFonts w:ascii="Garamond" w:hAnsi="Garamond"/>
          <w:sz w:val="20"/>
          <w:szCs w:val="20"/>
          <w:lang w:val="en-US"/>
        </w:rPr>
        <w:t>et al</w:t>
      </w:r>
      <w:r w:rsidRPr="009504FF">
        <w:rPr>
          <w:rFonts w:ascii="Garamond" w:hAnsi="Garamond"/>
          <w:sz w:val="20"/>
          <w:szCs w:val="20"/>
          <w:lang w:val="en-US"/>
        </w:rPr>
        <w:t xml:space="preserve">. Systematic review of the efficacy, </w:t>
      </w:r>
      <w:proofErr w:type="gramStart"/>
      <w:r w:rsidRPr="009504FF">
        <w:rPr>
          <w:rFonts w:ascii="Garamond" w:hAnsi="Garamond"/>
          <w:sz w:val="20"/>
          <w:szCs w:val="20"/>
          <w:lang w:val="en-US"/>
        </w:rPr>
        <w:t>effectiveness</w:t>
      </w:r>
      <w:proofErr w:type="gramEnd"/>
      <w:r w:rsidRPr="009504FF">
        <w:rPr>
          <w:rFonts w:ascii="Garamond" w:hAnsi="Garamond"/>
          <w:sz w:val="20"/>
          <w:szCs w:val="20"/>
          <w:lang w:val="en-US"/>
        </w:rPr>
        <w:t xml:space="preserve"> and safety of cell-based seasonal influenza vaccines for the prevention of laboratory-confirmed influenza in individuals ≥18 years of age. </w:t>
      </w:r>
      <w:r w:rsidRPr="009E632A">
        <w:rPr>
          <w:rFonts w:ascii="Garamond" w:hAnsi="Garamond"/>
          <w:i/>
          <w:iCs/>
          <w:sz w:val="20"/>
          <w:szCs w:val="20"/>
          <w:lang w:val="en-US"/>
        </w:rPr>
        <w:t xml:space="preserve">Rev Med </w:t>
      </w:r>
      <w:proofErr w:type="spellStart"/>
      <w:r w:rsidRPr="009E632A">
        <w:rPr>
          <w:rFonts w:ascii="Garamond" w:hAnsi="Garamond"/>
          <w:i/>
          <w:iCs/>
          <w:sz w:val="20"/>
          <w:szCs w:val="20"/>
          <w:lang w:val="en-US"/>
        </w:rPr>
        <w:t>Virol</w:t>
      </w:r>
      <w:proofErr w:type="spellEnd"/>
      <w:r w:rsidRPr="009E632A">
        <w:rPr>
          <w:rFonts w:ascii="Garamond" w:hAnsi="Garamond"/>
          <w:i/>
          <w:iCs/>
          <w:sz w:val="20"/>
          <w:szCs w:val="20"/>
          <w:lang w:val="en-US"/>
        </w:rPr>
        <w:t>.</w:t>
      </w:r>
      <w:r w:rsidRPr="009504FF">
        <w:rPr>
          <w:rFonts w:ascii="Garamond" w:hAnsi="Garamond"/>
          <w:sz w:val="20"/>
          <w:szCs w:val="20"/>
          <w:lang w:val="en-US"/>
        </w:rPr>
        <w:t xml:space="preserve"> </w:t>
      </w:r>
      <w:proofErr w:type="gramStart"/>
      <w:r w:rsidRPr="009504FF">
        <w:rPr>
          <w:rFonts w:ascii="Garamond" w:hAnsi="Garamond"/>
          <w:sz w:val="20"/>
          <w:szCs w:val="20"/>
          <w:lang w:val="en-US"/>
        </w:rPr>
        <w:t>2022:e</w:t>
      </w:r>
      <w:proofErr w:type="gramEnd"/>
      <w:r w:rsidRPr="009504FF">
        <w:rPr>
          <w:rFonts w:ascii="Garamond" w:hAnsi="Garamond"/>
          <w:sz w:val="20"/>
          <w:szCs w:val="20"/>
          <w:lang w:val="en-US"/>
        </w:rPr>
        <w:t>2332. doi:10.1002/rmv.2332</w:t>
      </w:r>
    </w:p>
    <w:p w14:paraId="0595D4E5" w14:textId="45B7C03C" w:rsidR="00772249" w:rsidRDefault="00772249" w:rsidP="00772249">
      <w:pPr>
        <w:pStyle w:val="Paragrafoelenco"/>
        <w:numPr>
          <w:ilvl w:val="0"/>
          <w:numId w:val="1"/>
        </w:numPr>
        <w:spacing w:after="0" w:line="360" w:lineRule="auto"/>
        <w:jc w:val="both"/>
        <w:rPr>
          <w:rFonts w:ascii="Garamond" w:hAnsi="Garamond"/>
          <w:sz w:val="20"/>
          <w:szCs w:val="20"/>
          <w:lang w:val="en-US"/>
        </w:rPr>
      </w:pPr>
      <w:r w:rsidRPr="009504FF">
        <w:rPr>
          <w:rFonts w:ascii="Garamond" w:hAnsi="Garamond"/>
          <w:sz w:val="20"/>
          <w:szCs w:val="20"/>
        </w:rPr>
        <w:t xml:space="preserve">Stefanizzi P, De Nitto S, Spinelli G, </w:t>
      </w:r>
      <w:r w:rsidR="00206709">
        <w:rPr>
          <w:rFonts w:ascii="Garamond" w:hAnsi="Garamond"/>
          <w:sz w:val="20"/>
          <w:szCs w:val="20"/>
        </w:rPr>
        <w:t>et al</w:t>
      </w:r>
      <w:r w:rsidRPr="009504FF">
        <w:rPr>
          <w:rFonts w:ascii="Garamond" w:hAnsi="Garamond"/>
          <w:sz w:val="20"/>
          <w:szCs w:val="20"/>
        </w:rPr>
        <w:t xml:space="preserve">. </w:t>
      </w:r>
      <w:r w:rsidRPr="009504FF">
        <w:rPr>
          <w:rFonts w:ascii="Garamond" w:hAnsi="Garamond"/>
          <w:sz w:val="20"/>
          <w:szCs w:val="20"/>
          <w:lang w:val="en-US"/>
        </w:rPr>
        <w:t xml:space="preserve">Post-marketing active surveillance of adverse reactions following influenza cell-based quadrivalent vaccine: An Italian prospective observational study. </w:t>
      </w:r>
      <w:r w:rsidRPr="00206709">
        <w:rPr>
          <w:rFonts w:ascii="Garamond" w:hAnsi="Garamond"/>
          <w:i/>
          <w:iCs/>
          <w:sz w:val="20"/>
          <w:szCs w:val="20"/>
          <w:lang w:val="en-US"/>
        </w:rPr>
        <w:t>Vaccines (Basel)</w:t>
      </w:r>
      <w:r w:rsidRPr="009504FF">
        <w:rPr>
          <w:rFonts w:ascii="Garamond" w:hAnsi="Garamond"/>
          <w:sz w:val="20"/>
          <w:szCs w:val="20"/>
          <w:lang w:val="en-US"/>
        </w:rPr>
        <w:t xml:space="preserve"> 2021;9(5):456. </w:t>
      </w:r>
      <w:proofErr w:type="spellStart"/>
      <w:r w:rsidRPr="009504FF">
        <w:rPr>
          <w:rFonts w:ascii="Garamond" w:hAnsi="Garamond"/>
          <w:sz w:val="20"/>
          <w:szCs w:val="20"/>
          <w:lang w:val="en-US"/>
        </w:rPr>
        <w:t>doi</w:t>
      </w:r>
      <w:proofErr w:type="spellEnd"/>
      <w:r w:rsidRPr="009504FF">
        <w:rPr>
          <w:rFonts w:ascii="Garamond" w:hAnsi="Garamond"/>
          <w:sz w:val="20"/>
          <w:szCs w:val="20"/>
          <w:lang w:val="en-US"/>
        </w:rPr>
        <w:t>: 10.3390/vaccines9050456</w:t>
      </w:r>
    </w:p>
    <w:p w14:paraId="601513AE" w14:textId="79C2C570" w:rsidR="00772249" w:rsidRPr="009504FF" w:rsidRDefault="00772249" w:rsidP="00772249">
      <w:pPr>
        <w:pStyle w:val="Paragrafoelenco"/>
        <w:numPr>
          <w:ilvl w:val="0"/>
          <w:numId w:val="1"/>
        </w:numPr>
        <w:spacing w:after="0" w:line="360" w:lineRule="auto"/>
        <w:jc w:val="both"/>
        <w:rPr>
          <w:rStyle w:val="Collegamentoipertestuale"/>
          <w:rFonts w:ascii="Garamond" w:hAnsi="Garamond"/>
          <w:color w:val="auto"/>
          <w:sz w:val="20"/>
          <w:szCs w:val="20"/>
          <w:u w:val="none"/>
          <w:lang w:val="en-US"/>
        </w:rPr>
      </w:pPr>
      <w:r w:rsidRPr="009504FF">
        <w:rPr>
          <w:rFonts w:ascii="Garamond" w:hAnsi="Garamond"/>
          <w:sz w:val="20"/>
          <w:szCs w:val="20"/>
          <w:lang w:val="en-US"/>
        </w:rPr>
        <w:t xml:space="preserve">Italian Medicines Agency. Report on the post-marketing surveillance of vaccines 2019. </w:t>
      </w:r>
      <w:r w:rsidRPr="00772249">
        <w:rPr>
          <w:rFonts w:ascii="Garamond" w:hAnsi="Garamond"/>
          <w:sz w:val="20"/>
          <w:szCs w:val="20"/>
          <w:lang w:val="en-US"/>
        </w:rPr>
        <w:t>https://www.aifa.gov.it/documents/20142/241052/Rapporto_Vaccini_2019.pdf</w:t>
      </w:r>
      <w:r>
        <w:rPr>
          <w:rFonts w:ascii="Garamond" w:hAnsi="Garamond"/>
          <w:sz w:val="20"/>
          <w:szCs w:val="20"/>
          <w:lang w:val="en-US"/>
        </w:rPr>
        <w:t>.</w:t>
      </w:r>
      <w:r w:rsidR="009E632A" w:rsidRPr="009E632A">
        <w:rPr>
          <w:rFonts w:ascii="Garamond" w:hAnsi="Garamond"/>
          <w:sz w:val="20"/>
          <w:szCs w:val="20"/>
          <w:lang w:val="en-US"/>
        </w:rPr>
        <w:t xml:space="preserve"> </w:t>
      </w:r>
      <w:r w:rsidR="009E632A">
        <w:rPr>
          <w:rFonts w:ascii="Garamond" w:hAnsi="Garamond"/>
          <w:sz w:val="20"/>
          <w:szCs w:val="20"/>
          <w:lang w:val="en-US"/>
        </w:rPr>
        <w:t>(Accessed January 19, 2023).</w:t>
      </w:r>
    </w:p>
    <w:p w14:paraId="23A0E6C9" w14:textId="4C9717B2" w:rsidR="00772249" w:rsidRPr="009504FF" w:rsidRDefault="00772249" w:rsidP="00772249">
      <w:pPr>
        <w:pStyle w:val="Paragrafoelenco"/>
        <w:numPr>
          <w:ilvl w:val="0"/>
          <w:numId w:val="1"/>
        </w:numPr>
        <w:spacing w:after="0" w:line="360" w:lineRule="auto"/>
        <w:jc w:val="both"/>
        <w:rPr>
          <w:rFonts w:ascii="Garamond" w:hAnsi="Garamond"/>
          <w:sz w:val="20"/>
          <w:szCs w:val="20"/>
          <w:lang w:val="en-US"/>
        </w:rPr>
      </w:pPr>
      <w:r w:rsidRPr="009504FF">
        <w:rPr>
          <w:rFonts w:ascii="Garamond" w:hAnsi="Garamond"/>
          <w:sz w:val="20"/>
          <w:szCs w:val="20"/>
          <w:lang w:val="en-US"/>
        </w:rPr>
        <w:t>Italian Medicines Agency. Report on the post-marketing surveillance of vaccines 2020. https://www.aifa.gov.it/documents/20142/241052/Rapporto_Vaccini_2020.pdf</w:t>
      </w:r>
      <w:r w:rsidR="009E632A">
        <w:rPr>
          <w:rFonts w:ascii="Garamond" w:hAnsi="Garamond"/>
          <w:sz w:val="20"/>
          <w:szCs w:val="20"/>
          <w:lang w:val="en-US"/>
        </w:rPr>
        <w:t>. (Accessed January 19, 2023).</w:t>
      </w:r>
    </w:p>
    <w:p w14:paraId="6EC2680F" w14:textId="771704B1" w:rsidR="00772249" w:rsidRDefault="00772249" w:rsidP="00772249">
      <w:pPr>
        <w:pStyle w:val="Paragrafoelenco"/>
        <w:numPr>
          <w:ilvl w:val="0"/>
          <w:numId w:val="1"/>
        </w:numPr>
        <w:spacing w:after="0" w:line="360" w:lineRule="auto"/>
        <w:jc w:val="both"/>
        <w:rPr>
          <w:rFonts w:ascii="Garamond" w:hAnsi="Garamond"/>
          <w:sz w:val="20"/>
          <w:szCs w:val="20"/>
          <w:lang w:val="en-US"/>
        </w:rPr>
      </w:pPr>
      <w:proofErr w:type="spellStart"/>
      <w:r w:rsidRPr="009504FF">
        <w:rPr>
          <w:rFonts w:ascii="Garamond" w:hAnsi="Garamond"/>
          <w:sz w:val="20"/>
          <w:szCs w:val="20"/>
          <w:lang w:val="en-US"/>
        </w:rPr>
        <w:t>Hauben</w:t>
      </w:r>
      <w:proofErr w:type="spellEnd"/>
      <w:r w:rsidRPr="009504FF">
        <w:rPr>
          <w:rFonts w:ascii="Garamond" w:hAnsi="Garamond"/>
          <w:sz w:val="20"/>
          <w:szCs w:val="20"/>
          <w:lang w:val="en-US"/>
        </w:rPr>
        <w:t xml:space="preserve"> M, Hung E. Effects of the COVID-19 pandemic on spontaneous reporting: Global and national time-series analyses. </w:t>
      </w:r>
      <w:r w:rsidRPr="00206709">
        <w:rPr>
          <w:rFonts w:ascii="Garamond" w:hAnsi="Garamond"/>
          <w:i/>
          <w:iCs/>
          <w:sz w:val="20"/>
          <w:szCs w:val="20"/>
          <w:lang w:val="en-US"/>
        </w:rPr>
        <w:t xml:space="preserve">Clin </w:t>
      </w:r>
      <w:proofErr w:type="spellStart"/>
      <w:r w:rsidRPr="00206709">
        <w:rPr>
          <w:rFonts w:ascii="Garamond" w:hAnsi="Garamond"/>
          <w:i/>
          <w:iCs/>
          <w:sz w:val="20"/>
          <w:szCs w:val="20"/>
          <w:lang w:val="en-US"/>
        </w:rPr>
        <w:t>Ther</w:t>
      </w:r>
      <w:proofErr w:type="spellEnd"/>
      <w:r w:rsidRPr="00206709">
        <w:rPr>
          <w:rFonts w:ascii="Garamond" w:hAnsi="Garamond"/>
          <w:i/>
          <w:iCs/>
          <w:sz w:val="20"/>
          <w:szCs w:val="20"/>
          <w:lang w:val="en-US"/>
        </w:rPr>
        <w:t>.</w:t>
      </w:r>
      <w:r w:rsidRPr="009504FF">
        <w:rPr>
          <w:rFonts w:ascii="Garamond" w:hAnsi="Garamond"/>
          <w:sz w:val="20"/>
          <w:szCs w:val="20"/>
          <w:lang w:val="en-US"/>
        </w:rPr>
        <w:t xml:space="preserve"> 2021;43(2):360-368.e5. </w:t>
      </w:r>
      <w:proofErr w:type="gramStart"/>
      <w:r w:rsidRPr="009504FF">
        <w:rPr>
          <w:rFonts w:ascii="Garamond" w:hAnsi="Garamond"/>
          <w:sz w:val="20"/>
          <w:szCs w:val="20"/>
          <w:lang w:val="en-US"/>
        </w:rPr>
        <w:t>doi:10.1016/j.clinthera</w:t>
      </w:r>
      <w:proofErr w:type="gramEnd"/>
      <w:r w:rsidRPr="009504FF">
        <w:rPr>
          <w:rFonts w:ascii="Garamond" w:hAnsi="Garamond"/>
          <w:sz w:val="20"/>
          <w:szCs w:val="20"/>
          <w:lang w:val="en-US"/>
        </w:rPr>
        <w:t>.2020.12.008</w:t>
      </w:r>
    </w:p>
    <w:p w14:paraId="331F0CBF" w14:textId="0E8ED9BF" w:rsidR="00772249" w:rsidRDefault="00772249" w:rsidP="00772249">
      <w:pPr>
        <w:pStyle w:val="Paragrafoelenco"/>
        <w:numPr>
          <w:ilvl w:val="0"/>
          <w:numId w:val="1"/>
        </w:numPr>
        <w:spacing w:after="0" w:line="360" w:lineRule="auto"/>
        <w:jc w:val="both"/>
        <w:rPr>
          <w:rFonts w:ascii="Garamond" w:hAnsi="Garamond"/>
          <w:sz w:val="20"/>
          <w:szCs w:val="20"/>
          <w:lang w:val="en-US"/>
        </w:rPr>
      </w:pPr>
      <w:proofErr w:type="spellStart"/>
      <w:r w:rsidRPr="009504FF">
        <w:rPr>
          <w:rFonts w:ascii="Garamond" w:hAnsi="Garamond"/>
          <w:sz w:val="20"/>
          <w:szCs w:val="20"/>
          <w:lang w:val="en-US"/>
        </w:rPr>
        <w:t>Brabete</w:t>
      </w:r>
      <w:proofErr w:type="spellEnd"/>
      <w:r w:rsidRPr="009504FF">
        <w:rPr>
          <w:rFonts w:ascii="Garamond" w:hAnsi="Garamond"/>
          <w:sz w:val="20"/>
          <w:szCs w:val="20"/>
          <w:lang w:val="en-US"/>
        </w:rPr>
        <w:t xml:space="preserve"> AC, Greaves L, </w:t>
      </w:r>
      <w:proofErr w:type="spellStart"/>
      <w:r w:rsidRPr="009504FF">
        <w:rPr>
          <w:rFonts w:ascii="Garamond" w:hAnsi="Garamond"/>
          <w:sz w:val="20"/>
          <w:szCs w:val="20"/>
          <w:lang w:val="en-US"/>
        </w:rPr>
        <w:t>Maximos</w:t>
      </w:r>
      <w:proofErr w:type="spellEnd"/>
      <w:r w:rsidRPr="009504FF">
        <w:rPr>
          <w:rFonts w:ascii="Garamond" w:hAnsi="Garamond"/>
          <w:sz w:val="20"/>
          <w:szCs w:val="20"/>
          <w:lang w:val="en-US"/>
        </w:rPr>
        <w:t xml:space="preserve"> M, </w:t>
      </w:r>
      <w:r w:rsidR="00206709">
        <w:rPr>
          <w:rFonts w:ascii="Garamond" w:hAnsi="Garamond"/>
          <w:sz w:val="20"/>
          <w:szCs w:val="20"/>
          <w:lang w:val="en-US"/>
        </w:rPr>
        <w:t>et al</w:t>
      </w:r>
      <w:r w:rsidRPr="009504FF">
        <w:rPr>
          <w:rFonts w:ascii="Garamond" w:hAnsi="Garamond"/>
          <w:sz w:val="20"/>
          <w:szCs w:val="20"/>
          <w:lang w:val="en-US"/>
        </w:rPr>
        <w:t xml:space="preserve">. A sex- and gender-based analysis of adverse drug reactions: A scoping review of pharmacovigilance databases. </w:t>
      </w:r>
      <w:r w:rsidRPr="00206709">
        <w:rPr>
          <w:rFonts w:ascii="Garamond" w:hAnsi="Garamond"/>
          <w:i/>
          <w:iCs/>
          <w:sz w:val="20"/>
          <w:szCs w:val="20"/>
          <w:lang w:val="en-US"/>
        </w:rPr>
        <w:t>Pharmaceuticals (Basel)</w:t>
      </w:r>
      <w:r w:rsidRPr="009504FF">
        <w:rPr>
          <w:rFonts w:ascii="Garamond" w:hAnsi="Garamond"/>
          <w:sz w:val="20"/>
          <w:szCs w:val="20"/>
          <w:lang w:val="en-US"/>
        </w:rPr>
        <w:t xml:space="preserve"> 2022;15(3):298. doi:10.3390/ph15030298</w:t>
      </w:r>
    </w:p>
    <w:p w14:paraId="4938DA9F" w14:textId="4410D90C" w:rsidR="00772249" w:rsidRDefault="00772249" w:rsidP="00772249">
      <w:pPr>
        <w:pStyle w:val="Paragrafoelenco"/>
        <w:numPr>
          <w:ilvl w:val="0"/>
          <w:numId w:val="1"/>
        </w:numPr>
        <w:spacing w:after="0" w:line="360" w:lineRule="auto"/>
        <w:jc w:val="both"/>
        <w:rPr>
          <w:rFonts w:ascii="Garamond" w:hAnsi="Garamond"/>
          <w:sz w:val="20"/>
          <w:szCs w:val="20"/>
          <w:lang w:val="en-US"/>
        </w:rPr>
      </w:pPr>
      <w:r w:rsidRPr="009504FF">
        <w:rPr>
          <w:rFonts w:ascii="Garamond" w:hAnsi="Garamond"/>
          <w:sz w:val="20"/>
          <w:szCs w:val="20"/>
          <w:lang w:val="en-US"/>
        </w:rPr>
        <w:t xml:space="preserve">Klein SL, </w:t>
      </w:r>
      <w:proofErr w:type="spellStart"/>
      <w:r w:rsidRPr="009504FF">
        <w:rPr>
          <w:rFonts w:ascii="Garamond" w:hAnsi="Garamond"/>
          <w:sz w:val="20"/>
          <w:szCs w:val="20"/>
          <w:lang w:val="en-US"/>
        </w:rPr>
        <w:t>Pekosz</w:t>
      </w:r>
      <w:proofErr w:type="spellEnd"/>
      <w:r w:rsidRPr="009504FF">
        <w:rPr>
          <w:rFonts w:ascii="Garamond" w:hAnsi="Garamond"/>
          <w:sz w:val="20"/>
          <w:szCs w:val="20"/>
          <w:lang w:val="en-US"/>
        </w:rPr>
        <w:t xml:space="preserve"> A. Sex-based </w:t>
      </w:r>
      <w:proofErr w:type="gramStart"/>
      <w:r w:rsidRPr="009504FF">
        <w:rPr>
          <w:rFonts w:ascii="Garamond" w:hAnsi="Garamond"/>
          <w:sz w:val="20"/>
          <w:szCs w:val="20"/>
          <w:lang w:val="en-US"/>
        </w:rPr>
        <w:t>biology</w:t>
      </w:r>
      <w:proofErr w:type="gramEnd"/>
      <w:r w:rsidRPr="009504FF">
        <w:rPr>
          <w:rFonts w:ascii="Garamond" w:hAnsi="Garamond"/>
          <w:sz w:val="20"/>
          <w:szCs w:val="20"/>
          <w:lang w:val="en-US"/>
        </w:rPr>
        <w:t xml:space="preserve"> and the rational design of influenza vaccination strategies. </w:t>
      </w:r>
      <w:r w:rsidRPr="00206709">
        <w:rPr>
          <w:rFonts w:ascii="Garamond" w:hAnsi="Garamond"/>
          <w:i/>
          <w:iCs/>
          <w:sz w:val="20"/>
          <w:szCs w:val="20"/>
          <w:lang w:val="en-US"/>
        </w:rPr>
        <w:t>J Infect Dis.</w:t>
      </w:r>
      <w:r w:rsidRPr="009504FF">
        <w:rPr>
          <w:rFonts w:ascii="Garamond" w:hAnsi="Garamond"/>
          <w:sz w:val="20"/>
          <w:szCs w:val="20"/>
          <w:lang w:val="en-US"/>
        </w:rPr>
        <w:t xml:space="preserve"> 2014;209(Suppl 3</w:t>
      </w:r>
      <w:proofErr w:type="gramStart"/>
      <w:r w:rsidRPr="009504FF">
        <w:rPr>
          <w:rFonts w:ascii="Garamond" w:hAnsi="Garamond"/>
          <w:sz w:val="20"/>
          <w:szCs w:val="20"/>
          <w:lang w:val="en-US"/>
        </w:rPr>
        <w:t>):S</w:t>
      </w:r>
      <w:proofErr w:type="gramEnd"/>
      <w:r w:rsidRPr="009504FF">
        <w:rPr>
          <w:rFonts w:ascii="Garamond" w:hAnsi="Garamond"/>
          <w:sz w:val="20"/>
          <w:szCs w:val="20"/>
          <w:lang w:val="en-US"/>
        </w:rPr>
        <w:t>114-</w:t>
      </w:r>
      <w:r w:rsidR="00206709">
        <w:rPr>
          <w:rFonts w:ascii="Garamond" w:hAnsi="Garamond"/>
          <w:sz w:val="20"/>
          <w:szCs w:val="20"/>
          <w:lang w:val="en-US"/>
        </w:rPr>
        <w:t>S11</w:t>
      </w:r>
      <w:r w:rsidRPr="009504FF">
        <w:rPr>
          <w:rFonts w:ascii="Garamond" w:hAnsi="Garamond"/>
          <w:sz w:val="20"/>
          <w:szCs w:val="20"/>
          <w:lang w:val="en-US"/>
        </w:rPr>
        <w:t>9. doi:10.1093/</w:t>
      </w:r>
      <w:proofErr w:type="spellStart"/>
      <w:r w:rsidRPr="009504FF">
        <w:rPr>
          <w:rFonts w:ascii="Garamond" w:hAnsi="Garamond"/>
          <w:sz w:val="20"/>
          <w:szCs w:val="20"/>
          <w:lang w:val="en-US"/>
        </w:rPr>
        <w:t>infdis</w:t>
      </w:r>
      <w:proofErr w:type="spellEnd"/>
      <w:r w:rsidRPr="009504FF">
        <w:rPr>
          <w:rFonts w:ascii="Garamond" w:hAnsi="Garamond"/>
          <w:sz w:val="20"/>
          <w:szCs w:val="20"/>
          <w:lang w:val="en-US"/>
        </w:rPr>
        <w:t>/jiu066</w:t>
      </w:r>
    </w:p>
    <w:p w14:paraId="2527DA6F" w14:textId="3B38B182" w:rsidR="00772249" w:rsidRDefault="00772249" w:rsidP="00772249">
      <w:pPr>
        <w:pStyle w:val="Paragrafoelenco"/>
        <w:numPr>
          <w:ilvl w:val="0"/>
          <w:numId w:val="1"/>
        </w:numPr>
        <w:spacing w:after="0" w:line="360" w:lineRule="auto"/>
        <w:jc w:val="both"/>
        <w:rPr>
          <w:rFonts w:ascii="Garamond" w:hAnsi="Garamond"/>
          <w:sz w:val="20"/>
          <w:szCs w:val="20"/>
          <w:lang w:val="en-US"/>
        </w:rPr>
      </w:pPr>
      <w:r w:rsidRPr="00206709">
        <w:rPr>
          <w:rFonts w:ascii="Garamond" w:hAnsi="Garamond"/>
          <w:sz w:val="20"/>
          <w:szCs w:val="20"/>
        </w:rPr>
        <w:t>Al-</w:t>
      </w:r>
      <w:proofErr w:type="spellStart"/>
      <w:r w:rsidRPr="00206709">
        <w:rPr>
          <w:rFonts w:ascii="Garamond" w:hAnsi="Garamond"/>
          <w:sz w:val="20"/>
          <w:szCs w:val="20"/>
        </w:rPr>
        <w:t>Ahmari</w:t>
      </w:r>
      <w:proofErr w:type="spellEnd"/>
      <w:r w:rsidRPr="00206709">
        <w:rPr>
          <w:rFonts w:ascii="Garamond" w:hAnsi="Garamond"/>
          <w:sz w:val="20"/>
          <w:szCs w:val="20"/>
        </w:rPr>
        <w:t xml:space="preserve"> AK, </w:t>
      </w:r>
      <w:proofErr w:type="spellStart"/>
      <w:r w:rsidRPr="00206709">
        <w:rPr>
          <w:rFonts w:ascii="Garamond" w:hAnsi="Garamond"/>
          <w:sz w:val="20"/>
          <w:szCs w:val="20"/>
        </w:rPr>
        <w:t>AlAsmari</w:t>
      </w:r>
      <w:proofErr w:type="spellEnd"/>
      <w:r w:rsidRPr="00206709">
        <w:rPr>
          <w:rFonts w:ascii="Garamond" w:hAnsi="Garamond"/>
          <w:sz w:val="20"/>
          <w:szCs w:val="20"/>
        </w:rPr>
        <w:t xml:space="preserve"> A, </w:t>
      </w:r>
      <w:proofErr w:type="spellStart"/>
      <w:r w:rsidRPr="00206709">
        <w:rPr>
          <w:rFonts w:ascii="Garamond" w:hAnsi="Garamond"/>
          <w:sz w:val="20"/>
          <w:szCs w:val="20"/>
        </w:rPr>
        <w:t>AlKorbi</w:t>
      </w:r>
      <w:proofErr w:type="spellEnd"/>
      <w:r w:rsidRPr="00206709">
        <w:rPr>
          <w:rFonts w:ascii="Garamond" w:hAnsi="Garamond"/>
          <w:sz w:val="20"/>
          <w:szCs w:val="20"/>
        </w:rPr>
        <w:t xml:space="preserve"> A, </w:t>
      </w:r>
      <w:r w:rsidR="00206709" w:rsidRPr="00206709">
        <w:rPr>
          <w:rFonts w:ascii="Garamond" w:hAnsi="Garamond"/>
          <w:sz w:val="20"/>
          <w:szCs w:val="20"/>
        </w:rPr>
        <w:t>et al</w:t>
      </w:r>
      <w:r w:rsidRPr="00206709">
        <w:rPr>
          <w:rFonts w:ascii="Garamond" w:hAnsi="Garamond"/>
          <w:sz w:val="20"/>
          <w:szCs w:val="20"/>
        </w:rPr>
        <w:t xml:space="preserve">. </w:t>
      </w:r>
      <w:r w:rsidRPr="009504FF">
        <w:rPr>
          <w:rFonts w:ascii="Garamond" w:hAnsi="Garamond"/>
          <w:sz w:val="20"/>
          <w:szCs w:val="20"/>
          <w:lang w:val="en-US"/>
        </w:rPr>
        <w:t xml:space="preserve">Comparison of the post-marketing safety profile between influenza and COVID-19 vaccines: An analysis of the vaccine adverse event reporting system. </w:t>
      </w:r>
      <w:r w:rsidRPr="00206709">
        <w:rPr>
          <w:rFonts w:ascii="Garamond" w:hAnsi="Garamond"/>
          <w:i/>
          <w:iCs/>
          <w:sz w:val="20"/>
          <w:szCs w:val="20"/>
          <w:lang w:val="en-US"/>
        </w:rPr>
        <w:t>Saudi Pharm J.</w:t>
      </w:r>
      <w:r w:rsidRPr="009504FF">
        <w:rPr>
          <w:rFonts w:ascii="Garamond" w:hAnsi="Garamond"/>
          <w:sz w:val="20"/>
          <w:szCs w:val="20"/>
          <w:lang w:val="en-US"/>
        </w:rPr>
        <w:t xml:space="preserve"> 2022;30(8):1137-1142. </w:t>
      </w:r>
      <w:proofErr w:type="gramStart"/>
      <w:r w:rsidRPr="009504FF">
        <w:rPr>
          <w:rFonts w:ascii="Garamond" w:hAnsi="Garamond"/>
          <w:sz w:val="20"/>
          <w:szCs w:val="20"/>
          <w:lang w:val="en-US"/>
        </w:rPr>
        <w:t>doi:10.1016/j.jsps</w:t>
      </w:r>
      <w:proofErr w:type="gramEnd"/>
      <w:r w:rsidRPr="009504FF">
        <w:rPr>
          <w:rFonts w:ascii="Garamond" w:hAnsi="Garamond"/>
          <w:sz w:val="20"/>
          <w:szCs w:val="20"/>
          <w:lang w:val="en-US"/>
        </w:rPr>
        <w:t>.2022.06.009</w:t>
      </w:r>
    </w:p>
    <w:p w14:paraId="611055F8" w14:textId="2F1B569B" w:rsidR="006C5177" w:rsidRPr="009504FF" w:rsidRDefault="006C5177" w:rsidP="00772249">
      <w:pPr>
        <w:pStyle w:val="Paragrafoelenco"/>
        <w:numPr>
          <w:ilvl w:val="0"/>
          <w:numId w:val="1"/>
        </w:numPr>
        <w:spacing w:after="0" w:line="360" w:lineRule="auto"/>
        <w:jc w:val="both"/>
        <w:rPr>
          <w:rFonts w:ascii="Garamond" w:hAnsi="Garamond"/>
          <w:sz w:val="20"/>
          <w:szCs w:val="20"/>
          <w:lang w:val="en-US"/>
        </w:rPr>
      </w:pPr>
      <w:r w:rsidRPr="006C5177">
        <w:rPr>
          <w:rFonts w:ascii="Garamond" w:hAnsi="Garamond"/>
          <w:sz w:val="20"/>
          <w:szCs w:val="20"/>
          <w:lang w:val="en-US"/>
        </w:rPr>
        <w:t>Italian National Institute of Statistics</w:t>
      </w:r>
      <w:r>
        <w:rPr>
          <w:rFonts w:ascii="Garamond" w:hAnsi="Garamond"/>
          <w:sz w:val="20"/>
          <w:szCs w:val="20"/>
          <w:lang w:val="en-US"/>
        </w:rPr>
        <w:t>. Health for All Italy.</w:t>
      </w:r>
      <w:r w:rsidRPr="006C5177">
        <w:rPr>
          <w:lang w:val="en-US"/>
        </w:rPr>
        <w:t xml:space="preserve"> </w:t>
      </w:r>
      <w:r w:rsidRPr="006C5177">
        <w:rPr>
          <w:rFonts w:ascii="Garamond" w:hAnsi="Garamond"/>
          <w:sz w:val="20"/>
          <w:szCs w:val="20"/>
          <w:lang w:val="en-US"/>
        </w:rPr>
        <w:t>https://www.istat.it/it/archivio/14562</w:t>
      </w:r>
      <w:r>
        <w:rPr>
          <w:rFonts w:ascii="Garamond" w:hAnsi="Garamond"/>
          <w:sz w:val="20"/>
          <w:szCs w:val="20"/>
          <w:lang w:val="en-US"/>
        </w:rPr>
        <w:t>.</w:t>
      </w:r>
      <w:r w:rsidR="009E632A" w:rsidRPr="009E632A">
        <w:rPr>
          <w:rFonts w:ascii="Garamond" w:hAnsi="Garamond"/>
          <w:sz w:val="20"/>
          <w:szCs w:val="20"/>
          <w:lang w:val="en-US"/>
        </w:rPr>
        <w:t xml:space="preserve"> </w:t>
      </w:r>
      <w:r w:rsidR="009E632A">
        <w:rPr>
          <w:rFonts w:ascii="Garamond" w:hAnsi="Garamond"/>
          <w:sz w:val="20"/>
          <w:szCs w:val="20"/>
          <w:lang w:val="en-US"/>
        </w:rPr>
        <w:t>(Accessed January 19, 2023).</w:t>
      </w:r>
    </w:p>
    <w:p w14:paraId="121389A1" w14:textId="77777777" w:rsidR="00772249" w:rsidRDefault="00772249">
      <w:pPr>
        <w:rPr>
          <w:rFonts w:ascii="Garamond" w:hAnsi="Garamond"/>
          <w:sz w:val="20"/>
          <w:szCs w:val="20"/>
          <w:lang w:val="en-US"/>
        </w:rPr>
      </w:pPr>
      <w:r>
        <w:rPr>
          <w:rFonts w:ascii="Garamond" w:hAnsi="Garamond"/>
          <w:sz w:val="20"/>
          <w:szCs w:val="20"/>
          <w:lang w:val="en-US"/>
        </w:rPr>
        <w:br w:type="page"/>
      </w:r>
    </w:p>
    <w:p w14:paraId="40F09416" w14:textId="3EBC27D8" w:rsidR="00FB5F25" w:rsidRDefault="00D42EBA" w:rsidP="00FB5F25">
      <w:pPr>
        <w:spacing w:after="0" w:line="360" w:lineRule="auto"/>
        <w:jc w:val="both"/>
        <w:rPr>
          <w:rFonts w:ascii="Garamond" w:hAnsi="Garamond"/>
          <w:sz w:val="20"/>
          <w:szCs w:val="20"/>
          <w:lang w:val="en-US"/>
        </w:rPr>
      </w:pPr>
      <w:r w:rsidRPr="00FB5F25">
        <w:rPr>
          <w:rFonts w:ascii="Garamond" w:hAnsi="Garamond"/>
          <w:b/>
          <w:sz w:val="20"/>
          <w:szCs w:val="20"/>
          <w:lang w:val="en-US"/>
        </w:rPr>
        <w:lastRenderedPageBreak/>
        <w:t>T</w:t>
      </w:r>
      <w:r>
        <w:rPr>
          <w:rFonts w:ascii="Garamond" w:hAnsi="Garamond"/>
          <w:b/>
          <w:sz w:val="20"/>
          <w:szCs w:val="20"/>
          <w:lang w:val="en-US"/>
        </w:rPr>
        <w:t>ABLE</w:t>
      </w:r>
      <w:r w:rsidRPr="00FB5F25">
        <w:rPr>
          <w:rFonts w:ascii="Garamond" w:hAnsi="Garamond"/>
          <w:b/>
          <w:sz w:val="20"/>
          <w:szCs w:val="20"/>
          <w:lang w:val="en-US"/>
        </w:rPr>
        <w:t xml:space="preserve"> </w:t>
      </w:r>
      <w:r w:rsidR="00FB5F25" w:rsidRPr="00EE57CB">
        <w:rPr>
          <w:rFonts w:ascii="Garamond" w:hAnsi="Garamond"/>
          <w:b/>
          <w:sz w:val="20"/>
          <w:szCs w:val="20"/>
          <w:lang w:val="en-US"/>
        </w:rPr>
        <w:t>1</w:t>
      </w:r>
      <w:r w:rsidR="00FB5F25">
        <w:rPr>
          <w:rFonts w:ascii="Garamond" w:hAnsi="Garamond"/>
          <w:sz w:val="20"/>
          <w:szCs w:val="20"/>
          <w:lang w:val="en-US"/>
        </w:rPr>
        <w:t xml:space="preserve"> Overall exposure to the cell culture-based quadrivalent influenza vaccine (QIVc), by age group and season</w:t>
      </w:r>
    </w:p>
    <w:p w14:paraId="2A40008F" w14:textId="77777777" w:rsidR="00FB5F25" w:rsidRDefault="00FB5F25" w:rsidP="00FB5F25">
      <w:pPr>
        <w:spacing w:after="0" w:line="360" w:lineRule="auto"/>
        <w:jc w:val="both"/>
        <w:rPr>
          <w:rFonts w:ascii="Garamond" w:hAnsi="Garamond"/>
          <w:sz w:val="20"/>
          <w:szCs w:val="20"/>
          <w:lang w:val="en-US"/>
        </w:rPr>
      </w:pPr>
    </w:p>
    <w:tbl>
      <w:tblPr>
        <w:tblStyle w:val="Grigliatabella"/>
        <w:tblW w:w="0" w:type="auto"/>
        <w:tblLook w:val="04A0" w:firstRow="1" w:lastRow="0" w:firstColumn="1" w:lastColumn="0" w:noHBand="0" w:noVBand="1"/>
      </w:tblPr>
      <w:tblGrid>
        <w:gridCol w:w="2407"/>
        <w:gridCol w:w="2407"/>
        <w:gridCol w:w="2407"/>
        <w:gridCol w:w="2407"/>
      </w:tblGrid>
      <w:tr w:rsidR="00FB5F25" w14:paraId="7D533E93" w14:textId="77777777" w:rsidTr="00FB5F25">
        <w:tc>
          <w:tcPr>
            <w:tcW w:w="2407" w:type="dxa"/>
            <w:vMerge w:val="restart"/>
            <w:vAlign w:val="center"/>
          </w:tcPr>
          <w:p w14:paraId="686DE14A" w14:textId="77777777" w:rsidR="00FB5F25" w:rsidRDefault="00FB5F25" w:rsidP="00FB5F25">
            <w:pPr>
              <w:jc w:val="both"/>
              <w:rPr>
                <w:rFonts w:ascii="Garamond" w:hAnsi="Garamond"/>
                <w:sz w:val="20"/>
                <w:szCs w:val="20"/>
                <w:lang w:val="en-US"/>
              </w:rPr>
            </w:pPr>
            <w:bookmarkStart w:id="3" w:name="_Hlk122083114"/>
            <w:r w:rsidRPr="00125496">
              <w:rPr>
                <w:rFonts w:ascii="Garamond" w:hAnsi="Garamond"/>
                <w:b/>
                <w:bCs/>
                <w:sz w:val="20"/>
                <w:szCs w:val="20"/>
                <w:lang w:val="en-US"/>
              </w:rPr>
              <w:t>Age group, years</w:t>
            </w:r>
          </w:p>
        </w:tc>
        <w:tc>
          <w:tcPr>
            <w:tcW w:w="7221" w:type="dxa"/>
            <w:gridSpan w:val="3"/>
            <w:vAlign w:val="center"/>
          </w:tcPr>
          <w:p w14:paraId="5A68B0CB" w14:textId="27748749" w:rsidR="00FB5F25" w:rsidRDefault="000241CA" w:rsidP="00FB5F25">
            <w:pPr>
              <w:jc w:val="both"/>
              <w:rPr>
                <w:rFonts w:ascii="Garamond" w:hAnsi="Garamond"/>
                <w:sz w:val="20"/>
                <w:szCs w:val="20"/>
                <w:lang w:val="en-US"/>
              </w:rPr>
            </w:pPr>
            <w:r>
              <w:rPr>
                <w:rFonts w:ascii="Garamond" w:hAnsi="Garamond"/>
                <w:b/>
                <w:bCs/>
                <w:sz w:val="20"/>
                <w:szCs w:val="20"/>
                <w:lang w:val="en-US"/>
              </w:rPr>
              <w:t>Influenza</w:t>
            </w:r>
            <w:r w:rsidR="00741030">
              <w:rPr>
                <w:rFonts w:ascii="Garamond" w:hAnsi="Garamond"/>
                <w:b/>
                <w:bCs/>
                <w:sz w:val="20"/>
                <w:szCs w:val="20"/>
                <w:lang w:val="en-US"/>
              </w:rPr>
              <w:t xml:space="preserve"> </w:t>
            </w:r>
            <w:r w:rsidR="00FB5F25" w:rsidRPr="00125496">
              <w:rPr>
                <w:rFonts w:ascii="Garamond" w:hAnsi="Garamond"/>
                <w:b/>
                <w:bCs/>
                <w:sz w:val="20"/>
                <w:szCs w:val="20"/>
                <w:lang w:val="en-US"/>
              </w:rPr>
              <w:t xml:space="preserve">Season, </w:t>
            </w:r>
            <w:r w:rsidR="00FB5F25" w:rsidRPr="00206709">
              <w:rPr>
                <w:rFonts w:ascii="Garamond" w:hAnsi="Garamond"/>
                <w:b/>
                <w:bCs/>
                <w:i/>
                <w:iCs/>
                <w:sz w:val="20"/>
                <w:szCs w:val="20"/>
                <w:lang w:val="en-US"/>
              </w:rPr>
              <w:t>n</w:t>
            </w:r>
            <w:r w:rsidR="00FB5F25" w:rsidRPr="00125496">
              <w:rPr>
                <w:rFonts w:ascii="Garamond" w:hAnsi="Garamond"/>
                <w:b/>
                <w:bCs/>
                <w:sz w:val="20"/>
                <w:szCs w:val="20"/>
                <w:lang w:val="en-US"/>
              </w:rPr>
              <w:t xml:space="preserve"> (%)</w:t>
            </w:r>
          </w:p>
        </w:tc>
      </w:tr>
      <w:tr w:rsidR="00FB5F25" w14:paraId="65811FF0" w14:textId="77777777" w:rsidTr="00FB5F25">
        <w:tc>
          <w:tcPr>
            <w:tcW w:w="2407" w:type="dxa"/>
            <w:vMerge/>
            <w:vAlign w:val="center"/>
          </w:tcPr>
          <w:p w14:paraId="7D947DA4" w14:textId="77777777" w:rsidR="00FB5F25" w:rsidRDefault="00FB5F25" w:rsidP="00FB5F25">
            <w:pPr>
              <w:jc w:val="both"/>
              <w:rPr>
                <w:rFonts w:ascii="Garamond" w:hAnsi="Garamond"/>
                <w:sz w:val="20"/>
                <w:szCs w:val="20"/>
                <w:lang w:val="en-US"/>
              </w:rPr>
            </w:pPr>
          </w:p>
        </w:tc>
        <w:tc>
          <w:tcPr>
            <w:tcW w:w="2407" w:type="dxa"/>
            <w:vAlign w:val="center"/>
          </w:tcPr>
          <w:p w14:paraId="44A500AD" w14:textId="77777777" w:rsidR="00FB5F25" w:rsidRDefault="00FB5F25" w:rsidP="00FB5F25">
            <w:pPr>
              <w:jc w:val="both"/>
              <w:rPr>
                <w:rFonts w:ascii="Garamond" w:hAnsi="Garamond"/>
                <w:sz w:val="20"/>
                <w:szCs w:val="20"/>
                <w:lang w:val="en-US"/>
              </w:rPr>
            </w:pPr>
            <w:r w:rsidRPr="00125496">
              <w:rPr>
                <w:rFonts w:ascii="Garamond" w:hAnsi="Garamond"/>
                <w:b/>
                <w:bCs/>
                <w:sz w:val="20"/>
                <w:szCs w:val="20"/>
                <w:lang w:val="en-US"/>
              </w:rPr>
              <w:t>2019/20</w:t>
            </w:r>
          </w:p>
        </w:tc>
        <w:tc>
          <w:tcPr>
            <w:tcW w:w="2407" w:type="dxa"/>
            <w:vAlign w:val="center"/>
          </w:tcPr>
          <w:p w14:paraId="0917CFAF" w14:textId="77777777" w:rsidR="00FB5F25" w:rsidRDefault="00FB5F25" w:rsidP="00FB5F25">
            <w:pPr>
              <w:jc w:val="both"/>
              <w:rPr>
                <w:rFonts w:ascii="Garamond" w:hAnsi="Garamond"/>
                <w:sz w:val="20"/>
                <w:szCs w:val="20"/>
                <w:lang w:val="en-US"/>
              </w:rPr>
            </w:pPr>
            <w:r w:rsidRPr="00125496">
              <w:rPr>
                <w:rFonts w:ascii="Garamond" w:hAnsi="Garamond"/>
                <w:b/>
                <w:bCs/>
                <w:sz w:val="20"/>
                <w:szCs w:val="20"/>
                <w:lang w:val="en-US"/>
              </w:rPr>
              <w:t>2020/21</w:t>
            </w:r>
          </w:p>
        </w:tc>
        <w:tc>
          <w:tcPr>
            <w:tcW w:w="2407" w:type="dxa"/>
            <w:vAlign w:val="center"/>
          </w:tcPr>
          <w:p w14:paraId="71871016" w14:textId="77777777" w:rsidR="00FB5F25" w:rsidRDefault="00FB5F25" w:rsidP="00FB5F25">
            <w:pPr>
              <w:jc w:val="both"/>
              <w:rPr>
                <w:rFonts w:ascii="Garamond" w:hAnsi="Garamond"/>
                <w:sz w:val="20"/>
                <w:szCs w:val="20"/>
                <w:lang w:val="en-US"/>
              </w:rPr>
            </w:pPr>
            <w:r w:rsidRPr="00125496">
              <w:rPr>
                <w:rFonts w:ascii="Garamond" w:hAnsi="Garamond"/>
                <w:b/>
                <w:bCs/>
                <w:sz w:val="20"/>
                <w:szCs w:val="20"/>
                <w:lang w:val="en-US"/>
              </w:rPr>
              <w:t>2021/22</w:t>
            </w:r>
          </w:p>
        </w:tc>
      </w:tr>
      <w:tr w:rsidR="00FB5F25" w14:paraId="2D2DAFFC" w14:textId="77777777" w:rsidTr="00FB5F25">
        <w:tc>
          <w:tcPr>
            <w:tcW w:w="2407" w:type="dxa"/>
            <w:vAlign w:val="center"/>
          </w:tcPr>
          <w:p w14:paraId="25B33572" w14:textId="77777777" w:rsidR="00FB5F25" w:rsidRDefault="00FB5F25" w:rsidP="00FB5F25">
            <w:pPr>
              <w:jc w:val="both"/>
              <w:rPr>
                <w:rFonts w:ascii="Garamond" w:hAnsi="Garamond"/>
                <w:sz w:val="20"/>
                <w:szCs w:val="20"/>
                <w:lang w:val="en-US"/>
              </w:rPr>
            </w:pPr>
            <w:r>
              <w:rPr>
                <w:rFonts w:ascii="Garamond" w:hAnsi="Garamond"/>
                <w:sz w:val="20"/>
                <w:szCs w:val="20"/>
                <w:lang w:val="en-US"/>
              </w:rPr>
              <w:t>2/9–17</w:t>
            </w:r>
            <w:r w:rsidRPr="00F460C9">
              <w:rPr>
                <w:rFonts w:ascii="Garamond" w:hAnsi="Garamond"/>
                <w:sz w:val="20"/>
                <w:szCs w:val="20"/>
                <w:vertAlign w:val="superscript"/>
                <w:lang w:val="en-US"/>
              </w:rPr>
              <w:t>a</w:t>
            </w:r>
          </w:p>
        </w:tc>
        <w:tc>
          <w:tcPr>
            <w:tcW w:w="2407" w:type="dxa"/>
            <w:vAlign w:val="center"/>
          </w:tcPr>
          <w:p w14:paraId="67162889" w14:textId="77777777" w:rsidR="00FB5F25" w:rsidRDefault="00FB5F25" w:rsidP="00FB5F25">
            <w:pPr>
              <w:jc w:val="both"/>
              <w:rPr>
                <w:rFonts w:ascii="Garamond" w:hAnsi="Garamond"/>
                <w:sz w:val="20"/>
                <w:szCs w:val="20"/>
                <w:lang w:val="en-US"/>
              </w:rPr>
            </w:pPr>
            <w:r>
              <w:rPr>
                <w:rFonts w:ascii="Garamond" w:hAnsi="Garamond"/>
                <w:sz w:val="20"/>
                <w:szCs w:val="20"/>
                <w:lang w:val="en-US"/>
              </w:rPr>
              <w:t>95 (9.22)</w:t>
            </w:r>
          </w:p>
        </w:tc>
        <w:tc>
          <w:tcPr>
            <w:tcW w:w="2407" w:type="dxa"/>
            <w:vAlign w:val="center"/>
          </w:tcPr>
          <w:p w14:paraId="581DEC9B" w14:textId="77777777" w:rsidR="00FB5F25" w:rsidRDefault="00FB5F25" w:rsidP="00FB5F25">
            <w:pPr>
              <w:jc w:val="both"/>
              <w:rPr>
                <w:rFonts w:ascii="Garamond" w:hAnsi="Garamond"/>
                <w:sz w:val="20"/>
                <w:szCs w:val="20"/>
                <w:lang w:val="en-US"/>
              </w:rPr>
            </w:pPr>
            <w:r>
              <w:rPr>
                <w:rFonts w:ascii="Garamond" w:hAnsi="Garamond"/>
                <w:sz w:val="20"/>
                <w:szCs w:val="20"/>
                <w:lang w:val="en-US"/>
              </w:rPr>
              <w:t>214 (20.74)</w:t>
            </w:r>
          </w:p>
        </w:tc>
        <w:tc>
          <w:tcPr>
            <w:tcW w:w="2407" w:type="dxa"/>
            <w:vAlign w:val="center"/>
          </w:tcPr>
          <w:p w14:paraId="0F0AD22D" w14:textId="77777777" w:rsidR="00FB5F25" w:rsidRDefault="00FB5F25" w:rsidP="00FB5F25">
            <w:pPr>
              <w:jc w:val="both"/>
              <w:rPr>
                <w:rFonts w:ascii="Garamond" w:hAnsi="Garamond"/>
                <w:sz w:val="20"/>
                <w:szCs w:val="20"/>
                <w:lang w:val="en-US"/>
              </w:rPr>
            </w:pPr>
            <w:r>
              <w:rPr>
                <w:rFonts w:ascii="Garamond" w:hAnsi="Garamond"/>
                <w:sz w:val="20"/>
                <w:szCs w:val="20"/>
                <w:lang w:val="en-US"/>
              </w:rPr>
              <w:t>257 (25.67)</w:t>
            </w:r>
          </w:p>
        </w:tc>
      </w:tr>
      <w:tr w:rsidR="00FB5F25" w14:paraId="53EE8020" w14:textId="77777777" w:rsidTr="00FB5F25">
        <w:tc>
          <w:tcPr>
            <w:tcW w:w="2407" w:type="dxa"/>
            <w:vAlign w:val="center"/>
          </w:tcPr>
          <w:p w14:paraId="4CC533C2" w14:textId="77777777" w:rsidR="00FB5F25" w:rsidRDefault="00FB5F25" w:rsidP="00FB5F25">
            <w:pPr>
              <w:jc w:val="both"/>
              <w:rPr>
                <w:rFonts w:ascii="Garamond" w:hAnsi="Garamond"/>
                <w:sz w:val="20"/>
                <w:szCs w:val="20"/>
                <w:lang w:val="en-US"/>
              </w:rPr>
            </w:pPr>
            <w:r w:rsidRPr="007F6AB3">
              <w:rPr>
                <w:rFonts w:ascii="Garamond" w:hAnsi="Garamond"/>
                <w:sz w:val="20"/>
                <w:szCs w:val="20"/>
                <w:lang w:val="en-US"/>
              </w:rPr>
              <w:t>18–64</w:t>
            </w:r>
          </w:p>
        </w:tc>
        <w:tc>
          <w:tcPr>
            <w:tcW w:w="2407" w:type="dxa"/>
            <w:vAlign w:val="center"/>
          </w:tcPr>
          <w:p w14:paraId="445F71D1" w14:textId="77777777" w:rsidR="00FB5F25" w:rsidRDefault="00FB5F25" w:rsidP="00FB5F25">
            <w:pPr>
              <w:jc w:val="both"/>
              <w:rPr>
                <w:rFonts w:ascii="Garamond" w:hAnsi="Garamond"/>
                <w:sz w:val="20"/>
                <w:szCs w:val="20"/>
                <w:lang w:val="en-US"/>
              </w:rPr>
            </w:pPr>
            <w:r>
              <w:rPr>
                <w:rFonts w:ascii="Garamond" w:hAnsi="Garamond"/>
                <w:sz w:val="20"/>
                <w:szCs w:val="20"/>
                <w:lang w:val="en-US"/>
              </w:rPr>
              <w:t>652 (63.30)</w:t>
            </w:r>
          </w:p>
        </w:tc>
        <w:tc>
          <w:tcPr>
            <w:tcW w:w="2407" w:type="dxa"/>
            <w:vAlign w:val="center"/>
          </w:tcPr>
          <w:p w14:paraId="1C9E3EB0" w14:textId="77777777" w:rsidR="00FB5F25" w:rsidRDefault="00FB5F25" w:rsidP="00FB5F25">
            <w:pPr>
              <w:jc w:val="both"/>
              <w:rPr>
                <w:rFonts w:ascii="Garamond" w:hAnsi="Garamond"/>
                <w:sz w:val="20"/>
                <w:szCs w:val="20"/>
                <w:lang w:val="en-US"/>
              </w:rPr>
            </w:pPr>
            <w:r>
              <w:rPr>
                <w:rFonts w:ascii="Garamond" w:hAnsi="Garamond"/>
                <w:sz w:val="20"/>
                <w:szCs w:val="20"/>
                <w:lang w:val="en-US"/>
              </w:rPr>
              <w:t>577 (55.91)</w:t>
            </w:r>
          </w:p>
        </w:tc>
        <w:tc>
          <w:tcPr>
            <w:tcW w:w="2407" w:type="dxa"/>
            <w:vAlign w:val="center"/>
          </w:tcPr>
          <w:p w14:paraId="7DD79EA8" w14:textId="77777777" w:rsidR="00FB5F25" w:rsidRDefault="00FB5F25" w:rsidP="00FB5F25">
            <w:pPr>
              <w:jc w:val="both"/>
              <w:rPr>
                <w:rFonts w:ascii="Garamond" w:hAnsi="Garamond"/>
                <w:sz w:val="20"/>
                <w:szCs w:val="20"/>
                <w:lang w:val="en-US"/>
              </w:rPr>
            </w:pPr>
            <w:r>
              <w:rPr>
                <w:rFonts w:ascii="Garamond" w:hAnsi="Garamond"/>
                <w:sz w:val="20"/>
                <w:szCs w:val="20"/>
                <w:lang w:val="en-US"/>
              </w:rPr>
              <w:t>502 (50.15)</w:t>
            </w:r>
          </w:p>
        </w:tc>
      </w:tr>
      <w:tr w:rsidR="00FB5F25" w14:paraId="52D28231" w14:textId="77777777" w:rsidTr="00FB5F25">
        <w:tc>
          <w:tcPr>
            <w:tcW w:w="2407" w:type="dxa"/>
            <w:vAlign w:val="center"/>
          </w:tcPr>
          <w:p w14:paraId="7FB63771" w14:textId="77777777" w:rsidR="00FB5F25" w:rsidRDefault="00FB5F25" w:rsidP="00FB5F25">
            <w:pPr>
              <w:jc w:val="both"/>
              <w:rPr>
                <w:rFonts w:ascii="Garamond" w:hAnsi="Garamond"/>
                <w:sz w:val="20"/>
                <w:szCs w:val="20"/>
                <w:lang w:val="en-US"/>
              </w:rPr>
            </w:pPr>
            <w:bookmarkStart w:id="4" w:name="_Hlk121721942"/>
            <w:r w:rsidRPr="00D257EA">
              <w:rPr>
                <w:rFonts w:ascii="Garamond" w:hAnsi="Garamond"/>
                <w:sz w:val="20"/>
                <w:szCs w:val="20"/>
                <w:lang w:val="en-US"/>
              </w:rPr>
              <w:t>≥</w:t>
            </w:r>
            <w:bookmarkEnd w:id="4"/>
            <w:r>
              <w:rPr>
                <w:rFonts w:ascii="Garamond" w:hAnsi="Garamond"/>
                <w:sz w:val="20"/>
                <w:szCs w:val="20"/>
                <w:lang w:val="en-US"/>
              </w:rPr>
              <w:t xml:space="preserve"> </w:t>
            </w:r>
            <w:r w:rsidRPr="007F6AB3">
              <w:rPr>
                <w:rFonts w:ascii="Garamond" w:hAnsi="Garamond"/>
                <w:sz w:val="20"/>
                <w:szCs w:val="20"/>
                <w:lang w:val="en-US"/>
              </w:rPr>
              <w:t>65</w:t>
            </w:r>
          </w:p>
        </w:tc>
        <w:tc>
          <w:tcPr>
            <w:tcW w:w="2407" w:type="dxa"/>
            <w:vAlign w:val="center"/>
          </w:tcPr>
          <w:p w14:paraId="0C79F8DE" w14:textId="77777777" w:rsidR="00FB5F25" w:rsidRDefault="00FB5F25" w:rsidP="00FB5F25">
            <w:pPr>
              <w:jc w:val="both"/>
              <w:rPr>
                <w:rFonts w:ascii="Garamond" w:hAnsi="Garamond"/>
                <w:sz w:val="20"/>
                <w:szCs w:val="20"/>
                <w:lang w:val="en-US"/>
              </w:rPr>
            </w:pPr>
            <w:r>
              <w:rPr>
                <w:rFonts w:ascii="Garamond" w:hAnsi="Garamond"/>
                <w:sz w:val="20"/>
                <w:szCs w:val="20"/>
                <w:lang w:val="en-US"/>
              </w:rPr>
              <w:t>283 (27.48)</w:t>
            </w:r>
          </w:p>
        </w:tc>
        <w:tc>
          <w:tcPr>
            <w:tcW w:w="2407" w:type="dxa"/>
            <w:vAlign w:val="center"/>
          </w:tcPr>
          <w:p w14:paraId="3E4D1838" w14:textId="77777777" w:rsidR="00FB5F25" w:rsidRDefault="00FB5F25" w:rsidP="00FB5F25">
            <w:pPr>
              <w:jc w:val="both"/>
              <w:rPr>
                <w:rFonts w:ascii="Garamond" w:hAnsi="Garamond"/>
                <w:sz w:val="20"/>
                <w:szCs w:val="20"/>
                <w:lang w:val="en-US"/>
              </w:rPr>
            </w:pPr>
            <w:r>
              <w:rPr>
                <w:rFonts w:ascii="Garamond" w:hAnsi="Garamond"/>
                <w:sz w:val="20"/>
                <w:szCs w:val="20"/>
                <w:lang w:val="en-US"/>
              </w:rPr>
              <w:t>241 (23.35)</w:t>
            </w:r>
          </w:p>
        </w:tc>
        <w:tc>
          <w:tcPr>
            <w:tcW w:w="2407" w:type="dxa"/>
            <w:vAlign w:val="center"/>
          </w:tcPr>
          <w:p w14:paraId="2EA6DF55" w14:textId="77777777" w:rsidR="00FB5F25" w:rsidRDefault="00FB5F25" w:rsidP="00FB5F25">
            <w:pPr>
              <w:jc w:val="both"/>
              <w:rPr>
                <w:rFonts w:ascii="Garamond" w:hAnsi="Garamond"/>
                <w:sz w:val="20"/>
                <w:szCs w:val="20"/>
                <w:lang w:val="en-US"/>
              </w:rPr>
            </w:pPr>
            <w:r>
              <w:rPr>
                <w:rFonts w:ascii="Garamond" w:hAnsi="Garamond"/>
                <w:sz w:val="20"/>
                <w:szCs w:val="20"/>
                <w:lang w:val="en-US"/>
              </w:rPr>
              <w:t>242 (24.18)</w:t>
            </w:r>
          </w:p>
        </w:tc>
      </w:tr>
      <w:tr w:rsidR="00FB5F25" w14:paraId="071FBD9F" w14:textId="77777777" w:rsidTr="00FB5F25">
        <w:tc>
          <w:tcPr>
            <w:tcW w:w="2407" w:type="dxa"/>
            <w:vAlign w:val="center"/>
          </w:tcPr>
          <w:p w14:paraId="70D9621F" w14:textId="77777777" w:rsidR="00FB5F25" w:rsidRDefault="00FB5F25" w:rsidP="00FB5F25">
            <w:pPr>
              <w:jc w:val="both"/>
              <w:rPr>
                <w:rFonts w:ascii="Garamond" w:hAnsi="Garamond"/>
                <w:sz w:val="20"/>
                <w:szCs w:val="20"/>
                <w:lang w:val="en-US"/>
              </w:rPr>
            </w:pPr>
            <w:r>
              <w:rPr>
                <w:rFonts w:ascii="Garamond" w:hAnsi="Garamond"/>
                <w:sz w:val="20"/>
                <w:szCs w:val="20"/>
                <w:lang w:val="en-US"/>
              </w:rPr>
              <w:t>Total</w:t>
            </w:r>
          </w:p>
        </w:tc>
        <w:tc>
          <w:tcPr>
            <w:tcW w:w="2407" w:type="dxa"/>
            <w:vAlign w:val="center"/>
          </w:tcPr>
          <w:p w14:paraId="5E9634AC" w14:textId="77777777" w:rsidR="00FB5F25" w:rsidRDefault="00FB5F25" w:rsidP="00FB5F25">
            <w:pPr>
              <w:jc w:val="both"/>
              <w:rPr>
                <w:rFonts w:ascii="Garamond" w:hAnsi="Garamond"/>
                <w:sz w:val="20"/>
                <w:szCs w:val="20"/>
                <w:lang w:val="en-US"/>
              </w:rPr>
            </w:pPr>
            <w:r>
              <w:rPr>
                <w:rFonts w:ascii="Garamond" w:hAnsi="Garamond"/>
                <w:sz w:val="20"/>
                <w:szCs w:val="20"/>
                <w:lang w:val="en-US"/>
              </w:rPr>
              <w:t>1030 (100)</w:t>
            </w:r>
          </w:p>
        </w:tc>
        <w:tc>
          <w:tcPr>
            <w:tcW w:w="2407" w:type="dxa"/>
            <w:vAlign w:val="center"/>
          </w:tcPr>
          <w:p w14:paraId="436F9C9A" w14:textId="77777777" w:rsidR="00FB5F25" w:rsidRDefault="00FB5F25" w:rsidP="00FB5F25">
            <w:pPr>
              <w:jc w:val="both"/>
              <w:rPr>
                <w:rFonts w:ascii="Garamond" w:hAnsi="Garamond"/>
                <w:sz w:val="20"/>
                <w:szCs w:val="20"/>
                <w:lang w:val="en-US"/>
              </w:rPr>
            </w:pPr>
            <w:r>
              <w:rPr>
                <w:rFonts w:ascii="Garamond" w:hAnsi="Garamond"/>
                <w:sz w:val="20"/>
                <w:szCs w:val="20"/>
                <w:lang w:val="en-US"/>
              </w:rPr>
              <w:t>1032 (100)</w:t>
            </w:r>
          </w:p>
        </w:tc>
        <w:tc>
          <w:tcPr>
            <w:tcW w:w="2407" w:type="dxa"/>
            <w:vAlign w:val="center"/>
          </w:tcPr>
          <w:p w14:paraId="2BD78BED" w14:textId="77777777" w:rsidR="00FB5F25" w:rsidRDefault="00FB5F25" w:rsidP="00FB5F25">
            <w:pPr>
              <w:jc w:val="both"/>
              <w:rPr>
                <w:rFonts w:ascii="Garamond" w:hAnsi="Garamond"/>
                <w:sz w:val="20"/>
                <w:szCs w:val="20"/>
                <w:lang w:val="en-US"/>
              </w:rPr>
            </w:pPr>
            <w:r>
              <w:rPr>
                <w:rFonts w:ascii="Garamond" w:hAnsi="Garamond"/>
                <w:sz w:val="20"/>
                <w:szCs w:val="20"/>
                <w:lang w:val="en-US"/>
              </w:rPr>
              <w:t>1001 (100)</w:t>
            </w:r>
          </w:p>
        </w:tc>
      </w:tr>
    </w:tbl>
    <w:bookmarkEnd w:id="3"/>
    <w:p w14:paraId="67BA2AEA" w14:textId="48BDD2F5" w:rsidR="00FB5F25" w:rsidRPr="007F6AB3" w:rsidRDefault="00FB5F25" w:rsidP="00FB5F25">
      <w:pPr>
        <w:spacing w:after="0" w:line="360" w:lineRule="auto"/>
        <w:jc w:val="both"/>
        <w:rPr>
          <w:rFonts w:ascii="Garamond" w:hAnsi="Garamond"/>
          <w:sz w:val="20"/>
          <w:szCs w:val="20"/>
          <w:lang w:val="en-US"/>
        </w:rPr>
      </w:pPr>
      <w:r w:rsidRPr="00243A93">
        <w:rPr>
          <w:rFonts w:ascii="Garamond" w:hAnsi="Garamond"/>
          <w:sz w:val="20"/>
          <w:szCs w:val="20"/>
          <w:vertAlign w:val="superscript"/>
          <w:lang w:val="en-US"/>
        </w:rPr>
        <w:t>a</w:t>
      </w:r>
      <w:r>
        <w:rPr>
          <w:rFonts w:ascii="Garamond" w:hAnsi="Garamond"/>
          <w:sz w:val="20"/>
          <w:szCs w:val="20"/>
          <w:lang w:val="en-US"/>
        </w:rPr>
        <w:t xml:space="preserve">9–17 years for the seasons 2019/20 and 2020/21 and 2–17 years for the </w:t>
      </w:r>
      <w:r w:rsidR="00741030">
        <w:rPr>
          <w:rFonts w:ascii="Garamond" w:hAnsi="Garamond"/>
          <w:sz w:val="20"/>
          <w:szCs w:val="20"/>
          <w:lang w:val="en-US"/>
        </w:rPr>
        <w:t xml:space="preserve">influenza </w:t>
      </w:r>
      <w:r>
        <w:rPr>
          <w:rFonts w:ascii="Garamond" w:hAnsi="Garamond"/>
          <w:sz w:val="20"/>
          <w:szCs w:val="20"/>
          <w:lang w:val="en-US"/>
        </w:rPr>
        <w:t>season 2021/22</w:t>
      </w:r>
      <w:r w:rsidRPr="0089764B">
        <w:rPr>
          <w:rFonts w:ascii="Garamond" w:hAnsi="Garamond"/>
          <w:sz w:val="20"/>
          <w:szCs w:val="20"/>
          <w:lang w:val="en-US"/>
        </w:rPr>
        <w:t>.</w:t>
      </w:r>
    </w:p>
    <w:p w14:paraId="426318C8" w14:textId="77777777" w:rsidR="00772249" w:rsidRDefault="00772249">
      <w:pPr>
        <w:rPr>
          <w:rFonts w:ascii="Garamond" w:hAnsi="Garamond"/>
          <w:sz w:val="20"/>
          <w:szCs w:val="20"/>
          <w:lang w:val="en-US"/>
        </w:rPr>
      </w:pPr>
      <w:r>
        <w:rPr>
          <w:rFonts w:ascii="Garamond" w:hAnsi="Garamond"/>
          <w:sz w:val="20"/>
          <w:szCs w:val="20"/>
          <w:lang w:val="en-US"/>
        </w:rPr>
        <w:br w:type="page"/>
      </w:r>
    </w:p>
    <w:p w14:paraId="559D1788" w14:textId="68611418" w:rsidR="00FB5F25" w:rsidRDefault="00D42EBA" w:rsidP="00FB5F25">
      <w:pPr>
        <w:spacing w:after="0" w:line="360" w:lineRule="auto"/>
        <w:jc w:val="both"/>
        <w:rPr>
          <w:rFonts w:ascii="Garamond" w:hAnsi="Garamond"/>
          <w:sz w:val="20"/>
          <w:szCs w:val="20"/>
          <w:lang w:val="en-US"/>
        </w:rPr>
      </w:pPr>
      <w:r w:rsidRPr="00FB5F25">
        <w:rPr>
          <w:rFonts w:ascii="Garamond" w:hAnsi="Garamond"/>
          <w:b/>
          <w:sz w:val="20"/>
          <w:szCs w:val="20"/>
          <w:lang w:val="en-US"/>
        </w:rPr>
        <w:lastRenderedPageBreak/>
        <w:t>T</w:t>
      </w:r>
      <w:r>
        <w:rPr>
          <w:rFonts w:ascii="Garamond" w:hAnsi="Garamond"/>
          <w:b/>
          <w:sz w:val="20"/>
          <w:szCs w:val="20"/>
          <w:lang w:val="en-US"/>
        </w:rPr>
        <w:t>ABLE</w:t>
      </w:r>
      <w:r w:rsidRPr="00FB5F25">
        <w:rPr>
          <w:rFonts w:ascii="Garamond" w:hAnsi="Garamond"/>
          <w:b/>
          <w:sz w:val="20"/>
          <w:szCs w:val="20"/>
          <w:lang w:val="en-US"/>
        </w:rPr>
        <w:t xml:space="preserve"> </w:t>
      </w:r>
      <w:r w:rsidR="00FB5F25" w:rsidRPr="00EE57CB">
        <w:rPr>
          <w:rFonts w:ascii="Garamond" w:hAnsi="Garamond"/>
          <w:b/>
          <w:sz w:val="20"/>
          <w:szCs w:val="20"/>
          <w:lang w:val="en-US"/>
        </w:rPr>
        <w:t>2</w:t>
      </w:r>
      <w:r w:rsidR="00FB5F25">
        <w:rPr>
          <w:rFonts w:ascii="Garamond" w:hAnsi="Garamond"/>
          <w:sz w:val="20"/>
          <w:szCs w:val="20"/>
          <w:lang w:val="en-US"/>
        </w:rPr>
        <w:t xml:space="preserve"> Number and reporting rates of </w:t>
      </w:r>
      <w:r w:rsidR="00285634">
        <w:rPr>
          <w:rFonts w:ascii="Garamond" w:hAnsi="Garamond"/>
          <w:sz w:val="20"/>
          <w:szCs w:val="20"/>
          <w:lang w:val="en-US"/>
        </w:rPr>
        <w:t xml:space="preserve">illegible </w:t>
      </w:r>
      <w:r w:rsidR="00FB5F25" w:rsidRPr="00BA06E6">
        <w:rPr>
          <w:rFonts w:ascii="Garamond" w:hAnsi="Garamond"/>
          <w:sz w:val="20"/>
          <w:szCs w:val="20"/>
          <w:lang w:val="en-US"/>
        </w:rPr>
        <w:t>individual case safety reports</w:t>
      </w:r>
      <w:r w:rsidR="00FB5F25">
        <w:rPr>
          <w:rFonts w:ascii="Garamond" w:hAnsi="Garamond"/>
          <w:sz w:val="20"/>
          <w:szCs w:val="20"/>
          <w:lang w:val="en-US"/>
        </w:rPr>
        <w:t xml:space="preserve"> (ICSRs) in </w:t>
      </w:r>
      <w:r w:rsidR="005A6383">
        <w:rPr>
          <w:rFonts w:ascii="Garamond" w:hAnsi="Garamond"/>
          <w:sz w:val="20"/>
          <w:szCs w:val="20"/>
          <w:lang w:val="en-US"/>
        </w:rPr>
        <w:t>subjects</w:t>
      </w:r>
      <w:r w:rsidR="00FB5F25">
        <w:rPr>
          <w:rFonts w:ascii="Garamond" w:hAnsi="Garamond"/>
          <w:sz w:val="20"/>
          <w:szCs w:val="20"/>
          <w:lang w:val="en-US"/>
        </w:rPr>
        <w:t xml:space="preserve"> immunized with the </w:t>
      </w:r>
      <w:r w:rsidR="00FB5F25" w:rsidRPr="00BA06E6">
        <w:rPr>
          <w:rFonts w:ascii="Garamond" w:hAnsi="Garamond"/>
          <w:sz w:val="20"/>
          <w:szCs w:val="20"/>
          <w:lang w:val="en-US"/>
        </w:rPr>
        <w:t>cell culture-based quadrivalent influenza vaccine (QIVc), by age group</w:t>
      </w:r>
      <w:r w:rsidR="00FB5F25">
        <w:rPr>
          <w:rFonts w:ascii="Garamond" w:hAnsi="Garamond"/>
          <w:sz w:val="20"/>
          <w:szCs w:val="20"/>
          <w:lang w:val="en-US"/>
        </w:rPr>
        <w:t xml:space="preserve"> </w:t>
      </w:r>
      <w:r w:rsidR="00FB5F25" w:rsidRPr="00BA06E6">
        <w:rPr>
          <w:rFonts w:ascii="Garamond" w:hAnsi="Garamond"/>
          <w:sz w:val="20"/>
          <w:szCs w:val="20"/>
          <w:lang w:val="en-US"/>
        </w:rPr>
        <w:t xml:space="preserve">and </w:t>
      </w:r>
      <w:proofErr w:type="gramStart"/>
      <w:r w:rsidR="00FB5F25" w:rsidRPr="00BA06E6">
        <w:rPr>
          <w:rFonts w:ascii="Garamond" w:hAnsi="Garamond"/>
          <w:sz w:val="20"/>
          <w:szCs w:val="20"/>
          <w:lang w:val="en-US"/>
        </w:rPr>
        <w:t>season</w:t>
      </w:r>
      <w:proofErr w:type="gramEnd"/>
    </w:p>
    <w:p w14:paraId="79A25F77" w14:textId="77777777" w:rsidR="00FB5F25" w:rsidRDefault="00FB5F25" w:rsidP="00FB5F25">
      <w:pPr>
        <w:spacing w:after="0" w:line="360" w:lineRule="auto"/>
        <w:jc w:val="both"/>
        <w:rPr>
          <w:rFonts w:ascii="Garamond" w:hAnsi="Garamond"/>
          <w:sz w:val="20"/>
          <w:szCs w:val="20"/>
          <w:lang w:val="en-US"/>
        </w:rPr>
      </w:pPr>
    </w:p>
    <w:tbl>
      <w:tblPr>
        <w:tblStyle w:val="Grigliatabella"/>
        <w:tblW w:w="9807" w:type="dxa"/>
        <w:tblLook w:val="04A0" w:firstRow="1" w:lastRow="0" w:firstColumn="1" w:lastColumn="0" w:noHBand="0" w:noVBand="1"/>
      </w:tblPr>
      <w:tblGrid>
        <w:gridCol w:w="2010"/>
        <w:gridCol w:w="1014"/>
        <w:gridCol w:w="1598"/>
        <w:gridCol w:w="971"/>
        <w:gridCol w:w="1594"/>
        <w:gridCol w:w="1029"/>
        <w:gridCol w:w="1591"/>
      </w:tblGrid>
      <w:tr w:rsidR="00FB5F25" w:rsidRPr="000E5AB7" w14:paraId="2ECDAEE7" w14:textId="77777777" w:rsidTr="00FB5F25">
        <w:tc>
          <w:tcPr>
            <w:tcW w:w="2010" w:type="dxa"/>
            <w:vMerge w:val="restart"/>
            <w:vAlign w:val="center"/>
          </w:tcPr>
          <w:p w14:paraId="069C968C" w14:textId="77777777" w:rsidR="00FB5F25" w:rsidRDefault="00FB5F25" w:rsidP="00FB5F25">
            <w:pPr>
              <w:jc w:val="both"/>
              <w:rPr>
                <w:rFonts w:ascii="Garamond" w:hAnsi="Garamond"/>
                <w:sz w:val="20"/>
                <w:szCs w:val="20"/>
                <w:lang w:val="en-US"/>
              </w:rPr>
            </w:pPr>
            <w:r w:rsidRPr="00125496">
              <w:rPr>
                <w:rFonts w:ascii="Garamond" w:hAnsi="Garamond"/>
                <w:b/>
                <w:bCs/>
                <w:sz w:val="20"/>
                <w:szCs w:val="20"/>
                <w:lang w:val="en-US"/>
              </w:rPr>
              <w:t>Age group, years</w:t>
            </w:r>
          </w:p>
        </w:tc>
        <w:tc>
          <w:tcPr>
            <w:tcW w:w="7797" w:type="dxa"/>
            <w:gridSpan w:val="6"/>
          </w:tcPr>
          <w:p w14:paraId="4048400B" w14:textId="77777777" w:rsidR="00FB5F25" w:rsidRPr="00BC5124" w:rsidRDefault="00FB5F25" w:rsidP="00FB5F25">
            <w:pPr>
              <w:jc w:val="both"/>
              <w:rPr>
                <w:rFonts w:ascii="Garamond" w:hAnsi="Garamond"/>
                <w:b/>
                <w:bCs/>
                <w:sz w:val="20"/>
                <w:szCs w:val="20"/>
                <w:lang w:val="en-US"/>
              </w:rPr>
            </w:pPr>
            <w:r w:rsidRPr="00BC5124">
              <w:rPr>
                <w:rFonts w:ascii="Garamond" w:hAnsi="Garamond"/>
                <w:b/>
                <w:bCs/>
                <w:sz w:val="20"/>
                <w:szCs w:val="20"/>
                <w:lang w:val="en-US"/>
              </w:rPr>
              <w:t>Frequency of individual case safety reports in each season</w:t>
            </w:r>
          </w:p>
        </w:tc>
      </w:tr>
      <w:tr w:rsidR="00FB5F25" w14:paraId="19EA6503" w14:textId="77777777" w:rsidTr="00FB5F25">
        <w:tc>
          <w:tcPr>
            <w:tcW w:w="2010" w:type="dxa"/>
            <w:vMerge/>
            <w:vAlign w:val="center"/>
          </w:tcPr>
          <w:p w14:paraId="23BBA3A5" w14:textId="77777777" w:rsidR="00FB5F25" w:rsidRDefault="00FB5F25" w:rsidP="00FB5F25">
            <w:pPr>
              <w:jc w:val="both"/>
              <w:rPr>
                <w:rFonts w:ascii="Garamond" w:hAnsi="Garamond"/>
                <w:sz w:val="20"/>
                <w:szCs w:val="20"/>
                <w:lang w:val="en-US"/>
              </w:rPr>
            </w:pPr>
          </w:p>
        </w:tc>
        <w:tc>
          <w:tcPr>
            <w:tcW w:w="2612" w:type="dxa"/>
            <w:gridSpan w:val="2"/>
            <w:vAlign w:val="center"/>
          </w:tcPr>
          <w:p w14:paraId="7081AE9B" w14:textId="77777777" w:rsidR="00FB5F25" w:rsidRPr="00125496" w:rsidRDefault="00FB5F25" w:rsidP="00FB5F25">
            <w:pPr>
              <w:jc w:val="both"/>
              <w:rPr>
                <w:rFonts w:ascii="Garamond" w:hAnsi="Garamond"/>
                <w:b/>
                <w:bCs/>
                <w:sz w:val="20"/>
                <w:szCs w:val="20"/>
                <w:lang w:val="en-US"/>
              </w:rPr>
            </w:pPr>
            <w:r w:rsidRPr="00125496">
              <w:rPr>
                <w:rFonts w:ascii="Garamond" w:hAnsi="Garamond"/>
                <w:b/>
                <w:bCs/>
                <w:sz w:val="20"/>
                <w:szCs w:val="20"/>
                <w:lang w:val="en-US"/>
              </w:rPr>
              <w:t>2019/20</w:t>
            </w:r>
          </w:p>
        </w:tc>
        <w:tc>
          <w:tcPr>
            <w:tcW w:w="2565" w:type="dxa"/>
            <w:gridSpan w:val="2"/>
            <w:vAlign w:val="center"/>
          </w:tcPr>
          <w:p w14:paraId="3A145CF5" w14:textId="77777777" w:rsidR="00FB5F25" w:rsidRPr="00125496" w:rsidRDefault="00FB5F25" w:rsidP="00FB5F25">
            <w:pPr>
              <w:jc w:val="both"/>
              <w:rPr>
                <w:rFonts w:ascii="Garamond" w:hAnsi="Garamond"/>
                <w:b/>
                <w:bCs/>
                <w:sz w:val="20"/>
                <w:szCs w:val="20"/>
                <w:lang w:val="en-US"/>
              </w:rPr>
            </w:pPr>
            <w:r w:rsidRPr="00125496">
              <w:rPr>
                <w:rFonts w:ascii="Garamond" w:hAnsi="Garamond"/>
                <w:b/>
                <w:bCs/>
                <w:sz w:val="20"/>
                <w:szCs w:val="20"/>
                <w:lang w:val="en-US"/>
              </w:rPr>
              <w:t>2020/21</w:t>
            </w:r>
          </w:p>
        </w:tc>
        <w:tc>
          <w:tcPr>
            <w:tcW w:w="2620" w:type="dxa"/>
            <w:gridSpan w:val="2"/>
            <w:vAlign w:val="center"/>
          </w:tcPr>
          <w:p w14:paraId="3A3EE52B" w14:textId="77777777" w:rsidR="00FB5F25" w:rsidRPr="00125496" w:rsidRDefault="00FB5F25" w:rsidP="00FB5F25">
            <w:pPr>
              <w:jc w:val="both"/>
              <w:rPr>
                <w:rFonts w:ascii="Garamond" w:hAnsi="Garamond"/>
                <w:b/>
                <w:bCs/>
                <w:sz w:val="20"/>
                <w:szCs w:val="20"/>
                <w:lang w:val="en-US"/>
              </w:rPr>
            </w:pPr>
            <w:r w:rsidRPr="00125496">
              <w:rPr>
                <w:rFonts w:ascii="Garamond" w:hAnsi="Garamond"/>
                <w:b/>
                <w:bCs/>
                <w:sz w:val="20"/>
                <w:szCs w:val="20"/>
                <w:lang w:val="en-US"/>
              </w:rPr>
              <w:t>2021/22</w:t>
            </w:r>
          </w:p>
        </w:tc>
      </w:tr>
      <w:tr w:rsidR="00FB5F25" w14:paraId="58F7A3FD" w14:textId="77777777" w:rsidTr="00FB5F25">
        <w:tc>
          <w:tcPr>
            <w:tcW w:w="2010" w:type="dxa"/>
            <w:vMerge/>
            <w:vAlign w:val="center"/>
          </w:tcPr>
          <w:p w14:paraId="5031D504" w14:textId="77777777" w:rsidR="00FB5F25" w:rsidRDefault="00FB5F25" w:rsidP="00FB5F25">
            <w:pPr>
              <w:jc w:val="both"/>
              <w:rPr>
                <w:rFonts w:ascii="Garamond" w:hAnsi="Garamond"/>
                <w:sz w:val="20"/>
                <w:szCs w:val="20"/>
                <w:lang w:val="en-US"/>
              </w:rPr>
            </w:pPr>
          </w:p>
        </w:tc>
        <w:tc>
          <w:tcPr>
            <w:tcW w:w="1014" w:type="dxa"/>
            <w:vAlign w:val="center"/>
          </w:tcPr>
          <w:p w14:paraId="22C5EBBF" w14:textId="77777777" w:rsidR="00FB5F25" w:rsidRPr="00125496" w:rsidRDefault="00FB5F25" w:rsidP="00FB5F25">
            <w:pPr>
              <w:jc w:val="both"/>
              <w:rPr>
                <w:rFonts w:ascii="Garamond" w:hAnsi="Garamond"/>
                <w:b/>
                <w:bCs/>
                <w:sz w:val="20"/>
                <w:szCs w:val="20"/>
                <w:lang w:val="en-US"/>
              </w:rPr>
            </w:pPr>
            <w:r w:rsidRPr="00D53880">
              <w:rPr>
                <w:rFonts w:ascii="Garamond" w:hAnsi="Garamond"/>
                <w:b/>
                <w:bCs/>
                <w:i/>
                <w:sz w:val="20"/>
                <w:szCs w:val="20"/>
                <w:lang w:val="en-US"/>
              </w:rPr>
              <w:t>n</w:t>
            </w:r>
            <w:r>
              <w:rPr>
                <w:rFonts w:ascii="Garamond" w:hAnsi="Garamond"/>
                <w:b/>
                <w:bCs/>
                <w:sz w:val="20"/>
                <w:szCs w:val="20"/>
                <w:lang w:val="en-US"/>
              </w:rPr>
              <w:t>/</w:t>
            </w:r>
            <w:r w:rsidRPr="00D53880">
              <w:rPr>
                <w:rFonts w:ascii="Garamond" w:hAnsi="Garamond"/>
                <w:b/>
                <w:bCs/>
                <w:i/>
                <w:sz w:val="20"/>
                <w:szCs w:val="20"/>
                <w:lang w:val="en-US"/>
              </w:rPr>
              <w:t>N</w:t>
            </w:r>
          </w:p>
        </w:tc>
        <w:tc>
          <w:tcPr>
            <w:tcW w:w="1598" w:type="dxa"/>
          </w:tcPr>
          <w:p w14:paraId="1DF1CA71" w14:textId="77777777" w:rsidR="00FB5F25" w:rsidRPr="00125496" w:rsidRDefault="00FB5F25" w:rsidP="00FB5F25">
            <w:pPr>
              <w:jc w:val="both"/>
              <w:rPr>
                <w:rFonts w:ascii="Garamond" w:hAnsi="Garamond"/>
                <w:b/>
                <w:bCs/>
                <w:sz w:val="20"/>
                <w:szCs w:val="20"/>
                <w:lang w:val="en-US"/>
              </w:rPr>
            </w:pPr>
            <w:r>
              <w:rPr>
                <w:rFonts w:ascii="Garamond" w:hAnsi="Garamond"/>
                <w:b/>
                <w:bCs/>
                <w:sz w:val="20"/>
                <w:szCs w:val="20"/>
                <w:lang w:val="en-US"/>
              </w:rPr>
              <w:t>% (95% CI)</w:t>
            </w:r>
          </w:p>
        </w:tc>
        <w:tc>
          <w:tcPr>
            <w:tcW w:w="971" w:type="dxa"/>
            <w:vAlign w:val="center"/>
          </w:tcPr>
          <w:p w14:paraId="5FF01289" w14:textId="77777777" w:rsidR="00FB5F25" w:rsidRPr="00125496" w:rsidRDefault="00FB5F25" w:rsidP="00FB5F25">
            <w:pPr>
              <w:jc w:val="both"/>
              <w:rPr>
                <w:rFonts w:ascii="Garamond" w:hAnsi="Garamond"/>
                <w:b/>
                <w:bCs/>
                <w:sz w:val="20"/>
                <w:szCs w:val="20"/>
                <w:lang w:val="en-US"/>
              </w:rPr>
            </w:pPr>
            <w:r w:rsidRPr="00D53880">
              <w:rPr>
                <w:rFonts w:ascii="Garamond" w:hAnsi="Garamond"/>
                <w:b/>
                <w:bCs/>
                <w:i/>
                <w:sz w:val="20"/>
                <w:szCs w:val="20"/>
                <w:lang w:val="en-US"/>
              </w:rPr>
              <w:t>n</w:t>
            </w:r>
            <w:r>
              <w:rPr>
                <w:rFonts w:ascii="Garamond" w:hAnsi="Garamond"/>
                <w:b/>
                <w:bCs/>
                <w:sz w:val="20"/>
                <w:szCs w:val="20"/>
                <w:lang w:val="en-US"/>
              </w:rPr>
              <w:t>/</w:t>
            </w:r>
            <w:r w:rsidRPr="00D53880">
              <w:rPr>
                <w:rFonts w:ascii="Garamond" w:hAnsi="Garamond"/>
                <w:b/>
                <w:bCs/>
                <w:i/>
                <w:sz w:val="20"/>
                <w:szCs w:val="20"/>
                <w:lang w:val="en-US"/>
              </w:rPr>
              <w:t>N</w:t>
            </w:r>
          </w:p>
        </w:tc>
        <w:tc>
          <w:tcPr>
            <w:tcW w:w="1594" w:type="dxa"/>
          </w:tcPr>
          <w:p w14:paraId="18040889" w14:textId="77777777" w:rsidR="00FB5F25" w:rsidRPr="00125496" w:rsidRDefault="00FB5F25" w:rsidP="00FB5F25">
            <w:pPr>
              <w:jc w:val="both"/>
              <w:rPr>
                <w:rFonts w:ascii="Garamond" w:hAnsi="Garamond"/>
                <w:b/>
                <w:bCs/>
                <w:sz w:val="20"/>
                <w:szCs w:val="20"/>
                <w:lang w:val="en-US"/>
              </w:rPr>
            </w:pPr>
            <w:r>
              <w:rPr>
                <w:rFonts w:ascii="Garamond" w:hAnsi="Garamond"/>
                <w:b/>
                <w:bCs/>
                <w:sz w:val="20"/>
                <w:szCs w:val="20"/>
                <w:lang w:val="en-US"/>
              </w:rPr>
              <w:t>% (95% CI)</w:t>
            </w:r>
          </w:p>
        </w:tc>
        <w:tc>
          <w:tcPr>
            <w:tcW w:w="1029" w:type="dxa"/>
            <w:vAlign w:val="center"/>
          </w:tcPr>
          <w:p w14:paraId="6DC81F6C" w14:textId="77777777" w:rsidR="00FB5F25" w:rsidRPr="00125496" w:rsidRDefault="00FB5F25" w:rsidP="00FB5F25">
            <w:pPr>
              <w:jc w:val="both"/>
              <w:rPr>
                <w:rFonts w:ascii="Garamond" w:hAnsi="Garamond"/>
                <w:b/>
                <w:bCs/>
                <w:sz w:val="20"/>
                <w:szCs w:val="20"/>
                <w:lang w:val="en-US"/>
              </w:rPr>
            </w:pPr>
            <w:r w:rsidRPr="00D53880">
              <w:rPr>
                <w:rFonts w:ascii="Garamond" w:hAnsi="Garamond"/>
                <w:b/>
                <w:bCs/>
                <w:i/>
                <w:sz w:val="20"/>
                <w:szCs w:val="20"/>
                <w:lang w:val="en-US"/>
              </w:rPr>
              <w:t>n</w:t>
            </w:r>
            <w:r>
              <w:rPr>
                <w:rFonts w:ascii="Garamond" w:hAnsi="Garamond"/>
                <w:b/>
                <w:bCs/>
                <w:sz w:val="20"/>
                <w:szCs w:val="20"/>
                <w:lang w:val="en-US"/>
              </w:rPr>
              <w:t>/</w:t>
            </w:r>
            <w:r w:rsidRPr="00D53880">
              <w:rPr>
                <w:rFonts w:ascii="Garamond" w:hAnsi="Garamond"/>
                <w:b/>
                <w:bCs/>
                <w:i/>
                <w:sz w:val="20"/>
                <w:szCs w:val="20"/>
                <w:lang w:val="en-US"/>
              </w:rPr>
              <w:t>N</w:t>
            </w:r>
          </w:p>
        </w:tc>
        <w:tc>
          <w:tcPr>
            <w:tcW w:w="1591" w:type="dxa"/>
          </w:tcPr>
          <w:p w14:paraId="316A6028" w14:textId="77777777" w:rsidR="00FB5F25" w:rsidRPr="00125496" w:rsidRDefault="00FB5F25" w:rsidP="00FB5F25">
            <w:pPr>
              <w:jc w:val="both"/>
              <w:rPr>
                <w:rFonts w:ascii="Garamond" w:hAnsi="Garamond"/>
                <w:b/>
                <w:bCs/>
                <w:sz w:val="20"/>
                <w:szCs w:val="20"/>
                <w:lang w:val="en-US"/>
              </w:rPr>
            </w:pPr>
            <w:r>
              <w:rPr>
                <w:rFonts w:ascii="Garamond" w:hAnsi="Garamond"/>
                <w:b/>
                <w:bCs/>
                <w:sz w:val="20"/>
                <w:szCs w:val="20"/>
                <w:lang w:val="en-US"/>
              </w:rPr>
              <w:t>% (95% CI)</w:t>
            </w:r>
          </w:p>
        </w:tc>
      </w:tr>
      <w:tr w:rsidR="00FB5F25" w14:paraId="1CB8B72A" w14:textId="77777777" w:rsidTr="00FB5F25">
        <w:tc>
          <w:tcPr>
            <w:tcW w:w="2010" w:type="dxa"/>
            <w:vAlign w:val="center"/>
          </w:tcPr>
          <w:p w14:paraId="2F5B095D" w14:textId="77777777" w:rsidR="00FB5F25" w:rsidRDefault="00FB5F25" w:rsidP="00FB5F25">
            <w:pPr>
              <w:jc w:val="both"/>
              <w:rPr>
                <w:rFonts w:ascii="Garamond" w:hAnsi="Garamond"/>
                <w:sz w:val="20"/>
                <w:szCs w:val="20"/>
                <w:lang w:val="en-US"/>
              </w:rPr>
            </w:pPr>
            <w:r>
              <w:rPr>
                <w:rFonts w:ascii="Garamond" w:hAnsi="Garamond"/>
                <w:sz w:val="20"/>
                <w:szCs w:val="20"/>
                <w:lang w:val="en-US"/>
              </w:rPr>
              <w:t>Any</w:t>
            </w:r>
          </w:p>
        </w:tc>
        <w:tc>
          <w:tcPr>
            <w:tcW w:w="1014" w:type="dxa"/>
            <w:vAlign w:val="center"/>
          </w:tcPr>
          <w:p w14:paraId="5282F034" w14:textId="58E2D7FA" w:rsidR="00FB5F25" w:rsidRDefault="00FB5F25" w:rsidP="00FB5F25">
            <w:pPr>
              <w:jc w:val="both"/>
              <w:rPr>
                <w:rFonts w:ascii="Garamond" w:hAnsi="Garamond"/>
                <w:sz w:val="20"/>
                <w:szCs w:val="20"/>
                <w:lang w:val="en-US"/>
              </w:rPr>
            </w:pPr>
            <w:r>
              <w:rPr>
                <w:rFonts w:ascii="Garamond" w:hAnsi="Garamond"/>
                <w:sz w:val="20"/>
                <w:szCs w:val="20"/>
                <w:lang w:val="en-US"/>
              </w:rPr>
              <w:t>1</w:t>
            </w:r>
            <w:r w:rsidR="005A6383">
              <w:rPr>
                <w:rFonts w:ascii="Garamond" w:hAnsi="Garamond"/>
                <w:sz w:val="20"/>
                <w:szCs w:val="20"/>
                <w:lang w:val="en-US"/>
              </w:rPr>
              <w:t>0</w:t>
            </w:r>
            <w:r>
              <w:rPr>
                <w:rFonts w:ascii="Garamond" w:hAnsi="Garamond"/>
                <w:sz w:val="20"/>
                <w:szCs w:val="20"/>
                <w:lang w:val="en-US"/>
              </w:rPr>
              <w:t>/1030</w:t>
            </w:r>
          </w:p>
        </w:tc>
        <w:tc>
          <w:tcPr>
            <w:tcW w:w="1598" w:type="dxa"/>
          </w:tcPr>
          <w:p w14:paraId="0445D64F" w14:textId="2AAE5A31" w:rsidR="00FB5F25" w:rsidRDefault="005A6383" w:rsidP="00FB5F25">
            <w:pPr>
              <w:jc w:val="both"/>
              <w:rPr>
                <w:rFonts w:ascii="Garamond" w:hAnsi="Garamond"/>
                <w:sz w:val="20"/>
                <w:szCs w:val="20"/>
                <w:lang w:val="en-US"/>
              </w:rPr>
            </w:pPr>
            <w:r>
              <w:rPr>
                <w:rFonts w:ascii="Garamond" w:hAnsi="Garamond"/>
                <w:sz w:val="20"/>
                <w:szCs w:val="20"/>
                <w:lang w:val="en-US"/>
              </w:rPr>
              <w:t>0</w:t>
            </w:r>
            <w:r w:rsidR="00FB5F25">
              <w:rPr>
                <w:rFonts w:ascii="Garamond" w:hAnsi="Garamond"/>
                <w:sz w:val="20"/>
                <w:szCs w:val="20"/>
                <w:lang w:val="en-US"/>
              </w:rPr>
              <w:t>.</w:t>
            </w:r>
            <w:r>
              <w:rPr>
                <w:rFonts w:ascii="Garamond" w:hAnsi="Garamond"/>
                <w:sz w:val="20"/>
                <w:szCs w:val="20"/>
                <w:lang w:val="en-US"/>
              </w:rPr>
              <w:t>97</w:t>
            </w:r>
            <w:r w:rsidR="00FB5F25">
              <w:rPr>
                <w:rFonts w:ascii="Garamond" w:hAnsi="Garamond"/>
                <w:sz w:val="20"/>
                <w:szCs w:val="20"/>
                <w:lang w:val="en-US"/>
              </w:rPr>
              <w:t xml:space="preserve"> (</w:t>
            </w:r>
            <w:r>
              <w:rPr>
                <w:rFonts w:ascii="Garamond" w:hAnsi="Garamond"/>
                <w:sz w:val="20"/>
                <w:szCs w:val="20"/>
                <w:lang w:val="en-US"/>
              </w:rPr>
              <w:t>0</w:t>
            </w:r>
            <w:r w:rsidR="00FB5F25">
              <w:rPr>
                <w:rFonts w:ascii="Garamond" w:hAnsi="Garamond"/>
                <w:sz w:val="20"/>
                <w:szCs w:val="20"/>
                <w:lang w:val="en-US"/>
              </w:rPr>
              <w:t>.</w:t>
            </w:r>
            <w:r>
              <w:rPr>
                <w:rFonts w:ascii="Garamond" w:hAnsi="Garamond"/>
                <w:sz w:val="20"/>
                <w:szCs w:val="20"/>
                <w:lang w:val="en-US"/>
              </w:rPr>
              <w:t>47</w:t>
            </w:r>
            <w:r w:rsidR="00FB5F25">
              <w:rPr>
                <w:rFonts w:ascii="Garamond" w:hAnsi="Garamond"/>
                <w:sz w:val="20"/>
                <w:szCs w:val="20"/>
                <w:lang w:val="en-US"/>
              </w:rPr>
              <w:t>–</w:t>
            </w:r>
            <w:r>
              <w:rPr>
                <w:rFonts w:ascii="Garamond" w:hAnsi="Garamond"/>
                <w:sz w:val="20"/>
                <w:szCs w:val="20"/>
                <w:lang w:val="en-US"/>
              </w:rPr>
              <w:t>1</w:t>
            </w:r>
            <w:r w:rsidR="00FB5F25">
              <w:rPr>
                <w:rFonts w:ascii="Garamond" w:hAnsi="Garamond"/>
                <w:sz w:val="20"/>
                <w:szCs w:val="20"/>
                <w:lang w:val="en-US"/>
              </w:rPr>
              <w:t>.7</w:t>
            </w:r>
            <w:r>
              <w:rPr>
                <w:rFonts w:ascii="Garamond" w:hAnsi="Garamond"/>
                <w:sz w:val="20"/>
                <w:szCs w:val="20"/>
                <w:lang w:val="en-US"/>
              </w:rPr>
              <w:t>8</w:t>
            </w:r>
            <w:r w:rsidR="00FB5F25">
              <w:rPr>
                <w:rFonts w:ascii="Garamond" w:hAnsi="Garamond"/>
                <w:sz w:val="20"/>
                <w:szCs w:val="20"/>
                <w:lang w:val="en-US"/>
              </w:rPr>
              <w:t>)</w:t>
            </w:r>
          </w:p>
        </w:tc>
        <w:tc>
          <w:tcPr>
            <w:tcW w:w="971" w:type="dxa"/>
            <w:vAlign w:val="center"/>
          </w:tcPr>
          <w:p w14:paraId="063B38E5" w14:textId="77777777" w:rsidR="00FB5F25" w:rsidRDefault="00FB5F25" w:rsidP="00FB5F25">
            <w:pPr>
              <w:jc w:val="both"/>
              <w:rPr>
                <w:rFonts w:ascii="Garamond" w:hAnsi="Garamond"/>
                <w:sz w:val="20"/>
                <w:szCs w:val="20"/>
                <w:lang w:val="en-US"/>
              </w:rPr>
            </w:pPr>
            <w:r>
              <w:rPr>
                <w:rFonts w:ascii="Garamond" w:hAnsi="Garamond"/>
                <w:sz w:val="20"/>
                <w:szCs w:val="20"/>
                <w:lang w:val="en-US"/>
              </w:rPr>
              <w:t>5/1032</w:t>
            </w:r>
          </w:p>
        </w:tc>
        <w:tc>
          <w:tcPr>
            <w:tcW w:w="1594" w:type="dxa"/>
          </w:tcPr>
          <w:p w14:paraId="29025267" w14:textId="77777777" w:rsidR="00FB5F25" w:rsidRDefault="00FB5F25" w:rsidP="00FB5F25">
            <w:pPr>
              <w:jc w:val="both"/>
              <w:rPr>
                <w:rFonts w:ascii="Garamond" w:hAnsi="Garamond"/>
                <w:sz w:val="20"/>
                <w:szCs w:val="20"/>
                <w:lang w:val="en-US"/>
              </w:rPr>
            </w:pPr>
            <w:r>
              <w:rPr>
                <w:rFonts w:ascii="Garamond" w:hAnsi="Garamond"/>
                <w:sz w:val="20"/>
                <w:szCs w:val="20"/>
                <w:lang w:val="en-US"/>
              </w:rPr>
              <w:t>0.48 (0.16–1.13)</w:t>
            </w:r>
          </w:p>
        </w:tc>
        <w:tc>
          <w:tcPr>
            <w:tcW w:w="1029" w:type="dxa"/>
            <w:vAlign w:val="center"/>
          </w:tcPr>
          <w:p w14:paraId="59200F82" w14:textId="77777777" w:rsidR="00FB5F25" w:rsidRDefault="00FB5F25" w:rsidP="00FB5F25">
            <w:pPr>
              <w:jc w:val="both"/>
              <w:rPr>
                <w:rFonts w:ascii="Garamond" w:hAnsi="Garamond"/>
                <w:sz w:val="20"/>
                <w:szCs w:val="20"/>
                <w:lang w:val="en-US"/>
              </w:rPr>
            </w:pPr>
            <w:r>
              <w:rPr>
                <w:rFonts w:ascii="Garamond" w:hAnsi="Garamond"/>
                <w:sz w:val="20"/>
                <w:szCs w:val="20"/>
                <w:lang w:val="en-US"/>
              </w:rPr>
              <w:t>4/1001</w:t>
            </w:r>
          </w:p>
        </w:tc>
        <w:tc>
          <w:tcPr>
            <w:tcW w:w="1591" w:type="dxa"/>
          </w:tcPr>
          <w:p w14:paraId="3DFFE31D" w14:textId="77777777" w:rsidR="00FB5F25" w:rsidRDefault="00FB5F25" w:rsidP="00FB5F25">
            <w:pPr>
              <w:jc w:val="both"/>
              <w:rPr>
                <w:rFonts w:ascii="Garamond" w:hAnsi="Garamond"/>
                <w:sz w:val="20"/>
                <w:szCs w:val="20"/>
                <w:lang w:val="en-US"/>
              </w:rPr>
            </w:pPr>
            <w:r>
              <w:rPr>
                <w:rFonts w:ascii="Garamond" w:hAnsi="Garamond"/>
                <w:sz w:val="20"/>
                <w:szCs w:val="20"/>
                <w:lang w:val="en-US"/>
              </w:rPr>
              <w:t>0.40 (0.11–1.02)</w:t>
            </w:r>
          </w:p>
        </w:tc>
      </w:tr>
      <w:tr w:rsidR="00FB5F25" w14:paraId="08E8218D" w14:textId="77777777" w:rsidTr="00FB5F25">
        <w:tc>
          <w:tcPr>
            <w:tcW w:w="2010" w:type="dxa"/>
            <w:vAlign w:val="center"/>
          </w:tcPr>
          <w:p w14:paraId="755781BF" w14:textId="77777777" w:rsidR="00FB5F25" w:rsidRDefault="00FB5F25" w:rsidP="00FB5F25">
            <w:pPr>
              <w:jc w:val="both"/>
              <w:rPr>
                <w:rFonts w:ascii="Garamond" w:hAnsi="Garamond"/>
                <w:sz w:val="20"/>
                <w:szCs w:val="20"/>
                <w:lang w:val="en-US"/>
              </w:rPr>
            </w:pPr>
            <w:r>
              <w:rPr>
                <w:rFonts w:ascii="Garamond" w:hAnsi="Garamond"/>
                <w:sz w:val="20"/>
                <w:szCs w:val="20"/>
                <w:lang w:val="en-US"/>
              </w:rPr>
              <w:t>2/9–17</w:t>
            </w:r>
            <w:r w:rsidRPr="00F460C9">
              <w:rPr>
                <w:rFonts w:ascii="Garamond" w:hAnsi="Garamond"/>
                <w:sz w:val="20"/>
                <w:szCs w:val="20"/>
                <w:vertAlign w:val="superscript"/>
                <w:lang w:val="en-US"/>
              </w:rPr>
              <w:t>a</w:t>
            </w:r>
          </w:p>
        </w:tc>
        <w:tc>
          <w:tcPr>
            <w:tcW w:w="1014" w:type="dxa"/>
            <w:vAlign w:val="center"/>
          </w:tcPr>
          <w:p w14:paraId="39198522" w14:textId="77777777" w:rsidR="00FB5F25" w:rsidRDefault="00FB5F25" w:rsidP="00FB5F25">
            <w:pPr>
              <w:jc w:val="both"/>
              <w:rPr>
                <w:rFonts w:ascii="Garamond" w:hAnsi="Garamond"/>
                <w:sz w:val="20"/>
                <w:szCs w:val="20"/>
                <w:lang w:val="en-US"/>
              </w:rPr>
            </w:pPr>
            <w:r>
              <w:rPr>
                <w:rFonts w:ascii="Garamond" w:hAnsi="Garamond"/>
                <w:sz w:val="20"/>
                <w:szCs w:val="20"/>
                <w:lang w:val="en-US"/>
              </w:rPr>
              <w:t>0/95</w:t>
            </w:r>
          </w:p>
        </w:tc>
        <w:tc>
          <w:tcPr>
            <w:tcW w:w="1598" w:type="dxa"/>
          </w:tcPr>
          <w:p w14:paraId="23152FDC" w14:textId="77777777" w:rsidR="00FB5F25" w:rsidRDefault="00FB5F25" w:rsidP="00FB5F25">
            <w:pPr>
              <w:jc w:val="both"/>
              <w:rPr>
                <w:rFonts w:ascii="Garamond" w:hAnsi="Garamond"/>
                <w:sz w:val="20"/>
                <w:szCs w:val="20"/>
                <w:lang w:val="en-US"/>
              </w:rPr>
            </w:pPr>
            <w:r w:rsidRPr="00171841">
              <w:rPr>
                <w:rFonts w:ascii="Garamond" w:hAnsi="Garamond"/>
                <w:sz w:val="20"/>
                <w:szCs w:val="20"/>
                <w:lang w:val="en-US"/>
              </w:rPr>
              <w:t xml:space="preserve">0 </w:t>
            </w:r>
            <w:r>
              <w:rPr>
                <w:rFonts w:ascii="Garamond" w:hAnsi="Garamond"/>
                <w:sz w:val="20"/>
                <w:szCs w:val="20"/>
                <w:lang w:val="en-US"/>
              </w:rPr>
              <w:t>(</w:t>
            </w:r>
            <w:r w:rsidRPr="00171841">
              <w:rPr>
                <w:rFonts w:ascii="Garamond" w:hAnsi="Garamond"/>
                <w:sz w:val="20"/>
                <w:szCs w:val="20"/>
                <w:lang w:val="en-US"/>
              </w:rPr>
              <w:t>0–3.8</w:t>
            </w:r>
            <w:r>
              <w:rPr>
                <w:rFonts w:ascii="Garamond" w:hAnsi="Garamond"/>
                <w:sz w:val="20"/>
                <w:szCs w:val="20"/>
                <w:lang w:val="en-US"/>
              </w:rPr>
              <w:t>1</w:t>
            </w:r>
            <w:r w:rsidRPr="00171841">
              <w:rPr>
                <w:rFonts w:ascii="Garamond" w:hAnsi="Garamond"/>
                <w:sz w:val="20"/>
                <w:szCs w:val="20"/>
                <w:lang w:val="en-US"/>
              </w:rPr>
              <w:t>)</w:t>
            </w:r>
          </w:p>
        </w:tc>
        <w:tc>
          <w:tcPr>
            <w:tcW w:w="971" w:type="dxa"/>
            <w:vAlign w:val="center"/>
          </w:tcPr>
          <w:p w14:paraId="7ED9E1D6" w14:textId="77777777" w:rsidR="00FB5F25" w:rsidRDefault="00FB5F25" w:rsidP="00FB5F25">
            <w:pPr>
              <w:jc w:val="both"/>
              <w:rPr>
                <w:rFonts w:ascii="Garamond" w:hAnsi="Garamond"/>
                <w:sz w:val="20"/>
                <w:szCs w:val="20"/>
                <w:lang w:val="en-US"/>
              </w:rPr>
            </w:pPr>
            <w:r>
              <w:rPr>
                <w:rFonts w:ascii="Garamond" w:hAnsi="Garamond"/>
                <w:sz w:val="20"/>
                <w:szCs w:val="20"/>
                <w:lang w:val="en-US"/>
              </w:rPr>
              <w:t>1/214</w:t>
            </w:r>
          </w:p>
        </w:tc>
        <w:tc>
          <w:tcPr>
            <w:tcW w:w="1594" w:type="dxa"/>
          </w:tcPr>
          <w:p w14:paraId="07B9C38F" w14:textId="77777777" w:rsidR="00FB5F25" w:rsidRDefault="00FB5F25" w:rsidP="00FB5F25">
            <w:pPr>
              <w:jc w:val="both"/>
              <w:rPr>
                <w:rFonts w:ascii="Garamond" w:hAnsi="Garamond"/>
                <w:sz w:val="20"/>
                <w:szCs w:val="20"/>
                <w:lang w:val="en-US"/>
              </w:rPr>
            </w:pPr>
            <w:r>
              <w:rPr>
                <w:rFonts w:ascii="Garamond" w:hAnsi="Garamond"/>
                <w:sz w:val="20"/>
                <w:szCs w:val="20"/>
                <w:lang w:val="en-US"/>
              </w:rPr>
              <w:t>0.47 (0.01–2.56)</w:t>
            </w:r>
          </w:p>
        </w:tc>
        <w:tc>
          <w:tcPr>
            <w:tcW w:w="1029" w:type="dxa"/>
            <w:vAlign w:val="center"/>
          </w:tcPr>
          <w:p w14:paraId="7C8FFF51" w14:textId="77777777" w:rsidR="00FB5F25" w:rsidRDefault="00FB5F25" w:rsidP="00FB5F25">
            <w:pPr>
              <w:jc w:val="both"/>
              <w:rPr>
                <w:rFonts w:ascii="Garamond" w:hAnsi="Garamond"/>
                <w:sz w:val="20"/>
                <w:szCs w:val="20"/>
                <w:lang w:val="en-US"/>
              </w:rPr>
            </w:pPr>
            <w:r>
              <w:rPr>
                <w:rFonts w:ascii="Garamond" w:hAnsi="Garamond"/>
                <w:sz w:val="20"/>
                <w:szCs w:val="20"/>
                <w:lang w:val="en-US"/>
              </w:rPr>
              <w:t>0/257</w:t>
            </w:r>
          </w:p>
        </w:tc>
        <w:tc>
          <w:tcPr>
            <w:tcW w:w="1591" w:type="dxa"/>
          </w:tcPr>
          <w:p w14:paraId="3B42B35F" w14:textId="77777777" w:rsidR="00FB5F25" w:rsidRDefault="00FB5F25" w:rsidP="00FB5F25">
            <w:pPr>
              <w:jc w:val="both"/>
              <w:rPr>
                <w:rFonts w:ascii="Garamond" w:hAnsi="Garamond"/>
                <w:sz w:val="20"/>
                <w:szCs w:val="20"/>
                <w:lang w:val="en-US"/>
              </w:rPr>
            </w:pPr>
            <w:r>
              <w:rPr>
                <w:rFonts w:ascii="Garamond" w:hAnsi="Garamond"/>
                <w:sz w:val="20"/>
                <w:szCs w:val="20"/>
                <w:lang w:val="en-US"/>
              </w:rPr>
              <w:t>0 (0–1.43)</w:t>
            </w:r>
          </w:p>
        </w:tc>
      </w:tr>
      <w:tr w:rsidR="00FB5F25" w14:paraId="52B1BEE8" w14:textId="77777777" w:rsidTr="00FB5F25">
        <w:tc>
          <w:tcPr>
            <w:tcW w:w="2010" w:type="dxa"/>
            <w:vAlign w:val="center"/>
          </w:tcPr>
          <w:p w14:paraId="4C5BD020" w14:textId="77777777" w:rsidR="00FB5F25" w:rsidRDefault="00FB5F25" w:rsidP="00FB5F25">
            <w:pPr>
              <w:jc w:val="both"/>
              <w:rPr>
                <w:rFonts w:ascii="Garamond" w:hAnsi="Garamond"/>
                <w:sz w:val="20"/>
                <w:szCs w:val="20"/>
                <w:lang w:val="en-US"/>
              </w:rPr>
            </w:pPr>
            <w:r w:rsidRPr="007F6AB3">
              <w:rPr>
                <w:rFonts w:ascii="Garamond" w:hAnsi="Garamond"/>
                <w:sz w:val="20"/>
                <w:szCs w:val="20"/>
                <w:lang w:val="en-US"/>
              </w:rPr>
              <w:t>18–64</w:t>
            </w:r>
          </w:p>
        </w:tc>
        <w:tc>
          <w:tcPr>
            <w:tcW w:w="1014" w:type="dxa"/>
            <w:vAlign w:val="center"/>
          </w:tcPr>
          <w:p w14:paraId="794C3469" w14:textId="77777777" w:rsidR="00FB5F25" w:rsidRDefault="00FB5F25" w:rsidP="00FB5F25">
            <w:pPr>
              <w:jc w:val="both"/>
              <w:rPr>
                <w:rFonts w:ascii="Garamond" w:hAnsi="Garamond"/>
                <w:sz w:val="20"/>
                <w:szCs w:val="20"/>
                <w:lang w:val="en-US"/>
              </w:rPr>
            </w:pPr>
            <w:r>
              <w:rPr>
                <w:rFonts w:ascii="Garamond" w:hAnsi="Garamond"/>
                <w:sz w:val="20"/>
                <w:szCs w:val="20"/>
                <w:lang w:val="en-US"/>
              </w:rPr>
              <w:t>8/652</w:t>
            </w:r>
          </w:p>
        </w:tc>
        <w:tc>
          <w:tcPr>
            <w:tcW w:w="1598" w:type="dxa"/>
          </w:tcPr>
          <w:p w14:paraId="7B83A9B6" w14:textId="77777777" w:rsidR="00FB5F25" w:rsidRDefault="00FB5F25" w:rsidP="00FB5F25">
            <w:pPr>
              <w:jc w:val="both"/>
              <w:rPr>
                <w:rFonts w:ascii="Garamond" w:hAnsi="Garamond"/>
                <w:sz w:val="20"/>
                <w:szCs w:val="20"/>
                <w:lang w:val="en-US"/>
              </w:rPr>
            </w:pPr>
            <w:r w:rsidRPr="00171841">
              <w:rPr>
                <w:rFonts w:ascii="Garamond" w:hAnsi="Garamond"/>
                <w:sz w:val="20"/>
                <w:szCs w:val="20"/>
                <w:lang w:val="en-US"/>
              </w:rPr>
              <w:t>1.2</w:t>
            </w:r>
            <w:r>
              <w:rPr>
                <w:rFonts w:ascii="Garamond" w:hAnsi="Garamond"/>
                <w:sz w:val="20"/>
                <w:szCs w:val="20"/>
                <w:lang w:val="en-US"/>
              </w:rPr>
              <w:t>3</w:t>
            </w:r>
            <w:r w:rsidRPr="00171841">
              <w:rPr>
                <w:rFonts w:ascii="Garamond" w:hAnsi="Garamond"/>
                <w:sz w:val="20"/>
                <w:szCs w:val="20"/>
                <w:lang w:val="en-US"/>
              </w:rPr>
              <w:t xml:space="preserve"> </w:t>
            </w:r>
            <w:r>
              <w:rPr>
                <w:rFonts w:ascii="Garamond" w:hAnsi="Garamond"/>
                <w:sz w:val="20"/>
                <w:szCs w:val="20"/>
                <w:lang w:val="en-US"/>
              </w:rPr>
              <w:t>(</w:t>
            </w:r>
            <w:r w:rsidRPr="00171841">
              <w:rPr>
                <w:rFonts w:ascii="Garamond" w:hAnsi="Garamond"/>
                <w:sz w:val="20"/>
                <w:szCs w:val="20"/>
                <w:lang w:val="en-US"/>
              </w:rPr>
              <w:t>0.5</w:t>
            </w:r>
            <w:r>
              <w:rPr>
                <w:rFonts w:ascii="Garamond" w:hAnsi="Garamond"/>
                <w:sz w:val="20"/>
                <w:szCs w:val="20"/>
                <w:lang w:val="en-US"/>
              </w:rPr>
              <w:t>3</w:t>
            </w:r>
            <w:r w:rsidRPr="00171841">
              <w:rPr>
                <w:rFonts w:ascii="Garamond" w:hAnsi="Garamond"/>
                <w:sz w:val="20"/>
                <w:szCs w:val="20"/>
                <w:lang w:val="en-US"/>
              </w:rPr>
              <w:t>–2.4</w:t>
            </w:r>
            <w:r>
              <w:rPr>
                <w:rFonts w:ascii="Garamond" w:hAnsi="Garamond"/>
                <w:sz w:val="20"/>
                <w:szCs w:val="20"/>
                <w:lang w:val="en-US"/>
              </w:rPr>
              <w:t>0</w:t>
            </w:r>
            <w:r w:rsidRPr="00171841">
              <w:rPr>
                <w:rFonts w:ascii="Garamond" w:hAnsi="Garamond"/>
                <w:sz w:val="20"/>
                <w:szCs w:val="20"/>
                <w:lang w:val="en-US"/>
              </w:rPr>
              <w:t>)</w:t>
            </w:r>
          </w:p>
        </w:tc>
        <w:tc>
          <w:tcPr>
            <w:tcW w:w="971" w:type="dxa"/>
            <w:vAlign w:val="center"/>
          </w:tcPr>
          <w:p w14:paraId="051297D8" w14:textId="77777777" w:rsidR="00FB5F25" w:rsidRDefault="00FB5F25" w:rsidP="00FB5F25">
            <w:pPr>
              <w:jc w:val="both"/>
              <w:rPr>
                <w:rFonts w:ascii="Garamond" w:hAnsi="Garamond"/>
                <w:sz w:val="20"/>
                <w:szCs w:val="20"/>
                <w:lang w:val="en-US"/>
              </w:rPr>
            </w:pPr>
            <w:r>
              <w:rPr>
                <w:rFonts w:ascii="Garamond" w:hAnsi="Garamond"/>
                <w:sz w:val="20"/>
                <w:szCs w:val="20"/>
                <w:lang w:val="en-US"/>
              </w:rPr>
              <w:t>2/577</w:t>
            </w:r>
          </w:p>
        </w:tc>
        <w:tc>
          <w:tcPr>
            <w:tcW w:w="1594" w:type="dxa"/>
          </w:tcPr>
          <w:p w14:paraId="3557DC29" w14:textId="77777777" w:rsidR="00FB5F25" w:rsidRDefault="00FB5F25" w:rsidP="00FB5F25">
            <w:pPr>
              <w:jc w:val="both"/>
              <w:rPr>
                <w:rFonts w:ascii="Garamond" w:hAnsi="Garamond"/>
                <w:sz w:val="20"/>
                <w:szCs w:val="20"/>
                <w:lang w:val="en-US"/>
              </w:rPr>
            </w:pPr>
            <w:r>
              <w:rPr>
                <w:rFonts w:ascii="Garamond" w:hAnsi="Garamond"/>
                <w:sz w:val="20"/>
                <w:szCs w:val="20"/>
                <w:lang w:val="en-US"/>
              </w:rPr>
              <w:t>0.35 (0.04–1.25)</w:t>
            </w:r>
          </w:p>
        </w:tc>
        <w:tc>
          <w:tcPr>
            <w:tcW w:w="1029" w:type="dxa"/>
            <w:vAlign w:val="center"/>
          </w:tcPr>
          <w:p w14:paraId="06A5EE8F" w14:textId="77777777" w:rsidR="00FB5F25" w:rsidRDefault="00FB5F25" w:rsidP="00FB5F25">
            <w:pPr>
              <w:jc w:val="both"/>
              <w:rPr>
                <w:rFonts w:ascii="Garamond" w:hAnsi="Garamond"/>
                <w:sz w:val="20"/>
                <w:szCs w:val="20"/>
                <w:lang w:val="en-US"/>
              </w:rPr>
            </w:pPr>
            <w:r>
              <w:rPr>
                <w:rFonts w:ascii="Garamond" w:hAnsi="Garamond"/>
                <w:sz w:val="20"/>
                <w:szCs w:val="20"/>
                <w:lang w:val="en-US"/>
              </w:rPr>
              <w:t>2/502</w:t>
            </w:r>
          </w:p>
        </w:tc>
        <w:tc>
          <w:tcPr>
            <w:tcW w:w="1591" w:type="dxa"/>
          </w:tcPr>
          <w:p w14:paraId="26BD9960" w14:textId="77777777" w:rsidR="00FB5F25" w:rsidRDefault="00FB5F25" w:rsidP="00FB5F25">
            <w:pPr>
              <w:jc w:val="both"/>
              <w:rPr>
                <w:rFonts w:ascii="Garamond" w:hAnsi="Garamond"/>
                <w:sz w:val="20"/>
                <w:szCs w:val="20"/>
                <w:lang w:val="en-US"/>
              </w:rPr>
            </w:pPr>
            <w:r>
              <w:rPr>
                <w:rFonts w:ascii="Garamond" w:hAnsi="Garamond"/>
                <w:sz w:val="20"/>
                <w:szCs w:val="20"/>
                <w:lang w:val="en-US"/>
              </w:rPr>
              <w:t>0.40 (0.05–1.43)</w:t>
            </w:r>
          </w:p>
        </w:tc>
      </w:tr>
      <w:tr w:rsidR="00FB5F25" w14:paraId="2DFC98A1" w14:textId="77777777" w:rsidTr="00FB5F25">
        <w:tc>
          <w:tcPr>
            <w:tcW w:w="2010" w:type="dxa"/>
            <w:vAlign w:val="center"/>
          </w:tcPr>
          <w:p w14:paraId="07F5AB9E" w14:textId="77777777" w:rsidR="00FB5F25" w:rsidRDefault="00FB5F25" w:rsidP="00FB5F25">
            <w:pPr>
              <w:jc w:val="both"/>
              <w:rPr>
                <w:rFonts w:ascii="Garamond" w:hAnsi="Garamond"/>
                <w:sz w:val="20"/>
                <w:szCs w:val="20"/>
                <w:lang w:val="en-US"/>
              </w:rPr>
            </w:pPr>
            <w:r w:rsidRPr="00D257EA">
              <w:rPr>
                <w:rFonts w:ascii="Garamond" w:hAnsi="Garamond"/>
                <w:sz w:val="20"/>
                <w:szCs w:val="20"/>
                <w:lang w:val="en-US"/>
              </w:rPr>
              <w:t>≥</w:t>
            </w:r>
            <w:r>
              <w:rPr>
                <w:rFonts w:ascii="Garamond" w:hAnsi="Garamond"/>
                <w:sz w:val="20"/>
                <w:szCs w:val="20"/>
                <w:lang w:val="en-US"/>
              </w:rPr>
              <w:t xml:space="preserve"> </w:t>
            </w:r>
            <w:r w:rsidRPr="007F6AB3">
              <w:rPr>
                <w:rFonts w:ascii="Garamond" w:hAnsi="Garamond"/>
                <w:sz w:val="20"/>
                <w:szCs w:val="20"/>
                <w:lang w:val="en-US"/>
              </w:rPr>
              <w:t>65</w:t>
            </w:r>
          </w:p>
        </w:tc>
        <w:tc>
          <w:tcPr>
            <w:tcW w:w="1014" w:type="dxa"/>
            <w:vAlign w:val="center"/>
          </w:tcPr>
          <w:p w14:paraId="76C57DFF" w14:textId="77777777" w:rsidR="00FB5F25" w:rsidRDefault="00FB5F25" w:rsidP="00FB5F25">
            <w:pPr>
              <w:jc w:val="both"/>
              <w:rPr>
                <w:rFonts w:ascii="Garamond" w:hAnsi="Garamond"/>
                <w:sz w:val="20"/>
                <w:szCs w:val="20"/>
                <w:lang w:val="en-US"/>
              </w:rPr>
            </w:pPr>
            <w:r>
              <w:rPr>
                <w:rFonts w:ascii="Garamond" w:hAnsi="Garamond"/>
                <w:sz w:val="20"/>
                <w:szCs w:val="20"/>
                <w:lang w:val="en-US"/>
              </w:rPr>
              <w:t>2/283</w:t>
            </w:r>
          </w:p>
        </w:tc>
        <w:tc>
          <w:tcPr>
            <w:tcW w:w="1598" w:type="dxa"/>
          </w:tcPr>
          <w:p w14:paraId="117FA948" w14:textId="77777777" w:rsidR="00FB5F25" w:rsidRDefault="00FB5F25" w:rsidP="00FB5F25">
            <w:pPr>
              <w:jc w:val="both"/>
              <w:rPr>
                <w:rFonts w:ascii="Garamond" w:hAnsi="Garamond"/>
                <w:sz w:val="20"/>
                <w:szCs w:val="20"/>
                <w:lang w:val="en-US"/>
              </w:rPr>
            </w:pPr>
            <w:r w:rsidRPr="00171841">
              <w:rPr>
                <w:rFonts w:ascii="Garamond" w:hAnsi="Garamond"/>
                <w:sz w:val="20"/>
                <w:szCs w:val="20"/>
                <w:lang w:val="en-US"/>
              </w:rPr>
              <w:t>0.7</w:t>
            </w:r>
            <w:r>
              <w:rPr>
                <w:rFonts w:ascii="Garamond" w:hAnsi="Garamond"/>
                <w:sz w:val="20"/>
                <w:szCs w:val="20"/>
                <w:lang w:val="en-US"/>
              </w:rPr>
              <w:t>1</w:t>
            </w:r>
            <w:r w:rsidRPr="00171841">
              <w:rPr>
                <w:rFonts w:ascii="Garamond" w:hAnsi="Garamond"/>
                <w:sz w:val="20"/>
                <w:szCs w:val="20"/>
                <w:lang w:val="en-US"/>
              </w:rPr>
              <w:t xml:space="preserve"> </w:t>
            </w:r>
            <w:r>
              <w:rPr>
                <w:rFonts w:ascii="Garamond" w:hAnsi="Garamond"/>
                <w:sz w:val="20"/>
                <w:szCs w:val="20"/>
                <w:lang w:val="en-US"/>
              </w:rPr>
              <w:t>(</w:t>
            </w:r>
            <w:r w:rsidRPr="00171841">
              <w:rPr>
                <w:rFonts w:ascii="Garamond" w:hAnsi="Garamond"/>
                <w:sz w:val="20"/>
                <w:szCs w:val="20"/>
                <w:lang w:val="en-US"/>
              </w:rPr>
              <w:t>0.</w:t>
            </w:r>
            <w:r>
              <w:rPr>
                <w:rFonts w:ascii="Garamond" w:hAnsi="Garamond"/>
                <w:sz w:val="20"/>
                <w:szCs w:val="20"/>
                <w:lang w:val="en-US"/>
              </w:rPr>
              <w:t>09</w:t>
            </w:r>
            <w:r w:rsidRPr="00171841">
              <w:rPr>
                <w:rFonts w:ascii="Garamond" w:hAnsi="Garamond"/>
                <w:sz w:val="20"/>
                <w:szCs w:val="20"/>
                <w:lang w:val="en-US"/>
              </w:rPr>
              <w:t>–2.5</w:t>
            </w:r>
            <w:r>
              <w:rPr>
                <w:rFonts w:ascii="Garamond" w:hAnsi="Garamond"/>
                <w:sz w:val="20"/>
                <w:szCs w:val="20"/>
                <w:lang w:val="en-US"/>
              </w:rPr>
              <w:t>3</w:t>
            </w:r>
            <w:r w:rsidRPr="00171841">
              <w:rPr>
                <w:rFonts w:ascii="Garamond" w:hAnsi="Garamond"/>
                <w:sz w:val="20"/>
                <w:szCs w:val="20"/>
                <w:lang w:val="en-US"/>
              </w:rPr>
              <w:t>)</w:t>
            </w:r>
          </w:p>
        </w:tc>
        <w:tc>
          <w:tcPr>
            <w:tcW w:w="971" w:type="dxa"/>
            <w:vAlign w:val="center"/>
          </w:tcPr>
          <w:p w14:paraId="698DFC8E" w14:textId="77777777" w:rsidR="00FB5F25" w:rsidRDefault="00FB5F25" w:rsidP="00FB5F25">
            <w:pPr>
              <w:jc w:val="both"/>
              <w:rPr>
                <w:rFonts w:ascii="Garamond" w:hAnsi="Garamond"/>
                <w:sz w:val="20"/>
                <w:szCs w:val="20"/>
                <w:lang w:val="en-US"/>
              </w:rPr>
            </w:pPr>
            <w:r>
              <w:rPr>
                <w:rFonts w:ascii="Garamond" w:hAnsi="Garamond"/>
                <w:sz w:val="20"/>
                <w:szCs w:val="20"/>
                <w:lang w:val="en-US"/>
              </w:rPr>
              <w:t>0/241</w:t>
            </w:r>
          </w:p>
        </w:tc>
        <w:tc>
          <w:tcPr>
            <w:tcW w:w="1594" w:type="dxa"/>
          </w:tcPr>
          <w:p w14:paraId="071EC5C8" w14:textId="77777777" w:rsidR="00FB5F25" w:rsidRDefault="00FB5F25" w:rsidP="00FB5F25">
            <w:pPr>
              <w:jc w:val="both"/>
              <w:rPr>
                <w:rFonts w:ascii="Garamond" w:hAnsi="Garamond"/>
                <w:sz w:val="20"/>
                <w:szCs w:val="20"/>
                <w:lang w:val="en-US"/>
              </w:rPr>
            </w:pPr>
            <w:r>
              <w:rPr>
                <w:rFonts w:ascii="Garamond" w:hAnsi="Garamond"/>
                <w:sz w:val="20"/>
                <w:szCs w:val="20"/>
                <w:lang w:val="en-US"/>
              </w:rPr>
              <w:t>0 (0–1.52)</w:t>
            </w:r>
          </w:p>
        </w:tc>
        <w:tc>
          <w:tcPr>
            <w:tcW w:w="1029" w:type="dxa"/>
            <w:vAlign w:val="center"/>
          </w:tcPr>
          <w:p w14:paraId="4296363D" w14:textId="77777777" w:rsidR="00FB5F25" w:rsidRDefault="00FB5F25" w:rsidP="00FB5F25">
            <w:pPr>
              <w:jc w:val="both"/>
              <w:rPr>
                <w:rFonts w:ascii="Garamond" w:hAnsi="Garamond"/>
                <w:sz w:val="20"/>
                <w:szCs w:val="20"/>
                <w:lang w:val="en-US"/>
              </w:rPr>
            </w:pPr>
            <w:r>
              <w:rPr>
                <w:rFonts w:ascii="Garamond" w:hAnsi="Garamond"/>
                <w:sz w:val="20"/>
                <w:szCs w:val="20"/>
                <w:lang w:val="en-US"/>
              </w:rPr>
              <w:t>2/242</w:t>
            </w:r>
          </w:p>
        </w:tc>
        <w:tc>
          <w:tcPr>
            <w:tcW w:w="1591" w:type="dxa"/>
          </w:tcPr>
          <w:p w14:paraId="17AB9EED" w14:textId="77777777" w:rsidR="00FB5F25" w:rsidRDefault="00FB5F25" w:rsidP="00FB5F25">
            <w:pPr>
              <w:jc w:val="both"/>
              <w:rPr>
                <w:rFonts w:ascii="Garamond" w:hAnsi="Garamond"/>
                <w:sz w:val="20"/>
                <w:szCs w:val="20"/>
                <w:lang w:val="en-US"/>
              </w:rPr>
            </w:pPr>
            <w:r>
              <w:rPr>
                <w:rFonts w:ascii="Garamond" w:hAnsi="Garamond"/>
                <w:sz w:val="20"/>
                <w:szCs w:val="20"/>
                <w:lang w:val="en-US"/>
              </w:rPr>
              <w:t>0.83 (0.10–2.95)</w:t>
            </w:r>
          </w:p>
        </w:tc>
      </w:tr>
      <w:tr w:rsidR="00FB5F25" w14:paraId="17B85264" w14:textId="77777777" w:rsidTr="00FB5F25">
        <w:tc>
          <w:tcPr>
            <w:tcW w:w="2010" w:type="dxa"/>
            <w:vAlign w:val="center"/>
          </w:tcPr>
          <w:p w14:paraId="4E782A9C" w14:textId="77777777" w:rsidR="00FB5F25" w:rsidRPr="00D257EA" w:rsidRDefault="00FB5F25" w:rsidP="00FB5F25">
            <w:pPr>
              <w:jc w:val="both"/>
              <w:rPr>
                <w:rFonts w:ascii="Garamond" w:hAnsi="Garamond"/>
                <w:sz w:val="20"/>
                <w:szCs w:val="20"/>
                <w:lang w:val="en-US"/>
              </w:rPr>
            </w:pPr>
            <w:r>
              <w:rPr>
                <w:rFonts w:ascii="Garamond" w:hAnsi="Garamond"/>
                <w:sz w:val="20"/>
                <w:szCs w:val="20"/>
                <w:lang w:val="en-US"/>
              </w:rPr>
              <w:t>Unknown</w:t>
            </w:r>
          </w:p>
        </w:tc>
        <w:tc>
          <w:tcPr>
            <w:tcW w:w="1014" w:type="dxa"/>
            <w:vAlign w:val="center"/>
          </w:tcPr>
          <w:p w14:paraId="73077F81" w14:textId="21E92FA3" w:rsidR="00FB5F25" w:rsidRDefault="005A6383" w:rsidP="00FB5F25">
            <w:pPr>
              <w:jc w:val="both"/>
              <w:rPr>
                <w:rFonts w:ascii="Garamond" w:hAnsi="Garamond"/>
                <w:sz w:val="20"/>
                <w:szCs w:val="20"/>
                <w:lang w:val="en-US"/>
              </w:rPr>
            </w:pPr>
            <w:r>
              <w:rPr>
                <w:rFonts w:ascii="Garamond" w:hAnsi="Garamond"/>
                <w:sz w:val="20"/>
                <w:szCs w:val="20"/>
                <w:lang w:val="en-US"/>
              </w:rPr>
              <w:t>0</w:t>
            </w:r>
            <w:r w:rsidR="00FB5F25">
              <w:rPr>
                <w:rFonts w:ascii="Garamond" w:hAnsi="Garamond"/>
                <w:sz w:val="20"/>
                <w:szCs w:val="20"/>
                <w:lang w:val="en-US"/>
              </w:rPr>
              <w:t>/1030</w:t>
            </w:r>
          </w:p>
        </w:tc>
        <w:tc>
          <w:tcPr>
            <w:tcW w:w="1598" w:type="dxa"/>
          </w:tcPr>
          <w:p w14:paraId="01B37A18" w14:textId="70B19AD0" w:rsidR="00FB5F25" w:rsidRDefault="005A6383" w:rsidP="00FB5F25">
            <w:pPr>
              <w:jc w:val="both"/>
              <w:rPr>
                <w:rFonts w:ascii="Garamond" w:hAnsi="Garamond"/>
                <w:sz w:val="20"/>
                <w:szCs w:val="20"/>
                <w:lang w:val="en-US"/>
              </w:rPr>
            </w:pPr>
            <w:r>
              <w:rPr>
                <w:rFonts w:ascii="Garamond" w:hAnsi="Garamond"/>
                <w:sz w:val="20"/>
                <w:szCs w:val="20"/>
                <w:lang w:val="en-US"/>
              </w:rPr>
              <w:t>0</w:t>
            </w:r>
            <w:r w:rsidR="00FB5F25" w:rsidRPr="00171841">
              <w:rPr>
                <w:rFonts w:ascii="Garamond" w:hAnsi="Garamond"/>
                <w:sz w:val="20"/>
                <w:szCs w:val="20"/>
                <w:lang w:val="en-US"/>
              </w:rPr>
              <w:t xml:space="preserve"> </w:t>
            </w:r>
            <w:r w:rsidR="00FB5F25">
              <w:rPr>
                <w:rFonts w:ascii="Garamond" w:hAnsi="Garamond"/>
                <w:sz w:val="20"/>
                <w:szCs w:val="20"/>
                <w:lang w:val="en-US"/>
              </w:rPr>
              <w:t>(</w:t>
            </w:r>
            <w:r w:rsidR="00FB5F25" w:rsidRPr="00171841">
              <w:rPr>
                <w:rFonts w:ascii="Garamond" w:hAnsi="Garamond"/>
                <w:sz w:val="20"/>
                <w:szCs w:val="20"/>
                <w:lang w:val="en-US"/>
              </w:rPr>
              <w:t>0–</w:t>
            </w:r>
            <w:r>
              <w:rPr>
                <w:rFonts w:ascii="Garamond" w:hAnsi="Garamond"/>
                <w:sz w:val="20"/>
                <w:szCs w:val="20"/>
                <w:lang w:val="en-US"/>
              </w:rPr>
              <w:t>0</w:t>
            </w:r>
            <w:r w:rsidR="00FB5F25" w:rsidRPr="00171841">
              <w:rPr>
                <w:rFonts w:ascii="Garamond" w:hAnsi="Garamond"/>
                <w:sz w:val="20"/>
                <w:szCs w:val="20"/>
                <w:lang w:val="en-US"/>
              </w:rPr>
              <w:t>.</w:t>
            </w:r>
            <w:r>
              <w:rPr>
                <w:rFonts w:ascii="Garamond" w:hAnsi="Garamond"/>
                <w:sz w:val="20"/>
                <w:szCs w:val="20"/>
                <w:lang w:val="en-US"/>
              </w:rPr>
              <w:t>36</w:t>
            </w:r>
            <w:r w:rsidR="00FB5F25" w:rsidRPr="00171841">
              <w:rPr>
                <w:rFonts w:ascii="Garamond" w:hAnsi="Garamond"/>
                <w:sz w:val="20"/>
                <w:szCs w:val="20"/>
                <w:lang w:val="en-US"/>
              </w:rPr>
              <w:t>)</w:t>
            </w:r>
          </w:p>
        </w:tc>
        <w:tc>
          <w:tcPr>
            <w:tcW w:w="971" w:type="dxa"/>
            <w:vAlign w:val="center"/>
          </w:tcPr>
          <w:p w14:paraId="5D5F9281" w14:textId="77777777" w:rsidR="00FB5F25" w:rsidRDefault="00FB5F25" w:rsidP="00FB5F25">
            <w:pPr>
              <w:jc w:val="both"/>
              <w:rPr>
                <w:rFonts w:ascii="Garamond" w:hAnsi="Garamond"/>
                <w:sz w:val="20"/>
                <w:szCs w:val="20"/>
                <w:lang w:val="en-US"/>
              </w:rPr>
            </w:pPr>
            <w:r>
              <w:rPr>
                <w:rFonts w:ascii="Garamond" w:hAnsi="Garamond"/>
                <w:sz w:val="20"/>
                <w:szCs w:val="20"/>
                <w:lang w:val="en-US"/>
              </w:rPr>
              <w:t>2/1032</w:t>
            </w:r>
          </w:p>
        </w:tc>
        <w:tc>
          <w:tcPr>
            <w:tcW w:w="1594" w:type="dxa"/>
          </w:tcPr>
          <w:p w14:paraId="36844A04" w14:textId="77777777" w:rsidR="00FB5F25" w:rsidRDefault="00FB5F25" w:rsidP="00FB5F25">
            <w:pPr>
              <w:jc w:val="both"/>
              <w:rPr>
                <w:rFonts w:ascii="Garamond" w:hAnsi="Garamond"/>
                <w:sz w:val="20"/>
                <w:szCs w:val="20"/>
                <w:lang w:val="en-US"/>
              </w:rPr>
            </w:pPr>
            <w:r>
              <w:rPr>
                <w:rFonts w:ascii="Garamond" w:hAnsi="Garamond"/>
                <w:sz w:val="20"/>
                <w:szCs w:val="20"/>
                <w:lang w:val="en-US"/>
              </w:rPr>
              <w:t>0.19 (0.02–0.70)</w:t>
            </w:r>
          </w:p>
        </w:tc>
        <w:tc>
          <w:tcPr>
            <w:tcW w:w="1029" w:type="dxa"/>
            <w:vAlign w:val="center"/>
          </w:tcPr>
          <w:p w14:paraId="0C183C32" w14:textId="77777777" w:rsidR="00FB5F25" w:rsidRDefault="00FB5F25" w:rsidP="00FB5F25">
            <w:pPr>
              <w:jc w:val="both"/>
              <w:rPr>
                <w:rFonts w:ascii="Garamond" w:hAnsi="Garamond"/>
                <w:sz w:val="20"/>
                <w:szCs w:val="20"/>
                <w:lang w:val="en-US"/>
              </w:rPr>
            </w:pPr>
            <w:r>
              <w:rPr>
                <w:rFonts w:ascii="Garamond" w:hAnsi="Garamond"/>
                <w:sz w:val="20"/>
                <w:szCs w:val="20"/>
                <w:lang w:val="en-US"/>
              </w:rPr>
              <w:t>0/1001</w:t>
            </w:r>
          </w:p>
        </w:tc>
        <w:tc>
          <w:tcPr>
            <w:tcW w:w="1591" w:type="dxa"/>
          </w:tcPr>
          <w:p w14:paraId="18C9FB3F" w14:textId="77777777" w:rsidR="00FB5F25" w:rsidRDefault="00FB5F25" w:rsidP="00FB5F25">
            <w:pPr>
              <w:jc w:val="both"/>
              <w:rPr>
                <w:rFonts w:ascii="Garamond" w:hAnsi="Garamond"/>
                <w:sz w:val="20"/>
                <w:szCs w:val="20"/>
                <w:lang w:val="en-US"/>
              </w:rPr>
            </w:pPr>
            <w:r>
              <w:rPr>
                <w:rFonts w:ascii="Garamond" w:hAnsi="Garamond"/>
                <w:sz w:val="20"/>
                <w:szCs w:val="20"/>
                <w:lang w:val="en-US"/>
              </w:rPr>
              <w:t>0 (0–0.37)</w:t>
            </w:r>
          </w:p>
        </w:tc>
      </w:tr>
    </w:tbl>
    <w:p w14:paraId="7A9A21E2" w14:textId="4A1450C5" w:rsidR="00FB5F25" w:rsidRDefault="00FB5F25" w:rsidP="00FB5F25">
      <w:pPr>
        <w:spacing w:after="0" w:line="360" w:lineRule="auto"/>
        <w:jc w:val="both"/>
        <w:rPr>
          <w:rFonts w:ascii="Garamond" w:hAnsi="Garamond"/>
          <w:sz w:val="20"/>
          <w:szCs w:val="20"/>
          <w:lang w:val="en-US"/>
        </w:rPr>
      </w:pPr>
      <w:r w:rsidRPr="00243A93">
        <w:rPr>
          <w:rFonts w:ascii="Garamond" w:hAnsi="Garamond"/>
          <w:sz w:val="20"/>
          <w:szCs w:val="20"/>
          <w:vertAlign w:val="superscript"/>
          <w:lang w:val="en-US"/>
        </w:rPr>
        <w:t>a</w:t>
      </w:r>
      <w:r>
        <w:rPr>
          <w:rFonts w:ascii="Garamond" w:hAnsi="Garamond"/>
          <w:sz w:val="20"/>
          <w:szCs w:val="20"/>
          <w:lang w:val="en-US"/>
        </w:rPr>
        <w:t>9–17 years for the</w:t>
      </w:r>
      <w:r w:rsidR="00741030">
        <w:rPr>
          <w:rFonts w:ascii="Garamond" w:hAnsi="Garamond"/>
          <w:sz w:val="20"/>
          <w:szCs w:val="20"/>
          <w:lang w:val="en-US"/>
        </w:rPr>
        <w:t xml:space="preserve"> influenza</w:t>
      </w:r>
      <w:r>
        <w:rPr>
          <w:rFonts w:ascii="Garamond" w:hAnsi="Garamond"/>
          <w:sz w:val="20"/>
          <w:szCs w:val="20"/>
          <w:lang w:val="en-US"/>
        </w:rPr>
        <w:t xml:space="preserve"> seasons 2019/20 and 2020/21 and 2–17 years for the </w:t>
      </w:r>
      <w:r w:rsidR="00741030">
        <w:rPr>
          <w:rFonts w:ascii="Garamond" w:hAnsi="Garamond"/>
          <w:sz w:val="20"/>
          <w:szCs w:val="20"/>
          <w:lang w:val="en-US"/>
        </w:rPr>
        <w:t xml:space="preserve">influenza </w:t>
      </w:r>
      <w:r>
        <w:rPr>
          <w:rFonts w:ascii="Garamond" w:hAnsi="Garamond"/>
          <w:sz w:val="20"/>
          <w:szCs w:val="20"/>
          <w:lang w:val="en-US"/>
        </w:rPr>
        <w:t>season 2021/22</w:t>
      </w:r>
    </w:p>
    <w:p w14:paraId="769BC911" w14:textId="77777777" w:rsidR="00155D01" w:rsidRDefault="00155D01">
      <w:pPr>
        <w:rPr>
          <w:rFonts w:ascii="Garamond" w:hAnsi="Garamond"/>
          <w:sz w:val="20"/>
          <w:szCs w:val="20"/>
          <w:lang w:val="en-US"/>
        </w:rPr>
      </w:pPr>
    </w:p>
    <w:p w14:paraId="07E99E96" w14:textId="46592EA4" w:rsidR="00772249" w:rsidRDefault="00772249" w:rsidP="00155D01">
      <w:pPr>
        <w:rPr>
          <w:rFonts w:ascii="Garamond" w:hAnsi="Garamond"/>
          <w:sz w:val="20"/>
          <w:szCs w:val="20"/>
          <w:lang w:val="en-US"/>
        </w:rPr>
      </w:pPr>
      <w:r>
        <w:rPr>
          <w:rFonts w:ascii="Garamond" w:hAnsi="Garamond"/>
          <w:sz w:val="20"/>
          <w:szCs w:val="20"/>
          <w:lang w:val="en-US"/>
        </w:rPr>
        <w:br w:type="page"/>
      </w:r>
    </w:p>
    <w:p w14:paraId="1CD8ACA2" w14:textId="732DD81B" w:rsidR="00FB5F25" w:rsidRDefault="00FB5F25" w:rsidP="00FB5F25">
      <w:pPr>
        <w:spacing w:after="0" w:line="360" w:lineRule="auto"/>
        <w:jc w:val="both"/>
        <w:rPr>
          <w:rFonts w:ascii="Garamond" w:hAnsi="Garamond"/>
          <w:sz w:val="20"/>
          <w:szCs w:val="20"/>
          <w:lang w:val="en-US"/>
        </w:rPr>
      </w:pPr>
      <w:bookmarkStart w:id="5" w:name="_Hlk125092655"/>
      <w:r w:rsidRPr="00FB5F25">
        <w:rPr>
          <w:rFonts w:ascii="Garamond" w:hAnsi="Garamond"/>
          <w:b/>
          <w:sz w:val="20"/>
          <w:szCs w:val="20"/>
          <w:lang w:val="en-US"/>
        </w:rPr>
        <w:lastRenderedPageBreak/>
        <w:t>T</w:t>
      </w:r>
      <w:r w:rsidR="00206709">
        <w:rPr>
          <w:rFonts w:ascii="Garamond" w:hAnsi="Garamond"/>
          <w:b/>
          <w:sz w:val="20"/>
          <w:szCs w:val="20"/>
          <w:lang w:val="en-US"/>
        </w:rPr>
        <w:t>ABLE</w:t>
      </w:r>
      <w:r w:rsidRPr="00FB5F25">
        <w:rPr>
          <w:rFonts w:ascii="Garamond" w:hAnsi="Garamond"/>
          <w:b/>
          <w:sz w:val="20"/>
          <w:szCs w:val="20"/>
          <w:lang w:val="en-US"/>
        </w:rPr>
        <w:t xml:space="preserve"> </w:t>
      </w:r>
      <w:bookmarkEnd w:id="5"/>
      <w:r w:rsidRPr="00FB5F25">
        <w:rPr>
          <w:rFonts w:ascii="Garamond" w:hAnsi="Garamond"/>
          <w:b/>
          <w:sz w:val="20"/>
          <w:szCs w:val="20"/>
          <w:lang w:val="en-US"/>
        </w:rPr>
        <w:t>3</w:t>
      </w:r>
      <w:r>
        <w:rPr>
          <w:rFonts w:ascii="Garamond" w:hAnsi="Garamond"/>
          <w:sz w:val="20"/>
          <w:szCs w:val="20"/>
          <w:lang w:val="en-US"/>
        </w:rPr>
        <w:t xml:space="preserve"> Number and reporting rates of reactogenic adverse events of interest in individuals of all ages immunized with the </w:t>
      </w:r>
      <w:r w:rsidRPr="00BA06E6">
        <w:rPr>
          <w:rFonts w:ascii="Garamond" w:hAnsi="Garamond"/>
          <w:sz w:val="20"/>
          <w:szCs w:val="20"/>
          <w:lang w:val="en-US"/>
        </w:rPr>
        <w:t xml:space="preserve">cell culture-based quadrivalent influenza vaccine (QIVc), by </w:t>
      </w:r>
      <w:proofErr w:type="gramStart"/>
      <w:r w:rsidRPr="00BA06E6">
        <w:rPr>
          <w:rFonts w:ascii="Garamond" w:hAnsi="Garamond"/>
          <w:sz w:val="20"/>
          <w:szCs w:val="20"/>
          <w:lang w:val="en-US"/>
        </w:rPr>
        <w:t>season</w:t>
      </w:r>
      <w:proofErr w:type="gramEnd"/>
    </w:p>
    <w:p w14:paraId="3F638D08" w14:textId="77777777" w:rsidR="00FB5F25" w:rsidRDefault="00FB5F25" w:rsidP="00FB5F25">
      <w:pPr>
        <w:spacing w:after="0" w:line="360" w:lineRule="auto"/>
        <w:jc w:val="both"/>
        <w:rPr>
          <w:rFonts w:ascii="Garamond" w:hAnsi="Garamond"/>
          <w:sz w:val="20"/>
          <w:szCs w:val="20"/>
          <w:lang w:val="en-US"/>
        </w:rPr>
      </w:pPr>
      <w:bookmarkStart w:id="6" w:name="_Hlk122344673"/>
    </w:p>
    <w:tbl>
      <w:tblPr>
        <w:tblStyle w:val="Grigliatabella"/>
        <w:tblW w:w="9741" w:type="dxa"/>
        <w:tblLayout w:type="fixed"/>
        <w:tblLook w:val="04A0" w:firstRow="1" w:lastRow="0" w:firstColumn="1" w:lastColumn="0" w:noHBand="0" w:noVBand="1"/>
      </w:tblPr>
      <w:tblGrid>
        <w:gridCol w:w="972"/>
        <w:gridCol w:w="2725"/>
        <w:gridCol w:w="440"/>
        <w:gridCol w:w="1594"/>
        <w:gridCol w:w="411"/>
        <w:gridCol w:w="1594"/>
        <w:gridCol w:w="411"/>
        <w:gridCol w:w="1594"/>
      </w:tblGrid>
      <w:tr w:rsidR="00FB5F25" w14:paraId="3227AF24" w14:textId="77777777" w:rsidTr="00206709">
        <w:tc>
          <w:tcPr>
            <w:tcW w:w="972" w:type="dxa"/>
            <w:vMerge w:val="restart"/>
            <w:vAlign w:val="center"/>
          </w:tcPr>
          <w:p w14:paraId="69263F00" w14:textId="77777777" w:rsidR="00FB5F25" w:rsidRPr="00087D8F" w:rsidRDefault="00FB5F25" w:rsidP="00FB5F25">
            <w:pPr>
              <w:jc w:val="both"/>
              <w:rPr>
                <w:rFonts w:ascii="Garamond" w:hAnsi="Garamond"/>
                <w:b/>
                <w:sz w:val="20"/>
                <w:szCs w:val="20"/>
                <w:lang w:val="en-US"/>
              </w:rPr>
            </w:pPr>
            <w:r w:rsidRPr="00087D8F">
              <w:rPr>
                <w:rFonts w:ascii="Garamond" w:hAnsi="Garamond"/>
                <w:b/>
                <w:sz w:val="20"/>
                <w:szCs w:val="20"/>
                <w:lang w:val="en-US"/>
              </w:rPr>
              <w:t>Type</w:t>
            </w:r>
          </w:p>
        </w:tc>
        <w:tc>
          <w:tcPr>
            <w:tcW w:w="2725" w:type="dxa"/>
            <w:vMerge w:val="restart"/>
            <w:vAlign w:val="center"/>
          </w:tcPr>
          <w:p w14:paraId="7B4BCDB2" w14:textId="6530FAA7" w:rsidR="00FB5F25" w:rsidRPr="00087D8F" w:rsidRDefault="00206709" w:rsidP="00FB5F25">
            <w:pPr>
              <w:jc w:val="both"/>
              <w:rPr>
                <w:rFonts w:ascii="Garamond" w:hAnsi="Garamond"/>
                <w:b/>
                <w:sz w:val="20"/>
                <w:szCs w:val="20"/>
                <w:lang w:val="en-US"/>
              </w:rPr>
            </w:pPr>
            <w:r>
              <w:rPr>
                <w:rFonts w:ascii="Garamond" w:hAnsi="Garamond"/>
                <w:b/>
                <w:sz w:val="20"/>
                <w:szCs w:val="20"/>
                <w:lang w:val="en-US"/>
              </w:rPr>
              <w:t>R</w:t>
            </w:r>
            <w:r w:rsidRPr="00206709">
              <w:rPr>
                <w:rFonts w:ascii="Garamond" w:hAnsi="Garamond"/>
                <w:b/>
                <w:sz w:val="20"/>
                <w:szCs w:val="20"/>
                <w:lang w:val="en-US"/>
              </w:rPr>
              <w:t>eactogenic adverse event of interest</w:t>
            </w:r>
          </w:p>
        </w:tc>
        <w:tc>
          <w:tcPr>
            <w:tcW w:w="2034" w:type="dxa"/>
            <w:gridSpan w:val="2"/>
            <w:vAlign w:val="center"/>
          </w:tcPr>
          <w:p w14:paraId="261F18AE" w14:textId="77777777" w:rsidR="00FB5F25" w:rsidRPr="00087D8F" w:rsidRDefault="00FB5F25" w:rsidP="00FB5F25">
            <w:pPr>
              <w:jc w:val="both"/>
              <w:rPr>
                <w:rFonts w:ascii="Garamond" w:hAnsi="Garamond"/>
                <w:b/>
                <w:sz w:val="20"/>
                <w:szCs w:val="20"/>
                <w:lang w:val="en-US"/>
              </w:rPr>
            </w:pPr>
            <w:r w:rsidRPr="00087D8F">
              <w:rPr>
                <w:rFonts w:ascii="Garamond" w:hAnsi="Garamond"/>
                <w:b/>
                <w:sz w:val="20"/>
                <w:szCs w:val="20"/>
                <w:lang w:val="en-US"/>
              </w:rPr>
              <w:t>2019/20 (</w:t>
            </w:r>
            <w:r w:rsidRPr="00D53880">
              <w:rPr>
                <w:rFonts w:ascii="Garamond" w:hAnsi="Garamond"/>
                <w:b/>
                <w:i/>
                <w:sz w:val="20"/>
                <w:szCs w:val="20"/>
                <w:lang w:val="en-US"/>
              </w:rPr>
              <w:t>N</w:t>
            </w:r>
            <w:r w:rsidRPr="00087D8F">
              <w:rPr>
                <w:rFonts w:ascii="Garamond" w:hAnsi="Garamond"/>
                <w:b/>
                <w:sz w:val="20"/>
                <w:szCs w:val="20"/>
                <w:lang w:val="en-US"/>
              </w:rPr>
              <w:t xml:space="preserve"> = 1030)</w:t>
            </w:r>
          </w:p>
        </w:tc>
        <w:tc>
          <w:tcPr>
            <w:tcW w:w="2005" w:type="dxa"/>
            <w:gridSpan w:val="2"/>
            <w:vAlign w:val="center"/>
          </w:tcPr>
          <w:p w14:paraId="12029E29" w14:textId="77777777" w:rsidR="00FB5F25" w:rsidRPr="00087D8F" w:rsidRDefault="00FB5F25" w:rsidP="00FB5F25">
            <w:pPr>
              <w:jc w:val="both"/>
              <w:rPr>
                <w:rFonts w:ascii="Garamond" w:hAnsi="Garamond"/>
                <w:b/>
                <w:sz w:val="20"/>
                <w:szCs w:val="20"/>
                <w:lang w:val="en-US"/>
              </w:rPr>
            </w:pPr>
            <w:r w:rsidRPr="00087D8F">
              <w:rPr>
                <w:rFonts w:ascii="Garamond" w:hAnsi="Garamond"/>
                <w:b/>
                <w:sz w:val="20"/>
                <w:szCs w:val="20"/>
                <w:lang w:val="en-US"/>
              </w:rPr>
              <w:t>2020/21 (</w:t>
            </w:r>
            <w:r w:rsidRPr="00D53880">
              <w:rPr>
                <w:rFonts w:ascii="Garamond" w:hAnsi="Garamond"/>
                <w:b/>
                <w:i/>
                <w:sz w:val="20"/>
                <w:szCs w:val="20"/>
                <w:lang w:val="en-US"/>
              </w:rPr>
              <w:t>N</w:t>
            </w:r>
            <w:r w:rsidRPr="00087D8F">
              <w:rPr>
                <w:rFonts w:ascii="Garamond" w:hAnsi="Garamond"/>
                <w:b/>
                <w:sz w:val="20"/>
                <w:szCs w:val="20"/>
                <w:lang w:val="en-US"/>
              </w:rPr>
              <w:t xml:space="preserve"> = 1032)</w:t>
            </w:r>
          </w:p>
        </w:tc>
        <w:tc>
          <w:tcPr>
            <w:tcW w:w="2005" w:type="dxa"/>
            <w:gridSpan w:val="2"/>
            <w:vAlign w:val="center"/>
          </w:tcPr>
          <w:p w14:paraId="097A414C" w14:textId="77777777" w:rsidR="00FB5F25" w:rsidRPr="00087D8F" w:rsidRDefault="00FB5F25" w:rsidP="00FB5F25">
            <w:pPr>
              <w:jc w:val="both"/>
              <w:rPr>
                <w:rFonts w:ascii="Garamond" w:hAnsi="Garamond"/>
                <w:b/>
                <w:sz w:val="20"/>
                <w:szCs w:val="20"/>
                <w:lang w:val="en-US"/>
              </w:rPr>
            </w:pPr>
            <w:r w:rsidRPr="00087D8F">
              <w:rPr>
                <w:rFonts w:ascii="Garamond" w:hAnsi="Garamond"/>
                <w:b/>
                <w:sz w:val="20"/>
                <w:szCs w:val="20"/>
                <w:lang w:val="en-US"/>
              </w:rPr>
              <w:t>2021/22 (</w:t>
            </w:r>
            <w:r w:rsidRPr="00D53880">
              <w:rPr>
                <w:rFonts w:ascii="Garamond" w:hAnsi="Garamond"/>
                <w:b/>
                <w:i/>
                <w:sz w:val="20"/>
                <w:szCs w:val="20"/>
                <w:lang w:val="en-US"/>
              </w:rPr>
              <w:t>N</w:t>
            </w:r>
            <w:r w:rsidRPr="00087D8F">
              <w:rPr>
                <w:rFonts w:ascii="Garamond" w:hAnsi="Garamond"/>
                <w:b/>
                <w:sz w:val="20"/>
                <w:szCs w:val="20"/>
                <w:lang w:val="en-US"/>
              </w:rPr>
              <w:t xml:space="preserve"> = 1001)</w:t>
            </w:r>
          </w:p>
        </w:tc>
      </w:tr>
      <w:tr w:rsidR="00FB5F25" w14:paraId="3D22C39D" w14:textId="77777777" w:rsidTr="00206709">
        <w:tc>
          <w:tcPr>
            <w:tcW w:w="972" w:type="dxa"/>
            <w:vMerge/>
            <w:vAlign w:val="center"/>
          </w:tcPr>
          <w:p w14:paraId="3776CA33" w14:textId="77777777" w:rsidR="00FB5F25" w:rsidRPr="00087D8F" w:rsidRDefault="00FB5F25" w:rsidP="00FB5F25">
            <w:pPr>
              <w:jc w:val="both"/>
              <w:rPr>
                <w:rFonts w:ascii="Garamond" w:hAnsi="Garamond"/>
                <w:b/>
                <w:sz w:val="20"/>
                <w:szCs w:val="20"/>
                <w:lang w:val="en-US"/>
              </w:rPr>
            </w:pPr>
          </w:p>
        </w:tc>
        <w:tc>
          <w:tcPr>
            <w:tcW w:w="2725" w:type="dxa"/>
            <w:vMerge/>
            <w:vAlign w:val="center"/>
          </w:tcPr>
          <w:p w14:paraId="6337E35D" w14:textId="77777777" w:rsidR="00FB5F25" w:rsidRPr="00087D8F" w:rsidRDefault="00FB5F25" w:rsidP="00FB5F25">
            <w:pPr>
              <w:jc w:val="both"/>
              <w:rPr>
                <w:rFonts w:ascii="Garamond" w:hAnsi="Garamond"/>
                <w:b/>
                <w:sz w:val="20"/>
                <w:szCs w:val="20"/>
                <w:lang w:val="en-US"/>
              </w:rPr>
            </w:pPr>
          </w:p>
        </w:tc>
        <w:tc>
          <w:tcPr>
            <w:tcW w:w="440" w:type="dxa"/>
            <w:vAlign w:val="center"/>
          </w:tcPr>
          <w:p w14:paraId="721A42A5" w14:textId="77777777" w:rsidR="00FB5F25" w:rsidRPr="00D53880" w:rsidRDefault="00FB5F25" w:rsidP="00FB5F25">
            <w:pPr>
              <w:jc w:val="both"/>
              <w:rPr>
                <w:rFonts w:ascii="Garamond" w:hAnsi="Garamond"/>
                <w:b/>
                <w:i/>
                <w:sz w:val="20"/>
                <w:szCs w:val="20"/>
                <w:lang w:val="en-US"/>
              </w:rPr>
            </w:pPr>
            <w:r w:rsidRPr="00D53880">
              <w:rPr>
                <w:rFonts w:ascii="Garamond" w:hAnsi="Garamond"/>
                <w:b/>
                <w:i/>
                <w:sz w:val="20"/>
                <w:szCs w:val="20"/>
                <w:lang w:val="en-US"/>
              </w:rPr>
              <w:t>n</w:t>
            </w:r>
          </w:p>
        </w:tc>
        <w:tc>
          <w:tcPr>
            <w:tcW w:w="1594" w:type="dxa"/>
            <w:vAlign w:val="center"/>
          </w:tcPr>
          <w:p w14:paraId="747BA84D" w14:textId="77777777" w:rsidR="00FB5F25" w:rsidRPr="00087D8F" w:rsidRDefault="00FB5F25" w:rsidP="00FB5F25">
            <w:pPr>
              <w:jc w:val="both"/>
              <w:rPr>
                <w:rFonts w:ascii="Garamond" w:hAnsi="Garamond"/>
                <w:b/>
                <w:sz w:val="20"/>
                <w:szCs w:val="20"/>
                <w:lang w:val="en-US"/>
              </w:rPr>
            </w:pPr>
            <w:r w:rsidRPr="00087D8F">
              <w:rPr>
                <w:rFonts w:ascii="Garamond" w:hAnsi="Garamond"/>
                <w:b/>
                <w:sz w:val="20"/>
                <w:szCs w:val="20"/>
                <w:lang w:val="en-US"/>
              </w:rPr>
              <w:t>% (95% CI)</w:t>
            </w:r>
          </w:p>
        </w:tc>
        <w:tc>
          <w:tcPr>
            <w:tcW w:w="411" w:type="dxa"/>
            <w:vAlign w:val="center"/>
          </w:tcPr>
          <w:p w14:paraId="46F4959F" w14:textId="77777777" w:rsidR="00FB5F25" w:rsidRPr="00D53880" w:rsidRDefault="00FB5F25" w:rsidP="00FB5F25">
            <w:pPr>
              <w:jc w:val="both"/>
              <w:rPr>
                <w:rFonts w:ascii="Garamond" w:hAnsi="Garamond"/>
                <w:b/>
                <w:i/>
                <w:sz w:val="20"/>
                <w:szCs w:val="20"/>
                <w:lang w:val="en-US"/>
              </w:rPr>
            </w:pPr>
            <w:r w:rsidRPr="00D53880">
              <w:rPr>
                <w:rFonts w:ascii="Garamond" w:hAnsi="Garamond"/>
                <w:b/>
                <w:i/>
                <w:sz w:val="20"/>
                <w:szCs w:val="20"/>
                <w:lang w:val="en-US"/>
              </w:rPr>
              <w:t>n</w:t>
            </w:r>
          </w:p>
        </w:tc>
        <w:tc>
          <w:tcPr>
            <w:tcW w:w="1594" w:type="dxa"/>
            <w:vAlign w:val="center"/>
          </w:tcPr>
          <w:p w14:paraId="301CD426" w14:textId="77777777" w:rsidR="00FB5F25" w:rsidRPr="00087D8F" w:rsidRDefault="00FB5F25" w:rsidP="00FB5F25">
            <w:pPr>
              <w:jc w:val="both"/>
              <w:rPr>
                <w:rFonts w:ascii="Garamond" w:hAnsi="Garamond"/>
                <w:b/>
                <w:sz w:val="20"/>
                <w:szCs w:val="20"/>
                <w:lang w:val="en-US"/>
              </w:rPr>
            </w:pPr>
            <w:r w:rsidRPr="00087D8F">
              <w:rPr>
                <w:rFonts w:ascii="Garamond" w:hAnsi="Garamond"/>
                <w:b/>
                <w:sz w:val="20"/>
                <w:szCs w:val="20"/>
                <w:lang w:val="en-US"/>
              </w:rPr>
              <w:t>% (95% CI)</w:t>
            </w:r>
          </w:p>
        </w:tc>
        <w:tc>
          <w:tcPr>
            <w:tcW w:w="411" w:type="dxa"/>
            <w:vAlign w:val="center"/>
          </w:tcPr>
          <w:p w14:paraId="5D03720C" w14:textId="77777777" w:rsidR="00FB5F25" w:rsidRPr="00D53880" w:rsidRDefault="00FB5F25" w:rsidP="00FB5F25">
            <w:pPr>
              <w:jc w:val="both"/>
              <w:rPr>
                <w:rFonts w:ascii="Garamond" w:hAnsi="Garamond"/>
                <w:b/>
                <w:i/>
                <w:sz w:val="20"/>
                <w:szCs w:val="20"/>
                <w:lang w:val="en-US"/>
              </w:rPr>
            </w:pPr>
            <w:r w:rsidRPr="00D53880">
              <w:rPr>
                <w:rFonts w:ascii="Garamond" w:hAnsi="Garamond"/>
                <w:b/>
                <w:i/>
                <w:sz w:val="20"/>
                <w:szCs w:val="20"/>
                <w:lang w:val="en-US"/>
              </w:rPr>
              <w:t>n</w:t>
            </w:r>
          </w:p>
        </w:tc>
        <w:tc>
          <w:tcPr>
            <w:tcW w:w="1594" w:type="dxa"/>
            <w:vAlign w:val="center"/>
          </w:tcPr>
          <w:p w14:paraId="683B11B2" w14:textId="77777777" w:rsidR="00FB5F25" w:rsidRPr="00087D8F" w:rsidRDefault="00FB5F25" w:rsidP="00FB5F25">
            <w:pPr>
              <w:jc w:val="both"/>
              <w:rPr>
                <w:rFonts w:ascii="Garamond" w:hAnsi="Garamond"/>
                <w:b/>
                <w:sz w:val="20"/>
                <w:szCs w:val="20"/>
                <w:lang w:val="en-US"/>
              </w:rPr>
            </w:pPr>
            <w:r w:rsidRPr="00087D8F">
              <w:rPr>
                <w:rFonts w:ascii="Garamond" w:hAnsi="Garamond"/>
                <w:b/>
                <w:sz w:val="20"/>
                <w:szCs w:val="20"/>
                <w:lang w:val="en-US"/>
              </w:rPr>
              <w:t>% (95% CI)</w:t>
            </w:r>
          </w:p>
        </w:tc>
      </w:tr>
      <w:tr w:rsidR="00F637D3" w14:paraId="53FAC52C" w14:textId="77777777" w:rsidTr="00206709">
        <w:tc>
          <w:tcPr>
            <w:tcW w:w="972" w:type="dxa"/>
            <w:vMerge w:val="restart"/>
            <w:vAlign w:val="center"/>
          </w:tcPr>
          <w:p w14:paraId="79B731BA" w14:textId="77777777" w:rsidR="00F637D3" w:rsidRDefault="00F637D3" w:rsidP="00FB5F25">
            <w:pPr>
              <w:jc w:val="both"/>
              <w:rPr>
                <w:rFonts w:ascii="Garamond" w:hAnsi="Garamond"/>
                <w:sz w:val="20"/>
                <w:szCs w:val="20"/>
                <w:lang w:val="en-US"/>
              </w:rPr>
            </w:pPr>
            <w:r>
              <w:rPr>
                <w:rFonts w:ascii="Garamond" w:hAnsi="Garamond"/>
                <w:sz w:val="20"/>
                <w:szCs w:val="20"/>
                <w:lang w:val="en-US"/>
              </w:rPr>
              <w:t>Systemic</w:t>
            </w:r>
          </w:p>
        </w:tc>
        <w:tc>
          <w:tcPr>
            <w:tcW w:w="2725" w:type="dxa"/>
            <w:vAlign w:val="center"/>
          </w:tcPr>
          <w:p w14:paraId="03FBA8A8" w14:textId="173D3A80" w:rsidR="00F637D3" w:rsidRDefault="00F637D3" w:rsidP="00FB5F25">
            <w:pPr>
              <w:jc w:val="both"/>
              <w:rPr>
                <w:rFonts w:ascii="Garamond" w:hAnsi="Garamond"/>
                <w:sz w:val="20"/>
                <w:szCs w:val="20"/>
                <w:lang w:val="en-US"/>
              </w:rPr>
            </w:pPr>
            <w:r>
              <w:rPr>
                <w:rFonts w:ascii="Garamond" w:hAnsi="Garamond"/>
                <w:sz w:val="20"/>
                <w:szCs w:val="20"/>
                <w:lang w:val="en-US"/>
              </w:rPr>
              <w:t>Fever</w:t>
            </w:r>
          </w:p>
        </w:tc>
        <w:tc>
          <w:tcPr>
            <w:tcW w:w="440" w:type="dxa"/>
            <w:vAlign w:val="center"/>
          </w:tcPr>
          <w:p w14:paraId="6881E0B6" w14:textId="2DD0B044" w:rsidR="00F637D3" w:rsidRDefault="00F637D3" w:rsidP="00FB5F25">
            <w:pPr>
              <w:jc w:val="both"/>
              <w:rPr>
                <w:rFonts w:ascii="Garamond" w:hAnsi="Garamond"/>
                <w:sz w:val="20"/>
                <w:szCs w:val="20"/>
                <w:lang w:val="en-US"/>
              </w:rPr>
            </w:pPr>
            <w:r>
              <w:rPr>
                <w:rFonts w:ascii="Garamond" w:hAnsi="Garamond"/>
                <w:sz w:val="20"/>
                <w:szCs w:val="20"/>
                <w:lang w:val="en-US"/>
              </w:rPr>
              <w:t>3</w:t>
            </w:r>
          </w:p>
        </w:tc>
        <w:tc>
          <w:tcPr>
            <w:tcW w:w="1594" w:type="dxa"/>
            <w:vAlign w:val="center"/>
          </w:tcPr>
          <w:p w14:paraId="5996A259" w14:textId="61EB3642" w:rsidR="00F637D3" w:rsidRDefault="00F637D3" w:rsidP="00FB5F25">
            <w:pPr>
              <w:jc w:val="both"/>
              <w:rPr>
                <w:rFonts w:ascii="Garamond" w:hAnsi="Garamond"/>
                <w:sz w:val="20"/>
                <w:szCs w:val="20"/>
                <w:lang w:val="en-US"/>
              </w:rPr>
            </w:pPr>
            <w:r>
              <w:rPr>
                <w:rFonts w:ascii="Garamond" w:hAnsi="Garamond"/>
                <w:sz w:val="20"/>
                <w:szCs w:val="20"/>
                <w:lang w:val="en-US"/>
              </w:rPr>
              <w:t>0.29 (0.06–0.84)</w:t>
            </w:r>
          </w:p>
        </w:tc>
        <w:tc>
          <w:tcPr>
            <w:tcW w:w="411" w:type="dxa"/>
            <w:vAlign w:val="center"/>
          </w:tcPr>
          <w:p w14:paraId="02DF1052" w14:textId="77777777" w:rsidR="00F637D3" w:rsidRDefault="00F637D3" w:rsidP="00FB5F25">
            <w:pPr>
              <w:jc w:val="both"/>
              <w:rPr>
                <w:rFonts w:ascii="Garamond" w:hAnsi="Garamond"/>
                <w:sz w:val="20"/>
                <w:szCs w:val="20"/>
                <w:lang w:val="en-US"/>
              </w:rPr>
            </w:pPr>
            <w:r>
              <w:rPr>
                <w:rFonts w:ascii="Garamond" w:hAnsi="Garamond"/>
                <w:sz w:val="20"/>
                <w:szCs w:val="20"/>
                <w:lang w:val="en-US"/>
              </w:rPr>
              <w:t>1</w:t>
            </w:r>
          </w:p>
        </w:tc>
        <w:tc>
          <w:tcPr>
            <w:tcW w:w="1594" w:type="dxa"/>
            <w:vAlign w:val="center"/>
          </w:tcPr>
          <w:p w14:paraId="4281C10D" w14:textId="77777777" w:rsidR="00F637D3" w:rsidRDefault="00F637D3" w:rsidP="00FB5F25">
            <w:pPr>
              <w:jc w:val="both"/>
              <w:rPr>
                <w:rFonts w:ascii="Garamond" w:hAnsi="Garamond"/>
                <w:sz w:val="20"/>
                <w:szCs w:val="20"/>
                <w:lang w:val="en-US"/>
              </w:rPr>
            </w:pPr>
            <w:r>
              <w:rPr>
                <w:rFonts w:ascii="Garamond" w:hAnsi="Garamond"/>
                <w:sz w:val="20"/>
                <w:szCs w:val="20"/>
                <w:lang w:val="en-US"/>
              </w:rPr>
              <w:t>0.10 (0.00–0.54)</w:t>
            </w:r>
          </w:p>
        </w:tc>
        <w:tc>
          <w:tcPr>
            <w:tcW w:w="411" w:type="dxa"/>
            <w:vAlign w:val="center"/>
          </w:tcPr>
          <w:p w14:paraId="06D7F076" w14:textId="77777777" w:rsidR="00F637D3" w:rsidRPr="00630319" w:rsidRDefault="00F637D3" w:rsidP="00FB5F25">
            <w:pPr>
              <w:jc w:val="both"/>
              <w:rPr>
                <w:rFonts w:ascii="Garamond" w:hAnsi="Garamond"/>
                <w:i/>
                <w:sz w:val="20"/>
                <w:szCs w:val="20"/>
                <w:lang w:val="en-US"/>
              </w:rPr>
            </w:pPr>
            <w:r w:rsidRPr="00630319">
              <w:rPr>
                <w:rFonts w:ascii="Garamond" w:hAnsi="Garamond"/>
                <w:i/>
                <w:sz w:val="20"/>
                <w:szCs w:val="20"/>
                <w:lang w:val="en-US"/>
              </w:rPr>
              <w:t>1</w:t>
            </w:r>
          </w:p>
        </w:tc>
        <w:tc>
          <w:tcPr>
            <w:tcW w:w="1594" w:type="dxa"/>
            <w:vAlign w:val="center"/>
          </w:tcPr>
          <w:p w14:paraId="25309617" w14:textId="77777777" w:rsidR="00F637D3" w:rsidRPr="00630319" w:rsidRDefault="00F637D3" w:rsidP="00FB5F25">
            <w:pPr>
              <w:jc w:val="both"/>
              <w:rPr>
                <w:rFonts w:ascii="Garamond" w:hAnsi="Garamond"/>
                <w:i/>
                <w:sz w:val="20"/>
                <w:szCs w:val="20"/>
                <w:lang w:val="en-US"/>
              </w:rPr>
            </w:pPr>
            <w:r w:rsidRPr="00630319">
              <w:rPr>
                <w:rFonts w:ascii="Garamond" w:hAnsi="Garamond"/>
                <w:i/>
                <w:sz w:val="20"/>
                <w:szCs w:val="20"/>
                <w:lang w:val="en-US"/>
              </w:rPr>
              <w:t>0.10 (0.00–0.56)</w:t>
            </w:r>
          </w:p>
        </w:tc>
      </w:tr>
      <w:tr w:rsidR="00F637D3" w14:paraId="094D0F06" w14:textId="77777777" w:rsidTr="00206709">
        <w:tc>
          <w:tcPr>
            <w:tcW w:w="972" w:type="dxa"/>
            <w:vMerge/>
            <w:vAlign w:val="center"/>
          </w:tcPr>
          <w:p w14:paraId="566B1A80" w14:textId="77777777" w:rsidR="00F637D3" w:rsidRDefault="00F637D3" w:rsidP="00FB5F25">
            <w:pPr>
              <w:jc w:val="both"/>
              <w:rPr>
                <w:rFonts w:ascii="Garamond" w:hAnsi="Garamond"/>
                <w:sz w:val="20"/>
                <w:szCs w:val="20"/>
                <w:lang w:val="en-US"/>
              </w:rPr>
            </w:pPr>
          </w:p>
        </w:tc>
        <w:tc>
          <w:tcPr>
            <w:tcW w:w="2725" w:type="dxa"/>
            <w:vAlign w:val="center"/>
          </w:tcPr>
          <w:p w14:paraId="65E48175" w14:textId="77777777" w:rsidR="00F637D3" w:rsidRDefault="00F637D3" w:rsidP="00FB5F25">
            <w:pPr>
              <w:jc w:val="both"/>
              <w:rPr>
                <w:rFonts w:ascii="Garamond" w:hAnsi="Garamond"/>
                <w:sz w:val="20"/>
                <w:szCs w:val="20"/>
                <w:lang w:val="en-US"/>
              </w:rPr>
            </w:pPr>
            <w:r>
              <w:rPr>
                <w:rFonts w:ascii="Garamond" w:hAnsi="Garamond"/>
                <w:sz w:val="20"/>
                <w:szCs w:val="20"/>
                <w:lang w:val="en-US"/>
              </w:rPr>
              <w:t>Nausea</w:t>
            </w:r>
          </w:p>
        </w:tc>
        <w:tc>
          <w:tcPr>
            <w:tcW w:w="440" w:type="dxa"/>
            <w:vAlign w:val="center"/>
          </w:tcPr>
          <w:p w14:paraId="0A4740FF" w14:textId="3A06E99C" w:rsidR="00F637D3" w:rsidRDefault="00F637D3" w:rsidP="00FB5F25">
            <w:pPr>
              <w:jc w:val="both"/>
              <w:rPr>
                <w:rFonts w:ascii="Garamond" w:hAnsi="Garamond"/>
                <w:sz w:val="20"/>
                <w:szCs w:val="20"/>
                <w:lang w:val="en-US"/>
              </w:rPr>
            </w:pPr>
            <w:r>
              <w:rPr>
                <w:rFonts w:ascii="Garamond" w:hAnsi="Garamond"/>
                <w:sz w:val="20"/>
                <w:szCs w:val="20"/>
                <w:lang w:val="en-US"/>
              </w:rPr>
              <w:t>2</w:t>
            </w:r>
          </w:p>
        </w:tc>
        <w:tc>
          <w:tcPr>
            <w:tcW w:w="1594" w:type="dxa"/>
            <w:vAlign w:val="center"/>
          </w:tcPr>
          <w:p w14:paraId="6A9521CB" w14:textId="24795AFA" w:rsidR="00F637D3" w:rsidRDefault="00F637D3" w:rsidP="00FB5F25">
            <w:pPr>
              <w:jc w:val="both"/>
              <w:rPr>
                <w:rFonts w:ascii="Garamond" w:hAnsi="Garamond"/>
                <w:sz w:val="20"/>
                <w:szCs w:val="20"/>
                <w:lang w:val="en-US"/>
              </w:rPr>
            </w:pPr>
            <w:r>
              <w:rPr>
                <w:rFonts w:ascii="Garamond" w:hAnsi="Garamond"/>
                <w:sz w:val="20"/>
                <w:szCs w:val="20"/>
                <w:lang w:val="en-US"/>
              </w:rPr>
              <w:t>0.19 (0.02–0.70)</w:t>
            </w:r>
          </w:p>
        </w:tc>
        <w:tc>
          <w:tcPr>
            <w:tcW w:w="411" w:type="dxa"/>
            <w:vAlign w:val="center"/>
          </w:tcPr>
          <w:p w14:paraId="763E5A8F" w14:textId="77777777" w:rsidR="00F637D3" w:rsidRDefault="00F637D3" w:rsidP="00FB5F25">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51251CC7" w14:textId="7E595C26" w:rsidR="00F637D3" w:rsidRDefault="00F637D3" w:rsidP="00FB5F25">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17CDEFD0" w14:textId="77777777" w:rsidR="00F637D3" w:rsidRDefault="00F637D3" w:rsidP="00FB5F25">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5275B928" w14:textId="7E25F9FA" w:rsidR="00F637D3" w:rsidRDefault="00F637D3" w:rsidP="00FB5F25">
            <w:pPr>
              <w:jc w:val="both"/>
              <w:rPr>
                <w:rFonts w:ascii="Garamond" w:hAnsi="Garamond"/>
                <w:sz w:val="20"/>
                <w:szCs w:val="20"/>
                <w:lang w:val="en-US"/>
              </w:rPr>
            </w:pPr>
            <w:r>
              <w:rPr>
                <w:rFonts w:ascii="Garamond" w:hAnsi="Garamond"/>
                <w:sz w:val="20"/>
                <w:szCs w:val="20"/>
                <w:lang w:val="en-US"/>
              </w:rPr>
              <w:t>0</w:t>
            </w:r>
          </w:p>
        </w:tc>
      </w:tr>
      <w:tr w:rsidR="00F637D3" w14:paraId="33CCF911" w14:textId="77777777" w:rsidTr="00206709">
        <w:tc>
          <w:tcPr>
            <w:tcW w:w="972" w:type="dxa"/>
            <w:vMerge/>
            <w:vAlign w:val="center"/>
          </w:tcPr>
          <w:p w14:paraId="6C460456" w14:textId="77777777" w:rsidR="00F637D3" w:rsidRDefault="00F637D3" w:rsidP="00FB5F25">
            <w:pPr>
              <w:jc w:val="both"/>
              <w:rPr>
                <w:rFonts w:ascii="Garamond" w:hAnsi="Garamond"/>
                <w:sz w:val="20"/>
                <w:szCs w:val="20"/>
                <w:lang w:val="en-US"/>
              </w:rPr>
            </w:pPr>
          </w:p>
        </w:tc>
        <w:tc>
          <w:tcPr>
            <w:tcW w:w="2725" w:type="dxa"/>
            <w:vAlign w:val="center"/>
          </w:tcPr>
          <w:p w14:paraId="5521490F" w14:textId="77777777" w:rsidR="00F637D3" w:rsidRDefault="00F637D3" w:rsidP="00FB5F25">
            <w:pPr>
              <w:jc w:val="both"/>
              <w:rPr>
                <w:rFonts w:ascii="Garamond" w:hAnsi="Garamond"/>
                <w:sz w:val="20"/>
                <w:szCs w:val="20"/>
                <w:lang w:val="en-US"/>
              </w:rPr>
            </w:pPr>
            <w:r>
              <w:rPr>
                <w:rFonts w:ascii="Garamond" w:hAnsi="Garamond"/>
                <w:sz w:val="20"/>
                <w:szCs w:val="20"/>
                <w:lang w:val="en-US"/>
              </w:rPr>
              <w:t>Vomiting</w:t>
            </w:r>
          </w:p>
        </w:tc>
        <w:tc>
          <w:tcPr>
            <w:tcW w:w="440" w:type="dxa"/>
            <w:vAlign w:val="center"/>
          </w:tcPr>
          <w:p w14:paraId="78FC9AFD" w14:textId="363CD566" w:rsidR="00F637D3" w:rsidRDefault="00F637D3" w:rsidP="00FB5F25">
            <w:pPr>
              <w:jc w:val="both"/>
              <w:rPr>
                <w:rFonts w:ascii="Garamond" w:hAnsi="Garamond"/>
                <w:sz w:val="20"/>
                <w:szCs w:val="20"/>
                <w:lang w:val="en-US"/>
              </w:rPr>
            </w:pPr>
            <w:r>
              <w:rPr>
                <w:rFonts w:ascii="Garamond" w:hAnsi="Garamond"/>
                <w:sz w:val="20"/>
                <w:szCs w:val="20"/>
                <w:lang w:val="en-US"/>
              </w:rPr>
              <w:t>1</w:t>
            </w:r>
          </w:p>
        </w:tc>
        <w:tc>
          <w:tcPr>
            <w:tcW w:w="1594" w:type="dxa"/>
            <w:vAlign w:val="center"/>
          </w:tcPr>
          <w:p w14:paraId="0DD2D440" w14:textId="3DFBFC45" w:rsidR="00F637D3" w:rsidRDefault="00F637D3" w:rsidP="00FB5F25">
            <w:pPr>
              <w:jc w:val="both"/>
              <w:rPr>
                <w:rFonts w:ascii="Garamond" w:hAnsi="Garamond"/>
                <w:sz w:val="20"/>
                <w:szCs w:val="20"/>
                <w:lang w:val="en-US"/>
              </w:rPr>
            </w:pPr>
            <w:r>
              <w:rPr>
                <w:rFonts w:ascii="Garamond" w:hAnsi="Garamond"/>
                <w:sz w:val="20"/>
                <w:szCs w:val="20"/>
                <w:lang w:val="en-US"/>
              </w:rPr>
              <w:t>0.10 (0.00–0.54)</w:t>
            </w:r>
          </w:p>
        </w:tc>
        <w:tc>
          <w:tcPr>
            <w:tcW w:w="411" w:type="dxa"/>
            <w:vAlign w:val="center"/>
          </w:tcPr>
          <w:p w14:paraId="6C2543EF" w14:textId="77777777" w:rsidR="00F637D3" w:rsidRPr="00630319" w:rsidRDefault="00F637D3" w:rsidP="00FB5F25">
            <w:pPr>
              <w:jc w:val="both"/>
              <w:rPr>
                <w:rFonts w:ascii="Garamond" w:hAnsi="Garamond"/>
                <w:i/>
                <w:sz w:val="20"/>
                <w:szCs w:val="20"/>
                <w:lang w:val="en-US"/>
              </w:rPr>
            </w:pPr>
            <w:r w:rsidRPr="00630319">
              <w:rPr>
                <w:rFonts w:ascii="Garamond" w:hAnsi="Garamond"/>
                <w:i/>
                <w:sz w:val="20"/>
                <w:szCs w:val="20"/>
                <w:lang w:val="en-US"/>
              </w:rPr>
              <w:t>1</w:t>
            </w:r>
          </w:p>
        </w:tc>
        <w:tc>
          <w:tcPr>
            <w:tcW w:w="1594" w:type="dxa"/>
            <w:vAlign w:val="center"/>
          </w:tcPr>
          <w:p w14:paraId="6CAC19DD" w14:textId="77777777" w:rsidR="00F637D3" w:rsidRPr="00630319" w:rsidRDefault="00F637D3" w:rsidP="00FB5F25">
            <w:pPr>
              <w:jc w:val="both"/>
              <w:rPr>
                <w:rFonts w:ascii="Garamond" w:hAnsi="Garamond"/>
                <w:i/>
                <w:sz w:val="20"/>
                <w:szCs w:val="20"/>
                <w:lang w:val="en-US"/>
              </w:rPr>
            </w:pPr>
            <w:r w:rsidRPr="00630319">
              <w:rPr>
                <w:rFonts w:ascii="Garamond" w:hAnsi="Garamond"/>
                <w:i/>
                <w:sz w:val="20"/>
                <w:szCs w:val="20"/>
                <w:lang w:val="en-US"/>
              </w:rPr>
              <w:t>0.10 (0.00–0.54)</w:t>
            </w:r>
          </w:p>
        </w:tc>
        <w:tc>
          <w:tcPr>
            <w:tcW w:w="411" w:type="dxa"/>
            <w:vAlign w:val="center"/>
          </w:tcPr>
          <w:p w14:paraId="21691ECF" w14:textId="77777777" w:rsidR="00F637D3" w:rsidRDefault="00F637D3" w:rsidP="00FB5F25">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58CFB7DA" w14:textId="02D15FAF" w:rsidR="00F637D3" w:rsidRDefault="00F637D3" w:rsidP="00FB5F25">
            <w:pPr>
              <w:jc w:val="both"/>
              <w:rPr>
                <w:rFonts w:ascii="Garamond" w:hAnsi="Garamond"/>
                <w:sz w:val="20"/>
                <w:szCs w:val="20"/>
                <w:lang w:val="en-US"/>
              </w:rPr>
            </w:pPr>
            <w:r>
              <w:rPr>
                <w:rFonts w:ascii="Garamond" w:hAnsi="Garamond"/>
                <w:sz w:val="20"/>
                <w:szCs w:val="20"/>
                <w:lang w:val="en-US"/>
              </w:rPr>
              <w:t>0</w:t>
            </w:r>
          </w:p>
        </w:tc>
      </w:tr>
      <w:tr w:rsidR="00F637D3" w14:paraId="7AECABC3" w14:textId="77777777" w:rsidTr="00206709">
        <w:tc>
          <w:tcPr>
            <w:tcW w:w="972" w:type="dxa"/>
            <w:vMerge/>
            <w:vAlign w:val="center"/>
          </w:tcPr>
          <w:p w14:paraId="597BD6F8" w14:textId="77777777" w:rsidR="00F637D3" w:rsidRDefault="00F637D3" w:rsidP="00FB5F25">
            <w:pPr>
              <w:jc w:val="both"/>
              <w:rPr>
                <w:rFonts w:ascii="Garamond" w:hAnsi="Garamond"/>
                <w:sz w:val="20"/>
                <w:szCs w:val="20"/>
                <w:lang w:val="en-US"/>
              </w:rPr>
            </w:pPr>
          </w:p>
        </w:tc>
        <w:tc>
          <w:tcPr>
            <w:tcW w:w="2725" w:type="dxa"/>
            <w:vAlign w:val="center"/>
          </w:tcPr>
          <w:p w14:paraId="7EF2C11B" w14:textId="30760F5D" w:rsidR="00F637D3" w:rsidRDefault="00F637D3" w:rsidP="00FB5F25">
            <w:pPr>
              <w:jc w:val="both"/>
              <w:rPr>
                <w:rFonts w:ascii="Garamond" w:hAnsi="Garamond"/>
                <w:sz w:val="20"/>
                <w:szCs w:val="20"/>
                <w:lang w:val="en-US"/>
              </w:rPr>
            </w:pPr>
            <w:r>
              <w:rPr>
                <w:rFonts w:ascii="Garamond" w:hAnsi="Garamond"/>
                <w:sz w:val="20"/>
                <w:szCs w:val="20"/>
                <w:lang w:val="en-US"/>
              </w:rPr>
              <w:t>Malaise</w:t>
            </w:r>
          </w:p>
        </w:tc>
        <w:tc>
          <w:tcPr>
            <w:tcW w:w="440" w:type="dxa"/>
            <w:vAlign w:val="center"/>
          </w:tcPr>
          <w:p w14:paraId="41E720EB" w14:textId="56D367B8" w:rsidR="00F637D3" w:rsidRDefault="00F637D3" w:rsidP="00FB5F25">
            <w:pPr>
              <w:jc w:val="both"/>
              <w:rPr>
                <w:rFonts w:ascii="Garamond" w:hAnsi="Garamond"/>
                <w:sz w:val="20"/>
                <w:szCs w:val="20"/>
                <w:lang w:val="en-US"/>
              </w:rPr>
            </w:pPr>
            <w:r>
              <w:rPr>
                <w:rFonts w:ascii="Garamond" w:hAnsi="Garamond"/>
                <w:sz w:val="20"/>
                <w:szCs w:val="20"/>
                <w:lang w:val="en-US"/>
              </w:rPr>
              <w:t>3</w:t>
            </w:r>
          </w:p>
        </w:tc>
        <w:tc>
          <w:tcPr>
            <w:tcW w:w="1594" w:type="dxa"/>
            <w:vAlign w:val="center"/>
          </w:tcPr>
          <w:p w14:paraId="5AE6B7CD" w14:textId="3DED342A" w:rsidR="00F637D3" w:rsidRDefault="00F637D3" w:rsidP="00FB5F25">
            <w:pPr>
              <w:jc w:val="both"/>
              <w:rPr>
                <w:rFonts w:ascii="Garamond" w:hAnsi="Garamond"/>
                <w:sz w:val="20"/>
                <w:szCs w:val="20"/>
                <w:lang w:val="en-US"/>
              </w:rPr>
            </w:pPr>
            <w:r>
              <w:rPr>
                <w:rFonts w:ascii="Garamond" w:hAnsi="Garamond"/>
                <w:sz w:val="20"/>
                <w:szCs w:val="20"/>
                <w:lang w:val="en-US"/>
              </w:rPr>
              <w:t>0.29 (0.06–0.84)</w:t>
            </w:r>
          </w:p>
        </w:tc>
        <w:tc>
          <w:tcPr>
            <w:tcW w:w="411" w:type="dxa"/>
            <w:vAlign w:val="center"/>
          </w:tcPr>
          <w:p w14:paraId="60262AE8" w14:textId="77777777" w:rsidR="00F637D3" w:rsidRDefault="00F637D3" w:rsidP="00FB5F25">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3348F4A7" w14:textId="522A71E0" w:rsidR="00F637D3" w:rsidRDefault="00F637D3" w:rsidP="00FB5F25">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10DE7380" w14:textId="77777777" w:rsidR="00F637D3" w:rsidRDefault="00F637D3" w:rsidP="00FB5F25">
            <w:pPr>
              <w:jc w:val="both"/>
              <w:rPr>
                <w:rFonts w:ascii="Garamond" w:hAnsi="Garamond"/>
                <w:sz w:val="20"/>
                <w:szCs w:val="20"/>
                <w:lang w:val="en-US"/>
              </w:rPr>
            </w:pPr>
            <w:r>
              <w:rPr>
                <w:rFonts w:ascii="Garamond" w:hAnsi="Garamond"/>
                <w:sz w:val="20"/>
                <w:szCs w:val="20"/>
                <w:lang w:val="en-US"/>
              </w:rPr>
              <w:t>1</w:t>
            </w:r>
          </w:p>
        </w:tc>
        <w:tc>
          <w:tcPr>
            <w:tcW w:w="1594" w:type="dxa"/>
            <w:vAlign w:val="center"/>
          </w:tcPr>
          <w:p w14:paraId="4101BE41" w14:textId="77777777" w:rsidR="00F637D3" w:rsidRDefault="00F637D3" w:rsidP="00FB5F25">
            <w:pPr>
              <w:jc w:val="both"/>
              <w:rPr>
                <w:rFonts w:ascii="Garamond" w:hAnsi="Garamond"/>
                <w:sz w:val="20"/>
                <w:szCs w:val="20"/>
                <w:lang w:val="en-US"/>
              </w:rPr>
            </w:pPr>
            <w:r>
              <w:rPr>
                <w:rFonts w:ascii="Garamond" w:hAnsi="Garamond"/>
                <w:sz w:val="20"/>
                <w:szCs w:val="20"/>
                <w:lang w:val="en-US"/>
              </w:rPr>
              <w:t>0.10 (0.00–0.56)</w:t>
            </w:r>
          </w:p>
        </w:tc>
      </w:tr>
      <w:tr w:rsidR="00F637D3" w14:paraId="5A73BBEF" w14:textId="77777777" w:rsidTr="00206709">
        <w:tc>
          <w:tcPr>
            <w:tcW w:w="972" w:type="dxa"/>
            <w:vMerge/>
            <w:vAlign w:val="center"/>
          </w:tcPr>
          <w:p w14:paraId="6486441C" w14:textId="77777777" w:rsidR="00F637D3" w:rsidRDefault="00F637D3" w:rsidP="00D53880">
            <w:pPr>
              <w:jc w:val="both"/>
              <w:rPr>
                <w:rFonts w:ascii="Garamond" w:hAnsi="Garamond"/>
                <w:sz w:val="20"/>
                <w:szCs w:val="20"/>
                <w:lang w:val="en-US"/>
              </w:rPr>
            </w:pPr>
          </w:p>
        </w:tc>
        <w:tc>
          <w:tcPr>
            <w:tcW w:w="2725" w:type="dxa"/>
            <w:vAlign w:val="center"/>
          </w:tcPr>
          <w:p w14:paraId="0DEFD226" w14:textId="77777777" w:rsidR="00F637D3" w:rsidRDefault="00F637D3" w:rsidP="00D53880">
            <w:pPr>
              <w:jc w:val="both"/>
              <w:rPr>
                <w:rFonts w:ascii="Garamond" w:hAnsi="Garamond"/>
                <w:sz w:val="20"/>
                <w:szCs w:val="20"/>
                <w:lang w:val="en-US"/>
              </w:rPr>
            </w:pPr>
            <w:r>
              <w:rPr>
                <w:rFonts w:ascii="Garamond" w:hAnsi="Garamond"/>
                <w:sz w:val="20"/>
                <w:szCs w:val="20"/>
                <w:lang w:val="en-US"/>
              </w:rPr>
              <w:t>Headache</w:t>
            </w:r>
          </w:p>
        </w:tc>
        <w:tc>
          <w:tcPr>
            <w:tcW w:w="440" w:type="dxa"/>
            <w:vAlign w:val="center"/>
          </w:tcPr>
          <w:p w14:paraId="445DA577" w14:textId="073EEA7E" w:rsidR="00F637D3" w:rsidRDefault="00F637D3" w:rsidP="00D53880">
            <w:pPr>
              <w:jc w:val="both"/>
              <w:rPr>
                <w:rFonts w:ascii="Garamond" w:hAnsi="Garamond"/>
                <w:sz w:val="20"/>
                <w:szCs w:val="20"/>
                <w:lang w:val="en-US"/>
              </w:rPr>
            </w:pPr>
            <w:r>
              <w:rPr>
                <w:rFonts w:ascii="Garamond" w:hAnsi="Garamond"/>
                <w:sz w:val="20"/>
                <w:szCs w:val="20"/>
                <w:lang w:val="en-US"/>
              </w:rPr>
              <w:t>3</w:t>
            </w:r>
          </w:p>
        </w:tc>
        <w:tc>
          <w:tcPr>
            <w:tcW w:w="1594" w:type="dxa"/>
            <w:vAlign w:val="center"/>
          </w:tcPr>
          <w:p w14:paraId="57A19FC5" w14:textId="4FF70C8B" w:rsidR="00F637D3" w:rsidRDefault="00F637D3" w:rsidP="00D53880">
            <w:pPr>
              <w:jc w:val="both"/>
              <w:rPr>
                <w:rFonts w:ascii="Garamond" w:hAnsi="Garamond"/>
                <w:sz w:val="20"/>
                <w:szCs w:val="20"/>
                <w:lang w:val="en-US"/>
              </w:rPr>
            </w:pPr>
            <w:r>
              <w:rPr>
                <w:rFonts w:ascii="Garamond" w:hAnsi="Garamond"/>
                <w:sz w:val="20"/>
                <w:szCs w:val="20"/>
                <w:lang w:val="en-US"/>
              </w:rPr>
              <w:t>0.29 (0.06–0.84)</w:t>
            </w:r>
          </w:p>
        </w:tc>
        <w:tc>
          <w:tcPr>
            <w:tcW w:w="411" w:type="dxa"/>
            <w:vAlign w:val="center"/>
          </w:tcPr>
          <w:p w14:paraId="6E7B24BA" w14:textId="7777777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053CDD73" w14:textId="73E4BAF8"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0B082B38" w14:textId="7777777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536EBDC9" w14:textId="1FDF1A38" w:rsidR="00F637D3" w:rsidRDefault="00F637D3" w:rsidP="00D53880">
            <w:pPr>
              <w:jc w:val="both"/>
              <w:rPr>
                <w:rFonts w:ascii="Garamond" w:hAnsi="Garamond"/>
                <w:sz w:val="20"/>
                <w:szCs w:val="20"/>
                <w:lang w:val="en-US"/>
              </w:rPr>
            </w:pPr>
            <w:r>
              <w:rPr>
                <w:rFonts w:ascii="Garamond" w:hAnsi="Garamond"/>
                <w:sz w:val="20"/>
                <w:szCs w:val="20"/>
                <w:lang w:val="en-US"/>
              </w:rPr>
              <w:t>0</w:t>
            </w:r>
          </w:p>
        </w:tc>
      </w:tr>
      <w:tr w:rsidR="00F637D3" w14:paraId="14ECF28B" w14:textId="77777777" w:rsidTr="00206709">
        <w:tc>
          <w:tcPr>
            <w:tcW w:w="972" w:type="dxa"/>
            <w:vMerge/>
            <w:vAlign w:val="center"/>
          </w:tcPr>
          <w:p w14:paraId="24FD9997" w14:textId="77777777" w:rsidR="00F637D3" w:rsidRDefault="00F637D3" w:rsidP="00D53880">
            <w:pPr>
              <w:jc w:val="both"/>
              <w:rPr>
                <w:rFonts w:ascii="Garamond" w:hAnsi="Garamond"/>
                <w:sz w:val="20"/>
                <w:szCs w:val="20"/>
                <w:lang w:val="en-US"/>
              </w:rPr>
            </w:pPr>
          </w:p>
        </w:tc>
        <w:tc>
          <w:tcPr>
            <w:tcW w:w="2725" w:type="dxa"/>
            <w:vAlign w:val="center"/>
          </w:tcPr>
          <w:p w14:paraId="2FFA008F" w14:textId="77777777" w:rsidR="00F637D3" w:rsidRDefault="00F637D3" w:rsidP="00D53880">
            <w:pPr>
              <w:jc w:val="both"/>
              <w:rPr>
                <w:rFonts w:ascii="Garamond" w:hAnsi="Garamond"/>
                <w:sz w:val="20"/>
                <w:szCs w:val="20"/>
                <w:lang w:val="en-US"/>
              </w:rPr>
            </w:pPr>
            <w:r>
              <w:rPr>
                <w:rFonts w:ascii="Garamond" w:hAnsi="Garamond"/>
                <w:sz w:val="20"/>
                <w:szCs w:val="20"/>
                <w:lang w:val="en-US"/>
              </w:rPr>
              <w:t>Decreased appetite</w:t>
            </w:r>
          </w:p>
        </w:tc>
        <w:tc>
          <w:tcPr>
            <w:tcW w:w="440" w:type="dxa"/>
            <w:vAlign w:val="center"/>
          </w:tcPr>
          <w:p w14:paraId="24F44B76" w14:textId="13B6A5CA"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4AFFBBB8" w14:textId="48E9D666"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4FD1511E" w14:textId="7777777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2C21CC7C" w14:textId="546D2D55"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27AE69B2" w14:textId="7777777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6919916D" w14:textId="369723B6" w:rsidR="00F637D3" w:rsidRDefault="00F637D3" w:rsidP="00D53880">
            <w:pPr>
              <w:jc w:val="both"/>
              <w:rPr>
                <w:rFonts w:ascii="Garamond" w:hAnsi="Garamond"/>
                <w:sz w:val="20"/>
                <w:szCs w:val="20"/>
                <w:lang w:val="en-US"/>
              </w:rPr>
            </w:pPr>
            <w:r>
              <w:rPr>
                <w:rFonts w:ascii="Garamond" w:hAnsi="Garamond"/>
                <w:sz w:val="20"/>
                <w:szCs w:val="20"/>
                <w:lang w:val="en-US"/>
              </w:rPr>
              <w:t>0</w:t>
            </w:r>
          </w:p>
        </w:tc>
      </w:tr>
      <w:tr w:rsidR="00F637D3" w14:paraId="1B0D67D1" w14:textId="77777777" w:rsidTr="00206709">
        <w:tc>
          <w:tcPr>
            <w:tcW w:w="972" w:type="dxa"/>
            <w:vMerge/>
            <w:vAlign w:val="center"/>
          </w:tcPr>
          <w:p w14:paraId="61218035" w14:textId="77777777" w:rsidR="00F637D3" w:rsidRDefault="00F637D3" w:rsidP="00D53880">
            <w:pPr>
              <w:jc w:val="both"/>
              <w:rPr>
                <w:rFonts w:ascii="Garamond" w:hAnsi="Garamond"/>
                <w:sz w:val="20"/>
                <w:szCs w:val="20"/>
                <w:lang w:val="en-US"/>
              </w:rPr>
            </w:pPr>
          </w:p>
        </w:tc>
        <w:tc>
          <w:tcPr>
            <w:tcW w:w="2725" w:type="dxa"/>
            <w:vAlign w:val="center"/>
          </w:tcPr>
          <w:p w14:paraId="5D40568E" w14:textId="77777777" w:rsidR="00F637D3" w:rsidRDefault="00F637D3" w:rsidP="00D53880">
            <w:pPr>
              <w:jc w:val="both"/>
              <w:rPr>
                <w:rFonts w:ascii="Garamond" w:hAnsi="Garamond"/>
                <w:sz w:val="20"/>
                <w:szCs w:val="20"/>
                <w:lang w:val="en-US"/>
              </w:rPr>
            </w:pPr>
            <w:r>
              <w:rPr>
                <w:rFonts w:ascii="Garamond" w:hAnsi="Garamond"/>
                <w:sz w:val="20"/>
                <w:szCs w:val="20"/>
                <w:lang w:val="en-US"/>
              </w:rPr>
              <w:t>Myalgia</w:t>
            </w:r>
          </w:p>
        </w:tc>
        <w:tc>
          <w:tcPr>
            <w:tcW w:w="440" w:type="dxa"/>
            <w:vAlign w:val="center"/>
          </w:tcPr>
          <w:p w14:paraId="0845759C" w14:textId="6102EAD5"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6BBD83FD" w14:textId="06E44CED"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607D6217" w14:textId="7777777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4528FCD3" w14:textId="642DAAAE"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5077F6C7" w14:textId="7777777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25431F1D" w14:textId="79D23E57" w:rsidR="00F637D3" w:rsidRDefault="00F637D3" w:rsidP="00D53880">
            <w:pPr>
              <w:jc w:val="both"/>
              <w:rPr>
                <w:rFonts w:ascii="Garamond" w:hAnsi="Garamond"/>
                <w:sz w:val="20"/>
                <w:szCs w:val="20"/>
                <w:lang w:val="en-US"/>
              </w:rPr>
            </w:pPr>
            <w:r>
              <w:rPr>
                <w:rFonts w:ascii="Garamond" w:hAnsi="Garamond"/>
                <w:sz w:val="20"/>
                <w:szCs w:val="20"/>
                <w:lang w:val="en-US"/>
              </w:rPr>
              <w:t>0</w:t>
            </w:r>
          </w:p>
        </w:tc>
      </w:tr>
      <w:tr w:rsidR="00F637D3" w14:paraId="42805568" w14:textId="77777777" w:rsidTr="00206709">
        <w:tc>
          <w:tcPr>
            <w:tcW w:w="972" w:type="dxa"/>
            <w:vMerge/>
            <w:vAlign w:val="center"/>
          </w:tcPr>
          <w:p w14:paraId="6C546CF4" w14:textId="77777777" w:rsidR="00F637D3" w:rsidRDefault="00F637D3" w:rsidP="00D53880">
            <w:pPr>
              <w:jc w:val="both"/>
              <w:rPr>
                <w:rFonts w:ascii="Garamond" w:hAnsi="Garamond"/>
                <w:sz w:val="20"/>
                <w:szCs w:val="20"/>
                <w:lang w:val="en-US"/>
              </w:rPr>
            </w:pPr>
          </w:p>
        </w:tc>
        <w:tc>
          <w:tcPr>
            <w:tcW w:w="2725" w:type="dxa"/>
            <w:vAlign w:val="center"/>
          </w:tcPr>
          <w:p w14:paraId="7DE4B709" w14:textId="77777777" w:rsidR="00F637D3" w:rsidRDefault="00F637D3" w:rsidP="00D53880">
            <w:pPr>
              <w:jc w:val="both"/>
              <w:rPr>
                <w:rFonts w:ascii="Garamond" w:hAnsi="Garamond"/>
                <w:sz w:val="20"/>
                <w:szCs w:val="20"/>
                <w:lang w:val="en-US"/>
              </w:rPr>
            </w:pPr>
            <w:r>
              <w:rPr>
                <w:rFonts w:ascii="Garamond" w:hAnsi="Garamond"/>
                <w:sz w:val="20"/>
                <w:szCs w:val="20"/>
                <w:lang w:val="en-US"/>
              </w:rPr>
              <w:t>Arthralgia</w:t>
            </w:r>
          </w:p>
        </w:tc>
        <w:tc>
          <w:tcPr>
            <w:tcW w:w="440" w:type="dxa"/>
            <w:vAlign w:val="center"/>
          </w:tcPr>
          <w:p w14:paraId="4A4ED1C6" w14:textId="47F7CCEA"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4CD27C5C" w14:textId="033740E2"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41F9B0AF" w14:textId="7777777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22FC0C8E" w14:textId="4C879F86"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3A7A7B67" w14:textId="77777777" w:rsidR="00F637D3" w:rsidRPr="00630319" w:rsidRDefault="00F637D3" w:rsidP="00D53880">
            <w:pPr>
              <w:jc w:val="both"/>
              <w:rPr>
                <w:rFonts w:ascii="Garamond" w:hAnsi="Garamond"/>
                <w:i/>
                <w:sz w:val="20"/>
                <w:szCs w:val="20"/>
                <w:lang w:val="en-US"/>
              </w:rPr>
            </w:pPr>
            <w:r w:rsidRPr="00630319">
              <w:rPr>
                <w:rFonts w:ascii="Garamond" w:hAnsi="Garamond"/>
                <w:i/>
                <w:sz w:val="20"/>
                <w:szCs w:val="20"/>
                <w:lang w:val="en-US"/>
              </w:rPr>
              <w:t>1</w:t>
            </w:r>
          </w:p>
        </w:tc>
        <w:tc>
          <w:tcPr>
            <w:tcW w:w="1594" w:type="dxa"/>
            <w:vAlign w:val="center"/>
          </w:tcPr>
          <w:p w14:paraId="07DCF3C4" w14:textId="77777777" w:rsidR="00F637D3" w:rsidRPr="00630319" w:rsidRDefault="00F637D3" w:rsidP="00D53880">
            <w:pPr>
              <w:jc w:val="both"/>
              <w:rPr>
                <w:rFonts w:ascii="Garamond" w:hAnsi="Garamond"/>
                <w:i/>
                <w:sz w:val="20"/>
                <w:szCs w:val="20"/>
                <w:lang w:val="en-US"/>
              </w:rPr>
            </w:pPr>
            <w:r w:rsidRPr="00630319">
              <w:rPr>
                <w:rFonts w:ascii="Garamond" w:hAnsi="Garamond"/>
                <w:i/>
                <w:sz w:val="20"/>
                <w:szCs w:val="20"/>
                <w:lang w:val="en-US"/>
              </w:rPr>
              <w:t>0.10 (0.00–0.56)</w:t>
            </w:r>
          </w:p>
        </w:tc>
      </w:tr>
      <w:tr w:rsidR="00F637D3" w14:paraId="0965BD20" w14:textId="77777777" w:rsidTr="00206709">
        <w:tc>
          <w:tcPr>
            <w:tcW w:w="972" w:type="dxa"/>
            <w:vMerge/>
            <w:vAlign w:val="center"/>
          </w:tcPr>
          <w:p w14:paraId="65EA4338" w14:textId="77777777" w:rsidR="00F637D3" w:rsidRDefault="00F637D3" w:rsidP="00D53880">
            <w:pPr>
              <w:jc w:val="both"/>
              <w:rPr>
                <w:rFonts w:ascii="Garamond" w:hAnsi="Garamond"/>
                <w:sz w:val="20"/>
                <w:szCs w:val="20"/>
                <w:lang w:val="en-US"/>
              </w:rPr>
            </w:pPr>
          </w:p>
        </w:tc>
        <w:tc>
          <w:tcPr>
            <w:tcW w:w="2725" w:type="dxa"/>
            <w:vAlign w:val="center"/>
          </w:tcPr>
          <w:p w14:paraId="6721BB52" w14:textId="77777777" w:rsidR="00F637D3" w:rsidRDefault="00F637D3" w:rsidP="00D53880">
            <w:pPr>
              <w:jc w:val="both"/>
              <w:rPr>
                <w:rFonts w:ascii="Garamond" w:hAnsi="Garamond"/>
                <w:sz w:val="20"/>
                <w:szCs w:val="20"/>
                <w:lang w:val="en-US"/>
              </w:rPr>
            </w:pPr>
            <w:r>
              <w:rPr>
                <w:rFonts w:ascii="Garamond" w:hAnsi="Garamond"/>
                <w:sz w:val="20"/>
                <w:szCs w:val="20"/>
                <w:lang w:val="en-US"/>
              </w:rPr>
              <w:t>Irritability/crying</w:t>
            </w:r>
          </w:p>
        </w:tc>
        <w:tc>
          <w:tcPr>
            <w:tcW w:w="440" w:type="dxa"/>
            <w:vAlign w:val="center"/>
          </w:tcPr>
          <w:p w14:paraId="141C1BEC" w14:textId="235FAC3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1567EC20" w14:textId="4FFF223C"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4EDA54BA" w14:textId="7777777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28F139E4" w14:textId="2C6F4FE6"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49469CE5" w14:textId="7777777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34FDD874" w14:textId="1FA37BCF" w:rsidR="00F637D3" w:rsidRDefault="00F637D3" w:rsidP="00D53880">
            <w:pPr>
              <w:jc w:val="both"/>
              <w:rPr>
                <w:rFonts w:ascii="Garamond" w:hAnsi="Garamond"/>
                <w:sz w:val="20"/>
                <w:szCs w:val="20"/>
                <w:lang w:val="en-US"/>
              </w:rPr>
            </w:pPr>
            <w:r>
              <w:rPr>
                <w:rFonts w:ascii="Garamond" w:hAnsi="Garamond"/>
                <w:sz w:val="20"/>
                <w:szCs w:val="20"/>
                <w:lang w:val="en-US"/>
              </w:rPr>
              <w:t>0</w:t>
            </w:r>
          </w:p>
        </w:tc>
      </w:tr>
      <w:tr w:rsidR="00F637D3" w14:paraId="596CB04F" w14:textId="77777777" w:rsidTr="00206709">
        <w:tc>
          <w:tcPr>
            <w:tcW w:w="972" w:type="dxa"/>
            <w:vMerge w:val="restart"/>
            <w:vAlign w:val="center"/>
          </w:tcPr>
          <w:p w14:paraId="1F152614" w14:textId="77777777" w:rsidR="00F637D3" w:rsidRDefault="00F637D3" w:rsidP="00D53880">
            <w:pPr>
              <w:jc w:val="both"/>
              <w:rPr>
                <w:rFonts w:ascii="Garamond" w:hAnsi="Garamond"/>
                <w:sz w:val="20"/>
                <w:szCs w:val="20"/>
                <w:lang w:val="en-US"/>
              </w:rPr>
            </w:pPr>
            <w:r>
              <w:rPr>
                <w:rFonts w:ascii="Garamond" w:hAnsi="Garamond"/>
                <w:sz w:val="20"/>
                <w:szCs w:val="20"/>
                <w:lang w:val="en-US"/>
              </w:rPr>
              <w:t>Local</w:t>
            </w:r>
          </w:p>
        </w:tc>
        <w:tc>
          <w:tcPr>
            <w:tcW w:w="2725" w:type="dxa"/>
            <w:vAlign w:val="center"/>
          </w:tcPr>
          <w:p w14:paraId="0962A29D" w14:textId="77777777" w:rsidR="00F637D3" w:rsidRDefault="00F637D3" w:rsidP="00D53880">
            <w:pPr>
              <w:jc w:val="both"/>
              <w:rPr>
                <w:rFonts w:ascii="Garamond" w:hAnsi="Garamond"/>
                <w:sz w:val="20"/>
                <w:szCs w:val="20"/>
                <w:lang w:val="en-US"/>
              </w:rPr>
            </w:pPr>
            <w:r>
              <w:rPr>
                <w:rFonts w:ascii="Garamond" w:hAnsi="Garamond"/>
                <w:sz w:val="20"/>
                <w:szCs w:val="20"/>
                <w:lang w:val="en-US"/>
              </w:rPr>
              <w:t>Pain</w:t>
            </w:r>
          </w:p>
        </w:tc>
        <w:tc>
          <w:tcPr>
            <w:tcW w:w="440" w:type="dxa"/>
            <w:vAlign w:val="center"/>
          </w:tcPr>
          <w:p w14:paraId="2805103E" w14:textId="3D23BF89" w:rsidR="00F637D3" w:rsidRDefault="00F637D3" w:rsidP="00D53880">
            <w:pPr>
              <w:jc w:val="both"/>
              <w:rPr>
                <w:rFonts w:ascii="Garamond" w:hAnsi="Garamond"/>
                <w:sz w:val="20"/>
                <w:szCs w:val="20"/>
                <w:lang w:val="en-US"/>
              </w:rPr>
            </w:pPr>
            <w:r>
              <w:rPr>
                <w:rFonts w:ascii="Garamond" w:hAnsi="Garamond"/>
                <w:sz w:val="20"/>
                <w:szCs w:val="20"/>
                <w:lang w:val="en-US"/>
              </w:rPr>
              <w:t>2</w:t>
            </w:r>
          </w:p>
        </w:tc>
        <w:tc>
          <w:tcPr>
            <w:tcW w:w="1594" w:type="dxa"/>
            <w:vAlign w:val="center"/>
          </w:tcPr>
          <w:p w14:paraId="654CDEA2" w14:textId="4FD11B13" w:rsidR="00F637D3" w:rsidRDefault="00F637D3" w:rsidP="00D53880">
            <w:pPr>
              <w:jc w:val="both"/>
              <w:rPr>
                <w:rFonts w:ascii="Garamond" w:hAnsi="Garamond"/>
                <w:sz w:val="20"/>
                <w:szCs w:val="20"/>
                <w:lang w:val="en-US"/>
              </w:rPr>
            </w:pPr>
            <w:r>
              <w:rPr>
                <w:rFonts w:ascii="Garamond" w:hAnsi="Garamond"/>
                <w:sz w:val="20"/>
                <w:szCs w:val="20"/>
                <w:lang w:val="en-US"/>
              </w:rPr>
              <w:t>0.19 (0.02–0.70)</w:t>
            </w:r>
          </w:p>
        </w:tc>
        <w:tc>
          <w:tcPr>
            <w:tcW w:w="411" w:type="dxa"/>
            <w:vAlign w:val="center"/>
          </w:tcPr>
          <w:p w14:paraId="5105CAF6" w14:textId="7777777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66481E99" w14:textId="03272713"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77CACE9C" w14:textId="7777777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3A65409E" w14:textId="4A48D28E" w:rsidR="00F637D3" w:rsidRDefault="00F637D3" w:rsidP="00D53880">
            <w:pPr>
              <w:jc w:val="both"/>
              <w:rPr>
                <w:rFonts w:ascii="Garamond" w:hAnsi="Garamond"/>
                <w:sz w:val="20"/>
                <w:szCs w:val="20"/>
                <w:lang w:val="en-US"/>
              </w:rPr>
            </w:pPr>
            <w:r>
              <w:rPr>
                <w:rFonts w:ascii="Garamond" w:hAnsi="Garamond"/>
                <w:sz w:val="20"/>
                <w:szCs w:val="20"/>
                <w:lang w:val="en-US"/>
              </w:rPr>
              <w:t>0</w:t>
            </w:r>
          </w:p>
        </w:tc>
      </w:tr>
      <w:tr w:rsidR="00F637D3" w14:paraId="242C6C10" w14:textId="77777777" w:rsidTr="00206709">
        <w:tc>
          <w:tcPr>
            <w:tcW w:w="972" w:type="dxa"/>
            <w:vMerge/>
            <w:vAlign w:val="center"/>
          </w:tcPr>
          <w:p w14:paraId="39B4A868" w14:textId="77777777" w:rsidR="00F637D3" w:rsidRDefault="00F637D3" w:rsidP="00D53880">
            <w:pPr>
              <w:jc w:val="both"/>
              <w:rPr>
                <w:rFonts w:ascii="Garamond" w:hAnsi="Garamond"/>
                <w:sz w:val="20"/>
                <w:szCs w:val="20"/>
                <w:lang w:val="en-US"/>
              </w:rPr>
            </w:pPr>
          </w:p>
        </w:tc>
        <w:tc>
          <w:tcPr>
            <w:tcW w:w="2725" w:type="dxa"/>
            <w:vAlign w:val="center"/>
          </w:tcPr>
          <w:p w14:paraId="62AD7239" w14:textId="77777777" w:rsidR="00F637D3" w:rsidRDefault="00F637D3" w:rsidP="00D53880">
            <w:pPr>
              <w:jc w:val="both"/>
              <w:rPr>
                <w:rFonts w:ascii="Garamond" w:hAnsi="Garamond"/>
                <w:sz w:val="20"/>
                <w:szCs w:val="20"/>
                <w:lang w:val="en-US"/>
              </w:rPr>
            </w:pPr>
            <w:r>
              <w:rPr>
                <w:rFonts w:ascii="Garamond" w:hAnsi="Garamond"/>
                <w:sz w:val="20"/>
                <w:szCs w:val="20"/>
                <w:lang w:val="en-US"/>
              </w:rPr>
              <w:t>Erythema</w:t>
            </w:r>
          </w:p>
        </w:tc>
        <w:tc>
          <w:tcPr>
            <w:tcW w:w="440" w:type="dxa"/>
            <w:vAlign w:val="center"/>
          </w:tcPr>
          <w:p w14:paraId="3303E9BF" w14:textId="1F77AF1B" w:rsidR="00F637D3" w:rsidRDefault="00F637D3" w:rsidP="00D53880">
            <w:pPr>
              <w:jc w:val="both"/>
              <w:rPr>
                <w:rFonts w:ascii="Garamond" w:hAnsi="Garamond"/>
                <w:sz w:val="20"/>
                <w:szCs w:val="20"/>
                <w:lang w:val="en-US"/>
              </w:rPr>
            </w:pPr>
            <w:r>
              <w:rPr>
                <w:rFonts w:ascii="Garamond" w:hAnsi="Garamond"/>
                <w:sz w:val="20"/>
                <w:szCs w:val="20"/>
                <w:lang w:val="en-US"/>
              </w:rPr>
              <w:t>1</w:t>
            </w:r>
          </w:p>
        </w:tc>
        <w:tc>
          <w:tcPr>
            <w:tcW w:w="1594" w:type="dxa"/>
            <w:vAlign w:val="center"/>
          </w:tcPr>
          <w:p w14:paraId="382B1396" w14:textId="571CA7AF" w:rsidR="00F637D3" w:rsidRDefault="00F637D3" w:rsidP="00D53880">
            <w:pPr>
              <w:jc w:val="both"/>
              <w:rPr>
                <w:rFonts w:ascii="Garamond" w:hAnsi="Garamond"/>
                <w:sz w:val="20"/>
                <w:szCs w:val="20"/>
                <w:lang w:val="en-US"/>
              </w:rPr>
            </w:pPr>
            <w:r>
              <w:rPr>
                <w:rFonts w:ascii="Garamond" w:hAnsi="Garamond"/>
                <w:sz w:val="20"/>
                <w:szCs w:val="20"/>
                <w:lang w:val="en-US"/>
              </w:rPr>
              <w:t>0.10 (0.00–0.54)</w:t>
            </w:r>
          </w:p>
        </w:tc>
        <w:tc>
          <w:tcPr>
            <w:tcW w:w="411" w:type="dxa"/>
            <w:vAlign w:val="center"/>
          </w:tcPr>
          <w:p w14:paraId="679B3B1B" w14:textId="77777777" w:rsidR="00F637D3" w:rsidRDefault="00F637D3" w:rsidP="00D53880">
            <w:pPr>
              <w:jc w:val="both"/>
              <w:rPr>
                <w:rFonts w:ascii="Garamond" w:hAnsi="Garamond"/>
                <w:sz w:val="20"/>
                <w:szCs w:val="20"/>
                <w:lang w:val="en-US"/>
              </w:rPr>
            </w:pPr>
            <w:r>
              <w:rPr>
                <w:rFonts w:ascii="Garamond" w:hAnsi="Garamond"/>
                <w:sz w:val="20"/>
                <w:szCs w:val="20"/>
                <w:lang w:val="en-US"/>
              </w:rPr>
              <w:t>1</w:t>
            </w:r>
          </w:p>
        </w:tc>
        <w:tc>
          <w:tcPr>
            <w:tcW w:w="1594" w:type="dxa"/>
            <w:vAlign w:val="center"/>
          </w:tcPr>
          <w:p w14:paraId="49375DF0" w14:textId="77777777" w:rsidR="00F637D3" w:rsidRDefault="00F637D3" w:rsidP="00D53880">
            <w:pPr>
              <w:jc w:val="both"/>
              <w:rPr>
                <w:rFonts w:ascii="Garamond" w:hAnsi="Garamond"/>
                <w:sz w:val="20"/>
                <w:szCs w:val="20"/>
                <w:lang w:val="en-US"/>
              </w:rPr>
            </w:pPr>
            <w:r>
              <w:rPr>
                <w:rFonts w:ascii="Garamond" w:hAnsi="Garamond"/>
                <w:sz w:val="20"/>
                <w:szCs w:val="20"/>
                <w:lang w:val="en-US"/>
              </w:rPr>
              <w:t>0.10 (0.00–0.54)</w:t>
            </w:r>
          </w:p>
        </w:tc>
        <w:tc>
          <w:tcPr>
            <w:tcW w:w="411" w:type="dxa"/>
            <w:vAlign w:val="center"/>
          </w:tcPr>
          <w:p w14:paraId="6C1BA5F0" w14:textId="77777777" w:rsidR="00F637D3" w:rsidRDefault="00F637D3" w:rsidP="00D53880">
            <w:pPr>
              <w:jc w:val="both"/>
              <w:rPr>
                <w:rFonts w:ascii="Garamond" w:hAnsi="Garamond"/>
                <w:sz w:val="20"/>
                <w:szCs w:val="20"/>
                <w:lang w:val="en-US"/>
              </w:rPr>
            </w:pPr>
            <w:r>
              <w:rPr>
                <w:rFonts w:ascii="Garamond" w:hAnsi="Garamond"/>
                <w:sz w:val="20"/>
                <w:szCs w:val="20"/>
                <w:lang w:val="en-US"/>
              </w:rPr>
              <w:t>1</w:t>
            </w:r>
          </w:p>
        </w:tc>
        <w:tc>
          <w:tcPr>
            <w:tcW w:w="1594" w:type="dxa"/>
            <w:vAlign w:val="center"/>
          </w:tcPr>
          <w:p w14:paraId="7BB9DBA6" w14:textId="77777777" w:rsidR="00F637D3" w:rsidRDefault="00F637D3" w:rsidP="00D53880">
            <w:pPr>
              <w:jc w:val="both"/>
              <w:rPr>
                <w:rFonts w:ascii="Garamond" w:hAnsi="Garamond"/>
                <w:sz w:val="20"/>
                <w:szCs w:val="20"/>
                <w:lang w:val="en-US"/>
              </w:rPr>
            </w:pPr>
            <w:r>
              <w:rPr>
                <w:rFonts w:ascii="Garamond" w:hAnsi="Garamond"/>
                <w:sz w:val="20"/>
                <w:szCs w:val="20"/>
                <w:lang w:val="en-US"/>
              </w:rPr>
              <w:t>0.10 (0.00–0.56)</w:t>
            </w:r>
          </w:p>
        </w:tc>
      </w:tr>
      <w:tr w:rsidR="00F637D3" w14:paraId="076061FE" w14:textId="77777777" w:rsidTr="00206709">
        <w:tc>
          <w:tcPr>
            <w:tcW w:w="972" w:type="dxa"/>
            <w:vMerge/>
            <w:vAlign w:val="center"/>
          </w:tcPr>
          <w:p w14:paraId="573A65EC" w14:textId="77777777" w:rsidR="00F637D3" w:rsidRDefault="00F637D3" w:rsidP="00D53880">
            <w:pPr>
              <w:jc w:val="both"/>
              <w:rPr>
                <w:rFonts w:ascii="Garamond" w:hAnsi="Garamond"/>
                <w:sz w:val="20"/>
                <w:szCs w:val="20"/>
                <w:lang w:val="en-US"/>
              </w:rPr>
            </w:pPr>
          </w:p>
        </w:tc>
        <w:tc>
          <w:tcPr>
            <w:tcW w:w="2725" w:type="dxa"/>
            <w:vAlign w:val="center"/>
          </w:tcPr>
          <w:p w14:paraId="7664ECD7" w14:textId="77777777" w:rsidR="00F637D3" w:rsidRDefault="00F637D3" w:rsidP="00D53880">
            <w:pPr>
              <w:jc w:val="both"/>
              <w:rPr>
                <w:rFonts w:ascii="Garamond" w:hAnsi="Garamond"/>
                <w:sz w:val="20"/>
                <w:szCs w:val="20"/>
                <w:lang w:val="en-US"/>
              </w:rPr>
            </w:pPr>
            <w:r>
              <w:rPr>
                <w:rFonts w:ascii="Garamond" w:hAnsi="Garamond"/>
                <w:sz w:val="20"/>
                <w:szCs w:val="20"/>
                <w:lang w:val="en-US"/>
              </w:rPr>
              <w:t>Induration</w:t>
            </w:r>
          </w:p>
        </w:tc>
        <w:tc>
          <w:tcPr>
            <w:tcW w:w="440" w:type="dxa"/>
            <w:vAlign w:val="center"/>
          </w:tcPr>
          <w:p w14:paraId="18DEF9B5" w14:textId="525BE49E"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3D1E4323" w14:textId="4BFE6E9D"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4D0259E6" w14:textId="77777777" w:rsidR="00F637D3" w:rsidRDefault="00F637D3" w:rsidP="00D53880">
            <w:pPr>
              <w:jc w:val="both"/>
              <w:rPr>
                <w:rFonts w:ascii="Garamond" w:hAnsi="Garamond"/>
                <w:sz w:val="20"/>
                <w:szCs w:val="20"/>
                <w:lang w:val="en-US"/>
              </w:rPr>
            </w:pPr>
            <w:r>
              <w:rPr>
                <w:rFonts w:ascii="Garamond" w:hAnsi="Garamond"/>
                <w:sz w:val="20"/>
                <w:szCs w:val="20"/>
                <w:lang w:val="en-US"/>
              </w:rPr>
              <w:t>1</w:t>
            </w:r>
          </w:p>
        </w:tc>
        <w:tc>
          <w:tcPr>
            <w:tcW w:w="1594" w:type="dxa"/>
            <w:vAlign w:val="center"/>
          </w:tcPr>
          <w:p w14:paraId="6E3FB1A1" w14:textId="77777777" w:rsidR="00F637D3" w:rsidRDefault="00F637D3" w:rsidP="00D53880">
            <w:pPr>
              <w:jc w:val="both"/>
              <w:rPr>
                <w:rFonts w:ascii="Garamond" w:hAnsi="Garamond"/>
                <w:sz w:val="20"/>
                <w:szCs w:val="20"/>
                <w:lang w:val="en-US"/>
              </w:rPr>
            </w:pPr>
            <w:r>
              <w:rPr>
                <w:rFonts w:ascii="Garamond" w:hAnsi="Garamond"/>
                <w:sz w:val="20"/>
                <w:szCs w:val="20"/>
                <w:lang w:val="en-US"/>
              </w:rPr>
              <w:t>0.10 (0.00–0.54)</w:t>
            </w:r>
          </w:p>
        </w:tc>
        <w:tc>
          <w:tcPr>
            <w:tcW w:w="411" w:type="dxa"/>
            <w:vAlign w:val="center"/>
          </w:tcPr>
          <w:p w14:paraId="1C8E6EF8" w14:textId="7777777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1F43CEC7" w14:textId="7187A2C5" w:rsidR="00F637D3" w:rsidRDefault="00F637D3" w:rsidP="00D53880">
            <w:pPr>
              <w:jc w:val="both"/>
              <w:rPr>
                <w:rFonts w:ascii="Garamond" w:hAnsi="Garamond"/>
                <w:sz w:val="20"/>
                <w:szCs w:val="20"/>
                <w:lang w:val="en-US"/>
              </w:rPr>
            </w:pPr>
            <w:r>
              <w:rPr>
                <w:rFonts w:ascii="Garamond" w:hAnsi="Garamond"/>
                <w:sz w:val="20"/>
                <w:szCs w:val="20"/>
                <w:lang w:val="en-US"/>
              </w:rPr>
              <w:t>0</w:t>
            </w:r>
          </w:p>
        </w:tc>
      </w:tr>
      <w:tr w:rsidR="00F637D3" w14:paraId="4122677A" w14:textId="77777777" w:rsidTr="00206709">
        <w:tc>
          <w:tcPr>
            <w:tcW w:w="972" w:type="dxa"/>
            <w:vMerge/>
            <w:vAlign w:val="center"/>
          </w:tcPr>
          <w:p w14:paraId="179BFB82" w14:textId="77777777" w:rsidR="00F637D3" w:rsidRDefault="00F637D3" w:rsidP="00D53880">
            <w:pPr>
              <w:jc w:val="both"/>
              <w:rPr>
                <w:rFonts w:ascii="Garamond" w:hAnsi="Garamond"/>
                <w:sz w:val="20"/>
                <w:szCs w:val="20"/>
                <w:lang w:val="en-US"/>
              </w:rPr>
            </w:pPr>
          </w:p>
        </w:tc>
        <w:tc>
          <w:tcPr>
            <w:tcW w:w="2725" w:type="dxa"/>
            <w:vAlign w:val="center"/>
          </w:tcPr>
          <w:p w14:paraId="560C6079" w14:textId="77777777" w:rsidR="00F637D3" w:rsidRDefault="00F637D3" w:rsidP="00D53880">
            <w:pPr>
              <w:jc w:val="both"/>
              <w:rPr>
                <w:rFonts w:ascii="Garamond" w:hAnsi="Garamond"/>
                <w:sz w:val="20"/>
                <w:szCs w:val="20"/>
                <w:lang w:val="en-US"/>
              </w:rPr>
            </w:pPr>
            <w:r>
              <w:rPr>
                <w:rFonts w:ascii="Garamond" w:hAnsi="Garamond"/>
                <w:sz w:val="20"/>
                <w:szCs w:val="20"/>
                <w:lang w:val="en-US"/>
              </w:rPr>
              <w:t>Swelling</w:t>
            </w:r>
          </w:p>
        </w:tc>
        <w:tc>
          <w:tcPr>
            <w:tcW w:w="440" w:type="dxa"/>
            <w:vAlign w:val="center"/>
          </w:tcPr>
          <w:p w14:paraId="33DDEF47" w14:textId="127860BE" w:rsidR="00F637D3" w:rsidRDefault="00F637D3" w:rsidP="00D53880">
            <w:pPr>
              <w:jc w:val="both"/>
              <w:rPr>
                <w:rFonts w:ascii="Garamond" w:hAnsi="Garamond"/>
                <w:sz w:val="20"/>
                <w:szCs w:val="20"/>
                <w:lang w:val="en-US"/>
              </w:rPr>
            </w:pPr>
            <w:r>
              <w:rPr>
                <w:rFonts w:ascii="Garamond" w:hAnsi="Garamond"/>
                <w:sz w:val="20"/>
                <w:szCs w:val="20"/>
                <w:lang w:val="en-US"/>
              </w:rPr>
              <w:t>3</w:t>
            </w:r>
          </w:p>
        </w:tc>
        <w:tc>
          <w:tcPr>
            <w:tcW w:w="1594" w:type="dxa"/>
            <w:vAlign w:val="center"/>
          </w:tcPr>
          <w:p w14:paraId="64315128" w14:textId="53A90FCE" w:rsidR="00F637D3" w:rsidRDefault="00F637D3" w:rsidP="00D53880">
            <w:pPr>
              <w:jc w:val="both"/>
              <w:rPr>
                <w:rFonts w:ascii="Garamond" w:hAnsi="Garamond"/>
                <w:sz w:val="20"/>
                <w:szCs w:val="20"/>
                <w:lang w:val="en-US"/>
              </w:rPr>
            </w:pPr>
            <w:r>
              <w:rPr>
                <w:rFonts w:ascii="Garamond" w:hAnsi="Garamond"/>
                <w:sz w:val="20"/>
                <w:szCs w:val="20"/>
                <w:lang w:val="en-US"/>
              </w:rPr>
              <w:t>0.29 (0.06–0.84)</w:t>
            </w:r>
          </w:p>
        </w:tc>
        <w:tc>
          <w:tcPr>
            <w:tcW w:w="411" w:type="dxa"/>
            <w:vAlign w:val="center"/>
          </w:tcPr>
          <w:p w14:paraId="5303479E" w14:textId="77777777" w:rsidR="00F637D3" w:rsidRDefault="00F637D3" w:rsidP="00D53880">
            <w:pPr>
              <w:jc w:val="both"/>
              <w:rPr>
                <w:rFonts w:ascii="Garamond" w:hAnsi="Garamond"/>
                <w:sz w:val="20"/>
                <w:szCs w:val="20"/>
                <w:lang w:val="en-US"/>
              </w:rPr>
            </w:pPr>
            <w:r>
              <w:rPr>
                <w:rFonts w:ascii="Garamond" w:hAnsi="Garamond"/>
                <w:sz w:val="20"/>
                <w:szCs w:val="20"/>
                <w:lang w:val="en-US"/>
              </w:rPr>
              <w:t>1</w:t>
            </w:r>
          </w:p>
        </w:tc>
        <w:tc>
          <w:tcPr>
            <w:tcW w:w="1594" w:type="dxa"/>
            <w:vAlign w:val="center"/>
          </w:tcPr>
          <w:p w14:paraId="3FDF5B4E" w14:textId="77777777" w:rsidR="00F637D3" w:rsidRDefault="00F637D3" w:rsidP="00D53880">
            <w:pPr>
              <w:jc w:val="both"/>
              <w:rPr>
                <w:rFonts w:ascii="Garamond" w:hAnsi="Garamond"/>
                <w:sz w:val="20"/>
                <w:szCs w:val="20"/>
                <w:lang w:val="en-US"/>
              </w:rPr>
            </w:pPr>
            <w:r>
              <w:rPr>
                <w:rFonts w:ascii="Garamond" w:hAnsi="Garamond"/>
                <w:sz w:val="20"/>
                <w:szCs w:val="20"/>
                <w:lang w:val="en-US"/>
              </w:rPr>
              <w:t>0.10 (0.00–0.54)</w:t>
            </w:r>
          </w:p>
        </w:tc>
        <w:tc>
          <w:tcPr>
            <w:tcW w:w="411" w:type="dxa"/>
            <w:vAlign w:val="center"/>
          </w:tcPr>
          <w:p w14:paraId="76BE902E" w14:textId="77777777" w:rsidR="00F637D3" w:rsidRDefault="00F637D3" w:rsidP="00D53880">
            <w:pPr>
              <w:jc w:val="both"/>
              <w:rPr>
                <w:rFonts w:ascii="Garamond" w:hAnsi="Garamond"/>
                <w:sz w:val="20"/>
                <w:szCs w:val="20"/>
                <w:lang w:val="en-US"/>
              </w:rPr>
            </w:pPr>
            <w:r>
              <w:rPr>
                <w:rFonts w:ascii="Garamond" w:hAnsi="Garamond"/>
                <w:sz w:val="20"/>
                <w:szCs w:val="20"/>
                <w:lang w:val="en-US"/>
              </w:rPr>
              <w:t>1</w:t>
            </w:r>
          </w:p>
        </w:tc>
        <w:tc>
          <w:tcPr>
            <w:tcW w:w="1594" w:type="dxa"/>
            <w:vAlign w:val="center"/>
          </w:tcPr>
          <w:p w14:paraId="07AE348B" w14:textId="77777777" w:rsidR="00F637D3" w:rsidRDefault="00F637D3" w:rsidP="00D53880">
            <w:pPr>
              <w:jc w:val="both"/>
              <w:rPr>
                <w:rFonts w:ascii="Garamond" w:hAnsi="Garamond"/>
                <w:sz w:val="20"/>
                <w:szCs w:val="20"/>
                <w:lang w:val="en-US"/>
              </w:rPr>
            </w:pPr>
            <w:r>
              <w:rPr>
                <w:rFonts w:ascii="Garamond" w:hAnsi="Garamond"/>
                <w:sz w:val="20"/>
                <w:szCs w:val="20"/>
                <w:lang w:val="en-US"/>
              </w:rPr>
              <w:t>0.10 (0.00–0.56)</w:t>
            </w:r>
          </w:p>
        </w:tc>
      </w:tr>
      <w:tr w:rsidR="00F637D3" w14:paraId="1A909924" w14:textId="77777777" w:rsidTr="00206709">
        <w:tc>
          <w:tcPr>
            <w:tcW w:w="972" w:type="dxa"/>
            <w:vMerge w:val="restart"/>
            <w:vAlign w:val="center"/>
          </w:tcPr>
          <w:p w14:paraId="5FE888E3" w14:textId="77777777" w:rsidR="00F637D3" w:rsidRDefault="00F637D3" w:rsidP="00D53880">
            <w:pPr>
              <w:jc w:val="both"/>
              <w:rPr>
                <w:rFonts w:ascii="Garamond" w:hAnsi="Garamond"/>
                <w:sz w:val="20"/>
                <w:szCs w:val="20"/>
                <w:lang w:val="en-US"/>
              </w:rPr>
            </w:pPr>
            <w:r>
              <w:rPr>
                <w:rFonts w:ascii="Garamond" w:hAnsi="Garamond"/>
                <w:sz w:val="20"/>
                <w:szCs w:val="20"/>
                <w:lang w:val="en-US"/>
              </w:rPr>
              <w:t xml:space="preserve">Allergic </w:t>
            </w:r>
          </w:p>
        </w:tc>
        <w:tc>
          <w:tcPr>
            <w:tcW w:w="2725" w:type="dxa"/>
            <w:vAlign w:val="center"/>
          </w:tcPr>
          <w:p w14:paraId="76D856EF" w14:textId="77777777" w:rsidR="00F637D3" w:rsidRDefault="00F637D3" w:rsidP="00D53880">
            <w:pPr>
              <w:jc w:val="both"/>
              <w:rPr>
                <w:rFonts w:ascii="Garamond" w:hAnsi="Garamond"/>
                <w:sz w:val="20"/>
                <w:szCs w:val="20"/>
                <w:lang w:val="en-US"/>
              </w:rPr>
            </w:pPr>
            <w:r>
              <w:rPr>
                <w:rFonts w:ascii="Garamond" w:hAnsi="Garamond"/>
                <w:sz w:val="20"/>
                <w:szCs w:val="20"/>
                <w:lang w:val="en-US"/>
              </w:rPr>
              <w:t>Hypersensitivity</w:t>
            </w:r>
          </w:p>
        </w:tc>
        <w:tc>
          <w:tcPr>
            <w:tcW w:w="440" w:type="dxa"/>
            <w:vAlign w:val="center"/>
          </w:tcPr>
          <w:p w14:paraId="648C134C" w14:textId="2F240874"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6CCD29D7" w14:textId="74ACAB68"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15CB1824" w14:textId="77777777" w:rsidR="00F637D3" w:rsidRPr="00630319" w:rsidRDefault="00F637D3" w:rsidP="00D53880">
            <w:pPr>
              <w:jc w:val="both"/>
              <w:rPr>
                <w:rFonts w:ascii="Garamond" w:hAnsi="Garamond"/>
                <w:i/>
                <w:sz w:val="20"/>
                <w:szCs w:val="20"/>
                <w:lang w:val="en-US"/>
              </w:rPr>
            </w:pPr>
            <w:r w:rsidRPr="00630319">
              <w:rPr>
                <w:rFonts w:ascii="Garamond" w:hAnsi="Garamond"/>
                <w:i/>
                <w:sz w:val="20"/>
                <w:szCs w:val="20"/>
                <w:lang w:val="en-US"/>
              </w:rPr>
              <w:t>1</w:t>
            </w:r>
            <w:r w:rsidRPr="00630319">
              <w:rPr>
                <w:rFonts w:ascii="Garamond" w:hAnsi="Garamond"/>
                <w:i/>
                <w:sz w:val="20"/>
                <w:szCs w:val="20"/>
                <w:vertAlign w:val="superscript"/>
                <w:lang w:val="en-US"/>
              </w:rPr>
              <w:t>a</w:t>
            </w:r>
          </w:p>
        </w:tc>
        <w:tc>
          <w:tcPr>
            <w:tcW w:w="1594" w:type="dxa"/>
            <w:vAlign w:val="center"/>
          </w:tcPr>
          <w:p w14:paraId="2B69DA72" w14:textId="77777777" w:rsidR="00F637D3" w:rsidRPr="00630319" w:rsidRDefault="00F637D3" w:rsidP="00D53880">
            <w:pPr>
              <w:jc w:val="both"/>
              <w:rPr>
                <w:rFonts w:ascii="Garamond" w:hAnsi="Garamond"/>
                <w:i/>
                <w:sz w:val="20"/>
                <w:szCs w:val="20"/>
                <w:lang w:val="en-US"/>
              </w:rPr>
            </w:pPr>
            <w:r w:rsidRPr="00630319">
              <w:rPr>
                <w:rFonts w:ascii="Garamond" w:hAnsi="Garamond"/>
                <w:i/>
                <w:sz w:val="20"/>
                <w:szCs w:val="20"/>
                <w:lang w:val="en-US"/>
              </w:rPr>
              <w:t>0.10 (0.00–0.54)</w:t>
            </w:r>
          </w:p>
        </w:tc>
        <w:tc>
          <w:tcPr>
            <w:tcW w:w="411" w:type="dxa"/>
            <w:vAlign w:val="center"/>
          </w:tcPr>
          <w:p w14:paraId="16EE1831" w14:textId="7777777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4722BBEF" w14:textId="5A644E12" w:rsidR="00F637D3" w:rsidRDefault="00F637D3" w:rsidP="00D53880">
            <w:pPr>
              <w:jc w:val="both"/>
              <w:rPr>
                <w:rFonts w:ascii="Garamond" w:hAnsi="Garamond"/>
                <w:sz w:val="20"/>
                <w:szCs w:val="20"/>
                <w:lang w:val="en-US"/>
              </w:rPr>
            </w:pPr>
            <w:r>
              <w:rPr>
                <w:rFonts w:ascii="Garamond" w:hAnsi="Garamond"/>
                <w:sz w:val="20"/>
                <w:szCs w:val="20"/>
                <w:lang w:val="en-US"/>
              </w:rPr>
              <w:t>0</w:t>
            </w:r>
          </w:p>
        </w:tc>
      </w:tr>
      <w:tr w:rsidR="00F637D3" w14:paraId="3AC1B55B" w14:textId="77777777" w:rsidTr="00206709">
        <w:tc>
          <w:tcPr>
            <w:tcW w:w="972" w:type="dxa"/>
            <w:vMerge/>
            <w:vAlign w:val="center"/>
          </w:tcPr>
          <w:p w14:paraId="384FC156" w14:textId="77777777" w:rsidR="00F637D3" w:rsidRDefault="00F637D3" w:rsidP="00D53880">
            <w:pPr>
              <w:jc w:val="both"/>
              <w:rPr>
                <w:rFonts w:ascii="Garamond" w:hAnsi="Garamond"/>
                <w:sz w:val="20"/>
                <w:szCs w:val="20"/>
                <w:lang w:val="en-US"/>
              </w:rPr>
            </w:pPr>
          </w:p>
        </w:tc>
        <w:tc>
          <w:tcPr>
            <w:tcW w:w="2725" w:type="dxa"/>
            <w:vAlign w:val="center"/>
          </w:tcPr>
          <w:p w14:paraId="66B8D01D" w14:textId="77777777" w:rsidR="00F637D3" w:rsidRDefault="00F637D3" w:rsidP="00D53880">
            <w:pPr>
              <w:jc w:val="both"/>
              <w:rPr>
                <w:rFonts w:ascii="Garamond" w:hAnsi="Garamond"/>
                <w:sz w:val="20"/>
                <w:szCs w:val="20"/>
                <w:lang w:val="en-US"/>
              </w:rPr>
            </w:pPr>
            <w:r>
              <w:rPr>
                <w:rFonts w:ascii="Garamond" w:hAnsi="Garamond"/>
                <w:sz w:val="20"/>
                <w:szCs w:val="20"/>
                <w:lang w:val="en-US"/>
              </w:rPr>
              <w:t>Swollen face</w:t>
            </w:r>
          </w:p>
        </w:tc>
        <w:tc>
          <w:tcPr>
            <w:tcW w:w="440" w:type="dxa"/>
            <w:vAlign w:val="center"/>
          </w:tcPr>
          <w:p w14:paraId="5B14DA80" w14:textId="14652329"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4A0F44E7" w14:textId="54CEBAE4"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46D33B0B" w14:textId="77777777" w:rsidR="00F637D3" w:rsidRPr="00630319" w:rsidRDefault="00F637D3" w:rsidP="00D53880">
            <w:pPr>
              <w:jc w:val="both"/>
              <w:rPr>
                <w:rFonts w:ascii="Garamond" w:hAnsi="Garamond"/>
                <w:i/>
                <w:sz w:val="20"/>
                <w:szCs w:val="20"/>
                <w:lang w:val="en-US"/>
              </w:rPr>
            </w:pPr>
            <w:r w:rsidRPr="00630319">
              <w:rPr>
                <w:rFonts w:ascii="Garamond" w:hAnsi="Garamond"/>
                <w:i/>
                <w:sz w:val="20"/>
                <w:szCs w:val="20"/>
                <w:lang w:val="en-US"/>
              </w:rPr>
              <w:t>1</w:t>
            </w:r>
            <w:r w:rsidRPr="00630319">
              <w:rPr>
                <w:rFonts w:ascii="Garamond" w:hAnsi="Garamond"/>
                <w:i/>
                <w:sz w:val="20"/>
                <w:szCs w:val="20"/>
                <w:vertAlign w:val="superscript"/>
                <w:lang w:val="en-US"/>
              </w:rPr>
              <w:t>a</w:t>
            </w:r>
          </w:p>
        </w:tc>
        <w:tc>
          <w:tcPr>
            <w:tcW w:w="1594" w:type="dxa"/>
            <w:vAlign w:val="center"/>
          </w:tcPr>
          <w:p w14:paraId="308CE8C4" w14:textId="77777777" w:rsidR="00F637D3" w:rsidRPr="00630319" w:rsidRDefault="00F637D3" w:rsidP="00D53880">
            <w:pPr>
              <w:jc w:val="both"/>
              <w:rPr>
                <w:rFonts w:ascii="Garamond" w:hAnsi="Garamond"/>
                <w:i/>
                <w:sz w:val="20"/>
                <w:szCs w:val="20"/>
                <w:lang w:val="en-US"/>
              </w:rPr>
            </w:pPr>
            <w:r w:rsidRPr="00630319">
              <w:rPr>
                <w:rFonts w:ascii="Garamond" w:hAnsi="Garamond"/>
                <w:i/>
                <w:sz w:val="20"/>
                <w:szCs w:val="20"/>
                <w:lang w:val="en-US"/>
              </w:rPr>
              <w:t>0.10 (0.00–0.54)</w:t>
            </w:r>
          </w:p>
        </w:tc>
        <w:tc>
          <w:tcPr>
            <w:tcW w:w="411" w:type="dxa"/>
            <w:vAlign w:val="center"/>
          </w:tcPr>
          <w:p w14:paraId="28CA83E4" w14:textId="7777777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7C328FC0" w14:textId="7B166469" w:rsidR="00F637D3" w:rsidRDefault="00F637D3" w:rsidP="00D53880">
            <w:pPr>
              <w:jc w:val="both"/>
              <w:rPr>
                <w:rFonts w:ascii="Garamond" w:hAnsi="Garamond"/>
                <w:sz w:val="20"/>
                <w:szCs w:val="20"/>
                <w:lang w:val="en-US"/>
              </w:rPr>
            </w:pPr>
            <w:r>
              <w:rPr>
                <w:rFonts w:ascii="Garamond" w:hAnsi="Garamond"/>
                <w:sz w:val="20"/>
                <w:szCs w:val="20"/>
                <w:lang w:val="en-US"/>
              </w:rPr>
              <w:t>0</w:t>
            </w:r>
          </w:p>
        </w:tc>
      </w:tr>
      <w:tr w:rsidR="00F637D3" w14:paraId="412912CB" w14:textId="77777777" w:rsidTr="00206709">
        <w:tc>
          <w:tcPr>
            <w:tcW w:w="972" w:type="dxa"/>
            <w:vMerge/>
            <w:vAlign w:val="center"/>
          </w:tcPr>
          <w:p w14:paraId="34574099" w14:textId="77777777" w:rsidR="00F637D3" w:rsidRDefault="00F637D3" w:rsidP="00D53880">
            <w:pPr>
              <w:jc w:val="both"/>
              <w:rPr>
                <w:rFonts w:ascii="Garamond" w:hAnsi="Garamond"/>
                <w:sz w:val="20"/>
                <w:szCs w:val="20"/>
                <w:lang w:val="en-US"/>
              </w:rPr>
            </w:pPr>
          </w:p>
        </w:tc>
        <w:tc>
          <w:tcPr>
            <w:tcW w:w="2725" w:type="dxa"/>
            <w:vAlign w:val="center"/>
          </w:tcPr>
          <w:p w14:paraId="1255ED93" w14:textId="77777777" w:rsidR="00F637D3" w:rsidRDefault="00F637D3" w:rsidP="00D53880">
            <w:pPr>
              <w:jc w:val="both"/>
              <w:rPr>
                <w:rFonts w:ascii="Garamond" w:hAnsi="Garamond"/>
                <w:sz w:val="20"/>
                <w:szCs w:val="20"/>
                <w:lang w:val="en-US"/>
              </w:rPr>
            </w:pPr>
            <w:r>
              <w:rPr>
                <w:rFonts w:ascii="Garamond" w:hAnsi="Garamond"/>
                <w:sz w:val="20"/>
                <w:szCs w:val="20"/>
                <w:lang w:val="en-US"/>
              </w:rPr>
              <w:t>Lip swelling</w:t>
            </w:r>
          </w:p>
        </w:tc>
        <w:tc>
          <w:tcPr>
            <w:tcW w:w="440" w:type="dxa"/>
            <w:vAlign w:val="center"/>
          </w:tcPr>
          <w:p w14:paraId="0587D887" w14:textId="07028748"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478A6864" w14:textId="7A6BE89D"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23D3AAC2" w14:textId="77777777" w:rsidR="00F637D3" w:rsidRPr="00630319" w:rsidRDefault="00F637D3" w:rsidP="00D53880">
            <w:pPr>
              <w:jc w:val="both"/>
              <w:rPr>
                <w:rFonts w:ascii="Garamond" w:hAnsi="Garamond"/>
                <w:i/>
                <w:sz w:val="20"/>
                <w:szCs w:val="20"/>
                <w:lang w:val="en-US"/>
              </w:rPr>
            </w:pPr>
            <w:r w:rsidRPr="00630319">
              <w:rPr>
                <w:rFonts w:ascii="Garamond" w:hAnsi="Garamond"/>
                <w:i/>
                <w:sz w:val="20"/>
                <w:szCs w:val="20"/>
                <w:lang w:val="en-US"/>
              </w:rPr>
              <w:t>1</w:t>
            </w:r>
            <w:r w:rsidRPr="00630319">
              <w:rPr>
                <w:rFonts w:ascii="Garamond" w:hAnsi="Garamond"/>
                <w:i/>
                <w:sz w:val="20"/>
                <w:szCs w:val="20"/>
                <w:vertAlign w:val="superscript"/>
                <w:lang w:val="en-US"/>
              </w:rPr>
              <w:t>a</w:t>
            </w:r>
          </w:p>
        </w:tc>
        <w:tc>
          <w:tcPr>
            <w:tcW w:w="1594" w:type="dxa"/>
            <w:vAlign w:val="center"/>
          </w:tcPr>
          <w:p w14:paraId="0A4A9392" w14:textId="77777777" w:rsidR="00F637D3" w:rsidRPr="00630319" w:rsidRDefault="00F637D3" w:rsidP="00D53880">
            <w:pPr>
              <w:jc w:val="both"/>
              <w:rPr>
                <w:rFonts w:ascii="Garamond" w:hAnsi="Garamond"/>
                <w:i/>
                <w:sz w:val="20"/>
                <w:szCs w:val="20"/>
                <w:lang w:val="en-US"/>
              </w:rPr>
            </w:pPr>
            <w:r w:rsidRPr="00630319">
              <w:rPr>
                <w:rFonts w:ascii="Garamond" w:hAnsi="Garamond"/>
                <w:i/>
                <w:sz w:val="20"/>
                <w:szCs w:val="20"/>
                <w:lang w:val="en-US"/>
              </w:rPr>
              <w:t>0.10 (0.00–0.54)</w:t>
            </w:r>
          </w:p>
        </w:tc>
        <w:tc>
          <w:tcPr>
            <w:tcW w:w="411" w:type="dxa"/>
            <w:vAlign w:val="center"/>
          </w:tcPr>
          <w:p w14:paraId="6A0BF944" w14:textId="7777777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68668C81" w14:textId="7F28EB87" w:rsidR="00F637D3" w:rsidRDefault="00F637D3" w:rsidP="00D53880">
            <w:pPr>
              <w:jc w:val="both"/>
              <w:rPr>
                <w:rFonts w:ascii="Garamond" w:hAnsi="Garamond"/>
                <w:sz w:val="20"/>
                <w:szCs w:val="20"/>
                <w:lang w:val="en-US"/>
              </w:rPr>
            </w:pPr>
            <w:r>
              <w:rPr>
                <w:rFonts w:ascii="Garamond" w:hAnsi="Garamond"/>
                <w:sz w:val="20"/>
                <w:szCs w:val="20"/>
                <w:lang w:val="en-US"/>
              </w:rPr>
              <w:t>0</w:t>
            </w:r>
          </w:p>
        </w:tc>
      </w:tr>
      <w:tr w:rsidR="00F637D3" w14:paraId="0EF9B1EA" w14:textId="77777777" w:rsidTr="00206709">
        <w:tc>
          <w:tcPr>
            <w:tcW w:w="972" w:type="dxa"/>
            <w:vMerge/>
            <w:vAlign w:val="center"/>
          </w:tcPr>
          <w:p w14:paraId="5FC2DF18" w14:textId="77777777" w:rsidR="00F637D3" w:rsidRDefault="00F637D3" w:rsidP="00D53880">
            <w:pPr>
              <w:jc w:val="both"/>
              <w:rPr>
                <w:rFonts w:ascii="Garamond" w:hAnsi="Garamond"/>
                <w:sz w:val="20"/>
                <w:szCs w:val="20"/>
                <w:lang w:val="en-US"/>
              </w:rPr>
            </w:pPr>
          </w:p>
        </w:tc>
        <w:tc>
          <w:tcPr>
            <w:tcW w:w="2725" w:type="dxa"/>
            <w:vAlign w:val="center"/>
          </w:tcPr>
          <w:p w14:paraId="51F58465" w14:textId="77777777" w:rsidR="00F637D3" w:rsidRDefault="00F637D3" w:rsidP="00D53880">
            <w:pPr>
              <w:jc w:val="both"/>
              <w:rPr>
                <w:rFonts w:ascii="Garamond" w:hAnsi="Garamond"/>
                <w:sz w:val="20"/>
                <w:szCs w:val="20"/>
                <w:lang w:val="en-US"/>
              </w:rPr>
            </w:pPr>
            <w:r>
              <w:rPr>
                <w:rFonts w:ascii="Garamond" w:hAnsi="Garamond"/>
                <w:sz w:val="20"/>
                <w:szCs w:val="20"/>
                <w:lang w:val="en-US"/>
              </w:rPr>
              <w:t>Swollen tongue</w:t>
            </w:r>
          </w:p>
        </w:tc>
        <w:tc>
          <w:tcPr>
            <w:tcW w:w="440" w:type="dxa"/>
            <w:vAlign w:val="center"/>
          </w:tcPr>
          <w:p w14:paraId="52E4E704" w14:textId="070C8F28"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327F5381" w14:textId="5AF0856B"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59B3478A" w14:textId="77777777" w:rsidR="00F637D3" w:rsidRPr="00630319" w:rsidRDefault="00F637D3" w:rsidP="00D53880">
            <w:pPr>
              <w:jc w:val="both"/>
              <w:rPr>
                <w:rFonts w:ascii="Garamond" w:hAnsi="Garamond"/>
                <w:i/>
                <w:sz w:val="20"/>
                <w:szCs w:val="20"/>
                <w:lang w:val="en-US"/>
              </w:rPr>
            </w:pPr>
            <w:r w:rsidRPr="00630319">
              <w:rPr>
                <w:rFonts w:ascii="Garamond" w:hAnsi="Garamond"/>
                <w:i/>
                <w:sz w:val="20"/>
                <w:szCs w:val="20"/>
                <w:lang w:val="en-US"/>
              </w:rPr>
              <w:t>1</w:t>
            </w:r>
            <w:r w:rsidRPr="00630319">
              <w:rPr>
                <w:rFonts w:ascii="Garamond" w:hAnsi="Garamond"/>
                <w:i/>
                <w:sz w:val="20"/>
                <w:szCs w:val="20"/>
                <w:vertAlign w:val="superscript"/>
                <w:lang w:val="en-US"/>
              </w:rPr>
              <w:t>a</w:t>
            </w:r>
          </w:p>
        </w:tc>
        <w:tc>
          <w:tcPr>
            <w:tcW w:w="1594" w:type="dxa"/>
            <w:vAlign w:val="center"/>
          </w:tcPr>
          <w:p w14:paraId="4DCC6481" w14:textId="77777777" w:rsidR="00F637D3" w:rsidRPr="00630319" w:rsidRDefault="00F637D3" w:rsidP="00D53880">
            <w:pPr>
              <w:jc w:val="both"/>
              <w:rPr>
                <w:rFonts w:ascii="Garamond" w:hAnsi="Garamond"/>
                <w:i/>
                <w:sz w:val="20"/>
                <w:szCs w:val="20"/>
                <w:lang w:val="en-US"/>
              </w:rPr>
            </w:pPr>
            <w:r w:rsidRPr="00630319">
              <w:rPr>
                <w:rFonts w:ascii="Garamond" w:hAnsi="Garamond"/>
                <w:i/>
                <w:sz w:val="20"/>
                <w:szCs w:val="20"/>
                <w:lang w:val="en-US"/>
              </w:rPr>
              <w:t>0.10 (0.00–0.54)</w:t>
            </w:r>
          </w:p>
        </w:tc>
        <w:tc>
          <w:tcPr>
            <w:tcW w:w="411" w:type="dxa"/>
            <w:vAlign w:val="center"/>
          </w:tcPr>
          <w:p w14:paraId="35388DDE" w14:textId="7777777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55A751CB" w14:textId="47BDC6DF" w:rsidR="00F637D3" w:rsidRDefault="00F637D3" w:rsidP="00D53880">
            <w:pPr>
              <w:jc w:val="both"/>
              <w:rPr>
                <w:rFonts w:ascii="Garamond" w:hAnsi="Garamond"/>
                <w:sz w:val="20"/>
                <w:szCs w:val="20"/>
                <w:lang w:val="en-US"/>
              </w:rPr>
            </w:pPr>
            <w:r>
              <w:rPr>
                <w:rFonts w:ascii="Garamond" w:hAnsi="Garamond"/>
                <w:sz w:val="20"/>
                <w:szCs w:val="20"/>
                <w:lang w:val="en-US"/>
              </w:rPr>
              <w:t>0</w:t>
            </w:r>
          </w:p>
        </w:tc>
      </w:tr>
      <w:tr w:rsidR="00F637D3" w14:paraId="004E4784" w14:textId="77777777" w:rsidTr="00206709">
        <w:tc>
          <w:tcPr>
            <w:tcW w:w="972" w:type="dxa"/>
            <w:vMerge/>
            <w:vAlign w:val="center"/>
          </w:tcPr>
          <w:p w14:paraId="1C2B1755" w14:textId="77777777" w:rsidR="00F637D3" w:rsidRDefault="00F637D3" w:rsidP="00D53880">
            <w:pPr>
              <w:jc w:val="both"/>
              <w:rPr>
                <w:rFonts w:ascii="Garamond" w:hAnsi="Garamond"/>
                <w:sz w:val="20"/>
                <w:szCs w:val="20"/>
                <w:lang w:val="en-US"/>
              </w:rPr>
            </w:pPr>
          </w:p>
        </w:tc>
        <w:tc>
          <w:tcPr>
            <w:tcW w:w="2725" w:type="dxa"/>
            <w:vAlign w:val="center"/>
          </w:tcPr>
          <w:p w14:paraId="3C2AC9A2" w14:textId="77777777" w:rsidR="00F637D3" w:rsidRDefault="00F637D3" w:rsidP="00D53880">
            <w:pPr>
              <w:jc w:val="both"/>
              <w:rPr>
                <w:rFonts w:ascii="Garamond" w:hAnsi="Garamond"/>
                <w:sz w:val="20"/>
                <w:szCs w:val="20"/>
                <w:lang w:val="en-US"/>
              </w:rPr>
            </w:pPr>
            <w:r>
              <w:rPr>
                <w:rFonts w:ascii="Garamond" w:hAnsi="Garamond"/>
                <w:sz w:val="20"/>
                <w:szCs w:val="20"/>
                <w:lang w:val="en-US"/>
              </w:rPr>
              <w:t>Dry mouth</w:t>
            </w:r>
          </w:p>
        </w:tc>
        <w:tc>
          <w:tcPr>
            <w:tcW w:w="440" w:type="dxa"/>
            <w:vAlign w:val="center"/>
          </w:tcPr>
          <w:p w14:paraId="508616B4" w14:textId="07DC954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4321E2D7" w14:textId="1FA24105"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060817B8" w14:textId="77777777" w:rsidR="00F637D3" w:rsidRDefault="00F637D3" w:rsidP="00D53880">
            <w:pPr>
              <w:jc w:val="both"/>
              <w:rPr>
                <w:rFonts w:ascii="Garamond" w:hAnsi="Garamond"/>
                <w:sz w:val="20"/>
                <w:szCs w:val="20"/>
                <w:lang w:val="en-US"/>
              </w:rPr>
            </w:pPr>
            <w:r>
              <w:rPr>
                <w:rFonts w:ascii="Garamond" w:hAnsi="Garamond"/>
                <w:sz w:val="20"/>
                <w:szCs w:val="20"/>
                <w:lang w:val="en-US"/>
              </w:rPr>
              <w:t>1</w:t>
            </w:r>
            <w:r>
              <w:rPr>
                <w:rFonts w:ascii="Garamond" w:hAnsi="Garamond"/>
                <w:sz w:val="20"/>
                <w:szCs w:val="20"/>
                <w:vertAlign w:val="superscript"/>
                <w:lang w:val="en-US"/>
              </w:rPr>
              <w:t>b</w:t>
            </w:r>
          </w:p>
        </w:tc>
        <w:tc>
          <w:tcPr>
            <w:tcW w:w="1594" w:type="dxa"/>
            <w:vAlign w:val="center"/>
          </w:tcPr>
          <w:p w14:paraId="7F829780" w14:textId="77777777" w:rsidR="00F637D3" w:rsidRDefault="00F637D3" w:rsidP="00D53880">
            <w:pPr>
              <w:jc w:val="both"/>
              <w:rPr>
                <w:rFonts w:ascii="Garamond" w:hAnsi="Garamond"/>
                <w:sz w:val="20"/>
                <w:szCs w:val="20"/>
                <w:lang w:val="en-US"/>
              </w:rPr>
            </w:pPr>
            <w:r>
              <w:rPr>
                <w:rFonts w:ascii="Garamond" w:hAnsi="Garamond"/>
                <w:sz w:val="20"/>
                <w:szCs w:val="20"/>
                <w:lang w:val="en-US"/>
              </w:rPr>
              <w:t>0.10 (0.00–0.54)</w:t>
            </w:r>
          </w:p>
        </w:tc>
        <w:tc>
          <w:tcPr>
            <w:tcW w:w="411" w:type="dxa"/>
            <w:vAlign w:val="center"/>
          </w:tcPr>
          <w:p w14:paraId="4FFB0967" w14:textId="7777777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6CA490A7" w14:textId="0170D050" w:rsidR="00F637D3" w:rsidRDefault="00F637D3" w:rsidP="00D53880">
            <w:pPr>
              <w:jc w:val="both"/>
              <w:rPr>
                <w:rFonts w:ascii="Garamond" w:hAnsi="Garamond"/>
                <w:sz w:val="20"/>
                <w:szCs w:val="20"/>
                <w:lang w:val="en-US"/>
              </w:rPr>
            </w:pPr>
            <w:r>
              <w:rPr>
                <w:rFonts w:ascii="Garamond" w:hAnsi="Garamond"/>
                <w:sz w:val="20"/>
                <w:szCs w:val="20"/>
                <w:lang w:val="en-US"/>
              </w:rPr>
              <w:t>0</w:t>
            </w:r>
          </w:p>
        </w:tc>
      </w:tr>
      <w:tr w:rsidR="00F637D3" w14:paraId="2B0F535B" w14:textId="77777777" w:rsidTr="00206709">
        <w:tc>
          <w:tcPr>
            <w:tcW w:w="972" w:type="dxa"/>
            <w:vMerge/>
            <w:vAlign w:val="center"/>
          </w:tcPr>
          <w:p w14:paraId="561A3558" w14:textId="77777777" w:rsidR="00F637D3" w:rsidRDefault="00F637D3" w:rsidP="00D53880">
            <w:pPr>
              <w:jc w:val="both"/>
              <w:rPr>
                <w:rFonts w:ascii="Garamond" w:hAnsi="Garamond"/>
                <w:sz w:val="20"/>
                <w:szCs w:val="20"/>
                <w:lang w:val="en-US"/>
              </w:rPr>
            </w:pPr>
          </w:p>
        </w:tc>
        <w:tc>
          <w:tcPr>
            <w:tcW w:w="2725" w:type="dxa"/>
            <w:vAlign w:val="center"/>
          </w:tcPr>
          <w:p w14:paraId="467D591F" w14:textId="77777777" w:rsidR="00F637D3" w:rsidRDefault="00F637D3" w:rsidP="00D53880">
            <w:pPr>
              <w:jc w:val="both"/>
              <w:rPr>
                <w:rFonts w:ascii="Garamond" w:hAnsi="Garamond"/>
                <w:sz w:val="20"/>
                <w:szCs w:val="20"/>
                <w:lang w:val="en-US"/>
              </w:rPr>
            </w:pPr>
            <w:r>
              <w:rPr>
                <w:rFonts w:ascii="Garamond" w:hAnsi="Garamond"/>
                <w:sz w:val="20"/>
                <w:szCs w:val="20"/>
                <w:lang w:val="en-US"/>
              </w:rPr>
              <w:t>Tongue erythema</w:t>
            </w:r>
          </w:p>
        </w:tc>
        <w:tc>
          <w:tcPr>
            <w:tcW w:w="440" w:type="dxa"/>
            <w:vAlign w:val="center"/>
          </w:tcPr>
          <w:p w14:paraId="51D0CE8E" w14:textId="34576A8F"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529104B0" w14:textId="667947AE"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206DAB62" w14:textId="77777777" w:rsidR="00F637D3" w:rsidRDefault="00F637D3" w:rsidP="00D53880">
            <w:pPr>
              <w:jc w:val="both"/>
              <w:rPr>
                <w:rFonts w:ascii="Garamond" w:hAnsi="Garamond"/>
                <w:sz w:val="20"/>
                <w:szCs w:val="20"/>
                <w:lang w:val="en-US"/>
              </w:rPr>
            </w:pPr>
            <w:r>
              <w:rPr>
                <w:rFonts w:ascii="Garamond" w:hAnsi="Garamond"/>
                <w:sz w:val="20"/>
                <w:szCs w:val="20"/>
                <w:lang w:val="en-US"/>
              </w:rPr>
              <w:t>1</w:t>
            </w:r>
            <w:r>
              <w:rPr>
                <w:rFonts w:ascii="Garamond" w:hAnsi="Garamond"/>
                <w:sz w:val="20"/>
                <w:szCs w:val="20"/>
                <w:vertAlign w:val="superscript"/>
                <w:lang w:val="en-US"/>
              </w:rPr>
              <w:t>b</w:t>
            </w:r>
          </w:p>
        </w:tc>
        <w:tc>
          <w:tcPr>
            <w:tcW w:w="1594" w:type="dxa"/>
            <w:vAlign w:val="center"/>
          </w:tcPr>
          <w:p w14:paraId="2A54811B" w14:textId="77777777" w:rsidR="00F637D3" w:rsidRDefault="00F637D3" w:rsidP="00D53880">
            <w:pPr>
              <w:jc w:val="both"/>
              <w:rPr>
                <w:rFonts w:ascii="Garamond" w:hAnsi="Garamond"/>
                <w:sz w:val="20"/>
                <w:szCs w:val="20"/>
                <w:lang w:val="en-US"/>
              </w:rPr>
            </w:pPr>
            <w:r>
              <w:rPr>
                <w:rFonts w:ascii="Garamond" w:hAnsi="Garamond"/>
                <w:sz w:val="20"/>
                <w:szCs w:val="20"/>
                <w:lang w:val="en-US"/>
              </w:rPr>
              <w:t>0.10 (0.00–0.54)</w:t>
            </w:r>
          </w:p>
        </w:tc>
        <w:tc>
          <w:tcPr>
            <w:tcW w:w="411" w:type="dxa"/>
            <w:vAlign w:val="center"/>
          </w:tcPr>
          <w:p w14:paraId="06E9AC9F" w14:textId="7777777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4D9011FF" w14:textId="3762AB0F" w:rsidR="00F637D3" w:rsidRDefault="00F637D3" w:rsidP="00D53880">
            <w:pPr>
              <w:jc w:val="both"/>
              <w:rPr>
                <w:rFonts w:ascii="Garamond" w:hAnsi="Garamond"/>
                <w:sz w:val="20"/>
                <w:szCs w:val="20"/>
                <w:lang w:val="en-US"/>
              </w:rPr>
            </w:pPr>
            <w:r>
              <w:rPr>
                <w:rFonts w:ascii="Garamond" w:hAnsi="Garamond"/>
                <w:sz w:val="20"/>
                <w:szCs w:val="20"/>
                <w:lang w:val="en-US"/>
              </w:rPr>
              <w:t>0</w:t>
            </w:r>
          </w:p>
        </w:tc>
      </w:tr>
      <w:tr w:rsidR="00F637D3" w14:paraId="11830425" w14:textId="77777777" w:rsidTr="00206709">
        <w:tc>
          <w:tcPr>
            <w:tcW w:w="972" w:type="dxa"/>
            <w:vMerge/>
            <w:vAlign w:val="center"/>
          </w:tcPr>
          <w:p w14:paraId="05FD9D3C" w14:textId="77777777" w:rsidR="00F637D3" w:rsidRDefault="00F637D3" w:rsidP="00D53880">
            <w:pPr>
              <w:jc w:val="both"/>
              <w:rPr>
                <w:rFonts w:ascii="Garamond" w:hAnsi="Garamond"/>
                <w:sz w:val="20"/>
                <w:szCs w:val="20"/>
                <w:lang w:val="en-US"/>
              </w:rPr>
            </w:pPr>
          </w:p>
        </w:tc>
        <w:tc>
          <w:tcPr>
            <w:tcW w:w="2725" w:type="dxa"/>
            <w:vAlign w:val="center"/>
          </w:tcPr>
          <w:p w14:paraId="6D85ABBC" w14:textId="77777777" w:rsidR="00F637D3" w:rsidRDefault="00F637D3" w:rsidP="00D53880">
            <w:pPr>
              <w:jc w:val="both"/>
              <w:rPr>
                <w:rFonts w:ascii="Garamond" w:hAnsi="Garamond"/>
                <w:sz w:val="20"/>
                <w:szCs w:val="20"/>
                <w:lang w:val="en-US"/>
              </w:rPr>
            </w:pPr>
            <w:r>
              <w:rPr>
                <w:rFonts w:ascii="Garamond" w:hAnsi="Garamond"/>
                <w:sz w:val="20"/>
                <w:szCs w:val="20"/>
                <w:lang w:val="en-US"/>
              </w:rPr>
              <w:t>Oral discomfort</w:t>
            </w:r>
          </w:p>
        </w:tc>
        <w:tc>
          <w:tcPr>
            <w:tcW w:w="440" w:type="dxa"/>
            <w:vAlign w:val="center"/>
          </w:tcPr>
          <w:p w14:paraId="3C1A3A31" w14:textId="67A91E76"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55373D0C" w14:textId="365F13E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432DC7A1" w14:textId="77777777" w:rsidR="00F637D3" w:rsidRDefault="00F637D3" w:rsidP="00D53880">
            <w:pPr>
              <w:jc w:val="both"/>
              <w:rPr>
                <w:rFonts w:ascii="Garamond" w:hAnsi="Garamond"/>
                <w:sz w:val="20"/>
                <w:szCs w:val="20"/>
                <w:lang w:val="en-US"/>
              </w:rPr>
            </w:pPr>
            <w:r>
              <w:rPr>
                <w:rFonts w:ascii="Garamond" w:hAnsi="Garamond"/>
                <w:sz w:val="20"/>
                <w:szCs w:val="20"/>
                <w:lang w:val="en-US"/>
              </w:rPr>
              <w:t>1</w:t>
            </w:r>
            <w:r>
              <w:rPr>
                <w:rFonts w:ascii="Garamond" w:hAnsi="Garamond"/>
                <w:sz w:val="20"/>
                <w:szCs w:val="20"/>
                <w:vertAlign w:val="superscript"/>
                <w:lang w:val="en-US"/>
              </w:rPr>
              <w:t>b</w:t>
            </w:r>
          </w:p>
        </w:tc>
        <w:tc>
          <w:tcPr>
            <w:tcW w:w="1594" w:type="dxa"/>
            <w:vAlign w:val="center"/>
          </w:tcPr>
          <w:p w14:paraId="4E505643" w14:textId="77777777" w:rsidR="00F637D3" w:rsidRDefault="00F637D3" w:rsidP="00D53880">
            <w:pPr>
              <w:jc w:val="both"/>
              <w:rPr>
                <w:rFonts w:ascii="Garamond" w:hAnsi="Garamond"/>
                <w:sz w:val="20"/>
                <w:szCs w:val="20"/>
                <w:lang w:val="en-US"/>
              </w:rPr>
            </w:pPr>
            <w:r>
              <w:rPr>
                <w:rFonts w:ascii="Garamond" w:hAnsi="Garamond"/>
                <w:sz w:val="20"/>
                <w:szCs w:val="20"/>
                <w:lang w:val="en-US"/>
              </w:rPr>
              <w:t>0.10 (0.00–0.54)</w:t>
            </w:r>
          </w:p>
        </w:tc>
        <w:tc>
          <w:tcPr>
            <w:tcW w:w="411" w:type="dxa"/>
            <w:vAlign w:val="center"/>
          </w:tcPr>
          <w:p w14:paraId="7B0A1BF5" w14:textId="77777777" w:rsidR="00F637D3" w:rsidRDefault="00F637D3" w:rsidP="00D53880">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4DDF7B1E" w14:textId="14E4D8DF" w:rsidR="00F637D3" w:rsidRDefault="00F637D3" w:rsidP="00D53880">
            <w:pPr>
              <w:jc w:val="both"/>
              <w:rPr>
                <w:rFonts w:ascii="Garamond" w:hAnsi="Garamond"/>
                <w:sz w:val="20"/>
                <w:szCs w:val="20"/>
                <w:lang w:val="en-US"/>
              </w:rPr>
            </w:pPr>
            <w:r>
              <w:rPr>
                <w:rFonts w:ascii="Garamond" w:hAnsi="Garamond"/>
                <w:sz w:val="20"/>
                <w:szCs w:val="20"/>
                <w:lang w:val="en-US"/>
              </w:rPr>
              <w:t>0</w:t>
            </w:r>
          </w:p>
        </w:tc>
      </w:tr>
      <w:tr w:rsidR="00F637D3" w14:paraId="36B84159" w14:textId="77777777" w:rsidTr="00206709">
        <w:tc>
          <w:tcPr>
            <w:tcW w:w="972" w:type="dxa"/>
            <w:vMerge/>
            <w:vAlign w:val="center"/>
          </w:tcPr>
          <w:p w14:paraId="43957F1C" w14:textId="77777777" w:rsidR="00F637D3" w:rsidRDefault="00F637D3" w:rsidP="00F637D3">
            <w:pPr>
              <w:jc w:val="both"/>
              <w:rPr>
                <w:rFonts w:ascii="Garamond" w:hAnsi="Garamond"/>
                <w:sz w:val="20"/>
                <w:szCs w:val="20"/>
                <w:lang w:val="en-US"/>
              </w:rPr>
            </w:pPr>
          </w:p>
        </w:tc>
        <w:tc>
          <w:tcPr>
            <w:tcW w:w="2725" w:type="dxa"/>
            <w:vAlign w:val="center"/>
          </w:tcPr>
          <w:p w14:paraId="593A3A06" w14:textId="2619BF2F" w:rsidR="00F637D3" w:rsidRDefault="00F637D3" w:rsidP="00F637D3">
            <w:pPr>
              <w:jc w:val="both"/>
              <w:rPr>
                <w:rFonts w:ascii="Garamond" w:hAnsi="Garamond"/>
                <w:sz w:val="20"/>
                <w:szCs w:val="20"/>
                <w:lang w:val="en-US"/>
              </w:rPr>
            </w:pPr>
            <w:r>
              <w:rPr>
                <w:rFonts w:ascii="Garamond" w:hAnsi="Garamond"/>
                <w:sz w:val="20"/>
                <w:szCs w:val="20"/>
                <w:lang w:val="en-US"/>
              </w:rPr>
              <w:t>Rash</w:t>
            </w:r>
          </w:p>
        </w:tc>
        <w:tc>
          <w:tcPr>
            <w:tcW w:w="440" w:type="dxa"/>
            <w:vAlign w:val="center"/>
          </w:tcPr>
          <w:p w14:paraId="29D0E4C1" w14:textId="44C82692" w:rsidR="00F637D3" w:rsidRDefault="00F637D3" w:rsidP="00F637D3">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4DE47B28" w14:textId="4D7C873B" w:rsidR="00F637D3" w:rsidRDefault="00F637D3" w:rsidP="00F637D3">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51558C77" w14:textId="3D5CB441" w:rsidR="00F637D3" w:rsidRDefault="00F637D3" w:rsidP="00F637D3">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59FA9063" w14:textId="287C08F1" w:rsidR="00F637D3" w:rsidRDefault="00F637D3" w:rsidP="00F637D3">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7C821A07" w14:textId="396FCB89" w:rsidR="00F637D3" w:rsidRDefault="00F637D3" w:rsidP="00F637D3">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262D663F" w14:textId="10E01346" w:rsidR="00F637D3" w:rsidRDefault="00F637D3" w:rsidP="00F637D3">
            <w:pPr>
              <w:jc w:val="both"/>
              <w:rPr>
                <w:rFonts w:ascii="Garamond" w:hAnsi="Garamond"/>
                <w:sz w:val="20"/>
                <w:szCs w:val="20"/>
                <w:lang w:val="en-US"/>
              </w:rPr>
            </w:pPr>
            <w:r>
              <w:rPr>
                <w:rFonts w:ascii="Garamond" w:hAnsi="Garamond"/>
                <w:sz w:val="20"/>
                <w:szCs w:val="20"/>
                <w:lang w:val="en-US"/>
              </w:rPr>
              <w:t>0</w:t>
            </w:r>
          </w:p>
        </w:tc>
      </w:tr>
      <w:tr w:rsidR="00F637D3" w14:paraId="690FE040" w14:textId="77777777" w:rsidTr="00206709">
        <w:tc>
          <w:tcPr>
            <w:tcW w:w="972" w:type="dxa"/>
            <w:vMerge/>
            <w:vAlign w:val="center"/>
          </w:tcPr>
          <w:p w14:paraId="6C6CE32A" w14:textId="77777777" w:rsidR="00F637D3" w:rsidRDefault="00F637D3" w:rsidP="00F637D3">
            <w:pPr>
              <w:jc w:val="both"/>
              <w:rPr>
                <w:rFonts w:ascii="Garamond" w:hAnsi="Garamond"/>
                <w:sz w:val="20"/>
                <w:szCs w:val="20"/>
                <w:lang w:val="en-US"/>
              </w:rPr>
            </w:pPr>
          </w:p>
        </w:tc>
        <w:tc>
          <w:tcPr>
            <w:tcW w:w="2725" w:type="dxa"/>
            <w:vAlign w:val="center"/>
          </w:tcPr>
          <w:p w14:paraId="2853C336" w14:textId="2A004963" w:rsidR="00F637D3" w:rsidRDefault="00F637D3" w:rsidP="00F637D3">
            <w:pPr>
              <w:jc w:val="both"/>
              <w:rPr>
                <w:rFonts w:ascii="Garamond" w:hAnsi="Garamond"/>
                <w:sz w:val="20"/>
                <w:szCs w:val="20"/>
                <w:lang w:val="en-US"/>
              </w:rPr>
            </w:pPr>
            <w:r>
              <w:rPr>
                <w:rFonts w:ascii="Garamond" w:hAnsi="Garamond"/>
                <w:sz w:val="20"/>
                <w:szCs w:val="20"/>
                <w:lang w:val="en-US"/>
              </w:rPr>
              <w:t>Pruritus</w:t>
            </w:r>
          </w:p>
        </w:tc>
        <w:tc>
          <w:tcPr>
            <w:tcW w:w="440" w:type="dxa"/>
            <w:vAlign w:val="center"/>
          </w:tcPr>
          <w:p w14:paraId="3074B952" w14:textId="680C3208" w:rsidR="00F637D3" w:rsidRDefault="00F637D3" w:rsidP="00F637D3">
            <w:pPr>
              <w:jc w:val="both"/>
              <w:rPr>
                <w:rFonts w:ascii="Garamond" w:hAnsi="Garamond"/>
                <w:sz w:val="20"/>
                <w:szCs w:val="20"/>
                <w:lang w:val="en-US"/>
              </w:rPr>
            </w:pPr>
            <w:r>
              <w:rPr>
                <w:rFonts w:ascii="Garamond" w:hAnsi="Garamond"/>
                <w:sz w:val="20"/>
                <w:szCs w:val="20"/>
                <w:lang w:val="en-US"/>
              </w:rPr>
              <w:t>1</w:t>
            </w:r>
          </w:p>
        </w:tc>
        <w:tc>
          <w:tcPr>
            <w:tcW w:w="1594" w:type="dxa"/>
            <w:vAlign w:val="center"/>
          </w:tcPr>
          <w:p w14:paraId="08F65C4E" w14:textId="36E8394B" w:rsidR="00F637D3" w:rsidRDefault="00F637D3" w:rsidP="00F637D3">
            <w:pPr>
              <w:jc w:val="both"/>
              <w:rPr>
                <w:rFonts w:ascii="Garamond" w:hAnsi="Garamond"/>
                <w:sz w:val="20"/>
                <w:szCs w:val="20"/>
                <w:lang w:val="en-US"/>
              </w:rPr>
            </w:pPr>
            <w:r>
              <w:rPr>
                <w:rFonts w:ascii="Garamond" w:hAnsi="Garamond"/>
                <w:sz w:val="20"/>
                <w:szCs w:val="20"/>
                <w:lang w:val="en-US"/>
              </w:rPr>
              <w:t>0.10 (0.00–0.54)</w:t>
            </w:r>
          </w:p>
        </w:tc>
        <w:tc>
          <w:tcPr>
            <w:tcW w:w="411" w:type="dxa"/>
            <w:vAlign w:val="center"/>
          </w:tcPr>
          <w:p w14:paraId="6E3FC3D2" w14:textId="05EACAAA" w:rsidR="00F637D3" w:rsidRDefault="00F637D3" w:rsidP="00F637D3">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1F4844EE" w14:textId="1B6D9C20" w:rsidR="00F637D3" w:rsidRDefault="00F637D3" w:rsidP="00F637D3">
            <w:pPr>
              <w:jc w:val="both"/>
              <w:rPr>
                <w:rFonts w:ascii="Garamond" w:hAnsi="Garamond"/>
                <w:sz w:val="20"/>
                <w:szCs w:val="20"/>
                <w:lang w:val="en-US"/>
              </w:rPr>
            </w:pPr>
            <w:r>
              <w:rPr>
                <w:rFonts w:ascii="Garamond" w:hAnsi="Garamond"/>
                <w:sz w:val="20"/>
                <w:szCs w:val="20"/>
                <w:lang w:val="en-US"/>
              </w:rPr>
              <w:t>0</w:t>
            </w:r>
          </w:p>
        </w:tc>
        <w:tc>
          <w:tcPr>
            <w:tcW w:w="411" w:type="dxa"/>
            <w:vAlign w:val="center"/>
          </w:tcPr>
          <w:p w14:paraId="328918D5" w14:textId="570B2C39" w:rsidR="00F637D3" w:rsidRDefault="00F637D3" w:rsidP="00F637D3">
            <w:pPr>
              <w:jc w:val="both"/>
              <w:rPr>
                <w:rFonts w:ascii="Garamond" w:hAnsi="Garamond"/>
                <w:sz w:val="20"/>
                <w:szCs w:val="20"/>
                <w:lang w:val="en-US"/>
              </w:rPr>
            </w:pPr>
            <w:r>
              <w:rPr>
                <w:rFonts w:ascii="Garamond" w:hAnsi="Garamond"/>
                <w:sz w:val="20"/>
                <w:szCs w:val="20"/>
                <w:lang w:val="en-US"/>
              </w:rPr>
              <w:t>0</w:t>
            </w:r>
          </w:p>
        </w:tc>
        <w:tc>
          <w:tcPr>
            <w:tcW w:w="1594" w:type="dxa"/>
            <w:vAlign w:val="center"/>
          </w:tcPr>
          <w:p w14:paraId="508A69F6" w14:textId="62AC742D" w:rsidR="00F637D3" w:rsidRDefault="00F637D3" w:rsidP="00F637D3">
            <w:pPr>
              <w:jc w:val="both"/>
              <w:rPr>
                <w:rFonts w:ascii="Garamond" w:hAnsi="Garamond"/>
                <w:sz w:val="20"/>
                <w:szCs w:val="20"/>
                <w:lang w:val="en-US"/>
              </w:rPr>
            </w:pPr>
            <w:r>
              <w:rPr>
                <w:rFonts w:ascii="Garamond" w:hAnsi="Garamond"/>
                <w:sz w:val="20"/>
                <w:szCs w:val="20"/>
                <w:lang w:val="en-US"/>
              </w:rPr>
              <w:t>0</w:t>
            </w:r>
          </w:p>
        </w:tc>
      </w:tr>
    </w:tbl>
    <w:p w14:paraId="410891D5" w14:textId="3F13B1A6" w:rsidR="00206709" w:rsidRPr="00206709" w:rsidRDefault="00206709" w:rsidP="00206709">
      <w:pPr>
        <w:spacing w:after="0"/>
        <w:rPr>
          <w:rFonts w:ascii="Garamond" w:hAnsi="Garamond"/>
          <w:sz w:val="20"/>
          <w:szCs w:val="20"/>
          <w:lang w:val="en-US"/>
        </w:rPr>
      </w:pPr>
      <w:r w:rsidRPr="00206709">
        <w:rPr>
          <w:rFonts w:ascii="Garamond" w:hAnsi="Garamond"/>
          <w:sz w:val="20"/>
          <w:szCs w:val="20"/>
          <w:lang w:val="en-US"/>
        </w:rPr>
        <w:t xml:space="preserve">Abbreviation: </w:t>
      </w:r>
      <w:proofErr w:type="spellStart"/>
      <w:r w:rsidRPr="00206709">
        <w:rPr>
          <w:rFonts w:ascii="Garamond" w:hAnsi="Garamond"/>
          <w:sz w:val="20"/>
          <w:szCs w:val="20"/>
          <w:lang w:val="en-US"/>
        </w:rPr>
        <w:t>rAEI</w:t>
      </w:r>
      <w:proofErr w:type="spellEnd"/>
      <w:r w:rsidRPr="00206709">
        <w:rPr>
          <w:rFonts w:ascii="Garamond" w:hAnsi="Garamond"/>
          <w:sz w:val="20"/>
          <w:szCs w:val="20"/>
          <w:lang w:val="en-US"/>
        </w:rPr>
        <w:t>, reactogenic adverse even</w:t>
      </w:r>
      <w:r>
        <w:rPr>
          <w:rFonts w:ascii="Garamond" w:hAnsi="Garamond"/>
          <w:sz w:val="20"/>
          <w:szCs w:val="20"/>
          <w:lang w:val="en-US"/>
        </w:rPr>
        <w:t>t of interest.</w:t>
      </w:r>
    </w:p>
    <w:p w14:paraId="3B97A291" w14:textId="105FCA4D" w:rsidR="00182399" w:rsidRDefault="00FB5F25" w:rsidP="00206709">
      <w:pPr>
        <w:spacing w:after="0"/>
        <w:rPr>
          <w:rFonts w:ascii="Garamond" w:hAnsi="Garamond"/>
          <w:sz w:val="20"/>
          <w:szCs w:val="20"/>
          <w:lang w:val="en-US"/>
        </w:rPr>
      </w:pPr>
      <w:proofErr w:type="spellStart"/>
      <w:r>
        <w:rPr>
          <w:rFonts w:ascii="Garamond" w:hAnsi="Garamond"/>
          <w:sz w:val="20"/>
          <w:szCs w:val="20"/>
          <w:vertAlign w:val="superscript"/>
          <w:lang w:val="en-US"/>
        </w:rPr>
        <w:t>a</w:t>
      </w:r>
      <w:r>
        <w:rPr>
          <w:rFonts w:ascii="Garamond" w:hAnsi="Garamond"/>
          <w:sz w:val="20"/>
          <w:szCs w:val="20"/>
          <w:lang w:val="en-US"/>
        </w:rPr>
        <w:t>All</w:t>
      </w:r>
      <w:proofErr w:type="spellEnd"/>
      <w:r>
        <w:rPr>
          <w:rFonts w:ascii="Garamond" w:hAnsi="Garamond"/>
          <w:sz w:val="20"/>
          <w:szCs w:val="20"/>
          <w:lang w:val="en-US"/>
        </w:rPr>
        <w:t xml:space="preserve"> events occurred in the same individual A; </w:t>
      </w:r>
      <w:proofErr w:type="spellStart"/>
      <w:r>
        <w:rPr>
          <w:rFonts w:ascii="Garamond" w:hAnsi="Garamond"/>
          <w:sz w:val="20"/>
          <w:szCs w:val="20"/>
          <w:vertAlign w:val="superscript"/>
          <w:lang w:val="en-US"/>
        </w:rPr>
        <w:t>b</w:t>
      </w:r>
      <w:r>
        <w:rPr>
          <w:rFonts w:ascii="Garamond" w:hAnsi="Garamond"/>
          <w:sz w:val="20"/>
          <w:szCs w:val="20"/>
          <w:lang w:val="en-US"/>
        </w:rPr>
        <w:t>All</w:t>
      </w:r>
      <w:proofErr w:type="spellEnd"/>
      <w:r>
        <w:rPr>
          <w:rFonts w:ascii="Garamond" w:hAnsi="Garamond"/>
          <w:sz w:val="20"/>
          <w:szCs w:val="20"/>
          <w:lang w:val="en-US"/>
        </w:rPr>
        <w:t xml:space="preserve"> events occurred in the same individual B.</w:t>
      </w:r>
      <w:r w:rsidR="00630319">
        <w:rPr>
          <w:rFonts w:ascii="Garamond" w:hAnsi="Garamond"/>
          <w:sz w:val="20"/>
          <w:szCs w:val="20"/>
          <w:lang w:val="en-US"/>
        </w:rPr>
        <w:t xml:space="preserve"> </w:t>
      </w:r>
      <w:bookmarkStart w:id="7" w:name="_Hlk122341594"/>
      <w:r w:rsidR="00630319">
        <w:rPr>
          <w:rFonts w:ascii="Garamond" w:hAnsi="Garamond"/>
          <w:sz w:val="20"/>
          <w:szCs w:val="20"/>
          <w:lang w:val="en-US"/>
        </w:rPr>
        <w:t xml:space="preserve">Serious adverse events are evidenced </w:t>
      </w:r>
      <w:r w:rsidR="00630319" w:rsidRPr="00630319">
        <w:rPr>
          <w:rFonts w:ascii="Garamond" w:hAnsi="Garamond"/>
          <w:i/>
          <w:sz w:val="20"/>
          <w:szCs w:val="20"/>
          <w:lang w:val="en-US"/>
        </w:rPr>
        <w:t>in italics</w:t>
      </w:r>
      <w:r w:rsidR="00630319">
        <w:rPr>
          <w:rFonts w:ascii="Garamond" w:hAnsi="Garamond"/>
          <w:sz w:val="20"/>
          <w:szCs w:val="20"/>
          <w:lang w:val="en-US"/>
        </w:rPr>
        <w:t>.</w:t>
      </w:r>
      <w:r w:rsidR="00D53880">
        <w:rPr>
          <w:rFonts w:ascii="Garamond" w:hAnsi="Garamond"/>
          <w:sz w:val="20"/>
          <w:szCs w:val="20"/>
          <w:lang w:val="en-US"/>
        </w:rPr>
        <w:t xml:space="preserve"> Upper limit of the exact 95% confidence interval for zero events is 0.36 for the </w:t>
      </w:r>
      <w:r w:rsidR="00741030">
        <w:rPr>
          <w:rFonts w:ascii="Garamond" w:hAnsi="Garamond"/>
          <w:sz w:val="20"/>
          <w:szCs w:val="20"/>
          <w:lang w:val="en-US"/>
        </w:rPr>
        <w:t>i</w:t>
      </w:r>
      <w:r w:rsidR="00117D6B">
        <w:rPr>
          <w:rFonts w:ascii="Garamond" w:hAnsi="Garamond"/>
          <w:sz w:val="20"/>
          <w:szCs w:val="20"/>
          <w:lang w:val="en-US"/>
        </w:rPr>
        <w:t xml:space="preserve">nfluenza </w:t>
      </w:r>
      <w:r w:rsidR="00D53880">
        <w:rPr>
          <w:rFonts w:ascii="Garamond" w:hAnsi="Garamond"/>
          <w:sz w:val="20"/>
          <w:szCs w:val="20"/>
          <w:lang w:val="en-US"/>
        </w:rPr>
        <w:t>seasons 2019/20 and 2020/21 and 0.37 for the season 2021/22.</w:t>
      </w:r>
      <w:bookmarkEnd w:id="6"/>
      <w:bookmarkEnd w:id="7"/>
    </w:p>
    <w:sectPr w:rsidR="00182399">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3B514" w14:textId="77777777" w:rsidR="00820E3C" w:rsidRDefault="00820E3C" w:rsidP="00896BAC">
      <w:pPr>
        <w:spacing w:after="0" w:line="240" w:lineRule="auto"/>
      </w:pPr>
      <w:r>
        <w:separator/>
      </w:r>
    </w:p>
  </w:endnote>
  <w:endnote w:type="continuationSeparator" w:id="0">
    <w:p w14:paraId="155FAD66" w14:textId="77777777" w:rsidR="00820E3C" w:rsidRDefault="00820E3C" w:rsidP="00896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818278"/>
      <w:docPartObj>
        <w:docPartGallery w:val="Page Numbers (Bottom of Page)"/>
        <w:docPartUnique/>
      </w:docPartObj>
    </w:sdtPr>
    <w:sdtContent>
      <w:p w14:paraId="2C1C07A5" w14:textId="17347751" w:rsidR="0001717C" w:rsidRDefault="0001717C">
        <w:pPr>
          <w:pStyle w:val="Pidipagina"/>
          <w:jc w:val="center"/>
        </w:pPr>
        <w:r>
          <w:fldChar w:fldCharType="begin"/>
        </w:r>
        <w:r>
          <w:instrText>PAGE   \* MERGEFORMAT</w:instrText>
        </w:r>
        <w:r>
          <w:fldChar w:fldCharType="separate"/>
        </w:r>
        <w:r>
          <w:t>2</w:t>
        </w:r>
        <w:r>
          <w:fldChar w:fldCharType="end"/>
        </w:r>
      </w:p>
    </w:sdtContent>
  </w:sdt>
  <w:p w14:paraId="030175A8" w14:textId="77777777" w:rsidR="0001717C" w:rsidRDefault="0001717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ACBEF" w14:textId="77777777" w:rsidR="00820E3C" w:rsidRDefault="00820E3C" w:rsidP="00896BAC">
      <w:pPr>
        <w:spacing w:after="0" w:line="240" w:lineRule="auto"/>
      </w:pPr>
      <w:r>
        <w:separator/>
      </w:r>
    </w:p>
  </w:footnote>
  <w:footnote w:type="continuationSeparator" w:id="0">
    <w:p w14:paraId="7BAFF62C" w14:textId="77777777" w:rsidR="00820E3C" w:rsidRDefault="00820E3C" w:rsidP="00896B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43E19"/>
    <w:multiLevelType w:val="hybridMultilevel"/>
    <w:tmpl w:val="EDBE44C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9145625"/>
    <w:multiLevelType w:val="multilevel"/>
    <w:tmpl w:val="1C46F1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953319643">
    <w:abstractNumId w:val="0"/>
  </w:num>
  <w:num w:numId="2" w16cid:durableId="18536422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A23"/>
    <w:rsid w:val="00011458"/>
    <w:rsid w:val="000153D1"/>
    <w:rsid w:val="0001623D"/>
    <w:rsid w:val="0001717C"/>
    <w:rsid w:val="000241CA"/>
    <w:rsid w:val="0002559B"/>
    <w:rsid w:val="00030818"/>
    <w:rsid w:val="00041CB6"/>
    <w:rsid w:val="00042791"/>
    <w:rsid w:val="0005135F"/>
    <w:rsid w:val="00060506"/>
    <w:rsid w:val="000610A0"/>
    <w:rsid w:val="00064059"/>
    <w:rsid w:val="00074C69"/>
    <w:rsid w:val="000822A9"/>
    <w:rsid w:val="0008636B"/>
    <w:rsid w:val="00087D8F"/>
    <w:rsid w:val="0009388A"/>
    <w:rsid w:val="000A0C81"/>
    <w:rsid w:val="000B200F"/>
    <w:rsid w:val="000B22C9"/>
    <w:rsid w:val="000C11DA"/>
    <w:rsid w:val="000C4E1A"/>
    <w:rsid w:val="000C776B"/>
    <w:rsid w:val="000D0E2B"/>
    <w:rsid w:val="000D7E4E"/>
    <w:rsid w:val="000E0279"/>
    <w:rsid w:val="000E58FB"/>
    <w:rsid w:val="000E5AB7"/>
    <w:rsid w:val="000E6043"/>
    <w:rsid w:val="000F2A93"/>
    <w:rsid w:val="00106605"/>
    <w:rsid w:val="00115770"/>
    <w:rsid w:val="00117D6B"/>
    <w:rsid w:val="00117F71"/>
    <w:rsid w:val="00120B91"/>
    <w:rsid w:val="001225C9"/>
    <w:rsid w:val="00125496"/>
    <w:rsid w:val="0013535A"/>
    <w:rsid w:val="00143FF0"/>
    <w:rsid w:val="00147436"/>
    <w:rsid w:val="001512B1"/>
    <w:rsid w:val="00151F3B"/>
    <w:rsid w:val="00155D01"/>
    <w:rsid w:val="00160845"/>
    <w:rsid w:val="00166EFC"/>
    <w:rsid w:val="0017134F"/>
    <w:rsid w:val="00171841"/>
    <w:rsid w:val="00172E3E"/>
    <w:rsid w:val="00173735"/>
    <w:rsid w:val="001737AD"/>
    <w:rsid w:val="0017517F"/>
    <w:rsid w:val="001812EF"/>
    <w:rsid w:val="001820E1"/>
    <w:rsid w:val="00182399"/>
    <w:rsid w:val="00182CF1"/>
    <w:rsid w:val="00197A1A"/>
    <w:rsid w:val="001A2B72"/>
    <w:rsid w:val="001A45EB"/>
    <w:rsid w:val="001A6AA2"/>
    <w:rsid w:val="001B16E9"/>
    <w:rsid w:val="001B299E"/>
    <w:rsid w:val="001C2DC2"/>
    <w:rsid w:val="001C4CDB"/>
    <w:rsid w:val="001D5B14"/>
    <w:rsid w:val="001E1D21"/>
    <w:rsid w:val="001E25A7"/>
    <w:rsid w:val="001E3ABE"/>
    <w:rsid w:val="001E62AD"/>
    <w:rsid w:val="001F05F8"/>
    <w:rsid w:val="002000F4"/>
    <w:rsid w:val="00206709"/>
    <w:rsid w:val="00214BD2"/>
    <w:rsid w:val="00215E24"/>
    <w:rsid w:val="00217398"/>
    <w:rsid w:val="00223874"/>
    <w:rsid w:val="0022411E"/>
    <w:rsid w:val="0022617D"/>
    <w:rsid w:val="00226312"/>
    <w:rsid w:val="00230BDC"/>
    <w:rsid w:val="0023398D"/>
    <w:rsid w:val="002349B9"/>
    <w:rsid w:val="00235AC5"/>
    <w:rsid w:val="00237943"/>
    <w:rsid w:val="00241087"/>
    <w:rsid w:val="00243126"/>
    <w:rsid w:val="00243A93"/>
    <w:rsid w:val="00251F96"/>
    <w:rsid w:val="00257B8D"/>
    <w:rsid w:val="00263987"/>
    <w:rsid w:val="00270966"/>
    <w:rsid w:val="00274EAF"/>
    <w:rsid w:val="0028015F"/>
    <w:rsid w:val="00280BFB"/>
    <w:rsid w:val="00280CE2"/>
    <w:rsid w:val="002839DE"/>
    <w:rsid w:val="00285634"/>
    <w:rsid w:val="0029015F"/>
    <w:rsid w:val="00294EE0"/>
    <w:rsid w:val="0029664F"/>
    <w:rsid w:val="002A32CE"/>
    <w:rsid w:val="002A4A23"/>
    <w:rsid w:val="002B5745"/>
    <w:rsid w:val="002B62DE"/>
    <w:rsid w:val="002C0921"/>
    <w:rsid w:val="002C5F12"/>
    <w:rsid w:val="002D270E"/>
    <w:rsid w:val="002D426A"/>
    <w:rsid w:val="002D51E6"/>
    <w:rsid w:val="002D65D9"/>
    <w:rsid w:val="002D772D"/>
    <w:rsid w:val="002F0A24"/>
    <w:rsid w:val="002F2873"/>
    <w:rsid w:val="002F2F9C"/>
    <w:rsid w:val="002F338B"/>
    <w:rsid w:val="00303D92"/>
    <w:rsid w:val="003068C5"/>
    <w:rsid w:val="00310857"/>
    <w:rsid w:val="00315DC8"/>
    <w:rsid w:val="0032080C"/>
    <w:rsid w:val="00321C36"/>
    <w:rsid w:val="00330D07"/>
    <w:rsid w:val="003324D7"/>
    <w:rsid w:val="003368D6"/>
    <w:rsid w:val="00343212"/>
    <w:rsid w:val="003470F0"/>
    <w:rsid w:val="0035012B"/>
    <w:rsid w:val="003551A0"/>
    <w:rsid w:val="00361C80"/>
    <w:rsid w:val="003658AD"/>
    <w:rsid w:val="00367053"/>
    <w:rsid w:val="00371478"/>
    <w:rsid w:val="00377617"/>
    <w:rsid w:val="00380DA4"/>
    <w:rsid w:val="00382793"/>
    <w:rsid w:val="003910B3"/>
    <w:rsid w:val="003A0486"/>
    <w:rsid w:val="003A23F2"/>
    <w:rsid w:val="003C16D7"/>
    <w:rsid w:val="003C29BF"/>
    <w:rsid w:val="003C32EC"/>
    <w:rsid w:val="003D3ACB"/>
    <w:rsid w:val="003D6C90"/>
    <w:rsid w:val="003F23A4"/>
    <w:rsid w:val="004022D4"/>
    <w:rsid w:val="004125CB"/>
    <w:rsid w:val="004140FF"/>
    <w:rsid w:val="00414842"/>
    <w:rsid w:val="004148B9"/>
    <w:rsid w:val="004155AE"/>
    <w:rsid w:val="004157BA"/>
    <w:rsid w:val="004178A8"/>
    <w:rsid w:val="004206FA"/>
    <w:rsid w:val="00420E75"/>
    <w:rsid w:val="004271F8"/>
    <w:rsid w:val="004305A7"/>
    <w:rsid w:val="004325ED"/>
    <w:rsid w:val="00434C8B"/>
    <w:rsid w:val="00435372"/>
    <w:rsid w:val="004379DB"/>
    <w:rsid w:val="00440AA0"/>
    <w:rsid w:val="00441958"/>
    <w:rsid w:val="00445421"/>
    <w:rsid w:val="004473DB"/>
    <w:rsid w:val="00450126"/>
    <w:rsid w:val="00450366"/>
    <w:rsid w:val="00472243"/>
    <w:rsid w:val="00474118"/>
    <w:rsid w:val="00475ABC"/>
    <w:rsid w:val="00481847"/>
    <w:rsid w:val="00481BFC"/>
    <w:rsid w:val="00483E02"/>
    <w:rsid w:val="00491C4D"/>
    <w:rsid w:val="00493D83"/>
    <w:rsid w:val="00494BE9"/>
    <w:rsid w:val="004B0C16"/>
    <w:rsid w:val="004B5CF5"/>
    <w:rsid w:val="004C3334"/>
    <w:rsid w:val="004C54F7"/>
    <w:rsid w:val="004C6474"/>
    <w:rsid w:val="004D06BC"/>
    <w:rsid w:val="004D170E"/>
    <w:rsid w:val="004D1BD9"/>
    <w:rsid w:val="004E1F6F"/>
    <w:rsid w:val="004E2BE4"/>
    <w:rsid w:val="004E5343"/>
    <w:rsid w:val="004E5358"/>
    <w:rsid w:val="004E53CA"/>
    <w:rsid w:val="004E6C4E"/>
    <w:rsid w:val="004E7612"/>
    <w:rsid w:val="004F0693"/>
    <w:rsid w:val="004F36C4"/>
    <w:rsid w:val="004F4074"/>
    <w:rsid w:val="00511835"/>
    <w:rsid w:val="00514F05"/>
    <w:rsid w:val="00515215"/>
    <w:rsid w:val="005158C7"/>
    <w:rsid w:val="00516BE4"/>
    <w:rsid w:val="00516DB4"/>
    <w:rsid w:val="00521214"/>
    <w:rsid w:val="00522D3D"/>
    <w:rsid w:val="0052510D"/>
    <w:rsid w:val="00526F20"/>
    <w:rsid w:val="005309C3"/>
    <w:rsid w:val="00535526"/>
    <w:rsid w:val="00546B57"/>
    <w:rsid w:val="005538D5"/>
    <w:rsid w:val="0055650B"/>
    <w:rsid w:val="00564F23"/>
    <w:rsid w:val="0056521B"/>
    <w:rsid w:val="005702E2"/>
    <w:rsid w:val="00587D70"/>
    <w:rsid w:val="005A19A6"/>
    <w:rsid w:val="005A26EE"/>
    <w:rsid w:val="005A5491"/>
    <w:rsid w:val="005A6383"/>
    <w:rsid w:val="005A7155"/>
    <w:rsid w:val="005A7D9B"/>
    <w:rsid w:val="005B3C63"/>
    <w:rsid w:val="005C3EAE"/>
    <w:rsid w:val="005C3F9B"/>
    <w:rsid w:val="005D0C0E"/>
    <w:rsid w:val="005D18DF"/>
    <w:rsid w:val="005D44EE"/>
    <w:rsid w:val="005D4BB4"/>
    <w:rsid w:val="005D6465"/>
    <w:rsid w:val="005E295D"/>
    <w:rsid w:val="005E478D"/>
    <w:rsid w:val="005F597A"/>
    <w:rsid w:val="005F61AD"/>
    <w:rsid w:val="00600B1E"/>
    <w:rsid w:val="00601355"/>
    <w:rsid w:val="006030B6"/>
    <w:rsid w:val="00604D3E"/>
    <w:rsid w:val="00605270"/>
    <w:rsid w:val="006072B7"/>
    <w:rsid w:val="00615E74"/>
    <w:rsid w:val="00621149"/>
    <w:rsid w:val="00630319"/>
    <w:rsid w:val="00632B20"/>
    <w:rsid w:val="00634BCC"/>
    <w:rsid w:val="00645569"/>
    <w:rsid w:val="00645B2B"/>
    <w:rsid w:val="00647779"/>
    <w:rsid w:val="006624F0"/>
    <w:rsid w:val="0066725A"/>
    <w:rsid w:val="00670A26"/>
    <w:rsid w:val="00670D7D"/>
    <w:rsid w:val="00674D3E"/>
    <w:rsid w:val="0068226A"/>
    <w:rsid w:val="00687915"/>
    <w:rsid w:val="00691FF1"/>
    <w:rsid w:val="006956D6"/>
    <w:rsid w:val="006958C0"/>
    <w:rsid w:val="006962FA"/>
    <w:rsid w:val="006A2458"/>
    <w:rsid w:val="006B1EFC"/>
    <w:rsid w:val="006B368F"/>
    <w:rsid w:val="006B630A"/>
    <w:rsid w:val="006B70BC"/>
    <w:rsid w:val="006C5177"/>
    <w:rsid w:val="006D3C30"/>
    <w:rsid w:val="006E1B4E"/>
    <w:rsid w:val="006E416A"/>
    <w:rsid w:val="006F04FF"/>
    <w:rsid w:val="006F1039"/>
    <w:rsid w:val="00702EFB"/>
    <w:rsid w:val="00722401"/>
    <w:rsid w:val="007258F3"/>
    <w:rsid w:val="007305AA"/>
    <w:rsid w:val="00733310"/>
    <w:rsid w:val="0073587A"/>
    <w:rsid w:val="00741030"/>
    <w:rsid w:val="00743087"/>
    <w:rsid w:val="00744F05"/>
    <w:rsid w:val="00751494"/>
    <w:rsid w:val="007527A8"/>
    <w:rsid w:val="00756167"/>
    <w:rsid w:val="00765904"/>
    <w:rsid w:val="00766C97"/>
    <w:rsid w:val="007670F7"/>
    <w:rsid w:val="0076730F"/>
    <w:rsid w:val="00772249"/>
    <w:rsid w:val="00777EBA"/>
    <w:rsid w:val="00781716"/>
    <w:rsid w:val="00783A9E"/>
    <w:rsid w:val="00793F50"/>
    <w:rsid w:val="00796071"/>
    <w:rsid w:val="00796F38"/>
    <w:rsid w:val="00797FDD"/>
    <w:rsid w:val="007A16B2"/>
    <w:rsid w:val="007A3DFE"/>
    <w:rsid w:val="007A4521"/>
    <w:rsid w:val="007A4AC2"/>
    <w:rsid w:val="007A4AFB"/>
    <w:rsid w:val="007A6B91"/>
    <w:rsid w:val="007A6CC8"/>
    <w:rsid w:val="007B4690"/>
    <w:rsid w:val="007B4722"/>
    <w:rsid w:val="007C56A6"/>
    <w:rsid w:val="007D2584"/>
    <w:rsid w:val="007D6816"/>
    <w:rsid w:val="007E47C0"/>
    <w:rsid w:val="007E482E"/>
    <w:rsid w:val="007E6E67"/>
    <w:rsid w:val="007F07F0"/>
    <w:rsid w:val="007F4DDC"/>
    <w:rsid w:val="007F6AB3"/>
    <w:rsid w:val="0080142D"/>
    <w:rsid w:val="0080648C"/>
    <w:rsid w:val="00810C73"/>
    <w:rsid w:val="00811515"/>
    <w:rsid w:val="00820CF8"/>
    <w:rsid w:val="00820E3C"/>
    <w:rsid w:val="00821013"/>
    <w:rsid w:val="008231AF"/>
    <w:rsid w:val="0082516F"/>
    <w:rsid w:val="00833419"/>
    <w:rsid w:val="0085201B"/>
    <w:rsid w:val="0086370A"/>
    <w:rsid w:val="00873CA7"/>
    <w:rsid w:val="0087552A"/>
    <w:rsid w:val="00880EA2"/>
    <w:rsid w:val="0088618E"/>
    <w:rsid w:val="008861E8"/>
    <w:rsid w:val="00891B4A"/>
    <w:rsid w:val="0089365C"/>
    <w:rsid w:val="00896BAC"/>
    <w:rsid w:val="0089764B"/>
    <w:rsid w:val="008A21E0"/>
    <w:rsid w:val="008A401E"/>
    <w:rsid w:val="008A41AE"/>
    <w:rsid w:val="008A74FD"/>
    <w:rsid w:val="008A75CF"/>
    <w:rsid w:val="008C0A54"/>
    <w:rsid w:val="008C4F5D"/>
    <w:rsid w:val="008D21AE"/>
    <w:rsid w:val="008D3053"/>
    <w:rsid w:val="008D5C74"/>
    <w:rsid w:val="008E20EB"/>
    <w:rsid w:val="008E4501"/>
    <w:rsid w:val="008E5242"/>
    <w:rsid w:val="008E7BD8"/>
    <w:rsid w:val="008F41F5"/>
    <w:rsid w:val="008F4E89"/>
    <w:rsid w:val="008F6F29"/>
    <w:rsid w:val="00903446"/>
    <w:rsid w:val="00903E8E"/>
    <w:rsid w:val="009062E9"/>
    <w:rsid w:val="0091583F"/>
    <w:rsid w:val="009222DF"/>
    <w:rsid w:val="00926FEF"/>
    <w:rsid w:val="0092783D"/>
    <w:rsid w:val="00935A2D"/>
    <w:rsid w:val="00936506"/>
    <w:rsid w:val="00937AC5"/>
    <w:rsid w:val="009407F7"/>
    <w:rsid w:val="009417BA"/>
    <w:rsid w:val="009444DF"/>
    <w:rsid w:val="00955106"/>
    <w:rsid w:val="00956043"/>
    <w:rsid w:val="009574F3"/>
    <w:rsid w:val="0096193A"/>
    <w:rsid w:val="00963394"/>
    <w:rsid w:val="00967135"/>
    <w:rsid w:val="0096759F"/>
    <w:rsid w:val="009725AA"/>
    <w:rsid w:val="00976F0E"/>
    <w:rsid w:val="00991875"/>
    <w:rsid w:val="009B075C"/>
    <w:rsid w:val="009B5D69"/>
    <w:rsid w:val="009B669E"/>
    <w:rsid w:val="009C2FEB"/>
    <w:rsid w:val="009C3C55"/>
    <w:rsid w:val="009C6E1C"/>
    <w:rsid w:val="009E307B"/>
    <w:rsid w:val="009E5DA7"/>
    <w:rsid w:val="009E632A"/>
    <w:rsid w:val="009E695E"/>
    <w:rsid w:val="00A011F8"/>
    <w:rsid w:val="00A02A54"/>
    <w:rsid w:val="00A059CB"/>
    <w:rsid w:val="00A07DF4"/>
    <w:rsid w:val="00A348BA"/>
    <w:rsid w:val="00A34EE7"/>
    <w:rsid w:val="00A413F2"/>
    <w:rsid w:val="00A51B7B"/>
    <w:rsid w:val="00A52146"/>
    <w:rsid w:val="00A52D2B"/>
    <w:rsid w:val="00A6774D"/>
    <w:rsid w:val="00A71367"/>
    <w:rsid w:val="00A75738"/>
    <w:rsid w:val="00A77576"/>
    <w:rsid w:val="00A80D22"/>
    <w:rsid w:val="00A97154"/>
    <w:rsid w:val="00AA3449"/>
    <w:rsid w:val="00AA5194"/>
    <w:rsid w:val="00AA7459"/>
    <w:rsid w:val="00AA79C1"/>
    <w:rsid w:val="00AA7E3A"/>
    <w:rsid w:val="00AB193D"/>
    <w:rsid w:val="00AB1B0B"/>
    <w:rsid w:val="00AC21F9"/>
    <w:rsid w:val="00AD2D71"/>
    <w:rsid w:val="00AE3452"/>
    <w:rsid w:val="00AE7511"/>
    <w:rsid w:val="00AE7CEC"/>
    <w:rsid w:val="00AF4239"/>
    <w:rsid w:val="00AF62CB"/>
    <w:rsid w:val="00B10FC1"/>
    <w:rsid w:val="00B11166"/>
    <w:rsid w:val="00B13168"/>
    <w:rsid w:val="00B13BB4"/>
    <w:rsid w:val="00B1725B"/>
    <w:rsid w:val="00B33C25"/>
    <w:rsid w:val="00B40CB3"/>
    <w:rsid w:val="00B50852"/>
    <w:rsid w:val="00B57D4B"/>
    <w:rsid w:val="00B6326B"/>
    <w:rsid w:val="00B63D9C"/>
    <w:rsid w:val="00B649D6"/>
    <w:rsid w:val="00B65EC6"/>
    <w:rsid w:val="00B6631D"/>
    <w:rsid w:val="00B846B8"/>
    <w:rsid w:val="00B9063B"/>
    <w:rsid w:val="00B92018"/>
    <w:rsid w:val="00BA06E6"/>
    <w:rsid w:val="00BA2478"/>
    <w:rsid w:val="00BA44E8"/>
    <w:rsid w:val="00BA50D0"/>
    <w:rsid w:val="00BA7818"/>
    <w:rsid w:val="00BB1990"/>
    <w:rsid w:val="00BB48E6"/>
    <w:rsid w:val="00BB6ABB"/>
    <w:rsid w:val="00BC5124"/>
    <w:rsid w:val="00BC737F"/>
    <w:rsid w:val="00BD0A4D"/>
    <w:rsid w:val="00BD1641"/>
    <w:rsid w:val="00BD3356"/>
    <w:rsid w:val="00BD7F6D"/>
    <w:rsid w:val="00BE6277"/>
    <w:rsid w:val="00BF0CB9"/>
    <w:rsid w:val="00BF0D4E"/>
    <w:rsid w:val="00BF157C"/>
    <w:rsid w:val="00BF45F5"/>
    <w:rsid w:val="00C01328"/>
    <w:rsid w:val="00C02780"/>
    <w:rsid w:val="00C03D13"/>
    <w:rsid w:val="00C03DA1"/>
    <w:rsid w:val="00C123F6"/>
    <w:rsid w:val="00C16FB2"/>
    <w:rsid w:val="00C218F4"/>
    <w:rsid w:val="00C23B41"/>
    <w:rsid w:val="00C23E23"/>
    <w:rsid w:val="00C255F5"/>
    <w:rsid w:val="00C31272"/>
    <w:rsid w:val="00C35F58"/>
    <w:rsid w:val="00C45932"/>
    <w:rsid w:val="00C51618"/>
    <w:rsid w:val="00C51AD8"/>
    <w:rsid w:val="00C53A13"/>
    <w:rsid w:val="00C556CE"/>
    <w:rsid w:val="00C570FC"/>
    <w:rsid w:val="00C57FD9"/>
    <w:rsid w:val="00C71D69"/>
    <w:rsid w:val="00C73EF6"/>
    <w:rsid w:val="00C743F3"/>
    <w:rsid w:val="00C87C3D"/>
    <w:rsid w:val="00C9289C"/>
    <w:rsid w:val="00C97F99"/>
    <w:rsid w:val="00CA132A"/>
    <w:rsid w:val="00CA3177"/>
    <w:rsid w:val="00CA3C0B"/>
    <w:rsid w:val="00CB081C"/>
    <w:rsid w:val="00CB28F1"/>
    <w:rsid w:val="00CC112E"/>
    <w:rsid w:val="00CC393E"/>
    <w:rsid w:val="00CC513E"/>
    <w:rsid w:val="00CC5577"/>
    <w:rsid w:val="00CC6C33"/>
    <w:rsid w:val="00CD2400"/>
    <w:rsid w:val="00CD4A21"/>
    <w:rsid w:val="00CE1131"/>
    <w:rsid w:val="00CE2ACB"/>
    <w:rsid w:val="00CE319E"/>
    <w:rsid w:val="00CE6311"/>
    <w:rsid w:val="00CE63E0"/>
    <w:rsid w:val="00CF2FD6"/>
    <w:rsid w:val="00CF6B08"/>
    <w:rsid w:val="00D00BAD"/>
    <w:rsid w:val="00D01620"/>
    <w:rsid w:val="00D056A0"/>
    <w:rsid w:val="00D10BE3"/>
    <w:rsid w:val="00D12E2A"/>
    <w:rsid w:val="00D25150"/>
    <w:rsid w:val="00D257EA"/>
    <w:rsid w:val="00D25A44"/>
    <w:rsid w:val="00D26E9E"/>
    <w:rsid w:val="00D30E2F"/>
    <w:rsid w:val="00D322FF"/>
    <w:rsid w:val="00D337D2"/>
    <w:rsid w:val="00D36AA7"/>
    <w:rsid w:val="00D42EBA"/>
    <w:rsid w:val="00D4317A"/>
    <w:rsid w:val="00D53880"/>
    <w:rsid w:val="00D53C94"/>
    <w:rsid w:val="00D7106E"/>
    <w:rsid w:val="00D84C79"/>
    <w:rsid w:val="00D8646E"/>
    <w:rsid w:val="00D90B54"/>
    <w:rsid w:val="00DA137D"/>
    <w:rsid w:val="00DA4189"/>
    <w:rsid w:val="00DB191B"/>
    <w:rsid w:val="00DB1B38"/>
    <w:rsid w:val="00DB4268"/>
    <w:rsid w:val="00DC0E48"/>
    <w:rsid w:val="00DC2AEB"/>
    <w:rsid w:val="00DD3645"/>
    <w:rsid w:val="00DE12F5"/>
    <w:rsid w:val="00DF1C7C"/>
    <w:rsid w:val="00DF39D2"/>
    <w:rsid w:val="00DF59D6"/>
    <w:rsid w:val="00DF610B"/>
    <w:rsid w:val="00DF66DD"/>
    <w:rsid w:val="00DF706D"/>
    <w:rsid w:val="00DF77A1"/>
    <w:rsid w:val="00E0335F"/>
    <w:rsid w:val="00E13254"/>
    <w:rsid w:val="00E1451A"/>
    <w:rsid w:val="00E15858"/>
    <w:rsid w:val="00E2156F"/>
    <w:rsid w:val="00E326C2"/>
    <w:rsid w:val="00E3315C"/>
    <w:rsid w:val="00E33D0A"/>
    <w:rsid w:val="00E35844"/>
    <w:rsid w:val="00E35A08"/>
    <w:rsid w:val="00E421BD"/>
    <w:rsid w:val="00E42FBA"/>
    <w:rsid w:val="00E47284"/>
    <w:rsid w:val="00E47332"/>
    <w:rsid w:val="00E47376"/>
    <w:rsid w:val="00E51852"/>
    <w:rsid w:val="00E51C54"/>
    <w:rsid w:val="00E5403D"/>
    <w:rsid w:val="00E5596C"/>
    <w:rsid w:val="00E57074"/>
    <w:rsid w:val="00E574BF"/>
    <w:rsid w:val="00E6103C"/>
    <w:rsid w:val="00E87BA2"/>
    <w:rsid w:val="00EA0D35"/>
    <w:rsid w:val="00EA2015"/>
    <w:rsid w:val="00EA55C6"/>
    <w:rsid w:val="00EA7F92"/>
    <w:rsid w:val="00EC0F36"/>
    <w:rsid w:val="00EC4651"/>
    <w:rsid w:val="00EC732B"/>
    <w:rsid w:val="00EE1C72"/>
    <w:rsid w:val="00EE4110"/>
    <w:rsid w:val="00EE57CB"/>
    <w:rsid w:val="00EE6831"/>
    <w:rsid w:val="00EF2EDE"/>
    <w:rsid w:val="00EF3018"/>
    <w:rsid w:val="00EF71E0"/>
    <w:rsid w:val="00F001AF"/>
    <w:rsid w:val="00F03E93"/>
    <w:rsid w:val="00F06260"/>
    <w:rsid w:val="00F063B8"/>
    <w:rsid w:val="00F07659"/>
    <w:rsid w:val="00F10E87"/>
    <w:rsid w:val="00F1355E"/>
    <w:rsid w:val="00F20F31"/>
    <w:rsid w:val="00F21A0C"/>
    <w:rsid w:val="00F21C00"/>
    <w:rsid w:val="00F22C4A"/>
    <w:rsid w:val="00F23FB9"/>
    <w:rsid w:val="00F31259"/>
    <w:rsid w:val="00F37FB8"/>
    <w:rsid w:val="00F43058"/>
    <w:rsid w:val="00F4410F"/>
    <w:rsid w:val="00F460C9"/>
    <w:rsid w:val="00F46FE6"/>
    <w:rsid w:val="00F51CDB"/>
    <w:rsid w:val="00F52FB3"/>
    <w:rsid w:val="00F54172"/>
    <w:rsid w:val="00F6263B"/>
    <w:rsid w:val="00F637D3"/>
    <w:rsid w:val="00F64F75"/>
    <w:rsid w:val="00F65C59"/>
    <w:rsid w:val="00F749C2"/>
    <w:rsid w:val="00F757CF"/>
    <w:rsid w:val="00F866B2"/>
    <w:rsid w:val="00F87CD6"/>
    <w:rsid w:val="00F9131A"/>
    <w:rsid w:val="00F951E0"/>
    <w:rsid w:val="00FA0B47"/>
    <w:rsid w:val="00FA0D67"/>
    <w:rsid w:val="00FA13AC"/>
    <w:rsid w:val="00FA27A6"/>
    <w:rsid w:val="00FB5F25"/>
    <w:rsid w:val="00FC505D"/>
    <w:rsid w:val="00FC790A"/>
    <w:rsid w:val="00FD12D4"/>
    <w:rsid w:val="00FD16FF"/>
    <w:rsid w:val="00FD6AD3"/>
    <w:rsid w:val="00FE24B9"/>
    <w:rsid w:val="00FF5877"/>
    <w:rsid w:val="00FF6066"/>
    <w:rsid w:val="00FF6164"/>
    <w:rsid w:val="00FF74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B3F36"/>
  <w15:chartTrackingRefBased/>
  <w15:docId w15:val="{8A3B75F6-9A41-4CA8-B9E8-53E6C146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5AB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96B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96BAC"/>
  </w:style>
  <w:style w:type="paragraph" w:styleId="Pidipagina">
    <w:name w:val="footer"/>
    <w:basedOn w:val="Normale"/>
    <w:link w:val="PidipaginaCarattere"/>
    <w:uiPriority w:val="99"/>
    <w:unhideWhenUsed/>
    <w:rsid w:val="00896B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96BAC"/>
  </w:style>
  <w:style w:type="character" w:styleId="Collegamentoipertestuale">
    <w:name w:val="Hyperlink"/>
    <w:basedOn w:val="Carpredefinitoparagrafo"/>
    <w:uiPriority w:val="99"/>
    <w:unhideWhenUsed/>
    <w:rsid w:val="00C57FD9"/>
    <w:rPr>
      <w:color w:val="0563C1" w:themeColor="hyperlink"/>
      <w:u w:val="single"/>
    </w:rPr>
  </w:style>
  <w:style w:type="character" w:styleId="Menzionenonrisolta">
    <w:name w:val="Unresolved Mention"/>
    <w:basedOn w:val="Carpredefinitoparagrafo"/>
    <w:uiPriority w:val="99"/>
    <w:semiHidden/>
    <w:unhideWhenUsed/>
    <w:rsid w:val="00C57FD9"/>
    <w:rPr>
      <w:color w:val="605E5C"/>
      <w:shd w:val="clear" w:color="auto" w:fill="E1DFDD"/>
    </w:rPr>
  </w:style>
  <w:style w:type="table" w:styleId="Grigliatabella">
    <w:name w:val="Table Grid"/>
    <w:basedOn w:val="Tabellanormale"/>
    <w:uiPriority w:val="39"/>
    <w:rsid w:val="003A04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474118"/>
    <w:rPr>
      <w:color w:val="954F72" w:themeColor="followedHyperlink"/>
      <w:u w:val="single"/>
    </w:rPr>
  </w:style>
  <w:style w:type="paragraph" w:styleId="Paragrafoelenco">
    <w:name w:val="List Paragraph"/>
    <w:basedOn w:val="Normale"/>
    <w:uiPriority w:val="34"/>
    <w:qFormat/>
    <w:rsid w:val="00772249"/>
    <w:pPr>
      <w:ind w:left="720"/>
      <w:contextualSpacing/>
    </w:pPr>
  </w:style>
  <w:style w:type="character" w:styleId="Rimandocommento">
    <w:name w:val="annotation reference"/>
    <w:basedOn w:val="Carpredefinitoparagrafo"/>
    <w:uiPriority w:val="99"/>
    <w:semiHidden/>
    <w:unhideWhenUsed/>
    <w:rsid w:val="00A348BA"/>
    <w:rPr>
      <w:sz w:val="16"/>
      <w:szCs w:val="16"/>
    </w:rPr>
  </w:style>
  <w:style w:type="paragraph" w:styleId="Testocommento">
    <w:name w:val="annotation text"/>
    <w:basedOn w:val="Normale"/>
    <w:link w:val="TestocommentoCarattere"/>
    <w:uiPriority w:val="99"/>
    <w:semiHidden/>
    <w:unhideWhenUsed/>
    <w:rsid w:val="00A348B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348BA"/>
    <w:rPr>
      <w:sz w:val="20"/>
      <w:szCs w:val="20"/>
    </w:rPr>
  </w:style>
  <w:style w:type="paragraph" w:styleId="Soggettocommento">
    <w:name w:val="annotation subject"/>
    <w:basedOn w:val="Testocommento"/>
    <w:next w:val="Testocommento"/>
    <w:link w:val="SoggettocommentoCarattere"/>
    <w:uiPriority w:val="99"/>
    <w:semiHidden/>
    <w:unhideWhenUsed/>
    <w:rsid w:val="00A348BA"/>
    <w:rPr>
      <w:b/>
      <w:bCs/>
    </w:rPr>
  </w:style>
  <w:style w:type="character" w:customStyle="1" w:styleId="SoggettocommentoCarattere">
    <w:name w:val="Soggetto commento Carattere"/>
    <w:basedOn w:val="TestocommentoCarattere"/>
    <w:link w:val="Soggettocommento"/>
    <w:uiPriority w:val="99"/>
    <w:semiHidden/>
    <w:rsid w:val="00A348BA"/>
    <w:rPr>
      <w:b/>
      <w:bCs/>
      <w:sz w:val="20"/>
      <w:szCs w:val="20"/>
    </w:rPr>
  </w:style>
  <w:style w:type="paragraph" w:styleId="Testofumetto">
    <w:name w:val="Balloon Text"/>
    <w:basedOn w:val="Normale"/>
    <w:link w:val="TestofumettoCarattere"/>
    <w:uiPriority w:val="99"/>
    <w:semiHidden/>
    <w:unhideWhenUsed/>
    <w:rsid w:val="00DB191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B19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13</Pages>
  <Words>5070</Words>
  <Characters>28901</Characters>
  <Application>Microsoft Office Word</Application>
  <DocSecurity>0</DocSecurity>
  <Lines>240</Lines>
  <Paragraphs>67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domnich</dc:creator>
  <cp:keywords/>
  <dc:description/>
  <cp:lastModifiedBy>alex domnich</cp:lastModifiedBy>
  <cp:revision>11</cp:revision>
  <dcterms:created xsi:type="dcterms:W3CDTF">2023-01-19T09:58:00Z</dcterms:created>
  <dcterms:modified xsi:type="dcterms:W3CDTF">2023-01-21T05:18:00Z</dcterms:modified>
</cp:coreProperties>
</file>