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56C05" w14:textId="4FA0E684" w:rsidR="00DA072E" w:rsidRPr="00C54EF0" w:rsidRDefault="00F316E0" w:rsidP="002E5ED4">
      <w:pPr>
        <w:pStyle w:val="Titlewhec"/>
        <w:spacing w:after="120" w:line="480" w:lineRule="auto"/>
        <w:rPr>
          <w:rFonts w:asciiTheme="minorHAnsi" w:hAnsiTheme="minorHAnsi" w:cstheme="minorHAnsi"/>
          <w:caps w:val="0"/>
          <w:szCs w:val="24"/>
        </w:rPr>
      </w:pPr>
      <w:r w:rsidRPr="00C54EF0">
        <w:rPr>
          <w:rFonts w:eastAsia="Times New Roman" w:cs="Calibri"/>
          <w:caps w:val="0"/>
          <w:color w:val="000000"/>
          <w:szCs w:val="22"/>
          <w:lang w:eastAsia="en-ZA"/>
        </w:rPr>
        <w:t xml:space="preserve">Investigating and modelling the effect of light intensity on </w:t>
      </w:r>
      <w:r w:rsidRPr="00C54EF0">
        <w:rPr>
          <w:rFonts w:eastAsia="Times New Roman" w:cs="Calibri"/>
          <w:i/>
          <w:iCs/>
          <w:caps w:val="0"/>
          <w:color w:val="000000"/>
          <w:szCs w:val="22"/>
          <w:lang w:eastAsia="en-ZA"/>
        </w:rPr>
        <w:t xml:space="preserve">Rhodopseudomonas palustris </w:t>
      </w:r>
      <w:r w:rsidRPr="00C54EF0">
        <w:rPr>
          <w:rFonts w:eastAsia="Times New Roman" w:cs="Calibri"/>
          <w:caps w:val="0"/>
          <w:color w:val="000000"/>
          <w:szCs w:val="22"/>
          <w:lang w:eastAsia="en-ZA"/>
        </w:rPr>
        <w:t>growth</w:t>
      </w:r>
    </w:p>
    <w:p w14:paraId="398DC04D" w14:textId="005F5A31" w:rsidR="00DA072E" w:rsidRPr="000072A8" w:rsidRDefault="00DA072E" w:rsidP="002E5ED4">
      <w:pPr>
        <w:pStyle w:val="NoSpacing"/>
        <w:spacing w:line="480" w:lineRule="auto"/>
        <w:jc w:val="center"/>
        <w:rPr>
          <w:i/>
          <w:color w:val="0070C0"/>
        </w:rPr>
      </w:pPr>
      <w:r w:rsidRPr="000072A8">
        <w:rPr>
          <w:i/>
        </w:rPr>
        <w:t xml:space="preserve"> Brandon</w:t>
      </w:r>
      <w:r w:rsidR="006A486F" w:rsidRPr="000072A8">
        <w:rPr>
          <w:i/>
        </w:rPr>
        <w:t xml:space="preserve"> Sean</w:t>
      </w:r>
      <w:r w:rsidRPr="000072A8">
        <w:rPr>
          <w:i/>
        </w:rPr>
        <w:t xml:space="preserve"> Ross</w:t>
      </w:r>
      <w:r w:rsidR="00DE756A" w:rsidRPr="000072A8">
        <w:rPr>
          <w:i/>
          <w:vertAlign w:val="superscript"/>
        </w:rPr>
        <w:t>1</w:t>
      </w:r>
      <w:r w:rsidRPr="000072A8">
        <w:rPr>
          <w:i/>
        </w:rPr>
        <w:t>, Robert</w:t>
      </w:r>
      <w:r w:rsidR="00662C16" w:rsidRPr="000072A8">
        <w:rPr>
          <w:i/>
        </w:rPr>
        <w:t xml:space="preserve"> W.M.</w:t>
      </w:r>
      <w:r w:rsidRPr="000072A8">
        <w:rPr>
          <w:i/>
        </w:rPr>
        <w:t xml:space="preserve"> Pott</w:t>
      </w:r>
      <w:r w:rsidR="00DE756A" w:rsidRPr="000072A8">
        <w:rPr>
          <w:i/>
          <w:vertAlign w:val="superscript"/>
        </w:rPr>
        <w:t>1*</w:t>
      </w:r>
    </w:p>
    <w:p w14:paraId="28E272F1" w14:textId="021D4150" w:rsidR="00DA072E" w:rsidRPr="000072A8" w:rsidRDefault="00DA072E" w:rsidP="002E5ED4">
      <w:pPr>
        <w:pStyle w:val="NoSpacing"/>
        <w:spacing w:line="480" w:lineRule="auto"/>
        <w:jc w:val="center"/>
      </w:pPr>
      <w:r w:rsidRPr="000072A8">
        <w:rPr>
          <w:vertAlign w:val="superscript"/>
        </w:rPr>
        <w:t>1</w:t>
      </w:r>
      <w:r w:rsidRPr="000072A8">
        <w:t xml:space="preserve"> Department of Process Engineering at Stellenbosch University, Banghoek Rd, Stellenbosch, South Africa</w:t>
      </w:r>
    </w:p>
    <w:p w14:paraId="12605E19" w14:textId="00E853C0" w:rsidR="00DA072E" w:rsidRPr="000072A8" w:rsidRDefault="00DA072E" w:rsidP="002E5ED4">
      <w:pPr>
        <w:pStyle w:val="NoSpacing"/>
        <w:spacing w:line="480" w:lineRule="auto"/>
        <w:jc w:val="center"/>
        <w:rPr>
          <w:color w:val="FF0000"/>
        </w:rPr>
      </w:pPr>
      <w:r w:rsidRPr="000072A8">
        <w:t xml:space="preserve">*Corresponding author e-mail: </w:t>
      </w:r>
      <w:r w:rsidR="00662C16" w:rsidRPr="002A4A00">
        <w:rPr>
          <w:rStyle w:val="Hyperlink"/>
        </w:rPr>
        <w:t>rpott@sun.ac.za</w:t>
      </w:r>
    </w:p>
    <w:p w14:paraId="160690B1" w14:textId="0D42293B" w:rsidR="00DA072E" w:rsidRDefault="00DA072E" w:rsidP="00D10891">
      <w:pPr>
        <w:pStyle w:val="SectionHeadingswhec"/>
      </w:pPr>
      <w:r w:rsidRPr="00D10891">
        <w:t>A</w:t>
      </w:r>
      <w:r w:rsidR="005D4FB8" w:rsidRPr="00D10891">
        <w:t>bstract</w:t>
      </w:r>
    </w:p>
    <w:p w14:paraId="3E347980" w14:textId="18B8A20D" w:rsidR="00233F63" w:rsidRPr="006321E5" w:rsidRDefault="00D10891" w:rsidP="00D10891">
      <w:r>
        <w:t xml:space="preserve">Photosynthetic bacteria </w:t>
      </w:r>
      <w:r w:rsidR="0097559B">
        <w:t xml:space="preserve">can be useful biotechnological tools – they produce a </w:t>
      </w:r>
      <w:r w:rsidR="008408A1">
        <w:t>variety</w:t>
      </w:r>
      <w:r w:rsidR="0097559B">
        <w:t xml:space="preserve"> of valuable products, including high purity hydrogen, and can </w:t>
      </w:r>
      <w:r w:rsidR="008408A1">
        <w:t>simultaneously</w:t>
      </w:r>
      <w:r w:rsidR="0097559B">
        <w:t xml:space="preserve"> treat recalcitrant wastewaters. </w:t>
      </w:r>
      <w:r w:rsidR="008408A1">
        <w:t xml:space="preserve">However, while photobioreactors have been designed and modelled for </w:t>
      </w:r>
      <w:r w:rsidR="00786461">
        <w:t>photosynthetic</w:t>
      </w:r>
      <w:r w:rsidR="008408A1">
        <w:t xml:space="preserve"> algae and cyanobacteria, there has been less work on </w:t>
      </w:r>
      <w:r w:rsidR="00786461">
        <w:t xml:space="preserve">understanding the effect of light in photosynthetic bacterial fermentations. </w:t>
      </w:r>
      <w:r w:rsidR="005F21C6">
        <w:t xml:space="preserve">In order to design photobioreactors, and processes using these organisms, robust models of light penetration, utilisation and conversion are needed. This article uses experimental data from a </w:t>
      </w:r>
      <w:r w:rsidR="006321E5">
        <w:t xml:space="preserve">tubular photobioreactor designed to focus in on light intensity effects, to model the effect of light intensity on the growth of </w:t>
      </w:r>
      <w:r w:rsidR="006321E5">
        <w:rPr>
          <w:i/>
          <w:iCs/>
        </w:rPr>
        <w:t>Rhodopseudomonas palustris</w:t>
      </w:r>
      <w:r w:rsidR="006321E5">
        <w:t xml:space="preserve">, a model photosynthetic bacterium. </w:t>
      </w:r>
      <w:r w:rsidR="00642927">
        <w:t>The work demonstrates that growth is controlled by light intensity, and that this organism does experience photoinhibition above 600 W/m</w:t>
      </w:r>
      <w:r w:rsidR="00642927">
        <w:rPr>
          <w:vertAlign w:val="superscript"/>
        </w:rPr>
        <w:t>2</w:t>
      </w:r>
      <w:r w:rsidR="00642927">
        <w:t xml:space="preserve">, which has implications for outdoor applications. Further, </w:t>
      </w:r>
      <w:r w:rsidR="00A2680D">
        <w:t xml:space="preserve">the work presents a model for light penetration in circular photobioreactors, which tends to be the most common geometry. </w:t>
      </w:r>
      <w:r w:rsidR="003C58FA">
        <w:t xml:space="preserve">The work extends </w:t>
      </w:r>
      <w:r w:rsidR="002D2C08">
        <w:t xml:space="preserve">the modelling tools for these organisms, and will allow for better photobioreactor design, and the integration of modelling tools in </w:t>
      </w:r>
      <w:r w:rsidR="00EC4188">
        <w:t>designing processes which use photosynthetic bacteria.</w:t>
      </w:r>
      <w:r w:rsidR="00642927">
        <w:t xml:space="preserve"> </w:t>
      </w:r>
    </w:p>
    <w:p w14:paraId="5D7CDC73" w14:textId="77777777" w:rsidR="005D4FB8" w:rsidRPr="00E2283F" w:rsidRDefault="005D4FB8" w:rsidP="00D10891">
      <w:pPr>
        <w:pStyle w:val="SectionHeadingswhec"/>
      </w:pPr>
    </w:p>
    <w:p w14:paraId="6B9168C1" w14:textId="241C20B1" w:rsidR="00221CF3" w:rsidRDefault="00DA072E" w:rsidP="002E5ED4">
      <w:pPr>
        <w:spacing w:line="480" w:lineRule="auto"/>
      </w:pPr>
      <w:r w:rsidRPr="00C34BD7">
        <w:rPr>
          <w:rStyle w:val="Sub-SectionHeadingwhecChar"/>
          <w:rFonts w:asciiTheme="minorHAnsi" w:hAnsiTheme="minorHAnsi" w:cstheme="minorHAnsi"/>
          <w:szCs w:val="22"/>
        </w:rPr>
        <w:t>Keywords:</w:t>
      </w:r>
      <w:r w:rsidRPr="00C34BD7">
        <w:rPr>
          <w:rFonts w:asciiTheme="minorHAnsi" w:hAnsiTheme="minorHAnsi" w:cstheme="minorHAnsi"/>
          <w:szCs w:val="22"/>
        </w:rPr>
        <w:t xml:space="preserve"> </w:t>
      </w:r>
      <w:r w:rsidR="00636219">
        <w:rPr>
          <w:rFonts w:asciiTheme="minorHAnsi" w:hAnsiTheme="minorHAnsi" w:cstheme="minorHAnsi"/>
          <w:szCs w:val="22"/>
        </w:rPr>
        <w:t>Light inten</w:t>
      </w:r>
      <w:r w:rsidR="004E7854">
        <w:rPr>
          <w:rFonts w:asciiTheme="minorHAnsi" w:hAnsiTheme="minorHAnsi" w:cstheme="minorHAnsi"/>
          <w:szCs w:val="22"/>
        </w:rPr>
        <w:t>sity</w:t>
      </w:r>
      <w:r w:rsidR="00AE5CAD">
        <w:rPr>
          <w:rFonts w:asciiTheme="minorHAnsi" w:hAnsiTheme="minorHAnsi" w:cstheme="minorHAnsi"/>
          <w:szCs w:val="22"/>
        </w:rPr>
        <w:t>;</w:t>
      </w:r>
      <w:r w:rsidRPr="00C34BD7">
        <w:rPr>
          <w:rFonts w:asciiTheme="minorHAnsi" w:hAnsiTheme="minorHAnsi" w:cstheme="minorHAnsi"/>
          <w:szCs w:val="22"/>
        </w:rPr>
        <w:t xml:space="preserve"> </w:t>
      </w:r>
      <w:r w:rsidRPr="00C34BD7">
        <w:rPr>
          <w:rFonts w:asciiTheme="minorHAnsi" w:hAnsiTheme="minorHAnsi" w:cstheme="minorHAnsi"/>
          <w:i/>
          <w:iCs/>
          <w:szCs w:val="22"/>
        </w:rPr>
        <w:t>Rhodopseudomonas palustris</w:t>
      </w:r>
      <w:r w:rsidR="003E3EBB">
        <w:rPr>
          <w:rFonts w:asciiTheme="minorHAnsi" w:hAnsiTheme="minorHAnsi" w:cstheme="minorHAnsi"/>
          <w:szCs w:val="22"/>
        </w:rPr>
        <w:t>;</w:t>
      </w:r>
      <w:r w:rsidR="00A05019">
        <w:rPr>
          <w:rFonts w:asciiTheme="minorHAnsi" w:hAnsiTheme="minorHAnsi" w:cstheme="minorHAnsi"/>
          <w:szCs w:val="22"/>
        </w:rPr>
        <w:t xml:space="preserve"> photobioreactor</w:t>
      </w:r>
      <w:r w:rsidR="003E3EBB">
        <w:rPr>
          <w:rFonts w:asciiTheme="minorHAnsi" w:hAnsiTheme="minorHAnsi" w:cstheme="minorHAnsi"/>
          <w:szCs w:val="22"/>
        </w:rPr>
        <w:t>;</w:t>
      </w:r>
      <w:r w:rsidR="00AE5CAD">
        <w:rPr>
          <w:rFonts w:asciiTheme="minorHAnsi" w:hAnsiTheme="minorHAnsi" w:cstheme="minorHAnsi"/>
          <w:szCs w:val="22"/>
        </w:rPr>
        <w:t xml:space="preserve"> model</w:t>
      </w:r>
      <w:r w:rsidR="003E3EBB">
        <w:rPr>
          <w:rFonts w:asciiTheme="minorHAnsi" w:hAnsiTheme="minorHAnsi" w:cstheme="minorHAnsi"/>
          <w:szCs w:val="22"/>
        </w:rPr>
        <w:t>;</w:t>
      </w:r>
      <w:r w:rsidR="00AE5CAD">
        <w:rPr>
          <w:rFonts w:asciiTheme="minorHAnsi" w:hAnsiTheme="minorHAnsi" w:cstheme="minorHAnsi"/>
          <w:szCs w:val="22"/>
        </w:rPr>
        <w:t xml:space="preserve"> </w:t>
      </w:r>
      <w:r w:rsidR="005A5505">
        <w:rPr>
          <w:rFonts w:asciiTheme="minorHAnsi" w:hAnsiTheme="minorHAnsi" w:cstheme="minorHAnsi"/>
          <w:szCs w:val="22"/>
        </w:rPr>
        <w:t>light inhibition</w:t>
      </w:r>
      <w:r w:rsidR="00221CF3">
        <w:br w:type="page"/>
      </w:r>
    </w:p>
    <w:p w14:paraId="5004A266" w14:textId="5FC6A974" w:rsidR="00B82610" w:rsidRPr="005D4FB8" w:rsidRDefault="005D4FB8" w:rsidP="00D10891">
      <w:pPr>
        <w:pStyle w:val="SectionHeadingswhec"/>
        <w:rPr>
          <w:color w:val="0070C0"/>
        </w:rPr>
      </w:pPr>
      <w:r>
        <w:lastRenderedPageBreak/>
        <w:t>Nomenclature</w:t>
      </w:r>
    </w:p>
    <w:tbl>
      <w:tblPr>
        <w:tblW w:w="0" w:type="auto"/>
        <w:tblLook w:val="04A0" w:firstRow="1" w:lastRow="0" w:firstColumn="1" w:lastColumn="0" w:noHBand="0" w:noVBand="1"/>
      </w:tblPr>
      <w:tblGrid>
        <w:gridCol w:w="2293"/>
        <w:gridCol w:w="6998"/>
      </w:tblGrid>
      <w:tr w:rsidR="003F039A" w:rsidRPr="00C34BD7" w14:paraId="691E87C7" w14:textId="77777777" w:rsidTr="005D75CC">
        <w:tc>
          <w:tcPr>
            <w:tcW w:w="2293" w:type="dxa"/>
          </w:tcPr>
          <w:p w14:paraId="2E72E08D" w14:textId="712B89D5" w:rsidR="003F039A" w:rsidRPr="00C34BD7" w:rsidRDefault="006F78F7" w:rsidP="002E5ED4">
            <w:pPr>
              <w:spacing w:line="480" w:lineRule="auto"/>
              <w:rPr>
                <w:szCs w:val="22"/>
              </w:rPr>
            </w:pPr>
            <w:r w:rsidRPr="00C34BD7">
              <w:rPr>
                <w:rFonts w:cs="Calibri"/>
                <w:szCs w:val="22"/>
              </w:rPr>
              <w:t>α</w:t>
            </w:r>
          </w:p>
        </w:tc>
        <w:tc>
          <w:tcPr>
            <w:tcW w:w="6998" w:type="dxa"/>
          </w:tcPr>
          <w:p w14:paraId="081D5A51" w14:textId="6C5D0314" w:rsidR="003F039A" w:rsidRPr="00C34BD7" w:rsidRDefault="006F78F7" w:rsidP="002E5ED4">
            <w:pPr>
              <w:spacing w:line="480" w:lineRule="auto"/>
              <w:rPr>
                <w:szCs w:val="22"/>
              </w:rPr>
            </w:pPr>
            <w:r w:rsidRPr="00C34BD7">
              <w:rPr>
                <w:szCs w:val="22"/>
              </w:rPr>
              <w:t>Significance level</w:t>
            </w:r>
          </w:p>
        </w:tc>
      </w:tr>
      <w:tr w:rsidR="003F039A" w:rsidRPr="00C34BD7" w14:paraId="37A6AD12" w14:textId="77777777" w:rsidTr="005D75CC">
        <w:tc>
          <w:tcPr>
            <w:tcW w:w="2293" w:type="dxa"/>
          </w:tcPr>
          <w:p w14:paraId="534BB987" w14:textId="1C0E4FB5" w:rsidR="003F039A" w:rsidRPr="00C34BD7" w:rsidRDefault="00995AB2" w:rsidP="002E5ED4">
            <w:pPr>
              <w:spacing w:line="480" w:lineRule="auto"/>
              <w:rPr>
                <w:szCs w:val="22"/>
              </w:rPr>
            </w:pPr>
            <w:r w:rsidRPr="00C34BD7">
              <w:rPr>
                <w:szCs w:val="22"/>
              </w:rPr>
              <w:t>CDW</w:t>
            </w:r>
          </w:p>
        </w:tc>
        <w:tc>
          <w:tcPr>
            <w:tcW w:w="6998" w:type="dxa"/>
          </w:tcPr>
          <w:p w14:paraId="1B1960E3" w14:textId="68F740A1" w:rsidR="003F039A" w:rsidRPr="00C34BD7" w:rsidRDefault="009B570E" w:rsidP="002E5ED4">
            <w:pPr>
              <w:spacing w:line="480" w:lineRule="auto"/>
              <w:rPr>
                <w:szCs w:val="22"/>
              </w:rPr>
            </w:pPr>
            <w:r w:rsidRPr="00C34BD7">
              <w:rPr>
                <w:szCs w:val="22"/>
              </w:rPr>
              <w:t>Cell dry weight</w:t>
            </w:r>
            <w:r w:rsidR="005D75CC" w:rsidRPr="00C34BD7">
              <w:rPr>
                <w:szCs w:val="22"/>
              </w:rPr>
              <w:t xml:space="preserve"> (g)</w:t>
            </w:r>
          </w:p>
        </w:tc>
      </w:tr>
      <w:tr w:rsidR="003F039A" w:rsidRPr="00C34BD7" w14:paraId="3CD5D47D" w14:textId="77777777" w:rsidTr="005D75CC">
        <w:tc>
          <w:tcPr>
            <w:tcW w:w="2293" w:type="dxa"/>
          </w:tcPr>
          <w:p w14:paraId="104A65C2" w14:textId="1C35E655" w:rsidR="003F039A" w:rsidRPr="00C34BD7" w:rsidRDefault="00995AB2" w:rsidP="002E5ED4">
            <w:pPr>
              <w:spacing w:line="480" w:lineRule="auto"/>
              <w:rPr>
                <w:szCs w:val="22"/>
              </w:rPr>
            </w:pPr>
            <w:r w:rsidRPr="00C34BD7">
              <w:rPr>
                <w:szCs w:val="22"/>
              </w:rPr>
              <w:t>DSMZ</w:t>
            </w:r>
          </w:p>
        </w:tc>
        <w:tc>
          <w:tcPr>
            <w:tcW w:w="6998" w:type="dxa"/>
          </w:tcPr>
          <w:p w14:paraId="112E6B44" w14:textId="6AABB881" w:rsidR="003F039A" w:rsidRPr="00C34BD7" w:rsidRDefault="00E416AD" w:rsidP="002E5ED4">
            <w:pPr>
              <w:spacing w:line="480" w:lineRule="auto"/>
              <w:rPr>
                <w:szCs w:val="22"/>
              </w:rPr>
            </w:pPr>
            <w:r w:rsidRPr="00C34BD7">
              <w:rPr>
                <w:i/>
                <w:iCs/>
                <w:szCs w:val="22"/>
              </w:rPr>
              <w:t>Deutsche Sammlung von Mikroorganismen und Zellkulturen</w:t>
            </w:r>
          </w:p>
        </w:tc>
      </w:tr>
      <w:tr w:rsidR="003F039A" w:rsidRPr="00C34BD7" w14:paraId="079C5A57" w14:textId="77777777" w:rsidTr="005D75CC">
        <w:tc>
          <w:tcPr>
            <w:tcW w:w="2293" w:type="dxa"/>
          </w:tcPr>
          <w:p w14:paraId="72458F81" w14:textId="0D314944" w:rsidR="00995AB2" w:rsidRPr="00C34BD7" w:rsidRDefault="00995AB2" w:rsidP="002E5ED4">
            <w:pPr>
              <w:spacing w:line="480" w:lineRule="auto"/>
              <w:rPr>
                <w:szCs w:val="22"/>
              </w:rPr>
            </w:pPr>
            <w:r w:rsidRPr="00C34BD7">
              <w:rPr>
                <w:szCs w:val="22"/>
              </w:rPr>
              <w:t>FB</w:t>
            </w:r>
          </w:p>
        </w:tc>
        <w:tc>
          <w:tcPr>
            <w:tcW w:w="6998" w:type="dxa"/>
          </w:tcPr>
          <w:p w14:paraId="719F4EBB" w14:textId="7F0B7C5C" w:rsidR="003F039A" w:rsidRPr="00C34BD7" w:rsidRDefault="009B570E" w:rsidP="002E5ED4">
            <w:pPr>
              <w:spacing w:line="480" w:lineRule="auto"/>
              <w:rPr>
                <w:szCs w:val="22"/>
              </w:rPr>
            </w:pPr>
            <w:r w:rsidRPr="00C34BD7">
              <w:rPr>
                <w:szCs w:val="22"/>
              </w:rPr>
              <w:t>Fluidised bed photobioreactor</w:t>
            </w:r>
          </w:p>
        </w:tc>
      </w:tr>
      <w:tr w:rsidR="003F039A" w:rsidRPr="00C34BD7" w14:paraId="582E454F" w14:textId="77777777" w:rsidTr="005D75CC">
        <w:tc>
          <w:tcPr>
            <w:tcW w:w="2293" w:type="dxa"/>
          </w:tcPr>
          <w:p w14:paraId="14427F92" w14:textId="38EBF1E4" w:rsidR="003F039A" w:rsidRPr="00C34BD7" w:rsidRDefault="00393637" w:rsidP="002E5ED4">
            <w:pPr>
              <w:spacing w:line="480" w:lineRule="auto"/>
              <w:rPr>
                <w:szCs w:val="22"/>
                <w:vertAlign w:val="subscript"/>
              </w:rPr>
            </w:pPr>
            <w:r w:rsidRPr="00C34BD7">
              <w:rPr>
                <w:szCs w:val="22"/>
              </w:rPr>
              <w:t>g</w:t>
            </w:r>
            <w:r w:rsidRPr="00C34BD7">
              <w:rPr>
                <w:szCs w:val="22"/>
                <w:vertAlign w:val="subscript"/>
              </w:rPr>
              <w:t>CDW</w:t>
            </w:r>
          </w:p>
        </w:tc>
        <w:tc>
          <w:tcPr>
            <w:tcW w:w="6998" w:type="dxa"/>
          </w:tcPr>
          <w:p w14:paraId="5624ADD9" w14:textId="4C5498A4" w:rsidR="003F039A" w:rsidRPr="00C34BD7" w:rsidRDefault="00FD4193" w:rsidP="002E5ED4">
            <w:pPr>
              <w:spacing w:line="480" w:lineRule="auto"/>
              <w:rPr>
                <w:szCs w:val="22"/>
              </w:rPr>
            </w:pPr>
            <w:r w:rsidRPr="00C34BD7">
              <w:rPr>
                <w:szCs w:val="22"/>
              </w:rPr>
              <w:t>Grams on a cell dry weight basis</w:t>
            </w:r>
            <w:r w:rsidR="005D75CC" w:rsidRPr="00C34BD7">
              <w:rPr>
                <w:szCs w:val="22"/>
              </w:rPr>
              <w:t xml:space="preserve"> (g)</w:t>
            </w:r>
          </w:p>
        </w:tc>
      </w:tr>
      <w:tr w:rsidR="002C26A0" w:rsidRPr="00C34BD7" w14:paraId="2B74D634" w14:textId="77777777" w:rsidTr="005D75CC">
        <w:tc>
          <w:tcPr>
            <w:tcW w:w="2293" w:type="dxa"/>
          </w:tcPr>
          <w:p w14:paraId="14C71675" w14:textId="3C4A655A" w:rsidR="002C26A0" w:rsidRPr="00C34BD7" w:rsidRDefault="002C26A0" w:rsidP="002E5ED4">
            <w:pPr>
              <w:spacing w:line="480" w:lineRule="auto"/>
              <w:rPr>
                <w:szCs w:val="22"/>
              </w:rPr>
            </w:pPr>
            <w:r w:rsidRPr="00C34BD7">
              <w:rPr>
                <w:szCs w:val="22"/>
              </w:rPr>
              <w:t>h</w:t>
            </w:r>
          </w:p>
        </w:tc>
        <w:tc>
          <w:tcPr>
            <w:tcW w:w="6998" w:type="dxa"/>
          </w:tcPr>
          <w:p w14:paraId="34B5546E" w14:textId="4AD2B5B9" w:rsidR="002C26A0" w:rsidRPr="00C34BD7" w:rsidRDefault="002C26A0" w:rsidP="002E5ED4">
            <w:pPr>
              <w:spacing w:line="480" w:lineRule="auto"/>
              <w:rPr>
                <w:szCs w:val="22"/>
              </w:rPr>
            </w:pPr>
            <w:r w:rsidRPr="00C34BD7">
              <w:rPr>
                <w:szCs w:val="22"/>
              </w:rPr>
              <w:t>Hours</w:t>
            </w:r>
          </w:p>
        </w:tc>
      </w:tr>
      <w:tr w:rsidR="003F039A" w:rsidRPr="00C34BD7" w14:paraId="7597B6DD" w14:textId="77777777" w:rsidTr="005D75CC">
        <w:tc>
          <w:tcPr>
            <w:tcW w:w="2293" w:type="dxa"/>
          </w:tcPr>
          <w:p w14:paraId="0225BB9F" w14:textId="1CD8DD75" w:rsidR="003F039A" w:rsidRPr="00C34BD7" w:rsidRDefault="00995AB2" w:rsidP="002E5ED4">
            <w:pPr>
              <w:spacing w:line="480" w:lineRule="auto"/>
              <w:rPr>
                <w:szCs w:val="22"/>
              </w:rPr>
            </w:pPr>
            <w:r w:rsidRPr="00C34BD7">
              <w:rPr>
                <w:szCs w:val="22"/>
              </w:rPr>
              <w:t>HPLC</w:t>
            </w:r>
          </w:p>
        </w:tc>
        <w:tc>
          <w:tcPr>
            <w:tcW w:w="6998" w:type="dxa"/>
          </w:tcPr>
          <w:p w14:paraId="7C9B8705" w14:textId="0E7D3FA0" w:rsidR="003F039A" w:rsidRPr="00C34BD7" w:rsidRDefault="00CC6BF5" w:rsidP="002E5ED4">
            <w:pPr>
              <w:spacing w:line="480" w:lineRule="auto"/>
              <w:rPr>
                <w:szCs w:val="22"/>
              </w:rPr>
            </w:pPr>
            <w:r w:rsidRPr="00C34BD7">
              <w:rPr>
                <w:szCs w:val="22"/>
              </w:rPr>
              <w:t>High performance liquid chromatography</w:t>
            </w:r>
          </w:p>
        </w:tc>
      </w:tr>
      <w:tr w:rsidR="003F039A" w:rsidRPr="00C34BD7" w14:paraId="7F691A58" w14:textId="77777777" w:rsidTr="005D75CC">
        <w:tc>
          <w:tcPr>
            <w:tcW w:w="2293" w:type="dxa"/>
          </w:tcPr>
          <w:p w14:paraId="584F2A5B" w14:textId="2830D116" w:rsidR="003F039A" w:rsidRPr="00C34BD7" w:rsidRDefault="00393637" w:rsidP="002E5ED4">
            <w:pPr>
              <w:spacing w:line="480" w:lineRule="auto"/>
              <w:rPr>
                <w:szCs w:val="22"/>
              </w:rPr>
            </w:pPr>
            <w:r w:rsidRPr="00C34BD7">
              <w:rPr>
                <w:szCs w:val="22"/>
              </w:rPr>
              <w:t>n</w:t>
            </w:r>
          </w:p>
        </w:tc>
        <w:tc>
          <w:tcPr>
            <w:tcW w:w="6998" w:type="dxa"/>
          </w:tcPr>
          <w:p w14:paraId="7018B874" w14:textId="2E0FA10F" w:rsidR="003F039A" w:rsidRPr="00C34BD7" w:rsidRDefault="00CC6BF5" w:rsidP="002E5ED4">
            <w:pPr>
              <w:spacing w:line="480" w:lineRule="auto"/>
              <w:rPr>
                <w:szCs w:val="22"/>
              </w:rPr>
            </w:pPr>
            <w:r w:rsidRPr="00C34BD7">
              <w:rPr>
                <w:szCs w:val="22"/>
              </w:rPr>
              <w:t>Number of samples</w:t>
            </w:r>
          </w:p>
        </w:tc>
      </w:tr>
      <w:tr w:rsidR="003F039A" w:rsidRPr="00C34BD7" w14:paraId="3F1138AF" w14:textId="77777777" w:rsidTr="005D75CC">
        <w:tc>
          <w:tcPr>
            <w:tcW w:w="2293" w:type="dxa"/>
          </w:tcPr>
          <w:p w14:paraId="7E24AADC" w14:textId="1BF5D4A4" w:rsidR="003F039A" w:rsidRPr="00C34BD7" w:rsidRDefault="00995AB2" w:rsidP="002E5ED4">
            <w:pPr>
              <w:spacing w:line="480" w:lineRule="auto"/>
              <w:rPr>
                <w:szCs w:val="22"/>
              </w:rPr>
            </w:pPr>
            <w:r w:rsidRPr="00C34BD7">
              <w:rPr>
                <w:szCs w:val="22"/>
              </w:rPr>
              <w:t>PB</w:t>
            </w:r>
          </w:p>
        </w:tc>
        <w:tc>
          <w:tcPr>
            <w:tcW w:w="6998" w:type="dxa"/>
          </w:tcPr>
          <w:p w14:paraId="5FBBB4BA" w14:textId="263E485D" w:rsidR="003F039A" w:rsidRPr="00C34BD7" w:rsidRDefault="00CC6BF5" w:rsidP="002E5ED4">
            <w:pPr>
              <w:spacing w:line="480" w:lineRule="auto"/>
              <w:rPr>
                <w:szCs w:val="22"/>
              </w:rPr>
            </w:pPr>
            <w:r w:rsidRPr="00C34BD7">
              <w:rPr>
                <w:szCs w:val="22"/>
              </w:rPr>
              <w:t>Packed bed photobioreactor</w:t>
            </w:r>
          </w:p>
        </w:tc>
      </w:tr>
      <w:tr w:rsidR="00995AB2" w:rsidRPr="00C34BD7" w14:paraId="0BE1A54E" w14:textId="77777777" w:rsidTr="005D75CC">
        <w:tc>
          <w:tcPr>
            <w:tcW w:w="2293" w:type="dxa"/>
          </w:tcPr>
          <w:p w14:paraId="309C3613" w14:textId="5C90AF8E" w:rsidR="00995AB2" w:rsidRPr="00C34BD7" w:rsidRDefault="00995AB2" w:rsidP="002E5ED4">
            <w:pPr>
              <w:spacing w:line="480" w:lineRule="auto"/>
              <w:rPr>
                <w:szCs w:val="22"/>
              </w:rPr>
            </w:pPr>
            <w:r w:rsidRPr="00C34BD7">
              <w:rPr>
                <w:szCs w:val="22"/>
              </w:rPr>
              <w:t>PBR</w:t>
            </w:r>
          </w:p>
        </w:tc>
        <w:tc>
          <w:tcPr>
            <w:tcW w:w="6998" w:type="dxa"/>
          </w:tcPr>
          <w:p w14:paraId="73D34A98" w14:textId="4CB95868" w:rsidR="00995AB2" w:rsidRPr="00C34BD7" w:rsidRDefault="00CC6BF5" w:rsidP="002E5ED4">
            <w:pPr>
              <w:spacing w:line="480" w:lineRule="auto"/>
              <w:rPr>
                <w:szCs w:val="22"/>
              </w:rPr>
            </w:pPr>
            <w:r w:rsidRPr="00C34BD7">
              <w:rPr>
                <w:szCs w:val="22"/>
              </w:rPr>
              <w:t>Photobioreactor</w:t>
            </w:r>
          </w:p>
        </w:tc>
      </w:tr>
      <w:tr w:rsidR="00995AB2" w:rsidRPr="00C34BD7" w14:paraId="0C801278" w14:textId="77777777" w:rsidTr="005D75CC">
        <w:tc>
          <w:tcPr>
            <w:tcW w:w="2293" w:type="dxa"/>
          </w:tcPr>
          <w:p w14:paraId="522B0B4C" w14:textId="32CD7C6B" w:rsidR="00995AB2" w:rsidRPr="00C34BD7" w:rsidRDefault="00995AB2" w:rsidP="002E5ED4">
            <w:pPr>
              <w:spacing w:line="480" w:lineRule="auto"/>
              <w:rPr>
                <w:szCs w:val="22"/>
              </w:rPr>
            </w:pPr>
            <w:r w:rsidRPr="00C34BD7">
              <w:rPr>
                <w:szCs w:val="22"/>
              </w:rPr>
              <w:t>PNSB</w:t>
            </w:r>
          </w:p>
        </w:tc>
        <w:tc>
          <w:tcPr>
            <w:tcW w:w="6998" w:type="dxa"/>
          </w:tcPr>
          <w:p w14:paraId="585D407E" w14:textId="28FE4F8B" w:rsidR="00995AB2" w:rsidRPr="00C34BD7" w:rsidRDefault="00CC6BF5" w:rsidP="002E5ED4">
            <w:pPr>
              <w:spacing w:line="480" w:lineRule="auto"/>
              <w:rPr>
                <w:szCs w:val="22"/>
              </w:rPr>
            </w:pPr>
            <w:r w:rsidRPr="00C34BD7">
              <w:rPr>
                <w:szCs w:val="22"/>
              </w:rPr>
              <w:t>Purple non-sulphur bacterium</w:t>
            </w:r>
          </w:p>
        </w:tc>
      </w:tr>
      <w:tr w:rsidR="00995AB2" w:rsidRPr="00C34BD7" w14:paraId="795F0555" w14:textId="77777777" w:rsidTr="005D75CC">
        <w:tc>
          <w:tcPr>
            <w:tcW w:w="2293" w:type="dxa"/>
          </w:tcPr>
          <w:p w14:paraId="404249D5" w14:textId="74838726" w:rsidR="00995AB2" w:rsidRPr="00C34BD7" w:rsidRDefault="00995AB2" w:rsidP="002E5ED4">
            <w:pPr>
              <w:spacing w:line="480" w:lineRule="auto"/>
              <w:rPr>
                <w:szCs w:val="22"/>
              </w:rPr>
            </w:pPr>
            <w:r w:rsidRPr="00C34BD7">
              <w:rPr>
                <w:szCs w:val="22"/>
              </w:rPr>
              <w:t>PVA</w:t>
            </w:r>
          </w:p>
        </w:tc>
        <w:tc>
          <w:tcPr>
            <w:tcW w:w="6998" w:type="dxa"/>
          </w:tcPr>
          <w:p w14:paraId="4A174280" w14:textId="16C4C1CC" w:rsidR="00995AB2" w:rsidRPr="00C34BD7" w:rsidRDefault="00CC6BF5" w:rsidP="002E5ED4">
            <w:pPr>
              <w:spacing w:line="480" w:lineRule="auto"/>
              <w:rPr>
                <w:szCs w:val="22"/>
              </w:rPr>
            </w:pPr>
            <w:r w:rsidRPr="00C34BD7">
              <w:rPr>
                <w:rFonts w:cs="Arial"/>
                <w:szCs w:val="22"/>
              </w:rPr>
              <w:t>Polyvinyl alcohol</w:t>
            </w:r>
          </w:p>
        </w:tc>
      </w:tr>
      <w:tr w:rsidR="008A1C7A" w:rsidRPr="00C34BD7" w14:paraId="4E91A161" w14:textId="77777777" w:rsidTr="005D75CC">
        <w:tc>
          <w:tcPr>
            <w:tcW w:w="2293" w:type="dxa"/>
          </w:tcPr>
          <w:p w14:paraId="2C098C97" w14:textId="43E8E6E5" w:rsidR="008A1C7A" w:rsidRPr="00C34BD7" w:rsidRDefault="008A1C7A" w:rsidP="002E5ED4">
            <w:pPr>
              <w:spacing w:line="480" w:lineRule="auto"/>
              <w:rPr>
                <w:szCs w:val="22"/>
              </w:rPr>
            </w:pPr>
            <w:r w:rsidRPr="00C34BD7">
              <w:rPr>
                <w:szCs w:val="22"/>
              </w:rPr>
              <w:t>s</w:t>
            </w:r>
          </w:p>
        </w:tc>
        <w:tc>
          <w:tcPr>
            <w:tcW w:w="6998" w:type="dxa"/>
          </w:tcPr>
          <w:p w14:paraId="056353C7" w14:textId="719B0565" w:rsidR="008A1C7A" w:rsidRPr="00C34BD7" w:rsidRDefault="008A1C7A" w:rsidP="002E5ED4">
            <w:pPr>
              <w:spacing w:line="480" w:lineRule="auto"/>
              <w:rPr>
                <w:rFonts w:cs="Arial"/>
                <w:szCs w:val="22"/>
              </w:rPr>
            </w:pPr>
            <w:r w:rsidRPr="00C34BD7">
              <w:rPr>
                <w:rFonts w:cs="Arial"/>
                <w:szCs w:val="22"/>
              </w:rPr>
              <w:t>Standard deviation</w:t>
            </w:r>
          </w:p>
        </w:tc>
      </w:tr>
      <w:tr w:rsidR="00995AB2" w:rsidRPr="00C34BD7" w14:paraId="09857632" w14:textId="77777777" w:rsidTr="005D75CC">
        <w:tc>
          <w:tcPr>
            <w:tcW w:w="2293" w:type="dxa"/>
          </w:tcPr>
          <w:p w14:paraId="68435B62" w14:textId="4F8EFED2" w:rsidR="00995AB2" w:rsidRPr="00C34BD7" w:rsidRDefault="008A1C7A" w:rsidP="002E5ED4">
            <w:pPr>
              <w:spacing w:line="480" w:lineRule="auto"/>
              <w:rPr>
                <w:szCs w:val="22"/>
              </w:rPr>
            </w:pPr>
            <w:r w:rsidRPr="00C34BD7">
              <w:rPr>
                <w:szCs w:val="22"/>
              </w:rPr>
              <w:t>s</w:t>
            </w:r>
            <w:r w:rsidR="00393637" w:rsidRPr="00C34BD7">
              <w:rPr>
                <w:szCs w:val="22"/>
                <w:vertAlign w:val="subscript"/>
              </w:rPr>
              <w:t>n</w:t>
            </w:r>
          </w:p>
        </w:tc>
        <w:tc>
          <w:tcPr>
            <w:tcW w:w="6998" w:type="dxa"/>
          </w:tcPr>
          <w:p w14:paraId="7B15AC71" w14:textId="4C1ED515" w:rsidR="00995AB2" w:rsidRPr="00C34BD7" w:rsidRDefault="00CC6BF5" w:rsidP="002E5ED4">
            <w:pPr>
              <w:spacing w:line="480" w:lineRule="auto"/>
              <w:rPr>
                <w:szCs w:val="22"/>
              </w:rPr>
            </w:pPr>
            <w:r w:rsidRPr="00C34BD7">
              <w:rPr>
                <w:szCs w:val="22"/>
              </w:rPr>
              <w:t>Standard error</w:t>
            </w:r>
          </w:p>
        </w:tc>
      </w:tr>
      <w:tr w:rsidR="00995AB2" w:rsidRPr="00C34BD7" w14:paraId="0EC8BA90" w14:textId="77777777" w:rsidTr="005D75CC">
        <w:tc>
          <w:tcPr>
            <w:tcW w:w="2293" w:type="dxa"/>
          </w:tcPr>
          <w:p w14:paraId="4BB0195F" w14:textId="499CA830" w:rsidR="00995AB2" w:rsidRPr="00C34BD7" w:rsidRDefault="004E34D4" w:rsidP="002E5ED4">
            <w:pPr>
              <w:spacing w:line="480" w:lineRule="auto"/>
              <w:rPr>
                <w:szCs w:val="22"/>
              </w:rPr>
            </w:pPr>
            <w:r w:rsidRPr="00C34BD7">
              <w:rPr>
                <w:szCs w:val="22"/>
              </w:rPr>
              <w:t>t</w:t>
            </w:r>
          </w:p>
        </w:tc>
        <w:tc>
          <w:tcPr>
            <w:tcW w:w="6998" w:type="dxa"/>
          </w:tcPr>
          <w:p w14:paraId="3DCA23B5" w14:textId="71C73783" w:rsidR="00995AB2" w:rsidRPr="00C34BD7" w:rsidRDefault="004E34D4" w:rsidP="002E5ED4">
            <w:pPr>
              <w:spacing w:line="480" w:lineRule="auto"/>
              <w:rPr>
                <w:szCs w:val="22"/>
              </w:rPr>
            </w:pPr>
            <w:r w:rsidRPr="00C34BD7">
              <w:rPr>
                <w:szCs w:val="22"/>
              </w:rPr>
              <w:t>Time</w:t>
            </w:r>
            <w:r w:rsidR="002C26A0" w:rsidRPr="00C34BD7">
              <w:rPr>
                <w:szCs w:val="22"/>
              </w:rPr>
              <w:t xml:space="preserve"> (h)</w:t>
            </w:r>
          </w:p>
        </w:tc>
      </w:tr>
      <w:tr w:rsidR="00995AB2" w:rsidRPr="00C34BD7" w14:paraId="07CFEF6E" w14:textId="77777777" w:rsidTr="005D75CC">
        <w:tc>
          <w:tcPr>
            <w:tcW w:w="2293" w:type="dxa"/>
          </w:tcPr>
          <w:p w14:paraId="7DA79BA2" w14:textId="083CE6CD" w:rsidR="00995AB2" w:rsidRPr="00C34BD7" w:rsidRDefault="00995AB2" w:rsidP="002E5ED4">
            <w:pPr>
              <w:spacing w:line="480" w:lineRule="auto"/>
              <w:rPr>
                <w:szCs w:val="22"/>
              </w:rPr>
            </w:pPr>
            <w:r w:rsidRPr="00C34BD7">
              <w:rPr>
                <w:szCs w:val="22"/>
              </w:rPr>
              <w:t>TCD</w:t>
            </w:r>
          </w:p>
        </w:tc>
        <w:tc>
          <w:tcPr>
            <w:tcW w:w="6998" w:type="dxa"/>
          </w:tcPr>
          <w:p w14:paraId="220A7FA7" w14:textId="39F90880" w:rsidR="00995AB2" w:rsidRPr="00C34BD7" w:rsidRDefault="00422F18" w:rsidP="002E5ED4">
            <w:pPr>
              <w:spacing w:line="480" w:lineRule="auto"/>
              <w:rPr>
                <w:szCs w:val="22"/>
              </w:rPr>
            </w:pPr>
            <w:r w:rsidRPr="00C34BD7">
              <w:rPr>
                <w:szCs w:val="22"/>
              </w:rPr>
              <w:t>Thermal conductivity detector</w:t>
            </w:r>
          </w:p>
        </w:tc>
      </w:tr>
      <w:tr w:rsidR="00995AB2" w:rsidRPr="00C34BD7" w14:paraId="4FC6F73D" w14:textId="77777777" w:rsidTr="005D75CC">
        <w:tc>
          <w:tcPr>
            <w:tcW w:w="2293" w:type="dxa"/>
          </w:tcPr>
          <w:p w14:paraId="02CDD68D" w14:textId="5A178DEA" w:rsidR="00995AB2" w:rsidRPr="00C34BD7" w:rsidRDefault="00995AB2" w:rsidP="002E5ED4">
            <w:pPr>
              <w:spacing w:line="480" w:lineRule="auto"/>
              <w:rPr>
                <w:szCs w:val="22"/>
              </w:rPr>
            </w:pPr>
            <w:r w:rsidRPr="00C34BD7">
              <w:rPr>
                <w:szCs w:val="22"/>
              </w:rPr>
              <w:t>TSP</w:t>
            </w:r>
          </w:p>
        </w:tc>
        <w:tc>
          <w:tcPr>
            <w:tcW w:w="6998" w:type="dxa"/>
          </w:tcPr>
          <w:p w14:paraId="2DAC8DC1" w14:textId="6ACD3D64" w:rsidR="00995AB2" w:rsidRPr="00C34BD7" w:rsidRDefault="00422F18" w:rsidP="002E5ED4">
            <w:pPr>
              <w:spacing w:line="480" w:lineRule="auto"/>
              <w:rPr>
                <w:szCs w:val="22"/>
              </w:rPr>
            </w:pPr>
            <w:r w:rsidRPr="00C34BD7">
              <w:rPr>
                <w:color w:val="000000"/>
                <w:szCs w:val="22"/>
                <w:lang w:eastAsia="en-ZA"/>
              </w:rPr>
              <w:t>Thermo Separations Product</w:t>
            </w:r>
          </w:p>
        </w:tc>
      </w:tr>
      <w:tr w:rsidR="00393637" w:rsidRPr="00C34BD7" w14:paraId="28057E47" w14:textId="77777777" w:rsidTr="005D75CC">
        <w:tc>
          <w:tcPr>
            <w:tcW w:w="2293" w:type="dxa"/>
          </w:tcPr>
          <w:p w14:paraId="05EA961A" w14:textId="683BB5EE" w:rsidR="00393637" w:rsidRPr="00C34BD7" w:rsidRDefault="00393637" w:rsidP="002E5ED4">
            <w:pPr>
              <w:spacing w:line="480" w:lineRule="auto"/>
              <w:rPr>
                <w:szCs w:val="22"/>
              </w:rPr>
            </w:pPr>
            <w:r w:rsidRPr="00C34BD7">
              <w:rPr>
                <w:szCs w:val="22"/>
              </w:rPr>
              <w:t>tt</w:t>
            </w:r>
          </w:p>
        </w:tc>
        <w:tc>
          <w:tcPr>
            <w:tcW w:w="6998" w:type="dxa"/>
          </w:tcPr>
          <w:p w14:paraId="138D1FB1" w14:textId="4505BA09" w:rsidR="00393637" w:rsidRPr="00C34BD7" w:rsidRDefault="00393637" w:rsidP="002E5ED4">
            <w:pPr>
              <w:spacing w:line="480" w:lineRule="auto"/>
              <w:rPr>
                <w:color w:val="000000"/>
                <w:szCs w:val="22"/>
                <w:lang w:eastAsia="en-ZA"/>
              </w:rPr>
            </w:pPr>
            <w:r w:rsidRPr="00C34BD7">
              <w:rPr>
                <w:color w:val="000000"/>
                <w:szCs w:val="22"/>
                <w:lang w:eastAsia="en-ZA"/>
              </w:rPr>
              <w:t>Two-tailed function</w:t>
            </w:r>
          </w:p>
        </w:tc>
      </w:tr>
    </w:tbl>
    <w:p w14:paraId="418898BA" w14:textId="77777777" w:rsidR="00193A45" w:rsidRDefault="00103DDD" w:rsidP="002E5ED4">
      <w:pPr>
        <w:spacing w:line="480" w:lineRule="auto"/>
        <w:sectPr w:rsidR="00193A45" w:rsidSect="00A1434A">
          <w:footerReference w:type="default" r:id="rId8"/>
          <w:footerReference w:type="first" r:id="rId9"/>
          <w:pgSz w:w="11909" w:h="16834" w:code="9"/>
          <w:pgMar w:top="1304" w:right="1304" w:bottom="1304" w:left="1304" w:header="397" w:footer="397" w:gutter="0"/>
          <w:cols w:space="720"/>
          <w:titlePg/>
          <w:docGrid w:linePitch="299"/>
        </w:sectPr>
      </w:pPr>
      <w:r>
        <w:br w:type="page"/>
      </w:r>
    </w:p>
    <w:p w14:paraId="4C800EB3" w14:textId="08FF8F7B" w:rsidR="00DA072E" w:rsidRPr="005D4FB8" w:rsidRDefault="00DA072E" w:rsidP="002E5ED4">
      <w:pPr>
        <w:pStyle w:val="Heading1"/>
        <w:spacing w:line="480" w:lineRule="auto"/>
        <w:rPr>
          <w:caps w:val="0"/>
        </w:rPr>
      </w:pPr>
      <w:r w:rsidRPr="005D4FB8">
        <w:rPr>
          <w:caps w:val="0"/>
        </w:rPr>
        <w:lastRenderedPageBreak/>
        <w:t>I</w:t>
      </w:r>
      <w:r w:rsidR="005D4FB8">
        <w:rPr>
          <w:caps w:val="0"/>
        </w:rPr>
        <w:t>ntroduction</w:t>
      </w:r>
    </w:p>
    <w:p w14:paraId="3C30E36F" w14:textId="419BC2DB" w:rsidR="0027021A" w:rsidRPr="002973A1" w:rsidRDefault="001B04A5" w:rsidP="0027021A">
      <w:pPr>
        <w:spacing w:line="480" w:lineRule="auto"/>
        <w:rPr>
          <w:szCs w:val="22"/>
        </w:rPr>
      </w:pPr>
      <w:r w:rsidRPr="002973A1">
        <w:rPr>
          <w:i/>
          <w:iCs/>
          <w:szCs w:val="22"/>
        </w:rPr>
        <w:t>R</w:t>
      </w:r>
      <w:r w:rsidR="00107D41" w:rsidRPr="002973A1">
        <w:rPr>
          <w:i/>
          <w:iCs/>
          <w:szCs w:val="22"/>
        </w:rPr>
        <w:t>hodopseudomona</w:t>
      </w:r>
      <w:r w:rsidR="00423BDC" w:rsidRPr="002973A1">
        <w:rPr>
          <w:i/>
          <w:iCs/>
          <w:szCs w:val="22"/>
        </w:rPr>
        <w:t>s</w:t>
      </w:r>
      <w:r w:rsidRPr="002973A1">
        <w:rPr>
          <w:i/>
          <w:iCs/>
          <w:szCs w:val="22"/>
        </w:rPr>
        <w:t xml:space="preserve"> palustris </w:t>
      </w:r>
      <w:r w:rsidRPr="002973A1">
        <w:rPr>
          <w:szCs w:val="22"/>
        </w:rPr>
        <w:t xml:space="preserve">is a </w:t>
      </w:r>
      <w:r w:rsidR="00107D41" w:rsidRPr="002973A1">
        <w:rPr>
          <w:szCs w:val="22"/>
        </w:rPr>
        <w:t>purple non-sulphur bacteria</w:t>
      </w:r>
      <w:r w:rsidR="00423BDC" w:rsidRPr="002973A1">
        <w:rPr>
          <w:szCs w:val="22"/>
        </w:rPr>
        <w:t xml:space="preserve"> (PNSB)</w:t>
      </w:r>
      <w:r w:rsidRPr="002973A1">
        <w:rPr>
          <w:szCs w:val="22"/>
        </w:rPr>
        <w:t xml:space="preserve"> </w:t>
      </w:r>
      <w:r w:rsidR="00C25D99">
        <w:rPr>
          <w:szCs w:val="22"/>
        </w:rPr>
        <w:t xml:space="preserve">which </w:t>
      </w:r>
      <w:r w:rsidR="0027021A" w:rsidRPr="002973A1">
        <w:rPr>
          <w:szCs w:val="22"/>
        </w:rPr>
        <w:t xml:space="preserve">can grow via all four main modes </w:t>
      </w:r>
      <w:r w:rsidR="00C25D99">
        <w:rPr>
          <w:szCs w:val="22"/>
        </w:rPr>
        <w:t>of metabolism that support life</w:t>
      </w:r>
      <w:r w:rsidR="0027021A" w:rsidRPr="002973A1">
        <w:rPr>
          <w:szCs w:val="22"/>
        </w:rPr>
        <w:t xml:space="preserve">: photoautotrophic (energy from light and carbon from carbon dioxide), photoheterotrophic (energy from light and carbon from organic compounds), chemoautotrophic (energy from inorganic compounds and carbon from carbon dioxide) and chemoheterotrophic (carbon and energy from organic compounds) </w:t>
      </w:r>
      <w:r w:rsidR="001A78AC" w:rsidRPr="002973A1">
        <w:rPr>
          <w:noProof/>
          <w:szCs w:val="22"/>
        </w:rPr>
        <w:t>(Larimer et al., 2004)</w:t>
      </w:r>
      <w:r w:rsidR="0027021A" w:rsidRPr="002973A1">
        <w:rPr>
          <w:szCs w:val="22"/>
        </w:rPr>
        <w:t xml:space="preserve">. This </w:t>
      </w:r>
      <w:r w:rsidR="00C25D99">
        <w:rPr>
          <w:szCs w:val="22"/>
        </w:rPr>
        <w:t>metabolic versatility recommends it for biotechnological applications.</w:t>
      </w:r>
    </w:p>
    <w:p w14:paraId="5FC75E46" w14:textId="0B944B98" w:rsidR="00C25D99" w:rsidRDefault="00C25D99" w:rsidP="00BB195E">
      <w:pPr>
        <w:spacing w:line="480" w:lineRule="auto"/>
        <w:rPr>
          <w:szCs w:val="22"/>
        </w:rPr>
      </w:pPr>
      <w:r>
        <w:rPr>
          <w:szCs w:val="22"/>
        </w:rPr>
        <w:t>An important, an increasingly researched application is</w:t>
      </w:r>
      <w:r w:rsidR="00BB195E" w:rsidRPr="002973A1">
        <w:rPr>
          <w:szCs w:val="22"/>
        </w:rPr>
        <w:t xml:space="preserve"> its ability to produce </w:t>
      </w:r>
      <w:r w:rsidR="0047742D" w:rsidRPr="002973A1">
        <w:rPr>
          <w:szCs w:val="22"/>
        </w:rPr>
        <w:t xml:space="preserve">a </w:t>
      </w:r>
      <w:r w:rsidR="00BB195E" w:rsidRPr="002973A1">
        <w:rPr>
          <w:szCs w:val="22"/>
        </w:rPr>
        <w:t xml:space="preserve">clean </w:t>
      </w:r>
      <w:r w:rsidR="0047742D" w:rsidRPr="002973A1">
        <w:rPr>
          <w:szCs w:val="22"/>
        </w:rPr>
        <w:t>source of energy in the form of hydrogen</w:t>
      </w:r>
      <w:r w:rsidR="00BB195E" w:rsidRPr="002973A1">
        <w:rPr>
          <w:szCs w:val="22"/>
        </w:rPr>
        <w:t xml:space="preserve"> </w:t>
      </w:r>
      <w:r w:rsidR="0047742D" w:rsidRPr="002973A1">
        <w:rPr>
          <w:noProof/>
          <w:szCs w:val="22"/>
        </w:rPr>
        <w:t>(du Toit and Pott, 2020; Hallenbeck and Ghosh, 2009; Pott et al., 2013; Ross and Pott, 2020)</w:t>
      </w:r>
      <w:r w:rsidR="00762A92" w:rsidRPr="002973A1">
        <w:rPr>
          <w:szCs w:val="22"/>
        </w:rPr>
        <w:t xml:space="preserve"> and </w:t>
      </w:r>
      <w:r w:rsidR="0047742D" w:rsidRPr="002973A1">
        <w:t>biopolymers such as p</w:t>
      </w:r>
      <w:r w:rsidR="00316631" w:rsidRPr="002973A1">
        <w:t>olyhydroxybutyrate (PHB)</w:t>
      </w:r>
      <w:r w:rsidR="0047742D" w:rsidRPr="002973A1">
        <w:t xml:space="preserve"> </w:t>
      </w:r>
      <w:r>
        <w:t>as</w:t>
      </w:r>
      <w:r w:rsidR="0047742D" w:rsidRPr="002973A1">
        <w:t xml:space="preserve"> an alternative to petroleum-based plastics </w:t>
      </w:r>
      <w:r w:rsidR="0047742D" w:rsidRPr="002973A1">
        <w:rPr>
          <w:noProof/>
        </w:rPr>
        <w:t>(Brown et al., 2020; Li et al., 2016)</w:t>
      </w:r>
      <w:r w:rsidR="00762A92" w:rsidRPr="002973A1">
        <w:rPr>
          <w:szCs w:val="22"/>
        </w:rPr>
        <w:t>. The bacterial biomass has also been used as a</w:t>
      </w:r>
      <w:r>
        <w:rPr>
          <w:szCs w:val="22"/>
        </w:rPr>
        <w:t>n</w:t>
      </w:r>
      <w:r w:rsidR="00762A92" w:rsidRPr="002973A1">
        <w:rPr>
          <w:szCs w:val="22"/>
        </w:rPr>
        <w:t xml:space="preserve"> animal feedstock and biofertilizer due to its high protein concentration </w:t>
      </w:r>
      <w:r w:rsidR="00762A92" w:rsidRPr="002973A1">
        <w:rPr>
          <w:noProof/>
          <w:szCs w:val="22"/>
        </w:rPr>
        <w:t>(Carlozzi and Sacchi, 2001)</w:t>
      </w:r>
      <w:r w:rsidR="00762A92" w:rsidRPr="002973A1">
        <w:rPr>
          <w:szCs w:val="22"/>
        </w:rPr>
        <w:t>.</w:t>
      </w:r>
      <w:r w:rsidR="00A0169A" w:rsidRPr="002973A1">
        <w:rPr>
          <w:szCs w:val="22"/>
        </w:rPr>
        <w:t xml:space="preserve"> The robustness and versatility of </w:t>
      </w:r>
      <w:r w:rsidR="00A0169A" w:rsidRPr="002973A1">
        <w:rPr>
          <w:i/>
          <w:iCs/>
          <w:szCs w:val="22"/>
        </w:rPr>
        <w:t xml:space="preserve">R. palustris </w:t>
      </w:r>
      <w:r w:rsidR="00A0169A" w:rsidRPr="002973A1">
        <w:rPr>
          <w:szCs w:val="22"/>
        </w:rPr>
        <w:t xml:space="preserve">is illustrated by the wide range of environments </w:t>
      </w:r>
      <w:r>
        <w:rPr>
          <w:szCs w:val="22"/>
        </w:rPr>
        <w:t>in which</w:t>
      </w:r>
      <w:r w:rsidR="00A0169A" w:rsidRPr="002973A1">
        <w:rPr>
          <w:szCs w:val="22"/>
        </w:rPr>
        <w:t xml:space="preserve"> it can be found: from earthworm droppings to pond water and swine waste lagoons (Larimer et al., 2004). </w:t>
      </w:r>
    </w:p>
    <w:p w14:paraId="6F09B139" w14:textId="23D82723" w:rsidR="00BB195E" w:rsidRPr="002973A1" w:rsidRDefault="00C25D99" w:rsidP="00BB195E">
      <w:pPr>
        <w:spacing w:line="480" w:lineRule="auto"/>
        <w:rPr>
          <w:szCs w:val="22"/>
        </w:rPr>
      </w:pPr>
      <w:r>
        <w:rPr>
          <w:szCs w:val="22"/>
        </w:rPr>
        <w:t xml:space="preserve">The organism is able to metabolise a number of compounds, from organic acids, to lignin monomers, phenolics and others </w:t>
      </w:r>
      <w:r w:rsidR="009A6862" w:rsidRPr="009A6862">
        <w:rPr>
          <w:noProof/>
          <w:szCs w:val="22"/>
        </w:rPr>
        <w:t>(Li et al., 2021; Mabutyana and Pott, 2021; Pott et al., 2013; Sogani et al., 2021)</w:t>
      </w:r>
      <w:r>
        <w:rPr>
          <w:szCs w:val="22"/>
        </w:rPr>
        <w:t>. This versatility recommends its use in the treatment of wastewater, with the simultaneous production of hydrogen via photofermentation</w:t>
      </w:r>
      <w:r w:rsidR="00FC2DED" w:rsidRPr="002973A1">
        <w:rPr>
          <w:szCs w:val="22"/>
        </w:rPr>
        <w:t xml:space="preserve">. </w:t>
      </w:r>
      <w:r w:rsidR="00BB195E" w:rsidRPr="002973A1">
        <w:rPr>
          <w:szCs w:val="22"/>
        </w:rPr>
        <w:t xml:space="preserve">Photofermentation possesses </w:t>
      </w:r>
      <w:r>
        <w:rPr>
          <w:szCs w:val="22"/>
        </w:rPr>
        <w:t>significant</w:t>
      </w:r>
      <w:r w:rsidR="00BB195E" w:rsidRPr="002973A1">
        <w:rPr>
          <w:szCs w:val="22"/>
        </w:rPr>
        <w:t xml:space="preserve"> potential in wastewater treatment plants as a green energy technology </w:t>
      </w:r>
      <w:r w:rsidR="00BB195E" w:rsidRPr="002973A1">
        <w:rPr>
          <w:noProof/>
          <w:szCs w:val="22"/>
        </w:rPr>
        <w:t>(Ghosh et al., 2017)</w:t>
      </w:r>
      <w:r w:rsidR="00BB195E" w:rsidRPr="002973A1">
        <w:rPr>
          <w:szCs w:val="22"/>
        </w:rPr>
        <w:t xml:space="preserve">. This is illustrated by the demonstration of PNSB used to photoferment wastewater streams such as those emanating from breweries </w:t>
      </w:r>
      <w:r w:rsidR="00BB195E" w:rsidRPr="002973A1">
        <w:rPr>
          <w:noProof/>
          <w:szCs w:val="22"/>
        </w:rPr>
        <w:t>(Hay et al., 2017; Lu et al., 2020)</w:t>
      </w:r>
      <w:r w:rsidR="00BB195E" w:rsidRPr="002973A1">
        <w:rPr>
          <w:szCs w:val="22"/>
        </w:rPr>
        <w:t xml:space="preserve">, distilleries </w:t>
      </w:r>
      <w:r w:rsidR="00BB195E" w:rsidRPr="002973A1">
        <w:rPr>
          <w:noProof/>
          <w:szCs w:val="22"/>
        </w:rPr>
        <w:t>(Laurinavichene et al., 2018)</w:t>
      </w:r>
      <w:r w:rsidR="00BB195E" w:rsidRPr="002973A1">
        <w:rPr>
          <w:szCs w:val="22"/>
        </w:rPr>
        <w:t xml:space="preserve">, sugar refineries </w:t>
      </w:r>
      <w:r w:rsidR="00BB195E" w:rsidRPr="002973A1">
        <w:rPr>
          <w:noProof/>
          <w:szCs w:val="22"/>
        </w:rPr>
        <w:t>(Assawamongkholsiri et al., 2018; Yetis et al., 2000)</w:t>
      </w:r>
      <w:r w:rsidR="00BB195E" w:rsidRPr="002973A1">
        <w:rPr>
          <w:szCs w:val="22"/>
        </w:rPr>
        <w:t xml:space="preserve"> and dairies </w:t>
      </w:r>
      <w:r w:rsidR="00BB195E" w:rsidRPr="002973A1">
        <w:rPr>
          <w:noProof/>
          <w:szCs w:val="22"/>
        </w:rPr>
        <w:t>(Seifert et al., 2010)</w:t>
      </w:r>
      <w:r w:rsidR="00BB195E" w:rsidRPr="002973A1">
        <w:rPr>
          <w:szCs w:val="22"/>
        </w:rPr>
        <w:t xml:space="preserve"> to </w:t>
      </w:r>
      <w:r w:rsidR="00FC2DED" w:rsidRPr="002973A1">
        <w:rPr>
          <w:szCs w:val="22"/>
        </w:rPr>
        <w:t>reform these waste streams and produce a valuable biproduct such as hydrogen.</w:t>
      </w:r>
    </w:p>
    <w:p w14:paraId="64C1854F" w14:textId="4D521076" w:rsidR="00BB195E" w:rsidRDefault="00BB195E" w:rsidP="00BB195E">
      <w:pPr>
        <w:spacing w:line="480" w:lineRule="auto"/>
        <w:rPr>
          <w:szCs w:val="22"/>
        </w:rPr>
      </w:pPr>
      <w:r w:rsidRPr="002973A1">
        <w:rPr>
          <w:szCs w:val="22"/>
        </w:rPr>
        <w:t xml:space="preserve">A specific instance of a waste stream which might integrate well with photofermentation is crude glycerol produced during biodiesel production. This waste material comprises a significant volume, particularly in </w:t>
      </w:r>
      <w:r w:rsidRPr="002973A1">
        <w:rPr>
          <w:szCs w:val="22"/>
        </w:rPr>
        <w:lastRenderedPageBreak/>
        <w:t xml:space="preserve">the European Union </w:t>
      </w:r>
      <w:r w:rsidRPr="002973A1">
        <w:rPr>
          <w:noProof/>
          <w:szCs w:val="22"/>
        </w:rPr>
        <w:t>(Ma and Liu, 2019)</w:t>
      </w:r>
      <w:r w:rsidRPr="002973A1">
        <w:rPr>
          <w:szCs w:val="22"/>
        </w:rPr>
        <w:t xml:space="preserve"> where the biodiesel content of fuel is legislated </w:t>
      </w:r>
      <w:r w:rsidRPr="002973A1">
        <w:rPr>
          <w:noProof/>
          <w:szCs w:val="22"/>
        </w:rPr>
        <w:t>(Parliament, 2008)</w:t>
      </w:r>
      <w:r w:rsidRPr="002973A1">
        <w:rPr>
          <w:szCs w:val="22"/>
        </w:rPr>
        <w:t xml:space="preserve">. Glycerol is an obligatory constituent of the biodiesel production process and is currently discarded as a waste stream owing from its low value </w:t>
      </w:r>
      <w:r w:rsidRPr="002973A1">
        <w:rPr>
          <w:noProof/>
          <w:szCs w:val="22"/>
        </w:rPr>
        <w:t>(Johnson and Taconi, 2009)</w:t>
      </w:r>
      <w:r w:rsidRPr="002973A1">
        <w:rPr>
          <w:szCs w:val="22"/>
        </w:rPr>
        <w:t>. This, along with the high conversion efficiencies reported by Ghosh </w:t>
      </w:r>
      <w:r w:rsidRPr="002973A1">
        <w:rPr>
          <w:i/>
          <w:iCs/>
          <w:szCs w:val="22"/>
        </w:rPr>
        <w:t>et al</w:t>
      </w:r>
      <w:r w:rsidRPr="002973A1">
        <w:rPr>
          <w:szCs w:val="22"/>
        </w:rPr>
        <w:t>. </w:t>
      </w:r>
      <w:r w:rsidR="00C25D99" w:rsidRPr="00C25D99">
        <w:rPr>
          <w:noProof/>
          <w:szCs w:val="22"/>
        </w:rPr>
        <w:t>(Ghosh et al., 2011)</w:t>
      </w:r>
      <w:r w:rsidRPr="002973A1">
        <w:rPr>
          <w:szCs w:val="22"/>
        </w:rPr>
        <w:t xml:space="preserve"> and Pott </w:t>
      </w:r>
      <w:r w:rsidRPr="002973A1">
        <w:rPr>
          <w:i/>
          <w:iCs/>
          <w:szCs w:val="22"/>
        </w:rPr>
        <w:t>et al.</w:t>
      </w:r>
      <w:r w:rsidRPr="002973A1">
        <w:rPr>
          <w:szCs w:val="22"/>
        </w:rPr>
        <w:t xml:space="preserve"> </w:t>
      </w:r>
      <w:r w:rsidR="00C25D99" w:rsidRPr="00C25D99">
        <w:rPr>
          <w:noProof/>
          <w:szCs w:val="22"/>
        </w:rPr>
        <w:t>(Pott et al., 2013)</w:t>
      </w:r>
      <w:r w:rsidRPr="002973A1">
        <w:rPr>
          <w:szCs w:val="22"/>
        </w:rPr>
        <w:t xml:space="preserve"> when glycerol is used as the organic compound in photofermentative processes make it a good choice for a proof of concept.</w:t>
      </w:r>
    </w:p>
    <w:p w14:paraId="530EEF2F" w14:textId="47E86B06" w:rsidR="002973A1" w:rsidRDefault="0011161E" w:rsidP="00BB195E">
      <w:pPr>
        <w:spacing w:line="480" w:lineRule="auto"/>
        <w:rPr>
          <w:szCs w:val="22"/>
        </w:rPr>
      </w:pPr>
      <w:r>
        <w:rPr>
          <w:szCs w:val="22"/>
        </w:rPr>
        <w:t>Light is an extremely important parameter in the design and operation of photobioreactors in general, and the photofermentation of waste streams into hydrogen in particular</w:t>
      </w:r>
      <w:r w:rsidR="00A113DC">
        <w:rPr>
          <w:szCs w:val="22"/>
        </w:rPr>
        <w:t xml:space="preserve">; and modelling these effects is particularly useful in a developing field </w:t>
      </w:r>
      <w:r w:rsidR="00A113DC" w:rsidRPr="00A113DC">
        <w:rPr>
          <w:noProof/>
          <w:szCs w:val="22"/>
        </w:rPr>
        <w:t>(Anye Cho et al., 2021)</w:t>
      </w:r>
      <w:r>
        <w:rPr>
          <w:szCs w:val="22"/>
        </w:rPr>
        <w:t xml:space="preserve">. While some work has been done </w:t>
      </w:r>
      <w:r w:rsidR="006C5F18">
        <w:rPr>
          <w:szCs w:val="22"/>
        </w:rPr>
        <w:t xml:space="preserve">on </w:t>
      </w:r>
      <w:r w:rsidR="00A30F38">
        <w:rPr>
          <w:szCs w:val="22"/>
        </w:rPr>
        <w:t>trying to understand the effect of light inte</w:t>
      </w:r>
      <w:r w:rsidR="00E63432">
        <w:rPr>
          <w:szCs w:val="22"/>
        </w:rPr>
        <w:t>nsity, and other factors, on the growth and hydrogen production</w:t>
      </w:r>
      <w:r w:rsidR="00066B83">
        <w:rPr>
          <w:szCs w:val="22"/>
        </w:rPr>
        <w:t xml:space="preserve"> in purple non-sulphur bacteria, there is still a relative paucity of information from which to build. </w:t>
      </w:r>
      <w:r w:rsidR="002973A1" w:rsidRPr="002973A1">
        <w:rPr>
          <w:szCs w:val="22"/>
        </w:rPr>
        <w:t>The work that has been done used bioreactors with relatively large diameters: 70 mm</w:t>
      </w:r>
      <w:r w:rsidR="007F5531">
        <w:rPr>
          <w:szCs w:val="22"/>
        </w:rPr>
        <w:t xml:space="preserve"> </w:t>
      </w:r>
      <w:r w:rsidR="007F5531" w:rsidRPr="007F5531">
        <w:rPr>
          <w:noProof/>
          <w:szCs w:val="22"/>
        </w:rPr>
        <w:t>(Xiao, 2017)</w:t>
      </w:r>
      <w:r w:rsidR="002973A1" w:rsidRPr="002973A1">
        <w:rPr>
          <w:szCs w:val="22"/>
        </w:rPr>
        <w:t xml:space="preserve"> and 96 mm </w:t>
      </w:r>
      <w:r w:rsidR="007F5531" w:rsidRPr="007F5531">
        <w:rPr>
          <w:noProof/>
          <w:szCs w:val="22"/>
        </w:rPr>
        <w:t>(Carlozzi, 2009)</w:t>
      </w:r>
      <w:r w:rsidR="007C27C0">
        <w:rPr>
          <w:szCs w:val="22"/>
        </w:rPr>
        <w:t xml:space="preserve">, </w:t>
      </w:r>
      <w:r w:rsidR="002973A1" w:rsidRPr="002973A1">
        <w:rPr>
          <w:szCs w:val="22"/>
        </w:rPr>
        <w:t xml:space="preserve">This has been identified as a shortcoming in these investigations results, as the effects of light attenuation and cell mutual shading would have a significant impact and therefore these relatively large diameters would not provide an accurate measure of the effect of light intensity on the growth of </w:t>
      </w:r>
      <w:r w:rsidR="002973A1" w:rsidRPr="00066B83">
        <w:rPr>
          <w:i/>
          <w:iCs/>
          <w:szCs w:val="22"/>
        </w:rPr>
        <w:t>R. palustris</w:t>
      </w:r>
      <w:r w:rsidR="002973A1" w:rsidRPr="002973A1">
        <w:rPr>
          <w:szCs w:val="22"/>
        </w:rPr>
        <w:t>.</w:t>
      </w:r>
      <w:r w:rsidR="00B559D5" w:rsidRPr="00B559D5">
        <w:rPr>
          <w:szCs w:val="22"/>
        </w:rPr>
        <w:t xml:space="preserve"> </w:t>
      </w:r>
      <w:r w:rsidR="00B559D5">
        <w:rPr>
          <w:szCs w:val="22"/>
        </w:rPr>
        <w:t xml:space="preserve">Further, most modelling has been done on algae reactors, which while similar are significantly different from photosynthetic bacterial systems </w:t>
      </w:r>
      <w:r w:rsidR="00B559D5" w:rsidRPr="00B559D5">
        <w:rPr>
          <w:noProof/>
          <w:szCs w:val="22"/>
        </w:rPr>
        <w:t>(Naderi et al., 2017)</w:t>
      </w:r>
      <w:r w:rsidR="00B559D5" w:rsidRPr="002973A1">
        <w:rPr>
          <w:szCs w:val="22"/>
        </w:rPr>
        <w:t>.</w:t>
      </w:r>
    </w:p>
    <w:p w14:paraId="20BEF2D4" w14:textId="43064F0B" w:rsidR="00DE4E61" w:rsidRPr="00BB195E" w:rsidRDefault="00243E92" w:rsidP="00BB195E">
      <w:pPr>
        <w:spacing w:line="480" w:lineRule="auto"/>
        <w:rPr>
          <w:szCs w:val="22"/>
        </w:rPr>
      </w:pPr>
      <w:r>
        <w:rPr>
          <w:szCs w:val="22"/>
        </w:rPr>
        <w:t>In order to better elucidate the effect of light intensity of this model organism, and to model its effect, t</w:t>
      </w:r>
      <w:r w:rsidR="00DE4E61" w:rsidRPr="00DE4E61">
        <w:rPr>
          <w:szCs w:val="22"/>
        </w:rPr>
        <w:t xml:space="preserve">his work </w:t>
      </w:r>
      <w:r w:rsidR="00DE4E61">
        <w:rPr>
          <w:szCs w:val="22"/>
        </w:rPr>
        <w:t>e</w:t>
      </w:r>
      <w:r w:rsidR="00DE4E61" w:rsidRPr="00DE4E61">
        <w:rPr>
          <w:szCs w:val="22"/>
        </w:rPr>
        <w:t>xamine</w:t>
      </w:r>
      <w:r w:rsidR="00DE4E61">
        <w:rPr>
          <w:szCs w:val="22"/>
        </w:rPr>
        <w:t>s</w:t>
      </w:r>
      <w:r w:rsidR="00DE4E61" w:rsidRPr="00DE4E61">
        <w:rPr>
          <w:szCs w:val="22"/>
        </w:rPr>
        <w:t xml:space="preserve"> the effect of light intensity on the cell growth of </w:t>
      </w:r>
      <w:r w:rsidR="00DE4E61" w:rsidRPr="00DE4E61">
        <w:rPr>
          <w:i/>
          <w:iCs/>
          <w:szCs w:val="22"/>
        </w:rPr>
        <w:t>R. palustris</w:t>
      </w:r>
      <w:r w:rsidR="00DE4E61">
        <w:rPr>
          <w:szCs w:val="22"/>
        </w:rPr>
        <w:t xml:space="preserve"> and the bioremediation of glycerol</w:t>
      </w:r>
      <w:r w:rsidR="00DE4E61" w:rsidRPr="00DE4E61">
        <w:rPr>
          <w:szCs w:val="22"/>
        </w:rPr>
        <w:t xml:space="preserve"> </w:t>
      </w:r>
      <w:r w:rsidR="00807E63">
        <w:rPr>
          <w:szCs w:val="22"/>
        </w:rPr>
        <w:t>and m</w:t>
      </w:r>
      <w:r w:rsidR="00807E63" w:rsidRPr="00807E63">
        <w:rPr>
          <w:szCs w:val="22"/>
        </w:rPr>
        <w:t>odel</w:t>
      </w:r>
      <w:r w:rsidR="00F010B4">
        <w:rPr>
          <w:szCs w:val="22"/>
        </w:rPr>
        <w:t>s</w:t>
      </w:r>
      <w:r w:rsidR="00807E63" w:rsidRPr="00807E63">
        <w:rPr>
          <w:szCs w:val="22"/>
        </w:rPr>
        <w:t xml:space="preserve"> the response of cell growth and average light intensity in the tubular PBR to changing light intensity.</w:t>
      </w:r>
    </w:p>
    <w:p w14:paraId="1A135D83" w14:textId="370D78F2" w:rsidR="00DA072E" w:rsidRPr="005712B7" w:rsidRDefault="00DA072E" w:rsidP="002E5ED4">
      <w:pPr>
        <w:pStyle w:val="Heading1"/>
        <w:spacing w:line="480" w:lineRule="auto"/>
        <w:rPr>
          <w:caps w:val="0"/>
        </w:rPr>
      </w:pPr>
      <w:r w:rsidRPr="005712B7">
        <w:rPr>
          <w:caps w:val="0"/>
        </w:rPr>
        <w:lastRenderedPageBreak/>
        <w:t>M</w:t>
      </w:r>
      <w:r w:rsidR="005712B7">
        <w:rPr>
          <w:caps w:val="0"/>
        </w:rPr>
        <w:t>aterials and methods</w:t>
      </w:r>
    </w:p>
    <w:p w14:paraId="73F71A04" w14:textId="592F7F1B" w:rsidR="00DA072E" w:rsidRDefault="00DA072E" w:rsidP="002E5ED4">
      <w:pPr>
        <w:pStyle w:val="Heading2"/>
        <w:spacing w:line="480" w:lineRule="auto"/>
      </w:pPr>
      <w:bookmarkStart w:id="0" w:name="_Ref21591695"/>
      <w:bookmarkStart w:id="1" w:name="_Toc24645873"/>
      <w:r>
        <w:t>Bacterial strains and growth conditions</w:t>
      </w:r>
    </w:p>
    <w:p w14:paraId="3CCAE1B0" w14:textId="6B5FCDEC" w:rsidR="00CD2F7C" w:rsidRPr="00D41D36" w:rsidRDefault="008F1BC5" w:rsidP="00F8403A">
      <w:pPr>
        <w:spacing w:line="480" w:lineRule="auto"/>
      </w:pPr>
      <w:r w:rsidRPr="00C34BD7">
        <w:rPr>
          <w:szCs w:val="22"/>
        </w:rPr>
        <w:t xml:space="preserve">In this investigation hydrogen was produced using </w:t>
      </w:r>
      <w:r w:rsidR="00DB50CC" w:rsidRPr="00C34BD7">
        <w:rPr>
          <w:szCs w:val="22"/>
        </w:rPr>
        <w:t xml:space="preserve">the PNSB </w:t>
      </w:r>
      <w:r w:rsidRPr="00C34BD7">
        <w:rPr>
          <w:i/>
          <w:szCs w:val="22"/>
        </w:rPr>
        <w:t>R. palustris</w:t>
      </w:r>
      <w:r w:rsidRPr="00C34BD7">
        <w:rPr>
          <w:szCs w:val="22"/>
        </w:rPr>
        <w:t xml:space="preserve"> NCIMB 11774. This strain of </w:t>
      </w:r>
      <w:r w:rsidRPr="00C34BD7">
        <w:rPr>
          <w:i/>
          <w:szCs w:val="22"/>
        </w:rPr>
        <w:t>R.</w:t>
      </w:r>
      <w:r w:rsidR="00A40957" w:rsidRPr="00C34BD7">
        <w:rPr>
          <w:i/>
          <w:szCs w:val="22"/>
        </w:rPr>
        <w:t> palustris</w:t>
      </w:r>
      <w:r w:rsidRPr="00C34BD7">
        <w:rPr>
          <w:szCs w:val="22"/>
        </w:rPr>
        <w:t xml:space="preserve"> was obtained from the </w:t>
      </w:r>
      <w:r w:rsidRPr="00C34BD7">
        <w:rPr>
          <w:i/>
          <w:iCs/>
          <w:szCs w:val="22"/>
        </w:rPr>
        <w:t>Deutsche Sammlung von Mikroorganismen und Zellkulturen</w:t>
      </w:r>
      <w:r w:rsidRPr="00C34BD7">
        <w:rPr>
          <w:szCs w:val="22"/>
        </w:rPr>
        <w:t xml:space="preserve"> (DSMZ)</w:t>
      </w:r>
      <w:r w:rsidR="004B608C" w:rsidRPr="00C34BD7">
        <w:rPr>
          <w:szCs w:val="22"/>
        </w:rPr>
        <w:t xml:space="preserve"> as lyophilised cells. The culture was revived onto solid media, as instructed by the DSMZ protocols</w:t>
      </w:r>
      <w:r w:rsidRPr="00C34BD7">
        <w:rPr>
          <w:szCs w:val="22"/>
        </w:rPr>
        <w:t>.</w:t>
      </w:r>
      <w:r w:rsidR="00CD2F7C">
        <w:rPr>
          <w:szCs w:val="22"/>
        </w:rPr>
        <w:t xml:space="preserve"> </w:t>
      </w:r>
      <w:r w:rsidR="00CD2F7C">
        <w:t>Van Niels medium was used in all experiments</w:t>
      </w:r>
      <w:r w:rsidR="00B368BF">
        <w:t>.</w:t>
      </w:r>
      <w:r w:rsidR="00CD2F7C">
        <w:t xml:space="preserve"> This medium was developed through the adjustment of the Van Niels Yeast Broth </w:t>
      </w:r>
      <w:r w:rsidR="002E76C3" w:rsidRPr="002E76C3">
        <w:rPr>
          <w:noProof/>
        </w:rPr>
        <w:t>(van Niel, 1944)</w:t>
      </w:r>
      <w:r w:rsidR="00CD2F7C">
        <w:t xml:space="preserve"> through the addition of glycerol as the main carbon source</w:t>
      </w:r>
      <w:r w:rsidR="002E76C3">
        <w:t xml:space="preserve"> </w:t>
      </w:r>
      <w:r w:rsidR="002E76C3" w:rsidRPr="002E76C3">
        <w:rPr>
          <w:noProof/>
        </w:rPr>
        <w:t>(du Toit and Pott, 2020)</w:t>
      </w:r>
      <w:r w:rsidR="00CD2F7C">
        <w:t>.</w:t>
      </w:r>
      <w:r w:rsidR="00F8403A">
        <w:t xml:space="preserve"> </w:t>
      </w:r>
      <w:r w:rsidR="00F8403A" w:rsidRPr="00F8403A">
        <w:rPr>
          <w:szCs w:val="22"/>
        </w:rPr>
        <w:t xml:space="preserve">Table </w:t>
      </w:r>
      <w:r w:rsidR="00F8403A" w:rsidRPr="00F8403A">
        <w:rPr>
          <w:noProof/>
          <w:szCs w:val="22"/>
        </w:rPr>
        <w:t>1</w:t>
      </w:r>
      <w:r w:rsidR="00CD2F7C">
        <w:t xml:space="preserve"> </w:t>
      </w:r>
      <w:r w:rsidR="00CD2F7C" w:rsidRPr="002824DE">
        <w:t xml:space="preserve">provides </w:t>
      </w:r>
      <w:r w:rsidR="00CD2F7C">
        <w:t>a summary of the adjusted Van Niels medium along with the concentrations of each component.</w:t>
      </w:r>
    </w:p>
    <w:p w14:paraId="70B79B3A" w14:textId="4BAB53E2" w:rsidR="00F8403A" w:rsidRPr="00F8403A" w:rsidRDefault="00F8403A" w:rsidP="00F8403A">
      <w:pPr>
        <w:pStyle w:val="Caption"/>
        <w:keepNext/>
        <w:rPr>
          <w:sz w:val="20"/>
          <w:szCs w:val="20"/>
        </w:rPr>
      </w:pPr>
      <w:bookmarkStart w:id="2" w:name="_Ref49435797"/>
      <w:r w:rsidRPr="00F8403A">
        <w:rPr>
          <w:sz w:val="20"/>
          <w:szCs w:val="20"/>
        </w:rPr>
        <w:t xml:space="preserve">Table </w:t>
      </w:r>
      <w:r w:rsidR="0049491D">
        <w:rPr>
          <w:noProof/>
          <w:sz w:val="20"/>
          <w:szCs w:val="20"/>
        </w:rPr>
        <w:t>1</w:t>
      </w:r>
      <w:bookmarkEnd w:id="2"/>
      <w:r w:rsidRPr="00F8403A">
        <w:rPr>
          <w:sz w:val="20"/>
          <w:szCs w:val="20"/>
        </w:rPr>
        <w:t>: Adjusted Van Niels Yeast Broth components and concentrations. *Sterile addition to Van Niels Yeast Broth after autoclaving.</w:t>
      </w:r>
    </w:p>
    <w:tbl>
      <w:tblPr>
        <w:tblW w:w="7230" w:type="dxa"/>
        <w:tblLook w:val="04A0" w:firstRow="1" w:lastRow="0" w:firstColumn="1" w:lastColumn="0" w:noHBand="0" w:noVBand="1"/>
      </w:tblPr>
      <w:tblGrid>
        <w:gridCol w:w="2410"/>
        <w:gridCol w:w="2410"/>
        <w:gridCol w:w="2410"/>
      </w:tblGrid>
      <w:tr w:rsidR="00CD2F7C" w:rsidRPr="007E7D0A" w14:paraId="36D26437" w14:textId="77777777" w:rsidTr="00CD2F7C">
        <w:trPr>
          <w:trHeight w:val="300"/>
        </w:trPr>
        <w:tc>
          <w:tcPr>
            <w:tcW w:w="2410" w:type="dxa"/>
            <w:tcBorders>
              <w:top w:val="single" w:sz="4" w:space="0" w:color="auto"/>
              <w:left w:val="nil"/>
              <w:bottom w:val="single" w:sz="4" w:space="0" w:color="auto"/>
              <w:right w:val="nil"/>
            </w:tcBorders>
            <w:shd w:val="clear" w:color="auto" w:fill="auto"/>
            <w:noWrap/>
            <w:vAlign w:val="center"/>
            <w:hideMark/>
          </w:tcPr>
          <w:p w14:paraId="4E40E492" w14:textId="77777777" w:rsidR="00CD2F7C" w:rsidRPr="007E7D0A" w:rsidRDefault="00CD2F7C" w:rsidP="002E5ED4">
            <w:pPr>
              <w:spacing w:after="0" w:line="480" w:lineRule="auto"/>
              <w:jc w:val="left"/>
              <w:rPr>
                <w:rFonts w:cs="Calibri"/>
                <w:b/>
                <w:bCs/>
                <w:color w:val="000000"/>
                <w:szCs w:val="22"/>
                <w:lang w:eastAsia="en-ZA"/>
              </w:rPr>
            </w:pPr>
            <w:r w:rsidRPr="007E7D0A">
              <w:rPr>
                <w:rFonts w:cs="Calibri"/>
                <w:b/>
                <w:bCs/>
                <w:color w:val="000000"/>
                <w:szCs w:val="22"/>
                <w:lang w:eastAsia="en-ZA"/>
              </w:rPr>
              <w:t>Component</w:t>
            </w:r>
          </w:p>
        </w:tc>
        <w:tc>
          <w:tcPr>
            <w:tcW w:w="2410" w:type="dxa"/>
            <w:tcBorders>
              <w:top w:val="single" w:sz="4" w:space="0" w:color="auto"/>
              <w:left w:val="nil"/>
              <w:bottom w:val="single" w:sz="4" w:space="0" w:color="auto"/>
              <w:right w:val="nil"/>
            </w:tcBorders>
            <w:shd w:val="clear" w:color="auto" w:fill="auto"/>
            <w:noWrap/>
            <w:vAlign w:val="center"/>
            <w:hideMark/>
          </w:tcPr>
          <w:p w14:paraId="2A8D8165" w14:textId="77777777" w:rsidR="00CD2F7C" w:rsidRPr="007E7D0A" w:rsidRDefault="00CD2F7C" w:rsidP="002E5ED4">
            <w:pPr>
              <w:spacing w:after="0" w:line="480" w:lineRule="auto"/>
              <w:jc w:val="center"/>
              <w:rPr>
                <w:rFonts w:cs="Calibri"/>
                <w:b/>
                <w:bCs/>
                <w:color w:val="000000"/>
                <w:szCs w:val="22"/>
                <w:lang w:eastAsia="en-ZA"/>
              </w:rPr>
            </w:pPr>
            <w:r w:rsidRPr="007E7D0A">
              <w:rPr>
                <w:rFonts w:cs="Calibri"/>
                <w:b/>
                <w:bCs/>
                <w:color w:val="000000"/>
                <w:szCs w:val="22"/>
                <w:lang w:eastAsia="en-ZA"/>
              </w:rPr>
              <w:t>Concentration (g/L)</w:t>
            </w:r>
          </w:p>
        </w:tc>
        <w:tc>
          <w:tcPr>
            <w:tcW w:w="2410" w:type="dxa"/>
            <w:tcBorders>
              <w:top w:val="single" w:sz="4" w:space="0" w:color="auto"/>
              <w:left w:val="nil"/>
              <w:bottom w:val="single" w:sz="4" w:space="0" w:color="auto"/>
              <w:right w:val="nil"/>
            </w:tcBorders>
          </w:tcPr>
          <w:p w14:paraId="11A9B6B1" w14:textId="77777777" w:rsidR="00CD2F7C" w:rsidRPr="007E7D0A" w:rsidRDefault="00CD2F7C" w:rsidP="002E5ED4">
            <w:pPr>
              <w:spacing w:after="0" w:line="480" w:lineRule="auto"/>
              <w:jc w:val="center"/>
              <w:rPr>
                <w:rFonts w:cs="Calibri"/>
                <w:b/>
                <w:bCs/>
                <w:color w:val="000000"/>
                <w:szCs w:val="22"/>
                <w:lang w:eastAsia="en-ZA"/>
              </w:rPr>
            </w:pPr>
            <w:r w:rsidRPr="007E7D0A">
              <w:rPr>
                <w:rFonts w:cs="Calibri"/>
                <w:b/>
                <w:bCs/>
                <w:color w:val="000000"/>
                <w:szCs w:val="22"/>
                <w:lang w:eastAsia="en-ZA"/>
              </w:rPr>
              <w:t>Concentration (</w:t>
            </w:r>
            <w:r>
              <w:rPr>
                <w:rFonts w:cs="Calibri"/>
                <w:b/>
                <w:bCs/>
                <w:color w:val="000000"/>
                <w:szCs w:val="22"/>
                <w:lang w:eastAsia="en-ZA"/>
              </w:rPr>
              <w:t>mM</w:t>
            </w:r>
            <w:r w:rsidRPr="007E7D0A">
              <w:rPr>
                <w:rFonts w:cs="Calibri"/>
                <w:b/>
                <w:bCs/>
                <w:color w:val="000000"/>
                <w:szCs w:val="22"/>
                <w:lang w:eastAsia="en-ZA"/>
              </w:rPr>
              <w:t>)</w:t>
            </w:r>
          </w:p>
        </w:tc>
      </w:tr>
      <w:tr w:rsidR="00CD2F7C" w:rsidRPr="007E7D0A" w14:paraId="540AB06A" w14:textId="77777777" w:rsidTr="00CD2F7C">
        <w:trPr>
          <w:trHeight w:val="300"/>
        </w:trPr>
        <w:tc>
          <w:tcPr>
            <w:tcW w:w="2410" w:type="dxa"/>
            <w:tcBorders>
              <w:top w:val="nil"/>
              <w:left w:val="nil"/>
              <w:bottom w:val="nil"/>
              <w:right w:val="nil"/>
            </w:tcBorders>
            <w:shd w:val="clear" w:color="auto" w:fill="auto"/>
            <w:noWrap/>
            <w:vAlign w:val="center"/>
            <w:hideMark/>
          </w:tcPr>
          <w:p w14:paraId="405B697F" w14:textId="77777777" w:rsidR="00CD2F7C" w:rsidRPr="007E7D0A" w:rsidRDefault="00CD2F7C" w:rsidP="002E5ED4">
            <w:pPr>
              <w:spacing w:after="0" w:line="480" w:lineRule="auto"/>
              <w:jc w:val="left"/>
              <w:rPr>
                <w:rFonts w:cs="Calibri"/>
                <w:color w:val="000000"/>
                <w:szCs w:val="22"/>
                <w:lang w:eastAsia="en-ZA"/>
              </w:rPr>
            </w:pPr>
            <w:r>
              <w:rPr>
                <w:rFonts w:cs="Calibri"/>
                <w:color w:val="000000"/>
                <w:szCs w:val="22"/>
                <w:lang w:eastAsia="en-ZA"/>
              </w:rPr>
              <w:t>*</w:t>
            </w:r>
            <w:r w:rsidRPr="007E7D0A">
              <w:rPr>
                <w:rFonts w:cs="Calibri"/>
                <w:color w:val="000000"/>
                <w:szCs w:val="22"/>
                <w:lang w:eastAsia="en-ZA"/>
              </w:rPr>
              <w:t>Glycerol</w:t>
            </w:r>
          </w:p>
        </w:tc>
        <w:tc>
          <w:tcPr>
            <w:tcW w:w="2410" w:type="dxa"/>
            <w:tcBorders>
              <w:top w:val="nil"/>
              <w:left w:val="nil"/>
              <w:bottom w:val="nil"/>
              <w:right w:val="nil"/>
            </w:tcBorders>
            <w:shd w:val="clear" w:color="auto" w:fill="auto"/>
            <w:noWrap/>
            <w:vAlign w:val="center"/>
            <w:hideMark/>
          </w:tcPr>
          <w:p w14:paraId="0DEB0CF9" w14:textId="77777777" w:rsidR="00CD2F7C" w:rsidRPr="007E7D0A" w:rsidRDefault="00CD2F7C" w:rsidP="002E5ED4">
            <w:pPr>
              <w:spacing w:after="0" w:line="480" w:lineRule="auto"/>
              <w:jc w:val="center"/>
              <w:rPr>
                <w:rFonts w:cs="Calibri"/>
                <w:color w:val="000000"/>
                <w:szCs w:val="22"/>
                <w:lang w:eastAsia="en-ZA"/>
              </w:rPr>
            </w:pPr>
            <w:r>
              <w:rPr>
                <w:rFonts w:cs="Calibri"/>
                <w:color w:val="000000"/>
                <w:szCs w:val="22"/>
                <w:lang w:eastAsia="en-ZA"/>
              </w:rPr>
              <w:t>3.684</w:t>
            </w:r>
          </w:p>
        </w:tc>
        <w:tc>
          <w:tcPr>
            <w:tcW w:w="2410" w:type="dxa"/>
            <w:tcBorders>
              <w:top w:val="nil"/>
              <w:left w:val="nil"/>
              <w:bottom w:val="nil"/>
              <w:right w:val="nil"/>
            </w:tcBorders>
          </w:tcPr>
          <w:p w14:paraId="0D5D6C26" w14:textId="77777777" w:rsidR="00CD2F7C" w:rsidRDefault="00CD2F7C" w:rsidP="002E5ED4">
            <w:pPr>
              <w:spacing w:after="0" w:line="480" w:lineRule="auto"/>
              <w:jc w:val="center"/>
              <w:rPr>
                <w:rFonts w:cs="Calibri"/>
                <w:color w:val="000000"/>
                <w:szCs w:val="22"/>
                <w:lang w:eastAsia="en-ZA"/>
              </w:rPr>
            </w:pPr>
            <w:r>
              <w:rPr>
                <w:rFonts w:cs="Calibri"/>
                <w:color w:val="000000"/>
                <w:szCs w:val="22"/>
                <w:lang w:eastAsia="en-ZA"/>
              </w:rPr>
              <w:t>40</w:t>
            </w:r>
          </w:p>
        </w:tc>
      </w:tr>
      <w:tr w:rsidR="00CD2F7C" w:rsidRPr="007E7D0A" w14:paraId="4BCFE32A" w14:textId="77777777" w:rsidTr="00CD2F7C">
        <w:trPr>
          <w:trHeight w:val="360"/>
        </w:trPr>
        <w:tc>
          <w:tcPr>
            <w:tcW w:w="2410" w:type="dxa"/>
            <w:tcBorders>
              <w:top w:val="nil"/>
              <w:left w:val="nil"/>
              <w:bottom w:val="nil"/>
              <w:right w:val="nil"/>
            </w:tcBorders>
            <w:shd w:val="clear" w:color="auto" w:fill="auto"/>
            <w:noWrap/>
            <w:vAlign w:val="center"/>
            <w:hideMark/>
          </w:tcPr>
          <w:p w14:paraId="391EBEB4" w14:textId="77777777" w:rsidR="00CD2F7C" w:rsidRPr="007E7D0A" w:rsidRDefault="00CD2F7C" w:rsidP="002E5ED4">
            <w:pPr>
              <w:spacing w:after="0" w:line="480" w:lineRule="auto"/>
              <w:jc w:val="left"/>
              <w:rPr>
                <w:rFonts w:cs="Calibri"/>
                <w:color w:val="000000"/>
                <w:szCs w:val="22"/>
                <w:lang w:eastAsia="en-ZA"/>
              </w:rPr>
            </w:pPr>
            <w:r w:rsidRPr="007E7D0A">
              <w:rPr>
                <w:rFonts w:cs="Calibri"/>
                <w:color w:val="000000"/>
                <w:szCs w:val="22"/>
                <w:lang w:eastAsia="en-ZA"/>
              </w:rPr>
              <w:t>K</w:t>
            </w:r>
            <w:r w:rsidRPr="007E7D0A">
              <w:rPr>
                <w:rFonts w:cs="Calibri"/>
                <w:color w:val="000000"/>
                <w:szCs w:val="22"/>
                <w:vertAlign w:val="subscript"/>
                <w:lang w:eastAsia="en-ZA"/>
              </w:rPr>
              <w:t>2</w:t>
            </w:r>
            <w:r w:rsidRPr="007E7D0A">
              <w:rPr>
                <w:rFonts w:cs="Calibri"/>
                <w:color w:val="000000"/>
                <w:szCs w:val="22"/>
                <w:lang w:eastAsia="en-ZA"/>
              </w:rPr>
              <w:t>HPO</w:t>
            </w:r>
            <w:r w:rsidRPr="007E7D0A">
              <w:rPr>
                <w:rFonts w:cs="Calibri"/>
                <w:color w:val="000000"/>
                <w:szCs w:val="22"/>
                <w:vertAlign w:val="subscript"/>
                <w:lang w:eastAsia="en-ZA"/>
              </w:rPr>
              <w:t>4</w:t>
            </w:r>
          </w:p>
        </w:tc>
        <w:tc>
          <w:tcPr>
            <w:tcW w:w="2410" w:type="dxa"/>
            <w:tcBorders>
              <w:top w:val="nil"/>
              <w:left w:val="nil"/>
              <w:bottom w:val="nil"/>
              <w:right w:val="nil"/>
            </w:tcBorders>
            <w:shd w:val="clear" w:color="auto" w:fill="auto"/>
            <w:noWrap/>
            <w:vAlign w:val="center"/>
            <w:hideMark/>
          </w:tcPr>
          <w:p w14:paraId="6B86E451" w14:textId="77777777" w:rsidR="00CD2F7C" w:rsidRPr="007E7D0A" w:rsidRDefault="00CD2F7C" w:rsidP="002E5ED4">
            <w:pPr>
              <w:spacing w:after="0" w:line="480" w:lineRule="auto"/>
              <w:jc w:val="center"/>
              <w:rPr>
                <w:rFonts w:cs="Calibri"/>
                <w:color w:val="000000"/>
                <w:szCs w:val="22"/>
                <w:lang w:eastAsia="en-ZA"/>
              </w:rPr>
            </w:pPr>
            <w:r>
              <w:rPr>
                <w:rFonts w:cs="Calibri"/>
                <w:color w:val="000000"/>
                <w:szCs w:val="22"/>
                <w:lang w:eastAsia="en-ZA"/>
              </w:rPr>
              <w:t>1.000</w:t>
            </w:r>
          </w:p>
        </w:tc>
        <w:tc>
          <w:tcPr>
            <w:tcW w:w="2410" w:type="dxa"/>
            <w:tcBorders>
              <w:top w:val="nil"/>
              <w:left w:val="nil"/>
              <w:bottom w:val="nil"/>
              <w:right w:val="nil"/>
            </w:tcBorders>
          </w:tcPr>
          <w:p w14:paraId="30F1EAF7" w14:textId="77777777" w:rsidR="00CD2F7C" w:rsidRDefault="00CD2F7C" w:rsidP="002E5ED4">
            <w:pPr>
              <w:spacing w:after="0" w:line="480" w:lineRule="auto"/>
              <w:jc w:val="center"/>
              <w:rPr>
                <w:rFonts w:cs="Calibri"/>
                <w:color w:val="000000"/>
                <w:szCs w:val="22"/>
                <w:lang w:eastAsia="en-ZA"/>
              </w:rPr>
            </w:pPr>
            <w:r>
              <w:rPr>
                <w:rFonts w:cs="Calibri"/>
                <w:color w:val="000000"/>
                <w:szCs w:val="22"/>
                <w:lang w:eastAsia="en-ZA"/>
              </w:rPr>
              <w:t>7.348</w:t>
            </w:r>
          </w:p>
        </w:tc>
      </w:tr>
      <w:tr w:rsidR="00CD2F7C" w:rsidRPr="007E7D0A" w14:paraId="5166001B" w14:textId="77777777" w:rsidTr="00CD2F7C">
        <w:trPr>
          <w:trHeight w:val="360"/>
        </w:trPr>
        <w:tc>
          <w:tcPr>
            <w:tcW w:w="2410" w:type="dxa"/>
            <w:tcBorders>
              <w:top w:val="nil"/>
              <w:left w:val="nil"/>
              <w:bottom w:val="nil"/>
              <w:right w:val="nil"/>
            </w:tcBorders>
            <w:shd w:val="clear" w:color="auto" w:fill="auto"/>
            <w:noWrap/>
            <w:vAlign w:val="center"/>
            <w:hideMark/>
          </w:tcPr>
          <w:p w14:paraId="014AAF82" w14:textId="77777777" w:rsidR="00CD2F7C" w:rsidRPr="007E7D0A" w:rsidRDefault="00CD2F7C" w:rsidP="002E5ED4">
            <w:pPr>
              <w:spacing w:after="0" w:line="480" w:lineRule="auto"/>
              <w:jc w:val="left"/>
              <w:rPr>
                <w:rFonts w:cs="Calibri"/>
                <w:color w:val="000000"/>
                <w:szCs w:val="22"/>
                <w:lang w:eastAsia="en-ZA"/>
              </w:rPr>
            </w:pPr>
            <w:r w:rsidRPr="007E7D0A">
              <w:rPr>
                <w:rFonts w:cs="Calibri"/>
                <w:color w:val="000000"/>
                <w:szCs w:val="22"/>
                <w:lang w:eastAsia="en-ZA"/>
              </w:rPr>
              <w:t>MgSO</w:t>
            </w:r>
            <w:r w:rsidRPr="007E7D0A">
              <w:rPr>
                <w:rFonts w:cs="Calibri"/>
                <w:color w:val="000000"/>
                <w:szCs w:val="22"/>
                <w:vertAlign w:val="subscript"/>
                <w:lang w:eastAsia="en-ZA"/>
              </w:rPr>
              <w:t>4</w:t>
            </w:r>
            <w:r w:rsidRPr="007E7D0A">
              <w:rPr>
                <w:rFonts w:cs="Calibri"/>
                <w:color w:val="000000"/>
                <w:szCs w:val="22"/>
                <w:lang w:eastAsia="en-ZA"/>
              </w:rPr>
              <w:t>.7H</w:t>
            </w:r>
            <w:r w:rsidRPr="007E7D0A">
              <w:rPr>
                <w:rFonts w:cs="Calibri"/>
                <w:color w:val="000000"/>
                <w:szCs w:val="22"/>
                <w:vertAlign w:val="subscript"/>
                <w:lang w:eastAsia="en-ZA"/>
              </w:rPr>
              <w:t>2</w:t>
            </w:r>
            <w:r w:rsidRPr="007E7D0A">
              <w:rPr>
                <w:rFonts w:cs="Calibri"/>
                <w:color w:val="000000"/>
                <w:szCs w:val="22"/>
                <w:lang w:eastAsia="en-ZA"/>
              </w:rPr>
              <w:t>O</w:t>
            </w:r>
          </w:p>
        </w:tc>
        <w:tc>
          <w:tcPr>
            <w:tcW w:w="2410" w:type="dxa"/>
            <w:tcBorders>
              <w:top w:val="nil"/>
              <w:left w:val="nil"/>
              <w:bottom w:val="nil"/>
              <w:right w:val="nil"/>
            </w:tcBorders>
            <w:shd w:val="clear" w:color="auto" w:fill="auto"/>
            <w:noWrap/>
            <w:vAlign w:val="center"/>
            <w:hideMark/>
          </w:tcPr>
          <w:p w14:paraId="293BBB43" w14:textId="77777777" w:rsidR="00CD2F7C" w:rsidRPr="007E7D0A" w:rsidRDefault="00CD2F7C" w:rsidP="002E5ED4">
            <w:pPr>
              <w:spacing w:after="0" w:line="480" w:lineRule="auto"/>
              <w:jc w:val="center"/>
              <w:rPr>
                <w:rFonts w:cs="Calibri"/>
                <w:color w:val="000000"/>
                <w:szCs w:val="22"/>
                <w:lang w:eastAsia="en-ZA"/>
              </w:rPr>
            </w:pPr>
            <w:r>
              <w:rPr>
                <w:rFonts w:cs="Calibri"/>
                <w:color w:val="000000"/>
                <w:szCs w:val="22"/>
                <w:lang w:eastAsia="en-ZA"/>
              </w:rPr>
              <w:t>0.500</w:t>
            </w:r>
          </w:p>
        </w:tc>
        <w:tc>
          <w:tcPr>
            <w:tcW w:w="2410" w:type="dxa"/>
            <w:tcBorders>
              <w:top w:val="nil"/>
              <w:left w:val="nil"/>
              <w:bottom w:val="nil"/>
              <w:right w:val="nil"/>
            </w:tcBorders>
          </w:tcPr>
          <w:p w14:paraId="738BB32F" w14:textId="77777777" w:rsidR="00CD2F7C" w:rsidRDefault="00CD2F7C" w:rsidP="002E5ED4">
            <w:pPr>
              <w:spacing w:after="0" w:line="480" w:lineRule="auto"/>
              <w:jc w:val="center"/>
              <w:rPr>
                <w:rFonts w:cs="Calibri"/>
                <w:color w:val="000000"/>
                <w:szCs w:val="22"/>
                <w:lang w:eastAsia="en-ZA"/>
              </w:rPr>
            </w:pPr>
            <w:r>
              <w:rPr>
                <w:rFonts w:cs="Calibri"/>
                <w:color w:val="000000"/>
                <w:szCs w:val="22"/>
                <w:lang w:eastAsia="en-ZA"/>
              </w:rPr>
              <w:t>2.029</w:t>
            </w:r>
          </w:p>
        </w:tc>
      </w:tr>
      <w:tr w:rsidR="00CD2F7C" w:rsidRPr="007E7D0A" w14:paraId="37FA40FC" w14:textId="77777777" w:rsidTr="00CD2F7C">
        <w:trPr>
          <w:trHeight w:val="300"/>
        </w:trPr>
        <w:tc>
          <w:tcPr>
            <w:tcW w:w="2410" w:type="dxa"/>
            <w:tcBorders>
              <w:top w:val="nil"/>
              <w:left w:val="nil"/>
              <w:bottom w:val="single" w:sz="4" w:space="0" w:color="auto"/>
              <w:right w:val="nil"/>
            </w:tcBorders>
            <w:shd w:val="clear" w:color="auto" w:fill="auto"/>
            <w:noWrap/>
            <w:vAlign w:val="center"/>
            <w:hideMark/>
          </w:tcPr>
          <w:p w14:paraId="511EEEF0" w14:textId="77777777" w:rsidR="00CD2F7C" w:rsidRPr="007E7D0A" w:rsidRDefault="00CD2F7C" w:rsidP="002E5ED4">
            <w:pPr>
              <w:spacing w:after="0" w:line="480" w:lineRule="auto"/>
              <w:jc w:val="left"/>
              <w:rPr>
                <w:rFonts w:cs="Calibri"/>
                <w:color w:val="000000"/>
                <w:szCs w:val="22"/>
                <w:lang w:eastAsia="en-ZA"/>
              </w:rPr>
            </w:pPr>
            <w:r w:rsidRPr="007E7D0A">
              <w:rPr>
                <w:rFonts w:cs="Calibri"/>
                <w:color w:val="000000"/>
                <w:szCs w:val="22"/>
                <w:lang w:eastAsia="en-ZA"/>
              </w:rPr>
              <w:t>Yeast extract</w:t>
            </w:r>
          </w:p>
        </w:tc>
        <w:tc>
          <w:tcPr>
            <w:tcW w:w="2410" w:type="dxa"/>
            <w:tcBorders>
              <w:top w:val="nil"/>
              <w:left w:val="nil"/>
              <w:bottom w:val="single" w:sz="4" w:space="0" w:color="auto"/>
              <w:right w:val="nil"/>
            </w:tcBorders>
            <w:shd w:val="clear" w:color="auto" w:fill="auto"/>
            <w:noWrap/>
            <w:vAlign w:val="center"/>
            <w:hideMark/>
          </w:tcPr>
          <w:p w14:paraId="2AC152F1" w14:textId="77777777" w:rsidR="00CD2F7C" w:rsidRPr="007E7D0A" w:rsidRDefault="00CD2F7C" w:rsidP="002E5ED4">
            <w:pPr>
              <w:spacing w:after="0" w:line="480" w:lineRule="auto"/>
              <w:jc w:val="center"/>
              <w:rPr>
                <w:rFonts w:cs="Calibri"/>
                <w:color w:val="000000"/>
                <w:szCs w:val="22"/>
                <w:lang w:eastAsia="en-ZA"/>
              </w:rPr>
            </w:pPr>
            <w:r>
              <w:rPr>
                <w:rFonts w:cs="Calibri"/>
                <w:color w:val="000000"/>
                <w:szCs w:val="22"/>
                <w:lang w:eastAsia="en-ZA"/>
              </w:rPr>
              <w:t>10.000</w:t>
            </w:r>
          </w:p>
        </w:tc>
        <w:tc>
          <w:tcPr>
            <w:tcW w:w="2410" w:type="dxa"/>
            <w:tcBorders>
              <w:top w:val="nil"/>
              <w:left w:val="nil"/>
              <w:bottom w:val="single" w:sz="4" w:space="0" w:color="auto"/>
              <w:right w:val="nil"/>
            </w:tcBorders>
          </w:tcPr>
          <w:p w14:paraId="5597B4A7" w14:textId="77777777" w:rsidR="00CD2F7C" w:rsidRDefault="00CD2F7C" w:rsidP="002E5ED4">
            <w:pPr>
              <w:spacing w:after="0" w:line="480" w:lineRule="auto"/>
              <w:jc w:val="center"/>
              <w:rPr>
                <w:rFonts w:cs="Calibri"/>
                <w:color w:val="000000"/>
                <w:szCs w:val="22"/>
                <w:lang w:eastAsia="en-ZA"/>
              </w:rPr>
            </w:pPr>
            <w:r>
              <w:rPr>
                <w:rFonts w:cs="Calibri"/>
                <w:color w:val="000000"/>
                <w:szCs w:val="22"/>
                <w:lang w:eastAsia="en-ZA"/>
              </w:rPr>
              <w:t>-</w:t>
            </w:r>
          </w:p>
        </w:tc>
      </w:tr>
    </w:tbl>
    <w:p w14:paraId="169BE6FB" w14:textId="77777777" w:rsidR="00CD2F7C" w:rsidRDefault="00CD2F7C" w:rsidP="002E5ED4">
      <w:pPr>
        <w:spacing w:before="240" w:line="480" w:lineRule="auto"/>
      </w:pPr>
      <w:r>
        <w:t>The Van Niels medium was prepared by dissolving the</w:t>
      </w:r>
      <w:r w:rsidRPr="00305F53">
        <w:t xml:space="preserve"> </w:t>
      </w:r>
      <w:r>
        <w:t>m</w:t>
      </w:r>
      <w:r w:rsidRPr="00305F53">
        <w:t>onopotassium phosphate</w:t>
      </w:r>
      <w:r>
        <w:t>, magnesium sulphate heptahydrate and yeast extract in deionised water using a magnetic stirrer plate. The final pH of the growth medium was then adjusted to a pH of 7.0±0.1 using 0.1 M NaOH if necessary before it was sterilised by autoclaving (Speedy autoclave) for 40 minutes at a temperature of 121°C and pressure of 101 kPa. A 4 M stock solution of glycerol was prepared and autoclaved separately, before 10 mL/L was added to the above solution to obtain a final glycerol concentration of 40 mM in the growth medium.</w:t>
      </w:r>
    </w:p>
    <w:p w14:paraId="1758D043" w14:textId="348B42AC" w:rsidR="00DA072E" w:rsidRDefault="000A3C63" w:rsidP="002E5ED4">
      <w:pPr>
        <w:pStyle w:val="Heading2"/>
        <w:spacing w:line="480" w:lineRule="auto"/>
      </w:pPr>
      <w:bookmarkStart w:id="3" w:name="_Ref48501039"/>
      <w:bookmarkEnd w:id="0"/>
      <w:bookmarkEnd w:id="1"/>
      <w:r>
        <w:lastRenderedPageBreak/>
        <w:t>Experimental method</w:t>
      </w:r>
      <w:bookmarkEnd w:id="3"/>
    </w:p>
    <w:p w14:paraId="038D6CD8" w14:textId="03972F96" w:rsidR="00011426" w:rsidRPr="00CE7E7A" w:rsidRDefault="00011426" w:rsidP="002E5ED4">
      <w:pPr>
        <w:spacing w:line="480" w:lineRule="auto"/>
      </w:pPr>
      <w:r>
        <w:t>Borosilicate glass tubing was used to make the tubular PBR system. The reactor had a total active volume of 500 mL with the following dimensions: 2.83 m long with an internal diameter of 0.015 m and a wall thickness of 1.8x10</w:t>
      </w:r>
      <w:r>
        <w:rPr>
          <w:vertAlign w:val="superscript"/>
        </w:rPr>
        <w:t xml:space="preserve">-3 </w:t>
      </w:r>
      <w:r>
        <w:t>m</w:t>
      </w:r>
      <w:r w:rsidRPr="0059596F">
        <w:t>.</w:t>
      </w:r>
      <w:r w:rsidRPr="00C15C12">
        <w:rPr>
          <w:rStyle w:val="FigureCaptionChar"/>
        </w:rPr>
        <w:t xml:space="preserve"> </w:t>
      </w:r>
      <w:r w:rsidR="00896BC4">
        <w:rPr>
          <w:szCs w:val="22"/>
        </w:rPr>
        <w:fldChar w:fldCharType="begin"/>
      </w:r>
      <w:r w:rsidR="00896BC4">
        <w:rPr>
          <w:rStyle w:val="FigureCaptionChar"/>
        </w:rPr>
        <w:instrText xml:space="preserve"> REF _Ref75339234 \h </w:instrText>
      </w:r>
      <w:r w:rsidR="00896BC4">
        <w:rPr>
          <w:szCs w:val="22"/>
        </w:rPr>
      </w:r>
      <w:r w:rsidR="00896BC4">
        <w:rPr>
          <w:szCs w:val="22"/>
        </w:rPr>
        <w:fldChar w:fldCharType="separate"/>
      </w:r>
      <w:r w:rsidR="00896BC4">
        <w:t xml:space="preserve">Figure </w:t>
      </w:r>
      <w:r w:rsidR="00896BC4">
        <w:rPr>
          <w:noProof/>
        </w:rPr>
        <w:t>1</w:t>
      </w:r>
      <w:r w:rsidR="00896BC4">
        <w:rPr>
          <w:szCs w:val="22"/>
        </w:rPr>
        <w:fldChar w:fldCharType="end"/>
      </w:r>
      <w:r w:rsidR="00FE24A1">
        <w:rPr>
          <w:rStyle w:val="FigureCaptionChar"/>
        </w:rPr>
        <w:t xml:space="preserve"> </w:t>
      </w:r>
      <w:r>
        <w:t xml:space="preserve">provides a schematic of the experimental setup used for the tubular PBR system. The system consisted of a clear glass water bath with a heat circulator (Julabo Corio heat immersion circulator) used to control the temperature of the experiment at 35°C. The system was set up to operate as a batch type system with a 1L </w:t>
      </w:r>
      <w:r w:rsidR="001F51FF">
        <w:t>s</w:t>
      </w:r>
      <w:r>
        <w:t xml:space="preserve">chott bottle as the reservoir for the returning outlet stream and the exiting inlet stream. The </w:t>
      </w:r>
      <w:r w:rsidR="001F51FF">
        <w:t>s</w:t>
      </w:r>
      <w:r>
        <w:t xml:space="preserve">chott bottle lid also housed a liquid sampling port which was used to sparge the system with argon through a 0.22 </w:t>
      </w:r>
      <w:r>
        <w:rPr>
          <w:rFonts w:cs="Calibri"/>
        </w:rPr>
        <w:t>µ</w:t>
      </w:r>
      <w:r>
        <w:t xml:space="preserve">m PTFE filter for 10 minutes to induce anaerobic and dinitrogen-free conditions as well as a gas outlet port. </w:t>
      </w:r>
      <w:r w:rsidRPr="00DD0086">
        <w:t xml:space="preserve">Norprene Industrial Grade </w:t>
      </w:r>
      <w:r>
        <w:t xml:space="preserve">Tygon </w:t>
      </w:r>
      <w:r w:rsidRPr="00DD0086">
        <w:t>Tubing A-60</w:t>
      </w:r>
      <w:r>
        <w:noBreakHyphen/>
      </w:r>
      <w:r w:rsidRPr="00DD0086">
        <w:t xml:space="preserve">G </w:t>
      </w:r>
      <w:r>
        <w:t xml:space="preserve">was used for transportation of the culture medium in and out of the reservoir. Tygon A-60-G has a low gas permeability, was purpose-fit for peristaltic pumps and could also withstand the high temperatures experienced during autoclaving. An added benefit of the Tygon A-60-G tubing was that it was opaque, so the bacterial culture only absorbed light when it was in the active section of the tubular PBR. A peristaltic pump (Runze Fluid YZ1515X) was used to transport the bacterial culture from the reservoir to the tubular reactor with the outlet of the reactor returning to the reservoir. The peristaltic pump was used due to its non-invasive nature, which limits the possibility of contamination of the system. Circulation through the reactor was kept constant throughout all experiments done using this setup at a flow rate </w:t>
      </w:r>
      <w:r w:rsidRPr="00007612">
        <w:t>of 0.651 L/min</w:t>
      </w:r>
      <w:r>
        <w:t xml:space="preserve">. </w:t>
      </w:r>
    </w:p>
    <w:p w14:paraId="2C8761EF" w14:textId="77777777" w:rsidR="005A2E50" w:rsidRDefault="00011426" w:rsidP="005A2E50">
      <w:pPr>
        <w:keepNext/>
        <w:spacing w:line="480" w:lineRule="auto"/>
      </w:pPr>
      <w:r>
        <w:rPr>
          <w:noProof/>
          <w:lang w:val="en-US"/>
        </w:rPr>
        <w:lastRenderedPageBreak/>
        <w:drawing>
          <wp:inline distT="0" distB="0" distL="0" distR="0" wp14:anchorId="6328F2A3" wp14:editId="34F136D3">
            <wp:extent cx="6230993" cy="31718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45351" cy="3179134"/>
                    </a:xfrm>
                    <a:prstGeom prst="rect">
                      <a:avLst/>
                    </a:prstGeom>
                    <a:noFill/>
                  </pic:spPr>
                </pic:pic>
              </a:graphicData>
            </a:graphic>
          </wp:inline>
        </w:drawing>
      </w:r>
    </w:p>
    <w:p w14:paraId="63955523" w14:textId="56E014DF" w:rsidR="00011426" w:rsidRPr="005A2E50" w:rsidRDefault="00704162" w:rsidP="00704162">
      <w:pPr>
        <w:pStyle w:val="Caption"/>
        <w:rPr>
          <w:sz w:val="20"/>
          <w:szCs w:val="20"/>
        </w:rPr>
      </w:pPr>
      <w:bookmarkStart w:id="4" w:name="_Ref48215738"/>
      <w:bookmarkStart w:id="5" w:name="_Ref75339234"/>
      <w:r>
        <w:t xml:space="preserve">Figure </w:t>
      </w:r>
      <w:fldSimple w:instr=" SEQ Figure \* ARABIC ">
        <w:r w:rsidR="00B6650F">
          <w:rPr>
            <w:noProof/>
          </w:rPr>
          <w:t>1</w:t>
        </w:r>
      </w:fldSimple>
      <w:bookmarkEnd w:id="5"/>
      <w:r>
        <w:t>:</w:t>
      </w:r>
      <w:bookmarkEnd w:id="4"/>
      <w:r w:rsidR="005A2E50" w:rsidRPr="005A2E50">
        <w:rPr>
          <w:sz w:val="20"/>
          <w:szCs w:val="20"/>
        </w:rPr>
        <w:t xml:space="preserve"> Schematic diagram of the tubular PBR system used for all experiments pertaining to the effect of light intensity. The above diagram is the front view of the entire setup. The entire tubular PBR system was in a temperature-controlled water bath that is not depicted in the diagram. Total illuminated length and volume is 2.86 m and 500 mL respectively.</w:t>
      </w:r>
    </w:p>
    <w:p w14:paraId="7C901F62" w14:textId="7510D68F" w:rsidR="00011426" w:rsidRPr="00494366" w:rsidRDefault="00011426" w:rsidP="002E5ED4">
      <w:pPr>
        <w:spacing w:line="480" w:lineRule="auto"/>
      </w:pPr>
      <w:r>
        <w:t xml:space="preserve">Illumination of the PBR system was done using 60 W or 100 W tungsten-filament incandescent light bulbs. As can be </w:t>
      </w:r>
      <w:r w:rsidRPr="00CC1CC7">
        <w:t>seen in</w:t>
      </w:r>
      <w:r w:rsidR="005F4951">
        <w:t xml:space="preserve"> </w:t>
      </w:r>
      <w:r w:rsidR="00896BC4">
        <w:rPr>
          <w:szCs w:val="22"/>
        </w:rPr>
        <w:fldChar w:fldCharType="begin"/>
      </w:r>
      <w:r w:rsidR="00896BC4">
        <w:instrText xml:space="preserve"> REF _Ref75339234 \h </w:instrText>
      </w:r>
      <w:r w:rsidR="00896BC4">
        <w:rPr>
          <w:szCs w:val="22"/>
        </w:rPr>
      </w:r>
      <w:r w:rsidR="00896BC4">
        <w:rPr>
          <w:szCs w:val="22"/>
        </w:rPr>
        <w:fldChar w:fldCharType="separate"/>
      </w:r>
      <w:r w:rsidR="00896BC4">
        <w:t xml:space="preserve">Figure </w:t>
      </w:r>
      <w:r w:rsidR="00896BC4">
        <w:rPr>
          <w:noProof/>
        </w:rPr>
        <w:t>1</w:t>
      </w:r>
      <w:r w:rsidR="00896BC4">
        <w:rPr>
          <w:szCs w:val="22"/>
        </w:rPr>
        <w:fldChar w:fldCharType="end"/>
      </w:r>
      <w:r w:rsidRPr="00CC1CC7">
        <w:t>, two</w:t>
      </w:r>
      <w:r>
        <w:t xml:space="preserve"> rows of bulbs were used to illuminate the external surface of one side of each tubular bioreactor. Light was provided for the entire experimental run, with checks done at the end of the experimental run to ensure no major decrease in light intensity due to aging bulbs. Light bulbs were replaced after every experimental run to ensure consistency in the light intensity for each new experiment. The light intensity was an investigated parameter and therefore was adjusted as required by either shifting the light board closer or further from the surface of the bioreactor. The illuminated surface area of the tubular PBR was approximated as half of the total surface area of the tubular reactor as it was assumed that exactly half of the reactor would receive direct illumination with the light coming from one side only.</w:t>
      </w:r>
    </w:p>
    <w:p w14:paraId="4010E4DE" w14:textId="77777777" w:rsidR="00011426" w:rsidRDefault="00011426" w:rsidP="002E5ED4">
      <w:pPr>
        <w:spacing w:line="480" w:lineRule="auto"/>
      </w:pPr>
      <w:r>
        <w:t xml:space="preserve">During the experimental setup procedure, the entire PBR system was assembled and autoclaved (Speedy autoclave) for 50 minutes at a temperature of 121°C and pressure of 101 kPa. Once autoclaved the </w:t>
      </w:r>
      <w:r>
        <w:lastRenderedPageBreak/>
        <w:t>reactor system was sparged with argon before being loaded with inoculated Van Niels medium that had already been sparged with argon.</w:t>
      </w:r>
    </w:p>
    <w:p w14:paraId="6225A370" w14:textId="274D35C8" w:rsidR="006E7ED9" w:rsidRPr="006E7ED9" w:rsidRDefault="006E7ED9" w:rsidP="002E5ED4">
      <w:pPr>
        <w:pStyle w:val="Heading2"/>
        <w:spacing w:line="480" w:lineRule="auto"/>
      </w:pPr>
      <w:bookmarkStart w:id="6" w:name="_Ref49436195"/>
      <w:r>
        <w:t>Analytical</w:t>
      </w:r>
      <w:bookmarkEnd w:id="6"/>
    </w:p>
    <w:p w14:paraId="5DA0E388" w14:textId="074E7352" w:rsidR="0086050E" w:rsidRDefault="0086050E" w:rsidP="008C1449">
      <w:pPr>
        <w:spacing w:line="480" w:lineRule="auto"/>
        <w:rPr>
          <w:szCs w:val="22"/>
        </w:rPr>
      </w:pPr>
      <w:r w:rsidRPr="00C34BD7">
        <w:rPr>
          <w:szCs w:val="22"/>
        </w:rPr>
        <w:t>The concentration of glycerol was determined using high-performance liquid chromatography (HPLC).</w:t>
      </w:r>
      <w:r w:rsidR="008C1449">
        <w:rPr>
          <w:szCs w:val="22"/>
        </w:rPr>
        <w:t xml:space="preserve"> </w:t>
      </w:r>
      <w:r w:rsidRPr="00C34BD7">
        <w:rPr>
          <w:szCs w:val="22"/>
        </w:rPr>
        <w:t>The summary of the HPLC specifications a</w:t>
      </w:r>
      <w:r w:rsidR="008C1449">
        <w:rPr>
          <w:szCs w:val="22"/>
        </w:rPr>
        <w:t xml:space="preserve">nd the methodology for development of the glycerol concentration standard curve is </w:t>
      </w:r>
      <w:r w:rsidR="002E76C3">
        <w:rPr>
          <w:szCs w:val="22"/>
        </w:rPr>
        <w:t>given in</w:t>
      </w:r>
      <w:r w:rsidR="0061030E">
        <w:rPr>
          <w:szCs w:val="22"/>
        </w:rPr>
        <w:t xml:space="preserve"> </w:t>
      </w:r>
      <w:r w:rsidR="002E76C3">
        <w:rPr>
          <w:noProof/>
          <w:szCs w:val="22"/>
        </w:rPr>
        <w:t>Ross and Pott</w:t>
      </w:r>
      <w:r w:rsidR="0061030E" w:rsidRPr="0061030E">
        <w:rPr>
          <w:noProof/>
          <w:szCs w:val="22"/>
        </w:rPr>
        <w:t xml:space="preserve"> </w:t>
      </w:r>
      <w:r w:rsidR="002E76C3">
        <w:rPr>
          <w:noProof/>
          <w:szCs w:val="22"/>
        </w:rPr>
        <w:t>(</w:t>
      </w:r>
      <w:r w:rsidR="0061030E" w:rsidRPr="0061030E">
        <w:rPr>
          <w:noProof/>
          <w:szCs w:val="22"/>
        </w:rPr>
        <w:t>2020)</w:t>
      </w:r>
      <w:r w:rsidRPr="00C34BD7">
        <w:rPr>
          <w:szCs w:val="22"/>
        </w:rPr>
        <w:t>.</w:t>
      </w:r>
      <w:r w:rsidR="00704622">
        <w:rPr>
          <w:szCs w:val="22"/>
        </w:rPr>
        <w:t xml:space="preserve"> </w:t>
      </w:r>
      <w:r w:rsidRPr="00C34BD7">
        <w:rPr>
          <w:szCs w:val="22"/>
        </w:rPr>
        <w:t>A 1</w:t>
      </w:r>
      <w:r w:rsidR="0065356A" w:rsidRPr="00C34BD7">
        <w:rPr>
          <w:szCs w:val="22"/>
        </w:rPr>
        <w:t xml:space="preserve"> </w:t>
      </w:r>
      <w:r w:rsidRPr="00C34BD7">
        <w:rPr>
          <w:szCs w:val="22"/>
        </w:rPr>
        <w:t>mL sample was prepared for HPLC analysis by passing the sample through a 0.22 µm syringe filter to remove any solids that could possibly clog the HPLC column. After filtration the samples were injected into the HPLC for analysis.</w:t>
      </w:r>
    </w:p>
    <w:p w14:paraId="25924844" w14:textId="4CCC4457" w:rsidR="006C1FB3" w:rsidRDefault="006C1FB3" w:rsidP="008C1449">
      <w:pPr>
        <w:spacing w:line="480" w:lineRule="auto"/>
      </w:pPr>
      <w:r w:rsidRPr="007004FC">
        <w:t>The maximum specific growth rate is when the rate of cell division is at a maximum and corresponds to the exponential growth phase on the bacterial growth curve. The maximum specific growth rate can be determined using a graphical method, by plotting ln(</w:t>
      </w:r>
      <w:r w:rsidRPr="007004FC">
        <w:rPr>
          <w:rFonts w:ascii="Cambria Math" w:hAnsi="Cambria Math" w:cs="Cambria Math"/>
        </w:rPr>
        <w:t>𝑛</w:t>
      </w:r>
      <w:r w:rsidRPr="007004FC">
        <w:t>)</w:t>
      </w:r>
      <w:r w:rsidRPr="007004FC">
        <w:rPr>
          <w:rFonts w:ascii="Cambria Math" w:hAnsi="Cambria Math" w:cs="Cambria Math"/>
        </w:rPr>
        <w:t>𝑣𝑒𝑟𝑠𝑢𝑠</w:t>
      </w:r>
      <w:r w:rsidRPr="007004FC">
        <w:t xml:space="preserve"> </w:t>
      </w:r>
      <w:r w:rsidRPr="007004FC">
        <w:rPr>
          <w:rFonts w:ascii="Cambria Math" w:hAnsi="Cambria Math" w:cs="Cambria Math"/>
        </w:rPr>
        <w:t>𝑡</w:t>
      </w:r>
      <w:r w:rsidRPr="007004FC">
        <w:t>, where n is the biomass concentration at time t during an experimental run (Clarke, 2013). The linear slope of the plot is equal to the maximum specific growth rate, provided that the bacteria are in the exponential growth phase. Microsoft Excel’s built in linear regression function was used to plot a linear regression line through the necessary data points to obtain an equation where the gradient is the maximum specific growth rate.</w:t>
      </w:r>
    </w:p>
    <w:p w14:paraId="4E04AB59" w14:textId="22D39D1A" w:rsidR="0096342D" w:rsidRDefault="0096342D" w:rsidP="002E5ED4">
      <w:pPr>
        <w:pStyle w:val="Heading2"/>
        <w:spacing w:line="480" w:lineRule="auto"/>
      </w:pPr>
      <w:r>
        <w:t>Error analysis</w:t>
      </w:r>
    </w:p>
    <w:p w14:paraId="21272E33" w14:textId="7940C46C" w:rsidR="0096342D" w:rsidRPr="00C34BD7" w:rsidRDefault="0096342D" w:rsidP="002E5ED4">
      <w:pPr>
        <w:spacing w:line="480" w:lineRule="auto"/>
        <w:rPr>
          <w:szCs w:val="22"/>
        </w:rPr>
      </w:pPr>
      <w:r w:rsidRPr="00C34BD7">
        <w:rPr>
          <w:szCs w:val="22"/>
        </w:rPr>
        <w:t>Uncertainty (</w:t>
      </w:r>
      <w:r w:rsidRPr="00C34BD7">
        <w:rPr>
          <w:rFonts w:cs="Calibri"/>
          <w:szCs w:val="22"/>
        </w:rPr>
        <w:t>∆</w:t>
      </w:r>
      <w:r w:rsidRPr="00C34BD7">
        <w:rPr>
          <w:szCs w:val="22"/>
        </w:rPr>
        <w:t>) parameter was used as the statistical analysis on repeated experimental data points. This analysis was used for all experimental data. Calculation of the uncertainty parameter is described Equation</w:t>
      </w:r>
      <w:r w:rsidRPr="00C34BD7">
        <w:rPr>
          <w:rStyle w:val="FigureCaptionChar"/>
          <w:szCs w:val="22"/>
        </w:rPr>
        <w:t xml:space="preserve"> </w:t>
      </w:r>
      <w:r w:rsidR="00E14811" w:rsidRPr="00C34BD7">
        <w:rPr>
          <w:noProof/>
          <w:szCs w:val="22"/>
        </w:rPr>
        <w:t>2</w:t>
      </w:r>
      <w:r w:rsidRPr="00C34BD7">
        <w:rPr>
          <w:rStyle w:val="FigureCaptionChar"/>
          <w:szCs w:val="22"/>
        </w:rPr>
        <w:t xml:space="preserve"> </w:t>
      </w:r>
      <w:r w:rsidRPr="00C34BD7">
        <w:rPr>
          <w:szCs w:val="22"/>
        </w:rPr>
        <w:t>shown below.</w:t>
      </w:r>
    </w:p>
    <w:p w14:paraId="7724181E" w14:textId="07BEBB12" w:rsidR="0096342D" w:rsidRPr="00C34BD7" w:rsidRDefault="0096342D" w:rsidP="002E5ED4">
      <w:pPr>
        <w:pStyle w:val="EquationCaption"/>
        <w:spacing w:line="480" w:lineRule="auto"/>
        <w:rPr>
          <w:vanish/>
          <w:szCs w:val="22"/>
          <w:specVanish/>
        </w:rPr>
      </w:pPr>
      <w:r w:rsidRPr="00C34BD7">
        <w:rPr>
          <w:rFonts w:ascii="Calibri" w:hAnsi="Calibri"/>
          <w:szCs w:val="22"/>
        </w:rPr>
        <w:tab/>
      </w:r>
      <m:oMath>
        <m:r>
          <w:rPr>
            <w:rFonts w:ascii="Cambria Math" w:hAnsi="Cambria Math"/>
            <w:szCs w:val="22"/>
          </w:rPr>
          <m:t>∆=±tt</m:t>
        </m:r>
        <m:d>
          <m:dPr>
            <m:ctrlPr>
              <w:rPr>
                <w:rFonts w:ascii="Cambria Math" w:hAnsi="Cambria Math"/>
                <w:i/>
                <w:szCs w:val="22"/>
              </w:rPr>
            </m:ctrlPr>
          </m:dPr>
          <m:e>
            <m:r>
              <w:rPr>
                <w:rFonts w:ascii="Cambria Math" w:hAnsi="Cambria Math"/>
                <w:szCs w:val="22"/>
              </w:rPr>
              <m:t>α,n-1</m:t>
            </m:r>
          </m:e>
        </m:d>
        <m:sSub>
          <m:sSubPr>
            <m:ctrlPr>
              <w:rPr>
                <w:rFonts w:ascii="Cambria Math" w:hAnsi="Cambria Math"/>
                <w:i/>
                <w:szCs w:val="22"/>
              </w:rPr>
            </m:ctrlPr>
          </m:sSubPr>
          <m:e>
            <m:r>
              <w:rPr>
                <w:rFonts w:ascii="Cambria Math" w:hAnsi="Cambria Math"/>
                <w:szCs w:val="22"/>
              </w:rPr>
              <m:t>s</m:t>
            </m:r>
          </m:e>
          <m:sub>
            <m:r>
              <w:rPr>
                <w:rFonts w:ascii="Cambria Math" w:hAnsi="Cambria Math"/>
                <w:szCs w:val="22"/>
              </w:rPr>
              <m:t>n</m:t>
            </m:r>
          </m:sub>
        </m:sSub>
      </m:oMath>
      <w:r w:rsidRPr="00C34BD7">
        <w:rPr>
          <w:szCs w:val="22"/>
        </w:rPr>
        <w:t xml:space="preserve"> </w:t>
      </w:r>
      <w:r w:rsidRPr="00C34BD7">
        <w:rPr>
          <w:szCs w:val="22"/>
        </w:rPr>
        <w:tab/>
        <w:t>[</w:t>
      </w:r>
    </w:p>
    <w:p w14:paraId="3EBE1C94" w14:textId="0F121D3A" w:rsidR="0096342D" w:rsidRPr="00C34BD7" w:rsidRDefault="0096342D" w:rsidP="002E5ED4">
      <w:pPr>
        <w:pStyle w:val="Caption"/>
        <w:spacing w:line="480" w:lineRule="auto"/>
        <w:rPr>
          <w:szCs w:val="22"/>
        </w:rPr>
      </w:pPr>
      <w:r w:rsidRPr="00C34BD7">
        <w:rPr>
          <w:szCs w:val="22"/>
        </w:rPr>
        <w:t xml:space="preserve"> </w:t>
      </w:r>
      <w:bookmarkStart w:id="7" w:name="_Ref24394750"/>
      <w:r w:rsidR="00E14811" w:rsidRPr="00C34BD7">
        <w:rPr>
          <w:noProof/>
          <w:szCs w:val="22"/>
        </w:rPr>
        <w:t>2</w:t>
      </w:r>
      <w:bookmarkEnd w:id="7"/>
      <w:r w:rsidRPr="00C34BD7">
        <w:rPr>
          <w:szCs w:val="22"/>
        </w:rPr>
        <w:t xml:space="preserve"> ]</w:t>
      </w:r>
    </w:p>
    <w:p w14:paraId="1E5B1FFA" w14:textId="77777777" w:rsidR="0096342D" w:rsidRPr="00C34BD7" w:rsidRDefault="0096342D" w:rsidP="002E5ED4">
      <w:pPr>
        <w:spacing w:line="480" w:lineRule="auto"/>
        <w:ind w:left="3600" w:firstLine="720"/>
        <w:rPr>
          <w:szCs w:val="22"/>
        </w:rPr>
      </w:pPr>
      <m:oMathPara>
        <m:oMathParaPr>
          <m:jc m:val="left"/>
        </m:oMathParaPr>
        <m:oMath>
          <m:r>
            <w:rPr>
              <w:rFonts w:ascii="Cambria Math" w:hAnsi="Cambria Math"/>
              <w:szCs w:val="22"/>
            </w:rPr>
            <m:t>Where,</m:t>
          </m:r>
        </m:oMath>
      </m:oMathPara>
    </w:p>
    <w:p w14:paraId="28E674DE" w14:textId="77777777" w:rsidR="0096342D" w:rsidRPr="00C34BD7" w:rsidRDefault="0096342D" w:rsidP="002E5ED4">
      <w:pPr>
        <w:spacing w:line="480" w:lineRule="auto"/>
        <w:ind w:left="3600" w:firstLine="720"/>
        <w:rPr>
          <w:szCs w:val="22"/>
        </w:rPr>
      </w:pPr>
      <m:oMathPara>
        <m:oMathParaPr>
          <m:jc m:val="left"/>
        </m:oMathParaPr>
        <m:oMath>
          <m:r>
            <w:rPr>
              <w:rFonts w:ascii="Cambria Math" w:hAnsi="Cambria Math"/>
              <w:szCs w:val="22"/>
            </w:rPr>
            <m:t xml:space="preserve">α=significance level </m:t>
          </m:r>
          <m:d>
            <m:dPr>
              <m:ctrlPr>
                <w:rPr>
                  <w:rFonts w:ascii="Cambria Math" w:hAnsi="Cambria Math"/>
                  <w:i/>
                  <w:szCs w:val="22"/>
                </w:rPr>
              </m:ctrlPr>
            </m:dPr>
            <m:e>
              <m:r>
                <w:rPr>
                  <w:rFonts w:ascii="Cambria Math" w:hAnsi="Cambria Math"/>
                  <w:szCs w:val="22"/>
                </w:rPr>
                <m:t>0.05 selected</m:t>
              </m:r>
            </m:e>
          </m:d>
        </m:oMath>
      </m:oMathPara>
    </w:p>
    <w:p w14:paraId="2C1E2139" w14:textId="77777777" w:rsidR="0096342D" w:rsidRPr="00C34BD7" w:rsidRDefault="0096342D" w:rsidP="002E5ED4">
      <w:pPr>
        <w:spacing w:line="480" w:lineRule="auto"/>
        <w:ind w:left="3600" w:firstLine="720"/>
        <w:rPr>
          <w:szCs w:val="22"/>
        </w:rPr>
      </w:pPr>
      <m:oMathPara>
        <m:oMathParaPr>
          <m:jc m:val="left"/>
        </m:oMathParaPr>
        <m:oMath>
          <m:r>
            <w:rPr>
              <w:rFonts w:ascii="Cambria Math" w:hAnsi="Cambria Math"/>
              <w:szCs w:val="22"/>
            </w:rPr>
            <m:t>n=sample size</m:t>
          </m:r>
        </m:oMath>
      </m:oMathPara>
    </w:p>
    <w:p w14:paraId="1AED4081" w14:textId="7F742BA4" w:rsidR="0096342D" w:rsidRPr="00C34BD7" w:rsidRDefault="0096342D" w:rsidP="002E5ED4">
      <w:pPr>
        <w:spacing w:line="480" w:lineRule="auto"/>
        <w:ind w:left="3600" w:firstLine="720"/>
        <w:rPr>
          <w:szCs w:val="22"/>
        </w:rPr>
      </w:pPr>
      <m:oMathPara>
        <m:oMathParaPr>
          <m:jc m:val="left"/>
        </m:oMathParaPr>
        <m:oMath>
          <m:r>
            <w:rPr>
              <w:rFonts w:ascii="Cambria Math" w:hAnsi="Cambria Math"/>
              <w:szCs w:val="22"/>
            </w:rPr>
            <w:lastRenderedPageBreak/>
            <m:t>tt</m:t>
          </m:r>
          <m:d>
            <m:dPr>
              <m:ctrlPr>
                <w:rPr>
                  <w:rFonts w:ascii="Cambria Math" w:hAnsi="Cambria Math"/>
                  <w:i/>
                  <w:szCs w:val="22"/>
                </w:rPr>
              </m:ctrlPr>
            </m:dPr>
            <m:e>
              <m:r>
                <w:rPr>
                  <w:rFonts w:ascii="Cambria Math" w:hAnsi="Cambria Math"/>
                  <w:szCs w:val="22"/>
                </w:rPr>
                <m:t>α,n-1</m:t>
              </m:r>
            </m:e>
          </m:d>
          <m:r>
            <w:rPr>
              <w:rFonts w:ascii="Cambria Math" w:hAnsi="Cambria Math"/>
              <w:szCs w:val="22"/>
            </w:rPr>
            <m:t>=students t distribution inverse (two-tailed)</m:t>
          </m:r>
        </m:oMath>
      </m:oMathPara>
    </w:p>
    <w:p w14:paraId="1AD06291" w14:textId="77777777" w:rsidR="0096342D" w:rsidRPr="00C34BD7" w:rsidRDefault="00E544D0" w:rsidP="002E5ED4">
      <w:pPr>
        <w:spacing w:line="480" w:lineRule="auto"/>
        <w:ind w:left="3600" w:firstLine="720"/>
        <w:rPr>
          <w:szCs w:val="22"/>
        </w:rPr>
      </w:pPr>
      <m:oMathPara>
        <m:oMathParaPr>
          <m:jc m:val="left"/>
        </m:oMathParaP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n</m:t>
              </m:r>
            </m:sub>
          </m:sSub>
          <m:r>
            <w:rPr>
              <w:rFonts w:ascii="Cambria Math" w:hAnsi="Cambria Math"/>
              <w:szCs w:val="22"/>
            </w:rPr>
            <m:t>=standard error;</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n</m:t>
              </m:r>
            </m:sub>
          </m:sSub>
          <m:r>
            <w:rPr>
              <w:rFonts w:ascii="Cambria Math" w:hAnsi="Cambria Math"/>
              <w:szCs w:val="22"/>
            </w:rPr>
            <m:t>=</m:t>
          </m:r>
          <m:f>
            <m:fPr>
              <m:ctrlPr>
                <w:rPr>
                  <w:rFonts w:ascii="Cambria Math" w:hAnsi="Cambria Math"/>
                  <w:i/>
                  <w:szCs w:val="22"/>
                </w:rPr>
              </m:ctrlPr>
            </m:fPr>
            <m:num>
              <m:r>
                <w:rPr>
                  <w:rFonts w:ascii="Cambria Math" w:hAnsi="Cambria Math"/>
                  <w:szCs w:val="22"/>
                </w:rPr>
                <m:t>s</m:t>
              </m:r>
            </m:num>
            <m:den>
              <m:rad>
                <m:radPr>
                  <m:degHide m:val="1"/>
                  <m:ctrlPr>
                    <w:rPr>
                      <w:rFonts w:ascii="Cambria Math" w:hAnsi="Cambria Math"/>
                      <w:i/>
                      <w:szCs w:val="22"/>
                    </w:rPr>
                  </m:ctrlPr>
                </m:radPr>
                <m:deg/>
                <m:e>
                  <m:r>
                    <w:rPr>
                      <w:rFonts w:ascii="Cambria Math" w:hAnsi="Cambria Math"/>
                      <w:szCs w:val="22"/>
                    </w:rPr>
                    <m:t>n</m:t>
                  </m:r>
                </m:e>
              </m:rad>
            </m:den>
          </m:f>
        </m:oMath>
      </m:oMathPara>
    </w:p>
    <w:p w14:paraId="47621603" w14:textId="1662FE21" w:rsidR="0096342D" w:rsidRPr="00247FC0" w:rsidRDefault="0096342D" w:rsidP="002E5ED4">
      <w:pPr>
        <w:spacing w:line="480" w:lineRule="auto"/>
        <w:ind w:left="3600" w:firstLine="720"/>
        <w:rPr>
          <w:szCs w:val="22"/>
        </w:rPr>
      </w:pPr>
      <m:oMathPara>
        <m:oMathParaPr>
          <m:jc m:val="left"/>
        </m:oMathParaPr>
        <m:oMath>
          <m:r>
            <w:rPr>
              <w:rFonts w:ascii="Cambria Math" w:hAnsi="Cambria Math"/>
              <w:szCs w:val="22"/>
            </w:rPr>
            <m:t>s=standard deviation;s=</m:t>
          </m:r>
          <m:rad>
            <m:radPr>
              <m:degHide m:val="1"/>
              <m:ctrlPr>
                <w:rPr>
                  <w:rFonts w:ascii="Cambria Math" w:hAnsi="Cambria Math"/>
                  <w:i/>
                  <w:szCs w:val="22"/>
                </w:rPr>
              </m:ctrlPr>
            </m:radPr>
            <m:deg/>
            <m:e>
              <m:f>
                <m:fPr>
                  <m:ctrlPr>
                    <w:rPr>
                      <w:rFonts w:ascii="Cambria Math" w:hAnsi="Cambria Math"/>
                      <w:i/>
                      <w:szCs w:val="22"/>
                    </w:rPr>
                  </m:ctrlPr>
                </m:fPr>
                <m:num>
                  <m:r>
                    <w:rPr>
                      <w:rFonts w:ascii="Cambria Math" w:hAnsi="Cambria Math"/>
                      <w:szCs w:val="22"/>
                    </w:rPr>
                    <m:t>1</m:t>
                  </m:r>
                </m:num>
                <m:den>
                  <m:r>
                    <w:rPr>
                      <w:rFonts w:ascii="Cambria Math" w:hAnsi="Cambria Math"/>
                      <w:szCs w:val="22"/>
                    </w:rPr>
                    <m:t>n-1</m:t>
                  </m:r>
                </m:den>
              </m:f>
              <m:nary>
                <m:naryPr>
                  <m:chr m:val="∑"/>
                  <m:limLoc m:val="subSup"/>
                  <m:ctrlPr>
                    <w:rPr>
                      <w:rFonts w:ascii="Cambria Math" w:hAnsi="Cambria Math"/>
                      <w:i/>
                      <w:szCs w:val="22"/>
                    </w:rPr>
                  </m:ctrlPr>
                </m:naryPr>
                <m:sub>
                  <m:r>
                    <w:rPr>
                      <w:rFonts w:ascii="Cambria Math" w:hAnsi="Cambria Math"/>
                      <w:szCs w:val="22"/>
                    </w:rPr>
                    <m:t>j-1</m:t>
                  </m:r>
                </m:sub>
                <m:sup>
                  <m:r>
                    <w:rPr>
                      <w:rFonts w:ascii="Cambria Math" w:hAnsi="Cambria Math"/>
                      <w:szCs w:val="22"/>
                    </w:rPr>
                    <m:t>n</m:t>
                  </m:r>
                </m:sup>
                <m:e>
                  <m:sSup>
                    <m:sSupPr>
                      <m:ctrlPr>
                        <w:rPr>
                          <w:rFonts w:ascii="Cambria Math" w:hAnsi="Cambria Math"/>
                          <w:i/>
                          <w:szCs w:val="22"/>
                        </w:rPr>
                      </m:ctrlPr>
                    </m:sSupPr>
                    <m:e>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i,j</m:t>
                              </m:r>
                            </m:sub>
                          </m:sSub>
                          <m:r>
                            <w:rPr>
                              <w:rFonts w:ascii="Cambria Math" w:hAnsi="Cambria Math"/>
                              <w:szCs w:val="22"/>
                            </w:rPr>
                            <m:t>-</m:t>
                          </m:r>
                          <m:acc>
                            <m:accPr>
                              <m:chr m:val="̅"/>
                              <m:ctrlPr>
                                <w:rPr>
                                  <w:rFonts w:ascii="Cambria Math" w:hAnsi="Cambria Math"/>
                                  <w:i/>
                                  <w:szCs w:val="22"/>
                                </w:rPr>
                              </m:ctrlPr>
                            </m:acc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i</m:t>
                                  </m:r>
                                </m:sub>
                              </m:sSub>
                            </m:e>
                          </m:acc>
                        </m:e>
                      </m:d>
                    </m:e>
                    <m:sup>
                      <m:r>
                        <w:rPr>
                          <w:rFonts w:ascii="Cambria Math" w:hAnsi="Cambria Math"/>
                          <w:szCs w:val="22"/>
                        </w:rPr>
                        <m:t>2</m:t>
                      </m:r>
                    </m:sup>
                  </m:sSup>
                </m:e>
              </m:nary>
            </m:e>
          </m:rad>
        </m:oMath>
      </m:oMathPara>
    </w:p>
    <w:p w14:paraId="6EBC011E" w14:textId="6B038922" w:rsidR="00247FC0" w:rsidRPr="005712B7" w:rsidRDefault="00247FC0" w:rsidP="002E5ED4">
      <w:pPr>
        <w:pStyle w:val="Heading1"/>
        <w:spacing w:line="480" w:lineRule="auto"/>
        <w:rPr>
          <w:caps w:val="0"/>
        </w:rPr>
      </w:pPr>
      <w:r w:rsidRPr="005712B7">
        <w:rPr>
          <w:caps w:val="0"/>
        </w:rPr>
        <w:t>Theory</w:t>
      </w:r>
    </w:p>
    <w:p w14:paraId="3B2B6D8F" w14:textId="4F0962E4" w:rsidR="00247FC0" w:rsidRDefault="00247FC0" w:rsidP="002E5ED4">
      <w:pPr>
        <w:spacing w:line="480" w:lineRule="auto"/>
      </w:pPr>
      <w:r w:rsidRPr="00FC2E02">
        <w:t xml:space="preserve">Combining experimental work with mathematical modelling </w:t>
      </w:r>
      <w:r>
        <w:t xml:space="preserve">allows for meaningful and quantitative interpretation of the results obtained from the experimental results and can possibly reveal new aspects of microbial physiology </w:t>
      </w:r>
      <w:r w:rsidRPr="007931A3">
        <w:rPr>
          <w:noProof/>
        </w:rPr>
        <w:t>(Mahanta et al., 2014)</w:t>
      </w:r>
      <w:r>
        <w:t>.</w:t>
      </w:r>
    </w:p>
    <w:p w14:paraId="0C16E357" w14:textId="77777777" w:rsidR="00247FC0" w:rsidRPr="00FC2E02" w:rsidRDefault="00247FC0" w:rsidP="00384646">
      <w:pPr>
        <w:pStyle w:val="Heading2"/>
      </w:pPr>
      <w:bookmarkStart w:id="8" w:name="_Toc24637260"/>
      <w:r>
        <w:t>Modelling of biological growth</w:t>
      </w:r>
      <w:bookmarkEnd w:id="8"/>
    </w:p>
    <w:p w14:paraId="030FB429" w14:textId="1B9E4915" w:rsidR="00247FC0" w:rsidRDefault="00247FC0" w:rsidP="002E5ED4">
      <w:pPr>
        <w:spacing w:line="480" w:lineRule="auto"/>
      </w:pPr>
      <w:r>
        <w:t xml:space="preserve">For the past 70 years, most of the modelling of microbial growth has seen the Monod equation employed </w:t>
      </w:r>
      <w:r w:rsidRPr="00F51CC9">
        <w:rPr>
          <w:noProof/>
        </w:rPr>
        <w:t>(Liu, 2007)</w:t>
      </w:r>
      <w:r>
        <w:t xml:space="preserve">. The Monod model provides a relationship between the specific growth rate and the substrate concentration in the form provided in Equation </w:t>
      </w:r>
      <w:r w:rsidR="00866FB1">
        <w:rPr>
          <w:iCs/>
          <w:noProof/>
        </w:rPr>
        <w:t>2</w:t>
      </w:r>
      <w:r>
        <w:t>. The Monod model is often mistakenly thought of as a theoretical model when in fact it is empirical based on curve fitting to experimental data.</w:t>
      </w:r>
    </w:p>
    <w:p w14:paraId="0C7F4AD6"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μ(s)=</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∙s</m:t>
            </m:r>
          </m:num>
          <m:den>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+s</m:t>
            </m:r>
          </m:den>
        </m:f>
      </m:oMath>
      <w:r>
        <w:t xml:space="preserve"> </w:t>
      </w:r>
      <w:r>
        <w:tab/>
        <w:t>[</w:t>
      </w:r>
    </w:p>
    <w:p w14:paraId="0A66A13B" w14:textId="57137149" w:rsidR="00247FC0" w:rsidRDefault="00247FC0" w:rsidP="002E5ED4">
      <w:pPr>
        <w:pStyle w:val="Caption"/>
        <w:spacing w:line="480" w:lineRule="auto"/>
      </w:pPr>
      <w:r>
        <w:t xml:space="preserve"> </w:t>
      </w:r>
      <w:bookmarkStart w:id="9" w:name="_Ref23698107"/>
      <w:r w:rsidR="00866FB1">
        <w:rPr>
          <w:iCs w:val="0"/>
          <w:noProof/>
        </w:rPr>
        <w:t>2</w:t>
      </w:r>
      <w:bookmarkEnd w:id="9"/>
      <w:r>
        <w:t xml:space="preserve"> ]</w:t>
      </w:r>
    </w:p>
    <w:p w14:paraId="1E44025C" w14:textId="3282DC1B" w:rsidR="00247FC0" w:rsidRDefault="00247FC0" w:rsidP="002E5ED4">
      <w:pPr>
        <w:spacing w:line="480" w:lineRule="auto"/>
      </w:pPr>
      <w:r>
        <w:t>The Monod model describing the specific growth rate can be used to quantify cell growth using Equation </w:t>
      </w:r>
      <w:r w:rsidR="00866FB1">
        <w:rPr>
          <w:iCs/>
          <w:noProof/>
        </w:rPr>
        <w:t>3</w:t>
      </w:r>
      <w:r>
        <w:t xml:space="preserve">, which is known as </w:t>
      </w:r>
      <w:r w:rsidRPr="00B70FC9">
        <w:t>Monod</w:t>
      </w:r>
      <w:r>
        <w:t xml:space="preserve"> growth kinetics </w:t>
      </w:r>
      <w:r w:rsidRPr="00A27BEC">
        <w:rPr>
          <w:noProof/>
        </w:rPr>
        <w:t>(Clarke, 2013)</w:t>
      </w:r>
      <w:r>
        <w:t>.</w:t>
      </w:r>
    </w:p>
    <w:p w14:paraId="321B34E7" w14:textId="77777777" w:rsidR="00247FC0" w:rsidRPr="00AD0DF6" w:rsidRDefault="00247FC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=μX</m:t>
        </m:r>
      </m:oMath>
      <w:r>
        <w:t xml:space="preserve"> </w:t>
      </w:r>
      <w:r>
        <w:tab/>
        <w:t>[</w:t>
      </w:r>
    </w:p>
    <w:p w14:paraId="40420E1B" w14:textId="518985AC" w:rsidR="00247FC0" w:rsidRPr="00B70FC9" w:rsidRDefault="00247FC0" w:rsidP="00866FB1">
      <w:pPr>
        <w:pStyle w:val="Caption"/>
        <w:spacing w:line="480" w:lineRule="auto"/>
      </w:pPr>
      <w:r>
        <w:t xml:space="preserve"> </w:t>
      </w:r>
      <w:bookmarkStart w:id="10" w:name="_Ref23709845"/>
      <w:r w:rsidR="00866FB1">
        <w:rPr>
          <w:iCs w:val="0"/>
          <w:noProof/>
        </w:rPr>
        <w:t>3</w:t>
      </w:r>
      <w:bookmarkEnd w:id="10"/>
      <w:r>
        <w:t xml:space="preserve"> ]</w:t>
      </w:r>
    </w:p>
    <w:p w14:paraId="4123F3EE" w14:textId="3FABA0AE" w:rsidR="00247FC0" w:rsidRPr="008E2751" w:rsidRDefault="00247FC0" w:rsidP="002E5ED4">
      <w:pPr>
        <w:spacing w:line="480" w:lineRule="auto"/>
      </w:pPr>
      <w:r>
        <w:t>The Monod model and the various variations thereof are used to model the growth and substrate utilisation of many different bacteria, but are not considered to be applicable to photosynthetic bacteria due to the models not taking into account the effects of light on these parameters</w:t>
      </w:r>
      <w:r w:rsidR="008E477E">
        <w:t xml:space="preserve"> – light behaves like a fed-batch substrate</w:t>
      </w:r>
      <w:r>
        <w:t xml:space="preserve">. The Aiba model, shown in Equation </w:t>
      </w:r>
      <w:r w:rsidR="00866FB1">
        <w:rPr>
          <w:iCs/>
          <w:noProof/>
        </w:rPr>
        <w:t>4</w:t>
      </w:r>
      <w:r w:rsidRPr="008E2751">
        <w:t xml:space="preserve">, </w:t>
      </w:r>
      <w:r>
        <w:t>has often been</w:t>
      </w:r>
      <w:r w:rsidRPr="008E2751">
        <w:t xml:space="preserve"> employed to simulate the effect of light intensity </w:t>
      </w:r>
      <w:r>
        <w:t>on the growth rate of photosynthetic bacter</w:t>
      </w:r>
      <w:r w:rsidRPr="0079769B">
        <w:t xml:space="preserve">ia </w:t>
      </w:r>
      <w:r w:rsidR="00C25D99" w:rsidRPr="00C25D99">
        <w:rPr>
          <w:noProof/>
        </w:rPr>
        <w:t xml:space="preserve">(Palamae et al., 2018; D Zhang et </w:t>
      </w:r>
      <w:r w:rsidR="00C25D99" w:rsidRPr="00C25D99">
        <w:rPr>
          <w:noProof/>
        </w:rPr>
        <w:lastRenderedPageBreak/>
        <w:t>al., 2015; D. Zhang et al., 2015)</w:t>
      </w:r>
      <w:r w:rsidRPr="0079769B">
        <w:t>.</w:t>
      </w:r>
      <w:r w:rsidRPr="008E2751">
        <w:t xml:space="preserve"> </w:t>
      </w:r>
      <w:r>
        <w:t xml:space="preserve">According to </w:t>
      </w:r>
      <w:r w:rsidRPr="00553BED">
        <w:t>Zhang</w:t>
      </w:r>
      <w:r w:rsidRPr="002D4D0E">
        <w:rPr>
          <w:iCs/>
        </w:rPr>
        <w:t xml:space="preserve"> et al. </w:t>
      </w:r>
      <w:r w:rsidR="00C25D99" w:rsidRPr="00C25D99">
        <w:rPr>
          <w:noProof/>
        </w:rPr>
        <w:t>(2015)</w:t>
      </w:r>
      <w:r>
        <w:t xml:space="preserve"> t</w:t>
      </w:r>
      <w:r w:rsidRPr="008E2751">
        <w:t xml:space="preserve">he Aiba model is capable of modelling the photolimitation </w:t>
      </w:r>
      <w:r>
        <w:t>regime</w:t>
      </w:r>
      <w:r w:rsidRPr="008E2751">
        <w:t xml:space="preserve"> </w:t>
      </w:r>
      <w:r>
        <w:t>that can occur at</w:t>
      </w:r>
      <w:r w:rsidRPr="008E2751">
        <w:t xml:space="preserve"> low light intensit</w:t>
      </w:r>
      <w:r>
        <w:t>ies</w:t>
      </w:r>
      <w:r w:rsidRPr="008E2751">
        <w:t>, the photosaturation regime under optimal light intensit</w:t>
      </w:r>
      <w:r>
        <w:t>ies</w:t>
      </w:r>
      <w:r w:rsidRPr="008E2751">
        <w:t>, and the photoinhibition regime under</w:t>
      </w:r>
      <w:r>
        <w:t xml:space="preserve"> very</w:t>
      </w:r>
      <w:r w:rsidRPr="008E2751">
        <w:t xml:space="preserve"> </w:t>
      </w:r>
      <w:r>
        <w:t>high light intensities.</w:t>
      </w:r>
    </w:p>
    <w:p w14:paraId="1B51CE4D"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μ(I)=</m:t>
        </m:r>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I+K</m:t>
                </m:r>
              </m:e>
              <m:sub>
                <m:r>
                  <w:rPr>
                    <w:rFonts w:ascii="Cambria Math" w:hAnsi="Cambria Math"/>
                  </w:rPr>
                  <m:t>I</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I</m:t>
                    </m:r>
                  </m:e>
                  <m:sup>
                    <m:r>
                      <w:rPr>
                        <w:rFonts w:ascii="Cambria Math" w:hAnsi="Cambria Math"/>
                      </w:rPr>
                      <m:t>2</m:t>
                    </m:r>
                  </m:sup>
                </m:sSup>
              </m:num>
              <m:den>
                <m:sSub>
                  <m:sSubPr>
                    <m:ctrlPr>
                      <w:rPr>
                        <w:rFonts w:ascii="Cambria Math" w:hAnsi="Cambria Math"/>
                        <w:i/>
                      </w:rPr>
                    </m:ctrlPr>
                  </m:sSubPr>
                  <m:e>
                    <m:r>
                      <w:rPr>
                        <w:rFonts w:ascii="Cambria Math" w:hAnsi="Cambria Math"/>
                      </w:rPr>
                      <m:t>K</m:t>
                    </m:r>
                  </m:e>
                  <m:sub>
                    <m:r>
                      <w:rPr>
                        <w:rFonts w:ascii="Cambria Math" w:hAnsi="Cambria Math"/>
                      </w:rPr>
                      <m:t>i</m:t>
                    </m:r>
                  </m:sub>
                </m:sSub>
              </m:den>
            </m:f>
          </m:den>
        </m:f>
      </m:oMath>
      <w:r>
        <w:t xml:space="preserve"> </w:t>
      </w:r>
      <w:r>
        <w:tab/>
        <w:t>[</w:t>
      </w:r>
    </w:p>
    <w:p w14:paraId="2C641579" w14:textId="6E767C08" w:rsidR="00247FC0" w:rsidRDefault="00247FC0" w:rsidP="002E5ED4">
      <w:pPr>
        <w:pStyle w:val="Caption"/>
        <w:spacing w:line="480" w:lineRule="auto"/>
      </w:pPr>
      <w:r>
        <w:t xml:space="preserve"> </w:t>
      </w:r>
      <w:bookmarkStart w:id="11" w:name="_Ref23699722"/>
      <w:r w:rsidR="00866FB1">
        <w:rPr>
          <w:iCs w:val="0"/>
          <w:noProof/>
        </w:rPr>
        <w:t>4</w:t>
      </w:r>
      <w:bookmarkEnd w:id="11"/>
      <w:r>
        <w:t xml:space="preserve"> ]</w:t>
      </w:r>
    </w:p>
    <w:p w14:paraId="169890F6" w14:textId="41114F4F" w:rsidR="00247FC0" w:rsidRDefault="00247FC0" w:rsidP="002E5ED4">
      <w:pPr>
        <w:spacing w:line="480" w:lineRule="auto"/>
      </w:pPr>
      <w:r>
        <w:t xml:space="preserve">In Equation </w:t>
      </w:r>
      <w:r w:rsidR="00866FB1">
        <w:rPr>
          <w:iCs/>
          <w:noProof/>
        </w:rPr>
        <w:t>4</w:t>
      </w:r>
      <w:r>
        <w:t xml:space="preserve">, </w:t>
      </w:r>
      <m:oMath>
        <m:r>
          <w:rPr>
            <w:rFonts w:ascii="Cambria Math" w:hAnsi="Cambria Math"/>
          </w:rPr>
          <m:t>I</m:t>
        </m:r>
      </m:oMath>
      <w:r>
        <w:t xml:space="preserve"> is the light intensity,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is the light saturation coefficient and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the photoinhibition coefficient. The Aiba model assumes the growth rate is only dependent on light, however substrate utilisation should also be taken into account if it has a limiting effect on the growth. The model can then be adjusted into the form provided in Equation </w:t>
      </w:r>
      <w:r w:rsidR="00866FB1">
        <w:rPr>
          <w:iCs/>
          <w:noProof/>
        </w:rPr>
        <w:t>7</w:t>
      </w:r>
      <w:r>
        <w:t>.</w:t>
      </w:r>
    </w:p>
    <w:p w14:paraId="75FDE436"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μ(I,s)=</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∙s</m:t>
            </m:r>
          </m:num>
          <m:den>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+s</m:t>
            </m:r>
          </m:den>
        </m:f>
        <m:r>
          <w:rPr>
            <w:rFonts w:ascii="Cambria Math" w:hAnsi="Cambria Math"/>
          </w:rPr>
          <m:t>∙</m:t>
        </m:r>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I+K</m:t>
                </m:r>
              </m:e>
              <m:sub>
                <m:r>
                  <w:rPr>
                    <w:rFonts w:ascii="Cambria Math" w:hAnsi="Cambria Math"/>
                  </w:rPr>
                  <m:t>I</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I</m:t>
                    </m:r>
                  </m:e>
                  <m:sup>
                    <m:r>
                      <w:rPr>
                        <w:rFonts w:ascii="Cambria Math" w:hAnsi="Cambria Math"/>
                      </w:rPr>
                      <m:t>2</m:t>
                    </m:r>
                  </m:sup>
                </m:sSup>
              </m:num>
              <m:den>
                <m:sSub>
                  <m:sSubPr>
                    <m:ctrlPr>
                      <w:rPr>
                        <w:rFonts w:ascii="Cambria Math" w:hAnsi="Cambria Math"/>
                        <w:i/>
                      </w:rPr>
                    </m:ctrlPr>
                  </m:sSubPr>
                  <m:e>
                    <m:r>
                      <w:rPr>
                        <w:rFonts w:ascii="Cambria Math" w:hAnsi="Cambria Math"/>
                      </w:rPr>
                      <m:t>K</m:t>
                    </m:r>
                  </m:e>
                  <m:sub>
                    <m:r>
                      <w:rPr>
                        <w:rFonts w:ascii="Cambria Math" w:hAnsi="Cambria Math"/>
                      </w:rPr>
                      <m:t>i</m:t>
                    </m:r>
                  </m:sub>
                </m:sSub>
              </m:den>
            </m:f>
          </m:den>
        </m:f>
      </m:oMath>
      <w:r>
        <w:t xml:space="preserve"> </w:t>
      </w:r>
      <w:r>
        <w:tab/>
        <w:t>[</w:t>
      </w:r>
    </w:p>
    <w:p w14:paraId="2828EA53" w14:textId="53F90405" w:rsidR="00247FC0" w:rsidRDefault="00247FC0" w:rsidP="002E5ED4">
      <w:pPr>
        <w:pStyle w:val="Caption"/>
        <w:spacing w:line="480" w:lineRule="auto"/>
      </w:pPr>
      <w:r>
        <w:t xml:space="preserve"> </w:t>
      </w:r>
      <w:bookmarkStart w:id="12" w:name="_Ref23705673"/>
      <w:bookmarkStart w:id="13" w:name="_Ref23705669"/>
      <w:r w:rsidR="00866FB1">
        <w:rPr>
          <w:iCs w:val="0"/>
          <w:noProof/>
        </w:rPr>
        <w:t>5</w:t>
      </w:r>
      <w:bookmarkEnd w:id="12"/>
      <w:r>
        <w:t xml:space="preserve"> ]</w:t>
      </w:r>
      <w:bookmarkEnd w:id="13"/>
    </w:p>
    <w:p w14:paraId="44B22B9F" w14:textId="7F37C8BA" w:rsidR="00247FC0" w:rsidRDefault="00247FC0" w:rsidP="002E5ED4">
      <w:pPr>
        <w:spacing w:line="480" w:lineRule="auto"/>
      </w:pPr>
      <w:r>
        <w:t xml:space="preserve">With a suitable equation to describe the specific growth rate of photosynthetic bacteria (either Equation </w:t>
      </w:r>
      <w:r w:rsidR="00866FB1">
        <w:rPr>
          <w:iCs/>
          <w:noProof/>
        </w:rPr>
        <w:t>4</w:t>
      </w:r>
      <w:r>
        <w:t xml:space="preserve"> or </w:t>
      </w:r>
      <w:r w:rsidR="00866FB1">
        <w:rPr>
          <w:iCs/>
          <w:noProof/>
        </w:rPr>
        <w:t>5</w:t>
      </w:r>
      <w:r>
        <w:t xml:space="preserve">) the growth rate </w:t>
      </w:r>
      <m:oMath>
        <m:d>
          <m:dPr>
            <m:ctrlPr>
              <w:rPr>
                <w:rFonts w:ascii="Cambria Math" w:hAnsi="Cambria Math"/>
                <w:i/>
              </w:rPr>
            </m:ctrlPr>
          </m:dPr>
          <m:e>
            <m:f>
              <m:fPr>
                <m:type m:val="skw"/>
                <m:ctrlPr>
                  <w:rPr>
                    <w:rFonts w:ascii="Cambria Math" w:hAnsi="Cambria Math"/>
                    <w:i/>
                  </w:rPr>
                </m:ctrlPr>
              </m:fPr>
              <m:num>
                <m:r>
                  <w:rPr>
                    <w:rFonts w:ascii="Cambria Math" w:hAnsi="Cambria Math"/>
                  </w:rPr>
                  <m:t>dX</m:t>
                </m:r>
              </m:num>
              <m:den>
                <m:r>
                  <w:rPr>
                    <w:rFonts w:ascii="Cambria Math" w:hAnsi="Cambria Math"/>
                  </w:rPr>
                  <m:t>dt</m:t>
                </m:r>
              </m:den>
            </m:f>
          </m:e>
        </m:d>
      </m:oMath>
      <w:r>
        <w:t xml:space="preserve"> can be determined using an equation such as the one supplied in Equation </w:t>
      </w:r>
      <w:r w:rsidR="00866FB1">
        <w:rPr>
          <w:iCs/>
          <w:noProof/>
        </w:rPr>
        <w:t>3</w:t>
      </w:r>
      <w:r>
        <w:t>. This equation can be modified to take into account the death rate (</w:t>
      </w:r>
      <w:r w:rsidRPr="000522FC">
        <w:rPr>
          <w:rFonts w:cs="Calibri"/>
        </w:rPr>
        <w:t>µ</w:t>
      </w:r>
      <w:r>
        <w:rPr>
          <w:vertAlign w:val="subscript"/>
        </w:rPr>
        <w:t>d</w:t>
      </w:r>
      <w:r>
        <w:t xml:space="preserve">) </w:t>
      </w:r>
      <w:r w:rsidRPr="000522FC">
        <w:t>of</w:t>
      </w:r>
      <w:r>
        <w:t xml:space="preserve"> cells that occurs in the death phase </w:t>
      </w:r>
      <w:r w:rsidRPr="007931A3">
        <w:rPr>
          <w:noProof/>
        </w:rPr>
        <w:t>(Palamae et al., 2018)</w:t>
      </w:r>
      <w:r>
        <w:t xml:space="preserve">. Equation </w:t>
      </w:r>
      <w:r w:rsidR="00866FB1">
        <w:rPr>
          <w:iCs/>
          <w:noProof/>
        </w:rPr>
        <w:t>8</w:t>
      </w:r>
      <w:r>
        <w:t xml:space="preserve"> provides a modified form of Equation </w:t>
      </w:r>
      <w:r w:rsidR="00866FB1">
        <w:rPr>
          <w:iCs/>
          <w:noProof/>
        </w:rPr>
        <w:t>3</w:t>
      </w:r>
      <w:r>
        <w:t xml:space="preserve"> that includes the death rate.</w:t>
      </w:r>
    </w:p>
    <w:p w14:paraId="024058D1" w14:textId="77777777" w:rsidR="00247FC0" w:rsidRPr="00AD0DF6" w:rsidRDefault="00247FC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=μX-</m:t>
        </m:r>
        <m:sSub>
          <m:sSubPr>
            <m:ctrlPr>
              <w:rPr>
                <w:rFonts w:ascii="Cambria Math" w:hAnsi="Cambria Math"/>
                <w:i/>
              </w:rPr>
            </m:ctrlPr>
          </m:sSubPr>
          <m:e>
            <m:r>
              <w:rPr>
                <w:rFonts w:ascii="Cambria Math" w:hAnsi="Cambria Math"/>
              </w:rPr>
              <m:t>μ</m:t>
            </m:r>
          </m:e>
          <m:sub>
            <m:r>
              <w:rPr>
                <w:rFonts w:ascii="Cambria Math" w:hAnsi="Cambria Math"/>
              </w:rPr>
              <m:t>d</m:t>
            </m:r>
          </m:sub>
        </m:sSub>
        <m:r>
          <w:rPr>
            <w:rFonts w:ascii="Cambria Math" w:hAnsi="Cambria Math"/>
          </w:rPr>
          <m:t>X</m:t>
        </m:r>
      </m:oMath>
      <w:r>
        <w:t xml:space="preserve"> </w:t>
      </w:r>
      <w:r>
        <w:tab/>
        <w:t>[</w:t>
      </w:r>
    </w:p>
    <w:p w14:paraId="799C0C89" w14:textId="053472F1" w:rsidR="00247FC0" w:rsidRDefault="00247FC0" w:rsidP="002E5ED4">
      <w:pPr>
        <w:pStyle w:val="Caption"/>
        <w:spacing w:line="480" w:lineRule="auto"/>
      </w:pPr>
      <w:r>
        <w:t xml:space="preserve"> </w:t>
      </w:r>
      <w:bookmarkStart w:id="14" w:name="_Ref23711326"/>
      <w:r w:rsidR="00866FB1">
        <w:rPr>
          <w:iCs w:val="0"/>
          <w:noProof/>
        </w:rPr>
        <w:t>6</w:t>
      </w:r>
      <w:bookmarkEnd w:id="14"/>
      <w:r>
        <w:t xml:space="preserve"> ]</w:t>
      </w:r>
    </w:p>
    <w:p w14:paraId="7299CFF7" w14:textId="518A3FF9" w:rsidR="00247FC0" w:rsidRDefault="00247FC0" w:rsidP="002E5ED4">
      <w:pPr>
        <w:spacing w:line="480" w:lineRule="auto"/>
      </w:pPr>
      <w:r>
        <w:t xml:space="preserve">In cases where the specific growth rate is a function of light and substrate concentration (Equation </w:t>
      </w:r>
      <w:r w:rsidR="00866FB1">
        <w:rPr>
          <w:iCs/>
          <w:noProof/>
        </w:rPr>
        <w:t>5</w:t>
      </w:r>
      <w:r>
        <w:t xml:space="preserve">), Equation </w:t>
      </w:r>
      <w:r w:rsidR="00866FB1">
        <w:rPr>
          <w:iCs/>
          <w:noProof/>
        </w:rPr>
        <w:t>6</w:t>
      </w:r>
      <w:r>
        <w:t xml:space="preserve"> cannot be explicitly solved on its own, hence an equation describing the substrate concentration and light intensity is required.  </w:t>
      </w:r>
      <w:r w:rsidRPr="001014DD">
        <w:t xml:space="preserve">Robinson and Tiedje </w:t>
      </w:r>
      <w:r w:rsidRPr="001014DD">
        <w:rPr>
          <w:noProof/>
        </w:rPr>
        <w:t>(1983)</w:t>
      </w:r>
      <w:r>
        <w:t xml:space="preserve"> provide an equation (Equation </w:t>
      </w:r>
      <w:r w:rsidR="00866FB1">
        <w:rPr>
          <w:noProof/>
        </w:rPr>
        <w:t>9</w:t>
      </w:r>
      <w:r>
        <w:t xml:space="preserve">) describing the rate of change of substrate consumption by a bacterium growing in a batch culture that can be used in conjunction with Equation </w:t>
      </w:r>
      <w:r w:rsidR="00866FB1">
        <w:rPr>
          <w:iCs/>
          <w:noProof/>
        </w:rPr>
        <w:t>6</w:t>
      </w:r>
      <w:r>
        <w:t xml:space="preserve"> to simultaneously solve for both the biomass and substrate concentration.</w:t>
      </w:r>
    </w:p>
    <w:p w14:paraId="11CC32BD" w14:textId="77777777" w:rsidR="00247FC0" w:rsidRPr="00AD0DF6" w:rsidRDefault="00247FC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ds</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sSub>
          <m:sSubPr>
            <m:ctrlPr>
              <w:rPr>
                <w:rFonts w:ascii="Cambria Math" w:hAnsi="Cambria Math"/>
                <w:i/>
              </w:rPr>
            </m:ctrlPr>
          </m:sSubPr>
          <m:e>
            <m:r>
              <w:rPr>
                <w:rFonts w:ascii="Cambria Math" w:hAnsi="Cambria Math"/>
              </w:rPr>
              <m:t>μ</m:t>
            </m:r>
          </m:e>
          <m:sub>
            <m:r>
              <w:rPr>
                <w:rFonts w:ascii="Cambria Math" w:hAnsi="Cambria Math"/>
              </w:rPr>
              <m:t>max</m:t>
            </m:r>
          </m:sub>
        </m:sSub>
        <m:d>
          <m:dPr>
            <m:ctrlPr>
              <w:rPr>
                <w:rFonts w:ascii="Cambria Math" w:hAnsi="Cambria Math"/>
                <w:i/>
              </w:rPr>
            </m:ctrlPr>
          </m:dPr>
          <m:e>
            <m:f>
              <m:fPr>
                <m:ctrlPr>
                  <w:rPr>
                    <w:rFonts w:ascii="Cambria Math" w:hAnsi="Cambria Math"/>
                    <w:i/>
                  </w:rPr>
                </m:ctrlPr>
              </m:fPr>
              <m:num>
                <m:r>
                  <w:rPr>
                    <w:rFonts w:ascii="Cambria Math" w:hAnsi="Cambria Math"/>
                  </w:rPr>
                  <m:t>s</m:t>
                </m:r>
              </m:num>
              <m:den>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+s</m:t>
                </m:r>
              </m:den>
            </m:f>
          </m:e>
        </m:d>
        <m:r>
          <w:rPr>
            <w:rFonts w:ascii="Cambria Math" w:hAnsi="Cambria Math"/>
          </w:rPr>
          <m:t>X</m:t>
        </m:r>
      </m:oMath>
      <w:r>
        <w:t xml:space="preserve"> </w:t>
      </w:r>
      <w:r>
        <w:tab/>
        <w:t>[</w:t>
      </w:r>
    </w:p>
    <w:p w14:paraId="61C347D0" w14:textId="577F75A8" w:rsidR="00247FC0" w:rsidRPr="00CB3CB0" w:rsidRDefault="00247FC0" w:rsidP="002E5ED4">
      <w:pPr>
        <w:spacing w:line="480" w:lineRule="auto"/>
      </w:pPr>
      <w:r>
        <w:t xml:space="preserve"> </w:t>
      </w:r>
      <w:bookmarkStart w:id="15" w:name="_Ref24399978"/>
      <w:r w:rsidR="00866FB1">
        <w:rPr>
          <w:noProof/>
        </w:rPr>
        <w:t>7</w:t>
      </w:r>
      <w:bookmarkEnd w:id="15"/>
      <w:r>
        <w:t xml:space="preserve"> ]</w:t>
      </w:r>
    </w:p>
    <w:p w14:paraId="1BA6D786" w14:textId="77777777" w:rsidR="00247FC0" w:rsidRDefault="00247FC0" w:rsidP="00384646">
      <w:pPr>
        <w:pStyle w:val="Heading2"/>
      </w:pPr>
      <w:bookmarkStart w:id="16" w:name="_Toc24637261"/>
      <w:bookmarkStart w:id="17" w:name="_Ref48501141"/>
      <w:bookmarkStart w:id="18" w:name="_Ref49436548"/>
      <w:r>
        <w:lastRenderedPageBreak/>
        <w:t>Modelling of light through biological culture</w:t>
      </w:r>
      <w:bookmarkEnd w:id="16"/>
      <w:bookmarkEnd w:id="17"/>
      <w:bookmarkEnd w:id="18"/>
    </w:p>
    <w:p w14:paraId="6AA6E4CD" w14:textId="51853547" w:rsidR="00247FC0" w:rsidRDefault="00247FC0" w:rsidP="002E5ED4">
      <w:pPr>
        <w:spacing w:line="480" w:lineRule="auto"/>
      </w:pPr>
      <w:r>
        <w:t xml:space="preserve">According to </w:t>
      </w:r>
      <w:r w:rsidR="00C25D99" w:rsidRPr="00C25D99">
        <w:rPr>
          <w:noProof/>
        </w:rPr>
        <w:t xml:space="preserve">Acién Fernández et al., </w:t>
      </w:r>
      <w:r w:rsidR="00756B6A">
        <w:rPr>
          <w:noProof/>
        </w:rPr>
        <w:t>(</w:t>
      </w:r>
      <w:r w:rsidR="00C25D99" w:rsidRPr="00C25D99">
        <w:rPr>
          <w:noProof/>
        </w:rPr>
        <w:t>1999)</w:t>
      </w:r>
      <w:r>
        <w:t xml:space="preserve"> the growth rate is a function of the light intensity and the light profile which the cells are subject within a homogenous culture. Denser cultures cause light penetration to be impeded due to self-shading and light absorption by the cells, thus zones of different levels of illumination exist in the culture </w:t>
      </w:r>
      <w:r w:rsidR="00C25D99" w:rsidRPr="00C25D99">
        <w:rPr>
          <w:noProof/>
        </w:rPr>
        <w:t>(Acién Fernández et al., 1999)</w:t>
      </w:r>
      <w:r>
        <w:t>. This means that cells nearer to the light incident surface experience higher intensities in comparison to cells in other regions of the cell culture, therefore the cell growth varies according to their position in the culture. Based on the effects of cell concentration and cell shading a mean value of irradiance is used to define the light intensity that each cell is experiencing with in a homogenously distributed culture. This mean value, which will be referred to as the average light intensity, is dependent on the following factors: (i) the incident light intensity (I</w:t>
      </w:r>
      <w:r>
        <w:rPr>
          <w:vertAlign w:val="subscript"/>
        </w:rPr>
        <w:t>0</w:t>
      </w:r>
      <w:r>
        <w:t xml:space="preserve">) on the surface of the reactor, (ii) the geometry of the reactor which the bacteria is being cultured in, (iii) the concentration of the cells in the culture, (iv) the absorption of the cell pigments </w:t>
      </w:r>
      <w:r w:rsidR="00C25D99" w:rsidRPr="00C25D99">
        <w:rPr>
          <w:noProof/>
        </w:rPr>
        <w:t>(Acién Fernández et al., 1999)</w:t>
      </w:r>
      <w:r>
        <w:t xml:space="preserve"> and (v) the direction(s) of light on the culture. A method for quantifying the light intensity through the reactor that accounts for the above factors is therefore required.</w:t>
      </w:r>
    </w:p>
    <w:p w14:paraId="1FA4845C" w14:textId="14B463F3" w:rsidR="00247FC0" w:rsidRDefault="00247FC0" w:rsidP="002E5ED4">
      <w:pPr>
        <w:spacing w:line="480" w:lineRule="auto"/>
      </w:pPr>
      <w:r>
        <w:t xml:space="preserve">One of the most well-known equations used in the assessment of radiant light energy profiles is the Beer-Lambert law (Equation </w:t>
      </w:r>
      <w:r w:rsidR="00866FB1">
        <w:rPr>
          <w:noProof/>
        </w:rPr>
        <w:t>8</w:t>
      </w:r>
      <w:r>
        <w:t xml:space="preserve">), however due to the aggregation of the effects of cell adsorption and light scattering by cells into a single extinction coefficient it has been stated to have poor accuracy with regards to modelling light attenuation in PBRs </w:t>
      </w:r>
      <w:r w:rsidRPr="007931A3">
        <w:rPr>
          <w:noProof/>
        </w:rPr>
        <w:t>(Cornet et al., 1995)</w:t>
      </w:r>
      <w:r>
        <w:t>.</w:t>
      </w:r>
    </w:p>
    <w:p w14:paraId="057688E1"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I(X,z)=</m:t>
        </m:r>
        <m:sSub>
          <m:sSubPr>
            <m:ctrlPr>
              <w:rPr>
                <w:rFonts w:ascii="Cambria Math" w:hAnsi="Cambria Math"/>
                <w:i/>
              </w:rPr>
            </m:ctrlPr>
          </m:sSubPr>
          <m:e>
            <m:r>
              <w:rPr>
                <w:rFonts w:ascii="Cambria Math" w:hAnsi="Cambria Math"/>
              </w:rPr>
              <m:t>I</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-α∙X∙z</m:t>
            </m:r>
          </m:sup>
        </m:sSup>
      </m:oMath>
      <w:r>
        <w:t xml:space="preserve"> </w:t>
      </w:r>
      <w:r>
        <w:tab/>
        <w:t>[</w:t>
      </w:r>
    </w:p>
    <w:p w14:paraId="2F6DCFD8" w14:textId="63EC8301" w:rsidR="00247FC0" w:rsidRDefault="00247FC0" w:rsidP="002E5ED4">
      <w:pPr>
        <w:spacing w:line="480" w:lineRule="auto"/>
      </w:pPr>
      <w:r>
        <w:t xml:space="preserve"> </w:t>
      </w:r>
      <w:bookmarkStart w:id="19" w:name="_Ref23772748"/>
      <w:r w:rsidR="00866FB1">
        <w:rPr>
          <w:noProof/>
        </w:rPr>
        <w:t>8</w:t>
      </w:r>
      <w:bookmarkEnd w:id="19"/>
      <w:r>
        <w:t xml:space="preserve"> ]</w:t>
      </w:r>
    </w:p>
    <w:p w14:paraId="22CB5C79" w14:textId="77777777" w:rsidR="00247FC0" w:rsidRDefault="00247FC0" w:rsidP="002E5ED4">
      <w:pPr>
        <w:spacing w:line="480" w:lineRule="auto"/>
      </w:pPr>
      <w:r>
        <w:t xml:space="preserve">Where </w:t>
      </w:r>
      <w:r>
        <w:rPr>
          <w:rFonts w:cs="Calibri"/>
        </w:rPr>
        <w:t>α</w:t>
      </w:r>
      <w:r>
        <w:t xml:space="preserve"> is the aggregated extinction coefficient and z is the light path length. </w:t>
      </w:r>
    </w:p>
    <w:p w14:paraId="6EA760FA" w14:textId="45E7A0D5" w:rsidR="00247FC0" w:rsidRDefault="00247FC0" w:rsidP="002E5ED4">
      <w:pPr>
        <w:spacing w:line="480" w:lineRule="auto"/>
      </w:pPr>
      <w:r>
        <w:t xml:space="preserve">Modified versions of Equation </w:t>
      </w:r>
      <w:r w:rsidR="00866FB1">
        <w:rPr>
          <w:noProof/>
        </w:rPr>
        <w:t>8</w:t>
      </w:r>
      <w:r>
        <w:t xml:space="preserve"> have been developed to improve the accuracy of the model by including an additional extinction coefficient that takes into account scattering by bubbles </w:t>
      </w:r>
      <w:r w:rsidR="00C25D99" w:rsidRPr="00C25D99">
        <w:rPr>
          <w:noProof/>
        </w:rPr>
        <w:t>(Palamae et al., 2018; D. Zhang et al., 2015)</w:t>
      </w:r>
      <w:r>
        <w:t xml:space="preserve"> or by increasing the measured light path length using an optical path length multiplication (PLM) factor in order to take into account light scattering </w:t>
      </w:r>
      <w:r w:rsidRPr="007931A3">
        <w:rPr>
          <w:noProof/>
        </w:rPr>
        <w:t>(Wágner et al., 2018)</w:t>
      </w:r>
      <w:r>
        <w:t>.</w:t>
      </w:r>
    </w:p>
    <w:p w14:paraId="26403A8D" w14:textId="7504418A" w:rsidR="00247FC0" w:rsidRDefault="00247FC0" w:rsidP="002E5ED4">
      <w:pPr>
        <w:spacing w:line="480" w:lineRule="auto"/>
      </w:pPr>
      <w:r>
        <w:lastRenderedPageBreak/>
        <w:t xml:space="preserve">On the other end of the spectrum the general theory of radiative transfer, which is far more complex (see Equation </w:t>
      </w:r>
      <w:r w:rsidR="00866FB1">
        <w:rPr>
          <w:noProof/>
        </w:rPr>
        <w:t>9</w:t>
      </w:r>
      <w:r>
        <w:t>), has been applied to model radiant light energy transfer in PBRs</w:t>
      </w:r>
      <w:r w:rsidR="002E76C3">
        <w:t xml:space="preserve"> </w:t>
      </w:r>
      <w:r w:rsidRPr="007931A3">
        <w:rPr>
          <w:noProof/>
        </w:rPr>
        <w:t>(Cornet et al., 1995)</w:t>
      </w:r>
      <w:r>
        <w:t xml:space="preserve">. This is, however, no easy task and comes at a great computational cost </w:t>
      </w:r>
      <w:r w:rsidRPr="007931A3">
        <w:rPr>
          <w:noProof/>
        </w:rPr>
        <w:t>(Cornet et al., 1995)</w:t>
      </w:r>
      <w:r>
        <w:t>.</w:t>
      </w:r>
    </w:p>
    <w:p w14:paraId="09130413" w14:textId="77777777" w:rsidR="00247FC0" w:rsidRPr="00AD0DF6" w:rsidRDefault="00247FC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λ</m:t>
                </m:r>
              </m:sub>
            </m:sSub>
            <m:d>
              <m:dPr>
                <m:ctrlPr>
                  <w:rPr>
                    <w:rFonts w:ascii="Cambria Math" w:hAnsi="Cambria Math"/>
                    <w:i/>
                  </w:rPr>
                </m:ctrlPr>
              </m:dPr>
              <m:e>
                <m:acc>
                  <m:accPr>
                    <m:chr m:val="⃗"/>
                    <m:ctrlPr>
                      <w:rPr>
                        <w:rFonts w:ascii="Cambria Math" w:hAnsi="Cambria Math"/>
                        <w:i/>
                      </w:rPr>
                    </m:ctrlPr>
                  </m:accPr>
                  <m:e>
                    <m:r>
                      <w:rPr>
                        <w:rFonts w:ascii="Cambria Math" w:hAnsi="Cambria Math"/>
                      </w:rPr>
                      <m:t>r</m:t>
                    </m:r>
                  </m:e>
                </m:acc>
                <m:r>
                  <w:rPr>
                    <w:rFonts w:ascii="Cambria Math" w:hAnsi="Cambria Math"/>
                  </w:rPr>
                  <m:t>,</m:t>
                </m:r>
                <m:acc>
                  <m:accPr>
                    <m:chr m:val="⃗"/>
                    <m:ctrlPr>
                      <w:rPr>
                        <w:rFonts w:ascii="Cambria Math" w:hAnsi="Cambria Math"/>
                        <w:i/>
                      </w:rPr>
                    </m:ctrlPr>
                  </m:accPr>
                  <m:e>
                    <m:r>
                      <w:rPr>
                        <w:rFonts w:ascii="Cambria Math" w:hAnsi="Cambria Math"/>
                      </w:rPr>
                      <m:t>s</m:t>
                    </m:r>
                  </m:e>
                </m:acc>
              </m:e>
            </m:d>
          </m:num>
          <m:den>
            <m:r>
              <w:rPr>
                <w:rFonts w:ascii="Cambria Math" w:hAnsi="Cambria Math"/>
              </w:rPr>
              <m:t>ds</m:t>
            </m:r>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λ</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λ,s</m:t>
                </m:r>
              </m:sub>
            </m:sSub>
          </m:e>
        </m:d>
        <m:sSub>
          <m:sSubPr>
            <m:ctrlPr>
              <w:rPr>
                <w:rFonts w:ascii="Cambria Math" w:hAnsi="Cambria Math"/>
                <w:i/>
              </w:rPr>
            </m:ctrlPr>
          </m:sSubPr>
          <m:e>
            <m:r>
              <w:rPr>
                <w:rFonts w:ascii="Cambria Math" w:hAnsi="Cambria Math"/>
              </w:rPr>
              <m:t>I</m:t>
            </m:r>
          </m:e>
          <m:sub>
            <m:r>
              <w:rPr>
                <w:rFonts w:ascii="Cambria Math" w:hAnsi="Cambria Math"/>
              </w:rPr>
              <m:t>λ</m:t>
            </m:r>
          </m:sub>
        </m:sSub>
        <m:d>
          <m:dPr>
            <m:ctrlPr>
              <w:rPr>
                <w:rFonts w:ascii="Cambria Math" w:hAnsi="Cambria Math"/>
                <w:i/>
              </w:rPr>
            </m:ctrlPr>
          </m:dPr>
          <m:e>
            <m:acc>
              <m:accPr>
                <m:chr m:val="⃗"/>
                <m:ctrlPr>
                  <w:rPr>
                    <w:rFonts w:ascii="Cambria Math" w:hAnsi="Cambria Math"/>
                    <w:i/>
                  </w:rPr>
                </m:ctrlPr>
              </m:accPr>
              <m:e>
                <m:r>
                  <w:rPr>
                    <w:rFonts w:ascii="Cambria Math" w:hAnsi="Cambria Math"/>
                  </w:rPr>
                  <m:t>r</m:t>
                </m:r>
              </m:e>
            </m:acc>
            <m:r>
              <w:rPr>
                <w:rFonts w:ascii="Cambria Math" w:hAnsi="Cambria Math"/>
              </w:rPr>
              <m:t>,</m:t>
            </m:r>
            <m:acc>
              <m:accPr>
                <m:chr m:val="⃗"/>
                <m:ctrlPr>
                  <w:rPr>
                    <w:rFonts w:ascii="Cambria Math" w:hAnsi="Cambria Math"/>
                    <w:i/>
                  </w:rPr>
                </m:ctrlPr>
              </m:accPr>
              <m:e>
                <m:r>
                  <w:rPr>
                    <w:rFonts w:ascii="Cambria Math" w:hAnsi="Cambria Math"/>
                  </w:rPr>
                  <m:t>s</m:t>
                </m:r>
              </m:e>
            </m:acc>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λ</m:t>
                </m:r>
              </m:sub>
            </m:sSub>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σ</m:t>
            </m:r>
            <m:sSup>
              <m:sSupPr>
                <m:ctrlPr>
                  <w:rPr>
                    <w:rFonts w:ascii="Cambria Math" w:hAnsi="Cambria Math"/>
                    <w:i/>
                  </w:rPr>
                </m:ctrlPr>
              </m:sSupPr>
              <m:e>
                <m:r>
                  <w:rPr>
                    <w:rFonts w:ascii="Cambria Math" w:hAnsi="Cambria Math"/>
                  </w:rPr>
                  <m:t>T</m:t>
                </m:r>
              </m:e>
              <m:sup>
                <m:r>
                  <w:rPr>
                    <w:rFonts w:ascii="Cambria Math" w:hAnsi="Cambria Math"/>
                  </w:rPr>
                  <m:t>4</m:t>
                </m:r>
              </m:sup>
            </m:sSup>
          </m:num>
          <m:den>
            <m:r>
              <w:rPr>
                <w:rFonts w:ascii="Cambria Math" w:hAnsi="Cambria Math"/>
              </w:rPr>
              <m:t>π</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λ,s</m:t>
                </m:r>
              </m:sub>
            </m:sSub>
          </m:num>
          <m:den>
            <m:r>
              <w:rPr>
                <w:rFonts w:ascii="Cambria Math" w:hAnsi="Cambria Math"/>
              </w:rPr>
              <m:t>4π</m:t>
            </m:r>
          </m:den>
        </m:f>
        <m:r>
          <w:rPr>
            <w:rFonts w:ascii="Cambria Math" w:hAnsi="Cambria Math"/>
          </w:rPr>
          <m:t>×</m:t>
        </m:r>
        <m:nary>
          <m:naryPr>
            <m:limLoc m:val="undOvr"/>
            <m:ctrlPr>
              <w:rPr>
                <w:rFonts w:ascii="Cambria Math" w:hAnsi="Cambria Math"/>
                <w:i/>
              </w:rPr>
            </m:ctrlPr>
          </m:naryPr>
          <m:sub>
            <m:r>
              <w:rPr>
                <w:rFonts w:ascii="Cambria Math" w:hAnsi="Cambria Math"/>
              </w:rPr>
              <m:t>0</m:t>
            </m:r>
          </m:sub>
          <m:sup>
            <m:r>
              <w:rPr>
                <w:rFonts w:ascii="Cambria Math" w:hAnsi="Cambria Math"/>
              </w:rPr>
              <m:t>4π</m:t>
            </m:r>
          </m:sup>
          <m:e>
            <m:sSub>
              <m:sSubPr>
                <m:ctrlPr>
                  <w:rPr>
                    <w:rFonts w:ascii="Cambria Math" w:hAnsi="Cambria Math"/>
                    <w:i/>
                  </w:rPr>
                </m:ctrlPr>
              </m:sSubPr>
              <m:e>
                <m:r>
                  <w:rPr>
                    <w:rFonts w:ascii="Cambria Math" w:hAnsi="Cambria Math"/>
                  </w:rPr>
                  <m:t>I</m:t>
                </m:r>
              </m:e>
              <m:sub>
                <m:r>
                  <w:rPr>
                    <w:rFonts w:ascii="Cambria Math" w:hAnsi="Cambria Math"/>
                  </w:rPr>
                  <m:t>λ</m:t>
                </m:r>
              </m:sub>
            </m:sSub>
            <m:d>
              <m:dPr>
                <m:ctrlPr>
                  <w:rPr>
                    <w:rFonts w:ascii="Cambria Math" w:hAnsi="Cambria Math"/>
                    <w:i/>
                  </w:rPr>
                </m:ctrlPr>
              </m:dPr>
              <m:e>
                <m:acc>
                  <m:accPr>
                    <m:chr m:val="⃗"/>
                    <m:ctrlPr>
                      <w:rPr>
                        <w:rFonts w:ascii="Cambria Math" w:hAnsi="Cambria Math"/>
                        <w:i/>
                      </w:rPr>
                    </m:ctrlPr>
                  </m:accPr>
                  <m:e>
                    <m:r>
                      <w:rPr>
                        <w:rFonts w:ascii="Cambria Math" w:hAnsi="Cambria Math"/>
                      </w:rPr>
                      <m:t>r</m:t>
                    </m:r>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s</m:t>
                        </m:r>
                      </m:e>
                      <m:sub>
                        <m:r>
                          <w:rPr>
                            <w:rFonts w:ascii="Cambria Math" w:hAnsi="Cambria Math"/>
                          </w:rPr>
                          <m:t>i</m:t>
                        </m:r>
                      </m:sub>
                    </m:sSub>
                  </m:e>
                </m:acc>
              </m:e>
            </m:d>
            <m:sSub>
              <m:sSubPr>
                <m:ctrlPr>
                  <w:rPr>
                    <w:rFonts w:ascii="Cambria Math" w:hAnsi="Cambria Math"/>
                    <w:i/>
                  </w:rPr>
                </m:ctrlPr>
              </m:sSubPr>
              <m:e>
                <m:r>
                  <m:rPr>
                    <m:sty m:val="p"/>
                  </m:rPr>
                  <w:rPr>
                    <w:rFonts w:ascii="Cambria Math" w:hAnsi="Cambria Math"/>
                  </w:rPr>
                  <m:t>Φ</m:t>
                </m:r>
              </m:e>
              <m:sub>
                <m:r>
                  <w:rPr>
                    <w:rFonts w:ascii="Cambria Math" w:hAnsi="Cambria Math"/>
                  </w:rPr>
                  <m:t>λ</m:t>
                </m:r>
              </m:sub>
            </m:sSub>
            <m:r>
              <w:rPr>
                <w:rFonts w:ascii="Cambria Math" w:hAnsi="Cambria Math"/>
              </w:rPr>
              <m:t>(</m:t>
            </m:r>
          </m:e>
        </m:nary>
        <m:acc>
          <m:accPr>
            <m:chr m:val="⃗"/>
            <m:ctrlPr>
              <w:rPr>
                <w:rFonts w:ascii="Cambria Math" w:hAnsi="Cambria Math"/>
                <w:i/>
              </w:rPr>
            </m:ctrlPr>
          </m:accPr>
          <m:e>
            <m:sSub>
              <m:sSubPr>
                <m:ctrlPr>
                  <w:rPr>
                    <w:rFonts w:ascii="Cambria Math" w:hAnsi="Cambria Math"/>
                    <w:i/>
                  </w:rPr>
                </m:ctrlPr>
              </m:sSubPr>
              <m:e>
                <m:r>
                  <w:rPr>
                    <w:rFonts w:ascii="Cambria Math" w:hAnsi="Cambria Math"/>
                  </w:rPr>
                  <m:t>s</m:t>
                </m:r>
              </m:e>
              <m:sub>
                <m:r>
                  <w:rPr>
                    <w:rFonts w:ascii="Cambria Math" w:hAnsi="Cambria Math"/>
                  </w:rPr>
                  <m:t>i</m:t>
                </m:r>
              </m:sub>
            </m:sSub>
          </m:e>
        </m:acc>
        <m:r>
          <w:rPr>
            <w:rFonts w:ascii="Cambria Math" w:hAnsi="Cambria Math"/>
          </w:rPr>
          <m:t>,</m:t>
        </m:r>
        <m:acc>
          <m:accPr>
            <m:chr m:val="⃗"/>
            <m:ctrlPr>
              <w:rPr>
                <w:rFonts w:ascii="Cambria Math" w:hAnsi="Cambria Math"/>
                <w:i/>
              </w:rPr>
            </m:ctrlPr>
          </m:accPr>
          <m:e>
            <m:r>
              <w:rPr>
                <w:rFonts w:ascii="Cambria Math" w:hAnsi="Cambria Math"/>
              </w:rPr>
              <m:t>s</m:t>
            </m:r>
          </m:e>
        </m:acc>
        <m:r>
          <w:rPr>
            <w:rFonts w:ascii="Cambria Math" w:hAnsi="Cambria Math"/>
          </w:rPr>
          <m:t>)d</m:t>
        </m:r>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i</m:t>
            </m:r>
          </m:sub>
        </m:sSub>
        <m:r>
          <w:rPr>
            <w:rFonts w:ascii="Cambria Math" w:hAnsi="Cambria Math"/>
          </w:rPr>
          <m:t xml:space="preserve"> </m:t>
        </m:r>
      </m:oMath>
      <w:r>
        <w:tab/>
        <w:t>[</w:t>
      </w:r>
    </w:p>
    <w:p w14:paraId="39900001" w14:textId="011B0925" w:rsidR="00247FC0" w:rsidRDefault="00247FC0" w:rsidP="002E5ED4">
      <w:pPr>
        <w:spacing w:line="480" w:lineRule="auto"/>
      </w:pPr>
      <w:r>
        <w:t xml:space="preserve"> </w:t>
      </w:r>
      <w:bookmarkStart w:id="20" w:name="_Ref23777157"/>
      <w:r w:rsidR="00866FB1">
        <w:rPr>
          <w:noProof/>
        </w:rPr>
        <w:t>9</w:t>
      </w:r>
      <w:bookmarkEnd w:id="20"/>
      <w:r>
        <w:t xml:space="preserve"> ]</w:t>
      </w:r>
    </w:p>
    <w:p w14:paraId="645CFB8E" w14:textId="77777777" w:rsidR="00247FC0" w:rsidRDefault="00247FC0" w:rsidP="002E5ED4">
      <w:pPr>
        <w:spacing w:line="480" w:lineRule="auto"/>
      </w:pPr>
      <w:r w:rsidRPr="00F539CA">
        <w:t xml:space="preserve">Where </w:t>
      </w:r>
      <m:oMath>
        <m:sSub>
          <m:sSubPr>
            <m:ctrlPr>
              <w:rPr>
                <w:rFonts w:ascii="Cambria Math" w:hAnsi="Cambria Math"/>
                <w:i/>
              </w:rPr>
            </m:ctrlPr>
          </m:sSubPr>
          <m:e>
            <m:r>
              <w:rPr>
                <w:rFonts w:ascii="Cambria Math" w:hAnsi="Cambria Math"/>
              </w:rPr>
              <m:t>I</m:t>
            </m:r>
          </m:e>
          <m:sub>
            <m:r>
              <w:rPr>
                <w:rFonts w:ascii="Cambria Math" w:hAnsi="Cambria Math"/>
              </w:rPr>
              <m:t>λ</m:t>
            </m:r>
          </m:sub>
        </m:sSub>
        <m:d>
          <m:dPr>
            <m:ctrlPr>
              <w:rPr>
                <w:rFonts w:ascii="Cambria Math" w:hAnsi="Cambria Math"/>
                <w:i/>
              </w:rPr>
            </m:ctrlPr>
          </m:dPr>
          <m:e>
            <m:acc>
              <m:accPr>
                <m:chr m:val="⃗"/>
                <m:ctrlPr>
                  <w:rPr>
                    <w:rFonts w:ascii="Cambria Math" w:hAnsi="Cambria Math"/>
                    <w:i/>
                  </w:rPr>
                </m:ctrlPr>
              </m:accPr>
              <m:e>
                <m:r>
                  <w:rPr>
                    <w:rFonts w:ascii="Cambria Math" w:hAnsi="Cambria Math"/>
                  </w:rPr>
                  <m:t>r</m:t>
                </m:r>
              </m:e>
            </m:acc>
            <m:r>
              <w:rPr>
                <w:rFonts w:ascii="Cambria Math" w:hAnsi="Cambria Math"/>
              </w:rPr>
              <m:t>,</m:t>
            </m:r>
            <m:acc>
              <m:accPr>
                <m:chr m:val="⃗"/>
                <m:ctrlPr>
                  <w:rPr>
                    <w:rFonts w:ascii="Cambria Math" w:hAnsi="Cambria Math"/>
                    <w:i/>
                  </w:rPr>
                </m:ctrlPr>
              </m:accPr>
              <m:e>
                <m:r>
                  <w:rPr>
                    <w:rFonts w:ascii="Cambria Math" w:hAnsi="Cambria Math"/>
                  </w:rPr>
                  <m:t>s</m:t>
                </m:r>
              </m:e>
            </m:acc>
          </m:e>
        </m:d>
      </m:oMath>
      <w:r>
        <w:t>is</w:t>
      </w:r>
      <w:r w:rsidRPr="00F539CA">
        <w:t xml:space="preserve"> the wavelength (</w:t>
      </w:r>
      <w:r w:rsidRPr="00F539CA">
        <w:rPr>
          <w:rFonts w:ascii="Cambria Math" w:hAnsi="Cambria Math" w:cs="Cambria Math"/>
        </w:rPr>
        <w:t>𝜆</w:t>
      </w:r>
      <w:r w:rsidRPr="00F539CA">
        <w:t>) radiation intensity</w:t>
      </w:r>
      <w:r>
        <w:t xml:space="preserve"> at a specific</w:t>
      </w:r>
      <w:r w:rsidRPr="00F539CA">
        <w:t xml:space="preserve"> light path direction </w:t>
      </w:r>
      <m:oMath>
        <m:d>
          <m:dPr>
            <m:ctrlPr>
              <w:rPr>
                <w:rFonts w:ascii="Cambria Math" w:hAnsi="Cambria Math"/>
                <w:i/>
              </w:rPr>
            </m:ctrlPr>
          </m:dPr>
          <m:e>
            <m:acc>
              <m:accPr>
                <m:chr m:val="⃗"/>
                <m:ctrlPr>
                  <w:rPr>
                    <w:rFonts w:ascii="Cambria Math" w:hAnsi="Cambria Math"/>
                    <w:i/>
                  </w:rPr>
                </m:ctrlPr>
              </m:accPr>
              <m:e>
                <m:r>
                  <w:rPr>
                    <w:rFonts w:ascii="Cambria Math" w:hAnsi="Cambria Math"/>
                  </w:rPr>
                  <m:t>s</m:t>
                </m:r>
              </m:e>
            </m:acc>
            <m:ctrlPr>
              <w:rPr>
                <w:rFonts w:ascii="Cambria Math" w:hAnsi="Cambria Math" w:cs="Cambria Math"/>
                <w:i/>
              </w:rPr>
            </m:ctrlPr>
          </m:e>
        </m:d>
      </m:oMath>
      <w:r w:rsidRPr="00F539CA">
        <w:t xml:space="preserve"> and position vector</w:t>
      </w:r>
      <w:r>
        <w:t xml:space="preserve"> </w:t>
      </w:r>
      <m:oMath>
        <m:d>
          <m:dPr>
            <m:ctrlPr>
              <w:rPr>
                <w:rFonts w:ascii="Cambria Math" w:hAnsi="Cambria Math"/>
                <w:i/>
              </w:rPr>
            </m:ctrlPr>
          </m:dPr>
          <m:e>
            <m:acc>
              <m:accPr>
                <m:chr m:val="⃗"/>
                <m:ctrlPr>
                  <w:rPr>
                    <w:rFonts w:ascii="Cambria Math" w:hAnsi="Cambria Math"/>
                    <w:i/>
                  </w:rPr>
                </m:ctrlPr>
              </m:accPr>
              <m:e>
                <m:r>
                  <w:rPr>
                    <w:rFonts w:ascii="Cambria Math" w:hAnsi="Cambria Math"/>
                  </w:rPr>
                  <m:t>r</m:t>
                </m:r>
              </m:e>
            </m:acc>
          </m:e>
        </m:d>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λ</m:t>
            </m:r>
          </m:sub>
        </m:sSub>
      </m:oMath>
      <w:r>
        <w:t xml:space="preserve"> is a </w:t>
      </w:r>
      <w:r w:rsidRPr="00F539CA">
        <w:t>wavelength dependent absorption coefficient</w:t>
      </w:r>
      <w:r>
        <w:t>;</w:t>
      </w:r>
      <w:r w:rsidRPr="00F539CA">
        <w:t xml:space="preserve"> </w:t>
      </w:r>
      <m:oMath>
        <m:sSub>
          <m:sSubPr>
            <m:ctrlPr>
              <w:rPr>
                <w:rFonts w:ascii="Cambria Math" w:hAnsi="Cambria Math"/>
                <w:i/>
              </w:rPr>
            </m:ctrlPr>
          </m:sSubPr>
          <m:e>
            <m:r>
              <w:rPr>
                <w:rFonts w:ascii="Cambria Math" w:hAnsi="Cambria Math"/>
              </w:rPr>
              <m:t>σ</m:t>
            </m:r>
          </m:e>
          <m:sub>
            <m:r>
              <w:rPr>
                <w:rFonts w:ascii="Cambria Math" w:hAnsi="Cambria Math"/>
              </w:rPr>
              <m:t>λ,s</m:t>
            </m:r>
          </m:sub>
        </m:sSub>
      </m:oMath>
      <w:r>
        <w:t xml:space="preserve"> is a </w:t>
      </w:r>
      <w:r w:rsidRPr="00F539CA">
        <w:t>wavelength dependent scattering coefficien</w:t>
      </w:r>
      <w:r>
        <w:t xml:space="preserve">t; </w:t>
      </w:r>
      <m:oMath>
        <m:r>
          <w:rPr>
            <w:rFonts w:ascii="Cambria Math" w:hAnsi="Cambria Math"/>
          </w:rPr>
          <m:t>s</m:t>
        </m:r>
      </m:oMath>
      <w:r>
        <w:t xml:space="preserve"> is the </w:t>
      </w:r>
      <w:r w:rsidRPr="00F539CA">
        <w:t xml:space="preserve">light path length,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s</m:t>
                </m:r>
              </m:e>
              <m:sub>
                <m:r>
                  <w:rPr>
                    <w:rFonts w:ascii="Cambria Math" w:hAnsi="Cambria Math"/>
                  </w:rPr>
                  <m:t>i</m:t>
                </m:r>
              </m:sub>
            </m:sSub>
          </m:e>
        </m:acc>
      </m:oMath>
      <w:r>
        <w:t xml:space="preserve"> is the </w:t>
      </w:r>
      <w:r w:rsidRPr="00F539CA">
        <w:t>scattering direction</w:t>
      </w:r>
      <w:r>
        <w:t xml:space="preserve">; </w:t>
      </w:r>
      <m:oMath>
        <m:r>
          <w:rPr>
            <w:rFonts w:ascii="Cambria Math" w:hAnsi="Cambria Math"/>
          </w:rPr>
          <m:t>n</m:t>
        </m:r>
      </m:oMath>
      <w:r w:rsidRPr="00F539CA">
        <w:t xml:space="preserve"> </w:t>
      </w:r>
      <w:r>
        <w:t xml:space="preserve">the </w:t>
      </w:r>
      <w:r w:rsidRPr="00F539CA">
        <w:t>refractive index</w:t>
      </w:r>
      <w:r>
        <w:t xml:space="preserve">; </w:t>
      </w:r>
      <m:oMath>
        <m:r>
          <w:rPr>
            <w:rFonts w:ascii="Cambria Math" w:hAnsi="Cambria Math"/>
          </w:rPr>
          <m:t>σ</m:t>
        </m:r>
      </m:oMath>
      <w:r w:rsidRPr="00F539CA">
        <w:t xml:space="preserve"> </w:t>
      </w:r>
      <w:r>
        <w:t xml:space="preserve">is the </w:t>
      </w:r>
      <w:r w:rsidRPr="00F539CA">
        <w:t>Stefan</w:t>
      </w:r>
      <w:r>
        <w:t xml:space="preserve"> </w:t>
      </w:r>
      <w:r w:rsidRPr="00F539CA">
        <w:t xml:space="preserve">Boltzmann constant, </w:t>
      </w:r>
      <m:oMath>
        <m:r>
          <w:rPr>
            <w:rFonts w:ascii="Cambria Math" w:hAnsi="Cambria Math"/>
          </w:rPr>
          <m:t>T</m:t>
        </m:r>
      </m:oMath>
      <w:r>
        <w:t xml:space="preserve"> is the </w:t>
      </w:r>
      <w:r w:rsidRPr="00F539CA">
        <w:t>local temperature and</w:t>
      </w:r>
      <w:r>
        <w:t xml:space="preserve"> </w:t>
      </w:r>
      <m:oMath>
        <m:r>
          <w:rPr>
            <w:rFonts w:ascii="Cambria Math" w:hAnsi="Cambria Math"/>
          </w:rPr>
          <m:t>d</m:t>
        </m:r>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i</m:t>
            </m:r>
          </m:sub>
        </m:sSub>
      </m:oMath>
      <w:r w:rsidRPr="00F539CA">
        <w:t xml:space="preserve"> solid angle.</w:t>
      </w:r>
    </w:p>
    <w:p w14:paraId="5E2B6494" w14:textId="0255944E" w:rsidR="00247FC0" w:rsidRDefault="00247FC0" w:rsidP="002E5ED4">
      <w:pPr>
        <w:spacing w:line="480" w:lineRule="auto"/>
      </w:pPr>
      <w:r>
        <w:t xml:space="preserve">Due to the complexity of the radiant light transfer equation and the simplicity of the Beer-Lambert law, a compromise was proposed by Cornet </w:t>
      </w:r>
      <w:r w:rsidRPr="002D4D0E">
        <w:t xml:space="preserve">et al. </w:t>
      </w:r>
      <w:r w:rsidR="00C25D99" w:rsidRPr="00C25D99">
        <w:rPr>
          <w:noProof/>
        </w:rPr>
        <w:t>(Cornet et al., 1995)</w:t>
      </w:r>
      <w:r>
        <w:t xml:space="preserve">: a two-flux model which was derived based on assumptions made by Schuster </w:t>
      </w:r>
      <w:r w:rsidRPr="00FE5EC3">
        <w:rPr>
          <w:noProof/>
        </w:rPr>
        <w:t>(1905)</w:t>
      </w:r>
      <w:r>
        <w:t xml:space="preserve">, that takes into account absorption and scattering of light by cells and that provides an analytical solution. The two-flux approximation is provided in Equations </w:t>
      </w:r>
      <w:r w:rsidR="00866FB1">
        <w:rPr>
          <w:noProof/>
        </w:rPr>
        <w:t>10</w:t>
      </w:r>
      <w:r>
        <w:t xml:space="preserve"> to </w:t>
      </w:r>
      <w:r w:rsidR="00866FB1">
        <w:rPr>
          <w:noProof/>
        </w:rPr>
        <w:t>12</w:t>
      </w:r>
      <w:r>
        <w:t xml:space="preserve"> below </w:t>
      </w:r>
      <w:r w:rsidRPr="007931A3">
        <w:rPr>
          <w:noProof/>
        </w:rPr>
        <w:t>(Huang et al., 2015)</w:t>
      </w:r>
      <w:r>
        <w:t>.</w:t>
      </w:r>
    </w:p>
    <w:p w14:paraId="41BE747B"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sSub>
              <m:sSubPr>
                <m:ctrlPr>
                  <w:rPr>
                    <w:rFonts w:ascii="Cambria Math" w:hAnsi="Cambria Math"/>
                    <w:i/>
                  </w:rPr>
                </m:ctrlPr>
              </m:sSubPr>
              <m:e>
                <m:r>
                  <w:rPr>
                    <w:rFonts w:ascii="Cambria Math" w:hAnsi="Cambria Math"/>
                  </w:rPr>
                  <m:t>I</m:t>
                </m:r>
              </m:e>
              <m:sub>
                <m:r>
                  <w:rPr>
                    <w:rFonts w:ascii="Cambria Math" w:hAnsi="Cambria Math"/>
                  </w:rPr>
                  <m:t>0</m:t>
                </m:r>
              </m:sub>
            </m:sSub>
          </m:den>
        </m:f>
        <m:r>
          <w:rPr>
            <w:rFonts w:ascii="Cambria Math" w:hAnsi="Cambria Math"/>
          </w:rPr>
          <m:t>=</m:t>
        </m:r>
        <m:f>
          <m:fPr>
            <m:ctrlPr>
              <w:rPr>
                <w:rFonts w:ascii="Cambria Math" w:hAnsi="Cambria Math"/>
                <w:i/>
              </w:rPr>
            </m:ctrlPr>
          </m:fPr>
          <m:num>
            <m:r>
              <w:rPr>
                <w:rFonts w:ascii="Cambria Math" w:hAnsi="Cambria Math"/>
              </w:rPr>
              <m:t>4</m:t>
            </m:r>
            <m:sSub>
              <m:sSubPr>
                <m:ctrlPr>
                  <w:rPr>
                    <w:rFonts w:ascii="Cambria Math" w:hAnsi="Cambria Math"/>
                    <w:i/>
                  </w:rPr>
                </m:ctrlPr>
              </m:sSubPr>
              <m:e>
                <m:r>
                  <w:rPr>
                    <w:rFonts w:ascii="Cambria Math" w:hAnsi="Cambria Math"/>
                  </w:rPr>
                  <m:t>α</m:t>
                </m:r>
              </m:e>
              <m:sub>
                <m:r>
                  <w:rPr>
                    <w:rFonts w:ascii="Cambria Math" w:hAnsi="Cambria Math"/>
                  </w:rPr>
                  <m:t>1</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sup>
            </m:sSup>
          </m:den>
        </m:f>
      </m:oMath>
      <w:r>
        <w:tab/>
        <w:t>[</w:t>
      </w:r>
    </w:p>
    <w:p w14:paraId="4287700B" w14:textId="22ED65F3" w:rsidR="00247FC0" w:rsidRDefault="00247FC0" w:rsidP="002E5ED4">
      <w:pPr>
        <w:spacing w:line="480" w:lineRule="auto"/>
      </w:pPr>
      <w:r>
        <w:t xml:space="preserve"> </w:t>
      </w:r>
      <w:bookmarkStart w:id="21" w:name="_Ref23778448"/>
      <w:r w:rsidR="00866FB1">
        <w:rPr>
          <w:noProof/>
        </w:rPr>
        <w:t>10</w:t>
      </w:r>
      <w:bookmarkEnd w:id="21"/>
      <w:r>
        <w:t xml:space="preserve"> ]</w:t>
      </w:r>
    </w:p>
    <w:p w14:paraId="60E23C46"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a</m:t>
                    </m:r>
                  </m:sub>
                </m:sSub>
              </m:num>
              <m:den>
                <m:sSub>
                  <m:sSubPr>
                    <m:ctrlPr>
                      <w:rPr>
                        <w:rFonts w:ascii="Cambria Math" w:hAnsi="Cambria Math"/>
                        <w:i/>
                      </w:rPr>
                    </m:ctrlPr>
                  </m:sSubPr>
                  <m:e>
                    <m:r>
                      <w:rPr>
                        <w:rFonts w:ascii="Cambria Math" w:hAnsi="Cambria Math"/>
                      </w:rPr>
                      <m:t>E</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den>
            </m:f>
          </m:e>
        </m:rad>
      </m:oMath>
      <w:r>
        <w:tab/>
        <w:t>[</w:t>
      </w:r>
    </w:p>
    <w:p w14:paraId="622F20F2" w14:textId="302D9012" w:rsidR="00247FC0" w:rsidRDefault="00247FC0" w:rsidP="002E5ED4">
      <w:pPr>
        <w:spacing w:line="480" w:lineRule="auto"/>
      </w:pPr>
      <w:r>
        <w:t xml:space="preserve"> </w:t>
      </w:r>
      <w:r w:rsidR="00866FB1">
        <w:rPr>
          <w:noProof/>
        </w:rPr>
        <w:t>11</w:t>
      </w:r>
      <w:r>
        <w:t xml:space="preserve"> ]</w:t>
      </w:r>
    </w:p>
    <w:p w14:paraId="450FC3BF" w14:textId="77777777" w:rsidR="00247FC0" w:rsidRPr="00AD0DF6" w:rsidRDefault="00247FC0" w:rsidP="002E5ED4">
      <w:pPr>
        <w:pStyle w:val="EquationCaption"/>
        <w:spacing w:line="480" w:lineRule="auto"/>
        <w:rPr>
          <w:vanish/>
          <w:specVanish/>
        </w:rPr>
      </w:pPr>
      <w:r>
        <w:rPr>
          <w:rFonts w:ascii="Calibri" w:hAnsi="Calibri"/>
        </w:rPr>
        <w:tab/>
      </w:r>
      <m:oMath>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∙X∙z</m:t>
        </m:r>
      </m:oMath>
      <w:r>
        <w:tab/>
        <w:t>[</w:t>
      </w:r>
    </w:p>
    <w:p w14:paraId="08D55C71" w14:textId="5B0AA25F" w:rsidR="00247FC0" w:rsidRDefault="00247FC0" w:rsidP="002E5ED4">
      <w:pPr>
        <w:spacing w:line="480" w:lineRule="auto"/>
      </w:pPr>
      <w:r>
        <w:t xml:space="preserve"> </w:t>
      </w:r>
      <w:bookmarkStart w:id="22" w:name="_Ref23778450"/>
      <w:r w:rsidR="00866FB1">
        <w:rPr>
          <w:noProof/>
        </w:rPr>
        <w:t>12</w:t>
      </w:r>
      <w:bookmarkEnd w:id="22"/>
      <w:r>
        <w:t xml:space="preserve"> ]</w:t>
      </w:r>
    </w:p>
    <w:p w14:paraId="7C481DA9" w14:textId="19C5B6F7" w:rsidR="00247FC0" w:rsidRDefault="00247FC0" w:rsidP="002E5ED4">
      <w:pPr>
        <w:spacing w:line="480" w:lineRule="auto"/>
      </w:pPr>
      <w:r>
        <w:t xml:space="preserve">From the equations above, </w:t>
      </w:r>
      <m:oMath>
        <m:sSub>
          <m:sSubPr>
            <m:ctrlPr>
              <w:rPr>
                <w:rFonts w:ascii="Cambria Math" w:hAnsi="Cambria Math"/>
                <w:i/>
              </w:rPr>
            </m:ctrlPr>
          </m:sSubPr>
          <m:e>
            <m:r>
              <w:rPr>
                <w:rFonts w:ascii="Cambria Math" w:hAnsi="Cambria Math"/>
              </w:rPr>
              <m:t>E</m:t>
            </m:r>
          </m:e>
          <m:sub>
            <m:r>
              <w:rPr>
                <w:rFonts w:ascii="Cambria Math" w:hAnsi="Cambria Math"/>
              </w:rPr>
              <m:t>a</m:t>
            </m:r>
          </m:sub>
        </m:sSub>
      </m:oMath>
      <w:r>
        <w:t xml:space="preserve"> is the mass absorption coefficient and </w:t>
      </w:r>
      <m:oMath>
        <m:sSub>
          <m:sSubPr>
            <m:ctrlPr>
              <w:rPr>
                <w:rFonts w:ascii="Cambria Math" w:hAnsi="Cambria Math"/>
                <w:i/>
              </w:rPr>
            </m:ctrlPr>
          </m:sSubPr>
          <m:e>
            <m:r>
              <w:rPr>
                <w:rFonts w:ascii="Cambria Math" w:hAnsi="Cambria Math"/>
              </w:rPr>
              <m:t>E</m:t>
            </m:r>
          </m:e>
          <m:sub>
            <m:r>
              <w:rPr>
                <w:rFonts w:ascii="Cambria Math" w:hAnsi="Cambria Math"/>
              </w:rPr>
              <m:t>s</m:t>
            </m:r>
          </m:sub>
        </m:sSub>
      </m:oMath>
      <w:r>
        <w:t xml:space="preserve"> is the scattering coefficient. It should be noted that the two-flux approximation simplifies to the Beer-Lambert law (Equation </w:t>
      </w:r>
      <w:r w:rsidR="00866FB1">
        <w:rPr>
          <w:noProof/>
        </w:rPr>
        <w:t>8</w:t>
      </w:r>
      <w:r>
        <w:t>) if the effects of scattering are ignored (</w:t>
      </w:r>
      <m:oMath>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=0</m:t>
        </m:r>
      </m:oMath>
      <w:r>
        <w:t xml:space="preserve">). The effects of scattering can be ignored at low biomass concentrations </w:t>
      </w:r>
      <w:r w:rsidRPr="007931A3">
        <w:rPr>
          <w:noProof/>
        </w:rPr>
        <w:t>(Krujatz et al., 2015)</w:t>
      </w:r>
      <w:r>
        <w:t xml:space="preserve">; however, when the biomass concentration increases the Beer-Lambert law cannot be applied to predict the light intensity profile inside the PBR </w:t>
      </w:r>
      <w:r w:rsidRPr="007931A3">
        <w:rPr>
          <w:noProof/>
        </w:rPr>
        <w:t>(Berberoglu et al., 2007)</w:t>
      </w:r>
      <w:r>
        <w:t>.</w:t>
      </w:r>
      <w:r w:rsidR="00905952">
        <w:t xml:space="preserve"> In terms of biological use, scattered light can still be utilised by any bacterium which </w:t>
      </w:r>
      <w:r w:rsidR="009E27C2">
        <w:t>absorbs it – light does not need to remain in the same plane.</w:t>
      </w:r>
    </w:p>
    <w:p w14:paraId="2BC6D5FB" w14:textId="0DC7D6BA" w:rsidR="006C1FB3" w:rsidRDefault="006C1FB3" w:rsidP="006C1FB3">
      <w:pPr>
        <w:spacing w:line="480" w:lineRule="auto"/>
        <w:rPr>
          <w:noProof/>
        </w:rPr>
      </w:pPr>
      <w:r>
        <w:rPr>
          <w:noProof/>
        </w:rPr>
        <w:lastRenderedPageBreak/>
        <w:t xml:space="preserve">To investigate the effect of the incident light intensity on the cell growth of </w:t>
      </w:r>
      <w:r w:rsidRPr="00920AE1">
        <w:rPr>
          <w:i/>
          <w:iCs/>
          <w:noProof/>
        </w:rPr>
        <w:t>R. palustris</w:t>
      </w:r>
      <w:r>
        <w:rPr>
          <w:noProof/>
        </w:rPr>
        <w:t xml:space="preserve"> the reactor system described in section 2.2 was employed. The tubular PBR system operated with the Van Niels medium and therefore contained high nitrogen levels (y</w:t>
      </w:r>
      <w:r w:rsidRPr="00BD2890">
        <w:rPr>
          <w:noProof/>
        </w:rPr>
        <w:t xml:space="preserve">east extract consists of ±10% total </w:t>
      </w:r>
      <w:r w:rsidRPr="00BD2890">
        <w:t>nitrogen</w:t>
      </w:r>
      <w:r>
        <w:rPr>
          <w:noProof/>
        </w:rPr>
        <w:t>). The nitrogen present in the culture</w:t>
      </w:r>
      <w:r w:rsidRPr="00162B2B">
        <w:t xml:space="preserve"> </w:t>
      </w:r>
      <w:r>
        <w:t>inhibits hydrogen production as it suppresses the synthesis of nitrogenase and inhibits the nitrogenase enzyme activity</w:t>
      </w:r>
      <w:r>
        <w:rPr>
          <w:noProof/>
        </w:rPr>
        <w:t>. A tubular reactor with a small inner diameter (ID) relative to common laboratory bioreactor systems (schott bottle-based bioreactors) was designed to reduce the effect of light attenuation through the reactor as the cell concentration of the culture increased. As discussed in section 3.2, the equations that describes light attenuation through a reactor is dependent on the concentration of the biomass and the reactor width. Therefore, a reactor with a smaller diameter is going to experience lower attenuation of light in comparison to a larger reactor if the biomass concentration remains constant.</w:t>
      </w:r>
      <w:r w:rsidR="00FF1933">
        <w:rPr>
          <w:noProof/>
        </w:rPr>
        <w:t xml:space="preserve"> </w:t>
      </w:r>
      <w:r>
        <w:rPr>
          <w:noProof/>
        </w:rPr>
        <w:t xml:space="preserve">This is illustrated in </w:t>
      </w:r>
      <w:r w:rsidR="00896BC4">
        <w:fldChar w:fldCharType="begin"/>
      </w:r>
      <w:r w:rsidR="00896BC4">
        <w:rPr>
          <w:noProof/>
        </w:rPr>
        <w:instrText xml:space="preserve"> REF _Ref75339280 \h </w:instrText>
      </w:r>
      <w:r w:rsidR="00896BC4">
        <w:fldChar w:fldCharType="separate"/>
      </w:r>
      <w:r w:rsidR="00896BC4">
        <w:t xml:space="preserve">Figure </w:t>
      </w:r>
      <w:r w:rsidR="00896BC4">
        <w:rPr>
          <w:noProof/>
        </w:rPr>
        <w:t>2</w:t>
      </w:r>
      <w:r w:rsidR="00896BC4">
        <w:fldChar w:fldCharType="end"/>
      </w:r>
      <w:r w:rsidRPr="0058437F">
        <w:t>, where</w:t>
      </w:r>
      <w:r>
        <w:rPr>
          <w:noProof/>
        </w:rPr>
        <w:t xml:space="preserve"> the light intensity decreases by approximately 40% through a bioreactor with a diameter of 0.015 m (corresponding to the tubular reactor) compared to an 80% reduction seen in the schott bottle reactor (diameter of 0.086) at a biomass concentration of 4 g/L, thus illustrating the reduced effects of light attenuation when using a smaller ID reactor.</w:t>
      </w:r>
    </w:p>
    <w:p w14:paraId="060BCAC4" w14:textId="77777777" w:rsidR="006C1FB3" w:rsidRDefault="006C1FB3" w:rsidP="006C1FB3">
      <w:pPr>
        <w:keepNext/>
        <w:spacing w:line="480" w:lineRule="auto"/>
        <w:jc w:val="center"/>
      </w:pPr>
      <w:r>
        <w:rPr>
          <w:noProof/>
          <w:lang w:val="en-US"/>
        </w:rPr>
        <w:drawing>
          <wp:inline distT="0" distB="0" distL="0" distR="0" wp14:anchorId="6CB97893" wp14:editId="22539052">
            <wp:extent cx="4660172" cy="295486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4692694" cy="2975488"/>
                    </a:xfrm>
                    <a:prstGeom prst="rect">
                      <a:avLst/>
                    </a:prstGeom>
                    <a:noFill/>
                    <a:ln>
                      <a:noFill/>
                    </a:ln>
                    <a:extLst>
                      <a:ext uri="{53640926-AAD7-44D8-BBD7-CCE9431645EC}">
                        <a14:shadowObscured xmlns:a14="http://schemas.microsoft.com/office/drawing/2010/main"/>
                      </a:ext>
                    </a:extLst>
                  </pic:spPr>
                </pic:pic>
              </a:graphicData>
            </a:graphic>
          </wp:inline>
        </w:drawing>
      </w:r>
    </w:p>
    <w:p w14:paraId="0D6E723F" w14:textId="238A8873" w:rsidR="006C1FB3" w:rsidRPr="00E67900" w:rsidRDefault="00896BC4" w:rsidP="00896BC4">
      <w:pPr>
        <w:pStyle w:val="Caption"/>
        <w:rPr>
          <w:i/>
          <w:iCs w:val="0"/>
          <w:noProof/>
        </w:rPr>
      </w:pPr>
      <w:bookmarkStart w:id="23" w:name="_Toc24637351"/>
      <w:bookmarkStart w:id="24" w:name="_Ref23447674"/>
      <w:bookmarkStart w:id="25" w:name="_Ref75339280"/>
      <w:r>
        <w:t xml:space="preserve">Figure </w:t>
      </w:r>
      <w:fldSimple w:instr=" SEQ Figure \* ARABIC ">
        <w:r w:rsidR="00B6650F">
          <w:rPr>
            <w:noProof/>
          </w:rPr>
          <w:t>2</w:t>
        </w:r>
      </w:fldSimple>
      <w:bookmarkEnd w:id="25"/>
      <w:r>
        <w:t>:</w:t>
      </w:r>
      <w:bookmarkEnd w:id="24"/>
      <w:r w:rsidR="006C1FB3" w:rsidRPr="00E67900">
        <w:t xml:space="preserve"> Change in average light intensity through the width of a cylindrical bioreactor with an incident light intensity of 100 W/m</w:t>
      </w:r>
      <w:r w:rsidR="006C1FB3" w:rsidRPr="00E67900">
        <w:rPr>
          <w:vertAlign w:val="superscript"/>
        </w:rPr>
        <w:t>2</w:t>
      </w:r>
      <w:r w:rsidR="006C1FB3" w:rsidRPr="00E67900">
        <w:t xml:space="preserve"> and a biomass concentration of 4 g/L.</w:t>
      </w:r>
      <w:bookmarkEnd w:id="23"/>
    </w:p>
    <w:p w14:paraId="61219D16" w14:textId="68B44953" w:rsidR="006C1FB3" w:rsidRDefault="006C1FB3" w:rsidP="006C1FB3">
      <w:pPr>
        <w:spacing w:line="480" w:lineRule="auto"/>
        <w:rPr>
          <w:noProof/>
        </w:rPr>
      </w:pPr>
      <w:r>
        <w:rPr>
          <w:noProof/>
        </w:rPr>
        <w:lastRenderedPageBreak/>
        <w:t xml:space="preserve">The effect of </w:t>
      </w:r>
      <w:r w:rsidRPr="00224448">
        <w:rPr>
          <w:i/>
          <w:iCs/>
          <w:noProof/>
        </w:rPr>
        <w:t>R. palustris</w:t>
      </w:r>
      <w:r>
        <w:rPr>
          <w:noProof/>
        </w:rPr>
        <w:t xml:space="preserve"> biomass concentration on light attenuation was investigated through the light transmittance of the culture and is discussed in more detail below.</w:t>
      </w:r>
      <w:r w:rsidRPr="00E653E8">
        <w:rPr>
          <w:rStyle w:val="FigureCaptionChar"/>
        </w:rPr>
        <w:t xml:space="preserve"> </w:t>
      </w:r>
      <w:r w:rsidR="00896BC4">
        <w:fldChar w:fldCharType="begin"/>
      </w:r>
      <w:r w:rsidR="00896BC4">
        <w:rPr>
          <w:rStyle w:val="FigureCaptionChar"/>
        </w:rPr>
        <w:instrText xml:space="preserve"> REF _Ref75339315 \h </w:instrText>
      </w:r>
      <w:r w:rsidR="00896BC4">
        <w:fldChar w:fldCharType="separate"/>
      </w:r>
      <w:r w:rsidR="00896BC4">
        <w:t xml:space="preserve">Figure </w:t>
      </w:r>
      <w:r w:rsidR="00896BC4">
        <w:rPr>
          <w:noProof/>
        </w:rPr>
        <w:t>3</w:t>
      </w:r>
      <w:r w:rsidR="00896BC4">
        <w:fldChar w:fldCharType="end"/>
      </w:r>
      <w:r>
        <w:rPr>
          <w:noProof/>
        </w:rPr>
        <w:t xml:space="preserve"> provides a graphical representation of how transmittance (%) of light through an </w:t>
      </w:r>
      <w:r w:rsidRPr="00375924">
        <w:rPr>
          <w:i/>
          <w:iCs/>
          <w:noProof/>
        </w:rPr>
        <w:t>R. p</w:t>
      </w:r>
      <w:r>
        <w:rPr>
          <w:i/>
          <w:iCs/>
          <w:noProof/>
        </w:rPr>
        <w:t>al</w:t>
      </w:r>
      <w:r w:rsidRPr="00375924">
        <w:rPr>
          <w:i/>
          <w:iCs/>
          <w:noProof/>
        </w:rPr>
        <w:t>ustris</w:t>
      </w:r>
      <w:r>
        <w:rPr>
          <w:noProof/>
        </w:rPr>
        <w:t xml:space="preserve"> culture changes as the concentration of cells in the culture increase. The transmittance was measured using a spectrophotometer (</w:t>
      </w:r>
      <w:bookmarkStart w:id="26" w:name="_Hlk23143412"/>
      <w:r w:rsidRPr="00696645">
        <w:rPr>
          <w:noProof/>
        </w:rPr>
        <w:t>UV/Vis spectrophotometer, Varian</w:t>
      </w:r>
      <w:r>
        <w:rPr>
          <w:noProof/>
        </w:rPr>
        <w:t xml:space="preserve">) </w:t>
      </w:r>
      <w:bookmarkEnd w:id="26"/>
      <w:r>
        <w:rPr>
          <w:noProof/>
        </w:rPr>
        <w:t xml:space="preserve">at a wavelength of 875nm corresponding to the bacterioclorophyll </w:t>
      </w:r>
      <w:r>
        <w:rPr>
          <w:rFonts w:cs="Calibri"/>
          <w:noProof/>
        </w:rPr>
        <w:t>α</w:t>
      </w:r>
      <w:r>
        <w:rPr>
          <w:noProof/>
        </w:rPr>
        <w:t xml:space="preserve"> adsorption peak. All measurements were done in a standard cuvette with a width of 1cm. At cell concentrations as low as 0.01 g/L approximately 20% of the light is absorbed by the culture and at 0.92 g/L 97.53% of the light is already absorbed by the culture. This illustrates how much light is absorbed over a linear distance of 1 cm (standard cuvette) even when the culture density is less than 1 g/L. Therefore, the larger the diameter of the reactor, the greater the effect of mutual shading. Mutual shading is when the efficiency of light absorption energy by cells is higher in cells near the illuminated reactor surface, but lower in the cells deep within the culture, i.e. furthur from the illuminated surface </w:t>
      </w:r>
      <w:r w:rsidRPr="00122B1B">
        <w:rPr>
          <w:noProof/>
        </w:rPr>
        <w:t>(Yen and Chiang, 2012)</w:t>
      </w:r>
      <w:r>
        <w:rPr>
          <w:noProof/>
        </w:rPr>
        <w:t xml:space="preserve">. High biomass concentrations can also </w:t>
      </w:r>
      <w:r>
        <w:t>cause</w:t>
      </w:r>
      <w:r w:rsidRPr="008F1F24">
        <w:rPr>
          <w:noProof/>
        </w:rPr>
        <w:t xml:space="preserve"> </w:t>
      </w:r>
      <w:r>
        <w:rPr>
          <w:noProof/>
        </w:rPr>
        <w:t xml:space="preserve">mutual shading to hinder the light path entering the reactor and further inhibit the light absorption of the bacterial cells in the PBR </w:t>
      </w:r>
      <w:r w:rsidRPr="00122B1B">
        <w:rPr>
          <w:noProof/>
        </w:rPr>
        <w:t>(Yen and Chiang, 2012)</w:t>
      </w:r>
      <w:r>
        <w:rPr>
          <w:noProof/>
        </w:rPr>
        <w:t>.</w:t>
      </w:r>
    </w:p>
    <w:p w14:paraId="61942E0B" w14:textId="77777777" w:rsidR="006C1FB3" w:rsidRPr="00D847EA" w:rsidRDefault="006C1FB3" w:rsidP="006C1FB3">
      <w:pPr>
        <w:spacing w:line="480" w:lineRule="auto"/>
      </w:pPr>
      <w:r>
        <w:rPr>
          <w:noProof/>
        </w:rPr>
        <w:t xml:space="preserve">This is not ideal if the effect of light intensity on </w:t>
      </w:r>
      <w:r w:rsidRPr="00D847EA">
        <w:rPr>
          <w:i/>
          <w:iCs/>
          <w:noProof/>
        </w:rPr>
        <w:t>R. palustris</w:t>
      </w:r>
      <w:r w:rsidRPr="00057DC7">
        <w:rPr>
          <w:noProof/>
        </w:rPr>
        <w:t xml:space="preserve"> is</w:t>
      </w:r>
      <w:r>
        <w:rPr>
          <w:i/>
          <w:iCs/>
          <w:noProof/>
        </w:rPr>
        <w:t xml:space="preserve"> </w:t>
      </w:r>
      <w:r>
        <w:rPr>
          <w:noProof/>
        </w:rPr>
        <w:t>being tested, as there would be large variability in the average light intensity throught the reactor’s cross-sectional area if the diameter of the reactor is significantly large.</w:t>
      </w:r>
    </w:p>
    <w:p w14:paraId="0CB74473" w14:textId="77777777" w:rsidR="006C1FB3" w:rsidRDefault="006C1FB3" w:rsidP="006C1FB3">
      <w:pPr>
        <w:spacing w:line="480" w:lineRule="auto"/>
        <w:jc w:val="center"/>
      </w:pPr>
      <w:r>
        <w:lastRenderedPageBreak/>
        <w:t xml:space="preserve"> </w:t>
      </w:r>
      <w:r>
        <w:rPr>
          <w:noProof/>
          <w:lang w:val="en-US"/>
        </w:rPr>
        <w:drawing>
          <wp:inline distT="0" distB="0" distL="0" distR="0" wp14:anchorId="7AD4696F" wp14:editId="41DDCAC0">
            <wp:extent cx="4922875" cy="3072472"/>
            <wp:effectExtent l="0" t="0" r="11430" b="13970"/>
            <wp:docPr id="62" name="Chart 62">
              <a:extLst xmlns:a="http://schemas.openxmlformats.org/drawingml/2006/main">
                <a:ext uri="{FF2B5EF4-FFF2-40B4-BE49-F238E27FC236}">
                  <a16:creationId xmlns:a16="http://schemas.microsoft.com/office/drawing/2014/main" id="{2D57C8AD-0E1C-4843-9BF0-BF9935F73F87}"/>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2962FB" w14:textId="5EAA882F" w:rsidR="006C1FB3" w:rsidRPr="006C1FB3" w:rsidRDefault="00896BC4" w:rsidP="00896BC4">
      <w:pPr>
        <w:pStyle w:val="Caption"/>
        <w:rPr>
          <w:i/>
          <w:iCs w:val="0"/>
        </w:rPr>
      </w:pPr>
      <w:bookmarkStart w:id="27" w:name="_Ref20689212"/>
      <w:bookmarkStart w:id="28" w:name="_Toc21954004"/>
      <w:bookmarkStart w:id="29" w:name="_Toc22684052"/>
      <w:bookmarkStart w:id="30" w:name="_Toc24637352"/>
      <w:bookmarkStart w:id="31" w:name="_Ref75339315"/>
      <w:r>
        <w:t xml:space="preserve">Figure </w:t>
      </w:r>
      <w:fldSimple w:instr=" SEQ Figure \* ARABIC ">
        <w:r w:rsidR="00B6650F">
          <w:rPr>
            <w:noProof/>
          </w:rPr>
          <w:t>3</w:t>
        </w:r>
      </w:fldSimple>
      <w:bookmarkEnd w:id="31"/>
      <w:r>
        <w:t>:</w:t>
      </w:r>
      <w:bookmarkEnd w:id="27"/>
      <w:r w:rsidR="006C1FB3" w:rsidRPr="008007CC">
        <w:t xml:space="preserve"> Transmittance (UV/Vis spectrophotometer, Varian at 875nm) of light through varying concentrations of </w:t>
      </w:r>
      <w:r w:rsidR="006C1FB3" w:rsidRPr="007053AA">
        <w:t>R. palustris</w:t>
      </w:r>
      <w:r w:rsidR="006C1FB3" w:rsidRPr="008007CC">
        <w:t xml:space="preserve"> cultures in 1 cm cuvettes, with Van Niels medium as the blank. Data points represent the mean of triplicate repeats and the error bars show the uncertainty associated with the CDW measurements and the transmittance measurements.</w:t>
      </w:r>
      <w:bookmarkEnd w:id="28"/>
      <w:bookmarkEnd w:id="29"/>
      <w:bookmarkEnd w:id="30"/>
    </w:p>
    <w:p w14:paraId="5E09F057" w14:textId="37BD94BA" w:rsidR="00860CFA" w:rsidRPr="005712B7" w:rsidRDefault="00DA072E" w:rsidP="002E5ED4">
      <w:pPr>
        <w:pStyle w:val="Heading1"/>
        <w:spacing w:line="480" w:lineRule="auto"/>
        <w:rPr>
          <w:caps w:val="0"/>
        </w:rPr>
      </w:pPr>
      <w:r w:rsidRPr="005712B7">
        <w:rPr>
          <w:caps w:val="0"/>
        </w:rPr>
        <w:t>R</w:t>
      </w:r>
      <w:r w:rsidR="005712B7">
        <w:rPr>
          <w:caps w:val="0"/>
        </w:rPr>
        <w:t>esults and discussion</w:t>
      </w:r>
    </w:p>
    <w:p w14:paraId="6EEC558D" w14:textId="77777777" w:rsidR="00285CB0" w:rsidRDefault="00285CB0" w:rsidP="002E5ED4">
      <w:pPr>
        <w:pStyle w:val="Heading2"/>
        <w:spacing w:line="480" w:lineRule="auto"/>
        <w:rPr>
          <w:i/>
          <w:iCs/>
        </w:rPr>
      </w:pPr>
      <w:bookmarkStart w:id="32" w:name="_Ref23887287"/>
      <w:bookmarkStart w:id="33" w:name="_Ref23892316"/>
      <w:bookmarkStart w:id="34" w:name="_Toc24637303"/>
      <w:r>
        <w:t xml:space="preserve">Effect of light intensity on the growth of </w:t>
      </w:r>
      <w:r w:rsidRPr="00F76F6C">
        <w:rPr>
          <w:i/>
          <w:iCs/>
        </w:rPr>
        <w:t>R. palustris</w:t>
      </w:r>
      <w:bookmarkEnd w:id="32"/>
      <w:bookmarkEnd w:id="33"/>
      <w:bookmarkEnd w:id="34"/>
    </w:p>
    <w:p w14:paraId="6FEC22C1" w14:textId="04980B74" w:rsidR="00285CB0" w:rsidRDefault="00AF32DC" w:rsidP="002E5ED4">
      <w:pPr>
        <w:spacing w:line="480" w:lineRule="auto"/>
      </w:pPr>
      <w:r>
        <w:t>Five light intensities were investigated</w:t>
      </w:r>
      <w:r w:rsidR="006B2D2B">
        <w:t>,</w:t>
      </w:r>
      <w:r>
        <w:t xml:space="preserve"> namely</w:t>
      </w:r>
      <w:r w:rsidR="006B2D2B">
        <w:t>:</w:t>
      </w:r>
      <w:r>
        <w:t xml:space="preserve"> 30, 70, 200, 400 and 600 W/m</w:t>
      </w:r>
      <w:r>
        <w:rPr>
          <w:vertAlign w:val="superscript"/>
        </w:rPr>
        <w:t>2</w:t>
      </w:r>
      <w:r>
        <w:t xml:space="preserve">. </w:t>
      </w:r>
      <w:r w:rsidR="00285CB0">
        <w:t xml:space="preserve">The incident light intensity was measured using a spectrometer (RGB Photonics Q-mini) over the wavelength range of 500 to 1000 nm. The selection of the wavelength range was due in part to the limitation of the light meter (high level of noise below 500 nm), but was mainly based on the wavelength range where </w:t>
      </w:r>
      <w:r w:rsidR="00285CB0">
        <w:rPr>
          <w:i/>
          <w:iCs/>
        </w:rPr>
        <w:t>R. palustris</w:t>
      </w:r>
      <w:r w:rsidR="00285CB0">
        <w:t xml:space="preserve"> can absorb light. The illumination was provided by incandescent light bulbs (Eurolux) with the light intensity being altered by adjusting the distance between the incident surface and the light bulbs. Incandescent light bulbs were used as they provide the closest representation in terms of spectral light emission to sunlight over the wavelength range of 550 to 1000 nm when compared to other common indoor light sources such as florescent and LED lights.</w:t>
      </w:r>
    </w:p>
    <w:p w14:paraId="50FE427E" w14:textId="28C0AEE0" w:rsidR="00285CB0" w:rsidRPr="00C04F91" w:rsidRDefault="00285CB0" w:rsidP="002E5ED4">
      <w:pPr>
        <w:spacing w:line="480" w:lineRule="auto"/>
      </w:pPr>
      <w:r>
        <w:lastRenderedPageBreak/>
        <w:t xml:space="preserve">The effect of light intensity on the </w:t>
      </w:r>
      <w:r w:rsidRPr="00542E26">
        <w:rPr>
          <w:i/>
          <w:iCs/>
        </w:rPr>
        <w:t>R. palustris</w:t>
      </w:r>
      <w:r>
        <w:t xml:space="preserve"> growth metabolism will be investigated through the comparison of the general growth behaviour, substrate utilisation</w:t>
      </w:r>
      <w:r w:rsidR="00A337BC">
        <w:t xml:space="preserve"> and</w:t>
      </w:r>
      <w:r>
        <w:t xml:space="preserve"> maximum specific growth rate</w:t>
      </w:r>
      <w:r w:rsidR="00A337BC">
        <w:t>.</w:t>
      </w:r>
    </w:p>
    <w:p w14:paraId="4549C9B1" w14:textId="77777777" w:rsidR="00285CB0" w:rsidRDefault="00285CB0" w:rsidP="002E5ED4">
      <w:pPr>
        <w:pStyle w:val="Heading3"/>
        <w:spacing w:line="480" w:lineRule="auto"/>
      </w:pPr>
      <w:bookmarkStart w:id="35" w:name="_Ref21890333"/>
      <w:bookmarkStart w:id="36" w:name="_Toc24637304"/>
      <w:r>
        <w:t>Growth curves</w:t>
      </w:r>
      <w:bookmarkEnd w:id="35"/>
      <w:bookmarkEnd w:id="36"/>
    </w:p>
    <w:p w14:paraId="3ACB770C" w14:textId="2BE40011" w:rsidR="00285CB0" w:rsidRDefault="00285CB0" w:rsidP="002E5ED4">
      <w:pPr>
        <w:spacing w:line="480" w:lineRule="auto"/>
      </w:pPr>
      <w:r>
        <w:t xml:space="preserve">The growth curves of </w:t>
      </w:r>
      <w:r>
        <w:rPr>
          <w:i/>
          <w:iCs/>
        </w:rPr>
        <w:t xml:space="preserve">R. palustris </w:t>
      </w:r>
      <w:r>
        <w:t xml:space="preserve">grown in modified Van Niels medium at varying light intensities using the tubular PBR system can be seen </w:t>
      </w:r>
      <w:r w:rsidRPr="0058437F">
        <w:t xml:space="preserve">in </w:t>
      </w:r>
      <w:r w:rsidR="00896BC4">
        <w:fldChar w:fldCharType="begin"/>
      </w:r>
      <w:r w:rsidR="00896BC4">
        <w:instrText xml:space="preserve"> REF _Ref75339348 \h </w:instrText>
      </w:r>
      <w:r w:rsidR="00896BC4">
        <w:fldChar w:fldCharType="separate"/>
      </w:r>
      <w:r w:rsidR="00896BC4">
        <w:t xml:space="preserve">Figure </w:t>
      </w:r>
      <w:r w:rsidR="00896BC4">
        <w:rPr>
          <w:noProof/>
        </w:rPr>
        <w:t>4</w:t>
      </w:r>
      <w:r w:rsidR="00896BC4">
        <w:fldChar w:fldCharType="end"/>
      </w:r>
      <w:r w:rsidRPr="0058437F">
        <w:t>.</w:t>
      </w:r>
      <w:r>
        <w:t xml:space="preserve"> For each light intensity it can be noted that the typical trend of batch bacterial growth cultures is followed. </w:t>
      </w:r>
    </w:p>
    <w:p w14:paraId="1D771F44" w14:textId="352A424F" w:rsidR="00CF27BB" w:rsidRDefault="00285CB0" w:rsidP="008E5008">
      <w:pPr>
        <w:spacing w:line="480" w:lineRule="auto"/>
      </w:pPr>
      <w:r>
        <w:t>Batch cultures often have a period of stasis at the start of culturing where no cell division occurs</w:t>
      </w:r>
      <w:r w:rsidR="006B2D2B">
        <w:t>; h</w:t>
      </w:r>
      <w:r>
        <w:t xml:space="preserve">ere cells are merely adapting to the culture conditions and synthesising required enzymes for growth. In most cases steps are taken during culturing to minimise or remove this lag phase entirely to reduce the time it takes for the culture to enter the exponential growth phase. This was done by culturing the </w:t>
      </w:r>
      <w:r>
        <w:rPr>
          <w:i/>
          <w:iCs/>
        </w:rPr>
        <w:t>R. palustris</w:t>
      </w:r>
      <w:r>
        <w:t xml:space="preserve"> inoculum in the same medium and at the same temperature as the experimental environment, as well as inoculating when the inoculum was in the exponential phase of growth, so that cells could begin to divide immediately after inoculation. It can be seen </w:t>
      </w:r>
      <w:r w:rsidRPr="0058437F">
        <w:t xml:space="preserve">in </w:t>
      </w:r>
      <w:r w:rsidR="00896BC4">
        <w:fldChar w:fldCharType="begin"/>
      </w:r>
      <w:r w:rsidR="00896BC4">
        <w:instrText xml:space="preserve"> REF _Ref75339348 \h </w:instrText>
      </w:r>
      <w:r w:rsidR="00896BC4">
        <w:fldChar w:fldCharType="separate"/>
      </w:r>
      <w:r w:rsidR="00896BC4">
        <w:t xml:space="preserve">Figure </w:t>
      </w:r>
      <w:r w:rsidR="00896BC4">
        <w:rPr>
          <w:noProof/>
        </w:rPr>
        <w:t>4</w:t>
      </w:r>
      <w:r w:rsidR="00896BC4">
        <w:fldChar w:fldCharType="end"/>
      </w:r>
      <w:r w:rsidRPr="0058437F">
        <w:t xml:space="preserve"> that</w:t>
      </w:r>
      <w:r>
        <w:t xml:space="preserve"> the lag phase was successfully minimised.</w:t>
      </w:r>
    </w:p>
    <w:p w14:paraId="3AF4650C" w14:textId="0CCA2844" w:rsidR="003C58B2" w:rsidRDefault="00BE2046" w:rsidP="003C58B2">
      <w:pPr>
        <w:spacing w:line="480" w:lineRule="auto"/>
      </w:pPr>
      <w:r>
        <w:t>T</w:t>
      </w:r>
      <w:r w:rsidR="003C58B2">
        <w:t>he acceleration phase and the exponential phase</w:t>
      </w:r>
      <w:r>
        <w:t xml:space="preserve"> </w:t>
      </w:r>
      <w:r w:rsidR="001812D2">
        <w:t>not only has the same typical bacterial growth trend</w:t>
      </w:r>
      <w:r w:rsidR="00103CE4">
        <w:t xml:space="preserve">s but also </w:t>
      </w:r>
      <w:r w:rsidR="00A43DE2">
        <w:t xml:space="preserve">have identical timespans, only varying in the growth </w:t>
      </w:r>
      <w:r w:rsidR="005F3DB2">
        <w:t>rates</w:t>
      </w:r>
      <w:r w:rsidR="003C58B2">
        <w:t>. This implies that the</w:t>
      </w:r>
      <w:r w:rsidR="004C6B38">
        <w:t xml:space="preserve"> trend</w:t>
      </w:r>
      <w:r w:rsidR="003C58B2">
        <w:t xml:space="preserve"> </w:t>
      </w:r>
      <w:r w:rsidR="00F05EB5">
        <w:t xml:space="preserve">and </w:t>
      </w:r>
      <w:r w:rsidR="003C58B2">
        <w:t>period of these phases is not affected by the incident light intensity.</w:t>
      </w:r>
      <w:r w:rsidR="004D53FA">
        <w:t xml:space="preserve"> </w:t>
      </w:r>
      <w:r w:rsidR="003C58B2">
        <w:t>Almost identical growth curves were achieved for the 200 W/m</w:t>
      </w:r>
      <w:r w:rsidR="003C58B2">
        <w:rPr>
          <w:vertAlign w:val="superscript"/>
        </w:rPr>
        <w:t>2</w:t>
      </w:r>
      <w:r w:rsidR="003C58B2">
        <w:t xml:space="preserve"> and 400 W/m</w:t>
      </w:r>
      <w:r w:rsidR="003C58B2">
        <w:rPr>
          <w:vertAlign w:val="superscript"/>
        </w:rPr>
        <w:t>2</w:t>
      </w:r>
      <w:r w:rsidR="003C58B2">
        <w:t xml:space="preserve"> experimental runs, which indicates that the growth rate likely saturates.</w:t>
      </w:r>
    </w:p>
    <w:p w14:paraId="61AC1AF5" w14:textId="1A105F71" w:rsidR="004D53FA" w:rsidRPr="001D4104" w:rsidRDefault="004D53FA" w:rsidP="004D53FA">
      <w:pPr>
        <w:spacing w:line="480" w:lineRule="auto"/>
      </w:pPr>
      <w:r>
        <w:t xml:space="preserve">The ability of </w:t>
      </w:r>
      <w:r w:rsidRPr="00502678">
        <w:rPr>
          <w:i/>
          <w:iCs/>
        </w:rPr>
        <w:t>R. palustris</w:t>
      </w:r>
      <w:r>
        <w:t xml:space="preserve"> to have relatively similar growth curves and maximum CDW with only a </w:t>
      </w:r>
      <w:r>
        <w:rPr>
          <w:rFonts w:cs="Calibri"/>
        </w:rPr>
        <w:t>±</w:t>
      </w:r>
      <w:r>
        <w:t xml:space="preserve">15% difference between a large range of light intensities is extremely positive. This would mean that if </w:t>
      </w:r>
      <w:r w:rsidRPr="00CC3E96">
        <w:rPr>
          <w:i/>
          <w:iCs/>
        </w:rPr>
        <w:t>R.</w:t>
      </w:r>
      <w:r w:rsidR="003907C2">
        <w:rPr>
          <w:i/>
          <w:iCs/>
        </w:rPr>
        <w:t> </w:t>
      </w:r>
      <w:r w:rsidRPr="00CC3E96">
        <w:rPr>
          <w:i/>
          <w:iCs/>
        </w:rPr>
        <w:t>palustris</w:t>
      </w:r>
      <w:r>
        <w:t xml:space="preserve"> was cultured in outdoor PBR</w:t>
      </w:r>
      <w:r w:rsidR="003907C2">
        <w:t>s,</w:t>
      </w:r>
      <w:r>
        <w:t xml:space="preserve"> the large variation in the intensity of direct sunlight may not have a significant effect on the growth of the bacterium</w:t>
      </w:r>
      <w:r w:rsidR="002A4189">
        <w:t>, since much of the day the light intensity is above the threshold maximum seen here</w:t>
      </w:r>
      <w:r>
        <w:t>. This is of course if it is below a possible light intensity that limits growth altogether</w:t>
      </w:r>
      <w:r w:rsidR="00307307">
        <w:t xml:space="preserve"> – in various parts of the world, the light intensity at midday would be above 600 W/m</w:t>
      </w:r>
      <w:r w:rsidR="00307307">
        <w:rPr>
          <w:vertAlign w:val="superscript"/>
        </w:rPr>
        <w:t>2</w:t>
      </w:r>
      <w:r>
        <w:t xml:space="preserve">. </w:t>
      </w:r>
      <w:r>
        <w:lastRenderedPageBreak/>
        <w:t>The reason that this is so attractive is the fact that solar light energy is the most abundant natural light source available on earth and is considered advantageous due to this abundance as well as the fact that it is a free light source and that it contains the full spectrum of light required for bacterial growth.</w:t>
      </w:r>
    </w:p>
    <w:p w14:paraId="7A8BED46" w14:textId="77777777" w:rsidR="00285CB0" w:rsidRDefault="00285CB0" w:rsidP="002E5ED4">
      <w:pPr>
        <w:pStyle w:val="Caption"/>
        <w:keepNext/>
        <w:spacing w:line="480" w:lineRule="auto"/>
      </w:pPr>
      <w:r>
        <w:rPr>
          <w:noProof/>
          <w:lang w:val="en-US"/>
        </w:rPr>
        <w:drawing>
          <wp:inline distT="0" distB="0" distL="0" distR="0" wp14:anchorId="31687CE9" wp14:editId="108CCC5E">
            <wp:extent cx="5906135" cy="3940272"/>
            <wp:effectExtent l="0" t="0" r="18415" b="3175"/>
            <wp:docPr id="60" name="Chart 60">
              <a:extLst xmlns:a="http://schemas.openxmlformats.org/drawingml/2006/main">
                <a:ext uri="{FF2B5EF4-FFF2-40B4-BE49-F238E27FC236}">
                  <a16:creationId xmlns:a16="http://schemas.microsoft.com/office/drawing/2014/main" id="{00000000-0008-0000-07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51A9E6C" w14:textId="24AF3F37" w:rsidR="00285CB0" w:rsidRPr="00CC07DC" w:rsidRDefault="00896BC4" w:rsidP="00896BC4">
      <w:pPr>
        <w:pStyle w:val="Caption"/>
        <w:rPr>
          <w:i/>
          <w:iCs w:val="0"/>
        </w:rPr>
      </w:pPr>
      <w:bookmarkStart w:id="37" w:name="_Ref20697021"/>
      <w:bookmarkStart w:id="38" w:name="_Toc21954005"/>
      <w:bookmarkStart w:id="39" w:name="_Toc22684053"/>
      <w:bookmarkStart w:id="40" w:name="_Toc24637353"/>
      <w:bookmarkStart w:id="41" w:name="_Ref75339348"/>
      <w:r>
        <w:t xml:space="preserve">Figure </w:t>
      </w:r>
      <w:fldSimple w:instr=" SEQ Figure \* ARABIC ">
        <w:r w:rsidR="00B6650F">
          <w:rPr>
            <w:noProof/>
          </w:rPr>
          <w:t>4</w:t>
        </w:r>
      </w:fldSimple>
      <w:bookmarkEnd w:id="41"/>
      <w:r>
        <w:t>:</w:t>
      </w:r>
      <w:bookmarkEnd w:id="37"/>
      <w:r w:rsidR="00285CB0" w:rsidRPr="00CC07DC">
        <w:t xml:space="preserve"> Growth curves (CDW vs time) of R. palustris)</w:t>
      </w:r>
      <w:r w:rsidR="00285CB0" w:rsidRPr="00CC07DC">
        <w:rPr>
          <w:vertAlign w:val="subscript"/>
        </w:rPr>
        <w:t xml:space="preserve"> </w:t>
      </w:r>
      <w:r w:rsidR="00AD4554">
        <w:t>at</w:t>
      </w:r>
      <w:r w:rsidR="00285CB0" w:rsidRPr="00CC07DC">
        <w:t xml:space="preserve"> varying light intensities, i.e. 30, 70, 200, 400 and 600 W/m</w:t>
      </w:r>
      <w:r w:rsidR="00285CB0" w:rsidRPr="00CC07DC">
        <w:rPr>
          <w:vertAlign w:val="superscript"/>
        </w:rPr>
        <w:t>2</w:t>
      </w:r>
      <w:r w:rsidR="00285CB0" w:rsidRPr="00CC07DC">
        <w:t>. Data points represent the mean of quadruple repeats and the error bars show the uncertainty associated with the CDW measurements.</w:t>
      </w:r>
      <w:bookmarkEnd w:id="38"/>
      <w:bookmarkEnd w:id="39"/>
      <w:bookmarkEnd w:id="40"/>
    </w:p>
    <w:p w14:paraId="2000F7F3" w14:textId="77777777" w:rsidR="00285CB0" w:rsidRDefault="00285CB0" w:rsidP="002E5ED4">
      <w:pPr>
        <w:pStyle w:val="Heading3"/>
        <w:spacing w:line="480" w:lineRule="auto"/>
      </w:pPr>
      <w:bookmarkStart w:id="42" w:name="_Ref20743155"/>
      <w:bookmarkStart w:id="43" w:name="_Toc24637305"/>
      <w:r>
        <w:t>Maximum specific growth rates</w:t>
      </w:r>
      <w:bookmarkEnd w:id="42"/>
      <w:bookmarkEnd w:id="43"/>
    </w:p>
    <w:p w14:paraId="573678A1" w14:textId="09362F5D" w:rsidR="00285CB0" w:rsidRDefault="004B6D75" w:rsidP="002E5ED4">
      <w:pPr>
        <w:spacing w:line="480" w:lineRule="auto"/>
      </w:pPr>
      <w:r>
        <w:fldChar w:fldCharType="begin"/>
      </w:r>
      <w:r>
        <w:instrText xml:space="preserve"> REF _Ref20814767 \h </w:instrText>
      </w:r>
      <w:r>
        <w:fldChar w:fldCharType="separate"/>
      </w:r>
      <w:r>
        <w:t xml:space="preserve">Figure </w:t>
      </w:r>
      <w:r>
        <w:rPr>
          <w:noProof/>
        </w:rPr>
        <w:t>5</w:t>
      </w:r>
      <w:r>
        <w:fldChar w:fldCharType="end"/>
      </w:r>
      <w:r w:rsidR="00285CB0" w:rsidRPr="0058437F">
        <w:t xml:space="preserve"> pro</w:t>
      </w:r>
      <w:r w:rsidR="00285CB0">
        <w:t xml:space="preserve">vides the maximum specific growth rates achieved during the culturing of </w:t>
      </w:r>
      <w:r w:rsidR="00285CB0">
        <w:rPr>
          <w:i/>
          <w:iCs/>
        </w:rPr>
        <w:t xml:space="preserve">R. palustris </w:t>
      </w:r>
      <w:r w:rsidR="00285CB0">
        <w:t xml:space="preserve">at the five light intensities investigated. The general trend </w:t>
      </w:r>
      <w:r w:rsidR="00285CB0" w:rsidRPr="0058437F">
        <w:t xml:space="preserve">in </w:t>
      </w:r>
      <w:r w:rsidR="008447B2">
        <w:fldChar w:fldCharType="begin"/>
      </w:r>
      <w:r w:rsidR="008447B2">
        <w:instrText xml:space="preserve"> REF _Ref20814767 \h </w:instrText>
      </w:r>
      <w:r w:rsidR="008447B2">
        <w:fldChar w:fldCharType="separate"/>
      </w:r>
      <w:r w:rsidR="008447B2">
        <w:t xml:space="preserve">Figure </w:t>
      </w:r>
      <w:r w:rsidR="008447B2">
        <w:rPr>
          <w:noProof/>
        </w:rPr>
        <w:t>5</w:t>
      </w:r>
      <w:r w:rsidR="008447B2">
        <w:fldChar w:fldCharType="end"/>
      </w:r>
      <w:r w:rsidR="00285CB0" w:rsidRPr="0058437F">
        <w:t xml:space="preserve"> is that</w:t>
      </w:r>
      <w:r w:rsidR="00285CB0">
        <w:t xml:space="preserve"> the maximum specific growth rate increases from the minimum light intensity investigated (30 W/m</w:t>
      </w:r>
      <w:r w:rsidR="00285CB0">
        <w:rPr>
          <w:vertAlign w:val="superscript"/>
        </w:rPr>
        <w:t>2</w:t>
      </w:r>
      <w:r w:rsidR="00285CB0">
        <w:t>) through 70 W/m</w:t>
      </w:r>
      <w:r w:rsidR="00285CB0">
        <w:rPr>
          <w:vertAlign w:val="superscript"/>
        </w:rPr>
        <w:t>2</w:t>
      </w:r>
      <w:r w:rsidR="00285CB0">
        <w:t xml:space="preserve"> and 200 W/m</w:t>
      </w:r>
      <w:r w:rsidR="00285CB0">
        <w:rPr>
          <w:vertAlign w:val="superscript"/>
        </w:rPr>
        <w:t>2</w:t>
      </w:r>
      <w:r w:rsidR="00285CB0">
        <w:t xml:space="preserve"> before reaching a maximum at 400 W/m</w:t>
      </w:r>
      <w:r w:rsidR="00285CB0">
        <w:rPr>
          <w:vertAlign w:val="superscript"/>
        </w:rPr>
        <w:t>2</w:t>
      </w:r>
      <w:r w:rsidR="00285CB0">
        <w:t>. After this, the maximum specific growth rate decreases when the incident light intensity increases to 600 W/m</w:t>
      </w:r>
      <w:r w:rsidR="00285CB0">
        <w:rPr>
          <w:vertAlign w:val="superscript"/>
        </w:rPr>
        <w:t>2</w:t>
      </w:r>
      <w:r w:rsidR="00285CB0">
        <w:t xml:space="preserve">. </w:t>
      </w:r>
    </w:p>
    <w:p w14:paraId="5FBE8B6F" w14:textId="251D5F74" w:rsidR="00285CB0" w:rsidRDefault="00431520" w:rsidP="002E5ED4">
      <w:pPr>
        <w:spacing w:line="480" w:lineRule="auto"/>
      </w:pPr>
      <w:r>
        <w:t>A</w:t>
      </w:r>
      <w:r w:rsidR="00285CB0" w:rsidRPr="0058437F">
        <w:t xml:space="preserve"> steep</w:t>
      </w:r>
      <w:r w:rsidR="00285CB0">
        <w:t xml:space="preserve"> increase in the </w:t>
      </w:r>
      <w:r>
        <w:t xml:space="preserve">maximum </w:t>
      </w:r>
      <w:r w:rsidR="00285CB0">
        <w:t>specific growth rate (+23.99%), when the incident light intensity more than doubles in intensity from 30 to 70 W/m</w:t>
      </w:r>
      <w:r w:rsidR="00285CB0">
        <w:rPr>
          <w:vertAlign w:val="superscript"/>
        </w:rPr>
        <w:t>2</w:t>
      </w:r>
      <w:r w:rsidR="005B74D1">
        <w:t xml:space="preserve"> is seen in </w:t>
      </w:r>
      <w:r w:rsidR="008447B2">
        <w:fldChar w:fldCharType="begin"/>
      </w:r>
      <w:r w:rsidR="008447B2">
        <w:instrText xml:space="preserve"> REF _Ref20814767 \h </w:instrText>
      </w:r>
      <w:r w:rsidR="008447B2">
        <w:fldChar w:fldCharType="separate"/>
      </w:r>
      <w:r w:rsidR="008447B2">
        <w:t xml:space="preserve">Figure </w:t>
      </w:r>
      <w:r w:rsidR="008447B2">
        <w:rPr>
          <w:noProof/>
        </w:rPr>
        <w:t>5</w:t>
      </w:r>
      <w:r w:rsidR="008447B2">
        <w:fldChar w:fldCharType="end"/>
      </w:r>
      <w:r w:rsidR="00285CB0">
        <w:t xml:space="preserve">. The increase in maximum specific growth </w:t>
      </w:r>
      <w:r w:rsidR="00285CB0">
        <w:lastRenderedPageBreak/>
        <w:t>rate from 0.0242</w:t>
      </w:r>
      <w:r w:rsidR="00285CB0">
        <w:rPr>
          <w:rFonts w:cs="Calibri"/>
        </w:rPr>
        <w:t>±</w:t>
      </w:r>
      <w:r w:rsidR="00285CB0">
        <w:t>0.0077 h</w:t>
      </w:r>
      <w:r w:rsidR="00285CB0">
        <w:rPr>
          <w:vertAlign w:val="superscript"/>
        </w:rPr>
        <w:t>-1</w:t>
      </w:r>
      <w:r w:rsidR="00285CB0">
        <w:t xml:space="preserve"> at 30 W/m</w:t>
      </w:r>
      <w:r w:rsidR="00285CB0">
        <w:rPr>
          <w:vertAlign w:val="superscript"/>
        </w:rPr>
        <w:t>2</w:t>
      </w:r>
      <w:r w:rsidR="00285CB0">
        <w:t xml:space="preserve"> to 0.0318</w:t>
      </w:r>
      <w:r w:rsidR="00285CB0">
        <w:rPr>
          <w:rFonts w:cs="Calibri"/>
        </w:rPr>
        <w:t>±</w:t>
      </w:r>
      <w:r w:rsidR="00285CB0">
        <w:t>0.0034 h</w:t>
      </w:r>
      <w:r w:rsidR="00285CB0">
        <w:rPr>
          <w:vertAlign w:val="superscript"/>
        </w:rPr>
        <w:t>-1</w:t>
      </w:r>
      <w:r w:rsidR="00285CB0">
        <w:t xml:space="preserve"> at 70 W/m</w:t>
      </w:r>
      <w:r w:rsidR="00285CB0">
        <w:rPr>
          <w:vertAlign w:val="superscript"/>
        </w:rPr>
        <w:t>2</w:t>
      </w:r>
      <w:r w:rsidR="00285CB0">
        <w:t xml:space="preserve"> indicates that at these low light intensities </w:t>
      </w:r>
      <w:r w:rsidR="00285CB0">
        <w:rPr>
          <w:i/>
          <w:iCs/>
        </w:rPr>
        <w:t xml:space="preserve">R. palustris </w:t>
      </w:r>
      <w:r w:rsidR="00285CB0">
        <w:t xml:space="preserve">is </w:t>
      </w:r>
      <w:r w:rsidR="00B42C6E">
        <w:t>light</w:t>
      </w:r>
      <w:r w:rsidR="00285CB0">
        <w:t xml:space="preserve">-limited and therefore any increase in </w:t>
      </w:r>
      <w:r w:rsidR="001C2092">
        <w:t xml:space="preserve">incident </w:t>
      </w:r>
      <w:r w:rsidR="00285CB0">
        <w:t>light intensity from 30 W/m</w:t>
      </w:r>
      <w:r w:rsidR="00285CB0">
        <w:rPr>
          <w:vertAlign w:val="superscript"/>
        </w:rPr>
        <w:t>2</w:t>
      </w:r>
      <w:r w:rsidR="00285CB0">
        <w:t xml:space="preserve"> sees an increase in energy available for growth and division of the cell, leading to an increase in the specific growth rate. </w:t>
      </w:r>
    </w:p>
    <w:p w14:paraId="2BF7FE16" w14:textId="77777777" w:rsidR="00285CB0" w:rsidRDefault="00285CB0" w:rsidP="002E5ED4">
      <w:pPr>
        <w:spacing w:line="480" w:lineRule="auto"/>
      </w:pPr>
      <w:r>
        <w:t>An increase in incident light intensity from 70 W/m</w:t>
      </w:r>
      <w:r>
        <w:rPr>
          <w:vertAlign w:val="superscript"/>
        </w:rPr>
        <w:t>2</w:t>
      </w:r>
      <w:r>
        <w:t xml:space="preserve"> to 200 W/m</w:t>
      </w:r>
      <w:r>
        <w:rPr>
          <w:vertAlign w:val="superscript"/>
        </w:rPr>
        <w:t>2</w:t>
      </w:r>
      <w:r>
        <w:t>, which corresponds to a 185% increase in intensity, sees the maximum specific growth rate increase by 21.12% from 0.0318</w:t>
      </w:r>
      <w:r>
        <w:rPr>
          <w:rFonts w:cs="Calibri"/>
        </w:rPr>
        <w:t>±</w:t>
      </w:r>
      <w:r>
        <w:t>0.0034 h</w:t>
      </w:r>
      <w:r>
        <w:rPr>
          <w:vertAlign w:val="superscript"/>
        </w:rPr>
        <w:t>-1</w:t>
      </w:r>
      <w:r>
        <w:t xml:space="preserve"> to 0.0405</w:t>
      </w:r>
      <w:r>
        <w:rPr>
          <w:rFonts w:cs="Calibri"/>
        </w:rPr>
        <w:t>±</w:t>
      </w:r>
      <w:r>
        <w:t>0.0095 h</w:t>
      </w:r>
      <w:r>
        <w:rPr>
          <w:vertAlign w:val="superscript"/>
        </w:rPr>
        <w:t>-1</w:t>
      </w:r>
      <w:r>
        <w:t xml:space="preserve">. This indicates that an increase in the light intensity is beginning to have a reduced effect on the specific growth rate however the effect is still significant. </w:t>
      </w:r>
    </w:p>
    <w:p w14:paraId="63DB66E2" w14:textId="62E6DA03" w:rsidR="00285CB0" w:rsidRPr="004F3788" w:rsidRDefault="00285CB0" w:rsidP="002E5ED4">
      <w:pPr>
        <w:spacing w:line="480" w:lineRule="auto"/>
      </w:pPr>
      <w:r>
        <w:t>The next increase in incident light intensity sees a doubling in the light intensity (100% increase) from 200</w:t>
      </w:r>
      <w:r w:rsidR="00CC2C08">
        <w:t> </w:t>
      </w:r>
      <w:r>
        <w:t>W/m</w:t>
      </w:r>
      <w:r>
        <w:rPr>
          <w:vertAlign w:val="superscript"/>
        </w:rPr>
        <w:t>2</w:t>
      </w:r>
      <w:r>
        <w:t xml:space="preserve"> to 400 W/m</w:t>
      </w:r>
      <w:r>
        <w:rPr>
          <w:vertAlign w:val="superscript"/>
        </w:rPr>
        <w:t>2</w:t>
      </w:r>
      <w:r>
        <w:t>. This change in light intensity causes a very slight increase in the maximum specific growth rate from 0.0405</w:t>
      </w:r>
      <w:r>
        <w:rPr>
          <w:rFonts w:cs="Calibri"/>
        </w:rPr>
        <w:t>±</w:t>
      </w:r>
      <w:r>
        <w:t>0.009 h</w:t>
      </w:r>
      <w:r>
        <w:rPr>
          <w:vertAlign w:val="superscript"/>
        </w:rPr>
        <w:t>-1</w:t>
      </w:r>
      <w:r>
        <w:t xml:space="preserve"> to 0.0420</w:t>
      </w:r>
      <w:r>
        <w:rPr>
          <w:rFonts w:cs="Calibri"/>
        </w:rPr>
        <w:t>±</w:t>
      </w:r>
      <w:r>
        <w:t>0.014 h</w:t>
      </w:r>
      <w:r>
        <w:rPr>
          <w:vertAlign w:val="superscript"/>
        </w:rPr>
        <w:t>-1</w:t>
      </w:r>
      <w:r>
        <w:t xml:space="preserve">, which corresponds to a mere 6.36% increase. The sudden reduction in the effect of increasing light intensity on the maximum specific growth rate </w:t>
      </w:r>
      <w:r w:rsidR="00B42C6E">
        <w:t>suggests</w:t>
      </w:r>
      <w:r>
        <w:t xml:space="preserve"> that </w:t>
      </w:r>
      <w:r>
        <w:rPr>
          <w:i/>
          <w:iCs/>
        </w:rPr>
        <w:t>R. palustris</w:t>
      </w:r>
      <w:r>
        <w:t xml:space="preserve"> becomes photo-saturated in this reactor system at these incident light intensities. Photo-saturation of </w:t>
      </w:r>
      <w:r>
        <w:rPr>
          <w:i/>
          <w:iCs/>
        </w:rPr>
        <w:t xml:space="preserve">R. palustris </w:t>
      </w:r>
      <w:r>
        <w:t xml:space="preserve">means that the bacterium is converting the maximum possible amount of light to energy for growth and enzymatic activity. These maximum specific growth rates are low in comparison to workhorse microorganisms such as </w:t>
      </w:r>
      <w:r w:rsidRPr="00F41225">
        <w:rPr>
          <w:i/>
          <w:iCs/>
        </w:rPr>
        <w:t>E. coli</w:t>
      </w:r>
      <w:r>
        <w:t xml:space="preserve"> which are in the range of 0.4 to 0.9 h</w:t>
      </w:r>
      <w:r>
        <w:rPr>
          <w:vertAlign w:val="superscript"/>
        </w:rPr>
        <w:t>-1</w:t>
      </w:r>
      <w:r>
        <w:t xml:space="preserve"> </w:t>
      </w:r>
      <w:r w:rsidRPr="006A5889">
        <w:rPr>
          <w:noProof/>
        </w:rPr>
        <w:t>(Godwin and Slater, 1979)</w:t>
      </w:r>
      <w:r>
        <w:t xml:space="preserve">. However, they do compare </w:t>
      </w:r>
      <w:r w:rsidR="00B42C6E">
        <w:t>favourably</w:t>
      </w:r>
      <w:r>
        <w:t xml:space="preserve"> to the growth rates achieved by another strain of </w:t>
      </w:r>
      <w:r w:rsidRPr="005A3E12">
        <w:rPr>
          <w:i/>
          <w:iCs/>
        </w:rPr>
        <w:t>R. palustris</w:t>
      </w:r>
      <w:r>
        <w:t xml:space="preserve"> (420 L) of approximately 0.026 h</w:t>
      </w:r>
      <w:r>
        <w:rPr>
          <w:vertAlign w:val="superscript"/>
        </w:rPr>
        <w:t>-1</w:t>
      </w:r>
      <w:r>
        <w:t xml:space="preserve"> </w:t>
      </w:r>
      <w:r w:rsidRPr="004F3788">
        <w:rPr>
          <w:noProof/>
        </w:rPr>
        <w:t>(Carlozzi, 2009)</w:t>
      </w:r>
      <w:r>
        <w:t>.</w:t>
      </w:r>
    </w:p>
    <w:p w14:paraId="7306E495" w14:textId="580519BF" w:rsidR="00285CB0" w:rsidRDefault="00285CB0" w:rsidP="002E5ED4">
      <w:pPr>
        <w:spacing w:line="480" w:lineRule="auto"/>
      </w:pPr>
      <w:r>
        <w:t>The final increase in incident light intensity is from 400 W/m</w:t>
      </w:r>
      <w:r>
        <w:rPr>
          <w:vertAlign w:val="superscript"/>
        </w:rPr>
        <w:t>2</w:t>
      </w:r>
      <w:r>
        <w:t xml:space="preserve"> to the maximum light intensity investigated, namely 600 W/m</w:t>
      </w:r>
      <w:r>
        <w:rPr>
          <w:vertAlign w:val="superscript"/>
        </w:rPr>
        <w:t>2</w:t>
      </w:r>
      <w:r>
        <w:t>. This is only a 50% increase in light intensity and was the maximum possible with this experimental setup. This change in light intensity causes a sudden decrease in the maximum specific growth rate from 0.0420</w:t>
      </w:r>
      <w:r>
        <w:rPr>
          <w:rFonts w:cs="Calibri"/>
        </w:rPr>
        <w:t>±</w:t>
      </w:r>
      <w:r>
        <w:t>0.014 h</w:t>
      </w:r>
      <w:r>
        <w:rPr>
          <w:vertAlign w:val="superscript"/>
        </w:rPr>
        <w:t>-1</w:t>
      </w:r>
      <w:r>
        <w:t xml:space="preserve"> to 0.0226</w:t>
      </w:r>
      <w:r>
        <w:rPr>
          <w:rFonts w:cs="Calibri"/>
        </w:rPr>
        <w:t>±</w:t>
      </w:r>
      <w:r w:rsidR="00B42C6E">
        <w:t xml:space="preserve"> 0.</w:t>
      </w:r>
      <w:r>
        <w:t>0051 h</w:t>
      </w:r>
      <w:r>
        <w:rPr>
          <w:vertAlign w:val="superscript"/>
        </w:rPr>
        <w:t>-1</w:t>
      </w:r>
      <w:r>
        <w:t xml:space="preserve"> </w:t>
      </w:r>
      <w:r w:rsidR="00B42C6E">
        <w:t>-</w:t>
      </w:r>
      <w:r>
        <w:t xml:space="preserve"> a 37.88% decrease. The significant reduction in the maximum specific growth rate </w:t>
      </w:r>
      <w:r w:rsidR="00B42C6E">
        <w:t>suggests</w:t>
      </w:r>
      <w:r>
        <w:t xml:space="preserve"> that </w:t>
      </w:r>
      <w:r>
        <w:rPr>
          <w:i/>
          <w:iCs/>
        </w:rPr>
        <w:t>R. palustris</w:t>
      </w:r>
      <w:r>
        <w:t xml:space="preserve"> becomes photoinhibited in this reactor system at this incident light intensity. Photoinhibition is likely brought upon by visible</w:t>
      </w:r>
      <w:r w:rsidRPr="00BD2CBF">
        <w:t xml:space="preserve"> light, which can cause the inhibition of the electron transport and/or possible damage to protein subunits</w:t>
      </w:r>
      <w:r>
        <w:t xml:space="preserve"> </w:t>
      </w:r>
      <w:r w:rsidRPr="007931A3">
        <w:rPr>
          <w:noProof/>
        </w:rPr>
        <w:t>(Tandori et al., 2001)</w:t>
      </w:r>
      <w:r>
        <w:t>.</w:t>
      </w:r>
    </w:p>
    <w:p w14:paraId="6A7C2B53" w14:textId="1E040D22" w:rsidR="00285CB0" w:rsidRDefault="00285CB0" w:rsidP="002E5ED4">
      <w:pPr>
        <w:spacing w:line="480" w:lineRule="auto"/>
      </w:pPr>
      <w:r>
        <w:lastRenderedPageBreak/>
        <w:t xml:space="preserve">The response of the growth metabolism of </w:t>
      </w:r>
      <w:r>
        <w:rPr>
          <w:i/>
          <w:iCs/>
        </w:rPr>
        <w:t xml:space="preserve">R. </w:t>
      </w:r>
      <w:r w:rsidR="00B42C6E">
        <w:rPr>
          <w:i/>
          <w:iCs/>
        </w:rPr>
        <w:t>palustris</w:t>
      </w:r>
      <w:r>
        <w:t xml:space="preserve"> to changing incident light intensity is similar to the response of the hydrogen production metabolism</w:t>
      </w:r>
      <w:r w:rsidR="00867796">
        <w:t xml:space="preserve"> reported by </w:t>
      </w:r>
      <w:r>
        <w:t xml:space="preserve">Xiao </w:t>
      </w:r>
      <w:r w:rsidR="00C25D99" w:rsidRPr="00C25D99">
        <w:rPr>
          <w:noProof/>
        </w:rPr>
        <w:t>(Xiao, 2017)</w:t>
      </w:r>
      <w:r w:rsidR="00867796">
        <w:t>.</w:t>
      </w:r>
      <w:r>
        <w:t xml:space="preserve"> </w:t>
      </w:r>
      <w:r w:rsidR="00F50B4F">
        <w:t xml:space="preserve">It was </w:t>
      </w:r>
      <w:r>
        <w:t>reported that the hydrogen production rate increased as light intensity increased from 26 W/m</w:t>
      </w:r>
      <w:r>
        <w:rPr>
          <w:vertAlign w:val="superscript"/>
        </w:rPr>
        <w:t>2</w:t>
      </w:r>
      <w:r>
        <w:t xml:space="preserve"> to 65 W/m</w:t>
      </w:r>
      <w:r>
        <w:rPr>
          <w:vertAlign w:val="superscript"/>
        </w:rPr>
        <w:t>2</w:t>
      </w:r>
      <w:r>
        <w:t>, after which the hydrogen production rate saturated with increasing light intensity up to 285 W/m</w:t>
      </w:r>
      <w:r>
        <w:rPr>
          <w:vertAlign w:val="superscript"/>
        </w:rPr>
        <w:t>2</w:t>
      </w:r>
      <w:r>
        <w:t>. Thus, the results with regards to the effect of changing incident light intensity on the maximum specific growth rate align well with the reported response of hydrogen production rate. Saturation of the hydrogen metabolism was reported to be from 65 W/m</w:t>
      </w:r>
      <w:r>
        <w:rPr>
          <w:vertAlign w:val="superscript"/>
        </w:rPr>
        <w:t>2</w:t>
      </w:r>
      <w:r>
        <w:t>, which is lower than the light intensity at which photo-saturation of the growth metabolism (200 W/m</w:t>
      </w:r>
      <w:r>
        <w:rPr>
          <w:vertAlign w:val="superscript"/>
        </w:rPr>
        <w:t>2</w:t>
      </w:r>
      <w:r>
        <w:t xml:space="preserve">) occurred in this study. This is possibly due to the difference in bioreactor geometry between the two studies. In the previous study a bioreactor with significantly larger diameter (70 mm) was used compared to this study (15 mm), thus mutual shading would likely cause saturation to occur at lower light intensities, as the average light intensity in the larger diameter reactor would be considerably lower. Photoinhibition has been reported by Carlozzi </w:t>
      </w:r>
      <w:r w:rsidR="00C25D99" w:rsidRPr="00C25D99">
        <w:rPr>
          <w:noProof/>
        </w:rPr>
        <w:t>(Carlozzi, 2009)</w:t>
      </w:r>
      <w:r>
        <w:t xml:space="preserve"> to be at 500 W/m</w:t>
      </w:r>
      <w:r>
        <w:rPr>
          <w:vertAlign w:val="superscript"/>
        </w:rPr>
        <w:t>2</w:t>
      </w:r>
      <w:r>
        <w:t xml:space="preserve"> with regards to the hydrogen production rate</w:t>
      </w:r>
      <w:r w:rsidR="00A63155">
        <w:t xml:space="preserve"> – of course hydrogen production and growth are two very different biological </w:t>
      </w:r>
      <w:r w:rsidR="009F3927">
        <w:t>activities, which may be differently affected</w:t>
      </w:r>
      <w:r>
        <w:t>. This once again aligns well with the findings in this investigation that saw the maximum specific growth rate as well as the maximum CDW drastically decrease two between 400 W/m</w:t>
      </w:r>
      <w:r>
        <w:rPr>
          <w:vertAlign w:val="superscript"/>
        </w:rPr>
        <w:t>2</w:t>
      </w:r>
      <w:r>
        <w:t xml:space="preserve"> and 600 W/m</w:t>
      </w:r>
      <w:r>
        <w:rPr>
          <w:vertAlign w:val="superscript"/>
        </w:rPr>
        <w:t>2</w:t>
      </w:r>
      <w:r>
        <w:t>.</w:t>
      </w:r>
    </w:p>
    <w:p w14:paraId="1685641D" w14:textId="77777777" w:rsidR="00285CB0" w:rsidRPr="00F702CF" w:rsidRDefault="00285CB0" w:rsidP="002E5ED4">
      <w:pPr>
        <w:spacing w:line="480" w:lineRule="auto"/>
      </w:pPr>
      <w:r>
        <w:rPr>
          <w:noProof/>
          <w:lang w:val="en-US"/>
        </w:rPr>
        <w:drawing>
          <wp:inline distT="0" distB="0" distL="0" distR="0" wp14:anchorId="28E78004" wp14:editId="0C0F2D98">
            <wp:extent cx="5922000" cy="3132000"/>
            <wp:effectExtent l="0" t="0" r="3175" b="11430"/>
            <wp:docPr id="9" name="Chart 9">
              <a:extLst xmlns:a="http://schemas.openxmlformats.org/drawingml/2006/main">
                <a:ext uri="{FF2B5EF4-FFF2-40B4-BE49-F238E27FC236}">
                  <a16:creationId xmlns:a16="http://schemas.microsoft.com/office/drawing/2014/main" id="{5680DE89-86AD-4C70-933F-CC86AC618A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65E5F44" w14:textId="3F23B452" w:rsidR="00285CB0" w:rsidRPr="00123CBA" w:rsidRDefault="004B6D75" w:rsidP="004B6D75">
      <w:pPr>
        <w:pStyle w:val="Caption"/>
        <w:rPr>
          <w:i/>
          <w:iCs w:val="0"/>
        </w:rPr>
      </w:pPr>
      <w:bookmarkStart w:id="44" w:name="_Ref20814767"/>
      <w:bookmarkStart w:id="45" w:name="_Toc21954008"/>
      <w:bookmarkStart w:id="46" w:name="_Toc22684056"/>
      <w:bookmarkStart w:id="47" w:name="_Toc24637356"/>
      <w:r>
        <w:lastRenderedPageBreak/>
        <w:t xml:space="preserve">Figure </w:t>
      </w:r>
      <w:fldSimple w:instr=" SEQ Figure \* ARABIC ">
        <w:r w:rsidR="00B6650F">
          <w:rPr>
            <w:noProof/>
          </w:rPr>
          <w:t>5</w:t>
        </w:r>
      </w:fldSimple>
      <w:bookmarkEnd w:id="44"/>
      <w:r w:rsidR="00285CB0" w:rsidRPr="00123CBA">
        <w:t xml:space="preserve">: </w:t>
      </w:r>
      <w:r w:rsidR="0049088E">
        <w:t>Change in m</w:t>
      </w:r>
      <w:r w:rsidR="00285CB0" w:rsidRPr="00123CBA">
        <w:t xml:space="preserve">aximum specific growth rate of R. palustris </w:t>
      </w:r>
      <w:r w:rsidR="0049088E">
        <w:t xml:space="preserve">with </w:t>
      </w:r>
      <w:r w:rsidR="00285CB0" w:rsidRPr="00123CBA">
        <w:t>varying light intensit</w:t>
      </w:r>
      <w:r w:rsidR="0049088E">
        <w:t>y</w:t>
      </w:r>
      <w:r w:rsidR="00285CB0" w:rsidRPr="00123CBA">
        <w:t>, i.e. 30, 70, 200, 400 and 600 W/m</w:t>
      </w:r>
      <w:r w:rsidR="00285CB0" w:rsidRPr="00123CBA">
        <w:rPr>
          <w:vertAlign w:val="superscript"/>
        </w:rPr>
        <w:t>2</w:t>
      </w:r>
      <w:r w:rsidR="00285CB0" w:rsidRPr="00123CBA">
        <w:t>. Data points represent the mean of quadruple repeats and the error bars show the propagated uncertainty originally associated with the CDW measurements.</w:t>
      </w:r>
      <w:bookmarkEnd w:id="45"/>
      <w:bookmarkEnd w:id="46"/>
      <w:bookmarkEnd w:id="47"/>
    </w:p>
    <w:p w14:paraId="35A727E5" w14:textId="6AF0F9F1" w:rsidR="00A6242B" w:rsidRPr="001C0FBB" w:rsidRDefault="00285CB0" w:rsidP="002E5ED4">
      <w:pPr>
        <w:spacing w:line="480" w:lineRule="auto"/>
      </w:pPr>
      <w:r w:rsidRPr="001C0FBB">
        <w:t xml:space="preserve">A single-factor ANOVA (with α = 0.05) was used to determine if there was a statistically significant difference between the maximum specific growth rates at each light intensity. </w:t>
      </w:r>
      <w:r w:rsidRPr="0058437F">
        <w:t>The p-v</w:t>
      </w:r>
      <w:r w:rsidRPr="001C0FBB">
        <w:t>alue of 0.001</w:t>
      </w:r>
      <w:r>
        <w:t>09</w:t>
      </w:r>
      <w:r w:rsidRPr="001C0FBB">
        <w:t xml:space="preserve"> is less than the stated significance of 0.05 which indicates strong evidence against the null hypothesis that the maximum specific growth rates are equal over the light intensity range investigated. The F-value (8.</w:t>
      </w:r>
      <w:r>
        <w:t>461</w:t>
      </w:r>
      <w:r w:rsidRPr="001C0FBB">
        <w:t xml:space="preserve">) is also larger than the F-crit (3.112). Thus, the null hypothesis can be rejected and the alternative hypothesis that states that not all growth rates are the same can be accepted. </w:t>
      </w:r>
    </w:p>
    <w:p w14:paraId="49566B24" w14:textId="5600F3D2" w:rsidR="00285CB0" w:rsidRDefault="00285CB0" w:rsidP="002E5ED4">
      <w:pPr>
        <w:spacing w:before="240" w:line="480" w:lineRule="auto"/>
      </w:pPr>
      <w:r w:rsidRPr="001C0FBB">
        <w:t xml:space="preserve">The results of the maximum specific growth rates provided </w:t>
      </w:r>
      <w:r w:rsidRPr="0058437F">
        <w:t xml:space="preserve">in </w:t>
      </w:r>
      <w:r w:rsidR="008447B2">
        <w:fldChar w:fldCharType="begin"/>
      </w:r>
      <w:r w:rsidR="008447B2">
        <w:instrText xml:space="preserve"> REF _Ref20814767 \h </w:instrText>
      </w:r>
      <w:r w:rsidR="008447B2">
        <w:fldChar w:fldCharType="separate"/>
      </w:r>
      <w:r w:rsidR="008447B2">
        <w:t xml:space="preserve">Figure </w:t>
      </w:r>
      <w:r w:rsidR="008447B2">
        <w:rPr>
          <w:noProof/>
        </w:rPr>
        <w:t>5</w:t>
      </w:r>
      <w:r w:rsidR="008447B2">
        <w:fldChar w:fldCharType="end"/>
      </w:r>
      <w:r w:rsidRPr="00AE13F9">
        <w:t xml:space="preserve">, suggested that saturation occurred </w:t>
      </w:r>
      <w:r>
        <w:t>at</w:t>
      </w:r>
      <w:r w:rsidRPr="00AE13F9">
        <w:t xml:space="preserve"> a light intensity of</w:t>
      </w:r>
      <w:r>
        <w:t xml:space="preserve"> between</w:t>
      </w:r>
      <w:r w:rsidRPr="00AE13F9">
        <w:t xml:space="preserve"> 200 and 400 W/m</w:t>
      </w:r>
      <w:r w:rsidRPr="002813E3">
        <w:rPr>
          <w:vertAlign w:val="superscript"/>
        </w:rPr>
        <w:t>2</w:t>
      </w:r>
      <w:r w:rsidRPr="00AE13F9">
        <w:t xml:space="preserve">, based on the marginal difference in their maximum specific growth rates. To determine if these values were significantly different or in fact statistically equal an </w:t>
      </w:r>
      <w:r w:rsidRPr="00BD33EB">
        <w:rPr>
          <w:i/>
        </w:rPr>
        <w:t>ad hoc</w:t>
      </w:r>
      <w:r w:rsidRPr="00AE13F9">
        <w:t xml:space="preserve"> analysis was employed. The</w:t>
      </w:r>
      <w:r w:rsidRPr="001C0FBB">
        <w:t xml:space="preserve"> T-test as an </w:t>
      </w:r>
      <w:r w:rsidRPr="00BD33EB">
        <w:rPr>
          <w:i/>
        </w:rPr>
        <w:t>ad hoc</w:t>
      </w:r>
      <w:r w:rsidRPr="001C0FBB">
        <w:t xml:space="preserve"> analysis indicated that there was no significant difference (with α = 0.05) in the maximum specific growth rates at light intensities of 200 and 400 W/m</w:t>
      </w:r>
      <w:r w:rsidRPr="001C0FBB">
        <w:rPr>
          <w:vertAlign w:val="superscript"/>
        </w:rPr>
        <w:t>2</w:t>
      </w:r>
      <w:r w:rsidRPr="001C0FBB">
        <w:t xml:space="preserve">, as the P(T&lt;=) two-tail value (0.621) </w:t>
      </w:r>
      <w:r w:rsidRPr="0058437F">
        <w:t>is larger</w:t>
      </w:r>
      <w:r w:rsidRPr="001C0FBB">
        <w:t xml:space="preserve"> than the selected significance. Therefore, it can be stated that there is a 95% chance that these maximum specific growth rates are equal.</w:t>
      </w:r>
    </w:p>
    <w:p w14:paraId="16DF4448" w14:textId="77777777" w:rsidR="00285CB0" w:rsidRDefault="00285CB0" w:rsidP="002E5ED4">
      <w:pPr>
        <w:pStyle w:val="Heading3"/>
        <w:spacing w:line="480" w:lineRule="auto"/>
      </w:pPr>
      <w:bookmarkStart w:id="48" w:name="_Ref21890334"/>
      <w:bookmarkStart w:id="49" w:name="_Toc24637306"/>
      <w:r>
        <w:t>Substrate utilisation</w:t>
      </w:r>
      <w:bookmarkEnd w:id="48"/>
      <w:bookmarkEnd w:id="49"/>
    </w:p>
    <w:p w14:paraId="0E4B4830" w14:textId="43533C84" w:rsidR="00285CB0" w:rsidRPr="00EE04D0" w:rsidRDefault="00285CB0" w:rsidP="002E5ED4">
      <w:pPr>
        <w:spacing w:line="480" w:lineRule="auto"/>
      </w:pPr>
      <w:r w:rsidRPr="00EE04D0">
        <w:rPr>
          <w:i/>
          <w:iCs/>
        </w:rPr>
        <w:t>R. palustris</w:t>
      </w:r>
      <w:r w:rsidRPr="00EE04D0">
        <w:t xml:space="preserve"> glycerol utilisation in the modified Van Niels medium at varying light intensities using the tubular PBR system </w:t>
      </w:r>
      <w:r w:rsidR="00F8403A">
        <w:t>is provided in</w:t>
      </w:r>
      <w:r w:rsidRPr="0058437F">
        <w:t xml:space="preserve"> </w:t>
      </w:r>
      <w:r w:rsidR="008447B2">
        <w:fldChar w:fldCharType="begin"/>
      </w:r>
      <w:r w:rsidR="008447B2">
        <w:instrText xml:space="preserve"> REF _Ref75340928 \h </w:instrText>
      </w:r>
      <w:r w:rsidR="008447B2">
        <w:fldChar w:fldCharType="separate"/>
      </w:r>
      <w:r w:rsidR="008447B2">
        <w:t xml:space="preserve">Figure </w:t>
      </w:r>
      <w:r w:rsidR="008447B2">
        <w:rPr>
          <w:noProof/>
        </w:rPr>
        <w:t>6</w:t>
      </w:r>
      <w:r w:rsidR="008447B2">
        <w:fldChar w:fldCharType="end"/>
      </w:r>
      <w:r w:rsidRPr="00EE04D0">
        <w:t>. The starting glycerol concentration was set at 40mM as stated in</w:t>
      </w:r>
      <w:r w:rsidR="00D072AE">
        <w:t xml:space="preserve"> </w:t>
      </w:r>
      <w:r w:rsidR="00D072AE" w:rsidRPr="00D072AE">
        <w:rPr>
          <w:szCs w:val="22"/>
        </w:rPr>
        <w:t xml:space="preserve">Table </w:t>
      </w:r>
      <w:r w:rsidR="00D072AE" w:rsidRPr="00D072AE">
        <w:rPr>
          <w:noProof/>
          <w:szCs w:val="22"/>
        </w:rPr>
        <w:t>1</w:t>
      </w:r>
      <w:r w:rsidRPr="0058437F">
        <w:t>. It</w:t>
      </w:r>
      <w:r w:rsidRPr="00EE04D0">
        <w:t xml:space="preserve"> can be see</w:t>
      </w:r>
      <w:r w:rsidRPr="0058437F">
        <w:t xml:space="preserve">n in </w:t>
      </w:r>
      <w:r w:rsidR="008447B2">
        <w:fldChar w:fldCharType="begin"/>
      </w:r>
      <w:r w:rsidR="008447B2">
        <w:instrText xml:space="preserve"> REF _Ref75340928 \h </w:instrText>
      </w:r>
      <w:r w:rsidR="008447B2">
        <w:fldChar w:fldCharType="separate"/>
      </w:r>
      <w:r w:rsidR="008447B2">
        <w:t xml:space="preserve">Figure </w:t>
      </w:r>
      <w:r w:rsidR="008447B2">
        <w:rPr>
          <w:noProof/>
        </w:rPr>
        <w:t>6</w:t>
      </w:r>
      <w:r w:rsidR="008447B2">
        <w:fldChar w:fldCharType="end"/>
      </w:r>
      <w:r w:rsidR="008447B2">
        <w:t xml:space="preserve"> </w:t>
      </w:r>
      <w:r w:rsidRPr="0058437F">
        <w:t>that</w:t>
      </w:r>
      <w:r w:rsidRPr="00EE04D0">
        <w:t xml:space="preserve"> concentrations at </w:t>
      </w:r>
      <w:r>
        <w:t xml:space="preserve">the </w:t>
      </w:r>
      <w:r w:rsidRPr="00EE04D0">
        <w:t>start of the experimental run (t=0) are consistent and located around a glycerol concentration of 40</w:t>
      </w:r>
      <w:r>
        <w:t> </w:t>
      </w:r>
      <w:r w:rsidRPr="00EE04D0">
        <w:t>mM. Slight variation and error are due to slight difference in inoculum volume as well as error associated with HPLC analysis. The form of each light intensit</w:t>
      </w:r>
      <w:r>
        <w:t>y</w:t>
      </w:r>
      <w:r w:rsidRPr="00EE04D0">
        <w:t xml:space="preserve"> change in glycerol concentration over time are congruent with one another.</w:t>
      </w:r>
    </w:p>
    <w:p w14:paraId="6D2BA028" w14:textId="2A392A12" w:rsidR="00285CB0" w:rsidRDefault="00285CB0" w:rsidP="002E5ED4">
      <w:pPr>
        <w:spacing w:line="480" w:lineRule="auto"/>
      </w:pPr>
      <w:r>
        <w:t xml:space="preserve">The change in the rate of substrate utilisation with changing light intensity corresponds with the effect of changing light intensity on both the maximum CDW achieved and the maximum specific growth rate. </w:t>
      </w:r>
      <w:r>
        <w:lastRenderedPageBreak/>
        <w:t>There is an unexpected variation in the change in glycerol concentration over time between the 200</w:t>
      </w:r>
      <w:r w:rsidR="00971E42">
        <w:t> </w:t>
      </w:r>
      <w:r>
        <w:t>W/m</w:t>
      </w:r>
      <w:r>
        <w:rPr>
          <w:vertAlign w:val="superscript"/>
        </w:rPr>
        <w:t>2</w:t>
      </w:r>
      <w:r>
        <w:t xml:space="preserve"> and 400 W/m</w:t>
      </w:r>
      <w:r>
        <w:rPr>
          <w:vertAlign w:val="superscript"/>
        </w:rPr>
        <w:t>2</w:t>
      </w:r>
      <w:r>
        <w:t xml:space="preserve"> experimental run as these two light intensities were almost identical in terms of their growth curve. The variation is minor and with error bar cross-over it is likely just due to variation in analysis of the glycerol concentration.</w:t>
      </w:r>
    </w:p>
    <w:p w14:paraId="3DAC10F2" w14:textId="77777777" w:rsidR="00285CB0" w:rsidRPr="00FA19F1" w:rsidRDefault="00285CB0" w:rsidP="002E5ED4">
      <w:pPr>
        <w:spacing w:line="480" w:lineRule="auto"/>
      </w:pPr>
      <w:r>
        <w:rPr>
          <w:noProof/>
          <w:lang w:val="en-US"/>
        </w:rPr>
        <w:drawing>
          <wp:inline distT="0" distB="0" distL="0" distR="0" wp14:anchorId="753BE88F" wp14:editId="1655B8A1">
            <wp:extent cx="5875200" cy="3866400"/>
            <wp:effectExtent l="0" t="0" r="11430" b="1270"/>
            <wp:docPr id="10" name="Chart 10">
              <a:extLst xmlns:a="http://schemas.openxmlformats.org/drawingml/2006/main">
                <a:ext uri="{FF2B5EF4-FFF2-40B4-BE49-F238E27FC236}">
                  <a16:creationId xmlns:a16="http://schemas.microsoft.com/office/drawing/2014/main" id="{141C69CC-5951-413E-A8F2-9AF02E606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D12FBD8" w14:textId="087575D7" w:rsidR="00285CB0" w:rsidRPr="0057460D" w:rsidRDefault="008447B2" w:rsidP="008447B2">
      <w:pPr>
        <w:pStyle w:val="Caption"/>
        <w:rPr>
          <w:i/>
          <w:iCs w:val="0"/>
        </w:rPr>
      </w:pPr>
      <w:bookmarkStart w:id="50" w:name="_Ref20943117"/>
      <w:bookmarkStart w:id="51" w:name="_Toc21954011"/>
      <w:bookmarkStart w:id="52" w:name="_Toc22684059"/>
      <w:bookmarkStart w:id="53" w:name="_Toc24637359"/>
      <w:bookmarkStart w:id="54" w:name="_Ref75340928"/>
      <w:r>
        <w:t xml:space="preserve">Figure </w:t>
      </w:r>
      <w:fldSimple w:instr=" SEQ Figure \* ARABIC ">
        <w:r w:rsidR="00B6650F">
          <w:rPr>
            <w:noProof/>
          </w:rPr>
          <w:t>6</w:t>
        </w:r>
      </w:fldSimple>
      <w:bookmarkEnd w:id="54"/>
      <w:r>
        <w:t>:</w:t>
      </w:r>
      <w:bookmarkEnd w:id="50"/>
      <w:r w:rsidR="00285CB0" w:rsidRPr="0057460D">
        <w:t xml:space="preserve"> Glycerol utilization of </w:t>
      </w:r>
      <w:r w:rsidR="00285CB0" w:rsidRPr="00BD6EC5">
        <w:t>R. palustris</w:t>
      </w:r>
      <w:r w:rsidR="00285CB0" w:rsidRPr="0057460D">
        <w:t xml:space="preserve"> for varying light intensities, i.e. 30, 70, 200, 400 and 600 W/m</w:t>
      </w:r>
      <w:r w:rsidR="00285CB0" w:rsidRPr="0057460D">
        <w:rPr>
          <w:vertAlign w:val="superscript"/>
        </w:rPr>
        <w:t>2</w:t>
      </w:r>
      <w:r w:rsidR="00285CB0" w:rsidRPr="0057460D">
        <w:t>. Data points represent the mean of quadruple repeats. The error bars show the uncertainty associated with the glycerol concentration measurements that were obtained from HPLC analysis using the methods described in section</w:t>
      </w:r>
      <w:r w:rsidR="0057460D">
        <w:t xml:space="preserve"> </w:t>
      </w:r>
      <w:r w:rsidR="00BD6EC5">
        <w:t>2.3</w:t>
      </w:r>
      <w:r w:rsidR="00285CB0" w:rsidRPr="0057460D">
        <w:t>.</w:t>
      </w:r>
      <w:bookmarkEnd w:id="51"/>
      <w:bookmarkEnd w:id="52"/>
      <w:bookmarkEnd w:id="53"/>
    </w:p>
    <w:p w14:paraId="77579330" w14:textId="77777777" w:rsidR="00285CB0" w:rsidRPr="005D177B" w:rsidRDefault="00285CB0" w:rsidP="002E5ED4">
      <w:pPr>
        <w:pStyle w:val="Heading3"/>
        <w:spacing w:line="480" w:lineRule="auto"/>
      </w:pPr>
      <w:bookmarkStart w:id="55" w:name="_Ref23887135"/>
      <w:bookmarkStart w:id="56" w:name="_Ref23887144"/>
      <w:bookmarkStart w:id="57" w:name="_Ref23888384"/>
      <w:bookmarkStart w:id="58" w:name="_Ref24053584"/>
      <w:bookmarkStart w:id="59" w:name="_Toc24637308"/>
      <w:r w:rsidRPr="005D177B">
        <w:t>Modelling the effect of light intensity</w:t>
      </w:r>
      <w:bookmarkEnd w:id="55"/>
      <w:bookmarkEnd w:id="56"/>
      <w:bookmarkEnd w:id="57"/>
      <w:bookmarkEnd w:id="58"/>
      <w:bookmarkEnd w:id="59"/>
    </w:p>
    <w:p w14:paraId="75B6859B" w14:textId="5DB0FAA0" w:rsidR="00285CB0" w:rsidRDefault="00944B0D" w:rsidP="002E5ED4">
      <w:pPr>
        <w:spacing w:line="480" w:lineRule="auto"/>
      </w:pPr>
      <w:r>
        <w:t xml:space="preserve">Using the data presented in the previous sections, a model can be build </w:t>
      </w:r>
      <w:r w:rsidR="004F6776">
        <w:t xml:space="preserve">taking into account light attenuation. This will be useful for bioprocess engineers designing photobioreactors for this organism, or others like it. </w:t>
      </w:r>
      <w:r w:rsidR="00285CB0">
        <w:t>It has been explained in section</w:t>
      </w:r>
      <w:r w:rsidR="00DA0498">
        <w:t xml:space="preserve"> </w:t>
      </w:r>
      <w:r w:rsidR="008C03EC">
        <w:t>3.2</w:t>
      </w:r>
      <w:r w:rsidR="00C65897">
        <w:t xml:space="preserve"> </w:t>
      </w:r>
      <w:r w:rsidR="00285CB0">
        <w:t>that when the biomass concentration is low, the mic</w:t>
      </w:r>
      <w:r w:rsidR="00773B16">
        <w:t xml:space="preserve">robial cell scattering is often </w:t>
      </w:r>
      <w:r w:rsidR="00285CB0">
        <w:t xml:space="preserve">assumed to be negligible allowing for the use of the Beer-Lambert law (Equation </w:t>
      </w:r>
      <w:r w:rsidR="008C03EC">
        <w:rPr>
          <w:noProof/>
        </w:rPr>
        <w:t>10</w:t>
      </w:r>
      <w:r w:rsidR="00285CB0">
        <w:t xml:space="preserve">) for modelling of the light attenuation through the reactor. From the growth curves in </w:t>
      </w:r>
      <w:r w:rsidR="00234291">
        <w:fldChar w:fldCharType="begin"/>
      </w:r>
      <w:r w:rsidR="00234291">
        <w:instrText xml:space="preserve"> REF _Ref75339348 \h </w:instrText>
      </w:r>
      <w:r w:rsidR="00234291">
        <w:fldChar w:fldCharType="separate"/>
      </w:r>
      <w:r w:rsidR="00234291">
        <w:t xml:space="preserve">Figure </w:t>
      </w:r>
      <w:r w:rsidR="00234291">
        <w:rPr>
          <w:noProof/>
        </w:rPr>
        <w:lastRenderedPageBreak/>
        <w:t>4</w:t>
      </w:r>
      <w:r w:rsidR="00234291">
        <w:fldChar w:fldCharType="end"/>
      </w:r>
      <w:r w:rsidR="00285CB0">
        <w:t xml:space="preserve"> it can be seen</w:t>
      </w:r>
      <w:r w:rsidR="00285CB0" w:rsidRPr="00666B52">
        <w:rPr>
          <w:sz w:val="24"/>
          <w:szCs w:val="22"/>
        </w:rPr>
        <w:t xml:space="preserve"> </w:t>
      </w:r>
      <w:r w:rsidR="00285CB0">
        <w:t xml:space="preserve">at each light intensity that the biomass concentration is high (in the order of 4 g/L), which means that the two-flux approximation (Equations </w:t>
      </w:r>
      <w:r w:rsidR="00AD49CC">
        <w:rPr>
          <w:noProof/>
        </w:rPr>
        <w:t>10</w:t>
      </w:r>
      <w:r w:rsidR="00285CB0">
        <w:t xml:space="preserve"> to </w:t>
      </w:r>
      <w:r w:rsidR="00AD49CC">
        <w:rPr>
          <w:noProof/>
        </w:rPr>
        <w:t>12</w:t>
      </w:r>
      <w:r w:rsidR="00285CB0">
        <w:t xml:space="preserve">) </w:t>
      </w:r>
      <w:r w:rsidR="00773B16">
        <w:t>might</w:t>
      </w:r>
      <w:r w:rsidR="00285CB0">
        <w:t xml:space="preserve"> be used for </w:t>
      </w:r>
      <w:r w:rsidR="00773B16">
        <w:t>improved</w:t>
      </w:r>
      <w:r w:rsidR="00285CB0">
        <w:t xml:space="preserve"> modelling of light attenuation, as it takes into account the scattering of light by the microbial cells and the absorption of light by the cells. The two-flux approximation is provided once more below to aid the discussion: </w:t>
      </w:r>
    </w:p>
    <w:p w14:paraId="763089B6" w14:textId="77777777" w:rsidR="00285CB0" w:rsidRPr="00FD3953" w:rsidRDefault="00E544D0" w:rsidP="002E5ED4">
      <w:pPr>
        <w:spacing w:line="480" w:lineRule="auto"/>
      </w:pPr>
      <m:oMathPara>
        <m:oMath>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sSub>
                <m:sSubPr>
                  <m:ctrlPr>
                    <w:rPr>
                      <w:rFonts w:ascii="Cambria Math" w:hAnsi="Cambria Math"/>
                      <w:i/>
                    </w:rPr>
                  </m:ctrlPr>
                </m:sSubPr>
                <m:e>
                  <m:r>
                    <w:rPr>
                      <w:rFonts w:ascii="Cambria Math" w:hAnsi="Cambria Math"/>
                    </w:rPr>
                    <m:t>I</m:t>
                  </m:r>
                </m:e>
                <m:sub>
                  <m:r>
                    <w:rPr>
                      <w:rFonts w:ascii="Cambria Math" w:hAnsi="Cambria Math"/>
                    </w:rPr>
                    <m:t>0</m:t>
                  </m:r>
                </m:sub>
              </m:sSub>
            </m:den>
          </m:f>
          <m:r>
            <w:rPr>
              <w:rFonts w:ascii="Cambria Math" w:hAnsi="Cambria Math"/>
            </w:rPr>
            <m:t>=</m:t>
          </m:r>
          <m:f>
            <m:fPr>
              <m:ctrlPr>
                <w:rPr>
                  <w:rFonts w:ascii="Cambria Math" w:hAnsi="Cambria Math"/>
                  <w:i/>
                </w:rPr>
              </m:ctrlPr>
            </m:fPr>
            <m:num>
              <m:r>
                <w:rPr>
                  <w:rFonts w:ascii="Cambria Math" w:hAnsi="Cambria Math"/>
                </w:rPr>
                <m:t>4</m:t>
              </m:r>
              <m:sSub>
                <m:sSubPr>
                  <m:ctrlPr>
                    <w:rPr>
                      <w:rFonts w:ascii="Cambria Math" w:hAnsi="Cambria Math"/>
                      <w:i/>
                    </w:rPr>
                  </m:ctrlPr>
                </m:sSubPr>
                <m:e>
                  <m:r>
                    <w:rPr>
                      <w:rFonts w:ascii="Cambria Math" w:hAnsi="Cambria Math"/>
                    </w:rPr>
                    <m:t>α</m:t>
                  </m:r>
                </m:e>
                <m:sub>
                  <m:r>
                    <w:rPr>
                      <w:rFonts w:ascii="Cambria Math" w:hAnsi="Cambria Math"/>
                    </w:rPr>
                    <m:t>1</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sup>
              </m:sSup>
            </m:den>
          </m:f>
        </m:oMath>
      </m:oMathPara>
    </w:p>
    <w:p w14:paraId="3F1FF571" w14:textId="77777777" w:rsidR="00285CB0" w:rsidRPr="00FD3953" w:rsidRDefault="00E544D0" w:rsidP="002E5ED4">
      <w:pPr>
        <w:spacing w:line="480" w:lineRule="auto"/>
      </w:pPr>
      <m:oMathPara>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a</m:t>
                      </m:r>
                    </m:sub>
                  </m:sSub>
                </m:num>
                <m:den>
                  <m:sSub>
                    <m:sSubPr>
                      <m:ctrlPr>
                        <w:rPr>
                          <w:rFonts w:ascii="Cambria Math" w:hAnsi="Cambria Math"/>
                          <w:i/>
                        </w:rPr>
                      </m:ctrlPr>
                    </m:sSubPr>
                    <m:e>
                      <m:r>
                        <w:rPr>
                          <w:rFonts w:ascii="Cambria Math" w:hAnsi="Cambria Math"/>
                        </w:rPr>
                        <m:t>E</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den>
              </m:f>
            </m:e>
          </m:rad>
        </m:oMath>
      </m:oMathPara>
    </w:p>
    <w:p w14:paraId="4817C04C" w14:textId="77777777" w:rsidR="00285CB0" w:rsidRPr="00C910DC" w:rsidRDefault="00E544D0" w:rsidP="002E5ED4">
      <w:pPr>
        <w:spacing w:line="480" w:lineRule="auto"/>
      </w:pPr>
      <m:oMathPara>
        <m:oMath>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∙X∙z</m:t>
          </m:r>
        </m:oMath>
      </m:oMathPara>
    </w:p>
    <w:p w14:paraId="5239120E" w14:textId="662607BE" w:rsidR="00285CB0" w:rsidRDefault="00285CB0" w:rsidP="002E5ED4">
      <w:pPr>
        <w:spacing w:line="480" w:lineRule="auto"/>
      </w:pPr>
      <w:r>
        <w:t>The two unknowns in the two-flux approximation equations is the mass absorption coefficient (</w:t>
      </w:r>
      <m:oMath>
        <m:sSub>
          <m:sSubPr>
            <m:ctrlPr>
              <w:rPr>
                <w:rFonts w:ascii="Cambria Math" w:hAnsi="Cambria Math"/>
                <w:i/>
              </w:rPr>
            </m:ctrlPr>
          </m:sSubPr>
          <m:e>
            <m:r>
              <w:rPr>
                <w:rFonts w:ascii="Cambria Math" w:hAnsi="Cambria Math"/>
              </w:rPr>
              <m:t>E</m:t>
            </m:r>
          </m:e>
          <m:sub>
            <m:r>
              <w:rPr>
                <w:rFonts w:ascii="Cambria Math" w:hAnsi="Cambria Math"/>
              </w:rPr>
              <m:t>a</m:t>
            </m:r>
          </m:sub>
        </m:sSub>
      </m:oMath>
      <w:r>
        <w:t>) and the scattering coefficient (</w:t>
      </w:r>
      <m:oMath>
        <m:sSub>
          <m:sSubPr>
            <m:ctrlPr>
              <w:rPr>
                <w:rFonts w:ascii="Cambria Math" w:hAnsi="Cambria Math"/>
                <w:i/>
              </w:rPr>
            </m:ctrlPr>
          </m:sSubPr>
          <m:e>
            <m:r>
              <w:rPr>
                <w:rFonts w:ascii="Cambria Math" w:hAnsi="Cambria Math"/>
              </w:rPr>
              <m:t>E</m:t>
            </m:r>
          </m:e>
          <m:sub>
            <m:r>
              <w:rPr>
                <w:rFonts w:ascii="Cambria Math" w:hAnsi="Cambria Math"/>
              </w:rPr>
              <m:t>s</m:t>
            </m:r>
          </m:sub>
        </m:sSub>
      </m:oMath>
      <w:r>
        <w:t>). Values of the mass absorption coefficient (</w:t>
      </w:r>
      <m:oMath>
        <m:sSub>
          <m:sSubPr>
            <m:ctrlPr>
              <w:rPr>
                <w:rFonts w:ascii="Cambria Math" w:hAnsi="Cambria Math"/>
                <w:i/>
              </w:rPr>
            </m:ctrlPr>
          </m:sSubPr>
          <m:e>
            <m:r>
              <w:rPr>
                <w:rFonts w:ascii="Cambria Math" w:hAnsi="Cambria Math"/>
              </w:rPr>
              <m:t>E</m:t>
            </m:r>
          </m:e>
          <m:sub>
            <m:r>
              <w:rPr>
                <w:rFonts w:ascii="Cambria Math" w:hAnsi="Cambria Math"/>
              </w:rPr>
              <m:t>a</m:t>
            </m:r>
          </m:sub>
        </m:sSub>
        <m:r>
          <w:rPr>
            <w:rFonts w:ascii="Cambria Math" w:hAnsi="Cambria Math"/>
          </w:rPr>
          <m:t xml:space="preserve">=20.2 </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/g</m:t>
        </m:r>
      </m:oMath>
      <w:r>
        <w:t>) and the scattering coefficient (</w:t>
      </w:r>
      <m:oMath>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 xml:space="preserve">=0.341 </m:t>
        </m:r>
        <m:sSup>
          <m:sSupPr>
            <m:ctrlPr>
              <w:rPr>
                <w:rFonts w:ascii="Cambria Math" w:hAnsi="Cambria Math"/>
                <w:i/>
              </w:rPr>
            </m:ctrlPr>
          </m:sSupPr>
          <m:e>
            <m:r>
              <w:rPr>
                <w:rFonts w:ascii="Cambria Math" w:hAnsi="Cambria Math"/>
              </w:rPr>
              <m:t>m</m:t>
            </m:r>
          </m:e>
          <m:sup>
            <m:r>
              <w:rPr>
                <w:rFonts w:ascii="Cambria Math" w:hAnsi="Cambria Math"/>
              </w:rPr>
              <m:t>-1</m:t>
            </m:r>
          </m:sup>
        </m:sSup>
      </m:oMath>
      <w:r>
        <w:t xml:space="preserve">) were estimated using the transmittance measurements provided </w:t>
      </w:r>
      <w:r w:rsidRPr="0058437F">
        <w:t xml:space="preserve">in </w:t>
      </w:r>
      <w:r w:rsidR="00234291">
        <w:fldChar w:fldCharType="begin"/>
      </w:r>
      <w:r w:rsidR="00234291">
        <w:instrText xml:space="preserve"> REF _Ref75339315 \h </w:instrText>
      </w:r>
      <w:r w:rsidR="00234291">
        <w:fldChar w:fldCharType="separate"/>
      </w:r>
      <w:r w:rsidR="00234291">
        <w:t xml:space="preserve">Figure </w:t>
      </w:r>
      <w:r w:rsidR="00234291">
        <w:rPr>
          <w:noProof/>
        </w:rPr>
        <w:t>3</w:t>
      </w:r>
      <w:r w:rsidR="00234291">
        <w:fldChar w:fldCharType="end"/>
      </w:r>
      <w:r w:rsidRPr="0058437F">
        <w:t>. The</w:t>
      </w:r>
      <w:r>
        <w:rPr>
          <w:szCs w:val="22"/>
        </w:rPr>
        <w:t xml:space="preserve"> built-in MATLAB function </w:t>
      </w:r>
      <w:r w:rsidRPr="000706DC">
        <w:rPr>
          <w:i/>
          <w:iCs/>
          <w:szCs w:val="22"/>
        </w:rPr>
        <w:t>lsqnonlin</w:t>
      </w:r>
      <w:r>
        <w:rPr>
          <w:i/>
          <w:iCs/>
          <w:szCs w:val="22"/>
        </w:rPr>
        <w:t xml:space="preserve"> </w:t>
      </w:r>
      <w:r>
        <w:rPr>
          <w:szCs w:val="22"/>
        </w:rPr>
        <w:t xml:space="preserve">can be used to solve nonlinear least-squares problems. This function could therefore be used to estimate the unknown parameters through the nonlinear data-fitting. </w:t>
      </w:r>
      <w:r w:rsidR="008C52BF">
        <w:fldChar w:fldCharType="begin"/>
      </w:r>
      <w:r w:rsidR="008C52BF">
        <w:rPr>
          <w:szCs w:val="22"/>
        </w:rPr>
        <w:instrText xml:space="preserve"> REF _Ref21820026 \h </w:instrText>
      </w:r>
      <w:r w:rsidR="008C52BF">
        <w:fldChar w:fldCharType="separate"/>
      </w:r>
      <w:r w:rsidR="008C52BF">
        <w:t xml:space="preserve">Figure </w:t>
      </w:r>
      <w:r w:rsidR="008C52BF">
        <w:rPr>
          <w:noProof/>
        </w:rPr>
        <w:t>7</w:t>
      </w:r>
      <w:r w:rsidR="008C52BF">
        <w:fldChar w:fldCharType="end"/>
      </w:r>
      <w:r w:rsidR="008C52BF">
        <w:t xml:space="preserve"> </w:t>
      </w:r>
      <w:r>
        <w:rPr>
          <w:szCs w:val="22"/>
        </w:rPr>
        <w:t>shows the two-flux approximation model with the estimated parameters fitted to the experimental data. This model shows a very good fit to the experimental data. It should be noted that the estimated parameters for the two-flux model were fitted at a wavelength of 875 nm, which corresponds to the BChl-</w:t>
      </w:r>
      <w:r>
        <w:rPr>
          <w:rFonts w:cs="Calibri"/>
          <w:szCs w:val="22"/>
        </w:rPr>
        <w:t>α</w:t>
      </w:r>
      <w:r>
        <w:rPr>
          <w:szCs w:val="22"/>
        </w:rPr>
        <w:t xml:space="preserve"> pigments where maximum absorption by the microbial cell occurs.</w:t>
      </w:r>
    </w:p>
    <w:p w14:paraId="727672E2" w14:textId="77777777" w:rsidR="00285CB0" w:rsidRDefault="00285CB0" w:rsidP="002E5ED4">
      <w:pPr>
        <w:keepNext/>
        <w:spacing w:line="480" w:lineRule="auto"/>
        <w:jc w:val="center"/>
      </w:pPr>
      <w:r>
        <w:rPr>
          <w:noProof/>
          <w:lang w:val="en-US"/>
        </w:rPr>
        <w:lastRenderedPageBreak/>
        <w:drawing>
          <wp:inline distT="0" distB="0" distL="0" distR="0" wp14:anchorId="7286F8E6" wp14:editId="3B3C17ED">
            <wp:extent cx="4602804" cy="3268134"/>
            <wp:effectExtent l="0" t="0" r="762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639548" cy="3294223"/>
                    </a:xfrm>
                    <a:prstGeom prst="rect">
                      <a:avLst/>
                    </a:prstGeom>
                    <a:noFill/>
                    <a:ln>
                      <a:noFill/>
                    </a:ln>
                    <a:extLst>
                      <a:ext uri="{53640926-AAD7-44D8-BBD7-CCE9431645EC}">
                        <a14:shadowObscured xmlns:a14="http://schemas.microsoft.com/office/drawing/2010/main"/>
                      </a:ext>
                    </a:extLst>
                  </pic:spPr>
                </pic:pic>
              </a:graphicData>
            </a:graphic>
          </wp:inline>
        </w:drawing>
      </w:r>
    </w:p>
    <w:p w14:paraId="45223319" w14:textId="4826104C" w:rsidR="00285CB0" w:rsidRPr="00317109" w:rsidRDefault="008C52BF" w:rsidP="008C52BF">
      <w:pPr>
        <w:pStyle w:val="Caption"/>
        <w:rPr>
          <w:i/>
          <w:iCs w:val="0"/>
        </w:rPr>
      </w:pPr>
      <w:bookmarkStart w:id="60" w:name="_Ref21820026"/>
      <w:bookmarkStart w:id="61" w:name="_Toc21954018"/>
      <w:bookmarkStart w:id="62" w:name="_Toc22684066"/>
      <w:bookmarkStart w:id="63" w:name="_Toc24637366"/>
      <w:r>
        <w:t xml:space="preserve">Figure </w:t>
      </w:r>
      <w:fldSimple w:instr=" SEQ Figure \* ARABIC ">
        <w:r w:rsidR="00B6650F">
          <w:rPr>
            <w:noProof/>
          </w:rPr>
          <w:t>7</w:t>
        </w:r>
      </w:fldSimple>
      <w:bookmarkEnd w:id="60"/>
      <w:r>
        <w:t>:</w:t>
      </w:r>
      <w:r w:rsidR="00285CB0" w:rsidRPr="00317109">
        <w:t xml:space="preserve"> Transmittance (spectrophotometer – 875nm) of light through R. palustris cultures of varying cell concentrations with Van Niels medium as the blank. Data points represent the mean of triplicate experimental runs (o) and the trendline represents the two-flux model fitted to the data using lsqnonlin. The error bars show the uncertainty associated with the CDW measurements and the transmittance measurements.</w:t>
      </w:r>
      <w:bookmarkEnd w:id="61"/>
      <w:bookmarkEnd w:id="62"/>
      <w:bookmarkEnd w:id="63"/>
    </w:p>
    <w:p w14:paraId="4C0F2E9B" w14:textId="7C60B33D" w:rsidR="00285CB0" w:rsidRDefault="00285CB0" w:rsidP="002E5ED4">
      <w:pPr>
        <w:spacing w:line="480" w:lineRule="auto"/>
      </w:pPr>
      <w:r>
        <w:t>A large portion of work in the modelling of light attenuation in PBRs has been done in reactors with rectangular geometries as this is a common</w:t>
      </w:r>
      <w:r w:rsidR="00773B16">
        <w:t xml:space="preserve"> reactor configuration for algal</w:t>
      </w:r>
      <w:r>
        <w:t xml:space="preserve"> studies </w:t>
      </w:r>
      <w:r w:rsidR="00C25D99" w:rsidRPr="00C25D99">
        <w:rPr>
          <w:noProof/>
        </w:rPr>
        <w:t>(Huang et al., 2015; Obeid et al., 2009; Pruvost et al., 2016; D. Zhang et al., 2015)</w:t>
      </w:r>
      <w:r>
        <w:t xml:space="preserve">. Due to the </w:t>
      </w:r>
      <w:r w:rsidR="00773B16">
        <w:t>significant</w:t>
      </w:r>
      <w:r>
        <w:t xml:space="preserve"> work on light attenuation with this geometry some studies have made major assumptions to assess cylindrical reactors as if they had a rectangular geometry </w:t>
      </w:r>
      <w:r w:rsidRPr="007931A3">
        <w:rPr>
          <w:noProof/>
        </w:rPr>
        <w:t>(Palamae et al., 2018)</w:t>
      </w:r>
      <w:r>
        <w:t xml:space="preserve">. This is normally done by calculating the light capture surface area of the cylindrical geometry using the reactors diameter. The reactor is then assumed to have a square cross-sectional area that corresponds to a square face area that is the same as the area of the curved surface </w:t>
      </w:r>
      <w:r w:rsidRPr="007931A3">
        <w:rPr>
          <w:noProof/>
        </w:rPr>
        <w:t>(Palamae et al., 2018)</w:t>
      </w:r>
      <w:r>
        <w:t>. Such assumptions</w:t>
      </w:r>
      <w:r w:rsidR="00773B16">
        <w:t xml:space="preserve"> are a good first order attempt, but</w:t>
      </w:r>
      <w:r>
        <w:t xml:space="preserve"> can lead to inaccurate estimations of the light attenuation profiles through the reactor and therefore lead to inaccurate predictions of the average light intensity experienced over the cross-sectional area of the reactor. </w:t>
      </w:r>
      <w:r w:rsidR="00856CBB">
        <w:t xml:space="preserve">In this study we improve on this </w:t>
      </w:r>
      <w:r>
        <w:t xml:space="preserve">assumption and rather take on the difficulty of modelling light attenuation through the true geometry of the reactor used. </w:t>
      </w:r>
    </w:p>
    <w:p w14:paraId="7D7BD90E" w14:textId="532E6A5D" w:rsidR="00285CB0" w:rsidRDefault="008C52BF" w:rsidP="002E5ED4">
      <w:pPr>
        <w:spacing w:line="480" w:lineRule="auto"/>
      </w:pPr>
      <w:r>
        <w:lastRenderedPageBreak/>
        <w:fldChar w:fldCharType="begin"/>
      </w:r>
      <w:r>
        <w:instrText xml:space="preserve"> REF _Ref75341081 \h </w:instrText>
      </w:r>
      <w:r>
        <w:fldChar w:fldCharType="separate"/>
      </w:r>
      <w:r>
        <w:t xml:space="preserve">Figure </w:t>
      </w:r>
      <w:r>
        <w:rPr>
          <w:noProof/>
        </w:rPr>
        <w:t>8</w:t>
      </w:r>
      <w:r>
        <w:fldChar w:fldCharType="end"/>
      </w:r>
      <w:r>
        <w:t xml:space="preserve"> </w:t>
      </w:r>
      <w:r w:rsidR="00285CB0">
        <w:t>illustrates the</w:t>
      </w:r>
      <w:r w:rsidR="00856CBB">
        <w:t xml:space="preserve"> model of the</w:t>
      </w:r>
      <w:r w:rsidR="00285CB0">
        <w:t xml:space="preserve"> light attenuation through the cross-section of the tubular PBR when the incident light intensity is set at 30 W/m</w:t>
      </w:r>
      <w:r w:rsidR="00285CB0">
        <w:rPr>
          <w:vertAlign w:val="superscript"/>
        </w:rPr>
        <w:t>2</w:t>
      </w:r>
      <w:r w:rsidR="00285CB0">
        <w:t xml:space="preserve"> and has a biomass concentration of 4 g/L. Light is only provided from one side of the reactor and it was assumed that this side’s entire surface area obtains the same light intensity which is equal to the incident light intensity. The decrease in light intensity as it moves through the reactor in the x-direction (left to right) is illustrated by the </w:t>
      </w:r>
      <w:r w:rsidR="00285CB0" w:rsidRPr="00A74F20">
        <w:t>colour</w:t>
      </w:r>
      <w:r w:rsidR="00285CB0">
        <w:t xml:space="preserve"> gradient change. To determine the light intensity profile as shown in </w:t>
      </w:r>
      <w:r>
        <w:fldChar w:fldCharType="begin"/>
      </w:r>
      <w:r>
        <w:instrText xml:space="preserve"> REF _Ref75341081 \h </w:instrText>
      </w:r>
      <w:r>
        <w:fldChar w:fldCharType="separate"/>
      </w:r>
      <w:r>
        <w:t xml:space="preserve">Figure </w:t>
      </w:r>
      <w:r>
        <w:rPr>
          <w:noProof/>
        </w:rPr>
        <w:t>8</w:t>
      </w:r>
      <w:r>
        <w:fldChar w:fldCharType="end"/>
      </w:r>
      <w:r w:rsidR="00285CB0" w:rsidRPr="0058437F">
        <w:t xml:space="preserve">, </w:t>
      </w:r>
      <w:r w:rsidR="00285CB0">
        <w:t xml:space="preserve">it is necessary to know the exact distance any point in the cross-sectional area of the tubular PBR is from the incident light surface on the shared x-plane. The two-flux approximation can then be used to determine what the light intensity is at this point in the reactor, as the incident light intensity and biomass concentration are both known. A mesh grid of polar coordinates (radial and angular) was developed to create multiple nodal points over the reactor cross-sectional area. These polar coordinates were then converted to </w:t>
      </w:r>
      <w:r w:rsidR="00773B16">
        <w:t>Cartesian</w:t>
      </w:r>
      <w:r w:rsidR="00285CB0">
        <w:t xml:space="preserve"> coordinates for easier calculation of the distance of each node to the surface of the incident light. This distance was calculated using Equation </w:t>
      </w:r>
      <w:r w:rsidR="00457DEB">
        <w:rPr>
          <w:noProof/>
        </w:rPr>
        <w:t>15</w:t>
      </w:r>
      <w:r w:rsidR="00285CB0">
        <w:t xml:space="preserve"> provided below.</w:t>
      </w:r>
    </w:p>
    <w:p w14:paraId="1342EBBE" w14:textId="77777777" w:rsidR="00285CB0" w:rsidRPr="00AD0DF6" w:rsidRDefault="00285CB0" w:rsidP="002E5ED4">
      <w:pPr>
        <w:pStyle w:val="EquationCaption"/>
        <w:spacing w:line="480" w:lineRule="auto"/>
        <w:rPr>
          <w:vanish/>
          <w:specVanish/>
        </w:rPr>
      </w:pPr>
      <w:r>
        <w:rPr>
          <w:rFonts w:ascii="Calibri" w:hAnsi="Calibri"/>
        </w:rPr>
        <w:tab/>
      </w:r>
      <m:oMath>
        <m:r>
          <w:rPr>
            <w:rFonts w:ascii="Cambria Math" w:hAnsi="Cambria Math" w:hint="eastAsia"/>
          </w:rPr>
          <m:t xml:space="preserve">d=x + </m:t>
        </m:r>
        <m:rad>
          <m:radPr>
            <m:degHide m:val="1"/>
            <m:ctrlPr>
              <w:rPr>
                <w:rFonts w:ascii="Cambria Math" w:hAnsi="Cambria Math"/>
                <w:i/>
              </w:rPr>
            </m:ctrlPr>
          </m:radPr>
          <m:deg/>
          <m:e>
            <m:sSup>
              <m:sSupPr>
                <m:ctrlPr>
                  <w:rPr>
                    <w:rFonts w:ascii="Cambria Math" w:hAnsi="Cambria Math"/>
                    <w:i/>
                  </w:rPr>
                </m:ctrlPr>
              </m:sSupPr>
              <m:e>
                <m:r>
                  <w:rPr>
                    <w:rFonts w:ascii="Cambria Math" w:hAnsi="Cambria Math" w:hint="eastAsia"/>
                  </w:rPr>
                  <m:t>R</m:t>
                </m:r>
              </m:e>
              <m:sup>
                <m:r>
                  <w:rPr>
                    <w:rFonts w:ascii="Cambria Math" w:hAnsi="Cambria Math" w:hint="eastAsia"/>
                  </w:rPr>
                  <m:t>2</m:t>
                </m:r>
              </m:sup>
            </m:sSup>
            <m:r>
              <w:rPr>
                <w:rFonts w:ascii="Cambria Math" w:hAnsi="Cambria Math" w:hint="eastAsia"/>
              </w:rPr>
              <m:t xml:space="preserve"> </m:t>
            </m:r>
            <m:r>
              <w:rPr>
                <w:rFonts w:ascii="Cambria Math" w:hAnsi="Cambria Math" w:hint="eastAsia"/>
              </w:rPr>
              <m:t>-</m:t>
            </m:r>
            <m:r>
              <w:rPr>
                <w:rFonts w:ascii="Cambria Math" w:hAnsi="Cambria Math" w:hint="eastAsia"/>
              </w:rPr>
              <m:t xml:space="preserve"> </m:t>
            </m:r>
            <m:sSup>
              <m:sSupPr>
                <m:ctrlPr>
                  <w:rPr>
                    <w:rFonts w:ascii="Cambria Math" w:hAnsi="Cambria Math"/>
                    <w:i/>
                  </w:rPr>
                </m:ctrlPr>
              </m:sSupPr>
              <m:e>
                <m:r>
                  <w:rPr>
                    <w:rFonts w:ascii="Cambria Math" w:hAnsi="Cambria Math" w:hint="eastAsia"/>
                  </w:rPr>
                  <m:t>y</m:t>
                </m:r>
              </m:e>
              <m:sup>
                <m:r>
                  <w:rPr>
                    <w:rFonts w:ascii="Cambria Math" w:hAnsi="Cambria Math" w:hint="eastAsia"/>
                  </w:rPr>
                  <m:t>2</m:t>
                </m:r>
              </m:sup>
            </m:sSup>
          </m:e>
        </m:rad>
      </m:oMath>
      <w:r>
        <w:t xml:space="preserve"> </w:t>
      </w:r>
      <w:r>
        <w:tab/>
        <w:t>[</w:t>
      </w:r>
    </w:p>
    <w:p w14:paraId="095AA308" w14:textId="76A542D0" w:rsidR="00285CB0" w:rsidRDefault="00285CB0" w:rsidP="002E5ED4">
      <w:pPr>
        <w:pStyle w:val="Caption"/>
        <w:spacing w:line="480" w:lineRule="auto"/>
      </w:pPr>
      <w:r>
        <w:t xml:space="preserve"> </w:t>
      </w:r>
      <w:bookmarkStart w:id="64" w:name="_Ref21858097"/>
      <w:r w:rsidR="00457DEB">
        <w:rPr>
          <w:noProof/>
        </w:rPr>
        <w:t>15</w:t>
      </w:r>
      <w:bookmarkEnd w:id="64"/>
      <w:r>
        <w:t xml:space="preserve"> ]</w:t>
      </w:r>
    </w:p>
    <w:p w14:paraId="752D1690" w14:textId="77777777" w:rsidR="00285CB0" w:rsidRPr="00E27974" w:rsidRDefault="00285CB0" w:rsidP="002E5ED4">
      <w:pPr>
        <w:spacing w:line="480" w:lineRule="auto"/>
        <w:ind w:left="3600" w:firstLine="720"/>
        <w:rPr>
          <w:sz w:val="20"/>
        </w:rPr>
      </w:pPr>
      <m:oMathPara>
        <m:oMathParaPr>
          <m:jc m:val="left"/>
        </m:oMathParaPr>
        <m:oMath>
          <m:r>
            <w:rPr>
              <w:rFonts w:ascii="Cambria Math" w:hAnsi="Cambria Math"/>
              <w:sz w:val="20"/>
            </w:rPr>
            <m:t>Where,</m:t>
          </m:r>
        </m:oMath>
      </m:oMathPara>
    </w:p>
    <w:p w14:paraId="5DC7760A" w14:textId="77777777" w:rsidR="00285CB0" w:rsidRPr="00E27974" w:rsidRDefault="00285CB0" w:rsidP="002E5ED4">
      <w:pPr>
        <w:spacing w:line="480" w:lineRule="auto"/>
        <w:ind w:left="3600" w:firstLine="720"/>
        <w:rPr>
          <w:sz w:val="20"/>
        </w:rPr>
      </w:pPr>
      <m:oMathPara>
        <m:oMathParaPr>
          <m:jc m:val="left"/>
        </m:oMathParaPr>
        <m:oMath>
          <m:r>
            <w:rPr>
              <w:rFonts w:ascii="Cambria Math" w:hAnsi="Cambria Math"/>
              <w:sz w:val="20"/>
            </w:rPr>
            <m:t>d=distance</m:t>
          </m:r>
        </m:oMath>
      </m:oMathPara>
    </w:p>
    <w:p w14:paraId="480854D8" w14:textId="77777777" w:rsidR="00285CB0" w:rsidRPr="00E27974" w:rsidRDefault="00285CB0" w:rsidP="002E5ED4">
      <w:pPr>
        <w:spacing w:line="480" w:lineRule="auto"/>
        <w:ind w:left="3600" w:firstLine="720"/>
        <w:rPr>
          <w:sz w:val="20"/>
        </w:rPr>
      </w:pPr>
      <m:oMathPara>
        <m:oMathParaPr>
          <m:jc m:val="left"/>
        </m:oMathParaPr>
        <m:oMath>
          <m:r>
            <w:rPr>
              <w:rFonts w:ascii="Cambria Math" w:hAnsi="Cambria Math"/>
              <w:sz w:val="20"/>
            </w:rPr>
            <m:t>x=to the x coordinate of the node</m:t>
          </m:r>
        </m:oMath>
      </m:oMathPara>
    </w:p>
    <w:p w14:paraId="02ABBBF0" w14:textId="77777777" w:rsidR="00285CB0" w:rsidRPr="00A26AC5" w:rsidRDefault="00285CB0" w:rsidP="002E5ED4">
      <w:pPr>
        <w:spacing w:line="480" w:lineRule="auto"/>
        <w:ind w:left="3600" w:firstLine="720"/>
        <w:rPr>
          <w:sz w:val="20"/>
        </w:rPr>
      </w:pPr>
      <m:oMathPara>
        <m:oMathParaPr>
          <m:jc m:val="left"/>
        </m:oMathParaPr>
        <m:oMath>
          <m:r>
            <w:rPr>
              <w:rFonts w:ascii="Cambria Math" w:hAnsi="Cambria Math"/>
              <w:sz w:val="20"/>
            </w:rPr>
            <m:t>R=radius of the reactor</m:t>
          </m:r>
        </m:oMath>
      </m:oMathPara>
    </w:p>
    <w:p w14:paraId="11559505" w14:textId="77777777" w:rsidR="00285CB0" w:rsidRPr="00E27974" w:rsidRDefault="00285CB0" w:rsidP="002E5ED4">
      <w:pPr>
        <w:spacing w:line="480" w:lineRule="auto"/>
        <w:ind w:left="3600" w:firstLine="720"/>
        <w:rPr>
          <w:sz w:val="20"/>
        </w:rPr>
      </w:pPr>
      <m:oMathPara>
        <m:oMathParaPr>
          <m:jc m:val="left"/>
        </m:oMathParaPr>
        <m:oMath>
          <m:r>
            <w:rPr>
              <w:rFonts w:ascii="Cambria Math" w:hAnsi="Cambria Math"/>
              <w:sz w:val="20"/>
            </w:rPr>
            <m:t>y=to the y coordinate of the node</m:t>
          </m:r>
        </m:oMath>
      </m:oMathPara>
    </w:p>
    <w:p w14:paraId="1B42A874" w14:textId="2708FC05" w:rsidR="00285CB0" w:rsidRPr="00B42C6D" w:rsidRDefault="00285CB0" w:rsidP="002E5ED4">
      <w:pPr>
        <w:spacing w:line="480" w:lineRule="auto"/>
      </w:pPr>
      <w:r w:rsidRPr="0092135F">
        <w:t>With the distance of each node known, the light intensity profile through the reactor can be calculated when the biomass concentration within the reactor is known.</w:t>
      </w:r>
      <w:r>
        <w:t xml:space="preserve"> As stated previously the light intensity profile </w:t>
      </w:r>
      <w:r w:rsidRPr="0058437F">
        <w:t xml:space="preserve">in </w:t>
      </w:r>
      <w:r w:rsidR="008C52BF">
        <w:fldChar w:fldCharType="begin"/>
      </w:r>
      <w:r w:rsidR="008C52BF">
        <w:instrText xml:space="preserve"> REF _Ref75341081 \h </w:instrText>
      </w:r>
      <w:r w:rsidR="008C52BF">
        <w:fldChar w:fldCharType="separate"/>
      </w:r>
      <w:r w:rsidR="008C52BF">
        <w:t xml:space="preserve">Figure </w:t>
      </w:r>
      <w:r w:rsidR="008C52BF">
        <w:rPr>
          <w:noProof/>
        </w:rPr>
        <w:t>8</w:t>
      </w:r>
      <w:r w:rsidR="008C52BF">
        <w:fldChar w:fldCharType="end"/>
      </w:r>
      <w:r w:rsidRPr="0058437F">
        <w:t xml:space="preserve"> is</w:t>
      </w:r>
      <w:r>
        <w:t xml:space="preserve"> for an incident light intensity of 30 W/m</w:t>
      </w:r>
      <w:r>
        <w:rPr>
          <w:vertAlign w:val="superscript"/>
        </w:rPr>
        <w:t>2</w:t>
      </w:r>
      <w:r>
        <w:t xml:space="preserve"> and a biomass concentration of 4 g/L, which means that the ‘dark side’ of the reactor receives approximately half the intensity of the incident light intensity  when the culture is in the later stage of growth.</w:t>
      </w:r>
    </w:p>
    <w:p w14:paraId="67452721" w14:textId="77777777" w:rsidR="00285CB0" w:rsidRDefault="00285CB0" w:rsidP="002E5ED4">
      <w:pPr>
        <w:keepNext/>
        <w:spacing w:line="480" w:lineRule="auto"/>
        <w:jc w:val="center"/>
      </w:pPr>
      <w:r>
        <w:rPr>
          <w:noProof/>
          <w:lang w:val="en-US"/>
        </w:rPr>
        <w:lastRenderedPageBreak/>
        <w:drawing>
          <wp:inline distT="0" distB="0" distL="0" distR="0" wp14:anchorId="203CB5FD" wp14:editId="541E5F36">
            <wp:extent cx="5906135" cy="44335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6135" cy="4433570"/>
                    </a:xfrm>
                    <a:prstGeom prst="rect">
                      <a:avLst/>
                    </a:prstGeom>
                    <a:noFill/>
                    <a:ln>
                      <a:noFill/>
                    </a:ln>
                  </pic:spPr>
                </pic:pic>
              </a:graphicData>
            </a:graphic>
          </wp:inline>
        </w:drawing>
      </w:r>
    </w:p>
    <w:p w14:paraId="62FB17A5" w14:textId="2298BF25" w:rsidR="00285CB0" w:rsidRPr="00BC5DC9" w:rsidRDefault="008C52BF" w:rsidP="008C52BF">
      <w:pPr>
        <w:pStyle w:val="Caption"/>
        <w:rPr>
          <w:i/>
          <w:iCs w:val="0"/>
        </w:rPr>
      </w:pPr>
      <w:bookmarkStart w:id="65" w:name="_Ref21852049"/>
      <w:bookmarkStart w:id="66" w:name="_Toc21954019"/>
      <w:bookmarkStart w:id="67" w:name="_Toc22684067"/>
      <w:bookmarkStart w:id="68" w:name="_Toc24637367"/>
      <w:bookmarkStart w:id="69" w:name="_Ref75341081"/>
      <w:r>
        <w:t xml:space="preserve">Figure </w:t>
      </w:r>
      <w:fldSimple w:instr=" SEQ Figure \* ARABIC ">
        <w:r w:rsidR="00B6650F">
          <w:rPr>
            <w:noProof/>
          </w:rPr>
          <w:t>8</w:t>
        </w:r>
      </w:fldSimple>
      <w:bookmarkEnd w:id="69"/>
      <w:r>
        <w:t>:</w:t>
      </w:r>
      <w:bookmarkEnd w:id="65"/>
      <w:r w:rsidR="00285CB0" w:rsidRPr="00BC5DC9">
        <w:t xml:space="preserve"> Light intensity profile through the tubular PBR with an incident light intensity of 30 W/m</w:t>
      </w:r>
      <w:r w:rsidR="00285CB0" w:rsidRPr="00BC5DC9">
        <w:rPr>
          <w:vertAlign w:val="superscript"/>
        </w:rPr>
        <w:t>2</w:t>
      </w:r>
      <w:r w:rsidR="00285CB0" w:rsidRPr="00BC5DC9">
        <w:t xml:space="preserve"> and a biomass concentration of 4 g/L.</w:t>
      </w:r>
      <w:bookmarkEnd w:id="66"/>
      <w:bookmarkEnd w:id="67"/>
      <w:bookmarkEnd w:id="68"/>
    </w:p>
    <w:p w14:paraId="55C6FC0B" w14:textId="7FAF0BF3" w:rsidR="00285CB0" w:rsidRPr="00E52644" w:rsidRDefault="00285CB0" w:rsidP="002E5ED4">
      <w:pPr>
        <w:spacing w:line="480" w:lineRule="auto"/>
      </w:pPr>
      <w:r>
        <w:t xml:space="preserve">With the working model for light attenuation only the biomass concentration was required to determine the light intensity profile through the tubular PBR, that could then be integrated in the x and y direction to determine the average light intensity over the reactor’s cross-sectional area. This integration was done using MATLAB’s built in function </w:t>
      </w:r>
      <w:r w:rsidRPr="00BA6ED3">
        <w:rPr>
          <w:i/>
          <w:iCs/>
        </w:rPr>
        <w:t>integral2</w:t>
      </w:r>
      <w:r>
        <w:rPr>
          <w:i/>
          <w:iCs/>
        </w:rPr>
        <w:t xml:space="preserve"> </w:t>
      </w:r>
      <w:r>
        <w:t>that can perform the double integration that is required. In order to determine the change in the average light intensity in the tubular PBR over the entire culturing period the biomass concentration was required. Therefore, a model for the prediction of the biomass growth, that is light intensity dependent, was established using the experimental data relat</w:t>
      </w:r>
      <w:r w:rsidR="00655530">
        <w:t>ed</w:t>
      </w:r>
      <w:r w:rsidR="000F3919">
        <w:t xml:space="preserve"> to </w:t>
      </w:r>
      <w:r>
        <w:t>the investigation into the effect of light intensity on biomass growth and substrate utilisation.</w:t>
      </w:r>
    </w:p>
    <w:p w14:paraId="4DC00970" w14:textId="77777777" w:rsidR="00285CB0" w:rsidRDefault="00285CB0" w:rsidP="002E5ED4">
      <w:pPr>
        <w:pStyle w:val="Heading4"/>
        <w:spacing w:line="480" w:lineRule="auto"/>
      </w:pPr>
      <w:r>
        <w:lastRenderedPageBreak/>
        <w:t>Growth and substrate utilisation</w:t>
      </w:r>
    </w:p>
    <w:p w14:paraId="5B36E68D" w14:textId="66EE7216" w:rsidR="00285CB0" w:rsidRDefault="00285CB0" w:rsidP="002E5ED4">
      <w:pPr>
        <w:spacing w:line="480" w:lineRule="auto"/>
      </w:pPr>
      <w:r>
        <w:t xml:space="preserve">As </w:t>
      </w:r>
      <w:r w:rsidRPr="00356355">
        <w:rPr>
          <w:i/>
          <w:iCs/>
        </w:rPr>
        <w:t>R. palustris</w:t>
      </w:r>
      <w:r>
        <w:t xml:space="preserve"> is a photosynthetic bacterium the growth rate is likely to depend on the local light intensity (</w:t>
      </w:r>
      <m:oMath>
        <m:r>
          <w:rPr>
            <w:rFonts w:ascii="Cambria Math" w:hAnsi="Cambria Math"/>
          </w:rPr>
          <m:t>I</m:t>
        </m:r>
      </m:oMath>
      <w:r>
        <w:t xml:space="preserve">). Based upon the results reported in the previous sections, this holds true as it was reported that there is a difference in the growth rates as the light intensity changes. Therefore, the Aiba model (Equation </w:t>
      </w:r>
      <w:r w:rsidR="001975CC">
        <w:rPr>
          <w:noProof/>
        </w:rPr>
        <w:t>16</w:t>
      </w:r>
      <w:r>
        <w:t xml:space="preserve">) could be employed to account for the effect of the light intensity on the biomass growth rate (dX/dt) </w:t>
      </w:r>
      <w:r w:rsidR="00C03BF7" w:rsidRPr="00C03BF7">
        <w:rPr>
          <w:noProof/>
        </w:rPr>
        <w:t>(Aiba, 1982)</w:t>
      </w:r>
      <w:r>
        <w:t xml:space="preserve">. The Aiba model consists of two unknown coefficients, i.e.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the light saturation coefficient and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the photoinhibition coefficient. As the carbon source (glycerol) was fully exhausted during most experimental runs the growth rate (dX/dt) of </w:t>
      </w:r>
      <w:r w:rsidRPr="003938D6">
        <w:rPr>
          <w:i/>
          <w:iCs/>
        </w:rPr>
        <w:t>R. palustris</w:t>
      </w:r>
      <w:r>
        <w:t xml:space="preserve"> is also assumed to depend on the glycerol concentration. This means the full growth rate model is dependent on the average light intensity, glycerol concentration and biomass concentration, as can be seen in Equation </w:t>
      </w:r>
      <w:r w:rsidR="001975CC">
        <w:rPr>
          <w:noProof/>
        </w:rPr>
        <w:t>17</w:t>
      </w:r>
      <w:r>
        <w:t>.</w:t>
      </w:r>
    </w:p>
    <w:p w14:paraId="64379965" w14:textId="77777777" w:rsidR="00285CB0" w:rsidRPr="00AD0DF6" w:rsidRDefault="00285CB0" w:rsidP="002E5ED4">
      <w:pPr>
        <w:pStyle w:val="EquationCaption"/>
        <w:spacing w:line="480" w:lineRule="auto"/>
        <w:rPr>
          <w:vanish/>
          <w:specVanish/>
        </w:rPr>
      </w:pPr>
      <w:r>
        <w:rPr>
          <w:rFonts w:ascii="Calibri" w:hAnsi="Calibri"/>
        </w:rPr>
        <w:tab/>
      </w:r>
      <m:oMath>
        <m:r>
          <w:rPr>
            <w:rFonts w:ascii="Cambria Math" w:hAnsi="Cambria Math"/>
          </w:rPr>
          <m:t>k</m:t>
        </m:r>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+I</m:t>
                </m:r>
              </m:den>
            </m:f>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i</m:t>
                    </m:r>
                  </m:sub>
                </m:sSub>
              </m:num>
              <m:den>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+I</m:t>
                </m:r>
              </m:den>
            </m:f>
          </m:e>
        </m:d>
        <m:r>
          <w:rPr>
            <w:rFonts w:ascii="Cambria Math" w:hAnsi="Cambria Math"/>
          </w:rPr>
          <m:t xml:space="preserve"> </m:t>
        </m:r>
      </m:oMath>
      <w:r>
        <w:tab/>
        <w:t>[</w:t>
      </w:r>
    </w:p>
    <w:p w14:paraId="4404A04B" w14:textId="2FABFFA6" w:rsidR="00285CB0" w:rsidRDefault="00285CB0" w:rsidP="002E5ED4">
      <w:pPr>
        <w:pStyle w:val="Caption"/>
        <w:spacing w:line="480" w:lineRule="auto"/>
      </w:pPr>
      <w:r>
        <w:t xml:space="preserve"> </w:t>
      </w:r>
      <w:bookmarkStart w:id="70" w:name="_Ref21866107"/>
      <w:r w:rsidR="001975CC">
        <w:rPr>
          <w:noProof/>
        </w:rPr>
        <w:t>16</w:t>
      </w:r>
      <w:bookmarkEnd w:id="70"/>
      <w:r>
        <w:t xml:space="preserve"> ]</w:t>
      </w:r>
    </w:p>
    <w:p w14:paraId="0086269B" w14:textId="77777777" w:rsidR="00285CB0" w:rsidRPr="00AD0DF6" w:rsidRDefault="00285CB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max</m:t>
            </m:r>
          </m:sub>
        </m:sSub>
        <m:d>
          <m:dPr>
            <m:ctrlPr>
              <w:rPr>
                <w:rFonts w:ascii="Cambria Math" w:hAnsi="Cambria Math"/>
                <w:i/>
              </w:rPr>
            </m:ctrlPr>
          </m:dPr>
          <m:e>
            <m:f>
              <m:fPr>
                <m:ctrlPr>
                  <w:rPr>
                    <w:rFonts w:ascii="Cambria Math" w:hAnsi="Cambria Math"/>
                    <w:i/>
                  </w:rPr>
                </m:ctrlPr>
              </m:fPr>
              <m:num>
                <m:r>
                  <w:rPr>
                    <w:rFonts w:ascii="Cambria Math" w:hAnsi="Cambria Math"/>
                  </w:rPr>
                  <m:t>s</m:t>
                </m:r>
              </m:num>
              <m:den>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+s</m:t>
                </m:r>
              </m:den>
            </m:f>
          </m:e>
        </m:d>
        <m:d>
          <m:dPr>
            <m:ctrlPr>
              <w:rPr>
                <w:rFonts w:ascii="Cambria Math" w:hAnsi="Cambria Math"/>
                <w:i/>
              </w:rPr>
            </m:ctrlPr>
          </m:dPr>
          <m:e>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+I</m:t>
                </m:r>
              </m:den>
            </m:f>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i</m:t>
                    </m:r>
                  </m:sub>
                </m:sSub>
              </m:num>
              <m:den>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+I</m:t>
                </m:r>
              </m:den>
            </m:f>
          </m:e>
        </m:d>
        <m:r>
          <w:rPr>
            <w:rFonts w:ascii="Cambria Math" w:hAnsi="Cambria Math"/>
          </w:rPr>
          <m:t>X-</m:t>
        </m:r>
        <m:sSub>
          <m:sSubPr>
            <m:ctrlPr>
              <w:rPr>
                <w:rFonts w:ascii="Cambria Math" w:hAnsi="Cambria Math"/>
                <w:i/>
              </w:rPr>
            </m:ctrlPr>
          </m:sSubPr>
          <m:e>
            <m:r>
              <w:rPr>
                <w:rFonts w:ascii="Cambria Math" w:hAnsi="Cambria Math"/>
              </w:rPr>
              <m:t>μ</m:t>
            </m:r>
          </m:e>
          <m:sub>
            <m:r>
              <w:rPr>
                <w:rFonts w:ascii="Cambria Math" w:hAnsi="Cambria Math"/>
              </w:rPr>
              <m:t>d</m:t>
            </m:r>
          </m:sub>
        </m:sSub>
        <m:r>
          <w:rPr>
            <w:rFonts w:ascii="Cambria Math" w:hAnsi="Cambria Math"/>
          </w:rPr>
          <m:t>X</m:t>
        </m:r>
      </m:oMath>
      <w:r>
        <w:t xml:space="preserve"> </w:t>
      </w:r>
      <w:r>
        <w:tab/>
        <w:t>[</w:t>
      </w:r>
    </w:p>
    <w:p w14:paraId="3583B51E" w14:textId="4F79656E" w:rsidR="00285CB0" w:rsidRDefault="00285CB0" w:rsidP="002E5ED4">
      <w:pPr>
        <w:pStyle w:val="Caption"/>
        <w:spacing w:line="480" w:lineRule="auto"/>
      </w:pPr>
      <w:r>
        <w:t xml:space="preserve"> </w:t>
      </w:r>
      <w:bookmarkStart w:id="71" w:name="_Ref21866379"/>
      <w:r w:rsidR="001975CC">
        <w:rPr>
          <w:noProof/>
        </w:rPr>
        <w:t>17</w:t>
      </w:r>
      <w:bookmarkEnd w:id="71"/>
      <w:r>
        <w:t xml:space="preserve"> ]</w:t>
      </w:r>
    </w:p>
    <w:p w14:paraId="18C80B35" w14:textId="14B1DCEB" w:rsidR="00285CB0" w:rsidRDefault="00285CB0" w:rsidP="002E5ED4">
      <w:pPr>
        <w:spacing w:line="480" w:lineRule="auto"/>
      </w:pPr>
      <w:r>
        <w:t xml:space="preserve">In Equation </w:t>
      </w:r>
      <w:r w:rsidR="00041DB2">
        <w:rPr>
          <w:noProof/>
        </w:rPr>
        <w:t>17</w:t>
      </w:r>
      <w:r>
        <w:t xml:space="preserve">, </w:t>
      </w:r>
      <m:oMath>
        <m:sSub>
          <m:sSubPr>
            <m:ctrlPr>
              <w:rPr>
                <w:rFonts w:ascii="Cambria Math" w:hAnsi="Cambria Math"/>
                <w:i/>
              </w:rPr>
            </m:ctrlPr>
          </m:sSubPr>
          <m:e>
            <m:r>
              <w:rPr>
                <w:rFonts w:ascii="Cambria Math" w:hAnsi="Cambria Math"/>
              </w:rPr>
              <m:t>μ</m:t>
            </m:r>
          </m:e>
          <m:sub>
            <m:r>
              <w:rPr>
                <w:rFonts w:ascii="Cambria Math" w:hAnsi="Cambria Math"/>
              </w:rPr>
              <m:t>d</m:t>
            </m:r>
          </m:sub>
        </m:sSub>
      </m:oMath>
      <w:r>
        <w:t xml:space="preserve"> is the biomass </w:t>
      </w:r>
      <w:r w:rsidR="009A7524">
        <w:t>death</w:t>
      </w:r>
      <w:r>
        <w:t xml:space="preserve"> rate.</w:t>
      </w:r>
    </w:p>
    <w:p w14:paraId="4D629DE2" w14:textId="77777777" w:rsidR="00285CB0" w:rsidRPr="00287953" w:rsidRDefault="00285CB0" w:rsidP="002E5ED4">
      <w:pPr>
        <w:spacing w:line="480" w:lineRule="auto"/>
      </w:pPr>
      <w:r>
        <w:t>The necessary inclusion of the effect of substrate on the growth rate meant that another unknown parameter (</w:t>
      </w:r>
      <m:oMath>
        <m:r>
          <w:rPr>
            <w:rFonts w:ascii="Cambria Math" w:hAnsi="Cambria Math"/>
          </w:rPr>
          <m:t>S</m:t>
        </m:r>
      </m:oMath>
      <w:r>
        <w:t>) was introduced. Therefore, an equation that describes the rate of substrate utilisation needed to be included to solve for the substrate concentration.</w:t>
      </w:r>
    </w:p>
    <w:p w14:paraId="5B4FD8B1" w14:textId="77777777" w:rsidR="00285CB0" w:rsidRPr="00AD0DF6" w:rsidRDefault="00285CB0" w:rsidP="002E5ED4">
      <w:pPr>
        <w:pStyle w:val="EquationCaption"/>
        <w:spacing w:line="480" w:lineRule="auto"/>
        <w:rPr>
          <w:vanish/>
          <w:specVanish/>
        </w:rPr>
      </w:pPr>
      <w:r>
        <w:rPr>
          <w:rFonts w:ascii="Calibri" w:hAnsi="Calibri"/>
        </w:rPr>
        <w:tab/>
      </w:r>
      <m:oMath>
        <m:f>
          <m:fPr>
            <m:ctrlPr>
              <w:rPr>
                <w:rFonts w:ascii="Cambria Math" w:hAnsi="Cambria Math"/>
                <w:i/>
              </w:rPr>
            </m:ctrlPr>
          </m:fPr>
          <m:num>
            <m:r>
              <w:rPr>
                <w:rFonts w:ascii="Cambria Math" w:hAnsi="Cambria Math"/>
              </w:rPr>
              <m:t>ds</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sSub>
          <m:sSubPr>
            <m:ctrlPr>
              <w:rPr>
                <w:rFonts w:ascii="Cambria Math" w:hAnsi="Cambria Math"/>
                <w:i/>
              </w:rPr>
            </m:ctrlPr>
          </m:sSubPr>
          <m:e>
            <m:r>
              <w:rPr>
                <w:rFonts w:ascii="Cambria Math" w:hAnsi="Cambria Math"/>
              </w:rPr>
              <m:t>μ</m:t>
            </m:r>
          </m:e>
          <m:sub>
            <m:r>
              <w:rPr>
                <w:rFonts w:ascii="Cambria Math" w:hAnsi="Cambria Math"/>
              </w:rPr>
              <m:t>max</m:t>
            </m:r>
          </m:sub>
        </m:sSub>
        <m:d>
          <m:dPr>
            <m:ctrlPr>
              <w:rPr>
                <w:rFonts w:ascii="Cambria Math" w:hAnsi="Cambria Math"/>
                <w:i/>
              </w:rPr>
            </m:ctrlPr>
          </m:dPr>
          <m:e>
            <m:f>
              <m:fPr>
                <m:ctrlPr>
                  <w:rPr>
                    <w:rFonts w:ascii="Cambria Math" w:hAnsi="Cambria Math"/>
                    <w:i/>
                  </w:rPr>
                </m:ctrlPr>
              </m:fPr>
              <m:num>
                <m:r>
                  <w:rPr>
                    <w:rFonts w:ascii="Cambria Math" w:hAnsi="Cambria Math"/>
                  </w:rPr>
                  <m:t>s</m:t>
                </m:r>
              </m:num>
              <m:den>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+s</m:t>
                </m:r>
              </m:den>
            </m:f>
          </m:e>
        </m:d>
        <m:r>
          <w:rPr>
            <w:rFonts w:ascii="Cambria Math" w:hAnsi="Cambria Math"/>
          </w:rPr>
          <m:t>X</m:t>
        </m:r>
      </m:oMath>
      <w:r>
        <w:t xml:space="preserve"> </w:t>
      </w:r>
      <w:r>
        <w:tab/>
        <w:t>[</w:t>
      </w:r>
    </w:p>
    <w:p w14:paraId="2138E63B" w14:textId="6474BC81" w:rsidR="00285CB0" w:rsidRDefault="00285CB0" w:rsidP="002E5ED4">
      <w:pPr>
        <w:pStyle w:val="Caption"/>
        <w:spacing w:line="480" w:lineRule="auto"/>
      </w:pPr>
      <w:r>
        <w:t xml:space="preserve"> </w:t>
      </w:r>
      <w:bookmarkStart w:id="72" w:name="_Ref21877131"/>
      <w:r w:rsidR="001975CC">
        <w:rPr>
          <w:noProof/>
        </w:rPr>
        <w:t>18</w:t>
      </w:r>
      <w:bookmarkEnd w:id="72"/>
      <w:r>
        <w:t xml:space="preserve"> ]</w:t>
      </w:r>
    </w:p>
    <w:p w14:paraId="1EE51670" w14:textId="431F0FC0" w:rsidR="00285CB0" w:rsidRDefault="00285CB0" w:rsidP="002E5ED4">
      <w:pPr>
        <w:spacing w:line="480" w:lineRule="auto"/>
      </w:pPr>
      <w:r>
        <w:t xml:space="preserve">There are two ordinary differential equations (ODEs) that need to be solved to predict the biomass concentration and substrate utilisation (dX/dt and dS/dt). ODEs can be solved using the built in MATLAB function, </w:t>
      </w:r>
      <w:r w:rsidRPr="00011A58">
        <w:rPr>
          <w:i/>
          <w:iCs/>
        </w:rPr>
        <w:t>ode45</w:t>
      </w:r>
      <w:r>
        <w:t xml:space="preserve">. However, there are multiple unknown parameters: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μ</m:t>
            </m:r>
          </m:e>
          <m:sub>
            <m:r>
              <w:rPr>
                <w:rFonts w:ascii="Cambria Math" w:hAnsi="Cambria Math"/>
              </w:rPr>
              <m:t>max</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m:oMath>
        <m:sSub>
          <m:sSubPr>
            <m:ctrlPr>
              <w:rPr>
                <w:rFonts w:ascii="Cambria Math" w:hAnsi="Cambria Math"/>
                <w:i/>
              </w:rPr>
            </m:ctrlPr>
          </m:sSubPr>
          <m:e>
            <m:r>
              <w:rPr>
                <w:rFonts w:ascii="Cambria Math" w:hAnsi="Cambria Math"/>
              </w:rPr>
              <m:t>μ</m:t>
            </m:r>
          </m:e>
          <m:sub>
            <m:r>
              <w:rPr>
                <w:rFonts w:ascii="Cambria Math" w:hAnsi="Cambria Math"/>
              </w:rPr>
              <m:t>d</m:t>
            </m:r>
          </m:sub>
        </m:sSub>
      </m:oMath>
      <w:r>
        <w:t xml:space="preserve"> and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These unknowns can be estimated through nonlinear regression of the experimental data (growth curves and glycerol utilisation). The ODEs and nonlinear regression </w:t>
      </w:r>
      <w:r w:rsidR="009A7524">
        <w:t>were</w:t>
      </w:r>
      <w:r>
        <w:t xml:space="preserve"> solved simultaneously, thus the two functions were nested. A flow chart illustrating the nested loop is provided in</w:t>
      </w:r>
      <w:r w:rsidRPr="00961EE2">
        <w:rPr>
          <w:rStyle w:val="FigureCaptionChar"/>
        </w:rPr>
        <w:t xml:space="preserve"> </w:t>
      </w:r>
      <w:r w:rsidR="00B6650F">
        <w:rPr>
          <w:rStyle w:val="FigureCaptionChar"/>
          <w:i w:val="0"/>
        </w:rPr>
        <w:fldChar w:fldCharType="begin"/>
      </w:r>
      <w:r w:rsidR="00B6650F">
        <w:rPr>
          <w:rStyle w:val="FigureCaptionChar"/>
        </w:rPr>
        <w:instrText xml:space="preserve"> REF _Ref75341144 \h </w:instrText>
      </w:r>
      <w:r w:rsidR="00B6650F">
        <w:rPr>
          <w:rStyle w:val="FigureCaptionChar"/>
          <w:i w:val="0"/>
        </w:rPr>
      </w:r>
      <w:r w:rsidR="00B6650F">
        <w:rPr>
          <w:rStyle w:val="FigureCaptionChar"/>
          <w:i w:val="0"/>
        </w:rPr>
        <w:fldChar w:fldCharType="separate"/>
      </w:r>
      <w:r w:rsidR="00B6650F">
        <w:t xml:space="preserve">Figure </w:t>
      </w:r>
      <w:r w:rsidR="00B6650F">
        <w:rPr>
          <w:noProof/>
        </w:rPr>
        <w:t>9</w:t>
      </w:r>
      <w:r w:rsidR="00B6650F">
        <w:rPr>
          <w:rStyle w:val="FigureCaptionChar"/>
          <w:i w:val="0"/>
        </w:rPr>
        <w:fldChar w:fldCharType="end"/>
      </w:r>
      <w:r>
        <w:t xml:space="preserve"> below. The </w:t>
      </w:r>
      <w:r w:rsidRPr="00022349">
        <w:rPr>
          <w:i/>
          <w:iCs/>
        </w:rPr>
        <w:lastRenderedPageBreak/>
        <w:t>lsqnonlin</w:t>
      </w:r>
      <w:r>
        <w:rPr>
          <w:i/>
          <w:iCs/>
        </w:rPr>
        <w:t xml:space="preserve"> </w:t>
      </w:r>
      <w:r>
        <w:t xml:space="preserve">function requires an initial guess for all </w:t>
      </w:r>
      <w:r w:rsidR="00720D61">
        <w:t>the unknown parameters, which are</w:t>
      </w:r>
      <w:r>
        <w:t xml:space="preserve"> then used to solve the ODEs (Equations </w:t>
      </w:r>
      <w:r w:rsidR="001975CC">
        <w:rPr>
          <w:noProof/>
        </w:rPr>
        <w:t>17</w:t>
      </w:r>
      <w:r>
        <w:t xml:space="preserve"> and </w:t>
      </w:r>
      <w:r w:rsidR="001975CC">
        <w:rPr>
          <w:noProof/>
        </w:rPr>
        <w:t>18</w:t>
      </w:r>
      <w:r>
        <w:t xml:space="preserve">) using the two-flux approximation (Equation </w:t>
      </w:r>
      <w:r w:rsidR="001975CC">
        <w:rPr>
          <w:noProof/>
        </w:rPr>
        <w:t>10</w:t>
      </w:r>
      <w:r>
        <w:t>). The results of the ODE (biomass concentration and glycerol concentration over the experimental run) were then used to calculate the error between their predicted values and the actual experimental values at the corresponding time point. The error is then returned and if it is a large error a new initial guess is automatically used to recalculate the ODEs and then the errors. The regression ends when the error cannot be reduced further.</w:t>
      </w:r>
    </w:p>
    <w:p w14:paraId="559A9895" w14:textId="77777777" w:rsidR="00285CB0" w:rsidRDefault="00285CB0" w:rsidP="002E5ED4">
      <w:pPr>
        <w:keepNext/>
        <w:spacing w:line="480" w:lineRule="auto"/>
      </w:pPr>
      <w:r>
        <w:rPr>
          <w:noProof/>
          <w:lang w:val="en-US"/>
        </w:rPr>
        <w:drawing>
          <wp:inline distT="0" distB="0" distL="0" distR="0" wp14:anchorId="2C376C37" wp14:editId="653F4C66">
            <wp:extent cx="5874327" cy="1014377"/>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58952" cy="1028990"/>
                    </a:xfrm>
                    <a:prstGeom prst="rect">
                      <a:avLst/>
                    </a:prstGeom>
                    <a:noFill/>
                  </pic:spPr>
                </pic:pic>
              </a:graphicData>
            </a:graphic>
          </wp:inline>
        </w:drawing>
      </w:r>
    </w:p>
    <w:p w14:paraId="26DC7A6D" w14:textId="74DF6345" w:rsidR="00285CB0" w:rsidRPr="001975CC" w:rsidRDefault="008C52BF" w:rsidP="008C52BF">
      <w:pPr>
        <w:pStyle w:val="Caption"/>
        <w:rPr>
          <w:i/>
          <w:iCs w:val="0"/>
        </w:rPr>
      </w:pPr>
      <w:bookmarkStart w:id="73" w:name="_Ref23800604"/>
      <w:bookmarkStart w:id="74" w:name="_Toc24637368"/>
      <w:bookmarkStart w:id="75" w:name="_Ref75341144"/>
      <w:r>
        <w:t xml:space="preserve">Figure </w:t>
      </w:r>
      <w:fldSimple w:instr=" SEQ Figure \* ARABIC ">
        <w:r w:rsidR="00B6650F">
          <w:rPr>
            <w:noProof/>
          </w:rPr>
          <w:t>9</w:t>
        </w:r>
      </w:fldSimple>
      <w:bookmarkEnd w:id="75"/>
      <w:r>
        <w:t>:</w:t>
      </w:r>
      <w:bookmarkEnd w:id="73"/>
      <w:r w:rsidR="00285CB0" w:rsidRPr="001975CC">
        <w:t xml:space="preserve"> Algorithm flow diagram illustrating the nested loop function for nonlinear regression.</w:t>
      </w:r>
      <w:bookmarkEnd w:id="74"/>
    </w:p>
    <w:p w14:paraId="73516975" w14:textId="1609BFF4" w:rsidR="00285CB0" w:rsidRDefault="00285CB0" w:rsidP="002E5ED4">
      <w:pPr>
        <w:spacing w:line="480" w:lineRule="auto"/>
      </w:pPr>
      <w:r>
        <w:t>The above nested regression and ODE solver was run using all the experimental data from each light intensity to obtain values for the unknown parameters that could be used to fit growth curves and glycerol utilisations for a set light intensity (within the range investigated</w:t>
      </w:r>
      <w:r w:rsidRPr="0058437F">
        <w:t xml:space="preserve">). </w:t>
      </w:r>
      <w:r w:rsidR="00B6650F">
        <w:fldChar w:fldCharType="begin"/>
      </w:r>
      <w:r w:rsidR="00B6650F">
        <w:instrText xml:space="preserve"> REF _Ref21882490 \h </w:instrText>
      </w:r>
      <w:r w:rsidR="00B6650F">
        <w:fldChar w:fldCharType="separate"/>
      </w:r>
      <w:r w:rsidR="00B6650F">
        <w:t xml:space="preserve">Figure </w:t>
      </w:r>
      <w:r w:rsidR="00B6650F">
        <w:rPr>
          <w:noProof/>
        </w:rPr>
        <w:t>10</w:t>
      </w:r>
      <w:r w:rsidR="00B6650F">
        <w:fldChar w:fldCharType="end"/>
      </w:r>
      <w:r w:rsidRPr="00961EE2">
        <w:rPr>
          <w:rStyle w:val="FigureCaptionChar"/>
        </w:rPr>
        <w:t xml:space="preserve"> </w:t>
      </w:r>
      <w:r>
        <w:t xml:space="preserve">below provides the plots of the non-linear regression of best fit parameters of biomass and substrate concentrations for each light intensity investigated versus the actual experimental values. </w:t>
      </w:r>
    </w:p>
    <w:p w14:paraId="77EE80F2" w14:textId="193024C2" w:rsidR="00285CB0" w:rsidRDefault="00285CB0" w:rsidP="002E5ED4">
      <w:pPr>
        <w:spacing w:line="480" w:lineRule="auto"/>
      </w:pPr>
      <w:r>
        <w:t>The predicted response of the biomass and glycerol concentrations shows good fit to the experimental data, with an R</w:t>
      </w:r>
      <w:r>
        <w:rPr>
          <w:vertAlign w:val="superscript"/>
        </w:rPr>
        <w:t>2</w:t>
      </w:r>
      <w:r>
        <w:t xml:space="preserve"> of 0.98 and 0.89 respectively. The 95% prediction intervals (PIs) were very tight and the normalised root mean squared errors (NRMSEs) were below 13% which indicates good precision. There is a slight over-prediction of the rate of substrate utilisation but</w:t>
      </w:r>
      <w:r w:rsidR="00720D61">
        <w:t xml:space="preserve"> this</w:t>
      </w:r>
      <w:r>
        <w:t xml:space="preserve"> is still within the experimental error.</w:t>
      </w:r>
    </w:p>
    <w:p w14:paraId="0E28FD2F" w14:textId="7EFF45B4" w:rsidR="00285CB0" w:rsidRPr="00F61B6A" w:rsidRDefault="00285CB0" w:rsidP="002E5ED4">
      <w:pPr>
        <w:spacing w:line="480" w:lineRule="auto"/>
      </w:pPr>
      <w:r>
        <w:t>A single test experiment was done to check the ability of the model to predict the growth of an experimental run at conditions that were not used to train the model. The test conditions were conducted at light intensity of 100 W/m</w:t>
      </w:r>
      <w:r>
        <w:rPr>
          <w:vertAlign w:val="superscript"/>
        </w:rPr>
        <w:t>2</w:t>
      </w:r>
      <w:r>
        <w:t xml:space="preserve"> in a PBR with an ID of 83 mm. The model shows relatively good fit to the experimental data but overestimates the growth in the later stages of culturing. Therefore, the model </w:t>
      </w:r>
      <w:r>
        <w:lastRenderedPageBreak/>
        <w:t xml:space="preserve">possibly doesn’t capture the full severity of cell mutual shading that occurs in the larger reactors when the culture has a high biomass concentration. </w:t>
      </w:r>
    </w:p>
    <w:p w14:paraId="55859A23" w14:textId="77777777" w:rsidR="00285CB0" w:rsidRDefault="00285CB0" w:rsidP="002E5ED4">
      <w:pPr>
        <w:spacing w:after="0" w:line="480" w:lineRule="auto"/>
        <w:jc w:val="left"/>
        <w:sectPr w:rsidR="00285CB0" w:rsidSect="00193A45">
          <w:footerReference w:type="first" r:id="rId19"/>
          <w:pgSz w:w="11909" w:h="16834" w:code="9"/>
          <w:pgMar w:top="1304" w:right="1304" w:bottom="1304" w:left="1304" w:header="397" w:footer="397" w:gutter="0"/>
          <w:pgNumType w:start="1"/>
          <w:cols w:space="720"/>
          <w:titlePg/>
          <w:docGrid w:linePitch="299"/>
        </w:sectPr>
      </w:pPr>
      <w:r>
        <w:br w:type="page"/>
      </w:r>
    </w:p>
    <w:p w14:paraId="0177150C" w14:textId="77777777" w:rsidR="00285CB0" w:rsidRDefault="00285CB0" w:rsidP="002E5ED4">
      <w:pPr>
        <w:spacing w:line="480" w:lineRule="auto"/>
        <w:jc w:val="center"/>
      </w:pPr>
      <w:r>
        <w:rPr>
          <w:noProof/>
          <w:lang w:val="en-US"/>
        </w:rPr>
        <w:lastRenderedPageBreak/>
        <mc:AlternateContent>
          <mc:Choice Requires="wps">
            <w:drawing>
              <wp:anchor distT="45720" distB="45720" distL="114300" distR="114300" simplePos="0" relativeHeight="251670528" behindDoc="0" locked="0" layoutInCell="1" allowOverlap="1" wp14:anchorId="4862DDC4" wp14:editId="13E27396">
                <wp:simplePos x="0" y="0"/>
                <wp:positionH relativeFrom="column">
                  <wp:posOffset>6642735</wp:posOffset>
                </wp:positionH>
                <wp:positionV relativeFrom="paragraph">
                  <wp:posOffset>2540</wp:posOffset>
                </wp:positionV>
                <wp:extent cx="335280" cy="28956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52151A91" w14:textId="77777777" w:rsidR="00773B16" w:rsidRDefault="00773B16" w:rsidP="00285CB0">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62DDC4" id="_x0000_t202" coordsize="21600,21600" o:spt="202" path="m,l,21600r21600,l21600,xe">
                <v:stroke joinstyle="miter"/>
                <v:path gradientshapeok="t" o:connecttype="rect"/>
              </v:shapetype>
              <v:shape id="Text Box 2" o:spid="_x0000_s1026" type="#_x0000_t202" style="position:absolute;left:0;text-align:left;margin-left:523.05pt;margin-top:.2pt;width:26.4pt;height:22.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" filled="f" stroked="f">
                <v:textbox>
                  <w:txbxContent>
                    <w:p w14:paraId="52151A91" w14:textId="77777777" w:rsidR="00773B16" w:rsidRDefault="00773B16" w:rsidP="00285CB0">
                      <w:r>
                        <w:t>c)</w:t>
                      </w:r>
                    </w:p>
                  </w:txbxContent>
                </v:textbox>
              </v:shape>
            </w:pict>
          </mc:Fallback>
        </mc:AlternateContent>
      </w:r>
      <w:r>
        <w:rPr>
          <w:noProof/>
          <w:lang w:val="en-US"/>
        </w:rPr>
        <mc:AlternateContent>
          <mc:Choice Requires="wps">
            <w:drawing>
              <wp:anchor distT="45720" distB="45720" distL="114300" distR="114300" simplePos="0" relativeHeight="251669504" behindDoc="0" locked="0" layoutInCell="1" allowOverlap="1" wp14:anchorId="7178EAA0" wp14:editId="46CDF19D">
                <wp:simplePos x="0" y="0"/>
                <wp:positionH relativeFrom="column">
                  <wp:posOffset>3328035</wp:posOffset>
                </wp:positionH>
                <wp:positionV relativeFrom="paragraph">
                  <wp:posOffset>2540</wp:posOffset>
                </wp:positionV>
                <wp:extent cx="335280" cy="289560"/>
                <wp:effectExtent l="0" t="0" r="0" b="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0EA91EB8" w14:textId="77777777" w:rsidR="00773B16" w:rsidRDefault="00773B16" w:rsidP="00285CB0">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8EAA0" id="_x0000_s1027" type="#_x0000_t202" style="position:absolute;left:0;text-align:left;margin-left:262.05pt;margin-top:.2pt;width:26.4pt;height:22.8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" filled="f" stroked="f">
                <v:textbox>
                  <w:txbxContent>
                    <w:p w14:paraId="0EA91EB8" w14:textId="77777777" w:rsidR="00773B16" w:rsidRDefault="00773B16" w:rsidP="00285CB0">
                      <w:r>
                        <w:t>b)</w:t>
                      </w:r>
                    </w:p>
                  </w:txbxContent>
                </v:textbox>
              </v:shape>
            </w:pict>
          </mc:Fallback>
        </mc:AlternateContent>
      </w:r>
      <w:r>
        <w:rPr>
          <w:noProof/>
          <w:lang w:val="en-US"/>
        </w:rPr>
        <mc:AlternateContent>
          <mc:Choice Requires="wps">
            <w:drawing>
              <wp:anchor distT="45720" distB="45720" distL="114300" distR="114300" simplePos="0" relativeHeight="251668480" behindDoc="0" locked="0" layoutInCell="1" allowOverlap="1" wp14:anchorId="65BAE6AE" wp14:editId="4E308876">
                <wp:simplePos x="0" y="0"/>
                <wp:positionH relativeFrom="column">
                  <wp:posOffset>13335</wp:posOffset>
                </wp:positionH>
                <wp:positionV relativeFrom="paragraph">
                  <wp:posOffset>2540</wp:posOffset>
                </wp:positionV>
                <wp:extent cx="335280" cy="28956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090C3DDB" w14:textId="77777777" w:rsidR="00773B16" w:rsidRDefault="00773B16" w:rsidP="00285CB0">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BAE6AE" id="_x0000_s1028" type="#_x0000_t202" style="position:absolute;left:0;text-align:left;margin-left:1.05pt;margin-top:.2pt;width:26.4pt;height:22.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" filled="f" stroked="f">
                <v:textbox>
                  <w:txbxContent>
                    <w:p w14:paraId="090C3DDB" w14:textId="77777777" w:rsidR="00773B16" w:rsidRDefault="00773B16" w:rsidP="00285CB0">
                      <w:r>
                        <w:t>a)</w:t>
                      </w:r>
                    </w:p>
                  </w:txbxContent>
                </v:textbox>
              </v:shape>
            </w:pict>
          </mc:Fallback>
        </mc:AlternateContent>
      </w:r>
      <w:r>
        <w:rPr>
          <w:noProof/>
          <w:lang w:val="en-US"/>
        </w:rPr>
        <w:drawing>
          <wp:inline distT="0" distB="0" distL="0" distR="0" wp14:anchorId="36EFFC3F" wp14:editId="2FACCD83">
            <wp:extent cx="3312000" cy="248123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12000" cy="2481239"/>
                    </a:xfrm>
                    <a:prstGeom prst="rect">
                      <a:avLst/>
                    </a:prstGeom>
                    <a:noFill/>
                    <a:ln>
                      <a:noFill/>
                    </a:ln>
                  </pic:spPr>
                </pic:pic>
              </a:graphicData>
            </a:graphic>
          </wp:inline>
        </w:drawing>
      </w:r>
      <w:r>
        <w:rPr>
          <w:noProof/>
          <w:lang w:val="en-US"/>
        </w:rPr>
        <w:drawing>
          <wp:inline distT="0" distB="0" distL="0" distR="0" wp14:anchorId="1354DF27" wp14:editId="3A01965D">
            <wp:extent cx="3312000" cy="248124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12000" cy="2481240"/>
                    </a:xfrm>
                    <a:prstGeom prst="rect">
                      <a:avLst/>
                    </a:prstGeom>
                    <a:noFill/>
                    <a:ln>
                      <a:noFill/>
                    </a:ln>
                  </pic:spPr>
                </pic:pic>
              </a:graphicData>
            </a:graphic>
          </wp:inline>
        </w:drawing>
      </w:r>
      <w:r>
        <w:rPr>
          <w:noProof/>
          <w:lang w:val="en-US"/>
        </w:rPr>
        <w:drawing>
          <wp:inline distT="0" distB="0" distL="0" distR="0" wp14:anchorId="69F2344A" wp14:editId="0BCCF82B">
            <wp:extent cx="3312000" cy="248124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2000" cy="2481240"/>
                    </a:xfrm>
                    <a:prstGeom prst="rect">
                      <a:avLst/>
                    </a:prstGeom>
                    <a:noFill/>
                    <a:ln>
                      <a:noFill/>
                    </a:ln>
                  </pic:spPr>
                </pic:pic>
              </a:graphicData>
            </a:graphic>
          </wp:inline>
        </w:drawing>
      </w:r>
    </w:p>
    <w:p w14:paraId="506F2927" w14:textId="77777777" w:rsidR="00285CB0" w:rsidRDefault="00285CB0" w:rsidP="002E5ED4">
      <w:pPr>
        <w:spacing w:line="480" w:lineRule="auto"/>
        <w:jc w:val="center"/>
      </w:pPr>
      <w:r>
        <w:rPr>
          <w:noProof/>
          <w:lang w:val="en-US"/>
        </w:rPr>
        <mc:AlternateContent>
          <mc:Choice Requires="wps">
            <w:drawing>
              <wp:anchor distT="45720" distB="45720" distL="114300" distR="114300" simplePos="0" relativeHeight="251672576" behindDoc="0" locked="0" layoutInCell="1" allowOverlap="1" wp14:anchorId="515931B5" wp14:editId="65D4CD69">
                <wp:simplePos x="0" y="0"/>
                <wp:positionH relativeFrom="column">
                  <wp:posOffset>4981575</wp:posOffset>
                </wp:positionH>
                <wp:positionV relativeFrom="paragraph">
                  <wp:posOffset>-3175</wp:posOffset>
                </wp:positionV>
                <wp:extent cx="335280" cy="289560"/>
                <wp:effectExtent l="0" t="0" r="0" b="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64A6ADAB" w14:textId="77777777" w:rsidR="00773B16" w:rsidRDefault="00773B16" w:rsidP="00285CB0">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5931B5" id="_x0000_s1029" type="#_x0000_t202" style="position:absolute;left:0;text-align:left;margin-left:392.25pt;margin-top:-.25pt;width:26.4pt;height:22.8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" filled="f" stroked="f">
                <v:textbox>
                  <w:txbxContent>
                    <w:p w14:paraId="64A6ADAB" w14:textId="77777777" w:rsidR="00773B16" w:rsidRDefault="00773B16" w:rsidP="00285CB0">
                      <w:r>
                        <w:t>e)</w:t>
                      </w:r>
                    </w:p>
                  </w:txbxContent>
                </v:textbox>
              </v:shape>
            </w:pict>
          </mc:Fallback>
        </mc:AlternateContent>
      </w:r>
      <w:r>
        <w:rPr>
          <w:noProof/>
          <w:lang w:val="en-US"/>
        </w:rPr>
        <mc:AlternateContent>
          <mc:Choice Requires="wps">
            <w:drawing>
              <wp:anchor distT="45720" distB="45720" distL="114300" distR="114300" simplePos="0" relativeHeight="251671552" behindDoc="0" locked="0" layoutInCell="1" allowOverlap="1" wp14:anchorId="2FD91B20" wp14:editId="36F25645">
                <wp:simplePos x="0" y="0"/>
                <wp:positionH relativeFrom="column">
                  <wp:posOffset>1666875</wp:posOffset>
                </wp:positionH>
                <wp:positionV relativeFrom="paragraph">
                  <wp:posOffset>-3175</wp:posOffset>
                </wp:positionV>
                <wp:extent cx="335280" cy="289560"/>
                <wp:effectExtent l="0" t="0" r="0" b="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5B5E57FD" w14:textId="77777777" w:rsidR="00773B16" w:rsidRDefault="00773B16" w:rsidP="00285CB0">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D91B20" id="_x0000_s1030" type="#_x0000_t202" style="position:absolute;left:0;text-align:left;margin-left:131.25pt;margin-top:-.25pt;width:26.4pt;height:22.8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" filled="f" stroked="f">
                <v:textbox>
                  <w:txbxContent>
                    <w:p w14:paraId="5B5E57FD" w14:textId="77777777" w:rsidR="00773B16" w:rsidRDefault="00773B16" w:rsidP="00285CB0">
                      <w:r>
                        <w:t>d)</w:t>
                      </w:r>
                    </w:p>
                  </w:txbxContent>
                </v:textbox>
              </v:shape>
            </w:pict>
          </mc:Fallback>
        </mc:AlternateContent>
      </w:r>
      <w:r>
        <w:rPr>
          <w:noProof/>
          <w:lang w:val="en-US"/>
        </w:rPr>
        <w:drawing>
          <wp:inline distT="0" distB="0" distL="0" distR="0" wp14:anchorId="09E45F06" wp14:editId="191E275F">
            <wp:extent cx="3312000" cy="248124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12000" cy="2481240"/>
                    </a:xfrm>
                    <a:prstGeom prst="rect">
                      <a:avLst/>
                    </a:prstGeom>
                    <a:noFill/>
                    <a:ln>
                      <a:noFill/>
                    </a:ln>
                  </pic:spPr>
                </pic:pic>
              </a:graphicData>
            </a:graphic>
          </wp:inline>
        </w:drawing>
      </w:r>
      <w:r>
        <w:rPr>
          <w:noProof/>
          <w:lang w:val="en-US"/>
        </w:rPr>
        <w:drawing>
          <wp:inline distT="0" distB="0" distL="0" distR="0" wp14:anchorId="34D93836" wp14:editId="0C4E3B26">
            <wp:extent cx="3312000" cy="248124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12000" cy="2481240"/>
                    </a:xfrm>
                    <a:prstGeom prst="rect">
                      <a:avLst/>
                    </a:prstGeom>
                    <a:noFill/>
                    <a:ln>
                      <a:noFill/>
                    </a:ln>
                  </pic:spPr>
                </pic:pic>
              </a:graphicData>
            </a:graphic>
          </wp:inline>
        </w:drawing>
      </w:r>
    </w:p>
    <w:p w14:paraId="538A950F" w14:textId="306B13A6" w:rsidR="00285CB0" w:rsidRPr="00D932BB" w:rsidRDefault="00B6650F" w:rsidP="00B6650F">
      <w:pPr>
        <w:pStyle w:val="Caption"/>
        <w:rPr>
          <w:i/>
          <w:iCs w:val="0"/>
        </w:rPr>
      </w:pPr>
      <w:bookmarkStart w:id="76" w:name="_Ref21882490"/>
      <w:bookmarkStart w:id="77" w:name="_Toc21954020"/>
      <w:bookmarkStart w:id="78" w:name="_Toc22684068"/>
      <w:bookmarkStart w:id="79" w:name="_Toc24637369"/>
      <w:r>
        <w:lastRenderedPageBreak/>
        <w:t xml:space="preserve">Figure </w:t>
      </w:r>
      <w:fldSimple w:instr=" SEQ Figure \* ARABIC ">
        <w:r>
          <w:rPr>
            <w:noProof/>
          </w:rPr>
          <w:t>10</w:t>
        </w:r>
      </w:fldSimple>
      <w:bookmarkEnd w:id="76"/>
      <w:r w:rsidR="00285CB0" w:rsidRPr="00D932BB">
        <w:t>: Non-linear regression of best fit parameters of biomass and substrate concentrations for each light intensity investigated versus the actual experimental values. a) 30, b) 70, c) 200, d) 400 and e) 600 W/m</w:t>
      </w:r>
      <w:r w:rsidR="00285CB0" w:rsidRPr="00D932BB">
        <w:rPr>
          <w:vertAlign w:val="superscript"/>
        </w:rPr>
        <w:t>2</w:t>
      </w:r>
      <w:r w:rsidR="00285CB0" w:rsidRPr="00D932BB">
        <w:t>.</w:t>
      </w:r>
      <w:bookmarkEnd w:id="77"/>
      <w:bookmarkEnd w:id="78"/>
      <w:bookmarkEnd w:id="79"/>
    </w:p>
    <w:p w14:paraId="0685483B" w14:textId="77777777" w:rsidR="00285CB0" w:rsidRDefault="00285CB0" w:rsidP="002E5ED4">
      <w:pPr>
        <w:spacing w:after="0" w:line="480" w:lineRule="auto"/>
        <w:jc w:val="left"/>
        <w:sectPr w:rsidR="00285CB0" w:rsidSect="00CE6F3C">
          <w:pgSz w:w="16834" w:h="11909" w:orient="landscape" w:code="9"/>
          <w:pgMar w:top="1304" w:right="567" w:bottom="1304" w:left="567" w:header="397" w:footer="397" w:gutter="0"/>
          <w:cols w:space="720"/>
          <w:titlePg/>
          <w:docGrid w:linePitch="299"/>
        </w:sectPr>
      </w:pPr>
    </w:p>
    <w:p w14:paraId="4230A280" w14:textId="77777777" w:rsidR="00285CB0" w:rsidRPr="0049589E" w:rsidRDefault="00285CB0" w:rsidP="002E5ED4">
      <w:pPr>
        <w:pStyle w:val="Heading4"/>
        <w:spacing w:line="480" w:lineRule="auto"/>
      </w:pPr>
      <w:r>
        <w:lastRenderedPageBreak/>
        <w:t>Light intensity modelling</w:t>
      </w:r>
    </w:p>
    <w:p w14:paraId="5ED6E2A3" w14:textId="3281E6F5" w:rsidR="00285CB0" w:rsidRDefault="00285CB0" w:rsidP="002E5ED4">
      <w:pPr>
        <w:spacing w:line="480" w:lineRule="auto"/>
      </w:pPr>
      <w:r>
        <w:t>With a working model for light attenuation and prediction of biomass concentration change over time for various light intensities, the average light intensity</w:t>
      </w:r>
      <w:r w:rsidRPr="003F5115">
        <w:t xml:space="preserve"> </w:t>
      </w:r>
      <w:r>
        <w:t xml:space="preserve">in the tubular PBR could be estimated. These predictions are provided </w:t>
      </w:r>
      <w:r w:rsidRPr="0058437F">
        <w:t xml:space="preserve">in </w:t>
      </w:r>
      <w:r w:rsidR="00B6650F">
        <w:fldChar w:fldCharType="begin"/>
      </w:r>
      <w:r w:rsidR="00B6650F">
        <w:instrText xml:space="preserve"> REF _Ref21882490 \h </w:instrText>
      </w:r>
      <w:r w:rsidR="00B6650F">
        <w:fldChar w:fldCharType="separate"/>
      </w:r>
      <w:r w:rsidR="00B6650F">
        <w:t xml:space="preserve">Figure </w:t>
      </w:r>
      <w:r w:rsidR="00B6650F">
        <w:rPr>
          <w:noProof/>
        </w:rPr>
        <w:t>10</w:t>
      </w:r>
      <w:r w:rsidR="00B6650F">
        <w:fldChar w:fldCharType="end"/>
      </w:r>
      <w:r w:rsidRPr="0058437F">
        <w:t>. The</w:t>
      </w:r>
      <w:r>
        <w:t xml:space="preserve"> average light intensity decreased over time with a trend inverse to each light intensity’s corresponding growth curve. This profile aligned well with literature </w:t>
      </w:r>
      <w:r w:rsidRPr="007931A3">
        <w:rPr>
          <w:noProof/>
        </w:rPr>
        <w:t>(Palamae et al., 2018)</w:t>
      </w:r>
      <w:r>
        <w:t xml:space="preserve"> where a similar response was reported for average light intensity over time when culturing </w:t>
      </w:r>
      <w:r w:rsidRPr="009F4009">
        <w:rPr>
          <w:i/>
          <w:iCs/>
        </w:rPr>
        <w:t>R.</w:t>
      </w:r>
      <w:r>
        <w:rPr>
          <w:i/>
          <w:iCs/>
        </w:rPr>
        <w:t> </w:t>
      </w:r>
      <w:r w:rsidRPr="009F4009">
        <w:rPr>
          <w:i/>
          <w:iCs/>
        </w:rPr>
        <w:t>sphaeroides</w:t>
      </w:r>
      <w:r w:rsidRPr="00AD3D4F">
        <w:t xml:space="preserve"> S10</w:t>
      </w:r>
      <w:r>
        <w:t xml:space="preserve"> in a tubular PBR system. The 95% PIs for average light intensity were propagated from the PIs calculated for biomass concentration.</w:t>
      </w:r>
    </w:p>
    <w:p w14:paraId="74C174C2" w14:textId="77777777" w:rsidR="00285CB0" w:rsidRDefault="00285CB0" w:rsidP="002E5ED4">
      <w:pPr>
        <w:spacing w:after="0" w:line="480" w:lineRule="auto"/>
        <w:jc w:val="left"/>
        <w:sectPr w:rsidR="00285CB0" w:rsidSect="00D67A93">
          <w:footerReference w:type="default" r:id="rId25"/>
          <w:footerReference w:type="first" r:id="rId26"/>
          <w:pgSz w:w="11909" w:h="16834" w:code="9"/>
          <w:pgMar w:top="1304" w:right="1304" w:bottom="1304" w:left="1304" w:header="397" w:footer="397" w:gutter="0"/>
          <w:cols w:space="720"/>
          <w:titlePg/>
          <w:docGrid w:linePitch="299"/>
        </w:sectPr>
      </w:pPr>
      <w:r>
        <w:br w:type="page"/>
      </w:r>
    </w:p>
    <w:bookmarkStart w:id="80" w:name="_Ref21900063"/>
    <w:bookmarkStart w:id="81" w:name="_Toc21954021"/>
    <w:bookmarkStart w:id="82" w:name="_Toc22684069"/>
    <w:p w14:paraId="3CA925BF" w14:textId="77777777" w:rsidR="00285CB0" w:rsidRDefault="00285CB0" w:rsidP="002E5ED4">
      <w:pPr>
        <w:keepNext/>
        <w:spacing w:line="480" w:lineRule="auto"/>
        <w:jc w:val="center"/>
        <w:rPr>
          <w:i/>
          <w:iCs/>
          <w:sz w:val="20"/>
        </w:rPr>
      </w:pPr>
      <w:r>
        <w:rPr>
          <w:noProof/>
          <w:lang w:val="en-US"/>
        </w:rPr>
        <w:lastRenderedPageBreak/>
        <mc:AlternateContent>
          <mc:Choice Requires="wps">
            <w:drawing>
              <wp:anchor distT="45720" distB="45720" distL="114300" distR="114300" simplePos="0" relativeHeight="251675648" behindDoc="0" locked="0" layoutInCell="1" allowOverlap="1" wp14:anchorId="303FD7E1" wp14:editId="1C49999F">
                <wp:simplePos x="0" y="0"/>
                <wp:positionH relativeFrom="column">
                  <wp:posOffset>6642735</wp:posOffset>
                </wp:positionH>
                <wp:positionV relativeFrom="paragraph">
                  <wp:posOffset>2540</wp:posOffset>
                </wp:positionV>
                <wp:extent cx="335280" cy="289560"/>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5197A065" w14:textId="77777777" w:rsidR="00773B16" w:rsidRDefault="00773B16" w:rsidP="00285CB0">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3FD7E1" id="_x0000_s1031" type="#_x0000_t202" style="position:absolute;left:0;text-align:left;margin-left:523.05pt;margin-top:.2pt;width:26.4pt;height:22.8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" filled="f" stroked="f">
                <v:textbox>
                  <w:txbxContent>
                    <w:p w14:paraId="5197A065" w14:textId="77777777" w:rsidR="00773B16" w:rsidRDefault="00773B16" w:rsidP="00285CB0">
                      <w:r>
                        <w:t>c)</w:t>
                      </w:r>
                    </w:p>
                  </w:txbxContent>
                </v:textbox>
              </v:shape>
            </w:pict>
          </mc:Fallback>
        </mc:AlternateContent>
      </w:r>
      <w:r>
        <w:rPr>
          <w:noProof/>
          <w:lang w:val="en-US"/>
        </w:rPr>
        <mc:AlternateContent>
          <mc:Choice Requires="wps">
            <w:drawing>
              <wp:anchor distT="45720" distB="45720" distL="114300" distR="114300" simplePos="0" relativeHeight="251674624" behindDoc="0" locked="0" layoutInCell="1" allowOverlap="1" wp14:anchorId="4E973C28" wp14:editId="1AEBAABE">
                <wp:simplePos x="0" y="0"/>
                <wp:positionH relativeFrom="column">
                  <wp:posOffset>3328035</wp:posOffset>
                </wp:positionH>
                <wp:positionV relativeFrom="paragraph">
                  <wp:posOffset>2540</wp:posOffset>
                </wp:positionV>
                <wp:extent cx="335280" cy="289560"/>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7F83E0AF" w14:textId="77777777" w:rsidR="00773B16" w:rsidRDefault="00773B16" w:rsidP="00285CB0">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973C28" id="_x0000_s1032" type="#_x0000_t202" style="position:absolute;left:0;text-align:left;margin-left:262.05pt;margin-top:.2pt;width:26.4pt;height:22.8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" filled="f" stroked="f">
                <v:textbox>
                  <w:txbxContent>
                    <w:p w14:paraId="7F83E0AF" w14:textId="77777777" w:rsidR="00773B16" w:rsidRDefault="00773B16" w:rsidP="00285CB0">
                      <w:r>
                        <w:t>b)</w:t>
                      </w:r>
                    </w:p>
                  </w:txbxContent>
                </v:textbox>
              </v:shape>
            </w:pict>
          </mc:Fallback>
        </mc:AlternateContent>
      </w:r>
      <w:r>
        <w:rPr>
          <w:noProof/>
          <w:lang w:val="en-US"/>
        </w:rPr>
        <mc:AlternateContent>
          <mc:Choice Requires="wps">
            <w:drawing>
              <wp:anchor distT="45720" distB="45720" distL="114300" distR="114300" simplePos="0" relativeHeight="251673600" behindDoc="0" locked="0" layoutInCell="1" allowOverlap="1" wp14:anchorId="5E01F730" wp14:editId="0C74E72C">
                <wp:simplePos x="0" y="0"/>
                <wp:positionH relativeFrom="column">
                  <wp:posOffset>13335</wp:posOffset>
                </wp:positionH>
                <wp:positionV relativeFrom="paragraph">
                  <wp:posOffset>2540</wp:posOffset>
                </wp:positionV>
                <wp:extent cx="335280" cy="289560"/>
                <wp:effectExtent l="0" t="0" r="0" b="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6452A9E8" w14:textId="77777777" w:rsidR="00773B16" w:rsidRDefault="00773B16" w:rsidP="00285CB0">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01F730" id="_x0000_s1033" type="#_x0000_t202" style="position:absolute;left:0;text-align:left;margin-left:1.05pt;margin-top:.2pt;width:26.4pt;height:22.8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" filled="f" stroked="f">
                <v:textbox>
                  <w:txbxContent>
                    <w:p w14:paraId="6452A9E8" w14:textId="77777777" w:rsidR="00773B16" w:rsidRDefault="00773B16" w:rsidP="00285CB0">
                      <w:r>
                        <w:t>a)</w:t>
                      </w:r>
                    </w:p>
                  </w:txbxContent>
                </v:textbox>
              </v:shape>
            </w:pict>
          </mc:Fallback>
        </mc:AlternateContent>
      </w:r>
      <w:r>
        <w:rPr>
          <w:noProof/>
          <w:lang w:val="en-US"/>
        </w:rPr>
        <w:drawing>
          <wp:inline distT="0" distB="0" distL="0" distR="0" wp14:anchorId="7BD54AB0" wp14:editId="409F3B9F">
            <wp:extent cx="3312000" cy="2483054"/>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12000" cy="2483054"/>
                    </a:xfrm>
                    <a:prstGeom prst="rect">
                      <a:avLst/>
                    </a:prstGeom>
                    <a:noFill/>
                    <a:ln>
                      <a:noFill/>
                    </a:ln>
                  </pic:spPr>
                </pic:pic>
              </a:graphicData>
            </a:graphic>
          </wp:inline>
        </w:drawing>
      </w:r>
      <w:r>
        <w:rPr>
          <w:noProof/>
          <w:lang w:val="en-US"/>
        </w:rPr>
        <w:drawing>
          <wp:inline distT="0" distB="0" distL="0" distR="0" wp14:anchorId="37BF1C01" wp14:editId="39A212A7">
            <wp:extent cx="3312000" cy="2483054"/>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12000" cy="2483054"/>
                    </a:xfrm>
                    <a:prstGeom prst="rect">
                      <a:avLst/>
                    </a:prstGeom>
                    <a:noFill/>
                    <a:ln>
                      <a:noFill/>
                    </a:ln>
                  </pic:spPr>
                </pic:pic>
              </a:graphicData>
            </a:graphic>
          </wp:inline>
        </w:drawing>
      </w:r>
      <w:r>
        <w:rPr>
          <w:noProof/>
          <w:lang w:val="en-US"/>
        </w:rPr>
        <w:drawing>
          <wp:inline distT="0" distB="0" distL="0" distR="0" wp14:anchorId="19B264AA" wp14:editId="6BCC98FC">
            <wp:extent cx="3312000" cy="2483054"/>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12000" cy="2483054"/>
                    </a:xfrm>
                    <a:prstGeom prst="rect">
                      <a:avLst/>
                    </a:prstGeom>
                    <a:noFill/>
                    <a:ln>
                      <a:noFill/>
                    </a:ln>
                  </pic:spPr>
                </pic:pic>
              </a:graphicData>
            </a:graphic>
          </wp:inline>
        </w:drawing>
      </w:r>
    </w:p>
    <w:p w14:paraId="4019E030" w14:textId="77777777" w:rsidR="00285CB0" w:rsidRDefault="00285CB0" w:rsidP="002E5ED4">
      <w:pPr>
        <w:keepNext/>
        <w:spacing w:line="480" w:lineRule="auto"/>
        <w:jc w:val="center"/>
        <w:rPr>
          <w:i/>
          <w:iCs/>
          <w:sz w:val="20"/>
        </w:rPr>
      </w:pPr>
      <w:r>
        <w:rPr>
          <w:noProof/>
          <w:lang w:val="en-US"/>
        </w:rPr>
        <mc:AlternateContent>
          <mc:Choice Requires="wps">
            <w:drawing>
              <wp:anchor distT="45720" distB="45720" distL="114300" distR="114300" simplePos="0" relativeHeight="251677696" behindDoc="0" locked="0" layoutInCell="1" allowOverlap="1" wp14:anchorId="2315E379" wp14:editId="19C47067">
                <wp:simplePos x="0" y="0"/>
                <wp:positionH relativeFrom="column">
                  <wp:posOffset>4981575</wp:posOffset>
                </wp:positionH>
                <wp:positionV relativeFrom="paragraph">
                  <wp:posOffset>2540</wp:posOffset>
                </wp:positionV>
                <wp:extent cx="335280" cy="289560"/>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6FD6B563" w14:textId="77777777" w:rsidR="00773B16" w:rsidRDefault="00773B16" w:rsidP="00285CB0">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5E379" id="_x0000_s1034" type="#_x0000_t202" style="position:absolute;left:0;text-align:left;margin-left:392.25pt;margin-top:.2pt;width:26.4pt;height:22.8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" filled="f" stroked="f">
                <v:textbox>
                  <w:txbxContent>
                    <w:p w14:paraId="6FD6B563" w14:textId="77777777" w:rsidR="00773B16" w:rsidRDefault="00773B16" w:rsidP="00285CB0">
                      <w:r>
                        <w:t>e)</w:t>
                      </w:r>
                    </w:p>
                  </w:txbxContent>
                </v:textbox>
              </v:shape>
            </w:pict>
          </mc:Fallback>
        </mc:AlternateContent>
      </w:r>
      <w:r>
        <w:rPr>
          <w:noProof/>
          <w:lang w:val="en-US"/>
        </w:rPr>
        <mc:AlternateContent>
          <mc:Choice Requires="wps">
            <w:drawing>
              <wp:anchor distT="45720" distB="45720" distL="114300" distR="114300" simplePos="0" relativeHeight="251676672" behindDoc="0" locked="0" layoutInCell="1" allowOverlap="1" wp14:anchorId="2018D1EC" wp14:editId="733A0E8B">
                <wp:simplePos x="0" y="0"/>
                <wp:positionH relativeFrom="column">
                  <wp:posOffset>1666875</wp:posOffset>
                </wp:positionH>
                <wp:positionV relativeFrom="paragraph">
                  <wp:posOffset>2540</wp:posOffset>
                </wp:positionV>
                <wp:extent cx="335280" cy="289560"/>
                <wp:effectExtent l="0" t="0" r="0" b="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70FE82D6" w14:textId="77777777" w:rsidR="00773B16" w:rsidRDefault="00773B16" w:rsidP="00285CB0">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8D1EC" id="_x0000_s1035" type="#_x0000_t202" style="position:absolute;left:0;text-align:left;margin-left:131.25pt;margin-top:.2pt;width:26.4pt;height:22.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" filled="f" stroked="f">
                <v:textbox>
                  <w:txbxContent>
                    <w:p w14:paraId="70FE82D6" w14:textId="77777777" w:rsidR="00773B16" w:rsidRDefault="00773B16" w:rsidP="00285CB0">
                      <w:r>
                        <w:t>d)</w:t>
                      </w:r>
                    </w:p>
                  </w:txbxContent>
                </v:textbox>
              </v:shape>
            </w:pict>
          </mc:Fallback>
        </mc:AlternateContent>
      </w:r>
      <w:r>
        <w:rPr>
          <w:noProof/>
          <w:lang w:val="en-US"/>
        </w:rPr>
        <w:drawing>
          <wp:inline distT="0" distB="0" distL="0" distR="0" wp14:anchorId="154CD319" wp14:editId="3F4B2F70">
            <wp:extent cx="3312000" cy="2483054"/>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12000" cy="2483054"/>
                    </a:xfrm>
                    <a:prstGeom prst="rect">
                      <a:avLst/>
                    </a:prstGeom>
                    <a:noFill/>
                    <a:ln>
                      <a:noFill/>
                    </a:ln>
                  </pic:spPr>
                </pic:pic>
              </a:graphicData>
            </a:graphic>
          </wp:inline>
        </w:drawing>
      </w:r>
      <w:r>
        <w:rPr>
          <w:noProof/>
          <w:lang w:val="en-US"/>
        </w:rPr>
        <w:drawing>
          <wp:inline distT="0" distB="0" distL="0" distR="0" wp14:anchorId="4267AEDC" wp14:editId="1EABF93A">
            <wp:extent cx="3312000" cy="2483054"/>
            <wp:effectExtent l="0" t="0" r="317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12000" cy="2483054"/>
                    </a:xfrm>
                    <a:prstGeom prst="rect">
                      <a:avLst/>
                    </a:prstGeom>
                    <a:noFill/>
                    <a:ln>
                      <a:noFill/>
                    </a:ln>
                  </pic:spPr>
                </pic:pic>
              </a:graphicData>
            </a:graphic>
          </wp:inline>
        </w:drawing>
      </w:r>
    </w:p>
    <w:p w14:paraId="7684D910" w14:textId="09149FD3" w:rsidR="00285CB0" w:rsidRPr="00D932BB" w:rsidRDefault="00B6650F" w:rsidP="00B6650F">
      <w:pPr>
        <w:pStyle w:val="Caption"/>
        <w:rPr>
          <w:i/>
          <w:iCs w:val="0"/>
        </w:rPr>
      </w:pPr>
      <w:bookmarkStart w:id="83" w:name="_Ref24385332"/>
      <w:bookmarkStart w:id="84" w:name="_Toc24637370"/>
      <w:r>
        <w:t xml:space="preserve">Figure </w:t>
      </w:r>
      <w:fldSimple w:instr=" SEQ Figure \* ARABIC ">
        <w:r>
          <w:rPr>
            <w:noProof/>
          </w:rPr>
          <w:t>11</w:t>
        </w:r>
      </w:fldSimple>
      <w:bookmarkEnd w:id="80"/>
      <w:bookmarkEnd w:id="83"/>
      <w:r w:rsidR="00285CB0" w:rsidRPr="00D932BB">
        <w:t>:</w:t>
      </w:r>
      <w:bookmarkEnd w:id="81"/>
      <w:r w:rsidR="00285CB0" w:rsidRPr="00D932BB">
        <w:t xml:space="preserve"> Estimation of average light intensity in the tubular PBR over time. </w:t>
      </w:r>
      <w:r w:rsidR="00285CB0" w:rsidRPr="00D932BB">
        <w:rPr>
          <w:szCs w:val="16"/>
        </w:rPr>
        <w:t>a) 30, b) 70, c) 200, d) 400 and e) 600 W/m</w:t>
      </w:r>
      <w:r w:rsidR="00285CB0" w:rsidRPr="00D932BB">
        <w:rPr>
          <w:szCs w:val="16"/>
          <w:vertAlign w:val="superscript"/>
        </w:rPr>
        <w:t>2</w:t>
      </w:r>
      <w:bookmarkEnd w:id="82"/>
      <w:bookmarkEnd w:id="84"/>
    </w:p>
    <w:p w14:paraId="6188238F" w14:textId="77777777" w:rsidR="00285CB0" w:rsidRDefault="00285CB0" w:rsidP="002E5ED4">
      <w:pPr>
        <w:spacing w:line="480" w:lineRule="auto"/>
        <w:sectPr w:rsidR="00285CB0" w:rsidSect="009C6FBF">
          <w:pgSz w:w="16834" w:h="11909" w:orient="landscape" w:code="9"/>
          <w:pgMar w:top="1304" w:right="567" w:bottom="1304" w:left="567" w:header="397" w:footer="397" w:gutter="0"/>
          <w:cols w:space="720"/>
          <w:titlePg/>
          <w:docGrid w:linePitch="299"/>
        </w:sectPr>
      </w:pPr>
    </w:p>
    <w:p w14:paraId="3EC922C1" w14:textId="0F7FC4AB" w:rsidR="00285CB0" w:rsidRPr="00890013" w:rsidRDefault="00285CB0" w:rsidP="002E5ED4">
      <w:pPr>
        <w:spacing w:line="480" w:lineRule="auto"/>
      </w:pPr>
      <w:r>
        <w:lastRenderedPageBreak/>
        <w:t>More of interest is the response of the average light intensity with changing concentration of biomass in the tubular PBR</w:t>
      </w:r>
      <w:r w:rsidRPr="0058437F">
        <w:t xml:space="preserve">. </w:t>
      </w:r>
      <w:r w:rsidR="00B6650F">
        <w:fldChar w:fldCharType="begin"/>
      </w:r>
      <w:r w:rsidR="00B6650F">
        <w:instrText xml:space="preserve"> REF _Ref49499725 \h </w:instrText>
      </w:r>
      <w:r w:rsidR="00B6650F">
        <w:fldChar w:fldCharType="separate"/>
      </w:r>
      <w:r w:rsidR="00B6650F">
        <w:t xml:space="preserve">Figure </w:t>
      </w:r>
      <w:r w:rsidR="00B6650F">
        <w:rPr>
          <w:noProof/>
        </w:rPr>
        <w:t>12</w:t>
      </w:r>
      <w:r w:rsidR="00B6650F">
        <w:fldChar w:fldCharType="end"/>
      </w:r>
      <w:r w:rsidR="00FE5940">
        <w:t xml:space="preserve"> </w:t>
      </w:r>
      <w:r w:rsidRPr="0058437F">
        <w:t>provides</w:t>
      </w:r>
      <w:r>
        <w:t xml:space="preserve"> this response for each incident light intensity investigated. As before, the general profile of each plot </w:t>
      </w:r>
      <w:r w:rsidRPr="0058437F">
        <w:t xml:space="preserve">in </w:t>
      </w:r>
      <w:r w:rsidR="00B6650F">
        <w:fldChar w:fldCharType="begin"/>
      </w:r>
      <w:r w:rsidR="00B6650F">
        <w:instrText xml:space="preserve"> REF _Ref49499725 \h </w:instrText>
      </w:r>
      <w:r w:rsidR="00B6650F">
        <w:fldChar w:fldCharType="separate"/>
      </w:r>
      <w:r w:rsidR="00B6650F">
        <w:t xml:space="preserve">Figure </w:t>
      </w:r>
      <w:r w:rsidR="00B6650F">
        <w:rPr>
          <w:noProof/>
        </w:rPr>
        <w:t>12</w:t>
      </w:r>
      <w:r w:rsidR="00B6650F">
        <w:fldChar w:fldCharType="end"/>
      </w:r>
      <w:r>
        <w:t xml:space="preserve"> was the same. The average light intensity decreased somewhat linearly as the biomass concentration increased. On average the light intensity in the tubular PBR decreased by ~20% from the starting incident light intensity until the maximum biomass concentration is achieved. This profile aligned well with literature </w:t>
      </w:r>
      <w:r w:rsidRPr="007931A3">
        <w:rPr>
          <w:noProof/>
        </w:rPr>
        <w:t>(Palamae et al., 2018)</w:t>
      </w:r>
      <w:r>
        <w:t xml:space="preserve"> where a similar response was reported for average light intensity versus biomass concentration, when culturing </w:t>
      </w:r>
      <w:r w:rsidRPr="009F4009">
        <w:rPr>
          <w:i/>
          <w:iCs/>
        </w:rPr>
        <w:t>R</w:t>
      </w:r>
      <w:r>
        <w:rPr>
          <w:i/>
          <w:iCs/>
        </w:rPr>
        <w:t>. </w:t>
      </w:r>
      <w:r w:rsidRPr="009F4009">
        <w:rPr>
          <w:i/>
          <w:iCs/>
        </w:rPr>
        <w:t>sphaeroides</w:t>
      </w:r>
      <w:r w:rsidRPr="00AD3D4F">
        <w:t xml:space="preserve"> S10</w:t>
      </w:r>
      <w:r>
        <w:t xml:space="preserve"> in a tubular PBR system. A reduction of ~30% in average light intensity was reported at 4 g/L in the before mentioned investigation. This is also in line with what was achieved in this investigation and likely differs due to slightly different reactor diameters  ID of 0.024 m</w:t>
      </w:r>
      <w:r w:rsidR="00D34144">
        <w:t xml:space="preserve"> </w:t>
      </w:r>
      <w:r w:rsidR="00D34144" w:rsidRPr="00C25D99">
        <w:rPr>
          <w:noProof/>
        </w:rPr>
        <w:t>(Palamae et al., 2018)</w:t>
      </w:r>
      <w:r>
        <w:t>. The 95% PIs were very tight</w:t>
      </w:r>
      <w:r w:rsidRPr="006E5634">
        <w:t xml:space="preserve"> </w:t>
      </w:r>
      <w:r>
        <w:t>which indicates good precision.</w:t>
      </w:r>
    </w:p>
    <w:p w14:paraId="45471EFA" w14:textId="77777777" w:rsidR="00285CB0" w:rsidRDefault="00285CB0" w:rsidP="002E5ED4">
      <w:pPr>
        <w:spacing w:line="480" w:lineRule="auto"/>
      </w:pPr>
      <w:r>
        <w:t xml:space="preserve">Considering that the reactor only has an internal diameter of 0.015 m, the average light intensity sees a significant decrease when the suspended solids (biomass) are at a concentration of only ~4.5 g/L. Upscaling of the culturing of </w:t>
      </w:r>
      <w:r w:rsidRPr="002A52F9">
        <w:rPr>
          <w:i/>
          <w:iCs/>
        </w:rPr>
        <w:t>R. palustris</w:t>
      </w:r>
      <w:r>
        <w:t xml:space="preserve"> is made difficult, as an increasing diameter would lead to an increased amount of mutual shading by the bacterium in the bioreactor. This would lead to a decrease in energy available from the light source that is necessary for bacterial growth and/or product formation.</w:t>
      </w:r>
    </w:p>
    <w:p w14:paraId="547C46FE" w14:textId="77777777" w:rsidR="00285CB0" w:rsidRDefault="00285CB0" w:rsidP="002E5ED4">
      <w:pPr>
        <w:spacing w:after="0" w:line="480" w:lineRule="auto"/>
        <w:jc w:val="left"/>
      </w:pPr>
      <w:r>
        <w:br w:type="page"/>
      </w:r>
    </w:p>
    <w:p w14:paraId="3EBC66E0" w14:textId="77777777" w:rsidR="00285CB0" w:rsidRDefault="00285CB0" w:rsidP="002E5ED4">
      <w:pPr>
        <w:spacing w:line="480" w:lineRule="auto"/>
        <w:sectPr w:rsidR="00285CB0" w:rsidSect="00D67A93">
          <w:pgSz w:w="11909" w:h="16834" w:code="9"/>
          <w:pgMar w:top="1304" w:right="1304" w:bottom="1304" w:left="1304" w:header="397" w:footer="397" w:gutter="0"/>
          <w:cols w:space="720"/>
          <w:titlePg/>
          <w:docGrid w:linePitch="299"/>
        </w:sectPr>
      </w:pPr>
    </w:p>
    <w:p w14:paraId="5CC368BA" w14:textId="4E3231AB" w:rsidR="00285CB0" w:rsidRDefault="00395A4F" w:rsidP="00C247EE">
      <w:pPr>
        <w:keepNext/>
      </w:pPr>
      <w:r>
        <w:rPr>
          <w:noProof/>
          <w:lang w:val="en-US"/>
        </w:rPr>
        <w:lastRenderedPageBreak/>
        <w:drawing>
          <wp:anchor distT="0" distB="0" distL="114300" distR="114300" simplePos="0" relativeHeight="251685888" behindDoc="1" locked="0" layoutInCell="1" allowOverlap="1" wp14:anchorId="0C61A240" wp14:editId="20AF7339">
            <wp:simplePos x="0" y="0"/>
            <wp:positionH relativeFrom="column">
              <wp:posOffset>6700141</wp:posOffset>
            </wp:positionH>
            <wp:positionV relativeFrom="paragraph">
              <wp:posOffset>14094</wp:posOffset>
            </wp:positionV>
            <wp:extent cx="3311525" cy="2482850"/>
            <wp:effectExtent l="0" t="0" r="317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1525" cy="2482850"/>
                    </a:xfrm>
                    <a:prstGeom prst="rect">
                      <a:avLst/>
                    </a:prstGeom>
                    <a:noFill/>
                    <a:ln>
                      <a:noFill/>
                    </a:ln>
                  </pic:spPr>
                </pic:pic>
              </a:graphicData>
            </a:graphic>
          </wp:anchor>
        </w:drawing>
      </w:r>
      <w:r>
        <w:rPr>
          <w:noProof/>
          <w:lang w:val="en-US"/>
        </w:rPr>
        <w:drawing>
          <wp:anchor distT="0" distB="0" distL="114300" distR="114300" simplePos="0" relativeHeight="251684864" behindDoc="1" locked="0" layoutInCell="1" allowOverlap="1" wp14:anchorId="20FA1F18" wp14:editId="0ED7B870">
            <wp:simplePos x="0" y="0"/>
            <wp:positionH relativeFrom="column">
              <wp:posOffset>3365096</wp:posOffset>
            </wp:positionH>
            <wp:positionV relativeFrom="paragraph">
              <wp:posOffset>13838</wp:posOffset>
            </wp:positionV>
            <wp:extent cx="3311525" cy="2482850"/>
            <wp:effectExtent l="0" t="0" r="317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1525" cy="2482850"/>
                    </a:xfrm>
                    <a:prstGeom prst="rect">
                      <a:avLst/>
                    </a:prstGeom>
                    <a:noFill/>
                    <a:ln>
                      <a:noFill/>
                    </a:ln>
                  </pic:spPr>
                </pic:pic>
              </a:graphicData>
            </a:graphic>
          </wp:anchor>
        </w:drawing>
      </w:r>
      <w:r>
        <w:rPr>
          <w:noProof/>
          <w:lang w:val="en-US"/>
        </w:rPr>
        <w:drawing>
          <wp:anchor distT="0" distB="0" distL="114300" distR="114300" simplePos="0" relativeHeight="251683840" behindDoc="1" locked="0" layoutInCell="1" allowOverlap="1" wp14:anchorId="5A463E5C" wp14:editId="3E013B2B">
            <wp:simplePos x="0" y="0"/>
            <wp:positionH relativeFrom="margin">
              <wp:align>left</wp:align>
            </wp:positionH>
            <wp:positionV relativeFrom="paragraph">
              <wp:posOffset>3175</wp:posOffset>
            </wp:positionV>
            <wp:extent cx="3311525" cy="2482850"/>
            <wp:effectExtent l="0" t="0" r="317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1525" cy="2482850"/>
                    </a:xfrm>
                    <a:prstGeom prst="rect">
                      <a:avLst/>
                    </a:prstGeom>
                    <a:noFill/>
                    <a:ln>
                      <a:noFill/>
                    </a:ln>
                  </pic:spPr>
                </pic:pic>
              </a:graphicData>
            </a:graphic>
          </wp:anchor>
        </w:drawing>
      </w:r>
      <w:r w:rsidR="00285CB0">
        <w:rPr>
          <w:noProof/>
          <w:lang w:val="en-US"/>
        </w:rPr>
        <mc:AlternateContent>
          <mc:Choice Requires="wps">
            <w:drawing>
              <wp:anchor distT="45720" distB="45720" distL="114300" distR="114300" simplePos="0" relativeHeight="251682816" behindDoc="0" locked="0" layoutInCell="1" allowOverlap="1" wp14:anchorId="4684EE9A" wp14:editId="74C25D30">
                <wp:simplePos x="0" y="0"/>
                <wp:positionH relativeFrom="column">
                  <wp:posOffset>4981575</wp:posOffset>
                </wp:positionH>
                <wp:positionV relativeFrom="paragraph">
                  <wp:posOffset>2570480</wp:posOffset>
                </wp:positionV>
                <wp:extent cx="335280" cy="289560"/>
                <wp:effectExtent l="0" t="0" r="0" b="0"/>
                <wp:wrapNone/>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43CDD827" w14:textId="77777777" w:rsidR="00773B16" w:rsidRDefault="00773B16" w:rsidP="00285CB0">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4EE9A" id="_x0000_s1036" type="#_x0000_t202" style="position:absolute;left:0;text-align:left;margin-left:392.25pt;margin-top:202.4pt;width:26.4pt;height:22.8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" filled="f" stroked="f">
                <v:textbox>
                  <w:txbxContent>
                    <w:p w14:paraId="43CDD827" w14:textId="77777777" w:rsidR="00773B16" w:rsidRDefault="00773B16" w:rsidP="00285CB0">
                      <w:r>
                        <w:t>e)</w:t>
                      </w:r>
                    </w:p>
                  </w:txbxContent>
                </v:textbox>
              </v:shape>
            </w:pict>
          </mc:Fallback>
        </mc:AlternateContent>
      </w:r>
      <w:r w:rsidR="00285CB0">
        <w:rPr>
          <w:noProof/>
          <w:lang w:val="en-US"/>
        </w:rPr>
        <mc:AlternateContent>
          <mc:Choice Requires="wps">
            <w:drawing>
              <wp:anchor distT="45720" distB="45720" distL="114300" distR="114300" simplePos="0" relativeHeight="251681792" behindDoc="0" locked="0" layoutInCell="1" allowOverlap="1" wp14:anchorId="5F7DF312" wp14:editId="7DE2E475">
                <wp:simplePos x="0" y="0"/>
                <wp:positionH relativeFrom="column">
                  <wp:posOffset>1666875</wp:posOffset>
                </wp:positionH>
                <wp:positionV relativeFrom="paragraph">
                  <wp:posOffset>2570480</wp:posOffset>
                </wp:positionV>
                <wp:extent cx="335280" cy="289560"/>
                <wp:effectExtent l="0" t="0" r="0" b="0"/>
                <wp:wrapNone/>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11A87F71" w14:textId="77777777" w:rsidR="00773B16" w:rsidRDefault="00773B16" w:rsidP="00285CB0">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7DF312" id="_x0000_s1037" type="#_x0000_t202" style="position:absolute;left:0;text-align:left;margin-left:131.25pt;margin-top:202.4pt;width:26.4pt;height:22.8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" filled="f" stroked="f">
                <v:textbox>
                  <w:txbxContent>
                    <w:p w14:paraId="11A87F71" w14:textId="77777777" w:rsidR="00773B16" w:rsidRDefault="00773B16" w:rsidP="00285CB0">
                      <w:r>
                        <w:t>d)</w:t>
                      </w:r>
                    </w:p>
                  </w:txbxContent>
                </v:textbox>
              </v:shape>
            </w:pict>
          </mc:Fallback>
        </mc:AlternateContent>
      </w:r>
      <w:r w:rsidR="00285CB0">
        <w:rPr>
          <w:noProof/>
          <w:lang w:val="en-US"/>
        </w:rPr>
        <mc:AlternateContent>
          <mc:Choice Requires="wps">
            <w:drawing>
              <wp:anchor distT="45720" distB="45720" distL="114300" distR="114300" simplePos="0" relativeHeight="251680768" behindDoc="0" locked="0" layoutInCell="1" allowOverlap="1" wp14:anchorId="0463646E" wp14:editId="74107041">
                <wp:simplePos x="0" y="0"/>
                <wp:positionH relativeFrom="column">
                  <wp:posOffset>6642735</wp:posOffset>
                </wp:positionH>
                <wp:positionV relativeFrom="paragraph">
                  <wp:posOffset>2540</wp:posOffset>
                </wp:positionV>
                <wp:extent cx="335280" cy="289560"/>
                <wp:effectExtent l="0" t="0" r="0" b="0"/>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5DAC6CF9" w14:textId="77777777" w:rsidR="00773B16" w:rsidRDefault="00773B16" w:rsidP="00285CB0">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3646E" id="_x0000_s1038" type="#_x0000_t202" style="position:absolute;left:0;text-align:left;margin-left:523.05pt;margin-top:.2pt;width:26.4pt;height:22.8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" filled="f" stroked="f">
                <v:textbox>
                  <w:txbxContent>
                    <w:p w14:paraId="5DAC6CF9" w14:textId="77777777" w:rsidR="00773B16" w:rsidRDefault="00773B16" w:rsidP="00285CB0">
                      <w:r>
                        <w:t>c)</w:t>
                      </w:r>
                    </w:p>
                  </w:txbxContent>
                </v:textbox>
              </v:shape>
            </w:pict>
          </mc:Fallback>
        </mc:AlternateContent>
      </w:r>
      <w:r w:rsidR="00285CB0">
        <w:rPr>
          <w:noProof/>
          <w:lang w:val="en-US"/>
        </w:rPr>
        <mc:AlternateContent>
          <mc:Choice Requires="wps">
            <w:drawing>
              <wp:anchor distT="45720" distB="45720" distL="114300" distR="114300" simplePos="0" relativeHeight="251679744" behindDoc="0" locked="0" layoutInCell="1" allowOverlap="1" wp14:anchorId="35AF5278" wp14:editId="21FB8BF4">
                <wp:simplePos x="0" y="0"/>
                <wp:positionH relativeFrom="column">
                  <wp:posOffset>3328035</wp:posOffset>
                </wp:positionH>
                <wp:positionV relativeFrom="paragraph">
                  <wp:posOffset>2540</wp:posOffset>
                </wp:positionV>
                <wp:extent cx="335280" cy="289560"/>
                <wp:effectExtent l="0" t="0" r="0" b="0"/>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5E7B974F" w14:textId="77777777" w:rsidR="00773B16" w:rsidRDefault="00773B16" w:rsidP="00285CB0">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AF5278" id="_x0000_s1039" type="#_x0000_t202" style="position:absolute;left:0;text-align:left;margin-left:262.05pt;margin-top:.2pt;width:26.4pt;height:22.8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" filled="f" stroked="f">
                <v:textbox>
                  <w:txbxContent>
                    <w:p w14:paraId="5E7B974F" w14:textId="77777777" w:rsidR="00773B16" w:rsidRDefault="00773B16" w:rsidP="00285CB0">
                      <w:r>
                        <w:t>b)</w:t>
                      </w:r>
                    </w:p>
                  </w:txbxContent>
                </v:textbox>
              </v:shape>
            </w:pict>
          </mc:Fallback>
        </mc:AlternateContent>
      </w:r>
      <w:r w:rsidR="00285CB0">
        <w:rPr>
          <w:noProof/>
          <w:lang w:val="en-US"/>
        </w:rPr>
        <mc:AlternateContent>
          <mc:Choice Requires="wps">
            <w:drawing>
              <wp:anchor distT="45720" distB="45720" distL="114300" distR="114300" simplePos="0" relativeHeight="251678720" behindDoc="0" locked="0" layoutInCell="1" allowOverlap="1" wp14:anchorId="4A34D89F" wp14:editId="1B9B5C69">
                <wp:simplePos x="0" y="0"/>
                <wp:positionH relativeFrom="column">
                  <wp:posOffset>13335</wp:posOffset>
                </wp:positionH>
                <wp:positionV relativeFrom="paragraph">
                  <wp:posOffset>2540</wp:posOffset>
                </wp:positionV>
                <wp:extent cx="335280" cy="289560"/>
                <wp:effectExtent l="0" t="0" r="0" b="0"/>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89560"/>
                        </a:xfrm>
                        <a:prstGeom prst="rect">
                          <a:avLst/>
                        </a:prstGeom>
                        <a:noFill/>
                        <a:ln w="9525">
                          <a:noFill/>
                          <a:miter lim="800000"/>
                          <a:headEnd/>
                          <a:tailEnd/>
                        </a:ln>
                      </wps:spPr>
                      <wps:txbx>
                        <w:txbxContent>
                          <w:p w14:paraId="366A2007" w14:textId="77777777" w:rsidR="00773B16" w:rsidRDefault="00773B16" w:rsidP="00285CB0">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34D89F" id="_x0000_s1040" type="#_x0000_t202" style="position:absolute;left:0;text-align:left;margin-left:1.05pt;margin-top:.2pt;width:26.4pt;height:22.8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" filled="f" stroked="f">
                <v:textbox>
                  <w:txbxContent>
                    <w:p w14:paraId="366A2007" w14:textId="77777777" w:rsidR="00773B16" w:rsidRDefault="00773B16" w:rsidP="00285CB0">
                      <w:r>
                        <w:t>a)</w:t>
                      </w:r>
                    </w:p>
                  </w:txbxContent>
                </v:textbox>
              </v:shape>
            </w:pict>
          </mc:Fallback>
        </mc:AlternateContent>
      </w:r>
    </w:p>
    <w:p w14:paraId="32A300A6" w14:textId="524945BF" w:rsidR="00395A4F" w:rsidRDefault="00395A4F" w:rsidP="00C247EE">
      <w:pPr>
        <w:pStyle w:val="FigureCaption"/>
        <w:jc w:val="center"/>
      </w:pPr>
      <w:bookmarkStart w:id="85" w:name="_Ref21901802"/>
      <w:bookmarkStart w:id="86" w:name="_Toc21954022"/>
      <w:bookmarkStart w:id="87" w:name="_Toc22684070"/>
      <w:bookmarkStart w:id="88" w:name="_Toc24637371"/>
    </w:p>
    <w:p w14:paraId="2B7D622F" w14:textId="7C0B63AE" w:rsidR="00395A4F" w:rsidRDefault="00395A4F" w:rsidP="00C247EE">
      <w:pPr>
        <w:pStyle w:val="FigureCaption"/>
        <w:jc w:val="center"/>
      </w:pPr>
    </w:p>
    <w:p w14:paraId="35B81A9A" w14:textId="7DF8FBC0" w:rsidR="00395A4F" w:rsidRDefault="00395A4F" w:rsidP="00C247EE">
      <w:pPr>
        <w:pStyle w:val="FigureCaption"/>
        <w:jc w:val="center"/>
      </w:pPr>
    </w:p>
    <w:p w14:paraId="47FF97E7" w14:textId="14D7D3E5" w:rsidR="00395A4F" w:rsidRDefault="00395A4F" w:rsidP="00C247EE">
      <w:pPr>
        <w:pStyle w:val="FigureCaption"/>
        <w:jc w:val="center"/>
      </w:pPr>
    </w:p>
    <w:p w14:paraId="6AA2297E" w14:textId="6543FD63" w:rsidR="00395A4F" w:rsidRDefault="00395A4F" w:rsidP="00C247EE">
      <w:pPr>
        <w:pStyle w:val="FigureCaption"/>
        <w:jc w:val="center"/>
      </w:pPr>
    </w:p>
    <w:p w14:paraId="34B6B0B1" w14:textId="237C09DD" w:rsidR="00395A4F" w:rsidRDefault="00395A4F" w:rsidP="00C247EE">
      <w:pPr>
        <w:pStyle w:val="FigureCaption"/>
        <w:jc w:val="center"/>
      </w:pPr>
    </w:p>
    <w:p w14:paraId="6023733D" w14:textId="5043B45E" w:rsidR="00395A4F" w:rsidRDefault="00395A4F" w:rsidP="00C247EE">
      <w:pPr>
        <w:pStyle w:val="FigureCaption"/>
        <w:jc w:val="center"/>
      </w:pPr>
    </w:p>
    <w:p w14:paraId="550296BA" w14:textId="77777777" w:rsidR="00C247EE" w:rsidRDefault="00C247EE" w:rsidP="00C247EE">
      <w:pPr>
        <w:pStyle w:val="FigureCaption"/>
        <w:jc w:val="center"/>
      </w:pPr>
    </w:p>
    <w:p w14:paraId="2A24268E" w14:textId="219072C1" w:rsidR="00395A4F" w:rsidRDefault="00395A4F" w:rsidP="00C247EE">
      <w:pPr>
        <w:pStyle w:val="FigureCaption"/>
        <w:jc w:val="center"/>
      </w:pPr>
      <w:r>
        <w:rPr>
          <w:noProof/>
          <w:lang w:val="en-US"/>
        </w:rPr>
        <w:drawing>
          <wp:anchor distT="0" distB="0" distL="114300" distR="114300" simplePos="0" relativeHeight="251687936" behindDoc="1" locked="0" layoutInCell="1" allowOverlap="1" wp14:anchorId="30AA1ACB" wp14:editId="30882501">
            <wp:simplePos x="0" y="0"/>
            <wp:positionH relativeFrom="column">
              <wp:posOffset>5049372</wp:posOffset>
            </wp:positionH>
            <wp:positionV relativeFrom="paragraph">
              <wp:posOffset>158948</wp:posOffset>
            </wp:positionV>
            <wp:extent cx="3311525" cy="2482850"/>
            <wp:effectExtent l="0" t="0" r="317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11525" cy="2482850"/>
                    </a:xfrm>
                    <a:prstGeom prst="rect">
                      <a:avLst/>
                    </a:prstGeom>
                    <a:noFill/>
                    <a:ln>
                      <a:noFill/>
                    </a:ln>
                  </pic:spPr>
                </pic:pic>
              </a:graphicData>
            </a:graphic>
          </wp:anchor>
        </w:drawing>
      </w:r>
      <w:r>
        <w:rPr>
          <w:noProof/>
          <w:lang w:val="en-US"/>
        </w:rPr>
        <w:drawing>
          <wp:anchor distT="0" distB="0" distL="114300" distR="114300" simplePos="0" relativeHeight="251686912" behindDoc="1" locked="0" layoutInCell="1" allowOverlap="1" wp14:anchorId="6C070AAC" wp14:editId="4284189B">
            <wp:simplePos x="0" y="0"/>
            <wp:positionH relativeFrom="column">
              <wp:posOffset>1724520</wp:posOffset>
            </wp:positionH>
            <wp:positionV relativeFrom="paragraph">
              <wp:posOffset>157744</wp:posOffset>
            </wp:positionV>
            <wp:extent cx="3311525" cy="2482850"/>
            <wp:effectExtent l="0" t="0" r="3175"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11525" cy="2482850"/>
                    </a:xfrm>
                    <a:prstGeom prst="rect">
                      <a:avLst/>
                    </a:prstGeom>
                    <a:noFill/>
                    <a:ln>
                      <a:noFill/>
                    </a:ln>
                  </pic:spPr>
                </pic:pic>
              </a:graphicData>
            </a:graphic>
          </wp:anchor>
        </w:drawing>
      </w:r>
    </w:p>
    <w:p w14:paraId="234FAE85" w14:textId="43D10475" w:rsidR="00395A4F" w:rsidRDefault="00395A4F" w:rsidP="00C247EE">
      <w:pPr>
        <w:pStyle w:val="FigureCaption"/>
        <w:jc w:val="center"/>
      </w:pPr>
    </w:p>
    <w:p w14:paraId="2F2A7ED0" w14:textId="3482F835" w:rsidR="00395A4F" w:rsidRDefault="00395A4F" w:rsidP="00C247EE">
      <w:pPr>
        <w:pStyle w:val="FigureCaption"/>
        <w:jc w:val="center"/>
      </w:pPr>
    </w:p>
    <w:p w14:paraId="6A9D12B6" w14:textId="77777777" w:rsidR="00395A4F" w:rsidRDefault="00395A4F" w:rsidP="00C247EE">
      <w:pPr>
        <w:pStyle w:val="FigureCaption"/>
        <w:jc w:val="center"/>
      </w:pPr>
    </w:p>
    <w:p w14:paraId="099C8F6B" w14:textId="77777777" w:rsidR="00395A4F" w:rsidRDefault="00395A4F" w:rsidP="00C247EE">
      <w:pPr>
        <w:pStyle w:val="FigureCaption"/>
        <w:jc w:val="center"/>
      </w:pPr>
    </w:p>
    <w:p w14:paraId="1FE3C996" w14:textId="45BDA945" w:rsidR="00395A4F" w:rsidRDefault="00395A4F" w:rsidP="00C247EE">
      <w:pPr>
        <w:pStyle w:val="FigureCaption"/>
        <w:jc w:val="center"/>
      </w:pPr>
    </w:p>
    <w:p w14:paraId="18139635" w14:textId="77777777" w:rsidR="00C247EE" w:rsidRPr="00C247EE" w:rsidRDefault="00C247EE" w:rsidP="00C247EE"/>
    <w:p w14:paraId="328D9793" w14:textId="77777777" w:rsidR="00C247EE" w:rsidRDefault="00C247EE" w:rsidP="002E5ED4">
      <w:pPr>
        <w:pStyle w:val="FigureCaption"/>
        <w:spacing w:line="480" w:lineRule="auto"/>
        <w:jc w:val="center"/>
      </w:pPr>
    </w:p>
    <w:p w14:paraId="5803A910" w14:textId="3F6D1ADA" w:rsidR="00073C98" w:rsidRPr="007D4E13" w:rsidRDefault="00B6650F" w:rsidP="00B6650F">
      <w:pPr>
        <w:pStyle w:val="Caption"/>
        <w:rPr>
          <w:i/>
          <w:iCs w:val="0"/>
          <w:vertAlign w:val="superscript"/>
        </w:rPr>
        <w:sectPr w:rsidR="00073C98" w:rsidRPr="007D4E13" w:rsidSect="00073C98">
          <w:footerReference w:type="default" r:id="rId37"/>
          <w:footerReference w:type="first" r:id="rId38"/>
          <w:pgSz w:w="16834" w:h="11909" w:orient="landscape" w:code="9"/>
          <w:pgMar w:top="1304" w:right="1304" w:bottom="1304" w:left="1304" w:header="397" w:footer="397" w:gutter="0"/>
          <w:cols w:space="720"/>
          <w:titlePg/>
          <w:docGrid w:linePitch="299"/>
        </w:sectPr>
      </w:pPr>
      <w:bookmarkStart w:id="89" w:name="_Ref49499725"/>
      <w:bookmarkStart w:id="90" w:name="_Hlk75341436"/>
      <w:r>
        <w:t xml:space="preserve">Figure </w:t>
      </w:r>
      <w:fldSimple w:instr=" SEQ Figure \* ARABIC ">
        <w:r>
          <w:rPr>
            <w:noProof/>
          </w:rPr>
          <w:t>12</w:t>
        </w:r>
      </w:fldSimple>
      <w:bookmarkEnd w:id="85"/>
      <w:bookmarkEnd w:id="89"/>
      <w:r w:rsidR="00285CB0" w:rsidRPr="007D4E13">
        <w:t>:</w:t>
      </w:r>
      <w:bookmarkEnd w:id="86"/>
      <w:r w:rsidR="00285CB0" w:rsidRPr="007D4E13">
        <w:t xml:space="preserve"> Estimation of the response of average light intensity as the biomass concentration increases. a) 30, b) 70, c) 200, d) 400 and e) 600 W/m</w:t>
      </w:r>
      <w:r w:rsidR="00285CB0" w:rsidRPr="007D4E13">
        <w:rPr>
          <w:vertAlign w:val="superscript"/>
        </w:rPr>
        <w:t>2</w:t>
      </w:r>
      <w:bookmarkEnd w:id="87"/>
      <w:bookmarkEnd w:id="88"/>
    </w:p>
    <w:bookmarkEnd w:id="90"/>
    <w:p w14:paraId="0EFDDF1A" w14:textId="7A9DB66D" w:rsidR="00DA072E" w:rsidRPr="005712B7" w:rsidRDefault="00DA072E" w:rsidP="002E5ED4">
      <w:pPr>
        <w:pStyle w:val="Heading1"/>
        <w:spacing w:line="480" w:lineRule="auto"/>
        <w:rPr>
          <w:caps w:val="0"/>
        </w:rPr>
      </w:pPr>
      <w:r w:rsidRPr="005712B7">
        <w:rPr>
          <w:caps w:val="0"/>
        </w:rPr>
        <w:lastRenderedPageBreak/>
        <w:t>C</w:t>
      </w:r>
      <w:r w:rsidR="005712B7">
        <w:rPr>
          <w:caps w:val="0"/>
        </w:rPr>
        <w:t>onclusions</w:t>
      </w:r>
    </w:p>
    <w:p w14:paraId="7DEECF8E" w14:textId="0BCA3726" w:rsidR="00372D23" w:rsidRPr="00CD1617" w:rsidRDefault="00372D23" w:rsidP="002E5ED4">
      <w:pPr>
        <w:spacing w:line="480" w:lineRule="auto"/>
      </w:pPr>
      <w:r w:rsidRPr="00CD1617">
        <w:t xml:space="preserve">From literature </w:t>
      </w:r>
      <w:r w:rsidRPr="00CD1617">
        <w:rPr>
          <w:noProof/>
        </w:rPr>
        <w:t>(Carlozzi, 2009; Xiao, 2017)</w:t>
      </w:r>
      <w:r w:rsidRPr="00CD1617">
        <w:t xml:space="preserve"> it was identified that a possible shortcoming in the results obtained on the effect of light intensity on </w:t>
      </w:r>
      <w:r w:rsidRPr="00CD1617">
        <w:rPr>
          <w:i/>
        </w:rPr>
        <w:t xml:space="preserve">R. palustris </w:t>
      </w:r>
      <w:r w:rsidRPr="00CD1617">
        <w:t>growth and hydrogen production was the relatively large di</w:t>
      </w:r>
      <w:r>
        <w:t>a</w:t>
      </w:r>
      <w:r w:rsidRPr="00CD1617">
        <w:t xml:space="preserve">meter reactors used. These large diameters introduce effects of light attenuation and cell mutual shading and therefore would not provide an accurate measure of the effect of light intensity on </w:t>
      </w:r>
      <w:r w:rsidRPr="00CD1617">
        <w:rPr>
          <w:i/>
        </w:rPr>
        <w:t>R. palustris</w:t>
      </w:r>
      <w:r w:rsidRPr="00CD1617">
        <w:t xml:space="preserve"> kinetics. For this reason, a tubular reactor with a small inner diameter (0.015 m) was designed to minimise the effects of light attenuation during experiments on the effect of light intensity on growth kinetics of </w:t>
      </w:r>
      <w:r w:rsidRPr="00CD1617">
        <w:rPr>
          <w:i/>
        </w:rPr>
        <w:t xml:space="preserve">R. </w:t>
      </w:r>
      <w:r w:rsidR="00BD33EB" w:rsidRPr="00CD1617">
        <w:rPr>
          <w:i/>
        </w:rPr>
        <w:t>palustris</w:t>
      </w:r>
      <w:r w:rsidRPr="00CD1617">
        <w:t>.</w:t>
      </w:r>
    </w:p>
    <w:p w14:paraId="4D9D7026" w14:textId="096D70B6" w:rsidR="00372D23" w:rsidRPr="00D65E5B" w:rsidRDefault="00372D23" w:rsidP="002E5ED4">
      <w:pPr>
        <w:spacing w:line="480" w:lineRule="auto"/>
      </w:pPr>
      <w:r w:rsidRPr="00CD1617">
        <w:t xml:space="preserve">The main goal of this </w:t>
      </w:r>
      <w:r w:rsidR="00B30B03">
        <w:t>investigation</w:t>
      </w:r>
      <w:r w:rsidRPr="00CD1617">
        <w:t xml:space="preserve"> was to compare the effect of changing light intensity on the growth kinetics of </w:t>
      </w:r>
      <w:r w:rsidRPr="00CD1617">
        <w:rPr>
          <w:i/>
        </w:rPr>
        <w:t>R. palustris.</w:t>
      </w:r>
      <w:r w:rsidRPr="00CD1617">
        <w:t xml:space="preserve"> The results of this comparison showed that </w:t>
      </w:r>
      <w:r w:rsidRPr="00CD1617">
        <w:rPr>
          <w:i/>
        </w:rPr>
        <w:t>R. palustris</w:t>
      </w:r>
      <w:r w:rsidRPr="00CD1617">
        <w:t xml:space="preserve"> grows readily </w:t>
      </w:r>
      <w:r>
        <w:t>over the range of light intensity investigated (70 to 600 W/</w:t>
      </w:r>
      <w:r w:rsidRPr="009950B3">
        <w:t>m</w:t>
      </w:r>
      <w:r>
        <w:rPr>
          <w:vertAlign w:val="superscript"/>
        </w:rPr>
        <w:t>2</w:t>
      </w:r>
      <w:r>
        <w:t>), with photo-limitation occurring at low intensities (30 and 70 W/m</w:t>
      </w:r>
      <w:r>
        <w:rPr>
          <w:vertAlign w:val="superscript"/>
        </w:rPr>
        <w:t>2</w:t>
      </w:r>
      <w:r>
        <w:t>), photosaturation between 200 and 400 W/m</w:t>
      </w:r>
      <w:r>
        <w:rPr>
          <w:vertAlign w:val="superscript"/>
        </w:rPr>
        <w:t>2</w:t>
      </w:r>
      <w:r>
        <w:t>, and photo-limitation occurring when the light intensity increased to 600 W/</w:t>
      </w:r>
      <w:r w:rsidRPr="001A5651">
        <w:t>m</w:t>
      </w:r>
      <w:r>
        <w:rPr>
          <w:vertAlign w:val="superscript"/>
        </w:rPr>
        <w:t>2</w:t>
      </w:r>
      <w:r>
        <w:t>. The highest maximum specific growth rate of 0.0420</w:t>
      </w:r>
      <w:r>
        <w:rPr>
          <w:rFonts w:cs="Calibri"/>
        </w:rPr>
        <w:t>±</w:t>
      </w:r>
      <w:r>
        <w:t>0.014 h</w:t>
      </w:r>
      <w:r>
        <w:rPr>
          <w:vertAlign w:val="superscript"/>
        </w:rPr>
        <w:noBreakHyphen/>
        <w:t>1</w:t>
      </w:r>
      <w:r>
        <w:t xml:space="preserve"> was achieved at a light intensity of 400 W/m</w:t>
      </w:r>
      <w:r>
        <w:rPr>
          <w:vertAlign w:val="superscript"/>
        </w:rPr>
        <w:t>2</w:t>
      </w:r>
      <w:r>
        <w:t>, under the experimental conditions used. Although the maximum specific growth rate decreased by 38% when the light intensity increased from 400 to 600 W/</w:t>
      </w:r>
      <w:r w:rsidRPr="00BA4E4B">
        <w:t>m</w:t>
      </w:r>
      <w:r w:rsidRPr="00BA4E4B">
        <w:rPr>
          <w:vertAlign w:val="superscript"/>
        </w:rPr>
        <w:t>2</w:t>
      </w:r>
      <w:r>
        <w:t>, i</w:t>
      </w:r>
      <w:r w:rsidRPr="00BA4E4B">
        <w:t>t</w:t>
      </w:r>
      <w:r w:rsidRPr="00CD1617">
        <w:t xml:space="preserve"> </w:t>
      </w:r>
      <w:r>
        <w:t>can still be concluded</w:t>
      </w:r>
      <w:r w:rsidRPr="00CD1617">
        <w:t xml:space="preserve"> that </w:t>
      </w:r>
      <w:r w:rsidRPr="00EE7653">
        <w:rPr>
          <w:i/>
        </w:rPr>
        <w:t>R. palustris</w:t>
      </w:r>
      <w:r w:rsidRPr="00CD1617">
        <w:t xml:space="preserve"> </w:t>
      </w:r>
      <w:r>
        <w:t>can</w:t>
      </w:r>
      <w:r w:rsidRPr="00CD1617">
        <w:t xml:space="preserve"> toler</w:t>
      </w:r>
      <w:r>
        <w:t>ate</w:t>
      </w:r>
      <w:r w:rsidRPr="00CD1617">
        <w:t xml:space="preserve"> </w:t>
      </w:r>
      <w:r>
        <w:t xml:space="preserve">continuous exposure to very </w:t>
      </w:r>
      <w:r w:rsidRPr="00CD1617">
        <w:t xml:space="preserve">high </w:t>
      </w:r>
      <w:r>
        <w:t>light intensities for over 100 hours. This is based on the good overall growth that is still achieved at the light intensity of 600 W/</w:t>
      </w:r>
      <w:r w:rsidRPr="00FF0ACF">
        <w:t>m</w:t>
      </w:r>
      <w:r w:rsidRPr="00FF0ACF">
        <w:rPr>
          <w:vertAlign w:val="superscript"/>
        </w:rPr>
        <w:t>2</w:t>
      </w:r>
      <w:r>
        <w:t xml:space="preserve">. </w:t>
      </w:r>
      <w:r w:rsidRPr="00FF0ACF">
        <w:t>The</w:t>
      </w:r>
      <w:r>
        <w:t xml:space="preserve"> growth rates obtained over the range of light intensities investigated along with observation of the daily sunlight intensity profiles indicated that outdoor culturing could be possible all year round with minimum photo-limitation and photoinhibition over the day.</w:t>
      </w:r>
    </w:p>
    <w:p w14:paraId="7B899489" w14:textId="75AF1D12" w:rsidR="00372D23" w:rsidRDefault="00372D23" w:rsidP="002E5ED4">
      <w:pPr>
        <w:spacing w:line="480" w:lineRule="auto"/>
      </w:pPr>
      <w:r>
        <w:t xml:space="preserve">There has been a significant amount of work done in the field of modelling of biological processes for more than 50 years. However, there has been less focus on the modelling of photosynthetic bacteria, compared to other microorganisms such as algae which have very different growth metabolisms. There has been no work on the modelling of the effect of light intensity on the growth of </w:t>
      </w:r>
      <w:r w:rsidRPr="005D77E6">
        <w:rPr>
          <w:i/>
        </w:rPr>
        <w:t>R. palustris</w:t>
      </w:r>
      <w:r>
        <w:t xml:space="preserve"> and limited work on the modelling of average light intensity in cylindrical PBR geometries. This gap in the literature </w:t>
      </w:r>
      <w:r>
        <w:lastRenderedPageBreak/>
        <w:t>prom</w:t>
      </w:r>
      <w:r w:rsidR="00647D94">
        <w:t>p</w:t>
      </w:r>
      <w:r>
        <w:t xml:space="preserve">ted the work into modelling the attenuation of light through the tubular PBR which allowed for modelling the effect of light intensity on the growth of </w:t>
      </w:r>
      <w:r w:rsidRPr="00AE4DC4">
        <w:rPr>
          <w:i/>
        </w:rPr>
        <w:t>R. palustris</w:t>
      </w:r>
      <w:r>
        <w:t xml:space="preserve"> and determination of the average light intensity in the reactor based on biomass concentration.</w:t>
      </w:r>
    </w:p>
    <w:p w14:paraId="49AFF24A" w14:textId="1A5DA1D5" w:rsidR="00372D23" w:rsidRPr="00372D23" w:rsidRDefault="00372D23" w:rsidP="002E5ED4">
      <w:pPr>
        <w:spacing w:line="480" w:lineRule="auto"/>
      </w:pPr>
      <w:r>
        <w:t xml:space="preserve">A method for determination of the light intensity profile based on the two flux-approximation for light attenuation was developed for the tubular reactor. This method could also be applied for column reactors with varying diameters. A predictive model for the cell growth and substrate utilisation of </w:t>
      </w:r>
      <w:r w:rsidRPr="00B04822">
        <w:rPr>
          <w:i/>
        </w:rPr>
        <w:t>R. palustris</w:t>
      </w:r>
      <w:r>
        <w:rPr>
          <w:i/>
        </w:rPr>
        <w:t xml:space="preserve"> </w:t>
      </w:r>
      <w:r>
        <w:t>over the range of light intensity investigated (70 to 600 W/m</w:t>
      </w:r>
      <w:r>
        <w:rPr>
          <w:vertAlign w:val="superscript"/>
        </w:rPr>
        <w:t>2</w:t>
      </w:r>
      <w:r>
        <w:t>) was successfully developed. The model showed good fit to the experimental data for each light intensity investigated, with high R</w:t>
      </w:r>
      <w:r>
        <w:rPr>
          <w:vertAlign w:val="superscript"/>
        </w:rPr>
        <w:t>2</w:t>
      </w:r>
      <w:r>
        <w:t xml:space="preserve"> values and NRMSE values all below 20%. Prediction of the average light intensity in the PBR with changing biomass concentration was achieved with the trend and percentage reduction in light intensity aligning with the results reported for a similar PBR system in literature </w:t>
      </w:r>
      <w:r w:rsidRPr="007931A3">
        <w:rPr>
          <w:noProof/>
        </w:rPr>
        <w:t>(Palamae et al., 2018)</w:t>
      </w:r>
      <w:r>
        <w:t>.</w:t>
      </w:r>
    </w:p>
    <w:p w14:paraId="6FB094F9" w14:textId="16745EFE" w:rsidR="00C33D8B" w:rsidRPr="005712B7" w:rsidRDefault="00C33D8B" w:rsidP="00D10891">
      <w:pPr>
        <w:pStyle w:val="SectionHeadingswhec"/>
        <w:rPr>
          <w:color w:val="0070C0"/>
        </w:rPr>
      </w:pPr>
      <w:r w:rsidRPr="005712B7">
        <w:t>Acknowledgements</w:t>
      </w:r>
    </w:p>
    <w:p w14:paraId="2E14A02E" w14:textId="63997D5C" w:rsidR="008C75EA" w:rsidRDefault="00FB7A4B" w:rsidP="002E5ED4">
      <w:pPr>
        <w:spacing w:line="480" w:lineRule="auto"/>
        <w:sectPr w:rsidR="008C75EA" w:rsidSect="00D67A93">
          <w:pgSz w:w="11909" w:h="16834" w:code="9"/>
          <w:pgMar w:top="1304" w:right="1304" w:bottom="1304" w:left="1304" w:header="397" w:footer="397" w:gutter="0"/>
          <w:cols w:space="720"/>
          <w:titlePg/>
          <w:docGrid w:linePitch="299"/>
        </w:sectPr>
      </w:pPr>
      <w:r w:rsidRPr="00955FCD">
        <w:rPr>
          <w:sz w:val="24"/>
          <w:szCs w:val="24"/>
        </w:rPr>
        <w:t xml:space="preserve">We would like to thank Levine Simmers of the Stellenbosch University Department of Process Engineering Analytical Unit for HPLC and analytical </w:t>
      </w:r>
      <w:r w:rsidR="007C0F99" w:rsidRPr="00955FCD">
        <w:rPr>
          <w:sz w:val="24"/>
          <w:szCs w:val="24"/>
        </w:rPr>
        <w:t>assistance. This work was supported by funding from the Water Research Commission (WRC) of South Africa</w:t>
      </w:r>
      <w:r w:rsidR="007C0F99">
        <w:t>.</w:t>
      </w:r>
      <w:r w:rsidR="004107A4">
        <w:t xml:space="preserve"> The authors have no conflicts of interest to declare.</w:t>
      </w:r>
    </w:p>
    <w:p w14:paraId="50144497" w14:textId="5224716E" w:rsidR="009D58EF" w:rsidRPr="005712B7" w:rsidRDefault="00500C5A" w:rsidP="002E5ED4">
      <w:pPr>
        <w:pStyle w:val="Heading1"/>
        <w:spacing w:line="480" w:lineRule="auto"/>
        <w:rPr>
          <w:caps w:val="0"/>
        </w:rPr>
      </w:pPr>
      <w:bookmarkStart w:id="91" w:name="_Toc24637324"/>
      <w:r w:rsidRPr="005712B7">
        <w:rPr>
          <w:caps w:val="0"/>
        </w:rPr>
        <w:lastRenderedPageBreak/>
        <w:t>References</w:t>
      </w:r>
      <w:bookmarkEnd w:id="91"/>
    </w:p>
    <w:p w14:paraId="57308F6B" w14:textId="7AD5FFF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Acién Fernández, F.G., García Camacho, F., Chisti, Y., 1999. Photobioreactors: light regime, mass transfer, and scaleup. Prog. Ind. Microbiol. 35, 231–247.</w:t>
      </w:r>
    </w:p>
    <w:p w14:paraId="7CFAD69B"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Aiba, S., 1982. Growth kinetics of photosynthetic microorganism. Microb. React. 85–156.</w:t>
      </w:r>
    </w:p>
    <w:p w14:paraId="3E07F73D"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Anye Cho, B., de Carvalho Servia, M.Á., del Río Chanona, E.A., Smith, R., Zhang, D., 2021. Synergising biomass growth kinetics and transport mechanisms to simulate light/dark cycle effects on photo-production systems. Biotechnol. Bioeng. 118, 1932–1942.</w:t>
      </w:r>
    </w:p>
    <w:p w14:paraId="52A4AD9C"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Assawamongkholsiri, T., Reungsang, A., Plangkang, P., Sittijunda, S., 2018. Repeated batch fermentation for photo-hydrogen and lipid production from wastewater of a sugar manufacturing plant. Int. J. Hydrogen Energy 43, 3605–3617.</w:t>
      </w:r>
    </w:p>
    <w:p w14:paraId="12A51A55"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Berberoglu, H., Yin, J., Pilon, L., 2007. Light transfer in bubble sparged photobioreactors for H 2 production and CO 2 mitigation 32, 2273–2285.</w:t>
      </w:r>
    </w:p>
    <w:p w14:paraId="62EFEE7E"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Brown, B., Immethun, C., Wilkins, M., Saha, R., 2020. Rhodopseudomonas palustris CGA009 polyhydroxybutyrate production from a lignin aromatic and quanti fi cation via fl ow cytometry. Bioresour. Technol. Reports 11, 100474.</w:t>
      </w:r>
    </w:p>
    <w:p w14:paraId="299D39C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Carlozzi, P., 2009. The effect of irradiance growing on hydrogen photoevolution and on the kinetic growth in Rhodopseudomonas palustris, strain 42OL. Int. J. Hydrogen Energy 34, 7949–7958.</w:t>
      </w:r>
    </w:p>
    <w:p w14:paraId="0FBE779D"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Carlozzi, P., Sacchi, A., 2001. Biomass production and studies on Rhodopseudomonas palustris grown in an outdoor, temperature controlled, underwater tubular photobioreactor. J. Biotechnol. 88, 239–249.</w:t>
      </w:r>
    </w:p>
    <w:p w14:paraId="18FF803A"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 xml:space="preserve">Clarke, K.G., 2013. Bioprocess Engineering - An Introductory Engineering and Life Science </w:t>
      </w:r>
      <w:r w:rsidRPr="00B559D5">
        <w:rPr>
          <w:rFonts w:cs="Calibri"/>
          <w:noProof/>
          <w:sz w:val="24"/>
          <w:szCs w:val="24"/>
        </w:rPr>
        <w:lastRenderedPageBreak/>
        <w:t>Approach, Bioprocess Engineering.</w:t>
      </w:r>
    </w:p>
    <w:p w14:paraId="1CE701C5"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Cornet, J.F., Dussap, C.G., Gros, J.B., Binois, C., Lasseur, C.A., 1995. A SIMPLIFIED M O N O D I M E N S I O N A L APPROACH FOR M O D E L I N G COUPLING BETWEEN RADIANT LIGHT TRANSFER A N D GROWTH KINETICS IN 50.</w:t>
      </w:r>
    </w:p>
    <w:p w14:paraId="653BAE1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du Toit, J.-P., Pott, R.W.M., 2020. Transparent polyvinyl-alcohol cryogel as immobilisation matrix for continuous biohydrogen production by phototrophic bacteria. Biotechnol. Biofuels 13, 105.</w:t>
      </w:r>
    </w:p>
    <w:p w14:paraId="3D92AC2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Ghosh, D., Tourigny, A., Hallenbeck, P.C., 2011. Near stoichiometric reforming of biodiesel derived crude glycerol to hydrogen by photofermentation. Int. J. Hydrogen Energy 2–6.</w:t>
      </w:r>
    </w:p>
    <w:p w14:paraId="3EE3416A"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Ghosh, S., Dairkee, U.K., Chowdhury, R., Bhattacharya, P., 2017. Hydrogen from food processing wastes via photofermentation using Purple Non-sulfur Bacteria (PNSB) – A review. Energy Convers. Manag. 141, 299–314.</w:t>
      </w:r>
    </w:p>
    <w:p w14:paraId="2F5152E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Godwin, D., Slater, J.H., 1979. The influence of the growth environment on the stability of a drug resistance plasmid in Escherichia coli K12. J. Gen. Microbiol. 111, 201–210.</w:t>
      </w:r>
    </w:p>
    <w:p w14:paraId="5DE6482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Hallenbeck, P.C., Ghosh, D., 2009. Advances in fermentative biohydrogen production: the way forward? Trends Biotechnol. 27, 287–297.</w:t>
      </w:r>
    </w:p>
    <w:p w14:paraId="6669D627"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Hay, J.X.W., Wu, T.Y., Juan, J.C., Md. Jahim, J., 2017. Effect of adding brewery wastewater to pulp and paper mill effluent to enhance the photofermentation process: wastewater characteristics, biohydrogen production, overall performance, and kinetic modeling. Environ. Sci. Pollut. Res. 24, 10354–10363.</w:t>
      </w:r>
    </w:p>
    <w:p w14:paraId="054990E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Huang, J., Feng, F., Wan, M., Ying, J., Li, Y., Qu, X., Pan, R., Shen, G., Li, W., 2015. Improving performance of flat-plate photobioreactors by installation of novel internal mixers optimized with computational fluid dynamics. Bioresour. Technol. 182, 151–159.</w:t>
      </w:r>
    </w:p>
    <w:p w14:paraId="7248B59F"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lastRenderedPageBreak/>
        <w:t>Johnson, D.T., Taconi, K.A., 2009. The Glycerin Glut : Options for the Value-Added Conversion of Crude Glycerol Resulting from Biodiesel Production. Environ. Prog. 26, 338–348.</w:t>
      </w:r>
    </w:p>
    <w:p w14:paraId="6A6C8E71"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Krujatz, F., Illing, R., Krautwer, T., Liao, J., Helbig, K., Goy, K., Opitz, J., Cuniberti, G., Bley, T., Weber, J., 2015. Light-field-characterization in a continuous hydrogen-producing photobioreactor by optical simulation and computational fluid dynamics. Biotechnol. Bioeng. 112, 2439–2449.</w:t>
      </w:r>
    </w:p>
    <w:p w14:paraId="61A184A7"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Larimer, F.W., Chain, P., Hauser, L., Lamerdin, J., Malfatti, S., Do, L., Land, M.L., Pelletier, D. a, Beatty, J.T., Lang, A.S., Tabita, F.R., Gibson, J.L., Hanson, T.E., Bobst, C., Torres, J.L.T.Y., Peres, C., Harrison, F.H., Gibson, J., Harwood, C.S., 2004. Complete genome sequence of the metabolically versatile photosynthetic bacterium Rhodopseudomonas palustris. Nat. Biotechnol. 22, 55–61.</w:t>
      </w:r>
    </w:p>
    <w:p w14:paraId="0C6AE153"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Laurinavichene, T., Tekucheva, D., Laurinavichius, K., Tsygankov, A., 2018. Utilization of distillery wastewater for hydrogen production in one-stage and two-stage processes involving photofermentation. Enzyme Microb. Technol. 110, 1–7.</w:t>
      </w:r>
    </w:p>
    <w:p w14:paraId="7B52DAC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Li, Y.-J., Wang, R., Lin, C.-Y., Chen, S.-H., Chuang, C.-H., Chou, T.-H., Ko, C.-F., Chou, P.-H., Liu, C.-T., Shih, Y., 2021. The degradation mechanisms of Rhodopseudomonas palustris toward hexabromocyclododecane by time-course transcriptome analysis. Chem. Eng. J. 425, 130489.</w:t>
      </w:r>
    </w:p>
    <w:p w14:paraId="34A01C4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Li, Z., Yang, J., Loh, X.J., 2016. Polyhydroxyalkanoates : opening doors for a sustainable future 1–20.</w:t>
      </w:r>
    </w:p>
    <w:p w14:paraId="7D6884CF"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Liu, Y., 2007. Overview of some theoretical approaches for derivation of the Monod equation. Appl. Microbiol. Biotechnol. 73, 1241–1250.</w:t>
      </w:r>
    </w:p>
    <w:p w14:paraId="2DBBF6EE"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 xml:space="preserve">Lu, H., Zhang, G., He, S., Peng, C., Ren, Z., 2020. Production of photosynthetic bacteria using </w:t>
      </w:r>
      <w:r w:rsidRPr="00B559D5">
        <w:rPr>
          <w:rFonts w:cs="Calibri"/>
          <w:noProof/>
          <w:sz w:val="24"/>
          <w:szCs w:val="24"/>
        </w:rPr>
        <w:lastRenderedPageBreak/>
        <w:t>organic wastewater in photobioreactors in lieu of a culture medium in fermenters : From lab to pilot scale 259.</w:t>
      </w:r>
    </w:p>
    <w:p w14:paraId="1EFCDA82"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Ma, Y., Liu, Y., 2019. Chapter 21 - Biodiesel Production: Status and Perspectives. In: Pandey, A., Larroche, C., Dussap, C.-G., Gnansounou, E., Khanal, S.K., Ricke, S.B.T.-B.A.F. and C.P. for the P. of L. and G.B. (Second E. (Eds.), Biomass, Biofuels, Biochemicals. Academic Press, pp. 503–522.</w:t>
      </w:r>
    </w:p>
    <w:p w14:paraId="6557831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Mabutyana, L., Pott, R.W.M., 2021. Photo-fermentative hydrogen production by Rhodopseudomonas palustris CGA009 in the presence of inhibitory compounds. Int. J. Hydrogen Energy.</w:t>
      </w:r>
    </w:p>
    <w:p w14:paraId="694D0FB3"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Mahanta, D.J., Borah, M., Saikia, P., 2014. A Study on Kinetic Models for Analysing the Bacterial Growth Rate 68–72.</w:t>
      </w:r>
    </w:p>
    <w:p w14:paraId="4C603A04"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Naderi, G., Znad, H., Tade, M.O., 2017. Investigating and modelling of light intensity distribution inside algal photobioreactor. Chem. Eng. Process. Process Intensif. 122, 530–537.</w:t>
      </w:r>
    </w:p>
    <w:p w14:paraId="229E8C3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Obeid, J., Magnin, J.P., Flaus, J.M., Adrot, O., Willison, J.C., Zlatev, R., 2009. Modelling of hydrogen production in batch cultures of the photosynthetic bacterium Rhodobacter capsulatus. Int. J. Hydrogen Energy 34, 180–185.</w:t>
      </w:r>
    </w:p>
    <w:p w14:paraId="3774D405"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Palamae, S., Choorit, W., Dechatiwongse, P., Zhang, D., Antonio del Rio-Chanona, E., Chisti, Y., 2018. Production of renewable biohydrogen by Rhodobacter sphaeroides S10: A comparison of photobioreactors. J. Clean. Prod. 181, 318–328.</w:t>
      </w:r>
    </w:p>
    <w:p w14:paraId="17F6A1B4"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Parliament, E., 2008. Directive 2009/28/EC of the European Parliament and of the Council of 23 April 2009 on the promotion of the use of energy from renewable sources and amending and subsequently repealing Directives 2001/77/EC and 2003/30/EC.</w:t>
      </w:r>
    </w:p>
    <w:p w14:paraId="6BA640B8"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 xml:space="preserve">Pott, R.W.M., Howe, C.J., Dennis, J.S., 2013. Photofermentation of crude glycerol from biodiesel </w:t>
      </w:r>
      <w:r w:rsidRPr="00B559D5">
        <w:rPr>
          <w:rFonts w:cs="Calibri"/>
          <w:noProof/>
          <w:sz w:val="24"/>
          <w:szCs w:val="24"/>
        </w:rPr>
        <w:lastRenderedPageBreak/>
        <w:t>using Rhodopseudomonas palustris: Comparison with organic acids and the identification of inhibitory compounds. Bioresour. Technol. 130, 725–730.</w:t>
      </w:r>
    </w:p>
    <w:p w14:paraId="640DB3E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Pruvost, J., Le Gouic, B., Lepine, O., Legrand, J., Le Borgne, F., 2016. Microalgae culture in building-integrated photobioreactors: Biomass production modelling and energetic analysis. Chem. Eng. J. 284, 850–861.</w:t>
      </w:r>
    </w:p>
    <w:p w14:paraId="7CBA7AE7"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Robinson, J.A., Tiedje, J.M., 1983. Nonlinear estimation of monod growth kinetic parameters from a single substrate depletion curve. Appl. Environ. Microbiol. 45, 1453–1458.</w:t>
      </w:r>
    </w:p>
    <w:p w14:paraId="1909EAA7"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Ross, B.S., Pott, R.W.M., 2020. ScienceDirect Hydrogen production by immobilized Rhodopseudomonas palustris in packed or fluidized bed photobioreactor systems. Int. J. Hydrogen Energy.</w:t>
      </w:r>
    </w:p>
    <w:p w14:paraId="2C7BD087"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Schuster, A., 1905. RADIATION THROUGH A FOGGY ATMOSPHERE. Astrophys. J.</w:t>
      </w:r>
    </w:p>
    <w:p w14:paraId="24FB85F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Seifert, K., Waligorska, M., Laniecki, M., 2010. Hydrogen generation in photobiological process from dairy wastewater. Int. J. Hydrogen Energy 35, 9624–9629.</w:t>
      </w:r>
    </w:p>
    <w:p w14:paraId="604E192F"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Sogani, M., Pankan, A.O., Dongre, A., Yunus, K., Fisher, A.C., 2021. Augmenting the biodegradation of recalcitrant ethinylestradiol using Rhodopseudomonas palustris in a hybrid photo-assisted microbial fuel cell with enhanced bio-hydrogen production. J. Hazard. Mater. 408, 124421.</w:t>
      </w:r>
    </w:p>
    <w:p w14:paraId="2F29077A"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Tandori, J., Hideg, É., Nagy, L., Maróti, P., Vass, I., 2001. Photoinhibition of carotenoidless reaction centers from Rhodobacter sphaeroides by visible light. Effects on protein structure and electron transport. Photosynth. Res. 70, 175–184.</w:t>
      </w:r>
    </w:p>
    <w:p w14:paraId="5410A045"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van Niel, C.B., 1944. THE CULTURE, GENERAL PHYSIOLOGY, MORPHOLOGY, AND CLASSIFICATION OF THE NON-SULFUR PURPLE AND BROWN BACTERIA. Bacteriol. Rev. 8, 1–118.</w:t>
      </w:r>
    </w:p>
    <w:p w14:paraId="1CE165D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lastRenderedPageBreak/>
        <w:t>Wágner, D.S., Valverde-Pérez, B., Plósz, B.G., 2018. Light attenuation in photobioreactors and algal pigmentation under different growth conditions – Model identification and complexity assessment. Algal Res. 35, 488–499.</w:t>
      </w:r>
    </w:p>
    <w:p w14:paraId="0E0BA1E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Xiao, N., 2017. Use a Purple Non-Sulphur Bacterium , Rhodopseudomonas palustris , as a Biocatalyst for Hydrogen Production.</w:t>
      </w:r>
    </w:p>
    <w:p w14:paraId="6F4DC286"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Yen, H.W., Chiang, W.C., 2012. Effects of mutual shading, pressurization and oxygen partial pressure on the autotrophical cultivation of Scenedesmus obliquus. J. Taiwan Inst. Chem. Eng. 43, 820–824.</w:t>
      </w:r>
    </w:p>
    <w:p w14:paraId="152C78B5"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Yetis, M., Gündüz, U., Eroglu, I., Yücel, M., Turker, L., 2000. Photoproduction of hydrogen from sugar refinery wastewater by Rhodobacter sphaeroides O.U. 001. Int. J. Hydrogen Energy 25, 1035–1041.</w:t>
      </w:r>
    </w:p>
    <w:p w14:paraId="661F6C20" w14:textId="77777777" w:rsidR="00B559D5" w:rsidRPr="00B559D5" w:rsidRDefault="00B559D5" w:rsidP="00B559D5">
      <w:pPr>
        <w:widowControl w:val="0"/>
        <w:autoSpaceDE w:val="0"/>
        <w:autoSpaceDN w:val="0"/>
        <w:adjustRightInd w:val="0"/>
        <w:spacing w:line="480" w:lineRule="auto"/>
        <w:ind w:left="480" w:hanging="480"/>
        <w:rPr>
          <w:rFonts w:cs="Calibri"/>
          <w:noProof/>
          <w:sz w:val="24"/>
          <w:szCs w:val="24"/>
        </w:rPr>
      </w:pPr>
      <w:r w:rsidRPr="00B559D5">
        <w:rPr>
          <w:rFonts w:cs="Calibri"/>
          <w:noProof/>
          <w:sz w:val="24"/>
          <w:szCs w:val="24"/>
        </w:rPr>
        <w:t>Zhang, D., Dechatiwongse, P., del Rio-Chanona, E.A., Maitland, G.C., Hellgardt, K., Vassiliadis, V.S., 2015. Modelling of light and temperature influences on cyanobacterial growth and biohydrogen production. Algal Res. 9, 263–274.</w:t>
      </w:r>
    </w:p>
    <w:p w14:paraId="097C6D6E" w14:textId="54923DBF" w:rsidR="00464A96" w:rsidRPr="005664BB" w:rsidRDefault="00B559D5" w:rsidP="005664BB">
      <w:pPr>
        <w:widowControl w:val="0"/>
        <w:autoSpaceDE w:val="0"/>
        <w:autoSpaceDN w:val="0"/>
        <w:adjustRightInd w:val="0"/>
        <w:spacing w:line="480" w:lineRule="auto"/>
        <w:ind w:left="480" w:hanging="480"/>
        <w:rPr>
          <w:rFonts w:cs="Calibri"/>
          <w:noProof/>
          <w:sz w:val="24"/>
        </w:rPr>
      </w:pPr>
      <w:r w:rsidRPr="00B559D5">
        <w:rPr>
          <w:rFonts w:cs="Calibri"/>
          <w:noProof/>
          <w:sz w:val="24"/>
          <w:szCs w:val="24"/>
        </w:rPr>
        <w:t>Zhang, D, Xiao, N., Mahbubani, K.T., Rio-chanona, E.A., Slater, N.K.H., Vassiliadis, V.S., 2015. Bioprocess modelling of biohydrogen production by Rhodopseudomonas palustris : Model development and effects of operating conditions on hydrogen yield and glycerol conversion ef fi ciency. Chem. Eng. Sci. 130, 68–78.</w:t>
      </w:r>
    </w:p>
    <w:p w14:paraId="1E950655" w14:textId="624E97C1" w:rsidR="000F2F58" w:rsidRDefault="000F2F58" w:rsidP="000F2F58">
      <w:pPr>
        <w:pStyle w:val="SectionHeadingswhec"/>
      </w:pPr>
      <w:r>
        <w:t>Figure Legends</w:t>
      </w:r>
    </w:p>
    <w:p w14:paraId="0CEAC9E0" w14:textId="77777777" w:rsidR="000F2F58" w:rsidRPr="005A2E50" w:rsidRDefault="000F2F58" w:rsidP="000F2F58">
      <w:pPr>
        <w:pStyle w:val="Caption"/>
        <w:rPr>
          <w:sz w:val="20"/>
          <w:szCs w:val="20"/>
        </w:rPr>
      </w:pPr>
      <w:r w:rsidRPr="005A2E50">
        <w:rPr>
          <w:sz w:val="20"/>
          <w:szCs w:val="20"/>
        </w:rPr>
        <w:t xml:space="preserve">Figure </w:t>
      </w:r>
      <w:r w:rsidRPr="005A2E50">
        <w:rPr>
          <w:noProof/>
          <w:sz w:val="20"/>
          <w:szCs w:val="20"/>
        </w:rPr>
        <w:t>1</w:t>
      </w:r>
      <w:r w:rsidRPr="005A2E50">
        <w:rPr>
          <w:sz w:val="20"/>
          <w:szCs w:val="20"/>
        </w:rPr>
        <w:t>: Schematic diagram of the tubular PBR system used for all experiments pertaining to the effect of light intensity. The above diagram is the front view of the entire setup. The entire tubular PBR system was in a temperature-controlled water bath that is not depicted in the diagram. Total illuminated length and volume is 2.86 m and 500 mL respectively.</w:t>
      </w:r>
    </w:p>
    <w:p w14:paraId="4CA434A9" w14:textId="4BD5A6A3" w:rsidR="000D439F" w:rsidRPr="00E67900" w:rsidRDefault="000D439F" w:rsidP="000D439F">
      <w:pPr>
        <w:pStyle w:val="Caption"/>
        <w:rPr>
          <w:i/>
          <w:iCs w:val="0"/>
          <w:noProof/>
        </w:rPr>
      </w:pPr>
      <w:r>
        <w:lastRenderedPageBreak/>
        <w:t xml:space="preserve">Figure </w:t>
      </w:r>
      <w:r w:rsidR="005664BB">
        <w:t>2</w:t>
      </w:r>
      <w:r>
        <w:t>:</w:t>
      </w:r>
      <w:r w:rsidRPr="00E67900">
        <w:t xml:space="preserve"> Change in average light intensity through the width of a cylindrical bioreactor with an incident light intensity of 100 W/m</w:t>
      </w:r>
      <w:r w:rsidRPr="00E67900">
        <w:rPr>
          <w:vertAlign w:val="superscript"/>
        </w:rPr>
        <w:t>2</w:t>
      </w:r>
      <w:r w:rsidRPr="00E67900">
        <w:t xml:space="preserve"> and a biomass concentration of 4 g/L.</w:t>
      </w:r>
    </w:p>
    <w:p w14:paraId="56D8F21F" w14:textId="1F6B7787" w:rsidR="000D439F" w:rsidRDefault="000D439F" w:rsidP="000D439F">
      <w:pPr>
        <w:pStyle w:val="Caption"/>
      </w:pPr>
      <w:r>
        <w:t xml:space="preserve">Figure </w:t>
      </w:r>
      <w:r w:rsidR="005664BB">
        <w:t>3</w:t>
      </w:r>
      <w:r>
        <w:t>:</w:t>
      </w:r>
      <w:r w:rsidRPr="008007CC">
        <w:t xml:space="preserve"> Transmittance (UV/Vis spectrophotometer, Varian at 875nm) of light through varying concentrations of </w:t>
      </w:r>
      <w:r w:rsidRPr="007053AA">
        <w:t>R. palustris</w:t>
      </w:r>
      <w:r w:rsidRPr="008007CC">
        <w:t xml:space="preserve"> cultures in 1 cm cuvettes, with Van Niels medium as the blank. Data points represent the mean of triplicate repeats and the error bars show the uncertainty associated with the CDW measurements and the transmittance measurements.</w:t>
      </w:r>
    </w:p>
    <w:p w14:paraId="0DF1E225" w14:textId="290A926C" w:rsidR="000D439F" w:rsidRDefault="000D439F" w:rsidP="000D439F">
      <w:pPr>
        <w:pStyle w:val="Caption"/>
      </w:pPr>
      <w:r>
        <w:t xml:space="preserve">Figure </w:t>
      </w:r>
      <w:r w:rsidR="005664BB">
        <w:t>4</w:t>
      </w:r>
      <w:r>
        <w:t>:</w:t>
      </w:r>
      <w:r w:rsidRPr="00CC07DC">
        <w:t xml:space="preserve"> Growth curves (CDW vs time) of R. palustris)</w:t>
      </w:r>
      <w:r w:rsidRPr="00CC07DC">
        <w:rPr>
          <w:vertAlign w:val="subscript"/>
        </w:rPr>
        <w:t xml:space="preserve"> </w:t>
      </w:r>
      <w:r>
        <w:t>at</w:t>
      </w:r>
      <w:r w:rsidRPr="00CC07DC">
        <w:t xml:space="preserve"> varying light intensities, i.e. 30, 70, 200, 400 and 600 W/m</w:t>
      </w:r>
      <w:r w:rsidRPr="00CC07DC">
        <w:rPr>
          <w:vertAlign w:val="superscript"/>
        </w:rPr>
        <w:t>2</w:t>
      </w:r>
      <w:r w:rsidRPr="00CC07DC">
        <w:t>. Data points represent the mean of quadruple repeats and the error bars show the uncertainty associated with the CDW measurements.</w:t>
      </w:r>
    </w:p>
    <w:p w14:paraId="5C709A8D" w14:textId="38F7525A" w:rsidR="000D439F" w:rsidRDefault="000D439F" w:rsidP="000D439F">
      <w:pPr>
        <w:pStyle w:val="Caption"/>
      </w:pPr>
      <w:r>
        <w:t xml:space="preserve">Figure </w:t>
      </w:r>
      <w:r w:rsidR="005664BB">
        <w:t>5</w:t>
      </w:r>
      <w:r w:rsidRPr="00123CBA">
        <w:t xml:space="preserve">: </w:t>
      </w:r>
      <w:r>
        <w:t>Change in m</w:t>
      </w:r>
      <w:r w:rsidRPr="00123CBA">
        <w:t xml:space="preserve">aximum specific growth rate of R. palustris </w:t>
      </w:r>
      <w:r>
        <w:t xml:space="preserve">with </w:t>
      </w:r>
      <w:r w:rsidRPr="00123CBA">
        <w:t>varying light intensit</w:t>
      </w:r>
      <w:r>
        <w:t>y</w:t>
      </w:r>
      <w:r w:rsidRPr="00123CBA">
        <w:t>, i.e. 30, 70, 200, 400 and 600 W/m</w:t>
      </w:r>
      <w:r w:rsidRPr="00123CBA">
        <w:rPr>
          <w:vertAlign w:val="superscript"/>
        </w:rPr>
        <w:t>2</w:t>
      </w:r>
      <w:r w:rsidRPr="00123CBA">
        <w:t>. Data points represent the mean of quadruple repeats and the error bars show the propagated uncertainty originally associated with the CDW measurements.</w:t>
      </w:r>
    </w:p>
    <w:p w14:paraId="454CAE05" w14:textId="5A1391C1" w:rsidR="000D439F" w:rsidRDefault="000D439F" w:rsidP="000D439F">
      <w:pPr>
        <w:pStyle w:val="Caption"/>
      </w:pPr>
      <w:r>
        <w:t xml:space="preserve">Figure </w:t>
      </w:r>
      <w:r w:rsidR="005664BB">
        <w:t>6</w:t>
      </w:r>
      <w:r>
        <w:t>:</w:t>
      </w:r>
      <w:r w:rsidRPr="0057460D">
        <w:t xml:space="preserve"> Glycerol utilization of </w:t>
      </w:r>
      <w:r w:rsidRPr="00BD6EC5">
        <w:t>R. palustris</w:t>
      </w:r>
      <w:r w:rsidRPr="0057460D">
        <w:t xml:space="preserve"> for varying light intensities, i.e. 30, 70, 200, 400 and 600 W/m</w:t>
      </w:r>
      <w:r w:rsidRPr="0057460D">
        <w:rPr>
          <w:vertAlign w:val="superscript"/>
        </w:rPr>
        <w:t>2</w:t>
      </w:r>
      <w:r w:rsidRPr="0057460D">
        <w:t>. Data points represent the mean of quadruple repeats. The error bars show the uncertainty associated with the glycerol concentration measurements that were obtained from HPLC analysis using the methods described in section</w:t>
      </w:r>
      <w:r>
        <w:t xml:space="preserve"> 2.3</w:t>
      </w:r>
      <w:r w:rsidRPr="0057460D">
        <w:t>.</w:t>
      </w:r>
    </w:p>
    <w:p w14:paraId="1F72C0F6" w14:textId="0814172A" w:rsidR="000D439F" w:rsidRDefault="000D439F" w:rsidP="000D439F">
      <w:pPr>
        <w:pStyle w:val="Caption"/>
      </w:pPr>
      <w:r>
        <w:t xml:space="preserve">Figure </w:t>
      </w:r>
      <w:r w:rsidR="005664BB">
        <w:t>7</w:t>
      </w:r>
      <w:r>
        <w:t>:</w:t>
      </w:r>
      <w:r w:rsidRPr="00317109">
        <w:t xml:space="preserve"> Transmittance (spectrophotometer – 875nm) of light through R. palustris cultures of varying cell concentrations with Van Niels medium as the blank. Data points represent the mean of triplicate experimental runs (o) and the trendline represents the two-flux model fitted to the data using lsqnonlin. The error bars show the uncertainty associated with the CDW measurements and the transmittance measurements.</w:t>
      </w:r>
    </w:p>
    <w:p w14:paraId="5FD05592" w14:textId="168789DD" w:rsidR="000D439F" w:rsidRDefault="000D439F" w:rsidP="000D439F">
      <w:pPr>
        <w:pStyle w:val="Caption"/>
      </w:pPr>
      <w:r>
        <w:t xml:space="preserve">Figure </w:t>
      </w:r>
      <w:r w:rsidR="005664BB">
        <w:t>8</w:t>
      </w:r>
      <w:r>
        <w:t>:</w:t>
      </w:r>
      <w:r w:rsidRPr="00BC5DC9">
        <w:t xml:space="preserve"> Light intensity profile through the tubular PBR with an incident light intensity of 30 W/m</w:t>
      </w:r>
      <w:r w:rsidRPr="00BC5DC9">
        <w:rPr>
          <w:vertAlign w:val="superscript"/>
        </w:rPr>
        <w:t>2</w:t>
      </w:r>
      <w:r w:rsidRPr="00BC5DC9">
        <w:t xml:space="preserve"> and a biomass concentration of 4 g/L.</w:t>
      </w:r>
    </w:p>
    <w:p w14:paraId="1AEED4AD" w14:textId="3F676862" w:rsidR="000D439F" w:rsidRDefault="000D439F" w:rsidP="000D439F">
      <w:pPr>
        <w:pStyle w:val="Caption"/>
      </w:pPr>
      <w:r>
        <w:t xml:space="preserve">Figure </w:t>
      </w:r>
      <w:r w:rsidR="005664BB">
        <w:t>9</w:t>
      </w:r>
      <w:r>
        <w:t>:</w:t>
      </w:r>
      <w:r w:rsidRPr="001975CC">
        <w:t xml:space="preserve"> Algorithm flow diagram illustrating the nested loop function for nonlinear regression.</w:t>
      </w:r>
    </w:p>
    <w:p w14:paraId="11694FB7" w14:textId="0A51DE50" w:rsidR="000D439F" w:rsidRDefault="000D439F" w:rsidP="000D439F">
      <w:pPr>
        <w:pStyle w:val="Caption"/>
      </w:pPr>
      <w:r>
        <w:t>Figure</w:t>
      </w:r>
      <w:r w:rsidR="005664BB">
        <w:t xml:space="preserve"> 10</w:t>
      </w:r>
      <w:r w:rsidRPr="00D932BB">
        <w:t>: Non-linear regression of best fit parameters of biomass and substrate concentrations for each light intensity investigated versus the actual experimental values. a) 30, b) 70, c) 200, d) 400 and e) 600 W/m</w:t>
      </w:r>
      <w:r w:rsidRPr="00D932BB">
        <w:rPr>
          <w:vertAlign w:val="superscript"/>
        </w:rPr>
        <w:t>2</w:t>
      </w:r>
      <w:r w:rsidRPr="00D932BB">
        <w:t>.</w:t>
      </w:r>
    </w:p>
    <w:p w14:paraId="7D1DE2C0" w14:textId="118EE047" w:rsidR="000D439F" w:rsidRDefault="000D439F" w:rsidP="000D439F">
      <w:pPr>
        <w:pStyle w:val="Caption"/>
        <w:rPr>
          <w:szCs w:val="16"/>
          <w:vertAlign w:val="superscript"/>
        </w:rPr>
      </w:pPr>
      <w:r>
        <w:t>Figure</w:t>
      </w:r>
      <w:r w:rsidR="005664BB">
        <w:t xml:space="preserve"> 11</w:t>
      </w:r>
      <w:r w:rsidRPr="00D932BB">
        <w:t xml:space="preserve">: Estimation of average light intensity in the tubular PBR over time. </w:t>
      </w:r>
      <w:r w:rsidRPr="00D932BB">
        <w:rPr>
          <w:szCs w:val="16"/>
        </w:rPr>
        <w:t>a) 30, b) 70, c) 200, d) 400 and e) 600 W/m</w:t>
      </w:r>
      <w:r w:rsidRPr="00D932BB">
        <w:rPr>
          <w:szCs w:val="16"/>
          <w:vertAlign w:val="superscript"/>
        </w:rPr>
        <w:t>2</w:t>
      </w:r>
    </w:p>
    <w:p w14:paraId="38F1A554" w14:textId="276FEFCA" w:rsidR="000D439F" w:rsidRDefault="000D439F" w:rsidP="000D439F"/>
    <w:p w14:paraId="0C4EE44A" w14:textId="15F64EBB" w:rsidR="005664BB" w:rsidRPr="000D439F" w:rsidRDefault="005664BB" w:rsidP="000D439F">
      <w:r w:rsidRPr="005664BB">
        <w:lastRenderedPageBreak/>
        <w:t>Figure 12: Estimation of the response of average light intensity as the biomass concentration increases. a) 30, b) 70, c) 200, d) 400 and e) 600 W/m</w:t>
      </w:r>
      <w:r w:rsidRPr="005664BB">
        <w:rPr>
          <w:vertAlign w:val="superscript"/>
        </w:rPr>
        <w:t>2</w:t>
      </w:r>
    </w:p>
    <w:p w14:paraId="6F96894B" w14:textId="77777777" w:rsidR="000D439F" w:rsidRPr="000D439F" w:rsidRDefault="000D439F" w:rsidP="000D439F"/>
    <w:p w14:paraId="098A158C" w14:textId="77777777" w:rsidR="000D439F" w:rsidRPr="000D439F" w:rsidRDefault="000D439F" w:rsidP="000D439F"/>
    <w:p w14:paraId="5B1DA279" w14:textId="77777777" w:rsidR="000D439F" w:rsidRPr="000D439F" w:rsidRDefault="000D439F" w:rsidP="000D439F"/>
    <w:p w14:paraId="42B2C8DB" w14:textId="77777777" w:rsidR="000D439F" w:rsidRPr="000D439F" w:rsidRDefault="000D439F" w:rsidP="000D439F"/>
    <w:p w14:paraId="42A06C97" w14:textId="77777777" w:rsidR="000D439F" w:rsidRPr="000D439F" w:rsidRDefault="000D439F" w:rsidP="000D439F"/>
    <w:p w14:paraId="5D55F2B3" w14:textId="77777777" w:rsidR="000D439F" w:rsidRPr="000D439F" w:rsidRDefault="000D439F" w:rsidP="000D439F"/>
    <w:p w14:paraId="7E2E9755" w14:textId="77777777" w:rsidR="000D439F" w:rsidRPr="000D439F" w:rsidRDefault="000D439F" w:rsidP="000D439F"/>
    <w:p w14:paraId="00A9D235" w14:textId="77777777" w:rsidR="000D439F" w:rsidRPr="000D439F" w:rsidRDefault="000D439F" w:rsidP="000D439F"/>
    <w:p w14:paraId="7C20AF1C" w14:textId="2F7476FA" w:rsidR="000F2F58" w:rsidRDefault="000F2F58" w:rsidP="000F2F58">
      <w:pPr>
        <w:pStyle w:val="SectionHeadingswhec"/>
      </w:pPr>
    </w:p>
    <w:p w14:paraId="220523DF" w14:textId="77777777" w:rsidR="00987CAC" w:rsidRPr="008E5769" w:rsidRDefault="00987CAC" w:rsidP="000F2F58">
      <w:pPr>
        <w:pStyle w:val="SectionHeadingswhec"/>
      </w:pPr>
    </w:p>
    <w:sectPr w:rsidR="00987CAC" w:rsidRPr="008E5769" w:rsidSect="00D67A93">
      <w:pgSz w:w="11909" w:h="16834" w:code="9"/>
      <w:pgMar w:top="1304" w:right="1304" w:bottom="1304" w:left="1304" w:header="397" w:footer="39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6946A" w14:textId="77777777" w:rsidR="00E544D0" w:rsidRDefault="00E544D0">
      <w:pPr>
        <w:spacing w:after="0"/>
      </w:pPr>
      <w:r>
        <w:separator/>
      </w:r>
    </w:p>
  </w:endnote>
  <w:endnote w:type="continuationSeparator" w:id="0">
    <w:p w14:paraId="60CFF3F6" w14:textId="77777777" w:rsidR="00E544D0" w:rsidRDefault="00E544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embedItalic r:id="rId1" w:subsetted="1" w:fontKey="{BD25DB79-1ED7-4C45-B06A-42E93F60F368}"/>
  </w:font>
  <w:font w:name="Calibri">
    <w:panose1 w:val="020F0502020204030204"/>
    <w:charset w:val="00"/>
    <w:family w:val="swiss"/>
    <w:pitch w:val="variable"/>
    <w:sig w:usb0="E4002EFF" w:usb1="C000247B" w:usb2="00000009" w:usb3="00000000" w:csb0="000001FF" w:csb1="00000000"/>
    <w:embedRegular r:id="rId2" w:fontKey="{E78ABB18-8CC4-4403-8AC1-5ABF4F43CCCB}"/>
    <w:embedBold r:id="rId3" w:fontKey="{7CE4B8CF-EAD7-4C45-9E8B-48359D0D6B72}"/>
    <w:embedItalic r:id="rId4" w:fontKey="{B516B9BF-D4D4-41D7-8CFC-39E4FEFCAC25}"/>
    <w:embedBoldItalic r:id="rId5" w:fontKey="{C411EC16-2C6E-4E00-8FE8-E827CAEB5811}"/>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E393F015-529A-4216-9C13-CEF3ABC0BEF1}"/>
    <w:embedItalic r:id="rId7" w:fontKey="{5BA7AF12-6253-44E8-92AD-D56FA14970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290EF" w14:textId="21E2AC49" w:rsidR="00773B16" w:rsidRDefault="00773B16">
    <w:pPr>
      <w:pStyle w:val="Footer"/>
      <w:jc w:val="center"/>
    </w:pPr>
  </w:p>
  <w:p w14:paraId="5ED5D152" w14:textId="77777777" w:rsidR="00773B16" w:rsidRDefault="00773B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65AA6" w14:textId="07E18111" w:rsidR="00773B16" w:rsidRDefault="00773B16">
    <w:pPr>
      <w:pStyle w:val="Footer"/>
      <w:jc w:val="center"/>
    </w:pPr>
  </w:p>
  <w:p w14:paraId="525C2B1B" w14:textId="77777777" w:rsidR="00773B16" w:rsidRDefault="00773B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7484844"/>
      <w:docPartObj>
        <w:docPartGallery w:val="Page Numbers (Bottom of Page)"/>
        <w:docPartUnique/>
      </w:docPartObj>
    </w:sdtPr>
    <w:sdtEndPr>
      <w:rPr>
        <w:noProof/>
      </w:rPr>
    </w:sdtEndPr>
    <w:sdtContent>
      <w:p w14:paraId="409158C3" w14:textId="77777777" w:rsidR="00773B16" w:rsidRDefault="00773B16">
        <w:pPr>
          <w:pStyle w:val="Footer"/>
          <w:jc w:val="center"/>
        </w:pPr>
        <w:r>
          <w:fldChar w:fldCharType="begin"/>
        </w:r>
        <w:r>
          <w:instrText xml:space="preserve"> PAGE   \* MERGEFORMAT </w:instrText>
        </w:r>
        <w:r>
          <w:fldChar w:fldCharType="separate"/>
        </w:r>
        <w:r w:rsidR="002A4A00">
          <w:rPr>
            <w:noProof/>
          </w:rPr>
          <w:t>1</w:t>
        </w:r>
        <w:r>
          <w:rPr>
            <w:noProof/>
          </w:rPr>
          <w:fldChar w:fldCharType="end"/>
        </w:r>
      </w:p>
    </w:sdtContent>
  </w:sdt>
  <w:p w14:paraId="230703B6" w14:textId="77777777" w:rsidR="00773B16" w:rsidRDefault="00773B1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75A74" w14:textId="77777777" w:rsidR="00773B16" w:rsidRDefault="00773B16" w:rsidP="00E51103">
    <w:pPr>
      <w:jc w:val="center"/>
    </w:pPr>
    <w:r>
      <w:fldChar w:fldCharType="begin"/>
    </w:r>
    <w:r>
      <w:instrText xml:space="preserve"> PAGE   \* MERGEFORMAT </w:instrText>
    </w:r>
    <w:r>
      <w:fldChar w:fldCharType="separate"/>
    </w:r>
    <w:r>
      <w:rPr>
        <w:noProof/>
      </w:rPr>
      <w:t>18</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0984801"/>
      <w:docPartObj>
        <w:docPartGallery w:val="Page Numbers (Bottom of Page)"/>
        <w:docPartUnique/>
      </w:docPartObj>
    </w:sdtPr>
    <w:sdtEndPr>
      <w:rPr>
        <w:noProof/>
      </w:rPr>
    </w:sdtEndPr>
    <w:sdtContent>
      <w:p w14:paraId="2DF3F3DF" w14:textId="77777777" w:rsidR="00773B16" w:rsidRDefault="00773B16">
        <w:pPr>
          <w:pStyle w:val="Footer"/>
          <w:jc w:val="center"/>
        </w:pPr>
        <w:r>
          <w:fldChar w:fldCharType="begin"/>
        </w:r>
        <w:r>
          <w:instrText xml:space="preserve"> PAGE   \* MERGEFORMAT </w:instrText>
        </w:r>
        <w:r>
          <w:fldChar w:fldCharType="separate"/>
        </w:r>
        <w:r w:rsidR="002A4A00">
          <w:rPr>
            <w:noProof/>
          </w:rPr>
          <w:t>32</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ECE22" w14:textId="77777777" w:rsidR="00773B16" w:rsidRDefault="00773B16" w:rsidP="00E51103">
    <w:pPr>
      <w:jc w:val="center"/>
    </w:pPr>
    <w:r>
      <w:fldChar w:fldCharType="begin"/>
    </w:r>
    <w:r>
      <w:instrText xml:space="preserve"> PAGE   \* MERGEFORMAT </w:instrText>
    </w:r>
    <w:r>
      <w:fldChar w:fldCharType="separate"/>
    </w:r>
    <w:r w:rsidR="002A4A00">
      <w:rPr>
        <w:noProof/>
      </w:rPr>
      <w:t>42</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6001059"/>
      <w:docPartObj>
        <w:docPartGallery w:val="Page Numbers (Bottom of Page)"/>
        <w:docPartUnique/>
      </w:docPartObj>
    </w:sdtPr>
    <w:sdtEndPr>
      <w:rPr>
        <w:noProof/>
      </w:rPr>
    </w:sdtEndPr>
    <w:sdtContent>
      <w:p w14:paraId="710A44D1" w14:textId="1C33F8D9" w:rsidR="00773B16" w:rsidRDefault="00773B16">
        <w:pPr>
          <w:pStyle w:val="Footer"/>
          <w:jc w:val="center"/>
        </w:pPr>
        <w:r>
          <w:fldChar w:fldCharType="begin"/>
        </w:r>
        <w:r>
          <w:instrText xml:space="preserve"> PAGE   \* MERGEFORMAT </w:instrText>
        </w:r>
        <w:r>
          <w:fldChar w:fldCharType="separate"/>
        </w:r>
        <w:r w:rsidR="002A4A00">
          <w:rPr>
            <w:noProof/>
          </w:rPr>
          <w:t>36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AA999" w14:textId="77777777" w:rsidR="00E544D0" w:rsidRDefault="00E544D0">
      <w:pPr>
        <w:spacing w:after="0"/>
      </w:pPr>
      <w:r>
        <w:separator/>
      </w:r>
    </w:p>
  </w:footnote>
  <w:footnote w:type="continuationSeparator" w:id="0">
    <w:p w14:paraId="36AC2A7C" w14:textId="77777777" w:rsidR="00E544D0" w:rsidRDefault="00E544D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7342B"/>
    <w:multiLevelType w:val="hybridMultilevel"/>
    <w:tmpl w:val="17600B02"/>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 w15:restartNumberingAfterBreak="0">
    <w:nsid w:val="031906CD"/>
    <w:multiLevelType w:val="hybridMultilevel"/>
    <w:tmpl w:val="577CB124"/>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 w15:restartNumberingAfterBreak="0">
    <w:nsid w:val="0EA870AF"/>
    <w:multiLevelType w:val="hybridMultilevel"/>
    <w:tmpl w:val="E12047E8"/>
    <w:lvl w:ilvl="0" w:tplc="1C09001B">
      <w:start w:val="1"/>
      <w:numFmt w:val="lowerRoman"/>
      <w:lvlText w:val="%1."/>
      <w:lvlJc w:val="righ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 w15:restartNumberingAfterBreak="0">
    <w:nsid w:val="0F392C03"/>
    <w:multiLevelType w:val="hybridMultilevel"/>
    <w:tmpl w:val="67C8E0FC"/>
    <w:lvl w:ilvl="0" w:tplc="FC9CA23A">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 w15:restartNumberingAfterBreak="0">
    <w:nsid w:val="124A5C3D"/>
    <w:multiLevelType w:val="hybridMultilevel"/>
    <w:tmpl w:val="C1D8FB98"/>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5" w15:restartNumberingAfterBreak="0">
    <w:nsid w:val="13177C0F"/>
    <w:multiLevelType w:val="hybridMultilevel"/>
    <w:tmpl w:val="F72AC8EC"/>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6" w15:restartNumberingAfterBreak="0">
    <w:nsid w:val="22E318D8"/>
    <w:multiLevelType w:val="hybridMultilevel"/>
    <w:tmpl w:val="22022BD0"/>
    <w:lvl w:ilvl="0" w:tplc="6262E0F2">
      <w:start w:val="1"/>
      <w:numFmt w:val="upperLetter"/>
      <w:pStyle w:val="Appendix"/>
      <w:lvlText w:val="%1"/>
      <w:lvlJc w:val="left"/>
      <w:pPr>
        <w:ind w:left="3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276D4062"/>
    <w:multiLevelType w:val="hybridMultilevel"/>
    <w:tmpl w:val="78EA4402"/>
    <w:lvl w:ilvl="0" w:tplc="04090001">
      <w:start w:val="1"/>
      <w:numFmt w:val="bullet"/>
      <w:pStyle w:val="ListBullet4"/>
      <w:lvlText w:val=""/>
      <w:lvlJc w:val="left"/>
      <w:pPr>
        <w:tabs>
          <w:tab w:val="num" w:pos="864"/>
        </w:tabs>
        <w:ind w:left="864" w:hanging="360"/>
      </w:pPr>
      <w:rPr>
        <w:rFonts w:ascii="Symbol" w:hAnsi="Symbol" w:hint="default"/>
      </w:rPr>
    </w:lvl>
    <w:lvl w:ilvl="1" w:tplc="04090003">
      <w:start w:val="1"/>
      <w:numFmt w:val="bullet"/>
      <w:lvlText w:val="o"/>
      <w:lvlJc w:val="left"/>
      <w:pPr>
        <w:tabs>
          <w:tab w:val="num" w:pos="1584"/>
        </w:tabs>
        <w:ind w:left="1584" w:hanging="360"/>
      </w:pPr>
      <w:rPr>
        <w:rFonts w:ascii="Courier New" w:hAnsi="Courier New" w:cs="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cs="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cs="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8" w15:restartNumberingAfterBreak="0">
    <w:nsid w:val="34183159"/>
    <w:multiLevelType w:val="multilevel"/>
    <w:tmpl w:val="83FE2EEC"/>
    <w:lvl w:ilvl="0">
      <w:start w:val="1"/>
      <w:numFmt w:val="decimal"/>
      <w:pStyle w:val="Heading1"/>
      <w:lvlText w:val="%1"/>
      <w:lvlJc w:val="left"/>
      <w:pPr>
        <w:tabs>
          <w:tab w:val="num" w:pos="432"/>
        </w:tabs>
        <w:ind w:left="43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397A4B95"/>
    <w:multiLevelType w:val="hybridMultilevel"/>
    <w:tmpl w:val="9E20B666"/>
    <w:lvl w:ilvl="0" w:tplc="B97EA9AA">
      <w:start w:val="1"/>
      <w:numFmt w:val="bullet"/>
      <w:pStyle w:val="NormalBullet"/>
      <w:lvlText w:val=""/>
      <w:lvlJc w:val="left"/>
      <w:pPr>
        <w:tabs>
          <w:tab w:val="num" w:pos="792"/>
        </w:tabs>
        <w:ind w:left="792" w:hanging="360"/>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tentative="1">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0" w15:restartNumberingAfterBreak="0">
    <w:nsid w:val="3BA15023"/>
    <w:multiLevelType w:val="hybridMultilevel"/>
    <w:tmpl w:val="A4946D02"/>
    <w:lvl w:ilvl="0" w:tplc="09322C34">
      <w:start w:val="1"/>
      <w:numFmt w:val="bullet"/>
      <w:lvlText w:val="-"/>
      <w:lvlJc w:val="left"/>
      <w:pPr>
        <w:ind w:left="360" w:hanging="360"/>
      </w:pPr>
      <w:rPr>
        <w:rFonts w:ascii="Times New Roman" w:eastAsia="Times New Roman" w:hAnsi="Times New Roman" w:cs="Times New Roman" w:hint="default"/>
      </w:rPr>
    </w:lvl>
    <w:lvl w:ilvl="1" w:tplc="6158DE48">
      <w:start w:val="1"/>
      <w:numFmt w:val="bullet"/>
      <w:lvlText w:val="-"/>
      <w:lvlJc w:val="left"/>
      <w:pPr>
        <w:ind w:left="1080" w:hanging="360"/>
      </w:pPr>
      <w:rPr>
        <w:rFonts w:ascii="Times New Roman" w:eastAsia="Times New Roman" w:hAnsi="Times New Roman" w:cs="Times New Roman" w:hint="default"/>
      </w:rPr>
    </w:lvl>
    <w:lvl w:ilvl="2" w:tplc="10090005">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1" w15:restartNumberingAfterBreak="0">
    <w:nsid w:val="42865010"/>
    <w:multiLevelType w:val="hybridMultilevel"/>
    <w:tmpl w:val="E0D86662"/>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2" w15:restartNumberingAfterBreak="0">
    <w:nsid w:val="47A557E7"/>
    <w:multiLevelType w:val="hybridMultilevel"/>
    <w:tmpl w:val="1FFEBAFA"/>
    <w:lvl w:ilvl="0" w:tplc="64D81252">
      <w:start w:val="1"/>
      <w:numFmt w:val="lowerLetter"/>
      <w:pStyle w:val="Heading5"/>
      <w:lvlText w:val="%1)"/>
      <w:lvlJc w:val="left"/>
      <w:pPr>
        <w:ind w:left="360" w:hanging="360"/>
      </w:pPr>
      <w:rPr>
        <w:rFonts w:hint="default"/>
        <w:b/>
        <w:i w:val="0"/>
      </w:rPr>
    </w:lvl>
    <w:lvl w:ilvl="1" w:tplc="1C090019" w:tentative="1">
      <w:start w:val="1"/>
      <w:numFmt w:val="lowerLetter"/>
      <w:lvlText w:val="%2."/>
      <w:lvlJc w:val="left"/>
      <w:pPr>
        <w:ind w:left="1758" w:hanging="360"/>
      </w:pPr>
    </w:lvl>
    <w:lvl w:ilvl="2" w:tplc="1C09001B" w:tentative="1">
      <w:start w:val="1"/>
      <w:numFmt w:val="lowerRoman"/>
      <w:lvlText w:val="%3."/>
      <w:lvlJc w:val="right"/>
      <w:pPr>
        <w:ind w:left="2478" w:hanging="180"/>
      </w:pPr>
    </w:lvl>
    <w:lvl w:ilvl="3" w:tplc="1C09000F" w:tentative="1">
      <w:start w:val="1"/>
      <w:numFmt w:val="decimal"/>
      <w:lvlText w:val="%4."/>
      <w:lvlJc w:val="left"/>
      <w:pPr>
        <w:ind w:left="3198" w:hanging="360"/>
      </w:pPr>
    </w:lvl>
    <w:lvl w:ilvl="4" w:tplc="1C090019" w:tentative="1">
      <w:start w:val="1"/>
      <w:numFmt w:val="lowerLetter"/>
      <w:lvlText w:val="%5."/>
      <w:lvlJc w:val="left"/>
      <w:pPr>
        <w:ind w:left="3918" w:hanging="360"/>
      </w:pPr>
    </w:lvl>
    <w:lvl w:ilvl="5" w:tplc="1C09001B" w:tentative="1">
      <w:start w:val="1"/>
      <w:numFmt w:val="lowerRoman"/>
      <w:lvlText w:val="%6."/>
      <w:lvlJc w:val="right"/>
      <w:pPr>
        <w:ind w:left="4638" w:hanging="180"/>
      </w:pPr>
    </w:lvl>
    <w:lvl w:ilvl="6" w:tplc="1C09000F" w:tentative="1">
      <w:start w:val="1"/>
      <w:numFmt w:val="decimal"/>
      <w:lvlText w:val="%7."/>
      <w:lvlJc w:val="left"/>
      <w:pPr>
        <w:ind w:left="5358" w:hanging="360"/>
      </w:pPr>
    </w:lvl>
    <w:lvl w:ilvl="7" w:tplc="1C090019" w:tentative="1">
      <w:start w:val="1"/>
      <w:numFmt w:val="lowerLetter"/>
      <w:lvlText w:val="%8."/>
      <w:lvlJc w:val="left"/>
      <w:pPr>
        <w:ind w:left="6078" w:hanging="360"/>
      </w:pPr>
    </w:lvl>
    <w:lvl w:ilvl="8" w:tplc="1C09001B" w:tentative="1">
      <w:start w:val="1"/>
      <w:numFmt w:val="lowerRoman"/>
      <w:lvlText w:val="%9."/>
      <w:lvlJc w:val="right"/>
      <w:pPr>
        <w:ind w:left="6798" w:hanging="180"/>
      </w:pPr>
    </w:lvl>
  </w:abstractNum>
  <w:abstractNum w:abstractNumId="13" w15:restartNumberingAfterBreak="0">
    <w:nsid w:val="5540464F"/>
    <w:multiLevelType w:val="multilevel"/>
    <w:tmpl w:val="426A378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5543347F"/>
    <w:multiLevelType w:val="multilevel"/>
    <w:tmpl w:val="6F6042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5" w15:restartNumberingAfterBreak="0">
    <w:nsid w:val="67F02D64"/>
    <w:multiLevelType w:val="hybridMultilevel"/>
    <w:tmpl w:val="F4642ACA"/>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6" w15:restartNumberingAfterBreak="0">
    <w:nsid w:val="736C543F"/>
    <w:multiLevelType w:val="multilevel"/>
    <w:tmpl w:val="574200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74A811D3"/>
    <w:multiLevelType w:val="hybridMultilevel"/>
    <w:tmpl w:val="0BD664EA"/>
    <w:lvl w:ilvl="0" w:tplc="778E0BB8">
      <w:start w:val="1"/>
      <w:numFmt w:val="decimal"/>
      <w:lvlText w:val="%1."/>
      <w:lvlJc w:val="left"/>
      <w:pPr>
        <w:ind w:left="3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791B55B7"/>
    <w:multiLevelType w:val="hybridMultilevel"/>
    <w:tmpl w:val="0F86CB0A"/>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9" w15:restartNumberingAfterBreak="0">
    <w:nsid w:val="7F0D68C5"/>
    <w:multiLevelType w:val="hybridMultilevel"/>
    <w:tmpl w:val="FA0A1A02"/>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8"/>
  </w:num>
  <w:num w:numId="2">
    <w:abstractNumId w:val="7"/>
  </w:num>
  <w:num w:numId="3">
    <w:abstractNumId w:val="9"/>
  </w:num>
  <w:num w:numId="4">
    <w:abstractNumId w:val="14"/>
  </w:num>
  <w:num w:numId="5">
    <w:abstractNumId w:val="12"/>
  </w:num>
  <w:num w:numId="6">
    <w:abstractNumId w:val="0"/>
  </w:num>
  <w:num w:numId="7">
    <w:abstractNumId w:val="4"/>
  </w:num>
  <w:num w:numId="8">
    <w:abstractNumId w:val="19"/>
  </w:num>
  <w:num w:numId="9">
    <w:abstractNumId w:val="2"/>
  </w:num>
  <w:num w:numId="10">
    <w:abstractNumId w:val="11"/>
  </w:num>
  <w:num w:numId="11">
    <w:abstractNumId w:val="12"/>
    <w:lvlOverride w:ilvl="0">
      <w:startOverride w:val="1"/>
    </w:lvlOverride>
  </w:num>
  <w:num w:numId="12">
    <w:abstractNumId w:val="18"/>
  </w:num>
  <w:num w:numId="13">
    <w:abstractNumId w:val="5"/>
  </w:num>
  <w:num w:numId="14">
    <w:abstractNumId w:val="15"/>
  </w:num>
  <w:num w:numId="15">
    <w:abstractNumId w:val="3"/>
  </w:num>
  <w:num w:numId="16">
    <w:abstractNumId w:val="6"/>
  </w:num>
  <w:num w:numId="17">
    <w:abstractNumId w:val="17"/>
  </w:num>
  <w:num w:numId="18">
    <w:abstractNumId w:val="16"/>
  </w:num>
  <w:num w:numId="19">
    <w:abstractNumId w:val="10"/>
  </w:num>
  <w:num w:numId="20">
    <w:abstractNumId w:val="1"/>
  </w:num>
  <w:num w:numId="21">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saveSubsetFonts/>
  <w:mirrorMargins/>
  <w:activeWritingStyle w:appName="MSWord" w:lang="en-US" w:vendorID="64" w:dllVersion="6" w:nlCheck="1" w:checkStyle="1"/>
  <w:activeWritingStyle w:appName="MSWord" w:lang="en-ZA" w:vendorID="64" w:dllVersion="6" w:nlCheck="1" w:checkStyle="1"/>
  <w:activeWritingStyle w:appName="MSWord" w:lang="en-GB" w:vendorID="64" w:dllVersion="6" w:nlCheck="1" w:checkStyle="1"/>
  <w:activeWritingStyle w:appName="MSWord" w:lang="en-GB" w:vendorID="64" w:dllVersion="0" w:nlCheck="1" w:checkStyle="0"/>
  <w:activeWritingStyle w:appName="MSWord" w:lang="en-ZA" w:vendorID="64" w:dllVersion="0" w:nlCheck="1" w:checkStyle="0"/>
  <w:activeWritingStyle w:appName="MSWord" w:lang="en-US" w:vendorID="64" w:dllVersion="0" w:nlCheck="1" w:checkStyle="0"/>
  <w:activeWritingStyle w:appName="MSWord" w:lang="en-CA" w:vendorID="64" w:dllVersion="0" w:nlCheck="1" w:checkStyle="0"/>
  <w:activeWritingStyle w:appName="MSWord" w:lang="en-CA"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879"/>
    <w:rsid w:val="00000391"/>
    <w:rsid w:val="0000083B"/>
    <w:rsid w:val="000010DB"/>
    <w:rsid w:val="00001328"/>
    <w:rsid w:val="000016AE"/>
    <w:rsid w:val="0000187E"/>
    <w:rsid w:val="00001A24"/>
    <w:rsid w:val="00001A8E"/>
    <w:rsid w:val="00001C0D"/>
    <w:rsid w:val="00001D5F"/>
    <w:rsid w:val="00001FC3"/>
    <w:rsid w:val="0000230F"/>
    <w:rsid w:val="0000236D"/>
    <w:rsid w:val="00002433"/>
    <w:rsid w:val="0000271E"/>
    <w:rsid w:val="00002970"/>
    <w:rsid w:val="00002A04"/>
    <w:rsid w:val="00002D2E"/>
    <w:rsid w:val="00002F01"/>
    <w:rsid w:val="000031C7"/>
    <w:rsid w:val="000032AF"/>
    <w:rsid w:val="0000346D"/>
    <w:rsid w:val="00003613"/>
    <w:rsid w:val="000036E4"/>
    <w:rsid w:val="000036ED"/>
    <w:rsid w:val="0000376F"/>
    <w:rsid w:val="000037CD"/>
    <w:rsid w:val="00003A6E"/>
    <w:rsid w:val="00003B88"/>
    <w:rsid w:val="00003F5B"/>
    <w:rsid w:val="00003F85"/>
    <w:rsid w:val="000044B7"/>
    <w:rsid w:val="0000459F"/>
    <w:rsid w:val="00004692"/>
    <w:rsid w:val="00004D3D"/>
    <w:rsid w:val="0000502D"/>
    <w:rsid w:val="0000540F"/>
    <w:rsid w:val="00005EFE"/>
    <w:rsid w:val="000060B1"/>
    <w:rsid w:val="000061FC"/>
    <w:rsid w:val="0000621F"/>
    <w:rsid w:val="0000624E"/>
    <w:rsid w:val="000063DA"/>
    <w:rsid w:val="000068BA"/>
    <w:rsid w:val="00006C34"/>
    <w:rsid w:val="0000712E"/>
    <w:rsid w:val="000072A8"/>
    <w:rsid w:val="00007426"/>
    <w:rsid w:val="0000759C"/>
    <w:rsid w:val="00007612"/>
    <w:rsid w:val="00007741"/>
    <w:rsid w:val="00007AFE"/>
    <w:rsid w:val="00007BCD"/>
    <w:rsid w:val="00007CC2"/>
    <w:rsid w:val="000100D1"/>
    <w:rsid w:val="0001029F"/>
    <w:rsid w:val="000102B9"/>
    <w:rsid w:val="00010446"/>
    <w:rsid w:val="00010925"/>
    <w:rsid w:val="00010B95"/>
    <w:rsid w:val="00010F3E"/>
    <w:rsid w:val="00011365"/>
    <w:rsid w:val="000113CF"/>
    <w:rsid w:val="00011426"/>
    <w:rsid w:val="0001142B"/>
    <w:rsid w:val="00011611"/>
    <w:rsid w:val="00011843"/>
    <w:rsid w:val="000119D3"/>
    <w:rsid w:val="00011A58"/>
    <w:rsid w:val="00011AC8"/>
    <w:rsid w:val="00011B6F"/>
    <w:rsid w:val="00011E1C"/>
    <w:rsid w:val="00011EAF"/>
    <w:rsid w:val="00011EC8"/>
    <w:rsid w:val="000121E7"/>
    <w:rsid w:val="0001224E"/>
    <w:rsid w:val="00012306"/>
    <w:rsid w:val="0001238B"/>
    <w:rsid w:val="0001296E"/>
    <w:rsid w:val="00012A11"/>
    <w:rsid w:val="00012B83"/>
    <w:rsid w:val="00012C6E"/>
    <w:rsid w:val="00012CC4"/>
    <w:rsid w:val="00012FE9"/>
    <w:rsid w:val="0001300D"/>
    <w:rsid w:val="000131B5"/>
    <w:rsid w:val="000131EE"/>
    <w:rsid w:val="00013676"/>
    <w:rsid w:val="000136B9"/>
    <w:rsid w:val="0001382D"/>
    <w:rsid w:val="000138F0"/>
    <w:rsid w:val="00013AC3"/>
    <w:rsid w:val="00013E5C"/>
    <w:rsid w:val="000144FD"/>
    <w:rsid w:val="000149D3"/>
    <w:rsid w:val="00014B86"/>
    <w:rsid w:val="00014E4E"/>
    <w:rsid w:val="00014F75"/>
    <w:rsid w:val="00015174"/>
    <w:rsid w:val="00015312"/>
    <w:rsid w:val="0001548D"/>
    <w:rsid w:val="000155F6"/>
    <w:rsid w:val="00015857"/>
    <w:rsid w:val="000158A6"/>
    <w:rsid w:val="000159B4"/>
    <w:rsid w:val="00015AE9"/>
    <w:rsid w:val="00015AED"/>
    <w:rsid w:val="00015B03"/>
    <w:rsid w:val="00015F01"/>
    <w:rsid w:val="000160A7"/>
    <w:rsid w:val="000163AE"/>
    <w:rsid w:val="000167DF"/>
    <w:rsid w:val="000167FB"/>
    <w:rsid w:val="0001688A"/>
    <w:rsid w:val="00016900"/>
    <w:rsid w:val="000172FD"/>
    <w:rsid w:val="00017518"/>
    <w:rsid w:val="000175B3"/>
    <w:rsid w:val="000177E5"/>
    <w:rsid w:val="00017920"/>
    <w:rsid w:val="000179F8"/>
    <w:rsid w:val="00017A82"/>
    <w:rsid w:val="00017A95"/>
    <w:rsid w:val="00017C40"/>
    <w:rsid w:val="00017D27"/>
    <w:rsid w:val="00020426"/>
    <w:rsid w:val="000209D4"/>
    <w:rsid w:val="00020C95"/>
    <w:rsid w:val="00020CAB"/>
    <w:rsid w:val="00020E80"/>
    <w:rsid w:val="00021248"/>
    <w:rsid w:val="00021346"/>
    <w:rsid w:val="000215BA"/>
    <w:rsid w:val="000216FD"/>
    <w:rsid w:val="000219EE"/>
    <w:rsid w:val="00021DA3"/>
    <w:rsid w:val="00021E87"/>
    <w:rsid w:val="00022349"/>
    <w:rsid w:val="000227C2"/>
    <w:rsid w:val="00022854"/>
    <w:rsid w:val="00022E61"/>
    <w:rsid w:val="00023A56"/>
    <w:rsid w:val="00023D33"/>
    <w:rsid w:val="00023DC0"/>
    <w:rsid w:val="00023DEB"/>
    <w:rsid w:val="00023F5E"/>
    <w:rsid w:val="000240F7"/>
    <w:rsid w:val="0002439B"/>
    <w:rsid w:val="000244C9"/>
    <w:rsid w:val="000245C7"/>
    <w:rsid w:val="000245DC"/>
    <w:rsid w:val="00024741"/>
    <w:rsid w:val="00024AF7"/>
    <w:rsid w:val="00025233"/>
    <w:rsid w:val="000256E1"/>
    <w:rsid w:val="000256F8"/>
    <w:rsid w:val="00025800"/>
    <w:rsid w:val="00025C72"/>
    <w:rsid w:val="00025D2D"/>
    <w:rsid w:val="00026152"/>
    <w:rsid w:val="00026206"/>
    <w:rsid w:val="00026756"/>
    <w:rsid w:val="00026937"/>
    <w:rsid w:val="00026E41"/>
    <w:rsid w:val="00026FD1"/>
    <w:rsid w:val="000271CF"/>
    <w:rsid w:val="000271FB"/>
    <w:rsid w:val="000277B4"/>
    <w:rsid w:val="0003006A"/>
    <w:rsid w:val="00030075"/>
    <w:rsid w:val="000301CD"/>
    <w:rsid w:val="0003059A"/>
    <w:rsid w:val="00030611"/>
    <w:rsid w:val="00030946"/>
    <w:rsid w:val="00030B9B"/>
    <w:rsid w:val="00030DBB"/>
    <w:rsid w:val="00031736"/>
    <w:rsid w:val="00031B71"/>
    <w:rsid w:val="00031D96"/>
    <w:rsid w:val="00032166"/>
    <w:rsid w:val="0003220E"/>
    <w:rsid w:val="0003227D"/>
    <w:rsid w:val="000323A2"/>
    <w:rsid w:val="00032940"/>
    <w:rsid w:val="00032A47"/>
    <w:rsid w:val="00032A57"/>
    <w:rsid w:val="00032C24"/>
    <w:rsid w:val="00032E20"/>
    <w:rsid w:val="00032F78"/>
    <w:rsid w:val="0003304A"/>
    <w:rsid w:val="000332BE"/>
    <w:rsid w:val="00033538"/>
    <w:rsid w:val="000335EC"/>
    <w:rsid w:val="000339F7"/>
    <w:rsid w:val="00033CE0"/>
    <w:rsid w:val="000340AD"/>
    <w:rsid w:val="000342AE"/>
    <w:rsid w:val="0003450C"/>
    <w:rsid w:val="00034533"/>
    <w:rsid w:val="000346E5"/>
    <w:rsid w:val="00034956"/>
    <w:rsid w:val="000349F6"/>
    <w:rsid w:val="00034D57"/>
    <w:rsid w:val="00034E22"/>
    <w:rsid w:val="00034E9E"/>
    <w:rsid w:val="00034EBC"/>
    <w:rsid w:val="00035382"/>
    <w:rsid w:val="00035B52"/>
    <w:rsid w:val="00036129"/>
    <w:rsid w:val="000362BF"/>
    <w:rsid w:val="000365E7"/>
    <w:rsid w:val="0003666B"/>
    <w:rsid w:val="000368D9"/>
    <w:rsid w:val="00036A5E"/>
    <w:rsid w:val="00036A7A"/>
    <w:rsid w:val="00036BB4"/>
    <w:rsid w:val="00036D91"/>
    <w:rsid w:val="000372D1"/>
    <w:rsid w:val="000374FC"/>
    <w:rsid w:val="00037654"/>
    <w:rsid w:val="00037833"/>
    <w:rsid w:val="00037863"/>
    <w:rsid w:val="0003793B"/>
    <w:rsid w:val="00037C27"/>
    <w:rsid w:val="0004025F"/>
    <w:rsid w:val="000403C0"/>
    <w:rsid w:val="000404E0"/>
    <w:rsid w:val="0004066B"/>
    <w:rsid w:val="00040DBE"/>
    <w:rsid w:val="0004113D"/>
    <w:rsid w:val="000412ED"/>
    <w:rsid w:val="0004134A"/>
    <w:rsid w:val="000413AF"/>
    <w:rsid w:val="00041645"/>
    <w:rsid w:val="00041673"/>
    <w:rsid w:val="0004193A"/>
    <w:rsid w:val="00041C05"/>
    <w:rsid w:val="00041CC4"/>
    <w:rsid w:val="00041D2B"/>
    <w:rsid w:val="00041DB2"/>
    <w:rsid w:val="00041E7E"/>
    <w:rsid w:val="00041EB6"/>
    <w:rsid w:val="00042356"/>
    <w:rsid w:val="00042392"/>
    <w:rsid w:val="000423CF"/>
    <w:rsid w:val="00042479"/>
    <w:rsid w:val="00042640"/>
    <w:rsid w:val="000428A8"/>
    <w:rsid w:val="00042B11"/>
    <w:rsid w:val="000430C3"/>
    <w:rsid w:val="0004321F"/>
    <w:rsid w:val="0004365E"/>
    <w:rsid w:val="00043EFB"/>
    <w:rsid w:val="000443BE"/>
    <w:rsid w:val="00044408"/>
    <w:rsid w:val="00044726"/>
    <w:rsid w:val="00044DC6"/>
    <w:rsid w:val="000450CE"/>
    <w:rsid w:val="000451D5"/>
    <w:rsid w:val="00045369"/>
    <w:rsid w:val="000456B2"/>
    <w:rsid w:val="000461FF"/>
    <w:rsid w:val="0004676B"/>
    <w:rsid w:val="00046C74"/>
    <w:rsid w:val="00046CDB"/>
    <w:rsid w:val="00046E7C"/>
    <w:rsid w:val="00046E98"/>
    <w:rsid w:val="0004725A"/>
    <w:rsid w:val="00047938"/>
    <w:rsid w:val="00047943"/>
    <w:rsid w:val="00047B1E"/>
    <w:rsid w:val="00047B26"/>
    <w:rsid w:val="00047C36"/>
    <w:rsid w:val="00047E96"/>
    <w:rsid w:val="000505EF"/>
    <w:rsid w:val="000506D4"/>
    <w:rsid w:val="00050876"/>
    <w:rsid w:val="00050B12"/>
    <w:rsid w:val="00050C33"/>
    <w:rsid w:val="00050C6A"/>
    <w:rsid w:val="00050E2D"/>
    <w:rsid w:val="00050EAA"/>
    <w:rsid w:val="000510DB"/>
    <w:rsid w:val="000511D4"/>
    <w:rsid w:val="000512C2"/>
    <w:rsid w:val="0005143C"/>
    <w:rsid w:val="0005157D"/>
    <w:rsid w:val="00051B59"/>
    <w:rsid w:val="00051C55"/>
    <w:rsid w:val="00051C72"/>
    <w:rsid w:val="00051D75"/>
    <w:rsid w:val="000522D2"/>
    <w:rsid w:val="000522FC"/>
    <w:rsid w:val="00052369"/>
    <w:rsid w:val="00052415"/>
    <w:rsid w:val="000529D4"/>
    <w:rsid w:val="00052AC9"/>
    <w:rsid w:val="00052D86"/>
    <w:rsid w:val="00052DCD"/>
    <w:rsid w:val="000530D8"/>
    <w:rsid w:val="0005316A"/>
    <w:rsid w:val="00053208"/>
    <w:rsid w:val="000533D1"/>
    <w:rsid w:val="0005378C"/>
    <w:rsid w:val="00053A3D"/>
    <w:rsid w:val="00053AF8"/>
    <w:rsid w:val="00053D2C"/>
    <w:rsid w:val="00053E30"/>
    <w:rsid w:val="00053F5D"/>
    <w:rsid w:val="00054967"/>
    <w:rsid w:val="00054A28"/>
    <w:rsid w:val="00054FF2"/>
    <w:rsid w:val="00055051"/>
    <w:rsid w:val="000552DA"/>
    <w:rsid w:val="00055A13"/>
    <w:rsid w:val="00055A4F"/>
    <w:rsid w:val="00055AF4"/>
    <w:rsid w:val="00055B62"/>
    <w:rsid w:val="00055B7B"/>
    <w:rsid w:val="00055F86"/>
    <w:rsid w:val="0005629B"/>
    <w:rsid w:val="000564C3"/>
    <w:rsid w:val="000564D2"/>
    <w:rsid w:val="0005656D"/>
    <w:rsid w:val="000568C1"/>
    <w:rsid w:val="000569B8"/>
    <w:rsid w:val="00057414"/>
    <w:rsid w:val="000575F4"/>
    <w:rsid w:val="00057933"/>
    <w:rsid w:val="00057A72"/>
    <w:rsid w:val="00057D3E"/>
    <w:rsid w:val="00057D71"/>
    <w:rsid w:val="00057DC7"/>
    <w:rsid w:val="00057F01"/>
    <w:rsid w:val="000605CA"/>
    <w:rsid w:val="000607D8"/>
    <w:rsid w:val="0006092F"/>
    <w:rsid w:val="00061661"/>
    <w:rsid w:val="0006172F"/>
    <w:rsid w:val="00061769"/>
    <w:rsid w:val="00061D67"/>
    <w:rsid w:val="00062018"/>
    <w:rsid w:val="00062254"/>
    <w:rsid w:val="000622C2"/>
    <w:rsid w:val="0006263E"/>
    <w:rsid w:val="0006288E"/>
    <w:rsid w:val="00062BE1"/>
    <w:rsid w:val="00062C25"/>
    <w:rsid w:val="00062C68"/>
    <w:rsid w:val="00062E40"/>
    <w:rsid w:val="00062F37"/>
    <w:rsid w:val="00062F48"/>
    <w:rsid w:val="00062F86"/>
    <w:rsid w:val="000632BF"/>
    <w:rsid w:val="00063352"/>
    <w:rsid w:val="00063BEB"/>
    <w:rsid w:val="00063BF3"/>
    <w:rsid w:val="00063DAC"/>
    <w:rsid w:val="00064094"/>
    <w:rsid w:val="0006412A"/>
    <w:rsid w:val="00064293"/>
    <w:rsid w:val="000648FC"/>
    <w:rsid w:val="00064BC3"/>
    <w:rsid w:val="00064E7C"/>
    <w:rsid w:val="000653BD"/>
    <w:rsid w:val="00065844"/>
    <w:rsid w:val="00065C52"/>
    <w:rsid w:val="00066189"/>
    <w:rsid w:val="0006624D"/>
    <w:rsid w:val="00066609"/>
    <w:rsid w:val="000667EA"/>
    <w:rsid w:val="000669B1"/>
    <w:rsid w:val="00066B83"/>
    <w:rsid w:val="00066C50"/>
    <w:rsid w:val="00066DB1"/>
    <w:rsid w:val="00066E93"/>
    <w:rsid w:val="00066F0A"/>
    <w:rsid w:val="00066FA9"/>
    <w:rsid w:val="00067151"/>
    <w:rsid w:val="000677A6"/>
    <w:rsid w:val="000677AA"/>
    <w:rsid w:val="00067837"/>
    <w:rsid w:val="00067937"/>
    <w:rsid w:val="000679CB"/>
    <w:rsid w:val="00067ABA"/>
    <w:rsid w:val="00067BC1"/>
    <w:rsid w:val="000706B2"/>
    <w:rsid w:val="000706DC"/>
    <w:rsid w:val="00070725"/>
    <w:rsid w:val="00070B32"/>
    <w:rsid w:val="00070B68"/>
    <w:rsid w:val="00070C76"/>
    <w:rsid w:val="00071040"/>
    <w:rsid w:val="00071354"/>
    <w:rsid w:val="0007155B"/>
    <w:rsid w:val="000717B2"/>
    <w:rsid w:val="00071858"/>
    <w:rsid w:val="00071C41"/>
    <w:rsid w:val="00071D58"/>
    <w:rsid w:val="000724A9"/>
    <w:rsid w:val="000724ED"/>
    <w:rsid w:val="00072664"/>
    <w:rsid w:val="00072869"/>
    <w:rsid w:val="00072B1A"/>
    <w:rsid w:val="00072CE5"/>
    <w:rsid w:val="00072EF6"/>
    <w:rsid w:val="00073297"/>
    <w:rsid w:val="0007373E"/>
    <w:rsid w:val="00073B93"/>
    <w:rsid w:val="00073C98"/>
    <w:rsid w:val="00073CEB"/>
    <w:rsid w:val="00073D7D"/>
    <w:rsid w:val="00073D8D"/>
    <w:rsid w:val="00074169"/>
    <w:rsid w:val="00074543"/>
    <w:rsid w:val="00074CA4"/>
    <w:rsid w:val="00075632"/>
    <w:rsid w:val="0007570A"/>
    <w:rsid w:val="0007576A"/>
    <w:rsid w:val="00075A18"/>
    <w:rsid w:val="00075CBB"/>
    <w:rsid w:val="00075D39"/>
    <w:rsid w:val="0007637E"/>
    <w:rsid w:val="000766E0"/>
    <w:rsid w:val="000767E6"/>
    <w:rsid w:val="0007680D"/>
    <w:rsid w:val="00076818"/>
    <w:rsid w:val="00077244"/>
    <w:rsid w:val="0007741B"/>
    <w:rsid w:val="00077425"/>
    <w:rsid w:val="00077F88"/>
    <w:rsid w:val="00080038"/>
    <w:rsid w:val="000800AB"/>
    <w:rsid w:val="00080253"/>
    <w:rsid w:val="000804F5"/>
    <w:rsid w:val="000808C8"/>
    <w:rsid w:val="000809CC"/>
    <w:rsid w:val="00080AA4"/>
    <w:rsid w:val="00080D69"/>
    <w:rsid w:val="00081241"/>
    <w:rsid w:val="0008187D"/>
    <w:rsid w:val="00081967"/>
    <w:rsid w:val="00081BE8"/>
    <w:rsid w:val="00081C07"/>
    <w:rsid w:val="00081F33"/>
    <w:rsid w:val="00082556"/>
    <w:rsid w:val="0008266B"/>
    <w:rsid w:val="000828A9"/>
    <w:rsid w:val="00083210"/>
    <w:rsid w:val="0008345D"/>
    <w:rsid w:val="00083958"/>
    <w:rsid w:val="00083BDF"/>
    <w:rsid w:val="00083E71"/>
    <w:rsid w:val="000842EF"/>
    <w:rsid w:val="00084565"/>
    <w:rsid w:val="00084804"/>
    <w:rsid w:val="00084A88"/>
    <w:rsid w:val="00084B4B"/>
    <w:rsid w:val="00084C99"/>
    <w:rsid w:val="00084DFB"/>
    <w:rsid w:val="000853C4"/>
    <w:rsid w:val="00085A81"/>
    <w:rsid w:val="00085B29"/>
    <w:rsid w:val="00085B2F"/>
    <w:rsid w:val="00085F03"/>
    <w:rsid w:val="0008629F"/>
    <w:rsid w:val="00086349"/>
    <w:rsid w:val="00086483"/>
    <w:rsid w:val="00086918"/>
    <w:rsid w:val="00086D9B"/>
    <w:rsid w:val="00087002"/>
    <w:rsid w:val="00087007"/>
    <w:rsid w:val="000871B5"/>
    <w:rsid w:val="000872BF"/>
    <w:rsid w:val="00087310"/>
    <w:rsid w:val="00087AD4"/>
    <w:rsid w:val="00087B58"/>
    <w:rsid w:val="00087E32"/>
    <w:rsid w:val="00087FF3"/>
    <w:rsid w:val="0009016A"/>
    <w:rsid w:val="000902BE"/>
    <w:rsid w:val="00090542"/>
    <w:rsid w:val="00090734"/>
    <w:rsid w:val="0009078D"/>
    <w:rsid w:val="00090800"/>
    <w:rsid w:val="00090AF5"/>
    <w:rsid w:val="00090BE0"/>
    <w:rsid w:val="00090C34"/>
    <w:rsid w:val="00090F38"/>
    <w:rsid w:val="00091311"/>
    <w:rsid w:val="00091486"/>
    <w:rsid w:val="000915E7"/>
    <w:rsid w:val="00091639"/>
    <w:rsid w:val="000916EE"/>
    <w:rsid w:val="00091777"/>
    <w:rsid w:val="00091825"/>
    <w:rsid w:val="00091A00"/>
    <w:rsid w:val="00091B2D"/>
    <w:rsid w:val="00091C47"/>
    <w:rsid w:val="00091F6F"/>
    <w:rsid w:val="00092036"/>
    <w:rsid w:val="0009211C"/>
    <w:rsid w:val="000921E6"/>
    <w:rsid w:val="00092323"/>
    <w:rsid w:val="000925BB"/>
    <w:rsid w:val="00092715"/>
    <w:rsid w:val="000928E1"/>
    <w:rsid w:val="00092A01"/>
    <w:rsid w:val="00092A3D"/>
    <w:rsid w:val="00092BAC"/>
    <w:rsid w:val="000932F6"/>
    <w:rsid w:val="000933CF"/>
    <w:rsid w:val="00093718"/>
    <w:rsid w:val="00093DAD"/>
    <w:rsid w:val="0009471E"/>
    <w:rsid w:val="00094A36"/>
    <w:rsid w:val="00094F60"/>
    <w:rsid w:val="0009526B"/>
    <w:rsid w:val="00095313"/>
    <w:rsid w:val="00095386"/>
    <w:rsid w:val="000953FF"/>
    <w:rsid w:val="0009593D"/>
    <w:rsid w:val="0009594A"/>
    <w:rsid w:val="00095B4F"/>
    <w:rsid w:val="00095CE2"/>
    <w:rsid w:val="0009606C"/>
    <w:rsid w:val="00096684"/>
    <w:rsid w:val="00096AE1"/>
    <w:rsid w:val="00096B5E"/>
    <w:rsid w:val="00096BA8"/>
    <w:rsid w:val="00096C60"/>
    <w:rsid w:val="00096CEB"/>
    <w:rsid w:val="00096E97"/>
    <w:rsid w:val="00097004"/>
    <w:rsid w:val="00097C76"/>
    <w:rsid w:val="000A00A8"/>
    <w:rsid w:val="000A0D8F"/>
    <w:rsid w:val="000A0FA0"/>
    <w:rsid w:val="000A102A"/>
    <w:rsid w:val="000A1444"/>
    <w:rsid w:val="000A170C"/>
    <w:rsid w:val="000A1D55"/>
    <w:rsid w:val="000A1E65"/>
    <w:rsid w:val="000A1FB8"/>
    <w:rsid w:val="000A1FCA"/>
    <w:rsid w:val="000A2203"/>
    <w:rsid w:val="000A234B"/>
    <w:rsid w:val="000A248D"/>
    <w:rsid w:val="000A2683"/>
    <w:rsid w:val="000A2D03"/>
    <w:rsid w:val="000A2E2B"/>
    <w:rsid w:val="000A32D8"/>
    <w:rsid w:val="000A3479"/>
    <w:rsid w:val="000A3483"/>
    <w:rsid w:val="000A350B"/>
    <w:rsid w:val="000A3A65"/>
    <w:rsid w:val="000A3C1F"/>
    <w:rsid w:val="000A3C63"/>
    <w:rsid w:val="000A3CE4"/>
    <w:rsid w:val="000A3E99"/>
    <w:rsid w:val="000A3EF6"/>
    <w:rsid w:val="000A4087"/>
    <w:rsid w:val="000A4092"/>
    <w:rsid w:val="000A474C"/>
    <w:rsid w:val="000A4E37"/>
    <w:rsid w:val="000A532D"/>
    <w:rsid w:val="000A5750"/>
    <w:rsid w:val="000A5B81"/>
    <w:rsid w:val="000A5B8B"/>
    <w:rsid w:val="000A5CB3"/>
    <w:rsid w:val="000A5CE2"/>
    <w:rsid w:val="000A5D01"/>
    <w:rsid w:val="000A5D37"/>
    <w:rsid w:val="000A5ED9"/>
    <w:rsid w:val="000A6192"/>
    <w:rsid w:val="000A6DD9"/>
    <w:rsid w:val="000A6E0F"/>
    <w:rsid w:val="000A6F00"/>
    <w:rsid w:val="000A7452"/>
    <w:rsid w:val="000A7C39"/>
    <w:rsid w:val="000A7EB7"/>
    <w:rsid w:val="000B004A"/>
    <w:rsid w:val="000B0087"/>
    <w:rsid w:val="000B0534"/>
    <w:rsid w:val="000B0685"/>
    <w:rsid w:val="000B0801"/>
    <w:rsid w:val="000B08E9"/>
    <w:rsid w:val="000B0943"/>
    <w:rsid w:val="000B102F"/>
    <w:rsid w:val="000B1184"/>
    <w:rsid w:val="000B13C2"/>
    <w:rsid w:val="000B1857"/>
    <w:rsid w:val="000B1A4A"/>
    <w:rsid w:val="000B1D9F"/>
    <w:rsid w:val="000B1F12"/>
    <w:rsid w:val="000B2761"/>
    <w:rsid w:val="000B28DA"/>
    <w:rsid w:val="000B3063"/>
    <w:rsid w:val="000B3097"/>
    <w:rsid w:val="000B3112"/>
    <w:rsid w:val="000B320D"/>
    <w:rsid w:val="000B3757"/>
    <w:rsid w:val="000B3BC4"/>
    <w:rsid w:val="000B3C24"/>
    <w:rsid w:val="000B3F0B"/>
    <w:rsid w:val="000B43AE"/>
    <w:rsid w:val="000B44F1"/>
    <w:rsid w:val="000B45F6"/>
    <w:rsid w:val="000B4840"/>
    <w:rsid w:val="000B4A21"/>
    <w:rsid w:val="000B4EE5"/>
    <w:rsid w:val="000B5172"/>
    <w:rsid w:val="000B51A6"/>
    <w:rsid w:val="000B538C"/>
    <w:rsid w:val="000B57C8"/>
    <w:rsid w:val="000B5897"/>
    <w:rsid w:val="000B5C16"/>
    <w:rsid w:val="000B5E3C"/>
    <w:rsid w:val="000B60DC"/>
    <w:rsid w:val="000B6181"/>
    <w:rsid w:val="000B66A6"/>
    <w:rsid w:val="000B67F8"/>
    <w:rsid w:val="000B6B79"/>
    <w:rsid w:val="000B6EE7"/>
    <w:rsid w:val="000B6F89"/>
    <w:rsid w:val="000B7058"/>
    <w:rsid w:val="000B71D2"/>
    <w:rsid w:val="000B75E1"/>
    <w:rsid w:val="000B77D4"/>
    <w:rsid w:val="000B7B09"/>
    <w:rsid w:val="000B7BF0"/>
    <w:rsid w:val="000C00ED"/>
    <w:rsid w:val="000C02A7"/>
    <w:rsid w:val="000C049F"/>
    <w:rsid w:val="000C052E"/>
    <w:rsid w:val="000C0656"/>
    <w:rsid w:val="000C0862"/>
    <w:rsid w:val="000C0C3A"/>
    <w:rsid w:val="000C0CAA"/>
    <w:rsid w:val="000C0CB0"/>
    <w:rsid w:val="000C11B0"/>
    <w:rsid w:val="000C11F3"/>
    <w:rsid w:val="000C1541"/>
    <w:rsid w:val="000C1606"/>
    <w:rsid w:val="000C1774"/>
    <w:rsid w:val="000C1B0B"/>
    <w:rsid w:val="000C255C"/>
    <w:rsid w:val="000C25A6"/>
    <w:rsid w:val="000C27F5"/>
    <w:rsid w:val="000C29EC"/>
    <w:rsid w:val="000C2E07"/>
    <w:rsid w:val="000C37B7"/>
    <w:rsid w:val="000C3A5F"/>
    <w:rsid w:val="000C3DAB"/>
    <w:rsid w:val="000C3EFC"/>
    <w:rsid w:val="000C4005"/>
    <w:rsid w:val="000C4131"/>
    <w:rsid w:val="000C4549"/>
    <w:rsid w:val="000C461D"/>
    <w:rsid w:val="000C478B"/>
    <w:rsid w:val="000C49D1"/>
    <w:rsid w:val="000C4BB5"/>
    <w:rsid w:val="000C500A"/>
    <w:rsid w:val="000C50FB"/>
    <w:rsid w:val="000C532E"/>
    <w:rsid w:val="000C53AD"/>
    <w:rsid w:val="000C5752"/>
    <w:rsid w:val="000C5874"/>
    <w:rsid w:val="000C5962"/>
    <w:rsid w:val="000C5A3E"/>
    <w:rsid w:val="000C5BFF"/>
    <w:rsid w:val="000C5D04"/>
    <w:rsid w:val="000C61D4"/>
    <w:rsid w:val="000C6294"/>
    <w:rsid w:val="000C658E"/>
    <w:rsid w:val="000C6C3C"/>
    <w:rsid w:val="000C6D66"/>
    <w:rsid w:val="000C6DFB"/>
    <w:rsid w:val="000C6E69"/>
    <w:rsid w:val="000C6E72"/>
    <w:rsid w:val="000C7103"/>
    <w:rsid w:val="000C7281"/>
    <w:rsid w:val="000C734A"/>
    <w:rsid w:val="000C737B"/>
    <w:rsid w:val="000C7576"/>
    <w:rsid w:val="000C7617"/>
    <w:rsid w:val="000C7795"/>
    <w:rsid w:val="000C79FE"/>
    <w:rsid w:val="000D0164"/>
    <w:rsid w:val="000D01D6"/>
    <w:rsid w:val="000D04DE"/>
    <w:rsid w:val="000D0A3F"/>
    <w:rsid w:val="000D13EF"/>
    <w:rsid w:val="000D176D"/>
    <w:rsid w:val="000D1CA7"/>
    <w:rsid w:val="000D1F4F"/>
    <w:rsid w:val="000D2068"/>
    <w:rsid w:val="000D214E"/>
    <w:rsid w:val="000D27EC"/>
    <w:rsid w:val="000D29A8"/>
    <w:rsid w:val="000D2EDE"/>
    <w:rsid w:val="000D31F8"/>
    <w:rsid w:val="000D3718"/>
    <w:rsid w:val="000D3BD6"/>
    <w:rsid w:val="000D439F"/>
    <w:rsid w:val="000D46A9"/>
    <w:rsid w:val="000D4BED"/>
    <w:rsid w:val="000D4E36"/>
    <w:rsid w:val="000D543D"/>
    <w:rsid w:val="000D56CB"/>
    <w:rsid w:val="000D5764"/>
    <w:rsid w:val="000D58A5"/>
    <w:rsid w:val="000D5AAF"/>
    <w:rsid w:val="000D5AF1"/>
    <w:rsid w:val="000D61B0"/>
    <w:rsid w:val="000D64F5"/>
    <w:rsid w:val="000D6655"/>
    <w:rsid w:val="000D6A96"/>
    <w:rsid w:val="000D6AE9"/>
    <w:rsid w:val="000D6C2F"/>
    <w:rsid w:val="000D6C4B"/>
    <w:rsid w:val="000D6C74"/>
    <w:rsid w:val="000D6EF1"/>
    <w:rsid w:val="000D72F6"/>
    <w:rsid w:val="000D7787"/>
    <w:rsid w:val="000E02A5"/>
    <w:rsid w:val="000E03B5"/>
    <w:rsid w:val="000E051C"/>
    <w:rsid w:val="000E0674"/>
    <w:rsid w:val="000E0BC7"/>
    <w:rsid w:val="000E0E79"/>
    <w:rsid w:val="000E0EC4"/>
    <w:rsid w:val="000E1150"/>
    <w:rsid w:val="000E12E9"/>
    <w:rsid w:val="000E1438"/>
    <w:rsid w:val="000E1B37"/>
    <w:rsid w:val="000E20AA"/>
    <w:rsid w:val="000E24CC"/>
    <w:rsid w:val="000E260E"/>
    <w:rsid w:val="000E2CE1"/>
    <w:rsid w:val="000E2D62"/>
    <w:rsid w:val="000E2D9B"/>
    <w:rsid w:val="000E38BE"/>
    <w:rsid w:val="000E38E3"/>
    <w:rsid w:val="000E3BC3"/>
    <w:rsid w:val="000E40A1"/>
    <w:rsid w:val="000E42A6"/>
    <w:rsid w:val="000E437B"/>
    <w:rsid w:val="000E4421"/>
    <w:rsid w:val="000E469A"/>
    <w:rsid w:val="000E4840"/>
    <w:rsid w:val="000E48AB"/>
    <w:rsid w:val="000E48D1"/>
    <w:rsid w:val="000E4C56"/>
    <w:rsid w:val="000E4C99"/>
    <w:rsid w:val="000E510E"/>
    <w:rsid w:val="000E5110"/>
    <w:rsid w:val="000E5283"/>
    <w:rsid w:val="000E55CA"/>
    <w:rsid w:val="000E5C6A"/>
    <w:rsid w:val="000E60B3"/>
    <w:rsid w:val="000E64B6"/>
    <w:rsid w:val="000E6B39"/>
    <w:rsid w:val="000E6B60"/>
    <w:rsid w:val="000E6E05"/>
    <w:rsid w:val="000E7022"/>
    <w:rsid w:val="000E71F7"/>
    <w:rsid w:val="000E7394"/>
    <w:rsid w:val="000E7802"/>
    <w:rsid w:val="000E79D3"/>
    <w:rsid w:val="000E7E4B"/>
    <w:rsid w:val="000E7EBF"/>
    <w:rsid w:val="000F014E"/>
    <w:rsid w:val="000F0559"/>
    <w:rsid w:val="000F0878"/>
    <w:rsid w:val="000F08E2"/>
    <w:rsid w:val="000F0AEB"/>
    <w:rsid w:val="000F0AF5"/>
    <w:rsid w:val="000F0B38"/>
    <w:rsid w:val="000F0D2C"/>
    <w:rsid w:val="000F0FA0"/>
    <w:rsid w:val="000F1364"/>
    <w:rsid w:val="000F1409"/>
    <w:rsid w:val="000F1F4C"/>
    <w:rsid w:val="000F2158"/>
    <w:rsid w:val="000F2331"/>
    <w:rsid w:val="000F2576"/>
    <w:rsid w:val="000F25D7"/>
    <w:rsid w:val="000F27D4"/>
    <w:rsid w:val="000F2893"/>
    <w:rsid w:val="000F2A89"/>
    <w:rsid w:val="000F2AB1"/>
    <w:rsid w:val="000F2C5B"/>
    <w:rsid w:val="000F2F58"/>
    <w:rsid w:val="000F2F77"/>
    <w:rsid w:val="000F32E8"/>
    <w:rsid w:val="000F358C"/>
    <w:rsid w:val="000F36C2"/>
    <w:rsid w:val="000F3919"/>
    <w:rsid w:val="000F427F"/>
    <w:rsid w:val="000F4773"/>
    <w:rsid w:val="000F4822"/>
    <w:rsid w:val="000F4877"/>
    <w:rsid w:val="000F5399"/>
    <w:rsid w:val="000F577C"/>
    <w:rsid w:val="000F57ED"/>
    <w:rsid w:val="000F583E"/>
    <w:rsid w:val="000F5995"/>
    <w:rsid w:val="000F5F5D"/>
    <w:rsid w:val="000F62FC"/>
    <w:rsid w:val="000F66B0"/>
    <w:rsid w:val="000F6B1D"/>
    <w:rsid w:val="000F6C2A"/>
    <w:rsid w:val="000F6D44"/>
    <w:rsid w:val="000F71B7"/>
    <w:rsid w:val="000F71CE"/>
    <w:rsid w:val="000F74B6"/>
    <w:rsid w:val="000F74E7"/>
    <w:rsid w:val="000F75E3"/>
    <w:rsid w:val="000F7A1B"/>
    <w:rsid w:val="000F7AF7"/>
    <w:rsid w:val="00100078"/>
    <w:rsid w:val="001000A2"/>
    <w:rsid w:val="00100601"/>
    <w:rsid w:val="0010096D"/>
    <w:rsid w:val="00100A37"/>
    <w:rsid w:val="00100B0D"/>
    <w:rsid w:val="00100C5A"/>
    <w:rsid w:val="00100FCA"/>
    <w:rsid w:val="00101004"/>
    <w:rsid w:val="0010148F"/>
    <w:rsid w:val="001014DD"/>
    <w:rsid w:val="00101881"/>
    <w:rsid w:val="00101A3C"/>
    <w:rsid w:val="00101A64"/>
    <w:rsid w:val="00101AEB"/>
    <w:rsid w:val="00101BA0"/>
    <w:rsid w:val="00101C3E"/>
    <w:rsid w:val="0010226E"/>
    <w:rsid w:val="001024C6"/>
    <w:rsid w:val="001026A8"/>
    <w:rsid w:val="00102D2F"/>
    <w:rsid w:val="00102DDF"/>
    <w:rsid w:val="00102EFF"/>
    <w:rsid w:val="001030C4"/>
    <w:rsid w:val="0010310E"/>
    <w:rsid w:val="0010350D"/>
    <w:rsid w:val="0010377C"/>
    <w:rsid w:val="00103AC4"/>
    <w:rsid w:val="00103CE4"/>
    <w:rsid w:val="00103DDD"/>
    <w:rsid w:val="0010404C"/>
    <w:rsid w:val="001040D3"/>
    <w:rsid w:val="0010418C"/>
    <w:rsid w:val="00104228"/>
    <w:rsid w:val="00104277"/>
    <w:rsid w:val="001042B6"/>
    <w:rsid w:val="00104BED"/>
    <w:rsid w:val="001052D4"/>
    <w:rsid w:val="00105450"/>
    <w:rsid w:val="00105531"/>
    <w:rsid w:val="001058C4"/>
    <w:rsid w:val="00105C74"/>
    <w:rsid w:val="00105FF9"/>
    <w:rsid w:val="00106015"/>
    <w:rsid w:val="001064C5"/>
    <w:rsid w:val="00106727"/>
    <w:rsid w:val="0010680E"/>
    <w:rsid w:val="001068EE"/>
    <w:rsid w:val="00106BB7"/>
    <w:rsid w:val="00107132"/>
    <w:rsid w:val="001071D7"/>
    <w:rsid w:val="001075C1"/>
    <w:rsid w:val="00107C23"/>
    <w:rsid w:val="00107D41"/>
    <w:rsid w:val="0011027A"/>
    <w:rsid w:val="00110706"/>
    <w:rsid w:val="00110776"/>
    <w:rsid w:val="00110BEE"/>
    <w:rsid w:val="00110FAE"/>
    <w:rsid w:val="0011104D"/>
    <w:rsid w:val="00111093"/>
    <w:rsid w:val="0011118A"/>
    <w:rsid w:val="0011150D"/>
    <w:rsid w:val="0011161E"/>
    <w:rsid w:val="00111636"/>
    <w:rsid w:val="00111994"/>
    <w:rsid w:val="00111B89"/>
    <w:rsid w:val="00111CFE"/>
    <w:rsid w:val="00111F74"/>
    <w:rsid w:val="001120D8"/>
    <w:rsid w:val="0011264C"/>
    <w:rsid w:val="0011280E"/>
    <w:rsid w:val="00112CC2"/>
    <w:rsid w:val="00112F45"/>
    <w:rsid w:val="00112FC9"/>
    <w:rsid w:val="00113497"/>
    <w:rsid w:val="00113827"/>
    <w:rsid w:val="001138EB"/>
    <w:rsid w:val="00113B5E"/>
    <w:rsid w:val="00113BA3"/>
    <w:rsid w:val="0011405B"/>
    <w:rsid w:val="00114087"/>
    <w:rsid w:val="001140F6"/>
    <w:rsid w:val="00114708"/>
    <w:rsid w:val="00114B62"/>
    <w:rsid w:val="00114BEF"/>
    <w:rsid w:val="00114C3B"/>
    <w:rsid w:val="00114C4D"/>
    <w:rsid w:val="00114CE2"/>
    <w:rsid w:val="00114E70"/>
    <w:rsid w:val="00115288"/>
    <w:rsid w:val="001154EB"/>
    <w:rsid w:val="001157FC"/>
    <w:rsid w:val="00115B5F"/>
    <w:rsid w:val="00115B66"/>
    <w:rsid w:val="00115BA8"/>
    <w:rsid w:val="00115CB1"/>
    <w:rsid w:val="00115CFB"/>
    <w:rsid w:val="00115CFC"/>
    <w:rsid w:val="00116D32"/>
    <w:rsid w:val="0011728A"/>
    <w:rsid w:val="00117DA4"/>
    <w:rsid w:val="00120246"/>
    <w:rsid w:val="0012032C"/>
    <w:rsid w:val="0012056F"/>
    <w:rsid w:val="001205D9"/>
    <w:rsid w:val="00120601"/>
    <w:rsid w:val="00120652"/>
    <w:rsid w:val="001207A7"/>
    <w:rsid w:val="00120855"/>
    <w:rsid w:val="00120BE1"/>
    <w:rsid w:val="00120CAF"/>
    <w:rsid w:val="00121306"/>
    <w:rsid w:val="00121309"/>
    <w:rsid w:val="00121AD4"/>
    <w:rsid w:val="00121C38"/>
    <w:rsid w:val="00121CF4"/>
    <w:rsid w:val="00121D87"/>
    <w:rsid w:val="00121E92"/>
    <w:rsid w:val="001226FC"/>
    <w:rsid w:val="00122B1B"/>
    <w:rsid w:val="00122C20"/>
    <w:rsid w:val="00122D64"/>
    <w:rsid w:val="00122DA3"/>
    <w:rsid w:val="00122F94"/>
    <w:rsid w:val="00123111"/>
    <w:rsid w:val="00123123"/>
    <w:rsid w:val="00123409"/>
    <w:rsid w:val="0012360C"/>
    <w:rsid w:val="001237DB"/>
    <w:rsid w:val="00123999"/>
    <w:rsid w:val="00123ACE"/>
    <w:rsid w:val="00123C24"/>
    <w:rsid w:val="00123CBA"/>
    <w:rsid w:val="00124162"/>
    <w:rsid w:val="0012429F"/>
    <w:rsid w:val="00124368"/>
    <w:rsid w:val="001245E5"/>
    <w:rsid w:val="00124BFD"/>
    <w:rsid w:val="001253AF"/>
    <w:rsid w:val="00125729"/>
    <w:rsid w:val="00125752"/>
    <w:rsid w:val="00125963"/>
    <w:rsid w:val="00125AED"/>
    <w:rsid w:val="00125D80"/>
    <w:rsid w:val="00126266"/>
    <w:rsid w:val="001264EF"/>
    <w:rsid w:val="00126B0A"/>
    <w:rsid w:val="00126B4A"/>
    <w:rsid w:val="00126D10"/>
    <w:rsid w:val="00126E7D"/>
    <w:rsid w:val="001272A4"/>
    <w:rsid w:val="001276A2"/>
    <w:rsid w:val="001278AE"/>
    <w:rsid w:val="00127C0D"/>
    <w:rsid w:val="00127EE1"/>
    <w:rsid w:val="00127F8E"/>
    <w:rsid w:val="001303F1"/>
    <w:rsid w:val="00130434"/>
    <w:rsid w:val="00130496"/>
    <w:rsid w:val="00130A0D"/>
    <w:rsid w:val="0013177F"/>
    <w:rsid w:val="001319B8"/>
    <w:rsid w:val="00131B59"/>
    <w:rsid w:val="00131B86"/>
    <w:rsid w:val="00132070"/>
    <w:rsid w:val="001320F0"/>
    <w:rsid w:val="00132344"/>
    <w:rsid w:val="0013234F"/>
    <w:rsid w:val="001323A8"/>
    <w:rsid w:val="00132460"/>
    <w:rsid w:val="0013297C"/>
    <w:rsid w:val="001329F2"/>
    <w:rsid w:val="00132BE1"/>
    <w:rsid w:val="00133284"/>
    <w:rsid w:val="0013336D"/>
    <w:rsid w:val="00133784"/>
    <w:rsid w:val="00133BB8"/>
    <w:rsid w:val="00133F41"/>
    <w:rsid w:val="001341B9"/>
    <w:rsid w:val="001343CB"/>
    <w:rsid w:val="00134653"/>
    <w:rsid w:val="001346B6"/>
    <w:rsid w:val="001347B2"/>
    <w:rsid w:val="001347FF"/>
    <w:rsid w:val="0013485D"/>
    <w:rsid w:val="00134BF8"/>
    <w:rsid w:val="00134E34"/>
    <w:rsid w:val="00134F78"/>
    <w:rsid w:val="001352FE"/>
    <w:rsid w:val="00135500"/>
    <w:rsid w:val="001355FE"/>
    <w:rsid w:val="00135A01"/>
    <w:rsid w:val="00135AD5"/>
    <w:rsid w:val="00135C9E"/>
    <w:rsid w:val="00135F0C"/>
    <w:rsid w:val="00136274"/>
    <w:rsid w:val="001362A6"/>
    <w:rsid w:val="00136411"/>
    <w:rsid w:val="00136811"/>
    <w:rsid w:val="0013685C"/>
    <w:rsid w:val="00136A0A"/>
    <w:rsid w:val="00136B5F"/>
    <w:rsid w:val="00136C2F"/>
    <w:rsid w:val="001374F3"/>
    <w:rsid w:val="001376E1"/>
    <w:rsid w:val="0013789F"/>
    <w:rsid w:val="00137901"/>
    <w:rsid w:val="00137C17"/>
    <w:rsid w:val="00137CDC"/>
    <w:rsid w:val="00137CF7"/>
    <w:rsid w:val="00137DF6"/>
    <w:rsid w:val="00137E84"/>
    <w:rsid w:val="001404F0"/>
    <w:rsid w:val="001408B5"/>
    <w:rsid w:val="001409D3"/>
    <w:rsid w:val="00140B6F"/>
    <w:rsid w:val="00140CDF"/>
    <w:rsid w:val="00140E38"/>
    <w:rsid w:val="00140F9D"/>
    <w:rsid w:val="00141077"/>
    <w:rsid w:val="0014152A"/>
    <w:rsid w:val="001416F0"/>
    <w:rsid w:val="00141A65"/>
    <w:rsid w:val="00141E40"/>
    <w:rsid w:val="00141EE2"/>
    <w:rsid w:val="001420B8"/>
    <w:rsid w:val="00142332"/>
    <w:rsid w:val="00142743"/>
    <w:rsid w:val="00142766"/>
    <w:rsid w:val="00142771"/>
    <w:rsid w:val="001427AF"/>
    <w:rsid w:val="00142AB6"/>
    <w:rsid w:val="00142C07"/>
    <w:rsid w:val="00142DAD"/>
    <w:rsid w:val="00142EAF"/>
    <w:rsid w:val="00143282"/>
    <w:rsid w:val="00143AC3"/>
    <w:rsid w:val="00143D6B"/>
    <w:rsid w:val="00143FB4"/>
    <w:rsid w:val="0014447A"/>
    <w:rsid w:val="001446DE"/>
    <w:rsid w:val="00144C79"/>
    <w:rsid w:val="00144F03"/>
    <w:rsid w:val="0014501A"/>
    <w:rsid w:val="00145E9C"/>
    <w:rsid w:val="001464BB"/>
    <w:rsid w:val="001466F2"/>
    <w:rsid w:val="001468BD"/>
    <w:rsid w:val="001469EF"/>
    <w:rsid w:val="00146A4D"/>
    <w:rsid w:val="00146CE1"/>
    <w:rsid w:val="00147063"/>
    <w:rsid w:val="001471B1"/>
    <w:rsid w:val="001473A3"/>
    <w:rsid w:val="001474CA"/>
    <w:rsid w:val="0014777A"/>
    <w:rsid w:val="00147CF0"/>
    <w:rsid w:val="00147D44"/>
    <w:rsid w:val="001501DA"/>
    <w:rsid w:val="0015025D"/>
    <w:rsid w:val="001504F6"/>
    <w:rsid w:val="001505B1"/>
    <w:rsid w:val="001506FB"/>
    <w:rsid w:val="001509D4"/>
    <w:rsid w:val="00150DB8"/>
    <w:rsid w:val="00150E3A"/>
    <w:rsid w:val="00150F6F"/>
    <w:rsid w:val="00151A93"/>
    <w:rsid w:val="00151B1F"/>
    <w:rsid w:val="00151B6A"/>
    <w:rsid w:val="00151BA9"/>
    <w:rsid w:val="00152314"/>
    <w:rsid w:val="001524B4"/>
    <w:rsid w:val="001524BA"/>
    <w:rsid w:val="00152C28"/>
    <w:rsid w:val="00152DF3"/>
    <w:rsid w:val="0015307B"/>
    <w:rsid w:val="0015324D"/>
    <w:rsid w:val="00153415"/>
    <w:rsid w:val="00153A74"/>
    <w:rsid w:val="00153B41"/>
    <w:rsid w:val="00153FA2"/>
    <w:rsid w:val="0015410E"/>
    <w:rsid w:val="0015462A"/>
    <w:rsid w:val="00154786"/>
    <w:rsid w:val="0015496E"/>
    <w:rsid w:val="00154C61"/>
    <w:rsid w:val="00154C99"/>
    <w:rsid w:val="00154D76"/>
    <w:rsid w:val="0015524E"/>
    <w:rsid w:val="00155A49"/>
    <w:rsid w:val="001561C9"/>
    <w:rsid w:val="00156276"/>
    <w:rsid w:val="001564AE"/>
    <w:rsid w:val="001569C2"/>
    <w:rsid w:val="00156B3A"/>
    <w:rsid w:val="00157419"/>
    <w:rsid w:val="00157427"/>
    <w:rsid w:val="0015777E"/>
    <w:rsid w:val="00157D4A"/>
    <w:rsid w:val="00157E79"/>
    <w:rsid w:val="00157EB1"/>
    <w:rsid w:val="00157F2A"/>
    <w:rsid w:val="00157F9E"/>
    <w:rsid w:val="00160352"/>
    <w:rsid w:val="001604B5"/>
    <w:rsid w:val="00160609"/>
    <w:rsid w:val="00160937"/>
    <w:rsid w:val="00160A81"/>
    <w:rsid w:val="00160E49"/>
    <w:rsid w:val="0016102A"/>
    <w:rsid w:val="00161747"/>
    <w:rsid w:val="00161EE3"/>
    <w:rsid w:val="00161F5C"/>
    <w:rsid w:val="00162200"/>
    <w:rsid w:val="00162319"/>
    <w:rsid w:val="0016241B"/>
    <w:rsid w:val="00162B2B"/>
    <w:rsid w:val="00162BCF"/>
    <w:rsid w:val="00163159"/>
    <w:rsid w:val="001631A1"/>
    <w:rsid w:val="00163281"/>
    <w:rsid w:val="001634BA"/>
    <w:rsid w:val="00163CD2"/>
    <w:rsid w:val="00163F02"/>
    <w:rsid w:val="00163FE2"/>
    <w:rsid w:val="0016405F"/>
    <w:rsid w:val="0016417F"/>
    <w:rsid w:val="00164207"/>
    <w:rsid w:val="00164306"/>
    <w:rsid w:val="001644B4"/>
    <w:rsid w:val="00164AFF"/>
    <w:rsid w:val="00164C83"/>
    <w:rsid w:val="00164D38"/>
    <w:rsid w:val="00164DAE"/>
    <w:rsid w:val="001650CC"/>
    <w:rsid w:val="00165145"/>
    <w:rsid w:val="001656EA"/>
    <w:rsid w:val="001658BE"/>
    <w:rsid w:val="0016595A"/>
    <w:rsid w:val="00165C99"/>
    <w:rsid w:val="00165F34"/>
    <w:rsid w:val="001661A0"/>
    <w:rsid w:val="00166712"/>
    <w:rsid w:val="00166845"/>
    <w:rsid w:val="00166AA2"/>
    <w:rsid w:val="00166CB2"/>
    <w:rsid w:val="00166D7E"/>
    <w:rsid w:val="00166E6E"/>
    <w:rsid w:val="00166F55"/>
    <w:rsid w:val="001670DD"/>
    <w:rsid w:val="0016710D"/>
    <w:rsid w:val="00167153"/>
    <w:rsid w:val="001672A4"/>
    <w:rsid w:val="00167365"/>
    <w:rsid w:val="001674DF"/>
    <w:rsid w:val="00167528"/>
    <w:rsid w:val="00167838"/>
    <w:rsid w:val="001678E4"/>
    <w:rsid w:val="00167B12"/>
    <w:rsid w:val="00167ED1"/>
    <w:rsid w:val="00167F35"/>
    <w:rsid w:val="00170073"/>
    <w:rsid w:val="001704E6"/>
    <w:rsid w:val="00170547"/>
    <w:rsid w:val="001709F9"/>
    <w:rsid w:val="00170AB6"/>
    <w:rsid w:val="001711E9"/>
    <w:rsid w:val="001712E4"/>
    <w:rsid w:val="0017170D"/>
    <w:rsid w:val="00171784"/>
    <w:rsid w:val="001719E5"/>
    <w:rsid w:val="00171C3D"/>
    <w:rsid w:val="00171DC1"/>
    <w:rsid w:val="00171FA1"/>
    <w:rsid w:val="0017207D"/>
    <w:rsid w:val="001721F5"/>
    <w:rsid w:val="00172383"/>
    <w:rsid w:val="001723F0"/>
    <w:rsid w:val="001724BE"/>
    <w:rsid w:val="00172D4C"/>
    <w:rsid w:val="00172E29"/>
    <w:rsid w:val="00172E7C"/>
    <w:rsid w:val="00172E89"/>
    <w:rsid w:val="00173369"/>
    <w:rsid w:val="00173440"/>
    <w:rsid w:val="00173863"/>
    <w:rsid w:val="0017389C"/>
    <w:rsid w:val="00173A92"/>
    <w:rsid w:val="00173E8C"/>
    <w:rsid w:val="00174327"/>
    <w:rsid w:val="001745CC"/>
    <w:rsid w:val="00174CB1"/>
    <w:rsid w:val="00174DDF"/>
    <w:rsid w:val="00174E58"/>
    <w:rsid w:val="0017509B"/>
    <w:rsid w:val="00175204"/>
    <w:rsid w:val="00175600"/>
    <w:rsid w:val="0017575F"/>
    <w:rsid w:val="00175795"/>
    <w:rsid w:val="001762F8"/>
    <w:rsid w:val="0017653F"/>
    <w:rsid w:val="001765CD"/>
    <w:rsid w:val="00176883"/>
    <w:rsid w:val="001768C8"/>
    <w:rsid w:val="00176B23"/>
    <w:rsid w:val="00176E30"/>
    <w:rsid w:val="00177106"/>
    <w:rsid w:val="001771D4"/>
    <w:rsid w:val="0017737E"/>
    <w:rsid w:val="001775EC"/>
    <w:rsid w:val="0017792E"/>
    <w:rsid w:val="00177D57"/>
    <w:rsid w:val="00180273"/>
    <w:rsid w:val="00180B6D"/>
    <w:rsid w:val="00180EF1"/>
    <w:rsid w:val="00180FDA"/>
    <w:rsid w:val="0018102B"/>
    <w:rsid w:val="001810AF"/>
    <w:rsid w:val="0018117D"/>
    <w:rsid w:val="0018122F"/>
    <w:rsid w:val="001812D2"/>
    <w:rsid w:val="001812E6"/>
    <w:rsid w:val="001815A7"/>
    <w:rsid w:val="00181646"/>
    <w:rsid w:val="0018169E"/>
    <w:rsid w:val="00181988"/>
    <w:rsid w:val="00181B11"/>
    <w:rsid w:val="00181D34"/>
    <w:rsid w:val="00181D79"/>
    <w:rsid w:val="00182166"/>
    <w:rsid w:val="001823A3"/>
    <w:rsid w:val="00182AC3"/>
    <w:rsid w:val="00182AEA"/>
    <w:rsid w:val="001834F5"/>
    <w:rsid w:val="00183578"/>
    <w:rsid w:val="00183828"/>
    <w:rsid w:val="00183B51"/>
    <w:rsid w:val="00183C2B"/>
    <w:rsid w:val="00183DC7"/>
    <w:rsid w:val="00184387"/>
    <w:rsid w:val="001843EF"/>
    <w:rsid w:val="00184450"/>
    <w:rsid w:val="00184505"/>
    <w:rsid w:val="0018485C"/>
    <w:rsid w:val="00184A23"/>
    <w:rsid w:val="00184A3C"/>
    <w:rsid w:val="00184B57"/>
    <w:rsid w:val="00184C50"/>
    <w:rsid w:val="00184E79"/>
    <w:rsid w:val="00184EE2"/>
    <w:rsid w:val="001851B8"/>
    <w:rsid w:val="00185B3B"/>
    <w:rsid w:val="00185D8D"/>
    <w:rsid w:val="00186669"/>
    <w:rsid w:val="001866FD"/>
    <w:rsid w:val="001873EA"/>
    <w:rsid w:val="00187485"/>
    <w:rsid w:val="00187778"/>
    <w:rsid w:val="00187C51"/>
    <w:rsid w:val="00190076"/>
    <w:rsid w:val="00190085"/>
    <w:rsid w:val="001902C2"/>
    <w:rsid w:val="001904F7"/>
    <w:rsid w:val="00190BA6"/>
    <w:rsid w:val="00190BC5"/>
    <w:rsid w:val="00190EFE"/>
    <w:rsid w:val="001911D6"/>
    <w:rsid w:val="001912D0"/>
    <w:rsid w:val="0019136F"/>
    <w:rsid w:val="0019157D"/>
    <w:rsid w:val="0019165D"/>
    <w:rsid w:val="001917A3"/>
    <w:rsid w:val="001925A7"/>
    <w:rsid w:val="00192758"/>
    <w:rsid w:val="00192D4C"/>
    <w:rsid w:val="00192D9C"/>
    <w:rsid w:val="00192DFE"/>
    <w:rsid w:val="00192E1D"/>
    <w:rsid w:val="001931E1"/>
    <w:rsid w:val="001933A9"/>
    <w:rsid w:val="00193914"/>
    <w:rsid w:val="00193A45"/>
    <w:rsid w:val="001943F6"/>
    <w:rsid w:val="001946CD"/>
    <w:rsid w:val="001948D8"/>
    <w:rsid w:val="00194995"/>
    <w:rsid w:val="001951C5"/>
    <w:rsid w:val="00195909"/>
    <w:rsid w:val="00195951"/>
    <w:rsid w:val="001959FF"/>
    <w:rsid w:val="00195E45"/>
    <w:rsid w:val="001964FC"/>
    <w:rsid w:val="0019689D"/>
    <w:rsid w:val="00196AD2"/>
    <w:rsid w:val="00196B28"/>
    <w:rsid w:val="00196F4E"/>
    <w:rsid w:val="00196F75"/>
    <w:rsid w:val="00197170"/>
    <w:rsid w:val="001975CC"/>
    <w:rsid w:val="00197988"/>
    <w:rsid w:val="00197A44"/>
    <w:rsid w:val="00197BF1"/>
    <w:rsid w:val="00197D07"/>
    <w:rsid w:val="00197E15"/>
    <w:rsid w:val="00197EE3"/>
    <w:rsid w:val="00197F65"/>
    <w:rsid w:val="001A0418"/>
    <w:rsid w:val="001A05E7"/>
    <w:rsid w:val="001A0668"/>
    <w:rsid w:val="001A0B7F"/>
    <w:rsid w:val="001A0C0C"/>
    <w:rsid w:val="001A0F37"/>
    <w:rsid w:val="001A1005"/>
    <w:rsid w:val="001A110D"/>
    <w:rsid w:val="001A120E"/>
    <w:rsid w:val="001A1285"/>
    <w:rsid w:val="001A1287"/>
    <w:rsid w:val="001A1577"/>
    <w:rsid w:val="001A172D"/>
    <w:rsid w:val="001A1BC8"/>
    <w:rsid w:val="001A1EE7"/>
    <w:rsid w:val="001A1EED"/>
    <w:rsid w:val="001A1F58"/>
    <w:rsid w:val="001A2185"/>
    <w:rsid w:val="001A2190"/>
    <w:rsid w:val="001A234E"/>
    <w:rsid w:val="001A241F"/>
    <w:rsid w:val="001A24AC"/>
    <w:rsid w:val="001A2707"/>
    <w:rsid w:val="001A29EB"/>
    <w:rsid w:val="001A2B25"/>
    <w:rsid w:val="001A31D6"/>
    <w:rsid w:val="001A3210"/>
    <w:rsid w:val="001A335E"/>
    <w:rsid w:val="001A344A"/>
    <w:rsid w:val="001A359B"/>
    <w:rsid w:val="001A369E"/>
    <w:rsid w:val="001A36AB"/>
    <w:rsid w:val="001A3AA0"/>
    <w:rsid w:val="001A3C43"/>
    <w:rsid w:val="001A3F05"/>
    <w:rsid w:val="001A3FA0"/>
    <w:rsid w:val="001A40A5"/>
    <w:rsid w:val="001A43DB"/>
    <w:rsid w:val="001A45EF"/>
    <w:rsid w:val="001A4C69"/>
    <w:rsid w:val="001A4F8E"/>
    <w:rsid w:val="001A511C"/>
    <w:rsid w:val="001A54D2"/>
    <w:rsid w:val="001A5651"/>
    <w:rsid w:val="001A5674"/>
    <w:rsid w:val="001A589D"/>
    <w:rsid w:val="001A595E"/>
    <w:rsid w:val="001A5A11"/>
    <w:rsid w:val="001A5F1B"/>
    <w:rsid w:val="001A5F76"/>
    <w:rsid w:val="001A6346"/>
    <w:rsid w:val="001A63FB"/>
    <w:rsid w:val="001A658D"/>
    <w:rsid w:val="001A69C3"/>
    <w:rsid w:val="001A6CE6"/>
    <w:rsid w:val="001A7541"/>
    <w:rsid w:val="001A7826"/>
    <w:rsid w:val="001A78AC"/>
    <w:rsid w:val="001A7F11"/>
    <w:rsid w:val="001B0039"/>
    <w:rsid w:val="001B04A5"/>
    <w:rsid w:val="001B05BE"/>
    <w:rsid w:val="001B084A"/>
    <w:rsid w:val="001B0911"/>
    <w:rsid w:val="001B0B68"/>
    <w:rsid w:val="001B0E66"/>
    <w:rsid w:val="001B0FDB"/>
    <w:rsid w:val="001B17C6"/>
    <w:rsid w:val="001B19A1"/>
    <w:rsid w:val="001B1A04"/>
    <w:rsid w:val="001B1DAD"/>
    <w:rsid w:val="001B1EA4"/>
    <w:rsid w:val="001B1EE1"/>
    <w:rsid w:val="001B1F79"/>
    <w:rsid w:val="001B21CC"/>
    <w:rsid w:val="001B2265"/>
    <w:rsid w:val="001B2315"/>
    <w:rsid w:val="001B23E5"/>
    <w:rsid w:val="001B24F9"/>
    <w:rsid w:val="001B2666"/>
    <w:rsid w:val="001B2712"/>
    <w:rsid w:val="001B283B"/>
    <w:rsid w:val="001B28FE"/>
    <w:rsid w:val="001B2B12"/>
    <w:rsid w:val="001B2F5D"/>
    <w:rsid w:val="001B30B8"/>
    <w:rsid w:val="001B30CC"/>
    <w:rsid w:val="001B30F1"/>
    <w:rsid w:val="001B3541"/>
    <w:rsid w:val="001B35A2"/>
    <w:rsid w:val="001B39A3"/>
    <w:rsid w:val="001B3B77"/>
    <w:rsid w:val="001B3D88"/>
    <w:rsid w:val="001B42B4"/>
    <w:rsid w:val="001B4577"/>
    <w:rsid w:val="001B4A9E"/>
    <w:rsid w:val="001B4CF8"/>
    <w:rsid w:val="001B4F01"/>
    <w:rsid w:val="001B5610"/>
    <w:rsid w:val="001B563B"/>
    <w:rsid w:val="001B5668"/>
    <w:rsid w:val="001B56B1"/>
    <w:rsid w:val="001B57FA"/>
    <w:rsid w:val="001B5864"/>
    <w:rsid w:val="001B5871"/>
    <w:rsid w:val="001B5A15"/>
    <w:rsid w:val="001B5BCB"/>
    <w:rsid w:val="001B5CF9"/>
    <w:rsid w:val="001B5D61"/>
    <w:rsid w:val="001B60B6"/>
    <w:rsid w:val="001B6314"/>
    <w:rsid w:val="001B6422"/>
    <w:rsid w:val="001B689A"/>
    <w:rsid w:val="001B69CE"/>
    <w:rsid w:val="001B7319"/>
    <w:rsid w:val="001B77A7"/>
    <w:rsid w:val="001C026D"/>
    <w:rsid w:val="001C0438"/>
    <w:rsid w:val="001C06BD"/>
    <w:rsid w:val="001C0704"/>
    <w:rsid w:val="001C07F4"/>
    <w:rsid w:val="001C0A7E"/>
    <w:rsid w:val="001C0ABC"/>
    <w:rsid w:val="001C0B40"/>
    <w:rsid w:val="001C0EC3"/>
    <w:rsid w:val="001C0FBB"/>
    <w:rsid w:val="001C131C"/>
    <w:rsid w:val="001C138E"/>
    <w:rsid w:val="001C1477"/>
    <w:rsid w:val="001C181E"/>
    <w:rsid w:val="001C1831"/>
    <w:rsid w:val="001C1A61"/>
    <w:rsid w:val="001C1BB8"/>
    <w:rsid w:val="001C1EBE"/>
    <w:rsid w:val="001C2092"/>
    <w:rsid w:val="001C20A1"/>
    <w:rsid w:val="001C2383"/>
    <w:rsid w:val="001C287F"/>
    <w:rsid w:val="001C2963"/>
    <w:rsid w:val="001C32A2"/>
    <w:rsid w:val="001C3689"/>
    <w:rsid w:val="001C377A"/>
    <w:rsid w:val="001C3B3C"/>
    <w:rsid w:val="001C3B8B"/>
    <w:rsid w:val="001C3B98"/>
    <w:rsid w:val="001C3C24"/>
    <w:rsid w:val="001C3D63"/>
    <w:rsid w:val="001C3EA7"/>
    <w:rsid w:val="001C3F4D"/>
    <w:rsid w:val="001C40AA"/>
    <w:rsid w:val="001C419D"/>
    <w:rsid w:val="001C43B4"/>
    <w:rsid w:val="001C4465"/>
    <w:rsid w:val="001C45A4"/>
    <w:rsid w:val="001C468E"/>
    <w:rsid w:val="001C470B"/>
    <w:rsid w:val="001C4C8F"/>
    <w:rsid w:val="001C4F35"/>
    <w:rsid w:val="001C51C8"/>
    <w:rsid w:val="001C52F6"/>
    <w:rsid w:val="001C5567"/>
    <w:rsid w:val="001C5C12"/>
    <w:rsid w:val="001C610B"/>
    <w:rsid w:val="001C611C"/>
    <w:rsid w:val="001C62C9"/>
    <w:rsid w:val="001C679B"/>
    <w:rsid w:val="001C69B2"/>
    <w:rsid w:val="001C6C23"/>
    <w:rsid w:val="001C6C2D"/>
    <w:rsid w:val="001C6E32"/>
    <w:rsid w:val="001C6F4B"/>
    <w:rsid w:val="001C7127"/>
    <w:rsid w:val="001C715D"/>
    <w:rsid w:val="001C73CA"/>
    <w:rsid w:val="001C7921"/>
    <w:rsid w:val="001C79BA"/>
    <w:rsid w:val="001C7DCA"/>
    <w:rsid w:val="001D007B"/>
    <w:rsid w:val="001D0154"/>
    <w:rsid w:val="001D022D"/>
    <w:rsid w:val="001D0B6E"/>
    <w:rsid w:val="001D0B81"/>
    <w:rsid w:val="001D0C4D"/>
    <w:rsid w:val="001D0F48"/>
    <w:rsid w:val="001D0FF4"/>
    <w:rsid w:val="001D1140"/>
    <w:rsid w:val="001D1702"/>
    <w:rsid w:val="001D1960"/>
    <w:rsid w:val="001D1B51"/>
    <w:rsid w:val="001D1CA6"/>
    <w:rsid w:val="001D2357"/>
    <w:rsid w:val="001D2481"/>
    <w:rsid w:val="001D2592"/>
    <w:rsid w:val="001D269E"/>
    <w:rsid w:val="001D2782"/>
    <w:rsid w:val="001D27C7"/>
    <w:rsid w:val="001D28ED"/>
    <w:rsid w:val="001D290E"/>
    <w:rsid w:val="001D2C5E"/>
    <w:rsid w:val="001D2C65"/>
    <w:rsid w:val="001D2CC6"/>
    <w:rsid w:val="001D2E6F"/>
    <w:rsid w:val="001D30EB"/>
    <w:rsid w:val="001D3344"/>
    <w:rsid w:val="001D3430"/>
    <w:rsid w:val="001D3448"/>
    <w:rsid w:val="001D391A"/>
    <w:rsid w:val="001D3AED"/>
    <w:rsid w:val="001D3D83"/>
    <w:rsid w:val="001D3FFF"/>
    <w:rsid w:val="001D4104"/>
    <w:rsid w:val="001D4436"/>
    <w:rsid w:val="001D4724"/>
    <w:rsid w:val="001D4B84"/>
    <w:rsid w:val="001D4CBE"/>
    <w:rsid w:val="001D4DD2"/>
    <w:rsid w:val="001D4DD5"/>
    <w:rsid w:val="001D4EED"/>
    <w:rsid w:val="001D5322"/>
    <w:rsid w:val="001D5520"/>
    <w:rsid w:val="001D553A"/>
    <w:rsid w:val="001D5657"/>
    <w:rsid w:val="001D56E6"/>
    <w:rsid w:val="001D5722"/>
    <w:rsid w:val="001D5754"/>
    <w:rsid w:val="001D57D2"/>
    <w:rsid w:val="001D5A80"/>
    <w:rsid w:val="001D5BD8"/>
    <w:rsid w:val="001D643D"/>
    <w:rsid w:val="001D6C3E"/>
    <w:rsid w:val="001D6CD0"/>
    <w:rsid w:val="001D70AB"/>
    <w:rsid w:val="001D70DF"/>
    <w:rsid w:val="001D76FD"/>
    <w:rsid w:val="001D7718"/>
    <w:rsid w:val="001D7810"/>
    <w:rsid w:val="001D7E96"/>
    <w:rsid w:val="001D7F73"/>
    <w:rsid w:val="001E0117"/>
    <w:rsid w:val="001E0357"/>
    <w:rsid w:val="001E050A"/>
    <w:rsid w:val="001E07B7"/>
    <w:rsid w:val="001E095A"/>
    <w:rsid w:val="001E09C6"/>
    <w:rsid w:val="001E0D75"/>
    <w:rsid w:val="001E0E35"/>
    <w:rsid w:val="001E1208"/>
    <w:rsid w:val="001E1C9D"/>
    <w:rsid w:val="001E1F74"/>
    <w:rsid w:val="001E2160"/>
    <w:rsid w:val="001E21B6"/>
    <w:rsid w:val="001E26FD"/>
    <w:rsid w:val="001E277F"/>
    <w:rsid w:val="001E29B8"/>
    <w:rsid w:val="001E35E1"/>
    <w:rsid w:val="001E367E"/>
    <w:rsid w:val="001E3749"/>
    <w:rsid w:val="001E37CF"/>
    <w:rsid w:val="001E3935"/>
    <w:rsid w:val="001E3BFD"/>
    <w:rsid w:val="001E3E17"/>
    <w:rsid w:val="001E3E4F"/>
    <w:rsid w:val="001E4031"/>
    <w:rsid w:val="001E4056"/>
    <w:rsid w:val="001E443B"/>
    <w:rsid w:val="001E44C7"/>
    <w:rsid w:val="001E44EB"/>
    <w:rsid w:val="001E4531"/>
    <w:rsid w:val="001E45EA"/>
    <w:rsid w:val="001E4C6F"/>
    <w:rsid w:val="001E4F01"/>
    <w:rsid w:val="001E4F6D"/>
    <w:rsid w:val="001E531A"/>
    <w:rsid w:val="001E57AE"/>
    <w:rsid w:val="001E5A36"/>
    <w:rsid w:val="001E5A46"/>
    <w:rsid w:val="001E5C6B"/>
    <w:rsid w:val="001E5FAC"/>
    <w:rsid w:val="001E62B0"/>
    <w:rsid w:val="001E62F0"/>
    <w:rsid w:val="001E64CF"/>
    <w:rsid w:val="001E67CF"/>
    <w:rsid w:val="001E69EF"/>
    <w:rsid w:val="001E6A70"/>
    <w:rsid w:val="001E6A82"/>
    <w:rsid w:val="001E6B94"/>
    <w:rsid w:val="001E6E24"/>
    <w:rsid w:val="001E724D"/>
    <w:rsid w:val="001E7825"/>
    <w:rsid w:val="001E78EE"/>
    <w:rsid w:val="001E78F6"/>
    <w:rsid w:val="001E7B05"/>
    <w:rsid w:val="001E7C1C"/>
    <w:rsid w:val="001E7E27"/>
    <w:rsid w:val="001F040D"/>
    <w:rsid w:val="001F0FDE"/>
    <w:rsid w:val="001F1244"/>
    <w:rsid w:val="001F180B"/>
    <w:rsid w:val="001F1DD9"/>
    <w:rsid w:val="001F2218"/>
    <w:rsid w:val="001F221F"/>
    <w:rsid w:val="001F2280"/>
    <w:rsid w:val="001F232C"/>
    <w:rsid w:val="001F2708"/>
    <w:rsid w:val="001F2926"/>
    <w:rsid w:val="001F2A90"/>
    <w:rsid w:val="001F2B08"/>
    <w:rsid w:val="001F2CF3"/>
    <w:rsid w:val="001F2D22"/>
    <w:rsid w:val="001F2D86"/>
    <w:rsid w:val="001F2FDE"/>
    <w:rsid w:val="001F31D2"/>
    <w:rsid w:val="001F375A"/>
    <w:rsid w:val="001F389E"/>
    <w:rsid w:val="001F3C06"/>
    <w:rsid w:val="001F3EDC"/>
    <w:rsid w:val="001F423D"/>
    <w:rsid w:val="001F483E"/>
    <w:rsid w:val="001F4C1D"/>
    <w:rsid w:val="001F4CB7"/>
    <w:rsid w:val="001F4E6D"/>
    <w:rsid w:val="001F4F56"/>
    <w:rsid w:val="001F4F79"/>
    <w:rsid w:val="001F5106"/>
    <w:rsid w:val="001F51FF"/>
    <w:rsid w:val="001F5985"/>
    <w:rsid w:val="001F5A09"/>
    <w:rsid w:val="001F5C51"/>
    <w:rsid w:val="001F5E1C"/>
    <w:rsid w:val="001F5F2F"/>
    <w:rsid w:val="001F5F76"/>
    <w:rsid w:val="001F612A"/>
    <w:rsid w:val="001F61FE"/>
    <w:rsid w:val="001F632C"/>
    <w:rsid w:val="001F6620"/>
    <w:rsid w:val="001F6A9E"/>
    <w:rsid w:val="001F6AEF"/>
    <w:rsid w:val="001F6E0F"/>
    <w:rsid w:val="001F6E2F"/>
    <w:rsid w:val="001F6F34"/>
    <w:rsid w:val="001F7293"/>
    <w:rsid w:val="001F73D5"/>
    <w:rsid w:val="001F750C"/>
    <w:rsid w:val="001F756D"/>
    <w:rsid w:val="001F7817"/>
    <w:rsid w:val="001F7BC9"/>
    <w:rsid w:val="002001CE"/>
    <w:rsid w:val="0020049E"/>
    <w:rsid w:val="00200565"/>
    <w:rsid w:val="002009A1"/>
    <w:rsid w:val="00200BB1"/>
    <w:rsid w:val="00200E7F"/>
    <w:rsid w:val="00200F6C"/>
    <w:rsid w:val="002010BD"/>
    <w:rsid w:val="002010C5"/>
    <w:rsid w:val="00201266"/>
    <w:rsid w:val="00201B78"/>
    <w:rsid w:val="00201CA7"/>
    <w:rsid w:val="00201DDF"/>
    <w:rsid w:val="0020219E"/>
    <w:rsid w:val="002021FD"/>
    <w:rsid w:val="002023B1"/>
    <w:rsid w:val="002023E0"/>
    <w:rsid w:val="002024FD"/>
    <w:rsid w:val="00203033"/>
    <w:rsid w:val="00203080"/>
    <w:rsid w:val="00203252"/>
    <w:rsid w:val="002034F2"/>
    <w:rsid w:val="00203515"/>
    <w:rsid w:val="00203541"/>
    <w:rsid w:val="002035E7"/>
    <w:rsid w:val="00203627"/>
    <w:rsid w:val="00203706"/>
    <w:rsid w:val="002038CF"/>
    <w:rsid w:val="00203A6B"/>
    <w:rsid w:val="00203BCD"/>
    <w:rsid w:val="00204132"/>
    <w:rsid w:val="002042F9"/>
    <w:rsid w:val="00204370"/>
    <w:rsid w:val="0020477F"/>
    <w:rsid w:val="002049A1"/>
    <w:rsid w:val="002049E6"/>
    <w:rsid w:val="002049EA"/>
    <w:rsid w:val="00204A51"/>
    <w:rsid w:val="00204DE1"/>
    <w:rsid w:val="002050D5"/>
    <w:rsid w:val="0020517C"/>
    <w:rsid w:val="00205513"/>
    <w:rsid w:val="002056A6"/>
    <w:rsid w:val="00205BB8"/>
    <w:rsid w:val="00205F11"/>
    <w:rsid w:val="00205F89"/>
    <w:rsid w:val="002063FC"/>
    <w:rsid w:val="002065D2"/>
    <w:rsid w:val="002065F7"/>
    <w:rsid w:val="00206A62"/>
    <w:rsid w:val="00206B18"/>
    <w:rsid w:val="00206C2F"/>
    <w:rsid w:val="00206D16"/>
    <w:rsid w:val="002074F5"/>
    <w:rsid w:val="0020752E"/>
    <w:rsid w:val="002075A0"/>
    <w:rsid w:val="0020790B"/>
    <w:rsid w:val="0020797E"/>
    <w:rsid w:val="0020798E"/>
    <w:rsid w:val="00207A15"/>
    <w:rsid w:val="00207E6A"/>
    <w:rsid w:val="00207E7C"/>
    <w:rsid w:val="0021001F"/>
    <w:rsid w:val="00210321"/>
    <w:rsid w:val="0021086A"/>
    <w:rsid w:val="00210AD9"/>
    <w:rsid w:val="00210B5D"/>
    <w:rsid w:val="00210BC3"/>
    <w:rsid w:val="00210D96"/>
    <w:rsid w:val="00210DEC"/>
    <w:rsid w:val="00210F69"/>
    <w:rsid w:val="002113B6"/>
    <w:rsid w:val="00211722"/>
    <w:rsid w:val="00211A06"/>
    <w:rsid w:val="00211C9E"/>
    <w:rsid w:val="00211D38"/>
    <w:rsid w:val="0021204F"/>
    <w:rsid w:val="00212280"/>
    <w:rsid w:val="002122DC"/>
    <w:rsid w:val="002127EF"/>
    <w:rsid w:val="00212A22"/>
    <w:rsid w:val="00212B7D"/>
    <w:rsid w:val="00212E08"/>
    <w:rsid w:val="00212E7D"/>
    <w:rsid w:val="00212FA5"/>
    <w:rsid w:val="00213266"/>
    <w:rsid w:val="002132CE"/>
    <w:rsid w:val="00213838"/>
    <w:rsid w:val="00213A96"/>
    <w:rsid w:val="00213B76"/>
    <w:rsid w:val="00213D67"/>
    <w:rsid w:val="00214561"/>
    <w:rsid w:val="00214B12"/>
    <w:rsid w:val="00214D52"/>
    <w:rsid w:val="002152C7"/>
    <w:rsid w:val="002152C8"/>
    <w:rsid w:val="00215434"/>
    <w:rsid w:val="0021547E"/>
    <w:rsid w:val="002156E2"/>
    <w:rsid w:val="002157BE"/>
    <w:rsid w:val="002158A0"/>
    <w:rsid w:val="00215AFC"/>
    <w:rsid w:val="00215D55"/>
    <w:rsid w:val="00215DB2"/>
    <w:rsid w:val="002160F3"/>
    <w:rsid w:val="0021610A"/>
    <w:rsid w:val="00216272"/>
    <w:rsid w:val="00216368"/>
    <w:rsid w:val="0021637A"/>
    <w:rsid w:val="00216599"/>
    <w:rsid w:val="002165B4"/>
    <w:rsid w:val="00216661"/>
    <w:rsid w:val="00216CE8"/>
    <w:rsid w:val="00216FA1"/>
    <w:rsid w:val="002172ED"/>
    <w:rsid w:val="00217400"/>
    <w:rsid w:val="002174E8"/>
    <w:rsid w:val="00217A93"/>
    <w:rsid w:val="00217D26"/>
    <w:rsid w:val="0022042C"/>
    <w:rsid w:val="002205E9"/>
    <w:rsid w:val="00220772"/>
    <w:rsid w:val="00220B13"/>
    <w:rsid w:val="00220CA6"/>
    <w:rsid w:val="00220EF3"/>
    <w:rsid w:val="00221214"/>
    <w:rsid w:val="00221659"/>
    <w:rsid w:val="002216FF"/>
    <w:rsid w:val="00221772"/>
    <w:rsid w:val="0022193B"/>
    <w:rsid w:val="00221CF3"/>
    <w:rsid w:val="00221E01"/>
    <w:rsid w:val="00222145"/>
    <w:rsid w:val="002226B6"/>
    <w:rsid w:val="00222912"/>
    <w:rsid w:val="0022300C"/>
    <w:rsid w:val="00223181"/>
    <w:rsid w:val="002233C8"/>
    <w:rsid w:val="002233EE"/>
    <w:rsid w:val="00223783"/>
    <w:rsid w:val="002237F1"/>
    <w:rsid w:val="002237F7"/>
    <w:rsid w:val="00223E89"/>
    <w:rsid w:val="00223F43"/>
    <w:rsid w:val="00224292"/>
    <w:rsid w:val="00224340"/>
    <w:rsid w:val="00224374"/>
    <w:rsid w:val="00224448"/>
    <w:rsid w:val="002244DA"/>
    <w:rsid w:val="002248D5"/>
    <w:rsid w:val="00224CC9"/>
    <w:rsid w:val="00224D70"/>
    <w:rsid w:val="0022528F"/>
    <w:rsid w:val="00225343"/>
    <w:rsid w:val="002254F1"/>
    <w:rsid w:val="002258F4"/>
    <w:rsid w:val="0022595D"/>
    <w:rsid w:val="002259B7"/>
    <w:rsid w:val="00225C4D"/>
    <w:rsid w:val="00225D0A"/>
    <w:rsid w:val="00225EC6"/>
    <w:rsid w:val="002261C8"/>
    <w:rsid w:val="0022635D"/>
    <w:rsid w:val="00226438"/>
    <w:rsid w:val="00226714"/>
    <w:rsid w:val="00226923"/>
    <w:rsid w:val="0022699F"/>
    <w:rsid w:val="00226B37"/>
    <w:rsid w:val="00226EEA"/>
    <w:rsid w:val="00227140"/>
    <w:rsid w:val="0022725A"/>
    <w:rsid w:val="0022796C"/>
    <w:rsid w:val="00227AB4"/>
    <w:rsid w:val="00227AC8"/>
    <w:rsid w:val="00227D27"/>
    <w:rsid w:val="002304F4"/>
    <w:rsid w:val="00230B06"/>
    <w:rsid w:val="00230BE6"/>
    <w:rsid w:val="00230D00"/>
    <w:rsid w:val="00230F76"/>
    <w:rsid w:val="002311E3"/>
    <w:rsid w:val="002314D8"/>
    <w:rsid w:val="0023158E"/>
    <w:rsid w:val="002316B3"/>
    <w:rsid w:val="002318E1"/>
    <w:rsid w:val="00231B34"/>
    <w:rsid w:val="00232027"/>
    <w:rsid w:val="00232265"/>
    <w:rsid w:val="00232480"/>
    <w:rsid w:val="0023271F"/>
    <w:rsid w:val="00232974"/>
    <w:rsid w:val="00232E19"/>
    <w:rsid w:val="0023325D"/>
    <w:rsid w:val="002332CE"/>
    <w:rsid w:val="002332FC"/>
    <w:rsid w:val="002336F8"/>
    <w:rsid w:val="0023387E"/>
    <w:rsid w:val="00233901"/>
    <w:rsid w:val="00233928"/>
    <w:rsid w:val="00233F34"/>
    <w:rsid w:val="00233F63"/>
    <w:rsid w:val="002341D8"/>
    <w:rsid w:val="00234291"/>
    <w:rsid w:val="0023429F"/>
    <w:rsid w:val="0023439B"/>
    <w:rsid w:val="002343C7"/>
    <w:rsid w:val="0023462C"/>
    <w:rsid w:val="00234C3C"/>
    <w:rsid w:val="00234F0D"/>
    <w:rsid w:val="002351E7"/>
    <w:rsid w:val="002353D9"/>
    <w:rsid w:val="00235788"/>
    <w:rsid w:val="002359D3"/>
    <w:rsid w:val="002359F3"/>
    <w:rsid w:val="00236064"/>
    <w:rsid w:val="00236149"/>
    <w:rsid w:val="002369F6"/>
    <w:rsid w:val="00236B28"/>
    <w:rsid w:val="00237427"/>
    <w:rsid w:val="00237706"/>
    <w:rsid w:val="002377AA"/>
    <w:rsid w:val="00237C6A"/>
    <w:rsid w:val="00237D13"/>
    <w:rsid w:val="00237DD7"/>
    <w:rsid w:val="00237DE8"/>
    <w:rsid w:val="002400E2"/>
    <w:rsid w:val="00240177"/>
    <w:rsid w:val="00240727"/>
    <w:rsid w:val="00240827"/>
    <w:rsid w:val="00240962"/>
    <w:rsid w:val="00240BE5"/>
    <w:rsid w:val="00240DD9"/>
    <w:rsid w:val="00240FDA"/>
    <w:rsid w:val="002410C7"/>
    <w:rsid w:val="00241150"/>
    <w:rsid w:val="002413C5"/>
    <w:rsid w:val="00241433"/>
    <w:rsid w:val="002414C8"/>
    <w:rsid w:val="002415C4"/>
    <w:rsid w:val="0024181D"/>
    <w:rsid w:val="002418DA"/>
    <w:rsid w:val="00241926"/>
    <w:rsid w:val="00241AF5"/>
    <w:rsid w:val="00241C1E"/>
    <w:rsid w:val="00241DA8"/>
    <w:rsid w:val="00241DE4"/>
    <w:rsid w:val="00242492"/>
    <w:rsid w:val="0024265A"/>
    <w:rsid w:val="00242762"/>
    <w:rsid w:val="00242885"/>
    <w:rsid w:val="00242916"/>
    <w:rsid w:val="00242B64"/>
    <w:rsid w:val="002430C8"/>
    <w:rsid w:val="002437DE"/>
    <w:rsid w:val="00243E92"/>
    <w:rsid w:val="00243F24"/>
    <w:rsid w:val="00243F70"/>
    <w:rsid w:val="002440AD"/>
    <w:rsid w:val="00244459"/>
    <w:rsid w:val="00244664"/>
    <w:rsid w:val="00244A1B"/>
    <w:rsid w:val="00244B1A"/>
    <w:rsid w:val="00244B3A"/>
    <w:rsid w:val="00244D07"/>
    <w:rsid w:val="00245242"/>
    <w:rsid w:val="0024530D"/>
    <w:rsid w:val="0024560A"/>
    <w:rsid w:val="0024568A"/>
    <w:rsid w:val="00245788"/>
    <w:rsid w:val="0024594C"/>
    <w:rsid w:val="00245A93"/>
    <w:rsid w:val="00245C19"/>
    <w:rsid w:val="00245F13"/>
    <w:rsid w:val="00246019"/>
    <w:rsid w:val="00246066"/>
    <w:rsid w:val="00246101"/>
    <w:rsid w:val="002462A0"/>
    <w:rsid w:val="002462A5"/>
    <w:rsid w:val="002462E8"/>
    <w:rsid w:val="00246660"/>
    <w:rsid w:val="00246CE8"/>
    <w:rsid w:val="00246F51"/>
    <w:rsid w:val="0024775E"/>
    <w:rsid w:val="00247A8A"/>
    <w:rsid w:val="00247B5A"/>
    <w:rsid w:val="00247E5E"/>
    <w:rsid w:val="00247EE5"/>
    <w:rsid w:val="00247FC0"/>
    <w:rsid w:val="00247FD6"/>
    <w:rsid w:val="0025003C"/>
    <w:rsid w:val="002500C6"/>
    <w:rsid w:val="00250404"/>
    <w:rsid w:val="002508C8"/>
    <w:rsid w:val="002509BE"/>
    <w:rsid w:val="00250A37"/>
    <w:rsid w:val="00250C1C"/>
    <w:rsid w:val="00250C2E"/>
    <w:rsid w:val="00250D9D"/>
    <w:rsid w:val="00250DBA"/>
    <w:rsid w:val="00251233"/>
    <w:rsid w:val="00251618"/>
    <w:rsid w:val="002516DE"/>
    <w:rsid w:val="00251706"/>
    <w:rsid w:val="0025190E"/>
    <w:rsid w:val="00251A23"/>
    <w:rsid w:val="00251B62"/>
    <w:rsid w:val="00251CB0"/>
    <w:rsid w:val="00251D9D"/>
    <w:rsid w:val="002521A7"/>
    <w:rsid w:val="00252E2A"/>
    <w:rsid w:val="00252EDE"/>
    <w:rsid w:val="0025340F"/>
    <w:rsid w:val="00253C17"/>
    <w:rsid w:val="00253FBF"/>
    <w:rsid w:val="002543A2"/>
    <w:rsid w:val="00254424"/>
    <w:rsid w:val="0025460A"/>
    <w:rsid w:val="002546AC"/>
    <w:rsid w:val="00254977"/>
    <w:rsid w:val="00254C6E"/>
    <w:rsid w:val="00254FB3"/>
    <w:rsid w:val="0025513D"/>
    <w:rsid w:val="002551A5"/>
    <w:rsid w:val="00255338"/>
    <w:rsid w:val="00255997"/>
    <w:rsid w:val="002559A8"/>
    <w:rsid w:val="00255B48"/>
    <w:rsid w:val="00255E4B"/>
    <w:rsid w:val="00255E84"/>
    <w:rsid w:val="00255E89"/>
    <w:rsid w:val="00256025"/>
    <w:rsid w:val="00256032"/>
    <w:rsid w:val="0025616A"/>
    <w:rsid w:val="00256CB6"/>
    <w:rsid w:val="0025700D"/>
    <w:rsid w:val="0025788A"/>
    <w:rsid w:val="00257AD7"/>
    <w:rsid w:val="00257D06"/>
    <w:rsid w:val="00257E5C"/>
    <w:rsid w:val="002602A2"/>
    <w:rsid w:val="00260301"/>
    <w:rsid w:val="00260609"/>
    <w:rsid w:val="002606F5"/>
    <w:rsid w:val="0026089F"/>
    <w:rsid w:val="00260908"/>
    <w:rsid w:val="00260A7F"/>
    <w:rsid w:val="00260AE9"/>
    <w:rsid w:val="00260D13"/>
    <w:rsid w:val="002610CB"/>
    <w:rsid w:val="002614CB"/>
    <w:rsid w:val="002615A3"/>
    <w:rsid w:val="00261654"/>
    <w:rsid w:val="002618E2"/>
    <w:rsid w:val="002619BC"/>
    <w:rsid w:val="00261C02"/>
    <w:rsid w:val="0026225B"/>
    <w:rsid w:val="00262289"/>
    <w:rsid w:val="0026228D"/>
    <w:rsid w:val="00262554"/>
    <w:rsid w:val="002625F7"/>
    <w:rsid w:val="00262830"/>
    <w:rsid w:val="00262889"/>
    <w:rsid w:val="00262983"/>
    <w:rsid w:val="00262C8C"/>
    <w:rsid w:val="00262C96"/>
    <w:rsid w:val="00262CBD"/>
    <w:rsid w:val="00262DB7"/>
    <w:rsid w:val="00262F51"/>
    <w:rsid w:val="00263092"/>
    <w:rsid w:val="002637F0"/>
    <w:rsid w:val="00263CA3"/>
    <w:rsid w:val="00263D9B"/>
    <w:rsid w:val="00263DF6"/>
    <w:rsid w:val="00264A2F"/>
    <w:rsid w:val="00264C10"/>
    <w:rsid w:val="00265056"/>
    <w:rsid w:val="002651ED"/>
    <w:rsid w:val="00265238"/>
    <w:rsid w:val="0026545C"/>
    <w:rsid w:val="002654AA"/>
    <w:rsid w:val="002654E3"/>
    <w:rsid w:val="00265916"/>
    <w:rsid w:val="00265C84"/>
    <w:rsid w:val="00265EB1"/>
    <w:rsid w:val="0026617E"/>
    <w:rsid w:val="002661B9"/>
    <w:rsid w:val="002661E0"/>
    <w:rsid w:val="002665AA"/>
    <w:rsid w:val="002665EE"/>
    <w:rsid w:val="0026667F"/>
    <w:rsid w:val="002669C1"/>
    <w:rsid w:val="00266D2B"/>
    <w:rsid w:val="00266D33"/>
    <w:rsid w:val="00266E87"/>
    <w:rsid w:val="00266FDC"/>
    <w:rsid w:val="00267146"/>
    <w:rsid w:val="002676BB"/>
    <w:rsid w:val="002678D8"/>
    <w:rsid w:val="00267954"/>
    <w:rsid w:val="00267AA9"/>
    <w:rsid w:val="00267B17"/>
    <w:rsid w:val="00267C31"/>
    <w:rsid w:val="00267D3F"/>
    <w:rsid w:val="00270068"/>
    <w:rsid w:val="00270109"/>
    <w:rsid w:val="0027011B"/>
    <w:rsid w:val="0027021A"/>
    <w:rsid w:val="0027024F"/>
    <w:rsid w:val="002702D5"/>
    <w:rsid w:val="0027041E"/>
    <w:rsid w:val="0027042D"/>
    <w:rsid w:val="00270441"/>
    <w:rsid w:val="00270542"/>
    <w:rsid w:val="0027093A"/>
    <w:rsid w:val="00270C70"/>
    <w:rsid w:val="00270FF0"/>
    <w:rsid w:val="00271829"/>
    <w:rsid w:val="00271852"/>
    <w:rsid w:val="00271A3B"/>
    <w:rsid w:val="00271B2C"/>
    <w:rsid w:val="00271CE4"/>
    <w:rsid w:val="00272028"/>
    <w:rsid w:val="00272092"/>
    <w:rsid w:val="0027240B"/>
    <w:rsid w:val="00272A42"/>
    <w:rsid w:val="00272BD4"/>
    <w:rsid w:val="00272E8E"/>
    <w:rsid w:val="0027306D"/>
    <w:rsid w:val="00273790"/>
    <w:rsid w:val="002737C2"/>
    <w:rsid w:val="00273885"/>
    <w:rsid w:val="00273A26"/>
    <w:rsid w:val="00273B22"/>
    <w:rsid w:val="00273B79"/>
    <w:rsid w:val="00273FCC"/>
    <w:rsid w:val="002742AA"/>
    <w:rsid w:val="002742C8"/>
    <w:rsid w:val="0027458F"/>
    <w:rsid w:val="0027479F"/>
    <w:rsid w:val="002749E4"/>
    <w:rsid w:val="00274A5F"/>
    <w:rsid w:val="00274AF9"/>
    <w:rsid w:val="00275162"/>
    <w:rsid w:val="002751BF"/>
    <w:rsid w:val="00275549"/>
    <w:rsid w:val="002759A2"/>
    <w:rsid w:val="00275D24"/>
    <w:rsid w:val="00275DA2"/>
    <w:rsid w:val="00276636"/>
    <w:rsid w:val="0027678E"/>
    <w:rsid w:val="00277049"/>
    <w:rsid w:val="0027709C"/>
    <w:rsid w:val="00277182"/>
    <w:rsid w:val="002772B9"/>
    <w:rsid w:val="00277410"/>
    <w:rsid w:val="002775AB"/>
    <w:rsid w:val="0027780E"/>
    <w:rsid w:val="002779A9"/>
    <w:rsid w:val="00277CC3"/>
    <w:rsid w:val="00277E9D"/>
    <w:rsid w:val="002804FE"/>
    <w:rsid w:val="00280565"/>
    <w:rsid w:val="00280845"/>
    <w:rsid w:val="00280849"/>
    <w:rsid w:val="00280919"/>
    <w:rsid w:val="00280AF0"/>
    <w:rsid w:val="00280B71"/>
    <w:rsid w:val="00280CE9"/>
    <w:rsid w:val="00280F00"/>
    <w:rsid w:val="00280F7B"/>
    <w:rsid w:val="0028124D"/>
    <w:rsid w:val="002813E3"/>
    <w:rsid w:val="00281410"/>
    <w:rsid w:val="00281549"/>
    <w:rsid w:val="00281A20"/>
    <w:rsid w:val="00281CFE"/>
    <w:rsid w:val="00281D0F"/>
    <w:rsid w:val="00282011"/>
    <w:rsid w:val="00282117"/>
    <w:rsid w:val="00282281"/>
    <w:rsid w:val="0028229E"/>
    <w:rsid w:val="002824DE"/>
    <w:rsid w:val="002825DD"/>
    <w:rsid w:val="0028296D"/>
    <w:rsid w:val="00282B63"/>
    <w:rsid w:val="00283091"/>
    <w:rsid w:val="00283131"/>
    <w:rsid w:val="0028316E"/>
    <w:rsid w:val="002831E1"/>
    <w:rsid w:val="002834D2"/>
    <w:rsid w:val="00283D1C"/>
    <w:rsid w:val="00283F37"/>
    <w:rsid w:val="00284110"/>
    <w:rsid w:val="00284210"/>
    <w:rsid w:val="0028425C"/>
    <w:rsid w:val="0028436E"/>
    <w:rsid w:val="0028446D"/>
    <w:rsid w:val="002849A5"/>
    <w:rsid w:val="00284EA0"/>
    <w:rsid w:val="00285067"/>
    <w:rsid w:val="00285080"/>
    <w:rsid w:val="002854AA"/>
    <w:rsid w:val="0028556F"/>
    <w:rsid w:val="00285671"/>
    <w:rsid w:val="00285A70"/>
    <w:rsid w:val="00285CB0"/>
    <w:rsid w:val="00285D08"/>
    <w:rsid w:val="00285DDE"/>
    <w:rsid w:val="00285E6A"/>
    <w:rsid w:val="00285F63"/>
    <w:rsid w:val="00286339"/>
    <w:rsid w:val="00286524"/>
    <w:rsid w:val="002865BE"/>
    <w:rsid w:val="00286686"/>
    <w:rsid w:val="0028669A"/>
    <w:rsid w:val="002867E2"/>
    <w:rsid w:val="00287011"/>
    <w:rsid w:val="002870DD"/>
    <w:rsid w:val="00287728"/>
    <w:rsid w:val="00287953"/>
    <w:rsid w:val="00287CA7"/>
    <w:rsid w:val="002903C7"/>
    <w:rsid w:val="0029045D"/>
    <w:rsid w:val="00290E27"/>
    <w:rsid w:val="00291113"/>
    <w:rsid w:val="00291237"/>
    <w:rsid w:val="002912A5"/>
    <w:rsid w:val="002913D3"/>
    <w:rsid w:val="0029165F"/>
    <w:rsid w:val="002917D0"/>
    <w:rsid w:val="002919CD"/>
    <w:rsid w:val="00291D58"/>
    <w:rsid w:val="00291FF3"/>
    <w:rsid w:val="002920F5"/>
    <w:rsid w:val="00292371"/>
    <w:rsid w:val="00292377"/>
    <w:rsid w:val="00292455"/>
    <w:rsid w:val="002926AB"/>
    <w:rsid w:val="00292782"/>
    <w:rsid w:val="002928F0"/>
    <w:rsid w:val="0029292D"/>
    <w:rsid w:val="00292F93"/>
    <w:rsid w:val="00293248"/>
    <w:rsid w:val="002935C7"/>
    <w:rsid w:val="00293734"/>
    <w:rsid w:val="00293B4B"/>
    <w:rsid w:val="00293C45"/>
    <w:rsid w:val="00293E0A"/>
    <w:rsid w:val="00293EC5"/>
    <w:rsid w:val="00293F90"/>
    <w:rsid w:val="00294063"/>
    <w:rsid w:val="00294098"/>
    <w:rsid w:val="00294581"/>
    <w:rsid w:val="00294715"/>
    <w:rsid w:val="00294774"/>
    <w:rsid w:val="00294996"/>
    <w:rsid w:val="00294A04"/>
    <w:rsid w:val="00294A0C"/>
    <w:rsid w:val="00294B53"/>
    <w:rsid w:val="00294C14"/>
    <w:rsid w:val="00294DAC"/>
    <w:rsid w:val="00294DBC"/>
    <w:rsid w:val="00294E95"/>
    <w:rsid w:val="00295135"/>
    <w:rsid w:val="00295270"/>
    <w:rsid w:val="002952C1"/>
    <w:rsid w:val="00295463"/>
    <w:rsid w:val="0029564C"/>
    <w:rsid w:val="0029590D"/>
    <w:rsid w:val="002959D1"/>
    <w:rsid w:val="00295AB8"/>
    <w:rsid w:val="00296283"/>
    <w:rsid w:val="0029675C"/>
    <w:rsid w:val="002969C0"/>
    <w:rsid w:val="00296BA4"/>
    <w:rsid w:val="00296DC9"/>
    <w:rsid w:val="002973A1"/>
    <w:rsid w:val="00297495"/>
    <w:rsid w:val="0029755F"/>
    <w:rsid w:val="002976DE"/>
    <w:rsid w:val="00297760"/>
    <w:rsid w:val="00297947"/>
    <w:rsid w:val="00297A7D"/>
    <w:rsid w:val="00297A9A"/>
    <w:rsid w:val="00297B43"/>
    <w:rsid w:val="00297BC4"/>
    <w:rsid w:val="00297E61"/>
    <w:rsid w:val="00297FB5"/>
    <w:rsid w:val="002A023B"/>
    <w:rsid w:val="002A042E"/>
    <w:rsid w:val="002A047E"/>
    <w:rsid w:val="002A09B6"/>
    <w:rsid w:val="002A0A24"/>
    <w:rsid w:val="002A0A46"/>
    <w:rsid w:val="002A113F"/>
    <w:rsid w:val="002A11BA"/>
    <w:rsid w:val="002A137A"/>
    <w:rsid w:val="002A1612"/>
    <w:rsid w:val="002A2136"/>
    <w:rsid w:val="002A21E0"/>
    <w:rsid w:val="002A21F9"/>
    <w:rsid w:val="002A255E"/>
    <w:rsid w:val="002A2660"/>
    <w:rsid w:val="002A2B91"/>
    <w:rsid w:val="002A2CE8"/>
    <w:rsid w:val="002A3113"/>
    <w:rsid w:val="002A33CC"/>
    <w:rsid w:val="002A34FB"/>
    <w:rsid w:val="002A392A"/>
    <w:rsid w:val="002A3A45"/>
    <w:rsid w:val="002A3AD7"/>
    <w:rsid w:val="002A3B37"/>
    <w:rsid w:val="002A3D70"/>
    <w:rsid w:val="002A3EFC"/>
    <w:rsid w:val="002A3FA1"/>
    <w:rsid w:val="002A414D"/>
    <w:rsid w:val="002A4189"/>
    <w:rsid w:val="002A431B"/>
    <w:rsid w:val="002A43F5"/>
    <w:rsid w:val="002A442B"/>
    <w:rsid w:val="002A4697"/>
    <w:rsid w:val="002A4834"/>
    <w:rsid w:val="002A4A00"/>
    <w:rsid w:val="002A4B3B"/>
    <w:rsid w:val="002A4DBA"/>
    <w:rsid w:val="002A4F36"/>
    <w:rsid w:val="002A51C1"/>
    <w:rsid w:val="002A52F9"/>
    <w:rsid w:val="002A5413"/>
    <w:rsid w:val="002A548E"/>
    <w:rsid w:val="002A55EE"/>
    <w:rsid w:val="002A56F2"/>
    <w:rsid w:val="002A584A"/>
    <w:rsid w:val="002A592B"/>
    <w:rsid w:val="002A5ADF"/>
    <w:rsid w:val="002A5EBF"/>
    <w:rsid w:val="002A60A9"/>
    <w:rsid w:val="002A60E2"/>
    <w:rsid w:val="002A61D2"/>
    <w:rsid w:val="002A64AC"/>
    <w:rsid w:val="002A66C4"/>
    <w:rsid w:val="002A6754"/>
    <w:rsid w:val="002A6769"/>
    <w:rsid w:val="002A6B79"/>
    <w:rsid w:val="002A6C25"/>
    <w:rsid w:val="002A6E58"/>
    <w:rsid w:val="002A7202"/>
    <w:rsid w:val="002A7228"/>
    <w:rsid w:val="002A744A"/>
    <w:rsid w:val="002A74BF"/>
    <w:rsid w:val="002A75EE"/>
    <w:rsid w:val="002A779A"/>
    <w:rsid w:val="002A782C"/>
    <w:rsid w:val="002A7904"/>
    <w:rsid w:val="002A7CDF"/>
    <w:rsid w:val="002A7D24"/>
    <w:rsid w:val="002B017D"/>
    <w:rsid w:val="002B099C"/>
    <w:rsid w:val="002B0A36"/>
    <w:rsid w:val="002B0E0B"/>
    <w:rsid w:val="002B1034"/>
    <w:rsid w:val="002B1395"/>
    <w:rsid w:val="002B141D"/>
    <w:rsid w:val="002B1888"/>
    <w:rsid w:val="002B1B74"/>
    <w:rsid w:val="002B1D4D"/>
    <w:rsid w:val="002B1E5A"/>
    <w:rsid w:val="002B1EA7"/>
    <w:rsid w:val="002B1FCD"/>
    <w:rsid w:val="002B2174"/>
    <w:rsid w:val="002B23EE"/>
    <w:rsid w:val="002B2A30"/>
    <w:rsid w:val="002B2A68"/>
    <w:rsid w:val="002B2B64"/>
    <w:rsid w:val="002B3410"/>
    <w:rsid w:val="002B36D0"/>
    <w:rsid w:val="002B3AE0"/>
    <w:rsid w:val="002B3D95"/>
    <w:rsid w:val="002B4123"/>
    <w:rsid w:val="002B419E"/>
    <w:rsid w:val="002B4216"/>
    <w:rsid w:val="002B4283"/>
    <w:rsid w:val="002B42E4"/>
    <w:rsid w:val="002B433B"/>
    <w:rsid w:val="002B446F"/>
    <w:rsid w:val="002B46E1"/>
    <w:rsid w:val="002B4DBD"/>
    <w:rsid w:val="002B5235"/>
    <w:rsid w:val="002B539D"/>
    <w:rsid w:val="002B5476"/>
    <w:rsid w:val="002B55CB"/>
    <w:rsid w:val="002B5BB7"/>
    <w:rsid w:val="002B5C5C"/>
    <w:rsid w:val="002B6336"/>
    <w:rsid w:val="002B64BC"/>
    <w:rsid w:val="002B65C4"/>
    <w:rsid w:val="002B664B"/>
    <w:rsid w:val="002B6B0D"/>
    <w:rsid w:val="002B6DA1"/>
    <w:rsid w:val="002B6E54"/>
    <w:rsid w:val="002B7013"/>
    <w:rsid w:val="002B7125"/>
    <w:rsid w:val="002B7AE4"/>
    <w:rsid w:val="002B7C7E"/>
    <w:rsid w:val="002B7EC1"/>
    <w:rsid w:val="002C0495"/>
    <w:rsid w:val="002C067B"/>
    <w:rsid w:val="002C0A4C"/>
    <w:rsid w:val="002C10C5"/>
    <w:rsid w:val="002C13B0"/>
    <w:rsid w:val="002C151F"/>
    <w:rsid w:val="002C16CE"/>
    <w:rsid w:val="002C16F6"/>
    <w:rsid w:val="002C20CA"/>
    <w:rsid w:val="002C21B0"/>
    <w:rsid w:val="002C220A"/>
    <w:rsid w:val="002C2281"/>
    <w:rsid w:val="002C258E"/>
    <w:rsid w:val="002C2668"/>
    <w:rsid w:val="002C26A0"/>
    <w:rsid w:val="002C2903"/>
    <w:rsid w:val="002C2C77"/>
    <w:rsid w:val="002C32AB"/>
    <w:rsid w:val="002C32E1"/>
    <w:rsid w:val="002C32EA"/>
    <w:rsid w:val="002C330B"/>
    <w:rsid w:val="002C3579"/>
    <w:rsid w:val="002C357F"/>
    <w:rsid w:val="002C3897"/>
    <w:rsid w:val="002C3BE9"/>
    <w:rsid w:val="002C3DF3"/>
    <w:rsid w:val="002C3FFF"/>
    <w:rsid w:val="002C40FD"/>
    <w:rsid w:val="002C4783"/>
    <w:rsid w:val="002C47C3"/>
    <w:rsid w:val="002C47D6"/>
    <w:rsid w:val="002C4A94"/>
    <w:rsid w:val="002C50B0"/>
    <w:rsid w:val="002C516C"/>
    <w:rsid w:val="002C523A"/>
    <w:rsid w:val="002C5471"/>
    <w:rsid w:val="002C5583"/>
    <w:rsid w:val="002C55AF"/>
    <w:rsid w:val="002C59A2"/>
    <w:rsid w:val="002C59D6"/>
    <w:rsid w:val="002C5A07"/>
    <w:rsid w:val="002C5D6D"/>
    <w:rsid w:val="002C5E48"/>
    <w:rsid w:val="002C5EDD"/>
    <w:rsid w:val="002C600B"/>
    <w:rsid w:val="002C61DD"/>
    <w:rsid w:val="002C632D"/>
    <w:rsid w:val="002C6350"/>
    <w:rsid w:val="002C6384"/>
    <w:rsid w:val="002C6484"/>
    <w:rsid w:val="002C65BA"/>
    <w:rsid w:val="002C67E4"/>
    <w:rsid w:val="002C68D6"/>
    <w:rsid w:val="002C69D1"/>
    <w:rsid w:val="002C6A6A"/>
    <w:rsid w:val="002C6B9D"/>
    <w:rsid w:val="002C6C85"/>
    <w:rsid w:val="002C6D05"/>
    <w:rsid w:val="002C6D7B"/>
    <w:rsid w:val="002C7093"/>
    <w:rsid w:val="002C72CD"/>
    <w:rsid w:val="002C7321"/>
    <w:rsid w:val="002C741E"/>
    <w:rsid w:val="002C749D"/>
    <w:rsid w:val="002C7B14"/>
    <w:rsid w:val="002C7CC6"/>
    <w:rsid w:val="002C7D4F"/>
    <w:rsid w:val="002C7EB4"/>
    <w:rsid w:val="002C7F8D"/>
    <w:rsid w:val="002D00DD"/>
    <w:rsid w:val="002D01F9"/>
    <w:rsid w:val="002D05D6"/>
    <w:rsid w:val="002D0C1C"/>
    <w:rsid w:val="002D0C83"/>
    <w:rsid w:val="002D17C3"/>
    <w:rsid w:val="002D1E27"/>
    <w:rsid w:val="002D24CE"/>
    <w:rsid w:val="002D289B"/>
    <w:rsid w:val="002D2C08"/>
    <w:rsid w:val="002D317C"/>
    <w:rsid w:val="002D32CA"/>
    <w:rsid w:val="002D39D2"/>
    <w:rsid w:val="002D3F0B"/>
    <w:rsid w:val="002D4046"/>
    <w:rsid w:val="002D44D7"/>
    <w:rsid w:val="002D4A2D"/>
    <w:rsid w:val="002D4D0E"/>
    <w:rsid w:val="002D4EED"/>
    <w:rsid w:val="002D53A0"/>
    <w:rsid w:val="002D558E"/>
    <w:rsid w:val="002D59ED"/>
    <w:rsid w:val="002D5A9E"/>
    <w:rsid w:val="002D5B65"/>
    <w:rsid w:val="002D5CBE"/>
    <w:rsid w:val="002D610E"/>
    <w:rsid w:val="002D612E"/>
    <w:rsid w:val="002D61B1"/>
    <w:rsid w:val="002D6A6D"/>
    <w:rsid w:val="002D6A94"/>
    <w:rsid w:val="002D6BD9"/>
    <w:rsid w:val="002D6EEB"/>
    <w:rsid w:val="002D748B"/>
    <w:rsid w:val="002D7954"/>
    <w:rsid w:val="002D7A42"/>
    <w:rsid w:val="002D7EA2"/>
    <w:rsid w:val="002E0497"/>
    <w:rsid w:val="002E0A14"/>
    <w:rsid w:val="002E0C64"/>
    <w:rsid w:val="002E0EB0"/>
    <w:rsid w:val="002E0EB3"/>
    <w:rsid w:val="002E1139"/>
    <w:rsid w:val="002E118A"/>
    <w:rsid w:val="002E16CC"/>
    <w:rsid w:val="002E1811"/>
    <w:rsid w:val="002E1A9A"/>
    <w:rsid w:val="002E1FC8"/>
    <w:rsid w:val="002E2260"/>
    <w:rsid w:val="002E23CD"/>
    <w:rsid w:val="002E2434"/>
    <w:rsid w:val="002E24F5"/>
    <w:rsid w:val="002E27CD"/>
    <w:rsid w:val="002E27E6"/>
    <w:rsid w:val="002E2850"/>
    <w:rsid w:val="002E2C4B"/>
    <w:rsid w:val="002E2DB4"/>
    <w:rsid w:val="002E2FC1"/>
    <w:rsid w:val="002E36B1"/>
    <w:rsid w:val="002E37B3"/>
    <w:rsid w:val="002E37DB"/>
    <w:rsid w:val="002E384E"/>
    <w:rsid w:val="002E3958"/>
    <w:rsid w:val="002E3AE3"/>
    <w:rsid w:val="002E3BF4"/>
    <w:rsid w:val="002E3DDE"/>
    <w:rsid w:val="002E3EBF"/>
    <w:rsid w:val="002E3F32"/>
    <w:rsid w:val="002E4164"/>
    <w:rsid w:val="002E4463"/>
    <w:rsid w:val="002E4662"/>
    <w:rsid w:val="002E49C2"/>
    <w:rsid w:val="002E4C5C"/>
    <w:rsid w:val="002E4C77"/>
    <w:rsid w:val="002E4D16"/>
    <w:rsid w:val="002E5166"/>
    <w:rsid w:val="002E52FA"/>
    <w:rsid w:val="002E53A1"/>
    <w:rsid w:val="002E5459"/>
    <w:rsid w:val="002E5BD9"/>
    <w:rsid w:val="002E5D15"/>
    <w:rsid w:val="002E5ED4"/>
    <w:rsid w:val="002E67EF"/>
    <w:rsid w:val="002E6AF1"/>
    <w:rsid w:val="002E6BBA"/>
    <w:rsid w:val="002E6CDC"/>
    <w:rsid w:val="002E6EDB"/>
    <w:rsid w:val="002E6F17"/>
    <w:rsid w:val="002E73A4"/>
    <w:rsid w:val="002E76C3"/>
    <w:rsid w:val="002E77C6"/>
    <w:rsid w:val="002E7C84"/>
    <w:rsid w:val="002F023C"/>
    <w:rsid w:val="002F036B"/>
    <w:rsid w:val="002F1191"/>
    <w:rsid w:val="002F1426"/>
    <w:rsid w:val="002F1452"/>
    <w:rsid w:val="002F184F"/>
    <w:rsid w:val="002F1AAC"/>
    <w:rsid w:val="002F1C1D"/>
    <w:rsid w:val="002F1D8B"/>
    <w:rsid w:val="002F20B0"/>
    <w:rsid w:val="002F220A"/>
    <w:rsid w:val="002F22CB"/>
    <w:rsid w:val="002F28B0"/>
    <w:rsid w:val="002F28F5"/>
    <w:rsid w:val="002F2BB7"/>
    <w:rsid w:val="002F2E93"/>
    <w:rsid w:val="002F30F1"/>
    <w:rsid w:val="002F33F4"/>
    <w:rsid w:val="002F340E"/>
    <w:rsid w:val="002F359F"/>
    <w:rsid w:val="002F3662"/>
    <w:rsid w:val="002F389C"/>
    <w:rsid w:val="002F3C2A"/>
    <w:rsid w:val="002F411F"/>
    <w:rsid w:val="002F4254"/>
    <w:rsid w:val="002F4438"/>
    <w:rsid w:val="002F498C"/>
    <w:rsid w:val="002F49AC"/>
    <w:rsid w:val="002F4A16"/>
    <w:rsid w:val="002F4CEC"/>
    <w:rsid w:val="002F4FFD"/>
    <w:rsid w:val="002F51D4"/>
    <w:rsid w:val="002F5299"/>
    <w:rsid w:val="002F5949"/>
    <w:rsid w:val="002F5993"/>
    <w:rsid w:val="002F5A71"/>
    <w:rsid w:val="002F5BC7"/>
    <w:rsid w:val="002F61F6"/>
    <w:rsid w:val="002F631F"/>
    <w:rsid w:val="002F642C"/>
    <w:rsid w:val="002F6ADA"/>
    <w:rsid w:val="002F6EA5"/>
    <w:rsid w:val="002F6FF2"/>
    <w:rsid w:val="002F6FFA"/>
    <w:rsid w:val="002F761A"/>
    <w:rsid w:val="002F7CE3"/>
    <w:rsid w:val="003001EA"/>
    <w:rsid w:val="003006CA"/>
    <w:rsid w:val="003009F8"/>
    <w:rsid w:val="00300A68"/>
    <w:rsid w:val="00300D6B"/>
    <w:rsid w:val="00301036"/>
    <w:rsid w:val="00301567"/>
    <w:rsid w:val="003019D9"/>
    <w:rsid w:val="00301C1C"/>
    <w:rsid w:val="00301CE2"/>
    <w:rsid w:val="00301E7D"/>
    <w:rsid w:val="00301FB3"/>
    <w:rsid w:val="0030207B"/>
    <w:rsid w:val="0030219C"/>
    <w:rsid w:val="00302837"/>
    <w:rsid w:val="00302A0C"/>
    <w:rsid w:val="00302A51"/>
    <w:rsid w:val="00302D68"/>
    <w:rsid w:val="00302FEF"/>
    <w:rsid w:val="0030350E"/>
    <w:rsid w:val="00303908"/>
    <w:rsid w:val="003039E8"/>
    <w:rsid w:val="00303AF5"/>
    <w:rsid w:val="00303D58"/>
    <w:rsid w:val="003040AF"/>
    <w:rsid w:val="00304488"/>
    <w:rsid w:val="0030474C"/>
    <w:rsid w:val="003048C4"/>
    <w:rsid w:val="00304B3F"/>
    <w:rsid w:val="00304CE7"/>
    <w:rsid w:val="00304F70"/>
    <w:rsid w:val="00305178"/>
    <w:rsid w:val="003051C4"/>
    <w:rsid w:val="00305273"/>
    <w:rsid w:val="003053D7"/>
    <w:rsid w:val="00305952"/>
    <w:rsid w:val="00305B8C"/>
    <w:rsid w:val="00305BA0"/>
    <w:rsid w:val="00305C3F"/>
    <w:rsid w:val="00305ED5"/>
    <w:rsid w:val="00305F10"/>
    <w:rsid w:val="00305F16"/>
    <w:rsid w:val="00305F53"/>
    <w:rsid w:val="003060D2"/>
    <w:rsid w:val="00306314"/>
    <w:rsid w:val="0030696D"/>
    <w:rsid w:val="00306CE6"/>
    <w:rsid w:val="00306CF4"/>
    <w:rsid w:val="00307049"/>
    <w:rsid w:val="00307205"/>
    <w:rsid w:val="00307307"/>
    <w:rsid w:val="00307309"/>
    <w:rsid w:val="00307370"/>
    <w:rsid w:val="00307744"/>
    <w:rsid w:val="00307D70"/>
    <w:rsid w:val="00307DF6"/>
    <w:rsid w:val="00310592"/>
    <w:rsid w:val="00311D39"/>
    <w:rsid w:val="0031272E"/>
    <w:rsid w:val="0031283E"/>
    <w:rsid w:val="00312850"/>
    <w:rsid w:val="00312AE7"/>
    <w:rsid w:val="00312AF9"/>
    <w:rsid w:val="00312D03"/>
    <w:rsid w:val="003131C4"/>
    <w:rsid w:val="003135C4"/>
    <w:rsid w:val="00313D69"/>
    <w:rsid w:val="00313E48"/>
    <w:rsid w:val="003145D4"/>
    <w:rsid w:val="00314607"/>
    <w:rsid w:val="00314659"/>
    <w:rsid w:val="003146B3"/>
    <w:rsid w:val="0031476A"/>
    <w:rsid w:val="00314B50"/>
    <w:rsid w:val="00314BDC"/>
    <w:rsid w:val="00314FBE"/>
    <w:rsid w:val="00315028"/>
    <w:rsid w:val="00315198"/>
    <w:rsid w:val="003151AF"/>
    <w:rsid w:val="003151C7"/>
    <w:rsid w:val="00315513"/>
    <w:rsid w:val="00315651"/>
    <w:rsid w:val="00315C25"/>
    <w:rsid w:val="00315F54"/>
    <w:rsid w:val="00316217"/>
    <w:rsid w:val="00316432"/>
    <w:rsid w:val="00316631"/>
    <w:rsid w:val="00316982"/>
    <w:rsid w:val="00317109"/>
    <w:rsid w:val="003171CC"/>
    <w:rsid w:val="003174FA"/>
    <w:rsid w:val="00317541"/>
    <w:rsid w:val="003176A3"/>
    <w:rsid w:val="0031774D"/>
    <w:rsid w:val="00317781"/>
    <w:rsid w:val="0031778A"/>
    <w:rsid w:val="003179DA"/>
    <w:rsid w:val="00317A9A"/>
    <w:rsid w:val="00317D7E"/>
    <w:rsid w:val="00317F72"/>
    <w:rsid w:val="00320AAC"/>
    <w:rsid w:val="00320FE6"/>
    <w:rsid w:val="00321248"/>
    <w:rsid w:val="003213D3"/>
    <w:rsid w:val="00321568"/>
    <w:rsid w:val="00321598"/>
    <w:rsid w:val="003217CC"/>
    <w:rsid w:val="00321D73"/>
    <w:rsid w:val="00321DCC"/>
    <w:rsid w:val="003220E5"/>
    <w:rsid w:val="00322240"/>
    <w:rsid w:val="003222DB"/>
    <w:rsid w:val="003224AC"/>
    <w:rsid w:val="003228C1"/>
    <w:rsid w:val="0032296B"/>
    <w:rsid w:val="00322ACA"/>
    <w:rsid w:val="00322B36"/>
    <w:rsid w:val="00322C56"/>
    <w:rsid w:val="00322D5A"/>
    <w:rsid w:val="00322D79"/>
    <w:rsid w:val="00323499"/>
    <w:rsid w:val="003235AB"/>
    <w:rsid w:val="00323782"/>
    <w:rsid w:val="003237BA"/>
    <w:rsid w:val="00323D44"/>
    <w:rsid w:val="00323F92"/>
    <w:rsid w:val="0032421F"/>
    <w:rsid w:val="0032434A"/>
    <w:rsid w:val="0032471E"/>
    <w:rsid w:val="00324732"/>
    <w:rsid w:val="00324A57"/>
    <w:rsid w:val="00324EAD"/>
    <w:rsid w:val="00325208"/>
    <w:rsid w:val="00325211"/>
    <w:rsid w:val="003256FC"/>
    <w:rsid w:val="00325745"/>
    <w:rsid w:val="00325768"/>
    <w:rsid w:val="00325E17"/>
    <w:rsid w:val="003261B5"/>
    <w:rsid w:val="00326442"/>
    <w:rsid w:val="00326976"/>
    <w:rsid w:val="003269EC"/>
    <w:rsid w:val="00326B12"/>
    <w:rsid w:val="00326D2A"/>
    <w:rsid w:val="00326EC9"/>
    <w:rsid w:val="003278D4"/>
    <w:rsid w:val="00327B17"/>
    <w:rsid w:val="00327D38"/>
    <w:rsid w:val="00327F61"/>
    <w:rsid w:val="00330057"/>
    <w:rsid w:val="0033007C"/>
    <w:rsid w:val="00330639"/>
    <w:rsid w:val="0033066D"/>
    <w:rsid w:val="003306A8"/>
    <w:rsid w:val="00330908"/>
    <w:rsid w:val="00330938"/>
    <w:rsid w:val="00330A0F"/>
    <w:rsid w:val="00330D25"/>
    <w:rsid w:val="003312FF"/>
    <w:rsid w:val="0033132D"/>
    <w:rsid w:val="00331599"/>
    <w:rsid w:val="00331905"/>
    <w:rsid w:val="0033193D"/>
    <w:rsid w:val="00331987"/>
    <w:rsid w:val="003319E9"/>
    <w:rsid w:val="00331F32"/>
    <w:rsid w:val="003325C6"/>
    <w:rsid w:val="00332A28"/>
    <w:rsid w:val="00332AF7"/>
    <w:rsid w:val="00332C2D"/>
    <w:rsid w:val="00332DF9"/>
    <w:rsid w:val="00333041"/>
    <w:rsid w:val="0033394B"/>
    <w:rsid w:val="003339A9"/>
    <w:rsid w:val="00334188"/>
    <w:rsid w:val="003341A5"/>
    <w:rsid w:val="0033479A"/>
    <w:rsid w:val="00334932"/>
    <w:rsid w:val="00334C68"/>
    <w:rsid w:val="00334D68"/>
    <w:rsid w:val="00334F68"/>
    <w:rsid w:val="00335592"/>
    <w:rsid w:val="00335928"/>
    <w:rsid w:val="003359C7"/>
    <w:rsid w:val="00335CEC"/>
    <w:rsid w:val="00335E5A"/>
    <w:rsid w:val="00335F70"/>
    <w:rsid w:val="00335F9A"/>
    <w:rsid w:val="0033631D"/>
    <w:rsid w:val="0033668B"/>
    <w:rsid w:val="003367A6"/>
    <w:rsid w:val="00336823"/>
    <w:rsid w:val="00336974"/>
    <w:rsid w:val="00336975"/>
    <w:rsid w:val="00336C1B"/>
    <w:rsid w:val="00336D8B"/>
    <w:rsid w:val="00336DC5"/>
    <w:rsid w:val="00336EDA"/>
    <w:rsid w:val="00337727"/>
    <w:rsid w:val="00337798"/>
    <w:rsid w:val="003379A7"/>
    <w:rsid w:val="00337C7E"/>
    <w:rsid w:val="00337CBC"/>
    <w:rsid w:val="00337F20"/>
    <w:rsid w:val="003408E8"/>
    <w:rsid w:val="00340B81"/>
    <w:rsid w:val="00340DED"/>
    <w:rsid w:val="003410D6"/>
    <w:rsid w:val="003410E4"/>
    <w:rsid w:val="003412A0"/>
    <w:rsid w:val="003412C1"/>
    <w:rsid w:val="00341548"/>
    <w:rsid w:val="00341701"/>
    <w:rsid w:val="003418DF"/>
    <w:rsid w:val="00341B4E"/>
    <w:rsid w:val="00341C48"/>
    <w:rsid w:val="00341DA5"/>
    <w:rsid w:val="00341DE4"/>
    <w:rsid w:val="003420B6"/>
    <w:rsid w:val="00342276"/>
    <w:rsid w:val="0034243F"/>
    <w:rsid w:val="00342BB9"/>
    <w:rsid w:val="003434FA"/>
    <w:rsid w:val="003436BD"/>
    <w:rsid w:val="00343E76"/>
    <w:rsid w:val="00344216"/>
    <w:rsid w:val="00344933"/>
    <w:rsid w:val="003449DD"/>
    <w:rsid w:val="00344BB6"/>
    <w:rsid w:val="00344EA0"/>
    <w:rsid w:val="003452E7"/>
    <w:rsid w:val="0034576C"/>
    <w:rsid w:val="00345E5D"/>
    <w:rsid w:val="00346FF1"/>
    <w:rsid w:val="0034738E"/>
    <w:rsid w:val="00347481"/>
    <w:rsid w:val="00347776"/>
    <w:rsid w:val="003478F1"/>
    <w:rsid w:val="003479F7"/>
    <w:rsid w:val="00347EFC"/>
    <w:rsid w:val="0035025B"/>
    <w:rsid w:val="00350319"/>
    <w:rsid w:val="00350548"/>
    <w:rsid w:val="003505B8"/>
    <w:rsid w:val="00350784"/>
    <w:rsid w:val="0035088A"/>
    <w:rsid w:val="003509EF"/>
    <w:rsid w:val="00350BDD"/>
    <w:rsid w:val="00350D2E"/>
    <w:rsid w:val="00350F67"/>
    <w:rsid w:val="00350F6E"/>
    <w:rsid w:val="0035107E"/>
    <w:rsid w:val="0035157C"/>
    <w:rsid w:val="003515AD"/>
    <w:rsid w:val="0035196A"/>
    <w:rsid w:val="00351F99"/>
    <w:rsid w:val="00351FEE"/>
    <w:rsid w:val="00352043"/>
    <w:rsid w:val="0035238B"/>
    <w:rsid w:val="003527A3"/>
    <w:rsid w:val="00352BB5"/>
    <w:rsid w:val="0035324E"/>
    <w:rsid w:val="003532C3"/>
    <w:rsid w:val="00353723"/>
    <w:rsid w:val="00353A09"/>
    <w:rsid w:val="00353C8A"/>
    <w:rsid w:val="00353E5E"/>
    <w:rsid w:val="00353F79"/>
    <w:rsid w:val="00354249"/>
    <w:rsid w:val="003542BE"/>
    <w:rsid w:val="0035433E"/>
    <w:rsid w:val="00354728"/>
    <w:rsid w:val="0035475E"/>
    <w:rsid w:val="003554BB"/>
    <w:rsid w:val="00355D10"/>
    <w:rsid w:val="0035630A"/>
    <w:rsid w:val="00356355"/>
    <w:rsid w:val="00356937"/>
    <w:rsid w:val="00356B42"/>
    <w:rsid w:val="00356BE1"/>
    <w:rsid w:val="00356C1C"/>
    <w:rsid w:val="00357463"/>
    <w:rsid w:val="0035753F"/>
    <w:rsid w:val="00357578"/>
    <w:rsid w:val="00357664"/>
    <w:rsid w:val="003578C9"/>
    <w:rsid w:val="00357A13"/>
    <w:rsid w:val="00357DE5"/>
    <w:rsid w:val="003600F3"/>
    <w:rsid w:val="0036031D"/>
    <w:rsid w:val="003603D7"/>
    <w:rsid w:val="0036068C"/>
    <w:rsid w:val="0036097D"/>
    <w:rsid w:val="00360E3F"/>
    <w:rsid w:val="00360F62"/>
    <w:rsid w:val="00361305"/>
    <w:rsid w:val="0036177B"/>
    <w:rsid w:val="00361A98"/>
    <w:rsid w:val="00361BF1"/>
    <w:rsid w:val="00361D32"/>
    <w:rsid w:val="00361FAA"/>
    <w:rsid w:val="003622C3"/>
    <w:rsid w:val="00362B44"/>
    <w:rsid w:val="00362C18"/>
    <w:rsid w:val="003633FE"/>
    <w:rsid w:val="0036359B"/>
    <w:rsid w:val="00363AE4"/>
    <w:rsid w:val="00364246"/>
    <w:rsid w:val="00364627"/>
    <w:rsid w:val="003646F8"/>
    <w:rsid w:val="00364C9B"/>
    <w:rsid w:val="003651F1"/>
    <w:rsid w:val="00365510"/>
    <w:rsid w:val="003656A0"/>
    <w:rsid w:val="00365D78"/>
    <w:rsid w:val="00366241"/>
    <w:rsid w:val="0036669E"/>
    <w:rsid w:val="0036682C"/>
    <w:rsid w:val="00366892"/>
    <w:rsid w:val="0036694A"/>
    <w:rsid w:val="00367108"/>
    <w:rsid w:val="00367158"/>
    <w:rsid w:val="003671BD"/>
    <w:rsid w:val="0036754B"/>
    <w:rsid w:val="00367AB7"/>
    <w:rsid w:val="00367D11"/>
    <w:rsid w:val="00367E21"/>
    <w:rsid w:val="00370010"/>
    <w:rsid w:val="0037014C"/>
    <w:rsid w:val="00370317"/>
    <w:rsid w:val="0037046A"/>
    <w:rsid w:val="00370856"/>
    <w:rsid w:val="00371295"/>
    <w:rsid w:val="00371555"/>
    <w:rsid w:val="00371785"/>
    <w:rsid w:val="00371DA3"/>
    <w:rsid w:val="00371E12"/>
    <w:rsid w:val="00371FB6"/>
    <w:rsid w:val="003720F7"/>
    <w:rsid w:val="003721B2"/>
    <w:rsid w:val="003721F1"/>
    <w:rsid w:val="003723D6"/>
    <w:rsid w:val="00372440"/>
    <w:rsid w:val="00372643"/>
    <w:rsid w:val="00372779"/>
    <w:rsid w:val="003729DE"/>
    <w:rsid w:val="00372BA9"/>
    <w:rsid w:val="00372BD2"/>
    <w:rsid w:val="00372C95"/>
    <w:rsid w:val="00372D23"/>
    <w:rsid w:val="00372FCE"/>
    <w:rsid w:val="003731D1"/>
    <w:rsid w:val="00373353"/>
    <w:rsid w:val="00373689"/>
    <w:rsid w:val="0037380C"/>
    <w:rsid w:val="00373A6F"/>
    <w:rsid w:val="00373AC1"/>
    <w:rsid w:val="00373B6A"/>
    <w:rsid w:val="00373CE6"/>
    <w:rsid w:val="00373EE2"/>
    <w:rsid w:val="00374255"/>
    <w:rsid w:val="003742B2"/>
    <w:rsid w:val="0037468B"/>
    <w:rsid w:val="003749B6"/>
    <w:rsid w:val="003749EE"/>
    <w:rsid w:val="00374B69"/>
    <w:rsid w:val="00374BBA"/>
    <w:rsid w:val="00374C56"/>
    <w:rsid w:val="00374D10"/>
    <w:rsid w:val="003751CC"/>
    <w:rsid w:val="0037535A"/>
    <w:rsid w:val="00375466"/>
    <w:rsid w:val="00375762"/>
    <w:rsid w:val="0037580F"/>
    <w:rsid w:val="00375924"/>
    <w:rsid w:val="00375D66"/>
    <w:rsid w:val="00375DC9"/>
    <w:rsid w:val="00375F51"/>
    <w:rsid w:val="00375F55"/>
    <w:rsid w:val="0037695C"/>
    <w:rsid w:val="0037695F"/>
    <w:rsid w:val="00376A6B"/>
    <w:rsid w:val="00376AF3"/>
    <w:rsid w:val="00376BB0"/>
    <w:rsid w:val="00376F3F"/>
    <w:rsid w:val="00376F4C"/>
    <w:rsid w:val="00377099"/>
    <w:rsid w:val="003772BD"/>
    <w:rsid w:val="003772E9"/>
    <w:rsid w:val="003775B4"/>
    <w:rsid w:val="003778BA"/>
    <w:rsid w:val="003778EF"/>
    <w:rsid w:val="00377D30"/>
    <w:rsid w:val="00380031"/>
    <w:rsid w:val="003801A7"/>
    <w:rsid w:val="00380206"/>
    <w:rsid w:val="00380756"/>
    <w:rsid w:val="003808B8"/>
    <w:rsid w:val="00380C06"/>
    <w:rsid w:val="00380F18"/>
    <w:rsid w:val="0038166A"/>
    <w:rsid w:val="00381702"/>
    <w:rsid w:val="0038183C"/>
    <w:rsid w:val="003818AB"/>
    <w:rsid w:val="00381C63"/>
    <w:rsid w:val="00381C70"/>
    <w:rsid w:val="00381CBC"/>
    <w:rsid w:val="00381DE1"/>
    <w:rsid w:val="00381E1E"/>
    <w:rsid w:val="00382123"/>
    <w:rsid w:val="0038293E"/>
    <w:rsid w:val="00382BB8"/>
    <w:rsid w:val="00382BBD"/>
    <w:rsid w:val="00382C17"/>
    <w:rsid w:val="00382CB6"/>
    <w:rsid w:val="00382E2E"/>
    <w:rsid w:val="0038315B"/>
    <w:rsid w:val="00383459"/>
    <w:rsid w:val="00383847"/>
    <w:rsid w:val="00383D40"/>
    <w:rsid w:val="00384299"/>
    <w:rsid w:val="00384349"/>
    <w:rsid w:val="00384646"/>
    <w:rsid w:val="00384785"/>
    <w:rsid w:val="003847B7"/>
    <w:rsid w:val="003848AB"/>
    <w:rsid w:val="003849C9"/>
    <w:rsid w:val="00384BFD"/>
    <w:rsid w:val="00384F6F"/>
    <w:rsid w:val="00384FF7"/>
    <w:rsid w:val="00385043"/>
    <w:rsid w:val="003850F1"/>
    <w:rsid w:val="00385371"/>
    <w:rsid w:val="00385490"/>
    <w:rsid w:val="00385521"/>
    <w:rsid w:val="003856EA"/>
    <w:rsid w:val="0038584D"/>
    <w:rsid w:val="003858B8"/>
    <w:rsid w:val="0038599B"/>
    <w:rsid w:val="00385AF2"/>
    <w:rsid w:val="00385C0F"/>
    <w:rsid w:val="00385DE9"/>
    <w:rsid w:val="00385F95"/>
    <w:rsid w:val="003861BA"/>
    <w:rsid w:val="00386351"/>
    <w:rsid w:val="0038642C"/>
    <w:rsid w:val="00386681"/>
    <w:rsid w:val="00386693"/>
    <w:rsid w:val="00386706"/>
    <w:rsid w:val="003867EC"/>
    <w:rsid w:val="00386A70"/>
    <w:rsid w:val="00386BE8"/>
    <w:rsid w:val="00386C2F"/>
    <w:rsid w:val="00386EA5"/>
    <w:rsid w:val="00386FC9"/>
    <w:rsid w:val="00387078"/>
    <w:rsid w:val="003871F4"/>
    <w:rsid w:val="003872A6"/>
    <w:rsid w:val="00387754"/>
    <w:rsid w:val="003878B0"/>
    <w:rsid w:val="00387934"/>
    <w:rsid w:val="003879F5"/>
    <w:rsid w:val="00387A7A"/>
    <w:rsid w:val="00387C94"/>
    <w:rsid w:val="00387E14"/>
    <w:rsid w:val="0039004E"/>
    <w:rsid w:val="0039050B"/>
    <w:rsid w:val="00390707"/>
    <w:rsid w:val="003907C2"/>
    <w:rsid w:val="003907E3"/>
    <w:rsid w:val="0039157C"/>
    <w:rsid w:val="00391ACB"/>
    <w:rsid w:val="00391B9C"/>
    <w:rsid w:val="00391D80"/>
    <w:rsid w:val="00391E37"/>
    <w:rsid w:val="0039221B"/>
    <w:rsid w:val="00392526"/>
    <w:rsid w:val="003925F9"/>
    <w:rsid w:val="003928A7"/>
    <w:rsid w:val="00393081"/>
    <w:rsid w:val="00393477"/>
    <w:rsid w:val="0039358D"/>
    <w:rsid w:val="00393637"/>
    <w:rsid w:val="003938D6"/>
    <w:rsid w:val="00393CF8"/>
    <w:rsid w:val="00393D8D"/>
    <w:rsid w:val="00393E12"/>
    <w:rsid w:val="00393E3A"/>
    <w:rsid w:val="00393EEF"/>
    <w:rsid w:val="00393EF0"/>
    <w:rsid w:val="00394074"/>
    <w:rsid w:val="0039419E"/>
    <w:rsid w:val="003943D1"/>
    <w:rsid w:val="003943D4"/>
    <w:rsid w:val="00394452"/>
    <w:rsid w:val="003944F0"/>
    <w:rsid w:val="00394556"/>
    <w:rsid w:val="003949AB"/>
    <w:rsid w:val="00394CD0"/>
    <w:rsid w:val="00394F0D"/>
    <w:rsid w:val="00395130"/>
    <w:rsid w:val="003951C5"/>
    <w:rsid w:val="00395470"/>
    <w:rsid w:val="003954BF"/>
    <w:rsid w:val="0039578E"/>
    <w:rsid w:val="00395A4F"/>
    <w:rsid w:val="00395AB0"/>
    <w:rsid w:val="00395EC6"/>
    <w:rsid w:val="00395FFA"/>
    <w:rsid w:val="003964FF"/>
    <w:rsid w:val="00396679"/>
    <w:rsid w:val="0039667F"/>
    <w:rsid w:val="00396848"/>
    <w:rsid w:val="00396ABE"/>
    <w:rsid w:val="00396B52"/>
    <w:rsid w:val="00397100"/>
    <w:rsid w:val="00397982"/>
    <w:rsid w:val="00397C31"/>
    <w:rsid w:val="00397CF7"/>
    <w:rsid w:val="003A01F5"/>
    <w:rsid w:val="003A040F"/>
    <w:rsid w:val="003A047B"/>
    <w:rsid w:val="003A0533"/>
    <w:rsid w:val="003A0A72"/>
    <w:rsid w:val="003A0DAF"/>
    <w:rsid w:val="003A0EF5"/>
    <w:rsid w:val="003A0F65"/>
    <w:rsid w:val="003A1094"/>
    <w:rsid w:val="003A10AD"/>
    <w:rsid w:val="003A121F"/>
    <w:rsid w:val="003A1224"/>
    <w:rsid w:val="003A129E"/>
    <w:rsid w:val="003A14A5"/>
    <w:rsid w:val="003A1502"/>
    <w:rsid w:val="003A15C0"/>
    <w:rsid w:val="003A15EF"/>
    <w:rsid w:val="003A1B02"/>
    <w:rsid w:val="003A1BB1"/>
    <w:rsid w:val="003A1C51"/>
    <w:rsid w:val="003A1E46"/>
    <w:rsid w:val="003A216F"/>
    <w:rsid w:val="003A219D"/>
    <w:rsid w:val="003A30E1"/>
    <w:rsid w:val="003A34B7"/>
    <w:rsid w:val="003A37C9"/>
    <w:rsid w:val="003A3A49"/>
    <w:rsid w:val="003A3AD7"/>
    <w:rsid w:val="003A3CE5"/>
    <w:rsid w:val="003A3D64"/>
    <w:rsid w:val="003A413C"/>
    <w:rsid w:val="003A4249"/>
    <w:rsid w:val="003A4258"/>
    <w:rsid w:val="003A4734"/>
    <w:rsid w:val="003A4845"/>
    <w:rsid w:val="003A49B7"/>
    <w:rsid w:val="003A4C95"/>
    <w:rsid w:val="003A5395"/>
    <w:rsid w:val="003A553C"/>
    <w:rsid w:val="003A5880"/>
    <w:rsid w:val="003A5A6B"/>
    <w:rsid w:val="003A5C4D"/>
    <w:rsid w:val="003A5C55"/>
    <w:rsid w:val="003A5DE3"/>
    <w:rsid w:val="003A6143"/>
    <w:rsid w:val="003A694E"/>
    <w:rsid w:val="003A6C66"/>
    <w:rsid w:val="003A6F4B"/>
    <w:rsid w:val="003A6FD2"/>
    <w:rsid w:val="003A7005"/>
    <w:rsid w:val="003A70B9"/>
    <w:rsid w:val="003A7556"/>
    <w:rsid w:val="003A7639"/>
    <w:rsid w:val="003A79CF"/>
    <w:rsid w:val="003A7A07"/>
    <w:rsid w:val="003A7C2B"/>
    <w:rsid w:val="003A7E2F"/>
    <w:rsid w:val="003A7FBC"/>
    <w:rsid w:val="003B0330"/>
    <w:rsid w:val="003B03A0"/>
    <w:rsid w:val="003B03D7"/>
    <w:rsid w:val="003B05DB"/>
    <w:rsid w:val="003B0847"/>
    <w:rsid w:val="003B0918"/>
    <w:rsid w:val="003B0A1A"/>
    <w:rsid w:val="003B0AA3"/>
    <w:rsid w:val="003B0D29"/>
    <w:rsid w:val="003B0FF2"/>
    <w:rsid w:val="003B1166"/>
    <w:rsid w:val="003B154B"/>
    <w:rsid w:val="003B15CE"/>
    <w:rsid w:val="003B16F8"/>
    <w:rsid w:val="003B19D2"/>
    <w:rsid w:val="003B19DE"/>
    <w:rsid w:val="003B1BF8"/>
    <w:rsid w:val="003B272B"/>
    <w:rsid w:val="003B27D7"/>
    <w:rsid w:val="003B2B43"/>
    <w:rsid w:val="003B2B5E"/>
    <w:rsid w:val="003B32BE"/>
    <w:rsid w:val="003B32D5"/>
    <w:rsid w:val="003B33A6"/>
    <w:rsid w:val="003B36B6"/>
    <w:rsid w:val="003B39A9"/>
    <w:rsid w:val="003B3BFF"/>
    <w:rsid w:val="003B3C76"/>
    <w:rsid w:val="003B3F28"/>
    <w:rsid w:val="003B40F0"/>
    <w:rsid w:val="003B410E"/>
    <w:rsid w:val="003B4600"/>
    <w:rsid w:val="003B4A08"/>
    <w:rsid w:val="003B4AD6"/>
    <w:rsid w:val="003B4B63"/>
    <w:rsid w:val="003B4BA2"/>
    <w:rsid w:val="003B4CA5"/>
    <w:rsid w:val="003B5181"/>
    <w:rsid w:val="003B5279"/>
    <w:rsid w:val="003B52E4"/>
    <w:rsid w:val="003B5383"/>
    <w:rsid w:val="003B5869"/>
    <w:rsid w:val="003B58C3"/>
    <w:rsid w:val="003B5CA2"/>
    <w:rsid w:val="003B5E3F"/>
    <w:rsid w:val="003B67B6"/>
    <w:rsid w:val="003B681A"/>
    <w:rsid w:val="003B689E"/>
    <w:rsid w:val="003B68B8"/>
    <w:rsid w:val="003B693C"/>
    <w:rsid w:val="003B6C9F"/>
    <w:rsid w:val="003B6D85"/>
    <w:rsid w:val="003B6E28"/>
    <w:rsid w:val="003B6FEF"/>
    <w:rsid w:val="003B70A7"/>
    <w:rsid w:val="003B7181"/>
    <w:rsid w:val="003B718A"/>
    <w:rsid w:val="003B730E"/>
    <w:rsid w:val="003B7662"/>
    <w:rsid w:val="003B76E9"/>
    <w:rsid w:val="003B76F2"/>
    <w:rsid w:val="003B7840"/>
    <w:rsid w:val="003B7861"/>
    <w:rsid w:val="003B788F"/>
    <w:rsid w:val="003B78B6"/>
    <w:rsid w:val="003B7CDD"/>
    <w:rsid w:val="003B7E04"/>
    <w:rsid w:val="003C0173"/>
    <w:rsid w:val="003C0271"/>
    <w:rsid w:val="003C031B"/>
    <w:rsid w:val="003C0745"/>
    <w:rsid w:val="003C07BF"/>
    <w:rsid w:val="003C0BCC"/>
    <w:rsid w:val="003C1099"/>
    <w:rsid w:val="003C10F2"/>
    <w:rsid w:val="003C11DB"/>
    <w:rsid w:val="003C11F9"/>
    <w:rsid w:val="003C1669"/>
    <w:rsid w:val="003C1B6C"/>
    <w:rsid w:val="003C1CE6"/>
    <w:rsid w:val="003C1EC0"/>
    <w:rsid w:val="003C1F26"/>
    <w:rsid w:val="003C212D"/>
    <w:rsid w:val="003C2758"/>
    <w:rsid w:val="003C28FE"/>
    <w:rsid w:val="003C30B7"/>
    <w:rsid w:val="003C35E7"/>
    <w:rsid w:val="003C391E"/>
    <w:rsid w:val="003C3EC7"/>
    <w:rsid w:val="003C4608"/>
    <w:rsid w:val="003C46D2"/>
    <w:rsid w:val="003C4793"/>
    <w:rsid w:val="003C47A0"/>
    <w:rsid w:val="003C495F"/>
    <w:rsid w:val="003C4AB4"/>
    <w:rsid w:val="003C514D"/>
    <w:rsid w:val="003C5208"/>
    <w:rsid w:val="003C5471"/>
    <w:rsid w:val="003C5637"/>
    <w:rsid w:val="003C58B2"/>
    <w:rsid w:val="003C58FA"/>
    <w:rsid w:val="003C5EE1"/>
    <w:rsid w:val="003C64CF"/>
    <w:rsid w:val="003C6695"/>
    <w:rsid w:val="003C6705"/>
    <w:rsid w:val="003C6945"/>
    <w:rsid w:val="003C6DE8"/>
    <w:rsid w:val="003C6E8E"/>
    <w:rsid w:val="003C7277"/>
    <w:rsid w:val="003C73A5"/>
    <w:rsid w:val="003C747D"/>
    <w:rsid w:val="003C749B"/>
    <w:rsid w:val="003C756D"/>
    <w:rsid w:val="003C75F1"/>
    <w:rsid w:val="003C76C4"/>
    <w:rsid w:val="003C7853"/>
    <w:rsid w:val="003C7862"/>
    <w:rsid w:val="003C7D74"/>
    <w:rsid w:val="003C7DD4"/>
    <w:rsid w:val="003C7E94"/>
    <w:rsid w:val="003D0254"/>
    <w:rsid w:val="003D06BB"/>
    <w:rsid w:val="003D0A4B"/>
    <w:rsid w:val="003D0BF1"/>
    <w:rsid w:val="003D0C15"/>
    <w:rsid w:val="003D0D1E"/>
    <w:rsid w:val="003D0D48"/>
    <w:rsid w:val="003D12FD"/>
    <w:rsid w:val="003D168E"/>
    <w:rsid w:val="003D16B8"/>
    <w:rsid w:val="003D16D2"/>
    <w:rsid w:val="003D1923"/>
    <w:rsid w:val="003D198F"/>
    <w:rsid w:val="003D1AC7"/>
    <w:rsid w:val="003D1B80"/>
    <w:rsid w:val="003D1C68"/>
    <w:rsid w:val="003D1D4E"/>
    <w:rsid w:val="003D2177"/>
    <w:rsid w:val="003D221F"/>
    <w:rsid w:val="003D2264"/>
    <w:rsid w:val="003D237A"/>
    <w:rsid w:val="003D2550"/>
    <w:rsid w:val="003D2AEA"/>
    <w:rsid w:val="003D2B3F"/>
    <w:rsid w:val="003D2FFF"/>
    <w:rsid w:val="003D3020"/>
    <w:rsid w:val="003D326A"/>
    <w:rsid w:val="003D32D3"/>
    <w:rsid w:val="003D338F"/>
    <w:rsid w:val="003D3FA5"/>
    <w:rsid w:val="003D4072"/>
    <w:rsid w:val="003D407D"/>
    <w:rsid w:val="003D4318"/>
    <w:rsid w:val="003D443E"/>
    <w:rsid w:val="003D4464"/>
    <w:rsid w:val="003D44BA"/>
    <w:rsid w:val="003D45A1"/>
    <w:rsid w:val="003D46AC"/>
    <w:rsid w:val="003D473C"/>
    <w:rsid w:val="003D473D"/>
    <w:rsid w:val="003D4989"/>
    <w:rsid w:val="003D49F2"/>
    <w:rsid w:val="003D4A7E"/>
    <w:rsid w:val="003D4EE6"/>
    <w:rsid w:val="003D50F9"/>
    <w:rsid w:val="003D551E"/>
    <w:rsid w:val="003D5727"/>
    <w:rsid w:val="003D5772"/>
    <w:rsid w:val="003D5890"/>
    <w:rsid w:val="003D58B9"/>
    <w:rsid w:val="003D5A4D"/>
    <w:rsid w:val="003D5BD9"/>
    <w:rsid w:val="003D5D3B"/>
    <w:rsid w:val="003D5D95"/>
    <w:rsid w:val="003D5E39"/>
    <w:rsid w:val="003D62B5"/>
    <w:rsid w:val="003D65F5"/>
    <w:rsid w:val="003D6839"/>
    <w:rsid w:val="003D6873"/>
    <w:rsid w:val="003D68C4"/>
    <w:rsid w:val="003D6E36"/>
    <w:rsid w:val="003D6E88"/>
    <w:rsid w:val="003D71F2"/>
    <w:rsid w:val="003D7344"/>
    <w:rsid w:val="003D7629"/>
    <w:rsid w:val="003D7664"/>
    <w:rsid w:val="003D7995"/>
    <w:rsid w:val="003D7B2B"/>
    <w:rsid w:val="003D7EFE"/>
    <w:rsid w:val="003D7FC3"/>
    <w:rsid w:val="003E02E8"/>
    <w:rsid w:val="003E047A"/>
    <w:rsid w:val="003E0F81"/>
    <w:rsid w:val="003E0F87"/>
    <w:rsid w:val="003E1138"/>
    <w:rsid w:val="003E1350"/>
    <w:rsid w:val="003E13E0"/>
    <w:rsid w:val="003E1984"/>
    <w:rsid w:val="003E1A1E"/>
    <w:rsid w:val="003E1C1A"/>
    <w:rsid w:val="003E1C84"/>
    <w:rsid w:val="003E24C4"/>
    <w:rsid w:val="003E2551"/>
    <w:rsid w:val="003E2681"/>
    <w:rsid w:val="003E313C"/>
    <w:rsid w:val="003E32C6"/>
    <w:rsid w:val="003E34B6"/>
    <w:rsid w:val="003E358D"/>
    <w:rsid w:val="003E3D46"/>
    <w:rsid w:val="003E3EBB"/>
    <w:rsid w:val="003E3F84"/>
    <w:rsid w:val="003E4865"/>
    <w:rsid w:val="003E4FAB"/>
    <w:rsid w:val="003E5286"/>
    <w:rsid w:val="003E52B0"/>
    <w:rsid w:val="003E5678"/>
    <w:rsid w:val="003E56B8"/>
    <w:rsid w:val="003E590B"/>
    <w:rsid w:val="003E5BD8"/>
    <w:rsid w:val="003E6337"/>
    <w:rsid w:val="003E66F4"/>
    <w:rsid w:val="003E6961"/>
    <w:rsid w:val="003E6C9C"/>
    <w:rsid w:val="003E73A9"/>
    <w:rsid w:val="003E73E3"/>
    <w:rsid w:val="003E7A13"/>
    <w:rsid w:val="003E7A7C"/>
    <w:rsid w:val="003E7D31"/>
    <w:rsid w:val="003F019D"/>
    <w:rsid w:val="003F02EB"/>
    <w:rsid w:val="003F039A"/>
    <w:rsid w:val="003F0BAB"/>
    <w:rsid w:val="003F10A0"/>
    <w:rsid w:val="003F11A5"/>
    <w:rsid w:val="003F1277"/>
    <w:rsid w:val="003F141E"/>
    <w:rsid w:val="003F1744"/>
    <w:rsid w:val="003F1805"/>
    <w:rsid w:val="003F210B"/>
    <w:rsid w:val="003F21BF"/>
    <w:rsid w:val="003F2311"/>
    <w:rsid w:val="003F2320"/>
    <w:rsid w:val="003F2E79"/>
    <w:rsid w:val="003F31A4"/>
    <w:rsid w:val="003F3346"/>
    <w:rsid w:val="003F340D"/>
    <w:rsid w:val="003F344F"/>
    <w:rsid w:val="003F3560"/>
    <w:rsid w:val="003F361C"/>
    <w:rsid w:val="003F362F"/>
    <w:rsid w:val="003F37D3"/>
    <w:rsid w:val="003F390E"/>
    <w:rsid w:val="003F39A7"/>
    <w:rsid w:val="003F3AA6"/>
    <w:rsid w:val="003F3B8F"/>
    <w:rsid w:val="003F3DA7"/>
    <w:rsid w:val="003F3DD3"/>
    <w:rsid w:val="003F3E3C"/>
    <w:rsid w:val="003F41A0"/>
    <w:rsid w:val="003F4420"/>
    <w:rsid w:val="003F4447"/>
    <w:rsid w:val="003F4477"/>
    <w:rsid w:val="003F4626"/>
    <w:rsid w:val="003F46B5"/>
    <w:rsid w:val="003F4AB8"/>
    <w:rsid w:val="003F4BE4"/>
    <w:rsid w:val="003F5115"/>
    <w:rsid w:val="003F5312"/>
    <w:rsid w:val="003F54AA"/>
    <w:rsid w:val="003F59DB"/>
    <w:rsid w:val="003F5E7F"/>
    <w:rsid w:val="003F5F55"/>
    <w:rsid w:val="003F5FC2"/>
    <w:rsid w:val="003F60A9"/>
    <w:rsid w:val="003F6100"/>
    <w:rsid w:val="003F671F"/>
    <w:rsid w:val="003F6C36"/>
    <w:rsid w:val="003F7833"/>
    <w:rsid w:val="003F7927"/>
    <w:rsid w:val="003F7984"/>
    <w:rsid w:val="003F79BB"/>
    <w:rsid w:val="003F7A0A"/>
    <w:rsid w:val="003F7A2F"/>
    <w:rsid w:val="003F7F62"/>
    <w:rsid w:val="0040011D"/>
    <w:rsid w:val="004009FE"/>
    <w:rsid w:val="00400CEF"/>
    <w:rsid w:val="004010CB"/>
    <w:rsid w:val="0040140E"/>
    <w:rsid w:val="00401CC9"/>
    <w:rsid w:val="00401D0A"/>
    <w:rsid w:val="0040210D"/>
    <w:rsid w:val="00402214"/>
    <w:rsid w:val="0040236A"/>
    <w:rsid w:val="004024E6"/>
    <w:rsid w:val="004025E0"/>
    <w:rsid w:val="00402A96"/>
    <w:rsid w:val="00403495"/>
    <w:rsid w:val="00403821"/>
    <w:rsid w:val="00403886"/>
    <w:rsid w:val="00403A60"/>
    <w:rsid w:val="00403A70"/>
    <w:rsid w:val="00403BF4"/>
    <w:rsid w:val="00403E31"/>
    <w:rsid w:val="00404015"/>
    <w:rsid w:val="004040CD"/>
    <w:rsid w:val="0040436F"/>
    <w:rsid w:val="004044A9"/>
    <w:rsid w:val="00404538"/>
    <w:rsid w:val="004049B2"/>
    <w:rsid w:val="00404B8F"/>
    <w:rsid w:val="00405266"/>
    <w:rsid w:val="0040539D"/>
    <w:rsid w:val="0040562F"/>
    <w:rsid w:val="00405C7A"/>
    <w:rsid w:val="00405F5A"/>
    <w:rsid w:val="004065DF"/>
    <w:rsid w:val="004069B6"/>
    <w:rsid w:val="00406B20"/>
    <w:rsid w:val="00406C21"/>
    <w:rsid w:val="00406C42"/>
    <w:rsid w:val="00407929"/>
    <w:rsid w:val="00407BCB"/>
    <w:rsid w:val="00407D60"/>
    <w:rsid w:val="004102FF"/>
    <w:rsid w:val="004107A4"/>
    <w:rsid w:val="004107C5"/>
    <w:rsid w:val="00410AD3"/>
    <w:rsid w:val="00410B46"/>
    <w:rsid w:val="00411393"/>
    <w:rsid w:val="00411467"/>
    <w:rsid w:val="00411513"/>
    <w:rsid w:val="0041151D"/>
    <w:rsid w:val="00411700"/>
    <w:rsid w:val="004119A4"/>
    <w:rsid w:val="00411FD8"/>
    <w:rsid w:val="004121A2"/>
    <w:rsid w:val="0041279A"/>
    <w:rsid w:val="00412873"/>
    <w:rsid w:val="00413051"/>
    <w:rsid w:val="004132CD"/>
    <w:rsid w:val="0041340C"/>
    <w:rsid w:val="00413484"/>
    <w:rsid w:val="00413663"/>
    <w:rsid w:val="004138B2"/>
    <w:rsid w:val="004139D7"/>
    <w:rsid w:val="00413AD4"/>
    <w:rsid w:val="00414244"/>
    <w:rsid w:val="004143C2"/>
    <w:rsid w:val="0041448E"/>
    <w:rsid w:val="0041466A"/>
    <w:rsid w:val="0041496B"/>
    <w:rsid w:val="00414C4B"/>
    <w:rsid w:val="00414E7F"/>
    <w:rsid w:val="00414E9E"/>
    <w:rsid w:val="00414EA4"/>
    <w:rsid w:val="00414EE5"/>
    <w:rsid w:val="0041503E"/>
    <w:rsid w:val="00415076"/>
    <w:rsid w:val="004150B1"/>
    <w:rsid w:val="004153F7"/>
    <w:rsid w:val="0041553D"/>
    <w:rsid w:val="004156B1"/>
    <w:rsid w:val="00415899"/>
    <w:rsid w:val="004159AB"/>
    <w:rsid w:val="0041623E"/>
    <w:rsid w:val="00416428"/>
    <w:rsid w:val="00416503"/>
    <w:rsid w:val="004168CD"/>
    <w:rsid w:val="00417213"/>
    <w:rsid w:val="004174F8"/>
    <w:rsid w:val="00417753"/>
    <w:rsid w:val="00417758"/>
    <w:rsid w:val="00417A96"/>
    <w:rsid w:val="00417DC9"/>
    <w:rsid w:val="00417E8F"/>
    <w:rsid w:val="0042004A"/>
    <w:rsid w:val="004200E4"/>
    <w:rsid w:val="004205DF"/>
    <w:rsid w:val="004206FD"/>
    <w:rsid w:val="00420982"/>
    <w:rsid w:val="00420BE5"/>
    <w:rsid w:val="00420FBA"/>
    <w:rsid w:val="00421023"/>
    <w:rsid w:val="0042106D"/>
    <w:rsid w:val="00421333"/>
    <w:rsid w:val="004215C4"/>
    <w:rsid w:val="00421C2D"/>
    <w:rsid w:val="00421E12"/>
    <w:rsid w:val="004222E4"/>
    <w:rsid w:val="00422323"/>
    <w:rsid w:val="004224BB"/>
    <w:rsid w:val="00422645"/>
    <w:rsid w:val="00422A80"/>
    <w:rsid w:val="00422E6E"/>
    <w:rsid w:val="00422F18"/>
    <w:rsid w:val="0042326F"/>
    <w:rsid w:val="00423321"/>
    <w:rsid w:val="004235CF"/>
    <w:rsid w:val="0042372D"/>
    <w:rsid w:val="00423BDC"/>
    <w:rsid w:val="00423D18"/>
    <w:rsid w:val="00423DDD"/>
    <w:rsid w:val="004241B4"/>
    <w:rsid w:val="004244B7"/>
    <w:rsid w:val="004244E2"/>
    <w:rsid w:val="0042468F"/>
    <w:rsid w:val="00424795"/>
    <w:rsid w:val="00424E39"/>
    <w:rsid w:val="00424E5E"/>
    <w:rsid w:val="00425161"/>
    <w:rsid w:val="004251E2"/>
    <w:rsid w:val="0042537A"/>
    <w:rsid w:val="00425719"/>
    <w:rsid w:val="00425A92"/>
    <w:rsid w:val="004261C8"/>
    <w:rsid w:val="004262B2"/>
    <w:rsid w:val="00426948"/>
    <w:rsid w:val="00426BA4"/>
    <w:rsid w:val="00426BEB"/>
    <w:rsid w:val="00426DC9"/>
    <w:rsid w:val="004270E3"/>
    <w:rsid w:val="00427575"/>
    <w:rsid w:val="00427603"/>
    <w:rsid w:val="00427A78"/>
    <w:rsid w:val="00427C25"/>
    <w:rsid w:val="004300CC"/>
    <w:rsid w:val="004301BB"/>
    <w:rsid w:val="004301FC"/>
    <w:rsid w:val="00430205"/>
    <w:rsid w:val="0043067E"/>
    <w:rsid w:val="004311BD"/>
    <w:rsid w:val="00431520"/>
    <w:rsid w:val="0043167E"/>
    <w:rsid w:val="00431A5A"/>
    <w:rsid w:val="00431E1A"/>
    <w:rsid w:val="00431FB8"/>
    <w:rsid w:val="00432241"/>
    <w:rsid w:val="0043251F"/>
    <w:rsid w:val="0043255D"/>
    <w:rsid w:val="004325D4"/>
    <w:rsid w:val="004329CB"/>
    <w:rsid w:val="00432DED"/>
    <w:rsid w:val="00432F32"/>
    <w:rsid w:val="004330F3"/>
    <w:rsid w:val="004336F9"/>
    <w:rsid w:val="004336FD"/>
    <w:rsid w:val="00433726"/>
    <w:rsid w:val="00433B49"/>
    <w:rsid w:val="00433B7E"/>
    <w:rsid w:val="00433D26"/>
    <w:rsid w:val="004340CB"/>
    <w:rsid w:val="00434841"/>
    <w:rsid w:val="00434A7F"/>
    <w:rsid w:val="00434AB8"/>
    <w:rsid w:val="00434DB8"/>
    <w:rsid w:val="00434E30"/>
    <w:rsid w:val="004350EF"/>
    <w:rsid w:val="0043515A"/>
    <w:rsid w:val="004351F4"/>
    <w:rsid w:val="004352B5"/>
    <w:rsid w:val="00435515"/>
    <w:rsid w:val="00435734"/>
    <w:rsid w:val="004357D3"/>
    <w:rsid w:val="00435A07"/>
    <w:rsid w:val="00435B97"/>
    <w:rsid w:val="00435D45"/>
    <w:rsid w:val="00435D4D"/>
    <w:rsid w:val="00435D4E"/>
    <w:rsid w:val="00435DEC"/>
    <w:rsid w:val="00435FC1"/>
    <w:rsid w:val="00436314"/>
    <w:rsid w:val="0043675C"/>
    <w:rsid w:val="00437024"/>
    <w:rsid w:val="00437057"/>
    <w:rsid w:val="004370A5"/>
    <w:rsid w:val="004370CB"/>
    <w:rsid w:val="004371E6"/>
    <w:rsid w:val="00437275"/>
    <w:rsid w:val="0043740E"/>
    <w:rsid w:val="0043756E"/>
    <w:rsid w:val="004376A8"/>
    <w:rsid w:val="004379A7"/>
    <w:rsid w:val="00437ABC"/>
    <w:rsid w:val="00437B39"/>
    <w:rsid w:val="00437CBD"/>
    <w:rsid w:val="00437D69"/>
    <w:rsid w:val="00440583"/>
    <w:rsid w:val="00440727"/>
    <w:rsid w:val="00440964"/>
    <w:rsid w:val="00440C62"/>
    <w:rsid w:val="004411C3"/>
    <w:rsid w:val="00441658"/>
    <w:rsid w:val="00441ACB"/>
    <w:rsid w:val="00441AF1"/>
    <w:rsid w:val="00441BF9"/>
    <w:rsid w:val="00441CB0"/>
    <w:rsid w:val="00442202"/>
    <w:rsid w:val="004422F7"/>
    <w:rsid w:val="00442319"/>
    <w:rsid w:val="0044233D"/>
    <w:rsid w:val="004428AB"/>
    <w:rsid w:val="00442AD0"/>
    <w:rsid w:val="00442C13"/>
    <w:rsid w:val="00442F04"/>
    <w:rsid w:val="004435B1"/>
    <w:rsid w:val="004435C1"/>
    <w:rsid w:val="00443613"/>
    <w:rsid w:val="00443701"/>
    <w:rsid w:val="00443D33"/>
    <w:rsid w:val="00443F19"/>
    <w:rsid w:val="0044432D"/>
    <w:rsid w:val="004447B3"/>
    <w:rsid w:val="0044495F"/>
    <w:rsid w:val="00444ADD"/>
    <w:rsid w:val="00444BB7"/>
    <w:rsid w:val="00444EBC"/>
    <w:rsid w:val="00444F65"/>
    <w:rsid w:val="00445048"/>
    <w:rsid w:val="00445203"/>
    <w:rsid w:val="00445452"/>
    <w:rsid w:val="0044579F"/>
    <w:rsid w:val="00445A1D"/>
    <w:rsid w:val="00445BA6"/>
    <w:rsid w:val="00445D24"/>
    <w:rsid w:val="00445DB0"/>
    <w:rsid w:val="00446998"/>
    <w:rsid w:val="004469E1"/>
    <w:rsid w:val="00446BF9"/>
    <w:rsid w:val="00447706"/>
    <w:rsid w:val="004477F7"/>
    <w:rsid w:val="0044795E"/>
    <w:rsid w:val="00447A88"/>
    <w:rsid w:val="00450117"/>
    <w:rsid w:val="00450158"/>
    <w:rsid w:val="0045030B"/>
    <w:rsid w:val="004506A7"/>
    <w:rsid w:val="00451049"/>
    <w:rsid w:val="00451210"/>
    <w:rsid w:val="0045154F"/>
    <w:rsid w:val="00451820"/>
    <w:rsid w:val="004518C2"/>
    <w:rsid w:val="00451A1E"/>
    <w:rsid w:val="00451CB7"/>
    <w:rsid w:val="00451EDF"/>
    <w:rsid w:val="00452008"/>
    <w:rsid w:val="0045287D"/>
    <w:rsid w:val="004528A3"/>
    <w:rsid w:val="00452979"/>
    <w:rsid w:val="00452A1A"/>
    <w:rsid w:val="00452D11"/>
    <w:rsid w:val="00452DD7"/>
    <w:rsid w:val="00452F5F"/>
    <w:rsid w:val="004535A1"/>
    <w:rsid w:val="00453950"/>
    <w:rsid w:val="00453A2B"/>
    <w:rsid w:val="00453B14"/>
    <w:rsid w:val="00453B51"/>
    <w:rsid w:val="00453C3A"/>
    <w:rsid w:val="00453E66"/>
    <w:rsid w:val="00453EEF"/>
    <w:rsid w:val="004541AD"/>
    <w:rsid w:val="0045425D"/>
    <w:rsid w:val="00454350"/>
    <w:rsid w:val="004544C7"/>
    <w:rsid w:val="0045461A"/>
    <w:rsid w:val="00454658"/>
    <w:rsid w:val="00454E4B"/>
    <w:rsid w:val="00454ED0"/>
    <w:rsid w:val="004559FF"/>
    <w:rsid w:val="00455AC1"/>
    <w:rsid w:val="00455B55"/>
    <w:rsid w:val="00455B92"/>
    <w:rsid w:val="004560E8"/>
    <w:rsid w:val="00456188"/>
    <w:rsid w:val="004562AA"/>
    <w:rsid w:val="00456355"/>
    <w:rsid w:val="00456673"/>
    <w:rsid w:val="004567F2"/>
    <w:rsid w:val="00456934"/>
    <w:rsid w:val="00456D51"/>
    <w:rsid w:val="004570FE"/>
    <w:rsid w:val="004573AF"/>
    <w:rsid w:val="004574C9"/>
    <w:rsid w:val="004577DB"/>
    <w:rsid w:val="00457D32"/>
    <w:rsid w:val="00457DEB"/>
    <w:rsid w:val="0046045C"/>
    <w:rsid w:val="0046066C"/>
    <w:rsid w:val="00460863"/>
    <w:rsid w:val="00460E54"/>
    <w:rsid w:val="00460EEC"/>
    <w:rsid w:val="004611CC"/>
    <w:rsid w:val="004613D0"/>
    <w:rsid w:val="0046194E"/>
    <w:rsid w:val="00461A96"/>
    <w:rsid w:val="00461B00"/>
    <w:rsid w:val="00461D3F"/>
    <w:rsid w:val="00461EFA"/>
    <w:rsid w:val="00462741"/>
    <w:rsid w:val="0046298B"/>
    <w:rsid w:val="00462A7C"/>
    <w:rsid w:val="00462ACB"/>
    <w:rsid w:val="004631D6"/>
    <w:rsid w:val="00463350"/>
    <w:rsid w:val="0046356A"/>
    <w:rsid w:val="0046377A"/>
    <w:rsid w:val="0046392E"/>
    <w:rsid w:val="00463E1B"/>
    <w:rsid w:val="00464560"/>
    <w:rsid w:val="00464666"/>
    <w:rsid w:val="0046485E"/>
    <w:rsid w:val="00464A49"/>
    <w:rsid w:val="00464A96"/>
    <w:rsid w:val="00465658"/>
    <w:rsid w:val="00465D41"/>
    <w:rsid w:val="00465EA0"/>
    <w:rsid w:val="00465F43"/>
    <w:rsid w:val="004660EE"/>
    <w:rsid w:val="0046613F"/>
    <w:rsid w:val="00466304"/>
    <w:rsid w:val="0046643E"/>
    <w:rsid w:val="00466589"/>
    <w:rsid w:val="00466C11"/>
    <w:rsid w:val="00466CC8"/>
    <w:rsid w:val="00466DCD"/>
    <w:rsid w:val="00466E13"/>
    <w:rsid w:val="00466F14"/>
    <w:rsid w:val="00467076"/>
    <w:rsid w:val="004672E6"/>
    <w:rsid w:val="00467448"/>
    <w:rsid w:val="004675B7"/>
    <w:rsid w:val="004677A0"/>
    <w:rsid w:val="00467DFC"/>
    <w:rsid w:val="00467E9C"/>
    <w:rsid w:val="00467EEB"/>
    <w:rsid w:val="0047055C"/>
    <w:rsid w:val="0047057D"/>
    <w:rsid w:val="00470603"/>
    <w:rsid w:val="00470639"/>
    <w:rsid w:val="00470C37"/>
    <w:rsid w:val="004715EE"/>
    <w:rsid w:val="00471635"/>
    <w:rsid w:val="0047163F"/>
    <w:rsid w:val="004718F1"/>
    <w:rsid w:val="00471CD4"/>
    <w:rsid w:val="00471F94"/>
    <w:rsid w:val="0047201E"/>
    <w:rsid w:val="00472240"/>
    <w:rsid w:val="004722C9"/>
    <w:rsid w:val="0047251E"/>
    <w:rsid w:val="00472858"/>
    <w:rsid w:val="00472C68"/>
    <w:rsid w:val="00472DBD"/>
    <w:rsid w:val="00473158"/>
    <w:rsid w:val="004731A2"/>
    <w:rsid w:val="00473489"/>
    <w:rsid w:val="0047393A"/>
    <w:rsid w:val="00473A5A"/>
    <w:rsid w:val="00473B37"/>
    <w:rsid w:val="00473EA3"/>
    <w:rsid w:val="00473F1F"/>
    <w:rsid w:val="00473F91"/>
    <w:rsid w:val="00474174"/>
    <w:rsid w:val="00474186"/>
    <w:rsid w:val="004742A5"/>
    <w:rsid w:val="00474453"/>
    <w:rsid w:val="004746C5"/>
    <w:rsid w:val="00475450"/>
    <w:rsid w:val="0047545C"/>
    <w:rsid w:val="00475461"/>
    <w:rsid w:val="004758EF"/>
    <w:rsid w:val="0047597D"/>
    <w:rsid w:val="0047619E"/>
    <w:rsid w:val="004764B9"/>
    <w:rsid w:val="004766B9"/>
    <w:rsid w:val="00476759"/>
    <w:rsid w:val="00476B66"/>
    <w:rsid w:val="00476C76"/>
    <w:rsid w:val="0047701D"/>
    <w:rsid w:val="00477202"/>
    <w:rsid w:val="0047742D"/>
    <w:rsid w:val="0047757B"/>
    <w:rsid w:val="00477617"/>
    <w:rsid w:val="00477C87"/>
    <w:rsid w:val="00477CA1"/>
    <w:rsid w:val="00477E8A"/>
    <w:rsid w:val="00477EEC"/>
    <w:rsid w:val="00477F78"/>
    <w:rsid w:val="004803E9"/>
    <w:rsid w:val="0048092C"/>
    <w:rsid w:val="004809E7"/>
    <w:rsid w:val="00480FF7"/>
    <w:rsid w:val="0048115C"/>
    <w:rsid w:val="00481278"/>
    <w:rsid w:val="004817E9"/>
    <w:rsid w:val="0048188A"/>
    <w:rsid w:val="00481C2D"/>
    <w:rsid w:val="00481CC2"/>
    <w:rsid w:val="00481D7A"/>
    <w:rsid w:val="00482638"/>
    <w:rsid w:val="004829D4"/>
    <w:rsid w:val="00482A24"/>
    <w:rsid w:val="00483106"/>
    <w:rsid w:val="004831AD"/>
    <w:rsid w:val="00483553"/>
    <w:rsid w:val="00483A7E"/>
    <w:rsid w:val="00483DE0"/>
    <w:rsid w:val="00483EE9"/>
    <w:rsid w:val="00484065"/>
    <w:rsid w:val="00484119"/>
    <w:rsid w:val="0048412C"/>
    <w:rsid w:val="0048414A"/>
    <w:rsid w:val="00484396"/>
    <w:rsid w:val="0048444A"/>
    <w:rsid w:val="0048494A"/>
    <w:rsid w:val="00484E61"/>
    <w:rsid w:val="00484EAF"/>
    <w:rsid w:val="004852F2"/>
    <w:rsid w:val="004855D4"/>
    <w:rsid w:val="00485766"/>
    <w:rsid w:val="00485912"/>
    <w:rsid w:val="00485E1F"/>
    <w:rsid w:val="004861C5"/>
    <w:rsid w:val="0048625B"/>
    <w:rsid w:val="00486279"/>
    <w:rsid w:val="004866DF"/>
    <w:rsid w:val="0048695C"/>
    <w:rsid w:val="0048701B"/>
    <w:rsid w:val="004871DC"/>
    <w:rsid w:val="00487A89"/>
    <w:rsid w:val="00487D1A"/>
    <w:rsid w:val="00490010"/>
    <w:rsid w:val="00490027"/>
    <w:rsid w:val="004904B2"/>
    <w:rsid w:val="004907C9"/>
    <w:rsid w:val="00490878"/>
    <w:rsid w:val="0049088E"/>
    <w:rsid w:val="00490D78"/>
    <w:rsid w:val="00491040"/>
    <w:rsid w:val="00491408"/>
    <w:rsid w:val="00491594"/>
    <w:rsid w:val="004919E0"/>
    <w:rsid w:val="00491D2F"/>
    <w:rsid w:val="00491F49"/>
    <w:rsid w:val="004921EC"/>
    <w:rsid w:val="0049220C"/>
    <w:rsid w:val="0049223E"/>
    <w:rsid w:val="004922BF"/>
    <w:rsid w:val="00492549"/>
    <w:rsid w:val="004925EA"/>
    <w:rsid w:val="00492AB7"/>
    <w:rsid w:val="00492C9C"/>
    <w:rsid w:val="00492E00"/>
    <w:rsid w:val="00493540"/>
    <w:rsid w:val="004935B9"/>
    <w:rsid w:val="00493790"/>
    <w:rsid w:val="00493B4A"/>
    <w:rsid w:val="00493B84"/>
    <w:rsid w:val="00493BB6"/>
    <w:rsid w:val="00493C83"/>
    <w:rsid w:val="00493C8C"/>
    <w:rsid w:val="00493CB0"/>
    <w:rsid w:val="00493EFC"/>
    <w:rsid w:val="00493FC0"/>
    <w:rsid w:val="0049416C"/>
    <w:rsid w:val="00494366"/>
    <w:rsid w:val="0049437A"/>
    <w:rsid w:val="004948DA"/>
    <w:rsid w:val="0049491D"/>
    <w:rsid w:val="00494F4F"/>
    <w:rsid w:val="00495076"/>
    <w:rsid w:val="004951B0"/>
    <w:rsid w:val="004955E2"/>
    <w:rsid w:val="004957AC"/>
    <w:rsid w:val="0049589E"/>
    <w:rsid w:val="00495B7B"/>
    <w:rsid w:val="00495D06"/>
    <w:rsid w:val="00495E74"/>
    <w:rsid w:val="00495EB1"/>
    <w:rsid w:val="00495F82"/>
    <w:rsid w:val="00496100"/>
    <w:rsid w:val="00496424"/>
    <w:rsid w:val="00496439"/>
    <w:rsid w:val="004965FB"/>
    <w:rsid w:val="00496B50"/>
    <w:rsid w:val="00496D2A"/>
    <w:rsid w:val="00496DEB"/>
    <w:rsid w:val="00496EFA"/>
    <w:rsid w:val="00497263"/>
    <w:rsid w:val="00497543"/>
    <w:rsid w:val="004975D8"/>
    <w:rsid w:val="0049763D"/>
    <w:rsid w:val="00497807"/>
    <w:rsid w:val="00497901"/>
    <w:rsid w:val="00497A4F"/>
    <w:rsid w:val="00497A8E"/>
    <w:rsid w:val="00497F46"/>
    <w:rsid w:val="004A0088"/>
    <w:rsid w:val="004A00DB"/>
    <w:rsid w:val="004A0821"/>
    <w:rsid w:val="004A0C44"/>
    <w:rsid w:val="004A0CB9"/>
    <w:rsid w:val="004A0F24"/>
    <w:rsid w:val="004A10C3"/>
    <w:rsid w:val="004A11DD"/>
    <w:rsid w:val="004A1580"/>
    <w:rsid w:val="004A15F2"/>
    <w:rsid w:val="004A16EF"/>
    <w:rsid w:val="004A197F"/>
    <w:rsid w:val="004A1A1E"/>
    <w:rsid w:val="004A1D87"/>
    <w:rsid w:val="004A22EE"/>
    <w:rsid w:val="004A233B"/>
    <w:rsid w:val="004A2421"/>
    <w:rsid w:val="004A243C"/>
    <w:rsid w:val="004A247F"/>
    <w:rsid w:val="004A24D7"/>
    <w:rsid w:val="004A24F7"/>
    <w:rsid w:val="004A2603"/>
    <w:rsid w:val="004A2A1A"/>
    <w:rsid w:val="004A2AA4"/>
    <w:rsid w:val="004A2E6A"/>
    <w:rsid w:val="004A2F93"/>
    <w:rsid w:val="004A3021"/>
    <w:rsid w:val="004A356E"/>
    <w:rsid w:val="004A3936"/>
    <w:rsid w:val="004A3A89"/>
    <w:rsid w:val="004A3BAE"/>
    <w:rsid w:val="004A3DAC"/>
    <w:rsid w:val="004A436B"/>
    <w:rsid w:val="004A4543"/>
    <w:rsid w:val="004A4790"/>
    <w:rsid w:val="004A4BD5"/>
    <w:rsid w:val="004A4CAF"/>
    <w:rsid w:val="004A4CD0"/>
    <w:rsid w:val="004A4D3B"/>
    <w:rsid w:val="004A4F8F"/>
    <w:rsid w:val="004A5729"/>
    <w:rsid w:val="004A5745"/>
    <w:rsid w:val="004A57E6"/>
    <w:rsid w:val="004A59DF"/>
    <w:rsid w:val="004A654D"/>
    <w:rsid w:val="004A6AEA"/>
    <w:rsid w:val="004A7097"/>
    <w:rsid w:val="004A7112"/>
    <w:rsid w:val="004A72BD"/>
    <w:rsid w:val="004A7707"/>
    <w:rsid w:val="004A7743"/>
    <w:rsid w:val="004A782B"/>
    <w:rsid w:val="004A79AD"/>
    <w:rsid w:val="004A7AD3"/>
    <w:rsid w:val="004A7C25"/>
    <w:rsid w:val="004A7D25"/>
    <w:rsid w:val="004B0282"/>
    <w:rsid w:val="004B053F"/>
    <w:rsid w:val="004B064A"/>
    <w:rsid w:val="004B075B"/>
    <w:rsid w:val="004B07A4"/>
    <w:rsid w:val="004B0BB0"/>
    <w:rsid w:val="004B0DC4"/>
    <w:rsid w:val="004B0F8B"/>
    <w:rsid w:val="004B119F"/>
    <w:rsid w:val="004B12E9"/>
    <w:rsid w:val="004B14FF"/>
    <w:rsid w:val="004B16C2"/>
    <w:rsid w:val="004B16E4"/>
    <w:rsid w:val="004B1904"/>
    <w:rsid w:val="004B1F05"/>
    <w:rsid w:val="004B2A7D"/>
    <w:rsid w:val="004B306F"/>
    <w:rsid w:val="004B30D9"/>
    <w:rsid w:val="004B3539"/>
    <w:rsid w:val="004B37BB"/>
    <w:rsid w:val="004B3CD7"/>
    <w:rsid w:val="004B3D9F"/>
    <w:rsid w:val="004B3DC4"/>
    <w:rsid w:val="004B4016"/>
    <w:rsid w:val="004B4261"/>
    <w:rsid w:val="004B4413"/>
    <w:rsid w:val="004B457B"/>
    <w:rsid w:val="004B461D"/>
    <w:rsid w:val="004B46C0"/>
    <w:rsid w:val="004B4C31"/>
    <w:rsid w:val="004B4CE5"/>
    <w:rsid w:val="004B4D39"/>
    <w:rsid w:val="004B4D3A"/>
    <w:rsid w:val="004B4DDD"/>
    <w:rsid w:val="004B4E08"/>
    <w:rsid w:val="004B4F3C"/>
    <w:rsid w:val="004B4FB4"/>
    <w:rsid w:val="004B5260"/>
    <w:rsid w:val="004B52A5"/>
    <w:rsid w:val="004B53C6"/>
    <w:rsid w:val="004B560A"/>
    <w:rsid w:val="004B5748"/>
    <w:rsid w:val="004B58DE"/>
    <w:rsid w:val="004B5B3F"/>
    <w:rsid w:val="004B5C51"/>
    <w:rsid w:val="004B5E8B"/>
    <w:rsid w:val="004B608C"/>
    <w:rsid w:val="004B6174"/>
    <w:rsid w:val="004B638B"/>
    <w:rsid w:val="004B638D"/>
    <w:rsid w:val="004B6565"/>
    <w:rsid w:val="004B6837"/>
    <w:rsid w:val="004B68D8"/>
    <w:rsid w:val="004B6D75"/>
    <w:rsid w:val="004B6DBD"/>
    <w:rsid w:val="004B6E47"/>
    <w:rsid w:val="004B6EF7"/>
    <w:rsid w:val="004B74B1"/>
    <w:rsid w:val="004B7970"/>
    <w:rsid w:val="004B7B4A"/>
    <w:rsid w:val="004B7C7B"/>
    <w:rsid w:val="004B7D4F"/>
    <w:rsid w:val="004B7DA0"/>
    <w:rsid w:val="004C09C4"/>
    <w:rsid w:val="004C0A6A"/>
    <w:rsid w:val="004C0ACC"/>
    <w:rsid w:val="004C0C34"/>
    <w:rsid w:val="004C0E23"/>
    <w:rsid w:val="004C0E80"/>
    <w:rsid w:val="004C0E9E"/>
    <w:rsid w:val="004C0F9A"/>
    <w:rsid w:val="004C10D6"/>
    <w:rsid w:val="004C165A"/>
    <w:rsid w:val="004C1C02"/>
    <w:rsid w:val="004C1D1A"/>
    <w:rsid w:val="004C1F38"/>
    <w:rsid w:val="004C2117"/>
    <w:rsid w:val="004C213B"/>
    <w:rsid w:val="004C2528"/>
    <w:rsid w:val="004C28D7"/>
    <w:rsid w:val="004C2C63"/>
    <w:rsid w:val="004C2C77"/>
    <w:rsid w:val="004C3091"/>
    <w:rsid w:val="004C3179"/>
    <w:rsid w:val="004C32BA"/>
    <w:rsid w:val="004C33E4"/>
    <w:rsid w:val="004C3468"/>
    <w:rsid w:val="004C37C0"/>
    <w:rsid w:val="004C3A32"/>
    <w:rsid w:val="004C3AB5"/>
    <w:rsid w:val="004C3B3E"/>
    <w:rsid w:val="004C3EB6"/>
    <w:rsid w:val="004C3FA8"/>
    <w:rsid w:val="004C436C"/>
    <w:rsid w:val="004C4399"/>
    <w:rsid w:val="004C45E6"/>
    <w:rsid w:val="004C46C4"/>
    <w:rsid w:val="004C4A99"/>
    <w:rsid w:val="004C4AC3"/>
    <w:rsid w:val="004C4BBA"/>
    <w:rsid w:val="004C4C7D"/>
    <w:rsid w:val="004C4DD2"/>
    <w:rsid w:val="004C5008"/>
    <w:rsid w:val="004C5253"/>
    <w:rsid w:val="004C580C"/>
    <w:rsid w:val="004C5886"/>
    <w:rsid w:val="004C5ABF"/>
    <w:rsid w:val="004C5B71"/>
    <w:rsid w:val="004C5B85"/>
    <w:rsid w:val="004C5DBA"/>
    <w:rsid w:val="004C5E0E"/>
    <w:rsid w:val="004C5EBD"/>
    <w:rsid w:val="004C6031"/>
    <w:rsid w:val="004C6109"/>
    <w:rsid w:val="004C61A9"/>
    <w:rsid w:val="004C677F"/>
    <w:rsid w:val="004C696D"/>
    <w:rsid w:val="004C6984"/>
    <w:rsid w:val="004C6A64"/>
    <w:rsid w:val="004C6A6A"/>
    <w:rsid w:val="004C6B38"/>
    <w:rsid w:val="004C6CFC"/>
    <w:rsid w:val="004C6EF1"/>
    <w:rsid w:val="004C7105"/>
    <w:rsid w:val="004C733B"/>
    <w:rsid w:val="004C7347"/>
    <w:rsid w:val="004C7501"/>
    <w:rsid w:val="004C7C67"/>
    <w:rsid w:val="004C7CCB"/>
    <w:rsid w:val="004C7D7E"/>
    <w:rsid w:val="004D0207"/>
    <w:rsid w:val="004D0407"/>
    <w:rsid w:val="004D086E"/>
    <w:rsid w:val="004D0965"/>
    <w:rsid w:val="004D09D8"/>
    <w:rsid w:val="004D0D21"/>
    <w:rsid w:val="004D0FDC"/>
    <w:rsid w:val="004D1036"/>
    <w:rsid w:val="004D15CE"/>
    <w:rsid w:val="004D180F"/>
    <w:rsid w:val="004D1CA9"/>
    <w:rsid w:val="004D1EEC"/>
    <w:rsid w:val="004D1F32"/>
    <w:rsid w:val="004D1F75"/>
    <w:rsid w:val="004D1FE2"/>
    <w:rsid w:val="004D2070"/>
    <w:rsid w:val="004D2284"/>
    <w:rsid w:val="004D256B"/>
    <w:rsid w:val="004D2A7B"/>
    <w:rsid w:val="004D2DAB"/>
    <w:rsid w:val="004D2F6E"/>
    <w:rsid w:val="004D331F"/>
    <w:rsid w:val="004D371F"/>
    <w:rsid w:val="004D399C"/>
    <w:rsid w:val="004D47B6"/>
    <w:rsid w:val="004D4882"/>
    <w:rsid w:val="004D4B1E"/>
    <w:rsid w:val="004D4C71"/>
    <w:rsid w:val="004D4DF0"/>
    <w:rsid w:val="004D53FA"/>
    <w:rsid w:val="004D54C7"/>
    <w:rsid w:val="004D563C"/>
    <w:rsid w:val="004D5BCF"/>
    <w:rsid w:val="004D5C94"/>
    <w:rsid w:val="004D5D67"/>
    <w:rsid w:val="004D5E93"/>
    <w:rsid w:val="004D6019"/>
    <w:rsid w:val="004D60BC"/>
    <w:rsid w:val="004D6253"/>
    <w:rsid w:val="004D6426"/>
    <w:rsid w:val="004D68A0"/>
    <w:rsid w:val="004D6A80"/>
    <w:rsid w:val="004D6EB0"/>
    <w:rsid w:val="004D6FB3"/>
    <w:rsid w:val="004D7346"/>
    <w:rsid w:val="004D7BB7"/>
    <w:rsid w:val="004D7E09"/>
    <w:rsid w:val="004D7E24"/>
    <w:rsid w:val="004D7F5C"/>
    <w:rsid w:val="004D7F9B"/>
    <w:rsid w:val="004E0836"/>
    <w:rsid w:val="004E0C6C"/>
    <w:rsid w:val="004E0D29"/>
    <w:rsid w:val="004E0DE9"/>
    <w:rsid w:val="004E133C"/>
    <w:rsid w:val="004E1BCB"/>
    <w:rsid w:val="004E1E68"/>
    <w:rsid w:val="004E2A08"/>
    <w:rsid w:val="004E2B35"/>
    <w:rsid w:val="004E2B6A"/>
    <w:rsid w:val="004E2DA3"/>
    <w:rsid w:val="004E2F2A"/>
    <w:rsid w:val="004E3349"/>
    <w:rsid w:val="004E33A7"/>
    <w:rsid w:val="004E34D4"/>
    <w:rsid w:val="004E34E9"/>
    <w:rsid w:val="004E3671"/>
    <w:rsid w:val="004E3A53"/>
    <w:rsid w:val="004E3CDE"/>
    <w:rsid w:val="004E43B0"/>
    <w:rsid w:val="004E468D"/>
    <w:rsid w:val="004E54B9"/>
    <w:rsid w:val="004E54C2"/>
    <w:rsid w:val="004E5547"/>
    <w:rsid w:val="004E554B"/>
    <w:rsid w:val="004E562E"/>
    <w:rsid w:val="004E587B"/>
    <w:rsid w:val="004E5A66"/>
    <w:rsid w:val="004E5A73"/>
    <w:rsid w:val="004E5ACC"/>
    <w:rsid w:val="004E5DCB"/>
    <w:rsid w:val="004E5EA0"/>
    <w:rsid w:val="004E65E6"/>
    <w:rsid w:val="004E66B5"/>
    <w:rsid w:val="004E7033"/>
    <w:rsid w:val="004E70AF"/>
    <w:rsid w:val="004E7854"/>
    <w:rsid w:val="004E793A"/>
    <w:rsid w:val="004E79D0"/>
    <w:rsid w:val="004E7A12"/>
    <w:rsid w:val="004E7A5A"/>
    <w:rsid w:val="004E7A6E"/>
    <w:rsid w:val="004E7BE8"/>
    <w:rsid w:val="004E7BFE"/>
    <w:rsid w:val="004E7D79"/>
    <w:rsid w:val="004E7F5F"/>
    <w:rsid w:val="004F008E"/>
    <w:rsid w:val="004F024C"/>
    <w:rsid w:val="004F0309"/>
    <w:rsid w:val="004F0456"/>
    <w:rsid w:val="004F04EF"/>
    <w:rsid w:val="004F0A48"/>
    <w:rsid w:val="004F0F0A"/>
    <w:rsid w:val="004F0F15"/>
    <w:rsid w:val="004F1106"/>
    <w:rsid w:val="004F192D"/>
    <w:rsid w:val="004F193B"/>
    <w:rsid w:val="004F19A1"/>
    <w:rsid w:val="004F1A2B"/>
    <w:rsid w:val="004F1B16"/>
    <w:rsid w:val="004F2090"/>
    <w:rsid w:val="004F211B"/>
    <w:rsid w:val="004F2238"/>
    <w:rsid w:val="004F259C"/>
    <w:rsid w:val="004F2863"/>
    <w:rsid w:val="004F29EF"/>
    <w:rsid w:val="004F2A84"/>
    <w:rsid w:val="004F30DF"/>
    <w:rsid w:val="004F3788"/>
    <w:rsid w:val="004F4155"/>
    <w:rsid w:val="004F42F8"/>
    <w:rsid w:val="004F4343"/>
    <w:rsid w:val="004F43C1"/>
    <w:rsid w:val="004F47FF"/>
    <w:rsid w:val="004F48E6"/>
    <w:rsid w:val="004F4B7A"/>
    <w:rsid w:val="004F4F44"/>
    <w:rsid w:val="004F540F"/>
    <w:rsid w:val="004F557E"/>
    <w:rsid w:val="004F55C0"/>
    <w:rsid w:val="004F5620"/>
    <w:rsid w:val="004F5851"/>
    <w:rsid w:val="004F5BB1"/>
    <w:rsid w:val="004F5F81"/>
    <w:rsid w:val="004F60AF"/>
    <w:rsid w:val="004F62A8"/>
    <w:rsid w:val="004F62DB"/>
    <w:rsid w:val="004F6632"/>
    <w:rsid w:val="004F6776"/>
    <w:rsid w:val="004F6D1D"/>
    <w:rsid w:val="004F6FC5"/>
    <w:rsid w:val="004F7711"/>
    <w:rsid w:val="00500069"/>
    <w:rsid w:val="00500170"/>
    <w:rsid w:val="005004CC"/>
    <w:rsid w:val="00500659"/>
    <w:rsid w:val="005009AE"/>
    <w:rsid w:val="00500A63"/>
    <w:rsid w:val="00500B65"/>
    <w:rsid w:val="00500C5A"/>
    <w:rsid w:val="00501248"/>
    <w:rsid w:val="005012B8"/>
    <w:rsid w:val="005012C0"/>
    <w:rsid w:val="0050138F"/>
    <w:rsid w:val="005016AA"/>
    <w:rsid w:val="00501735"/>
    <w:rsid w:val="00501749"/>
    <w:rsid w:val="00501D45"/>
    <w:rsid w:val="0050225C"/>
    <w:rsid w:val="00502315"/>
    <w:rsid w:val="00502551"/>
    <w:rsid w:val="005025F5"/>
    <w:rsid w:val="00502678"/>
    <w:rsid w:val="00502CC5"/>
    <w:rsid w:val="00502CC9"/>
    <w:rsid w:val="00502CED"/>
    <w:rsid w:val="00502E17"/>
    <w:rsid w:val="005032FD"/>
    <w:rsid w:val="00503560"/>
    <w:rsid w:val="00503773"/>
    <w:rsid w:val="005038F0"/>
    <w:rsid w:val="0050398E"/>
    <w:rsid w:val="00503BC6"/>
    <w:rsid w:val="00504523"/>
    <w:rsid w:val="0050458C"/>
    <w:rsid w:val="00504691"/>
    <w:rsid w:val="00504AC0"/>
    <w:rsid w:val="00504CF0"/>
    <w:rsid w:val="0050515A"/>
    <w:rsid w:val="005056BC"/>
    <w:rsid w:val="00505926"/>
    <w:rsid w:val="0050599E"/>
    <w:rsid w:val="00505A95"/>
    <w:rsid w:val="00505E4E"/>
    <w:rsid w:val="00505EA5"/>
    <w:rsid w:val="00506089"/>
    <w:rsid w:val="0050636F"/>
    <w:rsid w:val="0050637E"/>
    <w:rsid w:val="00506509"/>
    <w:rsid w:val="00506549"/>
    <w:rsid w:val="00506594"/>
    <w:rsid w:val="005065E6"/>
    <w:rsid w:val="00506680"/>
    <w:rsid w:val="00506872"/>
    <w:rsid w:val="00506877"/>
    <w:rsid w:val="00506B83"/>
    <w:rsid w:val="005070FF"/>
    <w:rsid w:val="005073FF"/>
    <w:rsid w:val="005077E1"/>
    <w:rsid w:val="00507AA4"/>
    <w:rsid w:val="00510532"/>
    <w:rsid w:val="00510922"/>
    <w:rsid w:val="00510A37"/>
    <w:rsid w:val="00511044"/>
    <w:rsid w:val="00511250"/>
    <w:rsid w:val="00511343"/>
    <w:rsid w:val="005113D7"/>
    <w:rsid w:val="00511419"/>
    <w:rsid w:val="00511505"/>
    <w:rsid w:val="00511AFC"/>
    <w:rsid w:val="005120C7"/>
    <w:rsid w:val="00512209"/>
    <w:rsid w:val="005122BB"/>
    <w:rsid w:val="00512352"/>
    <w:rsid w:val="005129FD"/>
    <w:rsid w:val="00512AD8"/>
    <w:rsid w:val="00512BC4"/>
    <w:rsid w:val="00512D7E"/>
    <w:rsid w:val="00512E00"/>
    <w:rsid w:val="00512E01"/>
    <w:rsid w:val="00513121"/>
    <w:rsid w:val="00513139"/>
    <w:rsid w:val="005134A3"/>
    <w:rsid w:val="0051354F"/>
    <w:rsid w:val="005138BE"/>
    <w:rsid w:val="00513B14"/>
    <w:rsid w:val="00513B88"/>
    <w:rsid w:val="00513E11"/>
    <w:rsid w:val="00513EF8"/>
    <w:rsid w:val="00514230"/>
    <w:rsid w:val="0051448D"/>
    <w:rsid w:val="005146DB"/>
    <w:rsid w:val="005147D9"/>
    <w:rsid w:val="0051482B"/>
    <w:rsid w:val="00514C68"/>
    <w:rsid w:val="00514CA3"/>
    <w:rsid w:val="005151A7"/>
    <w:rsid w:val="00515206"/>
    <w:rsid w:val="0051554C"/>
    <w:rsid w:val="00515573"/>
    <w:rsid w:val="005156FC"/>
    <w:rsid w:val="0051588B"/>
    <w:rsid w:val="00515B97"/>
    <w:rsid w:val="00515EBF"/>
    <w:rsid w:val="00515EE9"/>
    <w:rsid w:val="00515F01"/>
    <w:rsid w:val="005161E4"/>
    <w:rsid w:val="0051638A"/>
    <w:rsid w:val="0051693B"/>
    <w:rsid w:val="00516C15"/>
    <w:rsid w:val="00516DA3"/>
    <w:rsid w:val="00516E74"/>
    <w:rsid w:val="00517634"/>
    <w:rsid w:val="00517774"/>
    <w:rsid w:val="00517819"/>
    <w:rsid w:val="00517A8D"/>
    <w:rsid w:val="00517CB9"/>
    <w:rsid w:val="0052004F"/>
    <w:rsid w:val="0052038A"/>
    <w:rsid w:val="005203A8"/>
    <w:rsid w:val="00520452"/>
    <w:rsid w:val="00520C92"/>
    <w:rsid w:val="005214C6"/>
    <w:rsid w:val="00521A52"/>
    <w:rsid w:val="00521A99"/>
    <w:rsid w:val="00521AF7"/>
    <w:rsid w:val="00521EBE"/>
    <w:rsid w:val="00521EEC"/>
    <w:rsid w:val="00521F4A"/>
    <w:rsid w:val="00522230"/>
    <w:rsid w:val="0052250F"/>
    <w:rsid w:val="00522D1C"/>
    <w:rsid w:val="00522EA3"/>
    <w:rsid w:val="00522F40"/>
    <w:rsid w:val="00522F60"/>
    <w:rsid w:val="00522FF6"/>
    <w:rsid w:val="0052332A"/>
    <w:rsid w:val="00523669"/>
    <w:rsid w:val="00523913"/>
    <w:rsid w:val="00523985"/>
    <w:rsid w:val="00523A43"/>
    <w:rsid w:val="00523CF2"/>
    <w:rsid w:val="00523D07"/>
    <w:rsid w:val="00523E61"/>
    <w:rsid w:val="0052437A"/>
    <w:rsid w:val="0052492F"/>
    <w:rsid w:val="00524AF8"/>
    <w:rsid w:val="00524C1D"/>
    <w:rsid w:val="0052509B"/>
    <w:rsid w:val="005253BB"/>
    <w:rsid w:val="00525407"/>
    <w:rsid w:val="005254BA"/>
    <w:rsid w:val="00525BF3"/>
    <w:rsid w:val="0052613E"/>
    <w:rsid w:val="00526518"/>
    <w:rsid w:val="0052675F"/>
    <w:rsid w:val="005267C7"/>
    <w:rsid w:val="0052689C"/>
    <w:rsid w:val="00526B84"/>
    <w:rsid w:val="00526C64"/>
    <w:rsid w:val="00526D43"/>
    <w:rsid w:val="00526EAB"/>
    <w:rsid w:val="005271BD"/>
    <w:rsid w:val="005274CC"/>
    <w:rsid w:val="005274F3"/>
    <w:rsid w:val="00527A5B"/>
    <w:rsid w:val="00527DA3"/>
    <w:rsid w:val="005304E0"/>
    <w:rsid w:val="00530506"/>
    <w:rsid w:val="00530562"/>
    <w:rsid w:val="0053065D"/>
    <w:rsid w:val="00530746"/>
    <w:rsid w:val="005309CD"/>
    <w:rsid w:val="00530E56"/>
    <w:rsid w:val="00531067"/>
    <w:rsid w:val="005319C9"/>
    <w:rsid w:val="00531A1D"/>
    <w:rsid w:val="00531E82"/>
    <w:rsid w:val="005322EB"/>
    <w:rsid w:val="00532556"/>
    <w:rsid w:val="005326C6"/>
    <w:rsid w:val="00532AAC"/>
    <w:rsid w:val="00532D93"/>
    <w:rsid w:val="00533008"/>
    <w:rsid w:val="0053302B"/>
    <w:rsid w:val="00533280"/>
    <w:rsid w:val="00533647"/>
    <w:rsid w:val="005336E7"/>
    <w:rsid w:val="005337EA"/>
    <w:rsid w:val="00533D63"/>
    <w:rsid w:val="00533F00"/>
    <w:rsid w:val="0053402F"/>
    <w:rsid w:val="005341C5"/>
    <w:rsid w:val="005341D2"/>
    <w:rsid w:val="005342DB"/>
    <w:rsid w:val="00534301"/>
    <w:rsid w:val="005344E2"/>
    <w:rsid w:val="0053450B"/>
    <w:rsid w:val="00534543"/>
    <w:rsid w:val="005346F2"/>
    <w:rsid w:val="00534879"/>
    <w:rsid w:val="00534A33"/>
    <w:rsid w:val="00534DCA"/>
    <w:rsid w:val="00534EFD"/>
    <w:rsid w:val="005357BA"/>
    <w:rsid w:val="005358DE"/>
    <w:rsid w:val="00535A17"/>
    <w:rsid w:val="00535B3B"/>
    <w:rsid w:val="00535B9C"/>
    <w:rsid w:val="00535C4E"/>
    <w:rsid w:val="00535C6D"/>
    <w:rsid w:val="00535E4C"/>
    <w:rsid w:val="00536157"/>
    <w:rsid w:val="00536438"/>
    <w:rsid w:val="00536808"/>
    <w:rsid w:val="00536A31"/>
    <w:rsid w:val="00536A84"/>
    <w:rsid w:val="00536AEA"/>
    <w:rsid w:val="00536EB0"/>
    <w:rsid w:val="0053712F"/>
    <w:rsid w:val="005372F4"/>
    <w:rsid w:val="005372F7"/>
    <w:rsid w:val="00537410"/>
    <w:rsid w:val="00537614"/>
    <w:rsid w:val="00537642"/>
    <w:rsid w:val="00537729"/>
    <w:rsid w:val="005378C2"/>
    <w:rsid w:val="00537D58"/>
    <w:rsid w:val="00537E03"/>
    <w:rsid w:val="00540150"/>
    <w:rsid w:val="00540422"/>
    <w:rsid w:val="00540501"/>
    <w:rsid w:val="00540546"/>
    <w:rsid w:val="005405FA"/>
    <w:rsid w:val="0054063E"/>
    <w:rsid w:val="00540846"/>
    <w:rsid w:val="00540B4C"/>
    <w:rsid w:val="00540F84"/>
    <w:rsid w:val="00541118"/>
    <w:rsid w:val="0054114D"/>
    <w:rsid w:val="005411B1"/>
    <w:rsid w:val="005419A0"/>
    <w:rsid w:val="005419BB"/>
    <w:rsid w:val="00541AF2"/>
    <w:rsid w:val="00541DB4"/>
    <w:rsid w:val="00541DD9"/>
    <w:rsid w:val="00541E3B"/>
    <w:rsid w:val="00541E53"/>
    <w:rsid w:val="005422D6"/>
    <w:rsid w:val="005424AF"/>
    <w:rsid w:val="00542761"/>
    <w:rsid w:val="0054285A"/>
    <w:rsid w:val="005428FF"/>
    <w:rsid w:val="00542AFA"/>
    <w:rsid w:val="00542E26"/>
    <w:rsid w:val="00542F6F"/>
    <w:rsid w:val="005430D5"/>
    <w:rsid w:val="005439BE"/>
    <w:rsid w:val="00543AFA"/>
    <w:rsid w:val="00543C84"/>
    <w:rsid w:val="00543D16"/>
    <w:rsid w:val="005443D8"/>
    <w:rsid w:val="005443F2"/>
    <w:rsid w:val="005445FD"/>
    <w:rsid w:val="00544822"/>
    <w:rsid w:val="005449C8"/>
    <w:rsid w:val="00544D25"/>
    <w:rsid w:val="00544E7C"/>
    <w:rsid w:val="00545157"/>
    <w:rsid w:val="005451AC"/>
    <w:rsid w:val="00545208"/>
    <w:rsid w:val="0054554F"/>
    <w:rsid w:val="0054563D"/>
    <w:rsid w:val="00545738"/>
    <w:rsid w:val="00545801"/>
    <w:rsid w:val="00545AB8"/>
    <w:rsid w:val="00545F9E"/>
    <w:rsid w:val="00546E55"/>
    <w:rsid w:val="00546EE8"/>
    <w:rsid w:val="00547033"/>
    <w:rsid w:val="005470D2"/>
    <w:rsid w:val="00547249"/>
    <w:rsid w:val="0054754C"/>
    <w:rsid w:val="0054780F"/>
    <w:rsid w:val="0054784F"/>
    <w:rsid w:val="00547CAE"/>
    <w:rsid w:val="00547DA1"/>
    <w:rsid w:val="00547EDD"/>
    <w:rsid w:val="00547EEE"/>
    <w:rsid w:val="005502C7"/>
    <w:rsid w:val="00550681"/>
    <w:rsid w:val="00550704"/>
    <w:rsid w:val="0055092C"/>
    <w:rsid w:val="005509F3"/>
    <w:rsid w:val="00550E0B"/>
    <w:rsid w:val="00550EA9"/>
    <w:rsid w:val="00550EED"/>
    <w:rsid w:val="005511C7"/>
    <w:rsid w:val="0055159D"/>
    <w:rsid w:val="00551616"/>
    <w:rsid w:val="005516B1"/>
    <w:rsid w:val="00551897"/>
    <w:rsid w:val="005519FD"/>
    <w:rsid w:val="00551E91"/>
    <w:rsid w:val="005522A8"/>
    <w:rsid w:val="00552371"/>
    <w:rsid w:val="00552518"/>
    <w:rsid w:val="00552669"/>
    <w:rsid w:val="005529BE"/>
    <w:rsid w:val="00552B77"/>
    <w:rsid w:val="00552E8A"/>
    <w:rsid w:val="00552FAD"/>
    <w:rsid w:val="005534C9"/>
    <w:rsid w:val="00553BED"/>
    <w:rsid w:val="00553CAB"/>
    <w:rsid w:val="00553E17"/>
    <w:rsid w:val="0055427D"/>
    <w:rsid w:val="0055429F"/>
    <w:rsid w:val="00554415"/>
    <w:rsid w:val="00554606"/>
    <w:rsid w:val="00554B1D"/>
    <w:rsid w:val="00554D0B"/>
    <w:rsid w:val="005550C3"/>
    <w:rsid w:val="005555E8"/>
    <w:rsid w:val="00556139"/>
    <w:rsid w:val="00556229"/>
    <w:rsid w:val="0055641C"/>
    <w:rsid w:val="0055653E"/>
    <w:rsid w:val="005567B3"/>
    <w:rsid w:val="00556EC1"/>
    <w:rsid w:val="00556FC2"/>
    <w:rsid w:val="005571F0"/>
    <w:rsid w:val="00557284"/>
    <w:rsid w:val="0055733B"/>
    <w:rsid w:val="00557C36"/>
    <w:rsid w:val="005603A1"/>
    <w:rsid w:val="0056042D"/>
    <w:rsid w:val="005605A3"/>
    <w:rsid w:val="00560701"/>
    <w:rsid w:val="00560B30"/>
    <w:rsid w:val="00560B6A"/>
    <w:rsid w:val="00560C92"/>
    <w:rsid w:val="00560FDC"/>
    <w:rsid w:val="005611B5"/>
    <w:rsid w:val="0056181A"/>
    <w:rsid w:val="00561901"/>
    <w:rsid w:val="00561C1E"/>
    <w:rsid w:val="00561FDF"/>
    <w:rsid w:val="00562230"/>
    <w:rsid w:val="00562483"/>
    <w:rsid w:val="00562817"/>
    <w:rsid w:val="005628CC"/>
    <w:rsid w:val="00562A74"/>
    <w:rsid w:val="00562B66"/>
    <w:rsid w:val="005630DB"/>
    <w:rsid w:val="005631AE"/>
    <w:rsid w:val="00563524"/>
    <w:rsid w:val="0056366E"/>
    <w:rsid w:val="0056379C"/>
    <w:rsid w:val="005637AA"/>
    <w:rsid w:val="005638AE"/>
    <w:rsid w:val="005639DE"/>
    <w:rsid w:val="00563C99"/>
    <w:rsid w:val="00564094"/>
    <w:rsid w:val="0056425E"/>
    <w:rsid w:val="00564355"/>
    <w:rsid w:val="0056461A"/>
    <w:rsid w:val="005646BE"/>
    <w:rsid w:val="005647A9"/>
    <w:rsid w:val="00564827"/>
    <w:rsid w:val="00564BB3"/>
    <w:rsid w:val="00564EBA"/>
    <w:rsid w:val="00565159"/>
    <w:rsid w:val="0056531A"/>
    <w:rsid w:val="00565455"/>
    <w:rsid w:val="00565687"/>
    <w:rsid w:val="005656C9"/>
    <w:rsid w:val="005657D2"/>
    <w:rsid w:val="00565BAB"/>
    <w:rsid w:val="00565D22"/>
    <w:rsid w:val="00565D7A"/>
    <w:rsid w:val="00565E63"/>
    <w:rsid w:val="00565E69"/>
    <w:rsid w:val="005660D8"/>
    <w:rsid w:val="005661F2"/>
    <w:rsid w:val="00566326"/>
    <w:rsid w:val="005664BB"/>
    <w:rsid w:val="00566580"/>
    <w:rsid w:val="00566AB3"/>
    <w:rsid w:val="00566E38"/>
    <w:rsid w:val="005671F9"/>
    <w:rsid w:val="005675BD"/>
    <w:rsid w:val="00567633"/>
    <w:rsid w:val="00567687"/>
    <w:rsid w:val="00567A69"/>
    <w:rsid w:val="00567CD7"/>
    <w:rsid w:val="00570118"/>
    <w:rsid w:val="005705C6"/>
    <w:rsid w:val="00570BC5"/>
    <w:rsid w:val="00570EAB"/>
    <w:rsid w:val="00570EAF"/>
    <w:rsid w:val="00570F65"/>
    <w:rsid w:val="005712B7"/>
    <w:rsid w:val="0057139D"/>
    <w:rsid w:val="00571735"/>
    <w:rsid w:val="00571838"/>
    <w:rsid w:val="005718EB"/>
    <w:rsid w:val="00571B7D"/>
    <w:rsid w:val="00571BC1"/>
    <w:rsid w:val="00571C4B"/>
    <w:rsid w:val="00571C94"/>
    <w:rsid w:val="00571E67"/>
    <w:rsid w:val="00572389"/>
    <w:rsid w:val="0057292D"/>
    <w:rsid w:val="00572B81"/>
    <w:rsid w:val="005735E2"/>
    <w:rsid w:val="0057360B"/>
    <w:rsid w:val="005739C9"/>
    <w:rsid w:val="00574126"/>
    <w:rsid w:val="0057451A"/>
    <w:rsid w:val="00574520"/>
    <w:rsid w:val="0057460D"/>
    <w:rsid w:val="005749B7"/>
    <w:rsid w:val="00574A37"/>
    <w:rsid w:val="00575720"/>
    <w:rsid w:val="00575825"/>
    <w:rsid w:val="005759B5"/>
    <w:rsid w:val="00575CFC"/>
    <w:rsid w:val="00575DAC"/>
    <w:rsid w:val="00575FCC"/>
    <w:rsid w:val="00575FD0"/>
    <w:rsid w:val="005766F1"/>
    <w:rsid w:val="0057695C"/>
    <w:rsid w:val="00576993"/>
    <w:rsid w:val="00576E3C"/>
    <w:rsid w:val="0057703F"/>
    <w:rsid w:val="0057713D"/>
    <w:rsid w:val="005771A5"/>
    <w:rsid w:val="0057727A"/>
    <w:rsid w:val="005775B1"/>
    <w:rsid w:val="005778FC"/>
    <w:rsid w:val="005779B7"/>
    <w:rsid w:val="00577B02"/>
    <w:rsid w:val="00577C37"/>
    <w:rsid w:val="00577C7C"/>
    <w:rsid w:val="005800F6"/>
    <w:rsid w:val="005801A1"/>
    <w:rsid w:val="005802A9"/>
    <w:rsid w:val="0058048F"/>
    <w:rsid w:val="005808C0"/>
    <w:rsid w:val="00580B76"/>
    <w:rsid w:val="00580B9C"/>
    <w:rsid w:val="00580D9A"/>
    <w:rsid w:val="00580DB9"/>
    <w:rsid w:val="00580F59"/>
    <w:rsid w:val="00580F61"/>
    <w:rsid w:val="0058157C"/>
    <w:rsid w:val="00581765"/>
    <w:rsid w:val="00581846"/>
    <w:rsid w:val="005818F8"/>
    <w:rsid w:val="00581C82"/>
    <w:rsid w:val="00581D34"/>
    <w:rsid w:val="00581DCD"/>
    <w:rsid w:val="00582481"/>
    <w:rsid w:val="00582528"/>
    <w:rsid w:val="0058256C"/>
    <w:rsid w:val="00582601"/>
    <w:rsid w:val="005826F9"/>
    <w:rsid w:val="00582761"/>
    <w:rsid w:val="00582A75"/>
    <w:rsid w:val="00582C4E"/>
    <w:rsid w:val="00582D40"/>
    <w:rsid w:val="00583201"/>
    <w:rsid w:val="0058341D"/>
    <w:rsid w:val="005835C8"/>
    <w:rsid w:val="005836EE"/>
    <w:rsid w:val="00583B06"/>
    <w:rsid w:val="00583F98"/>
    <w:rsid w:val="00583FF9"/>
    <w:rsid w:val="005841C1"/>
    <w:rsid w:val="00584231"/>
    <w:rsid w:val="0058437F"/>
    <w:rsid w:val="00584471"/>
    <w:rsid w:val="00584631"/>
    <w:rsid w:val="00584950"/>
    <w:rsid w:val="00584984"/>
    <w:rsid w:val="00584AFC"/>
    <w:rsid w:val="00584B81"/>
    <w:rsid w:val="00585265"/>
    <w:rsid w:val="0058567E"/>
    <w:rsid w:val="00585A72"/>
    <w:rsid w:val="00585AFD"/>
    <w:rsid w:val="00585BAD"/>
    <w:rsid w:val="00586209"/>
    <w:rsid w:val="00586569"/>
    <w:rsid w:val="005867FA"/>
    <w:rsid w:val="00586839"/>
    <w:rsid w:val="005868AF"/>
    <w:rsid w:val="00586965"/>
    <w:rsid w:val="005869D6"/>
    <w:rsid w:val="00586AFB"/>
    <w:rsid w:val="00586BA1"/>
    <w:rsid w:val="00586F70"/>
    <w:rsid w:val="00587088"/>
    <w:rsid w:val="005871B2"/>
    <w:rsid w:val="00587509"/>
    <w:rsid w:val="0058771F"/>
    <w:rsid w:val="005878AF"/>
    <w:rsid w:val="00587994"/>
    <w:rsid w:val="00587A74"/>
    <w:rsid w:val="00587B9D"/>
    <w:rsid w:val="00587CA8"/>
    <w:rsid w:val="00587DD2"/>
    <w:rsid w:val="0059004D"/>
    <w:rsid w:val="005900C2"/>
    <w:rsid w:val="00590634"/>
    <w:rsid w:val="005906A6"/>
    <w:rsid w:val="00590865"/>
    <w:rsid w:val="00590904"/>
    <w:rsid w:val="00590A7E"/>
    <w:rsid w:val="00590D17"/>
    <w:rsid w:val="00590DC5"/>
    <w:rsid w:val="00590E7C"/>
    <w:rsid w:val="00590F10"/>
    <w:rsid w:val="00591158"/>
    <w:rsid w:val="0059122C"/>
    <w:rsid w:val="00591277"/>
    <w:rsid w:val="005913E4"/>
    <w:rsid w:val="005915C5"/>
    <w:rsid w:val="00591785"/>
    <w:rsid w:val="005917FA"/>
    <w:rsid w:val="0059183E"/>
    <w:rsid w:val="005919D8"/>
    <w:rsid w:val="005919EB"/>
    <w:rsid w:val="00591F1D"/>
    <w:rsid w:val="00592006"/>
    <w:rsid w:val="00592339"/>
    <w:rsid w:val="005924A7"/>
    <w:rsid w:val="00592793"/>
    <w:rsid w:val="00592C79"/>
    <w:rsid w:val="00592FFF"/>
    <w:rsid w:val="00593512"/>
    <w:rsid w:val="0059355A"/>
    <w:rsid w:val="00593762"/>
    <w:rsid w:val="00593999"/>
    <w:rsid w:val="00593E8E"/>
    <w:rsid w:val="00593F22"/>
    <w:rsid w:val="005943A4"/>
    <w:rsid w:val="0059449C"/>
    <w:rsid w:val="005946C7"/>
    <w:rsid w:val="00594877"/>
    <w:rsid w:val="00594B99"/>
    <w:rsid w:val="00594D1D"/>
    <w:rsid w:val="00594EE5"/>
    <w:rsid w:val="00595276"/>
    <w:rsid w:val="00595386"/>
    <w:rsid w:val="005956B8"/>
    <w:rsid w:val="0059596F"/>
    <w:rsid w:val="00595B8A"/>
    <w:rsid w:val="005963B4"/>
    <w:rsid w:val="005964F3"/>
    <w:rsid w:val="00596DDC"/>
    <w:rsid w:val="00596DDF"/>
    <w:rsid w:val="00596DE7"/>
    <w:rsid w:val="00596E1B"/>
    <w:rsid w:val="00596E9A"/>
    <w:rsid w:val="0059714E"/>
    <w:rsid w:val="00597346"/>
    <w:rsid w:val="005978AD"/>
    <w:rsid w:val="00597E70"/>
    <w:rsid w:val="005A02B8"/>
    <w:rsid w:val="005A06AE"/>
    <w:rsid w:val="005A06D0"/>
    <w:rsid w:val="005A082A"/>
    <w:rsid w:val="005A08C2"/>
    <w:rsid w:val="005A11BA"/>
    <w:rsid w:val="005A14F7"/>
    <w:rsid w:val="005A17A7"/>
    <w:rsid w:val="005A1811"/>
    <w:rsid w:val="005A1936"/>
    <w:rsid w:val="005A1981"/>
    <w:rsid w:val="005A1F34"/>
    <w:rsid w:val="005A217C"/>
    <w:rsid w:val="005A21C3"/>
    <w:rsid w:val="005A223B"/>
    <w:rsid w:val="005A228B"/>
    <w:rsid w:val="005A24E3"/>
    <w:rsid w:val="005A2A54"/>
    <w:rsid w:val="005A2E50"/>
    <w:rsid w:val="005A2F3F"/>
    <w:rsid w:val="005A3216"/>
    <w:rsid w:val="005A337D"/>
    <w:rsid w:val="005A3548"/>
    <w:rsid w:val="005A36AE"/>
    <w:rsid w:val="005A3AF3"/>
    <w:rsid w:val="005A3D70"/>
    <w:rsid w:val="005A3E12"/>
    <w:rsid w:val="005A3FE4"/>
    <w:rsid w:val="005A4000"/>
    <w:rsid w:val="005A402B"/>
    <w:rsid w:val="005A4BEF"/>
    <w:rsid w:val="005A4C88"/>
    <w:rsid w:val="005A4C8A"/>
    <w:rsid w:val="005A4F75"/>
    <w:rsid w:val="005A4FA5"/>
    <w:rsid w:val="005A516F"/>
    <w:rsid w:val="005A51B9"/>
    <w:rsid w:val="005A5273"/>
    <w:rsid w:val="005A528C"/>
    <w:rsid w:val="005A5322"/>
    <w:rsid w:val="005A5505"/>
    <w:rsid w:val="005A55DA"/>
    <w:rsid w:val="005A58FC"/>
    <w:rsid w:val="005A5F30"/>
    <w:rsid w:val="005A5F6D"/>
    <w:rsid w:val="005A6168"/>
    <w:rsid w:val="005A6217"/>
    <w:rsid w:val="005A6560"/>
    <w:rsid w:val="005A6580"/>
    <w:rsid w:val="005A69B5"/>
    <w:rsid w:val="005A6D70"/>
    <w:rsid w:val="005A6EF8"/>
    <w:rsid w:val="005A6F10"/>
    <w:rsid w:val="005A6F34"/>
    <w:rsid w:val="005A7403"/>
    <w:rsid w:val="005A7422"/>
    <w:rsid w:val="005A770D"/>
    <w:rsid w:val="005A7A75"/>
    <w:rsid w:val="005A7BFF"/>
    <w:rsid w:val="005A7D6D"/>
    <w:rsid w:val="005A7F57"/>
    <w:rsid w:val="005B0412"/>
    <w:rsid w:val="005B05B4"/>
    <w:rsid w:val="005B0D27"/>
    <w:rsid w:val="005B0D95"/>
    <w:rsid w:val="005B0DF3"/>
    <w:rsid w:val="005B1564"/>
    <w:rsid w:val="005B1D24"/>
    <w:rsid w:val="005B273B"/>
    <w:rsid w:val="005B2772"/>
    <w:rsid w:val="005B2AE7"/>
    <w:rsid w:val="005B2EC8"/>
    <w:rsid w:val="005B2F20"/>
    <w:rsid w:val="005B301E"/>
    <w:rsid w:val="005B31F4"/>
    <w:rsid w:val="005B343D"/>
    <w:rsid w:val="005B3520"/>
    <w:rsid w:val="005B36E6"/>
    <w:rsid w:val="005B390B"/>
    <w:rsid w:val="005B3CE1"/>
    <w:rsid w:val="005B4463"/>
    <w:rsid w:val="005B467C"/>
    <w:rsid w:val="005B46B7"/>
    <w:rsid w:val="005B46EE"/>
    <w:rsid w:val="005B48BA"/>
    <w:rsid w:val="005B4B4B"/>
    <w:rsid w:val="005B4BF7"/>
    <w:rsid w:val="005B51A7"/>
    <w:rsid w:val="005B5562"/>
    <w:rsid w:val="005B5689"/>
    <w:rsid w:val="005B575B"/>
    <w:rsid w:val="005B589E"/>
    <w:rsid w:val="005B59B2"/>
    <w:rsid w:val="005B5A41"/>
    <w:rsid w:val="005B5AA1"/>
    <w:rsid w:val="005B5D69"/>
    <w:rsid w:val="005B5DD6"/>
    <w:rsid w:val="005B5E94"/>
    <w:rsid w:val="005B60A3"/>
    <w:rsid w:val="005B63DB"/>
    <w:rsid w:val="005B65C4"/>
    <w:rsid w:val="005B6AC3"/>
    <w:rsid w:val="005B6AF6"/>
    <w:rsid w:val="005B6B4F"/>
    <w:rsid w:val="005B6E28"/>
    <w:rsid w:val="005B714F"/>
    <w:rsid w:val="005B74D1"/>
    <w:rsid w:val="005B7807"/>
    <w:rsid w:val="005B79E3"/>
    <w:rsid w:val="005B7C38"/>
    <w:rsid w:val="005B7D77"/>
    <w:rsid w:val="005B7DF0"/>
    <w:rsid w:val="005B7E29"/>
    <w:rsid w:val="005B7F64"/>
    <w:rsid w:val="005C01EE"/>
    <w:rsid w:val="005C02A9"/>
    <w:rsid w:val="005C0374"/>
    <w:rsid w:val="005C0480"/>
    <w:rsid w:val="005C050A"/>
    <w:rsid w:val="005C060F"/>
    <w:rsid w:val="005C07F8"/>
    <w:rsid w:val="005C0B5C"/>
    <w:rsid w:val="005C1194"/>
    <w:rsid w:val="005C123E"/>
    <w:rsid w:val="005C1CE2"/>
    <w:rsid w:val="005C1D59"/>
    <w:rsid w:val="005C1D5F"/>
    <w:rsid w:val="005C1F75"/>
    <w:rsid w:val="005C21B5"/>
    <w:rsid w:val="005C2727"/>
    <w:rsid w:val="005C2946"/>
    <w:rsid w:val="005C2D1C"/>
    <w:rsid w:val="005C3043"/>
    <w:rsid w:val="005C31C4"/>
    <w:rsid w:val="005C32D8"/>
    <w:rsid w:val="005C3812"/>
    <w:rsid w:val="005C38BF"/>
    <w:rsid w:val="005C3AE8"/>
    <w:rsid w:val="005C3D6C"/>
    <w:rsid w:val="005C3DDF"/>
    <w:rsid w:val="005C4028"/>
    <w:rsid w:val="005C4142"/>
    <w:rsid w:val="005C4432"/>
    <w:rsid w:val="005C51CC"/>
    <w:rsid w:val="005C53E5"/>
    <w:rsid w:val="005C5FC1"/>
    <w:rsid w:val="005C607A"/>
    <w:rsid w:val="005C62B2"/>
    <w:rsid w:val="005C6409"/>
    <w:rsid w:val="005C6469"/>
    <w:rsid w:val="005C6580"/>
    <w:rsid w:val="005C66CA"/>
    <w:rsid w:val="005C678D"/>
    <w:rsid w:val="005C682A"/>
    <w:rsid w:val="005C686A"/>
    <w:rsid w:val="005C6A27"/>
    <w:rsid w:val="005C6D9B"/>
    <w:rsid w:val="005C6DF9"/>
    <w:rsid w:val="005C6EFE"/>
    <w:rsid w:val="005C6F22"/>
    <w:rsid w:val="005C790E"/>
    <w:rsid w:val="005C79F9"/>
    <w:rsid w:val="005C7AE8"/>
    <w:rsid w:val="005C7CB5"/>
    <w:rsid w:val="005D017A"/>
    <w:rsid w:val="005D03C6"/>
    <w:rsid w:val="005D0529"/>
    <w:rsid w:val="005D078F"/>
    <w:rsid w:val="005D07FE"/>
    <w:rsid w:val="005D0A9D"/>
    <w:rsid w:val="005D0B44"/>
    <w:rsid w:val="005D0B7C"/>
    <w:rsid w:val="005D0FDB"/>
    <w:rsid w:val="005D1070"/>
    <w:rsid w:val="005D135B"/>
    <w:rsid w:val="005D1367"/>
    <w:rsid w:val="005D14C7"/>
    <w:rsid w:val="005D157C"/>
    <w:rsid w:val="005D1592"/>
    <w:rsid w:val="005D177B"/>
    <w:rsid w:val="005D18CC"/>
    <w:rsid w:val="005D1B2D"/>
    <w:rsid w:val="005D1D7F"/>
    <w:rsid w:val="005D218F"/>
    <w:rsid w:val="005D223F"/>
    <w:rsid w:val="005D239E"/>
    <w:rsid w:val="005D2D0B"/>
    <w:rsid w:val="005D2ED7"/>
    <w:rsid w:val="005D313E"/>
    <w:rsid w:val="005D33F7"/>
    <w:rsid w:val="005D3437"/>
    <w:rsid w:val="005D37E4"/>
    <w:rsid w:val="005D3820"/>
    <w:rsid w:val="005D3842"/>
    <w:rsid w:val="005D3BC5"/>
    <w:rsid w:val="005D3C78"/>
    <w:rsid w:val="005D3E98"/>
    <w:rsid w:val="005D4292"/>
    <w:rsid w:val="005D470E"/>
    <w:rsid w:val="005D4722"/>
    <w:rsid w:val="005D47A7"/>
    <w:rsid w:val="005D4982"/>
    <w:rsid w:val="005D4FB8"/>
    <w:rsid w:val="005D5744"/>
    <w:rsid w:val="005D578D"/>
    <w:rsid w:val="005D5804"/>
    <w:rsid w:val="005D5C34"/>
    <w:rsid w:val="005D60CF"/>
    <w:rsid w:val="005D61B4"/>
    <w:rsid w:val="005D63A2"/>
    <w:rsid w:val="005D63D1"/>
    <w:rsid w:val="005D657C"/>
    <w:rsid w:val="005D66AC"/>
    <w:rsid w:val="005D66EE"/>
    <w:rsid w:val="005D67F2"/>
    <w:rsid w:val="005D6A94"/>
    <w:rsid w:val="005D6C2A"/>
    <w:rsid w:val="005D6C56"/>
    <w:rsid w:val="005D71A8"/>
    <w:rsid w:val="005D75CC"/>
    <w:rsid w:val="005D7677"/>
    <w:rsid w:val="005D77E6"/>
    <w:rsid w:val="005E0116"/>
    <w:rsid w:val="005E038A"/>
    <w:rsid w:val="005E04AB"/>
    <w:rsid w:val="005E050D"/>
    <w:rsid w:val="005E0597"/>
    <w:rsid w:val="005E0659"/>
    <w:rsid w:val="005E067E"/>
    <w:rsid w:val="005E0B63"/>
    <w:rsid w:val="005E0C53"/>
    <w:rsid w:val="005E0DD0"/>
    <w:rsid w:val="005E1164"/>
    <w:rsid w:val="005E11C7"/>
    <w:rsid w:val="005E1292"/>
    <w:rsid w:val="005E12E5"/>
    <w:rsid w:val="005E139F"/>
    <w:rsid w:val="005E19CE"/>
    <w:rsid w:val="005E1A7B"/>
    <w:rsid w:val="005E1DA8"/>
    <w:rsid w:val="005E2114"/>
    <w:rsid w:val="005E221C"/>
    <w:rsid w:val="005E224D"/>
    <w:rsid w:val="005E25C4"/>
    <w:rsid w:val="005E2873"/>
    <w:rsid w:val="005E2A8F"/>
    <w:rsid w:val="005E2BE0"/>
    <w:rsid w:val="005E309D"/>
    <w:rsid w:val="005E3464"/>
    <w:rsid w:val="005E3465"/>
    <w:rsid w:val="005E356A"/>
    <w:rsid w:val="005E3593"/>
    <w:rsid w:val="005E3696"/>
    <w:rsid w:val="005E3AA3"/>
    <w:rsid w:val="005E42C4"/>
    <w:rsid w:val="005E42E3"/>
    <w:rsid w:val="005E4529"/>
    <w:rsid w:val="005E46E5"/>
    <w:rsid w:val="005E4A5B"/>
    <w:rsid w:val="005E57B7"/>
    <w:rsid w:val="005E594D"/>
    <w:rsid w:val="005E59EA"/>
    <w:rsid w:val="005E5C05"/>
    <w:rsid w:val="005E5EA3"/>
    <w:rsid w:val="005E61FF"/>
    <w:rsid w:val="005E6327"/>
    <w:rsid w:val="005E655E"/>
    <w:rsid w:val="005E67C7"/>
    <w:rsid w:val="005E698A"/>
    <w:rsid w:val="005E6AF9"/>
    <w:rsid w:val="005E6E70"/>
    <w:rsid w:val="005E756E"/>
    <w:rsid w:val="005E757B"/>
    <w:rsid w:val="005E7642"/>
    <w:rsid w:val="005E766A"/>
    <w:rsid w:val="005E7E3B"/>
    <w:rsid w:val="005E7E5F"/>
    <w:rsid w:val="005F0223"/>
    <w:rsid w:val="005F0424"/>
    <w:rsid w:val="005F04C5"/>
    <w:rsid w:val="005F04D2"/>
    <w:rsid w:val="005F0657"/>
    <w:rsid w:val="005F08F6"/>
    <w:rsid w:val="005F0FBC"/>
    <w:rsid w:val="005F10EC"/>
    <w:rsid w:val="005F117F"/>
    <w:rsid w:val="005F11A1"/>
    <w:rsid w:val="005F13C1"/>
    <w:rsid w:val="005F1586"/>
    <w:rsid w:val="005F17D9"/>
    <w:rsid w:val="005F1948"/>
    <w:rsid w:val="005F19D5"/>
    <w:rsid w:val="005F1B6C"/>
    <w:rsid w:val="005F20C6"/>
    <w:rsid w:val="005F21C6"/>
    <w:rsid w:val="005F247D"/>
    <w:rsid w:val="005F2492"/>
    <w:rsid w:val="005F250A"/>
    <w:rsid w:val="005F2609"/>
    <w:rsid w:val="005F26D0"/>
    <w:rsid w:val="005F27C6"/>
    <w:rsid w:val="005F2984"/>
    <w:rsid w:val="005F2A3C"/>
    <w:rsid w:val="005F2B8A"/>
    <w:rsid w:val="005F2BC4"/>
    <w:rsid w:val="005F2C63"/>
    <w:rsid w:val="005F30BF"/>
    <w:rsid w:val="005F31D7"/>
    <w:rsid w:val="005F3704"/>
    <w:rsid w:val="005F3DB2"/>
    <w:rsid w:val="005F3E0F"/>
    <w:rsid w:val="005F3FA2"/>
    <w:rsid w:val="005F415F"/>
    <w:rsid w:val="005F41AF"/>
    <w:rsid w:val="005F44A3"/>
    <w:rsid w:val="005F4577"/>
    <w:rsid w:val="005F4849"/>
    <w:rsid w:val="005F4951"/>
    <w:rsid w:val="005F4B96"/>
    <w:rsid w:val="005F5432"/>
    <w:rsid w:val="005F550E"/>
    <w:rsid w:val="005F5551"/>
    <w:rsid w:val="005F558A"/>
    <w:rsid w:val="005F5819"/>
    <w:rsid w:val="005F5EEA"/>
    <w:rsid w:val="005F6E7F"/>
    <w:rsid w:val="005F6EF3"/>
    <w:rsid w:val="005F73FB"/>
    <w:rsid w:val="005F752F"/>
    <w:rsid w:val="005F7F0F"/>
    <w:rsid w:val="005F7FB9"/>
    <w:rsid w:val="00600016"/>
    <w:rsid w:val="006003DF"/>
    <w:rsid w:val="00600CCE"/>
    <w:rsid w:val="00600E2A"/>
    <w:rsid w:val="006012D4"/>
    <w:rsid w:val="006017B2"/>
    <w:rsid w:val="00601D34"/>
    <w:rsid w:val="00601F27"/>
    <w:rsid w:val="00601F29"/>
    <w:rsid w:val="006021B0"/>
    <w:rsid w:val="0060226F"/>
    <w:rsid w:val="006026B3"/>
    <w:rsid w:val="006027A1"/>
    <w:rsid w:val="00602903"/>
    <w:rsid w:val="00602C73"/>
    <w:rsid w:val="00602E48"/>
    <w:rsid w:val="00602F9B"/>
    <w:rsid w:val="006038DF"/>
    <w:rsid w:val="00603AF6"/>
    <w:rsid w:val="00603BBB"/>
    <w:rsid w:val="00603F79"/>
    <w:rsid w:val="0060454E"/>
    <w:rsid w:val="006045EA"/>
    <w:rsid w:val="0060468E"/>
    <w:rsid w:val="0060479A"/>
    <w:rsid w:val="006047A6"/>
    <w:rsid w:val="00604E00"/>
    <w:rsid w:val="00604E5A"/>
    <w:rsid w:val="006055F4"/>
    <w:rsid w:val="00605711"/>
    <w:rsid w:val="0060591E"/>
    <w:rsid w:val="00605C9A"/>
    <w:rsid w:val="00606034"/>
    <w:rsid w:val="00606122"/>
    <w:rsid w:val="006065D9"/>
    <w:rsid w:val="006067D5"/>
    <w:rsid w:val="00606970"/>
    <w:rsid w:val="006069D7"/>
    <w:rsid w:val="00606CCB"/>
    <w:rsid w:val="00606D84"/>
    <w:rsid w:val="00607182"/>
    <w:rsid w:val="006071EE"/>
    <w:rsid w:val="0060720A"/>
    <w:rsid w:val="0060737A"/>
    <w:rsid w:val="0060765E"/>
    <w:rsid w:val="00607D5E"/>
    <w:rsid w:val="00607DD2"/>
    <w:rsid w:val="00607E22"/>
    <w:rsid w:val="0061004F"/>
    <w:rsid w:val="0061030E"/>
    <w:rsid w:val="006103C8"/>
    <w:rsid w:val="0061042C"/>
    <w:rsid w:val="00610486"/>
    <w:rsid w:val="0061062E"/>
    <w:rsid w:val="00610B9B"/>
    <w:rsid w:val="006110B9"/>
    <w:rsid w:val="00611347"/>
    <w:rsid w:val="0061161B"/>
    <w:rsid w:val="006116A7"/>
    <w:rsid w:val="006129FC"/>
    <w:rsid w:val="00612AE9"/>
    <w:rsid w:val="0061336B"/>
    <w:rsid w:val="006134B4"/>
    <w:rsid w:val="00613825"/>
    <w:rsid w:val="00613940"/>
    <w:rsid w:val="00613D10"/>
    <w:rsid w:val="00613D36"/>
    <w:rsid w:val="006142E9"/>
    <w:rsid w:val="0061463F"/>
    <w:rsid w:val="006148A7"/>
    <w:rsid w:val="00614A52"/>
    <w:rsid w:val="00614AC2"/>
    <w:rsid w:val="00614C1A"/>
    <w:rsid w:val="00614E2A"/>
    <w:rsid w:val="00614E7D"/>
    <w:rsid w:val="0061521B"/>
    <w:rsid w:val="006155AA"/>
    <w:rsid w:val="006155BA"/>
    <w:rsid w:val="00615CC0"/>
    <w:rsid w:val="00615DAD"/>
    <w:rsid w:val="00615DCE"/>
    <w:rsid w:val="006160C1"/>
    <w:rsid w:val="0061610E"/>
    <w:rsid w:val="00616450"/>
    <w:rsid w:val="00616882"/>
    <w:rsid w:val="00616AA5"/>
    <w:rsid w:val="0061722F"/>
    <w:rsid w:val="00617303"/>
    <w:rsid w:val="006178C8"/>
    <w:rsid w:val="006178D7"/>
    <w:rsid w:val="00617946"/>
    <w:rsid w:val="00617A3C"/>
    <w:rsid w:val="00617B2F"/>
    <w:rsid w:val="00617C8B"/>
    <w:rsid w:val="006204FC"/>
    <w:rsid w:val="006205B5"/>
    <w:rsid w:val="006206EF"/>
    <w:rsid w:val="0062079E"/>
    <w:rsid w:val="00620A3E"/>
    <w:rsid w:val="00620A46"/>
    <w:rsid w:val="00620B43"/>
    <w:rsid w:val="00620D18"/>
    <w:rsid w:val="00620E01"/>
    <w:rsid w:val="00621009"/>
    <w:rsid w:val="00621809"/>
    <w:rsid w:val="00621847"/>
    <w:rsid w:val="006218C3"/>
    <w:rsid w:val="00621ABE"/>
    <w:rsid w:val="00621B41"/>
    <w:rsid w:val="00621B4B"/>
    <w:rsid w:val="00621BAD"/>
    <w:rsid w:val="00621BF0"/>
    <w:rsid w:val="00621C8A"/>
    <w:rsid w:val="00621D30"/>
    <w:rsid w:val="00621DBC"/>
    <w:rsid w:val="00622152"/>
    <w:rsid w:val="00622347"/>
    <w:rsid w:val="006225B5"/>
    <w:rsid w:val="006225BF"/>
    <w:rsid w:val="00622835"/>
    <w:rsid w:val="00622C0C"/>
    <w:rsid w:val="00622E93"/>
    <w:rsid w:val="00623058"/>
    <w:rsid w:val="00623171"/>
    <w:rsid w:val="006232C0"/>
    <w:rsid w:val="0062332C"/>
    <w:rsid w:val="0062357D"/>
    <w:rsid w:val="006236F4"/>
    <w:rsid w:val="00623B11"/>
    <w:rsid w:val="00623EEF"/>
    <w:rsid w:val="0062418F"/>
    <w:rsid w:val="006241D2"/>
    <w:rsid w:val="006242BE"/>
    <w:rsid w:val="006242F5"/>
    <w:rsid w:val="00624538"/>
    <w:rsid w:val="00624593"/>
    <w:rsid w:val="00624CAA"/>
    <w:rsid w:val="00625219"/>
    <w:rsid w:val="0062522E"/>
    <w:rsid w:val="006256F1"/>
    <w:rsid w:val="006258E3"/>
    <w:rsid w:val="0062595C"/>
    <w:rsid w:val="00625A81"/>
    <w:rsid w:val="00625B5E"/>
    <w:rsid w:val="00626027"/>
    <w:rsid w:val="006265F6"/>
    <w:rsid w:val="006265FF"/>
    <w:rsid w:val="00626753"/>
    <w:rsid w:val="006267EF"/>
    <w:rsid w:val="00626C74"/>
    <w:rsid w:val="00626CDF"/>
    <w:rsid w:val="00626CF2"/>
    <w:rsid w:val="00626F64"/>
    <w:rsid w:val="0062703F"/>
    <w:rsid w:val="0062710E"/>
    <w:rsid w:val="006271DF"/>
    <w:rsid w:val="00627303"/>
    <w:rsid w:val="00627893"/>
    <w:rsid w:val="00627A25"/>
    <w:rsid w:val="00627BC9"/>
    <w:rsid w:val="0063002B"/>
    <w:rsid w:val="00630041"/>
    <w:rsid w:val="006304DA"/>
    <w:rsid w:val="00630DB8"/>
    <w:rsid w:val="006310A7"/>
    <w:rsid w:val="0063110F"/>
    <w:rsid w:val="0063125B"/>
    <w:rsid w:val="0063159D"/>
    <w:rsid w:val="00631617"/>
    <w:rsid w:val="006318D2"/>
    <w:rsid w:val="00631C3C"/>
    <w:rsid w:val="00631D29"/>
    <w:rsid w:val="00631DC0"/>
    <w:rsid w:val="00631E45"/>
    <w:rsid w:val="00631EFF"/>
    <w:rsid w:val="00631F6D"/>
    <w:rsid w:val="00632072"/>
    <w:rsid w:val="00632092"/>
    <w:rsid w:val="0063209B"/>
    <w:rsid w:val="006320BD"/>
    <w:rsid w:val="006321E5"/>
    <w:rsid w:val="0063255E"/>
    <w:rsid w:val="00632945"/>
    <w:rsid w:val="00632A4B"/>
    <w:rsid w:val="00632A77"/>
    <w:rsid w:val="00632E0A"/>
    <w:rsid w:val="00632EA6"/>
    <w:rsid w:val="00633274"/>
    <w:rsid w:val="00633462"/>
    <w:rsid w:val="006335F2"/>
    <w:rsid w:val="0063361C"/>
    <w:rsid w:val="00633622"/>
    <w:rsid w:val="00633686"/>
    <w:rsid w:val="00633AFA"/>
    <w:rsid w:val="00633E60"/>
    <w:rsid w:val="00633EA3"/>
    <w:rsid w:val="0063422F"/>
    <w:rsid w:val="0063453D"/>
    <w:rsid w:val="006345ED"/>
    <w:rsid w:val="006345F4"/>
    <w:rsid w:val="0063464A"/>
    <w:rsid w:val="00634964"/>
    <w:rsid w:val="006349AE"/>
    <w:rsid w:val="00635089"/>
    <w:rsid w:val="006350ED"/>
    <w:rsid w:val="0063589D"/>
    <w:rsid w:val="00635B85"/>
    <w:rsid w:val="00636219"/>
    <w:rsid w:val="00636765"/>
    <w:rsid w:val="00636953"/>
    <w:rsid w:val="00636D40"/>
    <w:rsid w:val="00637D2B"/>
    <w:rsid w:val="00640000"/>
    <w:rsid w:val="0064074B"/>
    <w:rsid w:val="00640CEB"/>
    <w:rsid w:val="00640F5F"/>
    <w:rsid w:val="00640FAA"/>
    <w:rsid w:val="0064159E"/>
    <w:rsid w:val="0064189E"/>
    <w:rsid w:val="00641F96"/>
    <w:rsid w:val="00641FD2"/>
    <w:rsid w:val="00642634"/>
    <w:rsid w:val="0064265B"/>
    <w:rsid w:val="006426BA"/>
    <w:rsid w:val="006427E3"/>
    <w:rsid w:val="00642927"/>
    <w:rsid w:val="00642A26"/>
    <w:rsid w:val="00642B33"/>
    <w:rsid w:val="00642BC8"/>
    <w:rsid w:val="00642BDC"/>
    <w:rsid w:val="00642C4F"/>
    <w:rsid w:val="00643077"/>
    <w:rsid w:val="00643777"/>
    <w:rsid w:val="0064382B"/>
    <w:rsid w:val="00643A05"/>
    <w:rsid w:val="00643B9A"/>
    <w:rsid w:val="00643BA6"/>
    <w:rsid w:val="00643F37"/>
    <w:rsid w:val="00644240"/>
    <w:rsid w:val="006442CD"/>
    <w:rsid w:val="0064452A"/>
    <w:rsid w:val="006445FC"/>
    <w:rsid w:val="00644679"/>
    <w:rsid w:val="0064497B"/>
    <w:rsid w:val="00644A32"/>
    <w:rsid w:val="00644BA9"/>
    <w:rsid w:val="00644C2C"/>
    <w:rsid w:val="00644DF6"/>
    <w:rsid w:val="00644E90"/>
    <w:rsid w:val="00645064"/>
    <w:rsid w:val="006451DB"/>
    <w:rsid w:val="0064525B"/>
    <w:rsid w:val="006454FE"/>
    <w:rsid w:val="006456D1"/>
    <w:rsid w:val="00645D50"/>
    <w:rsid w:val="00645E33"/>
    <w:rsid w:val="00645ECE"/>
    <w:rsid w:val="00646114"/>
    <w:rsid w:val="006461F7"/>
    <w:rsid w:val="006465A9"/>
    <w:rsid w:val="006468E0"/>
    <w:rsid w:val="0064694A"/>
    <w:rsid w:val="00646A54"/>
    <w:rsid w:val="00646BCF"/>
    <w:rsid w:val="00647366"/>
    <w:rsid w:val="006473C4"/>
    <w:rsid w:val="00647517"/>
    <w:rsid w:val="00647715"/>
    <w:rsid w:val="00647861"/>
    <w:rsid w:val="00647D94"/>
    <w:rsid w:val="00647E1F"/>
    <w:rsid w:val="006500F7"/>
    <w:rsid w:val="00650745"/>
    <w:rsid w:val="00650B42"/>
    <w:rsid w:val="00650DFB"/>
    <w:rsid w:val="00650EA5"/>
    <w:rsid w:val="00651092"/>
    <w:rsid w:val="00651102"/>
    <w:rsid w:val="006518D7"/>
    <w:rsid w:val="00651B77"/>
    <w:rsid w:val="00651D4E"/>
    <w:rsid w:val="00651EA4"/>
    <w:rsid w:val="00651F73"/>
    <w:rsid w:val="006523F5"/>
    <w:rsid w:val="006524FB"/>
    <w:rsid w:val="0065257C"/>
    <w:rsid w:val="006531AF"/>
    <w:rsid w:val="006532E9"/>
    <w:rsid w:val="0065356A"/>
    <w:rsid w:val="0065392B"/>
    <w:rsid w:val="00653943"/>
    <w:rsid w:val="006539A1"/>
    <w:rsid w:val="00653A6F"/>
    <w:rsid w:val="00653C40"/>
    <w:rsid w:val="00653E7B"/>
    <w:rsid w:val="00654137"/>
    <w:rsid w:val="006541CA"/>
    <w:rsid w:val="00654486"/>
    <w:rsid w:val="00654AA9"/>
    <w:rsid w:val="00654CD7"/>
    <w:rsid w:val="0065518C"/>
    <w:rsid w:val="00655530"/>
    <w:rsid w:val="00655750"/>
    <w:rsid w:val="006558E4"/>
    <w:rsid w:val="00655B71"/>
    <w:rsid w:val="00655BEE"/>
    <w:rsid w:val="00655E3E"/>
    <w:rsid w:val="006563D3"/>
    <w:rsid w:val="006568BB"/>
    <w:rsid w:val="00656938"/>
    <w:rsid w:val="006569F6"/>
    <w:rsid w:val="00656DB3"/>
    <w:rsid w:val="00657400"/>
    <w:rsid w:val="00657762"/>
    <w:rsid w:val="006577D1"/>
    <w:rsid w:val="006578C6"/>
    <w:rsid w:val="00657C0F"/>
    <w:rsid w:val="00657DAA"/>
    <w:rsid w:val="006601AC"/>
    <w:rsid w:val="006603F6"/>
    <w:rsid w:val="00660930"/>
    <w:rsid w:val="00660A1D"/>
    <w:rsid w:val="00660DC4"/>
    <w:rsid w:val="00660EC7"/>
    <w:rsid w:val="006610D6"/>
    <w:rsid w:val="0066136A"/>
    <w:rsid w:val="00661858"/>
    <w:rsid w:val="00661884"/>
    <w:rsid w:val="006619B3"/>
    <w:rsid w:val="006619C5"/>
    <w:rsid w:val="00661B29"/>
    <w:rsid w:val="00661B9F"/>
    <w:rsid w:val="00661DF3"/>
    <w:rsid w:val="00661F28"/>
    <w:rsid w:val="00661F8E"/>
    <w:rsid w:val="00661FD0"/>
    <w:rsid w:val="006622DC"/>
    <w:rsid w:val="006625E5"/>
    <w:rsid w:val="00662755"/>
    <w:rsid w:val="00662C16"/>
    <w:rsid w:val="00662DD9"/>
    <w:rsid w:val="00662FEE"/>
    <w:rsid w:val="006632BB"/>
    <w:rsid w:val="0066347E"/>
    <w:rsid w:val="0066368B"/>
    <w:rsid w:val="00663939"/>
    <w:rsid w:val="00663A8C"/>
    <w:rsid w:val="00663B59"/>
    <w:rsid w:val="00663FD3"/>
    <w:rsid w:val="00664011"/>
    <w:rsid w:val="0066425F"/>
    <w:rsid w:val="006643FD"/>
    <w:rsid w:val="00664444"/>
    <w:rsid w:val="0066446D"/>
    <w:rsid w:val="0066495A"/>
    <w:rsid w:val="00664A8C"/>
    <w:rsid w:val="00664E05"/>
    <w:rsid w:val="00664E31"/>
    <w:rsid w:val="00664E3D"/>
    <w:rsid w:val="0066563F"/>
    <w:rsid w:val="00665951"/>
    <w:rsid w:val="00665DFF"/>
    <w:rsid w:val="00666803"/>
    <w:rsid w:val="00666B52"/>
    <w:rsid w:val="00666E1C"/>
    <w:rsid w:val="00666F24"/>
    <w:rsid w:val="00667138"/>
    <w:rsid w:val="006671C4"/>
    <w:rsid w:val="0066728B"/>
    <w:rsid w:val="0066787B"/>
    <w:rsid w:val="006678A5"/>
    <w:rsid w:val="00667A7E"/>
    <w:rsid w:val="00667EF2"/>
    <w:rsid w:val="00670165"/>
    <w:rsid w:val="006702A0"/>
    <w:rsid w:val="006702F5"/>
    <w:rsid w:val="00670301"/>
    <w:rsid w:val="006704A3"/>
    <w:rsid w:val="006705A8"/>
    <w:rsid w:val="006705E7"/>
    <w:rsid w:val="00670CA8"/>
    <w:rsid w:val="00670D16"/>
    <w:rsid w:val="00670E04"/>
    <w:rsid w:val="00670FDA"/>
    <w:rsid w:val="006713BB"/>
    <w:rsid w:val="006713FF"/>
    <w:rsid w:val="006714ED"/>
    <w:rsid w:val="00671832"/>
    <w:rsid w:val="00671B0B"/>
    <w:rsid w:val="00671B42"/>
    <w:rsid w:val="00671B7E"/>
    <w:rsid w:val="00671C6E"/>
    <w:rsid w:val="00671DEA"/>
    <w:rsid w:val="00671F04"/>
    <w:rsid w:val="00671F36"/>
    <w:rsid w:val="006722AE"/>
    <w:rsid w:val="00672466"/>
    <w:rsid w:val="0067256F"/>
    <w:rsid w:val="00672620"/>
    <w:rsid w:val="0067264F"/>
    <w:rsid w:val="006727F8"/>
    <w:rsid w:val="00673C0D"/>
    <w:rsid w:val="00673D27"/>
    <w:rsid w:val="006744A1"/>
    <w:rsid w:val="006745E3"/>
    <w:rsid w:val="006748F0"/>
    <w:rsid w:val="006749E7"/>
    <w:rsid w:val="00674BA5"/>
    <w:rsid w:val="00674CB0"/>
    <w:rsid w:val="00675026"/>
    <w:rsid w:val="00675672"/>
    <w:rsid w:val="00675A07"/>
    <w:rsid w:val="00675C3D"/>
    <w:rsid w:val="00675DAC"/>
    <w:rsid w:val="00675F58"/>
    <w:rsid w:val="00676788"/>
    <w:rsid w:val="00676AAD"/>
    <w:rsid w:val="00676F8C"/>
    <w:rsid w:val="00676FDD"/>
    <w:rsid w:val="0067772E"/>
    <w:rsid w:val="0067797A"/>
    <w:rsid w:val="006779FC"/>
    <w:rsid w:val="00677BA4"/>
    <w:rsid w:val="00677CF2"/>
    <w:rsid w:val="00680214"/>
    <w:rsid w:val="006809B4"/>
    <w:rsid w:val="00680C93"/>
    <w:rsid w:val="00680FEB"/>
    <w:rsid w:val="00681002"/>
    <w:rsid w:val="0068125F"/>
    <w:rsid w:val="006815EF"/>
    <w:rsid w:val="00681612"/>
    <w:rsid w:val="00681AF5"/>
    <w:rsid w:val="00681C90"/>
    <w:rsid w:val="00681ED5"/>
    <w:rsid w:val="00681F91"/>
    <w:rsid w:val="006829CE"/>
    <w:rsid w:val="00682F0E"/>
    <w:rsid w:val="006831DD"/>
    <w:rsid w:val="0068324A"/>
    <w:rsid w:val="006835C3"/>
    <w:rsid w:val="00683629"/>
    <w:rsid w:val="00683648"/>
    <w:rsid w:val="00683737"/>
    <w:rsid w:val="006837C3"/>
    <w:rsid w:val="00683880"/>
    <w:rsid w:val="00683F7F"/>
    <w:rsid w:val="0068406D"/>
    <w:rsid w:val="00684153"/>
    <w:rsid w:val="006847DD"/>
    <w:rsid w:val="006848A6"/>
    <w:rsid w:val="006848B4"/>
    <w:rsid w:val="00684908"/>
    <w:rsid w:val="00684C36"/>
    <w:rsid w:val="00684D60"/>
    <w:rsid w:val="006852CA"/>
    <w:rsid w:val="006852DF"/>
    <w:rsid w:val="00685613"/>
    <w:rsid w:val="00685C3F"/>
    <w:rsid w:val="00685DF7"/>
    <w:rsid w:val="0068630E"/>
    <w:rsid w:val="00686371"/>
    <w:rsid w:val="00686B66"/>
    <w:rsid w:val="00686BC0"/>
    <w:rsid w:val="00686F71"/>
    <w:rsid w:val="006871A6"/>
    <w:rsid w:val="006872BD"/>
    <w:rsid w:val="0068767F"/>
    <w:rsid w:val="0068773D"/>
    <w:rsid w:val="00687C86"/>
    <w:rsid w:val="00690385"/>
    <w:rsid w:val="00690693"/>
    <w:rsid w:val="00690773"/>
    <w:rsid w:val="006909E5"/>
    <w:rsid w:val="00690EDA"/>
    <w:rsid w:val="00690FBA"/>
    <w:rsid w:val="00691062"/>
    <w:rsid w:val="006916DA"/>
    <w:rsid w:val="0069196E"/>
    <w:rsid w:val="00691AA1"/>
    <w:rsid w:val="00691AFB"/>
    <w:rsid w:val="00691B7E"/>
    <w:rsid w:val="00691C8C"/>
    <w:rsid w:val="00691C99"/>
    <w:rsid w:val="0069232C"/>
    <w:rsid w:val="0069242E"/>
    <w:rsid w:val="006925C9"/>
    <w:rsid w:val="006928A4"/>
    <w:rsid w:val="006929F0"/>
    <w:rsid w:val="00692B98"/>
    <w:rsid w:val="0069309B"/>
    <w:rsid w:val="0069312A"/>
    <w:rsid w:val="00693155"/>
    <w:rsid w:val="00693657"/>
    <w:rsid w:val="00693CC3"/>
    <w:rsid w:val="006943A4"/>
    <w:rsid w:val="00694584"/>
    <w:rsid w:val="006946AF"/>
    <w:rsid w:val="00694A28"/>
    <w:rsid w:val="00694A2A"/>
    <w:rsid w:val="00694E3F"/>
    <w:rsid w:val="006956E0"/>
    <w:rsid w:val="00695747"/>
    <w:rsid w:val="0069583B"/>
    <w:rsid w:val="00695885"/>
    <w:rsid w:val="00695916"/>
    <w:rsid w:val="00695B6F"/>
    <w:rsid w:val="0069616E"/>
    <w:rsid w:val="00696645"/>
    <w:rsid w:val="006969B5"/>
    <w:rsid w:val="00697617"/>
    <w:rsid w:val="00697646"/>
    <w:rsid w:val="00697704"/>
    <w:rsid w:val="006977D2"/>
    <w:rsid w:val="006978B3"/>
    <w:rsid w:val="0069795F"/>
    <w:rsid w:val="00697992"/>
    <w:rsid w:val="00697A64"/>
    <w:rsid w:val="00697D6A"/>
    <w:rsid w:val="00697D99"/>
    <w:rsid w:val="006A020A"/>
    <w:rsid w:val="006A028A"/>
    <w:rsid w:val="006A0336"/>
    <w:rsid w:val="006A0367"/>
    <w:rsid w:val="006A0696"/>
    <w:rsid w:val="006A07A8"/>
    <w:rsid w:val="006A07EB"/>
    <w:rsid w:val="006A0D6D"/>
    <w:rsid w:val="006A0E26"/>
    <w:rsid w:val="006A0F46"/>
    <w:rsid w:val="006A0F77"/>
    <w:rsid w:val="006A10DE"/>
    <w:rsid w:val="006A1137"/>
    <w:rsid w:val="006A172B"/>
    <w:rsid w:val="006A1AED"/>
    <w:rsid w:val="006A1B4F"/>
    <w:rsid w:val="006A1B8E"/>
    <w:rsid w:val="006A1C16"/>
    <w:rsid w:val="006A1EB8"/>
    <w:rsid w:val="006A1F67"/>
    <w:rsid w:val="006A2B9F"/>
    <w:rsid w:val="006A2BFB"/>
    <w:rsid w:val="006A2D34"/>
    <w:rsid w:val="006A2DEA"/>
    <w:rsid w:val="006A30D3"/>
    <w:rsid w:val="006A354C"/>
    <w:rsid w:val="006A3719"/>
    <w:rsid w:val="006A3781"/>
    <w:rsid w:val="006A3A0E"/>
    <w:rsid w:val="006A3A1B"/>
    <w:rsid w:val="006A3FDD"/>
    <w:rsid w:val="006A41F3"/>
    <w:rsid w:val="006A426E"/>
    <w:rsid w:val="006A469B"/>
    <w:rsid w:val="006A4758"/>
    <w:rsid w:val="006A486F"/>
    <w:rsid w:val="006A48E7"/>
    <w:rsid w:val="006A4A55"/>
    <w:rsid w:val="006A4A60"/>
    <w:rsid w:val="006A4C3B"/>
    <w:rsid w:val="006A4F98"/>
    <w:rsid w:val="006A533C"/>
    <w:rsid w:val="006A57B0"/>
    <w:rsid w:val="006A5889"/>
    <w:rsid w:val="006A5A56"/>
    <w:rsid w:val="006A5AD2"/>
    <w:rsid w:val="006A5F2F"/>
    <w:rsid w:val="006A68E4"/>
    <w:rsid w:val="006A69E0"/>
    <w:rsid w:val="006A69FF"/>
    <w:rsid w:val="006A6C6A"/>
    <w:rsid w:val="006A74FE"/>
    <w:rsid w:val="006A76FC"/>
    <w:rsid w:val="006A781F"/>
    <w:rsid w:val="006A79A4"/>
    <w:rsid w:val="006A7A99"/>
    <w:rsid w:val="006A7CAD"/>
    <w:rsid w:val="006A7D56"/>
    <w:rsid w:val="006A7DE9"/>
    <w:rsid w:val="006A7F4B"/>
    <w:rsid w:val="006B00AD"/>
    <w:rsid w:val="006B0201"/>
    <w:rsid w:val="006B0629"/>
    <w:rsid w:val="006B082D"/>
    <w:rsid w:val="006B0C62"/>
    <w:rsid w:val="006B0D03"/>
    <w:rsid w:val="006B0D2C"/>
    <w:rsid w:val="006B0DFB"/>
    <w:rsid w:val="006B0E5B"/>
    <w:rsid w:val="006B0E69"/>
    <w:rsid w:val="006B0F00"/>
    <w:rsid w:val="006B0F1A"/>
    <w:rsid w:val="006B123E"/>
    <w:rsid w:val="006B1721"/>
    <w:rsid w:val="006B1886"/>
    <w:rsid w:val="006B1997"/>
    <w:rsid w:val="006B1F19"/>
    <w:rsid w:val="006B2010"/>
    <w:rsid w:val="006B21BE"/>
    <w:rsid w:val="006B21EE"/>
    <w:rsid w:val="006B2290"/>
    <w:rsid w:val="006B24F3"/>
    <w:rsid w:val="006B2B92"/>
    <w:rsid w:val="006B2D2B"/>
    <w:rsid w:val="006B3484"/>
    <w:rsid w:val="006B3680"/>
    <w:rsid w:val="006B37DA"/>
    <w:rsid w:val="006B3961"/>
    <w:rsid w:val="006B414E"/>
    <w:rsid w:val="006B4263"/>
    <w:rsid w:val="006B456B"/>
    <w:rsid w:val="006B48C1"/>
    <w:rsid w:val="006B4A1A"/>
    <w:rsid w:val="006B4DE9"/>
    <w:rsid w:val="006B4FA3"/>
    <w:rsid w:val="006B5151"/>
    <w:rsid w:val="006B53F0"/>
    <w:rsid w:val="006B5425"/>
    <w:rsid w:val="006B56D6"/>
    <w:rsid w:val="006B576E"/>
    <w:rsid w:val="006B5AE4"/>
    <w:rsid w:val="006B5E24"/>
    <w:rsid w:val="006B5F9E"/>
    <w:rsid w:val="006B62DC"/>
    <w:rsid w:val="006B635C"/>
    <w:rsid w:val="006B63EB"/>
    <w:rsid w:val="006B6512"/>
    <w:rsid w:val="006B6CD9"/>
    <w:rsid w:val="006B720E"/>
    <w:rsid w:val="006B7292"/>
    <w:rsid w:val="006B748C"/>
    <w:rsid w:val="006B769D"/>
    <w:rsid w:val="006B76CC"/>
    <w:rsid w:val="006B78C7"/>
    <w:rsid w:val="006B7967"/>
    <w:rsid w:val="006B7C96"/>
    <w:rsid w:val="006B7DAB"/>
    <w:rsid w:val="006C052B"/>
    <w:rsid w:val="006C0890"/>
    <w:rsid w:val="006C0909"/>
    <w:rsid w:val="006C0C0F"/>
    <w:rsid w:val="006C0C3E"/>
    <w:rsid w:val="006C1540"/>
    <w:rsid w:val="006C16A6"/>
    <w:rsid w:val="006C1BC7"/>
    <w:rsid w:val="006C1D1D"/>
    <w:rsid w:val="006C1FB3"/>
    <w:rsid w:val="006C2390"/>
    <w:rsid w:val="006C2451"/>
    <w:rsid w:val="006C2512"/>
    <w:rsid w:val="006C2761"/>
    <w:rsid w:val="006C29DA"/>
    <w:rsid w:val="006C2BCD"/>
    <w:rsid w:val="006C2CFE"/>
    <w:rsid w:val="006C301D"/>
    <w:rsid w:val="006C3057"/>
    <w:rsid w:val="006C30FF"/>
    <w:rsid w:val="006C3201"/>
    <w:rsid w:val="006C323F"/>
    <w:rsid w:val="006C382C"/>
    <w:rsid w:val="006C391D"/>
    <w:rsid w:val="006C396F"/>
    <w:rsid w:val="006C3B33"/>
    <w:rsid w:val="006C3BA3"/>
    <w:rsid w:val="006C3C49"/>
    <w:rsid w:val="006C4167"/>
    <w:rsid w:val="006C4377"/>
    <w:rsid w:val="006C44BF"/>
    <w:rsid w:val="006C46C9"/>
    <w:rsid w:val="006C49DF"/>
    <w:rsid w:val="006C4A0C"/>
    <w:rsid w:val="006C4D09"/>
    <w:rsid w:val="006C4E75"/>
    <w:rsid w:val="006C50AD"/>
    <w:rsid w:val="006C51F7"/>
    <w:rsid w:val="006C550C"/>
    <w:rsid w:val="006C591A"/>
    <w:rsid w:val="006C5B54"/>
    <w:rsid w:val="006C5F18"/>
    <w:rsid w:val="006C601A"/>
    <w:rsid w:val="006C6194"/>
    <w:rsid w:val="006C627D"/>
    <w:rsid w:val="006C63CA"/>
    <w:rsid w:val="006C673C"/>
    <w:rsid w:val="006C720F"/>
    <w:rsid w:val="006C75CB"/>
    <w:rsid w:val="006C7665"/>
    <w:rsid w:val="006C7731"/>
    <w:rsid w:val="006C7949"/>
    <w:rsid w:val="006C7AE0"/>
    <w:rsid w:val="006C7E8A"/>
    <w:rsid w:val="006C7F65"/>
    <w:rsid w:val="006D021A"/>
    <w:rsid w:val="006D03EC"/>
    <w:rsid w:val="006D05CA"/>
    <w:rsid w:val="006D082F"/>
    <w:rsid w:val="006D0885"/>
    <w:rsid w:val="006D08CE"/>
    <w:rsid w:val="006D0A34"/>
    <w:rsid w:val="006D0A8B"/>
    <w:rsid w:val="006D0BBA"/>
    <w:rsid w:val="006D0C7A"/>
    <w:rsid w:val="006D112E"/>
    <w:rsid w:val="006D1784"/>
    <w:rsid w:val="006D1D93"/>
    <w:rsid w:val="006D1F53"/>
    <w:rsid w:val="006D226F"/>
    <w:rsid w:val="006D2349"/>
    <w:rsid w:val="006D25F0"/>
    <w:rsid w:val="006D2609"/>
    <w:rsid w:val="006D269E"/>
    <w:rsid w:val="006D2F05"/>
    <w:rsid w:val="006D30FE"/>
    <w:rsid w:val="006D34FC"/>
    <w:rsid w:val="006D3637"/>
    <w:rsid w:val="006D37FB"/>
    <w:rsid w:val="006D38C0"/>
    <w:rsid w:val="006D39A7"/>
    <w:rsid w:val="006D3CF8"/>
    <w:rsid w:val="006D3E46"/>
    <w:rsid w:val="006D3F5B"/>
    <w:rsid w:val="006D3FBE"/>
    <w:rsid w:val="006D3FC0"/>
    <w:rsid w:val="006D3FEB"/>
    <w:rsid w:val="006D42CE"/>
    <w:rsid w:val="006D4335"/>
    <w:rsid w:val="006D46ED"/>
    <w:rsid w:val="006D507B"/>
    <w:rsid w:val="006D5281"/>
    <w:rsid w:val="006D53C3"/>
    <w:rsid w:val="006D54ED"/>
    <w:rsid w:val="006D55C3"/>
    <w:rsid w:val="006D5D8D"/>
    <w:rsid w:val="006D5E8F"/>
    <w:rsid w:val="006D5ED8"/>
    <w:rsid w:val="006D6183"/>
    <w:rsid w:val="006D6536"/>
    <w:rsid w:val="006D68C4"/>
    <w:rsid w:val="006D6956"/>
    <w:rsid w:val="006D69F3"/>
    <w:rsid w:val="006D6BAF"/>
    <w:rsid w:val="006D6C2F"/>
    <w:rsid w:val="006D6F53"/>
    <w:rsid w:val="006D6F75"/>
    <w:rsid w:val="006D6FC2"/>
    <w:rsid w:val="006D70D2"/>
    <w:rsid w:val="006D746F"/>
    <w:rsid w:val="006D7900"/>
    <w:rsid w:val="006D7970"/>
    <w:rsid w:val="006E01DB"/>
    <w:rsid w:val="006E0428"/>
    <w:rsid w:val="006E07E1"/>
    <w:rsid w:val="006E08FB"/>
    <w:rsid w:val="006E09DE"/>
    <w:rsid w:val="006E0AE2"/>
    <w:rsid w:val="006E0E01"/>
    <w:rsid w:val="006E0EA6"/>
    <w:rsid w:val="006E0F4F"/>
    <w:rsid w:val="006E12D4"/>
    <w:rsid w:val="006E1596"/>
    <w:rsid w:val="006E176A"/>
    <w:rsid w:val="006E1A98"/>
    <w:rsid w:val="006E1B3B"/>
    <w:rsid w:val="006E1C35"/>
    <w:rsid w:val="006E1CD3"/>
    <w:rsid w:val="006E1E4B"/>
    <w:rsid w:val="006E20DA"/>
    <w:rsid w:val="006E20F2"/>
    <w:rsid w:val="006E2366"/>
    <w:rsid w:val="006E26D1"/>
    <w:rsid w:val="006E2761"/>
    <w:rsid w:val="006E2E14"/>
    <w:rsid w:val="006E2F57"/>
    <w:rsid w:val="006E328C"/>
    <w:rsid w:val="006E355A"/>
    <w:rsid w:val="006E3A32"/>
    <w:rsid w:val="006E3B41"/>
    <w:rsid w:val="006E3BAD"/>
    <w:rsid w:val="006E3C68"/>
    <w:rsid w:val="006E49AD"/>
    <w:rsid w:val="006E4C75"/>
    <w:rsid w:val="006E50B2"/>
    <w:rsid w:val="006E523B"/>
    <w:rsid w:val="006E527C"/>
    <w:rsid w:val="006E5543"/>
    <w:rsid w:val="006E5634"/>
    <w:rsid w:val="006E573D"/>
    <w:rsid w:val="006E596D"/>
    <w:rsid w:val="006E5B7D"/>
    <w:rsid w:val="006E6115"/>
    <w:rsid w:val="006E6422"/>
    <w:rsid w:val="006E6839"/>
    <w:rsid w:val="006E68F5"/>
    <w:rsid w:val="006E6F71"/>
    <w:rsid w:val="006E72C1"/>
    <w:rsid w:val="006E77A7"/>
    <w:rsid w:val="006E78D2"/>
    <w:rsid w:val="006E78F0"/>
    <w:rsid w:val="006E7ABA"/>
    <w:rsid w:val="006E7BC9"/>
    <w:rsid w:val="006E7CE4"/>
    <w:rsid w:val="006E7ED9"/>
    <w:rsid w:val="006F0404"/>
    <w:rsid w:val="006F041C"/>
    <w:rsid w:val="006F0AA7"/>
    <w:rsid w:val="006F0AD5"/>
    <w:rsid w:val="006F0E5F"/>
    <w:rsid w:val="006F0F4A"/>
    <w:rsid w:val="006F1118"/>
    <w:rsid w:val="006F13B5"/>
    <w:rsid w:val="006F15F0"/>
    <w:rsid w:val="006F1637"/>
    <w:rsid w:val="006F16DB"/>
    <w:rsid w:val="006F173B"/>
    <w:rsid w:val="006F1876"/>
    <w:rsid w:val="006F192E"/>
    <w:rsid w:val="006F1B57"/>
    <w:rsid w:val="006F1D34"/>
    <w:rsid w:val="006F1DB7"/>
    <w:rsid w:val="006F217D"/>
    <w:rsid w:val="006F228B"/>
    <w:rsid w:val="006F2502"/>
    <w:rsid w:val="006F2A3F"/>
    <w:rsid w:val="006F311D"/>
    <w:rsid w:val="006F31D8"/>
    <w:rsid w:val="006F325F"/>
    <w:rsid w:val="006F33FB"/>
    <w:rsid w:val="006F3431"/>
    <w:rsid w:val="006F34FE"/>
    <w:rsid w:val="006F3907"/>
    <w:rsid w:val="006F44B4"/>
    <w:rsid w:val="006F46CA"/>
    <w:rsid w:val="006F4FF3"/>
    <w:rsid w:val="006F518B"/>
    <w:rsid w:val="006F52F4"/>
    <w:rsid w:val="006F537A"/>
    <w:rsid w:val="006F54CD"/>
    <w:rsid w:val="006F587D"/>
    <w:rsid w:val="006F5A78"/>
    <w:rsid w:val="006F5BF3"/>
    <w:rsid w:val="006F5C4A"/>
    <w:rsid w:val="006F5C58"/>
    <w:rsid w:val="006F5FD6"/>
    <w:rsid w:val="006F6240"/>
    <w:rsid w:val="006F6362"/>
    <w:rsid w:val="006F68E6"/>
    <w:rsid w:val="006F6AA9"/>
    <w:rsid w:val="006F6B02"/>
    <w:rsid w:val="006F6BF9"/>
    <w:rsid w:val="006F6CE6"/>
    <w:rsid w:val="006F6D10"/>
    <w:rsid w:val="006F701A"/>
    <w:rsid w:val="006F7327"/>
    <w:rsid w:val="006F7593"/>
    <w:rsid w:val="006F7681"/>
    <w:rsid w:val="006F76F4"/>
    <w:rsid w:val="006F78F7"/>
    <w:rsid w:val="006F7997"/>
    <w:rsid w:val="006F7D3F"/>
    <w:rsid w:val="006F7E8A"/>
    <w:rsid w:val="006F7F67"/>
    <w:rsid w:val="007000A1"/>
    <w:rsid w:val="007002F4"/>
    <w:rsid w:val="007004FC"/>
    <w:rsid w:val="007007C8"/>
    <w:rsid w:val="0070088E"/>
    <w:rsid w:val="007008B8"/>
    <w:rsid w:val="00700918"/>
    <w:rsid w:val="00700922"/>
    <w:rsid w:val="00700BE1"/>
    <w:rsid w:val="00700CE9"/>
    <w:rsid w:val="0070109B"/>
    <w:rsid w:val="00701448"/>
    <w:rsid w:val="007019C5"/>
    <w:rsid w:val="0070212D"/>
    <w:rsid w:val="00702168"/>
    <w:rsid w:val="007022CB"/>
    <w:rsid w:val="0070253A"/>
    <w:rsid w:val="007026F5"/>
    <w:rsid w:val="007027D3"/>
    <w:rsid w:val="007028C7"/>
    <w:rsid w:val="00702DE8"/>
    <w:rsid w:val="00702ECB"/>
    <w:rsid w:val="00702F8F"/>
    <w:rsid w:val="00702F97"/>
    <w:rsid w:val="00703155"/>
    <w:rsid w:val="00703537"/>
    <w:rsid w:val="00703E81"/>
    <w:rsid w:val="007040A0"/>
    <w:rsid w:val="00704162"/>
    <w:rsid w:val="00704264"/>
    <w:rsid w:val="00704607"/>
    <w:rsid w:val="00704622"/>
    <w:rsid w:val="00704DF5"/>
    <w:rsid w:val="00704E62"/>
    <w:rsid w:val="00705247"/>
    <w:rsid w:val="007053AA"/>
    <w:rsid w:val="0070549A"/>
    <w:rsid w:val="00705638"/>
    <w:rsid w:val="00705A7E"/>
    <w:rsid w:val="00705F32"/>
    <w:rsid w:val="007060A1"/>
    <w:rsid w:val="0070627B"/>
    <w:rsid w:val="007062EB"/>
    <w:rsid w:val="00706514"/>
    <w:rsid w:val="00706634"/>
    <w:rsid w:val="007066E7"/>
    <w:rsid w:val="007067C3"/>
    <w:rsid w:val="0070681D"/>
    <w:rsid w:val="00707161"/>
    <w:rsid w:val="00707414"/>
    <w:rsid w:val="00707493"/>
    <w:rsid w:val="0070778F"/>
    <w:rsid w:val="007078FA"/>
    <w:rsid w:val="007079D6"/>
    <w:rsid w:val="00707B9E"/>
    <w:rsid w:val="00707F29"/>
    <w:rsid w:val="00707F41"/>
    <w:rsid w:val="00707FA6"/>
    <w:rsid w:val="0071027E"/>
    <w:rsid w:val="00710489"/>
    <w:rsid w:val="00710597"/>
    <w:rsid w:val="00710677"/>
    <w:rsid w:val="00710741"/>
    <w:rsid w:val="00710B95"/>
    <w:rsid w:val="00710CB0"/>
    <w:rsid w:val="00710DE2"/>
    <w:rsid w:val="00710EF9"/>
    <w:rsid w:val="00710F79"/>
    <w:rsid w:val="00711282"/>
    <w:rsid w:val="00711430"/>
    <w:rsid w:val="00711B9D"/>
    <w:rsid w:val="00711BE6"/>
    <w:rsid w:val="00711D76"/>
    <w:rsid w:val="00711ECF"/>
    <w:rsid w:val="007127AD"/>
    <w:rsid w:val="007129F1"/>
    <w:rsid w:val="00712D98"/>
    <w:rsid w:val="00713FBC"/>
    <w:rsid w:val="00714085"/>
    <w:rsid w:val="007141D8"/>
    <w:rsid w:val="00714412"/>
    <w:rsid w:val="007148B8"/>
    <w:rsid w:val="00714CAC"/>
    <w:rsid w:val="00714D2A"/>
    <w:rsid w:val="007150D1"/>
    <w:rsid w:val="00715390"/>
    <w:rsid w:val="0071548F"/>
    <w:rsid w:val="0071579B"/>
    <w:rsid w:val="00715AE1"/>
    <w:rsid w:val="00715AF7"/>
    <w:rsid w:val="00715B08"/>
    <w:rsid w:val="00715ED9"/>
    <w:rsid w:val="00715FF4"/>
    <w:rsid w:val="0071622A"/>
    <w:rsid w:val="007164A9"/>
    <w:rsid w:val="007164E3"/>
    <w:rsid w:val="007167A1"/>
    <w:rsid w:val="007167C9"/>
    <w:rsid w:val="00716826"/>
    <w:rsid w:val="00716D2E"/>
    <w:rsid w:val="00716D35"/>
    <w:rsid w:val="00717337"/>
    <w:rsid w:val="00717625"/>
    <w:rsid w:val="007177E9"/>
    <w:rsid w:val="00717A34"/>
    <w:rsid w:val="00717C63"/>
    <w:rsid w:val="00717E62"/>
    <w:rsid w:val="00717F18"/>
    <w:rsid w:val="0072010E"/>
    <w:rsid w:val="00720367"/>
    <w:rsid w:val="00720520"/>
    <w:rsid w:val="00720A9F"/>
    <w:rsid w:val="00720C7C"/>
    <w:rsid w:val="00720D2E"/>
    <w:rsid w:val="00720D61"/>
    <w:rsid w:val="00720FDA"/>
    <w:rsid w:val="0072106F"/>
    <w:rsid w:val="00721115"/>
    <w:rsid w:val="0072124F"/>
    <w:rsid w:val="0072128F"/>
    <w:rsid w:val="007217FD"/>
    <w:rsid w:val="0072182B"/>
    <w:rsid w:val="00721B79"/>
    <w:rsid w:val="00721EB0"/>
    <w:rsid w:val="00721EED"/>
    <w:rsid w:val="00722290"/>
    <w:rsid w:val="007223E5"/>
    <w:rsid w:val="007225B1"/>
    <w:rsid w:val="00722CFB"/>
    <w:rsid w:val="00722FB8"/>
    <w:rsid w:val="007233A7"/>
    <w:rsid w:val="0072342C"/>
    <w:rsid w:val="0072351E"/>
    <w:rsid w:val="0072363C"/>
    <w:rsid w:val="0072377F"/>
    <w:rsid w:val="00723B18"/>
    <w:rsid w:val="0072466E"/>
    <w:rsid w:val="00724E23"/>
    <w:rsid w:val="0072523A"/>
    <w:rsid w:val="007254B1"/>
    <w:rsid w:val="00725617"/>
    <w:rsid w:val="00725736"/>
    <w:rsid w:val="007257DF"/>
    <w:rsid w:val="0072594C"/>
    <w:rsid w:val="00725AF6"/>
    <w:rsid w:val="00725D03"/>
    <w:rsid w:val="00725E64"/>
    <w:rsid w:val="00725F3C"/>
    <w:rsid w:val="0072636E"/>
    <w:rsid w:val="007265C8"/>
    <w:rsid w:val="007266B6"/>
    <w:rsid w:val="007267F1"/>
    <w:rsid w:val="00726C31"/>
    <w:rsid w:val="00726EBB"/>
    <w:rsid w:val="0072724F"/>
    <w:rsid w:val="007274E4"/>
    <w:rsid w:val="007275C2"/>
    <w:rsid w:val="007275DF"/>
    <w:rsid w:val="00727770"/>
    <w:rsid w:val="00727912"/>
    <w:rsid w:val="00727BE5"/>
    <w:rsid w:val="00727D70"/>
    <w:rsid w:val="00727DAB"/>
    <w:rsid w:val="00727EEC"/>
    <w:rsid w:val="00730474"/>
    <w:rsid w:val="0073049F"/>
    <w:rsid w:val="00730755"/>
    <w:rsid w:val="00730928"/>
    <w:rsid w:val="00730A25"/>
    <w:rsid w:val="00730DB6"/>
    <w:rsid w:val="00731173"/>
    <w:rsid w:val="0073166D"/>
    <w:rsid w:val="007316F3"/>
    <w:rsid w:val="00731830"/>
    <w:rsid w:val="00731A05"/>
    <w:rsid w:val="00731A3A"/>
    <w:rsid w:val="00731B38"/>
    <w:rsid w:val="00732E30"/>
    <w:rsid w:val="00733068"/>
    <w:rsid w:val="00733670"/>
    <w:rsid w:val="00734017"/>
    <w:rsid w:val="007344E8"/>
    <w:rsid w:val="00734AF3"/>
    <w:rsid w:val="00734B9A"/>
    <w:rsid w:val="00734BEC"/>
    <w:rsid w:val="00734E8A"/>
    <w:rsid w:val="00734F17"/>
    <w:rsid w:val="00735558"/>
    <w:rsid w:val="00735B0C"/>
    <w:rsid w:val="00735B75"/>
    <w:rsid w:val="00735CBA"/>
    <w:rsid w:val="00735E4E"/>
    <w:rsid w:val="00735E65"/>
    <w:rsid w:val="00735F5C"/>
    <w:rsid w:val="0073633F"/>
    <w:rsid w:val="0073676C"/>
    <w:rsid w:val="007368BF"/>
    <w:rsid w:val="00736D14"/>
    <w:rsid w:val="00736FFB"/>
    <w:rsid w:val="0073723F"/>
    <w:rsid w:val="007372B1"/>
    <w:rsid w:val="00737980"/>
    <w:rsid w:val="00737C3C"/>
    <w:rsid w:val="00737C86"/>
    <w:rsid w:val="00737F6D"/>
    <w:rsid w:val="007400AF"/>
    <w:rsid w:val="0074036E"/>
    <w:rsid w:val="007403B1"/>
    <w:rsid w:val="0074095C"/>
    <w:rsid w:val="00740A8C"/>
    <w:rsid w:val="00740AB9"/>
    <w:rsid w:val="00740C9E"/>
    <w:rsid w:val="00740D60"/>
    <w:rsid w:val="0074116D"/>
    <w:rsid w:val="007412B6"/>
    <w:rsid w:val="0074130A"/>
    <w:rsid w:val="00741398"/>
    <w:rsid w:val="0074147B"/>
    <w:rsid w:val="0074154E"/>
    <w:rsid w:val="0074173E"/>
    <w:rsid w:val="007417C1"/>
    <w:rsid w:val="00741857"/>
    <w:rsid w:val="00741A41"/>
    <w:rsid w:val="007423E5"/>
    <w:rsid w:val="00742744"/>
    <w:rsid w:val="00742754"/>
    <w:rsid w:val="0074294F"/>
    <w:rsid w:val="00742A10"/>
    <w:rsid w:val="00742AE0"/>
    <w:rsid w:val="00742ED8"/>
    <w:rsid w:val="00742F56"/>
    <w:rsid w:val="00742FBA"/>
    <w:rsid w:val="0074333D"/>
    <w:rsid w:val="007435D2"/>
    <w:rsid w:val="007438AF"/>
    <w:rsid w:val="007438DF"/>
    <w:rsid w:val="00743EA2"/>
    <w:rsid w:val="007440B0"/>
    <w:rsid w:val="00744166"/>
    <w:rsid w:val="007442C0"/>
    <w:rsid w:val="007444F2"/>
    <w:rsid w:val="007446F7"/>
    <w:rsid w:val="00744C22"/>
    <w:rsid w:val="00744D2B"/>
    <w:rsid w:val="00745004"/>
    <w:rsid w:val="0074508D"/>
    <w:rsid w:val="007452A0"/>
    <w:rsid w:val="00745567"/>
    <w:rsid w:val="00745722"/>
    <w:rsid w:val="00745C47"/>
    <w:rsid w:val="00745DC1"/>
    <w:rsid w:val="007462D3"/>
    <w:rsid w:val="0074637D"/>
    <w:rsid w:val="007463CE"/>
    <w:rsid w:val="0074669B"/>
    <w:rsid w:val="00746749"/>
    <w:rsid w:val="00746AB4"/>
    <w:rsid w:val="00746B67"/>
    <w:rsid w:val="00746D25"/>
    <w:rsid w:val="00746D89"/>
    <w:rsid w:val="00746FF8"/>
    <w:rsid w:val="007470F7"/>
    <w:rsid w:val="00747291"/>
    <w:rsid w:val="007473ED"/>
    <w:rsid w:val="0074740E"/>
    <w:rsid w:val="00747566"/>
    <w:rsid w:val="007475B7"/>
    <w:rsid w:val="00747672"/>
    <w:rsid w:val="00747790"/>
    <w:rsid w:val="00747868"/>
    <w:rsid w:val="00747977"/>
    <w:rsid w:val="00747B54"/>
    <w:rsid w:val="00750166"/>
    <w:rsid w:val="007506A8"/>
    <w:rsid w:val="00750741"/>
    <w:rsid w:val="0075077E"/>
    <w:rsid w:val="00750A00"/>
    <w:rsid w:val="00750C21"/>
    <w:rsid w:val="00750F09"/>
    <w:rsid w:val="007510A7"/>
    <w:rsid w:val="007512D4"/>
    <w:rsid w:val="00751403"/>
    <w:rsid w:val="007517E1"/>
    <w:rsid w:val="00751F02"/>
    <w:rsid w:val="007522E4"/>
    <w:rsid w:val="0075231B"/>
    <w:rsid w:val="007528AD"/>
    <w:rsid w:val="00752908"/>
    <w:rsid w:val="00752C5E"/>
    <w:rsid w:val="00753183"/>
    <w:rsid w:val="0075357D"/>
    <w:rsid w:val="00753968"/>
    <w:rsid w:val="00753B97"/>
    <w:rsid w:val="00753DD3"/>
    <w:rsid w:val="00753E76"/>
    <w:rsid w:val="0075403E"/>
    <w:rsid w:val="00754431"/>
    <w:rsid w:val="007545BA"/>
    <w:rsid w:val="007546A8"/>
    <w:rsid w:val="00754721"/>
    <w:rsid w:val="007548B8"/>
    <w:rsid w:val="00754936"/>
    <w:rsid w:val="00754F8C"/>
    <w:rsid w:val="00754FD7"/>
    <w:rsid w:val="00755364"/>
    <w:rsid w:val="007555A3"/>
    <w:rsid w:val="0075576F"/>
    <w:rsid w:val="00755A54"/>
    <w:rsid w:val="00755CF2"/>
    <w:rsid w:val="00755D23"/>
    <w:rsid w:val="00755DA5"/>
    <w:rsid w:val="00755ED4"/>
    <w:rsid w:val="00755FEF"/>
    <w:rsid w:val="00756394"/>
    <w:rsid w:val="00756595"/>
    <w:rsid w:val="007568F0"/>
    <w:rsid w:val="00756B6A"/>
    <w:rsid w:val="00756D73"/>
    <w:rsid w:val="00756EB6"/>
    <w:rsid w:val="00756F55"/>
    <w:rsid w:val="00757065"/>
    <w:rsid w:val="00757294"/>
    <w:rsid w:val="0075751D"/>
    <w:rsid w:val="00757866"/>
    <w:rsid w:val="007578DA"/>
    <w:rsid w:val="00757DEE"/>
    <w:rsid w:val="00757E21"/>
    <w:rsid w:val="00757EF2"/>
    <w:rsid w:val="00760101"/>
    <w:rsid w:val="007601CF"/>
    <w:rsid w:val="0076023E"/>
    <w:rsid w:val="00760243"/>
    <w:rsid w:val="00760D6A"/>
    <w:rsid w:val="00760E00"/>
    <w:rsid w:val="00761077"/>
    <w:rsid w:val="00761371"/>
    <w:rsid w:val="00761B74"/>
    <w:rsid w:val="00761B9F"/>
    <w:rsid w:val="00761C35"/>
    <w:rsid w:val="00762466"/>
    <w:rsid w:val="007624CC"/>
    <w:rsid w:val="00762899"/>
    <w:rsid w:val="0076289B"/>
    <w:rsid w:val="00762A92"/>
    <w:rsid w:val="00762B1E"/>
    <w:rsid w:val="00762C00"/>
    <w:rsid w:val="00762D94"/>
    <w:rsid w:val="00762F5A"/>
    <w:rsid w:val="00762F80"/>
    <w:rsid w:val="00763137"/>
    <w:rsid w:val="00763325"/>
    <w:rsid w:val="00763407"/>
    <w:rsid w:val="007635CC"/>
    <w:rsid w:val="00763E0C"/>
    <w:rsid w:val="007640F2"/>
    <w:rsid w:val="0076456A"/>
    <w:rsid w:val="00764D8E"/>
    <w:rsid w:val="00764F35"/>
    <w:rsid w:val="0076539E"/>
    <w:rsid w:val="00765656"/>
    <w:rsid w:val="0076566A"/>
    <w:rsid w:val="00765906"/>
    <w:rsid w:val="00765B70"/>
    <w:rsid w:val="00765BF4"/>
    <w:rsid w:val="00766023"/>
    <w:rsid w:val="00766107"/>
    <w:rsid w:val="00766131"/>
    <w:rsid w:val="007661EE"/>
    <w:rsid w:val="007661FF"/>
    <w:rsid w:val="0076622B"/>
    <w:rsid w:val="0076626C"/>
    <w:rsid w:val="0076670E"/>
    <w:rsid w:val="00766849"/>
    <w:rsid w:val="00766BB4"/>
    <w:rsid w:val="00766BE7"/>
    <w:rsid w:val="00766E16"/>
    <w:rsid w:val="00766EA1"/>
    <w:rsid w:val="00766EC8"/>
    <w:rsid w:val="00767218"/>
    <w:rsid w:val="0076729A"/>
    <w:rsid w:val="007672B4"/>
    <w:rsid w:val="007678B1"/>
    <w:rsid w:val="00767AE2"/>
    <w:rsid w:val="00767CAF"/>
    <w:rsid w:val="00767E0F"/>
    <w:rsid w:val="00767F96"/>
    <w:rsid w:val="00770199"/>
    <w:rsid w:val="007707C9"/>
    <w:rsid w:val="007709EB"/>
    <w:rsid w:val="00770B73"/>
    <w:rsid w:val="00770B95"/>
    <w:rsid w:val="00770E5C"/>
    <w:rsid w:val="00770F81"/>
    <w:rsid w:val="007712B7"/>
    <w:rsid w:val="0077130F"/>
    <w:rsid w:val="0077139C"/>
    <w:rsid w:val="007716AA"/>
    <w:rsid w:val="007718A6"/>
    <w:rsid w:val="007718E7"/>
    <w:rsid w:val="007718F1"/>
    <w:rsid w:val="00771B41"/>
    <w:rsid w:val="00771E7A"/>
    <w:rsid w:val="00772576"/>
    <w:rsid w:val="007726F6"/>
    <w:rsid w:val="007727ED"/>
    <w:rsid w:val="00772C03"/>
    <w:rsid w:val="00772F0A"/>
    <w:rsid w:val="00772F57"/>
    <w:rsid w:val="0077314E"/>
    <w:rsid w:val="007735E4"/>
    <w:rsid w:val="00773627"/>
    <w:rsid w:val="0077376C"/>
    <w:rsid w:val="00773787"/>
    <w:rsid w:val="007738FA"/>
    <w:rsid w:val="0077391E"/>
    <w:rsid w:val="00773B16"/>
    <w:rsid w:val="00773DE5"/>
    <w:rsid w:val="0077407C"/>
    <w:rsid w:val="0077425D"/>
    <w:rsid w:val="00774368"/>
    <w:rsid w:val="007744ED"/>
    <w:rsid w:val="00774B54"/>
    <w:rsid w:val="00774BCC"/>
    <w:rsid w:val="00774E0F"/>
    <w:rsid w:val="00774E1C"/>
    <w:rsid w:val="007753EB"/>
    <w:rsid w:val="007759D3"/>
    <w:rsid w:val="00775C12"/>
    <w:rsid w:val="00775E7E"/>
    <w:rsid w:val="00775FE0"/>
    <w:rsid w:val="00776833"/>
    <w:rsid w:val="00776A1D"/>
    <w:rsid w:val="00776B2A"/>
    <w:rsid w:val="00776DD1"/>
    <w:rsid w:val="00776E41"/>
    <w:rsid w:val="00776F81"/>
    <w:rsid w:val="007771FE"/>
    <w:rsid w:val="007772FB"/>
    <w:rsid w:val="00777381"/>
    <w:rsid w:val="00777437"/>
    <w:rsid w:val="00777777"/>
    <w:rsid w:val="007777A0"/>
    <w:rsid w:val="00777AFF"/>
    <w:rsid w:val="00777CCB"/>
    <w:rsid w:val="007801BE"/>
    <w:rsid w:val="007802F6"/>
    <w:rsid w:val="00780614"/>
    <w:rsid w:val="00780862"/>
    <w:rsid w:val="00780884"/>
    <w:rsid w:val="00780957"/>
    <w:rsid w:val="00780DA0"/>
    <w:rsid w:val="00780DD5"/>
    <w:rsid w:val="00780E5F"/>
    <w:rsid w:val="00780FDA"/>
    <w:rsid w:val="00781057"/>
    <w:rsid w:val="00781854"/>
    <w:rsid w:val="0078193B"/>
    <w:rsid w:val="007819F0"/>
    <w:rsid w:val="00781C19"/>
    <w:rsid w:val="00781D5F"/>
    <w:rsid w:val="0078235B"/>
    <w:rsid w:val="007826BE"/>
    <w:rsid w:val="0078284A"/>
    <w:rsid w:val="007828D6"/>
    <w:rsid w:val="00782DB8"/>
    <w:rsid w:val="00782DFC"/>
    <w:rsid w:val="007833F6"/>
    <w:rsid w:val="0078345E"/>
    <w:rsid w:val="007834B4"/>
    <w:rsid w:val="0078364A"/>
    <w:rsid w:val="007837CD"/>
    <w:rsid w:val="00783B51"/>
    <w:rsid w:val="00783C0F"/>
    <w:rsid w:val="00783E64"/>
    <w:rsid w:val="00784125"/>
    <w:rsid w:val="007841DE"/>
    <w:rsid w:val="007842C9"/>
    <w:rsid w:val="0078444A"/>
    <w:rsid w:val="00784718"/>
    <w:rsid w:val="007847FA"/>
    <w:rsid w:val="007848B2"/>
    <w:rsid w:val="00784908"/>
    <w:rsid w:val="00784978"/>
    <w:rsid w:val="00784D24"/>
    <w:rsid w:val="007856CD"/>
    <w:rsid w:val="00785948"/>
    <w:rsid w:val="007859C3"/>
    <w:rsid w:val="00785C73"/>
    <w:rsid w:val="00785CA4"/>
    <w:rsid w:val="00785F66"/>
    <w:rsid w:val="00786461"/>
    <w:rsid w:val="00786887"/>
    <w:rsid w:val="00786D18"/>
    <w:rsid w:val="0078718C"/>
    <w:rsid w:val="007875E6"/>
    <w:rsid w:val="00787A32"/>
    <w:rsid w:val="00787AAA"/>
    <w:rsid w:val="00787B27"/>
    <w:rsid w:val="00787E10"/>
    <w:rsid w:val="007901B3"/>
    <w:rsid w:val="007902A0"/>
    <w:rsid w:val="0079061A"/>
    <w:rsid w:val="0079067B"/>
    <w:rsid w:val="007906F3"/>
    <w:rsid w:val="007917AD"/>
    <w:rsid w:val="007918CD"/>
    <w:rsid w:val="00791A21"/>
    <w:rsid w:val="00792909"/>
    <w:rsid w:val="00792A65"/>
    <w:rsid w:val="00792AF1"/>
    <w:rsid w:val="00792B01"/>
    <w:rsid w:val="00792E6B"/>
    <w:rsid w:val="007931A3"/>
    <w:rsid w:val="007932A4"/>
    <w:rsid w:val="0079348B"/>
    <w:rsid w:val="00793B33"/>
    <w:rsid w:val="007941DF"/>
    <w:rsid w:val="00794628"/>
    <w:rsid w:val="007949C4"/>
    <w:rsid w:val="00794CD3"/>
    <w:rsid w:val="007950A1"/>
    <w:rsid w:val="0079556A"/>
    <w:rsid w:val="00795886"/>
    <w:rsid w:val="00795889"/>
    <w:rsid w:val="00795A0D"/>
    <w:rsid w:val="00795A9C"/>
    <w:rsid w:val="00795C1A"/>
    <w:rsid w:val="00796296"/>
    <w:rsid w:val="00796418"/>
    <w:rsid w:val="0079646B"/>
    <w:rsid w:val="0079647A"/>
    <w:rsid w:val="00796BC1"/>
    <w:rsid w:val="00796C4C"/>
    <w:rsid w:val="0079716C"/>
    <w:rsid w:val="00797413"/>
    <w:rsid w:val="007974B6"/>
    <w:rsid w:val="0079769B"/>
    <w:rsid w:val="007976CC"/>
    <w:rsid w:val="00797828"/>
    <w:rsid w:val="0079784E"/>
    <w:rsid w:val="00797A0D"/>
    <w:rsid w:val="00797CC8"/>
    <w:rsid w:val="00797F1E"/>
    <w:rsid w:val="00797F39"/>
    <w:rsid w:val="007A05E9"/>
    <w:rsid w:val="007A11AA"/>
    <w:rsid w:val="007A14A4"/>
    <w:rsid w:val="007A17F8"/>
    <w:rsid w:val="007A1CD5"/>
    <w:rsid w:val="007A1DD8"/>
    <w:rsid w:val="007A1FB7"/>
    <w:rsid w:val="007A207D"/>
    <w:rsid w:val="007A21DC"/>
    <w:rsid w:val="007A2755"/>
    <w:rsid w:val="007A2BB5"/>
    <w:rsid w:val="007A3174"/>
    <w:rsid w:val="007A3195"/>
    <w:rsid w:val="007A3295"/>
    <w:rsid w:val="007A3833"/>
    <w:rsid w:val="007A3DE5"/>
    <w:rsid w:val="007A3EB3"/>
    <w:rsid w:val="007A403B"/>
    <w:rsid w:val="007A432B"/>
    <w:rsid w:val="007A45D7"/>
    <w:rsid w:val="007A46A1"/>
    <w:rsid w:val="007A47FF"/>
    <w:rsid w:val="007A4879"/>
    <w:rsid w:val="007A4979"/>
    <w:rsid w:val="007A497E"/>
    <w:rsid w:val="007A4AFF"/>
    <w:rsid w:val="007A4B11"/>
    <w:rsid w:val="007A4D38"/>
    <w:rsid w:val="007A5F58"/>
    <w:rsid w:val="007A60C1"/>
    <w:rsid w:val="007A66B8"/>
    <w:rsid w:val="007A6AE6"/>
    <w:rsid w:val="007A703B"/>
    <w:rsid w:val="007A723C"/>
    <w:rsid w:val="007A7283"/>
    <w:rsid w:val="007A7437"/>
    <w:rsid w:val="007A7493"/>
    <w:rsid w:val="007A7A60"/>
    <w:rsid w:val="007A7EED"/>
    <w:rsid w:val="007B029B"/>
    <w:rsid w:val="007B0339"/>
    <w:rsid w:val="007B0473"/>
    <w:rsid w:val="007B0636"/>
    <w:rsid w:val="007B0812"/>
    <w:rsid w:val="007B085A"/>
    <w:rsid w:val="007B0990"/>
    <w:rsid w:val="007B0B08"/>
    <w:rsid w:val="007B16AF"/>
    <w:rsid w:val="007B1856"/>
    <w:rsid w:val="007B19F5"/>
    <w:rsid w:val="007B1DAD"/>
    <w:rsid w:val="007B1DE4"/>
    <w:rsid w:val="007B200A"/>
    <w:rsid w:val="007B218A"/>
    <w:rsid w:val="007B2257"/>
    <w:rsid w:val="007B26DB"/>
    <w:rsid w:val="007B277B"/>
    <w:rsid w:val="007B2911"/>
    <w:rsid w:val="007B29E6"/>
    <w:rsid w:val="007B2A8B"/>
    <w:rsid w:val="007B2C95"/>
    <w:rsid w:val="007B2E65"/>
    <w:rsid w:val="007B2EB0"/>
    <w:rsid w:val="007B3098"/>
    <w:rsid w:val="007B3C77"/>
    <w:rsid w:val="007B4284"/>
    <w:rsid w:val="007B439B"/>
    <w:rsid w:val="007B45AC"/>
    <w:rsid w:val="007B4AEF"/>
    <w:rsid w:val="007B527D"/>
    <w:rsid w:val="007B542F"/>
    <w:rsid w:val="007B548C"/>
    <w:rsid w:val="007B5657"/>
    <w:rsid w:val="007B5693"/>
    <w:rsid w:val="007B572D"/>
    <w:rsid w:val="007B598E"/>
    <w:rsid w:val="007B59CE"/>
    <w:rsid w:val="007B59D0"/>
    <w:rsid w:val="007B59E4"/>
    <w:rsid w:val="007B5ACC"/>
    <w:rsid w:val="007B5B00"/>
    <w:rsid w:val="007B5C87"/>
    <w:rsid w:val="007B5FF9"/>
    <w:rsid w:val="007B6009"/>
    <w:rsid w:val="007B6011"/>
    <w:rsid w:val="007B60B2"/>
    <w:rsid w:val="007B637E"/>
    <w:rsid w:val="007B67A0"/>
    <w:rsid w:val="007B69D0"/>
    <w:rsid w:val="007B6AE1"/>
    <w:rsid w:val="007B6B2F"/>
    <w:rsid w:val="007B6CB1"/>
    <w:rsid w:val="007B6EE2"/>
    <w:rsid w:val="007B749D"/>
    <w:rsid w:val="007B7511"/>
    <w:rsid w:val="007B770F"/>
    <w:rsid w:val="007B7731"/>
    <w:rsid w:val="007B7B77"/>
    <w:rsid w:val="007C00B4"/>
    <w:rsid w:val="007C0330"/>
    <w:rsid w:val="007C0550"/>
    <w:rsid w:val="007C05C7"/>
    <w:rsid w:val="007C0635"/>
    <w:rsid w:val="007C08F5"/>
    <w:rsid w:val="007C0B01"/>
    <w:rsid w:val="007C0EDB"/>
    <w:rsid w:val="007C0F37"/>
    <w:rsid w:val="007C0F99"/>
    <w:rsid w:val="007C11A7"/>
    <w:rsid w:val="007C140F"/>
    <w:rsid w:val="007C1650"/>
    <w:rsid w:val="007C182D"/>
    <w:rsid w:val="007C198D"/>
    <w:rsid w:val="007C1A0B"/>
    <w:rsid w:val="007C1AB1"/>
    <w:rsid w:val="007C1EF5"/>
    <w:rsid w:val="007C2203"/>
    <w:rsid w:val="007C23DC"/>
    <w:rsid w:val="007C27C0"/>
    <w:rsid w:val="007C2A84"/>
    <w:rsid w:val="007C2B13"/>
    <w:rsid w:val="007C2B4E"/>
    <w:rsid w:val="007C2BC8"/>
    <w:rsid w:val="007C2C09"/>
    <w:rsid w:val="007C2CC1"/>
    <w:rsid w:val="007C30C1"/>
    <w:rsid w:val="007C326D"/>
    <w:rsid w:val="007C3364"/>
    <w:rsid w:val="007C35F6"/>
    <w:rsid w:val="007C389B"/>
    <w:rsid w:val="007C3C01"/>
    <w:rsid w:val="007C3C0B"/>
    <w:rsid w:val="007C3D85"/>
    <w:rsid w:val="007C3E71"/>
    <w:rsid w:val="007C3FD5"/>
    <w:rsid w:val="007C426D"/>
    <w:rsid w:val="007C4385"/>
    <w:rsid w:val="007C440B"/>
    <w:rsid w:val="007C4A79"/>
    <w:rsid w:val="007C4B04"/>
    <w:rsid w:val="007C4B4C"/>
    <w:rsid w:val="007C4CC5"/>
    <w:rsid w:val="007C4DB7"/>
    <w:rsid w:val="007C509F"/>
    <w:rsid w:val="007C5872"/>
    <w:rsid w:val="007C5F39"/>
    <w:rsid w:val="007C6230"/>
    <w:rsid w:val="007C6866"/>
    <w:rsid w:val="007C6B68"/>
    <w:rsid w:val="007C6C86"/>
    <w:rsid w:val="007C6D8D"/>
    <w:rsid w:val="007C70B8"/>
    <w:rsid w:val="007C7314"/>
    <w:rsid w:val="007C73B8"/>
    <w:rsid w:val="007C79CD"/>
    <w:rsid w:val="007D0159"/>
    <w:rsid w:val="007D02D1"/>
    <w:rsid w:val="007D0B61"/>
    <w:rsid w:val="007D0BD3"/>
    <w:rsid w:val="007D0D59"/>
    <w:rsid w:val="007D0F4F"/>
    <w:rsid w:val="007D14BF"/>
    <w:rsid w:val="007D158F"/>
    <w:rsid w:val="007D198B"/>
    <w:rsid w:val="007D1A0F"/>
    <w:rsid w:val="007D1ACD"/>
    <w:rsid w:val="007D1BCA"/>
    <w:rsid w:val="007D1E5D"/>
    <w:rsid w:val="007D1FBC"/>
    <w:rsid w:val="007D21C2"/>
    <w:rsid w:val="007D23F3"/>
    <w:rsid w:val="007D25F8"/>
    <w:rsid w:val="007D2AEC"/>
    <w:rsid w:val="007D2B9D"/>
    <w:rsid w:val="007D2BB2"/>
    <w:rsid w:val="007D2F8A"/>
    <w:rsid w:val="007D30EF"/>
    <w:rsid w:val="007D33EC"/>
    <w:rsid w:val="007D3615"/>
    <w:rsid w:val="007D3BDC"/>
    <w:rsid w:val="007D3CDB"/>
    <w:rsid w:val="007D3DF2"/>
    <w:rsid w:val="007D3F7B"/>
    <w:rsid w:val="007D3FC2"/>
    <w:rsid w:val="007D466A"/>
    <w:rsid w:val="007D4848"/>
    <w:rsid w:val="007D48B9"/>
    <w:rsid w:val="007D4C1E"/>
    <w:rsid w:val="007D4C57"/>
    <w:rsid w:val="007D4CAA"/>
    <w:rsid w:val="007D4E13"/>
    <w:rsid w:val="007D4E49"/>
    <w:rsid w:val="007D4F0C"/>
    <w:rsid w:val="007D4FCE"/>
    <w:rsid w:val="007D5031"/>
    <w:rsid w:val="007D5072"/>
    <w:rsid w:val="007D533D"/>
    <w:rsid w:val="007D5390"/>
    <w:rsid w:val="007D5913"/>
    <w:rsid w:val="007D5D26"/>
    <w:rsid w:val="007D5E80"/>
    <w:rsid w:val="007D6438"/>
    <w:rsid w:val="007D653C"/>
    <w:rsid w:val="007D67FA"/>
    <w:rsid w:val="007D6C2C"/>
    <w:rsid w:val="007D77A2"/>
    <w:rsid w:val="007D7880"/>
    <w:rsid w:val="007D7AE5"/>
    <w:rsid w:val="007D7DF0"/>
    <w:rsid w:val="007E028D"/>
    <w:rsid w:val="007E0739"/>
    <w:rsid w:val="007E0849"/>
    <w:rsid w:val="007E0E9F"/>
    <w:rsid w:val="007E0F63"/>
    <w:rsid w:val="007E1129"/>
    <w:rsid w:val="007E169F"/>
    <w:rsid w:val="007E18F5"/>
    <w:rsid w:val="007E199F"/>
    <w:rsid w:val="007E1BF2"/>
    <w:rsid w:val="007E1CEC"/>
    <w:rsid w:val="007E21EA"/>
    <w:rsid w:val="007E2790"/>
    <w:rsid w:val="007E2891"/>
    <w:rsid w:val="007E2909"/>
    <w:rsid w:val="007E2A31"/>
    <w:rsid w:val="007E2A58"/>
    <w:rsid w:val="007E2CCE"/>
    <w:rsid w:val="007E2E2C"/>
    <w:rsid w:val="007E2E5C"/>
    <w:rsid w:val="007E303A"/>
    <w:rsid w:val="007E3041"/>
    <w:rsid w:val="007E3112"/>
    <w:rsid w:val="007E33C0"/>
    <w:rsid w:val="007E36A3"/>
    <w:rsid w:val="007E3A0E"/>
    <w:rsid w:val="007E3CB2"/>
    <w:rsid w:val="007E3DE1"/>
    <w:rsid w:val="007E4521"/>
    <w:rsid w:val="007E4AA9"/>
    <w:rsid w:val="007E4DA3"/>
    <w:rsid w:val="007E4DCE"/>
    <w:rsid w:val="007E507F"/>
    <w:rsid w:val="007E5A71"/>
    <w:rsid w:val="007E5C41"/>
    <w:rsid w:val="007E5D5E"/>
    <w:rsid w:val="007E62F1"/>
    <w:rsid w:val="007E6331"/>
    <w:rsid w:val="007E6372"/>
    <w:rsid w:val="007E69D8"/>
    <w:rsid w:val="007E6AAC"/>
    <w:rsid w:val="007E6F1F"/>
    <w:rsid w:val="007E6F71"/>
    <w:rsid w:val="007E70E9"/>
    <w:rsid w:val="007E714B"/>
    <w:rsid w:val="007E723F"/>
    <w:rsid w:val="007E726D"/>
    <w:rsid w:val="007E7AD3"/>
    <w:rsid w:val="007E7BD6"/>
    <w:rsid w:val="007E7D0A"/>
    <w:rsid w:val="007E7D3F"/>
    <w:rsid w:val="007F0141"/>
    <w:rsid w:val="007F033B"/>
    <w:rsid w:val="007F05D8"/>
    <w:rsid w:val="007F0871"/>
    <w:rsid w:val="007F0882"/>
    <w:rsid w:val="007F08CB"/>
    <w:rsid w:val="007F12DD"/>
    <w:rsid w:val="007F1422"/>
    <w:rsid w:val="007F14CC"/>
    <w:rsid w:val="007F17E6"/>
    <w:rsid w:val="007F1903"/>
    <w:rsid w:val="007F1C7D"/>
    <w:rsid w:val="007F1E6C"/>
    <w:rsid w:val="007F1E82"/>
    <w:rsid w:val="007F20A8"/>
    <w:rsid w:val="007F21D2"/>
    <w:rsid w:val="007F2293"/>
    <w:rsid w:val="007F2375"/>
    <w:rsid w:val="007F253C"/>
    <w:rsid w:val="007F297C"/>
    <w:rsid w:val="007F298A"/>
    <w:rsid w:val="007F30B2"/>
    <w:rsid w:val="007F33D9"/>
    <w:rsid w:val="007F3574"/>
    <w:rsid w:val="007F3940"/>
    <w:rsid w:val="007F3B6E"/>
    <w:rsid w:val="007F3F08"/>
    <w:rsid w:val="007F4138"/>
    <w:rsid w:val="007F41F6"/>
    <w:rsid w:val="007F42A1"/>
    <w:rsid w:val="007F4316"/>
    <w:rsid w:val="007F43B4"/>
    <w:rsid w:val="007F4420"/>
    <w:rsid w:val="007F517A"/>
    <w:rsid w:val="007F519F"/>
    <w:rsid w:val="007F51FC"/>
    <w:rsid w:val="007F53B4"/>
    <w:rsid w:val="007F5531"/>
    <w:rsid w:val="007F5899"/>
    <w:rsid w:val="007F5988"/>
    <w:rsid w:val="007F5989"/>
    <w:rsid w:val="007F5A30"/>
    <w:rsid w:val="007F5BF1"/>
    <w:rsid w:val="007F5E20"/>
    <w:rsid w:val="007F5F6E"/>
    <w:rsid w:val="007F67DA"/>
    <w:rsid w:val="007F6821"/>
    <w:rsid w:val="007F6861"/>
    <w:rsid w:val="007F68FD"/>
    <w:rsid w:val="007F6A96"/>
    <w:rsid w:val="007F6C60"/>
    <w:rsid w:val="007F6CB8"/>
    <w:rsid w:val="007F6D14"/>
    <w:rsid w:val="007F6D22"/>
    <w:rsid w:val="007F7074"/>
    <w:rsid w:val="007F7215"/>
    <w:rsid w:val="007F75CE"/>
    <w:rsid w:val="007F77FA"/>
    <w:rsid w:val="007F7A10"/>
    <w:rsid w:val="007F7AE1"/>
    <w:rsid w:val="007F7C48"/>
    <w:rsid w:val="0080029A"/>
    <w:rsid w:val="0080046B"/>
    <w:rsid w:val="008005B7"/>
    <w:rsid w:val="008007CC"/>
    <w:rsid w:val="00800E26"/>
    <w:rsid w:val="00800E61"/>
    <w:rsid w:val="00800EF5"/>
    <w:rsid w:val="00801011"/>
    <w:rsid w:val="008010F3"/>
    <w:rsid w:val="008012A9"/>
    <w:rsid w:val="008012EA"/>
    <w:rsid w:val="008021D9"/>
    <w:rsid w:val="00802305"/>
    <w:rsid w:val="008025B6"/>
    <w:rsid w:val="00802A2B"/>
    <w:rsid w:val="00802AE7"/>
    <w:rsid w:val="00802FAE"/>
    <w:rsid w:val="00803219"/>
    <w:rsid w:val="00803433"/>
    <w:rsid w:val="00803F81"/>
    <w:rsid w:val="008042A7"/>
    <w:rsid w:val="00804340"/>
    <w:rsid w:val="008044A1"/>
    <w:rsid w:val="00804517"/>
    <w:rsid w:val="00804526"/>
    <w:rsid w:val="00804545"/>
    <w:rsid w:val="0080464B"/>
    <w:rsid w:val="008048C1"/>
    <w:rsid w:val="00804993"/>
    <w:rsid w:val="0080589F"/>
    <w:rsid w:val="00805DBE"/>
    <w:rsid w:val="0080601A"/>
    <w:rsid w:val="008061FF"/>
    <w:rsid w:val="0080624F"/>
    <w:rsid w:val="00806330"/>
    <w:rsid w:val="0080672D"/>
    <w:rsid w:val="00806A3D"/>
    <w:rsid w:val="00806CA2"/>
    <w:rsid w:val="00806CF8"/>
    <w:rsid w:val="00807071"/>
    <w:rsid w:val="00807173"/>
    <w:rsid w:val="00807347"/>
    <w:rsid w:val="008073BB"/>
    <w:rsid w:val="0080754E"/>
    <w:rsid w:val="00807967"/>
    <w:rsid w:val="00807E63"/>
    <w:rsid w:val="00810254"/>
    <w:rsid w:val="00810509"/>
    <w:rsid w:val="00810641"/>
    <w:rsid w:val="00810888"/>
    <w:rsid w:val="00810CC1"/>
    <w:rsid w:val="00810D7E"/>
    <w:rsid w:val="00810E21"/>
    <w:rsid w:val="00810F98"/>
    <w:rsid w:val="00811496"/>
    <w:rsid w:val="008115FC"/>
    <w:rsid w:val="008117F2"/>
    <w:rsid w:val="00811CA4"/>
    <w:rsid w:val="00811DC3"/>
    <w:rsid w:val="00811EF4"/>
    <w:rsid w:val="00811F02"/>
    <w:rsid w:val="00812167"/>
    <w:rsid w:val="008121BA"/>
    <w:rsid w:val="00812242"/>
    <w:rsid w:val="00812599"/>
    <w:rsid w:val="0081271D"/>
    <w:rsid w:val="00812C9F"/>
    <w:rsid w:val="00812E53"/>
    <w:rsid w:val="00812E7F"/>
    <w:rsid w:val="008131CD"/>
    <w:rsid w:val="00813219"/>
    <w:rsid w:val="008135BB"/>
    <w:rsid w:val="00813B99"/>
    <w:rsid w:val="00813BF5"/>
    <w:rsid w:val="00813EAA"/>
    <w:rsid w:val="0081422E"/>
    <w:rsid w:val="0081478B"/>
    <w:rsid w:val="00814885"/>
    <w:rsid w:val="00814909"/>
    <w:rsid w:val="00814AAF"/>
    <w:rsid w:val="00814EEB"/>
    <w:rsid w:val="008150AA"/>
    <w:rsid w:val="00815176"/>
    <w:rsid w:val="00815319"/>
    <w:rsid w:val="00815332"/>
    <w:rsid w:val="0081535A"/>
    <w:rsid w:val="00815645"/>
    <w:rsid w:val="0081577D"/>
    <w:rsid w:val="008158BB"/>
    <w:rsid w:val="00815C37"/>
    <w:rsid w:val="00815E20"/>
    <w:rsid w:val="00816043"/>
    <w:rsid w:val="00816227"/>
    <w:rsid w:val="008162A3"/>
    <w:rsid w:val="0081641E"/>
    <w:rsid w:val="0081670B"/>
    <w:rsid w:val="008168DE"/>
    <w:rsid w:val="00816B57"/>
    <w:rsid w:val="00816DC6"/>
    <w:rsid w:val="00816DF3"/>
    <w:rsid w:val="00816F0C"/>
    <w:rsid w:val="00816F52"/>
    <w:rsid w:val="00816F94"/>
    <w:rsid w:val="00817077"/>
    <w:rsid w:val="008172C3"/>
    <w:rsid w:val="00817582"/>
    <w:rsid w:val="008176C4"/>
    <w:rsid w:val="00817970"/>
    <w:rsid w:val="008179D5"/>
    <w:rsid w:val="00820116"/>
    <w:rsid w:val="00820644"/>
    <w:rsid w:val="008206AF"/>
    <w:rsid w:val="008207D9"/>
    <w:rsid w:val="00820ECF"/>
    <w:rsid w:val="00821235"/>
    <w:rsid w:val="008214AA"/>
    <w:rsid w:val="00821574"/>
    <w:rsid w:val="008216C5"/>
    <w:rsid w:val="00821B6D"/>
    <w:rsid w:val="0082206A"/>
    <w:rsid w:val="00822530"/>
    <w:rsid w:val="008226E9"/>
    <w:rsid w:val="00822979"/>
    <w:rsid w:val="008229A6"/>
    <w:rsid w:val="00822B4B"/>
    <w:rsid w:val="00822C37"/>
    <w:rsid w:val="00822ED0"/>
    <w:rsid w:val="00822EE7"/>
    <w:rsid w:val="00822F25"/>
    <w:rsid w:val="00823457"/>
    <w:rsid w:val="00823735"/>
    <w:rsid w:val="00823B2A"/>
    <w:rsid w:val="00823B38"/>
    <w:rsid w:val="00823C2A"/>
    <w:rsid w:val="00823E2D"/>
    <w:rsid w:val="00823F0B"/>
    <w:rsid w:val="0082410D"/>
    <w:rsid w:val="0082420B"/>
    <w:rsid w:val="008246C0"/>
    <w:rsid w:val="008249FC"/>
    <w:rsid w:val="00824A10"/>
    <w:rsid w:val="00824A3B"/>
    <w:rsid w:val="00824E96"/>
    <w:rsid w:val="00824ED9"/>
    <w:rsid w:val="0082514F"/>
    <w:rsid w:val="00825205"/>
    <w:rsid w:val="00825489"/>
    <w:rsid w:val="0082554A"/>
    <w:rsid w:val="00825638"/>
    <w:rsid w:val="0082584E"/>
    <w:rsid w:val="008259EF"/>
    <w:rsid w:val="00825D2A"/>
    <w:rsid w:val="00825D89"/>
    <w:rsid w:val="00825E01"/>
    <w:rsid w:val="00825E47"/>
    <w:rsid w:val="00825ECE"/>
    <w:rsid w:val="00825EE2"/>
    <w:rsid w:val="00826046"/>
    <w:rsid w:val="008264C3"/>
    <w:rsid w:val="00826573"/>
    <w:rsid w:val="00826630"/>
    <w:rsid w:val="00826A20"/>
    <w:rsid w:val="00826C2C"/>
    <w:rsid w:val="00826DBF"/>
    <w:rsid w:val="00826E53"/>
    <w:rsid w:val="00826E84"/>
    <w:rsid w:val="0082723D"/>
    <w:rsid w:val="0082751C"/>
    <w:rsid w:val="008277A0"/>
    <w:rsid w:val="00827A4F"/>
    <w:rsid w:val="00827A6C"/>
    <w:rsid w:val="00827F1B"/>
    <w:rsid w:val="008304E8"/>
    <w:rsid w:val="00830591"/>
    <w:rsid w:val="008306AC"/>
    <w:rsid w:val="00830755"/>
    <w:rsid w:val="00830A85"/>
    <w:rsid w:val="00830C85"/>
    <w:rsid w:val="00830D4D"/>
    <w:rsid w:val="00830DFC"/>
    <w:rsid w:val="00830E10"/>
    <w:rsid w:val="0083123E"/>
    <w:rsid w:val="00831577"/>
    <w:rsid w:val="00831781"/>
    <w:rsid w:val="00831CEC"/>
    <w:rsid w:val="00831EE7"/>
    <w:rsid w:val="00831F0B"/>
    <w:rsid w:val="008320E6"/>
    <w:rsid w:val="00832454"/>
    <w:rsid w:val="00832476"/>
    <w:rsid w:val="00832737"/>
    <w:rsid w:val="008330C8"/>
    <w:rsid w:val="008331C3"/>
    <w:rsid w:val="00833256"/>
    <w:rsid w:val="008335F6"/>
    <w:rsid w:val="00833960"/>
    <w:rsid w:val="00833BF6"/>
    <w:rsid w:val="00833D9B"/>
    <w:rsid w:val="00833E46"/>
    <w:rsid w:val="00833EA3"/>
    <w:rsid w:val="00833EE4"/>
    <w:rsid w:val="00833F0E"/>
    <w:rsid w:val="0083405F"/>
    <w:rsid w:val="00834336"/>
    <w:rsid w:val="008343EB"/>
    <w:rsid w:val="008345AC"/>
    <w:rsid w:val="00834A40"/>
    <w:rsid w:val="00834B2D"/>
    <w:rsid w:val="00834CF1"/>
    <w:rsid w:val="0083501A"/>
    <w:rsid w:val="00835202"/>
    <w:rsid w:val="008352A6"/>
    <w:rsid w:val="00835371"/>
    <w:rsid w:val="00835417"/>
    <w:rsid w:val="00835757"/>
    <w:rsid w:val="008357A2"/>
    <w:rsid w:val="008357E7"/>
    <w:rsid w:val="00835973"/>
    <w:rsid w:val="00835A26"/>
    <w:rsid w:val="00835D35"/>
    <w:rsid w:val="00835D3D"/>
    <w:rsid w:val="00835D47"/>
    <w:rsid w:val="00835F74"/>
    <w:rsid w:val="0083621A"/>
    <w:rsid w:val="008363FF"/>
    <w:rsid w:val="0083651E"/>
    <w:rsid w:val="00836C7B"/>
    <w:rsid w:val="00836E14"/>
    <w:rsid w:val="008370B7"/>
    <w:rsid w:val="00837237"/>
    <w:rsid w:val="008374CA"/>
    <w:rsid w:val="008374E5"/>
    <w:rsid w:val="008375A6"/>
    <w:rsid w:val="00837644"/>
    <w:rsid w:val="0083778A"/>
    <w:rsid w:val="008400EE"/>
    <w:rsid w:val="008401A4"/>
    <w:rsid w:val="008404B0"/>
    <w:rsid w:val="008406C2"/>
    <w:rsid w:val="008406C7"/>
    <w:rsid w:val="00840771"/>
    <w:rsid w:val="008408A1"/>
    <w:rsid w:val="00840B6B"/>
    <w:rsid w:val="00840FC0"/>
    <w:rsid w:val="00841098"/>
    <w:rsid w:val="00841170"/>
    <w:rsid w:val="00841235"/>
    <w:rsid w:val="00841585"/>
    <w:rsid w:val="0084191D"/>
    <w:rsid w:val="00841B60"/>
    <w:rsid w:val="00841BB3"/>
    <w:rsid w:val="008426C7"/>
    <w:rsid w:val="0084282E"/>
    <w:rsid w:val="00842B33"/>
    <w:rsid w:val="00842EB8"/>
    <w:rsid w:val="0084335E"/>
    <w:rsid w:val="0084382C"/>
    <w:rsid w:val="00843890"/>
    <w:rsid w:val="00843C54"/>
    <w:rsid w:val="00843C65"/>
    <w:rsid w:val="00843EFD"/>
    <w:rsid w:val="00843F1E"/>
    <w:rsid w:val="00843F71"/>
    <w:rsid w:val="00844019"/>
    <w:rsid w:val="008440C8"/>
    <w:rsid w:val="008442C3"/>
    <w:rsid w:val="0084461F"/>
    <w:rsid w:val="008447B2"/>
    <w:rsid w:val="00844B86"/>
    <w:rsid w:val="00844EB7"/>
    <w:rsid w:val="008450A1"/>
    <w:rsid w:val="008452E0"/>
    <w:rsid w:val="008453AE"/>
    <w:rsid w:val="008453BC"/>
    <w:rsid w:val="00845594"/>
    <w:rsid w:val="00845682"/>
    <w:rsid w:val="00845754"/>
    <w:rsid w:val="00845826"/>
    <w:rsid w:val="00845923"/>
    <w:rsid w:val="00845D82"/>
    <w:rsid w:val="00845EAF"/>
    <w:rsid w:val="0084608A"/>
    <w:rsid w:val="008465F2"/>
    <w:rsid w:val="00846898"/>
    <w:rsid w:val="00846BC1"/>
    <w:rsid w:val="00846C71"/>
    <w:rsid w:val="008470BB"/>
    <w:rsid w:val="008470F7"/>
    <w:rsid w:val="0084729C"/>
    <w:rsid w:val="008474D9"/>
    <w:rsid w:val="00847969"/>
    <w:rsid w:val="00847AE0"/>
    <w:rsid w:val="00847B60"/>
    <w:rsid w:val="00847D11"/>
    <w:rsid w:val="00847DBD"/>
    <w:rsid w:val="00847DD1"/>
    <w:rsid w:val="00847EC6"/>
    <w:rsid w:val="00847F52"/>
    <w:rsid w:val="008501ED"/>
    <w:rsid w:val="008502CE"/>
    <w:rsid w:val="008506A5"/>
    <w:rsid w:val="008507A9"/>
    <w:rsid w:val="00850C62"/>
    <w:rsid w:val="00850D9C"/>
    <w:rsid w:val="00851131"/>
    <w:rsid w:val="00851635"/>
    <w:rsid w:val="00852124"/>
    <w:rsid w:val="00852133"/>
    <w:rsid w:val="008521DF"/>
    <w:rsid w:val="0085257E"/>
    <w:rsid w:val="00852920"/>
    <w:rsid w:val="00852937"/>
    <w:rsid w:val="00852B6B"/>
    <w:rsid w:val="00852C84"/>
    <w:rsid w:val="00853AAB"/>
    <w:rsid w:val="00853B94"/>
    <w:rsid w:val="00853BCA"/>
    <w:rsid w:val="00853D94"/>
    <w:rsid w:val="00854054"/>
    <w:rsid w:val="008542BA"/>
    <w:rsid w:val="0085479D"/>
    <w:rsid w:val="00854CC8"/>
    <w:rsid w:val="008552FC"/>
    <w:rsid w:val="008553B6"/>
    <w:rsid w:val="0085543E"/>
    <w:rsid w:val="008555DA"/>
    <w:rsid w:val="00855E97"/>
    <w:rsid w:val="00855FFE"/>
    <w:rsid w:val="0085630F"/>
    <w:rsid w:val="00856668"/>
    <w:rsid w:val="00856CBB"/>
    <w:rsid w:val="00856EC9"/>
    <w:rsid w:val="00857074"/>
    <w:rsid w:val="008570CD"/>
    <w:rsid w:val="008574CD"/>
    <w:rsid w:val="008575C4"/>
    <w:rsid w:val="008576E1"/>
    <w:rsid w:val="008579AC"/>
    <w:rsid w:val="00857D41"/>
    <w:rsid w:val="0086040D"/>
    <w:rsid w:val="00860467"/>
    <w:rsid w:val="0086050E"/>
    <w:rsid w:val="00860CFA"/>
    <w:rsid w:val="00860D6B"/>
    <w:rsid w:val="00860D72"/>
    <w:rsid w:val="0086169D"/>
    <w:rsid w:val="00861C27"/>
    <w:rsid w:val="00861CDF"/>
    <w:rsid w:val="00861F4D"/>
    <w:rsid w:val="008621D7"/>
    <w:rsid w:val="008623FD"/>
    <w:rsid w:val="008627F7"/>
    <w:rsid w:val="00862958"/>
    <w:rsid w:val="00862A33"/>
    <w:rsid w:val="00862CA5"/>
    <w:rsid w:val="00862E65"/>
    <w:rsid w:val="00863006"/>
    <w:rsid w:val="0086355D"/>
    <w:rsid w:val="008638FC"/>
    <w:rsid w:val="00863C34"/>
    <w:rsid w:val="00863DF7"/>
    <w:rsid w:val="00863FC3"/>
    <w:rsid w:val="00864396"/>
    <w:rsid w:val="008643D5"/>
    <w:rsid w:val="008647D4"/>
    <w:rsid w:val="00864B7E"/>
    <w:rsid w:val="00864BB0"/>
    <w:rsid w:val="00864E68"/>
    <w:rsid w:val="00864F72"/>
    <w:rsid w:val="00865011"/>
    <w:rsid w:val="0086513A"/>
    <w:rsid w:val="00865623"/>
    <w:rsid w:val="00865701"/>
    <w:rsid w:val="00865C8A"/>
    <w:rsid w:val="00866010"/>
    <w:rsid w:val="00866235"/>
    <w:rsid w:val="008664A9"/>
    <w:rsid w:val="008664BD"/>
    <w:rsid w:val="0086660D"/>
    <w:rsid w:val="00866881"/>
    <w:rsid w:val="00866A90"/>
    <w:rsid w:val="00866E09"/>
    <w:rsid w:val="00866FB1"/>
    <w:rsid w:val="0086706A"/>
    <w:rsid w:val="0086759F"/>
    <w:rsid w:val="008676D3"/>
    <w:rsid w:val="0086775F"/>
    <w:rsid w:val="00867779"/>
    <w:rsid w:val="00867787"/>
    <w:rsid w:val="00867796"/>
    <w:rsid w:val="00867B0D"/>
    <w:rsid w:val="00867CAC"/>
    <w:rsid w:val="00867ED2"/>
    <w:rsid w:val="0087026F"/>
    <w:rsid w:val="008702DF"/>
    <w:rsid w:val="008707DE"/>
    <w:rsid w:val="00870DAB"/>
    <w:rsid w:val="0087113D"/>
    <w:rsid w:val="00871275"/>
    <w:rsid w:val="008713AB"/>
    <w:rsid w:val="0087145E"/>
    <w:rsid w:val="008714C9"/>
    <w:rsid w:val="00871A93"/>
    <w:rsid w:val="00871B52"/>
    <w:rsid w:val="00872215"/>
    <w:rsid w:val="008727B5"/>
    <w:rsid w:val="00872827"/>
    <w:rsid w:val="008728EF"/>
    <w:rsid w:val="00872B65"/>
    <w:rsid w:val="00872FA7"/>
    <w:rsid w:val="0087321C"/>
    <w:rsid w:val="00873263"/>
    <w:rsid w:val="00873581"/>
    <w:rsid w:val="008736FC"/>
    <w:rsid w:val="008741EF"/>
    <w:rsid w:val="0087429E"/>
    <w:rsid w:val="00874319"/>
    <w:rsid w:val="00874427"/>
    <w:rsid w:val="0087470C"/>
    <w:rsid w:val="008748DD"/>
    <w:rsid w:val="00874905"/>
    <w:rsid w:val="00874A3B"/>
    <w:rsid w:val="00874CC4"/>
    <w:rsid w:val="00874FAA"/>
    <w:rsid w:val="00875077"/>
    <w:rsid w:val="008753FB"/>
    <w:rsid w:val="008756AA"/>
    <w:rsid w:val="0087584C"/>
    <w:rsid w:val="00875A37"/>
    <w:rsid w:val="00875B56"/>
    <w:rsid w:val="00875DAD"/>
    <w:rsid w:val="00875EF7"/>
    <w:rsid w:val="00875FFA"/>
    <w:rsid w:val="0087622D"/>
    <w:rsid w:val="00876308"/>
    <w:rsid w:val="00876479"/>
    <w:rsid w:val="0087666B"/>
    <w:rsid w:val="008767A9"/>
    <w:rsid w:val="008767F7"/>
    <w:rsid w:val="00876925"/>
    <w:rsid w:val="008769AD"/>
    <w:rsid w:val="00876A94"/>
    <w:rsid w:val="00876AA4"/>
    <w:rsid w:val="00876B54"/>
    <w:rsid w:val="00876B8A"/>
    <w:rsid w:val="00876C77"/>
    <w:rsid w:val="00877305"/>
    <w:rsid w:val="0087732E"/>
    <w:rsid w:val="0087738D"/>
    <w:rsid w:val="0087755B"/>
    <w:rsid w:val="00877634"/>
    <w:rsid w:val="0087771C"/>
    <w:rsid w:val="00877867"/>
    <w:rsid w:val="008779E9"/>
    <w:rsid w:val="00877B35"/>
    <w:rsid w:val="00877B7C"/>
    <w:rsid w:val="0088010C"/>
    <w:rsid w:val="00880213"/>
    <w:rsid w:val="0088054A"/>
    <w:rsid w:val="0088064C"/>
    <w:rsid w:val="00880AEF"/>
    <w:rsid w:val="00880D8E"/>
    <w:rsid w:val="008811BB"/>
    <w:rsid w:val="0088138C"/>
    <w:rsid w:val="00881431"/>
    <w:rsid w:val="008816E2"/>
    <w:rsid w:val="00882615"/>
    <w:rsid w:val="0088295F"/>
    <w:rsid w:val="008829F8"/>
    <w:rsid w:val="00882AA3"/>
    <w:rsid w:val="00882E16"/>
    <w:rsid w:val="00882FC5"/>
    <w:rsid w:val="00883BFA"/>
    <w:rsid w:val="00883D08"/>
    <w:rsid w:val="00883D9B"/>
    <w:rsid w:val="00883EEF"/>
    <w:rsid w:val="00883F0B"/>
    <w:rsid w:val="0088429A"/>
    <w:rsid w:val="008844FE"/>
    <w:rsid w:val="00884548"/>
    <w:rsid w:val="008849C2"/>
    <w:rsid w:val="00884B40"/>
    <w:rsid w:val="00884C9A"/>
    <w:rsid w:val="00884DB1"/>
    <w:rsid w:val="0088507C"/>
    <w:rsid w:val="008851DD"/>
    <w:rsid w:val="00885688"/>
    <w:rsid w:val="008856D5"/>
    <w:rsid w:val="0088583F"/>
    <w:rsid w:val="00885995"/>
    <w:rsid w:val="00885A9B"/>
    <w:rsid w:val="00885B0C"/>
    <w:rsid w:val="00885D8D"/>
    <w:rsid w:val="00885EE6"/>
    <w:rsid w:val="00885F92"/>
    <w:rsid w:val="00885F9F"/>
    <w:rsid w:val="0088647D"/>
    <w:rsid w:val="00886B94"/>
    <w:rsid w:val="00886F99"/>
    <w:rsid w:val="008871BE"/>
    <w:rsid w:val="00887399"/>
    <w:rsid w:val="00887433"/>
    <w:rsid w:val="00887436"/>
    <w:rsid w:val="008874EC"/>
    <w:rsid w:val="008877D5"/>
    <w:rsid w:val="0088780D"/>
    <w:rsid w:val="00887AC2"/>
    <w:rsid w:val="00887B5B"/>
    <w:rsid w:val="00887BCB"/>
    <w:rsid w:val="00887E30"/>
    <w:rsid w:val="00887FD1"/>
    <w:rsid w:val="00890013"/>
    <w:rsid w:val="008901A6"/>
    <w:rsid w:val="0089025E"/>
    <w:rsid w:val="008904DB"/>
    <w:rsid w:val="00890563"/>
    <w:rsid w:val="00890658"/>
    <w:rsid w:val="008906E9"/>
    <w:rsid w:val="00890714"/>
    <w:rsid w:val="008907B1"/>
    <w:rsid w:val="00890937"/>
    <w:rsid w:val="00890B2A"/>
    <w:rsid w:val="00890C4A"/>
    <w:rsid w:val="00890D7F"/>
    <w:rsid w:val="00891071"/>
    <w:rsid w:val="00891120"/>
    <w:rsid w:val="008916AA"/>
    <w:rsid w:val="008916CA"/>
    <w:rsid w:val="008917B0"/>
    <w:rsid w:val="00891999"/>
    <w:rsid w:val="00891C7D"/>
    <w:rsid w:val="00891F5B"/>
    <w:rsid w:val="00892781"/>
    <w:rsid w:val="00892D6F"/>
    <w:rsid w:val="00892D82"/>
    <w:rsid w:val="00893136"/>
    <w:rsid w:val="00893323"/>
    <w:rsid w:val="00893880"/>
    <w:rsid w:val="00893A93"/>
    <w:rsid w:val="00893E5F"/>
    <w:rsid w:val="00894207"/>
    <w:rsid w:val="00894687"/>
    <w:rsid w:val="008947F1"/>
    <w:rsid w:val="0089498F"/>
    <w:rsid w:val="00894B7A"/>
    <w:rsid w:val="00894C6B"/>
    <w:rsid w:val="00894DE5"/>
    <w:rsid w:val="0089535C"/>
    <w:rsid w:val="0089545A"/>
    <w:rsid w:val="008955A1"/>
    <w:rsid w:val="008957AF"/>
    <w:rsid w:val="008957B0"/>
    <w:rsid w:val="0089590F"/>
    <w:rsid w:val="00895B7E"/>
    <w:rsid w:val="0089664B"/>
    <w:rsid w:val="00896937"/>
    <w:rsid w:val="00896B85"/>
    <w:rsid w:val="00896BA7"/>
    <w:rsid w:val="00896BC4"/>
    <w:rsid w:val="00896DF1"/>
    <w:rsid w:val="00896F3E"/>
    <w:rsid w:val="00896F97"/>
    <w:rsid w:val="00896FF7"/>
    <w:rsid w:val="008972D5"/>
    <w:rsid w:val="008976CA"/>
    <w:rsid w:val="008976E6"/>
    <w:rsid w:val="00897763"/>
    <w:rsid w:val="00897796"/>
    <w:rsid w:val="008977F9"/>
    <w:rsid w:val="00897B1F"/>
    <w:rsid w:val="00897CFF"/>
    <w:rsid w:val="00897DF0"/>
    <w:rsid w:val="00897F08"/>
    <w:rsid w:val="00897FA9"/>
    <w:rsid w:val="00897FD3"/>
    <w:rsid w:val="008A02E6"/>
    <w:rsid w:val="008A03D1"/>
    <w:rsid w:val="008A040A"/>
    <w:rsid w:val="008A0442"/>
    <w:rsid w:val="008A05B9"/>
    <w:rsid w:val="008A0723"/>
    <w:rsid w:val="008A09CB"/>
    <w:rsid w:val="008A0A23"/>
    <w:rsid w:val="008A0B25"/>
    <w:rsid w:val="008A0CC8"/>
    <w:rsid w:val="008A0F45"/>
    <w:rsid w:val="008A1196"/>
    <w:rsid w:val="008A1750"/>
    <w:rsid w:val="008A1B25"/>
    <w:rsid w:val="008A1C7A"/>
    <w:rsid w:val="008A1CCB"/>
    <w:rsid w:val="008A1EE9"/>
    <w:rsid w:val="008A22A5"/>
    <w:rsid w:val="008A2751"/>
    <w:rsid w:val="008A293D"/>
    <w:rsid w:val="008A2C06"/>
    <w:rsid w:val="008A2C57"/>
    <w:rsid w:val="008A2D72"/>
    <w:rsid w:val="008A32B0"/>
    <w:rsid w:val="008A376E"/>
    <w:rsid w:val="008A3B27"/>
    <w:rsid w:val="008A3CC5"/>
    <w:rsid w:val="008A3CE0"/>
    <w:rsid w:val="008A42F3"/>
    <w:rsid w:val="008A4392"/>
    <w:rsid w:val="008A46C0"/>
    <w:rsid w:val="008A46E0"/>
    <w:rsid w:val="008A4759"/>
    <w:rsid w:val="008A49B8"/>
    <w:rsid w:val="008A4BFE"/>
    <w:rsid w:val="008A54CA"/>
    <w:rsid w:val="008A54FA"/>
    <w:rsid w:val="008A58DB"/>
    <w:rsid w:val="008A5CA2"/>
    <w:rsid w:val="008A5E52"/>
    <w:rsid w:val="008A5F19"/>
    <w:rsid w:val="008A64BD"/>
    <w:rsid w:val="008A690B"/>
    <w:rsid w:val="008A7604"/>
    <w:rsid w:val="008A7792"/>
    <w:rsid w:val="008A7D89"/>
    <w:rsid w:val="008A7DD2"/>
    <w:rsid w:val="008B031E"/>
    <w:rsid w:val="008B0830"/>
    <w:rsid w:val="008B0CCA"/>
    <w:rsid w:val="008B0DA3"/>
    <w:rsid w:val="008B110C"/>
    <w:rsid w:val="008B150B"/>
    <w:rsid w:val="008B1615"/>
    <w:rsid w:val="008B1C41"/>
    <w:rsid w:val="008B2A11"/>
    <w:rsid w:val="008B2BFA"/>
    <w:rsid w:val="008B2C43"/>
    <w:rsid w:val="008B2EB7"/>
    <w:rsid w:val="008B3120"/>
    <w:rsid w:val="008B342F"/>
    <w:rsid w:val="008B3956"/>
    <w:rsid w:val="008B3A86"/>
    <w:rsid w:val="008B3FBB"/>
    <w:rsid w:val="008B3FE1"/>
    <w:rsid w:val="008B4384"/>
    <w:rsid w:val="008B464D"/>
    <w:rsid w:val="008B4A60"/>
    <w:rsid w:val="008B4B0B"/>
    <w:rsid w:val="008B4CE2"/>
    <w:rsid w:val="008B4E95"/>
    <w:rsid w:val="008B53C0"/>
    <w:rsid w:val="008B568F"/>
    <w:rsid w:val="008B59FB"/>
    <w:rsid w:val="008B5BA0"/>
    <w:rsid w:val="008B5EF0"/>
    <w:rsid w:val="008B614A"/>
    <w:rsid w:val="008B6368"/>
    <w:rsid w:val="008B6498"/>
    <w:rsid w:val="008B6522"/>
    <w:rsid w:val="008B6746"/>
    <w:rsid w:val="008B6A6C"/>
    <w:rsid w:val="008B6B7C"/>
    <w:rsid w:val="008B6EB4"/>
    <w:rsid w:val="008B74F8"/>
    <w:rsid w:val="008B7D53"/>
    <w:rsid w:val="008B7DD5"/>
    <w:rsid w:val="008B7F12"/>
    <w:rsid w:val="008C03EC"/>
    <w:rsid w:val="008C0A9B"/>
    <w:rsid w:val="008C0B9D"/>
    <w:rsid w:val="008C0BFD"/>
    <w:rsid w:val="008C0CEE"/>
    <w:rsid w:val="008C0D90"/>
    <w:rsid w:val="008C13E4"/>
    <w:rsid w:val="008C1449"/>
    <w:rsid w:val="008C1A5F"/>
    <w:rsid w:val="008C1CA2"/>
    <w:rsid w:val="008C1D54"/>
    <w:rsid w:val="008C1E53"/>
    <w:rsid w:val="008C1EA5"/>
    <w:rsid w:val="008C1FB5"/>
    <w:rsid w:val="008C22AD"/>
    <w:rsid w:val="008C2401"/>
    <w:rsid w:val="008C245D"/>
    <w:rsid w:val="008C26F2"/>
    <w:rsid w:val="008C2A0F"/>
    <w:rsid w:val="008C2DE8"/>
    <w:rsid w:val="008C338F"/>
    <w:rsid w:val="008C3609"/>
    <w:rsid w:val="008C3962"/>
    <w:rsid w:val="008C3EBF"/>
    <w:rsid w:val="008C3EEB"/>
    <w:rsid w:val="008C3F21"/>
    <w:rsid w:val="008C3F6F"/>
    <w:rsid w:val="008C43D5"/>
    <w:rsid w:val="008C48EC"/>
    <w:rsid w:val="008C4945"/>
    <w:rsid w:val="008C4E45"/>
    <w:rsid w:val="008C4E86"/>
    <w:rsid w:val="008C4F96"/>
    <w:rsid w:val="008C52BF"/>
    <w:rsid w:val="008C52CC"/>
    <w:rsid w:val="008C5B80"/>
    <w:rsid w:val="008C5D8F"/>
    <w:rsid w:val="008C5E89"/>
    <w:rsid w:val="008C615F"/>
    <w:rsid w:val="008C6666"/>
    <w:rsid w:val="008C688A"/>
    <w:rsid w:val="008C68C9"/>
    <w:rsid w:val="008C6AD5"/>
    <w:rsid w:val="008C6AE6"/>
    <w:rsid w:val="008C6BC5"/>
    <w:rsid w:val="008C6D78"/>
    <w:rsid w:val="008C7048"/>
    <w:rsid w:val="008C74A3"/>
    <w:rsid w:val="008C75EA"/>
    <w:rsid w:val="008C77CC"/>
    <w:rsid w:val="008C7B29"/>
    <w:rsid w:val="008C7E22"/>
    <w:rsid w:val="008D0178"/>
    <w:rsid w:val="008D022B"/>
    <w:rsid w:val="008D029C"/>
    <w:rsid w:val="008D060C"/>
    <w:rsid w:val="008D0756"/>
    <w:rsid w:val="008D0A0A"/>
    <w:rsid w:val="008D0A97"/>
    <w:rsid w:val="008D0FFB"/>
    <w:rsid w:val="008D1282"/>
    <w:rsid w:val="008D1638"/>
    <w:rsid w:val="008D1701"/>
    <w:rsid w:val="008D185F"/>
    <w:rsid w:val="008D1BCD"/>
    <w:rsid w:val="008D1E21"/>
    <w:rsid w:val="008D1FE7"/>
    <w:rsid w:val="008D2182"/>
    <w:rsid w:val="008D22E7"/>
    <w:rsid w:val="008D2482"/>
    <w:rsid w:val="008D254E"/>
    <w:rsid w:val="008D274F"/>
    <w:rsid w:val="008D28E4"/>
    <w:rsid w:val="008D2B37"/>
    <w:rsid w:val="008D2B73"/>
    <w:rsid w:val="008D2C69"/>
    <w:rsid w:val="008D320A"/>
    <w:rsid w:val="008D32C3"/>
    <w:rsid w:val="008D33A8"/>
    <w:rsid w:val="008D3601"/>
    <w:rsid w:val="008D3A23"/>
    <w:rsid w:val="008D3BF3"/>
    <w:rsid w:val="008D3CF3"/>
    <w:rsid w:val="008D3E21"/>
    <w:rsid w:val="008D3EB5"/>
    <w:rsid w:val="008D3FDA"/>
    <w:rsid w:val="008D42A6"/>
    <w:rsid w:val="008D42B2"/>
    <w:rsid w:val="008D4384"/>
    <w:rsid w:val="008D43DF"/>
    <w:rsid w:val="008D48A8"/>
    <w:rsid w:val="008D499A"/>
    <w:rsid w:val="008D4B1B"/>
    <w:rsid w:val="008D4F32"/>
    <w:rsid w:val="008D4F5F"/>
    <w:rsid w:val="008D4FFF"/>
    <w:rsid w:val="008D5114"/>
    <w:rsid w:val="008D5386"/>
    <w:rsid w:val="008D55FD"/>
    <w:rsid w:val="008D5660"/>
    <w:rsid w:val="008D59AE"/>
    <w:rsid w:val="008D5C03"/>
    <w:rsid w:val="008D5C32"/>
    <w:rsid w:val="008D5C7D"/>
    <w:rsid w:val="008D5F02"/>
    <w:rsid w:val="008D6066"/>
    <w:rsid w:val="008D66E9"/>
    <w:rsid w:val="008D687E"/>
    <w:rsid w:val="008D6ADB"/>
    <w:rsid w:val="008D6B4D"/>
    <w:rsid w:val="008D6DEA"/>
    <w:rsid w:val="008D7A20"/>
    <w:rsid w:val="008D7A5E"/>
    <w:rsid w:val="008D7C65"/>
    <w:rsid w:val="008E0125"/>
    <w:rsid w:val="008E036F"/>
    <w:rsid w:val="008E046F"/>
    <w:rsid w:val="008E048F"/>
    <w:rsid w:val="008E089E"/>
    <w:rsid w:val="008E0901"/>
    <w:rsid w:val="008E0AE9"/>
    <w:rsid w:val="008E0D84"/>
    <w:rsid w:val="008E1240"/>
    <w:rsid w:val="008E132D"/>
    <w:rsid w:val="008E13E9"/>
    <w:rsid w:val="008E1762"/>
    <w:rsid w:val="008E18DF"/>
    <w:rsid w:val="008E1D7E"/>
    <w:rsid w:val="008E1E0B"/>
    <w:rsid w:val="008E1ECC"/>
    <w:rsid w:val="008E1F1D"/>
    <w:rsid w:val="008E210C"/>
    <w:rsid w:val="008E21DE"/>
    <w:rsid w:val="008E22A1"/>
    <w:rsid w:val="008E2751"/>
    <w:rsid w:val="008E27AC"/>
    <w:rsid w:val="008E2A9A"/>
    <w:rsid w:val="008E2B62"/>
    <w:rsid w:val="008E2BC8"/>
    <w:rsid w:val="008E2EAD"/>
    <w:rsid w:val="008E2F39"/>
    <w:rsid w:val="008E2F3C"/>
    <w:rsid w:val="008E2FDE"/>
    <w:rsid w:val="008E30D6"/>
    <w:rsid w:val="008E335D"/>
    <w:rsid w:val="008E349E"/>
    <w:rsid w:val="008E35DE"/>
    <w:rsid w:val="008E3602"/>
    <w:rsid w:val="008E377A"/>
    <w:rsid w:val="008E37D5"/>
    <w:rsid w:val="008E3D00"/>
    <w:rsid w:val="008E3D19"/>
    <w:rsid w:val="008E4173"/>
    <w:rsid w:val="008E46A0"/>
    <w:rsid w:val="008E476F"/>
    <w:rsid w:val="008E477E"/>
    <w:rsid w:val="008E4A81"/>
    <w:rsid w:val="008E5008"/>
    <w:rsid w:val="008E51E6"/>
    <w:rsid w:val="008E52D5"/>
    <w:rsid w:val="008E54D1"/>
    <w:rsid w:val="008E5769"/>
    <w:rsid w:val="008E57DF"/>
    <w:rsid w:val="008E5896"/>
    <w:rsid w:val="008E5B13"/>
    <w:rsid w:val="008E5E40"/>
    <w:rsid w:val="008E637C"/>
    <w:rsid w:val="008E65D9"/>
    <w:rsid w:val="008E660A"/>
    <w:rsid w:val="008E6C39"/>
    <w:rsid w:val="008E6C4F"/>
    <w:rsid w:val="008E6F77"/>
    <w:rsid w:val="008E6FCA"/>
    <w:rsid w:val="008E70FE"/>
    <w:rsid w:val="008E718C"/>
    <w:rsid w:val="008E71F3"/>
    <w:rsid w:val="008E758C"/>
    <w:rsid w:val="008E75FA"/>
    <w:rsid w:val="008E7696"/>
    <w:rsid w:val="008E77B5"/>
    <w:rsid w:val="008E79F3"/>
    <w:rsid w:val="008E7B5A"/>
    <w:rsid w:val="008E7F58"/>
    <w:rsid w:val="008E7F81"/>
    <w:rsid w:val="008F00D8"/>
    <w:rsid w:val="008F0208"/>
    <w:rsid w:val="008F051F"/>
    <w:rsid w:val="008F05B4"/>
    <w:rsid w:val="008F068C"/>
    <w:rsid w:val="008F09CC"/>
    <w:rsid w:val="008F1225"/>
    <w:rsid w:val="008F131C"/>
    <w:rsid w:val="008F14B1"/>
    <w:rsid w:val="008F15FC"/>
    <w:rsid w:val="008F163E"/>
    <w:rsid w:val="008F19DA"/>
    <w:rsid w:val="008F1AF0"/>
    <w:rsid w:val="008F1B4E"/>
    <w:rsid w:val="008F1BC5"/>
    <w:rsid w:val="008F1C05"/>
    <w:rsid w:val="008F1C53"/>
    <w:rsid w:val="008F1F24"/>
    <w:rsid w:val="008F1F4E"/>
    <w:rsid w:val="008F22E8"/>
    <w:rsid w:val="008F23B9"/>
    <w:rsid w:val="008F2440"/>
    <w:rsid w:val="008F3255"/>
    <w:rsid w:val="008F3723"/>
    <w:rsid w:val="008F3731"/>
    <w:rsid w:val="008F3768"/>
    <w:rsid w:val="008F382A"/>
    <w:rsid w:val="008F3DFE"/>
    <w:rsid w:val="008F4518"/>
    <w:rsid w:val="008F45F7"/>
    <w:rsid w:val="008F460C"/>
    <w:rsid w:val="008F46EB"/>
    <w:rsid w:val="008F470E"/>
    <w:rsid w:val="008F5175"/>
    <w:rsid w:val="008F55AC"/>
    <w:rsid w:val="008F56C2"/>
    <w:rsid w:val="008F5836"/>
    <w:rsid w:val="008F589D"/>
    <w:rsid w:val="008F5A19"/>
    <w:rsid w:val="008F6618"/>
    <w:rsid w:val="008F66D5"/>
    <w:rsid w:val="008F6796"/>
    <w:rsid w:val="008F685F"/>
    <w:rsid w:val="008F68E8"/>
    <w:rsid w:val="008F6A00"/>
    <w:rsid w:val="008F6CD7"/>
    <w:rsid w:val="008F6EF4"/>
    <w:rsid w:val="008F78C8"/>
    <w:rsid w:val="008F7F86"/>
    <w:rsid w:val="00900185"/>
    <w:rsid w:val="00900793"/>
    <w:rsid w:val="00900B99"/>
    <w:rsid w:val="00900C2F"/>
    <w:rsid w:val="00900D50"/>
    <w:rsid w:val="009010EF"/>
    <w:rsid w:val="009012CE"/>
    <w:rsid w:val="00901541"/>
    <w:rsid w:val="009016A4"/>
    <w:rsid w:val="00901815"/>
    <w:rsid w:val="00901DEF"/>
    <w:rsid w:val="00902060"/>
    <w:rsid w:val="00902341"/>
    <w:rsid w:val="009023D0"/>
    <w:rsid w:val="009025BB"/>
    <w:rsid w:val="00902AC5"/>
    <w:rsid w:val="00902B7F"/>
    <w:rsid w:val="00902C4F"/>
    <w:rsid w:val="00902EBE"/>
    <w:rsid w:val="009031E7"/>
    <w:rsid w:val="00903294"/>
    <w:rsid w:val="00903574"/>
    <w:rsid w:val="0090392C"/>
    <w:rsid w:val="009039C3"/>
    <w:rsid w:val="00903C41"/>
    <w:rsid w:val="00903E31"/>
    <w:rsid w:val="0090413F"/>
    <w:rsid w:val="009041FC"/>
    <w:rsid w:val="0090420D"/>
    <w:rsid w:val="00904236"/>
    <w:rsid w:val="0090464D"/>
    <w:rsid w:val="009046B2"/>
    <w:rsid w:val="009049C0"/>
    <w:rsid w:val="00904C12"/>
    <w:rsid w:val="00904DAB"/>
    <w:rsid w:val="00905069"/>
    <w:rsid w:val="009050C5"/>
    <w:rsid w:val="009050FC"/>
    <w:rsid w:val="00905563"/>
    <w:rsid w:val="00905578"/>
    <w:rsid w:val="009055CA"/>
    <w:rsid w:val="00905679"/>
    <w:rsid w:val="00905952"/>
    <w:rsid w:val="0090599D"/>
    <w:rsid w:val="00905B0E"/>
    <w:rsid w:val="00905D2C"/>
    <w:rsid w:val="00905EC7"/>
    <w:rsid w:val="009060FE"/>
    <w:rsid w:val="00906111"/>
    <w:rsid w:val="009067BB"/>
    <w:rsid w:val="0090695A"/>
    <w:rsid w:val="00906E3C"/>
    <w:rsid w:val="00907301"/>
    <w:rsid w:val="00907384"/>
    <w:rsid w:val="0090756D"/>
    <w:rsid w:val="00907599"/>
    <w:rsid w:val="00907800"/>
    <w:rsid w:val="0090784E"/>
    <w:rsid w:val="00907B4D"/>
    <w:rsid w:val="00907C35"/>
    <w:rsid w:val="00907DAC"/>
    <w:rsid w:val="00907E44"/>
    <w:rsid w:val="00907E50"/>
    <w:rsid w:val="00907F1F"/>
    <w:rsid w:val="00907FF9"/>
    <w:rsid w:val="009102D2"/>
    <w:rsid w:val="009104B9"/>
    <w:rsid w:val="00910610"/>
    <w:rsid w:val="009111ED"/>
    <w:rsid w:val="009113C4"/>
    <w:rsid w:val="009115C2"/>
    <w:rsid w:val="009116C5"/>
    <w:rsid w:val="0091171A"/>
    <w:rsid w:val="009119C9"/>
    <w:rsid w:val="00911AE1"/>
    <w:rsid w:val="00911B4D"/>
    <w:rsid w:val="009121D5"/>
    <w:rsid w:val="0091241A"/>
    <w:rsid w:val="00912FE0"/>
    <w:rsid w:val="0091352C"/>
    <w:rsid w:val="00913933"/>
    <w:rsid w:val="00913A0F"/>
    <w:rsid w:val="00913A7E"/>
    <w:rsid w:val="00913CB5"/>
    <w:rsid w:val="00913DA9"/>
    <w:rsid w:val="00913F74"/>
    <w:rsid w:val="00913F76"/>
    <w:rsid w:val="00914C6A"/>
    <w:rsid w:val="009151D9"/>
    <w:rsid w:val="00915261"/>
    <w:rsid w:val="009154EF"/>
    <w:rsid w:val="00915B82"/>
    <w:rsid w:val="00916212"/>
    <w:rsid w:val="0091653C"/>
    <w:rsid w:val="0091676C"/>
    <w:rsid w:val="009167C9"/>
    <w:rsid w:val="009167E6"/>
    <w:rsid w:val="00916A53"/>
    <w:rsid w:val="00916AC8"/>
    <w:rsid w:val="00916D16"/>
    <w:rsid w:val="00916D7A"/>
    <w:rsid w:val="00916DE7"/>
    <w:rsid w:val="00916F7E"/>
    <w:rsid w:val="0091705C"/>
    <w:rsid w:val="00917A55"/>
    <w:rsid w:val="00917B93"/>
    <w:rsid w:val="00917BFE"/>
    <w:rsid w:val="00917CB7"/>
    <w:rsid w:val="00917E32"/>
    <w:rsid w:val="009203CB"/>
    <w:rsid w:val="00920639"/>
    <w:rsid w:val="00920727"/>
    <w:rsid w:val="009208A9"/>
    <w:rsid w:val="00920968"/>
    <w:rsid w:val="00920A6F"/>
    <w:rsid w:val="00920AE1"/>
    <w:rsid w:val="00920B6D"/>
    <w:rsid w:val="00920C13"/>
    <w:rsid w:val="00920D93"/>
    <w:rsid w:val="00920DB8"/>
    <w:rsid w:val="00920ED4"/>
    <w:rsid w:val="00920EEC"/>
    <w:rsid w:val="0092135F"/>
    <w:rsid w:val="00921773"/>
    <w:rsid w:val="00921B1C"/>
    <w:rsid w:val="00921D06"/>
    <w:rsid w:val="00921E08"/>
    <w:rsid w:val="0092247F"/>
    <w:rsid w:val="00922615"/>
    <w:rsid w:val="0092293F"/>
    <w:rsid w:val="00922B02"/>
    <w:rsid w:val="00923276"/>
    <w:rsid w:val="009232A2"/>
    <w:rsid w:val="009233B9"/>
    <w:rsid w:val="0092340F"/>
    <w:rsid w:val="00923AFF"/>
    <w:rsid w:val="00923B44"/>
    <w:rsid w:val="00923DF3"/>
    <w:rsid w:val="00923F35"/>
    <w:rsid w:val="00923FB7"/>
    <w:rsid w:val="00924596"/>
    <w:rsid w:val="00924AE4"/>
    <w:rsid w:val="00924C09"/>
    <w:rsid w:val="00924CF1"/>
    <w:rsid w:val="00925214"/>
    <w:rsid w:val="00925426"/>
    <w:rsid w:val="00925972"/>
    <w:rsid w:val="00925A80"/>
    <w:rsid w:val="00925B75"/>
    <w:rsid w:val="00925B9C"/>
    <w:rsid w:val="00925CD8"/>
    <w:rsid w:val="00925D8C"/>
    <w:rsid w:val="0092628B"/>
    <w:rsid w:val="009265F5"/>
    <w:rsid w:val="0092696E"/>
    <w:rsid w:val="009269BD"/>
    <w:rsid w:val="00926BA2"/>
    <w:rsid w:val="00926D74"/>
    <w:rsid w:val="00926F7B"/>
    <w:rsid w:val="00927804"/>
    <w:rsid w:val="00927FAE"/>
    <w:rsid w:val="00930246"/>
    <w:rsid w:val="0093054F"/>
    <w:rsid w:val="009306BF"/>
    <w:rsid w:val="00930A25"/>
    <w:rsid w:val="00930D92"/>
    <w:rsid w:val="009310E2"/>
    <w:rsid w:val="00931105"/>
    <w:rsid w:val="0093178A"/>
    <w:rsid w:val="00931AE7"/>
    <w:rsid w:val="00931C34"/>
    <w:rsid w:val="00931C37"/>
    <w:rsid w:val="00931EF5"/>
    <w:rsid w:val="00932107"/>
    <w:rsid w:val="009322A4"/>
    <w:rsid w:val="009322C0"/>
    <w:rsid w:val="00932686"/>
    <w:rsid w:val="00932966"/>
    <w:rsid w:val="009329F1"/>
    <w:rsid w:val="00932AC8"/>
    <w:rsid w:val="00932DD5"/>
    <w:rsid w:val="0093301B"/>
    <w:rsid w:val="00933085"/>
    <w:rsid w:val="0093326A"/>
    <w:rsid w:val="0093333D"/>
    <w:rsid w:val="0093356C"/>
    <w:rsid w:val="00933678"/>
    <w:rsid w:val="0093370E"/>
    <w:rsid w:val="0093371C"/>
    <w:rsid w:val="009337F7"/>
    <w:rsid w:val="00933A37"/>
    <w:rsid w:val="00933E92"/>
    <w:rsid w:val="0093424A"/>
    <w:rsid w:val="00934513"/>
    <w:rsid w:val="00934692"/>
    <w:rsid w:val="00934695"/>
    <w:rsid w:val="00934751"/>
    <w:rsid w:val="00934E73"/>
    <w:rsid w:val="00935126"/>
    <w:rsid w:val="00935282"/>
    <w:rsid w:val="009353F7"/>
    <w:rsid w:val="00935467"/>
    <w:rsid w:val="00935529"/>
    <w:rsid w:val="00935CA3"/>
    <w:rsid w:val="00935E93"/>
    <w:rsid w:val="0093652D"/>
    <w:rsid w:val="009366E1"/>
    <w:rsid w:val="009367CF"/>
    <w:rsid w:val="00937322"/>
    <w:rsid w:val="0093738F"/>
    <w:rsid w:val="0093798D"/>
    <w:rsid w:val="00940063"/>
    <w:rsid w:val="0094019A"/>
    <w:rsid w:val="00940260"/>
    <w:rsid w:val="0094032F"/>
    <w:rsid w:val="00940961"/>
    <w:rsid w:val="009409AE"/>
    <w:rsid w:val="00940B7C"/>
    <w:rsid w:val="00940C2D"/>
    <w:rsid w:val="009410D3"/>
    <w:rsid w:val="009413F0"/>
    <w:rsid w:val="009416D1"/>
    <w:rsid w:val="00941853"/>
    <w:rsid w:val="0094191F"/>
    <w:rsid w:val="00941A9C"/>
    <w:rsid w:val="00941ACE"/>
    <w:rsid w:val="00941D07"/>
    <w:rsid w:val="00941FA6"/>
    <w:rsid w:val="00942F67"/>
    <w:rsid w:val="0094308B"/>
    <w:rsid w:val="0094310A"/>
    <w:rsid w:val="009431E9"/>
    <w:rsid w:val="009434CD"/>
    <w:rsid w:val="00943622"/>
    <w:rsid w:val="00943967"/>
    <w:rsid w:val="00943A1F"/>
    <w:rsid w:val="00943C89"/>
    <w:rsid w:val="00943EA6"/>
    <w:rsid w:val="00943F59"/>
    <w:rsid w:val="00944001"/>
    <w:rsid w:val="00944340"/>
    <w:rsid w:val="0094446F"/>
    <w:rsid w:val="009444D2"/>
    <w:rsid w:val="0094497C"/>
    <w:rsid w:val="009449C3"/>
    <w:rsid w:val="00944B0D"/>
    <w:rsid w:val="00944B25"/>
    <w:rsid w:val="00944E98"/>
    <w:rsid w:val="00944EAC"/>
    <w:rsid w:val="0094512F"/>
    <w:rsid w:val="009454DE"/>
    <w:rsid w:val="0094554C"/>
    <w:rsid w:val="009455C2"/>
    <w:rsid w:val="009458D2"/>
    <w:rsid w:val="00945977"/>
    <w:rsid w:val="00945C07"/>
    <w:rsid w:val="00945CD5"/>
    <w:rsid w:val="00945DA9"/>
    <w:rsid w:val="00945F82"/>
    <w:rsid w:val="0094625D"/>
    <w:rsid w:val="00946287"/>
    <w:rsid w:val="0094629E"/>
    <w:rsid w:val="009468AA"/>
    <w:rsid w:val="00946AD2"/>
    <w:rsid w:val="00946CF6"/>
    <w:rsid w:val="00946D0F"/>
    <w:rsid w:val="00946E15"/>
    <w:rsid w:val="00946E62"/>
    <w:rsid w:val="00947277"/>
    <w:rsid w:val="009474D3"/>
    <w:rsid w:val="0094760B"/>
    <w:rsid w:val="009476DE"/>
    <w:rsid w:val="0094770E"/>
    <w:rsid w:val="00947BE7"/>
    <w:rsid w:val="00947EE5"/>
    <w:rsid w:val="009504BF"/>
    <w:rsid w:val="00950B12"/>
    <w:rsid w:val="00950C23"/>
    <w:rsid w:val="00950C2E"/>
    <w:rsid w:val="00950D85"/>
    <w:rsid w:val="00950F40"/>
    <w:rsid w:val="00951081"/>
    <w:rsid w:val="0095130B"/>
    <w:rsid w:val="009515E4"/>
    <w:rsid w:val="00951714"/>
    <w:rsid w:val="00951B7E"/>
    <w:rsid w:val="00951F74"/>
    <w:rsid w:val="00951FB5"/>
    <w:rsid w:val="00952131"/>
    <w:rsid w:val="0095227F"/>
    <w:rsid w:val="00952418"/>
    <w:rsid w:val="00952479"/>
    <w:rsid w:val="00952607"/>
    <w:rsid w:val="00952BD6"/>
    <w:rsid w:val="00952CBE"/>
    <w:rsid w:val="00952F91"/>
    <w:rsid w:val="00953143"/>
    <w:rsid w:val="0095393D"/>
    <w:rsid w:val="00953ACA"/>
    <w:rsid w:val="00953F17"/>
    <w:rsid w:val="00953F97"/>
    <w:rsid w:val="00954242"/>
    <w:rsid w:val="009543FF"/>
    <w:rsid w:val="00954455"/>
    <w:rsid w:val="009547D2"/>
    <w:rsid w:val="009548B8"/>
    <w:rsid w:val="00954C49"/>
    <w:rsid w:val="00954CDC"/>
    <w:rsid w:val="009550C9"/>
    <w:rsid w:val="009550ED"/>
    <w:rsid w:val="009551AE"/>
    <w:rsid w:val="009551D0"/>
    <w:rsid w:val="00955322"/>
    <w:rsid w:val="009557C1"/>
    <w:rsid w:val="009559B7"/>
    <w:rsid w:val="00955B38"/>
    <w:rsid w:val="00955E6D"/>
    <w:rsid w:val="00955F8B"/>
    <w:rsid w:val="00955FCD"/>
    <w:rsid w:val="00956196"/>
    <w:rsid w:val="0095625D"/>
    <w:rsid w:val="00956461"/>
    <w:rsid w:val="00956C41"/>
    <w:rsid w:val="00956CE8"/>
    <w:rsid w:val="00956ED8"/>
    <w:rsid w:val="00956FF1"/>
    <w:rsid w:val="009570ED"/>
    <w:rsid w:val="00957292"/>
    <w:rsid w:val="009572CF"/>
    <w:rsid w:val="0095768C"/>
    <w:rsid w:val="00957B41"/>
    <w:rsid w:val="00957B9C"/>
    <w:rsid w:val="00957E8E"/>
    <w:rsid w:val="00957FE7"/>
    <w:rsid w:val="0096018A"/>
    <w:rsid w:val="009603E2"/>
    <w:rsid w:val="009604D2"/>
    <w:rsid w:val="0096052A"/>
    <w:rsid w:val="00960900"/>
    <w:rsid w:val="0096096F"/>
    <w:rsid w:val="00960A53"/>
    <w:rsid w:val="00960B22"/>
    <w:rsid w:val="009616AA"/>
    <w:rsid w:val="009616D0"/>
    <w:rsid w:val="00961A76"/>
    <w:rsid w:val="00961B49"/>
    <w:rsid w:val="00961B84"/>
    <w:rsid w:val="00961EE2"/>
    <w:rsid w:val="009622B4"/>
    <w:rsid w:val="009624DF"/>
    <w:rsid w:val="009628F5"/>
    <w:rsid w:val="0096297F"/>
    <w:rsid w:val="00962E2B"/>
    <w:rsid w:val="00962EF5"/>
    <w:rsid w:val="00962F96"/>
    <w:rsid w:val="00963220"/>
    <w:rsid w:val="009632AD"/>
    <w:rsid w:val="00963308"/>
    <w:rsid w:val="0096342D"/>
    <w:rsid w:val="0096364E"/>
    <w:rsid w:val="00963663"/>
    <w:rsid w:val="00963A9D"/>
    <w:rsid w:val="00963B7E"/>
    <w:rsid w:val="00963C32"/>
    <w:rsid w:val="00963CCE"/>
    <w:rsid w:val="00964078"/>
    <w:rsid w:val="00964142"/>
    <w:rsid w:val="009641F5"/>
    <w:rsid w:val="0096437A"/>
    <w:rsid w:val="0096455A"/>
    <w:rsid w:val="0096462F"/>
    <w:rsid w:val="00964AA1"/>
    <w:rsid w:val="00964C4E"/>
    <w:rsid w:val="00964CEE"/>
    <w:rsid w:val="00964DF3"/>
    <w:rsid w:val="0096505E"/>
    <w:rsid w:val="00965174"/>
    <w:rsid w:val="00965298"/>
    <w:rsid w:val="0096568D"/>
    <w:rsid w:val="0096590D"/>
    <w:rsid w:val="00965E9A"/>
    <w:rsid w:val="00965FEB"/>
    <w:rsid w:val="0096681F"/>
    <w:rsid w:val="00966A16"/>
    <w:rsid w:val="00966AB5"/>
    <w:rsid w:val="00966B88"/>
    <w:rsid w:val="00967060"/>
    <w:rsid w:val="0096719B"/>
    <w:rsid w:val="00967358"/>
    <w:rsid w:val="009673EC"/>
    <w:rsid w:val="00967504"/>
    <w:rsid w:val="0096769B"/>
    <w:rsid w:val="009676CD"/>
    <w:rsid w:val="00967F9B"/>
    <w:rsid w:val="00970044"/>
    <w:rsid w:val="0097010A"/>
    <w:rsid w:val="00970619"/>
    <w:rsid w:val="00970C59"/>
    <w:rsid w:val="00970EE1"/>
    <w:rsid w:val="00971389"/>
    <w:rsid w:val="009713FB"/>
    <w:rsid w:val="00971411"/>
    <w:rsid w:val="0097142B"/>
    <w:rsid w:val="00971482"/>
    <w:rsid w:val="00971582"/>
    <w:rsid w:val="00971687"/>
    <w:rsid w:val="0097174D"/>
    <w:rsid w:val="009718AC"/>
    <w:rsid w:val="009719EC"/>
    <w:rsid w:val="00971C07"/>
    <w:rsid w:val="00971C5D"/>
    <w:rsid w:val="00971D6F"/>
    <w:rsid w:val="00971D81"/>
    <w:rsid w:val="00971E42"/>
    <w:rsid w:val="00972082"/>
    <w:rsid w:val="009721D2"/>
    <w:rsid w:val="009726FE"/>
    <w:rsid w:val="009729D9"/>
    <w:rsid w:val="00972C0C"/>
    <w:rsid w:val="0097315F"/>
    <w:rsid w:val="00973242"/>
    <w:rsid w:val="0097338A"/>
    <w:rsid w:val="00973739"/>
    <w:rsid w:val="00973797"/>
    <w:rsid w:val="00974294"/>
    <w:rsid w:val="009743B7"/>
    <w:rsid w:val="00974A19"/>
    <w:rsid w:val="00974A46"/>
    <w:rsid w:val="00974A5D"/>
    <w:rsid w:val="009751D3"/>
    <w:rsid w:val="0097559B"/>
    <w:rsid w:val="0097566A"/>
    <w:rsid w:val="009757AA"/>
    <w:rsid w:val="00975A4F"/>
    <w:rsid w:val="00975A95"/>
    <w:rsid w:val="00975BAD"/>
    <w:rsid w:val="00975DD0"/>
    <w:rsid w:val="00976083"/>
    <w:rsid w:val="00976222"/>
    <w:rsid w:val="00976447"/>
    <w:rsid w:val="00976482"/>
    <w:rsid w:val="00976AAE"/>
    <w:rsid w:val="00976BC6"/>
    <w:rsid w:val="00976C43"/>
    <w:rsid w:val="00977135"/>
    <w:rsid w:val="0097746B"/>
    <w:rsid w:val="009776F1"/>
    <w:rsid w:val="00977F59"/>
    <w:rsid w:val="00980136"/>
    <w:rsid w:val="0098038A"/>
    <w:rsid w:val="009805AF"/>
    <w:rsid w:val="0098067D"/>
    <w:rsid w:val="00980ABA"/>
    <w:rsid w:val="00980F4A"/>
    <w:rsid w:val="009811F3"/>
    <w:rsid w:val="009816FF"/>
    <w:rsid w:val="00981B19"/>
    <w:rsid w:val="00981B63"/>
    <w:rsid w:val="00981BB2"/>
    <w:rsid w:val="00981F2A"/>
    <w:rsid w:val="00982128"/>
    <w:rsid w:val="00982474"/>
    <w:rsid w:val="009824E4"/>
    <w:rsid w:val="00982588"/>
    <w:rsid w:val="00982847"/>
    <w:rsid w:val="009828CB"/>
    <w:rsid w:val="00982B9E"/>
    <w:rsid w:val="00982F87"/>
    <w:rsid w:val="0098317C"/>
    <w:rsid w:val="00983320"/>
    <w:rsid w:val="00983385"/>
    <w:rsid w:val="00983461"/>
    <w:rsid w:val="009834DE"/>
    <w:rsid w:val="00983BE3"/>
    <w:rsid w:val="00983BEF"/>
    <w:rsid w:val="00983D9F"/>
    <w:rsid w:val="009842C8"/>
    <w:rsid w:val="0098466F"/>
    <w:rsid w:val="009846F5"/>
    <w:rsid w:val="00984A17"/>
    <w:rsid w:val="00984C6E"/>
    <w:rsid w:val="00985102"/>
    <w:rsid w:val="0098522E"/>
    <w:rsid w:val="009852E0"/>
    <w:rsid w:val="0098557B"/>
    <w:rsid w:val="00985962"/>
    <w:rsid w:val="009859AE"/>
    <w:rsid w:val="00985D6B"/>
    <w:rsid w:val="009861DB"/>
    <w:rsid w:val="0098623D"/>
    <w:rsid w:val="009862EF"/>
    <w:rsid w:val="009862F6"/>
    <w:rsid w:val="00986335"/>
    <w:rsid w:val="009864C0"/>
    <w:rsid w:val="009865D3"/>
    <w:rsid w:val="00986E17"/>
    <w:rsid w:val="009870C1"/>
    <w:rsid w:val="009878AF"/>
    <w:rsid w:val="00987CAC"/>
    <w:rsid w:val="0099008D"/>
    <w:rsid w:val="00990351"/>
    <w:rsid w:val="00990550"/>
    <w:rsid w:val="0099068F"/>
    <w:rsid w:val="009909DC"/>
    <w:rsid w:val="00990E0E"/>
    <w:rsid w:val="00990F1D"/>
    <w:rsid w:val="0099122E"/>
    <w:rsid w:val="00991464"/>
    <w:rsid w:val="0099155F"/>
    <w:rsid w:val="009919C1"/>
    <w:rsid w:val="00991A60"/>
    <w:rsid w:val="00991B52"/>
    <w:rsid w:val="00991E2D"/>
    <w:rsid w:val="00991EE3"/>
    <w:rsid w:val="009920AB"/>
    <w:rsid w:val="009921BD"/>
    <w:rsid w:val="009921C3"/>
    <w:rsid w:val="009922A3"/>
    <w:rsid w:val="00992A3D"/>
    <w:rsid w:val="00992C9B"/>
    <w:rsid w:val="00992FD1"/>
    <w:rsid w:val="0099303C"/>
    <w:rsid w:val="009930DC"/>
    <w:rsid w:val="009936BA"/>
    <w:rsid w:val="00993B8F"/>
    <w:rsid w:val="00993BF7"/>
    <w:rsid w:val="00994255"/>
    <w:rsid w:val="00994272"/>
    <w:rsid w:val="0099476C"/>
    <w:rsid w:val="009947E9"/>
    <w:rsid w:val="009947F7"/>
    <w:rsid w:val="00994B6B"/>
    <w:rsid w:val="00994D51"/>
    <w:rsid w:val="00994DE0"/>
    <w:rsid w:val="00994EAC"/>
    <w:rsid w:val="009950B3"/>
    <w:rsid w:val="009950E9"/>
    <w:rsid w:val="009955F9"/>
    <w:rsid w:val="009958A0"/>
    <w:rsid w:val="00995AB2"/>
    <w:rsid w:val="00995D94"/>
    <w:rsid w:val="00995F11"/>
    <w:rsid w:val="00995F68"/>
    <w:rsid w:val="00996021"/>
    <w:rsid w:val="009961EB"/>
    <w:rsid w:val="00996371"/>
    <w:rsid w:val="009964E3"/>
    <w:rsid w:val="009967C5"/>
    <w:rsid w:val="009968D0"/>
    <w:rsid w:val="00996A36"/>
    <w:rsid w:val="00996B1D"/>
    <w:rsid w:val="009971B0"/>
    <w:rsid w:val="009972D6"/>
    <w:rsid w:val="009972E5"/>
    <w:rsid w:val="009972EF"/>
    <w:rsid w:val="00997442"/>
    <w:rsid w:val="009976EC"/>
    <w:rsid w:val="009979A7"/>
    <w:rsid w:val="00997A39"/>
    <w:rsid w:val="009A0193"/>
    <w:rsid w:val="009A0319"/>
    <w:rsid w:val="009A0480"/>
    <w:rsid w:val="009A04C0"/>
    <w:rsid w:val="009A0AAF"/>
    <w:rsid w:val="009A0D16"/>
    <w:rsid w:val="009A0D8A"/>
    <w:rsid w:val="009A0E79"/>
    <w:rsid w:val="009A1177"/>
    <w:rsid w:val="009A12A7"/>
    <w:rsid w:val="009A18CD"/>
    <w:rsid w:val="009A1B1B"/>
    <w:rsid w:val="009A1B24"/>
    <w:rsid w:val="009A1C84"/>
    <w:rsid w:val="009A1D81"/>
    <w:rsid w:val="009A1F06"/>
    <w:rsid w:val="009A2254"/>
    <w:rsid w:val="009A237A"/>
    <w:rsid w:val="009A282F"/>
    <w:rsid w:val="009A2A2D"/>
    <w:rsid w:val="009A2A93"/>
    <w:rsid w:val="009A2AD8"/>
    <w:rsid w:val="009A2C3D"/>
    <w:rsid w:val="009A2C84"/>
    <w:rsid w:val="009A2EF8"/>
    <w:rsid w:val="009A317F"/>
    <w:rsid w:val="009A32D0"/>
    <w:rsid w:val="009A3561"/>
    <w:rsid w:val="009A37CD"/>
    <w:rsid w:val="009A387F"/>
    <w:rsid w:val="009A4171"/>
    <w:rsid w:val="009A42FD"/>
    <w:rsid w:val="009A43CF"/>
    <w:rsid w:val="009A461B"/>
    <w:rsid w:val="009A4A3B"/>
    <w:rsid w:val="009A4CBF"/>
    <w:rsid w:val="009A4F8D"/>
    <w:rsid w:val="009A5166"/>
    <w:rsid w:val="009A52C8"/>
    <w:rsid w:val="009A546E"/>
    <w:rsid w:val="009A5A7A"/>
    <w:rsid w:val="009A5BF2"/>
    <w:rsid w:val="009A5C46"/>
    <w:rsid w:val="009A62C5"/>
    <w:rsid w:val="009A65F3"/>
    <w:rsid w:val="009A6862"/>
    <w:rsid w:val="009A68A7"/>
    <w:rsid w:val="009A6D8F"/>
    <w:rsid w:val="009A718E"/>
    <w:rsid w:val="009A74F5"/>
    <w:rsid w:val="009A7524"/>
    <w:rsid w:val="009A7719"/>
    <w:rsid w:val="009A7899"/>
    <w:rsid w:val="009A7950"/>
    <w:rsid w:val="009A7B3C"/>
    <w:rsid w:val="009A7BD0"/>
    <w:rsid w:val="009A7C6B"/>
    <w:rsid w:val="009B02AB"/>
    <w:rsid w:val="009B04A1"/>
    <w:rsid w:val="009B0524"/>
    <w:rsid w:val="009B0859"/>
    <w:rsid w:val="009B08CE"/>
    <w:rsid w:val="009B09D1"/>
    <w:rsid w:val="009B0C42"/>
    <w:rsid w:val="009B0DF5"/>
    <w:rsid w:val="009B0F55"/>
    <w:rsid w:val="009B0F69"/>
    <w:rsid w:val="009B0FB1"/>
    <w:rsid w:val="009B130F"/>
    <w:rsid w:val="009B1560"/>
    <w:rsid w:val="009B19E5"/>
    <w:rsid w:val="009B19FF"/>
    <w:rsid w:val="009B1A3C"/>
    <w:rsid w:val="009B22A2"/>
    <w:rsid w:val="009B2312"/>
    <w:rsid w:val="009B2627"/>
    <w:rsid w:val="009B2B16"/>
    <w:rsid w:val="009B2BF5"/>
    <w:rsid w:val="009B2D24"/>
    <w:rsid w:val="009B2E0F"/>
    <w:rsid w:val="009B2E3A"/>
    <w:rsid w:val="009B3427"/>
    <w:rsid w:val="009B34D3"/>
    <w:rsid w:val="009B37C9"/>
    <w:rsid w:val="009B391B"/>
    <w:rsid w:val="009B3FE5"/>
    <w:rsid w:val="009B42C8"/>
    <w:rsid w:val="009B4508"/>
    <w:rsid w:val="009B45C3"/>
    <w:rsid w:val="009B47C5"/>
    <w:rsid w:val="009B48D9"/>
    <w:rsid w:val="009B4BC9"/>
    <w:rsid w:val="009B4C95"/>
    <w:rsid w:val="009B4DA3"/>
    <w:rsid w:val="009B4E89"/>
    <w:rsid w:val="009B4EE3"/>
    <w:rsid w:val="009B51FB"/>
    <w:rsid w:val="009B54B4"/>
    <w:rsid w:val="009B570E"/>
    <w:rsid w:val="009B58FD"/>
    <w:rsid w:val="009B5D0E"/>
    <w:rsid w:val="009B5DA3"/>
    <w:rsid w:val="009B6248"/>
    <w:rsid w:val="009B625F"/>
    <w:rsid w:val="009B67EC"/>
    <w:rsid w:val="009B6A11"/>
    <w:rsid w:val="009B6ACB"/>
    <w:rsid w:val="009B6C97"/>
    <w:rsid w:val="009B711A"/>
    <w:rsid w:val="009B749D"/>
    <w:rsid w:val="009B7925"/>
    <w:rsid w:val="009B7AAE"/>
    <w:rsid w:val="009B7B1C"/>
    <w:rsid w:val="009C0450"/>
    <w:rsid w:val="009C052D"/>
    <w:rsid w:val="009C05CD"/>
    <w:rsid w:val="009C0A9D"/>
    <w:rsid w:val="009C0B19"/>
    <w:rsid w:val="009C0B32"/>
    <w:rsid w:val="009C0C13"/>
    <w:rsid w:val="009C0CFC"/>
    <w:rsid w:val="009C0F26"/>
    <w:rsid w:val="009C109F"/>
    <w:rsid w:val="009C1234"/>
    <w:rsid w:val="009C126D"/>
    <w:rsid w:val="009C1487"/>
    <w:rsid w:val="009C180E"/>
    <w:rsid w:val="009C19D0"/>
    <w:rsid w:val="009C2697"/>
    <w:rsid w:val="009C2AEE"/>
    <w:rsid w:val="009C2BBF"/>
    <w:rsid w:val="009C2D0F"/>
    <w:rsid w:val="009C2F6B"/>
    <w:rsid w:val="009C307A"/>
    <w:rsid w:val="009C3421"/>
    <w:rsid w:val="009C3490"/>
    <w:rsid w:val="009C375F"/>
    <w:rsid w:val="009C3845"/>
    <w:rsid w:val="009C3A41"/>
    <w:rsid w:val="009C4290"/>
    <w:rsid w:val="009C4456"/>
    <w:rsid w:val="009C47F1"/>
    <w:rsid w:val="009C4B70"/>
    <w:rsid w:val="009C4BA7"/>
    <w:rsid w:val="009C4BDB"/>
    <w:rsid w:val="009C4D53"/>
    <w:rsid w:val="009C4D7B"/>
    <w:rsid w:val="009C4D8E"/>
    <w:rsid w:val="009C4E42"/>
    <w:rsid w:val="009C5272"/>
    <w:rsid w:val="009C5543"/>
    <w:rsid w:val="009C5696"/>
    <w:rsid w:val="009C599D"/>
    <w:rsid w:val="009C5AE1"/>
    <w:rsid w:val="009C5D8D"/>
    <w:rsid w:val="009C6306"/>
    <w:rsid w:val="009C6421"/>
    <w:rsid w:val="009C670A"/>
    <w:rsid w:val="009C690A"/>
    <w:rsid w:val="009C694A"/>
    <w:rsid w:val="009C6957"/>
    <w:rsid w:val="009C6C0E"/>
    <w:rsid w:val="009C6EEA"/>
    <w:rsid w:val="009C6F48"/>
    <w:rsid w:val="009C6FBF"/>
    <w:rsid w:val="009C6FE6"/>
    <w:rsid w:val="009C75F3"/>
    <w:rsid w:val="009C7707"/>
    <w:rsid w:val="009C7CE1"/>
    <w:rsid w:val="009C7D07"/>
    <w:rsid w:val="009D06F0"/>
    <w:rsid w:val="009D0CDB"/>
    <w:rsid w:val="009D0EE9"/>
    <w:rsid w:val="009D1AEA"/>
    <w:rsid w:val="009D1B56"/>
    <w:rsid w:val="009D1D27"/>
    <w:rsid w:val="009D21A4"/>
    <w:rsid w:val="009D22F1"/>
    <w:rsid w:val="009D2398"/>
    <w:rsid w:val="009D255C"/>
    <w:rsid w:val="009D259D"/>
    <w:rsid w:val="009D25EF"/>
    <w:rsid w:val="009D2726"/>
    <w:rsid w:val="009D27BE"/>
    <w:rsid w:val="009D2B00"/>
    <w:rsid w:val="009D2B0E"/>
    <w:rsid w:val="009D2C77"/>
    <w:rsid w:val="009D2F20"/>
    <w:rsid w:val="009D2F3F"/>
    <w:rsid w:val="009D2FBC"/>
    <w:rsid w:val="009D3259"/>
    <w:rsid w:val="009D36BD"/>
    <w:rsid w:val="009D3837"/>
    <w:rsid w:val="009D3AB6"/>
    <w:rsid w:val="009D4024"/>
    <w:rsid w:val="009D4226"/>
    <w:rsid w:val="009D43AE"/>
    <w:rsid w:val="009D48B2"/>
    <w:rsid w:val="009D48EA"/>
    <w:rsid w:val="009D4B2E"/>
    <w:rsid w:val="009D4E2A"/>
    <w:rsid w:val="009D5589"/>
    <w:rsid w:val="009D561F"/>
    <w:rsid w:val="009D5814"/>
    <w:rsid w:val="009D58EF"/>
    <w:rsid w:val="009D5D66"/>
    <w:rsid w:val="009D6024"/>
    <w:rsid w:val="009D63DC"/>
    <w:rsid w:val="009D642D"/>
    <w:rsid w:val="009D64A6"/>
    <w:rsid w:val="009D6657"/>
    <w:rsid w:val="009D6716"/>
    <w:rsid w:val="009D6740"/>
    <w:rsid w:val="009D6999"/>
    <w:rsid w:val="009D69CA"/>
    <w:rsid w:val="009D6A19"/>
    <w:rsid w:val="009D6C2E"/>
    <w:rsid w:val="009D6CDF"/>
    <w:rsid w:val="009D6F7B"/>
    <w:rsid w:val="009D72F9"/>
    <w:rsid w:val="009D78EB"/>
    <w:rsid w:val="009D7B10"/>
    <w:rsid w:val="009E006F"/>
    <w:rsid w:val="009E0178"/>
    <w:rsid w:val="009E0289"/>
    <w:rsid w:val="009E0546"/>
    <w:rsid w:val="009E055A"/>
    <w:rsid w:val="009E059C"/>
    <w:rsid w:val="009E07AF"/>
    <w:rsid w:val="009E0839"/>
    <w:rsid w:val="009E0AE1"/>
    <w:rsid w:val="009E0FC3"/>
    <w:rsid w:val="009E1229"/>
    <w:rsid w:val="009E136C"/>
    <w:rsid w:val="009E17BD"/>
    <w:rsid w:val="009E17FE"/>
    <w:rsid w:val="009E1825"/>
    <w:rsid w:val="009E19BC"/>
    <w:rsid w:val="009E1F9E"/>
    <w:rsid w:val="009E20AA"/>
    <w:rsid w:val="009E2284"/>
    <w:rsid w:val="009E22E8"/>
    <w:rsid w:val="009E2310"/>
    <w:rsid w:val="009E24AD"/>
    <w:rsid w:val="009E27C2"/>
    <w:rsid w:val="009E2D31"/>
    <w:rsid w:val="009E2D74"/>
    <w:rsid w:val="009E2FFC"/>
    <w:rsid w:val="009E3694"/>
    <w:rsid w:val="009E3900"/>
    <w:rsid w:val="009E3A1E"/>
    <w:rsid w:val="009E3EFF"/>
    <w:rsid w:val="009E4000"/>
    <w:rsid w:val="009E40E3"/>
    <w:rsid w:val="009E4121"/>
    <w:rsid w:val="009E426E"/>
    <w:rsid w:val="009E4428"/>
    <w:rsid w:val="009E47F8"/>
    <w:rsid w:val="009E4C01"/>
    <w:rsid w:val="009E512E"/>
    <w:rsid w:val="009E520E"/>
    <w:rsid w:val="009E568A"/>
    <w:rsid w:val="009E569D"/>
    <w:rsid w:val="009E5D62"/>
    <w:rsid w:val="009E5EC6"/>
    <w:rsid w:val="009E62BF"/>
    <w:rsid w:val="009E62EC"/>
    <w:rsid w:val="009E64BF"/>
    <w:rsid w:val="009E6535"/>
    <w:rsid w:val="009E665F"/>
    <w:rsid w:val="009E69B5"/>
    <w:rsid w:val="009E6DAA"/>
    <w:rsid w:val="009E74D5"/>
    <w:rsid w:val="009E750A"/>
    <w:rsid w:val="009E7537"/>
    <w:rsid w:val="009E7727"/>
    <w:rsid w:val="009E7856"/>
    <w:rsid w:val="009E7A9D"/>
    <w:rsid w:val="009E7D74"/>
    <w:rsid w:val="009E7D95"/>
    <w:rsid w:val="009E7DBF"/>
    <w:rsid w:val="009E7E1C"/>
    <w:rsid w:val="009E7EF3"/>
    <w:rsid w:val="009F0181"/>
    <w:rsid w:val="009F0254"/>
    <w:rsid w:val="009F0424"/>
    <w:rsid w:val="009F07B8"/>
    <w:rsid w:val="009F082F"/>
    <w:rsid w:val="009F0897"/>
    <w:rsid w:val="009F1116"/>
    <w:rsid w:val="009F124E"/>
    <w:rsid w:val="009F12AB"/>
    <w:rsid w:val="009F13F0"/>
    <w:rsid w:val="009F149E"/>
    <w:rsid w:val="009F15FB"/>
    <w:rsid w:val="009F177C"/>
    <w:rsid w:val="009F18A6"/>
    <w:rsid w:val="009F1D2B"/>
    <w:rsid w:val="009F1F92"/>
    <w:rsid w:val="009F2009"/>
    <w:rsid w:val="009F2ACC"/>
    <w:rsid w:val="009F2DC8"/>
    <w:rsid w:val="009F2EF0"/>
    <w:rsid w:val="009F3461"/>
    <w:rsid w:val="009F3927"/>
    <w:rsid w:val="009F3A9F"/>
    <w:rsid w:val="009F3CBD"/>
    <w:rsid w:val="009F3E46"/>
    <w:rsid w:val="009F3F9B"/>
    <w:rsid w:val="009F4009"/>
    <w:rsid w:val="009F40F5"/>
    <w:rsid w:val="009F440B"/>
    <w:rsid w:val="009F46A8"/>
    <w:rsid w:val="009F4740"/>
    <w:rsid w:val="009F47DD"/>
    <w:rsid w:val="009F51E7"/>
    <w:rsid w:val="009F5DCD"/>
    <w:rsid w:val="009F6087"/>
    <w:rsid w:val="009F6257"/>
    <w:rsid w:val="009F635A"/>
    <w:rsid w:val="009F636B"/>
    <w:rsid w:val="009F647D"/>
    <w:rsid w:val="009F667F"/>
    <w:rsid w:val="009F6D30"/>
    <w:rsid w:val="009F70E7"/>
    <w:rsid w:val="009F71EC"/>
    <w:rsid w:val="009F7430"/>
    <w:rsid w:val="009F7DD3"/>
    <w:rsid w:val="00A00213"/>
    <w:rsid w:val="00A00265"/>
    <w:rsid w:val="00A005B3"/>
    <w:rsid w:val="00A005DC"/>
    <w:rsid w:val="00A005E6"/>
    <w:rsid w:val="00A00819"/>
    <w:rsid w:val="00A0085B"/>
    <w:rsid w:val="00A008DD"/>
    <w:rsid w:val="00A00CBB"/>
    <w:rsid w:val="00A00CF2"/>
    <w:rsid w:val="00A00E17"/>
    <w:rsid w:val="00A01057"/>
    <w:rsid w:val="00A01261"/>
    <w:rsid w:val="00A01336"/>
    <w:rsid w:val="00A0133B"/>
    <w:rsid w:val="00A014D3"/>
    <w:rsid w:val="00A01661"/>
    <w:rsid w:val="00A0169A"/>
    <w:rsid w:val="00A01A79"/>
    <w:rsid w:val="00A02024"/>
    <w:rsid w:val="00A02E25"/>
    <w:rsid w:val="00A03129"/>
    <w:rsid w:val="00A031CC"/>
    <w:rsid w:val="00A033C4"/>
    <w:rsid w:val="00A03678"/>
    <w:rsid w:val="00A03796"/>
    <w:rsid w:val="00A038A1"/>
    <w:rsid w:val="00A03A37"/>
    <w:rsid w:val="00A03D5A"/>
    <w:rsid w:val="00A03D5D"/>
    <w:rsid w:val="00A03FE6"/>
    <w:rsid w:val="00A045FB"/>
    <w:rsid w:val="00A047C8"/>
    <w:rsid w:val="00A04860"/>
    <w:rsid w:val="00A05019"/>
    <w:rsid w:val="00A05134"/>
    <w:rsid w:val="00A05B56"/>
    <w:rsid w:val="00A05D0A"/>
    <w:rsid w:val="00A05F78"/>
    <w:rsid w:val="00A068FB"/>
    <w:rsid w:val="00A069A2"/>
    <w:rsid w:val="00A070A3"/>
    <w:rsid w:val="00A07419"/>
    <w:rsid w:val="00A0767F"/>
    <w:rsid w:val="00A0788A"/>
    <w:rsid w:val="00A079A2"/>
    <w:rsid w:val="00A079C0"/>
    <w:rsid w:val="00A07D2C"/>
    <w:rsid w:val="00A100CF"/>
    <w:rsid w:val="00A10124"/>
    <w:rsid w:val="00A1018E"/>
    <w:rsid w:val="00A1044C"/>
    <w:rsid w:val="00A105BC"/>
    <w:rsid w:val="00A105F3"/>
    <w:rsid w:val="00A108CB"/>
    <w:rsid w:val="00A109FC"/>
    <w:rsid w:val="00A10BB5"/>
    <w:rsid w:val="00A10EEE"/>
    <w:rsid w:val="00A1105E"/>
    <w:rsid w:val="00A11333"/>
    <w:rsid w:val="00A113DC"/>
    <w:rsid w:val="00A1154E"/>
    <w:rsid w:val="00A1187C"/>
    <w:rsid w:val="00A118EC"/>
    <w:rsid w:val="00A11BB0"/>
    <w:rsid w:val="00A11DA6"/>
    <w:rsid w:val="00A1209B"/>
    <w:rsid w:val="00A12265"/>
    <w:rsid w:val="00A12440"/>
    <w:rsid w:val="00A125C6"/>
    <w:rsid w:val="00A12DC3"/>
    <w:rsid w:val="00A13C92"/>
    <w:rsid w:val="00A140B5"/>
    <w:rsid w:val="00A1434A"/>
    <w:rsid w:val="00A143B0"/>
    <w:rsid w:val="00A144FB"/>
    <w:rsid w:val="00A145BC"/>
    <w:rsid w:val="00A1487B"/>
    <w:rsid w:val="00A14968"/>
    <w:rsid w:val="00A149DF"/>
    <w:rsid w:val="00A14B23"/>
    <w:rsid w:val="00A1529D"/>
    <w:rsid w:val="00A16151"/>
    <w:rsid w:val="00A163D8"/>
    <w:rsid w:val="00A16578"/>
    <w:rsid w:val="00A167A2"/>
    <w:rsid w:val="00A16B38"/>
    <w:rsid w:val="00A16C66"/>
    <w:rsid w:val="00A16E91"/>
    <w:rsid w:val="00A17111"/>
    <w:rsid w:val="00A17260"/>
    <w:rsid w:val="00A17278"/>
    <w:rsid w:val="00A17335"/>
    <w:rsid w:val="00A17396"/>
    <w:rsid w:val="00A176C9"/>
    <w:rsid w:val="00A177F6"/>
    <w:rsid w:val="00A178C6"/>
    <w:rsid w:val="00A17E3D"/>
    <w:rsid w:val="00A17F81"/>
    <w:rsid w:val="00A17FEA"/>
    <w:rsid w:val="00A20019"/>
    <w:rsid w:val="00A2027F"/>
    <w:rsid w:val="00A205C8"/>
    <w:rsid w:val="00A20CF2"/>
    <w:rsid w:val="00A210AA"/>
    <w:rsid w:val="00A21292"/>
    <w:rsid w:val="00A21682"/>
    <w:rsid w:val="00A218E8"/>
    <w:rsid w:val="00A21C76"/>
    <w:rsid w:val="00A21D5C"/>
    <w:rsid w:val="00A220DA"/>
    <w:rsid w:val="00A224D8"/>
    <w:rsid w:val="00A22A64"/>
    <w:rsid w:val="00A22C9D"/>
    <w:rsid w:val="00A22DBC"/>
    <w:rsid w:val="00A22E67"/>
    <w:rsid w:val="00A22F5C"/>
    <w:rsid w:val="00A23138"/>
    <w:rsid w:val="00A231EE"/>
    <w:rsid w:val="00A234D3"/>
    <w:rsid w:val="00A23628"/>
    <w:rsid w:val="00A23DF1"/>
    <w:rsid w:val="00A240CA"/>
    <w:rsid w:val="00A2453E"/>
    <w:rsid w:val="00A246B7"/>
    <w:rsid w:val="00A24AAD"/>
    <w:rsid w:val="00A24C37"/>
    <w:rsid w:val="00A24EAA"/>
    <w:rsid w:val="00A25342"/>
    <w:rsid w:val="00A259E7"/>
    <w:rsid w:val="00A25D3B"/>
    <w:rsid w:val="00A25DD3"/>
    <w:rsid w:val="00A25DFE"/>
    <w:rsid w:val="00A2603C"/>
    <w:rsid w:val="00A261EF"/>
    <w:rsid w:val="00A263E8"/>
    <w:rsid w:val="00A265BC"/>
    <w:rsid w:val="00A26732"/>
    <w:rsid w:val="00A2680D"/>
    <w:rsid w:val="00A26AC5"/>
    <w:rsid w:val="00A26EB3"/>
    <w:rsid w:val="00A278AE"/>
    <w:rsid w:val="00A27B8A"/>
    <w:rsid w:val="00A27BEC"/>
    <w:rsid w:val="00A27CAA"/>
    <w:rsid w:val="00A27F19"/>
    <w:rsid w:val="00A3008E"/>
    <w:rsid w:val="00A300A4"/>
    <w:rsid w:val="00A300C6"/>
    <w:rsid w:val="00A30242"/>
    <w:rsid w:val="00A304A1"/>
    <w:rsid w:val="00A304B9"/>
    <w:rsid w:val="00A3065B"/>
    <w:rsid w:val="00A306FC"/>
    <w:rsid w:val="00A30A6E"/>
    <w:rsid w:val="00A30AB9"/>
    <w:rsid w:val="00A30C64"/>
    <w:rsid w:val="00A30D08"/>
    <w:rsid w:val="00A30D88"/>
    <w:rsid w:val="00A30F38"/>
    <w:rsid w:val="00A318D2"/>
    <w:rsid w:val="00A31C5B"/>
    <w:rsid w:val="00A31E9F"/>
    <w:rsid w:val="00A32010"/>
    <w:rsid w:val="00A321C2"/>
    <w:rsid w:val="00A322CF"/>
    <w:rsid w:val="00A324C3"/>
    <w:rsid w:val="00A32656"/>
    <w:rsid w:val="00A32781"/>
    <w:rsid w:val="00A32860"/>
    <w:rsid w:val="00A32942"/>
    <w:rsid w:val="00A32965"/>
    <w:rsid w:val="00A32B48"/>
    <w:rsid w:val="00A32D38"/>
    <w:rsid w:val="00A32D7F"/>
    <w:rsid w:val="00A330CC"/>
    <w:rsid w:val="00A33246"/>
    <w:rsid w:val="00A33269"/>
    <w:rsid w:val="00A33630"/>
    <w:rsid w:val="00A337BC"/>
    <w:rsid w:val="00A33853"/>
    <w:rsid w:val="00A33A61"/>
    <w:rsid w:val="00A33B6C"/>
    <w:rsid w:val="00A33F64"/>
    <w:rsid w:val="00A34229"/>
    <w:rsid w:val="00A34607"/>
    <w:rsid w:val="00A3465A"/>
    <w:rsid w:val="00A3474E"/>
    <w:rsid w:val="00A34C45"/>
    <w:rsid w:val="00A35008"/>
    <w:rsid w:val="00A3526C"/>
    <w:rsid w:val="00A35845"/>
    <w:rsid w:val="00A3600D"/>
    <w:rsid w:val="00A36089"/>
    <w:rsid w:val="00A36466"/>
    <w:rsid w:val="00A36782"/>
    <w:rsid w:val="00A368D8"/>
    <w:rsid w:val="00A368E9"/>
    <w:rsid w:val="00A36F75"/>
    <w:rsid w:val="00A370E5"/>
    <w:rsid w:val="00A37189"/>
    <w:rsid w:val="00A371A9"/>
    <w:rsid w:val="00A37323"/>
    <w:rsid w:val="00A3755E"/>
    <w:rsid w:val="00A375DB"/>
    <w:rsid w:val="00A37BEF"/>
    <w:rsid w:val="00A37DBC"/>
    <w:rsid w:val="00A37E60"/>
    <w:rsid w:val="00A37E80"/>
    <w:rsid w:val="00A37E86"/>
    <w:rsid w:val="00A37EE6"/>
    <w:rsid w:val="00A40086"/>
    <w:rsid w:val="00A40735"/>
    <w:rsid w:val="00A40957"/>
    <w:rsid w:val="00A40AC2"/>
    <w:rsid w:val="00A40C23"/>
    <w:rsid w:val="00A4121F"/>
    <w:rsid w:val="00A41695"/>
    <w:rsid w:val="00A4172B"/>
    <w:rsid w:val="00A41762"/>
    <w:rsid w:val="00A41DBE"/>
    <w:rsid w:val="00A421AE"/>
    <w:rsid w:val="00A42202"/>
    <w:rsid w:val="00A42241"/>
    <w:rsid w:val="00A426CF"/>
    <w:rsid w:val="00A42862"/>
    <w:rsid w:val="00A428C9"/>
    <w:rsid w:val="00A4292E"/>
    <w:rsid w:val="00A42E5C"/>
    <w:rsid w:val="00A42EA3"/>
    <w:rsid w:val="00A43507"/>
    <w:rsid w:val="00A43509"/>
    <w:rsid w:val="00A439FB"/>
    <w:rsid w:val="00A43AA2"/>
    <w:rsid w:val="00A43C21"/>
    <w:rsid w:val="00A43DE2"/>
    <w:rsid w:val="00A44066"/>
    <w:rsid w:val="00A44130"/>
    <w:rsid w:val="00A4414D"/>
    <w:rsid w:val="00A44189"/>
    <w:rsid w:val="00A4421B"/>
    <w:rsid w:val="00A44273"/>
    <w:rsid w:val="00A44397"/>
    <w:rsid w:val="00A4442F"/>
    <w:rsid w:val="00A44738"/>
    <w:rsid w:val="00A4478B"/>
    <w:rsid w:val="00A44BA7"/>
    <w:rsid w:val="00A44D84"/>
    <w:rsid w:val="00A44E02"/>
    <w:rsid w:val="00A44E8A"/>
    <w:rsid w:val="00A44EBB"/>
    <w:rsid w:val="00A44F2D"/>
    <w:rsid w:val="00A4538E"/>
    <w:rsid w:val="00A458D9"/>
    <w:rsid w:val="00A45A84"/>
    <w:rsid w:val="00A45C71"/>
    <w:rsid w:val="00A46033"/>
    <w:rsid w:val="00A463E1"/>
    <w:rsid w:val="00A4699C"/>
    <w:rsid w:val="00A46C3C"/>
    <w:rsid w:val="00A470EF"/>
    <w:rsid w:val="00A471FB"/>
    <w:rsid w:val="00A47560"/>
    <w:rsid w:val="00A47829"/>
    <w:rsid w:val="00A47AAB"/>
    <w:rsid w:val="00A47D11"/>
    <w:rsid w:val="00A5018D"/>
    <w:rsid w:val="00A502A1"/>
    <w:rsid w:val="00A504A1"/>
    <w:rsid w:val="00A50D69"/>
    <w:rsid w:val="00A51A47"/>
    <w:rsid w:val="00A51B53"/>
    <w:rsid w:val="00A51B62"/>
    <w:rsid w:val="00A52250"/>
    <w:rsid w:val="00A5241C"/>
    <w:rsid w:val="00A5253A"/>
    <w:rsid w:val="00A52576"/>
    <w:rsid w:val="00A525DD"/>
    <w:rsid w:val="00A525F0"/>
    <w:rsid w:val="00A52826"/>
    <w:rsid w:val="00A52B05"/>
    <w:rsid w:val="00A52CC3"/>
    <w:rsid w:val="00A52DE4"/>
    <w:rsid w:val="00A53743"/>
    <w:rsid w:val="00A53A31"/>
    <w:rsid w:val="00A53B6A"/>
    <w:rsid w:val="00A53BCF"/>
    <w:rsid w:val="00A53C43"/>
    <w:rsid w:val="00A53E26"/>
    <w:rsid w:val="00A54370"/>
    <w:rsid w:val="00A543CF"/>
    <w:rsid w:val="00A54689"/>
    <w:rsid w:val="00A546AF"/>
    <w:rsid w:val="00A54AA3"/>
    <w:rsid w:val="00A54C97"/>
    <w:rsid w:val="00A54CDB"/>
    <w:rsid w:val="00A55077"/>
    <w:rsid w:val="00A552DE"/>
    <w:rsid w:val="00A55366"/>
    <w:rsid w:val="00A560DC"/>
    <w:rsid w:val="00A56167"/>
    <w:rsid w:val="00A564B9"/>
    <w:rsid w:val="00A56A4D"/>
    <w:rsid w:val="00A56C35"/>
    <w:rsid w:val="00A56C97"/>
    <w:rsid w:val="00A56CE0"/>
    <w:rsid w:val="00A56D88"/>
    <w:rsid w:val="00A57093"/>
    <w:rsid w:val="00A574CF"/>
    <w:rsid w:val="00A575DF"/>
    <w:rsid w:val="00A57863"/>
    <w:rsid w:val="00A57B02"/>
    <w:rsid w:val="00A57C0B"/>
    <w:rsid w:val="00A57C2D"/>
    <w:rsid w:val="00A57C55"/>
    <w:rsid w:val="00A57E1D"/>
    <w:rsid w:val="00A60399"/>
    <w:rsid w:val="00A60799"/>
    <w:rsid w:val="00A608E4"/>
    <w:rsid w:val="00A60B36"/>
    <w:rsid w:val="00A60EF3"/>
    <w:rsid w:val="00A619FF"/>
    <w:rsid w:val="00A61CE1"/>
    <w:rsid w:val="00A61D13"/>
    <w:rsid w:val="00A6242B"/>
    <w:rsid w:val="00A624FB"/>
    <w:rsid w:val="00A624FD"/>
    <w:rsid w:val="00A6287E"/>
    <w:rsid w:val="00A62BDF"/>
    <w:rsid w:val="00A62FE3"/>
    <w:rsid w:val="00A63002"/>
    <w:rsid w:val="00A6306C"/>
    <w:rsid w:val="00A63155"/>
    <w:rsid w:val="00A63290"/>
    <w:rsid w:val="00A6337D"/>
    <w:rsid w:val="00A63839"/>
    <w:rsid w:val="00A63D0F"/>
    <w:rsid w:val="00A63DDD"/>
    <w:rsid w:val="00A63EB7"/>
    <w:rsid w:val="00A64146"/>
    <w:rsid w:val="00A643C2"/>
    <w:rsid w:val="00A648DD"/>
    <w:rsid w:val="00A649CB"/>
    <w:rsid w:val="00A64B84"/>
    <w:rsid w:val="00A64E8D"/>
    <w:rsid w:val="00A650BC"/>
    <w:rsid w:val="00A6520F"/>
    <w:rsid w:val="00A65241"/>
    <w:rsid w:val="00A65616"/>
    <w:rsid w:val="00A656E0"/>
    <w:rsid w:val="00A65AC7"/>
    <w:rsid w:val="00A65AF5"/>
    <w:rsid w:val="00A65B21"/>
    <w:rsid w:val="00A65B75"/>
    <w:rsid w:val="00A65B8D"/>
    <w:rsid w:val="00A65C61"/>
    <w:rsid w:val="00A65E7D"/>
    <w:rsid w:val="00A65F45"/>
    <w:rsid w:val="00A6617F"/>
    <w:rsid w:val="00A6618A"/>
    <w:rsid w:val="00A661EC"/>
    <w:rsid w:val="00A66374"/>
    <w:rsid w:val="00A66A8E"/>
    <w:rsid w:val="00A66DAE"/>
    <w:rsid w:val="00A67351"/>
    <w:rsid w:val="00A674BD"/>
    <w:rsid w:val="00A67B99"/>
    <w:rsid w:val="00A67E52"/>
    <w:rsid w:val="00A67FBC"/>
    <w:rsid w:val="00A70041"/>
    <w:rsid w:val="00A70338"/>
    <w:rsid w:val="00A70C01"/>
    <w:rsid w:val="00A70C66"/>
    <w:rsid w:val="00A70FC6"/>
    <w:rsid w:val="00A71114"/>
    <w:rsid w:val="00A711D1"/>
    <w:rsid w:val="00A71550"/>
    <w:rsid w:val="00A716F7"/>
    <w:rsid w:val="00A719FA"/>
    <w:rsid w:val="00A71B53"/>
    <w:rsid w:val="00A71BDC"/>
    <w:rsid w:val="00A71BE7"/>
    <w:rsid w:val="00A71C5B"/>
    <w:rsid w:val="00A71FEE"/>
    <w:rsid w:val="00A720F0"/>
    <w:rsid w:val="00A721B1"/>
    <w:rsid w:val="00A721FD"/>
    <w:rsid w:val="00A72303"/>
    <w:rsid w:val="00A72382"/>
    <w:rsid w:val="00A723FB"/>
    <w:rsid w:val="00A72423"/>
    <w:rsid w:val="00A7251B"/>
    <w:rsid w:val="00A72E7F"/>
    <w:rsid w:val="00A72F30"/>
    <w:rsid w:val="00A736BE"/>
    <w:rsid w:val="00A73985"/>
    <w:rsid w:val="00A739DD"/>
    <w:rsid w:val="00A741C3"/>
    <w:rsid w:val="00A74340"/>
    <w:rsid w:val="00A7447B"/>
    <w:rsid w:val="00A745D0"/>
    <w:rsid w:val="00A7488B"/>
    <w:rsid w:val="00A74946"/>
    <w:rsid w:val="00A74D25"/>
    <w:rsid w:val="00A74E36"/>
    <w:rsid w:val="00A74F20"/>
    <w:rsid w:val="00A7501D"/>
    <w:rsid w:val="00A750CC"/>
    <w:rsid w:val="00A751FD"/>
    <w:rsid w:val="00A7522D"/>
    <w:rsid w:val="00A75273"/>
    <w:rsid w:val="00A75320"/>
    <w:rsid w:val="00A7548B"/>
    <w:rsid w:val="00A75493"/>
    <w:rsid w:val="00A755E0"/>
    <w:rsid w:val="00A756C1"/>
    <w:rsid w:val="00A7591D"/>
    <w:rsid w:val="00A759D1"/>
    <w:rsid w:val="00A75A50"/>
    <w:rsid w:val="00A75F6A"/>
    <w:rsid w:val="00A76981"/>
    <w:rsid w:val="00A76A18"/>
    <w:rsid w:val="00A76CDC"/>
    <w:rsid w:val="00A774CF"/>
    <w:rsid w:val="00A77576"/>
    <w:rsid w:val="00A77677"/>
    <w:rsid w:val="00A7792A"/>
    <w:rsid w:val="00A779E4"/>
    <w:rsid w:val="00A77AE9"/>
    <w:rsid w:val="00A80447"/>
    <w:rsid w:val="00A805D6"/>
    <w:rsid w:val="00A805E7"/>
    <w:rsid w:val="00A8080A"/>
    <w:rsid w:val="00A80AE2"/>
    <w:rsid w:val="00A80CB1"/>
    <w:rsid w:val="00A80E58"/>
    <w:rsid w:val="00A81207"/>
    <w:rsid w:val="00A81520"/>
    <w:rsid w:val="00A815A4"/>
    <w:rsid w:val="00A815E5"/>
    <w:rsid w:val="00A81607"/>
    <w:rsid w:val="00A81754"/>
    <w:rsid w:val="00A81961"/>
    <w:rsid w:val="00A81994"/>
    <w:rsid w:val="00A82205"/>
    <w:rsid w:val="00A827DD"/>
    <w:rsid w:val="00A82813"/>
    <w:rsid w:val="00A8290A"/>
    <w:rsid w:val="00A82CAA"/>
    <w:rsid w:val="00A82E0C"/>
    <w:rsid w:val="00A82EDD"/>
    <w:rsid w:val="00A82F3B"/>
    <w:rsid w:val="00A832CF"/>
    <w:rsid w:val="00A83443"/>
    <w:rsid w:val="00A83458"/>
    <w:rsid w:val="00A8352C"/>
    <w:rsid w:val="00A8369C"/>
    <w:rsid w:val="00A838FC"/>
    <w:rsid w:val="00A83AB1"/>
    <w:rsid w:val="00A83C48"/>
    <w:rsid w:val="00A83ECD"/>
    <w:rsid w:val="00A84029"/>
    <w:rsid w:val="00A84180"/>
    <w:rsid w:val="00A84347"/>
    <w:rsid w:val="00A84A53"/>
    <w:rsid w:val="00A84BE4"/>
    <w:rsid w:val="00A84E95"/>
    <w:rsid w:val="00A8582E"/>
    <w:rsid w:val="00A85A90"/>
    <w:rsid w:val="00A85B1D"/>
    <w:rsid w:val="00A85C1C"/>
    <w:rsid w:val="00A85C6A"/>
    <w:rsid w:val="00A85EB6"/>
    <w:rsid w:val="00A85EF6"/>
    <w:rsid w:val="00A86201"/>
    <w:rsid w:val="00A8661C"/>
    <w:rsid w:val="00A86688"/>
    <w:rsid w:val="00A86E81"/>
    <w:rsid w:val="00A87025"/>
    <w:rsid w:val="00A8705B"/>
    <w:rsid w:val="00A8708C"/>
    <w:rsid w:val="00A871FF"/>
    <w:rsid w:val="00A872FE"/>
    <w:rsid w:val="00A87452"/>
    <w:rsid w:val="00A874E5"/>
    <w:rsid w:val="00A878D5"/>
    <w:rsid w:val="00A87A24"/>
    <w:rsid w:val="00A87B08"/>
    <w:rsid w:val="00A87B36"/>
    <w:rsid w:val="00A903D8"/>
    <w:rsid w:val="00A90445"/>
    <w:rsid w:val="00A907B0"/>
    <w:rsid w:val="00A90A6C"/>
    <w:rsid w:val="00A90BD1"/>
    <w:rsid w:val="00A90C61"/>
    <w:rsid w:val="00A91518"/>
    <w:rsid w:val="00A91561"/>
    <w:rsid w:val="00A915D3"/>
    <w:rsid w:val="00A915D9"/>
    <w:rsid w:val="00A91694"/>
    <w:rsid w:val="00A9177C"/>
    <w:rsid w:val="00A91BF9"/>
    <w:rsid w:val="00A91E1C"/>
    <w:rsid w:val="00A91E4F"/>
    <w:rsid w:val="00A92908"/>
    <w:rsid w:val="00A92CBA"/>
    <w:rsid w:val="00A9312B"/>
    <w:rsid w:val="00A931F2"/>
    <w:rsid w:val="00A936BB"/>
    <w:rsid w:val="00A9380C"/>
    <w:rsid w:val="00A939AD"/>
    <w:rsid w:val="00A93A06"/>
    <w:rsid w:val="00A93CFE"/>
    <w:rsid w:val="00A93E71"/>
    <w:rsid w:val="00A93F11"/>
    <w:rsid w:val="00A93F30"/>
    <w:rsid w:val="00A94016"/>
    <w:rsid w:val="00A94540"/>
    <w:rsid w:val="00A945FA"/>
    <w:rsid w:val="00A948ED"/>
    <w:rsid w:val="00A949EB"/>
    <w:rsid w:val="00A94CA0"/>
    <w:rsid w:val="00A94ED7"/>
    <w:rsid w:val="00A94FA0"/>
    <w:rsid w:val="00A95374"/>
    <w:rsid w:val="00A95497"/>
    <w:rsid w:val="00A95648"/>
    <w:rsid w:val="00A95AB0"/>
    <w:rsid w:val="00A95AE5"/>
    <w:rsid w:val="00A95B05"/>
    <w:rsid w:val="00A95C1D"/>
    <w:rsid w:val="00A960E6"/>
    <w:rsid w:val="00A9614B"/>
    <w:rsid w:val="00A96187"/>
    <w:rsid w:val="00A9677D"/>
    <w:rsid w:val="00A96B3D"/>
    <w:rsid w:val="00A96C6B"/>
    <w:rsid w:val="00A96D33"/>
    <w:rsid w:val="00A96D3D"/>
    <w:rsid w:val="00A96D98"/>
    <w:rsid w:val="00A9730C"/>
    <w:rsid w:val="00A9790F"/>
    <w:rsid w:val="00A97BF5"/>
    <w:rsid w:val="00A97C61"/>
    <w:rsid w:val="00A97E35"/>
    <w:rsid w:val="00AA01CD"/>
    <w:rsid w:val="00AA048E"/>
    <w:rsid w:val="00AA0557"/>
    <w:rsid w:val="00AA065A"/>
    <w:rsid w:val="00AA06A8"/>
    <w:rsid w:val="00AA0784"/>
    <w:rsid w:val="00AA0884"/>
    <w:rsid w:val="00AA0A4F"/>
    <w:rsid w:val="00AA0C58"/>
    <w:rsid w:val="00AA0D09"/>
    <w:rsid w:val="00AA0FC4"/>
    <w:rsid w:val="00AA1121"/>
    <w:rsid w:val="00AA13AE"/>
    <w:rsid w:val="00AA1532"/>
    <w:rsid w:val="00AA15F1"/>
    <w:rsid w:val="00AA18FB"/>
    <w:rsid w:val="00AA2148"/>
    <w:rsid w:val="00AA242F"/>
    <w:rsid w:val="00AA2932"/>
    <w:rsid w:val="00AA2A16"/>
    <w:rsid w:val="00AA2C14"/>
    <w:rsid w:val="00AA2F35"/>
    <w:rsid w:val="00AA2FB8"/>
    <w:rsid w:val="00AA317F"/>
    <w:rsid w:val="00AA31D6"/>
    <w:rsid w:val="00AA32EA"/>
    <w:rsid w:val="00AA3936"/>
    <w:rsid w:val="00AA3E35"/>
    <w:rsid w:val="00AA406D"/>
    <w:rsid w:val="00AA413D"/>
    <w:rsid w:val="00AA44F7"/>
    <w:rsid w:val="00AA4715"/>
    <w:rsid w:val="00AA51EB"/>
    <w:rsid w:val="00AA57A7"/>
    <w:rsid w:val="00AA5819"/>
    <w:rsid w:val="00AA5900"/>
    <w:rsid w:val="00AA5991"/>
    <w:rsid w:val="00AA59FD"/>
    <w:rsid w:val="00AA619B"/>
    <w:rsid w:val="00AA6362"/>
    <w:rsid w:val="00AA63A0"/>
    <w:rsid w:val="00AA665C"/>
    <w:rsid w:val="00AA67E9"/>
    <w:rsid w:val="00AA6B17"/>
    <w:rsid w:val="00AA6DE2"/>
    <w:rsid w:val="00AA70A5"/>
    <w:rsid w:val="00AA71E4"/>
    <w:rsid w:val="00AA750E"/>
    <w:rsid w:val="00AA763B"/>
    <w:rsid w:val="00AA7B63"/>
    <w:rsid w:val="00AA7BBF"/>
    <w:rsid w:val="00AA7BE9"/>
    <w:rsid w:val="00AA7D69"/>
    <w:rsid w:val="00AA7F11"/>
    <w:rsid w:val="00AB04A6"/>
    <w:rsid w:val="00AB0782"/>
    <w:rsid w:val="00AB0BC8"/>
    <w:rsid w:val="00AB0FF2"/>
    <w:rsid w:val="00AB1278"/>
    <w:rsid w:val="00AB1348"/>
    <w:rsid w:val="00AB139E"/>
    <w:rsid w:val="00AB1422"/>
    <w:rsid w:val="00AB147E"/>
    <w:rsid w:val="00AB1585"/>
    <w:rsid w:val="00AB184B"/>
    <w:rsid w:val="00AB18D3"/>
    <w:rsid w:val="00AB192D"/>
    <w:rsid w:val="00AB1B8D"/>
    <w:rsid w:val="00AB1BF4"/>
    <w:rsid w:val="00AB22E9"/>
    <w:rsid w:val="00AB2313"/>
    <w:rsid w:val="00AB246B"/>
    <w:rsid w:val="00AB255E"/>
    <w:rsid w:val="00AB2847"/>
    <w:rsid w:val="00AB2866"/>
    <w:rsid w:val="00AB299D"/>
    <w:rsid w:val="00AB2BBA"/>
    <w:rsid w:val="00AB2C17"/>
    <w:rsid w:val="00AB2D02"/>
    <w:rsid w:val="00AB2F0D"/>
    <w:rsid w:val="00AB311E"/>
    <w:rsid w:val="00AB37D0"/>
    <w:rsid w:val="00AB3F21"/>
    <w:rsid w:val="00AB413F"/>
    <w:rsid w:val="00AB4492"/>
    <w:rsid w:val="00AB45BD"/>
    <w:rsid w:val="00AB47CB"/>
    <w:rsid w:val="00AB4A20"/>
    <w:rsid w:val="00AB4C20"/>
    <w:rsid w:val="00AB4F5B"/>
    <w:rsid w:val="00AB5068"/>
    <w:rsid w:val="00AB54E4"/>
    <w:rsid w:val="00AB5510"/>
    <w:rsid w:val="00AB5557"/>
    <w:rsid w:val="00AB5834"/>
    <w:rsid w:val="00AB5841"/>
    <w:rsid w:val="00AB60CD"/>
    <w:rsid w:val="00AB6309"/>
    <w:rsid w:val="00AB65B4"/>
    <w:rsid w:val="00AB6656"/>
    <w:rsid w:val="00AB68A5"/>
    <w:rsid w:val="00AB6BB6"/>
    <w:rsid w:val="00AB6C4B"/>
    <w:rsid w:val="00AB6CFE"/>
    <w:rsid w:val="00AB7338"/>
    <w:rsid w:val="00AB78AD"/>
    <w:rsid w:val="00AB7B7D"/>
    <w:rsid w:val="00AB7F59"/>
    <w:rsid w:val="00AC01B3"/>
    <w:rsid w:val="00AC041D"/>
    <w:rsid w:val="00AC0553"/>
    <w:rsid w:val="00AC0603"/>
    <w:rsid w:val="00AC08CC"/>
    <w:rsid w:val="00AC08EF"/>
    <w:rsid w:val="00AC0A6A"/>
    <w:rsid w:val="00AC0C44"/>
    <w:rsid w:val="00AC0D02"/>
    <w:rsid w:val="00AC1097"/>
    <w:rsid w:val="00AC146D"/>
    <w:rsid w:val="00AC15CD"/>
    <w:rsid w:val="00AC1BC3"/>
    <w:rsid w:val="00AC1FF1"/>
    <w:rsid w:val="00AC21D1"/>
    <w:rsid w:val="00AC22FE"/>
    <w:rsid w:val="00AC23CF"/>
    <w:rsid w:val="00AC2C9D"/>
    <w:rsid w:val="00AC2E66"/>
    <w:rsid w:val="00AC2E80"/>
    <w:rsid w:val="00AC2EEF"/>
    <w:rsid w:val="00AC2F98"/>
    <w:rsid w:val="00AC2FE8"/>
    <w:rsid w:val="00AC30D7"/>
    <w:rsid w:val="00AC3194"/>
    <w:rsid w:val="00AC33C3"/>
    <w:rsid w:val="00AC3645"/>
    <w:rsid w:val="00AC3DC2"/>
    <w:rsid w:val="00AC4051"/>
    <w:rsid w:val="00AC4067"/>
    <w:rsid w:val="00AC4099"/>
    <w:rsid w:val="00AC40AC"/>
    <w:rsid w:val="00AC415B"/>
    <w:rsid w:val="00AC432A"/>
    <w:rsid w:val="00AC4420"/>
    <w:rsid w:val="00AC4B92"/>
    <w:rsid w:val="00AC4CA4"/>
    <w:rsid w:val="00AC4DE7"/>
    <w:rsid w:val="00AC4F0D"/>
    <w:rsid w:val="00AC51CB"/>
    <w:rsid w:val="00AC523A"/>
    <w:rsid w:val="00AC64FF"/>
    <w:rsid w:val="00AC6AC1"/>
    <w:rsid w:val="00AC6C64"/>
    <w:rsid w:val="00AC6E52"/>
    <w:rsid w:val="00AC6EB9"/>
    <w:rsid w:val="00AC6ECD"/>
    <w:rsid w:val="00AC70E5"/>
    <w:rsid w:val="00AC72A8"/>
    <w:rsid w:val="00AC74A3"/>
    <w:rsid w:val="00AC79D3"/>
    <w:rsid w:val="00AC7A3F"/>
    <w:rsid w:val="00AC7DA4"/>
    <w:rsid w:val="00AC7ED4"/>
    <w:rsid w:val="00AD08C9"/>
    <w:rsid w:val="00AD0A59"/>
    <w:rsid w:val="00AD0AE8"/>
    <w:rsid w:val="00AD0B1A"/>
    <w:rsid w:val="00AD0E5F"/>
    <w:rsid w:val="00AD121F"/>
    <w:rsid w:val="00AD12B2"/>
    <w:rsid w:val="00AD1640"/>
    <w:rsid w:val="00AD1795"/>
    <w:rsid w:val="00AD194A"/>
    <w:rsid w:val="00AD1C53"/>
    <w:rsid w:val="00AD1CB2"/>
    <w:rsid w:val="00AD1E29"/>
    <w:rsid w:val="00AD1E55"/>
    <w:rsid w:val="00AD1FCF"/>
    <w:rsid w:val="00AD23FA"/>
    <w:rsid w:val="00AD26B4"/>
    <w:rsid w:val="00AD2EEF"/>
    <w:rsid w:val="00AD3185"/>
    <w:rsid w:val="00AD3193"/>
    <w:rsid w:val="00AD3251"/>
    <w:rsid w:val="00AD341F"/>
    <w:rsid w:val="00AD34F8"/>
    <w:rsid w:val="00AD39D1"/>
    <w:rsid w:val="00AD3AC8"/>
    <w:rsid w:val="00AD3BDC"/>
    <w:rsid w:val="00AD3CEF"/>
    <w:rsid w:val="00AD3D4F"/>
    <w:rsid w:val="00AD3F88"/>
    <w:rsid w:val="00AD4335"/>
    <w:rsid w:val="00AD4522"/>
    <w:rsid w:val="00AD4554"/>
    <w:rsid w:val="00AD460E"/>
    <w:rsid w:val="00AD46CD"/>
    <w:rsid w:val="00AD47B0"/>
    <w:rsid w:val="00AD4969"/>
    <w:rsid w:val="00AD49CC"/>
    <w:rsid w:val="00AD4D36"/>
    <w:rsid w:val="00AD4E60"/>
    <w:rsid w:val="00AD508D"/>
    <w:rsid w:val="00AD58F9"/>
    <w:rsid w:val="00AD5965"/>
    <w:rsid w:val="00AD5A28"/>
    <w:rsid w:val="00AD5FDE"/>
    <w:rsid w:val="00AD60B3"/>
    <w:rsid w:val="00AD646B"/>
    <w:rsid w:val="00AD672D"/>
    <w:rsid w:val="00AD67B3"/>
    <w:rsid w:val="00AD68D0"/>
    <w:rsid w:val="00AD6978"/>
    <w:rsid w:val="00AD6A5E"/>
    <w:rsid w:val="00AD6B2E"/>
    <w:rsid w:val="00AD6CCA"/>
    <w:rsid w:val="00AD6CEA"/>
    <w:rsid w:val="00AD6F85"/>
    <w:rsid w:val="00AD7150"/>
    <w:rsid w:val="00AD71A9"/>
    <w:rsid w:val="00AD73BC"/>
    <w:rsid w:val="00AD73E5"/>
    <w:rsid w:val="00AD745B"/>
    <w:rsid w:val="00AD7493"/>
    <w:rsid w:val="00AD7869"/>
    <w:rsid w:val="00AD7BBB"/>
    <w:rsid w:val="00AD7DB1"/>
    <w:rsid w:val="00AD7ED9"/>
    <w:rsid w:val="00AE0098"/>
    <w:rsid w:val="00AE019B"/>
    <w:rsid w:val="00AE0242"/>
    <w:rsid w:val="00AE03C4"/>
    <w:rsid w:val="00AE04AD"/>
    <w:rsid w:val="00AE0693"/>
    <w:rsid w:val="00AE0C1E"/>
    <w:rsid w:val="00AE0CF8"/>
    <w:rsid w:val="00AE112E"/>
    <w:rsid w:val="00AE122A"/>
    <w:rsid w:val="00AE13F9"/>
    <w:rsid w:val="00AE1447"/>
    <w:rsid w:val="00AE14DE"/>
    <w:rsid w:val="00AE18B3"/>
    <w:rsid w:val="00AE1A30"/>
    <w:rsid w:val="00AE1BC8"/>
    <w:rsid w:val="00AE1BCE"/>
    <w:rsid w:val="00AE1C12"/>
    <w:rsid w:val="00AE1EEB"/>
    <w:rsid w:val="00AE1F4A"/>
    <w:rsid w:val="00AE2179"/>
    <w:rsid w:val="00AE231A"/>
    <w:rsid w:val="00AE26D1"/>
    <w:rsid w:val="00AE2F1C"/>
    <w:rsid w:val="00AE3236"/>
    <w:rsid w:val="00AE37B3"/>
    <w:rsid w:val="00AE3F85"/>
    <w:rsid w:val="00AE4327"/>
    <w:rsid w:val="00AE45A1"/>
    <w:rsid w:val="00AE47CC"/>
    <w:rsid w:val="00AE4A36"/>
    <w:rsid w:val="00AE4DC4"/>
    <w:rsid w:val="00AE4DE0"/>
    <w:rsid w:val="00AE4DF9"/>
    <w:rsid w:val="00AE521B"/>
    <w:rsid w:val="00AE54A2"/>
    <w:rsid w:val="00AE5615"/>
    <w:rsid w:val="00AE5AB8"/>
    <w:rsid w:val="00AE5CAD"/>
    <w:rsid w:val="00AE608F"/>
    <w:rsid w:val="00AE648C"/>
    <w:rsid w:val="00AE654C"/>
    <w:rsid w:val="00AE6694"/>
    <w:rsid w:val="00AE68B2"/>
    <w:rsid w:val="00AE6B9E"/>
    <w:rsid w:val="00AE6C77"/>
    <w:rsid w:val="00AE6E1C"/>
    <w:rsid w:val="00AE71A6"/>
    <w:rsid w:val="00AE732E"/>
    <w:rsid w:val="00AE753E"/>
    <w:rsid w:val="00AE7643"/>
    <w:rsid w:val="00AE789B"/>
    <w:rsid w:val="00AE7928"/>
    <w:rsid w:val="00AE7A01"/>
    <w:rsid w:val="00AE7E77"/>
    <w:rsid w:val="00AE7F2B"/>
    <w:rsid w:val="00AE7FB7"/>
    <w:rsid w:val="00AF0295"/>
    <w:rsid w:val="00AF044D"/>
    <w:rsid w:val="00AF064A"/>
    <w:rsid w:val="00AF0865"/>
    <w:rsid w:val="00AF0A4D"/>
    <w:rsid w:val="00AF0E7A"/>
    <w:rsid w:val="00AF0E8B"/>
    <w:rsid w:val="00AF1063"/>
    <w:rsid w:val="00AF1264"/>
    <w:rsid w:val="00AF1475"/>
    <w:rsid w:val="00AF15AB"/>
    <w:rsid w:val="00AF16B6"/>
    <w:rsid w:val="00AF16FF"/>
    <w:rsid w:val="00AF177E"/>
    <w:rsid w:val="00AF18A0"/>
    <w:rsid w:val="00AF194A"/>
    <w:rsid w:val="00AF199F"/>
    <w:rsid w:val="00AF1BF6"/>
    <w:rsid w:val="00AF1C13"/>
    <w:rsid w:val="00AF1CAF"/>
    <w:rsid w:val="00AF1E2A"/>
    <w:rsid w:val="00AF238E"/>
    <w:rsid w:val="00AF241C"/>
    <w:rsid w:val="00AF2E0D"/>
    <w:rsid w:val="00AF3153"/>
    <w:rsid w:val="00AF32DC"/>
    <w:rsid w:val="00AF3825"/>
    <w:rsid w:val="00AF38BB"/>
    <w:rsid w:val="00AF3A6F"/>
    <w:rsid w:val="00AF3C49"/>
    <w:rsid w:val="00AF3DF6"/>
    <w:rsid w:val="00AF3F52"/>
    <w:rsid w:val="00AF41EE"/>
    <w:rsid w:val="00AF42B2"/>
    <w:rsid w:val="00AF4526"/>
    <w:rsid w:val="00AF47E5"/>
    <w:rsid w:val="00AF48BB"/>
    <w:rsid w:val="00AF4A6A"/>
    <w:rsid w:val="00AF4CFF"/>
    <w:rsid w:val="00AF4EB3"/>
    <w:rsid w:val="00AF52AE"/>
    <w:rsid w:val="00AF54E1"/>
    <w:rsid w:val="00AF5564"/>
    <w:rsid w:val="00AF55BD"/>
    <w:rsid w:val="00AF5677"/>
    <w:rsid w:val="00AF5686"/>
    <w:rsid w:val="00AF56CB"/>
    <w:rsid w:val="00AF57E5"/>
    <w:rsid w:val="00AF584D"/>
    <w:rsid w:val="00AF5AD9"/>
    <w:rsid w:val="00AF5BCA"/>
    <w:rsid w:val="00AF5E65"/>
    <w:rsid w:val="00AF5F0A"/>
    <w:rsid w:val="00AF5F67"/>
    <w:rsid w:val="00AF613F"/>
    <w:rsid w:val="00AF61D7"/>
    <w:rsid w:val="00AF63E1"/>
    <w:rsid w:val="00AF65EE"/>
    <w:rsid w:val="00AF677E"/>
    <w:rsid w:val="00AF67E2"/>
    <w:rsid w:val="00AF6817"/>
    <w:rsid w:val="00AF68A6"/>
    <w:rsid w:val="00AF6964"/>
    <w:rsid w:val="00AF6B2C"/>
    <w:rsid w:val="00AF6C06"/>
    <w:rsid w:val="00AF6E43"/>
    <w:rsid w:val="00AF6E6B"/>
    <w:rsid w:val="00AF70FC"/>
    <w:rsid w:val="00AF73C5"/>
    <w:rsid w:val="00AF74B4"/>
    <w:rsid w:val="00AF7554"/>
    <w:rsid w:val="00AF7617"/>
    <w:rsid w:val="00AF7922"/>
    <w:rsid w:val="00AF7BE5"/>
    <w:rsid w:val="00AF7C28"/>
    <w:rsid w:val="00AF7C42"/>
    <w:rsid w:val="00AF7CE5"/>
    <w:rsid w:val="00AF7DBB"/>
    <w:rsid w:val="00AF7DDB"/>
    <w:rsid w:val="00AF7E8E"/>
    <w:rsid w:val="00B00280"/>
    <w:rsid w:val="00B006BB"/>
    <w:rsid w:val="00B006F5"/>
    <w:rsid w:val="00B00893"/>
    <w:rsid w:val="00B0148A"/>
    <w:rsid w:val="00B01549"/>
    <w:rsid w:val="00B01773"/>
    <w:rsid w:val="00B01A1B"/>
    <w:rsid w:val="00B01D8B"/>
    <w:rsid w:val="00B01FE1"/>
    <w:rsid w:val="00B022A4"/>
    <w:rsid w:val="00B0246C"/>
    <w:rsid w:val="00B024E3"/>
    <w:rsid w:val="00B02691"/>
    <w:rsid w:val="00B027DC"/>
    <w:rsid w:val="00B02811"/>
    <w:rsid w:val="00B03061"/>
    <w:rsid w:val="00B0308C"/>
    <w:rsid w:val="00B036AE"/>
    <w:rsid w:val="00B038B8"/>
    <w:rsid w:val="00B03A9D"/>
    <w:rsid w:val="00B03AF5"/>
    <w:rsid w:val="00B03C5F"/>
    <w:rsid w:val="00B0462C"/>
    <w:rsid w:val="00B04764"/>
    <w:rsid w:val="00B04822"/>
    <w:rsid w:val="00B0496F"/>
    <w:rsid w:val="00B04A7C"/>
    <w:rsid w:val="00B04F94"/>
    <w:rsid w:val="00B05302"/>
    <w:rsid w:val="00B058EF"/>
    <w:rsid w:val="00B05C1B"/>
    <w:rsid w:val="00B05C86"/>
    <w:rsid w:val="00B0601F"/>
    <w:rsid w:val="00B06320"/>
    <w:rsid w:val="00B06366"/>
    <w:rsid w:val="00B066B7"/>
    <w:rsid w:val="00B06861"/>
    <w:rsid w:val="00B06970"/>
    <w:rsid w:val="00B06C00"/>
    <w:rsid w:val="00B06F98"/>
    <w:rsid w:val="00B07318"/>
    <w:rsid w:val="00B074A4"/>
    <w:rsid w:val="00B077BE"/>
    <w:rsid w:val="00B07974"/>
    <w:rsid w:val="00B07A0D"/>
    <w:rsid w:val="00B07E3E"/>
    <w:rsid w:val="00B10077"/>
    <w:rsid w:val="00B100D4"/>
    <w:rsid w:val="00B1015D"/>
    <w:rsid w:val="00B10522"/>
    <w:rsid w:val="00B10A59"/>
    <w:rsid w:val="00B10AEA"/>
    <w:rsid w:val="00B10B2F"/>
    <w:rsid w:val="00B10D33"/>
    <w:rsid w:val="00B10D7C"/>
    <w:rsid w:val="00B10E2E"/>
    <w:rsid w:val="00B10F8D"/>
    <w:rsid w:val="00B11390"/>
    <w:rsid w:val="00B11407"/>
    <w:rsid w:val="00B114F8"/>
    <w:rsid w:val="00B11639"/>
    <w:rsid w:val="00B11872"/>
    <w:rsid w:val="00B11BB6"/>
    <w:rsid w:val="00B11CA1"/>
    <w:rsid w:val="00B11CDF"/>
    <w:rsid w:val="00B1213D"/>
    <w:rsid w:val="00B12A27"/>
    <w:rsid w:val="00B12B94"/>
    <w:rsid w:val="00B12BC9"/>
    <w:rsid w:val="00B12E78"/>
    <w:rsid w:val="00B12E7E"/>
    <w:rsid w:val="00B130AE"/>
    <w:rsid w:val="00B130F2"/>
    <w:rsid w:val="00B13510"/>
    <w:rsid w:val="00B135AE"/>
    <w:rsid w:val="00B135F6"/>
    <w:rsid w:val="00B13ABB"/>
    <w:rsid w:val="00B13CCE"/>
    <w:rsid w:val="00B14145"/>
    <w:rsid w:val="00B14C27"/>
    <w:rsid w:val="00B14CDD"/>
    <w:rsid w:val="00B14F58"/>
    <w:rsid w:val="00B15058"/>
    <w:rsid w:val="00B150E7"/>
    <w:rsid w:val="00B15630"/>
    <w:rsid w:val="00B15774"/>
    <w:rsid w:val="00B15A27"/>
    <w:rsid w:val="00B15B65"/>
    <w:rsid w:val="00B15EDD"/>
    <w:rsid w:val="00B15EF2"/>
    <w:rsid w:val="00B16084"/>
    <w:rsid w:val="00B16442"/>
    <w:rsid w:val="00B16730"/>
    <w:rsid w:val="00B16832"/>
    <w:rsid w:val="00B16ACC"/>
    <w:rsid w:val="00B17027"/>
    <w:rsid w:val="00B1725E"/>
    <w:rsid w:val="00B17820"/>
    <w:rsid w:val="00B17AC8"/>
    <w:rsid w:val="00B17E92"/>
    <w:rsid w:val="00B17FC6"/>
    <w:rsid w:val="00B20224"/>
    <w:rsid w:val="00B20570"/>
    <w:rsid w:val="00B20B6E"/>
    <w:rsid w:val="00B20CEA"/>
    <w:rsid w:val="00B2153C"/>
    <w:rsid w:val="00B21A39"/>
    <w:rsid w:val="00B21AB3"/>
    <w:rsid w:val="00B21DA5"/>
    <w:rsid w:val="00B220A6"/>
    <w:rsid w:val="00B22436"/>
    <w:rsid w:val="00B224BA"/>
    <w:rsid w:val="00B2257E"/>
    <w:rsid w:val="00B225C0"/>
    <w:rsid w:val="00B22609"/>
    <w:rsid w:val="00B22EF3"/>
    <w:rsid w:val="00B2308A"/>
    <w:rsid w:val="00B23242"/>
    <w:rsid w:val="00B235BC"/>
    <w:rsid w:val="00B23F39"/>
    <w:rsid w:val="00B24239"/>
    <w:rsid w:val="00B2447E"/>
    <w:rsid w:val="00B24561"/>
    <w:rsid w:val="00B2471D"/>
    <w:rsid w:val="00B24757"/>
    <w:rsid w:val="00B2485F"/>
    <w:rsid w:val="00B24D7D"/>
    <w:rsid w:val="00B24E7B"/>
    <w:rsid w:val="00B24FE8"/>
    <w:rsid w:val="00B2505B"/>
    <w:rsid w:val="00B2553F"/>
    <w:rsid w:val="00B25702"/>
    <w:rsid w:val="00B2599F"/>
    <w:rsid w:val="00B25B32"/>
    <w:rsid w:val="00B25B36"/>
    <w:rsid w:val="00B25BCA"/>
    <w:rsid w:val="00B25D05"/>
    <w:rsid w:val="00B25D6B"/>
    <w:rsid w:val="00B25EAE"/>
    <w:rsid w:val="00B25F1D"/>
    <w:rsid w:val="00B25F7E"/>
    <w:rsid w:val="00B26087"/>
    <w:rsid w:val="00B26621"/>
    <w:rsid w:val="00B2684F"/>
    <w:rsid w:val="00B2686F"/>
    <w:rsid w:val="00B269F1"/>
    <w:rsid w:val="00B26A7A"/>
    <w:rsid w:val="00B26BC7"/>
    <w:rsid w:val="00B26F7B"/>
    <w:rsid w:val="00B271AF"/>
    <w:rsid w:val="00B2731C"/>
    <w:rsid w:val="00B2743C"/>
    <w:rsid w:val="00B2773B"/>
    <w:rsid w:val="00B2797A"/>
    <w:rsid w:val="00B27C57"/>
    <w:rsid w:val="00B27DDC"/>
    <w:rsid w:val="00B27DEA"/>
    <w:rsid w:val="00B27E77"/>
    <w:rsid w:val="00B27F33"/>
    <w:rsid w:val="00B301AD"/>
    <w:rsid w:val="00B302D8"/>
    <w:rsid w:val="00B30401"/>
    <w:rsid w:val="00B305C5"/>
    <w:rsid w:val="00B30671"/>
    <w:rsid w:val="00B30B03"/>
    <w:rsid w:val="00B31154"/>
    <w:rsid w:val="00B3115E"/>
    <w:rsid w:val="00B318F4"/>
    <w:rsid w:val="00B3192B"/>
    <w:rsid w:val="00B31B25"/>
    <w:rsid w:val="00B31BA9"/>
    <w:rsid w:val="00B31EAE"/>
    <w:rsid w:val="00B32409"/>
    <w:rsid w:val="00B32544"/>
    <w:rsid w:val="00B3261A"/>
    <w:rsid w:val="00B32AF4"/>
    <w:rsid w:val="00B32BCF"/>
    <w:rsid w:val="00B337DE"/>
    <w:rsid w:val="00B3387C"/>
    <w:rsid w:val="00B33B98"/>
    <w:rsid w:val="00B33C72"/>
    <w:rsid w:val="00B3436A"/>
    <w:rsid w:val="00B34397"/>
    <w:rsid w:val="00B343A0"/>
    <w:rsid w:val="00B34B1A"/>
    <w:rsid w:val="00B34D72"/>
    <w:rsid w:val="00B34F95"/>
    <w:rsid w:val="00B35010"/>
    <w:rsid w:val="00B350A2"/>
    <w:rsid w:val="00B353AF"/>
    <w:rsid w:val="00B35595"/>
    <w:rsid w:val="00B357D4"/>
    <w:rsid w:val="00B35FC3"/>
    <w:rsid w:val="00B366D5"/>
    <w:rsid w:val="00B367DD"/>
    <w:rsid w:val="00B368BF"/>
    <w:rsid w:val="00B36FE5"/>
    <w:rsid w:val="00B370CB"/>
    <w:rsid w:val="00B37100"/>
    <w:rsid w:val="00B37437"/>
    <w:rsid w:val="00B375D2"/>
    <w:rsid w:val="00B37706"/>
    <w:rsid w:val="00B377D7"/>
    <w:rsid w:val="00B37BB8"/>
    <w:rsid w:val="00B37D1F"/>
    <w:rsid w:val="00B37DCC"/>
    <w:rsid w:val="00B401E1"/>
    <w:rsid w:val="00B403C8"/>
    <w:rsid w:val="00B4052B"/>
    <w:rsid w:val="00B4054B"/>
    <w:rsid w:val="00B4057B"/>
    <w:rsid w:val="00B40592"/>
    <w:rsid w:val="00B409CE"/>
    <w:rsid w:val="00B40A24"/>
    <w:rsid w:val="00B40AF5"/>
    <w:rsid w:val="00B40B35"/>
    <w:rsid w:val="00B40BA5"/>
    <w:rsid w:val="00B40BE9"/>
    <w:rsid w:val="00B40D86"/>
    <w:rsid w:val="00B40F9F"/>
    <w:rsid w:val="00B4123A"/>
    <w:rsid w:val="00B41283"/>
    <w:rsid w:val="00B412C0"/>
    <w:rsid w:val="00B41335"/>
    <w:rsid w:val="00B4154F"/>
    <w:rsid w:val="00B417A7"/>
    <w:rsid w:val="00B41AD2"/>
    <w:rsid w:val="00B41E64"/>
    <w:rsid w:val="00B42232"/>
    <w:rsid w:val="00B427FF"/>
    <w:rsid w:val="00B42B20"/>
    <w:rsid w:val="00B42C22"/>
    <w:rsid w:val="00B42C6D"/>
    <w:rsid w:val="00B42C6E"/>
    <w:rsid w:val="00B433A3"/>
    <w:rsid w:val="00B434E4"/>
    <w:rsid w:val="00B43624"/>
    <w:rsid w:val="00B4370B"/>
    <w:rsid w:val="00B43876"/>
    <w:rsid w:val="00B438E1"/>
    <w:rsid w:val="00B4399D"/>
    <w:rsid w:val="00B43D0F"/>
    <w:rsid w:val="00B43FE2"/>
    <w:rsid w:val="00B4429D"/>
    <w:rsid w:val="00B44416"/>
    <w:rsid w:val="00B4445B"/>
    <w:rsid w:val="00B448C1"/>
    <w:rsid w:val="00B449D9"/>
    <w:rsid w:val="00B44AE9"/>
    <w:rsid w:val="00B44D2D"/>
    <w:rsid w:val="00B44D4D"/>
    <w:rsid w:val="00B44E51"/>
    <w:rsid w:val="00B44ED2"/>
    <w:rsid w:val="00B44F6A"/>
    <w:rsid w:val="00B44FF5"/>
    <w:rsid w:val="00B450D0"/>
    <w:rsid w:val="00B452A4"/>
    <w:rsid w:val="00B45463"/>
    <w:rsid w:val="00B456E3"/>
    <w:rsid w:val="00B45746"/>
    <w:rsid w:val="00B4584B"/>
    <w:rsid w:val="00B45BB8"/>
    <w:rsid w:val="00B45DFE"/>
    <w:rsid w:val="00B46800"/>
    <w:rsid w:val="00B46880"/>
    <w:rsid w:val="00B46AB9"/>
    <w:rsid w:val="00B46AF0"/>
    <w:rsid w:val="00B46BE3"/>
    <w:rsid w:val="00B46C98"/>
    <w:rsid w:val="00B46CAD"/>
    <w:rsid w:val="00B46E9A"/>
    <w:rsid w:val="00B46F46"/>
    <w:rsid w:val="00B4752B"/>
    <w:rsid w:val="00B47622"/>
    <w:rsid w:val="00B476A6"/>
    <w:rsid w:val="00B4788A"/>
    <w:rsid w:val="00B47B02"/>
    <w:rsid w:val="00B50292"/>
    <w:rsid w:val="00B505F9"/>
    <w:rsid w:val="00B50986"/>
    <w:rsid w:val="00B50A0B"/>
    <w:rsid w:val="00B50AB3"/>
    <w:rsid w:val="00B50DCA"/>
    <w:rsid w:val="00B50F20"/>
    <w:rsid w:val="00B510AE"/>
    <w:rsid w:val="00B51351"/>
    <w:rsid w:val="00B518C4"/>
    <w:rsid w:val="00B51B07"/>
    <w:rsid w:val="00B51B2D"/>
    <w:rsid w:val="00B51F36"/>
    <w:rsid w:val="00B52003"/>
    <w:rsid w:val="00B5202F"/>
    <w:rsid w:val="00B524A9"/>
    <w:rsid w:val="00B52620"/>
    <w:rsid w:val="00B526E9"/>
    <w:rsid w:val="00B52761"/>
    <w:rsid w:val="00B52777"/>
    <w:rsid w:val="00B52D3A"/>
    <w:rsid w:val="00B53209"/>
    <w:rsid w:val="00B532A5"/>
    <w:rsid w:val="00B534DF"/>
    <w:rsid w:val="00B5356B"/>
    <w:rsid w:val="00B53583"/>
    <w:rsid w:val="00B53716"/>
    <w:rsid w:val="00B539F7"/>
    <w:rsid w:val="00B53AC8"/>
    <w:rsid w:val="00B53B16"/>
    <w:rsid w:val="00B53C80"/>
    <w:rsid w:val="00B541D4"/>
    <w:rsid w:val="00B54488"/>
    <w:rsid w:val="00B5448B"/>
    <w:rsid w:val="00B5470C"/>
    <w:rsid w:val="00B54795"/>
    <w:rsid w:val="00B54972"/>
    <w:rsid w:val="00B54BBC"/>
    <w:rsid w:val="00B54BFA"/>
    <w:rsid w:val="00B54D0A"/>
    <w:rsid w:val="00B554D5"/>
    <w:rsid w:val="00B55726"/>
    <w:rsid w:val="00B55971"/>
    <w:rsid w:val="00B559D5"/>
    <w:rsid w:val="00B55B6D"/>
    <w:rsid w:val="00B55F1E"/>
    <w:rsid w:val="00B5615E"/>
    <w:rsid w:val="00B56585"/>
    <w:rsid w:val="00B568E6"/>
    <w:rsid w:val="00B56950"/>
    <w:rsid w:val="00B56A25"/>
    <w:rsid w:val="00B56B9E"/>
    <w:rsid w:val="00B56D1D"/>
    <w:rsid w:val="00B570A2"/>
    <w:rsid w:val="00B574C9"/>
    <w:rsid w:val="00B57632"/>
    <w:rsid w:val="00B57941"/>
    <w:rsid w:val="00B57D53"/>
    <w:rsid w:val="00B57F12"/>
    <w:rsid w:val="00B57FAD"/>
    <w:rsid w:val="00B60019"/>
    <w:rsid w:val="00B600BA"/>
    <w:rsid w:val="00B600F6"/>
    <w:rsid w:val="00B60158"/>
    <w:rsid w:val="00B601B0"/>
    <w:rsid w:val="00B601B5"/>
    <w:rsid w:val="00B6061D"/>
    <w:rsid w:val="00B6073F"/>
    <w:rsid w:val="00B60A5E"/>
    <w:rsid w:val="00B60AF6"/>
    <w:rsid w:val="00B60CB2"/>
    <w:rsid w:val="00B60E93"/>
    <w:rsid w:val="00B610F0"/>
    <w:rsid w:val="00B613FF"/>
    <w:rsid w:val="00B61620"/>
    <w:rsid w:val="00B61A56"/>
    <w:rsid w:val="00B61B23"/>
    <w:rsid w:val="00B62060"/>
    <w:rsid w:val="00B6219A"/>
    <w:rsid w:val="00B621E7"/>
    <w:rsid w:val="00B6226C"/>
    <w:rsid w:val="00B624E7"/>
    <w:rsid w:val="00B6278D"/>
    <w:rsid w:val="00B62B7E"/>
    <w:rsid w:val="00B632CF"/>
    <w:rsid w:val="00B634A6"/>
    <w:rsid w:val="00B63B87"/>
    <w:rsid w:val="00B63BB4"/>
    <w:rsid w:val="00B63C3B"/>
    <w:rsid w:val="00B63E5D"/>
    <w:rsid w:val="00B640DE"/>
    <w:rsid w:val="00B64187"/>
    <w:rsid w:val="00B641DD"/>
    <w:rsid w:val="00B64B20"/>
    <w:rsid w:val="00B64EBA"/>
    <w:rsid w:val="00B64F9B"/>
    <w:rsid w:val="00B652C3"/>
    <w:rsid w:val="00B655A6"/>
    <w:rsid w:val="00B66164"/>
    <w:rsid w:val="00B66266"/>
    <w:rsid w:val="00B66304"/>
    <w:rsid w:val="00B6650F"/>
    <w:rsid w:val="00B66723"/>
    <w:rsid w:val="00B667B6"/>
    <w:rsid w:val="00B66D52"/>
    <w:rsid w:val="00B6703B"/>
    <w:rsid w:val="00B674E2"/>
    <w:rsid w:val="00B6770F"/>
    <w:rsid w:val="00B67744"/>
    <w:rsid w:val="00B678EC"/>
    <w:rsid w:val="00B67C0E"/>
    <w:rsid w:val="00B67C3C"/>
    <w:rsid w:val="00B67D46"/>
    <w:rsid w:val="00B67D65"/>
    <w:rsid w:val="00B67DFA"/>
    <w:rsid w:val="00B7022B"/>
    <w:rsid w:val="00B702FA"/>
    <w:rsid w:val="00B70787"/>
    <w:rsid w:val="00B70908"/>
    <w:rsid w:val="00B7091B"/>
    <w:rsid w:val="00B70AA7"/>
    <w:rsid w:val="00B70ADE"/>
    <w:rsid w:val="00B70CBE"/>
    <w:rsid w:val="00B70D79"/>
    <w:rsid w:val="00B70FC9"/>
    <w:rsid w:val="00B7143D"/>
    <w:rsid w:val="00B71EAC"/>
    <w:rsid w:val="00B7245C"/>
    <w:rsid w:val="00B72470"/>
    <w:rsid w:val="00B7262E"/>
    <w:rsid w:val="00B72893"/>
    <w:rsid w:val="00B72A12"/>
    <w:rsid w:val="00B72C03"/>
    <w:rsid w:val="00B72C5D"/>
    <w:rsid w:val="00B72CFD"/>
    <w:rsid w:val="00B7315E"/>
    <w:rsid w:val="00B731E2"/>
    <w:rsid w:val="00B731F7"/>
    <w:rsid w:val="00B73419"/>
    <w:rsid w:val="00B737BA"/>
    <w:rsid w:val="00B73C2B"/>
    <w:rsid w:val="00B73D40"/>
    <w:rsid w:val="00B73E98"/>
    <w:rsid w:val="00B74286"/>
    <w:rsid w:val="00B743AD"/>
    <w:rsid w:val="00B743BF"/>
    <w:rsid w:val="00B7442B"/>
    <w:rsid w:val="00B74853"/>
    <w:rsid w:val="00B749DE"/>
    <w:rsid w:val="00B74BD3"/>
    <w:rsid w:val="00B75061"/>
    <w:rsid w:val="00B75145"/>
    <w:rsid w:val="00B751DA"/>
    <w:rsid w:val="00B7567B"/>
    <w:rsid w:val="00B758E9"/>
    <w:rsid w:val="00B75B41"/>
    <w:rsid w:val="00B760F6"/>
    <w:rsid w:val="00B765A8"/>
    <w:rsid w:val="00B767F9"/>
    <w:rsid w:val="00B768CC"/>
    <w:rsid w:val="00B76948"/>
    <w:rsid w:val="00B76949"/>
    <w:rsid w:val="00B76B67"/>
    <w:rsid w:val="00B76F69"/>
    <w:rsid w:val="00B7708A"/>
    <w:rsid w:val="00B77113"/>
    <w:rsid w:val="00B77210"/>
    <w:rsid w:val="00B774D8"/>
    <w:rsid w:val="00B776E1"/>
    <w:rsid w:val="00B7771C"/>
    <w:rsid w:val="00B77D1D"/>
    <w:rsid w:val="00B80019"/>
    <w:rsid w:val="00B807D3"/>
    <w:rsid w:val="00B80A04"/>
    <w:rsid w:val="00B80B01"/>
    <w:rsid w:val="00B81255"/>
    <w:rsid w:val="00B812F6"/>
    <w:rsid w:val="00B81345"/>
    <w:rsid w:val="00B819DC"/>
    <w:rsid w:val="00B81C23"/>
    <w:rsid w:val="00B81C3F"/>
    <w:rsid w:val="00B81C93"/>
    <w:rsid w:val="00B81D6B"/>
    <w:rsid w:val="00B82023"/>
    <w:rsid w:val="00B820F0"/>
    <w:rsid w:val="00B82333"/>
    <w:rsid w:val="00B82502"/>
    <w:rsid w:val="00B82610"/>
    <w:rsid w:val="00B82672"/>
    <w:rsid w:val="00B826B0"/>
    <w:rsid w:val="00B826B7"/>
    <w:rsid w:val="00B82955"/>
    <w:rsid w:val="00B82AAE"/>
    <w:rsid w:val="00B82AE5"/>
    <w:rsid w:val="00B83173"/>
    <w:rsid w:val="00B83421"/>
    <w:rsid w:val="00B836F1"/>
    <w:rsid w:val="00B845BB"/>
    <w:rsid w:val="00B84940"/>
    <w:rsid w:val="00B84A4E"/>
    <w:rsid w:val="00B84B2E"/>
    <w:rsid w:val="00B84CC3"/>
    <w:rsid w:val="00B84D81"/>
    <w:rsid w:val="00B853CB"/>
    <w:rsid w:val="00B85705"/>
    <w:rsid w:val="00B857B8"/>
    <w:rsid w:val="00B85BDD"/>
    <w:rsid w:val="00B85C07"/>
    <w:rsid w:val="00B860EA"/>
    <w:rsid w:val="00B86134"/>
    <w:rsid w:val="00B86459"/>
    <w:rsid w:val="00B864D2"/>
    <w:rsid w:val="00B866CA"/>
    <w:rsid w:val="00B8699B"/>
    <w:rsid w:val="00B86E03"/>
    <w:rsid w:val="00B871B3"/>
    <w:rsid w:val="00B87636"/>
    <w:rsid w:val="00B87850"/>
    <w:rsid w:val="00B879BC"/>
    <w:rsid w:val="00B879E7"/>
    <w:rsid w:val="00B87EBE"/>
    <w:rsid w:val="00B90588"/>
    <w:rsid w:val="00B9064D"/>
    <w:rsid w:val="00B906C5"/>
    <w:rsid w:val="00B908D7"/>
    <w:rsid w:val="00B90BB5"/>
    <w:rsid w:val="00B9108D"/>
    <w:rsid w:val="00B9118D"/>
    <w:rsid w:val="00B91302"/>
    <w:rsid w:val="00B913C4"/>
    <w:rsid w:val="00B91481"/>
    <w:rsid w:val="00B914EA"/>
    <w:rsid w:val="00B91720"/>
    <w:rsid w:val="00B91828"/>
    <w:rsid w:val="00B91889"/>
    <w:rsid w:val="00B91B1D"/>
    <w:rsid w:val="00B91B6E"/>
    <w:rsid w:val="00B91C00"/>
    <w:rsid w:val="00B91C6E"/>
    <w:rsid w:val="00B9207B"/>
    <w:rsid w:val="00B922E5"/>
    <w:rsid w:val="00B9247B"/>
    <w:rsid w:val="00B92622"/>
    <w:rsid w:val="00B92DB3"/>
    <w:rsid w:val="00B92FBC"/>
    <w:rsid w:val="00B930F4"/>
    <w:rsid w:val="00B931B9"/>
    <w:rsid w:val="00B9337C"/>
    <w:rsid w:val="00B93959"/>
    <w:rsid w:val="00B93BB3"/>
    <w:rsid w:val="00B93FD1"/>
    <w:rsid w:val="00B93FDA"/>
    <w:rsid w:val="00B94B10"/>
    <w:rsid w:val="00B94B7A"/>
    <w:rsid w:val="00B94BD5"/>
    <w:rsid w:val="00B94C13"/>
    <w:rsid w:val="00B95087"/>
    <w:rsid w:val="00B95191"/>
    <w:rsid w:val="00B95787"/>
    <w:rsid w:val="00B96014"/>
    <w:rsid w:val="00B96090"/>
    <w:rsid w:val="00B96163"/>
    <w:rsid w:val="00B9660F"/>
    <w:rsid w:val="00B96CC6"/>
    <w:rsid w:val="00B971C5"/>
    <w:rsid w:val="00B972AC"/>
    <w:rsid w:val="00B975D8"/>
    <w:rsid w:val="00B97789"/>
    <w:rsid w:val="00B979B8"/>
    <w:rsid w:val="00B979C4"/>
    <w:rsid w:val="00B97C61"/>
    <w:rsid w:val="00B97DB6"/>
    <w:rsid w:val="00B97F12"/>
    <w:rsid w:val="00BA0070"/>
    <w:rsid w:val="00BA02B7"/>
    <w:rsid w:val="00BA0857"/>
    <w:rsid w:val="00BA0C01"/>
    <w:rsid w:val="00BA0CE1"/>
    <w:rsid w:val="00BA0F2C"/>
    <w:rsid w:val="00BA1085"/>
    <w:rsid w:val="00BA161F"/>
    <w:rsid w:val="00BA18B4"/>
    <w:rsid w:val="00BA190A"/>
    <w:rsid w:val="00BA1D4B"/>
    <w:rsid w:val="00BA1EA3"/>
    <w:rsid w:val="00BA1F78"/>
    <w:rsid w:val="00BA252F"/>
    <w:rsid w:val="00BA2671"/>
    <w:rsid w:val="00BA26BE"/>
    <w:rsid w:val="00BA2704"/>
    <w:rsid w:val="00BA2755"/>
    <w:rsid w:val="00BA2AA0"/>
    <w:rsid w:val="00BA31A4"/>
    <w:rsid w:val="00BA36D4"/>
    <w:rsid w:val="00BA402E"/>
    <w:rsid w:val="00BA427F"/>
    <w:rsid w:val="00BA4470"/>
    <w:rsid w:val="00BA46C1"/>
    <w:rsid w:val="00BA4722"/>
    <w:rsid w:val="00BA4985"/>
    <w:rsid w:val="00BA4A9D"/>
    <w:rsid w:val="00BA4D1A"/>
    <w:rsid w:val="00BA4E4B"/>
    <w:rsid w:val="00BA4E8D"/>
    <w:rsid w:val="00BA545F"/>
    <w:rsid w:val="00BA565A"/>
    <w:rsid w:val="00BA574D"/>
    <w:rsid w:val="00BA59C7"/>
    <w:rsid w:val="00BA5CAD"/>
    <w:rsid w:val="00BA5E29"/>
    <w:rsid w:val="00BA5FEE"/>
    <w:rsid w:val="00BA6117"/>
    <w:rsid w:val="00BA64EC"/>
    <w:rsid w:val="00BA6AF7"/>
    <w:rsid w:val="00BA6ED3"/>
    <w:rsid w:val="00BA7240"/>
    <w:rsid w:val="00BA7262"/>
    <w:rsid w:val="00BA77F4"/>
    <w:rsid w:val="00BB0484"/>
    <w:rsid w:val="00BB064B"/>
    <w:rsid w:val="00BB0946"/>
    <w:rsid w:val="00BB0956"/>
    <w:rsid w:val="00BB0AB5"/>
    <w:rsid w:val="00BB0B00"/>
    <w:rsid w:val="00BB0EBA"/>
    <w:rsid w:val="00BB0FD1"/>
    <w:rsid w:val="00BB11AC"/>
    <w:rsid w:val="00BB15D1"/>
    <w:rsid w:val="00BB1713"/>
    <w:rsid w:val="00BB1787"/>
    <w:rsid w:val="00BB195E"/>
    <w:rsid w:val="00BB1B80"/>
    <w:rsid w:val="00BB1C7D"/>
    <w:rsid w:val="00BB1E01"/>
    <w:rsid w:val="00BB1E73"/>
    <w:rsid w:val="00BB201A"/>
    <w:rsid w:val="00BB29EE"/>
    <w:rsid w:val="00BB2B73"/>
    <w:rsid w:val="00BB2D7E"/>
    <w:rsid w:val="00BB2F0F"/>
    <w:rsid w:val="00BB2FE3"/>
    <w:rsid w:val="00BB3334"/>
    <w:rsid w:val="00BB3407"/>
    <w:rsid w:val="00BB3737"/>
    <w:rsid w:val="00BB3910"/>
    <w:rsid w:val="00BB3FDB"/>
    <w:rsid w:val="00BB42F1"/>
    <w:rsid w:val="00BB4424"/>
    <w:rsid w:val="00BB44E5"/>
    <w:rsid w:val="00BB454F"/>
    <w:rsid w:val="00BB48F8"/>
    <w:rsid w:val="00BB497F"/>
    <w:rsid w:val="00BB4A94"/>
    <w:rsid w:val="00BB4D22"/>
    <w:rsid w:val="00BB4E32"/>
    <w:rsid w:val="00BB5004"/>
    <w:rsid w:val="00BB5057"/>
    <w:rsid w:val="00BB509D"/>
    <w:rsid w:val="00BB50C6"/>
    <w:rsid w:val="00BB5124"/>
    <w:rsid w:val="00BB516E"/>
    <w:rsid w:val="00BB54E5"/>
    <w:rsid w:val="00BB58E4"/>
    <w:rsid w:val="00BB5C5B"/>
    <w:rsid w:val="00BB5DFF"/>
    <w:rsid w:val="00BB5E4F"/>
    <w:rsid w:val="00BB5FA1"/>
    <w:rsid w:val="00BB6416"/>
    <w:rsid w:val="00BB6467"/>
    <w:rsid w:val="00BB6847"/>
    <w:rsid w:val="00BB6AAA"/>
    <w:rsid w:val="00BB6B9E"/>
    <w:rsid w:val="00BB6C38"/>
    <w:rsid w:val="00BB6E3C"/>
    <w:rsid w:val="00BB6E7A"/>
    <w:rsid w:val="00BB6F04"/>
    <w:rsid w:val="00BB6F2B"/>
    <w:rsid w:val="00BB6F9D"/>
    <w:rsid w:val="00BB70D6"/>
    <w:rsid w:val="00BB7215"/>
    <w:rsid w:val="00BB7606"/>
    <w:rsid w:val="00BB7649"/>
    <w:rsid w:val="00BB7858"/>
    <w:rsid w:val="00BB7A76"/>
    <w:rsid w:val="00BB7F96"/>
    <w:rsid w:val="00BC0207"/>
    <w:rsid w:val="00BC02D4"/>
    <w:rsid w:val="00BC06E2"/>
    <w:rsid w:val="00BC06F2"/>
    <w:rsid w:val="00BC0753"/>
    <w:rsid w:val="00BC0998"/>
    <w:rsid w:val="00BC1193"/>
    <w:rsid w:val="00BC1344"/>
    <w:rsid w:val="00BC159E"/>
    <w:rsid w:val="00BC169D"/>
    <w:rsid w:val="00BC2371"/>
    <w:rsid w:val="00BC2470"/>
    <w:rsid w:val="00BC2500"/>
    <w:rsid w:val="00BC253F"/>
    <w:rsid w:val="00BC27E6"/>
    <w:rsid w:val="00BC29EE"/>
    <w:rsid w:val="00BC2CB2"/>
    <w:rsid w:val="00BC2E7A"/>
    <w:rsid w:val="00BC2F84"/>
    <w:rsid w:val="00BC3257"/>
    <w:rsid w:val="00BC32AA"/>
    <w:rsid w:val="00BC32EC"/>
    <w:rsid w:val="00BC3385"/>
    <w:rsid w:val="00BC376F"/>
    <w:rsid w:val="00BC3911"/>
    <w:rsid w:val="00BC3C17"/>
    <w:rsid w:val="00BC3F50"/>
    <w:rsid w:val="00BC3FA5"/>
    <w:rsid w:val="00BC3FC8"/>
    <w:rsid w:val="00BC41A9"/>
    <w:rsid w:val="00BC422E"/>
    <w:rsid w:val="00BC44C0"/>
    <w:rsid w:val="00BC47E8"/>
    <w:rsid w:val="00BC49C3"/>
    <w:rsid w:val="00BC4EB0"/>
    <w:rsid w:val="00BC4F50"/>
    <w:rsid w:val="00BC4F9D"/>
    <w:rsid w:val="00BC5066"/>
    <w:rsid w:val="00BC53AB"/>
    <w:rsid w:val="00BC55E1"/>
    <w:rsid w:val="00BC5A66"/>
    <w:rsid w:val="00BC5CF2"/>
    <w:rsid w:val="00BC5D8C"/>
    <w:rsid w:val="00BC5DC9"/>
    <w:rsid w:val="00BC5EF3"/>
    <w:rsid w:val="00BC5F0C"/>
    <w:rsid w:val="00BC5F26"/>
    <w:rsid w:val="00BC6116"/>
    <w:rsid w:val="00BC61FC"/>
    <w:rsid w:val="00BC6364"/>
    <w:rsid w:val="00BC6A02"/>
    <w:rsid w:val="00BC6D6C"/>
    <w:rsid w:val="00BC700C"/>
    <w:rsid w:val="00BC705A"/>
    <w:rsid w:val="00BC73C1"/>
    <w:rsid w:val="00BC75F3"/>
    <w:rsid w:val="00BC7624"/>
    <w:rsid w:val="00BC763D"/>
    <w:rsid w:val="00BC77B9"/>
    <w:rsid w:val="00BC7DBF"/>
    <w:rsid w:val="00BC7DFD"/>
    <w:rsid w:val="00BD01AC"/>
    <w:rsid w:val="00BD01C4"/>
    <w:rsid w:val="00BD025C"/>
    <w:rsid w:val="00BD0385"/>
    <w:rsid w:val="00BD0455"/>
    <w:rsid w:val="00BD06FA"/>
    <w:rsid w:val="00BD0AA4"/>
    <w:rsid w:val="00BD0CF5"/>
    <w:rsid w:val="00BD0D28"/>
    <w:rsid w:val="00BD12E7"/>
    <w:rsid w:val="00BD1569"/>
    <w:rsid w:val="00BD1645"/>
    <w:rsid w:val="00BD1843"/>
    <w:rsid w:val="00BD1B05"/>
    <w:rsid w:val="00BD1BEC"/>
    <w:rsid w:val="00BD1F21"/>
    <w:rsid w:val="00BD21D3"/>
    <w:rsid w:val="00BD2339"/>
    <w:rsid w:val="00BD2833"/>
    <w:rsid w:val="00BD2890"/>
    <w:rsid w:val="00BD289A"/>
    <w:rsid w:val="00BD2B11"/>
    <w:rsid w:val="00BD2CBF"/>
    <w:rsid w:val="00BD2DAE"/>
    <w:rsid w:val="00BD2DEB"/>
    <w:rsid w:val="00BD2E17"/>
    <w:rsid w:val="00BD2FE2"/>
    <w:rsid w:val="00BD31C8"/>
    <w:rsid w:val="00BD33EB"/>
    <w:rsid w:val="00BD38C7"/>
    <w:rsid w:val="00BD3B5C"/>
    <w:rsid w:val="00BD3BFF"/>
    <w:rsid w:val="00BD43A1"/>
    <w:rsid w:val="00BD43B4"/>
    <w:rsid w:val="00BD4482"/>
    <w:rsid w:val="00BD4C35"/>
    <w:rsid w:val="00BD529E"/>
    <w:rsid w:val="00BD5335"/>
    <w:rsid w:val="00BD582C"/>
    <w:rsid w:val="00BD5C53"/>
    <w:rsid w:val="00BD5E6A"/>
    <w:rsid w:val="00BD5F75"/>
    <w:rsid w:val="00BD6203"/>
    <w:rsid w:val="00BD6211"/>
    <w:rsid w:val="00BD6270"/>
    <w:rsid w:val="00BD62E6"/>
    <w:rsid w:val="00BD666A"/>
    <w:rsid w:val="00BD6857"/>
    <w:rsid w:val="00BD6B8B"/>
    <w:rsid w:val="00BD6EC5"/>
    <w:rsid w:val="00BD7399"/>
    <w:rsid w:val="00BD73C2"/>
    <w:rsid w:val="00BD7706"/>
    <w:rsid w:val="00BD79FE"/>
    <w:rsid w:val="00BD7D95"/>
    <w:rsid w:val="00BE0020"/>
    <w:rsid w:val="00BE009D"/>
    <w:rsid w:val="00BE02AD"/>
    <w:rsid w:val="00BE0343"/>
    <w:rsid w:val="00BE06E6"/>
    <w:rsid w:val="00BE080E"/>
    <w:rsid w:val="00BE094C"/>
    <w:rsid w:val="00BE1437"/>
    <w:rsid w:val="00BE18F2"/>
    <w:rsid w:val="00BE19FB"/>
    <w:rsid w:val="00BE1F7A"/>
    <w:rsid w:val="00BE2046"/>
    <w:rsid w:val="00BE2301"/>
    <w:rsid w:val="00BE2430"/>
    <w:rsid w:val="00BE272C"/>
    <w:rsid w:val="00BE28D7"/>
    <w:rsid w:val="00BE29E1"/>
    <w:rsid w:val="00BE2BC0"/>
    <w:rsid w:val="00BE2CF8"/>
    <w:rsid w:val="00BE2D19"/>
    <w:rsid w:val="00BE30F1"/>
    <w:rsid w:val="00BE36DA"/>
    <w:rsid w:val="00BE3990"/>
    <w:rsid w:val="00BE39F5"/>
    <w:rsid w:val="00BE3A01"/>
    <w:rsid w:val="00BE3B13"/>
    <w:rsid w:val="00BE3DCA"/>
    <w:rsid w:val="00BE413B"/>
    <w:rsid w:val="00BE428F"/>
    <w:rsid w:val="00BE42B2"/>
    <w:rsid w:val="00BE4342"/>
    <w:rsid w:val="00BE473A"/>
    <w:rsid w:val="00BE47E5"/>
    <w:rsid w:val="00BE4A88"/>
    <w:rsid w:val="00BE4AD7"/>
    <w:rsid w:val="00BE5161"/>
    <w:rsid w:val="00BE53FA"/>
    <w:rsid w:val="00BE597B"/>
    <w:rsid w:val="00BE5E3F"/>
    <w:rsid w:val="00BE5FD0"/>
    <w:rsid w:val="00BE64A2"/>
    <w:rsid w:val="00BE64BA"/>
    <w:rsid w:val="00BE6718"/>
    <w:rsid w:val="00BE67B9"/>
    <w:rsid w:val="00BE6843"/>
    <w:rsid w:val="00BE6A81"/>
    <w:rsid w:val="00BE6B61"/>
    <w:rsid w:val="00BE6C73"/>
    <w:rsid w:val="00BE6E70"/>
    <w:rsid w:val="00BE6EEC"/>
    <w:rsid w:val="00BE71A0"/>
    <w:rsid w:val="00BE75D6"/>
    <w:rsid w:val="00BE7ADC"/>
    <w:rsid w:val="00BE7E8C"/>
    <w:rsid w:val="00BE7F7A"/>
    <w:rsid w:val="00BE7F8E"/>
    <w:rsid w:val="00BF0140"/>
    <w:rsid w:val="00BF01FB"/>
    <w:rsid w:val="00BF035D"/>
    <w:rsid w:val="00BF04B6"/>
    <w:rsid w:val="00BF0D75"/>
    <w:rsid w:val="00BF11D7"/>
    <w:rsid w:val="00BF1735"/>
    <w:rsid w:val="00BF1BF4"/>
    <w:rsid w:val="00BF1E21"/>
    <w:rsid w:val="00BF2305"/>
    <w:rsid w:val="00BF2481"/>
    <w:rsid w:val="00BF2561"/>
    <w:rsid w:val="00BF25CC"/>
    <w:rsid w:val="00BF25E7"/>
    <w:rsid w:val="00BF2615"/>
    <w:rsid w:val="00BF2F71"/>
    <w:rsid w:val="00BF321C"/>
    <w:rsid w:val="00BF3452"/>
    <w:rsid w:val="00BF34B9"/>
    <w:rsid w:val="00BF378B"/>
    <w:rsid w:val="00BF3DD0"/>
    <w:rsid w:val="00BF406B"/>
    <w:rsid w:val="00BF4216"/>
    <w:rsid w:val="00BF426B"/>
    <w:rsid w:val="00BF4286"/>
    <w:rsid w:val="00BF4489"/>
    <w:rsid w:val="00BF44AD"/>
    <w:rsid w:val="00BF4E44"/>
    <w:rsid w:val="00BF53EC"/>
    <w:rsid w:val="00BF580E"/>
    <w:rsid w:val="00BF623F"/>
    <w:rsid w:val="00BF6562"/>
    <w:rsid w:val="00BF69A8"/>
    <w:rsid w:val="00BF6A8D"/>
    <w:rsid w:val="00BF73C2"/>
    <w:rsid w:val="00BF76A7"/>
    <w:rsid w:val="00BF7F8E"/>
    <w:rsid w:val="00BF7FEF"/>
    <w:rsid w:val="00C000D5"/>
    <w:rsid w:val="00C00284"/>
    <w:rsid w:val="00C0039C"/>
    <w:rsid w:val="00C003CD"/>
    <w:rsid w:val="00C00404"/>
    <w:rsid w:val="00C0050F"/>
    <w:rsid w:val="00C00819"/>
    <w:rsid w:val="00C00A07"/>
    <w:rsid w:val="00C00C3B"/>
    <w:rsid w:val="00C00D48"/>
    <w:rsid w:val="00C00F1F"/>
    <w:rsid w:val="00C011D1"/>
    <w:rsid w:val="00C01252"/>
    <w:rsid w:val="00C01334"/>
    <w:rsid w:val="00C014FE"/>
    <w:rsid w:val="00C0180C"/>
    <w:rsid w:val="00C01AE6"/>
    <w:rsid w:val="00C01B6E"/>
    <w:rsid w:val="00C01BD3"/>
    <w:rsid w:val="00C01F04"/>
    <w:rsid w:val="00C01F64"/>
    <w:rsid w:val="00C025BC"/>
    <w:rsid w:val="00C02856"/>
    <w:rsid w:val="00C0285A"/>
    <w:rsid w:val="00C02E32"/>
    <w:rsid w:val="00C02E63"/>
    <w:rsid w:val="00C0325F"/>
    <w:rsid w:val="00C03995"/>
    <w:rsid w:val="00C03A4D"/>
    <w:rsid w:val="00C03AA2"/>
    <w:rsid w:val="00C03ADF"/>
    <w:rsid w:val="00C03BF7"/>
    <w:rsid w:val="00C03C27"/>
    <w:rsid w:val="00C03E35"/>
    <w:rsid w:val="00C03ED1"/>
    <w:rsid w:val="00C03F8C"/>
    <w:rsid w:val="00C041D1"/>
    <w:rsid w:val="00C04257"/>
    <w:rsid w:val="00C04544"/>
    <w:rsid w:val="00C04900"/>
    <w:rsid w:val="00C04A19"/>
    <w:rsid w:val="00C04C8D"/>
    <w:rsid w:val="00C04F91"/>
    <w:rsid w:val="00C0516B"/>
    <w:rsid w:val="00C0522C"/>
    <w:rsid w:val="00C05291"/>
    <w:rsid w:val="00C053B8"/>
    <w:rsid w:val="00C059D5"/>
    <w:rsid w:val="00C05B6F"/>
    <w:rsid w:val="00C05C18"/>
    <w:rsid w:val="00C05D40"/>
    <w:rsid w:val="00C05E35"/>
    <w:rsid w:val="00C06213"/>
    <w:rsid w:val="00C0636F"/>
    <w:rsid w:val="00C0686D"/>
    <w:rsid w:val="00C06AD2"/>
    <w:rsid w:val="00C06B82"/>
    <w:rsid w:val="00C06E11"/>
    <w:rsid w:val="00C07297"/>
    <w:rsid w:val="00C07498"/>
    <w:rsid w:val="00C07647"/>
    <w:rsid w:val="00C077A9"/>
    <w:rsid w:val="00C07983"/>
    <w:rsid w:val="00C07D45"/>
    <w:rsid w:val="00C07D77"/>
    <w:rsid w:val="00C07E55"/>
    <w:rsid w:val="00C07F12"/>
    <w:rsid w:val="00C10493"/>
    <w:rsid w:val="00C104B8"/>
    <w:rsid w:val="00C106BE"/>
    <w:rsid w:val="00C10776"/>
    <w:rsid w:val="00C10939"/>
    <w:rsid w:val="00C109AA"/>
    <w:rsid w:val="00C10AB3"/>
    <w:rsid w:val="00C10FE5"/>
    <w:rsid w:val="00C113FA"/>
    <w:rsid w:val="00C11D95"/>
    <w:rsid w:val="00C11F79"/>
    <w:rsid w:val="00C120D1"/>
    <w:rsid w:val="00C12123"/>
    <w:rsid w:val="00C12266"/>
    <w:rsid w:val="00C123AD"/>
    <w:rsid w:val="00C1243E"/>
    <w:rsid w:val="00C1268E"/>
    <w:rsid w:val="00C12A53"/>
    <w:rsid w:val="00C12A66"/>
    <w:rsid w:val="00C12D55"/>
    <w:rsid w:val="00C12FEF"/>
    <w:rsid w:val="00C13363"/>
    <w:rsid w:val="00C1340D"/>
    <w:rsid w:val="00C13C5F"/>
    <w:rsid w:val="00C140B0"/>
    <w:rsid w:val="00C144D3"/>
    <w:rsid w:val="00C148D3"/>
    <w:rsid w:val="00C149F3"/>
    <w:rsid w:val="00C151B9"/>
    <w:rsid w:val="00C1530F"/>
    <w:rsid w:val="00C1538D"/>
    <w:rsid w:val="00C15C12"/>
    <w:rsid w:val="00C15C98"/>
    <w:rsid w:val="00C15D4C"/>
    <w:rsid w:val="00C15DC5"/>
    <w:rsid w:val="00C15E39"/>
    <w:rsid w:val="00C15F6F"/>
    <w:rsid w:val="00C1604B"/>
    <w:rsid w:val="00C160F1"/>
    <w:rsid w:val="00C16176"/>
    <w:rsid w:val="00C166B0"/>
    <w:rsid w:val="00C168F3"/>
    <w:rsid w:val="00C1693C"/>
    <w:rsid w:val="00C16D6F"/>
    <w:rsid w:val="00C16D88"/>
    <w:rsid w:val="00C16EC7"/>
    <w:rsid w:val="00C16F25"/>
    <w:rsid w:val="00C17620"/>
    <w:rsid w:val="00C17948"/>
    <w:rsid w:val="00C1794D"/>
    <w:rsid w:val="00C1799B"/>
    <w:rsid w:val="00C17F22"/>
    <w:rsid w:val="00C201B4"/>
    <w:rsid w:val="00C201CD"/>
    <w:rsid w:val="00C20477"/>
    <w:rsid w:val="00C2049E"/>
    <w:rsid w:val="00C206E9"/>
    <w:rsid w:val="00C20B81"/>
    <w:rsid w:val="00C20C77"/>
    <w:rsid w:val="00C20D38"/>
    <w:rsid w:val="00C20F5E"/>
    <w:rsid w:val="00C21238"/>
    <w:rsid w:val="00C21566"/>
    <w:rsid w:val="00C2177B"/>
    <w:rsid w:val="00C21A08"/>
    <w:rsid w:val="00C21AD4"/>
    <w:rsid w:val="00C21CA0"/>
    <w:rsid w:val="00C21DAC"/>
    <w:rsid w:val="00C21DFF"/>
    <w:rsid w:val="00C22124"/>
    <w:rsid w:val="00C222D9"/>
    <w:rsid w:val="00C22510"/>
    <w:rsid w:val="00C22A47"/>
    <w:rsid w:val="00C22BB8"/>
    <w:rsid w:val="00C22DA6"/>
    <w:rsid w:val="00C236C1"/>
    <w:rsid w:val="00C239A4"/>
    <w:rsid w:val="00C23C22"/>
    <w:rsid w:val="00C23D95"/>
    <w:rsid w:val="00C244ED"/>
    <w:rsid w:val="00C245BA"/>
    <w:rsid w:val="00C2461F"/>
    <w:rsid w:val="00C247EE"/>
    <w:rsid w:val="00C24890"/>
    <w:rsid w:val="00C24DE7"/>
    <w:rsid w:val="00C24EBD"/>
    <w:rsid w:val="00C24ED5"/>
    <w:rsid w:val="00C252E9"/>
    <w:rsid w:val="00C25453"/>
    <w:rsid w:val="00C255ED"/>
    <w:rsid w:val="00C256A1"/>
    <w:rsid w:val="00C25903"/>
    <w:rsid w:val="00C25D59"/>
    <w:rsid w:val="00C25D99"/>
    <w:rsid w:val="00C25F3D"/>
    <w:rsid w:val="00C25F48"/>
    <w:rsid w:val="00C260C9"/>
    <w:rsid w:val="00C26352"/>
    <w:rsid w:val="00C26521"/>
    <w:rsid w:val="00C267E1"/>
    <w:rsid w:val="00C26BC2"/>
    <w:rsid w:val="00C27189"/>
    <w:rsid w:val="00C273CF"/>
    <w:rsid w:val="00C278CE"/>
    <w:rsid w:val="00C27D93"/>
    <w:rsid w:val="00C27DD7"/>
    <w:rsid w:val="00C30635"/>
    <w:rsid w:val="00C306BC"/>
    <w:rsid w:val="00C30833"/>
    <w:rsid w:val="00C308BF"/>
    <w:rsid w:val="00C30D36"/>
    <w:rsid w:val="00C30F0B"/>
    <w:rsid w:val="00C31095"/>
    <w:rsid w:val="00C310F0"/>
    <w:rsid w:val="00C315B3"/>
    <w:rsid w:val="00C31810"/>
    <w:rsid w:val="00C31BBE"/>
    <w:rsid w:val="00C31C3F"/>
    <w:rsid w:val="00C31D26"/>
    <w:rsid w:val="00C31DD6"/>
    <w:rsid w:val="00C31F1A"/>
    <w:rsid w:val="00C320C0"/>
    <w:rsid w:val="00C32145"/>
    <w:rsid w:val="00C32216"/>
    <w:rsid w:val="00C32289"/>
    <w:rsid w:val="00C322C9"/>
    <w:rsid w:val="00C322EE"/>
    <w:rsid w:val="00C32330"/>
    <w:rsid w:val="00C32494"/>
    <w:rsid w:val="00C32732"/>
    <w:rsid w:val="00C32A34"/>
    <w:rsid w:val="00C32E55"/>
    <w:rsid w:val="00C32FBC"/>
    <w:rsid w:val="00C33550"/>
    <w:rsid w:val="00C33D1D"/>
    <w:rsid w:val="00C33D3D"/>
    <w:rsid w:val="00C33D8B"/>
    <w:rsid w:val="00C34171"/>
    <w:rsid w:val="00C343A3"/>
    <w:rsid w:val="00C34462"/>
    <w:rsid w:val="00C34685"/>
    <w:rsid w:val="00C346E4"/>
    <w:rsid w:val="00C34BD7"/>
    <w:rsid w:val="00C34C9D"/>
    <w:rsid w:val="00C34D26"/>
    <w:rsid w:val="00C34E27"/>
    <w:rsid w:val="00C3527C"/>
    <w:rsid w:val="00C35330"/>
    <w:rsid w:val="00C353A8"/>
    <w:rsid w:val="00C35635"/>
    <w:rsid w:val="00C357E9"/>
    <w:rsid w:val="00C35DDA"/>
    <w:rsid w:val="00C35DE3"/>
    <w:rsid w:val="00C363CF"/>
    <w:rsid w:val="00C36622"/>
    <w:rsid w:val="00C36642"/>
    <w:rsid w:val="00C36C3E"/>
    <w:rsid w:val="00C37035"/>
    <w:rsid w:val="00C371F5"/>
    <w:rsid w:val="00C374CD"/>
    <w:rsid w:val="00C37744"/>
    <w:rsid w:val="00C377AC"/>
    <w:rsid w:val="00C378EB"/>
    <w:rsid w:val="00C3794F"/>
    <w:rsid w:val="00C37AE6"/>
    <w:rsid w:val="00C400FC"/>
    <w:rsid w:val="00C40296"/>
    <w:rsid w:val="00C403BB"/>
    <w:rsid w:val="00C407AC"/>
    <w:rsid w:val="00C407BE"/>
    <w:rsid w:val="00C409EE"/>
    <w:rsid w:val="00C40B92"/>
    <w:rsid w:val="00C40CCD"/>
    <w:rsid w:val="00C40D0F"/>
    <w:rsid w:val="00C40EED"/>
    <w:rsid w:val="00C41126"/>
    <w:rsid w:val="00C411E5"/>
    <w:rsid w:val="00C4121E"/>
    <w:rsid w:val="00C412D9"/>
    <w:rsid w:val="00C4133A"/>
    <w:rsid w:val="00C4196A"/>
    <w:rsid w:val="00C41A2F"/>
    <w:rsid w:val="00C41BE5"/>
    <w:rsid w:val="00C41C4F"/>
    <w:rsid w:val="00C41D11"/>
    <w:rsid w:val="00C41E4A"/>
    <w:rsid w:val="00C41F07"/>
    <w:rsid w:val="00C42278"/>
    <w:rsid w:val="00C42626"/>
    <w:rsid w:val="00C42F19"/>
    <w:rsid w:val="00C42FDD"/>
    <w:rsid w:val="00C435EF"/>
    <w:rsid w:val="00C43695"/>
    <w:rsid w:val="00C4371F"/>
    <w:rsid w:val="00C43786"/>
    <w:rsid w:val="00C43D97"/>
    <w:rsid w:val="00C43F8B"/>
    <w:rsid w:val="00C44620"/>
    <w:rsid w:val="00C44624"/>
    <w:rsid w:val="00C4483B"/>
    <w:rsid w:val="00C44C0E"/>
    <w:rsid w:val="00C44C83"/>
    <w:rsid w:val="00C44E2A"/>
    <w:rsid w:val="00C44F0F"/>
    <w:rsid w:val="00C452AA"/>
    <w:rsid w:val="00C453E4"/>
    <w:rsid w:val="00C458B7"/>
    <w:rsid w:val="00C45975"/>
    <w:rsid w:val="00C45BE8"/>
    <w:rsid w:val="00C45BFE"/>
    <w:rsid w:val="00C45D04"/>
    <w:rsid w:val="00C462E3"/>
    <w:rsid w:val="00C463B1"/>
    <w:rsid w:val="00C4664E"/>
    <w:rsid w:val="00C46815"/>
    <w:rsid w:val="00C46A98"/>
    <w:rsid w:val="00C46E81"/>
    <w:rsid w:val="00C46FC5"/>
    <w:rsid w:val="00C46FFA"/>
    <w:rsid w:val="00C47273"/>
    <w:rsid w:val="00C47507"/>
    <w:rsid w:val="00C47642"/>
    <w:rsid w:val="00C4795B"/>
    <w:rsid w:val="00C47D53"/>
    <w:rsid w:val="00C47DEA"/>
    <w:rsid w:val="00C50066"/>
    <w:rsid w:val="00C5012B"/>
    <w:rsid w:val="00C5014C"/>
    <w:rsid w:val="00C50702"/>
    <w:rsid w:val="00C50AAE"/>
    <w:rsid w:val="00C50B2B"/>
    <w:rsid w:val="00C50C2A"/>
    <w:rsid w:val="00C50D42"/>
    <w:rsid w:val="00C50F80"/>
    <w:rsid w:val="00C50F83"/>
    <w:rsid w:val="00C5114B"/>
    <w:rsid w:val="00C51276"/>
    <w:rsid w:val="00C516F0"/>
    <w:rsid w:val="00C51703"/>
    <w:rsid w:val="00C518AD"/>
    <w:rsid w:val="00C51A2A"/>
    <w:rsid w:val="00C51A83"/>
    <w:rsid w:val="00C526CB"/>
    <w:rsid w:val="00C526DF"/>
    <w:rsid w:val="00C52808"/>
    <w:rsid w:val="00C52862"/>
    <w:rsid w:val="00C52A60"/>
    <w:rsid w:val="00C53137"/>
    <w:rsid w:val="00C532AE"/>
    <w:rsid w:val="00C53562"/>
    <w:rsid w:val="00C535AA"/>
    <w:rsid w:val="00C535B9"/>
    <w:rsid w:val="00C53642"/>
    <w:rsid w:val="00C53822"/>
    <w:rsid w:val="00C53B08"/>
    <w:rsid w:val="00C53B43"/>
    <w:rsid w:val="00C53B7C"/>
    <w:rsid w:val="00C53B88"/>
    <w:rsid w:val="00C53C76"/>
    <w:rsid w:val="00C53DF9"/>
    <w:rsid w:val="00C5416A"/>
    <w:rsid w:val="00C5442D"/>
    <w:rsid w:val="00C54608"/>
    <w:rsid w:val="00C54C35"/>
    <w:rsid w:val="00C54EA8"/>
    <w:rsid w:val="00C54EF0"/>
    <w:rsid w:val="00C550E4"/>
    <w:rsid w:val="00C5512E"/>
    <w:rsid w:val="00C55215"/>
    <w:rsid w:val="00C5538D"/>
    <w:rsid w:val="00C55863"/>
    <w:rsid w:val="00C558E1"/>
    <w:rsid w:val="00C55A79"/>
    <w:rsid w:val="00C55B66"/>
    <w:rsid w:val="00C55B9E"/>
    <w:rsid w:val="00C55E55"/>
    <w:rsid w:val="00C5628E"/>
    <w:rsid w:val="00C56342"/>
    <w:rsid w:val="00C56853"/>
    <w:rsid w:val="00C56D29"/>
    <w:rsid w:val="00C56D4D"/>
    <w:rsid w:val="00C57013"/>
    <w:rsid w:val="00C57381"/>
    <w:rsid w:val="00C573FC"/>
    <w:rsid w:val="00C57669"/>
    <w:rsid w:val="00C57B43"/>
    <w:rsid w:val="00C57E2D"/>
    <w:rsid w:val="00C57E60"/>
    <w:rsid w:val="00C57F3B"/>
    <w:rsid w:val="00C60175"/>
    <w:rsid w:val="00C601B0"/>
    <w:rsid w:val="00C602E9"/>
    <w:rsid w:val="00C60461"/>
    <w:rsid w:val="00C6076F"/>
    <w:rsid w:val="00C6080C"/>
    <w:rsid w:val="00C60BE2"/>
    <w:rsid w:val="00C60D57"/>
    <w:rsid w:val="00C611DA"/>
    <w:rsid w:val="00C61336"/>
    <w:rsid w:val="00C614CC"/>
    <w:rsid w:val="00C61696"/>
    <w:rsid w:val="00C6182F"/>
    <w:rsid w:val="00C618D2"/>
    <w:rsid w:val="00C61990"/>
    <w:rsid w:val="00C619BE"/>
    <w:rsid w:val="00C61AAC"/>
    <w:rsid w:val="00C61B6E"/>
    <w:rsid w:val="00C61E2B"/>
    <w:rsid w:val="00C61E89"/>
    <w:rsid w:val="00C61EC6"/>
    <w:rsid w:val="00C621EA"/>
    <w:rsid w:val="00C62AEC"/>
    <w:rsid w:val="00C633E1"/>
    <w:rsid w:val="00C63467"/>
    <w:rsid w:val="00C63627"/>
    <w:rsid w:val="00C6375E"/>
    <w:rsid w:val="00C637E6"/>
    <w:rsid w:val="00C6394B"/>
    <w:rsid w:val="00C63986"/>
    <w:rsid w:val="00C63C37"/>
    <w:rsid w:val="00C63D36"/>
    <w:rsid w:val="00C6411D"/>
    <w:rsid w:val="00C64714"/>
    <w:rsid w:val="00C64AF2"/>
    <w:rsid w:val="00C65120"/>
    <w:rsid w:val="00C6551C"/>
    <w:rsid w:val="00C65636"/>
    <w:rsid w:val="00C6581A"/>
    <w:rsid w:val="00C65897"/>
    <w:rsid w:val="00C65A07"/>
    <w:rsid w:val="00C65EB4"/>
    <w:rsid w:val="00C663D8"/>
    <w:rsid w:val="00C6684D"/>
    <w:rsid w:val="00C668C2"/>
    <w:rsid w:val="00C66C4A"/>
    <w:rsid w:val="00C66C72"/>
    <w:rsid w:val="00C67122"/>
    <w:rsid w:val="00C67134"/>
    <w:rsid w:val="00C67237"/>
    <w:rsid w:val="00C6738B"/>
    <w:rsid w:val="00C67801"/>
    <w:rsid w:val="00C67A73"/>
    <w:rsid w:val="00C67CF8"/>
    <w:rsid w:val="00C67D01"/>
    <w:rsid w:val="00C67DAC"/>
    <w:rsid w:val="00C704C2"/>
    <w:rsid w:val="00C704E6"/>
    <w:rsid w:val="00C7058F"/>
    <w:rsid w:val="00C70678"/>
    <w:rsid w:val="00C707E9"/>
    <w:rsid w:val="00C70A1A"/>
    <w:rsid w:val="00C70A69"/>
    <w:rsid w:val="00C70CFA"/>
    <w:rsid w:val="00C715F9"/>
    <w:rsid w:val="00C71955"/>
    <w:rsid w:val="00C71BCB"/>
    <w:rsid w:val="00C71D30"/>
    <w:rsid w:val="00C71DE6"/>
    <w:rsid w:val="00C71E4E"/>
    <w:rsid w:val="00C72034"/>
    <w:rsid w:val="00C72516"/>
    <w:rsid w:val="00C72797"/>
    <w:rsid w:val="00C727C0"/>
    <w:rsid w:val="00C7291D"/>
    <w:rsid w:val="00C72A11"/>
    <w:rsid w:val="00C73412"/>
    <w:rsid w:val="00C737DB"/>
    <w:rsid w:val="00C737F0"/>
    <w:rsid w:val="00C739F5"/>
    <w:rsid w:val="00C73B01"/>
    <w:rsid w:val="00C73C86"/>
    <w:rsid w:val="00C73E11"/>
    <w:rsid w:val="00C74479"/>
    <w:rsid w:val="00C7448A"/>
    <w:rsid w:val="00C74564"/>
    <w:rsid w:val="00C74670"/>
    <w:rsid w:val="00C74B8F"/>
    <w:rsid w:val="00C75042"/>
    <w:rsid w:val="00C751AB"/>
    <w:rsid w:val="00C7558C"/>
    <w:rsid w:val="00C75AF0"/>
    <w:rsid w:val="00C75D49"/>
    <w:rsid w:val="00C75F2B"/>
    <w:rsid w:val="00C76074"/>
    <w:rsid w:val="00C76172"/>
    <w:rsid w:val="00C76476"/>
    <w:rsid w:val="00C76481"/>
    <w:rsid w:val="00C764EE"/>
    <w:rsid w:val="00C767E2"/>
    <w:rsid w:val="00C768A2"/>
    <w:rsid w:val="00C77043"/>
    <w:rsid w:val="00C773F3"/>
    <w:rsid w:val="00C7762B"/>
    <w:rsid w:val="00C77A7A"/>
    <w:rsid w:val="00C77B97"/>
    <w:rsid w:val="00C77DA5"/>
    <w:rsid w:val="00C77F5D"/>
    <w:rsid w:val="00C8009B"/>
    <w:rsid w:val="00C8090D"/>
    <w:rsid w:val="00C80947"/>
    <w:rsid w:val="00C8125F"/>
    <w:rsid w:val="00C81603"/>
    <w:rsid w:val="00C8183F"/>
    <w:rsid w:val="00C81954"/>
    <w:rsid w:val="00C81CE7"/>
    <w:rsid w:val="00C81F30"/>
    <w:rsid w:val="00C823EA"/>
    <w:rsid w:val="00C823EC"/>
    <w:rsid w:val="00C825C7"/>
    <w:rsid w:val="00C82617"/>
    <w:rsid w:val="00C828B8"/>
    <w:rsid w:val="00C82A4A"/>
    <w:rsid w:val="00C82AF4"/>
    <w:rsid w:val="00C82C32"/>
    <w:rsid w:val="00C82C7C"/>
    <w:rsid w:val="00C82DB5"/>
    <w:rsid w:val="00C8302C"/>
    <w:rsid w:val="00C83168"/>
    <w:rsid w:val="00C831EB"/>
    <w:rsid w:val="00C8352A"/>
    <w:rsid w:val="00C836F0"/>
    <w:rsid w:val="00C8386F"/>
    <w:rsid w:val="00C83B36"/>
    <w:rsid w:val="00C83B3F"/>
    <w:rsid w:val="00C83EEA"/>
    <w:rsid w:val="00C840BD"/>
    <w:rsid w:val="00C84219"/>
    <w:rsid w:val="00C84360"/>
    <w:rsid w:val="00C846A2"/>
    <w:rsid w:val="00C846CA"/>
    <w:rsid w:val="00C84797"/>
    <w:rsid w:val="00C84899"/>
    <w:rsid w:val="00C849F7"/>
    <w:rsid w:val="00C84FC4"/>
    <w:rsid w:val="00C85057"/>
    <w:rsid w:val="00C857B2"/>
    <w:rsid w:val="00C85C9A"/>
    <w:rsid w:val="00C85F61"/>
    <w:rsid w:val="00C85F75"/>
    <w:rsid w:val="00C861EE"/>
    <w:rsid w:val="00C86203"/>
    <w:rsid w:val="00C864A2"/>
    <w:rsid w:val="00C86A9C"/>
    <w:rsid w:val="00C86BE6"/>
    <w:rsid w:val="00C86C49"/>
    <w:rsid w:val="00C8714E"/>
    <w:rsid w:val="00C87163"/>
    <w:rsid w:val="00C87461"/>
    <w:rsid w:val="00C874B9"/>
    <w:rsid w:val="00C877D1"/>
    <w:rsid w:val="00C878E8"/>
    <w:rsid w:val="00C87975"/>
    <w:rsid w:val="00C87B20"/>
    <w:rsid w:val="00C87EC0"/>
    <w:rsid w:val="00C904A6"/>
    <w:rsid w:val="00C9077F"/>
    <w:rsid w:val="00C90797"/>
    <w:rsid w:val="00C908F2"/>
    <w:rsid w:val="00C90B2A"/>
    <w:rsid w:val="00C90D08"/>
    <w:rsid w:val="00C90E6F"/>
    <w:rsid w:val="00C910DC"/>
    <w:rsid w:val="00C91198"/>
    <w:rsid w:val="00C91401"/>
    <w:rsid w:val="00C9140E"/>
    <w:rsid w:val="00C91550"/>
    <w:rsid w:val="00C91847"/>
    <w:rsid w:val="00C91C87"/>
    <w:rsid w:val="00C91CA9"/>
    <w:rsid w:val="00C92022"/>
    <w:rsid w:val="00C92033"/>
    <w:rsid w:val="00C92440"/>
    <w:rsid w:val="00C9251F"/>
    <w:rsid w:val="00C92620"/>
    <w:rsid w:val="00C92764"/>
    <w:rsid w:val="00C927C5"/>
    <w:rsid w:val="00C92BA7"/>
    <w:rsid w:val="00C92C5B"/>
    <w:rsid w:val="00C92D6D"/>
    <w:rsid w:val="00C92FE6"/>
    <w:rsid w:val="00C93B7C"/>
    <w:rsid w:val="00C93CAE"/>
    <w:rsid w:val="00C9421A"/>
    <w:rsid w:val="00C94246"/>
    <w:rsid w:val="00C94273"/>
    <w:rsid w:val="00C95076"/>
    <w:rsid w:val="00C95136"/>
    <w:rsid w:val="00C951FA"/>
    <w:rsid w:val="00C9546F"/>
    <w:rsid w:val="00C95527"/>
    <w:rsid w:val="00C958F6"/>
    <w:rsid w:val="00C95A71"/>
    <w:rsid w:val="00C95C60"/>
    <w:rsid w:val="00C95F0E"/>
    <w:rsid w:val="00C95F4E"/>
    <w:rsid w:val="00C95F9E"/>
    <w:rsid w:val="00C96014"/>
    <w:rsid w:val="00C9607A"/>
    <w:rsid w:val="00C9620A"/>
    <w:rsid w:val="00C96248"/>
    <w:rsid w:val="00C9633A"/>
    <w:rsid w:val="00C96365"/>
    <w:rsid w:val="00C96429"/>
    <w:rsid w:val="00C9642C"/>
    <w:rsid w:val="00C96657"/>
    <w:rsid w:val="00C96663"/>
    <w:rsid w:val="00C9699C"/>
    <w:rsid w:val="00C96C02"/>
    <w:rsid w:val="00C96DA2"/>
    <w:rsid w:val="00C97077"/>
    <w:rsid w:val="00C9764E"/>
    <w:rsid w:val="00C97742"/>
    <w:rsid w:val="00C97898"/>
    <w:rsid w:val="00CA0669"/>
    <w:rsid w:val="00CA0888"/>
    <w:rsid w:val="00CA0A88"/>
    <w:rsid w:val="00CA0A9D"/>
    <w:rsid w:val="00CA0DD7"/>
    <w:rsid w:val="00CA0DE9"/>
    <w:rsid w:val="00CA0E87"/>
    <w:rsid w:val="00CA0E9C"/>
    <w:rsid w:val="00CA0FBA"/>
    <w:rsid w:val="00CA1104"/>
    <w:rsid w:val="00CA114C"/>
    <w:rsid w:val="00CA1361"/>
    <w:rsid w:val="00CA1662"/>
    <w:rsid w:val="00CA1764"/>
    <w:rsid w:val="00CA1FEB"/>
    <w:rsid w:val="00CA20A0"/>
    <w:rsid w:val="00CA20D1"/>
    <w:rsid w:val="00CA2151"/>
    <w:rsid w:val="00CA234C"/>
    <w:rsid w:val="00CA2361"/>
    <w:rsid w:val="00CA2AEC"/>
    <w:rsid w:val="00CA2F0A"/>
    <w:rsid w:val="00CA3345"/>
    <w:rsid w:val="00CA368D"/>
    <w:rsid w:val="00CA36D6"/>
    <w:rsid w:val="00CA39EE"/>
    <w:rsid w:val="00CA3D22"/>
    <w:rsid w:val="00CA3D60"/>
    <w:rsid w:val="00CA4072"/>
    <w:rsid w:val="00CA40D8"/>
    <w:rsid w:val="00CA43AE"/>
    <w:rsid w:val="00CA4459"/>
    <w:rsid w:val="00CA461C"/>
    <w:rsid w:val="00CA47E3"/>
    <w:rsid w:val="00CA4B57"/>
    <w:rsid w:val="00CA4B96"/>
    <w:rsid w:val="00CA5223"/>
    <w:rsid w:val="00CA542B"/>
    <w:rsid w:val="00CA5803"/>
    <w:rsid w:val="00CA5926"/>
    <w:rsid w:val="00CA597F"/>
    <w:rsid w:val="00CA5B64"/>
    <w:rsid w:val="00CA5D14"/>
    <w:rsid w:val="00CA5F97"/>
    <w:rsid w:val="00CA6059"/>
    <w:rsid w:val="00CA60DC"/>
    <w:rsid w:val="00CA62ED"/>
    <w:rsid w:val="00CA658C"/>
    <w:rsid w:val="00CA696A"/>
    <w:rsid w:val="00CA6994"/>
    <w:rsid w:val="00CA6C28"/>
    <w:rsid w:val="00CA7206"/>
    <w:rsid w:val="00CA77AF"/>
    <w:rsid w:val="00CA77E6"/>
    <w:rsid w:val="00CA78EB"/>
    <w:rsid w:val="00CA7D59"/>
    <w:rsid w:val="00CA7E23"/>
    <w:rsid w:val="00CB014C"/>
    <w:rsid w:val="00CB0261"/>
    <w:rsid w:val="00CB0302"/>
    <w:rsid w:val="00CB04AA"/>
    <w:rsid w:val="00CB09D3"/>
    <w:rsid w:val="00CB0AD5"/>
    <w:rsid w:val="00CB0B3E"/>
    <w:rsid w:val="00CB0D33"/>
    <w:rsid w:val="00CB0FD4"/>
    <w:rsid w:val="00CB17DC"/>
    <w:rsid w:val="00CB18A3"/>
    <w:rsid w:val="00CB19B3"/>
    <w:rsid w:val="00CB1AB8"/>
    <w:rsid w:val="00CB1AEC"/>
    <w:rsid w:val="00CB1D9A"/>
    <w:rsid w:val="00CB21DF"/>
    <w:rsid w:val="00CB2272"/>
    <w:rsid w:val="00CB2456"/>
    <w:rsid w:val="00CB25B0"/>
    <w:rsid w:val="00CB2B40"/>
    <w:rsid w:val="00CB2C23"/>
    <w:rsid w:val="00CB2CD3"/>
    <w:rsid w:val="00CB33ED"/>
    <w:rsid w:val="00CB347F"/>
    <w:rsid w:val="00CB361F"/>
    <w:rsid w:val="00CB37BD"/>
    <w:rsid w:val="00CB3A97"/>
    <w:rsid w:val="00CB3CB0"/>
    <w:rsid w:val="00CB3DE7"/>
    <w:rsid w:val="00CB3E54"/>
    <w:rsid w:val="00CB3F0A"/>
    <w:rsid w:val="00CB4517"/>
    <w:rsid w:val="00CB453A"/>
    <w:rsid w:val="00CB4542"/>
    <w:rsid w:val="00CB491B"/>
    <w:rsid w:val="00CB4932"/>
    <w:rsid w:val="00CB49E4"/>
    <w:rsid w:val="00CB4BE5"/>
    <w:rsid w:val="00CB4DCD"/>
    <w:rsid w:val="00CB4E70"/>
    <w:rsid w:val="00CB4F43"/>
    <w:rsid w:val="00CB56A8"/>
    <w:rsid w:val="00CB5B77"/>
    <w:rsid w:val="00CB5BD6"/>
    <w:rsid w:val="00CB5E9E"/>
    <w:rsid w:val="00CB65BA"/>
    <w:rsid w:val="00CB6787"/>
    <w:rsid w:val="00CB6857"/>
    <w:rsid w:val="00CB6CFF"/>
    <w:rsid w:val="00CB6EDD"/>
    <w:rsid w:val="00CB7286"/>
    <w:rsid w:val="00CB75D8"/>
    <w:rsid w:val="00CB7679"/>
    <w:rsid w:val="00CB7A0B"/>
    <w:rsid w:val="00CB7A37"/>
    <w:rsid w:val="00CB7DB8"/>
    <w:rsid w:val="00CC0157"/>
    <w:rsid w:val="00CC0198"/>
    <w:rsid w:val="00CC0219"/>
    <w:rsid w:val="00CC04D4"/>
    <w:rsid w:val="00CC07DC"/>
    <w:rsid w:val="00CC0BA0"/>
    <w:rsid w:val="00CC0CDA"/>
    <w:rsid w:val="00CC0F99"/>
    <w:rsid w:val="00CC1360"/>
    <w:rsid w:val="00CC14E6"/>
    <w:rsid w:val="00CC15AF"/>
    <w:rsid w:val="00CC1814"/>
    <w:rsid w:val="00CC18DB"/>
    <w:rsid w:val="00CC1BBC"/>
    <w:rsid w:val="00CC1CC7"/>
    <w:rsid w:val="00CC2AD4"/>
    <w:rsid w:val="00CC2B04"/>
    <w:rsid w:val="00CC2C08"/>
    <w:rsid w:val="00CC2D65"/>
    <w:rsid w:val="00CC2E4E"/>
    <w:rsid w:val="00CC3013"/>
    <w:rsid w:val="00CC3298"/>
    <w:rsid w:val="00CC35AB"/>
    <w:rsid w:val="00CC3969"/>
    <w:rsid w:val="00CC3AB8"/>
    <w:rsid w:val="00CC3C5B"/>
    <w:rsid w:val="00CC3DBC"/>
    <w:rsid w:val="00CC3E35"/>
    <w:rsid w:val="00CC3E96"/>
    <w:rsid w:val="00CC3EAA"/>
    <w:rsid w:val="00CC3F98"/>
    <w:rsid w:val="00CC4404"/>
    <w:rsid w:val="00CC478B"/>
    <w:rsid w:val="00CC484F"/>
    <w:rsid w:val="00CC4885"/>
    <w:rsid w:val="00CC48C1"/>
    <w:rsid w:val="00CC4917"/>
    <w:rsid w:val="00CC4A7A"/>
    <w:rsid w:val="00CC4F37"/>
    <w:rsid w:val="00CC513E"/>
    <w:rsid w:val="00CC530E"/>
    <w:rsid w:val="00CC580C"/>
    <w:rsid w:val="00CC586C"/>
    <w:rsid w:val="00CC598E"/>
    <w:rsid w:val="00CC5BD6"/>
    <w:rsid w:val="00CC5C43"/>
    <w:rsid w:val="00CC5C72"/>
    <w:rsid w:val="00CC6125"/>
    <w:rsid w:val="00CC615B"/>
    <w:rsid w:val="00CC619C"/>
    <w:rsid w:val="00CC639A"/>
    <w:rsid w:val="00CC6BEF"/>
    <w:rsid w:val="00CC6BF5"/>
    <w:rsid w:val="00CC6DDB"/>
    <w:rsid w:val="00CC7902"/>
    <w:rsid w:val="00CC7A63"/>
    <w:rsid w:val="00CC7B77"/>
    <w:rsid w:val="00CC7C6D"/>
    <w:rsid w:val="00CC7E6B"/>
    <w:rsid w:val="00CD0040"/>
    <w:rsid w:val="00CD034A"/>
    <w:rsid w:val="00CD0606"/>
    <w:rsid w:val="00CD06A4"/>
    <w:rsid w:val="00CD075F"/>
    <w:rsid w:val="00CD0A88"/>
    <w:rsid w:val="00CD0BF7"/>
    <w:rsid w:val="00CD0C86"/>
    <w:rsid w:val="00CD10AB"/>
    <w:rsid w:val="00CD1218"/>
    <w:rsid w:val="00CD1485"/>
    <w:rsid w:val="00CD1564"/>
    <w:rsid w:val="00CD1617"/>
    <w:rsid w:val="00CD18FF"/>
    <w:rsid w:val="00CD1C33"/>
    <w:rsid w:val="00CD2182"/>
    <w:rsid w:val="00CD238A"/>
    <w:rsid w:val="00CD2AED"/>
    <w:rsid w:val="00CD2E29"/>
    <w:rsid w:val="00CD2F7C"/>
    <w:rsid w:val="00CD32DC"/>
    <w:rsid w:val="00CD364F"/>
    <w:rsid w:val="00CD375A"/>
    <w:rsid w:val="00CD3A99"/>
    <w:rsid w:val="00CD4005"/>
    <w:rsid w:val="00CD4017"/>
    <w:rsid w:val="00CD43E6"/>
    <w:rsid w:val="00CD43FF"/>
    <w:rsid w:val="00CD4424"/>
    <w:rsid w:val="00CD48C2"/>
    <w:rsid w:val="00CD499B"/>
    <w:rsid w:val="00CD4B48"/>
    <w:rsid w:val="00CD4BA7"/>
    <w:rsid w:val="00CD574A"/>
    <w:rsid w:val="00CD5ADE"/>
    <w:rsid w:val="00CD60AB"/>
    <w:rsid w:val="00CD60FC"/>
    <w:rsid w:val="00CD6123"/>
    <w:rsid w:val="00CD6361"/>
    <w:rsid w:val="00CD63B3"/>
    <w:rsid w:val="00CD63E7"/>
    <w:rsid w:val="00CD688E"/>
    <w:rsid w:val="00CD6A61"/>
    <w:rsid w:val="00CD6FAB"/>
    <w:rsid w:val="00CD71F1"/>
    <w:rsid w:val="00CD72D6"/>
    <w:rsid w:val="00CD751D"/>
    <w:rsid w:val="00CD7E1E"/>
    <w:rsid w:val="00CE008D"/>
    <w:rsid w:val="00CE026D"/>
    <w:rsid w:val="00CE04A5"/>
    <w:rsid w:val="00CE05EF"/>
    <w:rsid w:val="00CE09BE"/>
    <w:rsid w:val="00CE09D4"/>
    <w:rsid w:val="00CE0D27"/>
    <w:rsid w:val="00CE0F12"/>
    <w:rsid w:val="00CE112E"/>
    <w:rsid w:val="00CE11F8"/>
    <w:rsid w:val="00CE1210"/>
    <w:rsid w:val="00CE1227"/>
    <w:rsid w:val="00CE1514"/>
    <w:rsid w:val="00CE1642"/>
    <w:rsid w:val="00CE1BCC"/>
    <w:rsid w:val="00CE1EF3"/>
    <w:rsid w:val="00CE1F6D"/>
    <w:rsid w:val="00CE2318"/>
    <w:rsid w:val="00CE2B40"/>
    <w:rsid w:val="00CE2E8A"/>
    <w:rsid w:val="00CE2ECE"/>
    <w:rsid w:val="00CE300A"/>
    <w:rsid w:val="00CE3500"/>
    <w:rsid w:val="00CE37FE"/>
    <w:rsid w:val="00CE398C"/>
    <w:rsid w:val="00CE3A11"/>
    <w:rsid w:val="00CE3A4F"/>
    <w:rsid w:val="00CE3DEB"/>
    <w:rsid w:val="00CE3E70"/>
    <w:rsid w:val="00CE4174"/>
    <w:rsid w:val="00CE495D"/>
    <w:rsid w:val="00CE4963"/>
    <w:rsid w:val="00CE4D9C"/>
    <w:rsid w:val="00CE4EED"/>
    <w:rsid w:val="00CE4FC6"/>
    <w:rsid w:val="00CE508E"/>
    <w:rsid w:val="00CE5361"/>
    <w:rsid w:val="00CE5374"/>
    <w:rsid w:val="00CE5D3A"/>
    <w:rsid w:val="00CE61B2"/>
    <w:rsid w:val="00CE689D"/>
    <w:rsid w:val="00CE68C4"/>
    <w:rsid w:val="00CE6C2C"/>
    <w:rsid w:val="00CE6D29"/>
    <w:rsid w:val="00CE6F3C"/>
    <w:rsid w:val="00CE703F"/>
    <w:rsid w:val="00CE71EB"/>
    <w:rsid w:val="00CE7390"/>
    <w:rsid w:val="00CE7428"/>
    <w:rsid w:val="00CE74F5"/>
    <w:rsid w:val="00CE7523"/>
    <w:rsid w:val="00CE7559"/>
    <w:rsid w:val="00CE7586"/>
    <w:rsid w:val="00CE795B"/>
    <w:rsid w:val="00CE7B06"/>
    <w:rsid w:val="00CE7D48"/>
    <w:rsid w:val="00CE7E7A"/>
    <w:rsid w:val="00CF0269"/>
    <w:rsid w:val="00CF040D"/>
    <w:rsid w:val="00CF048D"/>
    <w:rsid w:val="00CF0DBD"/>
    <w:rsid w:val="00CF0E1A"/>
    <w:rsid w:val="00CF0E2A"/>
    <w:rsid w:val="00CF108C"/>
    <w:rsid w:val="00CF116D"/>
    <w:rsid w:val="00CF11A4"/>
    <w:rsid w:val="00CF12CF"/>
    <w:rsid w:val="00CF1581"/>
    <w:rsid w:val="00CF16E6"/>
    <w:rsid w:val="00CF193C"/>
    <w:rsid w:val="00CF1BED"/>
    <w:rsid w:val="00CF1DB6"/>
    <w:rsid w:val="00CF1E84"/>
    <w:rsid w:val="00CF27BB"/>
    <w:rsid w:val="00CF28F5"/>
    <w:rsid w:val="00CF32C2"/>
    <w:rsid w:val="00CF37D3"/>
    <w:rsid w:val="00CF3897"/>
    <w:rsid w:val="00CF3A99"/>
    <w:rsid w:val="00CF3B19"/>
    <w:rsid w:val="00CF3C5E"/>
    <w:rsid w:val="00CF3CA0"/>
    <w:rsid w:val="00CF3CAA"/>
    <w:rsid w:val="00CF40F7"/>
    <w:rsid w:val="00CF4219"/>
    <w:rsid w:val="00CF45AE"/>
    <w:rsid w:val="00CF4613"/>
    <w:rsid w:val="00CF47D3"/>
    <w:rsid w:val="00CF47E0"/>
    <w:rsid w:val="00CF49F3"/>
    <w:rsid w:val="00CF4D51"/>
    <w:rsid w:val="00CF4D95"/>
    <w:rsid w:val="00CF51C1"/>
    <w:rsid w:val="00CF5257"/>
    <w:rsid w:val="00CF55E2"/>
    <w:rsid w:val="00CF5BF6"/>
    <w:rsid w:val="00CF5E3A"/>
    <w:rsid w:val="00CF5E62"/>
    <w:rsid w:val="00CF64C0"/>
    <w:rsid w:val="00CF66D3"/>
    <w:rsid w:val="00CF6FF7"/>
    <w:rsid w:val="00CF76B3"/>
    <w:rsid w:val="00CF7D74"/>
    <w:rsid w:val="00D00377"/>
    <w:rsid w:val="00D00769"/>
    <w:rsid w:val="00D0086E"/>
    <w:rsid w:val="00D008B0"/>
    <w:rsid w:val="00D009E2"/>
    <w:rsid w:val="00D00C1E"/>
    <w:rsid w:val="00D01544"/>
    <w:rsid w:val="00D01A5B"/>
    <w:rsid w:val="00D01C61"/>
    <w:rsid w:val="00D01D57"/>
    <w:rsid w:val="00D01F3C"/>
    <w:rsid w:val="00D02004"/>
    <w:rsid w:val="00D0295E"/>
    <w:rsid w:val="00D02C36"/>
    <w:rsid w:val="00D02CA2"/>
    <w:rsid w:val="00D02DA6"/>
    <w:rsid w:val="00D02E0F"/>
    <w:rsid w:val="00D03057"/>
    <w:rsid w:val="00D030BC"/>
    <w:rsid w:val="00D036DE"/>
    <w:rsid w:val="00D03892"/>
    <w:rsid w:val="00D0398E"/>
    <w:rsid w:val="00D03A70"/>
    <w:rsid w:val="00D03DE7"/>
    <w:rsid w:val="00D03FCC"/>
    <w:rsid w:val="00D0433F"/>
    <w:rsid w:val="00D044C3"/>
    <w:rsid w:val="00D046F3"/>
    <w:rsid w:val="00D04A9B"/>
    <w:rsid w:val="00D04CC4"/>
    <w:rsid w:val="00D04D96"/>
    <w:rsid w:val="00D04DDB"/>
    <w:rsid w:val="00D052D9"/>
    <w:rsid w:val="00D053B9"/>
    <w:rsid w:val="00D0543C"/>
    <w:rsid w:val="00D054DF"/>
    <w:rsid w:val="00D05BC9"/>
    <w:rsid w:val="00D05C19"/>
    <w:rsid w:val="00D05E13"/>
    <w:rsid w:val="00D06087"/>
    <w:rsid w:val="00D06578"/>
    <w:rsid w:val="00D065E6"/>
    <w:rsid w:val="00D066DF"/>
    <w:rsid w:val="00D06727"/>
    <w:rsid w:val="00D06D34"/>
    <w:rsid w:val="00D072AE"/>
    <w:rsid w:val="00D073C7"/>
    <w:rsid w:val="00D07AEE"/>
    <w:rsid w:val="00D10409"/>
    <w:rsid w:val="00D1056F"/>
    <w:rsid w:val="00D10575"/>
    <w:rsid w:val="00D1088B"/>
    <w:rsid w:val="00D10891"/>
    <w:rsid w:val="00D10AC1"/>
    <w:rsid w:val="00D10AC8"/>
    <w:rsid w:val="00D10E68"/>
    <w:rsid w:val="00D1161D"/>
    <w:rsid w:val="00D11875"/>
    <w:rsid w:val="00D11A70"/>
    <w:rsid w:val="00D11D16"/>
    <w:rsid w:val="00D120DC"/>
    <w:rsid w:val="00D12277"/>
    <w:rsid w:val="00D12808"/>
    <w:rsid w:val="00D12874"/>
    <w:rsid w:val="00D128C0"/>
    <w:rsid w:val="00D12B6C"/>
    <w:rsid w:val="00D12D0A"/>
    <w:rsid w:val="00D12DEF"/>
    <w:rsid w:val="00D12F37"/>
    <w:rsid w:val="00D12F3A"/>
    <w:rsid w:val="00D13084"/>
    <w:rsid w:val="00D14044"/>
    <w:rsid w:val="00D14387"/>
    <w:rsid w:val="00D14726"/>
    <w:rsid w:val="00D148F4"/>
    <w:rsid w:val="00D14919"/>
    <w:rsid w:val="00D149E8"/>
    <w:rsid w:val="00D14F05"/>
    <w:rsid w:val="00D1521B"/>
    <w:rsid w:val="00D1599B"/>
    <w:rsid w:val="00D15DED"/>
    <w:rsid w:val="00D15E67"/>
    <w:rsid w:val="00D16083"/>
    <w:rsid w:val="00D160DE"/>
    <w:rsid w:val="00D166C5"/>
    <w:rsid w:val="00D16914"/>
    <w:rsid w:val="00D16B6C"/>
    <w:rsid w:val="00D16BCD"/>
    <w:rsid w:val="00D16CFE"/>
    <w:rsid w:val="00D1715D"/>
    <w:rsid w:val="00D172E4"/>
    <w:rsid w:val="00D179FD"/>
    <w:rsid w:val="00D17A95"/>
    <w:rsid w:val="00D17B43"/>
    <w:rsid w:val="00D2007E"/>
    <w:rsid w:val="00D204AE"/>
    <w:rsid w:val="00D20547"/>
    <w:rsid w:val="00D2061A"/>
    <w:rsid w:val="00D20807"/>
    <w:rsid w:val="00D20A7A"/>
    <w:rsid w:val="00D20D44"/>
    <w:rsid w:val="00D20D62"/>
    <w:rsid w:val="00D20D99"/>
    <w:rsid w:val="00D20F12"/>
    <w:rsid w:val="00D21139"/>
    <w:rsid w:val="00D213A4"/>
    <w:rsid w:val="00D214D0"/>
    <w:rsid w:val="00D218A7"/>
    <w:rsid w:val="00D21AEB"/>
    <w:rsid w:val="00D21B2B"/>
    <w:rsid w:val="00D21BD6"/>
    <w:rsid w:val="00D21C65"/>
    <w:rsid w:val="00D22373"/>
    <w:rsid w:val="00D224AB"/>
    <w:rsid w:val="00D22589"/>
    <w:rsid w:val="00D225CD"/>
    <w:rsid w:val="00D22603"/>
    <w:rsid w:val="00D22D74"/>
    <w:rsid w:val="00D22E34"/>
    <w:rsid w:val="00D22FE0"/>
    <w:rsid w:val="00D2333C"/>
    <w:rsid w:val="00D233CD"/>
    <w:rsid w:val="00D23567"/>
    <w:rsid w:val="00D236AE"/>
    <w:rsid w:val="00D2379B"/>
    <w:rsid w:val="00D23A7C"/>
    <w:rsid w:val="00D23CE4"/>
    <w:rsid w:val="00D23D82"/>
    <w:rsid w:val="00D244AA"/>
    <w:rsid w:val="00D244EB"/>
    <w:rsid w:val="00D24BD6"/>
    <w:rsid w:val="00D25105"/>
    <w:rsid w:val="00D253D9"/>
    <w:rsid w:val="00D253FD"/>
    <w:rsid w:val="00D25457"/>
    <w:rsid w:val="00D25972"/>
    <w:rsid w:val="00D25B81"/>
    <w:rsid w:val="00D25CBD"/>
    <w:rsid w:val="00D25CCB"/>
    <w:rsid w:val="00D25F12"/>
    <w:rsid w:val="00D26200"/>
    <w:rsid w:val="00D2655B"/>
    <w:rsid w:val="00D2665B"/>
    <w:rsid w:val="00D2669E"/>
    <w:rsid w:val="00D267A7"/>
    <w:rsid w:val="00D26C43"/>
    <w:rsid w:val="00D27571"/>
    <w:rsid w:val="00D27B71"/>
    <w:rsid w:val="00D27D11"/>
    <w:rsid w:val="00D27EAA"/>
    <w:rsid w:val="00D30275"/>
    <w:rsid w:val="00D303C6"/>
    <w:rsid w:val="00D303DC"/>
    <w:rsid w:val="00D304D5"/>
    <w:rsid w:val="00D305D8"/>
    <w:rsid w:val="00D3064B"/>
    <w:rsid w:val="00D30730"/>
    <w:rsid w:val="00D309E4"/>
    <w:rsid w:val="00D30CDE"/>
    <w:rsid w:val="00D30DFC"/>
    <w:rsid w:val="00D30E4C"/>
    <w:rsid w:val="00D30E9E"/>
    <w:rsid w:val="00D30F2C"/>
    <w:rsid w:val="00D31331"/>
    <w:rsid w:val="00D31696"/>
    <w:rsid w:val="00D3172B"/>
    <w:rsid w:val="00D31A54"/>
    <w:rsid w:val="00D31AD7"/>
    <w:rsid w:val="00D31B2A"/>
    <w:rsid w:val="00D31EC6"/>
    <w:rsid w:val="00D3215D"/>
    <w:rsid w:val="00D32160"/>
    <w:rsid w:val="00D32399"/>
    <w:rsid w:val="00D32809"/>
    <w:rsid w:val="00D32D2A"/>
    <w:rsid w:val="00D32E53"/>
    <w:rsid w:val="00D32EBE"/>
    <w:rsid w:val="00D32F3D"/>
    <w:rsid w:val="00D33050"/>
    <w:rsid w:val="00D330C7"/>
    <w:rsid w:val="00D3317D"/>
    <w:rsid w:val="00D33883"/>
    <w:rsid w:val="00D33D3D"/>
    <w:rsid w:val="00D33DE4"/>
    <w:rsid w:val="00D34144"/>
    <w:rsid w:val="00D34C4F"/>
    <w:rsid w:val="00D34D8D"/>
    <w:rsid w:val="00D34E2D"/>
    <w:rsid w:val="00D34E39"/>
    <w:rsid w:val="00D35A3D"/>
    <w:rsid w:val="00D35DB2"/>
    <w:rsid w:val="00D35DB7"/>
    <w:rsid w:val="00D35EF8"/>
    <w:rsid w:val="00D35F86"/>
    <w:rsid w:val="00D36749"/>
    <w:rsid w:val="00D36B9E"/>
    <w:rsid w:val="00D3725B"/>
    <w:rsid w:val="00D40098"/>
    <w:rsid w:val="00D400BB"/>
    <w:rsid w:val="00D40167"/>
    <w:rsid w:val="00D4066C"/>
    <w:rsid w:val="00D40AD1"/>
    <w:rsid w:val="00D40C40"/>
    <w:rsid w:val="00D41680"/>
    <w:rsid w:val="00D41714"/>
    <w:rsid w:val="00D4195D"/>
    <w:rsid w:val="00D4198A"/>
    <w:rsid w:val="00D41A01"/>
    <w:rsid w:val="00D41AA9"/>
    <w:rsid w:val="00D41BC1"/>
    <w:rsid w:val="00D41D36"/>
    <w:rsid w:val="00D42C88"/>
    <w:rsid w:val="00D4373D"/>
    <w:rsid w:val="00D438A7"/>
    <w:rsid w:val="00D43E29"/>
    <w:rsid w:val="00D43E8F"/>
    <w:rsid w:val="00D43EB2"/>
    <w:rsid w:val="00D442F1"/>
    <w:rsid w:val="00D443F9"/>
    <w:rsid w:val="00D444D7"/>
    <w:rsid w:val="00D44754"/>
    <w:rsid w:val="00D44775"/>
    <w:rsid w:val="00D449BE"/>
    <w:rsid w:val="00D44AB8"/>
    <w:rsid w:val="00D44B62"/>
    <w:rsid w:val="00D44D1D"/>
    <w:rsid w:val="00D44F5F"/>
    <w:rsid w:val="00D4506A"/>
    <w:rsid w:val="00D45338"/>
    <w:rsid w:val="00D45BA0"/>
    <w:rsid w:val="00D460FE"/>
    <w:rsid w:val="00D462BA"/>
    <w:rsid w:val="00D4667B"/>
    <w:rsid w:val="00D46714"/>
    <w:rsid w:val="00D46848"/>
    <w:rsid w:val="00D4694E"/>
    <w:rsid w:val="00D469E2"/>
    <w:rsid w:val="00D46CD3"/>
    <w:rsid w:val="00D470D4"/>
    <w:rsid w:val="00D4713C"/>
    <w:rsid w:val="00D4736F"/>
    <w:rsid w:val="00D473A3"/>
    <w:rsid w:val="00D47A30"/>
    <w:rsid w:val="00D47DB5"/>
    <w:rsid w:val="00D50138"/>
    <w:rsid w:val="00D502C3"/>
    <w:rsid w:val="00D503D3"/>
    <w:rsid w:val="00D507C8"/>
    <w:rsid w:val="00D50BBC"/>
    <w:rsid w:val="00D50BD9"/>
    <w:rsid w:val="00D50DBB"/>
    <w:rsid w:val="00D51501"/>
    <w:rsid w:val="00D51795"/>
    <w:rsid w:val="00D518C4"/>
    <w:rsid w:val="00D51C1E"/>
    <w:rsid w:val="00D51CC6"/>
    <w:rsid w:val="00D51DA2"/>
    <w:rsid w:val="00D52459"/>
    <w:rsid w:val="00D52527"/>
    <w:rsid w:val="00D52D3F"/>
    <w:rsid w:val="00D5304A"/>
    <w:rsid w:val="00D53856"/>
    <w:rsid w:val="00D53BE0"/>
    <w:rsid w:val="00D53E93"/>
    <w:rsid w:val="00D54187"/>
    <w:rsid w:val="00D541E4"/>
    <w:rsid w:val="00D54B67"/>
    <w:rsid w:val="00D54CEF"/>
    <w:rsid w:val="00D5546C"/>
    <w:rsid w:val="00D556EB"/>
    <w:rsid w:val="00D556ED"/>
    <w:rsid w:val="00D55A62"/>
    <w:rsid w:val="00D56379"/>
    <w:rsid w:val="00D56A72"/>
    <w:rsid w:val="00D56BE0"/>
    <w:rsid w:val="00D57C43"/>
    <w:rsid w:val="00D60091"/>
    <w:rsid w:val="00D60092"/>
    <w:rsid w:val="00D6016E"/>
    <w:rsid w:val="00D6020E"/>
    <w:rsid w:val="00D6030B"/>
    <w:rsid w:val="00D604B9"/>
    <w:rsid w:val="00D606A4"/>
    <w:rsid w:val="00D60C8D"/>
    <w:rsid w:val="00D60D0E"/>
    <w:rsid w:val="00D60E9E"/>
    <w:rsid w:val="00D611AF"/>
    <w:rsid w:val="00D611FB"/>
    <w:rsid w:val="00D6120B"/>
    <w:rsid w:val="00D612BF"/>
    <w:rsid w:val="00D61A6B"/>
    <w:rsid w:val="00D61B35"/>
    <w:rsid w:val="00D61BD9"/>
    <w:rsid w:val="00D61D5A"/>
    <w:rsid w:val="00D61D6D"/>
    <w:rsid w:val="00D6200E"/>
    <w:rsid w:val="00D625C4"/>
    <w:rsid w:val="00D6265C"/>
    <w:rsid w:val="00D627A7"/>
    <w:rsid w:val="00D62F04"/>
    <w:rsid w:val="00D63561"/>
    <w:rsid w:val="00D635E8"/>
    <w:rsid w:val="00D635FF"/>
    <w:rsid w:val="00D63ABC"/>
    <w:rsid w:val="00D63F88"/>
    <w:rsid w:val="00D64665"/>
    <w:rsid w:val="00D64757"/>
    <w:rsid w:val="00D648B6"/>
    <w:rsid w:val="00D65366"/>
    <w:rsid w:val="00D653CB"/>
    <w:rsid w:val="00D656DF"/>
    <w:rsid w:val="00D657E0"/>
    <w:rsid w:val="00D65BB1"/>
    <w:rsid w:val="00D65C0D"/>
    <w:rsid w:val="00D65E5B"/>
    <w:rsid w:val="00D65EEC"/>
    <w:rsid w:val="00D66664"/>
    <w:rsid w:val="00D6692A"/>
    <w:rsid w:val="00D66D1C"/>
    <w:rsid w:val="00D670C7"/>
    <w:rsid w:val="00D6735F"/>
    <w:rsid w:val="00D6748D"/>
    <w:rsid w:val="00D67A93"/>
    <w:rsid w:val="00D67D08"/>
    <w:rsid w:val="00D67F38"/>
    <w:rsid w:val="00D70090"/>
    <w:rsid w:val="00D700D9"/>
    <w:rsid w:val="00D70138"/>
    <w:rsid w:val="00D701F8"/>
    <w:rsid w:val="00D70272"/>
    <w:rsid w:val="00D70647"/>
    <w:rsid w:val="00D708A1"/>
    <w:rsid w:val="00D7097F"/>
    <w:rsid w:val="00D70A9C"/>
    <w:rsid w:val="00D70D42"/>
    <w:rsid w:val="00D70FBE"/>
    <w:rsid w:val="00D716DC"/>
    <w:rsid w:val="00D71A59"/>
    <w:rsid w:val="00D71B71"/>
    <w:rsid w:val="00D721ED"/>
    <w:rsid w:val="00D723D6"/>
    <w:rsid w:val="00D724CA"/>
    <w:rsid w:val="00D72560"/>
    <w:rsid w:val="00D7260E"/>
    <w:rsid w:val="00D72787"/>
    <w:rsid w:val="00D72809"/>
    <w:rsid w:val="00D729A3"/>
    <w:rsid w:val="00D731AF"/>
    <w:rsid w:val="00D73344"/>
    <w:rsid w:val="00D733FA"/>
    <w:rsid w:val="00D737C8"/>
    <w:rsid w:val="00D7385D"/>
    <w:rsid w:val="00D73A7C"/>
    <w:rsid w:val="00D73AAE"/>
    <w:rsid w:val="00D73C1C"/>
    <w:rsid w:val="00D7445E"/>
    <w:rsid w:val="00D746AC"/>
    <w:rsid w:val="00D7492A"/>
    <w:rsid w:val="00D749F3"/>
    <w:rsid w:val="00D74B5E"/>
    <w:rsid w:val="00D75118"/>
    <w:rsid w:val="00D753CD"/>
    <w:rsid w:val="00D75949"/>
    <w:rsid w:val="00D75A7A"/>
    <w:rsid w:val="00D75AD4"/>
    <w:rsid w:val="00D75D5C"/>
    <w:rsid w:val="00D75F45"/>
    <w:rsid w:val="00D75F70"/>
    <w:rsid w:val="00D761B5"/>
    <w:rsid w:val="00D76A75"/>
    <w:rsid w:val="00D76C55"/>
    <w:rsid w:val="00D76CA7"/>
    <w:rsid w:val="00D76DD0"/>
    <w:rsid w:val="00D76E6A"/>
    <w:rsid w:val="00D772A9"/>
    <w:rsid w:val="00D777B0"/>
    <w:rsid w:val="00D77A8B"/>
    <w:rsid w:val="00D77ACF"/>
    <w:rsid w:val="00D77AE7"/>
    <w:rsid w:val="00D77C0D"/>
    <w:rsid w:val="00D8010F"/>
    <w:rsid w:val="00D80184"/>
    <w:rsid w:val="00D804ED"/>
    <w:rsid w:val="00D80876"/>
    <w:rsid w:val="00D809F2"/>
    <w:rsid w:val="00D80A84"/>
    <w:rsid w:val="00D80CAF"/>
    <w:rsid w:val="00D80D81"/>
    <w:rsid w:val="00D8109C"/>
    <w:rsid w:val="00D814FC"/>
    <w:rsid w:val="00D81624"/>
    <w:rsid w:val="00D81831"/>
    <w:rsid w:val="00D8192B"/>
    <w:rsid w:val="00D819F5"/>
    <w:rsid w:val="00D82179"/>
    <w:rsid w:val="00D823BB"/>
    <w:rsid w:val="00D826D5"/>
    <w:rsid w:val="00D82A46"/>
    <w:rsid w:val="00D83358"/>
    <w:rsid w:val="00D8377E"/>
    <w:rsid w:val="00D83826"/>
    <w:rsid w:val="00D83DAC"/>
    <w:rsid w:val="00D83F09"/>
    <w:rsid w:val="00D840E3"/>
    <w:rsid w:val="00D841FB"/>
    <w:rsid w:val="00D84636"/>
    <w:rsid w:val="00D847EA"/>
    <w:rsid w:val="00D84B5D"/>
    <w:rsid w:val="00D850A0"/>
    <w:rsid w:val="00D851DD"/>
    <w:rsid w:val="00D851F1"/>
    <w:rsid w:val="00D851F8"/>
    <w:rsid w:val="00D85534"/>
    <w:rsid w:val="00D857E9"/>
    <w:rsid w:val="00D858D8"/>
    <w:rsid w:val="00D85E5E"/>
    <w:rsid w:val="00D85F9F"/>
    <w:rsid w:val="00D86070"/>
    <w:rsid w:val="00D8646A"/>
    <w:rsid w:val="00D8678B"/>
    <w:rsid w:val="00D86ADC"/>
    <w:rsid w:val="00D86D2B"/>
    <w:rsid w:val="00D86D4C"/>
    <w:rsid w:val="00D87391"/>
    <w:rsid w:val="00D8750E"/>
    <w:rsid w:val="00D87539"/>
    <w:rsid w:val="00D877E1"/>
    <w:rsid w:val="00D878D7"/>
    <w:rsid w:val="00D900B2"/>
    <w:rsid w:val="00D90283"/>
    <w:rsid w:val="00D90409"/>
    <w:rsid w:val="00D905A9"/>
    <w:rsid w:val="00D908D1"/>
    <w:rsid w:val="00D90BCC"/>
    <w:rsid w:val="00D911CF"/>
    <w:rsid w:val="00D91406"/>
    <w:rsid w:val="00D917BB"/>
    <w:rsid w:val="00D91BDA"/>
    <w:rsid w:val="00D91E70"/>
    <w:rsid w:val="00D9246B"/>
    <w:rsid w:val="00D92669"/>
    <w:rsid w:val="00D927DD"/>
    <w:rsid w:val="00D92AF2"/>
    <w:rsid w:val="00D92D7C"/>
    <w:rsid w:val="00D92F49"/>
    <w:rsid w:val="00D92F9C"/>
    <w:rsid w:val="00D932BB"/>
    <w:rsid w:val="00D934F0"/>
    <w:rsid w:val="00D93636"/>
    <w:rsid w:val="00D937E2"/>
    <w:rsid w:val="00D93E11"/>
    <w:rsid w:val="00D93E54"/>
    <w:rsid w:val="00D93F2F"/>
    <w:rsid w:val="00D93F7B"/>
    <w:rsid w:val="00D940BF"/>
    <w:rsid w:val="00D947DE"/>
    <w:rsid w:val="00D9480C"/>
    <w:rsid w:val="00D948E8"/>
    <w:rsid w:val="00D949FF"/>
    <w:rsid w:val="00D94A7E"/>
    <w:rsid w:val="00D95180"/>
    <w:rsid w:val="00D95435"/>
    <w:rsid w:val="00D955F0"/>
    <w:rsid w:val="00D956E5"/>
    <w:rsid w:val="00D9590B"/>
    <w:rsid w:val="00D9590D"/>
    <w:rsid w:val="00D959E4"/>
    <w:rsid w:val="00D95A59"/>
    <w:rsid w:val="00D95C1F"/>
    <w:rsid w:val="00D95C96"/>
    <w:rsid w:val="00D95D46"/>
    <w:rsid w:val="00D95E63"/>
    <w:rsid w:val="00D96047"/>
    <w:rsid w:val="00D962B8"/>
    <w:rsid w:val="00D962FC"/>
    <w:rsid w:val="00D96832"/>
    <w:rsid w:val="00D96BF5"/>
    <w:rsid w:val="00D96D5A"/>
    <w:rsid w:val="00D96EA4"/>
    <w:rsid w:val="00D970B6"/>
    <w:rsid w:val="00D97241"/>
    <w:rsid w:val="00D97381"/>
    <w:rsid w:val="00D97413"/>
    <w:rsid w:val="00D974D7"/>
    <w:rsid w:val="00D975A2"/>
    <w:rsid w:val="00D97827"/>
    <w:rsid w:val="00D979CF"/>
    <w:rsid w:val="00D97A23"/>
    <w:rsid w:val="00D97B9C"/>
    <w:rsid w:val="00D97ED1"/>
    <w:rsid w:val="00DA003C"/>
    <w:rsid w:val="00DA02C5"/>
    <w:rsid w:val="00DA0436"/>
    <w:rsid w:val="00DA0466"/>
    <w:rsid w:val="00DA0498"/>
    <w:rsid w:val="00DA05AE"/>
    <w:rsid w:val="00DA0693"/>
    <w:rsid w:val="00DA072E"/>
    <w:rsid w:val="00DA0865"/>
    <w:rsid w:val="00DA0DAD"/>
    <w:rsid w:val="00DA106C"/>
    <w:rsid w:val="00DA133E"/>
    <w:rsid w:val="00DA179F"/>
    <w:rsid w:val="00DA1B34"/>
    <w:rsid w:val="00DA1D19"/>
    <w:rsid w:val="00DA1E42"/>
    <w:rsid w:val="00DA201C"/>
    <w:rsid w:val="00DA2461"/>
    <w:rsid w:val="00DA250D"/>
    <w:rsid w:val="00DA2602"/>
    <w:rsid w:val="00DA2639"/>
    <w:rsid w:val="00DA2731"/>
    <w:rsid w:val="00DA2FDB"/>
    <w:rsid w:val="00DA314C"/>
    <w:rsid w:val="00DA39A5"/>
    <w:rsid w:val="00DA3CE8"/>
    <w:rsid w:val="00DA3E78"/>
    <w:rsid w:val="00DA4113"/>
    <w:rsid w:val="00DA44A8"/>
    <w:rsid w:val="00DA4BE6"/>
    <w:rsid w:val="00DA4DF8"/>
    <w:rsid w:val="00DA580A"/>
    <w:rsid w:val="00DA5814"/>
    <w:rsid w:val="00DA5ACE"/>
    <w:rsid w:val="00DA6078"/>
    <w:rsid w:val="00DA6225"/>
    <w:rsid w:val="00DA6248"/>
    <w:rsid w:val="00DA6300"/>
    <w:rsid w:val="00DA66A4"/>
    <w:rsid w:val="00DA67E3"/>
    <w:rsid w:val="00DA6C15"/>
    <w:rsid w:val="00DA6DA7"/>
    <w:rsid w:val="00DA7455"/>
    <w:rsid w:val="00DA75B2"/>
    <w:rsid w:val="00DA7774"/>
    <w:rsid w:val="00DA7B10"/>
    <w:rsid w:val="00DB00BA"/>
    <w:rsid w:val="00DB028F"/>
    <w:rsid w:val="00DB03AD"/>
    <w:rsid w:val="00DB058B"/>
    <w:rsid w:val="00DB06F0"/>
    <w:rsid w:val="00DB0C36"/>
    <w:rsid w:val="00DB11BB"/>
    <w:rsid w:val="00DB1288"/>
    <w:rsid w:val="00DB1364"/>
    <w:rsid w:val="00DB1433"/>
    <w:rsid w:val="00DB14FA"/>
    <w:rsid w:val="00DB158C"/>
    <w:rsid w:val="00DB16B7"/>
    <w:rsid w:val="00DB18CC"/>
    <w:rsid w:val="00DB1B2C"/>
    <w:rsid w:val="00DB1E17"/>
    <w:rsid w:val="00DB1FC3"/>
    <w:rsid w:val="00DB2EBE"/>
    <w:rsid w:val="00DB3020"/>
    <w:rsid w:val="00DB399C"/>
    <w:rsid w:val="00DB3B9F"/>
    <w:rsid w:val="00DB3C56"/>
    <w:rsid w:val="00DB3C77"/>
    <w:rsid w:val="00DB3C87"/>
    <w:rsid w:val="00DB45C6"/>
    <w:rsid w:val="00DB4AE4"/>
    <w:rsid w:val="00DB4D5F"/>
    <w:rsid w:val="00DB4D8C"/>
    <w:rsid w:val="00DB4F08"/>
    <w:rsid w:val="00DB50CC"/>
    <w:rsid w:val="00DB5317"/>
    <w:rsid w:val="00DB5552"/>
    <w:rsid w:val="00DB58AA"/>
    <w:rsid w:val="00DB604C"/>
    <w:rsid w:val="00DB60CA"/>
    <w:rsid w:val="00DB664B"/>
    <w:rsid w:val="00DB678C"/>
    <w:rsid w:val="00DB69EA"/>
    <w:rsid w:val="00DB69F1"/>
    <w:rsid w:val="00DB7098"/>
    <w:rsid w:val="00DB714F"/>
    <w:rsid w:val="00DB7187"/>
    <w:rsid w:val="00DB7302"/>
    <w:rsid w:val="00DB7E15"/>
    <w:rsid w:val="00DB7E84"/>
    <w:rsid w:val="00DB7F69"/>
    <w:rsid w:val="00DC01A6"/>
    <w:rsid w:val="00DC0284"/>
    <w:rsid w:val="00DC043E"/>
    <w:rsid w:val="00DC05F2"/>
    <w:rsid w:val="00DC06AB"/>
    <w:rsid w:val="00DC0773"/>
    <w:rsid w:val="00DC083D"/>
    <w:rsid w:val="00DC08D2"/>
    <w:rsid w:val="00DC0D8E"/>
    <w:rsid w:val="00DC12C7"/>
    <w:rsid w:val="00DC1426"/>
    <w:rsid w:val="00DC1BCE"/>
    <w:rsid w:val="00DC1CC9"/>
    <w:rsid w:val="00DC1D6C"/>
    <w:rsid w:val="00DC1D97"/>
    <w:rsid w:val="00DC1FCC"/>
    <w:rsid w:val="00DC2140"/>
    <w:rsid w:val="00DC220C"/>
    <w:rsid w:val="00DC283B"/>
    <w:rsid w:val="00DC2C1C"/>
    <w:rsid w:val="00DC2F12"/>
    <w:rsid w:val="00DC2F64"/>
    <w:rsid w:val="00DC395B"/>
    <w:rsid w:val="00DC3B36"/>
    <w:rsid w:val="00DC3B9B"/>
    <w:rsid w:val="00DC3D4D"/>
    <w:rsid w:val="00DC3D7F"/>
    <w:rsid w:val="00DC3E1E"/>
    <w:rsid w:val="00DC3E62"/>
    <w:rsid w:val="00DC438C"/>
    <w:rsid w:val="00DC439F"/>
    <w:rsid w:val="00DC45A2"/>
    <w:rsid w:val="00DC460E"/>
    <w:rsid w:val="00DC490F"/>
    <w:rsid w:val="00DC4D4A"/>
    <w:rsid w:val="00DC4EEC"/>
    <w:rsid w:val="00DC4FE2"/>
    <w:rsid w:val="00DC5115"/>
    <w:rsid w:val="00DC51BD"/>
    <w:rsid w:val="00DC52F2"/>
    <w:rsid w:val="00DC5B96"/>
    <w:rsid w:val="00DC6024"/>
    <w:rsid w:val="00DC6340"/>
    <w:rsid w:val="00DC649A"/>
    <w:rsid w:val="00DC6B26"/>
    <w:rsid w:val="00DC6CEA"/>
    <w:rsid w:val="00DC73CD"/>
    <w:rsid w:val="00DC74AC"/>
    <w:rsid w:val="00DC74DD"/>
    <w:rsid w:val="00DC7A7D"/>
    <w:rsid w:val="00DD0086"/>
    <w:rsid w:val="00DD0272"/>
    <w:rsid w:val="00DD02AA"/>
    <w:rsid w:val="00DD052B"/>
    <w:rsid w:val="00DD082C"/>
    <w:rsid w:val="00DD08B7"/>
    <w:rsid w:val="00DD09E5"/>
    <w:rsid w:val="00DD0CEF"/>
    <w:rsid w:val="00DD0CF0"/>
    <w:rsid w:val="00DD11C6"/>
    <w:rsid w:val="00DD1315"/>
    <w:rsid w:val="00DD155A"/>
    <w:rsid w:val="00DD1651"/>
    <w:rsid w:val="00DD18D7"/>
    <w:rsid w:val="00DD1951"/>
    <w:rsid w:val="00DD1A40"/>
    <w:rsid w:val="00DD1A44"/>
    <w:rsid w:val="00DD1A59"/>
    <w:rsid w:val="00DD1AAC"/>
    <w:rsid w:val="00DD1C27"/>
    <w:rsid w:val="00DD21AE"/>
    <w:rsid w:val="00DD2805"/>
    <w:rsid w:val="00DD2A8C"/>
    <w:rsid w:val="00DD314E"/>
    <w:rsid w:val="00DD3151"/>
    <w:rsid w:val="00DD335B"/>
    <w:rsid w:val="00DD3416"/>
    <w:rsid w:val="00DD35D6"/>
    <w:rsid w:val="00DD360F"/>
    <w:rsid w:val="00DD3890"/>
    <w:rsid w:val="00DD3902"/>
    <w:rsid w:val="00DD3AE0"/>
    <w:rsid w:val="00DD4154"/>
    <w:rsid w:val="00DD42F6"/>
    <w:rsid w:val="00DD44D2"/>
    <w:rsid w:val="00DD46DF"/>
    <w:rsid w:val="00DD470F"/>
    <w:rsid w:val="00DD47DF"/>
    <w:rsid w:val="00DD4AF7"/>
    <w:rsid w:val="00DD4B34"/>
    <w:rsid w:val="00DD4D6F"/>
    <w:rsid w:val="00DD4E09"/>
    <w:rsid w:val="00DD4FCF"/>
    <w:rsid w:val="00DD501A"/>
    <w:rsid w:val="00DD51DF"/>
    <w:rsid w:val="00DD599E"/>
    <w:rsid w:val="00DD5AC5"/>
    <w:rsid w:val="00DD5C0E"/>
    <w:rsid w:val="00DD5C7E"/>
    <w:rsid w:val="00DD6111"/>
    <w:rsid w:val="00DD61B8"/>
    <w:rsid w:val="00DD6240"/>
    <w:rsid w:val="00DD6278"/>
    <w:rsid w:val="00DD63D4"/>
    <w:rsid w:val="00DD644C"/>
    <w:rsid w:val="00DD666B"/>
    <w:rsid w:val="00DD6712"/>
    <w:rsid w:val="00DD6754"/>
    <w:rsid w:val="00DD6762"/>
    <w:rsid w:val="00DD6E16"/>
    <w:rsid w:val="00DD6ECD"/>
    <w:rsid w:val="00DD6ED6"/>
    <w:rsid w:val="00DD7301"/>
    <w:rsid w:val="00DD734A"/>
    <w:rsid w:val="00DD762A"/>
    <w:rsid w:val="00DD7689"/>
    <w:rsid w:val="00DD77A5"/>
    <w:rsid w:val="00DD7808"/>
    <w:rsid w:val="00DD786D"/>
    <w:rsid w:val="00DD7BFC"/>
    <w:rsid w:val="00DD7C31"/>
    <w:rsid w:val="00DD7C8C"/>
    <w:rsid w:val="00DD7D91"/>
    <w:rsid w:val="00DE018F"/>
    <w:rsid w:val="00DE0643"/>
    <w:rsid w:val="00DE08C8"/>
    <w:rsid w:val="00DE0960"/>
    <w:rsid w:val="00DE0AA3"/>
    <w:rsid w:val="00DE0B37"/>
    <w:rsid w:val="00DE0C40"/>
    <w:rsid w:val="00DE0D87"/>
    <w:rsid w:val="00DE0DA1"/>
    <w:rsid w:val="00DE0F5F"/>
    <w:rsid w:val="00DE0FB7"/>
    <w:rsid w:val="00DE0FE6"/>
    <w:rsid w:val="00DE102C"/>
    <w:rsid w:val="00DE1032"/>
    <w:rsid w:val="00DE1194"/>
    <w:rsid w:val="00DE13AC"/>
    <w:rsid w:val="00DE1510"/>
    <w:rsid w:val="00DE15DB"/>
    <w:rsid w:val="00DE15F9"/>
    <w:rsid w:val="00DE1844"/>
    <w:rsid w:val="00DE1941"/>
    <w:rsid w:val="00DE19A2"/>
    <w:rsid w:val="00DE1C73"/>
    <w:rsid w:val="00DE20CD"/>
    <w:rsid w:val="00DE2288"/>
    <w:rsid w:val="00DE2B12"/>
    <w:rsid w:val="00DE2CDC"/>
    <w:rsid w:val="00DE3022"/>
    <w:rsid w:val="00DE31F5"/>
    <w:rsid w:val="00DE3228"/>
    <w:rsid w:val="00DE32D9"/>
    <w:rsid w:val="00DE36A0"/>
    <w:rsid w:val="00DE3A80"/>
    <w:rsid w:val="00DE3C9C"/>
    <w:rsid w:val="00DE3D16"/>
    <w:rsid w:val="00DE4549"/>
    <w:rsid w:val="00DE4841"/>
    <w:rsid w:val="00DE4E61"/>
    <w:rsid w:val="00DE4FB7"/>
    <w:rsid w:val="00DE522E"/>
    <w:rsid w:val="00DE523C"/>
    <w:rsid w:val="00DE543F"/>
    <w:rsid w:val="00DE556A"/>
    <w:rsid w:val="00DE5AC5"/>
    <w:rsid w:val="00DE5E66"/>
    <w:rsid w:val="00DE647D"/>
    <w:rsid w:val="00DE66BC"/>
    <w:rsid w:val="00DE671C"/>
    <w:rsid w:val="00DE6AD8"/>
    <w:rsid w:val="00DE6BEB"/>
    <w:rsid w:val="00DE6C85"/>
    <w:rsid w:val="00DE6EAA"/>
    <w:rsid w:val="00DE6F11"/>
    <w:rsid w:val="00DE709C"/>
    <w:rsid w:val="00DE713F"/>
    <w:rsid w:val="00DE7330"/>
    <w:rsid w:val="00DE756A"/>
    <w:rsid w:val="00DE757D"/>
    <w:rsid w:val="00DE75D5"/>
    <w:rsid w:val="00DE7B39"/>
    <w:rsid w:val="00DE7C2C"/>
    <w:rsid w:val="00DE7DDC"/>
    <w:rsid w:val="00DE7F28"/>
    <w:rsid w:val="00DF0012"/>
    <w:rsid w:val="00DF0126"/>
    <w:rsid w:val="00DF01BD"/>
    <w:rsid w:val="00DF02D3"/>
    <w:rsid w:val="00DF04CC"/>
    <w:rsid w:val="00DF0740"/>
    <w:rsid w:val="00DF0EAB"/>
    <w:rsid w:val="00DF0F97"/>
    <w:rsid w:val="00DF1240"/>
    <w:rsid w:val="00DF165F"/>
    <w:rsid w:val="00DF1DAE"/>
    <w:rsid w:val="00DF1E7F"/>
    <w:rsid w:val="00DF1FCF"/>
    <w:rsid w:val="00DF2005"/>
    <w:rsid w:val="00DF2029"/>
    <w:rsid w:val="00DF257E"/>
    <w:rsid w:val="00DF2915"/>
    <w:rsid w:val="00DF2D50"/>
    <w:rsid w:val="00DF2DB9"/>
    <w:rsid w:val="00DF2E24"/>
    <w:rsid w:val="00DF2F01"/>
    <w:rsid w:val="00DF338A"/>
    <w:rsid w:val="00DF3598"/>
    <w:rsid w:val="00DF38FB"/>
    <w:rsid w:val="00DF3A75"/>
    <w:rsid w:val="00DF3A9A"/>
    <w:rsid w:val="00DF3B09"/>
    <w:rsid w:val="00DF3C18"/>
    <w:rsid w:val="00DF3E62"/>
    <w:rsid w:val="00DF3F97"/>
    <w:rsid w:val="00DF3FB7"/>
    <w:rsid w:val="00DF4348"/>
    <w:rsid w:val="00DF4398"/>
    <w:rsid w:val="00DF450C"/>
    <w:rsid w:val="00DF4608"/>
    <w:rsid w:val="00DF49AC"/>
    <w:rsid w:val="00DF4BBE"/>
    <w:rsid w:val="00DF4BBF"/>
    <w:rsid w:val="00DF5751"/>
    <w:rsid w:val="00DF5BB0"/>
    <w:rsid w:val="00DF5DB7"/>
    <w:rsid w:val="00DF6292"/>
    <w:rsid w:val="00DF64B6"/>
    <w:rsid w:val="00DF664D"/>
    <w:rsid w:val="00DF6BE9"/>
    <w:rsid w:val="00DF6C9B"/>
    <w:rsid w:val="00DF6D1A"/>
    <w:rsid w:val="00DF6E49"/>
    <w:rsid w:val="00DF6EEA"/>
    <w:rsid w:val="00DF6F69"/>
    <w:rsid w:val="00DF72EA"/>
    <w:rsid w:val="00DF734D"/>
    <w:rsid w:val="00DF7795"/>
    <w:rsid w:val="00DF7B1B"/>
    <w:rsid w:val="00DF7B21"/>
    <w:rsid w:val="00DF7DA0"/>
    <w:rsid w:val="00DF7F4A"/>
    <w:rsid w:val="00E001F7"/>
    <w:rsid w:val="00E008A1"/>
    <w:rsid w:val="00E009BE"/>
    <w:rsid w:val="00E00CE3"/>
    <w:rsid w:val="00E00D70"/>
    <w:rsid w:val="00E00FE9"/>
    <w:rsid w:val="00E015B7"/>
    <w:rsid w:val="00E0189E"/>
    <w:rsid w:val="00E01AA6"/>
    <w:rsid w:val="00E01DD0"/>
    <w:rsid w:val="00E02391"/>
    <w:rsid w:val="00E023F7"/>
    <w:rsid w:val="00E02466"/>
    <w:rsid w:val="00E024F8"/>
    <w:rsid w:val="00E0250F"/>
    <w:rsid w:val="00E0278B"/>
    <w:rsid w:val="00E0281C"/>
    <w:rsid w:val="00E028FF"/>
    <w:rsid w:val="00E02C76"/>
    <w:rsid w:val="00E02FFF"/>
    <w:rsid w:val="00E03145"/>
    <w:rsid w:val="00E03719"/>
    <w:rsid w:val="00E038F4"/>
    <w:rsid w:val="00E03963"/>
    <w:rsid w:val="00E039EB"/>
    <w:rsid w:val="00E03A28"/>
    <w:rsid w:val="00E03A8C"/>
    <w:rsid w:val="00E03D88"/>
    <w:rsid w:val="00E04005"/>
    <w:rsid w:val="00E040E5"/>
    <w:rsid w:val="00E04585"/>
    <w:rsid w:val="00E046AA"/>
    <w:rsid w:val="00E048F3"/>
    <w:rsid w:val="00E04C1D"/>
    <w:rsid w:val="00E04EA0"/>
    <w:rsid w:val="00E05099"/>
    <w:rsid w:val="00E052A2"/>
    <w:rsid w:val="00E0582F"/>
    <w:rsid w:val="00E05C33"/>
    <w:rsid w:val="00E05E51"/>
    <w:rsid w:val="00E060A7"/>
    <w:rsid w:val="00E065C9"/>
    <w:rsid w:val="00E06AB5"/>
    <w:rsid w:val="00E06B04"/>
    <w:rsid w:val="00E06C1F"/>
    <w:rsid w:val="00E06E84"/>
    <w:rsid w:val="00E06EA6"/>
    <w:rsid w:val="00E074E6"/>
    <w:rsid w:val="00E0752F"/>
    <w:rsid w:val="00E07773"/>
    <w:rsid w:val="00E079F0"/>
    <w:rsid w:val="00E07B19"/>
    <w:rsid w:val="00E07D44"/>
    <w:rsid w:val="00E07F7D"/>
    <w:rsid w:val="00E103A0"/>
    <w:rsid w:val="00E103B8"/>
    <w:rsid w:val="00E103E9"/>
    <w:rsid w:val="00E1055C"/>
    <w:rsid w:val="00E106B5"/>
    <w:rsid w:val="00E1071E"/>
    <w:rsid w:val="00E109B1"/>
    <w:rsid w:val="00E10A6D"/>
    <w:rsid w:val="00E10DAD"/>
    <w:rsid w:val="00E118BB"/>
    <w:rsid w:val="00E11C80"/>
    <w:rsid w:val="00E12061"/>
    <w:rsid w:val="00E12204"/>
    <w:rsid w:val="00E1259F"/>
    <w:rsid w:val="00E125B6"/>
    <w:rsid w:val="00E1281B"/>
    <w:rsid w:val="00E12E31"/>
    <w:rsid w:val="00E12EAA"/>
    <w:rsid w:val="00E12FE5"/>
    <w:rsid w:val="00E13425"/>
    <w:rsid w:val="00E1343F"/>
    <w:rsid w:val="00E13635"/>
    <w:rsid w:val="00E13ACC"/>
    <w:rsid w:val="00E13E11"/>
    <w:rsid w:val="00E141AE"/>
    <w:rsid w:val="00E143BE"/>
    <w:rsid w:val="00E1473E"/>
    <w:rsid w:val="00E14811"/>
    <w:rsid w:val="00E1484B"/>
    <w:rsid w:val="00E14899"/>
    <w:rsid w:val="00E14978"/>
    <w:rsid w:val="00E149D9"/>
    <w:rsid w:val="00E14AE0"/>
    <w:rsid w:val="00E14F23"/>
    <w:rsid w:val="00E1548A"/>
    <w:rsid w:val="00E1588D"/>
    <w:rsid w:val="00E1598F"/>
    <w:rsid w:val="00E15B5B"/>
    <w:rsid w:val="00E15EA5"/>
    <w:rsid w:val="00E160F0"/>
    <w:rsid w:val="00E16183"/>
    <w:rsid w:val="00E162BB"/>
    <w:rsid w:val="00E16A3E"/>
    <w:rsid w:val="00E16D46"/>
    <w:rsid w:val="00E16D97"/>
    <w:rsid w:val="00E16E41"/>
    <w:rsid w:val="00E1719F"/>
    <w:rsid w:val="00E17202"/>
    <w:rsid w:val="00E17386"/>
    <w:rsid w:val="00E173AF"/>
    <w:rsid w:val="00E17EF7"/>
    <w:rsid w:val="00E17F9F"/>
    <w:rsid w:val="00E20734"/>
    <w:rsid w:val="00E20892"/>
    <w:rsid w:val="00E20C27"/>
    <w:rsid w:val="00E20C3D"/>
    <w:rsid w:val="00E20C5D"/>
    <w:rsid w:val="00E210CD"/>
    <w:rsid w:val="00E2127C"/>
    <w:rsid w:val="00E216AD"/>
    <w:rsid w:val="00E21879"/>
    <w:rsid w:val="00E21A31"/>
    <w:rsid w:val="00E21B0B"/>
    <w:rsid w:val="00E21CCC"/>
    <w:rsid w:val="00E224EE"/>
    <w:rsid w:val="00E2283F"/>
    <w:rsid w:val="00E22885"/>
    <w:rsid w:val="00E22E4A"/>
    <w:rsid w:val="00E22F19"/>
    <w:rsid w:val="00E23824"/>
    <w:rsid w:val="00E238D3"/>
    <w:rsid w:val="00E23C36"/>
    <w:rsid w:val="00E23D08"/>
    <w:rsid w:val="00E240DF"/>
    <w:rsid w:val="00E24116"/>
    <w:rsid w:val="00E245E4"/>
    <w:rsid w:val="00E246CB"/>
    <w:rsid w:val="00E24968"/>
    <w:rsid w:val="00E249BD"/>
    <w:rsid w:val="00E24BB7"/>
    <w:rsid w:val="00E24D18"/>
    <w:rsid w:val="00E24DC9"/>
    <w:rsid w:val="00E24EF0"/>
    <w:rsid w:val="00E24EF7"/>
    <w:rsid w:val="00E2506D"/>
    <w:rsid w:val="00E2544B"/>
    <w:rsid w:val="00E25494"/>
    <w:rsid w:val="00E25523"/>
    <w:rsid w:val="00E25810"/>
    <w:rsid w:val="00E258F0"/>
    <w:rsid w:val="00E25F67"/>
    <w:rsid w:val="00E26585"/>
    <w:rsid w:val="00E2704D"/>
    <w:rsid w:val="00E271D1"/>
    <w:rsid w:val="00E2732E"/>
    <w:rsid w:val="00E27860"/>
    <w:rsid w:val="00E27974"/>
    <w:rsid w:val="00E27BF1"/>
    <w:rsid w:val="00E27EDF"/>
    <w:rsid w:val="00E301A7"/>
    <w:rsid w:val="00E303C6"/>
    <w:rsid w:val="00E3061D"/>
    <w:rsid w:val="00E308AB"/>
    <w:rsid w:val="00E30C50"/>
    <w:rsid w:val="00E30F82"/>
    <w:rsid w:val="00E30FBD"/>
    <w:rsid w:val="00E311E2"/>
    <w:rsid w:val="00E312D4"/>
    <w:rsid w:val="00E31357"/>
    <w:rsid w:val="00E3161C"/>
    <w:rsid w:val="00E316A7"/>
    <w:rsid w:val="00E316C0"/>
    <w:rsid w:val="00E316D1"/>
    <w:rsid w:val="00E317C0"/>
    <w:rsid w:val="00E31878"/>
    <w:rsid w:val="00E3192A"/>
    <w:rsid w:val="00E31A2E"/>
    <w:rsid w:val="00E31AFC"/>
    <w:rsid w:val="00E31CE1"/>
    <w:rsid w:val="00E31DD9"/>
    <w:rsid w:val="00E31F9C"/>
    <w:rsid w:val="00E32170"/>
    <w:rsid w:val="00E32342"/>
    <w:rsid w:val="00E32606"/>
    <w:rsid w:val="00E32858"/>
    <w:rsid w:val="00E328BF"/>
    <w:rsid w:val="00E328DE"/>
    <w:rsid w:val="00E32966"/>
    <w:rsid w:val="00E32A96"/>
    <w:rsid w:val="00E32CE1"/>
    <w:rsid w:val="00E32ECE"/>
    <w:rsid w:val="00E32F03"/>
    <w:rsid w:val="00E3343B"/>
    <w:rsid w:val="00E336E2"/>
    <w:rsid w:val="00E33795"/>
    <w:rsid w:val="00E3384D"/>
    <w:rsid w:val="00E33E76"/>
    <w:rsid w:val="00E33F60"/>
    <w:rsid w:val="00E34229"/>
    <w:rsid w:val="00E3442D"/>
    <w:rsid w:val="00E3443F"/>
    <w:rsid w:val="00E3486C"/>
    <w:rsid w:val="00E34C95"/>
    <w:rsid w:val="00E3520D"/>
    <w:rsid w:val="00E3571F"/>
    <w:rsid w:val="00E357D8"/>
    <w:rsid w:val="00E359AC"/>
    <w:rsid w:val="00E35C34"/>
    <w:rsid w:val="00E35FC3"/>
    <w:rsid w:val="00E36246"/>
    <w:rsid w:val="00E36247"/>
    <w:rsid w:val="00E362CF"/>
    <w:rsid w:val="00E36447"/>
    <w:rsid w:val="00E36482"/>
    <w:rsid w:val="00E366FB"/>
    <w:rsid w:val="00E36777"/>
    <w:rsid w:val="00E368C0"/>
    <w:rsid w:val="00E37322"/>
    <w:rsid w:val="00E37365"/>
    <w:rsid w:val="00E37939"/>
    <w:rsid w:val="00E37BA5"/>
    <w:rsid w:val="00E37D20"/>
    <w:rsid w:val="00E37FEB"/>
    <w:rsid w:val="00E40537"/>
    <w:rsid w:val="00E40908"/>
    <w:rsid w:val="00E40946"/>
    <w:rsid w:val="00E40BDA"/>
    <w:rsid w:val="00E40DAA"/>
    <w:rsid w:val="00E40DC6"/>
    <w:rsid w:val="00E40FCE"/>
    <w:rsid w:val="00E4113E"/>
    <w:rsid w:val="00E41652"/>
    <w:rsid w:val="00E416AD"/>
    <w:rsid w:val="00E4194B"/>
    <w:rsid w:val="00E41C6E"/>
    <w:rsid w:val="00E41DF2"/>
    <w:rsid w:val="00E4207B"/>
    <w:rsid w:val="00E425C2"/>
    <w:rsid w:val="00E42D6D"/>
    <w:rsid w:val="00E42DD1"/>
    <w:rsid w:val="00E42EA0"/>
    <w:rsid w:val="00E4311E"/>
    <w:rsid w:val="00E4312D"/>
    <w:rsid w:val="00E43550"/>
    <w:rsid w:val="00E43724"/>
    <w:rsid w:val="00E43734"/>
    <w:rsid w:val="00E43A14"/>
    <w:rsid w:val="00E43B69"/>
    <w:rsid w:val="00E43EF0"/>
    <w:rsid w:val="00E43F18"/>
    <w:rsid w:val="00E4433B"/>
    <w:rsid w:val="00E443DA"/>
    <w:rsid w:val="00E4450B"/>
    <w:rsid w:val="00E44B80"/>
    <w:rsid w:val="00E44CA5"/>
    <w:rsid w:val="00E44D12"/>
    <w:rsid w:val="00E450D9"/>
    <w:rsid w:val="00E45306"/>
    <w:rsid w:val="00E4540F"/>
    <w:rsid w:val="00E45A5A"/>
    <w:rsid w:val="00E45A5F"/>
    <w:rsid w:val="00E45BF2"/>
    <w:rsid w:val="00E461E9"/>
    <w:rsid w:val="00E46549"/>
    <w:rsid w:val="00E469B6"/>
    <w:rsid w:val="00E46BB6"/>
    <w:rsid w:val="00E46C9F"/>
    <w:rsid w:val="00E46DE0"/>
    <w:rsid w:val="00E4769E"/>
    <w:rsid w:val="00E478EB"/>
    <w:rsid w:val="00E47D27"/>
    <w:rsid w:val="00E47F5D"/>
    <w:rsid w:val="00E50186"/>
    <w:rsid w:val="00E501A6"/>
    <w:rsid w:val="00E508AB"/>
    <w:rsid w:val="00E50942"/>
    <w:rsid w:val="00E50BAA"/>
    <w:rsid w:val="00E50C9E"/>
    <w:rsid w:val="00E50CA7"/>
    <w:rsid w:val="00E50CAF"/>
    <w:rsid w:val="00E51103"/>
    <w:rsid w:val="00E513DC"/>
    <w:rsid w:val="00E517DC"/>
    <w:rsid w:val="00E519ED"/>
    <w:rsid w:val="00E51C50"/>
    <w:rsid w:val="00E51CD9"/>
    <w:rsid w:val="00E51CFA"/>
    <w:rsid w:val="00E51FE3"/>
    <w:rsid w:val="00E5217C"/>
    <w:rsid w:val="00E521D6"/>
    <w:rsid w:val="00E52644"/>
    <w:rsid w:val="00E529FA"/>
    <w:rsid w:val="00E52A41"/>
    <w:rsid w:val="00E52BC9"/>
    <w:rsid w:val="00E530B5"/>
    <w:rsid w:val="00E53268"/>
    <w:rsid w:val="00E5327B"/>
    <w:rsid w:val="00E53379"/>
    <w:rsid w:val="00E533D9"/>
    <w:rsid w:val="00E53440"/>
    <w:rsid w:val="00E535C8"/>
    <w:rsid w:val="00E541F3"/>
    <w:rsid w:val="00E542C7"/>
    <w:rsid w:val="00E54313"/>
    <w:rsid w:val="00E5435D"/>
    <w:rsid w:val="00E544D0"/>
    <w:rsid w:val="00E544EB"/>
    <w:rsid w:val="00E54522"/>
    <w:rsid w:val="00E54A4D"/>
    <w:rsid w:val="00E54D17"/>
    <w:rsid w:val="00E54F96"/>
    <w:rsid w:val="00E55199"/>
    <w:rsid w:val="00E554E5"/>
    <w:rsid w:val="00E55656"/>
    <w:rsid w:val="00E55A78"/>
    <w:rsid w:val="00E55F0F"/>
    <w:rsid w:val="00E560D4"/>
    <w:rsid w:val="00E561B8"/>
    <w:rsid w:val="00E5631E"/>
    <w:rsid w:val="00E56400"/>
    <w:rsid w:val="00E56B60"/>
    <w:rsid w:val="00E56F5E"/>
    <w:rsid w:val="00E576AE"/>
    <w:rsid w:val="00E57817"/>
    <w:rsid w:val="00E57951"/>
    <w:rsid w:val="00E57D8D"/>
    <w:rsid w:val="00E60056"/>
    <w:rsid w:val="00E60474"/>
    <w:rsid w:val="00E604C0"/>
    <w:rsid w:val="00E604CE"/>
    <w:rsid w:val="00E604DB"/>
    <w:rsid w:val="00E604EC"/>
    <w:rsid w:val="00E6069A"/>
    <w:rsid w:val="00E60D4B"/>
    <w:rsid w:val="00E60E71"/>
    <w:rsid w:val="00E610BC"/>
    <w:rsid w:val="00E61322"/>
    <w:rsid w:val="00E61442"/>
    <w:rsid w:val="00E61E9E"/>
    <w:rsid w:val="00E61EFF"/>
    <w:rsid w:val="00E61FD4"/>
    <w:rsid w:val="00E62134"/>
    <w:rsid w:val="00E62421"/>
    <w:rsid w:val="00E62571"/>
    <w:rsid w:val="00E62DC5"/>
    <w:rsid w:val="00E630E8"/>
    <w:rsid w:val="00E631C3"/>
    <w:rsid w:val="00E6320A"/>
    <w:rsid w:val="00E63432"/>
    <w:rsid w:val="00E6348A"/>
    <w:rsid w:val="00E637F9"/>
    <w:rsid w:val="00E639A7"/>
    <w:rsid w:val="00E63B88"/>
    <w:rsid w:val="00E63E2D"/>
    <w:rsid w:val="00E64787"/>
    <w:rsid w:val="00E648E1"/>
    <w:rsid w:val="00E6490A"/>
    <w:rsid w:val="00E6492D"/>
    <w:rsid w:val="00E64CD1"/>
    <w:rsid w:val="00E64F56"/>
    <w:rsid w:val="00E64F58"/>
    <w:rsid w:val="00E64FE2"/>
    <w:rsid w:val="00E65028"/>
    <w:rsid w:val="00E653E8"/>
    <w:rsid w:val="00E656AE"/>
    <w:rsid w:val="00E65830"/>
    <w:rsid w:val="00E658B8"/>
    <w:rsid w:val="00E65A23"/>
    <w:rsid w:val="00E65A25"/>
    <w:rsid w:val="00E65AD5"/>
    <w:rsid w:val="00E65B96"/>
    <w:rsid w:val="00E65C3B"/>
    <w:rsid w:val="00E65C4D"/>
    <w:rsid w:val="00E66A84"/>
    <w:rsid w:val="00E66E0E"/>
    <w:rsid w:val="00E66EFC"/>
    <w:rsid w:val="00E66FE9"/>
    <w:rsid w:val="00E67235"/>
    <w:rsid w:val="00E6753C"/>
    <w:rsid w:val="00E677CB"/>
    <w:rsid w:val="00E67900"/>
    <w:rsid w:val="00E67ABA"/>
    <w:rsid w:val="00E67ABC"/>
    <w:rsid w:val="00E67B8B"/>
    <w:rsid w:val="00E67BED"/>
    <w:rsid w:val="00E704BA"/>
    <w:rsid w:val="00E70618"/>
    <w:rsid w:val="00E708CF"/>
    <w:rsid w:val="00E70ADE"/>
    <w:rsid w:val="00E70C60"/>
    <w:rsid w:val="00E715A8"/>
    <w:rsid w:val="00E71709"/>
    <w:rsid w:val="00E71896"/>
    <w:rsid w:val="00E718B8"/>
    <w:rsid w:val="00E718CE"/>
    <w:rsid w:val="00E71C47"/>
    <w:rsid w:val="00E71F79"/>
    <w:rsid w:val="00E71FB9"/>
    <w:rsid w:val="00E72130"/>
    <w:rsid w:val="00E721E3"/>
    <w:rsid w:val="00E72519"/>
    <w:rsid w:val="00E72B79"/>
    <w:rsid w:val="00E7306B"/>
    <w:rsid w:val="00E730A9"/>
    <w:rsid w:val="00E730B4"/>
    <w:rsid w:val="00E73318"/>
    <w:rsid w:val="00E7331C"/>
    <w:rsid w:val="00E73473"/>
    <w:rsid w:val="00E73576"/>
    <w:rsid w:val="00E7366A"/>
    <w:rsid w:val="00E7395D"/>
    <w:rsid w:val="00E73F78"/>
    <w:rsid w:val="00E7419A"/>
    <w:rsid w:val="00E74897"/>
    <w:rsid w:val="00E74A46"/>
    <w:rsid w:val="00E7539A"/>
    <w:rsid w:val="00E754E2"/>
    <w:rsid w:val="00E7552E"/>
    <w:rsid w:val="00E75695"/>
    <w:rsid w:val="00E75902"/>
    <w:rsid w:val="00E75EED"/>
    <w:rsid w:val="00E761B8"/>
    <w:rsid w:val="00E763BD"/>
    <w:rsid w:val="00E76417"/>
    <w:rsid w:val="00E764FD"/>
    <w:rsid w:val="00E7687A"/>
    <w:rsid w:val="00E76A15"/>
    <w:rsid w:val="00E76A29"/>
    <w:rsid w:val="00E76AA5"/>
    <w:rsid w:val="00E76B1A"/>
    <w:rsid w:val="00E76C83"/>
    <w:rsid w:val="00E770EF"/>
    <w:rsid w:val="00E7725F"/>
    <w:rsid w:val="00E773FE"/>
    <w:rsid w:val="00E77AF7"/>
    <w:rsid w:val="00E77CF3"/>
    <w:rsid w:val="00E77D97"/>
    <w:rsid w:val="00E77FAD"/>
    <w:rsid w:val="00E800B7"/>
    <w:rsid w:val="00E804B2"/>
    <w:rsid w:val="00E80690"/>
    <w:rsid w:val="00E80DFB"/>
    <w:rsid w:val="00E80E5E"/>
    <w:rsid w:val="00E811C3"/>
    <w:rsid w:val="00E8194F"/>
    <w:rsid w:val="00E81A2E"/>
    <w:rsid w:val="00E81A84"/>
    <w:rsid w:val="00E81BBC"/>
    <w:rsid w:val="00E81CCF"/>
    <w:rsid w:val="00E8224B"/>
    <w:rsid w:val="00E8256C"/>
    <w:rsid w:val="00E825B8"/>
    <w:rsid w:val="00E83361"/>
    <w:rsid w:val="00E83576"/>
    <w:rsid w:val="00E839D3"/>
    <w:rsid w:val="00E83AA7"/>
    <w:rsid w:val="00E8402D"/>
    <w:rsid w:val="00E84239"/>
    <w:rsid w:val="00E8429F"/>
    <w:rsid w:val="00E844DF"/>
    <w:rsid w:val="00E84782"/>
    <w:rsid w:val="00E848D3"/>
    <w:rsid w:val="00E848E2"/>
    <w:rsid w:val="00E849B4"/>
    <w:rsid w:val="00E849FF"/>
    <w:rsid w:val="00E84C52"/>
    <w:rsid w:val="00E84D15"/>
    <w:rsid w:val="00E84F12"/>
    <w:rsid w:val="00E85375"/>
    <w:rsid w:val="00E854F5"/>
    <w:rsid w:val="00E855B4"/>
    <w:rsid w:val="00E8594F"/>
    <w:rsid w:val="00E860C2"/>
    <w:rsid w:val="00E8612A"/>
    <w:rsid w:val="00E862EC"/>
    <w:rsid w:val="00E86318"/>
    <w:rsid w:val="00E863C3"/>
    <w:rsid w:val="00E864E1"/>
    <w:rsid w:val="00E868C4"/>
    <w:rsid w:val="00E86D61"/>
    <w:rsid w:val="00E86F4E"/>
    <w:rsid w:val="00E8702A"/>
    <w:rsid w:val="00E871A2"/>
    <w:rsid w:val="00E87396"/>
    <w:rsid w:val="00E8767B"/>
    <w:rsid w:val="00E87912"/>
    <w:rsid w:val="00E87ABD"/>
    <w:rsid w:val="00E9058D"/>
    <w:rsid w:val="00E90834"/>
    <w:rsid w:val="00E90B32"/>
    <w:rsid w:val="00E90D00"/>
    <w:rsid w:val="00E91188"/>
    <w:rsid w:val="00E911B6"/>
    <w:rsid w:val="00E911F0"/>
    <w:rsid w:val="00E91573"/>
    <w:rsid w:val="00E91901"/>
    <w:rsid w:val="00E9195F"/>
    <w:rsid w:val="00E91EFA"/>
    <w:rsid w:val="00E92006"/>
    <w:rsid w:val="00E920BE"/>
    <w:rsid w:val="00E9227D"/>
    <w:rsid w:val="00E925C2"/>
    <w:rsid w:val="00E926B0"/>
    <w:rsid w:val="00E9279E"/>
    <w:rsid w:val="00E92850"/>
    <w:rsid w:val="00E93081"/>
    <w:rsid w:val="00E931F2"/>
    <w:rsid w:val="00E93593"/>
    <w:rsid w:val="00E939FB"/>
    <w:rsid w:val="00E93F74"/>
    <w:rsid w:val="00E94695"/>
    <w:rsid w:val="00E948C5"/>
    <w:rsid w:val="00E94A3E"/>
    <w:rsid w:val="00E94D48"/>
    <w:rsid w:val="00E9524E"/>
    <w:rsid w:val="00E955C0"/>
    <w:rsid w:val="00E955C6"/>
    <w:rsid w:val="00E956B0"/>
    <w:rsid w:val="00E956DE"/>
    <w:rsid w:val="00E95AD5"/>
    <w:rsid w:val="00E95B38"/>
    <w:rsid w:val="00E95C6E"/>
    <w:rsid w:val="00E95D5C"/>
    <w:rsid w:val="00E96275"/>
    <w:rsid w:val="00E96413"/>
    <w:rsid w:val="00E964B1"/>
    <w:rsid w:val="00E96672"/>
    <w:rsid w:val="00E9680C"/>
    <w:rsid w:val="00E9685B"/>
    <w:rsid w:val="00E96FBF"/>
    <w:rsid w:val="00E9701B"/>
    <w:rsid w:val="00E970BC"/>
    <w:rsid w:val="00E97372"/>
    <w:rsid w:val="00E975A1"/>
    <w:rsid w:val="00E9764A"/>
    <w:rsid w:val="00E9778C"/>
    <w:rsid w:val="00E9784A"/>
    <w:rsid w:val="00E978F9"/>
    <w:rsid w:val="00E97B83"/>
    <w:rsid w:val="00E97F4B"/>
    <w:rsid w:val="00EA009F"/>
    <w:rsid w:val="00EA0122"/>
    <w:rsid w:val="00EA0197"/>
    <w:rsid w:val="00EA04FB"/>
    <w:rsid w:val="00EA054E"/>
    <w:rsid w:val="00EA0556"/>
    <w:rsid w:val="00EA07CA"/>
    <w:rsid w:val="00EA0DED"/>
    <w:rsid w:val="00EA176D"/>
    <w:rsid w:val="00EA1A06"/>
    <w:rsid w:val="00EA1A9A"/>
    <w:rsid w:val="00EA1C1D"/>
    <w:rsid w:val="00EA1D2B"/>
    <w:rsid w:val="00EA1DD0"/>
    <w:rsid w:val="00EA1E0D"/>
    <w:rsid w:val="00EA201D"/>
    <w:rsid w:val="00EA212D"/>
    <w:rsid w:val="00EA236C"/>
    <w:rsid w:val="00EA23AE"/>
    <w:rsid w:val="00EA2465"/>
    <w:rsid w:val="00EA254F"/>
    <w:rsid w:val="00EA25DC"/>
    <w:rsid w:val="00EA2873"/>
    <w:rsid w:val="00EA288A"/>
    <w:rsid w:val="00EA2D8E"/>
    <w:rsid w:val="00EA2F0F"/>
    <w:rsid w:val="00EA2FB2"/>
    <w:rsid w:val="00EA3233"/>
    <w:rsid w:val="00EA3466"/>
    <w:rsid w:val="00EA3763"/>
    <w:rsid w:val="00EA3922"/>
    <w:rsid w:val="00EA393C"/>
    <w:rsid w:val="00EA3D5D"/>
    <w:rsid w:val="00EA3DC3"/>
    <w:rsid w:val="00EA4142"/>
    <w:rsid w:val="00EA416B"/>
    <w:rsid w:val="00EA4363"/>
    <w:rsid w:val="00EA44B6"/>
    <w:rsid w:val="00EA45BD"/>
    <w:rsid w:val="00EA4619"/>
    <w:rsid w:val="00EA46A2"/>
    <w:rsid w:val="00EA46D8"/>
    <w:rsid w:val="00EA4865"/>
    <w:rsid w:val="00EA48DD"/>
    <w:rsid w:val="00EA4E3E"/>
    <w:rsid w:val="00EA4E47"/>
    <w:rsid w:val="00EA4ED9"/>
    <w:rsid w:val="00EA52A8"/>
    <w:rsid w:val="00EA52FE"/>
    <w:rsid w:val="00EA58EC"/>
    <w:rsid w:val="00EA593E"/>
    <w:rsid w:val="00EA59E4"/>
    <w:rsid w:val="00EA5B7D"/>
    <w:rsid w:val="00EA5F32"/>
    <w:rsid w:val="00EA6283"/>
    <w:rsid w:val="00EA62F3"/>
    <w:rsid w:val="00EA6398"/>
    <w:rsid w:val="00EA6576"/>
    <w:rsid w:val="00EA69DB"/>
    <w:rsid w:val="00EA69DC"/>
    <w:rsid w:val="00EA6AAA"/>
    <w:rsid w:val="00EA6E65"/>
    <w:rsid w:val="00EA7040"/>
    <w:rsid w:val="00EA7236"/>
    <w:rsid w:val="00EA7523"/>
    <w:rsid w:val="00EA7727"/>
    <w:rsid w:val="00EA7757"/>
    <w:rsid w:val="00EA797F"/>
    <w:rsid w:val="00EA7CB3"/>
    <w:rsid w:val="00EA7EC7"/>
    <w:rsid w:val="00EB0096"/>
    <w:rsid w:val="00EB032E"/>
    <w:rsid w:val="00EB0557"/>
    <w:rsid w:val="00EB072D"/>
    <w:rsid w:val="00EB0D4D"/>
    <w:rsid w:val="00EB0ECB"/>
    <w:rsid w:val="00EB0FAC"/>
    <w:rsid w:val="00EB111F"/>
    <w:rsid w:val="00EB1135"/>
    <w:rsid w:val="00EB12C4"/>
    <w:rsid w:val="00EB14CC"/>
    <w:rsid w:val="00EB1580"/>
    <w:rsid w:val="00EB175A"/>
    <w:rsid w:val="00EB19C0"/>
    <w:rsid w:val="00EB1A5B"/>
    <w:rsid w:val="00EB1DE9"/>
    <w:rsid w:val="00EB23C2"/>
    <w:rsid w:val="00EB25BD"/>
    <w:rsid w:val="00EB2620"/>
    <w:rsid w:val="00EB283B"/>
    <w:rsid w:val="00EB29C1"/>
    <w:rsid w:val="00EB2B7F"/>
    <w:rsid w:val="00EB34BD"/>
    <w:rsid w:val="00EB38F3"/>
    <w:rsid w:val="00EB3A4C"/>
    <w:rsid w:val="00EB3C95"/>
    <w:rsid w:val="00EB417E"/>
    <w:rsid w:val="00EB48A3"/>
    <w:rsid w:val="00EB4B9A"/>
    <w:rsid w:val="00EB4D36"/>
    <w:rsid w:val="00EB5255"/>
    <w:rsid w:val="00EB55F9"/>
    <w:rsid w:val="00EB5A28"/>
    <w:rsid w:val="00EB5D7F"/>
    <w:rsid w:val="00EB66A3"/>
    <w:rsid w:val="00EB6912"/>
    <w:rsid w:val="00EB6C3F"/>
    <w:rsid w:val="00EB6F55"/>
    <w:rsid w:val="00EB7087"/>
    <w:rsid w:val="00EB7187"/>
    <w:rsid w:val="00EB71EA"/>
    <w:rsid w:val="00EB730E"/>
    <w:rsid w:val="00EB738E"/>
    <w:rsid w:val="00EB74EB"/>
    <w:rsid w:val="00EB76B7"/>
    <w:rsid w:val="00EB7729"/>
    <w:rsid w:val="00EB77CB"/>
    <w:rsid w:val="00EB7840"/>
    <w:rsid w:val="00EB79B7"/>
    <w:rsid w:val="00EB7BF9"/>
    <w:rsid w:val="00EB7F48"/>
    <w:rsid w:val="00EC0028"/>
    <w:rsid w:val="00EC042C"/>
    <w:rsid w:val="00EC056B"/>
    <w:rsid w:val="00EC0A39"/>
    <w:rsid w:val="00EC0ED9"/>
    <w:rsid w:val="00EC130E"/>
    <w:rsid w:val="00EC17E4"/>
    <w:rsid w:val="00EC18E8"/>
    <w:rsid w:val="00EC19C6"/>
    <w:rsid w:val="00EC20CE"/>
    <w:rsid w:val="00EC23A1"/>
    <w:rsid w:val="00EC27A3"/>
    <w:rsid w:val="00EC27C2"/>
    <w:rsid w:val="00EC2A94"/>
    <w:rsid w:val="00EC2C65"/>
    <w:rsid w:val="00EC2CF1"/>
    <w:rsid w:val="00EC2E54"/>
    <w:rsid w:val="00EC301A"/>
    <w:rsid w:val="00EC3139"/>
    <w:rsid w:val="00EC3523"/>
    <w:rsid w:val="00EC3AC2"/>
    <w:rsid w:val="00EC3C38"/>
    <w:rsid w:val="00EC4081"/>
    <w:rsid w:val="00EC4188"/>
    <w:rsid w:val="00EC43BA"/>
    <w:rsid w:val="00EC4695"/>
    <w:rsid w:val="00EC4C05"/>
    <w:rsid w:val="00EC4DE5"/>
    <w:rsid w:val="00EC4E0B"/>
    <w:rsid w:val="00EC505F"/>
    <w:rsid w:val="00EC52A5"/>
    <w:rsid w:val="00EC531C"/>
    <w:rsid w:val="00EC5EA9"/>
    <w:rsid w:val="00EC5F24"/>
    <w:rsid w:val="00EC618F"/>
    <w:rsid w:val="00EC61B5"/>
    <w:rsid w:val="00EC63D1"/>
    <w:rsid w:val="00EC6668"/>
    <w:rsid w:val="00EC6680"/>
    <w:rsid w:val="00EC682E"/>
    <w:rsid w:val="00EC6E3E"/>
    <w:rsid w:val="00EC6F80"/>
    <w:rsid w:val="00EC700B"/>
    <w:rsid w:val="00EC7326"/>
    <w:rsid w:val="00EC7600"/>
    <w:rsid w:val="00EC776E"/>
    <w:rsid w:val="00EC7799"/>
    <w:rsid w:val="00EC77BA"/>
    <w:rsid w:val="00ED00D5"/>
    <w:rsid w:val="00ED06A2"/>
    <w:rsid w:val="00ED08A6"/>
    <w:rsid w:val="00ED0964"/>
    <w:rsid w:val="00ED0A8D"/>
    <w:rsid w:val="00ED0C3A"/>
    <w:rsid w:val="00ED0D03"/>
    <w:rsid w:val="00ED0FD2"/>
    <w:rsid w:val="00ED1030"/>
    <w:rsid w:val="00ED14AF"/>
    <w:rsid w:val="00ED15AD"/>
    <w:rsid w:val="00ED1835"/>
    <w:rsid w:val="00ED196B"/>
    <w:rsid w:val="00ED1DC7"/>
    <w:rsid w:val="00ED1E07"/>
    <w:rsid w:val="00ED1EB4"/>
    <w:rsid w:val="00ED24C7"/>
    <w:rsid w:val="00ED2BDD"/>
    <w:rsid w:val="00ED2CB5"/>
    <w:rsid w:val="00ED3150"/>
    <w:rsid w:val="00ED35F0"/>
    <w:rsid w:val="00ED3766"/>
    <w:rsid w:val="00ED3867"/>
    <w:rsid w:val="00ED3909"/>
    <w:rsid w:val="00ED3ABE"/>
    <w:rsid w:val="00ED3C08"/>
    <w:rsid w:val="00ED3CA8"/>
    <w:rsid w:val="00ED3DB8"/>
    <w:rsid w:val="00ED4266"/>
    <w:rsid w:val="00ED467F"/>
    <w:rsid w:val="00ED4A71"/>
    <w:rsid w:val="00ED4F75"/>
    <w:rsid w:val="00ED51F6"/>
    <w:rsid w:val="00ED5247"/>
    <w:rsid w:val="00ED567E"/>
    <w:rsid w:val="00ED569C"/>
    <w:rsid w:val="00ED588E"/>
    <w:rsid w:val="00ED591A"/>
    <w:rsid w:val="00ED5B66"/>
    <w:rsid w:val="00ED5CBB"/>
    <w:rsid w:val="00ED6128"/>
    <w:rsid w:val="00ED624A"/>
    <w:rsid w:val="00ED65C9"/>
    <w:rsid w:val="00ED66D8"/>
    <w:rsid w:val="00ED66EC"/>
    <w:rsid w:val="00ED6CC0"/>
    <w:rsid w:val="00ED6F1F"/>
    <w:rsid w:val="00ED6FDA"/>
    <w:rsid w:val="00ED75E1"/>
    <w:rsid w:val="00ED7747"/>
    <w:rsid w:val="00ED7A8C"/>
    <w:rsid w:val="00ED7CE7"/>
    <w:rsid w:val="00ED7CF2"/>
    <w:rsid w:val="00ED7D25"/>
    <w:rsid w:val="00EE01AA"/>
    <w:rsid w:val="00EE0219"/>
    <w:rsid w:val="00EE04D0"/>
    <w:rsid w:val="00EE04F3"/>
    <w:rsid w:val="00EE0617"/>
    <w:rsid w:val="00EE0655"/>
    <w:rsid w:val="00EE076F"/>
    <w:rsid w:val="00EE08F7"/>
    <w:rsid w:val="00EE0AEB"/>
    <w:rsid w:val="00EE0EDE"/>
    <w:rsid w:val="00EE0FEF"/>
    <w:rsid w:val="00EE100F"/>
    <w:rsid w:val="00EE1269"/>
    <w:rsid w:val="00EE14E8"/>
    <w:rsid w:val="00EE1A0C"/>
    <w:rsid w:val="00EE1A34"/>
    <w:rsid w:val="00EE1F28"/>
    <w:rsid w:val="00EE207B"/>
    <w:rsid w:val="00EE221E"/>
    <w:rsid w:val="00EE26F2"/>
    <w:rsid w:val="00EE290E"/>
    <w:rsid w:val="00EE2AEC"/>
    <w:rsid w:val="00EE30B8"/>
    <w:rsid w:val="00EE30FA"/>
    <w:rsid w:val="00EE323D"/>
    <w:rsid w:val="00EE3516"/>
    <w:rsid w:val="00EE375F"/>
    <w:rsid w:val="00EE3A39"/>
    <w:rsid w:val="00EE3D35"/>
    <w:rsid w:val="00EE3F9E"/>
    <w:rsid w:val="00EE414B"/>
    <w:rsid w:val="00EE42A0"/>
    <w:rsid w:val="00EE42AD"/>
    <w:rsid w:val="00EE4512"/>
    <w:rsid w:val="00EE4879"/>
    <w:rsid w:val="00EE4918"/>
    <w:rsid w:val="00EE51BD"/>
    <w:rsid w:val="00EE53D5"/>
    <w:rsid w:val="00EE563A"/>
    <w:rsid w:val="00EE58F6"/>
    <w:rsid w:val="00EE5D70"/>
    <w:rsid w:val="00EE5D87"/>
    <w:rsid w:val="00EE5E37"/>
    <w:rsid w:val="00EE5F9A"/>
    <w:rsid w:val="00EE5FC5"/>
    <w:rsid w:val="00EE60B5"/>
    <w:rsid w:val="00EE613B"/>
    <w:rsid w:val="00EE63A4"/>
    <w:rsid w:val="00EE6487"/>
    <w:rsid w:val="00EE6811"/>
    <w:rsid w:val="00EE6833"/>
    <w:rsid w:val="00EE6F5E"/>
    <w:rsid w:val="00EE6FF6"/>
    <w:rsid w:val="00EE7036"/>
    <w:rsid w:val="00EE7374"/>
    <w:rsid w:val="00EE7653"/>
    <w:rsid w:val="00EE788C"/>
    <w:rsid w:val="00EE798A"/>
    <w:rsid w:val="00EE7A9C"/>
    <w:rsid w:val="00EE7AF9"/>
    <w:rsid w:val="00EF004A"/>
    <w:rsid w:val="00EF0318"/>
    <w:rsid w:val="00EF040C"/>
    <w:rsid w:val="00EF058F"/>
    <w:rsid w:val="00EF0612"/>
    <w:rsid w:val="00EF0AA0"/>
    <w:rsid w:val="00EF0B94"/>
    <w:rsid w:val="00EF0C83"/>
    <w:rsid w:val="00EF0CE2"/>
    <w:rsid w:val="00EF0F43"/>
    <w:rsid w:val="00EF0FF2"/>
    <w:rsid w:val="00EF1079"/>
    <w:rsid w:val="00EF11A4"/>
    <w:rsid w:val="00EF143E"/>
    <w:rsid w:val="00EF1687"/>
    <w:rsid w:val="00EF1885"/>
    <w:rsid w:val="00EF18FF"/>
    <w:rsid w:val="00EF2143"/>
    <w:rsid w:val="00EF2B6C"/>
    <w:rsid w:val="00EF2F3D"/>
    <w:rsid w:val="00EF2FEB"/>
    <w:rsid w:val="00EF300A"/>
    <w:rsid w:val="00EF310B"/>
    <w:rsid w:val="00EF354B"/>
    <w:rsid w:val="00EF354E"/>
    <w:rsid w:val="00EF36E0"/>
    <w:rsid w:val="00EF3D52"/>
    <w:rsid w:val="00EF3DF8"/>
    <w:rsid w:val="00EF3E10"/>
    <w:rsid w:val="00EF42A1"/>
    <w:rsid w:val="00EF43C5"/>
    <w:rsid w:val="00EF445E"/>
    <w:rsid w:val="00EF4609"/>
    <w:rsid w:val="00EF46A0"/>
    <w:rsid w:val="00EF48CE"/>
    <w:rsid w:val="00EF4A53"/>
    <w:rsid w:val="00EF4B2C"/>
    <w:rsid w:val="00EF4EAC"/>
    <w:rsid w:val="00EF50D9"/>
    <w:rsid w:val="00EF5310"/>
    <w:rsid w:val="00EF536B"/>
    <w:rsid w:val="00EF5625"/>
    <w:rsid w:val="00EF567B"/>
    <w:rsid w:val="00EF57C4"/>
    <w:rsid w:val="00EF5894"/>
    <w:rsid w:val="00EF5A0D"/>
    <w:rsid w:val="00EF5A2C"/>
    <w:rsid w:val="00EF5BFB"/>
    <w:rsid w:val="00EF5C9A"/>
    <w:rsid w:val="00EF5DDE"/>
    <w:rsid w:val="00EF5E09"/>
    <w:rsid w:val="00EF66BC"/>
    <w:rsid w:val="00EF66F8"/>
    <w:rsid w:val="00EF674B"/>
    <w:rsid w:val="00EF6BE8"/>
    <w:rsid w:val="00EF6E41"/>
    <w:rsid w:val="00EF6F45"/>
    <w:rsid w:val="00EF72F3"/>
    <w:rsid w:val="00EF7372"/>
    <w:rsid w:val="00EF75BD"/>
    <w:rsid w:val="00EF77C4"/>
    <w:rsid w:val="00EF77E8"/>
    <w:rsid w:val="00EF7855"/>
    <w:rsid w:val="00EF7CE2"/>
    <w:rsid w:val="00EF7ED4"/>
    <w:rsid w:val="00F00164"/>
    <w:rsid w:val="00F00685"/>
    <w:rsid w:val="00F00917"/>
    <w:rsid w:val="00F00A5A"/>
    <w:rsid w:val="00F00B30"/>
    <w:rsid w:val="00F00DA1"/>
    <w:rsid w:val="00F00F25"/>
    <w:rsid w:val="00F010B4"/>
    <w:rsid w:val="00F01100"/>
    <w:rsid w:val="00F01290"/>
    <w:rsid w:val="00F012C3"/>
    <w:rsid w:val="00F014D8"/>
    <w:rsid w:val="00F01591"/>
    <w:rsid w:val="00F0189A"/>
    <w:rsid w:val="00F01923"/>
    <w:rsid w:val="00F01C72"/>
    <w:rsid w:val="00F01F82"/>
    <w:rsid w:val="00F0201D"/>
    <w:rsid w:val="00F02079"/>
    <w:rsid w:val="00F02153"/>
    <w:rsid w:val="00F0259B"/>
    <w:rsid w:val="00F0287E"/>
    <w:rsid w:val="00F029D9"/>
    <w:rsid w:val="00F02B28"/>
    <w:rsid w:val="00F02EEA"/>
    <w:rsid w:val="00F03241"/>
    <w:rsid w:val="00F032BB"/>
    <w:rsid w:val="00F0362E"/>
    <w:rsid w:val="00F039C6"/>
    <w:rsid w:val="00F03A81"/>
    <w:rsid w:val="00F03C70"/>
    <w:rsid w:val="00F043CA"/>
    <w:rsid w:val="00F04652"/>
    <w:rsid w:val="00F0486C"/>
    <w:rsid w:val="00F04902"/>
    <w:rsid w:val="00F04983"/>
    <w:rsid w:val="00F049C6"/>
    <w:rsid w:val="00F04CCD"/>
    <w:rsid w:val="00F04FD8"/>
    <w:rsid w:val="00F05481"/>
    <w:rsid w:val="00F0585F"/>
    <w:rsid w:val="00F058E7"/>
    <w:rsid w:val="00F05C64"/>
    <w:rsid w:val="00F05EB5"/>
    <w:rsid w:val="00F05F6C"/>
    <w:rsid w:val="00F06463"/>
    <w:rsid w:val="00F064DB"/>
    <w:rsid w:val="00F0676B"/>
    <w:rsid w:val="00F0690B"/>
    <w:rsid w:val="00F069C9"/>
    <w:rsid w:val="00F06A51"/>
    <w:rsid w:val="00F06C98"/>
    <w:rsid w:val="00F06CFA"/>
    <w:rsid w:val="00F06E8D"/>
    <w:rsid w:val="00F07035"/>
    <w:rsid w:val="00F0716E"/>
    <w:rsid w:val="00F077BF"/>
    <w:rsid w:val="00F0788D"/>
    <w:rsid w:val="00F1059E"/>
    <w:rsid w:val="00F109DE"/>
    <w:rsid w:val="00F10A77"/>
    <w:rsid w:val="00F11706"/>
    <w:rsid w:val="00F1173B"/>
    <w:rsid w:val="00F119C4"/>
    <w:rsid w:val="00F11FF9"/>
    <w:rsid w:val="00F123DE"/>
    <w:rsid w:val="00F12529"/>
    <w:rsid w:val="00F1272D"/>
    <w:rsid w:val="00F12832"/>
    <w:rsid w:val="00F12E5A"/>
    <w:rsid w:val="00F12EB4"/>
    <w:rsid w:val="00F1392F"/>
    <w:rsid w:val="00F13B50"/>
    <w:rsid w:val="00F13D4A"/>
    <w:rsid w:val="00F14037"/>
    <w:rsid w:val="00F14489"/>
    <w:rsid w:val="00F14510"/>
    <w:rsid w:val="00F14B0F"/>
    <w:rsid w:val="00F14CE9"/>
    <w:rsid w:val="00F14E11"/>
    <w:rsid w:val="00F14E16"/>
    <w:rsid w:val="00F14F7C"/>
    <w:rsid w:val="00F15281"/>
    <w:rsid w:val="00F15529"/>
    <w:rsid w:val="00F15761"/>
    <w:rsid w:val="00F15929"/>
    <w:rsid w:val="00F15B27"/>
    <w:rsid w:val="00F15C08"/>
    <w:rsid w:val="00F15C46"/>
    <w:rsid w:val="00F15DBB"/>
    <w:rsid w:val="00F16371"/>
    <w:rsid w:val="00F165AA"/>
    <w:rsid w:val="00F16A1C"/>
    <w:rsid w:val="00F16AB6"/>
    <w:rsid w:val="00F16B57"/>
    <w:rsid w:val="00F16F24"/>
    <w:rsid w:val="00F16F3D"/>
    <w:rsid w:val="00F16F95"/>
    <w:rsid w:val="00F175A1"/>
    <w:rsid w:val="00F1771E"/>
    <w:rsid w:val="00F17754"/>
    <w:rsid w:val="00F17915"/>
    <w:rsid w:val="00F17E07"/>
    <w:rsid w:val="00F17EDD"/>
    <w:rsid w:val="00F2006A"/>
    <w:rsid w:val="00F20186"/>
    <w:rsid w:val="00F2041A"/>
    <w:rsid w:val="00F2073B"/>
    <w:rsid w:val="00F2088C"/>
    <w:rsid w:val="00F20DF4"/>
    <w:rsid w:val="00F20F84"/>
    <w:rsid w:val="00F21216"/>
    <w:rsid w:val="00F215B3"/>
    <w:rsid w:val="00F21688"/>
    <w:rsid w:val="00F21855"/>
    <w:rsid w:val="00F21A49"/>
    <w:rsid w:val="00F21F37"/>
    <w:rsid w:val="00F21FB9"/>
    <w:rsid w:val="00F222BD"/>
    <w:rsid w:val="00F2249A"/>
    <w:rsid w:val="00F22865"/>
    <w:rsid w:val="00F22CA7"/>
    <w:rsid w:val="00F22E9C"/>
    <w:rsid w:val="00F23539"/>
    <w:rsid w:val="00F235A4"/>
    <w:rsid w:val="00F2362B"/>
    <w:rsid w:val="00F23906"/>
    <w:rsid w:val="00F239D0"/>
    <w:rsid w:val="00F23C5D"/>
    <w:rsid w:val="00F23CE3"/>
    <w:rsid w:val="00F243C9"/>
    <w:rsid w:val="00F245E9"/>
    <w:rsid w:val="00F246A2"/>
    <w:rsid w:val="00F247E1"/>
    <w:rsid w:val="00F2510B"/>
    <w:rsid w:val="00F25496"/>
    <w:rsid w:val="00F254C1"/>
    <w:rsid w:val="00F259C0"/>
    <w:rsid w:val="00F25A29"/>
    <w:rsid w:val="00F25F99"/>
    <w:rsid w:val="00F26092"/>
    <w:rsid w:val="00F26093"/>
    <w:rsid w:val="00F2609F"/>
    <w:rsid w:val="00F260D6"/>
    <w:rsid w:val="00F26152"/>
    <w:rsid w:val="00F261C1"/>
    <w:rsid w:val="00F2625A"/>
    <w:rsid w:val="00F2676A"/>
    <w:rsid w:val="00F26930"/>
    <w:rsid w:val="00F26DC1"/>
    <w:rsid w:val="00F26F24"/>
    <w:rsid w:val="00F26F2E"/>
    <w:rsid w:val="00F272D4"/>
    <w:rsid w:val="00F2732E"/>
    <w:rsid w:val="00F273CF"/>
    <w:rsid w:val="00F2743B"/>
    <w:rsid w:val="00F27540"/>
    <w:rsid w:val="00F2783D"/>
    <w:rsid w:val="00F278F0"/>
    <w:rsid w:val="00F279F3"/>
    <w:rsid w:val="00F27FE3"/>
    <w:rsid w:val="00F30A28"/>
    <w:rsid w:val="00F30F31"/>
    <w:rsid w:val="00F3140C"/>
    <w:rsid w:val="00F316E0"/>
    <w:rsid w:val="00F317F8"/>
    <w:rsid w:val="00F325C8"/>
    <w:rsid w:val="00F3276F"/>
    <w:rsid w:val="00F32A3D"/>
    <w:rsid w:val="00F32B63"/>
    <w:rsid w:val="00F32E2A"/>
    <w:rsid w:val="00F33553"/>
    <w:rsid w:val="00F3370C"/>
    <w:rsid w:val="00F337A7"/>
    <w:rsid w:val="00F337C9"/>
    <w:rsid w:val="00F33C04"/>
    <w:rsid w:val="00F33E78"/>
    <w:rsid w:val="00F3433A"/>
    <w:rsid w:val="00F34369"/>
    <w:rsid w:val="00F3449C"/>
    <w:rsid w:val="00F34AC7"/>
    <w:rsid w:val="00F35133"/>
    <w:rsid w:val="00F35271"/>
    <w:rsid w:val="00F3547C"/>
    <w:rsid w:val="00F359E2"/>
    <w:rsid w:val="00F35BD3"/>
    <w:rsid w:val="00F35C5A"/>
    <w:rsid w:val="00F35FD5"/>
    <w:rsid w:val="00F3611B"/>
    <w:rsid w:val="00F36198"/>
    <w:rsid w:val="00F36897"/>
    <w:rsid w:val="00F36C54"/>
    <w:rsid w:val="00F36E71"/>
    <w:rsid w:val="00F376F3"/>
    <w:rsid w:val="00F3773C"/>
    <w:rsid w:val="00F3778B"/>
    <w:rsid w:val="00F37CBB"/>
    <w:rsid w:val="00F37DA1"/>
    <w:rsid w:val="00F37F28"/>
    <w:rsid w:val="00F4021E"/>
    <w:rsid w:val="00F40394"/>
    <w:rsid w:val="00F40480"/>
    <w:rsid w:val="00F406A1"/>
    <w:rsid w:val="00F4091A"/>
    <w:rsid w:val="00F40C4A"/>
    <w:rsid w:val="00F411A0"/>
    <w:rsid w:val="00F41225"/>
    <w:rsid w:val="00F41524"/>
    <w:rsid w:val="00F41577"/>
    <w:rsid w:val="00F4187B"/>
    <w:rsid w:val="00F4197F"/>
    <w:rsid w:val="00F41A07"/>
    <w:rsid w:val="00F41CFE"/>
    <w:rsid w:val="00F41EBE"/>
    <w:rsid w:val="00F42294"/>
    <w:rsid w:val="00F423EA"/>
    <w:rsid w:val="00F4244A"/>
    <w:rsid w:val="00F426B6"/>
    <w:rsid w:val="00F42750"/>
    <w:rsid w:val="00F42948"/>
    <w:rsid w:val="00F42C89"/>
    <w:rsid w:val="00F42CBB"/>
    <w:rsid w:val="00F438B2"/>
    <w:rsid w:val="00F43C8A"/>
    <w:rsid w:val="00F43CB6"/>
    <w:rsid w:val="00F43E55"/>
    <w:rsid w:val="00F442F5"/>
    <w:rsid w:val="00F44609"/>
    <w:rsid w:val="00F4472E"/>
    <w:rsid w:val="00F44839"/>
    <w:rsid w:val="00F44C01"/>
    <w:rsid w:val="00F451F7"/>
    <w:rsid w:val="00F4541B"/>
    <w:rsid w:val="00F454F4"/>
    <w:rsid w:val="00F4577A"/>
    <w:rsid w:val="00F45C7D"/>
    <w:rsid w:val="00F45CA5"/>
    <w:rsid w:val="00F46247"/>
    <w:rsid w:val="00F4636F"/>
    <w:rsid w:val="00F4676B"/>
    <w:rsid w:val="00F46EBB"/>
    <w:rsid w:val="00F47119"/>
    <w:rsid w:val="00F47152"/>
    <w:rsid w:val="00F4715C"/>
    <w:rsid w:val="00F47705"/>
    <w:rsid w:val="00F47800"/>
    <w:rsid w:val="00F47856"/>
    <w:rsid w:val="00F479E2"/>
    <w:rsid w:val="00F47B15"/>
    <w:rsid w:val="00F47D24"/>
    <w:rsid w:val="00F47F34"/>
    <w:rsid w:val="00F50019"/>
    <w:rsid w:val="00F50164"/>
    <w:rsid w:val="00F502D6"/>
    <w:rsid w:val="00F503D1"/>
    <w:rsid w:val="00F5084E"/>
    <w:rsid w:val="00F50923"/>
    <w:rsid w:val="00F50947"/>
    <w:rsid w:val="00F50B4F"/>
    <w:rsid w:val="00F50D1E"/>
    <w:rsid w:val="00F50F86"/>
    <w:rsid w:val="00F510BC"/>
    <w:rsid w:val="00F512DE"/>
    <w:rsid w:val="00F51357"/>
    <w:rsid w:val="00F51429"/>
    <w:rsid w:val="00F51CC9"/>
    <w:rsid w:val="00F51E80"/>
    <w:rsid w:val="00F5201C"/>
    <w:rsid w:val="00F5256F"/>
    <w:rsid w:val="00F52634"/>
    <w:rsid w:val="00F527F3"/>
    <w:rsid w:val="00F53101"/>
    <w:rsid w:val="00F5325D"/>
    <w:rsid w:val="00F5328B"/>
    <w:rsid w:val="00F53652"/>
    <w:rsid w:val="00F5385E"/>
    <w:rsid w:val="00F539CA"/>
    <w:rsid w:val="00F53C11"/>
    <w:rsid w:val="00F53EEF"/>
    <w:rsid w:val="00F53FA9"/>
    <w:rsid w:val="00F5413E"/>
    <w:rsid w:val="00F54293"/>
    <w:rsid w:val="00F54321"/>
    <w:rsid w:val="00F54379"/>
    <w:rsid w:val="00F54600"/>
    <w:rsid w:val="00F547AE"/>
    <w:rsid w:val="00F5481D"/>
    <w:rsid w:val="00F548F9"/>
    <w:rsid w:val="00F54F2D"/>
    <w:rsid w:val="00F55161"/>
    <w:rsid w:val="00F55350"/>
    <w:rsid w:val="00F560A9"/>
    <w:rsid w:val="00F5660D"/>
    <w:rsid w:val="00F56680"/>
    <w:rsid w:val="00F5690F"/>
    <w:rsid w:val="00F56B30"/>
    <w:rsid w:val="00F56E1E"/>
    <w:rsid w:val="00F56F57"/>
    <w:rsid w:val="00F5713C"/>
    <w:rsid w:val="00F576AF"/>
    <w:rsid w:val="00F57997"/>
    <w:rsid w:val="00F60102"/>
    <w:rsid w:val="00F609CD"/>
    <w:rsid w:val="00F60EEC"/>
    <w:rsid w:val="00F610D4"/>
    <w:rsid w:val="00F61318"/>
    <w:rsid w:val="00F61437"/>
    <w:rsid w:val="00F6158A"/>
    <w:rsid w:val="00F61739"/>
    <w:rsid w:val="00F6195C"/>
    <w:rsid w:val="00F61B06"/>
    <w:rsid w:val="00F61B6A"/>
    <w:rsid w:val="00F61F74"/>
    <w:rsid w:val="00F621D0"/>
    <w:rsid w:val="00F6243C"/>
    <w:rsid w:val="00F62504"/>
    <w:rsid w:val="00F62626"/>
    <w:rsid w:val="00F6271D"/>
    <w:rsid w:val="00F628E9"/>
    <w:rsid w:val="00F62D39"/>
    <w:rsid w:val="00F62E4E"/>
    <w:rsid w:val="00F630AE"/>
    <w:rsid w:val="00F636FB"/>
    <w:rsid w:val="00F6392D"/>
    <w:rsid w:val="00F63DF8"/>
    <w:rsid w:val="00F63E1F"/>
    <w:rsid w:val="00F63EC0"/>
    <w:rsid w:val="00F6413B"/>
    <w:rsid w:val="00F64148"/>
    <w:rsid w:val="00F64543"/>
    <w:rsid w:val="00F6468E"/>
    <w:rsid w:val="00F647EF"/>
    <w:rsid w:val="00F64A96"/>
    <w:rsid w:val="00F64C0C"/>
    <w:rsid w:val="00F64C80"/>
    <w:rsid w:val="00F64D6A"/>
    <w:rsid w:val="00F64D75"/>
    <w:rsid w:val="00F64E92"/>
    <w:rsid w:val="00F65628"/>
    <w:rsid w:val="00F656EF"/>
    <w:rsid w:val="00F65CA2"/>
    <w:rsid w:val="00F65D89"/>
    <w:rsid w:val="00F65DBC"/>
    <w:rsid w:val="00F6637F"/>
    <w:rsid w:val="00F66415"/>
    <w:rsid w:val="00F666FD"/>
    <w:rsid w:val="00F6684C"/>
    <w:rsid w:val="00F669CE"/>
    <w:rsid w:val="00F66C55"/>
    <w:rsid w:val="00F66CE0"/>
    <w:rsid w:val="00F66D4A"/>
    <w:rsid w:val="00F66D57"/>
    <w:rsid w:val="00F67044"/>
    <w:rsid w:val="00F670EC"/>
    <w:rsid w:val="00F6726A"/>
    <w:rsid w:val="00F6735F"/>
    <w:rsid w:val="00F67461"/>
    <w:rsid w:val="00F674EC"/>
    <w:rsid w:val="00F67515"/>
    <w:rsid w:val="00F677F3"/>
    <w:rsid w:val="00F67B3D"/>
    <w:rsid w:val="00F67BB5"/>
    <w:rsid w:val="00F67C9E"/>
    <w:rsid w:val="00F702CF"/>
    <w:rsid w:val="00F70593"/>
    <w:rsid w:val="00F705FC"/>
    <w:rsid w:val="00F7061E"/>
    <w:rsid w:val="00F710BE"/>
    <w:rsid w:val="00F71B37"/>
    <w:rsid w:val="00F71C79"/>
    <w:rsid w:val="00F72295"/>
    <w:rsid w:val="00F7244E"/>
    <w:rsid w:val="00F724FC"/>
    <w:rsid w:val="00F72855"/>
    <w:rsid w:val="00F7289E"/>
    <w:rsid w:val="00F728C2"/>
    <w:rsid w:val="00F728EB"/>
    <w:rsid w:val="00F72AC1"/>
    <w:rsid w:val="00F72B8F"/>
    <w:rsid w:val="00F72F09"/>
    <w:rsid w:val="00F73123"/>
    <w:rsid w:val="00F732F0"/>
    <w:rsid w:val="00F73AD5"/>
    <w:rsid w:val="00F73C3C"/>
    <w:rsid w:val="00F74309"/>
    <w:rsid w:val="00F744D0"/>
    <w:rsid w:val="00F7497F"/>
    <w:rsid w:val="00F74C10"/>
    <w:rsid w:val="00F74E4D"/>
    <w:rsid w:val="00F74EB8"/>
    <w:rsid w:val="00F74EEF"/>
    <w:rsid w:val="00F74F54"/>
    <w:rsid w:val="00F74FBB"/>
    <w:rsid w:val="00F75392"/>
    <w:rsid w:val="00F75421"/>
    <w:rsid w:val="00F75596"/>
    <w:rsid w:val="00F75F81"/>
    <w:rsid w:val="00F75FB7"/>
    <w:rsid w:val="00F7671F"/>
    <w:rsid w:val="00F76B31"/>
    <w:rsid w:val="00F76C29"/>
    <w:rsid w:val="00F76F52"/>
    <w:rsid w:val="00F76F6C"/>
    <w:rsid w:val="00F76F91"/>
    <w:rsid w:val="00F77425"/>
    <w:rsid w:val="00F77794"/>
    <w:rsid w:val="00F77828"/>
    <w:rsid w:val="00F80475"/>
    <w:rsid w:val="00F80499"/>
    <w:rsid w:val="00F80BDC"/>
    <w:rsid w:val="00F80E55"/>
    <w:rsid w:val="00F80F67"/>
    <w:rsid w:val="00F8138B"/>
    <w:rsid w:val="00F818A4"/>
    <w:rsid w:val="00F818E3"/>
    <w:rsid w:val="00F81D72"/>
    <w:rsid w:val="00F82067"/>
    <w:rsid w:val="00F82144"/>
    <w:rsid w:val="00F82445"/>
    <w:rsid w:val="00F82602"/>
    <w:rsid w:val="00F82AC5"/>
    <w:rsid w:val="00F82B7A"/>
    <w:rsid w:val="00F82C9A"/>
    <w:rsid w:val="00F82DB8"/>
    <w:rsid w:val="00F82EFC"/>
    <w:rsid w:val="00F82F04"/>
    <w:rsid w:val="00F83081"/>
    <w:rsid w:val="00F839EB"/>
    <w:rsid w:val="00F8403A"/>
    <w:rsid w:val="00F84064"/>
    <w:rsid w:val="00F8433A"/>
    <w:rsid w:val="00F843E1"/>
    <w:rsid w:val="00F8454E"/>
    <w:rsid w:val="00F845AE"/>
    <w:rsid w:val="00F84696"/>
    <w:rsid w:val="00F846DA"/>
    <w:rsid w:val="00F84890"/>
    <w:rsid w:val="00F84919"/>
    <w:rsid w:val="00F850D4"/>
    <w:rsid w:val="00F85929"/>
    <w:rsid w:val="00F8597F"/>
    <w:rsid w:val="00F859C3"/>
    <w:rsid w:val="00F85D24"/>
    <w:rsid w:val="00F85DE5"/>
    <w:rsid w:val="00F85E67"/>
    <w:rsid w:val="00F8646C"/>
    <w:rsid w:val="00F86ADC"/>
    <w:rsid w:val="00F86C68"/>
    <w:rsid w:val="00F86C70"/>
    <w:rsid w:val="00F86EE2"/>
    <w:rsid w:val="00F87212"/>
    <w:rsid w:val="00F8737C"/>
    <w:rsid w:val="00F87767"/>
    <w:rsid w:val="00F877ED"/>
    <w:rsid w:val="00F87D2C"/>
    <w:rsid w:val="00F87E5C"/>
    <w:rsid w:val="00F87EB9"/>
    <w:rsid w:val="00F87FA1"/>
    <w:rsid w:val="00F9007D"/>
    <w:rsid w:val="00F902EF"/>
    <w:rsid w:val="00F9082D"/>
    <w:rsid w:val="00F9087D"/>
    <w:rsid w:val="00F908F4"/>
    <w:rsid w:val="00F90C42"/>
    <w:rsid w:val="00F90DD0"/>
    <w:rsid w:val="00F910D1"/>
    <w:rsid w:val="00F91429"/>
    <w:rsid w:val="00F915E6"/>
    <w:rsid w:val="00F9192D"/>
    <w:rsid w:val="00F91AA4"/>
    <w:rsid w:val="00F91E2C"/>
    <w:rsid w:val="00F91EE1"/>
    <w:rsid w:val="00F92130"/>
    <w:rsid w:val="00F925B7"/>
    <w:rsid w:val="00F925BF"/>
    <w:rsid w:val="00F92781"/>
    <w:rsid w:val="00F92AAA"/>
    <w:rsid w:val="00F92B04"/>
    <w:rsid w:val="00F92E80"/>
    <w:rsid w:val="00F92F27"/>
    <w:rsid w:val="00F930FE"/>
    <w:rsid w:val="00F93108"/>
    <w:rsid w:val="00F9346A"/>
    <w:rsid w:val="00F935B1"/>
    <w:rsid w:val="00F936FE"/>
    <w:rsid w:val="00F93987"/>
    <w:rsid w:val="00F93BC1"/>
    <w:rsid w:val="00F93E04"/>
    <w:rsid w:val="00F93E28"/>
    <w:rsid w:val="00F93E57"/>
    <w:rsid w:val="00F94148"/>
    <w:rsid w:val="00F941F8"/>
    <w:rsid w:val="00F94353"/>
    <w:rsid w:val="00F944FD"/>
    <w:rsid w:val="00F945D0"/>
    <w:rsid w:val="00F94749"/>
    <w:rsid w:val="00F949D3"/>
    <w:rsid w:val="00F949EE"/>
    <w:rsid w:val="00F94B94"/>
    <w:rsid w:val="00F94C26"/>
    <w:rsid w:val="00F94D37"/>
    <w:rsid w:val="00F94E9C"/>
    <w:rsid w:val="00F953B7"/>
    <w:rsid w:val="00F953F0"/>
    <w:rsid w:val="00F9556C"/>
    <w:rsid w:val="00F956B6"/>
    <w:rsid w:val="00F9586B"/>
    <w:rsid w:val="00F959AB"/>
    <w:rsid w:val="00F959E1"/>
    <w:rsid w:val="00F95B15"/>
    <w:rsid w:val="00F95BE6"/>
    <w:rsid w:val="00F95D5C"/>
    <w:rsid w:val="00F960E5"/>
    <w:rsid w:val="00F962D8"/>
    <w:rsid w:val="00F96675"/>
    <w:rsid w:val="00F96817"/>
    <w:rsid w:val="00F96B5A"/>
    <w:rsid w:val="00F96BED"/>
    <w:rsid w:val="00F96C5C"/>
    <w:rsid w:val="00F973D4"/>
    <w:rsid w:val="00F974E0"/>
    <w:rsid w:val="00F974F7"/>
    <w:rsid w:val="00F97818"/>
    <w:rsid w:val="00F97BEB"/>
    <w:rsid w:val="00F97DEC"/>
    <w:rsid w:val="00F97E40"/>
    <w:rsid w:val="00F97E66"/>
    <w:rsid w:val="00F97ED3"/>
    <w:rsid w:val="00FA05CD"/>
    <w:rsid w:val="00FA0D69"/>
    <w:rsid w:val="00FA0FFF"/>
    <w:rsid w:val="00FA1295"/>
    <w:rsid w:val="00FA13E4"/>
    <w:rsid w:val="00FA1706"/>
    <w:rsid w:val="00FA184E"/>
    <w:rsid w:val="00FA19F1"/>
    <w:rsid w:val="00FA1B58"/>
    <w:rsid w:val="00FA2057"/>
    <w:rsid w:val="00FA2127"/>
    <w:rsid w:val="00FA23F2"/>
    <w:rsid w:val="00FA24B6"/>
    <w:rsid w:val="00FA266E"/>
    <w:rsid w:val="00FA2B5E"/>
    <w:rsid w:val="00FA2B8D"/>
    <w:rsid w:val="00FA2CB5"/>
    <w:rsid w:val="00FA3076"/>
    <w:rsid w:val="00FA3702"/>
    <w:rsid w:val="00FA3ACE"/>
    <w:rsid w:val="00FA40E1"/>
    <w:rsid w:val="00FA41B9"/>
    <w:rsid w:val="00FA453D"/>
    <w:rsid w:val="00FA460C"/>
    <w:rsid w:val="00FA4D0A"/>
    <w:rsid w:val="00FA4D57"/>
    <w:rsid w:val="00FA50E0"/>
    <w:rsid w:val="00FA5144"/>
    <w:rsid w:val="00FA5830"/>
    <w:rsid w:val="00FA59E3"/>
    <w:rsid w:val="00FA5DF2"/>
    <w:rsid w:val="00FA5F8A"/>
    <w:rsid w:val="00FA60BF"/>
    <w:rsid w:val="00FA629B"/>
    <w:rsid w:val="00FA63FD"/>
    <w:rsid w:val="00FA6404"/>
    <w:rsid w:val="00FA6B2A"/>
    <w:rsid w:val="00FA6DE7"/>
    <w:rsid w:val="00FA6F6E"/>
    <w:rsid w:val="00FA6F91"/>
    <w:rsid w:val="00FA70A7"/>
    <w:rsid w:val="00FA71D4"/>
    <w:rsid w:val="00FA72A0"/>
    <w:rsid w:val="00FA72A1"/>
    <w:rsid w:val="00FA742A"/>
    <w:rsid w:val="00FA7651"/>
    <w:rsid w:val="00FA7742"/>
    <w:rsid w:val="00FA7829"/>
    <w:rsid w:val="00FA7E70"/>
    <w:rsid w:val="00FA7FFA"/>
    <w:rsid w:val="00FB018F"/>
    <w:rsid w:val="00FB036B"/>
    <w:rsid w:val="00FB0439"/>
    <w:rsid w:val="00FB057F"/>
    <w:rsid w:val="00FB0669"/>
    <w:rsid w:val="00FB0747"/>
    <w:rsid w:val="00FB0993"/>
    <w:rsid w:val="00FB0AD8"/>
    <w:rsid w:val="00FB0D17"/>
    <w:rsid w:val="00FB0D27"/>
    <w:rsid w:val="00FB0D7A"/>
    <w:rsid w:val="00FB11BF"/>
    <w:rsid w:val="00FB11C0"/>
    <w:rsid w:val="00FB174D"/>
    <w:rsid w:val="00FB1C26"/>
    <w:rsid w:val="00FB254F"/>
    <w:rsid w:val="00FB25F4"/>
    <w:rsid w:val="00FB2841"/>
    <w:rsid w:val="00FB295C"/>
    <w:rsid w:val="00FB29AC"/>
    <w:rsid w:val="00FB2ACF"/>
    <w:rsid w:val="00FB2B4C"/>
    <w:rsid w:val="00FB2C90"/>
    <w:rsid w:val="00FB33EB"/>
    <w:rsid w:val="00FB3A26"/>
    <w:rsid w:val="00FB3A93"/>
    <w:rsid w:val="00FB3B78"/>
    <w:rsid w:val="00FB4334"/>
    <w:rsid w:val="00FB465B"/>
    <w:rsid w:val="00FB4D4C"/>
    <w:rsid w:val="00FB4D53"/>
    <w:rsid w:val="00FB4E7D"/>
    <w:rsid w:val="00FB521C"/>
    <w:rsid w:val="00FB5648"/>
    <w:rsid w:val="00FB599F"/>
    <w:rsid w:val="00FB62BD"/>
    <w:rsid w:val="00FB67A8"/>
    <w:rsid w:val="00FB6A5D"/>
    <w:rsid w:val="00FB6BAD"/>
    <w:rsid w:val="00FB6C70"/>
    <w:rsid w:val="00FB70C8"/>
    <w:rsid w:val="00FB71C8"/>
    <w:rsid w:val="00FB76C4"/>
    <w:rsid w:val="00FB77E2"/>
    <w:rsid w:val="00FB7A4B"/>
    <w:rsid w:val="00FB7F59"/>
    <w:rsid w:val="00FB7F64"/>
    <w:rsid w:val="00FC05BE"/>
    <w:rsid w:val="00FC091B"/>
    <w:rsid w:val="00FC0D9B"/>
    <w:rsid w:val="00FC10FD"/>
    <w:rsid w:val="00FC15EA"/>
    <w:rsid w:val="00FC1621"/>
    <w:rsid w:val="00FC1EB2"/>
    <w:rsid w:val="00FC2386"/>
    <w:rsid w:val="00FC25CD"/>
    <w:rsid w:val="00FC26A1"/>
    <w:rsid w:val="00FC279B"/>
    <w:rsid w:val="00FC2AA8"/>
    <w:rsid w:val="00FC2DED"/>
    <w:rsid w:val="00FC2E02"/>
    <w:rsid w:val="00FC2E6A"/>
    <w:rsid w:val="00FC2E76"/>
    <w:rsid w:val="00FC3332"/>
    <w:rsid w:val="00FC34D5"/>
    <w:rsid w:val="00FC3BB8"/>
    <w:rsid w:val="00FC3E49"/>
    <w:rsid w:val="00FC3E7B"/>
    <w:rsid w:val="00FC40CF"/>
    <w:rsid w:val="00FC4492"/>
    <w:rsid w:val="00FC4662"/>
    <w:rsid w:val="00FC4781"/>
    <w:rsid w:val="00FC4863"/>
    <w:rsid w:val="00FC4A3A"/>
    <w:rsid w:val="00FC4CF2"/>
    <w:rsid w:val="00FC4ECB"/>
    <w:rsid w:val="00FC4FC0"/>
    <w:rsid w:val="00FC5495"/>
    <w:rsid w:val="00FC568D"/>
    <w:rsid w:val="00FC573E"/>
    <w:rsid w:val="00FC5968"/>
    <w:rsid w:val="00FC5E40"/>
    <w:rsid w:val="00FC5E61"/>
    <w:rsid w:val="00FC5EDC"/>
    <w:rsid w:val="00FC5FCE"/>
    <w:rsid w:val="00FC6013"/>
    <w:rsid w:val="00FC619A"/>
    <w:rsid w:val="00FC6309"/>
    <w:rsid w:val="00FC6531"/>
    <w:rsid w:val="00FC67B4"/>
    <w:rsid w:val="00FC67E2"/>
    <w:rsid w:val="00FC693B"/>
    <w:rsid w:val="00FC69BB"/>
    <w:rsid w:val="00FC6C83"/>
    <w:rsid w:val="00FC6D59"/>
    <w:rsid w:val="00FC6DB3"/>
    <w:rsid w:val="00FC6FC5"/>
    <w:rsid w:val="00FC70DB"/>
    <w:rsid w:val="00FC7418"/>
    <w:rsid w:val="00FC764F"/>
    <w:rsid w:val="00FC7B98"/>
    <w:rsid w:val="00FC7C37"/>
    <w:rsid w:val="00FC7FBC"/>
    <w:rsid w:val="00FD012C"/>
    <w:rsid w:val="00FD014B"/>
    <w:rsid w:val="00FD060C"/>
    <w:rsid w:val="00FD0A36"/>
    <w:rsid w:val="00FD1026"/>
    <w:rsid w:val="00FD1164"/>
    <w:rsid w:val="00FD1211"/>
    <w:rsid w:val="00FD1377"/>
    <w:rsid w:val="00FD1473"/>
    <w:rsid w:val="00FD172B"/>
    <w:rsid w:val="00FD1754"/>
    <w:rsid w:val="00FD18E1"/>
    <w:rsid w:val="00FD1D9C"/>
    <w:rsid w:val="00FD1DD0"/>
    <w:rsid w:val="00FD1E3B"/>
    <w:rsid w:val="00FD1EE5"/>
    <w:rsid w:val="00FD2156"/>
    <w:rsid w:val="00FD2573"/>
    <w:rsid w:val="00FD2A9A"/>
    <w:rsid w:val="00FD2DC6"/>
    <w:rsid w:val="00FD302E"/>
    <w:rsid w:val="00FD33DF"/>
    <w:rsid w:val="00FD358F"/>
    <w:rsid w:val="00FD36EB"/>
    <w:rsid w:val="00FD3909"/>
    <w:rsid w:val="00FD3953"/>
    <w:rsid w:val="00FD3BEC"/>
    <w:rsid w:val="00FD4193"/>
    <w:rsid w:val="00FD43D9"/>
    <w:rsid w:val="00FD4809"/>
    <w:rsid w:val="00FD4CDA"/>
    <w:rsid w:val="00FD4E05"/>
    <w:rsid w:val="00FD51ED"/>
    <w:rsid w:val="00FD5254"/>
    <w:rsid w:val="00FD5459"/>
    <w:rsid w:val="00FD5A62"/>
    <w:rsid w:val="00FD5B7A"/>
    <w:rsid w:val="00FD5D6F"/>
    <w:rsid w:val="00FD5F11"/>
    <w:rsid w:val="00FD6356"/>
    <w:rsid w:val="00FD65BD"/>
    <w:rsid w:val="00FD6702"/>
    <w:rsid w:val="00FD6ABC"/>
    <w:rsid w:val="00FD6BA0"/>
    <w:rsid w:val="00FD6D72"/>
    <w:rsid w:val="00FD6F7E"/>
    <w:rsid w:val="00FD707D"/>
    <w:rsid w:val="00FD7D84"/>
    <w:rsid w:val="00FD7E6C"/>
    <w:rsid w:val="00FE012C"/>
    <w:rsid w:val="00FE03B4"/>
    <w:rsid w:val="00FE0481"/>
    <w:rsid w:val="00FE05A3"/>
    <w:rsid w:val="00FE0A93"/>
    <w:rsid w:val="00FE0BB4"/>
    <w:rsid w:val="00FE0E11"/>
    <w:rsid w:val="00FE0F0E"/>
    <w:rsid w:val="00FE1111"/>
    <w:rsid w:val="00FE11DC"/>
    <w:rsid w:val="00FE1380"/>
    <w:rsid w:val="00FE152D"/>
    <w:rsid w:val="00FE20BD"/>
    <w:rsid w:val="00FE24A1"/>
    <w:rsid w:val="00FE2522"/>
    <w:rsid w:val="00FE2616"/>
    <w:rsid w:val="00FE2758"/>
    <w:rsid w:val="00FE277E"/>
    <w:rsid w:val="00FE2967"/>
    <w:rsid w:val="00FE2FCF"/>
    <w:rsid w:val="00FE2FDF"/>
    <w:rsid w:val="00FE3060"/>
    <w:rsid w:val="00FE338C"/>
    <w:rsid w:val="00FE35A0"/>
    <w:rsid w:val="00FE382D"/>
    <w:rsid w:val="00FE3A68"/>
    <w:rsid w:val="00FE3B8A"/>
    <w:rsid w:val="00FE3BC1"/>
    <w:rsid w:val="00FE3EE9"/>
    <w:rsid w:val="00FE3F10"/>
    <w:rsid w:val="00FE402D"/>
    <w:rsid w:val="00FE42BC"/>
    <w:rsid w:val="00FE4477"/>
    <w:rsid w:val="00FE44A7"/>
    <w:rsid w:val="00FE4769"/>
    <w:rsid w:val="00FE4A5F"/>
    <w:rsid w:val="00FE4AF8"/>
    <w:rsid w:val="00FE4BD6"/>
    <w:rsid w:val="00FE50A5"/>
    <w:rsid w:val="00FE5844"/>
    <w:rsid w:val="00FE5940"/>
    <w:rsid w:val="00FE5A7B"/>
    <w:rsid w:val="00FE5B07"/>
    <w:rsid w:val="00FE5CA2"/>
    <w:rsid w:val="00FE5D5D"/>
    <w:rsid w:val="00FE5EC3"/>
    <w:rsid w:val="00FE5EE5"/>
    <w:rsid w:val="00FE5F63"/>
    <w:rsid w:val="00FE5FD1"/>
    <w:rsid w:val="00FE6229"/>
    <w:rsid w:val="00FE62CD"/>
    <w:rsid w:val="00FE6595"/>
    <w:rsid w:val="00FE675C"/>
    <w:rsid w:val="00FE69E0"/>
    <w:rsid w:val="00FE6E24"/>
    <w:rsid w:val="00FE7057"/>
    <w:rsid w:val="00FE7330"/>
    <w:rsid w:val="00FE74DE"/>
    <w:rsid w:val="00FE751E"/>
    <w:rsid w:val="00FE763E"/>
    <w:rsid w:val="00FE76E0"/>
    <w:rsid w:val="00FE776F"/>
    <w:rsid w:val="00FE77AA"/>
    <w:rsid w:val="00FE7843"/>
    <w:rsid w:val="00FE7B8E"/>
    <w:rsid w:val="00FE7E12"/>
    <w:rsid w:val="00FE7FDC"/>
    <w:rsid w:val="00FE7FED"/>
    <w:rsid w:val="00FF01B2"/>
    <w:rsid w:val="00FF0217"/>
    <w:rsid w:val="00FF05E4"/>
    <w:rsid w:val="00FF0829"/>
    <w:rsid w:val="00FF0ABB"/>
    <w:rsid w:val="00FF0ACF"/>
    <w:rsid w:val="00FF0F06"/>
    <w:rsid w:val="00FF0F38"/>
    <w:rsid w:val="00FF0F72"/>
    <w:rsid w:val="00FF130C"/>
    <w:rsid w:val="00FF1354"/>
    <w:rsid w:val="00FF14DC"/>
    <w:rsid w:val="00FF1738"/>
    <w:rsid w:val="00FF1933"/>
    <w:rsid w:val="00FF1AAB"/>
    <w:rsid w:val="00FF21FC"/>
    <w:rsid w:val="00FF2280"/>
    <w:rsid w:val="00FF2400"/>
    <w:rsid w:val="00FF2C8C"/>
    <w:rsid w:val="00FF36FE"/>
    <w:rsid w:val="00FF3B8C"/>
    <w:rsid w:val="00FF4001"/>
    <w:rsid w:val="00FF410C"/>
    <w:rsid w:val="00FF4224"/>
    <w:rsid w:val="00FF499E"/>
    <w:rsid w:val="00FF5129"/>
    <w:rsid w:val="00FF5236"/>
    <w:rsid w:val="00FF5446"/>
    <w:rsid w:val="00FF56A0"/>
    <w:rsid w:val="00FF5807"/>
    <w:rsid w:val="00FF5A6A"/>
    <w:rsid w:val="00FF5F73"/>
    <w:rsid w:val="00FF6198"/>
    <w:rsid w:val="00FF6398"/>
    <w:rsid w:val="00FF6590"/>
    <w:rsid w:val="00FF6654"/>
    <w:rsid w:val="00FF69AB"/>
    <w:rsid w:val="00FF6AD1"/>
    <w:rsid w:val="00FF6B50"/>
    <w:rsid w:val="00FF6C72"/>
    <w:rsid w:val="00FF6CA9"/>
    <w:rsid w:val="00FF6CBC"/>
    <w:rsid w:val="00FF6E5E"/>
    <w:rsid w:val="00FF710C"/>
    <w:rsid w:val="00FF739B"/>
    <w:rsid w:val="00FF7477"/>
    <w:rsid w:val="00FF789D"/>
    <w:rsid w:val="00FF79C4"/>
    <w:rsid w:val="00FF7DCB"/>
    <w:rsid w:val="00FF7F4B"/>
    <w:rsid w:val="00FF7F5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37647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ZA" w:eastAsia="en-ZA" w:bidi="ar-SA"/>
      </w:rPr>
    </w:rPrDefault>
    <w:pPrDefault>
      <w:pPr>
        <w:spacing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2AEC"/>
    <w:rPr>
      <w:rFonts w:ascii="Calibri" w:hAnsi="Calibri"/>
      <w:sz w:val="22"/>
      <w:lang w:eastAsia="en-US"/>
    </w:rPr>
  </w:style>
  <w:style w:type="paragraph" w:styleId="Heading1">
    <w:name w:val="heading 1"/>
    <w:basedOn w:val="Normal"/>
    <w:next w:val="Normal"/>
    <w:link w:val="Heading1Char"/>
    <w:uiPriority w:val="9"/>
    <w:qFormat/>
    <w:rsid w:val="006D1D93"/>
    <w:pPr>
      <w:keepNext/>
      <w:numPr>
        <w:numId w:val="1"/>
      </w:numPr>
      <w:spacing w:before="240" w:after="60"/>
      <w:outlineLvl w:val="0"/>
    </w:pPr>
    <w:rPr>
      <w:b/>
      <w:caps/>
      <w:kern w:val="28"/>
      <w:sz w:val="28"/>
    </w:rPr>
  </w:style>
  <w:style w:type="paragraph" w:styleId="Heading2">
    <w:name w:val="heading 2"/>
    <w:basedOn w:val="Normal"/>
    <w:next w:val="Normal"/>
    <w:link w:val="Heading2Char"/>
    <w:qFormat/>
    <w:rsid w:val="00D7492A"/>
    <w:pPr>
      <w:keepNext/>
      <w:numPr>
        <w:ilvl w:val="1"/>
        <w:numId w:val="1"/>
      </w:numPr>
      <w:spacing w:before="240" w:after="60"/>
      <w:outlineLvl w:val="1"/>
    </w:pPr>
    <w:rPr>
      <w:b/>
      <w:sz w:val="24"/>
    </w:rPr>
  </w:style>
  <w:style w:type="paragraph" w:styleId="Heading3">
    <w:name w:val="heading 3"/>
    <w:basedOn w:val="Normal"/>
    <w:next w:val="Normal"/>
    <w:link w:val="Heading3Char"/>
    <w:qFormat/>
    <w:rsid w:val="00D7492A"/>
    <w:pPr>
      <w:keepNext/>
      <w:numPr>
        <w:ilvl w:val="2"/>
        <w:numId w:val="1"/>
      </w:numPr>
      <w:spacing w:before="240" w:after="60"/>
      <w:outlineLvl w:val="2"/>
    </w:pPr>
    <w:rPr>
      <w:b/>
      <w:i/>
    </w:rPr>
  </w:style>
  <w:style w:type="paragraph" w:styleId="Heading4">
    <w:name w:val="heading 4"/>
    <w:basedOn w:val="Normal"/>
    <w:next w:val="Normal"/>
    <w:link w:val="Heading4Char"/>
    <w:qFormat/>
    <w:rsid w:val="00D7492A"/>
    <w:pPr>
      <w:keepNext/>
      <w:numPr>
        <w:ilvl w:val="3"/>
        <w:numId w:val="1"/>
      </w:numPr>
      <w:spacing w:before="240" w:after="60"/>
      <w:outlineLvl w:val="3"/>
    </w:pPr>
    <w:rPr>
      <w:i/>
    </w:rPr>
  </w:style>
  <w:style w:type="paragraph" w:styleId="Heading5">
    <w:name w:val="heading 5"/>
    <w:basedOn w:val="Normal"/>
    <w:link w:val="Heading5Char"/>
    <w:qFormat/>
    <w:rsid w:val="00AC6C64"/>
    <w:pPr>
      <w:keepNext/>
      <w:numPr>
        <w:numId w:val="5"/>
      </w:numPr>
      <w:outlineLvl w:val="4"/>
    </w:pPr>
  </w:style>
  <w:style w:type="paragraph" w:styleId="Heading6">
    <w:name w:val="heading 6"/>
    <w:basedOn w:val="Normal"/>
    <w:next w:val="Normal"/>
    <w:link w:val="Heading6Char"/>
    <w:pPr>
      <w:keepNext/>
      <w:widowControl w:val="0"/>
      <w:numPr>
        <w:ilvl w:val="5"/>
        <w:numId w:val="4"/>
      </w:numPr>
      <w:tabs>
        <w:tab w:val="left" w:pos="-1440"/>
      </w:tabs>
      <w:spacing w:after="0"/>
      <w:outlineLvl w:val="5"/>
    </w:pPr>
    <w:rPr>
      <w:b/>
      <w:snapToGrid w:val="0"/>
      <w:sz w:val="20"/>
      <w:lang w:val="en-GB"/>
    </w:rPr>
  </w:style>
  <w:style w:type="paragraph" w:styleId="Heading7">
    <w:name w:val="heading 7"/>
    <w:basedOn w:val="Normal"/>
    <w:next w:val="Normal"/>
    <w:link w:val="Heading7Char"/>
    <w:pPr>
      <w:keepNext/>
      <w:widowControl w:val="0"/>
      <w:numPr>
        <w:ilvl w:val="6"/>
        <w:numId w:val="4"/>
      </w:numPr>
      <w:tabs>
        <w:tab w:val="left" w:pos="-1440"/>
      </w:tabs>
      <w:spacing w:after="0"/>
      <w:outlineLvl w:val="6"/>
    </w:pPr>
    <w:rPr>
      <w:b/>
      <w:snapToGrid w:val="0"/>
      <w:sz w:val="20"/>
      <w:lang w:val="en-GB"/>
    </w:rPr>
  </w:style>
  <w:style w:type="paragraph" w:styleId="Heading8">
    <w:name w:val="heading 8"/>
    <w:basedOn w:val="Normal"/>
    <w:next w:val="Normal"/>
    <w:link w:val="Heading8Char"/>
    <w:pPr>
      <w:keepNext/>
      <w:widowControl w:val="0"/>
      <w:numPr>
        <w:ilvl w:val="7"/>
        <w:numId w:val="4"/>
      </w:numPr>
      <w:tabs>
        <w:tab w:val="left" w:pos="-1440"/>
      </w:tabs>
      <w:spacing w:after="0"/>
      <w:outlineLvl w:val="7"/>
    </w:pPr>
    <w:rPr>
      <w:b/>
      <w:snapToGrid w:val="0"/>
      <w:sz w:val="28"/>
      <w:lang w:val="en-GB"/>
    </w:rPr>
  </w:style>
  <w:style w:type="paragraph" w:styleId="Heading9">
    <w:name w:val="heading 9"/>
    <w:basedOn w:val="Normal"/>
    <w:next w:val="Normal"/>
    <w:link w:val="Heading9Char"/>
    <w:pPr>
      <w:keepNext/>
      <w:widowControl w:val="0"/>
      <w:numPr>
        <w:ilvl w:val="8"/>
        <w:numId w:val="4"/>
      </w:numPr>
      <w:tabs>
        <w:tab w:val="left" w:pos="-1440"/>
      </w:tabs>
      <w:spacing w:after="0"/>
      <w:outlineLvl w:val="8"/>
    </w:pPr>
    <w:rPr>
      <w:b/>
      <w:snapToGrid w:val="0"/>
      <w:sz w:val="2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1D93"/>
    <w:rPr>
      <w:rFonts w:ascii="Calibri" w:hAnsi="Calibri"/>
      <w:b/>
      <w:caps/>
      <w:kern w:val="28"/>
      <w:sz w:val="28"/>
      <w:lang w:eastAsia="en-US"/>
    </w:rPr>
  </w:style>
  <w:style w:type="character" w:customStyle="1" w:styleId="Heading2Char">
    <w:name w:val="Heading 2 Char"/>
    <w:basedOn w:val="DefaultParagraphFont"/>
    <w:link w:val="Heading2"/>
    <w:rsid w:val="001D0C4D"/>
    <w:rPr>
      <w:rFonts w:ascii="Calibri" w:hAnsi="Calibri"/>
      <w:b/>
      <w:sz w:val="24"/>
      <w:lang w:eastAsia="en-US"/>
    </w:rPr>
  </w:style>
  <w:style w:type="character" w:customStyle="1" w:styleId="Heading3Char">
    <w:name w:val="Heading 3 Char"/>
    <w:basedOn w:val="DefaultParagraphFont"/>
    <w:link w:val="Heading3"/>
    <w:rsid w:val="00F6158A"/>
    <w:rPr>
      <w:rFonts w:ascii="Calibri" w:hAnsi="Calibri"/>
      <w:b/>
      <w:i/>
      <w:sz w:val="22"/>
      <w:lang w:eastAsia="en-US"/>
    </w:rPr>
  </w:style>
  <w:style w:type="character" w:customStyle="1" w:styleId="Heading4Char">
    <w:name w:val="Heading 4 Char"/>
    <w:basedOn w:val="DefaultParagraphFont"/>
    <w:link w:val="Heading4"/>
    <w:rsid w:val="007000A1"/>
    <w:rPr>
      <w:rFonts w:ascii="Calibri" w:hAnsi="Calibri"/>
      <w:i/>
      <w:sz w:val="22"/>
      <w:lang w:eastAsia="en-US"/>
    </w:rPr>
  </w:style>
  <w:style w:type="character" w:customStyle="1" w:styleId="Heading5Char">
    <w:name w:val="Heading 5 Char"/>
    <w:basedOn w:val="DefaultParagraphFont"/>
    <w:link w:val="Heading5"/>
    <w:rsid w:val="00285CB0"/>
    <w:rPr>
      <w:rFonts w:ascii="Calibri" w:hAnsi="Calibri"/>
      <w:sz w:val="22"/>
      <w:lang w:eastAsia="en-US"/>
    </w:rPr>
  </w:style>
  <w:style w:type="character" w:customStyle="1" w:styleId="Heading6Char">
    <w:name w:val="Heading 6 Char"/>
    <w:basedOn w:val="DefaultParagraphFont"/>
    <w:link w:val="Heading6"/>
    <w:rsid w:val="00285CB0"/>
    <w:rPr>
      <w:rFonts w:ascii="Calibri" w:hAnsi="Calibri"/>
      <w:b/>
      <w:snapToGrid w:val="0"/>
      <w:lang w:val="en-GB" w:eastAsia="en-US"/>
    </w:rPr>
  </w:style>
  <w:style w:type="character" w:customStyle="1" w:styleId="Heading7Char">
    <w:name w:val="Heading 7 Char"/>
    <w:basedOn w:val="DefaultParagraphFont"/>
    <w:link w:val="Heading7"/>
    <w:rsid w:val="00285CB0"/>
    <w:rPr>
      <w:rFonts w:ascii="Calibri" w:hAnsi="Calibri"/>
      <w:b/>
      <w:snapToGrid w:val="0"/>
      <w:lang w:val="en-GB" w:eastAsia="en-US"/>
    </w:rPr>
  </w:style>
  <w:style w:type="character" w:customStyle="1" w:styleId="Heading8Char">
    <w:name w:val="Heading 8 Char"/>
    <w:basedOn w:val="DefaultParagraphFont"/>
    <w:link w:val="Heading8"/>
    <w:rsid w:val="00285CB0"/>
    <w:rPr>
      <w:rFonts w:ascii="Calibri" w:hAnsi="Calibri"/>
      <w:b/>
      <w:snapToGrid w:val="0"/>
      <w:sz w:val="28"/>
      <w:lang w:val="en-GB" w:eastAsia="en-US"/>
    </w:rPr>
  </w:style>
  <w:style w:type="character" w:customStyle="1" w:styleId="Heading9Char">
    <w:name w:val="Heading 9 Char"/>
    <w:basedOn w:val="DefaultParagraphFont"/>
    <w:link w:val="Heading9"/>
    <w:rsid w:val="00285CB0"/>
    <w:rPr>
      <w:rFonts w:ascii="Calibri" w:hAnsi="Calibri"/>
      <w:b/>
      <w:snapToGrid w:val="0"/>
      <w:sz w:val="28"/>
      <w:lang w:val="en-GB" w:eastAsia="en-US"/>
    </w:rPr>
  </w:style>
  <w:style w:type="paragraph" w:styleId="Header">
    <w:name w:val="header"/>
    <w:basedOn w:val="Normal"/>
    <w:link w:val="HeaderChar"/>
    <w:uiPriority w:val="99"/>
    <w:pPr>
      <w:tabs>
        <w:tab w:val="center" w:pos="4320"/>
        <w:tab w:val="right" w:pos="8640"/>
      </w:tabs>
      <w:spacing w:before="240" w:after="480"/>
      <w:ind w:left="2160" w:right="2160"/>
      <w:jc w:val="center"/>
    </w:pPr>
    <w:rPr>
      <w:rFonts w:ascii="Arial Narrow" w:hAnsi="Arial Narrow"/>
      <w:b/>
      <w:caps/>
      <w:sz w:val="28"/>
    </w:rPr>
  </w:style>
  <w:style w:type="character" w:customStyle="1" w:styleId="HeaderChar">
    <w:name w:val="Header Char"/>
    <w:basedOn w:val="DefaultParagraphFont"/>
    <w:link w:val="Header"/>
    <w:uiPriority w:val="99"/>
    <w:rsid w:val="00B130F2"/>
    <w:rPr>
      <w:rFonts w:ascii="Arial Narrow" w:hAnsi="Arial Narrow"/>
      <w:b/>
      <w:caps/>
      <w:sz w:val="28"/>
      <w:lang w:val="en-US" w:eastAsia="en-US"/>
    </w:rPr>
  </w:style>
  <w:style w:type="character" w:styleId="PageNumber">
    <w:name w:val="page number"/>
    <w:rPr>
      <w:rFonts w:ascii="Arial" w:hAnsi="Arial"/>
      <w:i/>
      <w:sz w:val="20"/>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rsid w:val="009D2F20"/>
    <w:rPr>
      <w:rFonts w:ascii="Calibri" w:hAnsi="Calibri"/>
      <w:sz w:val="22"/>
      <w:lang w:val="en-US"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285CB0"/>
    <w:rPr>
      <w:rFonts w:ascii="Tahoma" w:hAnsi="Tahoma"/>
      <w:sz w:val="22"/>
      <w:shd w:val="clear" w:color="auto" w:fill="000080"/>
      <w:lang w:eastAsia="en-US"/>
    </w:rPr>
  </w:style>
  <w:style w:type="paragraph" w:styleId="ListBullet4">
    <w:name w:val="List Bullet 4"/>
    <w:basedOn w:val="Normal"/>
    <w:autoRedefine/>
    <w:rsid w:val="000C49D1"/>
    <w:pPr>
      <w:numPr>
        <w:numId w:val="2"/>
      </w:numPr>
    </w:pPr>
  </w:style>
  <w:style w:type="paragraph" w:styleId="TOC1">
    <w:name w:val="toc 1"/>
    <w:basedOn w:val="Normal"/>
    <w:next w:val="Normal"/>
    <w:autoRedefine/>
    <w:uiPriority w:val="39"/>
    <w:rsid w:val="00700922"/>
    <w:pPr>
      <w:tabs>
        <w:tab w:val="left" w:pos="440"/>
        <w:tab w:val="right" w:leader="dot" w:pos="9481"/>
      </w:tabs>
    </w:pPr>
    <w:rPr>
      <w:b/>
      <w:caps/>
      <w:noProof/>
    </w:rPr>
  </w:style>
  <w:style w:type="paragraph" w:styleId="TOC2">
    <w:name w:val="toc 2"/>
    <w:basedOn w:val="Normal"/>
    <w:next w:val="Normal"/>
    <w:autoRedefine/>
    <w:uiPriority w:val="39"/>
    <w:rsid w:val="00614A52"/>
    <w:pPr>
      <w:tabs>
        <w:tab w:val="left" w:pos="660"/>
        <w:tab w:val="right" w:leader="dot" w:pos="9481"/>
      </w:tabs>
      <w:spacing w:after="0"/>
    </w:pPr>
    <w:rPr>
      <w:smallCaps/>
      <w:noProof/>
    </w:rPr>
  </w:style>
  <w:style w:type="character" w:styleId="FootnoteReference">
    <w:name w:val="footnote reference"/>
    <w:semiHidden/>
    <w:rPr>
      <w:vertAlign w:val="superscript"/>
    </w:rPr>
  </w:style>
  <w:style w:type="paragraph" w:styleId="FootnoteText">
    <w:name w:val="footnote text"/>
    <w:basedOn w:val="Normal"/>
    <w:link w:val="FootnoteTextChar"/>
    <w:semiHidden/>
    <w:pPr>
      <w:spacing w:after="0"/>
    </w:pPr>
    <w:rPr>
      <w:sz w:val="20"/>
      <w:lang w:val="en-GB"/>
    </w:rPr>
  </w:style>
  <w:style w:type="character" w:customStyle="1" w:styleId="FootnoteTextChar">
    <w:name w:val="Footnote Text Char"/>
    <w:basedOn w:val="DefaultParagraphFont"/>
    <w:link w:val="FootnoteText"/>
    <w:semiHidden/>
    <w:rsid w:val="00285CB0"/>
    <w:rPr>
      <w:rFonts w:ascii="Calibri" w:hAnsi="Calibri"/>
      <w:lang w:val="en-GB" w:eastAsia="en-US"/>
    </w:rPr>
  </w:style>
  <w:style w:type="paragraph" w:customStyle="1" w:styleId="DefaultText">
    <w:name w:val="Default Text"/>
    <w:basedOn w:val="Normal"/>
    <w:pPr>
      <w:spacing w:after="288"/>
      <w:ind w:left="725"/>
    </w:pPr>
    <w:rPr>
      <w:lang w:val="en-GB"/>
    </w:rPr>
  </w:style>
  <w:style w:type="paragraph" w:customStyle="1" w:styleId="NumberList">
    <w:name w:val="Number List"/>
    <w:basedOn w:val="Normal"/>
    <w:pPr>
      <w:spacing w:after="0"/>
    </w:pPr>
    <w:rPr>
      <w:lang w:val="en-GB"/>
    </w:rPr>
  </w:style>
  <w:style w:type="paragraph" w:customStyle="1" w:styleId="BodySingle">
    <w:name w:val="Body Single"/>
    <w:basedOn w:val="Normal"/>
    <w:pPr>
      <w:spacing w:after="0"/>
    </w:pPr>
    <w:rPr>
      <w:sz w:val="24"/>
      <w:lang w:val="en-GB"/>
    </w:rPr>
  </w:style>
  <w:style w:type="paragraph" w:styleId="Title">
    <w:name w:val="Title"/>
    <w:basedOn w:val="Normal"/>
    <w:link w:val="TitleChar"/>
    <w:pPr>
      <w:jc w:val="center"/>
    </w:pPr>
    <w:rPr>
      <w:rFonts w:ascii="Arial Narrow" w:hAnsi="Arial Narrow"/>
      <w:sz w:val="28"/>
    </w:rPr>
  </w:style>
  <w:style w:type="character" w:customStyle="1" w:styleId="TitleChar">
    <w:name w:val="Title Char"/>
    <w:basedOn w:val="DefaultParagraphFont"/>
    <w:link w:val="Title"/>
    <w:rsid w:val="00285CB0"/>
    <w:rPr>
      <w:rFonts w:ascii="Arial Narrow" w:hAnsi="Arial Narrow"/>
      <w:sz w:val="28"/>
      <w:lang w:eastAsia="en-US"/>
    </w:rPr>
  </w:style>
  <w:style w:type="paragraph" w:customStyle="1" w:styleId="orts">
    <w:name w:val="orts."/>
    <w:basedOn w:val="Normal"/>
  </w:style>
  <w:style w:type="character" w:styleId="Hyperlink">
    <w:name w:val="Hyperlink"/>
    <w:uiPriority w:val="99"/>
    <w:rsid w:val="008B614A"/>
    <w:rPr>
      <w:color w:val="0000FF"/>
      <w:u w:val="single"/>
    </w:rPr>
  </w:style>
  <w:style w:type="paragraph" w:customStyle="1" w:styleId="NormalBullet">
    <w:name w:val="Normal Bullet"/>
    <w:basedOn w:val="Normal"/>
    <w:rsid w:val="001D5722"/>
    <w:pPr>
      <w:numPr>
        <w:numId w:val="3"/>
      </w:numPr>
    </w:pPr>
  </w:style>
  <w:style w:type="character" w:styleId="FollowedHyperlink">
    <w:name w:val="FollowedHyperlink"/>
    <w:rsid w:val="00032166"/>
    <w:rPr>
      <w:color w:val="800080"/>
      <w:u w:val="single"/>
    </w:rPr>
  </w:style>
  <w:style w:type="table" w:styleId="TableGrid">
    <w:name w:val="Table Grid"/>
    <w:basedOn w:val="TableNormal"/>
    <w:uiPriority w:val="59"/>
    <w:rsid w:val="00131B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07FF9"/>
    <w:pPr>
      <w:autoSpaceDE w:val="0"/>
      <w:autoSpaceDN w:val="0"/>
      <w:adjustRightInd w:val="0"/>
    </w:pPr>
    <w:rPr>
      <w:rFonts w:ascii="Calibri" w:eastAsia="Calibri" w:hAnsi="Calibri" w:cs="Calibri"/>
      <w:color w:val="000000"/>
      <w:sz w:val="24"/>
      <w:szCs w:val="24"/>
      <w:lang w:eastAsia="en-US"/>
    </w:rPr>
  </w:style>
  <w:style w:type="paragraph" w:styleId="ListParagraph">
    <w:name w:val="List Paragraph"/>
    <w:basedOn w:val="Normal"/>
    <w:uiPriority w:val="34"/>
    <w:qFormat/>
    <w:rsid w:val="00907FF9"/>
    <w:pPr>
      <w:spacing w:after="200" w:line="276" w:lineRule="auto"/>
      <w:ind w:left="720"/>
      <w:contextualSpacing/>
    </w:pPr>
    <w:rPr>
      <w:rFonts w:eastAsia="Calibri"/>
      <w:szCs w:val="22"/>
    </w:rPr>
  </w:style>
  <w:style w:type="paragraph" w:styleId="BalloonText">
    <w:name w:val="Balloon Text"/>
    <w:basedOn w:val="Normal"/>
    <w:link w:val="BalloonTextChar"/>
    <w:uiPriority w:val="99"/>
    <w:semiHidden/>
    <w:unhideWhenUsed/>
    <w:rsid w:val="00521EBE"/>
    <w:pPr>
      <w:spacing w:after="0"/>
    </w:pPr>
    <w:rPr>
      <w:rFonts w:ascii="Segoe UI" w:hAnsi="Segoe UI" w:cs="Segoe UI"/>
      <w:sz w:val="18"/>
      <w:szCs w:val="18"/>
    </w:rPr>
  </w:style>
  <w:style w:type="character" w:customStyle="1" w:styleId="BalloonTextChar">
    <w:name w:val="Balloon Text Char"/>
    <w:link w:val="BalloonText"/>
    <w:uiPriority w:val="99"/>
    <w:semiHidden/>
    <w:rsid w:val="00521EBE"/>
    <w:rPr>
      <w:rFonts w:ascii="Segoe UI" w:hAnsi="Segoe UI" w:cs="Segoe UI"/>
      <w:sz w:val="18"/>
      <w:szCs w:val="18"/>
      <w:lang w:val="en-US" w:eastAsia="en-US"/>
    </w:rPr>
  </w:style>
  <w:style w:type="paragraph" w:customStyle="1" w:styleId="FigureCaption">
    <w:name w:val="Figure Caption"/>
    <w:basedOn w:val="Normal"/>
    <w:next w:val="Normal"/>
    <w:link w:val="FigureCaptionChar"/>
    <w:qFormat/>
    <w:rsid w:val="00D05E13"/>
    <w:rPr>
      <w:i/>
      <w:sz w:val="20"/>
    </w:rPr>
  </w:style>
  <w:style w:type="character" w:customStyle="1" w:styleId="FigureCaptionChar">
    <w:name w:val="Figure Caption Char"/>
    <w:basedOn w:val="DefaultParagraphFont"/>
    <w:link w:val="FigureCaption"/>
    <w:rsid w:val="00D05E13"/>
    <w:rPr>
      <w:rFonts w:ascii="Calibri" w:hAnsi="Calibri"/>
      <w:i/>
      <w:lang w:eastAsia="en-US"/>
    </w:rPr>
  </w:style>
  <w:style w:type="paragraph" w:styleId="Caption">
    <w:name w:val="caption"/>
    <w:basedOn w:val="Normal"/>
    <w:next w:val="Normal"/>
    <w:uiPriority w:val="35"/>
    <w:unhideWhenUsed/>
    <w:qFormat/>
    <w:rsid w:val="00D11D16"/>
    <w:pPr>
      <w:spacing w:after="200"/>
    </w:pPr>
    <w:rPr>
      <w:iCs/>
      <w:szCs w:val="18"/>
    </w:rPr>
  </w:style>
  <w:style w:type="paragraph" w:customStyle="1" w:styleId="TableCaption">
    <w:name w:val="Table Caption"/>
    <w:basedOn w:val="FigureCaption"/>
    <w:next w:val="Normal"/>
    <w:link w:val="TableCaptionChar"/>
    <w:qFormat/>
    <w:rsid w:val="001347FF"/>
  </w:style>
  <w:style w:type="character" w:customStyle="1" w:styleId="TableCaptionChar">
    <w:name w:val="Table Caption Char"/>
    <w:basedOn w:val="DefaultParagraphFont"/>
    <w:link w:val="TableCaption"/>
    <w:rsid w:val="001347FF"/>
    <w:rPr>
      <w:rFonts w:ascii="Calibri" w:hAnsi="Calibri"/>
      <w:sz w:val="22"/>
      <w:lang w:eastAsia="en-US"/>
    </w:rPr>
  </w:style>
  <w:style w:type="paragraph" w:styleId="NoSpacing">
    <w:name w:val="No Spacing"/>
    <w:aliases w:val="Authors &amp; Affiliations_whec"/>
    <w:link w:val="NoSpacingChar"/>
    <w:uiPriority w:val="1"/>
    <w:qFormat/>
    <w:rsid w:val="005274CC"/>
    <w:rPr>
      <w:rFonts w:asciiTheme="minorHAnsi" w:eastAsiaTheme="minorEastAsia" w:hAnsiTheme="minorHAnsi" w:cstheme="minorBidi"/>
      <w:sz w:val="22"/>
      <w:szCs w:val="22"/>
      <w:lang w:val="en-US" w:eastAsia="en-US"/>
    </w:rPr>
  </w:style>
  <w:style w:type="character" w:customStyle="1" w:styleId="NoSpacingChar">
    <w:name w:val="No Spacing Char"/>
    <w:aliases w:val="Authors &amp; Affiliations_whec Char"/>
    <w:basedOn w:val="DefaultParagraphFont"/>
    <w:link w:val="NoSpacing"/>
    <w:uiPriority w:val="1"/>
    <w:rsid w:val="005274CC"/>
    <w:rPr>
      <w:rFonts w:asciiTheme="minorHAnsi" w:eastAsiaTheme="minorEastAsia" w:hAnsiTheme="minorHAnsi" w:cstheme="minorBidi"/>
      <w:sz w:val="22"/>
      <w:szCs w:val="22"/>
      <w:lang w:val="en-US" w:eastAsia="en-US"/>
    </w:rPr>
  </w:style>
  <w:style w:type="paragraph" w:styleId="TOCHeading">
    <w:name w:val="TOC Heading"/>
    <w:basedOn w:val="Heading1"/>
    <w:next w:val="Normal"/>
    <w:uiPriority w:val="39"/>
    <w:unhideWhenUsed/>
    <w:qFormat/>
    <w:rsid w:val="00065844"/>
    <w:pPr>
      <w:keepLines/>
      <w:numPr>
        <w:numId w:val="0"/>
      </w:numPr>
      <w:spacing w:after="0" w:line="259" w:lineRule="auto"/>
      <w:jc w:val="left"/>
      <w:outlineLvl w:val="9"/>
    </w:pPr>
    <w:rPr>
      <w:rFonts w:asciiTheme="majorHAnsi" w:eastAsiaTheme="majorEastAsia" w:hAnsiTheme="majorHAnsi" w:cstheme="majorBidi"/>
      <w:b w:val="0"/>
      <w:caps w:val="0"/>
      <w:color w:val="2E74B5" w:themeColor="accent1" w:themeShade="BF"/>
      <w:kern w:val="0"/>
      <w:sz w:val="32"/>
      <w:szCs w:val="32"/>
    </w:rPr>
  </w:style>
  <w:style w:type="paragraph" w:styleId="TOC3">
    <w:name w:val="toc 3"/>
    <w:basedOn w:val="Normal"/>
    <w:next w:val="Normal"/>
    <w:autoRedefine/>
    <w:uiPriority w:val="39"/>
    <w:unhideWhenUsed/>
    <w:rsid w:val="00614A52"/>
    <w:pPr>
      <w:tabs>
        <w:tab w:val="left" w:pos="1320"/>
        <w:tab w:val="right" w:leader="dot" w:pos="9481"/>
      </w:tabs>
      <w:spacing w:after="100"/>
      <w:ind w:left="440"/>
    </w:pPr>
  </w:style>
  <w:style w:type="paragraph" w:customStyle="1" w:styleId="EquationCaption">
    <w:name w:val="Equation Caption"/>
    <w:basedOn w:val="Normal"/>
    <w:next w:val="Normal"/>
    <w:link w:val="EquationCaptionChar"/>
    <w:qFormat/>
    <w:rsid w:val="00DF257E"/>
    <w:pPr>
      <w:tabs>
        <w:tab w:val="center" w:pos="4678"/>
        <w:tab w:val="right" w:pos="9356"/>
      </w:tabs>
    </w:pPr>
    <w:rPr>
      <w:rFonts w:asciiTheme="minorHAnsi" w:hAnsiTheme="minorHAnsi"/>
    </w:rPr>
  </w:style>
  <w:style w:type="character" w:customStyle="1" w:styleId="EquationCaptionChar">
    <w:name w:val="Equation Caption Char"/>
    <w:basedOn w:val="DefaultParagraphFont"/>
    <w:link w:val="EquationCaption"/>
    <w:rsid w:val="00DF257E"/>
    <w:rPr>
      <w:rFonts w:asciiTheme="minorHAnsi" w:hAnsiTheme="minorHAnsi"/>
      <w:sz w:val="22"/>
      <w:lang w:eastAsia="en-US"/>
    </w:rPr>
  </w:style>
  <w:style w:type="paragraph" w:styleId="Bibliography">
    <w:name w:val="Bibliography"/>
    <w:basedOn w:val="Normal"/>
    <w:next w:val="Normal"/>
    <w:uiPriority w:val="37"/>
    <w:unhideWhenUsed/>
    <w:rsid w:val="009D58EF"/>
  </w:style>
  <w:style w:type="character" w:styleId="PlaceholderText">
    <w:name w:val="Placeholder Text"/>
    <w:basedOn w:val="DefaultParagraphFont"/>
    <w:uiPriority w:val="99"/>
    <w:semiHidden/>
    <w:rsid w:val="00975A95"/>
    <w:rPr>
      <w:color w:val="808080"/>
    </w:rPr>
  </w:style>
  <w:style w:type="character" w:customStyle="1" w:styleId="UnresolvedMention1">
    <w:name w:val="Unresolved Mention1"/>
    <w:basedOn w:val="DefaultParagraphFont"/>
    <w:uiPriority w:val="99"/>
    <w:semiHidden/>
    <w:unhideWhenUsed/>
    <w:rsid w:val="009C6C0E"/>
    <w:rPr>
      <w:color w:val="808080"/>
      <w:shd w:val="clear" w:color="auto" w:fill="E6E6E6"/>
    </w:rPr>
  </w:style>
  <w:style w:type="paragraph" w:styleId="TableofFigures">
    <w:name w:val="table of figures"/>
    <w:basedOn w:val="Normal"/>
    <w:next w:val="Normal"/>
    <w:uiPriority w:val="99"/>
    <w:unhideWhenUsed/>
    <w:rsid w:val="00695916"/>
    <w:pPr>
      <w:spacing w:after="0"/>
    </w:pPr>
  </w:style>
  <w:style w:type="character" w:styleId="CommentReference">
    <w:name w:val="annotation reference"/>
    <w:rsid w:val="00BB4E32"/>
    <w:rPr>
      <w:sz w:val="16"/>
      <w:szCs w:val="16"/>
    </w:rPr>
  </w:style>
  <w:style w:type="paragraph" w:styleId="CommentText">
    <w:name w:val="annotation text"/>
    <w:basedOn w:val="Normal"/>
    <w:link w:val="CommentTextChar"/>
    <w:rsid w:val="00BB4E32"/>
    <w:pPr>
      <w:spacing w:after="0" w:line="240" w:lineRule="auto"/>
      <w:jc w:val="left"/>
    </w:pPr>
    <w:rPr>
      <w:rFonts w:ascii="Arial" w:hAnsi="Arial"/>
      <w:sz w:val="20"/>
    </w:rPr>
  </w:style>
  <w:style w:type="character" w:customStyle="1" w:styleId="CommentTextChar">
    <w:name w:val="Comment Text Char"/>
    <w:basedOn w:val="DefaultParagraphFont"/>
    <w:link w:val="CommentText"/>
    <w:rsid w:val="00BB4E32"/>
    <w:rPr>
      <w:rFonts w:ascii="Arial" w:hAnsi="Arial"/>
      <w:lang w:val="en-US" w:eastAsia="en-US"/>
    </w:rPr>
  </w:style>
  <w:style w:type="paragraph" w:styleId="NormalWeb">
    <w:name w:val="Normal (Web)"/>
    <w:basedOn w:val="Normal"/>
    <w:uiPriority w:val="99"/>
    <w:semiHidden/>
    <w:unhideWhenUsed/>
    <w:rsid w:val="00FD51ED"/>
    <w:pPr>
      <w:spacing w:before="100" w:beforeAutospacing="1" w:after="100" w:afterAutospacing="1" w:line="240" w:lineRule="auto"/>
      <w:jc w:val="left"/>
    </w:pPr>
    <w:rPr>
      <w:rFonts w:ascii="Times New Roman" w:eastAsiaTheme="minorEastAsia" w:hAnsi="Times New Roman"/>
      <w:sz w:val="24"/>
      <w:szCs w:val="24"/>
      <w:lang w:eastAsia="en-ZA"/>
    </w:rPr>
  </w:style>
  <w:style w:type="paragraph" w:styleId="CommentSubject">
    <w:name w:val="annotation subject"/>
    <w:basedOn w:val="CommentText"/>
    <w:next w:val="CommentText"/>
    <w:link w:val="CommentSubjectChar"/>
    <w:uiPriority w:val="99"/>
    <w:semiHidden/>
    <w:unhideWhenUsed/>
    <w:rsid w:val="00FA7742"/>
    <w:pPr>
      <w:suppressAutoHyphens/>
      <w:spacing w:after="120"/>
      <w:jc w:val="both"/>
    </w:pPr>
    <w:rPr>
      <w:rFonts w:ascii="Calibri" w:hAnsi="Calibri"/>
      <w:b/>
      <w:bCs/>
    </w:rPr>
  </w:style>
  <w:style w:type="character" w:customStyle="1" w:styleId="CommentSubjectChar">
    <w:name w:val="Comment Subject Char"/>
    <w:basedOn w:val="CommentTextChar"/>
    <w:link w:val="CommentSubject"/>
    <w:uiPriority w:val="99"/>
    <w:semiHidden/>
    <w:rsid w:val="00FA7742"/>
    <w:rPr>
      <w:rFonts w:ascii="Calibri" w:hAnsi="Calibri"/>
      <w:b/>
      <w:bCs/>
      <w:lang w:val="en-US" w:eastAsia="en-US"/>
    </w:rPr>
  </w:style>
  <w:style w:type="paragraph" w:customStyle="1" w:styleId="Appendix">
    <w:name w:val="Appendix"/>
    <w:basedOn w:val="Heading1"/>
    <w:link w:val="AppendixChar"/>
    <w:qFormat/>
    <w:rsid w:val="00197D07"/>
    <w:pPr>
      <w:numPr>
        <w:numId w:val="16"/>
      </w:numPr>
    </w:pPr>
    <w:rPr>
      <w:sz w:val="24"/>
    </w:rPr>
  </w:style>
  <w:style w:type="character" w:customStyle="1" w:styleId="AppendixChar">
    <w:name w:val="Appendix Char"/>
    <w:basedOn w:val="DefaultParagraphFont"/>
    <w:link w:val="Appendix"/>
    <w:rsid w:val="00F74EEF"/>
    <w:rPr>
      <w:rFonts w:ascii="Calibri" w:hAnsi="Calibri"/>
      <w:b/>
      <w:caps/>
      <w:kern w:val="28"/>
      <w:sz w:val="24"/>
      <w:lang w:eastAsia="en-US"/>
    </w:rPr>
  </w:style>
  <w:style w:type="paragraph" w:customStyle="1" w:styleId="Appendices">
    <w:name w:val="Appendices"/>
    <w:basedOn w:val="Heading1"/>
    <w:link w:val="AppendicesChar"/>
    <w:qFormat/>
    <w:rsid w:val="006E355A"/>
    <w:pPr>
      <w:numPr>
        <w:numId w:val="0"/>
      </w:numPr>
    </w:pPr>
    <w:rPr>
      <w:rFonts w:eastAsiaTheme="majorEastAsia" w:cstheme="majorBidi"/>
      <w:sz w:val="24"/>
      <w:szCs w:val="32"/>
    </w:rPr>
  </w:style>
  <w:style w:type="character" w:customStyle="1" w:styleId="AppendicesChar">
    <w:name w:val="Appendices Char"/>
    <w:basedOn w:val="AppendixChar"/>
    <w:link w:val="Appendices"/>
    <w:rsid w:val="006E355A"/>
    <w:rPr>
      <w:rFonts w:ascii="Calibri" w:eastAsiaTheme="majorEastAsia" w:hAnsi="Calibri" w:cstheme="majorBidi"/>
      <w:b/>
      <w:caps/>
      <w:kern w:val="28"/>
      <w:sz w:val="24"/>
      <w:szCs w:val="32"/>
      <w:lang w:eastAsia="en-US"/>
    </w:rPr>
  </w:style>
  <w:style w:type="paragraph" w:styleId="TOC4">
    <w:name w:val="toc 4"/>
    <w:basedOn w:val="Normal"/>
    <w:next w:val="Normal"/>
    <w:autoRedefine/>
    <w:uiPriority w:val="39"/>
    <w:unhideWhenUsed/>
    <w:rsid w:val="00945F82"/>
    <w:pPr>
      <w:spacing w:after="100" w:line="259" w:lineRule="auto"/>
      <w:ind w:left="660"/>
      <w:jc w:val="left"/>
    </w:pPr>
    <w:rPr>
      <w:rFonts w:asciiTheme="minorHAnsi" w:eastAsiaTheme="minorEastAsia" w:hAnsiTheme="minorHAnsi" w:cstheme="minorBidi"/>
      <w:szCs w:val="22"/>
      <w:lang w:eastAsia="en-ZA"/>
    </w:rPr>
  </w:style>
  <w:style w:type="paragraph" w:styleId="TOC5">
    <w:name w:val="toc 5"/>
    <w:basedOn w:val="Normal"/>
    <w:next w:val="Normal"/>
    <w:autoRedefine/>
    <w:uiPriority w:val="39"/>
    <w:unhideWhenUsed/>
    <w:rsid w:val="00945F82"/>
    <w:pPr>
      <w:spacing w:after="100" w:line="259" w:lineRule="auto"/>
      <w:ind w:left="880"/>
      <w:jc w:val="left"/>
    </w:pPr>
    <w:rPr>
      <w:rFonts w:asciiTheme="minorHAnsi" w:eastAsiaTheme="minorEastAsia" w:hAnsiTheme="minorHAnsi" w:cstheme="minorBidi"/>
      <w:szCs w:val="22"/>
      <w:lang w:eastAsia="en-ZA"/>
    </w:rPr>
  </w:style>
  <w:style w:type="paragraph" w:styleId="TOC6">
    <w:name w:val="toc 6"/>
    <w:basedOn w:val="Normal"/>
    <w:next w:val="Normal"/>
    <w:autoRedefine/>
    <w:uiPriority w:val="39"/>
    <w:unhideWhenUsed/>
    <w:rsid w:val="00945F82"/>
    <w:pPr>
      <w:spacing w:after="100" w:line="259" w:lineRule="auto"/>
      <w:ind w:left="1100"/>
      <w:jc w:val="left"/>
    </w:pPr>
    <w:rPr>
      <w:rFonts w:asciiTheme="minorHAnsi" w:eastAsiaTheme="minorEastAsia" w:hAnsiTheme="minorHAnsi" w:cstheme="minorBidi"/>
      <w:szCs w:val="22"/>
      <w:lang w:eastAsia="en-ZA"/>
    </w:rPr>
  </w:style>
  <w:style w:type="paragraph" w:styleId="TOC7">
    <w:name w:val="toc 7"/>
    <w:basedOn w:val="Normal"/>
    <w:next w:val="Normal"/>
    <w:autoRedefine/>
    <w:uiPriority w:val="39"/>
    <w:unhideWhenUsed/>
    <w:rsid w:val="00945F82"/>
    <w:pPr>
      <w:spacing w:after="100" w:line="259" w:lineRule="auto"/>
      <w:ind w:left="1320"/>
      <w:jc w:val="left"/>
    </w:pPr>
    <w:rPr>
      <w:rFonts w:asciiTheme="minorHAnsi" w:eastAsiaTheme="minorEastAsia" w:hAnsiTheme="minorHAnsi" w:cstheme="minorBidi"/>
      <w:szCs w:val="22"/>
      <w:lang w:eastAsia="en-ZA"/>
    </w:rPr>
  </w:style>
  <w:style w:type="paragraph" w:styleId="TOC8">
    <w:name w:val="toc 8"/>
    <w:basedOn w:val="Normal"/>
    <w:next w:val="Normal"/>
    <w:autoRedefine/>
    <w:uiPriority w:val="39"/>
    <w:unhideWhenUsed/>
    <w:rsid w:val="00945F82"/>
    <w:pPr>
      <w:spacing w:after="100" w:line="259" w:lineRule="auto"/>
      <w:ind w:left="1540"/>
      <w:jc w:val="left"/>
    </w:pPr>
    <w:rPr>
      <w:rFonts w:asciiTheme="minorHAnsi" w:eastAsiaTheme="minorEastAsia" w:hAnsiTheme="minorHAnsi" w:cstheme="minorBidi"/>
      <w:szCs w:val="22"/>
      <w:lang w:eastAsia="en-ZA"/>
    </w:rPr>
  </w:style>
  <w:style w:type="paragraph" w:styleId="TOC9">
    <w:name w:val="toc 9"/>
    <w:basedOn w:val="Normal"/>
    <w:next w:val="Normal"/>
    <w:autoRedefine/>
    <w:uiPriority w:val="39"/>
    <w:unhideWhenUsed/>
    <w:rsid w:val="00945F82"/>
    <w:pPr>
      <w:spacing w:after="100" w:line="259" w:lineRule="auto"/>
      <w:ind w:left="1760"/>
      <w:jc w:val="left"/>
    </w:pPr>
    <w:rPr>
      <w:rFonts w:asciiTheme="minorHAnsi" w:eastAsiaTheme="minorEastAsia" w:hAnsiTheme="minorHAnsi" w:cstheme="minorBidi"/>
      <w:szCs w:val="22"/>
      <w:lang w:eastAsia="en-ZA"/>
    </w:rPr>
  </w:style>
  <w:style w:type="character" w:customStyle="1" w:styleId="UnresolvedMention2">
    <w:name w:val="Unresolved Mention2"/>
    <w:basedOn w:val="DefaultParagraphFont"/>
    <w:uiPriority w:val="99"/>
    <w:semiHidden/>
    <w:unhideWhenUsed/>
    <w:rsid w:val="00945F82"/>
    <w:rPr>
      <w:color w:val="605E5C"/>
      <w:shd w:val="clear" w:color="auto" w:fill="E1DFDD"/>
    </w:rPr>
  </w:style>
  <w:style w:type="paragraph" w:customStyle="1" w:styleId="SectionHeadingswhec">
    <w:name w:val="SectionHeadings_whec"/>
    <w:basedOn w:val="Normal"/>
    <w:link w:val="SectionHeadingswhecChar"/>
    <w:qFormat/>
    <w:rsid w:val="00D10891"/>
    <w:pPr>
      <w:spacing w:line="480" w:lineRule="auto"/>
    </w:pPr>
    <w:rPr>
      <w:rFonts w:asciiTheme="minorHAnsi" w:eastAsiaTheme="minorHAnsi" w:hAnsiTheme="minorHAnsi" w:cstheme="minorHAnsi"/>
      <w:b/>
      <w:sz w:val="28"/>
      <w:szCs w:val="28"/>
      <w:lang w:val="en-CA"/>
    </w:rPr>
  </w:style>
  <w:style w:type="character" w:customStyle="1" w:styleId="SectionHeadingswhecChar">
    <w:name w:val="SectionHeadings_whec Char"/>
    <w:basedOn w:val="DefaultParagraphFont"/>
    <w:link w:val="SectionHeadingswhec"/>
    <w:rsid w:val="00D10891"/>
    <w:rPr>
      <w:rFonts w:asciiTheme="minorHAnsi" w:eastAsiaTheme="minorHAnsi" w:hAnsiTheme="minorHAnsi" w:cstheme="minorHAnsi"/>
      <w:b/>
      <w:sz w:val="28"/>
      <w:szCs w:val="28"/>
      <w:lang w:val="en-CA" w:eastAsia="en-US"/>
    </w:rPr>
  </w:style>
  <w:style w:type="paragraph" w:customStyle="1" w:styleId="Titlewhec">
    <w:name w:val="Title_whec"/>
    <w:basedOn w:val="Normal"/>
    <w:link w:val="TitlewhecChar"/>
    <w:qFormat/>
    <w:rsid w:val="00DA072E"/>
    <w:pPr>
      <w:spacing w:after="240" w:line="240" w:lineRule="auto"/>
      <w:contextualSpacing/>
      <w:jc w:val="center"/>
    </w:pPr>
    <w:rPr>
      <w:rFonts w:ascii="Arial" w:eastAsiaTheme="majorEastAsia" w:hAnsi="Arial" w:cstheme="majorBidi"/>
      <w:b/>
      <w:caps/>
      <w:kern w:val="28"/>
      <w:sz w:val="24"/>
      <w:szCs w:val="56"/>
      <w:lang w:val="en-CA"/>
    </w:rPr>
  </w:style>
  <w:style w:type="character" w:customStyle="1" w:styleId="TitlewhecChar">
    <w:name w:val="Title_whec Char"/>
    <w:basedOn w:val="DefaultParagraphFont"/>
    <w:link w:val="Titlewhec"/>
    <w:rsid w:val="00DA072E"/>
    <w:rPr>
      <w:rFonts w:ascii="Arial" w:eastAsiaTheme="majorEastAsia" w:hAnsi="Arial" w:cstheme="majorBidi"/>
      <w:b/>
      <w:caps/>
      <w:kern w:val="28"/>
      <w:sz w:val="24"/>
      <w:szCs w:val="56"/>
      <w:lang w:val="en-CA" w:eastAsia="en-US"/>
    </w:rPr>
  </w:style>
  <w:style w:type="paragraph" w:customStyle="1" w:styleId="Sub-SectionHeadingwhec">
    <w:name w:val="Sub-SectionHeading_whec"/>
    <w:basedOn w:val="Normal"/>
    <w:link w:val="Sub-SectionHeadingwhecChar"/>
    <w:qFormat/>
    <w:rsid w:val="00DA072E"/>
    <w:pPr>
      <w:spacing w:line="240" w:lineRule="auto"/>
    </w:pPr>
    <w:rPr>
      <w:rFonts w:ascii="Arial" w:eastAsiaTheme="minorHAnsi" w:hAnsi="Arial" w:cs="Arial"/>
      <w:b/>
      <w:i/>
      <w:sz w:val="20"/>
      <w:lang w:val="en-CA"/>
    </w:rPr>
  </w:style>
  <w:style w:type="character" w:customStyle="1" w:styleId="Sub-SectionHeadingwhecChar">
    <w:name w:val="Sub-SectionHeading_whec Char"/>
    <w:basedOn w:val="DefaultParagraphFont"/>
    <w:link w:val="Sub-SectionHeadingwhec"/>
    <w:rsid w:val="00DA072E"/>
    <w:rPr>
      <w:rFonts w:ascii="Arial" w:eastAsiaTheme="minorHAnsi" w:hAnsi="Arial" w:cs="Arial"/>
      <w:b/>
      <w:i/>
      <w:lang w:val="en-CA" w:eastAsia="en-US"/>
    </w:rPr>
  </w:style>
  <w:style w:type="paragraph" w:customStyle="1" w:styleId="FigureCaptionwhec">
    <w:name w:val="FigureCaption_whec"/>
    <w:basedOn w:val="Normal"/>
    <w:link w:val="FigureCaptionwhecChar"/>
    <w:qFormat/>
    <w:rsid w:val="00DA072E"/>
    <w:pPr>
      <w:tabs>
        <w:tab w:val="left" w:pos="-720"/>
      </w:tabs>
      <w:spacing w:line="240" w:lineRule="auto"/>
      <w:jc w:val="center"/>
    </w:pPr>
    <w:rPr>
      <w:rFonts w:ascii="Arial" w:eastAsiaTheme="minorHAnsi" w:hAnsi="Arial" w:cs="Arial"/>
      <w:sz w:val="18"/>
      <w:szCs w:val="22"/>
      <w:lang w:val="en-CA"/>
    </w:rPr>
  </w:style>
  <w:style w:type="character" w:customStyle="1" w:styleId="FigureCaptionwhecChar">
    <w:name w:val="FigureCaption_whec Char"/>
    <w:basedOn w:val="DefaultParagraphFont"/>
    <w:link w:val="FigureCaptionwhec"/>
    <w:rsid w:val="00DA072E"/>
    <w:rPr>
      <w:rFonts w:ascii="Arial" w:eastAsiaTheme="minorHAnsi" w:hAnsi="Arial" w:cs="Arial"/>
      <w:sz w:val="18"/>
      <w:szCs w:val="22"/>
      <w:lang w:val="en-CA" w:eastAsia="en-US"/>
    </w:rPr>
  </w:style>
  <w:style w:type="paragraph" w:styleId="Revision">
    <w:name w:val="Revision"/>
    <w:hidden/>
    <w:uiPriority w:val="99"/>
    <w:semiHidden/>
    <w:rsid w:val="003F21BF"/>
    <w:pPr>
      <w:spacing w:after="0" w:line="240" w:lineRule="auto"/>
      <w:jc w:val="left"/>
    </w:pPr>
    <w:rPr>
      <w:rFonts w:ascii="Calibri" w:hAnsi="Calibri"/>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67474">
      <w:bodyDiv w:val="1"/>
      <w:marLeft w:val="0"/>
      <w:marRight w:val="0"/>
      <w:marTop w:val="0"/>
      <w:marBottom w:val="0"/>
      <w:divBdr>
        <w:top w:val="none" w:sz="0" w:space="0" w:color="auto"/>
        <w:left w:val="none" w:sz="0" w:space="0" w:color="auto"/>
        <w:bottom w:val="none" w:sz="0" w:space="0" w:color="auto"/>
        <w:right w:val="none" w:sz="0" w:space="0" w:color="auto"/>
      </w:divBdr>
    </w:div>
    <w:div w:id="140655944">
      <w:bodyDiv w:val="1"/>
      <w:marLeft w:val="0"/>
      <w:marRight w:val="0"/>
      <w:marTop w:val="0"/>
      <w:marBottom w:val="0"/>
      <w:divBdr>
        <w:top w:val="none" w:sz="0" w:space="0" w:color="auto"/>
        <w:left w:val="none" w:sz="0" w:space="0" w:color="auto"/>
        <w:bottom w:val="none" w:sz="0" w:space="0" w:color="auto"/>
        <w:right w:val="none" w:sz="0" w:space="0" w:color="auto"/>
      </w:divBdr>
    </w:div>
    <w:div w:id="154927806">
      <w:bodyDiv w:val="1"/>
      <w:marLeft w:val="0"/>
      <w:marRight w:val="0"/>
      <w:marTop w:val="0"/>
      <w:marBottom w:val="0"/>
      <w:divBdr>
        <w:top w:val="none" w:sz="0" w:space="0" w:color="auto"/>
        <w:left w:val="none" w:sz="0" w:space="0" w:color="auto"/>
        <w:bottom w:val="none" w:sz="0" w:space="0" w:color="auto"/>
        <w:right w:val="none" w:sz="0" w:space="0" w:color="auto"/>
      </w:divBdr>
    </w:div>
    <w:div w:id="159588677">
      <w:bodyDiv w:val="1"/>
      <w:marLeft w:val="0"/>
      <w:marRight w:val="0"/>
      <w:marTop w:val="0"/>
      <w:marBottom w:val="0"/>
      <w:divBdr>
        <w:top w:val="none" w:sz="0" w:space="0" w:color="auto"/>
        <w:left w:val="none" w:sz="0" w:space="0" w:color="auto"/>
        <w:bottom w:val="none" w:sz="0" w:space="0" w:color="auto"/>
        <w:right w:val="none" w:sz="0" w:space="0" w:color="auto"/>
      </w:divBdr>
    </w:div>
    <w:div w:id="241641123">
      <w:bodyDiv w:val="1"/>
      <w:marLeft w:val="0"/>
      <w:marRight w:val="0"/>
      <w:marTop w:val="0"/>
      <w:marBottom w:val="0"/>
      <w:divBdr>
        <w:top w:val="none" w:sz="0" w:space="0" w:color="auto"/>
        <w:left w:val="none" w:sz="0" w:space="0" w:color="auto"/>
        <w:bottom w:val="none" w:sz="0" w:space="0" w:color="auto"/>
        <w:right w:val="none" w:sz="0" w:space="0" w:color="auto"/>
      </w:divBdr>
    </w:div>
    <w:div w:id="283116189">
      <w:bodyDiv w:val="1"/>
      <w:marLeft w:val="0"/>
      <w:marRight w:val="0"/>
      <w:marTop w:val="0"/>
      <w:marBottom w:val="0"/>
      <w:divBdr>
        <w:top w:val="none" w:sz="0" w:space="0" w:color="auto"/>
        <w:left w:val="none" w:sz="0" w:space="0" w:color="auto"/>
        <w:bottom w:val="none" w:sz="0" w:space="0" w:color="auto"/>
        <w:right w:val="none" w:sz="0" w:space="0" w:color="auto"/>
      </w:divBdr>
    </w:div>
    <w:div w:id="354042500">
      <w:bodyDiv w:val="1"/>
      <w:marLeft w:val="0"/>
      <w:marRight w:val="0"/>
      <w:marTop w:val="0"/>
      <w:marBottom w:val="0"/>
      <w:divBdr>
        <w:top w:val="none" w:sz="0" w:space="0" w:color="auto"/>
        <w:left w:val="none" w:sz="0" w:space="0" w:color="auto"/>
        <w:bottom w:val="none" w:sz="0" w:space="0" w:color="auto"/>
        <w:right w:val="none" w:sz="0" w:space="0" w:color="auto"/>
      </w:divBdr>
      <w:divsChild>
        <w:div w:id="1423182395">
          <w:marLeft w:val="0"/>
          <w:marRight w:val="0"/>
          <w:marTop w:val="0"/>
          <w:marBottom w:val="0"/>
          <w:divBdr>
            <w:top w:val="none" w:sz="0" w:space="0" w:color="auto"/>
            <w:left w:val="none" w:sz="0" w:space="0" w:color="auto"/>
            <w:bottom w:val="none" w:sz="0" w:space="0" w:color="auto"/>
            <w:right w:val="none" w:sz="0" w:space="0" w:color="auto"/>
          </w:divBdr>
          <w:divsChild>
            <w:div w:id="1105274524">
              <w:marLeft w:val="0"/>
              <w:marRight w:val="0"/>
              <w:marTop w:val="0"/>
              <w:marBottom w:val="0"/>
              <w:divBdr>
                <w:top w:val="none" w:sz="0" w:space="0" w:color="auto"/>
                <w:left w:val="none" w:sz="0" w:space="0" w:color="auto"/>
                <w:bottom w:val="none" w:sz="0" w:space="0" w:color="auto"/>
                <w:right w:val="none" w:sz="0" w:space="0" w:color="auto"/>
              </w:divBdr>
              <w:divsChild>
                <w:div w:id="1300069680">
                  <w:marLeft w:val="0"/>
                  <w:marRight w:val="0"/>
                  <w:marTop w:val="195"/>
                  <w:marBottom w:val="0"/>
                  <w:divBdr>
                    <w:top w:val="none" w:sz="0" w:space="0" w:color="auto"/>
                    <w:left w:val="none" w:sz="0" w:space="0" w:color="auto"/>
                    <w:bottom w:val="none" w:sz="0" w:space="0" w:color="auto"/>
                    <w:right w:val="none" w:sz="0" w:space="0" w:color="auto"/>
                  </w:divBdr>
                  <w:divsChild>
                    <w:div w:id="1229461297">
                      <w:marLeft w:val="0"/>
                      <w:marRight w:val="0"/>
                      <w:marTop w:val="0"/>
                      <w:marBottom w:val="0"/>
                      <w:divBdr>
                        <w:top w:val="none" w:sz="0" w:space="0" w:color="auto"/>
                        <w:left w:val="none" w:sz="0" w:space="0" w:color="auto"/>
                        <w:bottom w:val="none" w:sz="0" w:space="0" w:color="auto"/>
                        <w:right w:val="none" w:sz="0" w:space="0" w:color="auto"/>
                      </w:divBdr>
                      <w:divsChild>
                        <w:div w:id="1832406724">
                          <w:marLeft w:val="0"/>
                          <w:marRight w:val="0"/>
                          <w:marTop w:val="0"/>
                          <w:marBottom w:val="0"/>
                          <w:divBdr>
                            <w:top w:val="none" w:sz="0" w:space="0" w:color="auto"/>
                            <w:left w:val="none" w:sz="0" w:space="0" w:color="auto"/>
                            <w:bottom w:val="none" w:sz="0" w:space="0" w:color="auto"/>
                            <w:right w:val="none" w:sz="0" w:space="0" w:color="auto"/>
                          </w:divBdr>
                          <w:divsChild>
                            <w:div w:id="579212682">
                              <w:marLeft w:val="0"/>
                              <w:marRight w:val="0"/>
                              <w:marTop w:val="0"/>
                              <w:marBottom w:val="0"/>
                              <w:divBdr>
                                <w:top w:val="none" w:sz="0" w:space="0" w:color="auto"/>
                                <w:left w:val="none" w:sz="0" w:space="0" w:color="auto"/>
                                <w:bottom w:val="none" w:sz="0" w:space="0" w:color="auto"/>
                                <w:right w:val="none" w:sz="0" w:space="0" w:color="auto"/>
                              </w:divBdr>
                              <w:divsChild>
                                <w:div w:id="1912809843">
                                  <w:marLeft w:val="0"/>
                                  <w:marRight w:val="0"/>
                                  <w:marTop w:val="0"/>
                                  <w:marBottom w:val="0"/>
                                  <w:divBdr>
                                    <w:top w:val="none" w:sz="0" w:space="0" w:color="auto"/>
                                    <w:left w:val="none" w:sz="0" w:space="0" w:color="auto"/>
                                    <w:bottom w:val="none" w:sz="0" w:space="0" w:color="auto"/>
                                    <w:right w:val="none" w:sz="0" w:space="0" w:color="auto"/>
                                  </w:divBdr>
                                  <w:divsChild>
                                    <w:div w:id="1279263130">
                                      <w:marLeft w:val="0"/>
                                      <w:marRight w:val="0"/>
                                      <w:marTop w:val="0"/>
                                      <w:marBottom w:val="0"/>
                                      <w:divBdr>
                                        <w:top w:val="none" w:sz="0" w:space="0" w:color="auto"/>
                                        <w:left w:val="none" w:sz="0" w:space="0" w:color="auto"/>
                                        <w:bottom w:val="none" w:sz="0" w:space="0" w:color="auto"/>
                                        <w:right w:val="none" w:sz="0" w:space="0" w:color="auto"/>
                                      </w:divBdr>
                                      <w:divsChild>
                                        <w:div w:id="221523940">
                                          <w:marLeft w:val="0"/>
                                          <w:marRight w:val="0"/>
                                          <w:marTop w:val="0"/>
                                          <w:marBottom w:val="0"/>
                                          <w:divBdr>
                                            <w:top w:val="none" w:sz="0" w:space="0" w:color="auto"/>
                                            <w:left w:val="none" w:sz="0" w:space="0" w:color="auto"/>
                                            <w:bottom w:val="none" w:sz="0" w:space="0" w:color="auto"/>
                                            <w:right w:val="none" w:sz="0" w:space="0" w:color="auto"/>
                                          </w:divBdr>
                                          <w:divsChild>
                                            <w:div w:id="45762769">
                                              <w:marLeft w:val="0"/>
                                              <w:marRight w:val="0"/>
                                              <w:marTop w:val="0"/>
                                              <w:marBottom w:val="180"/>
                                              <w:divBdr>
                                                <w:top w:val="none" w:sz="0" w:space="0" w:color="auto"/>
                                                <w:left w:val="none" w:sz="0" w:space="0" w:color="auto"/>
                                                <w:bottom w:val="none" w:sz="0" w:space="0" w:color="auto"/>
                                                <w:right w:val="none" w:sz="0" w:space="0" w:color="auto"/>
                                              </w:divBdr>
                                              <w:divsChild>
                                                <w:div w:id="1759716311">
                                                  <w:marLeft w:val="0"/>
                                                  <w:marRight w:val="0"/>
                                                  <w:marTop w:val="0"/>
                                                  <w:marBottom w:val="0"/>
                                                  <w:divBdr>
                                                    <w:top w:val="none" w:sz="0" w:space="0" w:color="auto"/>
                                                    <w:left w:val="none" w:sz="0" w:space="0" w:color="auto"/>
                                                    <w:bottom w:val="none" w:sz="0" w:space="0" w:color="auto"/>
                                                    <w:right w:val="none" w:sz="0" w:space="0" w:color="auto"/>
                                                  </w:divBdr>
                                                  <w:divsChild>
                                                    <w:div w:id="656960075">
                                                      <w:marLeft w:val="0"/>
                                                      <w:marRight w:val="0"/>
                                                      <w:marTop w:val="0"/>
                                                      <w:marBottom w:val="0"/>
                                                      <w:divBdr>
                                                        <w:top w:val="none" w:sz="0" w:space="0" w:color="auto"/>
                                                        <w:left w:val="none" w:sz="0" w:space="0" w:color="auto"/>
                                                        <w:bottom w:val="none" w:sz="0" w:space="0" w:color="auto"/>
                                                        <w:right w:val="none" w:sz="0" w:space="0" w:color="auto"/>
                                                      </w:divBdr>
                                                      <w:divsChild>
                                                        <w:div w:id="1985159898">
                                                          <w:marLeft w:val="0"/>
                                                          <w:marRight w:val="0"/>
                                                          <w:marTop w:val="0"/>
                                                          <w:marBottom w:val="0"/>
                                                          <w:divBdr>
                                                            <w:top w:val="none" w:sz="0" w:space="0" w:color="auto"/>
                                                            <w:left w:val="none" w:sz="0" w:space="0" w:color="auto"/>
                                                            <w:bottom w:val="none" w:sz="0" w:space="0" w:color="auto"/>
                                                            <w:right w:val="none" w:sz="0" w:space="0" w:color="auto"/>
                                                          </w:divBdr>
                                                          <w:divsChild>
                                                            <w:div w:id="1395196064">
                                                              <w:marLeft w:val="0"/>
                                                              <w:marRight w:val="0"/>
                                                              <w:marTop w:val="0"/>
                                                              <w:marBottom w:val="0"/>
                                                              <w:divBdr>
                                                                <w:top w:val="none" w:sz="0" w:space="0" w:color="auto"/>
                                                                <w:left w:val="none" w:sz="0" w:space="0" w:color="auto"/>
                                                                <w:bottom w:val="none" w:sz="0" w:space="0" w:color="auto"/>
                                                                <w:right w:val="none" w:sz="0" w:space="0" w:color="auto"/>
                                                              </w:divBdr>
                                                              <w:divsChild>
                                                                <w:div w:id="50463453">
                                                                  <w:marLeft w:val="0"/>
                                                                  <w:marRight w:val="0"/>
                                                                  <w:marTop w:val="0"/>
                                                                  <w:marBottom w:val="0"/>
                                                                  <w:divBdr>
                                                                    <w:top w:val="none" w:sz="0" w:space="0" w:color="auto"/>
                                                                    <w:left w:val="none" w:sz="0" w:space="0" w:color="auto"/>
                                                                    <w:bottom w:val="none" w:sz="0" w:space="0" w:color="auto"/>
                                                                    <w:right w:val="none" w:sz="0" w:space="0" w:color="auto"/>
                                                                  </w:divBdr>
                                                                  <w:divsChild>
                                                                    <w:div w:id="1033270917">
                                                                      <w:marLeft w:val="0"/>
                                                                      <w:marRight w:val="0"/>
                                                                      <w:marTop w:val="0"/>
                                                                      <w:marBottom w:val="0"/>
                                                                      <w:divBdr>
                                                                        <w:top w:val="none" w:sz="0" w:space="0" w:color="auto"/>
                                                                        <w:left w:val="none" w:sz="0" w:space="0" w:color="auto"/>
                                                                        <w:bottom w:val="none" w:sz="0" w:space="0" w:color="auto"/>
                                                                        <w:right w:val="none" w:sz="0" w:space="0" w:color="auto"/>
                                                                      </w:divBdr>
                                                                      <w:divsChild>
                                                                        <w:div w:id="167603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444211">
      <w:bodyDiv w:val="1"/>
      <w:marLeft w:val="0"/>
      <w:marRight w:val="0"/>
      <w:marTop w:val="0"/>
      <w:marBottom w:val="0"/>
      <w:divBdr>
        <w:top w:val="none" w:sz="0" w:space="0" w:color="auto"/>
        <w:left w:val="none" w:sz="0" w:space="0" w:color="auto"/>
        <w:bottom w:val="none" w:sz="0" w:space="0" w:color="auto"/>
        <w:right w:val="none" w:sz="0" w:space="0" w:color="auto"/>
      </w:divBdr>
    </w:div>
    <w:div w:id="399062587">
      <w:bodyDiv w:val="1"/>
      <w:marLeft w:val="0"/>
      <w:marRight w:val="0"/>
      <w:marTop w:val="0"/>
      <w:marBottom w:val="0"/>
      <w:divBdr>
        <w:top w:val="none" w:sz="0" w:space="0" w:color="auto"/>
        <w:left w:val="none" w:sz="0" w:space="0" w:color="auto"/>
        <w:bottom w:val="none" w:sz="0" w:space="0" w:color="auto"/>
        <w:right w:val="none" w:sz="0" w:space="0" w:color="auto"/>
      </w:divBdr>
    </w:div>
    <w:div w:id="418214247">
      <w:bodyDiv w:val="1"/>
      <w:marLeft w:val="0"/>
      <w:marRight w:val="0"/>
      <w:marTop w:val="0"/>
      <w:marBottom w:val="0"/>
      <w:divBdr>
        <w:top w:val="none" w:sz="0" w:space="0" w:color="auto"/>
        <w:left w:val="none" w:sz="0" w:space="0" w:color="auto"/>
        <w:bottom w:val="none" w:sz="0" w:space="0" w:color="auto"/>
        <w:right w:val="none" w:sz="0" w:space="0" w:color="auto"/>
      </w:divBdr>
    </w:div>
    <w:div w:id="422805454">
      <w:bodyDiv w:val="1"/>
      <w:marLeft w:val="0"/>
      <w:marRight w:val="0"/>
      <w:marTop w:val="0"/>
      <w:marBottom w:val="0"/>
      <w:divBdr>
        <w:top w:val="none" w:sz="0" w:space="0" w:color="auto"/>
        <w:left w:val="none" w:sz="0" w:space="0" w:color="auto"/>
        <w:bottom w:val="none" w:sz="0" w:space="0" w:color="auto"/>
        <w:right w:val="none" w:sz="0" w:space="0" w:color="auto"/>
      </w:divBdr>
    </w:div>
    <w:div w:id="427195759">
      <w:bodyDiv w:val="1"/>
      <w:marLeft w:val="0"/>
      <w:marRight w:val="0"/>
      <w:marTop w:val="0"/>
      <w:marBottom w:val="0"/>
      <w:divBdr>
        <w:top w:val="none" w:sz="0" w:space="0" w:color="auto"/>
        <w:left w:val="none" w:sz="0" w:space="0" w:color="auto"/>
        <w:bottom w:val="none" w:sz="0" w:space="0" w:color="auto"/>
        <w:right w:val="none" w:sz="0" w:space="0" w:color="auto"/>
      </w:divBdr>
    </w:div>
    <w:div w:id="444663438">
      <w:bodyDiv w:val="1"/>
      <w:marLeft w:val="0"/>
      <w:marRight w:val="0"/>
      <w:marTop w:val="0"/>
      <w:marBottom w:val="0"/>
      <w:divBdr>
        <w:top w:val="none" w:sz="0" w:space="0" w:color="auto"/>
        <w:left w:val="none" w:sz="0" w:space="0" w:color="auto"/>
        <w:bottom w:val="none" w:sz="0" w:space="0" w:color="auto"/>
        <w:right w:val="none" w:sz="0" w:space="0" w:color="auto"/>
      </w:divBdr>
    </w:div>
    <w:div w:id="498695383">
      <w:bodyDiv w:val="1"/>
      <w:marLeft w:val="0"/>
      <w:marRight w:val="0"/>
      <w:marTop w:val="0"/>
      <w:marBottom w:val="0"/>
      <w:divBdr>
        <w:top w:val="none" w:sz="0" w:space="0" w:color="auto"/>
        <w:left w:val="none" w:sz="0" w:space="0" w:color="auto"/>
        <w:bottom w:val="none" w:sz="0" w:space="0" w:color="auto"/>
        <w:right w:val="none" w:sz="0" w:space="0" w:color="auto"/>
      </w:divBdr>
    </w:div>
    <w:div w:id="535511542">
      <w:bodyDiv w:val="1"/>
      <w:marLeft w:val="0"/>
      <w:marRight w:val="0"/>
      <w:marTop w:val="0"/>
      <w:marBottom w:val="0"/>
      <w:divBdr>
        <w:top w:val="none" w:sz="0" w:space="0" w:color="auto"/>
        <w:left w:val="none" w:sz="0" w:space="0" w:color="auto"/>
        <w:bottom w:val="none" w:sz="0" w:space="0" w:color="auto"/>
        <w:right w:val="none" w:sz="0" w:space="0" w:color="auto"/>
      </w:divBdr>
    </w:div>
    <w:div w:id="541863991">
      <w:bodyDiv w:val="1"/>
      <w:marLeft w:val="0"/>
      <w:marRight w:val="0"/>
      <w:marTop w:val="0"/>
      <w:marBottom w:val="0"/>
      <w:divBdr>
        <w:top w:val="none" w:sz="0" w:space="0" w:color="auto"/>
        <w:left w:val="none" w:sz="0" w:space="0" w:color="auto"/>
        <w:bottom w:val="none" w:sz="0" w:space="0" w:color="auto"/>
        <w:right w:val="none" w:sz="0" w:space="0" w:color="auto"/>
      </w:divBdr>
    </w:div>
    <w:div w:id="553976580">
      <w:bodyDiv w:val="1"/>
      <w:marLeft w:val="0"/>
      <w:marRight w:val="0"/>
      <w:marTop w:val="0"/>
      <w:marBottom w:val="0"/>
      <w:divBdr>
        <w:top w:val="none" w:sz="0" w:space="0" w:color="auto"/>
        <w:left w:val="none" w:sz="0" w:space="0" w:color="auto"/>
        <w:bottom w:val="none" w:sz="0" w:space="0" w:color="auto"/>
        <w:right w:val="none" w:sz="0" w:space="0" w:color="auto"/>
      </w:divBdr>
      <w:divsChild>
        <w:div w:id="142433409">
          <w:marLeft w:val="547"/>
          <w:marRight w:val="0"/>
          <w:marTop w:val="144"/>
          <w:marBottom w:val="0"/>
          <w:divBdr>
            <w:top w:val="none" w:sz="0" w:space="0" w:color="auto"/>
            <w:left w:val="none" w:sz="0" w:space="0" w:color="auto"/>
            <w:bottom w:val="none" w:sz="0" w:space="0" w:color="auto"/>
            <w:right w:val="none" w:sz="0" w:space="0" w:color="auto"/>
          </w:divBdr>
        </w:div>
        <w:div w:id="462962543">
          <w:marLeft w:val="547"/>
          <w:marRight w:val="0"/>
          <w:marTop w:val="144"/>
          <w:marBottom w:val="0"/>
          <w:divBdr>
            <w:top w:val="none" w:sz="0" w:space="0" w:color="auto"/>
            <w:left w:val="none" w:sz="0" w:space="0" w:color="auto"/>
            <w:bottom w:val="none" w:sz="0" w:space="0" w:color="auto"/>
            <w:right w:val="none" w:sz="0" w:space="0" w:color="auto"/>
          </w:divBdr>
        </w:div>
        <w:div w:id="596525866">
          <w:marLeft w:val="547"/>
          <w:marRight w:val="0"/>
          <w:marTop w:val="144"/>
          <w:marBottom w:val="0"/>
          <w:divBdr>
            <w:top w:val="none" w:sz="0" w:space="0" w:color="auto"/>
            <w:left w:val="none" w:sz="0" w:space="0" w:color="auto"/>
            <w:bottom w:val="none" w:sz="0" w:space="0" w:color="auto"/>
            <w:right w:val="none" w:sz="0" w:space="0" w:color="auto"/>
          </w:divBdr>
        </w:div>
        <w:div w:id="1230574450">
          <w:marLeft w:val="547"/>
          <w:marRight w:val="0"/>
          <w:marTop w:val="144"/>
          <w:marBottom w:val="0"/>
          <w:divBdr>
            <w:top w:val="none" w:sz="0" w:space="0" w:color="auto"/>
            <w:left w:val="none" w:sz="0" w:space="0" w:color="auto"/>
            <w:bottom w:val="none" w:sz="0" w:space="0" w:color="auto"/>
            <w:right w:val="none" w:sz="0" w:space="0" w:color="auto"/>
          </w:divBdr>
        </w:div>
        <w:div w:id="1336033470">
          <w:marLeft w:val="547"/>
          <w:marRight w:val="0"/>
          <w:marTop w:val="144"/>
          <w:marBottom w:val="0"/>
          <w:divBdr>
            <w:top w:val="none" w:sz="0" w:space="0" w:color="auto"/>
            <w:left w:val="none" w:sz="0" w:space="0" w:color="auto"/>
            <w:bottom w:val="none" w:sz="0" w:space="0" w:color="auto"/>
            <w:right w:val="none" w:sz="0" w:space="0" w:color="auto"/>
          </w:divBdr>
        </w:div>
        <w:div w:id="1525360590">
          <w:marLeft w:val="547"/>
          <w:marRight w:val="0"/>
          <w:marTop w:val="144"/>
          <w:marBottom w:val="0"/>
          <w:divBdr>
            <w:top w:val="none" w:sz="0" w:space="0" w:color="auto"/>
            <w:left w:val="none" w:sz="0" w:space="0" w:color="auto"/>
            <w:bottom w:val="none" w:sz="0" w:space="0" w:color="auto"/>
            <w:right w:val="none" w:sz="0" w:space="0" w:color="auto"/>
          </w:divBdr>
        </w:div>
        <w:div w:id="1939747572">
          <w:marLeft w:val="547"/>
          <w:marRight w:val="0"/>
          <w:marTop w:val="144"/>
          <w:marBottom w:val="0"/>
          <w:divBdr>
            <w:top w:val="none" w:sz="0" w:space="0" w:color="auto"/>
            <w:left w:val="none" w:sz="0" w:space="0" w:color="auto"/>
            <w:bottom w:val="none" w:sz="0" w:space="0" w:color="auto"/>
            <w:right w:val="none" w:sz="0" w:space="0" w:color="auto"/>
          </w:divBdr>
        </w:div>
      </w:divsChild>
    </w:div>
    <w:div w:id="621304959">
      <w:bodyDiv w:val="1"/>
      <w:marLeft w:val="0"/>
      <w:marRight w:val="0"/>
      <w:marTop w:val="0"/>
      <w:marBottom w:val="0"/>
      <w:divBdr>
        <w:top w:val="none" w:sz="0" w:space="0" w:color="auto"/>
        <w:left w:val="none" w:sz="0" w:space="0" w:color="auto"/>
        <w:bottom w:val="none" w:sz="0" w:space="0" w:color="auto"/>
        <w:right w:val="none" w:sz="0" w:space="0" w:color="auto"/>
      </w:divBdr>
    </w:div>
    <w:div w:id="638808612">
      <w:bodyDiv w:val="1"/>
      <w:marLeft w:val="0"/>
      <w:marRight w:val="0"/>
      <w:marTop w:val="0"/>
      <w:marBottom w:val="0"/>
      <w:divBdr>
        <w:top w:val="none" w:sz="0" w:space="0" w:color="auto"/>
        <w:left w:val="none" w:sz="0" w:space="0" w:color="auto"/>
        <w:bottom w:val="none" w:sz="0" w:space="0" w:color="auto"/>
        <w:right w:val="none" w:sz="0" w:space="0" w:color="auto"/>
      </w:divBdr>
    </w:div>
    <w:div w:id="718818035">
      <w:bodyDiv w:val="1"/>
      <w:marLeft w:val="0"/>
      <w:marRight w:val="0"/>
      <w:marTop w:val="0"/>
      <w:marBottom w:val="0"/>
      <w:divBdr>
        <w:top w:val="none" w:sz="0" w:space="0" w:color="auto"/>
        <w:left w:val="none" w:sz="0" w:space="0" w:color="auto"/>
        <w:bottom w:val="none" w:sz="0" w:space="0" w:color="auto"/>
        <w:right w:val="none" w:sz="0" w:space="0" w:color="auto"/>
      </w:divBdr>
    </w:div>
    <w:div w:id="730274358">
      <w:bodyDiv w:val="1"/>
      <w:marLeft w:val="0"/>
      <w:marRight w:val="0"/>
      <w:marTop w:val="0"/>
      <w:marBottom w:val="0"/>
      <w:divBdr>
        <w:top w:val="none" w:sz="0" w:space="0" w:color="auto"/>
        <w:left w:val="none" w:sz="0" w:space="0" w:color="auto"/>
        <w:bottom w:val="none" w:sz="0" w:space="0" w:color="auto"/>
        <w:right w:val="none" w:sz="0" w:space="0" w:color="auto"/>
      </w:divBdr>
    </w:div>
    <w:div w:id="824929211">
      <w:bodyDiv w:val="1"/>
      <w:marLeft w:val="0"/>
      <w:marRight w:val="0"/>
      <w:marTop w:val="0"/>
      <w:marBottom w:val="0"/>
      <w:divBdr>
        <w:top w:val="none" w:sz="0" w:space="0" w:color="auto"/>
        <w:left w:val="none" w:sz="0" w:space="0" w:color="auto"/>
        <w:bottom w:val="none" w:sz="0" w:space="0" w:color="auto"/>
        <w:right w:val="none" w:sz="0" w:space="0" w:color="auto"/>
      </w:divBdr>
    </w:div>
    <w:div w:id="827936593">
      <w:bodyDiv w:val="1"/>
      <w:marLeft w:val="0"/>
      <w:marRight w:val="0"/>
      <w:marTop w:val="0"/>
      <w:marBottom w:val="0"/>
      <w:divBdr>
        <w:top w:val="none" w:sz="0" w:space="0" w:color="auto"/>
        <w:left w:val="none" w:sz="0" w:space="0" w:color="auto"/>
        <w:bottom w:val="none" w:sz="0" w:space="0" w:color="auto"/>
        <w:right w:val="none" w:sz="0" w:space="0" w:color="auto"/>
      </w:divBdr>
    </w:div>
    <w:div w:id="942883747">
      <w:bodyDiv w:val="1"/>
      <w:marLeft w:val="0"/>
      <w:marRight w:val="0"/>
      <w:marTop w:val="0"/>
      <w:marBottom w:val="0"/>
      <w:divBdr>
        <w:top w:val="none" w:sz="0" w:space="0" w:color="auto"/>
        <w:left w:val="none" w:sz="0" w:space="0" w:color="auto"/>
        <w:bottom w:val="none" w:sz="0" w:space="0" w:color="auto"/>
        <w:right w:val="none" w:sz="0" w:space="0" w:color="auto"/>
      </w:divBdr>
    </w:div>
    <w:div w:id="1001277704">
      <w:bodyDiv w:val="1"/>
      <w:marLeft w:val="0"/>
      <w:marRight w:val="0"/>
      <w:marTop w:val="0"/>
      <w:marBottom w:val="0"/>
      <w:divBdr>
        <w:top w:val="none" w:sz="0" w:space="0" w:color="auto"/>
        <w:left w:val="none" w:sz="0" w:space="0" w:color="auto"/>
        <w:bottom w:val="none" w:sz="0" w:space="0" w:color="auto"/>
        <w:right w:val="none" w:sz="0" w:space="0" w:color="auto"/>
      </w:divBdr>
    </w:div>
    <w:div w:id="1021665328">
      <w:bodyDiv w:val="1"/>
      <w:marLeft w:val="0"/>
      <w:marRight w:val="0"/>
      <w:marTop w:val="0"/>
      <w:marBottom w:val="0"/>
      <w:divBdr>
        <w:top w:val="none" w:sz="0" w:space="0" w:color="auto"/>
        <w:left w:val="none" w:sz="0" w:space="0" w:color="auto"/>
        <w:bottom w:val="none" w:sz="0" w:space="0" w:color="auto"/>
        <w:right w:val="none" w:sz="0" w:space="0" w:color="auto"/>
      </w:divBdr>
    </w:div>
    <w:div w:id="1027098154">
      <w:bodyDiv w:val="1"/>
      <w:marLeft w:val="0"/>
      <w:marRight w:val="0"/>
      <w:marTop w:val="0"/>
      <w:marBottom w:val="0"/>
      <w:divBdr>
        <w:top w:val="none" w:sz="0" w:space="0" w:color="auto"/>
        <w:left w:val="none" w:sz="0" w:space="0" w:color="auto"/>
        <w:bottom w:val="none" w:sz="0" w:space="0" w:color="auto"/>
        <w:right w:val="none" w:sz="0" w:space="0" w:color="auto"/>
      </w:divBdr>
    </w:div>
    <w:div w:id="1039625713">
      <w:bodyDiv w:val="1"/>
      <w:marLeft w:val="0"/>
      <w:marRight w:val="0"/>
      <w:marTop w:val="0"/>
      <w:marBottom w:val="0"/>
      <w:divBdr>
        <w:top w:val="none" w:sz="0" w:space="0" w:color="auto"/>
        <w:left w:val="none" w:sz="0" w:space="0" w:color="auto"/>
        <w:bottom w:val="none" w:sz="0" w:space="0" w:color="auto"/>
        <w:right w:val="none" w:sz="0" w:space="0" w:color="auto"/>
      </w:divBdr>
    </w:div>
    <w:div w:id="1041781269">
      <w:bodyDiv w:val="1"/>
      <w:marLeft w:val="0"/>
      <w:marRight w:val="0"/>
      <w:marTop w:val="0"/>
      <w:marBottom w:val="0"/>
      <w:divBdr>
        <w:top w:val="none" w:sz="0" w:space="0" w:color="auto"/>
        <w:left w:val="none" w:sz="0" w:space="0" w:color="auto"/>
        <w:bottom w:val="none" w:sz="0" w:space="0" w:color="auto"/>
        <w:right w:val="none" w:sz="0" w:space="0" w:color="auto"/>
      </w:divBdr>
    </w:div>
    <w:div w:id="1077216191">
      <w:bodyDiv w:val="1"/>
      <w:marLeft w:val="0"/>
      <w:marRight w:val="0"/>
      <w:marTop w:val="0"/>
      <w:marBottom w:val="0"/>
      <w:divBdr>
        <w:top w:val="none" w:sz="0" w:space="0" w:color="auto"/>
        <w:left w:val="none" w:sz="0" w:space="0" w:color="auto"/>
        <w:bottom w:val="none" w:sz="0" w:space="0" w:color="auto"/>
        <w:right w:val="none" w:sz="0" w:space="0" w:color="auto"/>
      </w:divBdr>
    </w:div>
    <w:div w:id="1206675093">
      <w:bodyDiv w:val="1"/>
      <w:marLeft w:val="0"/>
      <w:marRight w:val="0"/>
      <w:marTop w:val="0"/>
      <w:marBottom w:val="0"/>
      <w:divBdr>
        <w:top w:val="none" w:sz="0" w:space="0" w:color="auto"/>
        <w:left w:val="none" w:sz="0" w:space="0" w:color="auto"/>
        <w:bottom w:val="none" w:sz="0" w:space="0" w:color="auto"/>
        <w:right w:val="none" w:sz="0" w:space="0" w:color="auto"/>
      </w:divBdr>
    </w:div>
    <w:div w:id="1251237143">
      <w:bodyDiv w:val="1"/>
      <w:marLeft w:val="0"/>
      <w:marRight w:val="0"/>
      <w:marTop w:val="0"/>
      <w:marBottom w:val="0"/>
      <w:divBdr>
        <w:top w:val="none" w:sz="0" w:space="0" w:color="auto"/>
        <w:left w:val="none" w:sz="0" w:space="0" w:color="auto"/>
        <w:bottom w:val="none" w:sz="0" w:space="0" w:color="auto"/>
        <w:right w:val="none" w:sz="0" w:space="0" w:color="auto"/>
      </w:divBdr>
    </w:div>
    <w:div w:id="1289703161">
      <w:bodyDiv w:val="1"/>
      <w:marLeft w:val="0"/>
      <w:marRight w:val="0"/>
      <w:marTop w:val="0"/>
      <w:marBottom w:val="0"/>
      <w:divBdr>
        <w:top w:val="none" w:sz="0" w:space="0" w:color="auto"/>
        <w:left w:val="none" w:sz="0" w:space="0" w:color="auto"/>
        <w:bottom w:val="none" w:sz="0" w:space="0" w:color="auto"/>
        <w:right w:val="none" w:sz="0" w:space="0" w:color="auto"/>
      </w:divBdr>
    </w:div>
    <w:div w:id="1308827339">
      <w:bodyDiv w:val="1"/>
      <w:marLeft w:val="0"/>
      <w:marRight w:val="0"/>
      <w:marTop w:val="0"/>
      <w:marBottom w:val="0"/>
      <w:divBdr>
        <w:top w:val="none" w:sz="0" w:space="0" w:color="auto"/>
        <w:left w:val="none" w:sz="0" w:space="0" w:color="auto"/>
        <w:bottom w:val="none" w:sz="0" w:space="0" w:color="auto"/>
        <w:right w:val="none" w:sz="0" w:space="0" w:color="auto"/>
      </w:divBdr>
    </w:div>
    <w:div w:id="1395161255">
      <w:bodyDiv w:val="1"/>
      <w:marLeft w:val="0"/>
      <w:marRight w:val="0"/>
      <w:marTop w:val="0"/>
      <w:marBottom w:val="0"/>
      <w:divBdr>
        <w:top w:val="none" w:sz="0" w:space="0" w:color="auto"/>
        <w:left w:val="none" w:sz="0" w:space="0" w:color="auto"/>
        <w:bottom w:val="none" w:sz="0" w:space="0" w:color="auto"/>
        <w:right w:val="none" w:sz="0" w:space="0" w:color="auto"/>
      </w:divBdr>
    </w:div>
    <w:div w:id="1407603482">
      <w:bodyDiv w:val="1"/>
      <w:marLeft w:val="0"/>
      <w:marRight w:val="0"/>
      <w:marTop w:val="0"/>
      <w:marBottom w:val="0"/>
      <w:divBdr>
        <w:top w:val="none" w:sz="0" w:space="0" w:color="auto"/>
        <w:left w:val="none" w:sz="0" w:space="0" w:color="auto"/>
        <w:bottom w:val="none" w:sz="0" w:space="0" w:color="auto"/>
        <w:right w:val="none" w:sz="0" w:space="0" w:color="auto"/>
      </w:divBdr>
    </w:div>
    <w:div w:id="1415203155">
      <w:bodyDiv w:val="1"/>
      <w:marLeft w:val="0"/>
      <w:marRight w:val="0"/>
      <w:marTop w:val="0"/>
      <w:marBottom w:val="0"/>
      <w:divBdr>
        <w:top w:val="none" w:sz="0" w:space="0" w:color="auto"/>
        <w:left w:val="none" w:sz="0" w:space="0" w:color="auto"/>
        <w:bottom w:val="none" w:sz="0" w:space="0" w:color="auto"/>
        <w:right w:val="none" w:sz="0" w:space="0" w:color="auto"/>
      </w:divBdr>
    </w:div>
    <w:div w:id="1452940854">
      <w:bodyDiv w:val="1"/>
      <w:marLeft w:val="0"/>
      <w:marRight w:val="0"/>
      <w:marTop w:val="0"/>
      <w:marBottom w:val="0"/>
      <w:divBdr>
        <w:top w:val="none" w:sz="0" w:space="0" w:color="auto"/>
        <w:left w:val="none" w:sz="0" w:space="0" w:color="auto"/>
        <w:bottom w:val="none" w:sz="0" w:space="0" w:color="auto"/>
        <w:right w:val="none" w:sz="0" w:space="0" w:color="auto"/>
      </w:divBdr>
    </w:div>
    <w:div w:id="1528059558">
      <w:bodyDiv w:val="1"/>
      <w:marLeft w:val="0"/>
      <w:marRight w:val="0"/>
      <w:marTop w:val="0"/>
      <w:marBottom w:val="0"/>
      <w:divBdr>
        <w:top w:val="none" w:sz="0" w:space="0" w:color="auto"/>
        <w:left w:val="none" w:sz="0" w:space="0" w:color="auto"/>
        <w:bottom w:val="none" w:sz="0" w:space="0" w:color="auto"/>
        <w:right w:val="none" w:sz="0" w:space="0" w:color="auto"/>
      </w:divBdr>
    </w:div>
    <w:div w:id="1581595539">
      <w:bodyDiv w:val="1"/>
      <w:marLeft w:val="0"/>
      <w:marRight w:val="0"/>
      <w:marTop w:val="0"/>
      <w:marBottom w:val="0"/>
      <w:divBdr>
        <w:top w:val="none" w:sz="0" w:space="0" w:color="auto"/>
        <w:left w:val="none" w:sz="0" w:space="0" w:color="auto"/>
        <w:bottom w:val="none" w:sz="0" w:space="0" w:color="auto"/>
        <w:right w:val="none" w:sz="0" w:space="0" w:color="auto"/>
      </w:divBdr>
    </w:div>
    <w:div w:id="1598059514">
      <w:bodyDiv w:val="1"/>
      <w:marLeft w:val="0"/>
      <w:marRight w:val="0"/>
      <w:marTop w:val="0"/>
      <w:marBottom w:val="0"/>
      <w:divBdr>
        <w:top w:val="none" w:sz="0" w:space="0" w:color="auto"/>
        <w:left w:val="none" w:sz="0" w:space="0" w:color="auto"/>
        <w:bottom w:val="none" w:sz="0" w:space="0" w:color="auto"/>
        <w:right w:val="none" w:sz="0" w:space="0" w:color="auto"/>
      </w:divBdr>
    </w:div>
    <w:div w:id="1605772199">
      <w:bodyDiv w:val="1"/>
      <w:marLeft w:val="0"/>
      <w:marRight w:val="0"/>
      <w:marTop w:val="0"/>
      <w:marBottom w:val="0"/>
      <w:divBdr>
        <w:top w:val="none" w:sz="0" w:space="0" w:color="auto"/>
        <w:left w:val="none" w:sz="0" w:space="0" w:color="auto"/>
        <w:bottom w:val="none" w:sz="0" w:space="0" w:color="auto"/>
        <w:right w:val="none" w:sz="0" w:space="0" w:color="auto"/>
      </w:divBdr>
    </w:div>
    <w:div w:id="1621061061">
      <w:bodyDiv w:val="1"/>
      <w:marLeft w:val="0"/>
      <w:marRight w:val="0"/>
      <w:marTop w:val="0"/>
      <w:marBottom w:val="0"/>
      <w:divBdr>
        <w:top w:val="none" w:sz="0" w:space="0" w:color="auto"/>
        <w:left w:val="none" w:sz="0" w:space="0" w:color="auto"/>
        <w:bottom w:val="none" w:sz="0" w:space="0" w:color="auto"/>
        <w:right w:val="none" w:sz="0" w:space="0" w:color="auto"/>
      </w:divBdr>
    </w:div>
    <w:div w:id="1628656068">
      <w:bodyDiv w:val="1"/>
      <w:marLeft w:val="0"/>
      <w:marRight w:val="0"/>
      <w:marTop w:val="0"/>
      <w:marBottom w:val="0"/>
      <w:divBdr>
        <w:top w:val="none" w:sz="0" w:space="0" w:color="auto"/>
        <w:left w:val="none" w:sz="0" w:space="0" w:color="auto"/>
        <w:bottom w:val="none" w:sz="0" w:space="0" w:color="auto"/>
        <w:right w:val="none" w:sz="0" w:space="0" w:color="auto"/>
      </w:divBdr>
    </w:div>
    <w:div w:id="1670988348">
      <w:bodyDiv w:val="1"/>
      <w:marLeft w:val="0"/>
      <w:marRight w:val="0"/>
      <w:marTop w:val="0"/>
      <w:marBottom w:val="0"/>
      <w:divBdr>
        <w:top w:val="none" w:sz="0" w:space="0" w:color="auto"/>
        <w:left w:val="none" w:sz="0" w:space="0" w:color="auto"/>
        <w:bottom w:val="none" w:sz="0" w:space="0" w:color="auto"/>
        <w:right w:val="none" w:sz="0" w:space="0" w:color="auto"/>
      </w:divBdr>
    </w:div>
    <w:div w:id="1690794593">
      <w:bodyDiv w:val="1"/>
      <w:marLeft w:val="0"/>
      <w:marRight w:val="0"/>
      <w:marTop w:val="0"/>
      <w:marBottom w:val="0"/>
      <w:divBdr>
        <w:top w:val="none" w:sz="0" w:space="0" w:color="auto"/>
        <w:left w:val="none" w:sz="0" w:space="0" w:color="auto"/>
        <w:bottom w:val="none" w:sz="0" w:space="0" w:color="auto"/>
        <w:right w:val="none" w:sz="0" w:space="0" w:color="auto"/>
      </w:divBdr>
    </w:div>
    <w:div w:id="1781215590">
      <w:bodyDiv w:val="1"/>
      <w:marLeft w:val="0"/>
      <w:marRight w:val="0"/>
      <w:marTop w:val="0"/>
      <w:marBottom w:val="0"/>
      <w:divBdr>
        <w:top w:val="none" w:sz="0" w:space="0" w:color="auto"/>
        <w:left w:val="none" w:sz="0" w:space="0" w:color="auto"/>
        <w:bottom w:val="none" w:sz="0" w:space="0" w:color="auto"/>
        <w:right w:val="none" w:sz="0" w:space="0" w:color="auto"/>
      </w:divBdr>
    </w:div>
    <w:div w:id="1846819374">
      <w:bodyDiv w:val="1"/>
      <w:marLeft w:val="0"/>
      <w:marRight w:val="0"/>
      <w:marTop w:val="0"/>
      <w:marBottom w:val="0"/>
      <w:divBdr>
        <w:top w:val="none" w:sz="0" w:space="0" w:color="auto"/>
        <w:left w:val="none" w:sz="0" w:space="0" w:color="auto"/>
        <w:bottom w:val="none" w:sz="0" w:space="0" w:color="auto"/>
        <w:right w:val="none" w:sz="0" w:space="0" w:color="auto"/>
      </w:divBdr>
    </w:div>
    <w:div w:id="1905677424">
      <w:bodyDiv w:val="1"/>
      <w:marLeft w:val="0"/>
      <w:marRight w:val="0"/>
      <w:marTop w:val="0"/>
      <w:marBottom w:val="0"/>
      <w:divBdr>
        <w:top w:val="none" w:sz="0" w:space="0" w:color="auto"/>
        <w:left w:val="none" w:sz="0" w:space="0" w:color="auto"/>
        <w:bottom w:val="none" w:sz="0" w:space="0" w:color="auto"/>
        <w:right w:val="none" w:sz="0" w:space="0" w:color="auto"/>
      </w:divBdr>
    </w:div>
    <w:div w:id="1942060351">
      <w:bodyDiv w:val="1"/>
      <w:marLeft w:val="0"/>
      <w:marRight w:val="0"/>
      <w:marTop w:val="0"/>
      <w:marBottom w:val="0"/>
      <w:divBdr>
        <w:top w:val="none" w:sz="0" w:space="0" w:color="auto"/>
        <w:left w:val="none" w:sz="0" w:space="0" w:color="auto"/>
        <w:bottom w:val="none" w:sz="0" w:space="0" w:color="auto"/>
        <w:right w:val="none" w:sz="0" w:space="0" w:color="auto"/>
      </w:divBdr>
    </w:div>
    <w:div w:id="1949464569">
      <w:bodyDiv w:val="1"/>
      <w:marLeft w:val="0"/>
      <w:marRight w:val="0"/>
      <w:marTop w:val="0"/>
      <w:marBottom w:val="0"/>
      <w:divBdr>
        <w:top w:val="none" w:sz="0" w:space="0" w:color="auto"/>
        <w:left w:val="none" w:sz="0" w:space="0" w:color="auto"/>
        <w:bottom w:val="none" w:sz="0" w:space="0" w:color="auto"/>
        <w:right w:val="none" w:sz="0" w:space="0" w:color="auto"/>
      </w:divBdr>
    </w:div>
    <w:div w:id="1971739945">
      <w:bodyDiv w:val="1"/>
      <w:marLeft w:val="0"/>
      <w:marRight w:val="0"/>
      <w:marTop w:val="0"/>
      <w:marBottom w:val="0"/>
      <w:divBdr>
        <w:top w:val="none" w:sz="0" w:space="0" w:color="auto"/>
        <w:left w:val="none" w:sz="0" w:space="0" w:color="auto"/>
        <w:bottom w:val="none" w:sz="0" w:space="0" w:color="auto"/>
        <w:right w:val="none" w:sz="0" w:space="0" w:color="auto"/>
      </w:divBdr>
    </w:div>
    <w:div w:id="2004431177">
      <w:bodyDiv w:val="1"/>
      <w:marLeft w:val="0"/>
      <w:marRight w:val="0"/>
      <w:marTop w:val="0"/>
      <w:marBottom w:val="0"/>
      <w:divBdr>
        <w:top w:val="none" w:sz="0" w:space="0" w:color="auto"/>
        <w:left w:val="none" w:sz="0" w:space="0" w:color="auto"/>
        <w:bottom w:val="none" w:sz="0" w:space="0" w:color="auto"/>
        <w:right w:val="none" w:sz="0" w:space="0" w:color="auto"/>
      </w:divBdr>
    </w:div>
    <w:div w:id="2031829351">
      <w:bodyDiv w:val="1"/>
      <w:marLeft w:val="0"/>
      <w:marRight w:val="0"/>
      <w:marTop w:val="0"/>
      <w:marBottom w:val="0"/>
      <w:divBdr>
        <w:top w:val="none" w:sz="0" w:space="0" w:color="auto"/>
        <w:left w:val="none" w:sz="0" w:space="0" w:color="auto"/>
        <w:bottom w:val="none" w:sz="0" w:space="0" w:color="auto"/>
        <w:right w:val="none" w:sz="0" w:space="0" w:color="auto"/>
      </w:divBdr>
    </w:div>
    <w:div w:id="2069760689">
      <w:bodyDiv w:val="1"/>
      <w:marLeft w:val="0"/>
      <w:marRight w:val="0"/>
      <w:marTop w:val="0"/>
      <w:marBottom w:val="0"/>
      <w:divBdr>
        <w:top w:val="none" w:sz="0" w:space="0" w:color="auto"/>
        <w:left w:val="none" w:sz="0" w:space="0" w:color="auto"/>
        <w:bottom w:val="none" w:sz="0" w:space="0" w:color="auto"/>
        <w:right w:val="none" w:sz="0" w:space="0" w:color="auto"/>
      </w:divBdr>
    </w:div>
    <w:div w:id="2074422275">
      <w:bodyDiv w:val="1"/>
      <w:marLeft w:val="0"/>
      <w:marRight w:val="0"/>
      <w:marTop w:val="0"/>
      <w:marBottom w:val="0"/>
      <w:divBdr>
        <w:top w:val="none" w:sz="0" w:space="0" w:color="auto"/>
        <w:left w:val="none" w:sz="0" w:space="0" w:color="auto"/>
        <w:bottom w:val="none" w:sz="0" w:space="0" w:color="auto"/>
        <w:right w:val="none" w:sz="0" w:space="0" w:color="auto"/>
      </w:divBdr>
    </w:div>
    <w:div w:id="2102602755">
      <w:bodyDiv w:val="1"/>
      <w:marLeft w:val="0"/>
      <w:marRight w:val="0"/>
      <w:marTop w:val="0"/>
      <w:marBottom w:val="0"/>
      <w:divBdr>
        <w:top w:val="none" w:sz="0" w:space="0" w:color="auto"/>
        <w:left w:val="none" w:sz="0" w:space="0" w:color="auto"/>
        <w:bottom w:val="none" w:sz="0" w:space="0" w:color="auto"/>
        <w:right w:val="none" w:sz="0" w:space="0" w:color="auto"/>
      </w:divBdr>
    </w:div>
    <w:div w:id="2115323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5.png"/><Relationship Id="rId26" Type="http://schemas.openxmlformats.org/officeDocument/2006/relationships/footer" Target="footer5.xml"/><Relationship Id="rId39" Type="http://schemas.openxmlformats.org/officeDocument/2006/relationships/fontTable" Target="fontTable.xml"/><Relationship Id="rId21" Type="http://schemas.openxmlformats.org/officeDocument/2006/relationships/image" Target="media/image7.jpeg"/><Relationship Id="rId34"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4.jpeg"/><Relationship Id="rId25" Type="http://schemas.openxmlformats.org/officeDocument/2006/relationships/footer" Target="footer4.xml"/><Relationship Id="rId33" Type="http://schemas.openxmlformats.org/officeDocument/2006/relationships/image" Target="media/image17.jpeg"/><Relationship Id="rId38"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0.jpeg"/><Relationship Id="rId32" Type="http://schemas.openxmlformats.org/officeDocument/2006/relationships/image" Target="media/image16.jpeg"/><Relationship Id="rId37" Type="http://schemas.openxmlformats.org/officeDocument/2006/relationships/footer" Target="footer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9.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image" Target="media/image1.png"/><Relationship Id="rId19" Type="http://schemas.openxmlformats.org/officeDocument/2006/relationships/footer" Target="footer3.xm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chart" Target="charts/chart3.xml"/><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8" Type="http://schemas.openxmlformats.org/officeDocument/2006/relationships/footer" Target="foot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charts/_rels/chart1.xml.rels><?xml version="1.0" encoding="UTF-8" standalone="yes"?>
<Relationships xmlns="http://schemas.openxmlformats.org/package/2006/relationships"><Relationship Id="rId3" Type="http://schemas.openxmlformats.org/officeDocument/2006/relationships/oleObject" Target="file:///C:\Users\bross\Desktop\CDW%2016%20Augus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bross\Downloads\CDW%20standard%20curve%20(23%20August)%20(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ross\Downloads\CDW%20standard%20curve%20(23%20August)%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bross\Downloads\CDW%20standard%20curve%20(23%20August)%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2700" cap="rnd">
              <a:solidFill>
                <a:schemeClr val="tx1"/>
              </a:solidFill>
              <a:round/>
            </a:ln>
            <a:effectLst/>
          </c:spPr>
          <c:marker>
            <c:symbol val="circle"/>
            <c:size val="6"/>
            <c:spPr>
              <a:noFill/>
              <a:ln w="9525">
                <a:solidFill>
                  <a:schemeClr val="tx1"/>
                </a:solidFill>
              </a:ln>
              <a:effectLst/>
            </c:spPr>
          </c:marker>
          <c:errBars>
            <c:errDir val="y"/>
            <c:errBarType val="both"/>
            <c:errValType val="cust"/>
            <c:noEndCap val="0"/>
            <c:plus>
              <c:numRef>
                <c:f>Sheet1!$L$34:$L$40</c:f>
                <c:numCache>
                  <c:formatCode>General</c:formatCode>
                  <c:ptCount val="7"/>
                  <c:pt idx="0">
                    <c:v>3.5131012427597877E-2</c:v>
                  </c:pt>
                  <c:pt idx="1">
                    <c:v>1.7565506213798841E-2</c:v>
                  </c:pt>
                  <c:pt idx="2">
                    <c:v>0.21078607456558651</c:v>
                  </c:pt>
                  <c:pt idx="3">
                    <c:v>0.49183417398637025</c:v>
                  </c:pt>
                  <c:pt idx="4">
                    <c:v>0.17565506213799173</c:v>
                  </c:pt>
                  <c:pt idx="5">
                    <c:v>0</c:v>
                  </c:pt>
                  <c:pt idx="6">
                    <c:v>0.35131012427598346</c:v>
                  </c:pt>
                </c:numCache>
              </c:numRef>
            </c:plus>
            <c:minus>
              <c:numRef>
                <c:f>Sheet1!$L$34:$L$40</c:f>
                <c:numCache>
                  <c:formatCode>General</c:formatCode>
                  <c:ptCount val="7"/>
                  <c:pt idx="0">
                    <c:v>3.5131012427597877E-2</c:v>
                  </c:pt>
                  <c:pt idx="1">
                    <c:v>1.7565506213798841E-2</c:v>
                  </c:pt>
                  <c:pt idx="2">
                    <c:v>0.21078607456558651</c:v>
                  </c:pt>
                  <c:pt idx="3">
                    <c:v>0.49183417398637025</c:v>
                  </c:pt>
                  <c:pt idx="4">
                    <c:v>0.17565506213799173</c:v>
                  </c:pt>
                  <c:pt idx="5">
                    <c:v>0</c:v>
                  </c:pt>
                  <c:pt idx="6">
                    <c:v>0.35131012427598346</c:v>
                  </c:pt>
                </c:numCache>
              </c:numRef>
            </c:minus>
            <c:spPr>
              <a:noFill/>
              <a:ln w="9525" cap="flat" cmpd="sng" algn="ctr">
                <a:solidFill>
                  <a:schemeClr val="tx1">
                    <a:lumMod val="65000"/>
                    <a:lumOff val="35000"/>
                  </a:schemeClr>
                </a:solidFill>
                <a:round/>
              </a:ln>
              <a:effectLst/>
            </c:spPr>
          </c:errBars>
          <c:errBars>
            <c:errDir val="x"/>
            <c:errBarType val="both"/>
            <c:errValType val="cust"/>
            <c:noEndCap val="0"/>
            <c:plus>
              <c:numRef>
                <c:f>Sheet1!$L$44:$L$50</c:f>
                <c:numCache>
                  <c:formatCode>General</c:formatCode>
                  <c:ptCount val="7"/>
                  <c:pt idx="0">
                    <c:v>0.29275843689664921</c:v>
                  </c:pt>
                  <c:pt idx="1">
                    <c:v>0.1366206038851038</c:v>
                  </c:pt>
                  <c:pt idx="2">
                    <c:v>5.8551687379323293E-2</c:v>
                  </c:pt>
                  <c:pt idx="3">
                    <c:v>0.11710337475866278</c:v>
                  </c:pt>
                  <c:pt idx="4">
                    <c:v>1.9517229126441129E-2</c:v>
                  </c:pt>
                  <c:pt idx="5">
                    <c:v>1.9517229126446493E-2</c:v>
                  </c:pt>
                  <c:pt idx="6">
                    <c:v>0</c:v>
                  </c:pt>
                </c:numCache>
              </c:numRef>
            </c:plus>
            <c:minus>
              <c:numRef>
                <c:f>Sheet1!$L$44:$L$50</c:f>
                <c:numCache>
                  <c:formatCode>General</c:formatCode>
                  <c:ptCount val="7"/>
                  <c:pt idx="0">
                    <c:v>0.29275843689664921</c:v>
                  </c:pt>
                  <c:pt idx="1">
                    <c:v>0.1366206038851038</c:v>
                  </c:pt>
                  <c:pt idx="2">
                    <c:v>5.8551687379323293E-2</c:v>
                  </c:pt>
                  <c:pt idx="3">
                    <c:v>0.11710337475866278</c:v>
                  </c:pt>
                  <c:pt idx="4">
                    <c:v>1.9517229126441129E-2</c:v>
                  </c:pt>
                  <c:pt idx="5">
                    <c:v>1.9517229126446493E-2</c:v>
                  </c:pt>
                  <c:pt idx="6">
                    <c:v>0</c:v>
                  </c:pt>
                </c:numCache>
              </c:numRef>
            </c:minus>
            <c:spPr>
              <a:noFill/>
              <a:ln w="9525" cap="flat" cmpd="sng" algn="ctr">
                <a:solidFill>
                  <a:schemeClr val="tx1">
                    <a:lumMod val="65000"/>
                    <a:lumOff val="35000"/>
                  </a:schemeClr>
                </a:solidFill>
                <a:round/>
              </a:ln>
              <a:effectLst/>
            </c:spPr>
          </c:errBars>
          <c:xVal>
            <c:numRef>
              <c:f>Sheet1!$H$34:$H$40</c:f>
              <c:numCache>
                <c:formatCode>General</c:formatCode>
                <c:ptCount val="7"/>
                <c:pt idx="0">
                  <c:v>4.9833333333333343</c:v>
                </c:pt>
                <c:pt idx="1">
                  <c:v>2.5277777777777786</c:v>
                </c:pt>
                <c:pt idx="2">
                  <c:v>0.91666666666666752</c:v>
                </c:pt>
                <c:pt idx="3">
                  <c:v>0.66666666666666585</c:v>
                </c:pt>
                <c:pt idx="4">
                  <c:v>0.42777777777777692</c:v>
                </c:pt>
                <c:pt idx="5">
                  <c:v>0.19444444444444309</c:v>
                </c:pt>
                <c:pt idx="6">
                  <c:v>1.1111111111109889E-2</c:v>
                </c:pt>
              </c:numCache>
            </c:numRef>
          </c:xVal>
          <c:yVal>
            <c:numRef>
              <c:f>Sheet1!$G$34:$G$40</c:f>
              <c:numCache>
                <c:formatCode>General</c:formatCode>
                <c:ptCount val="7"/>
                <c:pt idx="0">
                  <c:v>0.19</c:v>
                </c:pt>
                <c:pt idx="1">
                  <c:v>0.28500000000000003</c:v>
                </c:pt>
                <c:pt idx="2">
                  <c:v>2.4699999999999998</c:v>
                </c:pt>
                <c:pt idx="3">
                  <c:v>5.34</c:v>
                </c:pt>
                <c:pt idx="4">
                  <c:v>13.75</c:v>
                </c:pt>
                <c:pt idx="5">
                  <c:v>35.5</c:v>
                </c:pt>
                <c:pt idx="6">
                  <c:v>80.800000000000011</c:v>
                </c:pt>
              </c:numCache>
            </c:numRef>
          </c:yVal>
          <c:smooth val="0"/>
          <c:extLst>
            <c:ext xmlns:c16="http://schemas.microsoft.com/office/drawing/2014/chart" uri="{C3380CC4-5D6E-409C-BE32-E72D297353CC}">
              <c16:uniqueId val="{00000000-E29F-46C3-88B1-79C7918B87CE}"/>
            </c:ext>
          </c:extLst>
        </c:ser>
        <c:dLbls>
          <c:showLegendKey val="0"/>
          <c:showVal val="0"/>
          <c:showCatName val="0"/>
          <c:showSerName val="0"/>
          <c:showPercent val="0"/>
          <c:showBubbleSize val="0"/>
        </c:dLbls>
        <c:axId val="-1824537584"/>
        <c:axId val="-1824545744"/>
      </c:scatterChart>
      <c:valAx>
        <c:axId val="-1824537584"/>
        <c:scaling>
          <c:orientation val="minMax"/>
          <c:max val="6"/>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Cell dry weight (g/L)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45744"/>
        <c:crosses val="autoZero"/>
        <c:crossBetween val="midCat"/>
      </c:valAx>
      <c:valAx>
        <c:axId val="-1824545744"/>
        <c:scaling>
          <c:orientation val="minMax"/>
          <c:max val="10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Transmittance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37584"/>
        <c:crosses val="autoZero"/>
        <c:crossBetween val="midCat"/>
      </c:valAx>
      <c:spPr>
        <a:noFill/>
        <a:ln>
          <a:solidFill>
            <a:schemeClr val="bg1">
              <a:lumMod val="7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75362068839256"/>
          <c:y val="0.11522163354116051"/>
          <c:w val="0.85216445819841569"/>
          <c:h val="0.72573495692220624"/>
        </c:manualLayout>
      </c:layout>
      <c:scatterChart>
        <c:scatterStyle val="lineMarker"/>
        <c:varyColors val="0"/>
        <c:ser>
          <c:idx val="2"/>
          <c:order val="0"/>
          <c:tx>
            <c:v>30 W/m^2</c:v>
          </c:tx>
          <c:spPr>
            <a:ln w="12700" cap="rnd">
              <a:solidFill>
                <a:schemeClr val="tx1"/>
              </a:solidFill>
              <a:prstDash val="sysDash"/>
              <a:round/>
            </a:ln>
            <a:effectLst/>
          </c:spPr>
          <c:marker>
            <c:symbol val="circle"/>
            <c:size val="5"/>
            <c:spPr>
              <a:solidFill>
                <a:schemeClr val="bg1"/>
              </a:solidFill>
              <a:ln w="9525">
                <a:solidFill>
                  <a:schemeClr val="tx1"/>
                </a:solidFill>
              </a:ln>
              <a:effectLst/>
            </c:spPr>
          </c:marker>
          <c:errBars>
            <c:errDir val="y"/>
            <c:errBarType val="both"/>
            <c:errValType val="cust"/>
            <c:noEndCap val="0"/>
            <c:plus>
              <c:numRef>
                <c:f>'LI exp 30 Wm2 Run 1,2, and'!$R$2:$R$13</c:f>
                <c:numCache>
                  <c:formatCode>General</c:formatCode>
                  <c:ptCount val="12"/>
                  <c:pt idx="0">
                    <c:v>9.6149711375784527E-2</c:v>
                  </c:pt>
                  <c:pt idx="1">
                    <c:v>0.17826309459915626</c:v>
                  </c:pt>
                  <c:pt idx="2">
                    <c:v>8.967933193922184E-2</c:v>
                  </c:pt>
                  <c:pt idx="3">
                    <c:v>0.16329680953428777</c:v>
                  </c:pt>
                  <c:pt idx="4">
                    <c:v>0.3772202934404979</c:v>
                  </c:pt>
                  <c:pt idx="5">
                    <c:v>0.31528575611305165</c:v>
                  </c:pt>
                  <c:pt idx="6">
                    <c:v>0.27269383794454072</c:v>
                  </c:pt>
                  <c:pt idx="7">
                    <c:v>0.25736761330769753</c:v>
                  </c:pt>
                  <c:pt idx="8">
                    <c:v>0.30371166572772529</c:v>
                  </c:pt>
                  <c:pt idx="9">
                    <c:v>0.14206219652362068</c:v>
                  </c:pt>
                  <c:pt idx="10">
                    <c:v>0.15682923196286996</c:v>
                  </c:pt>
                  <c:pt idx="11">
                    <c:v>0.22706299628523019</c:v>
                  </c:pt>
                </c:numCache>
              </c:numRef>
            </c:plus>
            <c:minus>
              <c:numRef>
                <c:f>'LI exp 30 Wm2 Run 1,2, and'!$R$2:$R$13</c:f>
                <c:numCache>
                  <c:formatCode>General</c:formatCode>
                  <c:ptCount val="12"/>
                  <c:pt idx="0">
                    <c:v>9.6149711375784527E-2</c:v>
                  </c:pt>
                  <c:pt idx="1">
                    <c:v>0.17826309459915626</c:v>
                  </c:pt>
                  <c:pt idx="2">
                    <c:v>8.967933193922184E-2</c:v>
                  </c:pt>
                  <c:pt idx="3">
                    <c:v>0.16329680953428777</c:v>
                  </c:pt>
                  <c:pt idx="4">
                    <c:v>0.3772202934404979</c:v>
                  </c:pt>
                  <c:pt idx="5">
                    <c:v>0.31528575611305165</c:v>
                  </c:pt>
                  <c:pt idx="6">
                    <c:v>0.27269383794454072</c:v>
                  </c:pt>
                  <c:pt idx="7">
                    <c:v>0.25736761330769753</c:v>
                  </c:pt>
                  <c:pt idx="8">
                    <c:v>0.30371166572772529</c:v>
                  </c:pt>
                  <c:pt idx="9">
                    <c:v>0.14206219652362068</c:v>
                  </c:pt>
                  <c:pt idx="10">
                    <c:v>0.15682923196286996</c:v>
                  </c:pt>
                  <c:pt idx="11">
                    <c:v>0.22706299628523019</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'Comparison of LI experiments'!$D$2:$D$15</c:f>
              <c:numCache>
                <c:formatCode>General</c:formatCode>
                <c:ptCount val="14"/>
                <c:pt idx="0">
                  <c:v>0</c:v>
                </c:pt>
                <c:pt idx="1">
                  <c:v>9</c:v>
                </c:pt>
                <c:pt idx="2">
                  <c:v>24</c:v>
                </c:pt>
                <c:pt idx="3">
                  <c:v>33</c:v>
                </c:pt>
                <c:pt idx="4">
                  <c:v>48</c:v>
                </c:pt>
                <c:pt idx="5">
                  <c:v>57</c:v>
                </c:pt>
                <c:pt idx="6">
                  <c:v>72</c:v>
                </c:pt>
                <c:pt idx="7">
                  <c:v>81</c:v>
                </c:pt>
                <c:pt idx="8">
                  <c:v>96</c:v>
                </c:pt>
                <c:pt idx="9">
                  <c:v>105</c:v>
                </c:pt>
                <c:pt idx="10">
                  <c:v>120</c:v>
                </c:pt>
                <c:pt idx="11">
                  <c:v>129</c:v>
                </c:pt>
                <c:pt idx="12">
                  <c:v>144</c:v>
                </c:pt>
                <c:pt idx="13">
                  <c:v>153</c:v>
                </c:pt>
              </c:numCache>
            </c:numRef>
          </c:xVal>
          <c:yVal>
            <c:numRef>
              <c:f>'Comparison of LI experiments'!$E$2:$E$15</c:f>
              <c:numCache>
                <c:formatCode>General</c:formatCode>
                <c:ptCount val="14"/>
                <c:pt idx="0">
                  <c:v>3.6638899999999995E-2</c:v>
                </c:pt>
                <c:pt idx="1">
                  <c:v>0.11632439999999999</c:v>
                </c:pt>
                <c:pt idx="2">
                  <c:v>0.53315349999999995</c:v>
                </c:pt>
                <c:pt idx="3">
                  <c:v>0.91170070000000003</c:v>
                </c:pt>
                <c:pt idx="4">
                  <c:v>1.5969960000000001</c:v>
                </c:pt>
                <c:pt idx="5">
                  <c:v>2.0859527999999998</c:v>
                </c:pt>
                <c:pt idx="6">
                  <c:v>2.8745927999999998</c:v>
                </c:pt>
                <c:pt idx="7">
                  <c:v>3.2952007999999999</c:v>
                </c:pt>
                <c:pt idx="8">
                  <c:v>3.7289528000000001</c:v>
                </c:pt>
                <c:pt idx="9">
                  <c:v>3.9129687999999998</c:v>
                </c:pt>
                <c:pt idx="10">
                  <c:v>4.1824207999999992</c:v>
                </c:pt>
                <c:pt idx="11">
                  <c:v>4.1732199999999997</c:v>
                </c:pt>
                <c:pt idx="12">
                  <c:v>3.9944615999999997</c:v>
                </c:pt>
                <c:pt idx="13">
                  <c:v>3.7223807999999998</c:v>
                </c:pt>
              </c:numCache>
            </c:numRef>
          </c:yVal>
          <c:smooth val="0"/>
          <c:extLst>
            <c:ext xmlns:c16="http://schemas.microsoft.com/office/drawing/2014/chart" uri="{C3380CC4-5D6E-409C-BE32-E72D297353CC}">
              <c16:uniqueId val="{00000000-9D36-4414-AF2B-1ACA6E31F307}"/>
            </c:ext>
          </c:extLst>
        </c:ser>
        <c:ser>
          <c:idx val="0"/>
          <c:order val="1"/>
          <c:tx>
            <c:v>70 W/m^2</c:v>
          </c:tx>
          <c:spPr>
            <a:ln w="12700" cap="rnd">
              <a:solidFill>
                <a:schemeClr val="tx1"/>
              </a:solidFill>
              <a:prstDash val="dashDot"/>
              <a:round/>
            </a:ln>
            <a:effectLst/>
          </c:spPr>
          <c:marker>
            <c:symbol val="triangle"/>
            <c:size val="5"/>
            <c:spPr>
              <a:solidFill>
                <a:schemeClr val="bg1"/>
              </a:solidFill>
              <a:ln w="9525">
                <a:solidFill>
                  <a:schemeClr val="tx1"/>
                </a:solidFill>
              </a:ln>
              <a:effectLst/>
            </c:spPr>
          </c:marker>
          <c:errBars>
            <c:errDir val="y"/>
            <c:errBarType val="both"/>
            <c:errValType val="cust"/>
            <c:noEndCap val="0"/>
            <c:plus>
              <c:numRef>
                <c:f>'LI exp 70 Wm2 Run 1,2, and 4'!$R$2:$R$11</c:f>
                <c:numCache>
                  <c:formatCode>General</c:formatCode>
                  <c:ptCount val="10"/>
                  <c:pt idx="0">
                    <c:v>1.4846822355496969E-3</c:v>
                  </c:pt>
                  <c:pt idx="1">
                    <c:v>1.977445972317405E-2</c:v>
                  </c:pt>
                  <c:pt idx="2">
                    <c:v>3.3333340407329749E-2</c:v>
                  </c:pt>
                  <c:pt idx="3">
                    <c:v>0.13075302985017973</c:v>
                  </c:pt>
                  <c:pt idx="4">
                    <c:v>0.3126868271599903</c:v>
                  </c:pt>
                  <c:pt idx="5">
                    <c:v>0.45777780027341586</c:v>
                  </c:pt>
                  <c:pt idx="6">
                    <c:v>0.48128336262948085</c:v>
                  </c:pt>
                  <c:pt idx="7">
                    <c:v>0.2854902566651295</c:v>
                  </c:pt>
                  <c:pt idx="8">
                    <c:v>0.2958554954074864</c:v>
                  </c:pt>
                  <c:pt idx="9">
                    <c:v>0.31125669155105884</c:v>
                  </c:pt>
                </c:numCache>
              </c:numRef>
            </c:plus>
            <c:minus>
              <c:numRef>
                <c:f>'LI exp 70 Wm2 Run 1,2, and 4'!$R$2:$R$11</c:f>
                <c:numCache>
                  <c:formatCode>General</c:formatCode>
                  <c:ptCount val="10"/>
                  <c:pt idx="0">
                    <c:v>1.4846822355496969E-3</c:v>
                  </c:pt>
                  <c:pt idx="1">
                    <c:v>1.977445972317405E-2</c:v>
                  </c:pt>
                  <c:pt idx="2">
                    <c:v>3.3333340407329749E-2</c:v>
                  </c:pt>
                  <c:pt idx="3">
                    <c:v>0.13075302985017973</c:v>
                  </c:pt>
                  <c:pt idx="4">
                    <c:v>0.3126868271599903</c:v>
                  </c:pt>
                  <c:pt idx="5">
                    <c:v>0.45777780027341586</c:v>
                  </c:pt>
                  <c:pt idx="6">
                    <c:v>0.48128336262948085</c:v>
                  </c:pt>
                  <c:pt idx="7">
                    <c:v>0.2854902566651295</c:v>
                  </c:pt>
                  <c:pt idx="8">
                    <c:v>0.2958554954074864</c:v>
                  </c:pt>
                  <c:pt idx="9">
                    <c:v>0.31125669155105884</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'Comparison of LI experiments'!$A$2:$A$11</c:f>
              <c:numCache>
                <c:formatCode>General</c:formatCode>
                <c:ptCount val="10"/>
                <c:pt idx="0">
                  <c:v>0</c:v>
                </c:pt>
                <c:pt idx="1">
                  <c:v>9</c:v>
                </c:pt>
                <c:pt idx="2">
                  <c:v>24</c:v>
                </c:pt>
                <c:pt idx="3">
                  <c:v>33</c:v>
                </c:pt>
                <c:pt idx="4">
                  <c:v>48</c:v>
                </c:pt>
                <c:pt idx="5">
                  <c:v>57</c:v>
                </c:pt>
                <c:pt idx="6">
                  <c:v>72</c:v>
                </c:pt>
                <c:pt idx="7">
                  <c:v>81</c:v>
                </c:pt>
                <c:pt idx="8">
                  <c:v>96</c:v>
                </c:pt>
                <c:pt idx="9">
                  <c:v>103</c:v>
                </c:pt>
              </c:numCache>
            </c:numRef>
          </c:xVal>
          <c:yVal>
            <c:numRef>
              <c:f>'Comparison of LI experiments'!$B$2:$B$11</c:f>
              <c:numCache>
                <c:formatCode>General</c:formatCode>
                <c:ptCount val="10"/>
                <c:pt idx="0">
                  <c:v>1.4170874999999999E-2</c:v>
                </c:pt>
                <c:pt idx="1">
                  <c:v>5.002935E-2</c:v>
                </c:pt>
                <c:pt idx="2">
                  <c:v>0.23794747500000002</c:v>
                </c:pt>
                <c:pt idx="3">
                  <c:v>0.59973607500000004</c:v>
                </c:pt>
                <c:pt idx="4">
                  <c:v>1.489420575</c:v>
                </c:pt>
                <c:pt idx="5">
                  <c:v>2.3038146000000004</c:v>
                </c:pt>
                <c:pt idx="6">
                  <c:v>3.2698985999999999</c:v>
                </c:pt>
                <c:pt idx="7">
                  <c:v>3.7943441999999998</c:v>
                </c:pt>
                <c:pt idx="8">
                  <c:v>4.2451012500000003</c:v>
                </c:pt>
                <c:pt idx="9">
                  <c:v>4.3190362500000008</c:v>
                </c:pt>
              </c:numCache>
            </c:numRef>
          </c:yVal>
          <c:smooth val="0"/>
          <c:extLst>
            <c:ext xmlns:c16="http://schemas.microsoft.com/office/drawing/2014/chart" uri="{C3380CC4-5D6E-409C-BE32-E72D297353CC}">
              <c16:uniqueId val="{00000001-9D36-4414-AF2B-1ACA6E31F307}"/>
            </c:ext>
          </c:extLst>
        </c:ser>
        <c:ser>
          <c:idx val="1"/>
          <c:order val="2"/>
          <c:tx>
            <c:v>200 W/m^2</c:v>
          </c:tx>
          <c:spPr>
            <a:ln w="12700" cap="rnd">
              <a:solidFill>
                <a:schemeClr val="tx1"/>
              </a:solidFill>
              <a:prstDash val="lgDash"/>
              <a:round/>
            </a:ln>
            <a:effectLst/>
          </c:spPr>
          <c:marker>
            <c:symbol val="square"/>
            <c:size val="5"/>
            <c:spPr>
              <a:solidFill>
                <a:schemeClr val="bg1"/>
              </a:solidFill>
              <a:ln w="9525">
                <a:solidFill>
                  <a:schemeClr val="tx1"/>
                </a:solidFill>
              </a:ln>
              <a:effectLst/>
            </c:spPr>
          </c:marker>
          <c:errBars>
            <c:errDir val="y"/>
            <c:errBarType val="both"/>
            <c:errValType val="cust"/>
            <c:noEndCap val="0"/>
            <c:plus>
              <c:numRef>
                <c:f>'LI exp 200 Wm2 Run 1,2, and 4'!$R$2:$R$12</c:f>
                <c:numCache>
                  <c:formatCode>General</c:formatCode>
                  <c:ptCount val="11"/>
                  <c:pt idx="0">
                    <c:v>0</c:v>
                  </c:pt>
                  <c:pt idx="1">
                    <c:v>1.5018467622610466E-3</c:v>
                  </c:pt>
                  <c:pt idx="2">
                    <c:v>0.1794752581248574</c:v>
                  </c:pt>
                  <c:pt idx="3">
                    <c:v>0.18015333277538342</c:v>
                  </c:pt>
                  <c:pt idx="4">
                    <c:v>0.32720486124191017</c:v>
                  </c:pt>
                  <c:pt idx="5">
                    <c:v>0.76544535559107385</c:v>
                  </c:pt>
                  <c:pt idx="6">
                    <c:v>1.0126874368411922</c:v>
                  </c:pt>
                  <c:pt idx="7">
                    <c:v>0.84664059921460277</c:v>
                  </c:pt>
                  <c:pt idx="8">
                    <c:v>0.33815815710720742</c:v>
                  </c:pt>
                  <c:pt idx="9">
                    <c:v>0.31538782007481941</c:v>
                  </c:pt>
                  <c:pt idx="10">
                    <c:v>0.62628883144605196</c:v>
                  </c:pt>
                </c:numCache>
              </c:numRef>
            </c:plus>
            <c:minus>
              <c:numRef>
                <c:f>'LI exp 200 Wm2 Run 1,2, and 4'!$R$2:$R$12</c:f>
                <c:numCache>
                  <c:formatCode>General</c:formatCode>
                  <c:ptCount val="11"/>
                  <c:pt idx="0">
                    <c:v>0</c:v>
                  </c:pt>
                  <c:pt idx="1">
                    <c:v>1.5018467622610466E-3</c:v>
                  </c:pt>
                  <c:pt idx="2">
                    <c:v>0.1794752581248574</c:v>
                  </c:pt>
                  <c:pt idx="3">
                    <c:v>0.18015333277538342</c:v>
                  </c:pt>
                  <c:pt idx="4">
                    <c:v>0.32720486124191017</c:v>
                  </c:pt>
                  <c:pt idx="5">
                    <c:v>0.76544535559107385</c:v>
                  </c:pt>
                  <c:pt idx="6">
                    <c:v>1.0126874368411922</c:v>
                  </c:pt>
                  <c:pt idx="7">
                    <c:v>0.84664059921460277</c:v>
                  </c:pt>
                  <c:pt idx="8">
                    <c:v>0.33815815710720742</c:v>
                  </c:pt>
                  <c:pt idx="9">
                    <c:v>0.31538782007481941</c:v>
                  </c:pt>
                  <c:pt idx="10">
                    <c:v>0.62628883144605196</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'Comparison of LI experiments'!$A$2:$A$11</c:f>
              <c:numCache>
                <c:formatCode>General</c:formatCode>
                <c:ptCount val="10"/>
                <c:pt idx="0">
                  <c:v>0</c:v>
                </c:pt>
                <c:pt idx="1">
                  <c:v>9</c:v>
                </c:pt>
                <c:pt idx="2">
                  <c:v>24</c:v>
                </c:pt>
                <c:pt idx="3">
                  <c:v>33</c:v>
                </c:pt>
                <c:pt idx="4">
                  <c:v>48</c:v>
                </c:pt>
                <c:pt idx="5">
                  <c:v>57</c:v>
                </c:pt>
                <c:pt idx="6">
                  <c:v>72</c:v>
                </c:pt>
                <c:pt idx="7">
                  <c:v>81</c:v>
                </c:pt>
                <c:pt idx="8">
                  <c:v>96</c:v>
                </c:pt>
                <c:pt idx="9">
                  <c:v>103</c:v>
                </c:pt>
              </c:numCache>
            </c:numRef>
          </c:xVal>
          <c:yVal>
            <c:numRef>
              <c:f>'Comparison of LI experiments'!$C$2:$C$11</c:f>
              <c:numCache>
                <c:formatCode>General</c:formatCode>
                <c:ptCount val="10"/>
                <c:pt idx="0">
                  <c:v>1.6265700000000001E-2</c:v>
                </c:pt>
                <c:pt idx="1">
                  <c:v>4.3621649999999998E-2</c:v>
                </c:pt>
                <c:pt idx="2">
                  <c:v>0.300052875</c:v>
                </c:pt>
                <c:pt idx="3">
                  <c:v>0.5195166</c:v>
                </c:pt>
                <c:pt idx="4">
                  <c:v>1.3193700749999999</c:v>
                </c:pt>
                <c:pt idx="5">
                  <c:v>2.2505813999999997</c:v>
                </c:pt>
                <c:pt idx="6">
                  <c:v>3.5784539999999998</c:v>
                </c:pt>
                <c:pt idx="7">
                  <c:v>4.2527412</c:v>
                </c:pt>
                <c:pt idx="8">
                  <c:v>4.9228387500000004</c:v>
                </c:pt>
                <c:pt idx="9">
                  <c:v>4.9117484999999999</c:v>
                </c:pt>
              </c:numCache>
            </c:numRef>
          </c:yVal>
          <c:smooth val="0"/>
          <c:extLst>
            <c:ext xmlns:c16="http://schemas.microsoft.com/office/drawing/2014/chart" uri="{C3380CC4-5D6E-409C-BE32-E72D297353CC}">
              <c16:uniqueId val="{00000002-9D36-4414-AF2B-1ACA6E31F307}"/>
            </c:ext>
          </c:extLst>
        </c:ser>
        <c:ser>
          <c:idx val="3"/>
          <c:order val="3"/>
          <c:tx>
            <c:v>400 W/m^2</c:v>
          </c:tx>
          <c:spPr>
            <a:ln w="12700" cap="rnd">
              <a:solidFill>
                <a:schemeClr val="tx1"/>
              </a:solidFill>
              <a:round/>
            </a:ln>
            <a:effectLst/>
          </c:spPr>
          <c:marker>
            <c:symbol val="diamond"/>
            <c:size val="6"/>
            <c:spPr>
              <a:noFill/>
              <a:ln w="9525">
                <a:solidFill>
                  <a:schemeClr val="tx1"/>
                </a:solidFill>
              </a:ln>
              <a:effectLst/>
            </c:spPr>
          </c:marker>
          <c:errBars>
            <c:errDir val="y"/>
            <c:errBarType val="both"/>
            <c:errValType val="cust"/>
            <c:noEndCap val="0"/>
            <c:plus>
              <c:numRef>
                <c:f>'LI exp 400 Wm2 Run 1,2, 3 &amp; 4'!$R$2:$R$11</c:f>
                <c:numCache>
                  <c:formatCode>General</c:formatCode>
                  <c:ptCount val="10"/>
                  <c:pt idx="0">
                    <c:v>3.1697668564736165E-3</c:v>
                  </c:pt>
                  <c:pt idx="1">
                    <c:v>5.5459367156759096E-4</c:v>
                  </c:pt>
                  <c:pt idx="2">
                    <c:v>6.5996646916542695E-2</c:v>
                  </c:pt>
                  <c:pt idx="3">
                    <c:v>0.23736609143092674</c:v>
                  </c:pt>
                  <c:pt idx="4">
                    <c:v>0.35493994980325499</c:v>
                  </c:pt>
                  <c:pt idx="5">
                    <c:v>0.42149119039136501</c:v>
                  </c:pt>
                  <c:pt idx="6">
                    <c:v>0.50578942846963826</c:v>
                  </c:pt>
                  <c:pt idx="7">
                    <c:v>0.17746997490162814</c:v>
                  </c:pt>
                  <c:pt idx="8">
                    <c:v>6.1005303872434233E-2</c:v>
                  </c:pt>
                  <c:pt idx="9">
                    <c:v>0.12755654446054304</c:v>
                  </c:pt>
                </c:numCache>
              </c:numRef>
            </c:plus>
            <c:minus>
              <c:numRef>
                <c:f>'LI exp 400 Wm2 Run 1,2, 3 &amp; 4'!$R$2:$R$11</c:f>
                <c:numCache>
                  <c:formatCode>General</c:formatCode>
                  <c:ptCount val="10"/>
                  <c:pt idx="0">
                    <c:v>3.1697668564736165E-3</c:v>
                  </c:pt>
                  <c:pt idx="1">
                    <c:v>5.5459367156759096E-4</c:v>
                  </c:pt>
                  <c:pt idx="2">
                    <c:v>6.5996646916542695E-2</c:v>
                  </c:pt>
                  <c:pt idx="3">
                    <c:v>0.23736609143092674</c:v>
                  </c:pt>
                  <c:pt idx="4">
                    <c:v>0.35493994980325499</c:v>
                  </c:pt>
                  <c:pt idx="5">
                    <c:v>0.42149119039136501</c:v>
                  </c:pt>
                  <c:pt idx="6">
                    <c:v>0.50578942846963826</c:v>
                  </c:pt>
                  <c:pt idx="7">
                    <c:v>0.17746997490162814</c:v>
                  </c:pt>
                  <c:pt idx="8">
                    <c:v>6.1005303872434233E-2</c:v>
                  </c:pt>
                  <c:pt idx="9">
                    <c:v>0.12755654446054304</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400 Wm2 Run 1,2, 3 &amp; 4'!$N$2:$N$11</c:f>
              <c:numCache>
                <c:formatCode>General</c:formatCode>
                <c:ptCount val="10"/>
                <c:pt idx="0">
                  <c:v>0</c:v>
                </c:pt>
                <c:pt idx="1">
                  <c:v>9</c:v>
                </c:pt>
                <c:pt idx="2">
                  <c:v>25.999999999883585</c:v>
                </c:pt>
                <c:pt idx="3">
                  <c:v>33</c:v>
                </c:pt>
                <c:pt idx="4">
                  <c:v>48</c:v>
                </c:pt>
                <c:pt idx="5">
                  <c:v>57</c:v>
                </c:pt>
                <c:pt idx="6">
                  <c:v>72</c:v>
                </c:pt>
                <c:pt idx="7">
                  <c:v>81</c:v>
                </c:pt>
                <c:pt idx="8">
                  <c:v>96</c:v>
                </c:pt>
                <c:pt idx="9">
                  <c:v>105</c:v>
                </c:pt>
              </c:numCache>
            </c:numRef>
          </c:xVal>
          <c:yVal>
            <c:numRef>
              <c:f>'LI exp 400 Wm2 Run 1,2, 3 &amp; 4'!$O$2:$O$11</c:f>
              <c:numCache>
                <c:formatCode>General</c:formatCode>
                <c:ptCount val="10"/>
                <c:pt idx="0">
                  <c:v>2.2919849999999999E-2</c:v>
                </c:pt>
                <c:pt idx="1">
                  <c:v>8.9461350000000009E-2</c:v>
                </c:pt>
                <c:pt idx="2">
                  <c:v>0.37189305</c:v>
                </c:pt>
                <c:pt idx="3">
                  <c:v>0.60367927500000007</c:v>
                </c:pt>
                <c:pt idx="4">
                  <c:v>1.4308886999999999</c:v>
                </c:pt>
                <c:pt idx="5">
                  <c:v>2.2042488000000002</c:v>
                </c:pt>
                <c:pt idx="6">
                  <c:v>3.9510863999999999</c:v>
                </c:pt>
                <c:pt idx="7">
                  <c:v>4.4360999999999997</c:v>
                </c:pt>
                <c:pt idx="8">
                  <c:v>5.0152574999999997</c:v>
                </c:pt>
                <c:pt idx="9">
                  <c:v>4.6554405000000001</c:v>
                </c:pt>
              </c:numCache>
            </c:numRef>
          </c:yVal>
          <c:smooth val="0"/>
          <c:extLst>
            <c:ext xmlns:c16="http://schemas.microsoft.com/office/drawing/2014/chart" uri="{C3380CC4-5D6E-409C-BE32-E72D297353CC}">
              <c16:uniqueId val="{00000003-9D36-4414-AF2B-1ACA6E31F307}"/>
            </c:ext>
          </c:extLst>
        </c:ser>
        <c:ser>
          <c:idx val="4"/>
          <c:order val="4"/>
          <c:tx>
            <c:v>600 W/m2</c:v>
          </c:tx>
          <c:spPr>
            <a:ln w="12700" cap="rnd">
              <a:solidFill>
                <a:schemeClr val="tx1"/>
              </a:solidFill>
              <a:prstDash val="lgDashDotDot"/>
              <a:round/>
            </a:ln>
            <a:effectLst/>
          </c:spPr>
          <c:marker>
            <c:symbol val="x"/>
            <c:size val="6"/>
            <c:spPr>
              <a:noFill/>
              <a:ln w="12700">
                <a:solidFill>
                  <a:schemeClr val="tx1"/>
                </a:solidFill>
              </a:ln>
              <a:effectLst/>
            </c:spPr>
          </c:marker>
          <c:errBars>
            <c:errDir val="y"/>
            <c:errBarType val="both"/>
            <c:errValType val="cust"/>
            <c:noEndCap val="0"/>
            <c:plus>
              <c:numRef>
                <c:f>'LI exp 600 Wm2 Run 1 &amp; 2'!$R$2:$R$11</c:f>
                <c:numCache>
                  <c:formatCode>General</c:formatCode>
                  <c:ptCount val="10"/>
                  <c:pt idx="0">
                    <c:v>1.1091873431351724E-3</c:v>
                  </c:pt>
                  <c:pt idx="1">
                    <c:v>2.4402121548973782E-2</c:v>
                  </c:pt>
                  <c:pt idx="2">
                    <c:v>3.2721026622487603E-2</c:v>
                  </c:pt>
                  <c:pt idx="3">
                    <c:v>0.187452660989845</c:v>
                  </c:pt>
                  <c:pt idx="4">
                    <c:v>0.44367493725406948</c:v>
                  </c:pt>
                  <c:pt idx="5">
                    <c:v>0.43923818788152946</c:v>
                  </c:pt>
                  <c:pt idx="6">
                    <c:v>0.43480143850898711</c:v>
                  </c:pt>
                  <c:pt idx="7">
                    <c:v>0.59008766654791145</c:v>
                  </c:pt>
                  <c:pt idx="8">
                    <c:v>0.12422898243114039</c:v>
                  </c:pt>
                  <c:pt idx="9">
                    <c:v>0.18301591161730318</c:v>
                  </c:pt>
                </c:numCache>
              </c:numRef>
            </c:plus>
            <c:minus>
              <c:numRef>
                <c:f>'LI exp 600 Wm2 Run 1 &amp; 2'!$R$2:$R$11</c:f>
                <c:numCache>
                  <c:formatCode>General</c:formatCode>
                  <c:ptCount val="10"/>
                  <c:pt idx="0">
                    <c:v>1.1091873431351724E-3</c:v>
                  </c:pt>
                  <c:pt idx="1">
                    <c:v>2.4402121548973782E-2</c:v>
                  </c:pt>
                  <c:pt idx="2">
                    <c:v>3.2721026622487603E-2</c:v>
                  </c:pt>
                  <c:pt idx="3">
                    <c:v>0.187452660989845</c:v>
                  </c:pt>
                  <c:pt idx="4">
                    <c:v>0.44367493725406948</c:v>
                  </c:pt>
                  <c:pt idx="5">
                    <c:v>0.43923818788152946</c:v>
                  </c:pt>
                  <c:pt idx="6">
                    <c:v>0.43480143850898711</c:v>
                  </c:pt>
                  <c:pt idx="7">
                    <c:v>0.59008766654791145</c:v>
                  </c:pt>
                  <c:pt idx="8">
                    <c:v>0.12422898243114039</c:v>
                  </c:pt>
                  <c:pt idx="9">
                    <c:v>0.18301591161730318</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600 Wm2 Run 1 &amp; 2'!$N$2:$N$12</c:f>
              <c:numCache>
                <c:formatCode>General</c:formatCode>
                <c:ptCount val="11"/>
                <c:pt idx="0">
                  <c:v>0</c:v>
                </c:pt>
                <c:pt idx="1">
                  <c:v>9</c:v>
                </c:pt>
                <c:pt idx="2">
                  <c:v>24</c:v>
                </c:pt>
                <c:pt idx="3">
                  <c:v>33</c:v>
                </c:pt>
                <c:pt idx="4">
                  <c:v>48</c:v>
                </c:pt>
                <c:pt idx="5">
                  <c:v>57</c:v>
                </c:pt>
                <c:pt idx="6">
                  <c:v>72</c:v>
                </c:pt>
                <c:pt idx="7">
                  <c:v>81</c:v>
                </c:pt>
                <c:pt idx="8">
                  <c:v>96</c:v>
                </c:pt>
                <c:pt idx="9">
                  <c:v>105</c:v>
                </c:pt>
                <c:pt idx="10">
                  <c:v>122</c:v>
                </c:pt>
              </c:numCache>
            </c:numRef>
          </c:xVal>
          <c:yVal>
            <c:numRef>
              <c:f>'LI exp 600 Wm2 Run 1 &amp; 2'!$O$2:$O$13</c:f>
              <c:numCache>
                <c:formatCode>General</c:formatCode>
                <c:ptCount val="12"/>
                <c:pt idx="0">
                  <c:v>1.4294100000000001E-2</c:v>
                </c:pt>
                <c:pt idx="1">
                  <c:v>3.1052700000000003E-2</c:v>
                </c:pt>
                <c:pt idx="2">
                  <c:v>0.36351374999999997</c:v>
                </c:pt>
                <c:pt idx="3">
                  <c:v>0.64914929999999993</c:v>
                </c:pt>
                <c:pt idx="4">
                  <c:v>1.4274384</c:v>
                </c:pt>
                <c:pt idx="5">
                  <c:v>1.8789348000000001</c:v>
                </c:pt>
                <c:pt idx="6">
                  <c:v>2.7168647999999997</c:v>
                </c:pt>
                <c:pt idx="7">
                  <c:v>3.2669412000000002</c:v>
                </c:pt>
                <c:pt idx="8">
                  <c:v>3.8091312000000004</c:v>
                </c:pt>
                <c:pt idx="9">
                  <c:v>4.0787475000000004</c:v>
                </c:pt>
                <c:pt idx="10">
                  <c:v>4.1719056000000005</c:v>
                </c:pt>
              </c:numCache>
            </c:numRef>
          </c:yVal>
          <c:smooth val="0"/>
          <c:extLst>
            <c:ext xmlns:c16="http://schemas.microsoft.com/office/drawing/2014/chart" uri="{C3380CC4-5D6E-409C-BE32-E72D297353CC}">
              <c16:uniqueId val="{00000004-9D36-4414-AF2B-1ACA6E31F307}"/>
            </c:ext>
          </c:extLst>
        </c:ser>
        <c:dLbls>
          <c:showLegendKey val="0"/>
          <c:showVal val="0"/>
          <c:showCatName val="0"/>
          <c:showSerName val="0"/>
          <c:showPercent val="0"/>
          <c:showBubbleSize val="0"/>
        </c:dLbls>
        <c:axId val="-1824549552"/>
        <c:axId val="-1824559888"/>
      </c:scatterChart>
      <c:valAx>
        <c:axId val="-1824549552"/>
        <c:scaling>
          <c:orientation val="minMax"/>
          <c:min val="0"/>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a:t>Time (h)</a:t>
                </a:r>
              </a:p>
            </c:rich>
          </c:tx>
          <c:layout>
            <c:manualLayout>
              <c:xMode val="edge"/>
              <c:yMode val="edge"/>
              <c:x val="0.48011756099982178"/>
              <c:y val="0.909724458234542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59888"/>
        <c:crosses val="autoZero"/>
        <c:crossBetween val="midCat"/>
      </c:valAx>
      <c:valAx>
        <c:axId val="-1824559888"/>
        <c:scaling>
          <c:orientation val="minMax"/>
          <c:min val="0"/>
        </c:scaling>
        <c:delete val="0"/>
        <c:axPos val="l"/>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a:t>Cell</a:t>
                </a:r>
                <a:r>
                  <a:rPr lang="en-US" sz="1100" baseline="0"/>
                  <a:t> dry weight</a:t>
                </a:r>
                <a:r>
                  <a:rPr lang="en-US" sz="1100"/>
                  <a:t> (g/L)</a:t>
                </a:r>
              </a:p>
            </c:rich>
          </c:tx>
          <c:layout>
            <c:manualLayout>
              <c:xMode val="edge"/>
              <c:yMode val="edge"/>
              <c:x val="3.4727688593539849E-2"/>
              <c:y val="0.39193547600230261"/>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49552"/>
        <c:crosses val="autoZero"/>
        <c:crossBetween val="midCat"/>
      </c:valAx>
      <c:spPr>
        <a:noFill/>
        <a:ln>
          <a:solidFill>
            <a:schemeClr val="bg1">
              <a:lumMod val="75000"/>
            </a:schemeClr>
          </a:solidFill>
        </a:ln>
        <a:effectLst/>
      </c:spPr>
    </c:plotArea>
    <c:legend>
      <c:legendPos val="t"/>
      <c:layout>
        <c:manualLayout>
          <c:xMode val="edge"/>
          <c:yMode val="edge"/>
          <c:x val="8.9510398468973046E-2"/>
          <c:y val="2.4783147459727387E-2"/>
          <c:w val="0.89999991863164464"/>
          <c:h val="5.601893861780288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2700" cap="rnd">
              <a:solidFill>
                <a:schemeClr val="bg1">
                  <a:lumMod val="50000"/>
                </a:schemeClr>
              </a:solidFill>
              <a:round/>
            </a:ln>
            <a:effectLst/>
          </c:spPr>
          <c:marker>
            <c:symbol val="circle"/>
            <c:size val="6"/>
            <c:spPr>
              <a:noFill/>
              <a:ln w="9525">
                <a:solidFill>
                  <a:schemeClr val="tx1"/>
                </a:solidFill>
              </a:ln>
              <a:effectLst/>
            </c:spPr>
          </c:marker>
          <c:errBars>
            <c:errDir val="y"/>
            <c:errBarType val="both"/>
            <c:errValType val="cust"/>
            <c:noEndCap val="0"/>
            <c:plus>
              <c:numRef>
                <c:f>'Comparison of LI experiments'!$T$33:$T$37</c:f>
                <c:numCache>
                  <c:formatCode>General</c:formatCode>
                  <c:ptCount val="5"/>
                  <c:pt idx="0">
                    <c:v>7.6995033687116167E-3</c:v>
                  </c:pt>
                  <c:pt idx="1">
                    <c:v>3.4457115908401374E-3</c:v>
                  </c:pt>
                  <c:pt idx="2">
                    <c:v>9.5007038417686696E-3</c:v>
                  </c:pt>
                  <c:pt idx="3">
                    <c:v>1.3876448205421233E-2</c:v>
                  </c:pt>
                  <c:pt idx="4">
                    <c:v>5.5827144574218217E-3</c:v>
                  </c:pt>
                </c:numCache>
              </c:numRef>
            </c:plus>
            <c:minus>
              <c:numRef>
                <c:f>'Comparison of LI experiments'!$T$33:$T$37</c:f>
                <c:numCache>
                  <c:formatCode>General</c:formatCode>
                  <c:ptCount val="5"/>
                  <c:pt idx="0">
                    <c:v>7.6995033687116167E-3</c:v>
                  </c:pt>
                  <c:pt idx="1">
                    <c:v>3.4457115908401374E-3</c:v>
                  </c:pt>
                  <c:pt idx="2">
                    <c:v>9.5007038417686696E-3</c:v>
                  </c:pt>
                  <c:pt idx="3">
                    <c:v>1.3876448205421233E-2</c:v>
                  </c:pt>
                  <c:pt idx="4">
                    <c:v>5.5827144574218217E-3</c:v>
                  </c:pt>
                </c:numCache>
              </c:numRef>
            </c:minus>
            <c:spPr>
              <a:noFill/>
              <a:ln w="9525" cap="flat" cmpd="sng" algn="ctr">
                <a:solidFill>
                  <a:schemeClr val="tx1">
                    <a:lumMod val="65000"/>
                    <a:lumOff val="35000"/>
                  </a:schemeClr>
                </a:solidFill>
                <a:round/>
              </a:ln>
              <a:effectLst/>
            </c:spPr>
          </c:errBars>
          <c:xVal>
            <c:numRef>
              <c:f>'Comparison of LI experiments'!$P$33:$P$37</c:f>
              <c:numCache>
                <c:formatCode>General</c:formatCode>
                <c:ptCount val="5"/>
                <c:pt idx="0">
                  <c:v>30</c:v>
                </c:pt>
                <c:pt idx="1">
                  <c:v>70</c:v>
                </c:pt>
                <c:pt idx="2">
                  <c:v>200</c:v>
                </c:pt>
                <c:pt idx="3">
                  <c:v>400</c:v>
                </c:pt>
                <c:pt idx="4">
                  <c:v>600</c:v>
                </c:pt>
              </c:numCache>
            </c:numRef>
          </c:xVal>
          <c:yVal>
            <c:numRef>
              <c:f>'Comparison of LI experiments'!$Q$33:$Q$37</c:f>
              <c:numCache>
                <c:formatCode>0.0000</c:formatCode>
                <c:ptCount val="5"/>
                <c:pt idx="0">
                  <c:v>2.4266666666666669E-2</c:v>
                </c:pt>
                <c:pt idx="1">
                  <c:v>3.1925000000000002E-2</c:v>
                </c:pt>
                <c:pt idx="2">
                  <c:v>4.0474999999999997E-2</c:v>
                </c:pt>
                <c:pt idx="3">
                  <c:v>4.3225E-2</c:v>
                </c:pt>
                <c:pt idx="4">
                  <c:v>2.6275E-2</c:v>
                </c:pt>
              </c:numCache>
            </c:numRef>
          </c:yVal>
          <c:smooth val="0"/>
          <c:extLst>
            <c:ext xmlns:c16="http://schemas.microsoft.com/office/drawing/2014/chart" uri="{C3380CC4-5D6E-409C-BE32-E72D297353CC}">
              <c16:uniqueId val="{00000000-1D39-4C12-B702-D409B27E2AEA}"/>
            </c:ext>
          </c:extLst>
        </c:ser>
        <c:dLbls>
          <c:showLegendKey val="0"/>
          <c:showVal val="0"/>
          <c:showCatName val="0"/>
          <c:showSerName val="0"/>
          <c:showPercent val="0"/>
          <c:showBubbleSize val="0"/>
        </c:dLbls>
        <c:axId val="-1824549008"/>
        <c:axId val="-1824547920"/>
      </c:scatterChart>
      <c:valAx>
        <c:axId val="-1824549008"/>
        <c:scaling>
          <c:orientation val="minMax"/>
          <c:max val="650"/>
          <c:min val="0"/>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Light intensity (W/m</a:t>
                </a:r>
                <a:r>
                  <a:rPr lang="en-US" baseline="30000">
                    <a:solidFill>
                      <a:schemeClr val="tx1"/>
                    </a:solidFill>
                  </a:rPr>
                  <a:t>2</a:t>
                </a:r>
                <a:r>
                  <a:rPr lang="en-US">
                    <a:solidFill>
                      <a:schemeClr val="tx1"/>
                    </a:solidFill>
                  </a:rPr>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24547920"/>
        <c:crosses val="autoZero"/>
        <c:crossBetween val="midCat"/>
      </c:valAx>
      <c:valAx>
        <c:axId val="-18245479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Maximum growth rate (h</a:t>
                </a:r>
                <a:r>
                  <a:rPr lang="en-US" baseline="30000">
                    <a:solidFill>
                      <a:schemeClr val="tx1"/>
                    </a:solidFill>
                  </a:rPr>
                  <a:t>-1</a:t>
                </a:r>
                <a:r>
                  <a:rPr lang="en-US" baseline="0">
                    <a:solidFill>
                      <a:schemeClr val="tx1"/>
                    </a:solidFill>
                  </a:rPr>
                  <a:t>)</a:t>
                </a:r>
                <a:endParaRPr lang="en-US" baseline="30000">
                  <a:solidFill>
                    <a:schemeClr val="tx1"/>
                  </a:solidFill>
                </a:endParaRPr>
              </a:p>
            </c:rich>
          </c:tx>
          <c:layout>
            <c:manualLayout>
              <c:xMode val="edge"/>
              <c:yMode val="edge"/>
              <c:x val="2.2222222222222223E-2"/>
              <c:y val="0.152920312044327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24549008"/>
        <c:crosses val="autoZero"/>
        <c:crossBetween val="midCat"/>
      </c:valAx>
      <c:spPr>
        <a:noFill/>
        <a:ln>
          <a:solidFill>
            <a:schemeClr val="bg1">
              <a:lumMod val="75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35487538765825"/>
          <c:y val="9.7676337599718568E-2"/>
          <c:w val="0.85331147808858521"/>
          <c:h val="0.75125042681097187"/>
        </c:manualLayout>
      </c:layout>
      <c:scatterChart>
        <c:scatterStyle val="lineMarker"/>
        <c:varyColors val="0"/>
        <c:ser>
          <c:idx val="0"/>
          <c:order val="0"/>
          <c:tx>
            <c:v>30 W/m^2</c:v>
          </c:tx>
          <c:spPr>
            <a:ln w="12700" cap="rnd">
              <a:solidFill>
                <a:schemeClr val="tx1"/>
              </a:solidFill>
              <a:prstDash val="dash"/>
              <a:round/>
            </a:ln>
            <a:effectLst/>
          </c:spPr>
          <c:marker>
            <c:symbol val="circle"/>
            <c:size val="5"/>
            <c:spPr>
              <a:solidFill>
                <a:schemeClr val="bg1"/>
              </a:solidFill>
              <a:ln w="9525">
                <a:solidFill>
                  <a:schemeClr val="tx1"/>
                </a:solidFill>
              </a:ln>
              <a:effectLst/>
            </c:spPr>
          </c:marker>
          <c:errBars>
            <c:errDir val="y"/>
            <c:errBarType val="both"/>
            <c:errValType val="cust"/>
            <c:noEndCap val="0"/>
            <c:plus>
              <c:numRef>
                <c:f>'LI exp 30 Wm2 Run 1,2, and'!$AA$27:$AA$41</c:f>
                <c:numCache>
                  <c:formatCode>General</c:formatCode>
                  <c:ptCount val="15"/>
                  <c:pt idx="0">
                    <c:v>1.4157678850740261</c:v>
                  </c:pt>
                  <c:pt idx="1">
                    <c:v>2.0340051350560695</c:v>
                  </c:pt>
                  <c:pt idx="2">
                    <c:v>4.2674257660223649</c:v>
                  </c:pt>
                  <c:pt idx="3">
                    <c:v>3.2480883483016014</c:v>
                  </c:pt>
                  <c:pt idx="4">
                    <c:v>1.7964373084593792</c:v>
                  </c:pt>
                  <c:pt idx="5">
                    <c:v>5.2154892406501441</c:v>
                  </c:pt>
                  <c:pt idx="6">
                    <c:v>6.0465229898546768</c:v>
                  </c:pt>
                  <c:pt idx="7">
                    <c:v>3.2081962926332759</c:v>
                  </c:pt>
                  <c:pt idx="8">
                    <c:v>6.8261112559444737</c:v>
                  </c:pt>
                  <c:pt idx="9">
                    <c:v>6.2375542641238253</c:v>
                  </c:pt>
                  <c:pt idx="10">
                    <c:v>3.3540139135113343</c:v>
                  </c:pt>
                  <c:pt idx="11">
                    <c:v>4.185362206921817</c:v>
                  </c:pt>
                  <c:pt idx="12">
                    <c:v>0</c:v>
                  </c:pt>
                  <c:pt idx="13">
                    <c:v>0</c:v>
                  </c:pt>
                  <c:pt idx="14">
                    <c:v>0</c:v>
                  </c:pt>
                </c:numCache>
              </c:numRef>
            </c:plus>
            <c:minus>
              <c:numRef>
                <c:f>'LI exp 30 Wm2 Run 1,2, and'!$AA$27:$AA$41</c:f>
                <c:numCache>
                  <c:formatCode>General</c:formatCode>
                  <c:ptCount val="15"/>
                  <c:pt idx="0">
                    <c:v>1.4157678850740261</c:v>
                  </c:pt>
                  <c:pt idx="1">
                    <c:v>2.0340051350560695</c:v>
                  </c:pt>
                  <c:pt idx="2">
                    <c:v>4.2674257660223649</c:v>
                  </c:pt>
                  <c:pt idx="3">
                    <c:v>3.2480883483016014</c:v>
                  </c:pt>
                  <c:pt idx="4">
                    <c:v>1.7964373084593792</c:v>
                  </c:pt>
                  <c:pt idx="5">
                    <c:v>5.2154892406501441</c:v>
                  </c:pt>
                  <c:pt idx="6">
                    <c:v>6.0465229898546768</c:v>
                  </c:pt>
                  <c:pt idx="7">
                    <c:v>3.2081962926332759</c:v>
                  </c:pt>
                  <c:pt idx="8">
                    <c:v>6.8261112559444737</c:v>
                  </c:pt>
                  <c:pt idx="9">
                    <c:v>6.2375542641238253</c:v>
                  </c:pt>
                  <c:pt idx="10">
                    <c:v>3.3540139135113343</c:v>
                  </c:pt>
                  <c:pt idx="11">
                    <c:v>4.185362206921817</c:v>
                  </c:pt>
                  <c:pt idx="12">
                    <c:v>0</c:v>
                  </c:pt>
                  <c:pt idx="13">
                    <c:v>0</c:v>
                  </c:pt>
                  <c:pt idx="14">
                    <c:v>0</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30 Wm2 Run 1,2, and'!$Y$27:$Y$41</c:f>
              <c:numCache>
                <c:formatCode>General</c:formatCode>
                <c:ptCount val="15"/>
                <c:pt idx="0">
                  <c:v>0</c:v>
                </c:pt>
                <c:pt idx="1">
                  <c:v>9</c:v>
                </c:pt>
                <c:pt idx="2">
                  <c:v>24</c:v>
                </c:pt>
                <c:pt idx="3">
                  <c:v>33</c:v>
                </c:pt>
                <c:pt idx="4">
                  <c:v>48</c:v>
                </c:pt>
                <c:pt idx="5">
                  <c:v>57</c:v>
                </c:pt>
                <c:pt idx="6">
                  <c:v>72</c:v>
                </c:pt>
                <c:pt idx="7">
                  <c:v>81</c:v>
                </c:pt>
                <c:pt idx="8">
                  <c:v>96</c:v>
                </c:pt>
                <c:pt idx="9">
                  <c:v>105</c:v>
                </c:pt>
                <c:pt idx="10">
                  <c:v>120</c:v>
                </c:pt>
                <c:pt idx="11">
                  <c:v>129</c:v>
                </c:pt>
                <c:pt idx="12">
                  <c:v>144</c:v>
                </c:pt>
                <c:pt idx="13">
                  <c:v>153</c:v>
                </c:pt>
                <c:pt idx="14">
                  <c:v>168</c:v>
                </c:pt>
              </c:numCache>
            </c:numRef>
          </c:xVal>
          <c:yVal>
            <c:numRef>
              <c:f>'LI exp 30 Wm2 Run 1,2, and'!$Z$27:$Z$41</c:f>
              <c:numCache>
                <c:formatCode>General</c:formatCode>
                <c:ptCount val="15"/>
                <c:pt idx="0">
                  <c:v>39.774293939231399</c:v>
                </c:pt>
                <c:pt idx="1">
                  <c:v>39.621551152943816</c:v>
                </c:pt>
                <c:pt idx="2">
                  <c:v>35.868856346712519</c:v>
                </c:pt>
                <c:pt idx="3">
                  <c:v>34.624473173118453</c:v>
                </c:pt>
                <c:pt idx="4">
                  <c:v>31.96740020122958</c:v>
                </c:pt>
                <c:pt idx="5">
                  <c:v>28.646511423531638</c:v>
                </c:pt>
                <c:pt idx="6">
                  <c:v>22.89042485876541</c:v>
                </c:pt>
                <c:pt idx="7">
                  <c:v>19.058825011276546</c:v>
                </c:pt>
                <c:pt idx="8">
                  <c:v>12.266114418245799</c:v>
                </c:pt>
                <c:pt idx="9">
                  <c:v>8.4927884773737627</c:v>
                </c:pt>
                <c:pt idx="10">
                  <c:v>3.0711434636258259</c:v>
                </c:pt>
                <c:pt idx="11">
                  <c:v>1.7207090189837568</c:v>
                </c:pt>
                <c:pt idx="12">
                  <c:v>0</c:v>
                </c:pt>
                <c:pt idx="13">
                  <c:v>0</c:v>
                </c:pt>
                <c:pt idx="14">
                  <c:v>0</c:v>
                </c:pt>
              </c:numCache>
            </c:numRef>
          </c:yVal>
          <c:smooth val="0"/>
          <c:extLst>
            <c:ext xmlns:c16="http://schemas.microsoft.com/office/drawing/2014/chart" uri="{C3380CC4-5D6E-409C-BE32-E72D297353CC}">
              <c16:uniqueId val="{00000000-48C5-4DBE-B377-E6572FC14991}"/>
            </c:ext>
          </c:extLst>
        </c:ser>
        <c:ser>
          <c:idx val="1"/>
          <c:order val="1"/>
          <c:tx>
            <c:v>70 W/m^2</c:v>
          </c:tx>
          <c:spPr>
            <a:ln w="12700" cap="rnd">
              <a:solidFill>
                <a:schemeClr val="tx1"/>
              </a:solidFill>
              <a:prstDash val="dashDot"/>
              <a:round/>
            </a:ln>
            <a:effectLst/>
          </c:spPr>
          <c:marker>
            <c:symbol val="triangle"/>
            <c:size val="5"/>
            <c:spPr>
              <a:solidFill>
                <a:schemeClr val="bg1"/>
              </a:solidFill>
              <a:ln w="9525">
                <a:solidFill>
                  <a:schemeClr val="tx1"/>
                </a:solidFill>
              </a:ln>
              <a:effectLst/>
            </c:spPr>
          </c:marker>
          <c:errBars>
            <c:errDir val="y"/>
            <c:errBarType val="both"/>
            <c:errValType val="cust"/>
            <c:noEndCap val="0"/>
            <c:plus>
              <c:numRef>
                <c:f>'LI exp 70 Wm2 Run 1,2, and 4'!$AA$27:$AA$36</c:f>
                <c:numCache>
                  <c:formatCode>General</c:formatCode>
                  <c:ptCount val="10"/>
                  <c:pt idx="0">
                    <c:v>9.8253513613716237</c:v>
                  </c:pt>
                  <c:pt idx="1">
                    <c:v>4.7507955821943817</c:v>
                  </c:pt>
                  <c:pt idx="2">
                    <c:v>11.986796614804417</c:v>
                  </c:pt>
                  <c:pt idx="3">
                    <c:v>7.1575311247007756</c:v>
                  </c:pt>
                  <c:pt idx="4">
                    <c:v>4.9383131190303242</c:v>
                  </c:pt>
                  <c:pt idx="5">
                    <c:v>3.3472842834893672</c:v>
                  </c:pt>
                  <c:pt idx="6">
                    <c:v>2.2231740143102776</c:v>
                  </c:pt>
                  <c:pt idx="7">
                    <c:v>2.8073854459155454</c:v>
                  </c:pt>
                  <c:pt idx="8">
                    <c:v>0</c:v>
                  </c:pt>
                  <c:pt idx="9">
                    <c:v>0</c:v>
                  </c:pt>
                </c:numCache>
              </c:numRef>
            </c:plus>
            <c:minus>
              <c:numRef>
                <c:f>'LI exp 70 Wm2 Run 1,2, and 4'!$AA$27:$AA$36</c:f>
                <c:numCache>
                  <c:formatCode>General</c:formatCode>
                  <c:ptCount val="10"/>
                  <c:pt idx="0">
                    <c:v>9.8253513613716237</c:v>
                  </c:pt>
                  <c:pt idx="1">
                    <c:v>4.7507955821943817</c:v>
                  </c:pt>
                  <c:pt idx="2">
                    <c:v>11.986796614804417</c:v>
                  </c:pt>
                  <c:pt idx="3">
                    <c:v>7.1575311247007756</c:v>
                  </c:pt>
                  <c:pt idx="4">
                    <c:v>4.9383131190303242</c:v>
                  </c:pt>
                  <c:pt idx="5">
                    <c:v>3.3472842834893672</c:v>
                  </c:pt>
                  <c:pt idx="6">
                    <c:v>2.2231740143102776</c:v>
                  </c:pt>
                  <c:pt idx="7">
                    <c:v>2.8073854459155454</c:v>
                  </c:pt>
                  <c:pt idx="8">
                    <c:v>0</c:v>
                  </c:pt>
                  <c:pt idx="9">
                    <c:v>0</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70 Wm2 Run 1,2, and 4'!$Y$27:$Y$36</c:f>
              <c:numCache>
                <c:formatCode>General</c:formatCode>
                <c:ptCount val="10"/>
                <c:pt idx="0">
                  <c:v>0</c:v>
                </c:pt>
                <c:pt idx="1">
                  <c:v>9</c:v>
                </c:pt>
                <c:pt idx="2">
                  <c:v>24</c:v>
                </c:pt>
                <c:pt idx="3">
                  <c:v>33</c:v>
                </c:pt>
                <c:pt idx="4">
                  <c:v>48</c:v>
                </c:pt>
                <c:pt idx="5">
                  <c:v>57</c:v>
                </c:pt>
                <c:pt idx="6">
                  <c:v>72</c:v>
                </c:pt>
                <c:pt idx="7">
                  <c:v>81</c:v>
                </c:pt>
                <c:pt idx="8">
                  <c:v>96</c:v>
                </c:pt>
                <c:pt idx="9">
                  <c:v>103</c:v>
                </c:pt>
              </c:numCache>
            </c:numRef>
          </c:xVal>
          <c:yVal>
            <c:numRef>
              <c:f>'LI exp 70 Wm2 Run 1,2, and 4'!$Z$27:$Z$36</c:f>
              <c:numCache>
                <c:formatCode>General</c:formatCode>
                <c:ptCount val="10"/>
                <c:pt idx="0">
                  <c:v>43.121786022123963</c:v>
                </c:pt>
                <c:pt idx="1">
                  <c:v>40.915883389352295</c:v>
                </c:pt>
                <c:pt idx="2">
                  <c:v>41.802660229173533</c:v>
                </c:pt>
                <c:pt idx="3">
                  <c:v>39.616936293879448</c:v>
                </c:pt>
                <c:pt idx="4">
                  <c:v>33.581243562271609</c:v>
                </c:pt>
                <c:pt idx="5">
                  <c:v>26.957563493402709</c:v>
                </c:pt>
                <c:pt idx="6">
                  <c:v>15.929950565629705</c:v>
                </c:pt>
                <c:pt idx="7">
                  <c:v>8.4690807700234387</c:v>
                </c:pt>
                <c:pt idx="8">
                  <c:v>0</c:v>
                </c:pt>
                <c:pt idx="9">
                  <c:v>0</c:v>
                </c:pt>
              </c:numCache>
            </c:numRef>
          </c:yVal>
          <c:smooth val="0"/>
          <c:extLst>
            <c:ext xmlns:c16="http://schemas.microsoft.com/office/drawing/2014/chart" uri="{C3380CC4-5D6E-409C-BE32-E72D297353CC}">
              <c16:uniqueId val="{00000001-48C5-4DBE-B377-E6572FC14991}"/>
            </c:ext>
          </c:extLst>
        </c:ser>
        <c:ser>
          <c:idx val="2"/>
          <c:order val="2"/>
          <c:tx>
            <c:v>200 W/m²</c:v>
          </c:tx>
          <c:spPr>
            <a:ln w="12700" cap="rnd">
              <a:solidFill>
                <a:schemeClr val="tx1"/>
              </a:solidFill>
              <a:prstDash val="lgDash"/>
              <a:round/>
            </a:ln>
            <a:effectLst/>
          </c:spPr>
          <c:marker>
            <c:symbol val="square"/>
            <c:size val="5"/>
            <c:spPr>
              <a:noFill/>
              <a:ln w="9525">
                <a:solidFill>
                  <a:schemeClr val="tx1"/>
                </a:solidFill>
              </a:ln>
              <a:effectLst/>
            </c:spPr>
          </c:marker>
          <c:errBars>
            <c:errDir val="y"/>
            <c:errBarType val="both"/>
            <c:errValType val="cust"/>
            <c:noEndCap val="0"/>
            <c:plus>
              <c:numRef>
                <c:f>'LI exp 200 Wm2 Run 1,2, and 4'!$W$13:$W$22</c:f>
                <c:numCache>
                  <c:formatCode>General</c:formatCode>
                  <c:ptCount val="10"/>
                  <c:pt idx="0">
                    <c:v>0.86647492110895541</c:v>
                  </c:pt>
                  <c:pt idx="1">
                    <c:v>1.3164724715601055</c:v>
                  </c:pt>
                  <c:pt idx="2">
                    <c:v>6.1432850364110205</c:v>
                  </c:pt>
                  <c:pt idx="3">
                    <c:v>3.9156754944212024</c:v>
                  </c:pt>
                  <c:pt idx="4">
                    <c:v>5.0002052329209343</c:v>
                  </c:pt>
                  <c:pt idx="5">
                    <c:v>4.0454725220105061</c:v>
                  </c:pt>
                  <c:pt idx="6">
                    <c:v>5.4596338936250408</c:v>
                  </c:pt>
                  <c:pt idx="7">
                    <c:v>6.5000909552912232</c:v>
                  </c:pt>
                  <c:pt idx="8">
                    <c:v>0</c:v>
                  </c:pt>
                  <c:pt idx="9">
                    <c:v>0</c:v>
                  </c:pt>
                </c:numCache>
              </c:numRef>
            </c:plus>
            <c:minus>
              <c:numRef>
                <c:f>'LI exp 200 Wm2 Run 1,2, and 4'!$W$13:$W$22</c:f>
                <c:numCache>
                  <c:formatCode>General</c:formatCode>
                  <c:ptCount val="10"/>
                  <c:pt idx="0">
                    <c:v>0.86647492110895541</c:v>
                  </c:pt>
                  <c:pt idx="1">
                    <c:v>1.3164724715601055</c:v>
                  </c:pt>
                  <c:pt idx="2">
                    <c:v>6.1432850364110205</c:v>
                  </c:pt>
                  <c:pt idx="3">
                    <c:v>3.9156754944212024</c:v>
                  </c:pt>
                  <c:pt idx="4">
                    <c:v>5.0002052329209343</c:v>
                  </c:pt>
                  <c:pt idx="5">
                    <c:v>4.0454725220105061</c:v>
                  </c:pt>
                  <c:pt idx="6">
                    <c:v>5.4596338936250408</c:v>
                  </c:pt>
                  <c:pt idx="7">
                    <c:v>6.5000909552912232</c:v>
                  </c:pt>
                  <c:pt idx="8">
                    <c:v>0</c:v>
                  </c:pt>
                  <c:pt idx="9">
                    <c:v>0</c:v>
                  </c:pt>
                </c:numCache>
              </c:numRef>
            </c:minus>
            <c:spPr>
              <a:noFill/>
              <a:ln w="9525" cap="flat" cmpd="sng" algn="ctr">
                <a:solidFill>
                  <a:schemeClr val="tx1">
                    <a:lumMod val="65000"/>
                    <a:lumOff val="35000"/>
                  </a:schemeClr>
                </a:solidFill>
                <a:round/>
              </a:ln>
              <a:effectLst/>
            </c:spPr>
          </c:errBars>
          <c:errBars>
            <c:errDir val="x"/>
            <c:errBarType val="both"/>
            <c:errValType val="cust"/>
            <c:noEndCap val="1"/>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200 Wm2 Run 1,2, and 4'!$N$2:$N$12</c:f>
              <c:numCache>
                <c:formatCode>General</c:formatCode>
                <c:ptCount val="11"/>
                <c:pt idx="0">
                  <c:v>0</c:v>
                </c:pt>
                <c:pt idx="1">
                  <c:v>9</c:v>
                </c:pt>
                <c:pt idx="2">
                  <c:v>24</c:v>
                </c:pt>
                <c:pt idx="3">
                  <c:v>33</c:v>
                </c:pt>
                <c:pt idx="4">
                  <c:v>48</c:v>
                </c:pt>
                <c:pt idx="5">
                  <c:v>57</c:v>
                </c:pt>
                <c:pt idx="6">
                  <c:v>72</c:v>
                </c:pt>
                <c:pt idx="7">
                  <c:v>81</c:v>
                </c:pt>
                <c:pt idx="8">
                  <c:v>96</c:v>
                </c:pt>
                <c:pt idx="9">
                  <c:v>103</c:v>
                </c:pt>
                <c:pt idx="10">
                  <c:v>118.99999999988358</c:v>
                </c:pt>
              </c:numCache>
            </c:numRef>
          </c:xVal>
          <c:yVal>
            <c:numRef>
              <c:f>'LI exp 200 Wm2 Run 1,2, and 4'!$X$2:$X$11</c:f>
              <c:numCache>
                <c:formatCode>General</c:formatCode>
                <c:ptCount val="10"/>
                <c:pt idx="0">
                  <c:v>39.007231972786016</c:v>
                </c:pt>
                <c:pt idx="1">
                  <c:v>38.981714516782993</c:v>
                </c:pt>
                <c:pt idx="2">
                  <c:v>38.114121012680329</c:v>
                </c:pt>
                <c:pt idx="3">
                  <c:v>36.983752004206153</c:v>
                </c:pt>
                <c:pt idx="4">
                  <c:v>31.734757011925449</c:v>
                </c:pt>
                <c:pt idx="5">
                  <c:v>25.408056696964035</c:v>
                </c:pt>
                <c:pt idx="6">
                  <c:v>12.995171662984554</c:v>
                </c:pt>
                <c:pt idx="7">
                  <c:v>4.8113977680587041</c:v>
                </c:pt>
                <c:pt idx="8">
                  <c:v>0</c:v>
                </c:pt>
                <c:pt idx="9">
                  <c:v>0</c:v>
                </c:pt>
              </c:numCache>
            </c:numRef>
          </c:yVal>
          <c:smooth val="0"/>
          <c:extLst>
            <c:ext xmlns:c16="http://schemas.microsoft.com/office/drawing/2014/chart" uri="{C3380CC4-5D6E-409C-BE32-E72D297353CC}">
              <c16:uniqueId val="{00000002-48C5-4DBE-B377-E6572FC14991}"/>
            </c:ext>
          </c:extLst>
        </c:ser>
        <c:ser>
          <c:idx val="3"/>
          <c:order val="3"/>
          <c:tx>
            <c:v>400 W/m^2</c:v>
          </c:tx>
          <c:spPr>
            <a:ln w="12700" cap="rnd">
              <a:solidFill>
                <a:schemeClr val="tx1"/>
              </a:solidFill>
              <a:round/>
            </a:ln>
            <a:effectLst/>
          </c:spPr>
          <c:marker>
            <c:symbol val="diamond"/>
            <c:size val="6"/>
            <c:spPr>
              <a:noFill/>
              <a:ln w="9525">
                <a:solidFill>
                  <a:schemeClr val="tx1"/>
                </a:solidFill>
              </a:ln>
              <a:effectLst/>
            </c:spPr>
          </c:marker>
          <c:errBars>
            <c:errDir val="y"/>
            <c:errBarType val="both"/>
            <c:errValType val="cust"/>
            <c:noEndCap val="0"/>
            <c:plus>
              <c:numRef>
                <c:f>'LI exp 400 Wm2 Run 1,2, 3 &amp; 4'!$AA$27:$AA$36</c:f>
                <c:numCache>
                  <c:formatCode>General</c:formatCode>
                  <c:ptCount val="10"/>
                  <c:pt idx="0">
                    <c:v>2.173833961725391</c:v>
                  </c:pt>
                  <c:pt idx="1">
                    <c:v>3.1305937698020303</c:v>
                  </c:pt>
                  <c:pt idx="2">
                    <c:v>2.1777978973524434</c:v>
                  </c:pt>
                  <c:pt idx="3">
                    <c:v>3.0319524716351434</c:v>
                  </c:pt>
                  <c:pt idx="4">
                    <c:v>9.1882558254752258</c:v>
                  </c:pt>
                  <c:pt idx="5">
                    <c:v>7.3410942025759152</c:v>
                  </c:pt>
                  <c:pt idx="6">
                    <c:v>11.632254722325515</c:v>
                  </c:pt>
                  <c:pt idx="7">
                    <c:v>1.1661501847150797</c:v>
                  </c:pt>
                  <c:pt idx="8">
                    <c:v>0</c:v>
                  </c:pt>
                  <c:pt idx="9">
                    <c:v>0</c:v>
                  </c:pt>
                </c:numCache>
              </c:numRef>
            </c:plus>
            <c:minus>
              <c:numRef>
                <c:f>'LI exp 400 Wm2 Run 1,2, 3 &amp; 4'!$AA$27:$AA$36</c:f>
                <c:numCache>
                  <c:formatCode>General</c:formatCode>
                  <c:ptCount val="10"/>
                  <c:pt idx="0">
                    <c:v>2.173833961725391</c:v>
                  </c:pt>
                  <c:pt idx="1">
                    <c:v>3.1305937698020303</c:v>
                  </c:pt>
                  <c:pt idx="2">
                    <c:v>2.1777978973524434</c:v>
                  </c:pt>
                  <c:pt idx="3">
                    <c:v>3.0319524716351434</c:v>
                  </c:pt>
                  <c:pt idx="4">
                    <c:v>9.1882558254752258</c:v>
                  </c:pt>
                  <c:pt idx="5">
                    <c:v>7.3410942025759152</c:v>
                  </c:pt>
                  <c:pt idx="6">
                    <c:v>11.632254722325515</c:v>
                  </c:pt>
                  <c:pt idx="7">
                    <c:v>1.1661501847150797</c:v>
                  </c:pt>
                  <c:pt idx="8">
                    <c:v>0</c:v>
                  </c:pt>
                  <c:pt idx="9">
                    <c:v>0</c:v>
                  </c:pt>
                </c:numCache>
              </c:numRef>
            </c:minus>
            <c:spPr>
              <a:noFill/>
              <a:ln w="9525" cap="flat" cmpd="sng" algn="ctr">
                <a:solidFill>
                  <a:schemeClr val="tx1">
                    <a:lumMod val="65000"/>
                    <a:lumOff val="35000"/>
                  </a:schemeClr>
                </a:solidFill>
                <a:round/>
              </a:ln>
              <a:effectLst/>
            </c:spPr>
          </c:errBars>
          <c:errBars>
            <c:errDir val="x"/>
            <c:errBarType val="both"/>
            <c:errValType val="cust"/>
            <c:noEndCap val="0"/>
            <c:plus>
              <c:numLit>
                <c:formatCode>General</c:formatCode>
                <c:ptCount val="1"/>
                <c:pt idx="0">
                  <c:v>0</c:v>
                </c:pt>
              </c:numLit>
            </c:plus>
            <c:minus>
              <c:numLit>
                <c:formatCode>General</c:formatCode>
                <c:ptCount val="1"/>
                <c:pt idx="0">
                  <c:v>0</c:v>
                </c:pt>
              </c:numLit>
            </c:minus>
            <c:spPr>
              <a:noFill/>
              <a:ln w="9525" cap="flat" cmpd="sng" algn="ctr">
                <a:solidFill>
                  <a:schemeClr val="tx1">
                    <a:lumMod val="65000"/>
                    <a:lumOff val="35000"/>
                  </a:schemeClr>
                </a:solidFill>
                <a:round/>
              </a:ln>
              <a:effectLst/>
            </c:spPr>
          </c:errBars>
          <c:xVal>
            <c:numRef>
              <c:f>'LI exp 400 Wm2 Run 1,2, 3 &amp; 4'!$Y$27:$Y$36</c:f>
              <c:numCache>
                <c:formatCode>General</c:formatCode>
                <c:ptCount val="10"/>
                <c:pt idx="0">
                  <c:v>0</c:v>
                </c:pt>
                <c:pt idx="1">
                  <c:v>9</c:v>
                </c:pt>
                <c:pt idx="2">
                  <c:v>25.999999999883585</c:v>
                </c:pt>
                <c:pt idx="3">
                  <c:v>33</c:v>
                </c:pt>
                <c:pt idx="4">
                  <c:v>48</c:v>
                </c:pt>
                <c:pt idx="5">
                  <c:v>57</c:v>
                </c:pt>
                <c:pt idx="6">
                  <c:v>72</c:v>
                </c:pt>
                <c:pt idx="7">
                  <c:v>81</c:v>
                </c:pt>
                <c:pt idx="8">
                  <c:v>96</c:v>
                </c:pt>
                <c:pt idx="9">
                  <c:v>105</c:v>
                </c:pt>
              </c:numCache>
            </c:numRef>
          </c:xVal>
          <c:yVal>
            <c:numRef>
              <c:f>'LI exp 400 Wm2 Run 1,2, 3 &amp; 4'!$Z$27:$Z$36</c:f>
              <c:numCache>
                <c:formatCode>General</c:formatCode>
                <c:ptCount val="10"/>
                <c:pt idx="0">
                  <c:v>40.272698718183989</c:v>
                </c:pt>
                <c:pt idx="1">
                  <c:v>41.251048839831668</c:v>
                </c:pt>
                <c:pt idx="2">
                  <c:v>39.860076025369203</c:v>
                </c:pt>
                <c:pt idx="3">
                  <c:v>36.906928173899182</c:v>
                </c:pt>
                <c:pt idx="4">
                  <c:v>30.550005056437737</c:v>
                </c:pt>
                <c:pt idx="5">
                  <c:v>20.933000716008962</c:v>
                </c:pt>
                <c:pt idx="6">
                  <c:v>8.0349220682415687</c:v>
                </c:pt>
                <c:pt idx="7">
                  <c:v>0.4231192350004232</c:v>
                </c:pt>
                <c:pt idx="8">
                  <c:v>0</c:v>
                </c:pt>
                <c:pt idx="9">
                  <c:v>0</c:v>
                </c:pt>
              </c:numCache>
            </c:numRef>
          </c:yVal>
          <c:smooth val="0"/>
          <c:extLst>
            <c:ext xmlns:c16="http://schemas.microsoft.com/office/drawing/2014/chart" uri="{C3380CC4-5D6E-409C-BE32-E72D297353CC}">
              <c16:uniqueId val="{00000003-48C5-4DBE-B377-E6572FC14991}"/>
            </c:ext>
          </c:extLst>
        </c:ser>
        <c:ser>
          <c:idx val="4"/>
          <c:order val="4"/>
          <c:tx>
            <c:v>600 W/m2</c:v>
          </c:tx>
          <c:spPr>
            <a:ln w="9525" cap="rnd">
              <a:solidFill>
                <a:schemeClr val="tx1"/>
              </a:solidFill>
              <a:prstDash val="lgDashDotDot"/>
              <a:round/>
            </a:ln>
            <a:effectLst/>
          </c:spPr>
          <c:marker>
            <c:symbol val="x"/>
            <c:size val="5"/>
            <c:spPr>
              <a:noFill/>
              <a:ln w="9525">
                <a:solidFill>
                  <a:schemeClr val="tx1"/>
                </a:solidFill>
              </a:ln>
              <a:effectLst/>
            </c:spPr>
          </c:marker>
          <c:xVal>
            <c:numRef>
              <c:f>'LI exp 600 Wm2 Run 1 &amp; 2'!$Y$27:$Y$37</c:f>
              <c:numCache>
                <c:formatCode>General</c:formatCode>
                <c:ptCount val="11"/>
                <c:pt idx="0">
                  <c:v>0</c:v>
                </c:pt>
                <c:pt idx="1">
                  <c:v>9</c:v>
                </c:pt>
                <c:pt idx="2">
                  <c:v>24</c:v>
                </c:pt>
                <c:pt idx="3">
                  <c:v>33</c:v>
                </c:pt>
                <c:pt idx="4">
                  <c:v>48</c:v>
                </c:pt>
                <c:pt idx="5">
                  <c:v>57</c:v>
                </c:pt>
                <c:pt idx="6">
                  <c:v>72</c:v>
                </c:pt>
                <c:pt idx="7">
                  <c:v>81</c:v>
                </c:pt>
                <c:pt idx="8">
                  <c:v>96</c:v>
                </c:pt>
                <c:pt idx="9">
                  <c:v>105</c:v>
                </c:pt>
                <c:pt idx="10">
                  <c:v>122</c:v>
                </c:pt>
              </c:numCache>
            </c:numRef>
          </c:xVal>
          <c:yVal>
            <c:numRef>
              <c:f>'LI exp 600 Wm2 Run 1 &amp; 2'!$Z$27:$Z$37</c:f>
              <c:numCache>
                <c:formatCode>General</c:formatCode>
                <c:ptCount val="11"/>
                <c:pt idx="0">
                  <c:v>40.415849836612274</c:v>
                </c:pt>
                <c:pt idx="1">
                  <c:v>39.86016651280184</c:v>
                </c:pt>
                <c:pt idx="2">
                  <c:v>38.828609780764879</c:v>
                </c:pt>
                <c:pt idx="3">
                  <c:v>36.296138003614139</c:v>
                </c:pt>
                <c:pt idx="4">
                  <c:v>34.514802404765049</c:v>
                </c:pt>
                <c:pt idx="5">
                  <c:v>28.742971026720365</c:v>
                </c:pt>
                <c:pt idx="6">
                  <c:v>24.319492882367136</c:v>
                </c:pt>
                <c:pt idx="7">
                  <c:v>17.255772428595105</c:v>
                </c:pt>
                <c:pt idx="8">
                  <c:v>11.897378130258904</c:v>
                </c:pt>
                <c:pt idx="9">
                  <c:v>4.6688800616588608</c:v>
                </c:pt>
                <c:pt idx="10">
                  <c:v>0</c:v>
                </c:pt>
              </c:numCache>
            </c:numRef>
          </c:yVal>
          <c:smooth val="0"/>
          <c:extLst>
            <c:ext xmlns:c16="http://schemas.microsoft.com/office/drawing/2014/chart" uri="{C3380CC4-5D6E-409C-BE32-E72D297353CC}">
              <c16:uniqueId val="{00000004-48C5-4DBE-B377-E6572FC14991}"/>
            </c:ext>
          </c:extLst>
        </c:ser>
        <c:dLbls>
          <c:showLegendKey val="0"/>
          <c:showVal val="0"/>
          <c:showCatName val="0"/>
          <c:showSerName val="0"/>
          <c:showPercent val="0"/>
          <c:showBubbleSize val="0"/>
        </c:dLbls>
        <c:axId val="-1824536496"/>
        <c:axId val="-1824562064"/>
      </c:scatterChart>
      <c:valAx>
        <c:axId val="-1824536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(h)</a:t>
                </a:r>
              </a:p>
            </c:rich>
          </c:tx>
          <c:layout>
            <c:manualLayout>
              <c:xMode val="edge"/>
              <c:yMode val="edge"/>
              <c:x val="0.49457618867680453"/>
              <c:y val="0.911766790484960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62064"/>
        <c:crosses val="autoZero"/>
        <c:crossBetween val="midCat"/>
      </c:valAx>
      <c:valAx>
        <c:axId val="-1824562064"/>
        <c:scaling>
          <c:orientation val="minMax"/>
          <c:max val="5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Glycerol concentration (mM)</a:t>
                </a:r>
              </a:p>
            </c:rich>
          </c:tx>
          <c:layout>
            <c:manualLayout>
              <c:xMode val="edge"/>
              <c:yMode val="edge"/>
              <c:x val="2.2222222222222223E-2"/>
              <c:y val="0.2664852555195306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536496"/>
        <c:crosses val="autoZero"/>
        <c:crossBetween val="midCat"/>
        <c:majorUnit val="10"/>
      </c:valAx>
      <c:spPr>
        <a:noFill/>
        <a:ln>
          <a:solidFill>
            <a:schemeClr val="bg1">
              <a:lumMod val="85000"/>
            </a:schemeClr>
          </a:solidFill>
        </a:ln>
        <a:effectLst/>
      </c:spPr>
    </c:plotArea>
    <c:legend>
      <c:legendPos val="t"/>
      <c:layout>
        <c:manualLayout>
          <c:xMode val="edge"/>
          <c:yMode val="edge"/>
          <c:x val="7.5940337224383911E-2"/>
          <c:y val="1.9710906701708279E-2"/>
          <c:w val="0.9"/>
          <c:h val="5.543731310852898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Bru03</b:Tag>
    <b:SourceType>Book</b:SourceType>
    <b:Guid>{7EA27A3E-75DA-4FAB-894D-07B719873E62}</b:Guid>
    <b:Title>Structuring, Writing, Evaluating and Editing of Report</b:Title>
    <b:Year>2003</b:Year>
    <b:City>Pretoria</b:City>
    <b:CountryRegion>South Africa</b:CountryRegion>
    <b:Publisher>Delta Consultancy &amp; The South African Institution of Chemical Engineers</b:Publisher>
    <b:Author>
      <b:Author>
        <b:NameList>
          <b:Person>
            <b:Last>Bruckmann</b:Last>
            <b:First>C.G</b:First>
          </b:Person>
          <b:Person>
            <b:Last>Mandersloot</b:Last>
            <b:First>W.G.B.</b:First>
          </b:Person>
        </b:NameList>
      </b:Author>
    </b:Author>
    <b:RefOrder>1</b:RefOrder>
  </b:Source>
</b:Sources>
</file>

<file path=customXml/itemProps1.xml><?xml version="1.0" encoding="utf-8"?>
<ds:datastoreItem xmlns:ds="http://schemas.openxmlformats.org/officeDocument/2006/customXml" ds:itemID="{EED91923-01FB-4769-8703-708A611A7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10107</Words>
  <Characters>57614</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2021-06-22T12:51:00Z</dcterms:created>
  <dcterms:modified xsi:type="dcterms:W3CDTF">2021-06-23T09:51:00Z</dcterms:modified>
</cp:coreProperties>
</file>