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CED01" w14:textId="0A2A41D5" w:rsidR="00A82862" w:rsidRPr="00C44510" w:rsidRDefault="00A82862" w:rsidP="00A82862">
      <w:pPr>
        <w:spacing w:after="0" w:line="240" w:lineRule="auto"/>
        <w:rPr>
          <w:rFonts w:ascii="Arial" w:hAnsi="Arial" w:cs="Arial"/>
          <w:bCs/>
          <w:sz w:val="20"/>
          <w:szCs w:val="20"/>
        </w:rPr>
      </w:pPr>
      <w:bookmarkStart w:id="0" w:name="_Toc48636327"/>
      <w:bookmarkStart w:id="1" w:name="_Toc48636683"/>
      <w:bookmarkStart w:id="2" w:name="_Toc48636830"/>
      <w:bookmarkStart w:id="3" w:name="_Toc48775915"/>
      <w:r w:rsidRPr="00CC634C">
        <w:rPr>
          <w:rFonts w:ascii="Helvetica" w:hAnsi="Helvetica" w:cs="Times New Roman"/>
          <w:b/>
          <w:sz w:val="20"/>
          <w:szCs w:val="20"/>
        </w:rPr>
        <w:t xml:space="preserve">Table </w:t>
      </w:r>
      <w:r w:rsidRPr="00C44510">
        <w:rPr>
          <w:rFonts w:ascii="Arial" w:hAnsi="Arial" w:cs="Arial"/>
          <w:b/>
          <w:sz w:val="20"/>
          <w:szCs w:val="20"/>
        </w:rPr>
        <w:t xml:space="preserve">S3. </w:t>
      </w:r>
      <w:r w:rsidRPr="00C44510">
        <w:rPr>
          <w:rFonts w:ascii="Arial" w:hAnsi="Arial" w:cs="Arial"/>
          <w:bCs/>
          <w:sz w:val="20"/>
          <w:szCs w:val="20"/>
        </w:rPr>
        <w:t xml:space="preserve">Derivation of a relative expression factor based on the differential abundance of OAT3 in transfected HEK cells versus the kidney </w:t>
      </w:r>
      <w:proofErr w:type="gramStart"/>
      <w:r w:rsidRPr="00C44510">
        <w:rPr>
          <w:rFonts w:ascii="Arial" w:hAnsi="Arial" w:cs="Arial"/>
          <w:bCs/>
          <w:sz w:val="20"/>
          <w:szCs w:val="20"/>
        </w:rPr>
        <w:t>cortex</w:t>
      </w:r>
      <w:bookmarkEnd w:id="0"/>
      <w:bookmarkEnd w:id="1"/>
      <w:bookmarkEnd w:id="2"/>
      <w:bookmarkEnd w:id="3"/>
      <w:proofErr w:type="gramEnd"/>
    </w:p>
    <w:tbl>
      <w:tblPr>
        <w:tblStyle w:val="ListTable6Colorful-Accent31"/>
        <w:tblW w:w="5000" w:type="pct"/>
        <w:tblLook w:val="04A0" w:firstRow="1" w:lastRow="0" w:firstColumn="1" w:lastColumn="0" w:noHBand="0" w:noVBand="1"/>
      </w:tblPr>
      <w:tblGrid>
        <w:gridCol w:w="1748"/>
        <w:gridCol w:w="1870"/>
        <w:gridCol w:w="1274"/>
        <w:gridCol w:w="2350"/>
        <w:gridCol w:w="1784"/>
      </w:tblGrid>
      <w:tr w:rsidR="00A82862" w:rsidRPr="00C44510" w14:paraId="0636774D" w14:textId="77777777" w:rsidTr="009271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 w:type="pct"/>
            <w:tcBorders>
              <w:top w:val="single" w:sz="4" w:space="0" w:color="auto"/>
              <w:bottom w:val="single" w:sz="4" w:space="0" w:color="auto"/>
            </w:tcBorders>
            <w:shd w:val="clear" w:color="auto" w:fill="auto"/>
          </w:tcPr>
          <w:p w14:paraId="205D177B" w14:textId="77777777" w:rsidR="00A82862" w:rsidRPr="00C44510" w:rsidRDefault="00A82862" w:rsidP="002D47E8">
            <w:pPr>
              <w:spacing w:after="0" w:line="240" w:lineRule="auto"/>
              <w:jc w:val="center"/>
              <w:rPr>
                <w:rFonts w:ascii="Arial" w:hAnsi="Arial" w:cs="Arial"/>
                <w:iCs/>
                <w:color w:val="auto"/>
                <w:sz w:val="20"/>
                <w:szCs w:val="20"/>
              </w:rPr>
            </w:pPr>
            <w:r w:rsidRPr="00C44510">
              <w:rPr>
                <w:rFonts w:ascii="Arial" w:hAnsi="Arial" w:cs="Arial"/>
                <w:iCs/>
                <w:color w:val="auto"/>
                <w:sz w:val="20"/>
                <w:szCs w:val="20"/>
              </w:rPr>
              <w:t>Source</w:t>
            </w:r>
          </w:p>
        </w:tc>
        <w:tc>
          <w:tcPr>
            <w:tcW w:w="1036" w:type="pct"/>
            <w:tcBorders>
              <w:top w:val="single" w:sz="4" w:space="0" w:color="auto"/>
              <w:bottom w:val="single" w:sz="4" w:space="0" w:color="auto"/>
            </w:tcBorders>
            <w:shd w:val="clear" w:color="auto" w:fill="auto"/>
          </w:tcPr>
          <w:p w14:paraId="2E5A948A" w14:textId="77777777" w:rsidR="00A82862" w:rsidRPr="00C44510" w:rsidRDefault="00A82862" w:rsidP="002D47E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iCs/>
                <w:color w:val="auto"/>
                <w:sz w:val="20"/>
                <w:szCs w:val="20"/>
              </w:rPr>
            </w:pPr>
            <w:r w:rsidRPr="00C44510">
              <w:rPr>
                <w:rFonts w:ascii="Arial" w:hAnsi="Arial" w:cs="Arial"/>
                <w:iCs/>
                <w:color w:val="auto"/>
                <w:sz w:val="20"/>
                <w:szCs w:val="20"/>
              </w:rPr>
              <w:t>Concentration</w:t>
            </w:r>
          </w:p>
        </w:tc>
        <w:tc>
          <w:tcPr>
            <w:tcW w:w="706" w:type="pct"/>
            <w:tcBorders>
              <w:top w:val="single" w:sz="4" w:space="0" w:color="auto"/>
              <w:bottom w:val="single" w:sz="4" w:space="0" w:color="auto"/>
            </w:tcBorders>
            <w:shd w:val="clear" w:color="auto" w:fill="auto"/>
          </w:tcPr>
          <w:p w14:paraId="64013737" w14:textId="77777777" w:rsidR="00A82862" w:rsidRPr="00C44510" w:rsidRDefault="00A82862" w:rsidP="002D47E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iCs/>
                <w:color w:val="auto"/>
                <w:sz w:val="20"/>
                <w:szCs w:val="20"/>
              </w:rPr>
            </w:pPr>
            <w:r w:rsidRPr="00C44510">
              <w:rPr>
                <w:rFonts w:ascii="Arial" w:hAnsi="Arial" w:cs="Arial"/>
                <w:iCs/>
                <w:color w:val="auto"/>
                <w:sz w:val="20"/>
                <w:szCs w:val="20"/>
              </w:rPr>
              <w:t>Amount (pmol)</w:t>
            </w:r>
          </w:p>
        </w:tc>
        <w:tc>
          <w:tcPr>
            <w:tcW w:w="1302" w:type="pct"/>
            <w:tcBorders>
              <w:top w:val="single" w:sz="4" w:space="0" w:color="auto"/>
              <w:bottom w:val="single" w:sz="4" w:space="0" w:color="auto"/>
            </w:tcBorders>
            <w:shd w:val="clear" w:color="auto" w:fill="auto"/>
          </w:tcPr>
          <w:p w14:paraId="1DB024F4" w14:textId="77777777" w:rsidR="00A82862" w:rsidRPr="00C44510" w:rsidRDefault="00A82862" w:rsidP="002D47E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iCs/>
                <w:color w:val="auto"/>
                <w:sz w:val="20"/>
                <w:szCs w:val="20"/>
              </w:rPr>
            </w:pPr>
            <w:r w:rsidRPr="00C44510">
              <w:rPr>
                <w:rFonts w:ascii="Arial" w:hAnsi="Arial" w:cs="Arial"/>
                <w:iCs/>
                <w:color w:val="auto"/>
                <w:sz w:val="20"/>
                <w:szCs w:val="20"/>
              </w:rPr>
              <w:t>Concentration (pmol/mg)</w:t>
            </w:r>
          </w:p>
        </w:tc>
        <w:tc>
          <w:tcPr>
            <w:tcW w:w="988" w:type="pct"/>
            <w:tcBorders>
              <w:top w:val="single" w:sz="4" w:space="0" w:color="auto"/>
              <w:bottom w:val="single" w:sz="4" w:space="0" w:color="auto"/>
            </w:tcBorders>
            <w:shd w:val="clear" w:color="auto" w:fill="auto"/>
          </w:tcPr>
          <w:p w14:paraId="098674AB" w14:textId="47DCC8F2" w:rsidR="00A82862" w:rsidRPr="00C44510" w:rsidRDefault="00A82862" w:rsidP="002D47E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iCs/>
                <w:color w:val="auto"/>
                <w:sz w:val="20"/>
                <w:szCs w:val="20"/>
              </w:rPr>
            </w:pPr>
            <w:r w:rsidRPr="00C44510">
              <w:rPr>
                <w:rFonts w:ascii="Arial" w:hAnsi="Arial" w:cs="Arial"/>
                <w:iCs/>
                <w:color w:val="auto"/>
                <w:sz w:val="20"/>
                <w:szCs w:val="20"/>
              </w:rPr>
              <w:t>Relative Expression Factor</w:t>
            </w:r>
            <w:r w:rsidR="00927104" w:rsidRPr="00C44510">
              <w:rPr>
                <w:rFonts w:ascii="Arial" w:hAnsi="Arial" w:cs="Arial"/>
                <w:iCs/>
                <w:color w:val="auto"/>
                <w:sz w:val="20"/>
                <w:szCs w:val="20"/>
              </w:rPr>
              <w:t xml:space="preserve"> (mean±SD)</w:t>
            </w:r>
          </w:p>
        </w:tc>
      </w:tr>
      <w:tr w:rsidR="00A82862" w:rsidRPr="00C44510" w14:paraId="1C0DBFAA" w14:textId="77777777" w:rsidTr="009271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 w:type="pct"/>
            <w:tcBorders>
              <w:top w:val="single" w:sz="4" w:space="0" w:color="auto"/>
              <w:bottom w:val="nil"/>
            </w:tcBorders>
            <w:shd w:val="clear" w:color="auto" w:fill="auto"/>
          </w:tcPr>
          <w:p w14:paraId="728B7AC5" w14:textId="51E6919B" w:rsidR="00A82862" w:rsidRPr="00C44510" w:rsidRDefault="00A82862" w:rsidP="002D47E8">
            <w:pPr>
              <w:spacing w:after="0" w:line="240" w:lineRule="auto"/>
              <w:jc w:val="center"/>
              <w:rPr>
                <w:rFonts w:ascii="Arial" w:hAnsi="Arial" w:cs="Arial"/>
                <w:iCs/>
                <w:color w:val="auto"/>
                <w:sz w:val="20"/>
                <w:szCs w:val="20"/>
              </w:rPr>
            </w:pPr>
          </w:p>
        </w:tc>
        <w:tc>
          <w:tcPr>
            <w:tcW w:w="1036" w:type="pct"/>
            <w:tcBorders>
              <w:top w:val="single" w:sz="4" w:space="0" w:color="auto"/>
              <w:bottom w:val="nil"/>
            </w:tcBorders>
            <w:shd w:val="clear" w:color="auto" w:fill="auto"/>
          </w:tcPr>
          <w:p w14:paraId="6BF1C170" w14:textId="2397FF08" w:rsidR="00A82862" w:rsidRPr="00C44510" w:rsidRDefault="00A82862" w:rsidP="002D47E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iCs/>
                <w:color w:val="auto"/>
                <w:sz w:val="20"/>
                <w:szCs w:val="20"/>
              </w:rPr>
            </w:pPr>
            <w:r w:rsidRPr="00C44510">
              <w:rPr>
                <w:rFonts w:ascii="Arial" w:hAnsi="Arial" w:cs="Arial"/>
                <w:iCs/>
                <w:color w:val="auto"/>
                <w:sz w:val="20"/>
                <w:szCs w:val="20"/>
              </w:rPr>
              <w:t>0.060</w:t>
            </w:r>
          </w:p>
        </w:tc>
        <w:tc>
          <w:tcPr>
            <w:tcW w:w="706" w:type="pct"/>
            <w:tcBorders>
              <w:top w:val="single" w:sz="4" w:space="0" w:color="auto"/>
              <w:bottom w:val="nil"/>
            </w:tcBorders>
            <w:shd w:val="clear" w:color="auto" w:fill="auto"/>
          </w:tcPr>
          <w:p w14:paraId="3496D8DA" w14:textId="77777777" w:rsidR="00A82862" w:rsidRPr="00C44510" w:rsidRDefault="00A82862" w:rsidP="002D47E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iCs/>
                <w:color w:val="auto"/>
                <w:sz w:val="20"/>
                <w:szCs w:val="20"/>
              </w:rPr>
            </w:pPr>
            <w:r w:rsidRPr="00C44510">
              <w:rPr>
                <w:rFonts w:ascii="Arial" w:hAnsi="Arial" w:cs="Arial"/>
                <w:iCs/>
                <w:color w:val="auto"/>
                <w:sz w:val="20"/>
                <w:szCs w:val="20"/>
              </w:rPr>
              <w:t>0.072</w:t>
            </w:r>
          </w:p>
        </w:tc>
        <w:tc>
          <w:tcPr>
            <w:tcW w:w="1302" w:type="pct"/>
            <w:tcBorders>
              <w:top w:val="single" w:sz="4" w:space="0" w:color="auto"/>
              <w:bottom w:val="nil"/>
            </w:tcBorders>
            <w:shd w:val="clear" w:color="auto" w:fill="auto"/>
          </w:tcPr>
          <w:p w14:paraId="1A0A0415" w14:textId="191FAE19" w:rsidR="00A82862" w:rsidRPr="00C44510" w:rsidRDefault="00A82862" w:rsidP="002D47E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iCs/>
                <w:color w:val="auto"/>
                <w:sz w:val="20"/>
                <w:szCs w:val="20"/>
              </w:rPr>
            </w:pPr>
            <w:r w:rsidRPr="00C44510">
              <w:rPr>
                <w:rFonts w:ascii="Arial" w:hAnsi="Arial" w:cs="Arial"/>
                <w:iCs/>
                <w:color w:val="auto"/>
                <w:sz w:val="20"/>
                <w:szCs w:val="20"/>
              </w:rPr>
              <w:t>0.36</w:t>
            </w:r>
          </w:p>
        </w:tc>
        <w:tc>
          <w:tcPr>
            <w:tcW w:w="988" w:type="pct"/>
            <w:vMerge w:val="restart"/>
            <w:tcBorders>
              <w:top w:val="single" w:sz="4" w:space="0" w:color="auto"/>
            </w:tcBorders>
            <w:shd w:val="clear" w:color="auto" w:fill="auto"/>
            <w:vAlign w:val="center"/>
          </w:tcPr>
          <w:p w14:paraId="0D4B47CA" w14:textId="3AFB3F9F" w:rsidR="00A82862" w:rsidRPr="00C44510" w:rsidRDefault="00927104" w:rsidP="002D47E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iCs/>
                <w:color w:val="auto"/>
                <w:sz w:val="20"/>
                <w:szCs w:val="20"/>
              </w:rPr>
            </w:pPr>
            <w:r w:rsidRPr="00C44510">
              <w:rPr>
                <w:rFonts w:ascii="Arial" w:hAnsi="Arial" w:cs="Arial"/>
                <w:iCs/>
                <w:color w:val="auto"/>
                <w:sz w:val="20"/>
                <w:szCs w:val="20"/>
              </w:rPr>
              <w:t>73.26±10.71</w:t>
            </w:r>
          </w:p>
        </w:tc>
      </w:tr>
      <w:tr w:rsidR="00927104" w:rsidRPr="00C44510" w14:paraId="381F5006" w14:textId="77777777" w:rsidTr="00927104">
        <w:tc>
          <w:tcPr>
            <w:cnfStyle w:val="001000000000" w:firstRow="0" w:lastRow="0" w:firstColumn="1" w:lastColumn="0" w:oddVBand="0" w:evenVBand="0" w:oddHBand="0" w:evenHBand="0" w:firstRowFirstColumn="0" w:firstRowLastColumn="0" w:lastRowFirstColumn="0" w:lastRowLastColumn="0"/>
            <w:tcW w:w="968" w:type="pct"/>
            <w:tcBorders>
              <w:top w:val="nil"/>
              <w:bottom w:val="nil"/>
            </w:tcBorders>
            <w:shd w:val="clear" w:color="auto" w:fill="auto"/>
          </w:tcPr>
          <w:p w14:paraId="0F5A1826" w14:textId="5297C61C" w:rsidR="00927104" w:rsidRPr="00C44510" w:rsidRDefault="00927104" w:rsidP="00927104">
            <w:pPr>
              <w:spacing w:after="0" w:line="240" w:lineRule="auto"/>
              <w:jc w:val="center"/>
              <w:rPr>
                <w:rFonts w:ascii="Arial" w:hAnsi="Arial" w:cs="Arial"/>
                <w:iCs/>
                <w:sz w:val="20"/>
                <w:szCs w:val="20"/>
              </w:rPr>
            </w:pPr>
            <w:r w:rsidRPr="00C44510">
              <w:rPr>
                <w:rFonts w:ascii="Arial" w:hAnsi="Arial" w:cs="Arial"/>
                <w:iCs/>
                <w:color w:val="auto"/>
                <w:sz w:val="20"/>
                <w:szCs w:val="20"/>
              </w:rPr>
              <w:t>HEK-OAT3</w:t>
            </w:r>
          </w:p>
        </w:tc>
        <w:tc>
          <w:tcPr>
            <w:tcW w:w="1036" w:type="pct"/>
            <w:tcBorders>
              <w:top w:val="nil"/>
              <w:bottom w:val="nil"/>
            </w:tcBorders>
            <w:shd w:val="clear" w:color="auto" w:fill="auto"/>
          </w:tcPr>
          <w:p w14:paraId="0E5D2E38" w14:textId="0D1096C8" w:rsidR="00927104" w:rsidRPr="00C44510" w:rsidRDefault="00927104" w:rsidP="0092710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iCs/>
                <w:color w:val="auto"/>
                <w:sz w:val="20"/>
                <w:szCs w:val="20"/>
              </w:rPr>
            </w:pPr>
            <w:r w:rsidRPr="00C44510">
              <w:rPr>
                <w:rFonts w:ascii="Arial" w:hAnsi="Arial" w:cs="Arial"/>
                <w:iCs/>
                <w:color w:val="auto"/>
                <w:sz w:val="20"/>
                <w:szCs w:val="20"/>
              </w:rPr>
              <w:t>0.053</w:t>
            </w:r>
          </w:p>
        </w:tc>
        <w:tc>
          <w:tcPr>
            <w:tcW w:w="706" w:type="pct"/>
            <w:tcBorders>
              <w:top w:val="nil"/>
              <w:bottom w:val="nil"/>
            </w:tcBorders>
            <w:shd w:val="clear" w:color="auto" w:fill="auto"/>
          </w:tcPr>
          <w:p w14:paraId="27C2C79A" w14:textId="0EADD048" w:rsidR="00927104" w:rsidRPr="00C44510" w:rsidRDefault="00927104" w:rsidP="0092710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iCs/>
                <w:color w:val="auto"/>
                <w:sz w:val="20"/>
                <w:szCs w:val="20"/>
              </w:rPr>
            </w:pPr>
            <w:r w:rsidRPr="00C44510">
              <w:rPr>
                <w:rFonts w:ascii="Arial" w:hAnsi="Arial" w:cs="Arial"/>
                <w:iCs/>
                <w:color w:val="auto"/>
                <w:sz w:val="20"/>
                <w:szCs w:val="20"/>
              </w:rPr>
              <w:t>0.064</w:t>
            </w:r>
          </w:p>
        </w:tc>
        <w:tc>
          <w:tcPr>
            <w:tcW w:w="1302" w:type="pct"/>
            <w:tcBorders>
              <w:top w:val="nil"/>
              <w:bottom w:val="nil"/>
            </w:tcBorders>
            <w:shd w:val="clear" w:color="auto" w:fill="auto"/>
          </w:tcPr>
          <w:p w14:paraId="76702DB1" w14:textId="16B1B578" w:rsidR="00927104" w:rsidRPr="00C44510" w:rsidRDefault="00927104" w:rsidP="0092710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iCs/>
                <w:color w:val="auto"/>
                <w:sz w:val="20"/>
                <w:szCs w:val="20"/>
              </w:rPr>
            </w:pPr>
            <w:r w:rsidRPr="00C44510">
              <w:rPr>
                <w:rFonts w:ascii="Arial" w:hAnsi="Arial" w:cs="Arial"/>
                <w:iCs/>
                <w:color w:val="auto"/>
                <w:sz w:val="20"/>
                <w:szCs w:val="20"/>
              </w:rPr>
              <w:t>0.32</w:t>
            </w:r>
          </w:p>
        </w:tc>
        <w:tc>
          <w:tcPr>
            <w:tcW w:w="988" w:type="pct"/>
            <w:vMerge/>
            <w:tcBorders>
              <w:top w:val="single" w:sz="4" w:space="0" w:color="auto"/>
            </w:tcBorders>
            <w:shd w:val="clear" w:color="auto" w:fill="auto"/>
            <w:vAlign w:val="center"/>
          </w:tcPr>
          <w:p w14:paraId="4895DBD5" w14:textId="77777777" w:rsidR="00927104" w:rsidRPr="00C44510" w:rsidRDefault="00927104" w:rsidP="0092710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iCs/>
                <w:sz w:val="20"/>
                <w:szCs w:val="20"/>
              </w:rPr>
            </w:pPr>
          </w:p>
        </w:tc>
      </w:tr>
      <w:tr w:rsidR="00927104" w:rsidRPr="00C44510" w14:paraId="1FE43ADD" w14:textId="77777777" w:rsidTr="009271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 w:type="pct"/>
            <w:tcBorders>
              <w:top w:val="nil"/>
              <w:bottom w:val="single" w:sz="4" w:space="0" w:color="auto"/>
            </w:tcBorders>
            <w:shd w:val="clear" w:color="auto" w:fill="auto"/>
          </w:tcPr>
          <w:p w14:paraId="0FDDB938" w14:textId="77777777" w:rsidR="00927104" w:rsidRPr="00C44510" w:rsidRDefault="00927104" w:rsidP="00927104">
            <w:pPr>
              <w:spacing w:after="0" w:line="240" w:lineRule="auto"/>
              <w:jc w:val="center"/>
              <w:rPr>
                <w:rFonts w:ascii="Arial" w:hAnsi="Arial" w:cs="Arial"/>
                <w:iCs/>
                <w:sz w:val="20"/>
                <w:szCs w:val="20"/>
              </w:rPr>
            </w:pPr>
          </w:p>
        </w:tc>
        <w:tc>
          <w:tcPr>
            <w:tcW w:w="1036" w:type="pct"/>
            <w:tcBorders>
              <w:top w:val="nil"/>
              <w:bottom w:val="single" w:sz="4" w:space="0" w:color="auto"/>
            </w:tcBorders>
            <w:shd w:val="clear" w:color="auto" w:fill="auto"/>
          </w:tcPr>
          <w:p w14:paraId="48174A1F" w14:textId="0D82B3F8" w:rsidR="00927104" w:rsidRPr="00C44510" w:rsidRDefault="00927104" w:rsidP="0092710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iCs/>
                <w:color w:val="auto"/>
                <w:sz w:val="20"/>
                <w:szCs w:val="20"/>
              </w:rPr>
            </w:pPr>
            <w:r w:rsidRPr="00C44510">
              <w:rPr>
                <w:rFonts w:ascii="Arial" w:hAnsi="Arial" w:cs="Arial"/>
                <w:iCs/>
                <w:color w:val="auto"/>
                <w:sz w:val="20"/>
                <w:szCs w:val="20"/>
              </w:rPr>
              <w:t>0.039</w:t>
            </w:r>
          </w:p>
        </w:tc>
        <w:tc>
          <w:tcPr>
            <w:tcW w:w="706" w:type="pct"/>
            <w:tcBorders>
              <w:top w:val="nil"/>
              <w:bottom w:val="single" w:sz="4" w:space="0" w:color="auto"/>
            </w:tcBorders>
            <w:shd w:val="clear" w:color="auto" w:fill="auto"/>
          </w:tcPr>
          <w:p w14:paraId="40836A9E" w14:textId="2073DC4E" w:rsidR="00927104" w:rsidRPr="00C44510" w:rsidRDefault="00927104" w:rsidP="0092710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iCs/>
                <w:color w:val="auto"/>
                <w:sz w:val="20"/>
                <w:szCs w:val="20"/>
              </w:rPr>
            </w:pPr>
            <w:r w:rsidRPr="00C44510">
              <w:rPr>
                <w:rFonts w:ascii="Arial" w:hAnsi="Arial" w:cs="Arial"/>
                <w:iCs/>
                <w:color w:val="auto"/>
                <w:sz w:val="20"/>
                <w:szCs w:val="20"/>
              </w:rPr>
              <w:t>0.086</w:t>
            </w:r>
          </w:p>
        </w:tc>
        <w:tc>
          <w:tcPr>
            <w:tcW w:w="1302" w:type="pct"/>
            <w:tcBorders>
              <w:top w:val="nil"/>
              <w:bottom w:val="single" w:sz="4" w:space="0" w:color="auto"/>
            </w:tcBorders>
            <w:shd w:val="clear" w:color="auto" w:fill="auto"/>
          </w:tcPr>
          <w:p w14:paraId="0C9E03B2" w14:textId="67F8B8B0" w:rsidR="00927104" w:rsidRPr="00C44510" w:rsidRDefault="00927104" w:rsidP="0092710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iCs/>
                <w:color w:val="auto"/>
                <w:sz w:val="20"/>
                <w:szCs w:val="20"/>
              </w:rPr>
            </w:pPr>
            <w:r w:rsidRPr="00C44510">
              <w:rPr>
                <w:rFonts w:ascii="Arial" w:hAnsi="Arial" w:cs="Arial"/>
                <w:iCs/>
                <w:color w:val="auto"/>
                <w:sz w:val="20"/>
                <w:szCs w:val="20"/>
              </w:rPr>
              <w:t>0.43</w:t>
            </w:r>
          </w:p>
        </w:tc>
        <w:tc>
          <w:tcPr>
            <w:tcW w:w="988" w:type="pct"/>
            <w:vMerge/>
            <w:tcBorders>
              <w:top w:val="single" w:sz="4" w:space="0" w:color="auto"/>
            </w:tcBorders>
            <w:shd w:val="clear" w:color="auto" w:fill="auto"/>
            <w:vAlign w:val="center"/>
          </w:tcPr>
          <w:p w14:paraId="25008467" w14:textId="77777777" w:rsidR="00927104" w:rsidRPr="00C44510" w:rsidRDefault="00927104" w:rsidP="0092710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iCs/>
                <w:sz w:val="20"/>
                <w:szCs w:val="20"/>
              </w:rPr>
            </w:pPr>
          </w:p>
        </w:tc>
      </w:tr>
      <w:tr w:rsidR="00927104" w:rsidRPr="00C44510" w14:paraId="25144EC3" w14:textId="77777777" w:rsidTr="00927104">
        <w:tc>
          <w:tcPr>
            <w:cnfStyle w:val="001000000000" w:firstRow="0" w:lastRow="0" w:firstColumn="1" w:lastColumn="0" w:oddVBand="0" w:evenVBand="0" w:oddHBand="0" w:evenHBand="0" w:firstRowFirstColumn="0" w:firstRowLastColumn="0" w:lastRowFirstColumn="0" w:lastRowLastColumn="0"/>
            <w:tcW w:w="968" w:type="pct"/>
            <w:tcBorders>
              <w:top w:val="single" w:sz="4" w:space="0" w:color="auto"/>
              <w:bottom w:val="single" w:sz="4" w:space="0" w:color="auto"/>
            </w:tcBorders>
            <w:shd w:val="clear" w:color="auto" w:fill="auto"/>
          </w:tcPr>
          <w:p w14:paraId="567EA7D6" w14:textId="31933FF2" w:rsidR="00927104" w:rsidRPr="00C44510" w:rsidRDefault="00927104" w:rsidP="00927104">
            <w:pPr>
              <w:spacing w:after="0" w:line="240" w:lineRule="auto"/>
              <w:jc w:val="center"/>
              <w:rPr>
                <w:rFonts w:ascii="Arial" w:hAnsi="Arial" w:cs="Arial"/>
                <w:iCs/>
                <w:color w:val="auto"/>
                <w:sz w:val="20"/>
                <w:szCs w:val="20"/>
              </w:rPr>
            </w:pPr>
            <w:r w:rsidRPr="00C44510">
              <w:rPr>
                <w:rFonts w:ascii="Arial" w:hAnsi="Arial" w:cs="Arial"/>
                <w:iCs/>
                <w:color w:val="auto"/>
                <w:sz w:val="20"/>
                <w:szCs w:val="20"/>
              </w:rPr>
              <w:t>Kidney Cortex</w:t>
            </w:r>
            <w:r w:rsidR="00FF7DAD">
              <w:rPr>
                <w:rFonts w:ascii="Arial" w:hAnsi="Arial" w:cs="Arial"/>
                <w:iCs/>
                <w:sz w:val="20"/>
                <w:szCs w:val="20"/>
              </w:rPr>
              <w:fldChar w:fldCharType="begin" w:fldLock="1"/>
            </w:r>
            <w:r w:rsidR="00AB6C88">
              <w:rPr>
                <w:rFonts w:ascii="Arial" w:hAnsi="Arial" w:cs="Arial"/>
                <w:iCs/>
                <w:color w:val="auto"/>
                <w:sz w:val="20"/>
                <w:szCs w:val="20"/>
              </w:rPr>
              <w:instrText>ADDIN CSL_CITATION {"citationItems":[{"id":"ITEM-1","itemData":{"DOI":"10.1002/cpt.1516","ISSN":"15326535","PMID":"31127606","abstract":"Human renal membrane transporters play key roles in the disposition of renally cleared drugs and endogenous substrates, but their ontogeny is largely unknown. Using 184 human postmortem frozen renal cortical tissues (preterm newborns to adults) and a subset of 62 tissue samples, we measured the mRNA levels of 11 renal transporters and the transcription factor pregnane X receptor (PXR) with quantitative real-time polymerase chain reaction, and protein abundance of nine transporters using liquid chromatography tandem mass spectrometry selective reaction monitoring, respectively. Expression levels of p-glycoprotein, urate transporter 1, organic anion transporter 1, organic anion transporter 3, and organic cation transporter 2 increased with age. Protein levels of multidrug and toxin extrusion transporter 2-K and breast cancer resistance protein showed no difference from newborns to adults, despite age-related changes in mRNA expression. Multidrug and toxin extrusion transporter 1, glucose transporter 2, multidrug resistance-associated protein 2, multidrug resistance-associated protein 4 (MRP4), and PXR expression levels were stable. Using immunohistochemistry, we found that MRP4 localization in pediatric samples was similar to that in adult samples. Collectively, our study revealed that renal drug transporters exhibited different rates and patterns of maturation, suggesting that renal handling of substrates may change with age.","author":[{"dropping-particle":"","family":"Cheung","given":"Kit Wun Kathy","non-dropping-particle":"","parse-names":false,"suffix":""},{"dropping-particle":"","family":"Groen","given":"Bianca D.","non-dropping-particle":"van","parse-names":false,"suffix":""},{"dropping-particle":"","family":"Spaans","given":"Edwin","non-dropping-particle":"","parse-names":false,"suffix":""},{"dropping-particle":"","family":"Borselen","given":"Marjolein D.","non-dropping-particle":"van","parse-names":false,"suffix":""},{"dropping-particle":"","family":"Bruijn","given":"Adrianus C.J.M.","non-dropping-particle":"de","parse-names":false,"suffix":""},{"dropping-particle":"","family":"Simons-Oosterhuis","given":"Ytje","non-dropping-particle":"","parse-names":false,"suffix":""},{"dropping-particle":"","family":"Tibboel","given":"Dick","non-dropping-particle":"","parse-names":false,"suffix":""},{"dropping-particle":"","family":"Samsom","given":"Janneke N.","non-dropping-particle":"","parse-names":false,"suffix":""},{"dropping-particle":"","family":"Verdijk","given":"Robert M.","non-dropping-particle":"","parse-names":false,"suffix":""},{"dropping-particle":"","family":"Smeets","given":"Bart","non-dropping-particle":"","parse-names":false,"suffix":""},{"dropping-particle":"","family":"Zhang","given":"Lei","non-dropping-particle":"","parse-names":false,"suffix":""},{"dropping-particle":"","family":"Huang","given":"Shiew Mei","non-dropping-particle":"","parse-names":false,"suffix":""},{"dropping-particle":"","family":"Giacomini","given":"Kathleen M.","non-dropping-particle":"","parse-names":false,"suffix":""},{"dropping-particle":"","family":"Wildt","given":"Saskia N.","non-dropping-particle":"de","parse-names":false,"suffix":""}],"container-title":"Clinical Pharmacology and Therapeutics","id":"ITEM-1","issue":"5","issued":{"date-parts":[["2019"]]},"page":"1083-1092","title":"A Comprehensive Analysis of Ontogeny of Renal Drug Transporters: mRNA Analyses, Quantitative Proteomics, and Localization","type":"article-journal","volume":"106"},"uris":["http://www.mendeley.com/documents/?uuid=de90086d-bfbc-47d6-bce7-a8ff4f6c2115"]}],"mendeley":{"formattedCitation":"&lt;sup&gt;1&lt;/sup&gt;","plainTextFormattedCitation":"1","previouslyFormattedCitation":"&lt;sup&gt;1&lt;/sup&gt;"},"properties":{"noteIndex":0},"schema":"https://github.com/citation-style-language/schema/raw/master/csl-citation.json"}</w:instrText>
            </w:r>
            <w:r w:rsidR="00FF7DAD">
              <w:rPr>
                <w:rFonts w:ascii="Arial" w:hAnsi="Arial" w:cs="Arial"/>
                <w:iCs/>
                <w:sz w:val="20"/>
                <w:szCs w:val="20"/>
              </w:rPr>
              <w:fldChar w:fldCharType="separate"/>
            </w:r>
            <w:r w:rsidR="00FF7DAD" w:rsidRPr="00FF7DAD">
              <w:rPr>
                <w:rFonts w:ascii="Arial" w:hAnsi="Arial" w:cs="Arial"/>
                <w:b w:val="0"/>
                <w:iCs/>
                <w:noProof/>
                <w:color w:val="auto"/>
                <w:sz w:val="20"/>
                <w:szCs w:val="20"/>
                <w:vertAlign w:val="superscript"/>
              </w:rPr>
              <w:t>1</w:t>
            </w:r>
            <w:r w:rsidR="00FF7DAD">
              <w:rPr>
                <w:rFonts w:ascii="Arial" w:hAnsi="Arial" w:cs="Arial"/>
                <w:iCs/>
                <w:sz w:val="20"/>
                <w:szCs w:val="20"/>
              </w:rPr>
              <w:fldChar w:fldCharType="end"/>
            </w:r>
          </w:p>
        </w:tc>
        <w:tc>
          <w:tcPr>
            <w:tcW w:w="1036" w:type="pct"/>
            <w:tcBorders>
              <w:top w:val="single" w:sz="4" w:space="0" w:color="auto"/>
              <w:bottom w:val="single" w:sz="4" w:space="0" w:color="auto"/>
            </w:tcBorders>
            <w:shd w:val="clear" w:color="auto" w:fill="auto"/>
          </w:tcPr>
          <w:p w14:paraId="53F996BB" w14:textId="77777777" w:rsidR="00927104" w:rsidRPr="00C44510" w:rsidRDefault="00927104" w:rsidP="0092710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iCs/>
                <w:color w:val="auto"/>
                <w:sz w:val="20"/>
                <w:szCs w:val="20"/>
              </w:rPr>
            </w:pPr>
          </w:p>
        </w:tc>
        <w:tc>
          <w:tcPr>
            <w:tcW w:w="706" w:type="pct"/>
            <w:tcBorders>
              <w:top w:val="single" w:sz="4" w:space="0" w:color="auto"/>
              <w:bottom w:val="single" w:sz="4" w:space="0" w:color="auto"/>
            </w:tcBorders>
            <w:shd w:val="clear" w:color="auto" w:fill="auto"/>
          </w:tcPr>
          <w:p w14:paraId="2918638B" w14:textId="77777777" w:rsidR="00927104" w:rsidRPr="00C44510" w:rsidRDefault="00927104" w:rsidP="0092710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iCs/>
                <w:color w:val="auto"/>
                <w:sz w:val="20"/>
                <w:szCs w:val="20"/>
              </w:rPr>
            </w:pPr>
          </w:p>
        </w:tc>
        <w:tc>
          <w:tcPr>
            <w:tcW w:w="1302" w:type="pct"/>
            <w:tcBorders>
              <w:top w:val="single" w:sz="4" w:space="0" w:color="auto"/>
              <w:bottom w:val="single" w:sz="4" w:space="0" w:color="auto"/>
            </w:tcBorders>
            <w:shd w:val="clear" w:color="auto" w:fill="auto"/>
          </w:tcPr>
          <w:p w14:paraId="27AF9CA5" w14:textId="77777777" w:rsidR="00927104" w:rsidRPr="00C44510" w:rsidRDefault="00927104" w:rsidP="0092710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iCs/>
                <w:color w:val="auto"/>
                <w:sz w:val="20"/>
                <w:szCs w:val="20"/>
              </w:rPr>
            </w:pPr>
            <w:r w:rsidRPr="00C44510">
              <w:rPr>
                <w:rFonts w:ascii="Arial" w:hAnsi="Arial" w:cs="Arial"/>
                <w:iCs/>
                <w:color w:val="auto"/>
                <w:sz w:val="20"/>
                <w:szCs w:val="20"/>
              </w:rPr>
              <w:t>Median: 26.71</w:t>
            </w:r>
          </w:p>
          <w:p w14:paraId="171934EB" w14:textId="77777777" w:rsidR="00927104" w:rsidRPr="00C44510" w:rsidRDefault="00927104" w:rsidP="0092710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iCs/>
                <w:color w:val="auto"/>
                <w:sz w:val="20"/>
                <w:szCs w:val="20"/>
              </w:rPr>
            </w:pPr>
            <w:r w:rsidRPr="00C44510">
              <w:rPr>
                <w:rFonts w:ascii="Arial" w:hAnsi="Arial" w:cs="Arial"/>
                <w:iCs/>
                <w:color w:val="auto"/>
                <w:sz w:val="20"/>
                <w:szCs w:val="20"/>
              </w:rPr>
              <w:t>Range: 5.39 – 31.51</w:t>
            </w:r>
          </w:p>
        </w:tc>
        <w:tc>
          <w:tcPr>
            <w:tcW w:w="988" w:type="pct"/>
            <w:vMerge/>
            <w:tcBorders>
              <w:bottom w:val="single" w:sz="4" w:space="0" w:color="auto"/>
            </w:tcBorders>
            <w:shd w:val="clear" w:color="auto" w:fill="auto"/>
          </w:tcPr>
          <w:p w14:paraId="3D0FE015" w14:textId="77777777" w:rsidR="00927104" w:rsidRPr="00C44510" w:rsidRDefault="00927104" w:rsidP="0092710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iCs/>
                <w:color w:val="auto"/>
                <w:sz w:val="20"/>
                <w:szCs w:val="20"/>
              </w:rPr>
            </w:pPr>
          </w:p>
        </w:tc>
      </w:tr>
    </w:tbl>
    <w:p w14:paraId="2751505F" w14:textId="7DE7C45C" w:rsidR="00A030B5" w:rsidRDefault="00A030B5"/>
    <w:p w14:paraId="3F65056B" w14:textId="218DA76D" w:rsidR="00AB6C88" w:rsidRDefault="00AB6C88"/>
    <w:p w14:paraId="525CB3FF" w14:textId="49722EB4" w:rsidR="00AB6C88" w:rsidRDefault="00AB6C88"/>
    <w:p w14:paraId="3C768CE7" w14:textId="2B0847C5" w:rsidR="00AB6C88" w:rsidRDefault="00AB6C88"/>
    <w:p w14:paraId="77B61FD6" w14:textId="20F05BB1" w:rsidR="00AB6C88" w:rsidRDefault="00AB6C88"/>
    <w:p w14:paraId="3FFA4E06" w14:textId="009002EB" w:rsidR="00AB6C88" w:rsidRDefault="00AB6C88"/>
    <w:p w14:paraId="2FCC9078" w14:textId="55CF0DAE" w:rsidR="00AB6C88" w:rsidRDefault="00AB6C88"/>
    <w:p w14:paraId="034CB97F" w14:textId="317500E0" w:rsidR="00AB6C88" w:rsidRDefault="00AB6C88"/>
    <w:p w14:paraId="70AF4CA5" w14:textId="101C3A6C" w:rsidR="00AB6C88" w:rsidRDefault="00AB6C88"/>
    <w:p w14:paraId="25FA0B0A" w14:textId="04865541" w:rsidR="00AB6C88" w:rsidRDefault="00AB6C88"/>
    <w:p w14:paraId="30815131" w14:textId="6C148F94" w:rsidR="00AB6C88" w:rsidRDefault="00AB6C88"/>
    <w:p w14:paraId="6BD5053E" w14:textId="66370BB0" w:rsidR="00AB6C88" w:rsidRDefault="00AB6C88"/>
    <w:p w14:paraId="68C85BFE" w14:textId="697DFF2E" w:rsidR="00AB6C88" w:rsidRDefault="00AB6C88"/>
    <w:p w14:paraId="21B374BC" w14:textId="7C920EC9" w:rsidR="00AB6C88" w:rsidRDefault="00AB6C88"/>
    <w:p w14:paraId="0A4E2198" w14:textId="726B7F56" w:rsidR="00AB6C88" w:rsidRDefault="00AB6C88"/>
    <w:p w14:paraId="2100EC26" w14:textId="3B70227B" w:rsidR="00AB6C88" w:rsidRDefault="00AB6C88"/>
    <w:p w14:paraId="57E796C2" w14:textId="6A8F74A7" w:rsidR="00AB6C88" w:rsidRDefault="00AB6C88"/>
    <w:p w14:paraId="1C7B2541" w14:textId="3B50E862" w:rsidR="00AB6C88" w:rsidRDefault="00AB6C88"/>
    <w:p w14:paraId="29EFD32A" w14:textId="7084CABF" w:rsidR="00AB6C88" w:rsidRDefault="00AB6C88"/>
    <w:p w14:paraId="5BE21F2B" w14:textId="1135C489" w:rsidR="00AB6C88" w:rsidRPr="00AB6C88" w:rsidRDefault="00AB6C88">
      <w:pPr>
        <w:rPr>
          <w:rFonts w:ascii="Arial" w:hAnsi="Arial" w:cs="Arial"/>
          <w:b/>
          <w:bCs/>
          <w:sz w:val="20"/>
          <w:szCs w:val="20"/>
        </w:rPr>
      </w:pPr>
      <w:r w:rsidRPr="00AB6C88">
        <w:rPr>
          <w:rFonts w:ascii="Arial" w:hAnsi="Arial" w:cs="Arial"/>
          <w:b/>
          <w:bCs/>
          <w:sz w:val="20"/>
          <w:szCs w:val="20"/>
        </w:rPr>
        <w:lastRenderedPageBreak/>
        <w:t>Reference</w:t>
      </w:r>
    </w:p>
    <w:p w14:paraId="66F8FBEB" w14:textId="561E7E10" w:rsidR="00AB6C88" w:rsidRPr="00AB6C88" w:rsidRDefault="00AB6C88" w:rsidP="00AB6C88">
      <w:pPr>
        <w:widowControl w:val="0"/>
        <w:autoSpaceDE w:val="0"/>
        <w:autoSpaceDN w:val="0"/>
        <w:adjustRightInd w:val="0"/>
        <w:spacing w:line="240" w:lineRule="auto"/>
        <w:ind w:left="640" w:hanging="640"/>
        <w:rPr>
          <w:rFonts w:ascii="Arial" w:hAnsi="Arial" w:cs="Arial"/>
          <w:noProof/>
          <w:sz w:val="20"/>
        </w:rPr>
      </w:pPr>
      <w:r>
        <w:rPr>
          <w:rFonts w:ascii="Arial" w:hAnsi="Arial" w:cs="Arial"/>
          <w:sz w:val="20"/>
          <w:szCs w:val="20"/>
        </w:rPr>
        <w:fldChar w:fldCharType="begin" w:fldLock="1"/>
      </w:r>
      <w:r>
        <w:rPr>
          <w:rFonts w:ascii="Arial" w:hAnsi="Arial" w:cs="Arial"/>
          <w:sz w:val="20"/>
          <w:szCs w:val="20"/>
        </w:rPr>
        <w:instrText xml:space="preserve">ADDIN Mendeley Bibliography CSL_BIBLIOGRAPHY </w:instrText>
      </w:r>
      <w:r>
        <w:rPr>
          <w:rFonts w:ascii="Arial" w:hAnsi="Arial" w:cs="Arial"/>
          <w:sz w:val="20"/>
          <w:szCs w:val="20"/>
        </w:rPr>
        <w:fldChar w:fldCharType="separate"/>
      </w:r>
      <w:r w:rsidRPr="00AB6C88">
        <w:rPr>
          <w:rFonts w:ascii="Arial" w:hAnsi="Arial" w:cs="Arial"/>
          <w:noProof/>
          <w:sz w:val="20"/>
          <w:szCs w:val="24"/>
        </w:rPr>
        <w:t>1.</w:t>
      </w:r>
      <w:r w:rsidRPr="00AB6C88">
        <w:rPr>
          <w:rFonts w:ascii="Arial" w:hAnsi="Arial" w:cs="Arial"/>
          <w:noProof/>
          <w:sz w:val="20"/>
          <w:szCs w:val="24"/>
        </w:rPr>
        <w:tab/>
        <w:t xml:space="preserve">Cheung, K. W. K. </w:t>
      </w:r>
      <w:r w:rsidRPr="00AB6C88">
        <w:rPr>
          <w:rFonts w:ascii="Arial" w:hAnsi="Arial" w:cs="Arial"/>
          <w:i/>
          <w:iCs/>
          <w:noProof/>
          <w:sz w:val="20"/>
          <w:szCs w:val="24"/>
        </w:rPr>
        <w:t>et al.</w:t>
      </w:r>
      <w:r w:rsidRPr="00AB6C88">
        <w:rPr>
          <w:rFonts w:ascii="Arial" w:hAnsi="Arial" w:cs="Arial"/>
          <w:noProof/>
          <w:sz w:val="20"/>
          <w:szCs w:val="24"/>
        </w:rPr>
        <w:t xml:space="preserve"> A Comprehensive Analysis of Ontogeny of Renal Drug Transporters: mRNA Analyses, Quantitative Proteomics, and Localization. </w:t>
      </w:r>
      <w:r w:rsidRPr="00AB6C88">
        <w:rPr>
          <w:rFonts w:ascii="Arial" w:hAnsi="Arial" w:cs="Arial"/>
          <w:i/>
          <w:iCs/>
          <w:noProof/>
          <w:sz w:val="20"/>
          <w:szCs w:val="24"/>
        </w:rPr>
        <w:t>Clin. Pharmacol. Ther.</w:t>
      </w:r>
      <w:r w:rsidRPr="00AB6C88">
        <w:rPr>
          <w:rFonts w:ascii="Arial" w:hAnsi="Arial" w:cs="Arial"/>
          <w:noProof/>
          <w:sz w:val="20"/>
          <w:szCs w:val="24"/>
        </w:rPr>
        <w:t xml:space="preserve"> </w:t>
      </w:r>
      <w:r w:rsidRPr="00AB6C88">
        <w:rPr>
          <w:rFonts w:ascii="Arial" w:hAnsi="Arial" w:cs="Arial"/>
          <w:b/>
          <w:bCs/>
          <w:noProof/>
          <w:sz w:val="20"/>
          <w:szCs w:val="24"/>
        </w:rPr>
        <w:t>106</w:t>
      </w:r>
      <w:r w:rsidRPr="00AB6C88">
        <w:rPr>
          <w:rFonts w:ascii="Arial" w:hAnsi="Arial" w:cs="Arial"/>
          <w:noProof/>
          <w:sz w:val="20"/>
          <w:szCs w:val="24"/>
        </w:rPr>
        <w:t>, 1083–1092 (2019).</w:t>
      </w:r>
    </w:p>
    <w:p w14:paraId="56C17D41" w14:textId="44854871" w:rsidR="00AB6C88" w:rsidRPr="00AB6C88" w:rsidRDefault="00AB6C88" w:rsidP="00AB6C88">
      <w:pPr>
        <w:spacing w:line="240" w:lineRule="auto"/>
        <w:rPr>
          <w:rFonts w:ascii="Arial" w:hAnsi="Arial" w:cs="Arial"/>
          <w:sz w:val="20"/>
          <w:szCs w:val="20"/>
        </w:rPr>
      </w:pPr>
      <w:r>
        <w:rPr>
          <w:rFonts w:ascii="Arial" w:hAnsi="Arial" w:cs="Arial"/>
          <w:sz w:val="20"/>
          <w:szCs w:val="20"/>
        </w:rPr>
        <w:fldChar w:fldCharType="end"/>
      </w:r>
    </w:p>
    <w:sectPr w:rsidR="00AB6C88" w:rsidRPr="00AB6C8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3BA75" w14:textId="77777777" w:rsidR="000C7D69" w:rsidRDefault="000C7D69" w:rsidP="00A82862">
      <w:pPr>
        <w:spacing w:after="0" w:line="240" w:lineRule="auto"/>
      </w:pPr>
      <w:r>
        <w:separator/>
      </w:r>
    </w:p>
  </w:endnote>
  <w:endnote w:type="continuationSeparator" w:id="0">
    <w:p w14:paraId="23C9560E" w14:textId="77777777" w:rsidR="000C7D69" w:rsidRDefault="000C7D69" w:rsidP="00A82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D400E" w14:textId="77777777" w:rsidR="000C7D69" w:rsidRDefault="000C7D69" w:rsidP="00A82862">
      <w:pPr>
        <w:spacing w:after="0" w:line="240" w:lineRule="auto"/>
      </w:pPr>
      <w:r>
        <w:separator/>
      </w:r>
    </w:p>
  </w:footnote>
  <w:footnote w:type="continuationSeparator" w:id="0">
    <w:p w14:paraId="06D36510" w14:textId="77777777" w:rsidR="000C7D69" w:rsidRDefault="000C7D69" w:rsidP="00A828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862"/>
    <w:rsid w:val="000C7D69"/>
    <w:rsid w:val="002C778F"/>
    <w:rsid w:val="004A7A01"/>
    <w:rsid w:val="00701BF7"/>
    <w:rsid w:val="00927104"/>
    <w:rsid w:val="00A030B5"/>
    <w:rsid w:val="00A82862"/>
    <w:rsid w:val="00AB6C88"/>
    <w:rsid w:val="00AE53FB"/>
    <w:rsid w:val="00C44510"/>
    <w:rsid w:val="00E866D4"/>
    <w:rsid w:val="00ED7D4D"/>
    <w:rsid w:val="00F40B8C"/>
    <w:rsid w:val="00FC6B93"/>
    <w:rsid w:val="00FD0A46"/>
    <w:rsid w:val="00FF7DAD"/>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61D68"/>
  <w15:chartTrackingRefBased/>
  <w15:docId w15:val="{9DB31F7F-7AA9-4F9B-AB66-FFCE11863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2862"/>
    <w:pPr>
      <w:spacing w:after="200" w:line="360" w:lineRule="auto"/>
      <w:jc w:val="both"/>
    </w:pPr>
    <w:rPr>
      <w:rFonts w:ascii="Times New Roman" w:eastAsia="SimSun" w:hAnsi="Times New Roman"/>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stTable6Colorful-Accent31">
    <w:name w:val="List Table 6 Colorful - Accent 31"/>
    <w:basedOn w:val="TableNormal"/>
    <w:next w:val="ListTable6Colorful-Accent3"/>
    <w:uiPriority w:val="51"/>
    <w:rsid w:val="00A82862"/>
    <w:pPr>
      <w:spacing w:after="0" w:line="240" w:lineRule="auto"/>
    </w:pPr>
    <w:rPr>
      <w:rFonts w:hAnsi="Times New Roman" w:cs="Times New Roman"/>
      <w:color w:val="7B7B7B"/>
      <w:lang w:val="en-US"/>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ListTable6Colorful-Accent3">
    <w:name w:val="List Table 6 Colorful Accent 3"/>
    <w:basedOn w:val="TableNormal"/>
    <w:uiPriority w:val="51"/>
    <w:rsid w:val="00A82862"/>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927104"/>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927104"/>
    <w:rPr>
      <w:rFonts w:ascii="Times New Roman" w:eastAsia="SimSun" w:hAnsi="Times New Roman"/>
      <w:sz w:val="18"/>
      <w:szCs w:val="18"/>
      <w:lang w:val="en-US" w:eastAsia="en-US"/>
    </w:rPr>
  </w:style>
  <w:style w:type="paragraph" w:styleId="Footer">
    <w:name w:val="footer"/>
    <w:basedOn w:val="Normal"/>
    <w:link w:val="FooterChar"/>
    <w:uiPriority w:val="99"/>
    <w:unhideWhenUsed/>
    <w:rsid w:val="00927104"/>
    <w:pPr>
      <w:tabs>
        <w:tab w:val="center" w:pos="4153"/>
        <w:tab w:val="right" w:pos="8306"/>
      </w:tabs>
      <w:snapToGrid w:val="0"/>
      <w:spacing w:line="240" w:lineRule="auto"/>
      <w:jc w:val="left"/>
    </w:pPr>
    <w:rPr>
      <w:sz w:val="18"/>
      <w:szCs w:val="18"/>
    </w:rPr>
  </w:style>
  <w:style w:type="character" w:customStyle="1" w:styleId="FooterChar">
    <w:name w:val="Footer Char"/>
    <w:basedOn w:val="DefaultParagraphFont"/>
    <w:link w:val="Footer"/>
    <w:uiPriority w:val="99"/>
    <w:rsid w:val="00927104"/>
    <w:rPr>
      <w:rFonts w:ascii="Times New Roman" w:eastAsia="SimSun" w:hAnsi="Times New Roman"/>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0DEE78-771C-44DE-AE0C-E9B9F7917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689</Words>
  <Characters>3932</Characters>
  <Application>Microsoft Office Word</Application>
  <DocSecurity>0</DocSecurity>
  <Lines>32</Lines>
  <Paragraphs>9</Paragraphs>
  <ScaleCrop>false</ScaleCrop>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Cheong</dc:creator>
  <cp:keywords/>
  <dc:description/>
  <cp:lastModifiedBy>Dorinda</cp:lastModifiedBy>
  <cp:revision>7</cp:revision>
  <dcterms:created xsi:type="dcterms:W3CDTF">2021-05-09T05:28:00Z</dcterms:created>
  <dcterms:modified xsi:type="dcterms:W3CDTF">2021-06-03T08:46:00Z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http://www.zotero.org/styles/american-sociological-association</vt:lpwstr>
  </property>
  <property fmtid="{D5CDD505-2E9C-101B-9397-08002B2CF9AE}" pid="3" name="Mendeley Recent Style Name 0_1">
    <vt:lpwstr>American Sociological Association</vt:lpwstr>
  </property>
  <property fmtid="{D5CDD505-2E9C-101B-9397-08002B2CF9AE}" pid="4" name="Mendeley Recent Style Id 1_1">
    <vt:lpwstr>http://www.zotero.org/styles/archives-of-toxicology</vt:lpwstr>
  </property>
  <property fmtid="{D5CDD505-2E9C-101B-9397-08002B2CF9AE}" pid="5" name="Mendeley Recent Style Name 1_1">
    <vt:lpwstr>Archives of Toxicology</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http://www.zotero.org/styles/clinical-pharmacology-and-therapeutics</vt:lpwstr>
  </property>
  <property fmtid="{D5CDD505-2E9C-101B-9397-08002B2CF9AE}" pid="11" name="Mendeley Recent Style Name 4_1">
    <vt:lpwstr>Clinical Pharmacology &amp; Therapeutics</vt:lpwstr>
  </property>
  <property fmtid="{D5CDD505-2E9C-101B-9397-08002B2CF9AE}" pid="12" name="Mendeley Recent Style Id 5_1">
    <vt:lpwstr>http://www.zotero.org/styles/drug-testing-and-analysis</vt:lpwstr>
  </property>
  <property fmtid="{D5CDD505-2E9C-101B-9397-08002B2CF9AE}" pid="13" name="Mendeley Recent Style Name 5_1">
    <vt:lpwstr>Drug Testing and Analysis</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http://www.zotero.org/styles/the-journal-of-pharmacology-and-experimental-therapeutics</vt:lpwstr>
  </property>
  <property fmtid="{D5CDD505-2E9C-101B-9397-08002B2CF9AE}" pid="21" name="Mendeley Recent Style Name 9_1">
    <vt:lpwstr>The Journal of Pharmacology and Experimental Therapeutics</vt:lpwstr>
  </property>
  <property fmtid="{D5CDD505-2E9C-101B-9397-08002B2CF9AE}" pid="22" name="Mendeley Document_1">
    <vt:lpwstr>True</vt:lpwstr>
  </property>
  <property fmtid="{D5CDD505-2E9C-101B-9397-08002B2CF9AE}" pid="23" name="Mendeley Unique User Id_1">
    <vt:lpwstr>4d7b50db-5c43-38a4-a1f6-1befd9e54280</vt:lpwstr>
  </property>
  <property fmtid="{D5CDD505-2E9C-101B-9397-08002B2CF9AE}" pid="24" name="Mendeley Citation Style_1">
    <vt:lpwstr>http://www.zotero.org/styles/clinical-pharmacology-and-therapeutics</vt:lpwstr>
  </property>
</Properties>
</file>