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00DFE" w14:textId="4AD0EC6A" w:rsidR="003924BD" w:rsidRPr="00C016DD" w:rsidRDefault="003924BD" w:rsidP="003924BD">
      <w:pPr>
        <w:pStyle w:val="Caption"/>
        <w:spacing w:after="0"/>
        <w:rPr>
          <w:rFonts w:ascii="Arial" w:hAnsi="Arial" w:cs="Arial"/>
        </w:rPr>
      </w:pPr>
      <w:bookmarkStart w:id="0" w:name="_Toc48653111"/>
      <w:bookmarkStart w:id="1" w:name="_Toc48787666"/>
      <w:r>
        <w:rPr>
          <w:rFonts w:ascii="Arial" w:hAnsi="Arial" w:cs="Arial"/>
          <w:b/>
          <w:bCs w:val="0"/>
        </w:rPr>
        <w:t>T</w:t>
      </w:r>
      <w:r w:rsidRPr="00C016DD">
        <w:rPr>
          <w:rFonts w:ascii="Arial" w:hAnsi="Arial" w:cs="Arial"/>
          <w:b/>
          <w:bCs w:val="0"/>
        </w:rPr>
        <w:t xml:space="preserve">able </w:t>
      </w:r>
      <w:r w:rsidR="00C84534">
        <w:rPr>
          <w:rFonts w:ascii="Arial" w:hAnsi="Arial" w:cs="Arial"/>
          <w:b/>
          <w:bCs w:val="0"/>
        </w:rPr>
        <w:t>S</w:t>
      </w:r>
      <w:r w:rsidR="0099123D">
        <w:rPr>
          <w:rFonts w:ascii="Arial" w:hAnsi="Arial" w:cs="Arial"/>
          <w:b/>
          <w:bCs w:val="0"/>
        </w:rPr>
        <w:t>2</w:t>
      </w:r>
      <w:r w:rsidRPr="00C016DD">
        <w:rPr>
          <w:rFonts w:ascii="Arial" w:hAnsi="Arial" w:cs="Arial"/>
          <w:b/>
          <w:bCs w:val="0"/>
        </w:rPr>
        <w:t>.</w:t>
      </w:r>
      <w:r w:rsidRPr="00C016DD">
        <w:rPr>
          <w:rFonts w:ascii="Arial" w:hAnsi="Arial" w:cs="Arial"/>
        </w:rPr>
        <w:t xml:space="preserve"> Comparison of PK parameters between simulated and observed data for PBPK model verification of erlotinib and </w:t>
      </w:r>
      <w:proofErr w:type="gramStart"/>
      <w:r w:rsidRPr="00C016DD">
        <w:rPr>
          <w:rFonts w:ascii="Arial" w:hAnsi="Arial" w:cs="Arial"/>
        </w:rPr>
        <w:t>nilotinib</w:t>
      </w:r>
      <w:bookmarkEnd w:id="0"/>
      <w:bookmarkEnd w:id="1"/>
      <w:proofErr w:type="gramEnd"/>
    </w:p>
    <w:tbl>
      <w:tblPr>
        <w:tblStyle w:val="PlainTable2"/>
        <w:tblW w:w="5000" w:type="pct"/>
        <w:tblLayout w:type="fixed"/>
        <w:tblLook w:val="04A0" w:firstRow="1" w:lastRow="0" w:firstColumn="1" w:lastColumn="0" w:noHBand="0" w:noVBand="1"/>
      </w:tblPr>
      <w:tblGrid>
        <w:gridCol w:w="3288"/>
        <w:gridCol w:w="1433"/>
        <w:gridCol w:w="1435"/>
        <w:gridCol w:w="1435"/>
        <w:gridCol w:w="1435"/>
      </w:tblGrid>
      <w:tr w:rsidR="003924BD" w:rsidRPr="003924BD" w14:paraId="7713C13A" w14:textId="77777777" w:rsidTr="007E39A1">
        <w:trPr>
          <w:cnfStyle w:val="100000000000" w:firstRow="1" w:lastRow="0" w:firstColumn="0" w:lastColumn="0" w:oddVBand="0" w:evenVBand="0" w:oddHBand="0"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1821" w:type="pct"/>
            <w:tcBorders>
              <w:top w:val="single" w:sz="4" w:space="0" w:color="auto"/>
              <w:bottom w:val="nil"/>
            </w:tcBorders>
          </w:tcPr>
          <w:p w14:paraId="3AB57EEC" w14:textId="77777777" w:rsidR="003924BD" w:rsidRPr="003924BD" w:rsidRDefault="003924BD" w:rsidP="003924BD">
            <w:pPr>
              <w:spacing w:after="0" w:line="240" w:lineRule="auto"/>
              <w:rPr>
                <w:rFonts w:ascii="Arial" w:hAnsi="Arial" w:cs="Arial"/>
                <w:sz w:val="20"/>
                <w:szCs w:val="20"/>
              </w:rPr>
            </w:pPr>
          </w:p>
        </w:tc>
        <w:tc>
          <w:tcPr>
            <w:tcW w:w="1589" w:type="pct"/>
            <w:gridSpan w:val="2"/>
            <w:tcBorders>
              <w:top w:val="single" w:sz="4" w:space="0" w:color="auto"/>
            </w:tcBorders>
          </w:tcPr>
          <w:p w14:paraId="5FD2FFAB" w14:textId="77777777" w:rsidR="003924BD" w:rsidRPr="003924BD" w:rsidRDefault="003924BD" w:rsidP="003924BD">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3924BD">
              <w:rPr>
                <w:rFonts w:ascii="Arial" w:hAnsi="Arial" w:cs="Arial"/>
                <w:sz w:val="20"/>
                <w:szCs w:val="20"/>
              </w:rPr>
              <w:t>Simulated (n=50)</w:t>
            </w:r>
          </w:p>
        </w:tc>
        <w:tc>
          <w:tcPr>
            <w:tcW w:w="1590" w:type="pct"/>
            <w:gridSpan w:val="2"/>
            <w:tcBorders>
              <w:top w:val="single" w:sz="4" w:space="0" w:color="auto"/>
            </w:tcBorders>
          </w:tcPr>
          <w:p w14:paraId="3CA73E74" w14:textId="77777777" w:rsidR="003924BD" w:rsidRPr="003924BD" w:rsidRDefault="003924BD" w:rsidP="003924BD">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3924BD">
              <w:rPr>
                <w:rFonts w:ascii="Arial" w:hAnsi="Arial" w:cs="Arial"/>
                <w:sz w:val="20"/>
                <w:szCs w:val="20"/>
              </w:rPr>
              <w:t xml:space="preserve">Observed (n=5) </w:t>
            </w:r>
          </w:p>
        </w:tc>
      </w:tr>
      <w:tr w:rsidR="003924BD" w:rsidRPr="003924BD" w14:paraId="5C64178E" w14:textId="77777777" w:rsidTr="007E39A1">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1821" w:type="pct"/>
            <w:tcBorders>
              <w:top w:val="nil"/>
              <w:bottom w:val="single" w:sz="4" w:space="0" w:color="auto"/>
            </w:tcBorders>
          </w:tcPr>
          <w:p w14:paraId="4BE8CD26" w14:textId="77777777" w:rsidR="003924BD" w:rsidRPr="003924BD" w:rsidRDefault="003924BD" w:rsidP="003924BD">
            <w:pPr>
              <w:spacing w:after="0" w:line="240" w:lineRule="auto"/>
              <w:rPr>
                <w:rFonts w:ascii="Arial" w:hAnsi="Arial" w:cs="Arial"/>
                <w:sz w:val="20"/>
                <w:szCs w:val="20"/>
              </w:rPr>
            </w:pPr>
          </w:p>
          <w:p w14:paraId="3D13070B" w14:textId="4CAD992A" w:rsidR="003924BD" w:rsidRPr="003924BD" w:rsidRDefault="003924BD" w:rsidP="003924BD">
            <w:pPr>
              <w:spacing w:after="0" w:line="240" w:lineRule="auto"/>
              <w:rPr>
                <w:rFonts w:ascii="Arial" w:hAnsi="Arial" w:cs="Arial"/>
                <w:sz w:val="20"/>
                <w:szCs w:val="20"/>
              </w:rPr>
            </w:pPr>
            <w:r w:rsidRPr="003924BD">
              <w:rPr>
                <w:rFonts w:ascii="Arial" w:hAnsi="Arial" w:cs="Arial"/>
                <w:sz w:val="20"/>
                <w:szCs w:val="20"/>
              </w:rPr>
              <w:t>Erlotinib 150 mg daily, multiple dose, fasted (Togashi et al., 2010)</w:t>
            </w:r>
            <w:r w:rsidR="007018EF">
              <w:rPr>
                <w:rFonts w:ascii="Arial" w:hAnsi="Arial" w:cs="Arial"/>
                <w:sz w:val="20"/>
                <w:szCs w:val="20"/>
              </w:rPr>
              <w:fldChar w:fldCharType="begin" w:fldLock="1"/>
            </w:r>
            <w:r w:rsidR="007018EF">
              <w:rPr>
                <w:rFonts w:ascii="Arial" w:hAnsi="Arial" w:cs="Arial"/>
                <w:sz w:val="20"/>
                <w:szCs w:val="20"/>
              </w:rPr>
              <w:instrText>ADDIN CSL_CITATION {"citationItems":[{"id":"ITEM-1","itemData":{"DOI":"10.1097/JTO.0b013e3181d32287","ISSN":"15561380","abstract":"Introduction: Although erlotinib, an orally active and selective tyrosine kinase inhibitor of epidermal growth factor receptor, is mainly metabolized in the liver, its effectiveness and safety for patients with chronic renal failure (CRF) undergoing hemodialysis (HD) has not been reported. Thus, we investigated the pharmacokinetics (PK) of erlotinib and its active metabolite OSI-420 in such patients with nonsmall cell lung cancer (NSCLC). Method: We administered 150 mg erlotinib daily to three patients with NSCLC and CRF undergoing HD (HD group) and five patients with NSCLC and normal organ function (control group) and analyzed the PK of erlotinib and OSI-420. In the HD group, PK analyses were performed on day 1 (off HD), day 8 (off HD), and day 9 (on HD) after starting administration of erlotinib, and in the control group, they were performed on day 1 and day 8. Results: In the HD group, there were little differences in the PK data between day 8 and day 9. The PK data on day 1 and day 8 of the HD group were also similar to those of the control group. There were no serious adverse events in any cases, and one of the HD patients achieved partial response. Conclusion: Erlotinib was hardly affected by renal function and HD, which confirms the effectiveness and safety of erlotinib treatment in patients with NSCLC and CRF undergoing HD. Erlotinib can become one treatment option for such patients. © 2010 by the International Association for the study of lung cancer.","author":[{"dropping-particle":"","family":"Togashi","given":"Yosuke","non-dropping-particle":"","parse-names":false,"suffix":""},{"dropping-particle":"","family":"Masago","given":"Katsuhiro","non-dropping-particle":"","parse-names":false,"suffix":""},{"dropping-particle":"","family":"Fukudo","given":"Masahide","non-dropping-particle":"","parse-names":false,"suffix":""},{"dropping-particle":"","family":"Terada","given":"Tomohiro","non-dropping-particle":"","parse-names":false,"suffix":""},{"dropping-particle":"","family":"Ikemi","given":"Yasuaki","non-dropping-particle":"","parse-names":false,"suffix":""},{"dropping-particle":"","family":"Kim","given":"Young Hak","non-dropping-particle":"","parse-names":false,"suffix":""},{"dropping-particle":"","family":"Fujita","given":"Shiro","non-dropping-particle":"","parse-names":false,"suffix":""},{"dropping-particle":"","family":"Irisa","given":"Kaoru","non-dropping-particle":"","parse-names":false,"suffix":""},{"dropping-particle":"","family":"Sakamori","given":"Yuichi","non-dropping-particle":"","parse-names":false,"suffix":""},{"dropping-particle":"","family":"Mio","given":"Tadashi","non-dropping-particle":"","parse-names":false,"suffix":""},{"dropping-particle":"","family":"Inui","given":"Ken Ichi","non-dropping-particle":"","parse-names":false,"suffix":""},{"dropping-particle":"","family":"Mishima","given":"Michiaki","non-dropping-particle":"","parse-names":false,"suffix":""}],"container-title":"Journal of Thoracic Oncology","id":"ITEM-1","issue":"5","issued":{"date-parts":[["2010","5","1"]]},"page":"601-605","publisher":"Lippincott Williams and Wilkins","title":"Pharmacokinetics of erlotinib and its active metabolite OSI-420 in patients with non-small cell lung cancer and chronic renal failure who are undergoing hemodialysis","type":"article-journal","volume":"5"},"uris":["http://www.mendeley.com/documents/?uuid=ab883b8b-d540-3fca-945f-bb74a465441a"]}],"mendeley":{"formattedCitation":"&lt;sup&gt;1&lt;/sup&gt;","plainTextFormattedCitation":"1","previouslyFormattedCitation":"&lt;sup&gt;1&lt;/sup&gt;"},"properties":{"noteIndex":0},"schema":"https://github.com/citation-style-language/schema/raw/master/csl-citation.json"}</w:instrText>
            </w:r>
            <w:r w:rsidR="007018EF">
              <w:rPr>
                <w:rFonts w:ascii="Arial" w:hAnsi="Arial" w:cs="Arial"/>
                <w:sz w:val="20"/>
                <w:szCs w:val="20"/>
              </w:rPr>
              <w:fldChar w:fldCharType="separate"/>
            </w:r>
            <w:r w:rsidR="007018EF" w:rsidRPr="007018EF">
              <w:rPr>
                <w:rFonts w:ascii="Arial" w:hAnsi="Arial" w:cs="Arial"/>
                <w:b w:val="0"/>
                <w:noProof/>
                <w:sz w:val="20"/>
                <w:szCs w:val="20"/>
                <w:vertAlign w:val="superscript"/>
              </w:rPr>
              <w:t>1</w:t>
            </w:r>
            <w:r w:rsidR="007018EF">
              <w:rPr>
                <w:rFonts w:ascii="Arial" w:hAnsi="Arial" w:cs="Arial"/>
                <w:sz w:val="20"/>
                <w:szCs w:val="20"/>
              </w:rPr>
              <w:fldChar w:fldCharType="end"/>
            </w:r>
            <w:r w:rsidR="007018EF" w:rsidRPr="003924BD">
              <w:rPr>
                <w:rFonts w:ascii="Arial" w:hAnsi="Arial" w:cs="Arial"/>
                <w:sz w:val="20"/>
                <w:szCs w:val="20"/>
              </w:rPr>
              <w:t xml:space="preserve"> </w:t>
            </w:r>
            <w:r w:rsidRPr="003924BD">
              <w:rPr>
                <w:rFonts w:ascii="Arial" w:hAnsi="Arial" w:cs="Arial"/>
                <w:sz w:val="20"/>
                <w:szCs w:val="20"/>
              </w:rPr>
              <w:fldChar w:fldCharType="begin" w:fldLock="1"/>
            </w:r>
            <w:r w:rsidR="007018EF">
              <w:rPr>
                <w:rFonts w:ascii="Arial" w:hAnsi="Arial" w:cs="Arial"/>
                <w:sz w:val="20"/>
                <w:szCs w:val="20"/>
              </w:rPr>
              <w:instrText>ADDIN CSL_CITATION {"citationItems":[{"id":"ITEM-1","itemData":{"DOI":"10.1097/JTO.0b013e3181d32287","ISSN":"15561380","abstract":"Introduction: Although erlotinib, an orally active and selective tyrosine kinase inhibitor of epidermal growth factor receptor, is mainly metabolized in the liver, its effectiveness and safety for patients with chronic renal failure (CRF) undergoing hemodialysis (HD) has not been reported. Thus, we investigated the pharmacokinetics (PK) of erlotinib and its active metabolite OSI-420 in such patients with nonsmall cell lung cancer (NSCLC). Method: We administered 150 mg erlotinib daily to three patients with NSCLC and CRF undergoing HD (HD group) and five patients with NSCLC and normal organ function (control group) and analyzed the PK of erlotinib and OSI-420. In the HD group, PK analyses were performed on day 1 (off HD), day 8 (off HD), and day 9 (on HD) after starting administration of erlotinib, and in the control group, they were performed on day 1 and day 8. Results: In the HD group, there were little differences in the PK data between day 8 and day 9. The PK data on day 1 and day 8 of the HD group were also similar to those of the control group. There were no serious adverse events in any cases, and one of the HD patients achieved partial response. Conclusion: Erlotinib was hardly affected by renal function and HD, which confirms the effectiveness and safety of erlotinib treatment in patients with NSCLC and CRF undergoing HD. Erlotinib can become one treatment option for such patients. © 2010 by the International Association for the study of lung cancer.","author":[{"dropping-particle":"","family":"Togashi","given":"Yosuke","non-dropping-particle":"","parse-names":false,"suffix":""},{"dropping-particle":"","family":"Masago","given":"Katsuhiro","non-dropping-particle":"","parse-names":false,"suffix":""},{"dropping-particle":"","family":"Fukudo","given":"Masahide","non-dropping-particle":"","parse-names":false,"suffix":""},{"dropping-particle":"","family":"Terada","given":"Tomohiro","non-dropping-particle":"","parse-names":false,"suffix":""},{"dropping-particle":"","family":"Ikemi","given":"Yasuaki","non-dropping-particle":"","parse-names":false,"suffix":""},{"dropping-particle":"","family":"Kim","given":"Young Hak","non-dropping-particle":"","parse-names":false,"suffix":""},{"dropping-particle":"","family":"Fujita","given":"Shiro","non-dropping-particle":"","parse-names":false,"suffix":""},{"dropping-particle":"","family":"Irisa","given":"Kaoru","non-dropping-particle":"","parse-names":false,"suffix":""},{"dropping-particle":"","family":"Sakamori","given":"Yuichi","non-dropping-particle":"","parse-names":false,"suffix":""},{"dropping-particle":"","family":"Mio","given":"Tadashi","non-dropping-particle":"","parse-names":false,"suffix":""},{"dropping-particle":"","family":"Inui","given":"Ken Ichi","non-dropping-particle":"","parse-names":false,"suffix":""},{"dropping-particle":"","family":"Mishima","given":"Michiaki","non-dropping-particle":"","parse-names":false,"suffix":""}],"container-title":"Journal of Thoracic Oncology","id":"ITEM-1","issue":"5","issued":{"date-parts":[["2010","5","1"]]},"page":"601-605","publisher":"Lippincott Williams and Wilkins","title":"Pharmacokinetics of erlotinib and its active metabolite OSI-420 in patients with non-small cell lung cancer and chronic renal failure who are undergoing hemodialysis","type":"article-journal","volume":"5"},"uris":["http://www.mendeley.com/documents/?uuid=ab883b8b-d540-3fca-945f-bb74a465441a"]}],"mendeley":{"formattedCitation":"&lt;sup&gt;1&lt;/sup&gt;","plainTextFormattedCitation":"1","previouslyFormattedCitation":"&lt;sup&gt;1&lt;/sup&gt;"},"properties":{"noteIndex":0},"schema":"https://github.com/citation-style-language/schema/raw/master/csl-citation.json"}</w:instrText>
            </w:r>
            <w:r w:rsidRPr="003924BD">
              <w:rPr>
                <w:rFonts w:ascii="Arial" w:hAnsi="Arial" w:cs="Arial"/>
                <w:sz w:val="20"/>
                <w:szCs w:val="20"/>
              </w:rPr>
              <w:fldChar w:fldCharType="end"/>
            </w:r>
          </w:p>
        </w:tc>
        <w:tc>
          <w:tcPr>
            <w:tcW w:w="794" w:type="pct"/>
          </w:tcPr>
          <w:p w14:paraId="1E01FB7A"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roofErr w:type="spellStart"/>
            <w:r w:rsidRPr="003924BD">
              <w:rPr>
                <w:rFonts w:ascii="Arial" w:hAnsi="Arial" w:cs="Arial"/>
                <w:b/>
                <w:bCs/>
                <w:sz w:val="20"/>
                <w:szCs w:val="20"/>
              </w:rPr>
              <w:t>AUC</w:t>
            </w:r>
            <w:r w:rsidRPr="003924BD">
              <w:rPr>
                <w:rFonts w:ascii="Arial" w:hAnsi="Arial" w:cs="Arial"/>
                <w:b/>
                <w:bCs/>
                <w:sz w:val="20"/>
                <w:szCs w:val="20"/>
                <w:vertAlign w:val="subscript"/>
              </w:rPr>
              <w:t>τ</w:t>
            </w:r>
            <w:proofErr w:type="spellEnd"/>
            <w:r w:rsidRPr="003924BD">
              <w:rPr>
                <w:rFonts w:ascii="Arial" w:hAnsi="Arial" w:cs="Arial"/>
                <w:b/>
                <w:sz w:val="20"/>
                <w:szCs w:val="20"/>
              </w:rPr>
              <w:t xml:space="preserve"> (</w:t>
            </w:r>
            <w:proofErr w:type="spellStart"/>
            <w:r w:rsidRPr="003924BD">
              <w:rPr>
                <w:rFonts w:ascii="Arial" w:hAnsi="Arial" w:cs="Arial"/>
                <w:b/>
                <w:sz w:val="20"/>
                <w:szCs w:val="20"/>
              </w:rPr>
              <w:t>ng.h</w:t>
            </w:r>
            <w:proofErr w:type="spellEnd"/>
            <w:r w:rsidRPr="003924BD">
              <w:rPr>
                <w:rFonts w:ascii="Arial" w:hAnsi="Arial" w:cs="Arial"/>
                <w:b/>
                <w:sz w:val="20"/>
                <w:szCs w:val="20"/>
              </w:rPr>
              <w:t>/mL)</w:t>
            </w:r>
          </w:p>
        </w:tc>
        <w:tc>
          <w:tcPr>
            <w:tcW w:w="795" w:type="pct"/>
          </w:tcPr>
          <w:p w14:paraId="4D193FED"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vertAlign w:val="subscript"/>
              </w:rPr>
            </w:pPr>
            <w:proofErr w:type="spellStart"/>
            <w:r w:rsidRPr="003924BD">
              <w:rPr>
                <w:rFonts w:ascii="Arial" w:hAnsi="Arial" w:cs="Arial"/>
                <w:b/>
                <w:sz w:val="20"/>
                <w:szCs w:val="20"/>
              </w:rPr>
              <w:t>C</w:t>
            </w:r>
            <w:r w:rsidRPr="003924BD">
              <w:rPr>
                <w:rFonts w:ascii="Arial" w:hAnsi="Arial" w:cs="Arial"/>
                <w:b/>
                <w:sz w:val="20"/>
                <w:szCs w:val="20"/>
                <w:vertAlign w:val="subscript"/>
              </w:rPr>
              <w:t>max</w:t>
            </w:r>
            <w:proofErr w:type="spellEnd"/>
          </w:p>
          <w:p w14:paraId="5CB6414F"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3924BD">
              <w:rPr>
                <w:rFonts w:ascii="Arial" w:hAnsi="Arial" w:cs="Arial"/>
                <w:b/>
                <w:sz w:val="20"/>
                <w:szCs w:val="20"/>
              </w:rPr>
              <w:t>(ng/mL)</w:t>
            </w:r>
          </w:p>
        </w:tc>
        <w:tc>
          <w:tcPr>
            <w:tcW w:w="795" w:type="pct"/>
          </w:tcPr>
          <w:p w14:paraId="56F46836"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vertAlign w:val="subscript"/>
              </w:rPr>
            </w:pPr>
            <w:proofErr w:type="spellStart"/>
            <w:r w:rsidRPr="003924BD">
              <w:rPr>
                <w:rFonts w:ascii="Arial" w:hAnsi="Arial" w:cs="Arial"/>
                <w:b/>
                <w:bCs/>
                <w:sz w:val="20"/>
                <w:szCs w:val="20"/>
              </w:rPr>
              <w:t>AUC</w:t>
            </w:r>
            <w:r w:rsidRPr="003924BD">
              <w:rPr>
                <w:rFonts w:ascii="Arial" w:hAnsi="Arial" w:cs="Arial"/>
                <w:b/>
                <w:bCs/>
                <w:sz w:val="20"/>
                <w:szCs w:val="20"/>
                <w:vertAlign w:val="subscript"/>
              </w:rPr>
              <w:t>τ</w:t>
            </w:r>
            <w:proofErr w:type="spellEnd"/>
            <w:r w:rsidRPr="003924BD">
              <w:rPr>
                <w:rFonts w:ascii="Arial" w:hAnsi="Arial" w:cs="Arial"/>
                <w:b/>
                <w:sz w:val="20"/>
                <w:szCs w:val="20"/>
              </w:rPr>
              <w:t xml:space="preserve"> (</w:t>
            </w:r>
            <w:proofErr w:type="spellStart"/>
            <w:r w:rsidRPr="003924BD">
              <w:rPr>
                <w:rFonts w:ascii="Arial" w:hAnsi="Arial" w:cs="Arial"/>
                <w:b/>
                <w:sz w:val="20"/>
                <w:szCs w:val="20"/>
              </w:rPr>
              <w:t>ng.h</w:t>
            </w:r>
            <w:proofErr w:type="spellEnd"/>
            <w:r w:rsidRPr="003924BD">
              <w:rPr>
                <w:rFonts w:ascii="Arial" w:hAnsi="Arial" w:cs="Arial"/>
                <w:b/>
                <w:sz w:val="20"/>
                <w:szCs w:val="20"/>
              </w:rPr>
              <w:t>/mL)</w:t>
            </w:r>
          </w:p>
        </w:tc>
        <w:tc>
          <w:tcPr>
            <w:tcW w:w="795" w:type="pct"/>
          </w:tcPr>
          <w:p w14:paraId="794ECAC3"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vertAlign w:val="subscript"/>
              </w:rPr>
            </w:pPr>
            <w:proofErr w:type="spellStart"/>
            <w:r w:rsidRPr="003924BD">
              <w:rPr>
                <w:rFonts w:ascii="Arial" w:hAnsi="Arial" w:cs="Arial"/>
                <w:b/>
                <w:sz w:val="20"/>
                <w:szCs w:val="20"/>
              </w:rPr>
              <w:t>C</w:t>
            </w:r>
            <w:r w:rsidRPr="003924BD">
              <w:rPr>
                <w:rFonts w:ascii="Arial" w:hAnsi="Arial" w:cs="Arial"/>
                <w:b/>
                <w:sz w:val="20"/>
                <w:szCs w:val="20"/>
                <w:vertAlign w:val="subscript"/>
              </w:rPr>
              <w:t>max</w:t>
            </w:r>
            <w:proofErr w:type="spellEnd"/>
          </w:p>
          <w:p w14:paraId="5EC5914D"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3924BD">
              <w:rPr>
                <w:rFonts w:ascii="Arial" w:hAnsi="Arial" w:cs="Arial"/>
                <w:b/>
                <w:sz w:val="20"/>
                <w:szCs w:val="20"/>
              </w:rPr>
              <w:t>(ng/mL)</w:t>
            </w:r>
          </w:p>
        </w:tc>
      </w:tr>
      <w:tr w:rsidR="003924BD" w:rsidRPr="003924BD" w14:paraId="1021A10B" w14:textId="77777777" w:rsidTr="007E39A1">
        <w:tc>
          <w:tcPr>
            <w:cnfStyle w:val="001000000000" w:firstRow="0" w:lastRow="0" w:firstColumn="1" w:lastColumn="0" w:oddVBand="0" w:evenVBand="0" w:oddHBand="0" w:evenHBand="0" w:firstRowFirstColumn="0" w:firstRowLastColumn="0" w:lastRowFirstColumn="0" w:lastRowLastColumn="0"/>
            <w:tcW w:w="1821" w:type="pct"/>
            <w:tcBorders>
              <w:top w:val="single" w:sz="4" w:space="0" w:color="auto"/>
            </w:tcBorders>
          </w:tcPr>
          <w:p w14:paraId="06E88199" w14:textId="77777777" w:rsidR="003924BD" w:rsidRPr="003924BD" w:rsidRDefault="003924BD" w:rsidP="003924BD">
            <w:pPr>
              <w:spacing w:after="0" w:line="240" w:lineRule="auto"/>
              <w:rPr>
                <w:rFonts w:ascii="Arial" w:hAnsi="Arial" w:cs="Arial"/>
                <w:b w:val="0"/>
                <w:sz w:val="20"/>
                <w:szCs w:val="20"/>
              </w:rPr>
            </w:pPr>
            <w:r w:rsidRPr="003924BD">
              <w:rPr>
                <w:rFonts w:ascii="Arial" w:hAnsi="Arial" w:cs="Arial"/>
                <w:b w:val="0"/>
                <w:sz w:val="20"/>
                <w:szCs w:val="20"/>
              </w:rPr>
              <w:t xml:space="preserve">Geometric mean </w:t>
            </w:r>
          </w:p>
        </w:tc>
        <w:tc>
          <w:tcPr>
            <w:tcW w:w="794" w:type="pct"/>
          </w:tcPr>
          <w:p w14:paraId="20C08A59" w14:textId="77777777" w:rsidR="003924BD" w:rsidRPr="003924BD" w:rsidRDefault="003924BD" w:rsidP="003924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924BD">
              <w:rPr>
                <w:rFonts w:ascii="Arial" w:hAnsi="Arial" w:cs="Arial"/>
                <w:sz w:val="20"/>
                <w:szCs w:val="20"/>
              </w:rPr>
              <w:t>37480</w:t>
            </w:r>
          </w:p>
        </w:tc>
        <w:tc>
          <w:tcPr>
            <w:tcW w:w="795" w:type="pct"/>
          </w:tcPr>
          <w:p w14:paraId="158841EA" w14:textId="77777777" w:rsidR="003924BD" w:rsidRPr="003924BD" w:rsidRDefault="003924BD" w:rsidP="003924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924BD">
              <w:rPr>
                <w:rFonts w:ascii="Arial" w:hAnsi="Arial" w:cs="Arial"/>
                <w:sz w:val="20"/>
                <w:szCs w:val="20"/>
              </w:rPr>
              <w:t>2020</w:t>
            </w:r>
          </w:p>
        </w:tc>
        <w:tc>
          <w:tcPr>
            <w:tcW w:w="795" w:type="pct"/>
          </w:tcPr>
          <w:p w14:paraId="27556FB9" w14:textId="77777777" w:rsidR="003924BD" w:rsidRPr="003924BD" w:rsidRDefault="003924BD" w:rsidP="003924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3924BD">
              <w:rPr>
                <w:rFonts w:ascii="Arial" w:hAnsi="Arial" w:cs="Arial"/>
                <w:color w:val="000000"/>
                <w:sz w:val="20"/>
                <w:szCs w:val="20"/>
              </w:rPr>
              <w:t>42443</w:t>
            </w:r>
          </w:p>
          <w:p w14:paraId="13ABCB26" w14:textId="77777777" w:rsidR="003924BD" w:rsidRPr="003924BD" w:rsidRDefault="003924BD" w:rsidP="003924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795" w:type="pct"/>
          </w:tcPr>
          <w:p w14:paraId="409D3A76" w14:textId="77777777" w:rsidR="003924BD" w:rsidRPr="003924BD" w:rsidRDefault="003924BD" w:rsidP="003924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3924BD">
              <w:rPr>
                <w:rFonts w:ascii="Arial" w:hAnsi="Arial" w:cs="Arial"/>
                <w:color w:val="000000"/>
                <w:sz w:val="20"/>
                <w:szCs w:val="20"/>
              </w:rPr>
              <w:t>2337</w:t>
            </w:r>
          </w:p>
          <w:p w14:paraId="6AD8898C" w14:textId="77777777" w:rsidR="003924BD" w:rsidRPr="003924BD" w:rsidRDefault="003924BD" w:rsidP="003924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3924BD" w:rsidRPr="003924BD" w14:paraId="70534CC4" w14:textId="77777777" w:rsidTr="007E39A1">
        <w:trPr>
          <w:cnfStyle w:val="000000100000" w:firstRow="0" w:lastRow="0" w:firstColumn="0" w:lastColumn="0" w:oddVBand="0" w:evenVBand="0" w:oddHBand="1" w:evenHBand="0" w:firstRowFirstColumn="0" w:firstRowLastColumn="0" w:lastRowFirstColumn="0" w:lastRowLastColumn="0"/>
          <w:trHeight w:val="205"/>
        </w:trPr>
        <w:tc>
          <w:tcPr>
            <w:cnfStyle w:val="001000000000" w:firstRow="0" w:lastRow="0" w:firstColumn="1" w:lastColumn="0" w:oddVBand="0" w:evenVBand="0" w:oddHBand="0" w:evenHBand="0" w:firstRowFirstColumn="0" w:firstRowLastColumn="0" w:lastRowFirstColumn="0" w:lastRowLastColumn="0"/>
            <w:tcW w:w="1821" w:type="pct"/>
          </w:tcPr>
          <w:p w14:paraId="752BED19" w14:textId="77777777" w:rsidR="003924BD" w:rsidRPr="003924BD" w:rsidRDefault="003924BD" w:rsidP="003924BD">
            <w:pPr>
              <w:spacing w:after="0" w:line="240" w:lineRule="auto"/>
              <w:rPr>
                <w:rFonts w:ascii="Arial" w:hAnsi="Arial" w:cs="Arial"/>
                <w:bCs w:val="0"/>
                <w:sz w:val="20"/>
                <w:szCs w:val="20"/>
              </w:rPr>
            </w:pPr>
            <w:r w:rsidRPr="003924BD">
              <w:rPr>
                <w:rFonts w:ascii="Arial" w:hAnsi="Arial" w:cs="Arial"/>
                <w:b w:val="0"/>
                <w:sz w:val="20"/>
                <w:szCs w:val="20"/>
              </w:rPr>
              <w:t xml:space="preserve">CV (%) </w:t>
            </w:r>
          </w:p>
        </w:tc>
        <w:tc>
          <w:tcPr>
            <w:tcW w:w="794" w:type="pct"/>
            <w:tcBorders>
              <w:bottom w:val="single" w:sz="4" w:space="0" w:color="auto"/>
            </w:tcBorders>
          </w:tcPr>
          <w:p w14:paraId="3133CA93"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924BD">
              <w:rPr>
                <w:rFonts w:ascii="Arial" w:hAnsi="Arial" w:cs="Arial"/>
                <w:sz w:val="20"/>
                <w:szCs w:val="20"/>
              </w:rPr>
              <w:t>56</w:t>
            </w:r>
          </w:p>
        </w:tc>
        <w:tc>
          <w:tcPr>
            <w:tcW w:w="795" w:type="pct"/>
            <w:tcBorders>
              <w:bottom w:val="single" w:sz="4" w:space="0" w:color="auto"/>
            </w:tcBorders>
          </w:tcPr>
          <w:p w14:paraId="2AEF31DC"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924BD">
              <w:rPr>
                <w:rFonts w:ascii="Arial" w:hAnsi="Arial" w:cs="Arial"/>
                <w:sz w:val="20"/>
                <w:szCs w:val="20"/>
              </w:rPr>
              <w:t>44</w:t>
            </w:r>
          </w:p>
        </w:tc>
        <w:tc>
          <w:tcPr>
            <w:tcW w:w="795" w:type="pct"/>
            <w:tcBorders>
              <w:bottom w:val="single" w:sz="4" w:space="0" w:color="auto"/>
            </w:tcBorders>
          </w:tcPr>
          <w:p w14:paraId="35589133"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3924BD">
              <w:rPr>
                <w:rFonts w:ascii="Arial" w:hAnsi="Arial" w:cs="Arial"/>
                <w:color w:val="000000"/>
                <w:sz w:val="20"/>
                <w:szCs w:val="20"/>
              </w:rPr>
              <w:t>35</w:t>
            </w:r>
          </w:p>
        </w:tc>
        <w:tc>
          <w:tcPr>
            <w:tcW w:w="795" w:type="pct"/>
            <w:tcBorders>
              <w:bottom w:val="single" w:sz="4" w:space="0" w:color="auto"/>
            </w:tcBorders>
          </w:tcPr>
          <w:p w14:paraId="21C727EC"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3924BD">
              <w:rPr>
                <w:rFonts w:ascii="Arial" w:hAnsi="Arial" w:cs="Arial"/>
                <w:color w:val="000000"/>
                <w:sz w:val="20"/>
                <w:szCs w:val="20"/>
              </w:rPr>
              <w:t>32</w:t>
            </w:r>
          </w:p>
        </w:tc>
      </w:tr>
      <w:tr w:rsidR="003924BD" w:rsidRPr="003924BD" w14:paraId="5C788306" w14:textId="77777777" w:rsidTr="007E39A1">
        <w:tc>
          <w:tcPr>
            <w:cnfStyle w:val="001000000000" w:firstRow="0" w:lastRow="0" w:firstColumn="1" w:lastColumn="0" w:oddVBand="0" w:evenVBand="0" w:oddHBand="0" w:evenHBand="0" w:firstRowFirstColumn="0" w:firstRowLastColumn="0" w:lastRowFirstColumn="0" w:lastRowLastColumn="0"/>
            <w:tcW w:w="1821" w:type="pct"/>
            <w:tcBorders>
              <w:right w:val="nil"/>
            </w:tcBorders>
          </w:tcPr>
          <w:p w14:paraId="46B4F8B5" w14:textId="77777777" w:rsidR="003924BD" w:rsidRPr="003924BD" w:rsidRDefault="003924BD" w:rsidP="003924BD">
            <w:pPr>
              <w:spacing w:after="0" w:line="240" w:lineRule="auto"/>
              <w:rPr>
                <w:rFonts w:ascii="Arial" w:hAnsi="Arial" w:cs="Arial"/>
                <w:b w:val="0"/>
                <w:sz w:val="20"/>
                <w:szCs w:val="20"/>
              </w:rPr>
            </w:pPr>
            <w:r w:rsidRPr="003924BD">
              <w:rPr>
                <w:rFonts w:ascii="Arial" w:hAnsi="Arial" w:cs="Arial"/>
                <w:b w:val="0"/>
                <w:sz w:val="20"/>
                <w:szCs w:val="20"/>
              </w:rPr>
              <w:t>Ratio of simulated/observed</w:t>
            </w:r>
          </w:p>
        </w:tc>
        <w:tc>
          <w:tcPr>
            <w:tcW w:w="794" w:type="pct"/>
            <w:tcBorders>
              <w:top w:val="single" w:sz="4" w:space="0" w:color="auto"/>
              <w:left w:val="nil"/>
              <w:bottom w:val="single" w:sz="4" w:space="0" w:color="auto"/>
              <w:right w:val="nil"/>
            </w:tcBorders>
          </w:tcPr>
          <w:p w14:paraId="27B61B30" w14:textId="77777777" w:rsidR="003924BD" w:rsidRPr="003924BD" w:rsidRDefault="003924BD" w:rsidP="003924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924BD">
              <w:rPr>
                <w:rFonts w:ascii="Arial" w:hAnsi="Arial" w:cs="Arial"/>
                <w:sz w:val="20"/>
                <w:szCs w:val="20"/>
              </w:rPr>
              <w:t>0.88</w:t>
            </w:r>
          </w:p>
        </w:tc>
        <w:tc>
          <w:tcPr>
            <w:tcW w:w="795" w:type="pct"/>
            <w:tcBorders>
              <w:top w:val="single" w:sz="4" w:space="0" w:color="auto"/>
              <w:left w:val="nil"/>
              <w:bottom w:val="single" w:sz="4" w:space="0" w:color="auto"/>
              <w:right w:val="nil"/>
            </w:tcBorders>
          </w:tcPr>
          <w:p w14:paraId="103DB557" w14:textId="77777777" w:rsidR="003924BD" w:rsidRPr="003924BD" w:rsidRDefault="003924BD" w:rsidP="003924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3924BD">
              <w:rPr>
                <w:rFonts w:ascii="Arial" w:hAnsi="Arial" w:cs="Arial"/>
                <w:sz w:val="20"/>
                <w:szCs w:val="20"/>
              </w:rPr>
              <w:t>0.86</w:t>
            </w:r>
          </w:p>
        </w:tc>
        <w:tc>
          <w:tcPr>
            <w:tcW w:w="795" w:type="pct"/>
            <w:tcBorders>
              <w:top w:val="single" w:sz="4" w:space="0" w:color="auto"/>
              <w:left w:val="nil"/>
              <w:bottom w:val="single" w:sz="4" w:space="0" w:color="auto"/>
              <w:right w:val="nil"/>
            </w:tcBorders>
          </w:tcPr>
          <w:p w14:paraId="2A628739" w14:textId="77777777" w:rsidR="003924BD" w:rsidRPr="003924BD" w:rsidRDefault="003924BD" w:rsidP="003924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p>
        </w:tc>
        <w:tc>
          <w:tcPr>
            <w:tcW w:w="795" w:type="pct"/>
            <w:tcBorders>
              <w:top w:val="single" w:sz="4" w:space="0" w:color="auto"/>
              <w:left w:val="nil"/>
              <w:bottom w:val="single" w:sz="4" w:space="0" w:color="auto"/>
              <w:right w:val="nil"/>
            </w:tcBorders>
          </w:tcPr>
          <w:p w14:paraId="20EA6D86" w14:textId="77777777" w:rsidR="003924BD" w:rsidRPr="003924BD" w:rsidRDefault="003924BD" w:rsidP="003924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p>
        </w:tc>
      </w:tr>
      <w:tr w:rsidR="003924BD" w:rsidRPr="003924BD" w14:paraId="2CF32AD7" w14:textId="77777777" w:rsidTr="007E39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1" w:type="pct"/>
            <w:tcBorders>
              <w:bottom w:val="single" w:sz="4" w:space="0" w:color="auto"/>
              <w:right w:val="nil"/>
            </w:tcBorders>
          </w:tcPr>
          <w:p w14:paraId="164752C0" w14:textId="77777777" w:rsidR="003924BD" w:rsidRPr="003924BD" w:rsidRDefault="003924BD" w:rsidP="003924BD">
            <w:pPr>
              <w:spacing w:after="0" w:line="240" w:lineRule="auto"/>
              <w:rPr>
                <w:rFonts w:ascii="Arial" w:hAnsi="Arial" w:cs="Arial"/>
                <w:b w:val="0"/>
                <w:sz w:val="20"/>
                <w:szCs w:val="20"/>
              </w:rPr>
            </w:pPr>
            <w:r w:rsidRPr="003924BD">
              <w:rPr>
                <w:rFonts w:ascii="Arial" w:hAnsi="Arial" w:cs="Arial"/>
                <w:b w:val="0"/>
                <w:sz w:val="20"/>
                <w:szCs w:val="20"/>
              </w:rPr>
              <w:t>Success criteria for ratio of simulated/observed</w:t>
            </w:r>
          </w:p>
        </w:tc>
        <w:tc>
          <w:tcPr>
            <w:tcW w:w="794" w:type="pct"/>
            <w:tcBorders>
              <w:top w:val="single" w:sz="4" w:space="0" w:color="auto"/>
              <w:left w:val="nil"/>
              <w:bottom w:val="single" w:sz="4" w:space="0" w:color="auto"/>
              <w:right w:val="nil"/>
            </w:tcBorders>
          </w:tcPr>
          <w:p w14:paraId="493E53DC"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924BD">
              <w:rPr>
                <w:rFonts w:ascii="Arial" w:hAnsi="Arial" w:cs="Arial"/>
                <w:sz w:val="20"/>
                <w:szCs w:val="20"/>
              </w:rPr>
              <w:t>0.52-1.91</w:t>
            </w:r>
          </w:p>
        </w:tc>
        <w:tc>
          <w:tcPr>
            <w:tcW w:w="795" w:type="pct"/>
            <w:tcBorders>
              <w:top w:val="single" w:sz="4" w:space="0" w:color="auto"/>
              <w:left w:val="nil"/>
              <w:bottom w:val="single" w:sz="4" w:space="0" w:color="auto"/>
              <w:right w:val="nil"/>
            </w:tcBorders>
          </w:tcPr>
          <w:p w14:paraId="7723FD07"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3924BD">
              <w:rPr>
                <w:rFonts w:ascii="Arial" w:hAnsi="Arial" w:cs="Arial"/>
                <w:sz w:val="20"/>
                <w:szCs w:val="20"/>
              </w:rPr>
              <w:t>0.56-1.81</w:t>
            </w:r>
          </w:p>
        </w:tc>
        <w:tc>
          <w:tcPr>
            <w:tcW w:w="795" w:type="pct"/>
            <w:tcBorders>
              <w:top w:val="single" w:sz="4" w:space="0" w:color="auto"/>
              <w:left w:val="nil"/>
              <w:bottom w:val="single" w:sz="4" w:space="0" w:color="auto"/>
              <w:right w:val="nil"/>
            </w:tcBorders>
          </w:tcPr>
          <w:p w14:paraId="3AAEFB24"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c>
          <w:tcPr>
            <w:tcW w:w="795" w:type="pct"/>
            <w:tcBorders>
              <w:top w:val="single" w:sz="4" w:space="0" w:color="auto"/>
              <w:left w:val="nil"/>
              <w:bottom w:val="single" w:sz="4" w:space="0" w:color="auto"/>
              <w:right w:val="nil"/>
            </w:tcBorders>
          </w:tcPr>
          <w:p w14:paraId="65E568D2"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r>
      <w:tr w:rsidR="003924BD" w:rsidRPr="003924BD" w14:paraId="550B85ED" w14:textId="77777777" w:rsidTr="007E39A1">
        <w:trPr>
          <w:trHeight w:val="252"/>
        </w:trPr>
        <w:tc>
          <w:tcPr>
            <w:cnfStyle w:val="001000000000" w:firstRow="0" w:lastRow="0" w:firstColumn="1" w:lastColumn="0" w:oddVBand="0" w:evenVBand="0" w:oddHBand="0" w:evenHBand="0" w:firstRowFirstColumn="0" w:firstRowLastColumn="0" w:lastRowFirstColumn="0" w:lastRowLastColumn="0"/>
            <w:tcW w:w="1821" w:type="pct"/>
            <w:tcBorders>
              <w:top w:val="single" w:sz="4" w:space="0" w:color="auto"/>
              <w:bottom w:val="nil"/>
            </w:tcBorders>
          </w:tcPr>
          <w:p w14:paraId="07BF38D3" w14:textId="77777777" w:rsidR="003924BD" w:rsidRPr="003924BD" w:rsidRDefault="003924BD" w:rsidP="003924BD">
            <w:pPr>
              <w:spacing w:after="0" w:line="240" w:lineRule="auto"/>
              <w:rPr>
                <w:rFonts w:ascii="Arial" w:hAnsi="Arial" w:cs="Arial"/>
                <w:sz w:val="20"/>
                <w:szCs w:val="20"/>
              </w:rPr>
            </w:pPr>
          </w:p>
        </w:tc>
        <w:tc>
          <w:tcPr>
            <w:tcW w:w="1589" w:type="pct"/>
            <w:gridSpan w:val="2"/>
            <w:tcBorders>
              <w:top w:val="single" w:sz="4" w:space="0" w:color="auto"/>
            </w:tcBorders>
          </w:tcPr>
          <w:p w14:paraId="4DF3AB67" w14:textId="77777777" w:rsidR="003924BD" w:rsidRPr="003924BD" w:rsidRDefault="003924BD" w:rsidP="003924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3924BD">
              <w:rPr>
                <w:rFonts w:ascii="Arial" w:hAnsi="Arial" w:cs="Arial"/>
                <w:b/>
                <w:sz w:val="20"/>
                <w:szCs w:val="20"/>
              </w:rPr>
              <w:t>Simulated (n=60)</w:t>
            </w:r>
          </w:p>
        </w:tc>
        <w:tc>
          <w:tcPr>
            <w:tcW w:w="1590" w:type="pct"/>
            <w:gridSpan w:val="2"/>
            <w:tcBorders>
              <w:top w:val="single" w:sz="4" w:space="0" w:color="auto"/>
            </w:tcBorders>
          </w:tcPr>
          <w:p w14:paraId="18036377" w14:textId="77777777" w:rsidR="003924BD" w:rsidRPr="003924BD" w:rsidRDefault="003924BD" w:rsidP="003924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3924BD">
              <w:rPr>
                <w:rFonts w:ascii="Arial" w:hAnsi="Arial" w:cs="Arial"/>
                <w:b/>
                <w:sz w:val="20"/>
                <w:szCs w:val="20"/>
              </w:rPr>
              <w:t xml:space="preserve">Observed (n=6) </w:t>
            </w:r>
          </w:p>
        </w:tc>
      </w:tr>
      <w:tr w:rsidR="003924BD" w:rsidRPr="003924BD" w14:paraId="14B15696" w14:textId="77777777" w:rsidTr="007E39A1">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1821" w:type="pct"/>
            <w:tcBorders>
              <w:top w:val="nil"/>
              <w:bottom w:val="single" w:sz="4" w:space="0" w:color="auto"/>
            </w:tcBorders>
          </w:tcPr>
          <w:p w14:paraId="361DA9B1" w14:textId="77777777" w:rsidR="003924BD" w:rsidRPr="003924BD" w:rsidRDefault="003924BD" w:rsidP="003924BD">
            <w:pPr>
              <w:spacing w:after="0" w:line="240" w:lineRule="auto"/>
              <w:rPr>
                <w:rFonts w:ascii="Arial" w:hAnsi="Arial" w:cs="Arial"/>
                <w:sz w:val="20"/>
                <w:szCs w:val="20"/>
              </w:rPr>
            </w:pPr>
          </w:p>
          <w:p w14:paraId="2B03C7EA" w14:textId="77777777" w:rsidR="003924BD" w:rsidRPr="003924BD" w:rsidRDefault="003924BD" w:rsidP="003924BD">
            <w:pPr>
              <w:spacing w:after="0" w:line="240" w:lineRule="auto"/>
              <w:rPr>
                <w:rFonts w:ascii="Arial" w:hAnsi="Arial" w:cs="Arial"/>
                <w:b w:val="0"/>
                <w:bCs w:val="0"/>
                <w:sz w:val="20"/>
                <w:szCs w:val="20"/>
              </w:rPr>
            </w:pPr>
            <w:r w:rsidRPr="003924BD">
              <w:rPr>
                <w:rFonts w:ascii="Arial" w:hAnsi="Arial" w:cs="Arial"/>
                <w:sz w:val="20"/>
                <w:szCs w:val="20"/>
              </w:rPr>
              <w:t xml:space="preserve">Erlotinib 150 mg daily, single dose, </w:t>
            </w:r>
            <w:proofErr w:type="gramStart"/>
            <w:r w:rsidRPr="003924BD">
              <w:rPr>
                <w:rFonts w:ascii="Arial" w:hAnsi="Arial" w:cs="Arial"/>
                <w:sz w:val="20"/>
                <w:szCs w:val="20"/>
              </w:rPr>
              <w:t>fasted</w:t>
            </w:r>
            <w:proofErr w:type="gramEnd"/>
            <w:r w:rsidRPr="003924BD">
              <w:rPr>
                <w:rFonts w:ascii="Arial" w:hAnsi="Arial" w:cs="Arial"/>
                <w:sz w:val="20"/>
                <w:szCs w:val="20"/>
              </w:rPr>
              <w:t xml:space="preserve"> </w:t>
            </w:r>
          </w:p>
          <w:p w14:paraId="4B1922F7" w14:textId="3E1D1DBE" w:rsidR="003924BD" w:rsidRPr="003924BD" w:rsidRDefault="003924BD" w:rsidP="003924BD">
            <w:pPr>
              <w:spacing w:after="0" w:line="240" w:lineRule="auto"/>
              <w:rPr>
                <w:rFonts w:ascii="Arial" w:hAnsi="Arial" w:cs="Arial"/>
                <w:sz w:val="20"/>
                <w:szCs w:val="20"/>
              </w:rPr>
            </w:pPr>
            <w:r w:rsidRPr="003924BD">
              <w:rPr>
                <w:rFonts w:ascii="Arial" w:hAnsi="Arial" w:cs="Arial"/>
                <w:sz w:val="20"/>
                <w:szCs w:val="20"/>
              </w:rPr>
              <w:t>(Yamamoto et al., 2008)</w:t>
            </w:r>
            <w:r w:rsidR="007018EF">
              <w:rPr>
                <w:rFonts w:ascii="Arial" w:hAnsi="Arial" w:cs="Arial"/>
                <w:sz w:val="20"/>
                <w:szCs w:val="20"/>
              </w:rPr>
              <w:fldChar w:fldCharType="begin" w:fldLock="1"/>
            </w:r>
            <w:r w:rsidR="007018EF">
              <w:rPr>
                <w:rFonts w:ascii="Arial" w:hAnsi="Arial" w:cs="Arial"/>
                <w:sz w:val="20"/>
                <w:szCs w:val="20"/>
              </w:rPr>
              <w:instrText>ADDIN CSL_CITATION {"citationItems":[{"id":"ITEM-1","itemData":{"DOI":"10.1007/s00280-007-0494-8","abstract":"Purpose The objectives of this phase I dose-Wnding study of erlotinib were to investigate the toxicity proWle, to con-Wrm the acceptable toxicity of doses up to 150 mg/day, and to assess the pharmacokinetic (PK) proWle and antitumor activity in Japanese patients with solid tumors. Patients and methods Patients with solid tumors not amenable to standard forms of treatment were included. Treatment cycle 1 consisted of single-dose administration on day 1, withdrawal on day 2, continuous daily administration from days 3-23, and withdrawal from days 24-30. Subsequent cycles (28 days) used continuous daily administration. The dose of erlotinib was escalated from 50 mg/day to 150 mg/day in 50-mg increments. PK evaluation was performed in all patients during cycle 1. Results Fifteen patients, aged 38-70 (median; 57) years with non-small-cell lung (n = 11), colorectal (n = 3) or head and neck (n = 1) cancer were enrolled. The major toxicities were rash, diarrhea and liver dysfunctions, which were generally mild and easily manageable. The good tolerability of erlotinib up to the dose of 150 mg/day was conWrmed. One patient developed grade 5 treatment-related interstitial pneumonitis. Four of 11 evaluable patients achieved partial responses; all four had non-small-cell lung cancer (NSCLC). The peak plasma concentration of erlotinib, and the area under the concentration-time curve increased proportionally to the dose, suggesting linear PK. Conclusion The recommended dose of erlotinib in Japa-nese patients is 150 mg/day. Further trials in Japanese NSCLC patients are warranted.","author":[{"dropping-particle":"","family":"Yamamoto","given":"Noboru","non-dropping-particle":"","parse-names":false,"suffix":""},{"dropping-particle":"","family":"Horiike","given":"Atsushi","non-dropping-particle":"","parse-names":false,"suffix":""},{"dropping-particle":"","family":"Fujisaka","given":"Yasuhito","non-dropping-particle":"","parse-names":false,"suffix":""},{"dropping-particle":"","family":"Murakami","given":"Haruyasu","non-dropping-particle":"","parse-names":false,"suffix":""},{"dropping-particle":"","family":"Shimoyama","given":"Tatsu","non-dropping-particle":"","parse-names":false,"suffix":""},{"dropping-particle":"","family":"Yamada","given":"Yasuhide","non-dropping-particle":"","parse-names":false,"suffix":""},{"dropping-particle":"","family":"Tamura","given":"Tomohide","non-dropping-particle":"","parse-names":false,"suffix":""}],"container-title":"Cancer Chemother Pharmacol","id":"ITEM-1","issued":{"date-parts":[["2008"]]},"page":"489-496","title":"Phase I dose-finding and pharmacokinetic study of the oral epidermal growth factor receptor tyrosine kinase inhibitor Ro50-8231 (erlotinib) in Japanese patients with solid tumors","type":"article-journal","volume":"61"},"uris":["http://www.mendeley.com/documents/?uuid=9456dd1d-aa65-3df1-a03c-e73f8486a8fe"]}],"mendeley":{"formattedCitation":"&lt;sup&gt;2&lt;/sup&gt;","plainTextFormattedCitation":"2","previouslyFormattedCitation":"&lt;sup&gt;2&lt;/sup&gt;"},"properties":{"noteIndex":0},"schema":"https://github.com/citation-style-language/schema/raw/master/csl-citation.json"}</w:instrText>
            </w:r>
            <w:r w:rsidR="007018EF">
              <w:rPr>
                <w:rFonts w:ascii="Arial" w:hAnsi="Arial" w:cs="Arial"/>
                <w:sz w:val="20"/>
                <w:szCs w:val="20"/>
              </w:rPr>
              <w:fldChar w:fldCharType="separate"/>
            </w:r>
            <w:r w:rsidR="007018EF" w:rsidRPr="007018EF">
              <w:rPr>
                <w:rFonts w:ascii="Arial" w:hAnsi="Arial" w:cs="Arial"/>
                <w:b w:val="0"/>
                <w:noProof/>
                <w:sz w:val="20"/>
                <w:szCs w:val="20"/>
                <w:vertAlign w:val="superscript"/>
              </w:rPr>
              <w:t>2</w:t>
            </w:r>
            <w:r w:rsidR="007018EF">
              <w:rPr>
                <w:rFonts w:ascii="Arial" w:hAnsi="Arial" w:cs="Arial"/>
                <w:sz w:val="20"/>
                <w:szCs w:val="20"/>
              </w:rPr>
              <w:fldChar w:fldCharType="end"/>
            </w:r>
          </w:p>
        </w:tc>
        <w:tc>
          <w:tcPr>
            <w:tcW w:w="794" w:type="pct"/>
          </w:tcPr>
          <w:p w14:paraId="1E5F3819"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roofErr w:type="spellStart"/>
            <w:r w:rsidRPr="003924BD">
              <w:rPr>
                <w:rFonts w:ascii="Arial" w:hAnsi="Arial" w:cs="Arial"/>
                <w:b/>
                <w:bCs/>
                <w:sz w:val="20"/>
                <w:szCs w:val="20"/>
              </w:rPr>
              <w:t>AUC</w:t>
            </w:r>
            <w:r w:rsidRPr="003924BD">
              <w:rPr>
                <w:rFonts w:ascii="Arial" w:hAnsi="Arial" w:cs="Arial"/>
                <w:b/>
                <w:bCs/>
                <w:sz w:val="20"/>
                <w:szCs w:val="20"/>
                <w:vertAlign w:val="subscript"/>
              </w:rPr>
              <w:t>τ</w:t>
            </w:r>
            <w:proofErr w:type="spellEnd"/>
            <w:r w:rsidRPr="003924BD">
              <w:rPr>
                <w:rFonts w:ascii="Arial" w:hAnsi="Arial" w:cs="Arial"/>
                <w:b/>
                <w:sz w:val="20"/>
                <w:szCs w:val="20"/>
              </w:rPr>
              <w:t xml:space="preserve"> (</w:t>
            </w:r>
            <w:proofErr w:type="spellStart"/>
            <w:r w:rsidRPr="003924BD">
              <w:rPr>
                <w:rFonts w:ascii="Arial" w:hAnsi="Arial" w:cs="Arial"/>
                <w:b/>
                <w:sz w:val="20"/>
                <w:szCs w:val="20"/>
              </w:rPr>
              <w:t>ng.h</w:t>
            </w:r>
            <w:proofErr w:type="spellEnd"/>
            <w:r w:rsidRPr="003924BD">
              <w:rPr>
                <w:rFonts w:ascii="Arial" w:hAnsi="Arial" w:cs="Arial"/>
                <w:b/>
                <w:sz w:val="20"/>
                <w:szCs w:val="20"/>
              </w:rPr>
              <w:t>/mL)</w:t>
            </w:r>
          </w:p>
        </w:tc>
        <w:tc>
          <w:tcPr>
            <w:tcW w:w="795" w:type="pct"/>
          </w:tcPr>
          <w:p w14:paraId="45F7CCCE"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vertAlign w:val="subscript"/>
              </w:rPr>
            </w:pPr>
            <w:proofErr w:type="spellStart"/>
            <w:r w:rsidRPr="003924BD">
              <w:rPr>
                <w:rFonts w:ascii="Arial" w:hAnsi="Arial" w:cs="Arial"/>
                <w:b/>
                <w:sz w:val="20"/>
                <w:szCs w:val="20"/>
              </w:rPr>
              <w:t>C</w:t>
            </w:r>
            <w:r w:rsidRPr="003924BD">
              <w:rPr>
                <w:rFonts w:ascii="Arial" w:hAnsi="Arial" w:cs="Arial"/>
                <w:b/>
                <w:sz w:val="20"/>
                <w:szCs w:val="20"/>
                <w:vertAlign w:val="subscript"/>
              </w:rPr>
              <w:t>max</w:t>
            </w:r>
            <w:proofErr w:type="spellEnd"/>
          </w:p>
          <w:p w14:paraId="4E78DDBE"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3924BD">
              <w:rPr>
                <w:rFonts w:ascii="Arial" w:hAnsi="Arial" w:cs="Arial"/>
                <w:b/>
                <w:sz w:val="20"/>
                <w:szCs w:val="20"/>
              </w:rPr>
              <w:t>(ng/mL)</w:t>
            </w:r>
          </w:p>
        </w:tc>
        <w:tc>
          <w:tcPr>
            <w:tcW w:w="795" w:type="pct"/>
          </w:tcPr>
          <w:p w14:paraId="0DDF92E0"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roofErr w:type="spellStart"/>
            <w:r w:rsidRPr="003924BD">
              <w:rPr>
                <w:rFonts w:ascii="Arial" w:hAnsi="Arial" w:cs="Arial"/>
                <w:b/>
                <w:bCs/>
                <w:sz w:val="20"/>
                <w:szCs w:val="20"/>
              </w:rPr>
              <w:t>AUC</w:t>
            </w:r>
            <w:r w:rsidRPr="003924BD">
              <w:rPr>
                <w:rFonts w:ascii="Arial" w:hAnsi="Arial" w:cs="Arial"/>
                <w:b/>
                <w:bCs/>
                <w:sz w:val="20"/>
                <w:szCs w:val="20"/>
                <w:vertAlign w:val="subscript"/>
              </w:rPr>
              <w:t>τ</w:t>
            </w:r>
            <w:proofErr w:type="spellEnd"/>
            <w:r w:rsidRPr="003924BD">
              <w:rPr>
                <w:rFonts w:ascii="Arial" w:hAnsi="Arial" w:cs="Arial"/>
                <w:b/>
                <w:sz w:val="20"/>
                <w:szCs w:val="20"/>
              </w:rPr>
              <w:t xml:space="preserve"> (</w:t>
            </w:r>
            <w:proofErr w:type="spellStart"/>
            <w:r w:rsidRPr="003924BD">
              <w:rPr>
                <w:rFonts w:ascii="Arial" w:hAnsi="Arial" w:cs="Arial"/>
                <w:b/>
                <w:sz w:val="20"/>
                <w:szCs w:val="20"/>
              </w:rPr>
              <w:t>ng.h</w:t>
            </w:r>
            <w:proofErr w:type="spellEnd"/>
            <w:r w:rsidRPr="003924BD">
              <w:rPr>
                <w:rFonts w:ascii="Arial" w:hAnsi="Arial" w:cs="Arial"/>
                <w:b/>
                <w:sz w:val="20"/>
                <w:szCs w:val="20"/>
              </w:rPr>
              <w:t>/mL)</w:t>
            </w:r>
          </w:p>
        </w:tc>
        <w:tc>
          <w:tcPr>
            <w:tcW w:w="795" w:type="pct"/>
          </w:tcPr>
          <w:p w14:paraId="55124E7A"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vertAlign w:val="subscript"/>
              </w:rPr>
            </w:pPr>
            <w:proofErr w:type="spellStart"/>
            <w:r w:rsidRPr="003924BD">
              <w:rPr>
                <w:rFonts w:ascii="Arial" w:hAnsi="Arial" w:cs="Arial"/>
                <w:b/>
                <w:sz w:val="20"/>
                <w:szCs w:val="20"/>
              </w:rPr>
              <w:t>C</w:t>
            </w:r>
            <w:r w:rsidRPr="003924BD">
              <w:rPr>
                <w:rFonts w:ascii="Arial" w:hAnsi="Arial" w:cs="Arial"/>
                <w:b/>
                <w:sz w:val="20"/>
                <w:szCs w:val="20"/>
                <w:vertAlign w:val="subscript"/>
              </w:rPr>
              <w:t>max</w:t>
            </w:r>
            <w:proofErr w:type="spellEnd"/>
          </w:p>
          <w:p w14:paraId="3A597384"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3924BD">
              <w:rPr>
                <w:rFonts w:ascii="Arial" w:hAnsi="Arial" w:cs="Arial"/>
                <w:b/>
                <w:sz w:val="20"/>
                <w:szCs w:val="20"/>
              </w:rPr>
              <w:t>(ng/mL)</w:t>
            </w:r>
          </w:p>
        </w:tc>
      </w:tr>
      <w:tr w:rsidR="003924BD" w:rsidRPr="003924BD" w14:paraId="3DA86EF1" w14:textId="77777777" w:rsidTr="007E39A1">
        <w:tc>
          <w:tcPr>
            <w:cnfStyle w:val="001000000000" w:firstRow="0" w:lastRow="0" w:firstColumn="1" w:lastColumn="0" w:oddVBand="0" w:evenVBand="0" w:oddHBand="0" w:evenHBand="0" w:firstRowFirstColumn="0" w:firstRowLastColumn="0" w:lastRowFirstColumn="0" w:lastRowLastColumn="0"/>
            <w:tcW w:w="1821" w:type="pct"/>
            <w:tcBorders>
              <w:top w:val="single" w:sz="4" w:space="0" w:color="auto"/>
            </w:tcBorders>
          </w:tcPr>
          <w:p w14:paraId="725384D7" w14:textId="77777777" w:rsidR="003924BD" w:rsidRPr="003924BD" w:rsidRDefault="003924BD" w:rsidP="003924BD">
            <w:pPr>
              <w:spacing w:after="0" w:line="240" w:lineRule="auto"/>
              <w:rPr>
                <w:rFonts w:ascii="Arial" w:hAnsi="Arial" w:cs="Arial"/>
                <w:b w:val="0"/>
                <w:sz w:val="20"/>
                <w:szCs w:val="20"/>
              </w:rPr>
            </w:pPr>
            <w:r w:rsidRPr="003924BD">
              <w:rPr>
                <w:rFonts w:ascii="Arial" w:hAnsi="Arial" w:cs="Arial"/>
                <w:b w:val="0"/>
                <w:sz w:val="20"/>
                <w:szCs w:val="20"/>
              </w:rPr>
              <w:t xml:space="preserve">Mean </w:t>
            </w:r>
          </w:p>
        </w:tc>
        <w:tc>
          <w:tcPr>
            <w:tcW w:w="794" w:type="pct"/>
          </w:tcPr>
          <w:p w14:paraId="091C2FD5" w14:textId="77777777" w:rsidR="003924BD" w:rsidRPr="003924BD" w:rsidRDefault="003924BD" w:rsidP="003924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924BD">
              <w:rPr>
                <w:rFonts w:ascii="Arial" w:hAnsi="Arial" w:cs="Arial"/>
                <w:sz w:val="20"/>
                <w:szCs w:val="20"/>
              </w:rPr>
              <w:t>9917</w:t>
            </w:r>
          </w:p>
        </w:tc>
        <w:tc>
          <w:tcPr>
            <w:tcW w:w="795" w:type="pct"/>
          </w:tcPr>
          <w:p w14:paraId="1963BE72" w14:textId="77777777" w:rsidR="003924BD" w:rsidRPr="003924BD" w:rsidRDefault="003924BD" w:rsidP="003924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924BD">
              <w:rPr>
                <w:rFonts w:ascii="Arial" w:hAnsi="Arial" w:cs="Arial"/>
                <w:sz w:val="20"/>
                <w:szCs w:val="20"/>
              </w:rPr>
              <w:t>655</w:t>
            </w:r>
          </w:p>
        </w:tc>
        <w:tc>
          <w:tcPr>
            <w:tcW w:w="795" w:type="pct"/>
          </w:tcPr>
          <w:p w14:paraId="228DDA81" w14:textId="77777777" w:rsidR="003924BD" w:rsidRPr="003924BD" w:rsidRDefault="003924BD" w:rsidP="003924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924BD">
              <w:rPr>
                <w:rFonts w:ascii="Arial" w:hAnsi="Arial" w:cs="Arial"/>
                <w:sz w:val="20"/>
                <w:szCs w:val="20"/>
              </w:rPr>
              <w:t>12845</w:t>
            </w:r>
          </w:p>
        </w:tc>
        <w:tc>
          <w:tcPr>
            <w:tcW w:w="795" w:type="pct"/>
          </w:tcPr>
          <w:p w14:paraId="37045E75" w14:textId="77777777" w:rsidR="003924BD" w:rsidRPr="003924BD" w:rsidRDefault="003924BD" w:rsidP="003924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924BD">
              <w:rPr>
                <w:rFonts w:ascii="Arial" w:hAnsi="Arial" w:cs="Arial"/>
                <w:sz w:val="20"/>
                <w:szCs w:val="20"/>
              </w:rPr>
              <w:t>958</w:t>
            </w:r>
          </w:p>
        </w:tc>
      </w:tr>
      <w:tr w:rsidR="003924BD" w:rsidRPr="003924BD" w14:paraId="57BE6110" w14:textId="77777777" w:rsidTr="007E39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1" w:type="pct"/>
          </w:tcPr>
          <w:p w14:paraId="01B4F57C" w14:textId="77777777" w:rsidR="003924BD" w:rsidRPr="003924BD" w:rsidRDefault="003924BD" w:rsidP="003924BD">
            <w:pPr>
              <w:spacing w:after="0" w:line="240" w:lineRule="auto"/>
              <w:rPr>
                <w:rFonts w:ascii="Arial" w:hAnsi="Arial" w:cs="Arial"/>
                <w:b w:val="0"/>
                <w:sz w:val="20"/>
                <w:szCs w:val="20"/>
              </w:rPr>
            </w:pPr>
            <w:r w:rsidRPr="003924BD">
              <w:rPr>
                <w:rFonts w:ascii="Arial" w:hAnsi="Arial" w:cs="Arial"/>
                <w:b w:val="0"/>
                <w:sz w:val="20"/>
                <w:szCs w:val="20"/>
              </w:rPr>
              <w:t xml:space="preserve">CV (%) </w:t>
            </w:r>
          </w:p>
        </w:tc>
        <w:tc>
          <w:tcPr>
            <w:tcW w:w="794" w:type="pct"/>
          </w:tcPr>
          <w:p w14:paraId="163A5909"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924BD">
              <w:rPr>
                <w:rFonts w:ascii="Arial" w:hAnsi="Arial" w:cs="Arial"/>
                <w:sz w:val="20"/>
                <w:szCs w:val="20"/>
              </w:rPr>
              <w:t>37</w:t>
            </w:r>
          </w:p>
        </w:tc>
        <w:tc>
          <w:tcPr>
            <w:tcW w:w="795" w:type="pct"/>
          </w:tcPr>
          <w:p w14:paraId="57767095"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924BD">
              <w:rPr>
                <w:rFonts w:ascii="Arial" w:hAnsi="Arial" w:cs="Arial"/>
                <w:sz w:val="20"/>
                <w:szCs w:val="20"/>
              </w:rPr>
              <w:t>31</w:t>
            </w:r>
          </w:p>
        </w:tc>
        <w:tc>
          <w:tcPr>
            <w:tcW w:w="795" w:type="pct"/>
          </w:tcPr>
          <w:p w14:paraId="75C9EB74"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924BD">
              <w:rPr>
                <w:rFonts w:ascii="Arial" w:hAnsi="Arial" w:cs="Arial"/>
                <w:sz w:val="20"/>
                <w:szCs w:val="20"/>
              </w:rPr>
              <w:t>29</w:t>
            </w:r>
          </w:p>
        </w:tc>
        <w:tc>
          <w:tcPr>
            <w:tcW w:w="795" w:type="pct"/>
          </w:tcPr>
          <w:p w14:paraId="5E5AAD7C"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924BD">
              <w:rPr>
                <w:rFonts w:ascii="Arial" w:hAnsi="Arial" w:cs="Arial"/>
                <w:sz w:val="20"/>
                <w:szCs w:val="20"/>
              </w:rPr>
              <w:t>48</w:t>
            </w:r>
          </w:p>
        </w:tc>
      </w:tr>
      <w:tr w:rsidR="003924BD" w:rsidRPr="003924BD" w14:paraId="236E299C" w14:textId="77777777" w:rsidTr="007E39A1">
        <w:tc>
          <w:tcPr>
            <w:cnfStyle w:val="001000000000" w:firstRow="0" w:lastRow="0" w:firstColumn="1" w:lastColumn="0" w:oddVBand="0" w:evenVBand="0" w:oddHBand="0" w:evenHBand="0" w:firstRowFirstColumn="0" w:firstRowLastColumn="0" w:lastRowFirstColumn="0" w:lastRowLastColumn="0"/>
            <w:tcW w:w="1821" w:type="pct"/>
            <w:tcBorders>
              <w:bottom w:val="single" w:sz="4" w:space="0" w:color="7F7F7F" w:themeColor="text1" w:themeTint="80"/>
            </w:tcBorders>
          </w:tcPr>
          <w:p w14:paraId="3D9E75AF" w14:textId="77777777" w:rsidR="003924BD" w:rsidRPr="003924BD" w:rsidRDefault="003924BD" w:rsidP="003924BD">
            <w:pPr>
              <w:spacing w:after="0" w:line="240" w:lineRule="auto"/>
              <w:rPr>
                <w:rFonts w:ascii="Arial" w:hAnsi="Arial" w:cs="Arial"/>
                <w:b w:val="0"/>
                <w:sz w:val="20"/>
                <w:szCs w:val="20"/>
              </w:rPr>
            </w:pPr>
            <w:r w:rsidRPr="003924BD">
              <w:rPr>
                <w:rFonts w:ascii="Arial" w:hAnsi="Arial" w:cs="Arial"/>
                <w:b w:val="0"/>
                <w:sz w:val="20"/>
                <w:szCs w:val="20"/>
              </w:rPr>
              <w:t>Ratio of simulated/observed</w:t>
            </w:r>
          </w:p>
        </w:tc>
        <w:tc>
          <w:tcPr>
            <w:tcW w:w="794" w:type="pct"/>
            <w:tcBorders>
              <w:bottom w:val="single" w:sz="4" w:space="0" w:color="7F7F7F" w:themeColor="text1" w:themeTint="80"/>
            </w:tcBorders>
          </w:tcPr>
          <w:p w14:paraId="0315905F" w14:textId="77777777" w:rsidR="003924BD" w:rsidRPr="003924BD" w:rsidRDefault="003924BD" w:rsidP="003924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924BD">
              <w:rPr>
                <w:rFonts w:ascii="Arial" w:hAnsi="Arial" w:cs="Arial"/>
                <w:sz w:val="20"/>
                <w:szCs w:val="20"/>
              </w:rPr>
              <w:t>0.77</w:t>
            </w:r>
          </w:p>
        </w:tc>
        <w:tc>
          <w:tcPr>
            <w:tcW w:w="795" w:type="pct"/>
            <w:tcBorders>
              <w:bottom w:val="single" w:sz="4" w:space="0" w:color="7F7F7F" w:themeColor="text1" w:themeTint="80"/>
            </w:tcBorders>
          </w:tcPr>
          <w:p w14:paraId="6D503F29" w14:textId="77777777" w:rsidR="003924BD" w:rsidRPr="003924BD" w:rsidRDefault="003924BD" w:rsidP="003924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924BD">
              <w:rPr>
                <w:rFonts w:ascii="Arial" w:hAnsi="Arial" w:cs="Arial"/>
                <w:sz w:val="20"/>
                <w:szCs w:val="20"/>
              </w:rPr>
              <w:t>0.68</w:t>
            </w:r>
          </w:p>
        </w:tc>
        <w:tc>
          <w:tcPr>
            <w:tcW w:w="795" w:type="pct"/>
            <w:tcBorders>
              <w:bottom w:val="single" w:sz="4" w:space="0" w:color="7F7F7F" w:themeColor="text1" w:themeTint="80"/>
            </w:tcBorders>
          </w:tcPr>
          <w:p w14:paraId="3A940002" w14:textId="77777777" w:rsidR="003924BD" w:rsidRPr="003924BD" w:rsidRDefault="003924BD" w:rsidP="003924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p>
        </w:tc>
        <w:tc>
          <w:tcPr>
            <w:tcW w:w="795" w:type="pct"/>
            <w:tcBorders>
              <w:bottom w:val="single" w:sz="4" w:space="0" w:color="7F7F7F" w:themeColor="text1" w:themeTint="80"/>
            </w:tcBorders>
          </w:tcPr>
          <w:p w14:paraId="5AD11DB9" w14:textId="77777777" w:rsidR="003924BD" w:rsidRPr="003924BD" w:rsidRDefault="003924BD" w:rsidP="003924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p>
        </w:tc>
      </w:tr>
      <w:tr w:rsidR="003924BD" w:rsidRPr="003924BD" w14:paraId="40456160" w14:textId="77777777" w:rsidTr="007E39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1" w:type="pct"/>
            <w:tcBorders>
              <w:bottom w:val="single" w:sz="4" w:space="0" w:color="auto"/>
            </w:tcBorders>
          </w:tcPr>
          <w:p w14:paraId="543F129F" w14:textId="77777777" w:rsidR="003924BD" w:rsidRPr="003924BD" w:rsidRDefault="003924BD" w:rsidP="003924BD">
            <w:pPr>
              <w:spacing w:after="0" w:line="240" w:lineRule="auto"/>
              <w:rPr>
                <w:rFonts w:ascii="Arial" w:hAnsi="Arial" w:cs="Arial"/>
                <w:b w:val="0"/>
                <w:sz w:val="20"/>
                <w:szCs w:val="20"/>
              </w:rPr>
            </w:pPr>
            <w:r w:rsidRPr="003924BD">
              <w:rPr>
                <w:rFonts w:ascii="Arial" w:hAnsi="Arial" w:cs="Arial"/>
                <w:b w:val="0"/>
                <w:sz w:val="20"/>
                <w:szCs w:val="20"/>
              </w:rPr>
              <w:t>Success criteria for ratio of simulated/observed</w:t>
            </w:r>
          </w:p>
        </w:tc>
        <w:tc>
          <w:tcPr>
            <w:tcW w:w="794" w:type="pct"/>
            <w:tcBorders>
              <w:bottom w:val="single" w:sz="4" w:space="0" w:color="auto"/>
            </w:tcBorders>
          </w:tcPr>
          <w:p w14:paraId="12BA4C82"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924BD">
              <w:rPr>
                <w:rFonts w:ascii="Arial" w:hAnsi="Arial" w:cs="Arial"/>
                <w:sz w:val="20"/>
                <w:szCs w:val="20"/>
              </w:rPr>
              <w:t>0.61-1.65</w:t>
            </w:r>
          </w:p>
        </w:tc>
        <w:tc>
          <w:tcPr>
            <w:tcW w:w="795" w:type="pct"/>
            <w:tcBorders>
              <w:bottom w:val="single" w:sz="4" w:space="0" w:color="auto"/>
            </w:tcBorders>
          </w:tcPr>
          <w:p w14:paraId="1015DC8A"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924BD">
              <w:rPr>
                <w:rFonts w:ascii="Arial" w:hAnsi="Arial" w:cs="Arial"/>
                <w:sz w:val="20"/>
                <w:szCs w:val="20"/>
              </w:rPr>
              <w:t>0.45-2.20</w:t>
            </w:r>
          </w:p>
        </w:tc>
        <w:tc>
          <w:tcPr>
            <w:tcW w:w="795" w:type="pct"/>
            <w:tcBorders>
              <w:bottom w:val="single" w:sz="4" w:space="0" w:color="auto"/>
            </w:tcBorders>
          </w:tcPr>
          <w:p w14:paraId="31BA4E49"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c>
          <w:tcPr>
            <w:tcW w:w="795" w:type="pct"/>
            <w:tcBorders>
              <w:bottom w:val="single" w:sz="4" w:space="0" w:color="auto"/>
            </w:tcBorders>
          </w:tcPr>
          <w:p w14:paraId="535A0A2E"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r>
      <w:tr w:rsidR="003924BD" w:rsidRPr="003924BD" w14:paraId="5BDA1DDE" w14:textId="77777777" w:rsidTr="007E39A1">
        <w:trPr>
          <w:trHeight w:val="252"/>
        </w:trPr>
        <w:tc>
          <w:tcPr>
            <w:cnfStyle w:val="001000000000" w:firstRow="0" w:lastRow="0" w:firstColumn="1" w:lastColumn="0" w:oddVBand="0" w:evenVBand="0" w:oddHBand="0" w:evenHBand="0" w:firstRowFirstColumn="0" w:firstRowLastColumn="0" w:lastRowFirstColumn="0" w:lastRowLastColumn="0"/>
            <w:tcW w:w="1821" w:type="pct"/>
            <w:tcBorders>
              <w:top w:val="single" w:sz="4" w:space="0" w:color="auto"/>
              <w:bottom w:val="nil"/>
            </w:tcBorders>
          </w:tcPr>
          <w:p w14:paraId="40B57179" w14:textId="77777777" w:rsidR="003924BD" w:rsidRPr="003924BD" w:rsidRDefault="003924BD" w:rsidP="003924BD">
            <w:pPr>
              <w:spacing w:after="0" w:line="240" w:lineRule="auto"/>
              <w:rPr>
                <w:rFonts w:ascii="Arial" w:hAnsi="Arial" w:cs="Arial"/>
                <w:sz w:val="20"/>
                <w:szCs w:val="20"/>
              </w:rPr>
            </w:pPr>
          </w:p>
        </w:tc>
        <w:tc>
          <w:tcPr>
            <w:tcW w:w="1589" w:type="pct"/>
            <w:gridSpan w:val="2"/>
            <w:tcBorders>
              <w:top w:val="single" w:sz="4" w:space="0" w:color="auto"/>
            </w:tcBorders>
          </w:tcPr>
          <w:p w14:paraId="0BCF0162" w14:textId="77777777" w:rsidR="003924BD" w:rsidRPr="003924BD" w:rsidRDefault="003924BD" w:rsidP="003924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3924BD">
              <w:rPr>
                <w:rFonts w:ascii="Arial" w:hAnsi="Arial" w:cs="Arial"/>
                <w:b/>
                <w:sz w:val="20"/>
                <w:szCs w:val="20"/>
              </w:rPr>
              <w:t>Simulated (n=60)</w:t>
            </w:r>
          </w:p>
        </w:tc>
        <w:tc>
          <w:tcPr>
            <w:tcW w:w="1590" w:type="pct"/>
            <w:gridSpan w:val="2"/>
            <w:tcBorders>
              <w:top w:val="single" w:sz="4" w:space="0" w:color="auto"/>
            </w:tcBorders>
          </w:tcPr>
          <w:p w14:paraId="1F74B896" w14:textId="77777777" w:rsidR="003924BD" w:rsidRPr="003924BD" w:rsidRDefault="003924BD" w:rsidP="003924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3924BD">
              <w:rPr>
                <w:rFonts w:ascii="Arial" w:hAnsi="Arial" w:cs="Arial"/>
                <w:b/>
                <w:sz w:val="20"/>
                <w:szCs w:val="20"/>
              </w:rPr>
              <w:t xml:space="preserve">Observed (n=6) </w:t>
            </w:r>
          </w:p>
        </w:tc>
      </w:tr>
      <w:tr w:rsidR="003924BD" w:rsidRPr="003924BD" w14:paraId="28F60E84" w14:textId="77777777" w:rsidTr="007E39A1">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1821" w:type="pct"/>
            <w:tcBorders>
              <w:top w:val="nil"/>
              <w:bottom w:val="single" w:sz="4" w:space="0" w:color="auto"/>
            </w:tcBorders>
          </w:tcPr>
          <w:p w14:paraId="59B8C382" w14:textId="77777777" w:rsidR="003924BD" w:rsidRPr="003924BD" w:rsidRDefault="003924BD" w:rsidP="003924BD">
            <w:pPr>
              <w:spacing w:after="0" w:line="240" w:lineRule="auto"/>
              <w:rPr>
                <w:rFonts w:ascii="Arial" w:hAnsi="Arial" w:cs="Arial"/>
                <w:sz w:val="20"/>
                <w:szCs w:val="20"/>
              </w:rPr>
            </w:pPr>
          </w:p>
          <w:p w14:paraId="203147B7" w14:textId="77777777" w:rsidR="003924BD" w:rsidRPr="003924BD" w:rsidRDefault="003924BD" w:rsidP="003924BD">
            <w:pPr>
              <w:spacing w:after="0" w:line="240" w:lineRule="auto"/>
              <w:rPr>
                <w:rFonts w:ascii="Arial" w:hAnsi="Arial" w:cs="Arial"/>
                <w:b w:val="0"/>
                <w:bCs w:val="0"/>
                <w:sz w:val="20"/>
                <w:szCs w:val="20"/>
              </w:rPr>
            </w:pPr>
            <w:r w:rsidRPr="003924BD">
              <w:rPr>
                <w:rFonts w:ascii="Arial" w:hAnsi="Arial" w:cs="Arial"/>
                <w:sz w:val="20"/>
                <w:szCs w:val="20"/>
              </w:rPr>
              <w:t xml:space="preserve">Erlotinib 150 mg daily, multiple </w:t>
            </w:r>
            <w:proofErr w:type="gramStart"/>
            <w:r w:rsidRPr="003924BD">
              <w:rPr>
                <w:rFonts w:ascii="Arial" w:hAnsi="Arial" w:cs="Arial"/>
                <w:sz w:val="20"/>
                <w:szCs w:val="20"/>
              </w:rPr>
              <w:t>dose</w:t>
            </w:r>
            <w:proofErr w:type="gramEnd"/>
            <w:r w:rsidRPr="003924BD">
              <w:rPr>
                <w:rFonts w:ascii="Arial" w:hAnsi="Arial" w:cs="Arial"/>
                <w:sz w:val="20"/>
                <w:szCs w:val="20"/>
              </w:rPr>
              <w:t xml:space="preserve">, fasted </w:t>
            </w:r>
          </w:p>
          <w:p w14:paraId="1D990A21" w14:textId="086A1E1F" w:rsidR="003924BD" w:rsidRPr="003924BD" w:rsidRDefault="003924BD" w:rsidP="003924BD">
            <w:pPr>
              <w:spacing w:after="0" w:line="240" w:lineRule="auto"/>
              <w:rPr>
                <w:rFonts w:ascii="Arial" w:hAnsi="Arial" w:cs="Arial"/>
                <w:sz w:val="20"/>
                <w:szCs w:val="20"/>
              </w:rPr>
            </w:pPr>
            <w:r w:rsidRPr="003924BD">
              <w:rPr>
                <w:rFonts w:ascii="Arial" w:hAnsi="Arial" w:cs="Arial"/>
                <w:sz w:val="20"/>
                <w:szCs w:val="20"/>
              </w:rPr>
              <w:t>(Yamamoto et al., 2008)</w:t>
            </w:r>
            <w:r w:rsidR="007018EF">
              <w:rPr>
                <w:rFonts w:ascii="Arial" w:hAnsi="Arial" w:cs="Arial"/>
                <w:sz w:val="20"/>
                <w:szCs w:val="20"/>
              </w:rPr>
              <w:fldChar w:fldCharType="begin" w:fldLock="1"/>
            </w:r>
            <w:r w:rsidR="007018EF">
              <w:rPr>
                <w:rFonts w:ascii="Arial" w:hAnsi="Arial" w:cs="Arial"/>
                <w:sz w:val="20"/>
                <w:szCs w:val="20"/>
              </w:rPr>
              <w:instrText>ADDIN CSL_CITATION {"citationItems":[{"id":"ITEM-1","itemData":{"DOI":"10.1007/s00280-007-0494-8","abstract":"Purpose The objectives of this phase I dose-Wnding study of erlotinib were to investigate the toxicity proWle, to con-Wrm the acceptable toxicity of doses up to 150 mg/day, and to assess the pharmacokinetic (PK) proWle and antitumor activity in Japanese patients with solid tumors. Patients and methods Patients with solid tumors not amenable to standard forms of treatment were included. Treatment cycle 1 consisted of single-dose administration on day 1, withdrawal on day 2, continuous daily administration from days 3-23, and withdrawal from days 24-30. Subsequent cycles (28 days) used continuous daily administration. The dose of erlotinib was escalated from 50 mg/day to 150 mg/day in 50-mg increments. PK evaluation was performed in all patients during cycle 1. Results Fifteen patients, aged 38-70 (median; 57) years with non-small-cell lung (n = 11), colorectal (n = 3) or head and neck (n = 1) cancer were enrolled. The major toxicities were rash, diarrhea and liver dysfunctions, which were generally mild and easily manageable. The good tolerability of erlotinib up to the dose of 150 mg/day was conWrmed. One patient developed grade 5 treatment-related interstitial pneumonitis. Four of 11 evaluable patients achieved partial responses; all four had non-small-cell lung cancer (NSCLC). The peak plasma concentration of erlotinib, and the area under the concentration-time curve increased proportionally to the dose, suggesting linear PK. Conclusion The recommended dose of erlotinib in Japa-nese patients is 150 mg/day. Further trials in Japanese NSCLC patients are warranted.","author":[{"dropping-particle":"","family":"Yamamoto","given":"Noboru","non-dropping-particle":"","parse-names":false,"suffix":""},{"dropping-particle":"","family":"Horiike","given":"Atsushi","non-dropping-particle":"","parse-names":false,"suffix":""},{"dropping-particle":"","family":"Fujisaka","given":"Yasuhito","non-dropping-particle":"","parse-names":false,"suffix":""},{"dropping-particle":"","family":"Murakami","given":"Haruyasu","non-dropping-particle":"","parse-names":false,"suffix":""},{"dropping-particle":"","family":"Shimoyama","given":"Tatsu","non-dropping-particle":"","parse-names":false,"suffix":""},{"dropping-particle":"","family":"Yamada","given":"Yasuhide","non-dropping-particle":"","parse-names":false,"suffix":""},{"dropping-particle":"","family":"Tamura","given":"Tomohide","non-dropping-particle":"","parse-names":false,"suffix":""}],"container-title":"Cancer Chemother Pharmacol","id":"ITEM-1","issued":{"date-parts":[["2008"]]},"page":"489-496","title":"Phase I dose-finding and pharmacokinetic study of the oral epidermal growth factor receptor tyrosine kinase inhibitor Ro50-8231 (erlotinib) in Japanese patients with solid tumors","type":"article-journal","volume":"61"},"uris":["http://www.mendeley.com/documents/?uuid=9456dd1d-aa65-3df1-a03c-e73f8486a8fe"]}],"mendeley":{"formattedCitation":"&lt;sup&gt;2&lt;/sup&gt;","plainTextFormattedCitation":"2","previouslyFormattedCitation":"&lt;sup&gt;2&lt;/sup&gt;"},"properties":{"noteIndex":0},"schema":"https://github.com/citation-style-language/schema/raw/master/csl-citation.json"}</w:instrText>
            </w:r>
            <w:r w:rsidR="007018EF">
              <w:rPr>
                <w:rFonts w:ascii="Arial" w:hAnsi="Arial" w:cs="Arial"/>
                <w:sz w:val="20"/>
                <w:szCs w:val="20"/>
              </w:rPr>
              <w:fldChar w:fldCharType="separate"/>
            </w:r>
            <w:r w:rsidR="007018EF" w:rsidRPr="007018EF">
              <w:rPr>
                <w:rFonts w:ascii="Arial" w:hAnsi="Arial" w:cs="Arial"/>
                <w:b w:val="0"/>
                <w:noProof/>
                <w:sz w:val="20"/>
                <w:szCs w:val="20"/>
                <w:vertAlign w:val="superscript"/>
              </w:rPr>
              <w:t>2</w:t>
            </w:r>
            <w:r w:rsidR="007018EF">
              <w:rPr>
                <w:rFonts w:ascii="Arial" w:hAnsi="Arial" w:cs="Arial"/>
                <w:sz w:val="20"/>
                <w:szCs w:val="20"/>
              </w:rPr>
              <w:fldChar w:fldCharType="end"/>
            </w:r>
            <w:r w:rsidR="00B04FB4" w:rsidRPr="003924BD">
              <w:rPr>
                <w:rFonts w:ascii="Arial" w:hAnsi="Arial" w:cs="Arial"/>
                <w:sz w:val="20"/>
                <w:szCs w:val="20"/>
              </w:rPr>
              <w:t xml:space="preserve"> </w:t>
            </w:r>
          </w:p>
        </w:tc>
        <w:tc>
          <w:tcPr>
            <w:tcW w:w="794" w:type="pct"/>
          </w:tcPr>
          <w:p w14:paraId="132654E1"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roofErr w:type="spellStart"/>
            <w:r w:rsidRPr="003924BD">
              <w:rPr>
                <w:rFonts w:ascii="Arial" w:hAnsi="Arial" w:cs="Arial"/>
                <w:b/>
                <w:bCs/>
                <w:sz w:val="20"/>
                <w:szCs w:val="20"/>
              </w:rPr>
              <w:t>AUC</w:t>
            </w:r>
            <w:r w:rsidRPr="003924BD">
              <w:rPr>
                <w:rFonts w:ascii="Arial" w:hAnsi="Arial" w:cs="Arial"/>
                <w:b/>
                <w:bCs/>
                <w:sz w:val="20"/>
                <w:szCs w:val="20"/>
                <w:vertAlign w:val="subscript"/>
              </w:rPr>
              <w:t>τ</w:t>
            </w:r>
            <w:proofErr w:type="spellEnd"/>
            <w:r w:rsidRPr="003924BD">
              <w:rPr>
                <w:rFonts w:ascii="Arial" w:hAnsi="Arial" w:cs="Arial"/>
                <w:b/>
                <w:sz w:val="20"/>
                <w:szCs w:val="20"/>
              </w:rPr>
              <w:t xml:space="preserve"> (</w:t>
            </w:r>
            <w:proofErr w:type="spellStart"/>
            <w:r w:rsidRPr="003924BD">
              <w:rPr>
                <w:rFonts w:ascii="Arial" w:hAnsi="Arial" w:cs="Arial"/>
                <w:b/>
                <w:sz w:val="20"/>
                <w:szCs w:val="20"/>
              </w:rPr>
              <w:t>ng.h</w:t>
            </w:r>
            <w:proofErr w:type="spellEnd"/>
            <w:r w:rsidRPr="003924BD">
              <w:rPr>
                <w:rFonts w:ascii="Arial" w:hAnsi="Arial" w:cs="Arial"/>
                <w:b/>
                <w:sz w:val="20"/>
                <w:szCs w:val="20"/>
              </w:rPr>
              <w:t>/mL)</w:t>
            </w:r>
          </w:p>
        </w:tc>
        <w:tc>
          <w:tcPr>
            <w:tcW w:w="795" w:type="pct"/>
          </w:tcPr>
          <w:p w14:paraId="4092FAC1"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vertAlign w:val="subscript"/>
              </w:rPr>
            </w:pPr>
            <w:proofErr w:type="spellStart"/>
            <w:r w:rsidRPr="003924BD">
              <w:rPr>
                <w:rFonts w:ascii="Arial" w:hAnsi="Arial" w:cs="Arial"/>
                <w:b/>
                <w:sz w:val="20"/>
                <w:szCs w:val="20"/>
              </w:rPr>
              <w:t>C</w:t>
            </w:r>
            <w:r w:rsidRPr="003924BD">
              <w:rPr>
                <w:rFonts w:ascii="Arial" w:hAnsi="Arial" w:cs="Arial"/>
                <w:b/>
                <w:sz w:val="20"/>
                <w:szCs w:val="20"/>
                <w:vertAlign w:val="subscript"/>
              </w:rPr>
              <w:t>max</w:t>
            </w:r>
            <w:proofErr w:type="spellEnd"/>
          </w:p>
          <w:p w14:paraId="61AA8EBC"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3924BD">
              <w:rPr>
                <w:rFonts w:ascii="Arial" w:hAnsi="Arial" w:cs="Arial"/>
                <w:b/>
                <w:sz w:val="20"/>
                <w:szCs w:val="20"/>
              </w:rPr>
              <w:t>(ng/mL)</w:t>
            </w:r>
          </w:p>
        </w:tc>
        <w:tc>
          <w:tcPr>
            <w:tcW w:w="795" w:type="pct"/>
          </w:tcPr>
          <w:p w14:paraId="6732AD38"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roofErr w:type="spellStart"/>
            <w:r w:rsidRPr="003924BD">
              <w:rPr>
                <w:rFonts w:ascii="Arial" w:hAnsi="Arial" w:cs="Arial"/>
                <w:b/>
                <w:bCs/>
                <w:sz w:val="20"/>
                <w:szCs w:val="20"/>
              </w:rPr>
              <w:t>AUC</w:t>
            </w:r>
            <w:r w:rsidRPr="003924BD">
              <w:rPr>
                <w:rFonts w:ascii="Arial" w:hAnsi="Arial" w:cs="Arial"/>
                <w:b/>
                <w:bCs/>
                <w:sz w:val="20"/>
                <w:szCs w:val="20"/>
                <w:vertAlign w:val="subscript"/>
              </w:rPr>
              <w:t>τ</w:t>
            </w:r>
            <w:proofErr w:type="spellEnd"/>
            <w:r w:rsidRPr="003924BD">
              <w:rPr>
                <w:rFonts w:ascii="Arial" w:hAnsi="Arial" w:cs="Arial"/>
                <w:b/>
                <w:sz w:val="20"/>
                <w:szCs w:val="20"/>
              </w:rPr>
              <w:t xml:space="preserve"> (</w:t>
            </w:r>
            <w:proofErr w:type="spellStart"/>
            <w:r w:rsidRPr="003924BD">
              <w:rPr>
                <w:rFonts w:ascii="Arial" w:hAnsi="Arial" w:cs="Arial"/>
                <w:b/>
                <w:sz w:val="20"/>
                <w:szCs w:val="20"/>
              </w:rPr>
              <w:t>ng.h</w:t>
            </w:r>
            <w:proofErr w:type="spellEnd"/>
            <w:r w:rsidRPr="003924BD">
              <w:rPr>
                <w:rFonts w:ascii="Arial" w:hAnsi="Arial" w:cs="Arial"/>
                <w:b/>
                <w:sz w:val="20"/>
                <w:szCs w:val="20"/>
              </w:rPr>
              <w:t>/mL)</w:t>
            </w:r>
          </w:p>
        </w:tc>
        <w:tc>
          <w:tcPr>
            <w:tcW w:w="795" w:type="pct"/>
          </w:tcPr>
          <w:p w14:paraId="1E2C1EE7"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vertAlign w:val="subscript"/>
              </w:rPr>
            </w:pPr>
            <w:proofErr w:type="spellStart"/>
            <w:r w:rsidRPr="003924BD">
              <w:rPr>
                <w:rFonts w:ascii="Arial" w:hAnsi="Arial" w:cs="Arial"/>
                <w:b/>
                <w:sz w:val="20"/>
                <w:szCs w:val="20"/>
              </w:rPr>
              <w:t>C</w:t>
            </w:r>
            <w:r w:rsidRPr="003924BD">
              <w:rPr>
                <w:rFonts w:ascii="Arial" w:hAnsi="Arial" w:cs="Arial"/>
                <w:b/>
                <w:sz w:val="20"/>
                <w:szCs w:val="20"/>
                <w:vertAlign w:val="subscript"/>
              </w:rPr>
              <w:t>max</w:t>
            </w:r>
            <w:proofErr w:type="spellEnd"/>
          </w:p>
          <w:p w14:paraId="1DAA4A6E"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3924BD">
              <w:rPr>
                <w:rFonts w:ascii="Arial" w:hAnsi="Arial" w:cs="Arial"/>
                <w:b/>
                <w:sz w:val="20"/>
                <w:szCs w:val="20"/>
              </w:rPr>
              <w:t>(ng/mL)</w:t>
            </w:r>
          </w:p>
        </w:tc>
      </w:tr>
      <w:tr w:rsidR="003924BD" w:rsidRPr="003924BD" w14:paraId="67805289" w14:textId="77777777" w:rsidTr="007E39A1">
        <w:tc>
          <w:tcPr>
            <w:cnfStyle w:val="001000000000" w:firstRow="0" w:lastRow="0" w:firstColumn="1" w:lastColumn="0" w:oddVBand="0" w:evenVBand="0" w:oddHBand="0" w:evenHBand="0" w:firstRowFirstColumn="0" w:firstRowLastColumn="0" w:lastRowFirstColumn="0" w:lastRowLastColumn="0"/>
            <w:tcW w:w="1821" w:type="pct"/>
            <w:tcBorders>
              <w:top w:val="single" w:sz="4" w:space="0" w:color="auto"/>
            </w:tcBorders>
          </w:tcPr>
          <w:p w14:paraId="0297AC68" w14:textId="77777777" w:rsidR="003924BD" w:rsidRPr="003924BD" w:rsidRDefault="003924BD" w:rsidP="003924BD">
            <w:pPr>
              <w:spacing w:after="0" w:line="240" w:lineRule="auto"/>
              <w:rPr>
                <w:rFonts w:ascii="Arial" w:hAnsi="Arial" w:cs="Arial"/>
                <w:b w:val="0"/>
                <w:sz w:val="20"/>
                <w:szCs w:val="20"/>
              </w:rPr>
            </w:pPr>
            <w:r w:rsidRPr="003924BD">
              <w:rPr>
                <w:rFonts w:ascii="Arial" w:hAnsi="Arial" w:cs="Arial"/>
                <w:b w:val="0"/>
                <w:sz w:val="20"/>
                <w:szCs w:val="20"/>
              </w:rPr>
              <w:t xml:space="preserve">Mean </w:t>
            </w:r>
          </w:p>
        </w:tc>
        <w:tc>
          <w:tcPr>
            <w:tcW w:w="794" w:type="pct"/>
          </w:tcPr>
          <w:p w14:paraId="0FBDCC14" w14:textId="77777777" w:rsidR="003924BD" w:rsidRPr="003924BD" w:rsidRDefault="003924BD" w:rsidP="003924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924BD">
              <w:rPr>
                <w:rFonts w:ascii="Arial" w:hAnsi="Arial" w:cs="Arial"/>
                <w:sz w:val="20"/>
                <w:szCs w:val="20"/>
              </w:rPr>
              <w:t>50968</w:t>
            </w:r>
          </w:p>
        </w:tc>
        <w:tc>
          <w:tcPr>
            <w:tcW w:w="795" w:type="pct"/>
          </w:tcPr>
          <w:p w14:paraId="7F4ADAE1" w14:textId="77777777" w:rsidR="003924BD" w:rsidRPr="003924BD" w:rsidRDefault="003924BD" w:rsidP="003924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924BD">
              <w:rPr>
                <w:rFonts w:ascii="Arial" w:hAnsi="Arial" w:cs="Arial"/>
                <w:sz w:val="20"/>
                <w:szCs w:val="20"/>
              </w:rPr>
              <w:t>2511</w:t>
            </w:r>
          </w:p>
        </w:tc>
        <w:tc>
          <w:tcPr>
            <w:tcW w:w="795" w:type="pct"/>
          </w:tcPr>
          <w:p w14:paraId="75BBE2BF" w14:textId="77777777" w:rsidR="003924BD" w:rsidRPr="003924BD" w:rsidRDefault="003924BD" w:rsidP="003924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924BD">
              <w:rPr>
                <w:rFonts w:ascii="Arial" w:hAnsi="Arial" w:cs="Arial"/>
                <w:sz w:val="20"/>
                <w:szCs w:val="20"/>
              </w:rPr>
              <w:t>42769</w:t>
            </w:r>
          </w:p>
        </w:tc>
        <w:tc>
          <w:tcPr>
            <w:tcW w:w="795" w:type="pct"/>
          </w:tcPr>
          <w:p w14:paraId="43F6A0B7" w14:textId="77777777" w:rsidR="003924BD" w:rsidRPr="003924BD" w:rsidRDefault="003924BD" w:rsidP="003924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924BD">
              <w:rPr>
                <w:rFonts w:ascii="Arial" w:hAnsi="Arial" w:cs="Arial"/>
                <w:sz w:val="20"/>
                <w:szCs w:val="20"/>
              </w:rPr>
              <w:t>2384</w:t>
            </w:r>
          </w:p>
        </w:tc>
      </w:tr>
      <w:tr w:rsidR="003924BD" w:rsidRPr="003924BD" w14:paraId="2DB65D59" w14:textId="77777777" w:rsidTr="007E39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1" w:type="pct"/>
          </w:tcPr>
          <w:p w14:paraId="40EB4B9A" w14:textId="77777777" w:rsidR="003924BD" w:rsidRPr="003924BD" w:rsidRDefault="003924BD" w:rsidP="003924BD">
            <w:pPr>
              <w:spacing w:after="0" w:line="240" w:lineRule="auto"/>
              <w:rPr>
                <w:rFonts w:ascii="Arial" w:hAnsi="Arial" w:cs="Arial"/>
                <w:b w:val="0"/>
                <w:sz w:val="20"/>
                <w:szCs w:val="20"/>
              </w:rPr>
            </w:pPr>
            <w:r w:rsidRPr="003924BD">
              <w:rPr>
                <w:rFonts w:ascii="Arial" w:hAnsi="Arial" w:cs="Arial"/>
                <w:b w:val="0"/>
                <w:sz w:val="20"/>
                <w:szCs w:val="20"/>
              </w:rPr>
              <w:t xml:space="preserve">CV (%) </w:t>
            </w:r>
          </w:p>
        </w:tc>
        <w:tc>
          <w:tcPr>
            <w:tcW w:w="794" w:type="pct"/>
          </w:tcPr>
          <w:p w14:paraId="1DC03A20"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924BD">
              <w:rPr>
                <w:rFonts w:ascii="Arial" w:hAnsi="Arial" w:cs="Arial"/>
                <w:sz w:val="20"/>
                <w:szCs w:val="20"/>
              </w:rPr>
              <w:t>68</w:t>
            </w:r>
          </w:p>
        </w:tc>
        <w:tc>
          <w:tcPr>
            <w:tcW w:w="795" w:type="pct"/>
          </w:tcPr>
          <w:p w14:paraId="728295AB"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924BD">
              <w:rPr>
                <w:rFonts w:ascii="Arial" w:hAnsi="Arial" w:cs="Arial"/>
                <w:sz w:val="20"/>
                <w:szCs w:val="20"/>
              </w:rPr>
              <w:t>59</w:t>
            </w:r>
          </w:p>
        </w:tc>
        <w:tc>
          <w:tcPr>
            <w:tcW w:w="795" w:type="pct"/>
          </w:tcPr>
          <w:p w14:paraId="16B4BC3B"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924BD">
              <w:rPr>
                <w:rFonts w:ascii="Arial" w:hAnsi="Arial" w:cs="Arial"/>
                <w:sz w:val="20"/>
                <w:szCs w:val="20"/>
              </w:rPr>
              <w:t>48</w:t>
            </w:r>
          </w:p>
        </w:tc>
        <w:tc>
          <w:tcPr>
            <w:tcW w:w="795" w:type="pct"/>
          </w:tcPr>
          <w:p w14:paraId="2EA5E7B2"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924BD">
              <w:rPr>
                <w:rFonts w:ascii="Arial" w:hAnsi="Arial" w:cs="Arial"/>
                <w:sz w:val="20"/>
                <w:szCs w:val="20"/>
              </w:rPr>
              <w:t>39</w:t>
            </w:r>
          </w:p>
        </w:tc>
      </w:tr>
      <w:tr w:rsidR="003924BD" w:rsidRPr="003924BD" w14:paraId="4E14045E" w14:textId="77777777" w:rsidTr="007E39A1">
        <w:tc>
          <w:tcPr>
            <w:cnfStyle w:val="001000000000" w:firstRow="0" w:lastRow="0" w:firstColumn="1" w:lastColumn="0" w:oddVBand="0" w:evenVBand="0" w:oddHBand="0" w:evenHBand="0" w:firstRowFirstColumn="0" w:firstRowLastColumn="0" w:lastRowFirstColumn="0" w:lastRowLastColumn="0"/>
            <w:tcW w:w="1821" w:type="pct"/>
            <w:tcBorders>
              <w:bottom w:val="single" w:sz="4" w:space="0" w:color="7F7F7F" w:themeColor="text1" w:themeTint="80"/>
            </w:tcBorders>
          </w:tcPr>
          <w:p w14:paraId="4827F653" w14:textId="77777777" w:rsidR="003924BD" w:rsidRPr="003924BD" w:rsidRDefault="003924BD" w:rsidP="003924BD">
            <w:pPr>
              <w:spacing w:after="0" w:line="240" w:lineRule="auto"/>
              <w:rPr>
                <w:rFonts w:ascii="Arial" w:hAnsi="Arial" w:cs="Arial"/>
                <w:b w:val="0"/>
                <w:sz w:val="20"/>
                <w:szCs w:val="20"/>
              </w:rPr>
            </w:pPr>
            <w:r w:rsidRPr="003924BD">
              <w:rPr>
                <w:rFonts w:ascii="Arial" w:hAnsi="Arial" w:cs="Arial"/>
                <w:b w:val="0"/>
                <w:sz w:val="20"/>
                <w:szCs w:val="20"/>
              </w:rPr>
              <w:t>Ratio of simulated/observed</w:t>
            </w:r>
          </w:p>
        </w:tc>
        <w:tc>
          <w:tcPr>
            <w:tcW w:w="794" w:type="pct"/>
            <w:tcBorders>
              <w:bottom w:val="single" w:sz="4" w:space="0" w:color="7F7F7F" w:themeColor="text1" w:themeTint="80"/>
            </w:tcBorders>
          </w:tcPr>
          <w:p w14:paraId="4021A392" w14:textId="77777777" w:rsidR="003924BD" w:rsidRPr="003924BD" w:rsidRDefault="003924BD" w:rsidP="003924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924BD">
              <w:rPr>
                <w:rFonts w:ascii="Arial" w:hAnsi="Arial" w:cs="Arial"/>
                <w:sz w:val="20"/>
                <w:szCs w:val="20"/>
              </w:rPr>
              <w:t>1.19</w:t>
            </w:r>
          </w:p>
        </w:tc>
        <w:tc>
          <w:tcPr>
            <w:tcW w:w="795" w:type="pct"/>
            <w:tcBorders>
              <w:bottom w:val="single" w:sz="4" w:space="0" w:color="7F7F7F" w:themeColor="text1" w:themeTint="80"/>
            </w:tcBorders>
          </w:tcPr>
          <w:p w14:paraId="658CF493" w14:textId="77777777" w:rsidR="003924BD" w:rsidRPr="003924BD" w:rsidRDefault="003924BD" w:rsidP="003924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924BD">
              <w:rPr>
                <w:rFonts w:ascii="Arial" w:hAnsi="Arial" w:cs="Arial"/>
                <w:sz w:val="20"/>
                <w:szCs w:val="20"/>
              </w:rPr>
              <w:t>1.05</w:t>
            </w:r>
          </w:p>
        </w:tc>
        <w:tc>
          <w:tcPr>
            <w:tcW w:w="795" w:type="pct"/>
            <w:tcBorders>
              <w:bottom w:val="single" w:sz="4" w:space="0" w:color="7F7F7F" w:themeColor="text1" w:themeTint="80"/>
            </w:tcBorders>
          </w:tcPr>
          <w:p w14:paraId="6B8F91C1" w14:textId="77777777" w:rsidR="003924BD" w:rsidRPr="003924BD" w:rsidRDefault="003924BD" w:rsidP="003924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p>
        </w:tc>
        <w:tc>
          <w:tcPr>
            <w:tcW w:w="795" w:type="pct"/>
            <w:tcBorders>
              <w:bottom w:val="single" w:sz="4" w:space="0" w:color="7F7F7F" w:themeColor="text1" w:themeTint="80"/>
            </w:tcBorders>
          </w:tcPr>
          <w:p w14:paraId="7DD77798" w14:textId="77777777" w:rsidR="003924BD" w:rsidRPr="003924BD" w:rsidRDefault="003924BD" w:rsidP="003924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p>
        </w:tc>
      </w:tr>
      <w:tr w:rsidR="003924BD" w:rsidRPr="003924BD" w14:paraId="285CCBB7" w14:textId="77777777" w:rsidTr="007E39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1" w:type="pct"/>
            <w:tcBorders>
              <w:bottom w:val="single" w:sz="4" w:space="0" w:color="auto"/>
            </w:tcBorders>
          </w:tcPr>
          <w:p w14:paraId="70F8779E" w14:textId="77777777" w:rsidR="003924BD" w:rsidRPr="003924BD" w:rsidRDefault="003924BD" w:rsidP="003924BD">
            <w:pPr>
              <w:spacing w:after="0" w:line="240" w:lineRule="auto"/>
              <w:rPr>
                <w:rFonts w:ascii="Arial" w:hAnsi="Arial" w:cs="Arial"/>
                <w:b w:val="0"/>
                <w:sz w:val="20"/>
                <w:szCs w:val="20"/>
              </w:rPr>
            </w:pPr>
            <w:r w:rsidRPr="003924BD">
              <w:rPr>
                <w:rFonts w:ascii="Arial" w:hAnsi="Arial" w:cs="Arial"/>
                <w:b w:val="0"/>
                <w:sz w:val="20"/>
                <w:szCs w:val="20"/>
              </w:rPr>
              <w:t>Success criteria for ratio of simulated/observed</w:t>
            </w:r>
          </w:p>
        </w:tc>
        <w:tc>
          <w:tcPr>
            <w:tcW w:w="794" w:type="pct"/>
            <w:tcBorders>
              <w:bottom w:val="single" w:sz="4" w:space="0" w:color="auto"/>
            </w:tcBorders>
          </w:tcPr>
          <w:p w14:paraId="0711D0B4"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924BD">
              <w:rPr>
                <w:rFonts w:ascii="Arial" w:hAnsi="Arial" w:cs="Arial"/>
                <w:sz w:val="20"/>
                <w:szCs w:val="20"/>
              </w:rPr>
              <w:t>0.45-2.2</w:t>
            </w:r>
          </w:p>
        </w:tc>
        <w:tc>
          <w:tcPr>
            <w:tcW w:w="795" w:type="pct"/>
            <w:tcBorders>
              <w:bottom w:val="single" w:sz="4" w:space="0" w:color="auto"/>
            </w:tcBorders>
          </w:tcPr>
          <w:p w14:paraId="518036DF"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924BD">
              <w:rPr>
                <w:rFonts w:ascii="Arial" w:hAnsi="Arial" w:cs="Arial"/>
                <w:sz w:val="20"/>
                <w:szCs w:val="20"/>
              </w:rPr>
              <w:t>0.52-1.93</w:t>
            </w:r>
          </w:p>
        </w:tc>
        <w:tc>
          <w:tcPr>
            <w:tcW w:w="795" w:type="pct"/>
            <w:tcBorders>
              <w:bottom w:val="single" w:sz="4" w:space="0" w:color="auto"/>
            </w:tcBorders>
          </w:tcPr>
          <w:p w14:paraId="3EC5ECAB"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c>
          <w:tcPr>
            <w:tcW w:w="795" w:type="pct"/>
            <w:tcBorders>
              <w:bottom w:val="single" w:sz="4" w:space="0" w:color="auto"/>
            </w:tcBorders>
          </w:tcPr>
          <w:p w14:paraId="4A1525ED"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r>
      <w:tr w:rsidR="003924BD" w:rsidRPr="003924BD" w14:paraId="2457A3C5" w14:textId="77777777" w:rsidTr="007E39A1">
        <w:trPr>
          <w:trHeight w:val="252"/>
        </w:trPr>
        <w:tc>
          <w:tcPr>
            <w:cnfStyle w:val="001000000000" w:firstRow="0" w:lastRow="0" w:firstColumn="1" w:lastColumn="0" w:oddVBand="0" w:evenVBand="0" w:oddHBand="0" w:evenHBand="0" w:firstRowFirstColumn="0" w:firstRowLastColumn="0" w:lastRowFirstColumn="0" w:lastRowLastColumn="0"/>
            <w:tcW w:w="1821" w:type="pct"/>
            <w:tcBorders>
              <w:top w:val="single" w:sz="4" w:space="0" w:color="auto"/>
              <w:bottom w:val="nil"/>
            </w:tcBorders>
          </w:tcPr>
          <w:p w14:paraId="0B00046D" w14:textId="77777777" w:rsidR="003924BD" w:rsidRPr="003924BD" w:rsidRDefault="003924BD" w:rsidP="003924BD">
            <w:pPr>
              <w:spacing w:after="0" w:line="240" w:lineRule="auto"/>
              <w:rPr>
                <w:rFonts w:ascii="Arial" w:hAnsi="Arial" w:cs="Arial"/>
                <w:sz w:val="20"/>
                <w:szCs w:val="20"/>
              </w:rPr>
            </w:pPr>
          </w:p>
        </w:tc>
        <w:tc>
          <w:tcPr>
            <w:tcW w:w="1589" w:type="pct"/>
            <w:gridSpan w:val="2"/>
            <w:tcBorders>
              <w:top w:val="single" w:sz="4" w:space="0" w:color="auto"/>
            </w:tcBorders>
          </w:tcPr>
          <w:p w14:paraId="1AB66E04" w14:textId="77777777" w:rsidR="003924BD" w:rsidRPr="003924BD" w:rsidRDefault="003924BD" w:rsidP="003924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3924BD">
              <w:rPr>
                <w:rFonts w:ascii="Arial" w:hAnsi="Arial" w:cs="Arial"/>
                <w:b/>
                <w:sz w:val="20"/>
                <w:szCs w:val="20"/>
              </w:rPr>
              <w:t>Simulated (n=150)</w:t>
            </w:r>
          </w:p>
        </w:tc>
        <w:tc>
          <w:tcPr>
            <w:tcW w:w="1590" w:type="pct"/>
            <w:gridSpan w:val="2"/>
            <w:tcBorders>
              <w:top w:val="single" w:sz="4" w:space="0" w:color="auto"/>
            </w:tcBorders>
          </w:tcPr>
          <w:p w14:paraId="63A74D91" w14:textId="77777777" w:rsidR="003924BD" w:rsidRPr="003924BD" w:rsidRDefault="003924BD" w:rsidP="003924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3924BD">
              <w:rPr>
                <w:rFonts w:ascii="Arial" w:hAnsi="Arial" w:cs="Arial"/>
                <w:b/>
                <w:sz w:val="20"/>
                <w:szCs w:val="20"/>
              </w:rPr>
              <w:t xml:space="preserve">Observed (n=15) </w:t>
            </w:r>
          </w:p>
        </w:tc>
      </w:tr>
      <w:tr w:rsidR="003924BD" w:rsidRPr="003924BD" w14:paraId="2048D38B" w14:textId="77777777" w:rsidTr="007E39A1">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1821" w:type="pct"/>
            <w:tcBorders>
              <w:top w:val="nil"/>
              <w:bottom w:val="single" w:sz="4" w:space="0" w:color="auto"/>
            </w:tcBorders>
          </w:tcPr>
          <w:p w14:paraId="51328C37" w14:textId="77777777" w:rsidR="003924BD" w:rsidRPr="003924BD" w:rsidRDefault="003924BD" w:rsidP="003924BD">
            <w:pPr>
              <w:spacing w:after="0" w:line="240" w:lineRule="auto"/>
              <w:rPr>
                <w:rFonts w:ascii="Arial" w:hAnsi="Arial" w:cs="Arial"/>
                <w:sz w:val="20"/>
                <w:szCs w:val="20"/>
              </w:rPr>
            </w:pPr>
          </w:p>
          <w:p w14:paraId="1B39F70B" w14:textId="3924A6B6" w:rsidR="003924BD" w:rsidRPr="003924BD" w:rsidRDefault="003924BD" w:rsidP="003924BD">
            <w:pPr>
              <w:spacing w:after="0" w:line="240" w:lineRule="auto"/>
              <w:rPr>
                <w:rFonts w:ascii="Arial" w:hAnsi="Arial" w:cs="Arial"/>
                <w:sz w:val="20"/>
                <w:szCs w:val="20"/>
              </w:rPr>
            </w:pPr>
            <w:r w:rsidRPr="003924BD">
              <w:rPr>
                <w:rFonts w:ascii="Arial" w:hAnsi="Arial" w:cs="Arial"/>
                <w:sz w:val="20"/>
                <w:szCs w:val="20"/>
              </w:rPr>
              <w:t>Nilotinib 400 mg BD daily, multiple dose, fasted (Larson et al., 2012)</w:t>
            </w:r>
            <w:r w:rsidR="007018EF">
              <w:rPr>
                <w:rFonts w:ascii="Arial" w:hAnsi="Arial" w:cs="Arial"/>
                <w:sz w:val="20"/>
                <w:szCs w:val="20"/>
              </w:rPr>
              <w:fldChar w:fldCharType="begin" w:fldLock="1"/>
            </w:r>
            <w:r w:rsidR="007018EF">
              <w:rPr>
                <w:rFonts w:ascii="Arial" w:hAnsi="Arial" w:cs="Arial"/>
                <w:sz w:val="20"/>
                <w:szCs w:val="20"/>
              </w:rPr>
              <w:instrText>ADDIN CSL_CITATION {"citationItems":[{"id":"ITEM-1","itemData":{"DOI":"10.1007/s00228-011-1200-7","abstract":"Purpose-We investigated the population pharmacokinetics and exposure-response relationship of nilotinib in patients with newly diagnosed chronic myeloid leukemia (CML) in chronic phase. Methods-Nilotinib was given at 300 mg or 400 mg twice daily. Serum concentration data (sparse and full pharmacokinetic profiles) were obtained from 542 patients over 12 months. A population pharmacokinetic analysis was performed using nonlinear mixed-effect modeling. Exposure-response relationships were explored graphically or using logistic regression models. Results-Nilotinib concentrations were stable over 12 months. Patients in the 400 mg twice-daily arm had an 11.5% higher exposure than did those in the 300 mg twice-daily arm, and the relative bioavailability of nilotinib 400 mg twice daily was 0.84 times that of 300 mg twice daily. Patient demographics did not significantly affect nilotinib pharmacokinetics. The occurrence of all grade total bilirubin elevation was significantly higher in patients with higher nilotinib exposure, and a positive correlation was also observed between nilotinib exposure and QTcF change on electrocardiograms from baseline. There was no significant relationship between nilotinib exposure and major molecular response at 12 months. Conclusions-There is a less than proportional dose-exposure relationship between nilotinib 300 mg and 400 mg twice-daily doses. Blood level testing is unlikely to play an important role in the general management of patients with newly diagnosed CML treated with nilotinib.","author":[{"dropping-particle":"","family":"Larson","given":"Richard A","non-dropping-particle":"","parse-names":false,"suffix":""},{"dropping-particle":"","family":"Yin","given":"Ophelia Q P","non-dropping-particle":"","parse-names":false,"suffix":""},{"dropping-particle":"","family":"Hochhaus","given":"Andreas","non-dropping-particle":"","parse-names":false,"suffix":""},{"dropping-particle":"","family":"Saglio","given":"Giuseppe","non-dropping-particle":"","parse-names":false,"suffix":""},{"dropping-particle":"","family":"Clark","given":"Richard E","non-dropping-particle":"","parse-names":false,"suffix":""},{"dropping-particle":"","family":"Nakamae","given":"Hirohisa","non-dropping-particle":"","parse-names":false,"suffix":""},{"dropping-particle":"","family":"Gallagher","given":"Neil J","non-dropping-particle":"","parse-names":false,"suffix":""},{"dropping-particle":"","family":"Demirhan","given":"Eren","non-dropping-particle":"","parse-names":false,"suffix":""},{"dropping-particle":"","family":"Hughes","given":"Timothy P","non-dropping-particle":"","parse-names":false,"suffix":""},{"dropping-particle":"","family":"Kantarjian","given":"Hagop M","non-dropping-particle":"","parse-names":false,"suffix":""},{"dropping-particle":"","family":"Coutre","given":"Philipp D","non-dropping-particle":"Le","parse-names":false,"suffix":""}],"container-title":"Eur J Clin Pharmacol","id":"ITEM-1","issue":"5","issued":{"date-parts":[["2012"]]},"page":"723-733","title":"Population pharmacokinetic and exposure-response analysis of nilotinib in patients with newly diagnosed Ph+ chronic myeloid leukemia in chronic phase","type":"article-journal","volume":"68"},"uris":["http://www.mendeley.com/documents/?uuid=a823e9de-8f2f-319f-aa27-3042e727ff60"]}],"mendeley":{"formattedCitation":"&lt;sup&gt;3&lt;/sup&gt;","plainTextFormattedCitation":"3","previouslyFormattedCitation":"&lt;sup&gt;3&lt;/sup&gt;"},"properties":{"noteIndex":0},"schema":"https://github.com/citation-style-language/schema/raw/master/csl-citation.json"}</w:instrText>
            </w:r>
            <w:r w:rsidR="007018EF">
              <w:rPr>
                <w:rFonts w:ascii="Arial" w:hAnsi="Arial" w:cs="Arial"/>
                <w:sz w:val="20"/>
                <w:szCs w:val="20"/>
              </w:rPr>
              <w:fldChar w:fldCharType="separate"/>
            </w:r>
            <w:r w:rsidR="007018EF" w:rsidRPr="007018EF">
              <w:rPr>
                <w:rFonts w:ascii="Arial" w:hAnsi="Arial" w:cs="Arial"/>
                <w:b w:val="0"/>
                <w:noProof/>
                <w:sz w:val="20"/>
                <w:szCs w:val="20"/>
                <w:vertAlign w:val="superscript"/>
              </w:rPr>
              <w:t>3</w:t>
            </w:r>
            <w:r w:rsidR="007018EF">
              <w:rPr>
                <w:rFonts w:ascii="Arial" w:hAnsi="Arial" w:cs="Arial"/>
                <w:sz w:val="20"/>
                <w:szCs w:val="20"/>
              </w:rPr>
              <w:fldChar w:fldCharType="end"/>
            </w:r>
          </w:p>
        </w:tc>
        <w:tc>
          <w:tcPr>
            <w:tcW w:w="794" w:type="pct"/>
          </w:tcPr>
          <w:p w14:paraId="19C72B67"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roofErr w:type="spellStart"/>
            <w:r w:rsidRPr="003924BD">
              <w:rPr>
                <w:rFonts w:ascii="Arial" w:hAnsi="Arial" w:cs="Arial"/>
                <w:b/>
                <w:bCs/>
                <w:sz w:val="20"/>
                <w:szCs w:val="20"/>
              </w:rPr>
              <w:t>AUC</w:t>
            </w:r>
            <w:r w:rsidRPr="003924BD">
              <w:rPr>
                <w:rFonts w:ascii="Arial" w:hAnsi="Arial" w:cs="Arial"/>
                <w:b/>
                <w:bCs/>
                <w:sz w:val="20"/>
                <w:szCs w:val="20"/>
                <w:vertAlign w:val="subscript"/>
              </w:rPr>
              <w:t>τ</w:t>
            </w:r>
            <w:proofErr w:type="spellEnd"/>
            <w:r w:rsidRPr="003924BD">
              <w:rPr>
                <w:rFonts w:ascii="Arial" w:hAnsi="Arial" w:cs="Arial"/>
                <w:b/>
                <w:sz w:val="20"/>
                <w:szCs w:val="20"/>
              </w:rPr>
              <w:t xml:space="preserve"> (</w:t>
            </w:r>
            <w:proofErr w:type="spellStart"/>
            <w:r w:rsidRPr="003924BD">
              <w:rPr>
                <w:rFonts w:ascii="Arial" w:hAnsi="Arial" w:cs="Arial"/>
                <w:b/>
                <w:sz w:val="20"/>
                <w:szCs w:val="20"/>
              </w:rPr>
              <w:t>ng.h</w:t>
            </w:r>
            <w:proofErr w:type="spellEnd"/>
            <w:r w:rsidRPr="003924BD">
              <w:rPr>
                <w:rFonts w:ascii="Arial" w:hAnsi="Arial" w:cs="Arial"/>
                <w:b/>
                <w:sz w:val="20"/>
                <w:szCs w:val="20"/>
              </w:rPr>
              <w:t>/mL)</w:t>
            </w:r>
          </w:p>
        </w:tc>
        <w:tc>
          <w:tcPr>
            <w:tcW w:w="795" w:type="pct"/>
          </w:tcPr>
          <w:p w14:paraId="08D8D00F"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vertAlign w:val="subscript"/>
              </w:rPr>
            </w:pPr>
            <w:proofErr w:type="spellStart"/>
            <w:r w:rsidRPr="003924BD">
              <w:rPr>
                <w:rFonts w:ascii="Arial" w:hAnsi="Arial" w:cs="Arial"/>
                <w:b/>
                <w:sz w:val="20"/>
                <w:szCs w:val="20"/>
              </w:rPr>
              <w:t>C</w:t>
            </w:r>
            <w:r w:rsidRPr="003924BD">
              <w:rPr>
                <w:rFonts w:ascii="Arial" w:hAnsi="Arial" w:cs="Arial"/>
                <w:b/>
                <w:sz w:val="20"/>
                <w:szCs w:val="20"/>
                <w:vertAlign w:val="subscript"/>
              </w:rPr>
              <w:t>max</w:t>
            </w:r>
            <w:proofErr w:type="spellEnd"/>
          </w:p>
          <w:p w14:paraId="00B2876D"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3924BD">
              <w:rPr>
                <w:rFonts w:ascii="Arial" w:hAnsi="Arial" w:cs="Arial"/>
                <w:b/>
                <w:sz w:val="20"/>
                <w:szCs w:val="20"/>
              </w:rPr>
              <w:t>(ng/mL)</w:t>
            </w:r>
          </w:p>
        </w:tc>
        <w:tc>
          <w:tcPr>
            <w:tcW w:w="795" w:type="pct"/>
          </w:tcPr>
          <w:p w14:paraId="5C020802"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roofErr w:type="spellStart"/>
            <w:r w:rsidRPr="003924BD">
              <w:rPr>
                <w:rFonts w:ascii="Arial" w:hAnsi="Arial" w:cs="Arial"/>
                <w:b/>
                <w:bCs/>
                <w:sz w:val="20"/>
                <w:szCs w:val="20"/>
              </w:rPr>
              <w:t>AUC</w:t>
            </w:r>
            <w:r w:rsidRPr="003924BD">
              <w:rPr>
                <w:rFonts w:ascii="Arial" w:hAnsi="Arial" w:cs="Arial"/>
                <w:b/>
                <w:bCs/>
                <w:sz w:val="20"/>
                <w:szCs w:val="20"/>
                <w:vertAlign w:val="subscript"/>
              </w:rPr>
              <w:t>τ</w:t>
            </w:r>
            <w:proofErr w:type="spellEnd"/>
            <w:r w:rsidRPr="003924BD">
              <w:rPr>
                <w:rFonts w:ascii="Arial" w:hAnsi="Arial" w:cs="Arial"/>
                <w:b/>
                <w:sz w:val="20"/>
                <w:szCs w:val="20"/>
              </w:rPr>
              <w:t xml:space="preserve"> (</w:t>
            </w:r>
            <w:proofErr w:type="spellStart"/>
            <w:r w:rsidRPr="003924BD">
              <w:rPr>
                <w:rFonts w:ascii="Arial" w:hAnsi="Arial" w:cs="Arial"/>
                <w:b/>
                <w:sz w:val="20"/>
                <w:szCs w:val="20"/>
              </w:rPr>
              <w:t>ng.h</w:t>
            </w:r>
            <w:proofErr w:type="spellEnd"/>
            <w:r w:rsidRPr="003924BD">
              <w:rPr>
                <w:rFonts w:ascii="Arial" w:hAnsi="Arial" w:cs="Arial"/>
                <w:b/>
                <w:sz w:val="20"/>
                <w:szCs w:val="20"/>
              </w:rPr>
              <w:t>/mL)</w:t>
            </w:r>
          </w:p>
        </w:tc>
        <w:tc>
          <w:tcPr>
            <w:tcW w:w="795" w:type="pct"/>
          </w:tcPr>
          <w:p w14:paraId="54FA2365"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vertAlign w:val="subscript"/>
              </w:rPr>
            </w:pPr>
            <w:proofErr w:type="spellStart"/>
            <w:r w:rsidRPr="003924BD">
              <w:rPr>
                <w:rFonts w:ascii="Arial" w:hAnsi="Arial" w:cs="Arial"/>
                <w:b/>
                <w:sz w:val="20"/>
                <w:szCs w:val="20"/>
              </w:rPr>
              <w:t>C</w:t>
            </w:r>
            <w:r w:rsidRPr="003924BD">
              <w:rPr>
                <w:rFonts w:ascii="Arial" w:hAnsi="Arial" w:cs="Arial"/>
                <w:b/>
                <w:sz w:val="20"/>
                <w:szCs w:val="20"/>
                <w:vertAlign w:val="subscript"/>
              </w:rPr>
              <w:t>max</w:t>
            </w:r>
            <w:proofErr w:type="spellEnd"/>
          </w:p>
          <w:p w14:paraId="1B2CC9DD"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3924BD">
              <w:rPr>
                <w:rFonts w:ascii="Arial" w:hAnsi="Arial" w:cs="Arial"/>
                <w:b/>
                <w:sz w:val="20"/>
                <w:szCs w:val="20"/>
              </w:rPr>
              <w:t>(ng/mL)</w:t>
            </w:r>
          </w:p>
        </w:tc>
      </w:tr>
      <w:tr w:rsidR="003924BD" w:rsidRPr="003924BD" w14:paraId="3A8A7469" w14:textId="77777777" w:rsidTr="007E39A1">
        <w:tc>
          <w:tcPr>
            <w:cnfStyle w:val="001000000000" w:firstRow="0" w:lastRow="0" w:firstColumn="1" w:lastColumn="0" w:oddVBand="0" w:evenVBand="0" w:oddHBand="0" w:evenHBand="0" w:firstRowFirstColumn="0" w:firstRowLastColumn="0" w:lastRowFirstColumn="0" w:lastRowLastColumn="0"/>
            <w:tcW w:w="1821" w:type="pct"/>
            <w:tcBorders>
              <w:top w:val="single" w:sz="4" w:space="0" w:color="auto"/>
            </w:tcBorders>
          </w:tcPr>
          <w:p w14:paraId="24E82E13" w14:textId="77777777" w:rsidR="003924BD" w:rsidRPr="003924BD" w:rsidRDefault="003924BD" w:rsidP="003924BD">
            <w:pPr>
              <w:spacing w:after="0" w:line="240" w:lineRule="auto"/>
              <w:rPr>
                <w:rFonts w:ascii="Arial" w:hAnsi="Arial" w:cs="Arial"/>
                <w:b w:val="0"/>
                <w:sz w:val="20"/>
                <w:szCs w:val="20"/>
              </w:rPr>
            </w:pPr>
            <w:r w:rsidRPr="003924BD">
              <w:rPr>
                <w:rFonts w:ascii="Arial" w:hAnsi="Arial" w:cs="Arial"/>
                <w:b w:val="0"/>
                <w:sz w:val="20"/>
                <w:szCs w:val="20"/>
              </w:rPr>
              <w:t xml:space="preserve">Geometric Mean </w:t>
            </w:r>
          </w:p>
        </w:tc>
        <w:tc>
          <w:tcPr>
            <w:tcW w:w="794" w:type="pct"/>
          </w:tcPr>
          <w:p w14:paraId="7A3C59AD" w14:textId="77777777" w:rsidR="003924BD" w:rsidRPr="003924BD" w:rsidRDefault="003924BD" w:rsidP="003924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924BD">
              <w:rPr>
                <w:rFonts w:ascii="Arial" w:hAnsi="Arial" w:cs="Arial"/>
                <w:sz w:val="20"/>
                <w:szCs w:val="20"/>
              </w:rPr>
              <w:t>15403</w:t>
            </w:r>
          </w:p>
        </w:tc>
        <w:tc>
          <w:tcPr>
            <w:tcW w:w="795" w:type="pct"/>
          </w:tcPr>
          <w:p w14:paraId="78494CB0" w14:textId="77777777" w:rsidR="003924BD" w:rsidRPr="003924BD" w:rsidRDefault="003924BD" w:rsidP="003924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924BD">
              <w:rPr>
                <w:rFonts w:ascii="Arial" w:hAnsi="Arial" w:cs="Arial"/>
                <w:sz w:val="20"/>
                <w:szCs w:val="20"/>
              </w:rPr>
              <w:t>1551</w:t>
            </w:r>
          </w:p>
        </w:tc>
        <w:tc>
          <w:tcPr>
            <w:tcW w:w="795" w:type="pct"/>
          </w:tcPr>
          <w:p w14:paraId="2F0FEC1B" w14:textId="77777777" w:rsidR="003924BD" w:rsidRPr="003924BD" w:rsidRDefault="003924BD" w:rsidP="003924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924BD">
              <w:rPr>
                <w:rFonts w:ascii="Arial" w:hAnsi="Arial" w:cs="Arial"/>
                <w:sz w:val="20"/>
                <w:szCs w:val="20"/>
              </w:rPr>
              <w:t>13656</w:t>
            </w:r>
          </w:p>
        </w:tc>
        <w:tc>
          <w:tcPr>
            <w:tcW w:w="795" w:type="pct"/>
          </w:tcPr>
          <w:p w14:paraId="10E19E81" w14:textId="77777777" w:rsidR="003924BD" w:rsidRPr="003924BD" w:rsidRDefault="003924BD" w:rsidP="003924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924BD">
              <w:rPr>
                <w:rFonts w:ascii="Arial" w:hAnsi="Arial" w:cs="Arial"/>
                <w:sz w:val="20"/>
                <w:szCs w:val="20"/>
              </w:rPr>
              <w:t>1595</w:t>
            </w:r>
          </w:p>
        </w:tc>
      </w:tr>
      <w:tr w:rsidR="003924BD" w:rsidRPr="003924BD" w14:paraId="7C5AEBA8" w14:textId="77777777" w:rsidTr="007E39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1" w:type="pct"/>
          </w:tcPr>
          <w:p w14:paraId="6CA0A6CD" w14:textId="77777777" w:rsidR="003924BD" w:rsidRPr="003924BD" w:rsidRDefault="003924BD" w:rsidP="003924BD">
            <w:pPr>
              <w:spacing w:after="0" w:line="240" w:lineRule="auto"/>
              <w:rPr>
                <w:rFonts w:ascii="Arial" w:hAnsi="Arial" w:cs="Arial"/>
                <w:b w:val="0"/>
                <w:sz w:val="20"/>
                <w:szCs w:val="20"/>
              </w:rPr>
            </w:pPr>
            <w:r w:rsidRPr="003924BD">
              <w:rPr>
                <w:rFonts w:ascii="Arial" w:hAnsi="Arial" w:cs="Arial"/>
                <w:b w:val="0"/>
                <w:sz w:val="20"/>
                <w:szCs w:val="20"/>
              </w:rPr>
              <w:t xml:space="preserve">CV (%) </w:t>
            </w:r>
          </w:p>
        </w:tc>
        <w:tc>
          <w:tcPr>
            <w:tcW w:w="794" w:type="pct"/>
          </w:tcPr>
          <w:p w14:paraId="6A2BEB53"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924BD">
              <w:rPr>
                <w:rFonts w:ascii="Arial" w:hAnsi="Arial" w:cs="Arial"/>
                <w:sz w:val="20"/>
                <w:szCs w:val="20"/>
              </w:rPr>
              <w:t>104</w:t>
            </w:r>
          </w:p>
        </w:tc>
        <w:tc>
          <w:tcPr>
            <w:tcW w:w="795" w:type="pct"/>
          </w:tcPr>
          <w:p w14:paraId="31EFBBE0"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924BD">
              <w:rPr>
                <w:rFonts w:ascii="Arial" w:hAnsi="Arial" w:cs="Arial"/>
                <w:sz w:val="20"/>
                <w:szCs w:val="20"/>
              </w:rPr>
              <w:t>94</w:t>
            </w:r>
          </w:p>
        </w:tc>
        <w:tc>
          <w:tcPr>
            <w:tcW w:w="795" w:type="pct"/>
          </w:tcPr>
          <w:p w14:paraId="5507495B"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924BD">
              <w:rPr>
                <w:rFonts w:ascii="Arial" w:hAnsi="Arial" w:cs="Arial"/>
                <w:sz w:val="20"/>
                <w:szCs w:val="20"/>
              </w:rPr>
              <w:t>51</w:t>
            </w:r>
          </w:p>
        </w:tc>
        <w:tc>
          <w:tcPr>
            <w:tcW w:w="795" w:type="pct"/>
          </w:tcPr>
          <w:p w14:paraId="1395FEC1"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924BD">
              <w:rPr>
                <w:rFonts w:ascii="Arial" w:hAnsi="Arial" w:cs="Arial"/>
                <w:sz w:val="20"/>
                <w:szCs w:val="20"/>
              </w:rPr>
              <w:t>47</w:t>
            </w:r>
          </w:p>
        </w:tc>
      </w:tr>
      <w:tr w:rsidR="003924BD" w:rsidRPr="003924BD" w14:paraId="3EE2C7DF" w14:textId="77777777" w:rsidTr="007E39A1">
        <w:tc>
          <w:tcPr>
            <w:cnfStyle w:val="001000000000" w:firstRow="0" w:lastRow="0" w:firstColumn="1" w:lastColumn="0" w:oddVBand="0" w:evenVBand="0" w:oddHBand="0" w:evenHBand="0" w:firstRowFirstColumn="0" w:firstRowLastColumn="0" w:lastRowFirstColumn="0" w:lastRowLastColumn="0"/>
            <w:tcW w:w="1821" w:type="pct"/>
            <w:tcBorders>
              <w:bottom w:val="single" w:sz="4" w:space="0" w:color="7F7F7F" w:themeColor="text1" w:themeTint="80"/>
            </w:tcBorders>
          </w:tcPr>
          <w:p w14:paraId="470F790D" w14:textId="77777777" w:rsidR="003924BD" w:rsidRPr="003924BD" w:rsidRDefault="003924BD" w:rsidP="003924BD">
            <w:pPr>
              <w:spacing w:after="0" w:line="240" w:lineRule="auto"/>
              <w:rPr>
                <w:rFonts w:ascii="Arial" w:hAnsi="Arial" w:cs="Arial"/>
                <w:b w:val="0"/>
                <w:sz w:val="20"/>
                <w:szCs w:val="20"/>
              </w:rPr>
            </w:pPr>
            <w:r w:rsidRPr="003924BD">
              <w:rPr>
                <w:rFonts w:ascii="Arial" w:hAnsi="Arial" w:cs="Arial"/>
                <w:b w:val="0"/>
                <w:sz w:val="20"/>
                <w:szCs w:val="20"/>
              </w:rPr>
              <w:t>Ratio of simulated/observed</w:t>
            </w:r>
          </w:p>
        </w:tc>
        <w:tc>
          <w:tcPr>
            <w:tcW w:w="794" w:type="pct"/>
            <w:tcBorders>
              <w:bottom w:val="single" w:sz="4" w:space="0" w:color="7F7F7F" w:themeColor="text1" w:themeTint="80"/>
            </w:tcBorders>
          </w:tcPr>
          <w:p w14:paraId="37A3CCA7" w14:textId="77777777" w:rsidR="003924BD" w:rsidRPr="003924BD" w:rsidRDefault="003924BD" w:rsidP="003924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924BD">
              <w:rPr>
                <w:rFonts w:ascii="Arial" w:hAnsi="Arial" w:cs="Arial"/>
                <w:sz w:val="20"/>
                <w:szCs w:val="20"/>
              </w:rPr>
              <w:t>1.08</w:t>
            </w:r>
          </w:p>
        </w:tc>
        <w:tc>
          <w:tcPr>
            <w:tcW w:w="795" w:type="pct"/>
            <w:tcBorders>
              <w:bottom w:val="single" w:sz="4" w:space="0" w:color="7F7F7F" w:themeColor="text1" w:themeTint="80"/>
            </w:tcBorders>
          </w:tcPr>
          <w:p w14:paraId="21EEEFD9" w14:textId="77777777" w:rsidR="003924BD" w:rsidRPr="003924BD" w:rsidRDefault="003924BD" w:rsidP="003924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924BD">
              <w:rPr>
                <w:rFonts w:ascii="Arial" w:hAnsi="Arial" w:cs="Arial"/>
                <w:sz w:val="20"/>
                <w:szCs w:val="20"/>
              </w:rPr>
              <w:t>0.88</w:t>
            </w:r>
          </w:p>
        </w:tc>
        <w:tc>
          <w:tcPr>
            <w:tcW w:w="795" w:type="pct"/>
            <w:tcBorders>
              <w:bottom w:val="single" w:sz="4" w:space="0" w:color="7F7F7F" w:themeColor="text1" w:themeTint="80"/>
            </w:tcBorders>
          </w:tcPr>
          <w:p w14:paraId="66740EC1" w14:textId="77777777" w:rsidR="003924BD" w:rsidRPr="003924BD" w:rsidRDefault="003924BD" w:rsidP="003924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p>
        </w:tc>
        <w:tc>
          <w:tcPr>
            <w:tcW w:w="795" w:type="pct"/>
            <w:tcBorders>
              <w:bottom w:val="single" w:sz="4" w:space="0" w:color="7F7F7F" w:themeColor="text1" w:themeTint="80"/>
            </w:tcBorders>
          </w:tcPr>
          <w:p w14:paraId="0D66E16D" w14:textId="77777777" w:rsidR="003924BD" w:rsidRPr="003924BD" w:rsidRDefault="003924BD" w:rsidP="003924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p>
        </w:tc>
      </w:tr>
      <w:tr w:rsidR="003924BD" w:rsidRPr="003924BD" w14:paraId="26B8D3CF" w14:textId="77777777" w:rsidTr="007E39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1" w:type="pct"/>
            <w:tcBorders>
              <w:bottom w:val="single" w:sz="4" w:space="0" w:color="auto"/>
            </w:tcBorders>
          </w:tcPr>
          <w:p w14:paraId="1D1A9579" w14:textId="77777777" w:rsidR="003924BD" w:rsidRPr="003924BD" w:rsidRDefault="003924BD" w:rsidP="003924BD">
            <w:pPr>
              <w:spacing w:after="0" w:line="240" w:lineRule="auto"/>
              <w:rPr>
                <w:rFonts w:ascii="Arial" w:hAnsi="Arial" w:cs="Arial"/>
                <w:b w:val="0"/>
                <w:sz w:val="20"/>
                <w:szCs w:val="20"/>
              </w:rPr>
            </w:pPr>
            <w:r w:rsidRPr="003924BD">
              <w:rPr>
                <w:rFonts w:ascii="Arial" w:hAnsi="Arial" w:cs="Arial"/>
                <w:b w:val="0"/>
                <w:sz w:val="20"/>
                <w:szCs w:val="20"/>
              </w:rPr>
              <w:t>Success criteria for ratio of simulated/observed</w:t>
            </w:r>
          </w:p>
        </w:tc>
        <w:tc>
          <w:tcPr>
            <w:tcW w:w="794" w:type="pct"/>
            <w:tcBorders>
              <w:bottom w:val="single" w:sz="4" w:space="0" w:color="auto"/>
            </w:tcBorders>
          </w:tcPr>
          <w:p w14:paraId="1FE5062C"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924BD">
              <w:rPr>
                <w:rFonts w:ascii="Arial" w:hAnsi="Arial" w:cs="Arial"/>
                <w:sz w:val="20"/>
                <w:szCs w:val="20"/>
              </w:rPr>
              <w:t>0.43-2.32</w:t>
            </w:r>
          </w:p>
        </w:tc>
        <w:tc>
          <w:tcPr>
            <w:tcW w:w="795" w:type="pct"/>
            <w:tcBorders>
              <w:bottom w:val="single" w:sz="4" w:space="0" w:color="auto"/>
            </w:tcBorders>
          </w:tcPr>
          <w:p w14:paraId="302A76D7"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924BD">
              <w:rPr>
                <w:rFonts w:ascii="Arial" w:hAnsi="Arial" w:cs="Arial"/>
                <w:sz w:val="20"/>
                <w:szCs w:val="20"/>
              </w:rPr>
              <w:t>0.46-2.17</w:t>
            </w:r>
          </w:p>
        </w:tc>
        <w:tc>
          <w:tcPr>
            <w:tcW w:w="795" w:type="pct"/>
            <w:tcBorders>
              <w:bottom w:val="single" w:sz="4" w:space="0" w:color="auto"/>
            </w:tcBorders>
          </w:tcPr>
          <w:p w14:paraId="681DDA10"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c>
          <w:tcPr>
            <w:tcW w:w="795" w:type="pct"/>
            <w:tcBorders>
              <w:bottom w:val="single" w:sz="4" w:space="0" w:color="auto"/>
            </w:tcBorders>
          </w:tcPr>
          <w:p w14:paraId="5C438E59" w14:textId="77777777" w:rsidR="003924BD" w:rsidRPr="003924BD" w:rsidRDefault="003924BD" w:rsidP="003924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r>
    </w:tbl>
    <w:p w14:paraId="1BA2801F" w14:textId="77777777" w:rsidR="003924BD" w:rsidRPr="00AA0956" w:rsidRDefault="003924BD" w:rsidP="003924BD">
      <w:pPr>
        <w:spacing w:after="0" w:line="240" w:lineRule="auto"/>
        <w:rPr>
          <w:rFonts w:ascii="Arial" w:hAnsi="Arial" w:cs="Arial"/>
          <w:sz w:val="18"/>
          <w:szCs w:val="18"/>
        </w:rPr>
      </w:pPr>
      <w:proofErr w:type="spellStart"/>
      <w:r w:rsidRPr="00AA0956">
        <w:rPr>
          <w:rFonts w:ascii="Arial" w:hAnsi="Arial" w:cs="Arial"/>
          <w:sz w:val="18"/>
          <w:szCs w:val="18"/>
        </w:rPr>
        <w:t>AUC</w:t>
      </w:r>
      <w:r w:rsidRPr="00AA0956">
        <w:rPr>
          <w:rFonts w:ascii="Arial" w:hAnsi="Arial" w:cs="Arial"/>
          <w:sz w:val="18"/>
          <w:szCs w:val="18"/>
          <w:vertAlign w:val="subscript"/>
        </w:rPr>
        <w:t>τ</w:t>
      </w:r>
      <w:proofErr w:type="spellEnd"/>
      <w:r w:rsidRPr="00AA0956">
        <w:rPr>
          <w:rFonts w:ascii="Arial" w:hAnsi="Arial" w:cs="Arial"/>
          <w:sz w:val="18"/>
          <w:szCs w:val="18"/>
        </w:rPr>
        <w:t xml:space="preserve">, area under the plasma concentration-time curve during a dosage interval at steady state; </w:t>
      </w:r>
      <w:proofErr w:type="spellStart"/>
      <w:r w:rsidRPr="00AA0956">
        <w:rPr>
          <w:rFonts w:ascii="Arial" w:hAnsi="Arial" w:cs="Arial"/>
          <w:sz w:val="18"/>
          <w:szCs w:val="18"/>
        </w:rPr>
        <w:t>C</w:t>
      </w:r>
      <w:r w:rsidRPr="00AA0956">
        <w:rPr>
          <w:rFonts w:ascii="Arial" w:hAnsi="Arial" w:cs="Arial"/>
          <w:sz w:val="18"/>
          <w:szCs w:val="18"/>
          <w:vertAlign w:val="subscript"/>
        </w:rPr>
        <w:t>max</w:t>
      </w:r>
      <w:proofErr w:type="spellEnd"/>
      <w:r w:rsidRPr="00AA0956">
        <w:rPr>
          <w:rFonts w:ascii="Arial" w:hAnsi="Arial" w:cs="Arial"/>
          <w:sz w:val="18"/>
          <w:szCs w:val="18"/>
        </w:rPr>
        <w:t>, maximum plasma concentration; CV, coefficient of variation</w:t>
      </w:r>
    </w:p>
    <w:p w14:paraId="39718ECF" w14:textId="7B69B597" w:rsidR="00A030B5" w:rsidRDefault="00A030B5" w:rsidP="003924BD">
      <w:pPr>
        <w:spacing w:after="0" w:line="240" w:lineRule="auto"/>
      </w:pPr>
    </w:p>
    <w:p w14:paraId="21685699" w14:textId="3ACEDF0F" w:rsidR="007018EF" w:rsidRDefault="007018EF" w:rsidP="003924BD">
      <w:pPr>
        <w:spacing w:after="0" w:line="240" w:lineRule="auto"/>
      </w:pPr>
    </w:p>
    <w:p w14:paraId="2D50141F" w14:textId="7420C2A6" w:rsidR="007018EF" w:rsidRDefault="007018EF" w:rsidP="003924BD">
      <w:pPr>
        <w:spacing w:after="0" w:line="240" w:lineRule="auto"/>
      </w:pPr>
    </w:p>
    <w:p w14:paraId="27D84EE5" w14:textId="305772F2" w:rsidR="007018EF" w:rsidRDefault="007018EF" w:rsidP="003924BD">
      <w:pPr>
        <w:spacing w:after="0" w:line="240" w:lineRule="auto"/>
      </w:pPr>
    </w:p>
    <w:p w14:paraId="25E179E5" w14:textId="560E00B6" w:rsidR="007018EF" w:rsidRDefault="007018EF" w:rsidP="003924BD">
      <w:pPr>
        <w:spacing w:after="0" w:line="240" w:lineRule="auto"/>
      </w:pPr>
    </w:p>
    <w:p w14:paraId="723E1AA2" w14:textId="5390B4DB" w:rsidR="007018EF" w:rsidRDefault="007018EF" w:rsidP="003924BD">
      <w:pPr>
        <w:spacing w:after="0" w:line="240" w:lineRule="auto"/>
      </w:pPr>
    </w:p>
    <w:p w14:paraId="71772712" w14:textId="0322E4DD" w:rsidR="007018EF" w:rsidRPr="00CD27D3" w:rsidRDefault="007018EF" w:rsidP="00CD27D3">
      <w:pPr>
        <w:spacing w:after="0" w:line="240" w:lineRule="auto"/>
        <w:rPr>
          <w:sz w:val="20"/>
          <w:szCs w:val="20"/>
        </w:rPr>
      </w:pPr>
    </w:p>
    <w:p w14:paraId="6CB2A78F" w14:textId="1CD2F86A" w:rsidR="007018EF" w:rsidRPr="00CD27D3" w:rsidRDefault="007018EF" w:rsidP="00CD27D3">
      <w:pPr>
        <w:spacing w:after="0" w:line="240" w:lineRule="auto"/>
        <w:rPr>
          <w:sz w:val="20"/>
          <w:szCs w:val="20"/>
        </w:rPr>
      </w:pPr>
    </w:p>
    <w:p w14:paraId="6490AE6E" w14:textId="1D80AD72" w:rsidR="007018EF" w:rsidRPr="00CD27D3" w:rsidRDefault="007018EF" w:rsidP="00CD27D3">
      <w:pPr>
        <w:spacing w:after="0" w:line="240" w:lineRule="auto"/>
        <w:rPr>
          <w:sz w:val="20"/>
          <w:szCs w:val="20"/>
        </w:rPr>
      </w:pPr>
    </w:p>
    <w:p w14:paraId="6C8AAF13" w14:textId="0818A996" w:rsidR="007018EF" w:rsidRPr="00CD27D3" w:rsidRDefault="007018EF" w:rsidP="00CD27D3">
      <w:pPr>
        <w:spacing w:after="0" w:line="240" w:lineRule="auto"/>
        <w:rPr>
          <w:sz w:val="20"/>
          <w:szCs w:val="20"/>
        </w:rPr>
      </w:pPr>
    </w:p>
    <w:p w14:paraId="352EA5C7" w14:textId="599A854E" w:rsidR="00EC319D" w:rsidRPr="00CD27D3" w:rsidRDefault="00EC319D" w:rsidP="00CD27D3">
      <w:pPr>
        <w:spacing w:after="0" w:line="240" w:lineRule="auto"/>
        <w:rPr>
          <w:sz w:val="20"/>
          <w:szCs w:val="20"/>
        </w:rPr>
      </w:pPr>
    </w:p>
    <w:p w14:paraId="088104A4" w14:textId="0B58CA2E" w:rsidR="00CD27D3" w:rsidRDefault="00CD27D3" w:rsidP="00CD27D3">
      <w:pPr>
        <w:spacing w:after="0" w:line="240" w:lineRule="auto"/>
        <w:rPr>
          <w:sz w:val="20"/>
          <w:szCs w:val="20"/>
        </w:rPr>
      </w:pPr>
    </w:p>
    <w:p w14:paraId="6DB3BC79" w14:textId="77777777" w:rsidR="00CD27D3" w:rsidRDefault="00CD27D3" w:rsidP="00CD27D3">
      <w:pPr>
        <w:spacing w:after="0" w:line="240" w:lineRule="auto"/>
        <w:rPr>
          <w:rFonts w:ascii="Arial" w:hAnsi="Arial" w:cs="Arial"/>
          <w:b/>
          <w:bCs/>
          <w:sz w:val="20"/>
          <w:szCs w:val="20"/>
        </w:rPr>
      </w:pPr>
    </w:p>
    <w:p w14:paraId="3F334592" w14:textId="6C50AAC2" w:rsidR="007018EF" w:rsidRPr="00CD27D3" w:rsidRDefault="007018EF" w:rsidP="00CD27D3">
      <w:pPr>
        <w:spacing w:after="0" w:line="240" w:lineRule="auto"/>
        <w:rPr>
          <w:rFonts w:ascii="Arial" w:hAnsi="Arial" w:cs="Arial"/>
          <w:b/>
          <w:bCs/>
          <w:sz w:val="20"/>
          <w:szCs w:val="20"/>
        </w:rPr>
      </w:pPr>
      <w:r w:rsidRPr="00CD27D3">
        <w:rPr>
          <w:rFonts w:ascii="Arial" w:hAnsi="Arial" w:cs="Arial"/>
          <w:b/>
          <w:bCs/>
          <w:sz w:val="20"/>
          <w:szCs w:val="20"/>
        </w:rPr>
        <w:lastRenderedPageBreak/>
        <w:t>References</w:t>
      </w:r>
    </w:p>
    <w:p w14:paraId="55146C54" w14:textId="0B8CAED5" w:rsidR="007018EF" w:rsidRPr="00CD27D3" w:rsidRDefault="007018EF" w:rsidP="00CD27D3">
      <w:pPr>
        <w:spacing w:after="0" w:line="240" w:lineRule="auto"/>
        <w:rPr>
          <w:rFonts w:ascii="Arial" w:hAnsi="Arial" w:cs="Arial"/>
          <w:sz w:val="20"/>
          <w:szCs w:val="20"/>
        </w:rPr>
      </w:pPr>
    </w:p>
    <w:p w14:paraId="2438A9F8" w14:textId="63918783" w:rsidR="007018EF" w:rsidRDefault="007018EF" w:rsidP="00CD27D3">
      <w:pPr>
        <w:widowControl w:val="0"/>
        <w:autoSpaceDE w:val="0"/>
        <w:autoSpaceDN w:val="0"/>
        <w:adjustRightInd w:val="0"/>
        <w:spacing w:after="0" w:line="240" w:lineRule="auto"/>
        <w:ind w:left="640" w:hanging="640"/>
        <w:jc w:val="both"/>
        <w:rPr>
          <w:rFonts w:ascii="Arial" w:hAnsi="Arial" w:cs="Arial"/>
          <w:noProof/>
          <w:sz w:val="20"/>
          <w:szCs w:val="20"/>
        </w:rPr>
      </w:pPr>
      <w:r w:rsidRPr="00CD27D3">
        <w:rPr>
          <w:rFonts w:ascii="Arial" w:hAnsi="Arial" w:cs="Arial"/>
          <w:sz w:val="20"/>
          <w:szCs w:val="20"/>
        </w:rPr>
        <w:fldChar w:fldCharType="begin" w:fldLock="1"/>
      </w:r>
      <w:r w:rsidRPr="00CD27D3">
        <w:rPr>
          <w:rFonts w:ascii="Arial" w:hAnsi="Arial" w:cs="Arial"/>
          <w:sz w:val="20"/>
          <w:szCs w:val="20"/>
        </w:rPr>
        <w:instrText xml:space="preserve">ADDIN Mendeley Bibliography CSL_BIBLIOGRAPHY </w:instrText>
      </w:r>
      <w:r w:rsidRPr="00CD27D3">
        <w:rPr>
          <w:rFonts w:ascii="Arial" w:hAnsi="Arial" w:cs="Arial"/>
          <w:sz w:val="20"/>
          <w:szCs w:val="20"/>
        </w:rPr>
        <w:fldChar w:fldCharType="separate"/>
      </w:r>
      <w:r w:rsidRPr="00CD27D3">
        <w:rPr>
          <w:rFonts w:ascii="Arial" w:hAnsi="Arial" w:cs="Arial"/>
          <w:noProof/>
          <w:sz w:val="20"/>
          <w:szCs w:val="20"/>
        </w:rPr>
        <w:t>1.</w:t>
      </w:r>
      <w:r w:rsidRPr="00CD27D3">
        <w:rPr>
          <w:rFonts w:ascii="Arial" w:hAnsi="Arial" w:cs="Arial"/>
          <w:noProof/>
          <w:sz w:val="20"/>
          <w:szCs w:val="20"/>
        </w:rPr>
        <w:tab/>
        <w:t xml:space="preserve">Togashi, Y. </w:t>
      </w:r>
      <w:r w:rsidRPr="00CD27D3">
        <w:rPr>
          <w:rFonts w:ascii="Arial" w:hAnsi="Arial" w:cs="Arial"/>
          <w:i/>
          <w:iCs/>
          <w:noProof/>
          <w:sz w:val="20"/>
          <w:szCs w:val="20"/>
        </w:rPr>
        <w:t>et al.</w:t>
      </w:r>
      <w:r w:rsidRPr="00CD27D3">
        <w:rPr>
          <w:rFonts w:ascii="Arial" w:hAnsi="Arial" w:cs="Arial"/>
          <w:noProof/>
          <w:sz w:val="20"/>
          <w:szCs w:val="20"/>
        </w:rPr>
        <w:t xml:space="preserve"> Pharmacokinetics of erlotinib and its active metabolite OSI-420 in patients with non-small cell lung cancer and chronic renal failure who are undergoing hemodialysis. </w:t>
      </w:r>
      <w:r w:rsidRPr="00CD27D3">
        <w:rPr>
          <w:rFonts w:ascii="Arial" w:hAnsi="Arial" w:cs="Arial"/>
          <w:i/>
          <w:iCs/>
          <w:noProof/>
          <w:sz w:val="20"/>
          <w:szCs w:val="20"/>
        </w:rPr>
        <w:t>J. Thorac. Oncol.</w:t>
      </w:r>
      <w:r w:rsidRPr="00CD27D3">
        <w:rPr>
          <w:rFonts w:ascii="Arial" w:hAnsi="Arial" w:cs="Arial"/>
          <w:noProof/>
          <w:sz w:val="20"/>
          <w:szCs w:val="20"/>
        </w:rPr>
        <w:t xml:space="preserve"> </w:t>
      </w:r>
      <w:r w:rsidRPr="00CD27D3">
        <w:rPr>
          <w:rFonts w:ascii="Arial" w:hAnsi="Arial" w:cs="Arial"/>
          <w:b/>
          <w:bCs/>
          <w:noProof/>
          <w:sz w:val="20"/>
          <w:szCs w:val="20"/>
        </w:rPr>
        <w:t>5</w:t>
      </w:r>
      <w:r w:rsidRPr="00CD27D3">
        <w:rPr>
          <w:rFonts w:ascii="Arial" w:hAnsi="Arial" w:cs="Arial"/>
          <w:noProof/>
          <w:sz w:val="20"/>
          <w:szCs w:val="20"/>
        </w:rPr>
        <w:t>, 601–605 (2010).</w:t>
      </w:r>
    </w:p>
    <w:p w14:paraId="610892B7" w14:textId="77777777" w:rsidR="00FB58CC" w:rsidRPr="00CD27D3" w:rsidRDefault="00FB58CC" w:rsidP="00CD27D3">
      <w:pPr>
        <w:widowControl w:val="0"/>
        <w:autoSpaceDE w:val="0"/>
        <w:autoSpaceDN w:val="0"/>
        <w:adjustRightInd w:val="0"/>
        <w:spacing w:after="0" w:line="240" w:lineRule="auto"/>
        <w:ind w:left="640" w:hanging="640"/>
        <w:jc w:val="both"/>
        <w:rPr>
          <w:rFonts w:ascii="Arial" w:hAnsi="Arial" w:cs="Arial"/>
          <w:noProof/>
          <w:sz w:val="20"/>
          <w:szCs w:val="20"/>
        </w:rPr>
      </w:pPr>
    </w:p>
    <w:p w14:paraId="2CDD5049" w14:textId="5A2A4904" w:rsidR="007018EF" w:rsidRDefault="007018EF" w:rsidP="00CD27D3">
      <w:pPr>
        <w:widowControl w:val="0"/>
        <w:autoSpaceDE w:val="0"/>
        <w:autoSpaceDN w:val="0"/>
        <w:adjustRightInd w:val="0"/>
        <w:spacing w:after="0" w:line="240" w:lineRule="auto"/>
        <w:ind w:left="640" w:hanging="640"/>
        <w:jc w:val="both"/>
        <w:rPr>
          <w:rFonts w:ascii="Arial" w:hAnsi="Arial" w:cs="Arial"/>
          <w:noProof/>
          <w:sz w:val="20"/>
          <w:szCs w:val="20"/>
        </w:rPr>
      </w:pPr>
      <w:r w:rsidRPr="00CD27D3">
        <w:rPr>
          <w:rFonts w:ascii="Arial" w:hAnsi="Arial" w:cs="Arial"/>
          <w:noProof/>
          <w:sz w:val="20"/>
          <w:szCs w:val="20"/>
        </w:rPr>
        <w:t>2.</w:t>
      </w:r>
      <w:r w:rsidRPr="00CD27D3">
        <w:rPr>
          <w:rFonts w:ascii="Arial" w:hAnsi="Arial" w:cs="Arial"/>
          <w:noProof/>
          <w:sz w:val="20"/>
          <w:szCs w:val="20"/>
        </w:rPr>
        <w:tab/>
        <w:t xml:space="preserve">Yamamoto, N. </w:t>
      </w:r>
      <w:r w:rsidRPr="00CD27D3">
        <w:rPr>
          <w:rFonts w:ascii="Arial" w:hAnsi="Arial" w:cs="Arial"/>
          <w:i/>
          <w:iCs/>
          <w:noProof/>
          <w:sz w:val="20"/>
          <w:szCs w:val="20"/>
        </w:rPr>
        <w:t>et al.</w:t>
      </w:r>
      <w:r w:rsidRPr="00CD27D3">
        <w:rPr>
          <w:rFonts w:ascii="Arial" w:hAnsi="Arial" w:cs="Arial"/>
          <w:noProof/>
          <w:sz w:val="20"/>
          <w:szCs w:val="20"/>
        </w:rPr>
        <w:t xml:space="preserve"> Phase I dose-finding and pharmacokinetic study of the oral epidermal growth factor receptor tyrosine kinase inhibitor Ro50-8231 (erlotinib) in Japanese patients with solid tumors. </w:t>
      </w:r>
      <w:r w:rsidRPr="00CD27D3">
        <w:rPr>
          <w:rFonts w:ascii="Arial" w:hAnsi="Arial" w:cs="Arial"/>
          <w:i/>
          <w:iCs/>
          <w:noProof/>
          <w:sz w:val="20"/>
          <w:szCs w:val="20"/>
        </w:rPr>
        <w:t>Cancer Chemother Pharmacol</w:t>
      </w:r>
      <w:r w:rsidRPr="00CD27D3">
        <w:rPr>
          <w:rFonts w:ascii="Arial" w:hAnsi="Arial" w:cs="Arial"/>
          <w:noProof/>
          <w:sz w:val="20"/>
          <w:szCs w:val="20"/>
        </w:rPr>
        <w:t xml:space="preserve"> </w:t>
      </w:r>
      <w:r w:rsidRPr="00CD27D3">
        <w:rPr>
          <w:rFonts w:ascii="Arial" w:hAnsi="Arial" w:cs="Arial"/>
          <w:b/>
          <w:bCs/>
          <w:noProof/>
          <w:sz w:val="20"/>
          <w:szCs w:val="20"/>
        </w:rPr>
        <w:t>61</w:t>
      </w:r>
      <w:r w:rsidRPr="00CD27D3">
        <w:rPr>
          <w:rFonts w:ascii="Arial" w:hAnsi="Arial" w:cs="Arial"/>
          <w:noProof/>
          <w:sz w:val="20"/>
          <w:szCs w:val="20"/>
        </w:rPr>
        <w:t>, 489–496 (2008).</w:t>
      </w:r>
    </w:p>
    <w:p w14:paraId="23400D93" w14:textId="77777777" w:rsidR="00FB58CC" w:rsidRPr="00CD27D3" w:rsidRDefault="00FB58CC" w:rsidP="00CD27D3">
      <w:pPr>
        <w:widowControl w:val="0"/>
        <w:autoSpaceDE w:val="0"/>
        <w:autoSpaceDN w:val="0"/>
        <w:adjustRightInd w:val="0"/>
        <w:spacing w:after="0" w:line="240" w:lineRule="auto"/>
        <w:ind w:left="640" w:hanging="640"/>
        <w:jc w:val="both"/>
        <w:rPr>
          <w:rFonts w:ascii="Arial" w:hAnsi="Arial" w:cs="Arial"/>
          <w:noProof/>
          <w:sz w:val="20"/>
          <w:szCs w:val="20"/>
        </w:rPr>
      </w:pPr>
    </w:p>
    <w:p w14:paraId="415DC08C" w14:textId="77777777" w:rsidR="007018EF" w:rsidRPr="00CD27D3" w:rsidRDefault="007018EF" w:rsidP="00CD27D3">
      <w:pPr>
        <w:widowControl w:val="0"/>
        <w:autoSpaceDE w:val="0"/>
        <w:autoSpaceDN w:val="0"/>
        <w:adjustRightInd w:val="0"/>
        <w:spacing w:after="0" w:line="240" w:lineRule="auto"/>
        <w:ind w:left="641" w:hanging="641"/>
        <w:jc w:val="both"/>
        <w:rPr>
          <w:rFonts w:ascii="Arial" w:hAnsi="Arial" w:cs="Arial"/>
          <w:noProof/>
          <w:sz w:val="20"/>
          <w:szCs w:val="20"/>
        </w:rPr>
      </w:pPr>
      <w:r w:rsidRPr="00CD27D3">
        <w:rPr>
          <w:rFonts w:ascii="Arial" w:hAnsi="Arial" w:cs="Arial"/>
          <w:noProof/>
          <w:sz w:val="20"/>
          <w:szCs w:val="20"/>
        </w:rPr>
        <w:t>3.</w:t>
      </w:r>
      <w:r w:rsidRPr="00CD27D3">
        <w:rPr>
          <w:rFonts w:ascii="Arial" w:hAnsi="Arial" w:cs="Arial"/>
          <w:noProof/>
          <w:sz w:val="20"/>
          <w:szCs w:val="20"/>
        </w:rPr>
        <w:tab/>
        <w:t xml:space="preserve">Larson, R. A. </w:t>
      </w:r>
      <w:r w:rsidRPr="00CD27D3">
        <w:rPr>
          <w:rFonts w:ascii="Arial" w:hAnsi="Arial" w:cs="Arial"/>
          <w:i/>
          <w:iCs/>
          <w:noProof/>
          <w:sz w:val="20"/>
          <w:szCs w:val="20"/>
        </w:rPr>
        <w:t>et al.</w:t>
      </w:r>
      <w:r w:rsidRPr="00CD27D3">
        <w:rPr>
          <w:rFonts w:ascii="Arial" w:hAnsi="Arial" w:cs="Arial"/>
          <w:noProof/>
          <w:sz w:val="20"/>
          <w:szCs w:val="20"/>
        </w:rPr>
        <w:t xml:space="preserve"> Population pharmacokinetic and exposure-response analysis of nilotinib in patients with newly diagnosed Ph+ chronic myeloid leukemia in chronic phase. </w:t>
      </w:r>
      <w:r w:rsidRPr="00CD27D3">
        <w:rPr>
          <w:rFonts w:ascii="Arial" w:hAnsi="Arial" w:cs="Arial"/>
          <w:i/>
          <w:iCs/>
          <w:noProof/>
          <w:sz w:val="20"/>
          <w:szCs w:val="20"/>
        </w:rPr>
        <w:t>Eur J Clin Pharmacol</w:t>
      </w:r>
      <w:r w:rsidRPr="00CD27D3">
        <w:rPr>
          <w:rFonts w:ascii="Arial" w:hAnsi="Arial" w:cs="Arial"/>
          <w:noProof/>
          <w:sz w:val="20"/>
          <w:szCs w:val="20"/>
        </w:rPr>
        <w:t xml:space="preserve"> </w:t>
      </w:r>
      <w:r w:rsidRPr="00CD27D3">
        <w:rPr>
          <w:rFonts w:ascii="Arial" w:hAnsi="Arial" w:cs="Arial"/>
          <w:b/>
          <w:bCs/>
          <w:noProof/>
          <w:sz w:val="20"/>
          <w:szCs w:val="20"/>
        </w:rPr>
        <w:t>68</w:t>
      </w:r>
      <w:r w:rsidRPr="00CD27D3">
        <w:rPr>
          <w:rFonts w:ascii="Arial" w:hAnsi="Arial" w:cs="Arial"/>
          <w:noProof/>
          <w:sz w:val="20"/>
          <w:szCs w:val="20"/>
        </w:rPr>
        <w:t>, 723–733 (2012).</w:t>
      </w:r>
    </w:p>
    <w:p w14:paraId="2F1BCC77" w14:textId="093B019D" w:rsidR="007018EF" w:rsidRDefault="007018EF" w:rsidP="00CD27D3">
      <w:pPr>
        <w:spacing w:after="0" w:line="240" w:lineRule="auto"/>
        <w:jc w:val="both"/>
      </w:pPr>
      <w:r w:rsidRPr="00CD27D3">
        <w:rPr>
          <w:rFonts w:ascii="Arial" w:hAnsi="Arial" w:cs="Arial"/>
          <w:sz w:val="20"/>
          <w:szCs w:val="20"/>
        </w:rPr>
        <w:fldChar w:fldCharType="end"/>
      </w:r>
    </w:p>
    <w:sectPr w:rsidR="007018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4BD"/>
    <w:rsid w:val="002C778F"/>
    <w:rsid w:val="003924BD"/>
    <w:rsid w:val="004A7A01"/>
    <w:rsid w:val="007018EF"/>
    <w:rsid w:val="00701BF7"/>
    <w:rsid w:val="0099123D"/>
    <w:rsid w:val="00A030B5"/>
    <w:rsid w:val="00AA0956"/>
    <w:rsid w:val="00AE53FB"/>
    <w:rsid w:val="00B04FB4"/>
    <w:rsid w:val="00C84534"/>
    <w:rsid w:val="00CD27D3"/>
    <w:rsid w:val="00EC319D"/>
    <w:rsid w:val="00ED7D4D"/>
    <w:rsid w:val="00F40B8C"/>
    <w:rsid w:val="00FB58CC"/>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3252F"/>
  <w15:chartTrackingRefBased/>
  <w15:docId w15:val="{7855E549-8A9C-4F4C-817D-D33266E9D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SG"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24BD"/>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3924BD"/>
    <w:pPr>
      <w:spacing w:line="240" w:lineRule="auto"/>
      <w:jc w:val="both"/>
    </w:pPr>
    <w:rPr>
      <w:rFonts w:ascii="Helvetica" w:eastAsia="SimSun" w:hAnsi="Helvetica"/>
      <w:bCs/>
      <w:sz w:val="20"/>
      <w:szCs w:val="20"/>
      <w:lang w:eastAsia="en-US"/>
    </w:rPr>
  </w:style>
  <w:style w:type="table" w:styleId="PlainTable2">
    <w:name w:val="Plain Table 2"/>
    <w:basedOn w:val="TableNormal"/>
    <w:uiPriority w:val="42"/>
    <w:rsid w:val="003924BD"/>
    <w:pPr>
      <w:spacing w:after="0" w:line="240" w:lineRule="auto"/>
    </w:pPr>
    <w:rPr>
      <w:rFonts w:eastAsia="SimSun"/>
      <w:lang w:val="en-US"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A39742-DE4D-4CC1-88EB-C50DC2399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3004</Words>
  <Characters>17125</Characters>
  <Application>Microsoft Office Word</Application>
  <DocSecurity>0</DocSecurity>
  <Lines>142</Lines>
  <Paragraphs>40</Paragraphs>
  <ScaleCrop>false</ScaleCrop>
  <Company/>
  <LinksUpToDate>false</LinksUpToDate>
  <CharactersWithSpaces>20089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Jing Yi Eleanor Cheong</dc:creator>
  <cp:keywords/>
  <dc:description/>
  <cp:lastModifiedBy>Eleanor Cheong</cp:lastModifiedBy>
  <cp:revision>9</cp:revision>
  <dcterms:created xsi:type="dcterms:W3CDTF">2021-03-01T09:33:00Z</dcterms:created>
  <dcterms:modified xsi:type="dcterms:W3CDTF">2021-05-29T12:39:00Z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http://www.zotero.org/styles/american-sociological-association</vt:lpwstr>
  </property>
  <property fmtid="{D5CDD505-2E9C-101B-9397-08002B2CF9AE}" pid="3" name="Mendeley Recent Style Name 0_1">
    <vt:lpwstr>American Sociological Association</vt:lpwstr>
  </property>
  <property fmtid="{D5CDD505-2E9C-101B-9397-08002B2CF9AE}" pid="4" name="Mendeley Recent Style Id 1_1">
    <vt:lpwstr>http://www.zotero.org/styles/archives-of-toxicology</vt:lpwstr>
  </property>
  <property fmtid="{D5CDD505-2E9C-101B-9397-08002B2CF9AE}" pid="5" name="Mendeley Recent Style Name 1_1">
    <vt:lpwstr>Archives of Toxicology</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10th edition - Harvard</vt:lpwstr>
  </property>
  <property fmtid="{D5CDD505-2E9C-101B-9397-08002B2CF9AE}" pid="10" name="Mendeley Recent Style Id 4_1">
    <vt:lpwstr>http://www.zotero.org/styles/clinical-pharmacology-and-therapeutics</vt:lpwstr>
  </property>
  <property fmtid="{D5CDD505-2E9C-101B-9397-08002B2CF9AE}" pid="11" name="Mendeley Recent Style Name 4_1">
    <vt:lpwstr>Clinical Pharmacology &amp; Therapeutics</vt:lpwstr>
  </property>
  <property fmtid="{D5CDD505-2E9C-101B-9397-08002B2CF9AE}" pid="12" name="Mendeley Recent Style Id 5_1">
    <vt:lpwstr>http://www.zotero.org/styles/drug-testing-and-analysis</vt:lpwstr>
  </property>
  <property fmtid="{D5CDD505-2E9C-101B-9397-08002B2CF9AE}" pid="13" name="Mendeley Recent Style Name 5_1">
    <vt:lpwstr>Drug Testing and Analysis</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http://www.zotero.org/styles/the-journal-of-pharmacology-and-experimental-therapeutics</vt:lpwstr>
  </property>
  <property fmtid="{D5CDD505-2E9C-101B-9397-08002B2CF9AE}" pid="21" name="Mendeley Recent Style Name 9_1">
    <vt:lpwstr>The Journal of Pharmacology and Experimental Therapeutics</vt:lpwstr>
  </property>
  <property fmtid="{D5CDD505-2E9C-101B-9397-08002B2CF9AE}" pid="22" name="Mendeley Document_1">
    <vt:lpwstr>True</vt:lpwstr>
  </property>
  <property fmtid="{D5CDD505-2E9C-101B-9397-08002B2CF9AE}" pid="23" name="Mendeley Unique User Id_1">
    <vt:lpwstr>4d7b50db-5c43-38a4-a1f6-1befd9e54280</vt:lpwstr>
  </property>
  <property fmtid="{D5CDD505-2E9C-101B-9397-08002B2CF9AE}" pid="24" name="Mendeley Citation Style_1">
    <vt:lpwstr>http://www.zotero.org/styles/clinical-pharmacology-and-therapeutics</vt:lpwstr>
  </property>
</Properties>
</file>