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B2360" w14:textId="0AFA391B" w:rsidR="003724A4" w:rsidRPr="003724A4" w:rsidRDefault="003724A4" w:rsidP="003724A4">
      <w:pPr>
        <w:spacing w:after="0" w:line="240" w:lineRule="auto"/>
        <w:rPr>
          <w:rFonts w:ascii="Arial" w:hAnsi="Arial" w:cs="Arial"/>
          <w:bCs/>
          <w:sz w:val="20"/>
          <w:szCs w:val="20"/>
        </w:rPr>
      </w:pPr>
      <w:bookmarkStart w:id="0" w:name="_Toc48636321"/>
      <w:bookmarkStart w:id="1" w:name="_Toc48636677"/>
      <w:bookmarkStart w:id="2" w:name="_Toc48636824"/>
      <w:bookmarkStart w:id="3" w:name="_Toc48775909"/>
      <w:r w:rsidRPr="003724A4">
        <w:rPr>
          <w:rFonts w:ascii="Arial" w:hAnsi="Arial" w:cs="Arial"/>
          <w:b/>
          <w:sz w:val="20"/>
          <w:szCs w:val="20"/>
        </w:rPr>
        <w:t>Table S</w:t>
      </w:r>
      <w:r>
        <w:rPr>
          <w:rFonts w:ascii="Arial" w:hAnsi="Arial" w:cs="Arial"/>
          <w:b/>
          <w:sz w:val="20"/>
          <w:szCs w:val="20"/>
        </w:rPr>
        <w:t>1a</w:t>
      </w:r>
      <w:r w:rsidRPr="003724A4">
        <w:rPr>
          <w:rFonts w:ascii="Arial" w:hAnsi="Arial" w:cs="Arial"/>
          <w:b/>
          <w:sz w:val="20"/>
          <w:szCs w:val="20"/>
        </w:rPr>
        <w:t xml:space="preserve">. </w:t>
      </w:r>
      <w:r w:rsidRPr="003724A4">
        <w:rPr>
          <w:rFonts w:ascii="Arial" w:hAnsi="Arial" w:cs="Arial"/>
          <w:bCs/>
          <w:sz w:val="20"/>
          <w:szCs w:val="20"/>
        </w:rPr>
        <w:t>Key input parameters for the PBPK model of erlotinib</w:t>
      </w:r>
      <w:bookmarkEnd w:id="0"/>
      <w:bookmarkEnd w:id="1"/>
      <w:bookmarkEnd w:id="2"/>
      <w:bookmarkEnd w:id="3"/>
    </w:p>
    <w:p w14:paraId="60C91F78" w14:textId="77777777" w:rsidR="003724A4" w:rsidRPr="003724A4" w:rsidRDefault="003724A4" w:rsidP="003724A4">
      <w:pPr>
        <w:spacing w:after="0" w:line="240" w:lineRule="auto"/>
        <w:rPr>
          <w:rFonts w:ascii="Arial" w:hAnsi="Arial" w:cs="Arial"/>
          <w:bCs/>
          <w:sz w:val="20"/>
          <w:szCs w:val="20"/>
        </w:rPr>
      </w:pPr>
    </w:p>
    <w:tbl>
      <w:tblPr>
        <w:tblW w:w="5000" w:type="pct"/>
        <w:tblLayout w:type="fixed"/>
        <w:tblLook w:val="04A0" w:firstRow="1" w:lastRow="0" w:firstColumn="1" w:lastColumn="0" w:noHBand="0" w:noVBand="1"/>
      </w:tblPr>
      <w:tblGrid>
        <w:gridCol w:w="3008"/>
        <w:gridCol w:w="3009"/>
        <w:gridCol w:w="3009"/>
      </w:tblGrid>
      <w:tr w:rsidR="003724A4" w:rsidRPr="003724A4" w14:paraId="1B0987CD" w14:textId="77777777" w:rsidTr="009B5520">
        <w:trPr>
          <w:trHeight w:val="290"/>
        </w:trPr>
        <w:tc>
          <w:tcPr>
            <w:tcW w:w="1666" w:type="pct"/>
            <w:tcBorders>
              <w:top w:val="single" w:sz="4" w:space="0" w:color="auto"/>
              <w:bottom w:val="single" w:sz="4" w:space="0" w:color="auto"/>
            </w:tcBorders>
            <w:shd w:val="clear" w:color="auto" w:fill="auto"/>
            <w:noWrap/>
            <w:vAlign w:val="center"/>
            <w:hideMark/>
          </w:tcPr>
          <w:p w14:paraId="1EC939B4"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Parameter</w:t>
            </w:r>
          </w:p>
        </w:tc>
        <w:tc>
          <w:tcPr>
            <w:tcW w:w="1667" w:type="pct"/>
            <w:tcBorders>
              <w:top w:val="single" w:sz="4" w:space="0" w:color="auto"/>
              <w:left w:val="nil"/>
              <w:bottom w:val="single" w:sz="4" w:space="0" w:color="auto"/>
            </w:tcBorders>
            <w:shd w:val="clear" w:color="auto" w:fill="auto"/>
            <w:noWrap/>
            <w:vAlign w:val="center"/>
            <w:hideMark/>
          </w:tcPr>
          <w:p w14:paraId="28B77294"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Value</w:t>
            </w:r>
          </w:p>
        </w:tc>
        <w:tc>
          <w:tcPr>
            <w:tcW w:w="1667" w:type="pct"/>
            <w:tcBorders>
              <w:top w:val="single" w:sz="4" w:space="0" w:color="auto"/>
              <w:left w:val="nil"/>
              <w:bottom w:val="single" w:sz="4" w:space="0" w:color="auto"/>
            </w:tcBorders>
            <w:vAlign w:val="center"/>
          </w:tcPr>
          <w:p w14:paraId="20B3567C"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Method/Reference</w:t>
            </w:r>
          </w:p>
        </w:tc>
      </w:tr>
      <w:tr w:rsidR="003724A4" w:rsidRPr="003724A4" w14:paraId="1CA9595F" w14:textId="77777777" w:rsidTr="009B5520">
        <w:trPr>
          <w:trHeight w:val="290"/>
        </w:trPr>
        <w:tc>
          <w:tcPr>
            <w:tcW w:w="1666" w:type="pct"/>
            <w:tcBorders>
              <w:top w:val="nil"/>
              <w:bottom w:val="single" w:sz="4" w:space="0" w:color="auto"/>
            </w:tcBorders>
            <w:shd w:val="clear" w:color="auto" w:fill="auto"/>
            <w:noWrap/>
            <w:vAlign w:val="center"/>
            <w:hideMark/>
          </w:tcPr>
          <w:p w14:paraId="57AB722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Mol Weight (g/mol)</w:t>
            </w:r>
          </w:p>
        </w:tc>
        <w:tc>
          <w:tcPr>
            <w:tcW w:w="1667" w:type="pct"/>
            <w:tcBorders>
              <w:top w:val="nil"/>
              <w:left w:val="nil"/>
              <w:bottom w:val="single" w:sz="4" w:space="0" w:color="auto"/>
            </w:tcBorders>
            <w:shd w:val="clear" w:color="auto" w:fill="auto"/>
            <w:noWrap/>
            <w:vAlign w:val="center"/>
            <w:hideMark/>
          </w:tcPr>
          <w:p w14:paraId="6747223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393.4</w:t>
            </w:r>
          </w:p>
        </w:tc>
        <w:tc>
          <w:tcPr>
            <w:tcW w:w="1667" w:type="pct"/>
            <w:tcBorders>
              <w:top w:val="nil"/>
              <w:left w:val="nil"/>
              <w:bottom w:val="single" w:sz="4" w:space="0" w:color="auto"/>
            </w:tcBorders>
          </w:tcPr>
          <w:p w14:paraId="2EF8DFA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EMA, FDA</w:t>
            </w:r>
          </w:p>
        </w:tc>
      </w:tr>
      <w:tr w:rsidR="003724A4" w:rsidRPr="003724A4" w14:paraId="154AB144" w14:textId="77777777" w:rsidTr="009B5520">
        <w:trPr>
          <w:trHeight w:val="290"/>
        </w:trPr>
        <w:tc>
          <w:tcPr>
            <w:tcW w:w="1666" w:type="pct"/>
            <w:tcBorders>
              <w:top w:val="nil"/>
              <w:bottom w:val="single" w:sz="4" w:space="0" w:color="auto"/>
            </w:tcBorders>
            <w:shd w:val="clear" w:color="auto" w:fill="auto"/>
            <w:noWrap/>
            <w:vAlign w:val="center"/>
            <w:hideMark/>
          </w:tcPr>
          <w:p w14:paraId="27D6587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log P</w:t>
            </w:r>
          </w:p>
        </w:tc>
        <w:tc>
          <w:tcPr>
            <w:tcW w:w="1667" w:type="pct"/>
            <w:tcBorders>
              <w:top w:val="nil"/>
              <w:left w:val="nil"/>
              <w:bottom w:val="single" w:sz="4" w:space="0" w:color="auto"/>
            </w:tcBorders>
            <w:shd w:val="clear" w:color="auto" w:fill="auto"/>
            <w:noWrap/>
            <w:vAlign w:val="center"/>
            <w:hideMark/>
          </w:tcPr>
          <w:p w14:paraId="650CCDF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2.7</w:t>
            </w:r>
          </w:p>
        </w:tc>
        <w:tc>
          <w:tcPr>
            <w:tcW w:w="1667" w:type="pct"/>
            <w:tcBorders>
              <w:top w:val="nil"/>
              <w:left w:val="nil"/>
              <w:bottom w:val="single" w:sz="4" w:space="0" w:color="auto"/>
            </w:tcBorders>
          </w:tcPr>
          <w:p w14:paraId="37460C17" w14:textId="0831FA39"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EMA, (Gruber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{"citationItems":[{"id":"ITEM-1","itemData":{"DOI":"10.1007/s00280-018-3545-4","ISBN":"0123456789","ISSN":"14320843","abstract":"Purpose: In this study, a therapeutic drug monitoring (TDM) of erlotinib in pancreatic cancer patients was performed over 50 weeks to reveal possible alterations in erlotinib plasma concentrations. Additionally, a physiologically based pharmacokinetic (PBPK) model was created to assess such variations in silico. Methods: Patients with advanced pancreatic cancer received a chemotherapeutic combination of 100 mg erlotinib q.d., 500–900 mg capecitabine b.d. and 5 mg/kg bevacizumab q.2wks. Samples were analyzed by HPLC and the results were compared to a PBPK model, built with the software GastroPlus™ and based on calculated and literature data. Results: The erlotinib plasma concentrations did not show any accumulation, but displayed a high inter-patient variability over the whole investigated period. Trough plasma concentrations ranged from 0.04 to 1.22 µg/ml after day 1 and from 0.01 to 2.4 µg/ml in the long-term assessment. 7% of the patients showed concentrations below the necessary activity threshold of 0.5 µg/ml during the first week. The impact of some co-variates on the pharmacokinetic parameters C max and AUC 0–24 were shown in a PBPK model, including food effects, changes in body weight, protein binding or liver function and the concomitant intake of gastric acid reducing agents (ARAs). Conclusion: This study presents the approach of combining TDM and PBPK modeling for erlotinib, a drug with a high interaction potential. TDM is an important method to monitor drugs with increased inter-patient variability, additionally, the PBPK model contributed valuable insights to the interaction mechanisms involved, resulting in an effective combination from a PK perspective to ensure a safe treatment.","author":[{"dropping-particle":"","family":"Gruber","given":"Andrea","non-dropping-particle":"","parse-names":false,"suffix":""},{"dropping-particle":"","family":"Czejka","given":"Martin","non-dropping-particle":"","parse-names":false,"suffix":""},{"dropping-particle":"","family":"Buchner","given":"Philipp","non-dropping-particle":"","parse-names":false,"suffix":""},{"dropping-particle":"","family":"Kitzmueller","given":"Marie","non-dropping-particle":"","parse-names":false,"suffix":""},{"dropping-particle":"","family":"Kirchbaumer Baroian","given":"Nairi","non-dropping-particle":"","parse-names":false,"suffix":""},{"dropping-particle":"","family":"Dittrich","given":"Christian","non-dropping-particle":"","parse-names":false,"suffix":""},{"dropping-particle":"","family":"Sahmanovic Hrgovcic","given":"Azra","non-dropping-particle":"","parse-names":false,"suffix":""}],"container-title":"Cancer Chemotherapy and Pharmacology","id":"ITEM-1","issue":"4","issued":{"date-parts":[["2018"]]},"page":"763-771","publisher":"Springer Berlin Heidelberg","title":"Monitoring of erlotinib in pancreatic cancer patients during long-time administration and comparison to a physiologically based pharmacokinetic model","type":"article-journal","volume":"81"},"uris":["http://www.mendeley.com/documents/?uuid=50582529-91dc-4be8-a392-e2f67c76ecbb","http://www.mendeley.com/documents/?uuid=4814ee4f-9443-4aae-82d6-929a8bfe8e3d"]}],"mendeley":{"formattedCitation":"&lt;sup&gt;1&lt;/sup&gt;","plainTextFormattedCitation":"1","previouslyFormattedCitation":"&lt;sup&gt;1&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1</w:t>
            </w:r>
            <w:r w:rsidRPr="003724A4">
              <w:rPr>
                <w:rFonts w:ascii="Arial" w:eastAsia="Times New Roman" w:hAnsi="Arial" w:cs="Arial"/>
                <w:color w:val="000000"/>
                <w:sz w:val="20"/>
                <w:szCs w:val="20"/>
              </w:rPr>
              <w:fldChar w:fldCharType="end"/>
            </w:r>
          </w:p>
        </w:tc>
      </w:tr>
      <w:tr w:rsidR="003724A4" w:rsidRPr="003724A4" w14:paraId="7D3F48E8" w14:textId="77777777" w:rsidTr="009B5520">
        <w:trPr>
          <w:trHeight w:val="290"/>
        </w:trPr>
        <w:tc>
          <w:tcPr>
            <w:tcW w:w="1666" w:type="pct"/>
            <w:tcBorders>
              <w:top w:val="nil"/>
              <w:bottom w:val="single" w:sz="4" w:space="0" w:color="auto"/>
            </w:tcBorders>
            <w:shd w:val="clear" w:color="auto" w:fill="auto"/>
            <w:noWrap/>
            <w:vAlign w:val="center"/>
            <w:hideMark/>
          </w:tcPr>
          <w:p w14:paraId="6D7F282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Compound Type</w:t>
            </w:r>
          </w:p>
        </w:tc>
        <w:tc>
          <w:tcPr>
            <w:tcW w:w="1667" w:type="pct"/>
            <w:tcBorders>
              <w:top w:val="nil"/>
              <w:left w:val="nil"/>
              <w:bottom w:val="single" w:sz="4" w:space="0" w:color="auto"/>
            </w:tcBorders>
            <w:shd w:val="clear" w:color="auto" w:fill="auto"/>
            <w:noWrap/>
            <w:vAlign w:val="center"/>
            <w:hideMark/>
          </w:tcPr>
          <w:p w14:paraId="423592E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Monoprotic Base</w:t>
            </w:r>
          </w:p>
        </w:tc>
        <w:tc>
          <w:tcPr>
            <w:tcW w:w="1667" w:type="pct"/>
            <w:tcBorders>
              <w:top w:val="nil"/>
              <w:left w:val="nil"/>
              <w:bottom w:val="single" w:sz="4" w:space="0" w:color="auto"/>
            </w:tcBorders>
          </w:tcPr>
          <w:p w14:paraId="1C517D4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A4928FB" w14:textId="77777777" w:rsidTr="009B5520">
        <w:trPr>
          <w:trHeight w:val="290"/>
        </w:trPr>
        <w:tc>
          <w:tcPr>
            <w:tcW w:w="1666" w:type="pct"/>
            <w:tcBorders>
              <w:top w:val="nil"/>
              <w:bottom w:val="single" w:sz="4" w:space="0" w:color="auto"/>
            </w:tcBorders>
            <w:shd w:val="clear" w:color="auto" w:fill="auto"/>
            <w:noWrap/>
            <w:vAlign w:val="center"/>
            <w:hideMark/>
          </w:tcPr>
          <w:p w14:paraId="7FDCD6C0"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pKa</w:t>
            </w:r>
            <w:proofErr w:type="spellEnd"/>
            <w:r w:rsidRPr="003724A4">
              <w:rPr>
                <w:rFonts w:ascii="Arial" w:eastAsia="Times New Roman" w:hAnsi="Arial" w:cs="Arial"/>
                <w:color w:val="000000"/>
                <w:sz w:val="20"/>
                <w:szCs w:val="20"/>
              </w:rPr>
              <w:t xml:space="preserve"> 1</w:t>
            </w:r>
          </w:p>
        </w:tc>
        <w:tc>
          <w:tcPr>
            <w:tcW w:w="1667" w:type="pct"/>
            <w:tcBorders>
              <w:top w:val="nil"/>
              <w:left w:val="nil"/>
              <w:bottom w:val="single" w:sz="4" w:space="0" w:color="auto"/>
            </w:tcBorders>
            <w:shd w:val="clear" w:color="auto" w:fill="auto"/>
            <w:noWrap/>
            <w:vAlign w:val="center"/>
            <w:hideMark/>
          </w:tcPr>
          <w:p w14:paraId="5627884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5.42</w:t>
            </w:r>
          </w:p>
        </w:tc>
        <w:tc>
          <w:tcPr>
            <w:tcW w:w="1667" w:type="pct"/>
            <w:tcBorders>
              <w:top w:val="nil"/>
              <w:left w:val="nil"/>
              <w:bottom w:val="single" w:sz="4" w:space="0" w:color="auto"/>
            </w:tcBorders>
          </w:tcPr>
          <w:p w14:paraId="45A4B1E3" w14:textId="3DEE95FE"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EMA, (Gruber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{"citationItems":[{"id":"ITEM-1","itemData":{"DOI":"10.1007/s00280-018-3545-4","ISBN":"0123456789","ISSN":"14320843","abstract":"Purpose: In this study, a therapeutic drug monitoring (TDM) of erlotinib in pancreatic cancer patients was performed over 50 weeks to reveal possible alterations in erlotinib plasma concentrations. Additionally, a physiologically based pharmacokinetic (PBPK) model was created to assess such variations in silico. Methods: Patients with advanced pancreatic cancer received a chemotherapeutic combination of 100 mg erlotinib q.d., 500–900 mg capecitabine b.d. and 5 mg/kg bevacizumab q.2wks. Samples were analyzed by HPLC and the results were compared to a PBPK model, built with the software GastroPlus™ and based on calculated and literature data. Results: The erlotinib plasma concentrations did not show any accumulation, but displayed a high inter-patient variability over the whole investigated period. Trough plasma concentrations ranged from 0.04 to 1.22 µg/ml after day 1 and from 0.01 to 2.4 µg/ml in the long-term assessment. 7% of the patients showed concentrations below the necessary activity threshold of 0.5 µg/ml during the first week. The impact of some co-variates on the pharmacokinetic parameters C max and AUC 0–24 were shown in a PBPK model, including food effects, changes in body weight, protein binding or liver function and the concomitant intake of gastric acid reducing agents (ARAs). Conclusion: This study presents the approach of combining TDM and PBPK modeling for erlotinib, a drug with a high interaction potential. TDM is an important method to monitor drugs with increased inter-patient variability, additionally, the PBPK model contributed valuable insights to the interaction mechanisms involved, resulting in an effective combination from a PK perspective to ensure a safe treatment.","author":[{"dropping-particle":"","family":"Gruber","given":"Andrea","non-dropping-particle":"","parse-names":false,"suffix":""},{"dropping-particle":"","family":"Czejka","given":"Martin","non-dropping-particle":"","parse-names":false,"suffix":""},{"dropping-particle":"","family":"Buchner","given":"Philipp","non-dropping-particle":"","parse-names":false,"suffix":""},{"dropping-particle":"","family":"Kitzmueller","given":"Marie","non-dropping-particle":"","parse-names":false,"suffix":""},{"dropping-particle":"","family":"Kirchbaumer Baroian","given":"Nairi","non-dropping-particle":"","parse-names":false,"suffix":""},{"dropping-particle":"","family":"Dittrich","given":"Christian","non-dropping-particle":"","parse-names":false,"suffix":""},{"dropping-particle":"","family":"Sahmanovic Hrgovcic","given":"Azra","non-dropping-particle":"","parse-names":false,"suffix":""}],"container-title":"Cancer Chemotherapy and Pharmacology","id":"ITEM-1","issue":"4","issued":{"date-parts":[["2018"]]},"page":"763-771","publisher":"Springer Berlin Heidelberg","title":"Monitoring of erlotinib in pancreatic cancer patients during long-time administration and comparison to a physiologically based pharmacokinetic model","type":"article-journal","volume":"81"},"uris":["http://www.mendeley.com/documents/?uuid=50582529-91dc-4be8-a392-e2f67c76ecbb","http://www.mendeley.com/documents/?uuid=4814ee4f-9443-4aae-82d6-929a8bfe8e3d"]}],"mendeley":{"formattedCitation":"&lt;sup&gt;1&lt;/sup&gt;","plainTextFormattedCitation":"1","previouslyFormattedCitation":"&lt;sup&gt;1&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1</w:t>
            </w:r>
            <w:r w:rsidRPr="003724A4">
              <w:rPr>
                <w:rFonts w:ascii="Arial" w:eastAsia="Times New Roman" w:hAnsi="Arial" w:cs="Arial"/>
                <w:color w:val="000000"/>
                <w:sz w:val="20"/>
                <w:szCs w:val="20"/>
              </w:rPr>
              <w:fldChar w:fldCharType="end"/>
            </w:r>
          </w:p>
        </w:tc>
      </w:tr>
      <w:tr w:rsidR="003724A4" w:rsidRPr="003724A4" w14:paraId="59C2F6F0" w14:textId="77777777" w:rsidTr="009B5520">
        <w:trPr>
          <w:trHeight w:val="290"/>
        </w:trPr>
        <w:tc>
          <w:tcPr>
            <w:tcW w:w="1666" w:type="pct"/>
            <w:tcBorders>
              <w:top w:val="nil"/>
              <w:bottom w:val="single" w:sz="4" w:space="0" w:color="auto"/>
            </w:tcBorders>
            <w:shd w:val="clear" w:color="auto" w:fill="auto"/>
            <w:noWrap/>
            <w:vAlign w:val="center"/>
            <w:hideMark/>
          </w:tcPr>
          <w:p w14:paraId="43B6050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B/P</w:t>
            </w:r>
          </w:p>
        </w:tc>
        <w:tc>
          <w:tcPr>
            <w:tcW w:w="1667" w:type="pct"/>
            <w:tcBorders>
              <w:top w:val="nil"/>
              <w:left w:val="nil"/>
              <w:bottom w:val="single" w:sz="4" w:space="0" w:color="auto"/>
            </w:tcBorders>
            <w:shd w:val="clear" w:color="auto" w:fill="auto"/>
            <w:noWrap/>
            <w:vAlign w:val="center"/>
            <w:hideMark/>
          </w:tcPr>
          <w:p w14:paraId="38EB508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0.55</w:t>
            </w:r>
          </w:p>
        </w:tc>
        <w:tc>
          <w:tcPr>
            <w:tcW w:w="1667" w:type="pct"/>
            <w:tcBorders>
              <w:top w:val="nil"/>
              <w:left w:val="nil"/>
              <w:bottom w:val="single" w:sz="4" w:space="0" w:color="auto"/>
            </w:tcBorders>
          </w:tcPr>
          <w:p w14:paraId="367C4DD7" w14:textId="515F8E80"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Rakhit</w:t>
            </w:r>
            <w:proofErr w:type="spellEnd"/>
            <w:r w:rsidRPr="003724A4">
              <w:rPr>
                <w:rFonts w:ascii="Arial" w:eastAsia="Times New Roman" w:hAnsi="Arial" w:cs="Arial"/>
                <w:color w:val="000000"/>
                <w:sz w:val="20"/>
                <w:szCs w:val="20"/>
              </w:rPr>
              <w:t xml:space="preserve"> et al., 2008)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 xml:space="preserve">ADDIN CSL_CITATION {"citationItems":[{"id":"ITEM-1","itemData":{"DOI":"10.1007/s00228-007-0396-z","ISSN":"00316970","abstract":"Background: Erlotinib is an orally active antitumor agent. Analyses in vitro using human liver microsomes and recombinant enzymes showed that erlotinib was metabolized primarily by CYP3A4, with a secondary contribution from CYP1A2. Methods: A computer-based simulation model, SimCYP™, predicted that CYP3A4 contributed to </w:instrText>
            </w:r>
            <w:r>
              <w:rPr>
                <w:rFonts w:ascii="Cambria Math" w:eastAsia="Times New Roman" w:hAnsi="Cambria Math" w:cs="Cambria Math"/>
                <w:color w:val="000000"/>
                <w:sz w:val="20"/>
                <w:szCs w:val="20"/>
              </w:rPr>
              <w:instrText>∼</w:instrText>
            </w:r>
            <w:r>
              <w:rPr>
                <w:rFonts w:ascii="Arial" w:eastAsia="Times New Roman" w:hAnsi="Arial" w:cs="Arial"/>
                <w:color w:val="000000"/>
                <w:sz w:val="20"/>
                <w:szCs w:val="20"/>
              </w:rPr>
              <w:instrText xml:space="preserve">70% of the metabolic elimination of erlotinib, with CYP1A2 being responsible for the other </w:instrText>
            </w:r>
            <w:r>
              <w:rPr>
                <w:rFonts w:ascii="Cambria Math" w:eastAsia="Times New Roman" w:hAnsi="Cambria Math" w:cs="Cambria Math"/>
                <w:color w:val="000000"/>
                <w:sz w:val="20"/>
                <w:szCs w:val="20"/>
              </w:rPr>
              <w:instrText>∼</w:instrText>
            </w:r>
            <w:r>
              <w:rPr>
                <w:rFonts w:ascii="Arial" w:eastAsia="Times New Roman" w:hAnsi="Arial" w:cs="Arial"/>
                <w:color w:val="000000"/>
                <w:sz w:val="20"/>
                <w:szCs w:val="20"/>
              </w:rPr>
              <w:instrText>30%. A drug-drug interaction study was therefore conducted for erlotinib and a potent CYP3A4 inhibitor, ketoconazole, in healthy male volunteers to evaluate the impact of CYP3A4 inhibition on erlotinib exposure. Results: Ketoconazole caused an almost two-fold increase in erlotinib plasma area under the concentration curve and in maximum plasma concentration. This is consistent with the SimCYP™ prediction of a two-fold increase in erlotinib AUC, further validating a primary (</w:instrText>
            </w:r>
            <w:r>
              <w:rPr>
                <w:rFonts w:ascii="Cambria Math" w:eastAsia="Times New Roman" w:hAnsi="Cambria Math" w:cs="Cambria Math"/>
                <w:color w:val="000000"/>
                <w:sz w:val="20"/>
                <w:szCs w:val="20"/>
              </w:rPr>
              <w:instrText>∼</w:instrText>
            </w:r>
            <w:r>
              <w:rPr>
                <w:rFonts w:ascii="Arial" w:eastAsia="Times New Roman" w:hAnsi="Arial" w:cs="Arial"/>
                <w:color w:val="000000"/>
                <w:sz w:val="20"/>
                <w:szCs w:val="20"/>
              </w:rPr>
              <w:instrText>70%) role of CYP3A4 in erlotinib elimination. Conclusion: Prediction of clinically important drug-drug interaction with SimCYP™ using in vitro human metabolism data can be a powerful tool during early clinical development to ensure safe administration of anticancer drugs, which are often co-administered at maximum tolerated doses with other drugs as part of a palliative treatment regimen. © 2007 Springer-Verlag.","author":[{"dropping-particle":"","family":"Rakhit","given":"Ashok","non-dropping-particle":"","parse-names":false,"suffix":""},{"dropping-particle":"","family":"Pantze","given":"Michael P.","non-dropping-particle":"","parse-names":false,"suffix":""},{"dropping-particle":"","family":"Fettner","given":"Scott","non-dropping-particle":"","parse-names":false,"suffix":""},{"dropping-particle":"","family":"Jones","given":"Hannah M.","non-dropping-particle":"","parse-names":false,"suffix":""},{"dropping-particle":"","family":"Charoin","given":"Jean Eric","non-dropping-particle":"","parse-names":false,"suffix":""},{"dropping-particle":"","family":"Riek","given":"Myriam","non-dropping-particle":"","parse-names":false,"suffix":""},{"dropping-particle":"","family":"Lum","given":"Bert L.","non-dropping-particle":"","parse-names":false,"suffix":""},{"dropping-particle":"","family":"Hamilton","given":"Marta","non-dropping-particle":"","parse-names":false,"suffix":""}],"container-title":"European Journal of Clinical Pharmacology","id":"ITEM-1","issue":"1","issued":{"date-parts":[["2008"]]},"page":"31-41","title":"The effects of CYP3A4 inhibition on erlotinib pharmacokinetics: Computer-based simulation (SimCYP™) predicts in vivo metabolic inhibition","type":"article-journal","volume":"64"},"uris":["http://www.mendeley.com/documents/?uuid=92258fb7-791b-44c6-95ce-80e3a373151b","http://www.mendeley.com/documents/?uuid=7b9afae2-87c3-460a-a1ed-0ec841f172f2"]}],"mendeley":{"formattedCitation":"&lt;sup&gt;2&lt;/sup&gt;","plainTextFormattedCitation":"2","previouslyFormattedCitation":"&lt;sup&gt;2&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2</w:t>
            </w:r>
            <w:r w:rsidRPr="003724A4">
              <w:rPr>
                <w:rFonts w:ascii="Arial" w:eastAsia="Times New Roman" w:hAnsi="Arial" w:cs="Arial"/>
                <w:color w:val="000000"/>
                <w:sz w:val="20"/>
                <w:szCs w:val="20"/>
              </w:rPr>
              <w:fldChar w:fldCharType="end"/>
            </w:r>
          </w:p>
        </w:tc>
      </w:tr>
      <w:tr w:rsidR="003724A4" w:rsidRPr="003724A4" w14:paraId="7F76FCBE" w14:textId="77777777" w:rsidTr="009B5520">
        <w:trPr>
          <w:trHeight w:val="290"/>
        </w:trPr>
        <w:tc>
          <w:tcPr>
            <w:tcW w:w="1666" w:type="pct"/>
            <w:tcBorders>
              <w:top w:val="nil"/>
              <w:bottom w:val="single" w:sz="4" w:space="0" w:color="auto"/>
            </w:tcBorders>
            <w:shd w:val="clear" w:color="auto" w:fill="auto"/>
            <w:noWrap/>
            <w:vAlign w:val="center"/>
            <w:hideMark/>
          </w:tcPr>
          <w:p w14:paraId="27883A1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fu</w:t>
            </w:r>
          </w:p>
        </w:tc>
        <w:tc>
          <w:tcPr>
            <w:tcW w:w="1667" w:type="pct"/>
            <w:tcBorders>
              <w:top w:val="nil"/>
              <w:left w:val="nil"/>
              <w:bottom w:val="single" w:sz="4" w:space="0" w:color="auto"/>
            </w:tcBorders>
            <w:shd w:val="clear" w:color="auto" w:fill="auto"/>
            <w:noWrap/>
            <w:vAlign w:val="center"/>
            <w:hideMark/>
          </w:tcPr>
          <w:p w14:paraId="302A5E1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0.05</w:t>
            </w:r>
          </w:p>
        </w:tc>
        <w:tc>
          <w:tcPr>
            <w:tcW w:w="1667" w:type="pct"/>
            <w:tcBorders>
              <w:top w:val="nil"/>
              <w:left w:val="nil"/>
              <w:bottom w:val="single" w:sz="4" w:space="0" w:color="auto"/>
            </w:tcBorders>
          </w:tcPr>
          <w:p w14:paraId="6467DC30" w14:textId="773FAF0B"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(Scheffler et al., 2011)</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{"citationItems":[{"id":"ITEM-1","itemData":{"DOI":"10.2165/11587020-000000000-00000","ISSN":"03125963","abstract":"The 4-anilinoquinazolines (gefitinib, erlotinib and lapatinib) are members of a class of potent and selective inhibitors of the human epidermal growth factor receptor (HER) family of tyrosine kinases that have been developed to treat patients with tumours with defined genetic alterations of the HER tyrosine kinase domain. They are characterized by a moderate rate of absorption after oral administration with peak plasma concentrations at several hours post-dose. Absolute bioavailability of gefitinib and erlotinib is about 60. Low bioavailability is assumed for lapatinib. The drugs are extensively distributed in human tissues, including tumour tissues, have a large volume of distribution at least 3-fold exceeding the volume of body water and are extensively (about 95) protein bound to α1-acid glycoprotein and albumin.Existing human data for gefitinib and erlotinib indicate that these substances penetrate into the central nervous system and accumulate in brain tumours, possibly due to leaks in the blood-brain barrier. Gefitinib, erlotinib and the absorbed fraction of lapatinib undergo extensive metabolism mainly via hepatic and intestinal cytochrome P450 (CYP) 3A4 and also via CYP2D6 (gefitinib) and CYP1A2 (erlotinib) and are primarily eliminated by biotransformation. The excretion of unchanged gefitinib, erlotinib, lapatinib and their metabolites occurs predominantly in the faeces and only a minor fraction is excreted in the urine. No relevant effects of age, sex, bodyweight or race on their pharmacokinetics have been reported to date.Limited available data indicate that genetic polymorphisms in enzymes and transporters involved in the pharmacokinetics of gefitinib (CYP2D6) and erlotinib (CYP3A4, CYP3A5 and ABCG2 breast cancer resistance protein) alter the exposure to these drugs. Modification of drug dose should be considered in patients with severe hepatic impairment receiving these tyrosine kinase inhibitors and in current smokers receiving erlotinib. Existing recommendations for dose adjustment (i.e. a dose decrement or increment for gefitinib, erlotinib and lapatinib in the presence of CYP3A4 inhibitors or inducers, respectively; a dose increase for erlotinib in smoking patients) need to be validated in clinical studies. Further investigations are required to explain the large interindividual variability in the pharmacokinetics of these drugs and to assess the clinical relevance of interaction potential and inhibitory effects on the metabolizing enzy…","author":[{"dropping-particle":"","family":"Scheffler","given":"Matthias","non-dropping-particle":"","parse-names":false,"suffix":""},{"dropping-particle":"","family":"Gion","given":"Paola","non-dropping-particle":"Di","parse-names":false,"suffix":""},{"dropping-particle":"","family":"Doroshyenko","given":"Oxana","non-dropping-particle":"","parse-names":false,"suffix":""},{"dropping-particle":"","family":"Wolf","given":"Jrgen","non-dropping-particle":"","parse-names":false,"suffix":""},{"dropping-particle":"","family":"Fuhr","given":"Uwe","non-dropping-particle":"","parse-names":false,"suffix":""}],"container-title":"Clinical Pharmacokinetics","id":"ITEM-1","issue":"6","issued":{"date-parts":[["2011","6"]]},"page":"371-403","title":"Clinical pharmacokinetics of tyrosine kinase inhibitors: Focus on 4-anilinoquinazolines","type":"article","volume":"50"},"uris":["http://www.mendeley.com/documents/?uuid=39bfb1a0-67a0-30cd-9703-99f93b9da83a","http://www.mendeley.com/documents/?uuid=cd2173ad-fb1a-48fb-9063-91f6d9029fea"]}],"mendeley":{"formattedCitation":"&lt;sup&gt;3&lt;/sup&gt;","plainTextFormattedCitation":"3","previouslyFormattedCitation":"&lt;sup&gt;3&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3</w:t>
            </w:r>
            <w:r w:rsidRPr="003724A4">
              <w:rPr>
                <w:rFonts w:ascii="Arial" w:eastAsia="Times New Roman" w:hAnsi="Arial" w:cs="Arial"/>
                <w:color w:val="000000"/>
                <w:sz w:val="20"/>
                <w:szCs w:val="20"/>
              </w:rPr>
              <w:fldChar w:fldCharType="end"/>
            </w:r>
            <w:r w:rsidRPr="003724A4">
              <w:rPr>
                <w:rFonts w:ascii="Arial" w:eastAsia="Times New Roman" w:hAnsi="Arial" w:cs="Arial"/>
                <w:color w:val="000000"/>
                <w:sz w:val="20"/>
                <w:szCs w:val="20"/>
              </w:rPr>
              <w:t>, (Gruber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{"citationItems":[{"id":"ITEM-1","itemData":{"DOI":"10.1007/s00280-018-3545-4","ISBN":"0123456789","ISSN":"14320843","abstract":"Purpose: In this study, a therapeutic drug monitoring (TDM) of erlotinib in pancreatic cancer patients was performed over 50 weeks to reveal possible alterations in erlotinib plasma concentrations. Additionally, a physiologically based pharmacokinetic (PBPK) model was created to assess such variations in silico. Methods: Patients with advanced pancreatic cancer received a chemotherapeutic combination of 100 mg erlotinib q.d., 500–900 mg capecitabine b.d. and 5 mg/kg bevacizumab q.2wks. Samples were analyzed by HPLC and the results were compared to a PBPK model, built with the software GastroPlus™ and based on calculated and literature data. Results: The erlotinib plasma concentrations did not show any accumulation, but displayed a high inter-patient variability over the whole investigated period. Trough plasma concentrations ranged from 0.04 to 1.22 µg/ml after day 1 and from 0.01 to 2.4 µg/ml in the long-term assessment. 7% of the patients showed concentrations below the necessary activity threshold of 0.5 µg/ml during the first week. The impact of some co-variates on the pharmacokinetic parameters C max and AUC 0–24 were shown in a PBPK model, including food effects, changes in body weight, protein binding or liver function and the concomitant intake of gastric acid reducing agents (ARAs). Conclusion: This study presents the approach of combining TDM and PBPK modeling for erlotinib, a drug with a high interaction potential. TDM is an important method to monitor drugs with increased inter-patient variability, additionally, the PBPK model contributed valuable insights to the interaction mechanisms involved, resulting in an effective combination from a PK perspective to ensure a safe treatment.","author":[{"dropping-particle":"","family":"Gruber","given":"Andrea","non-dropping-particle":"","parse-names":false,"suffix":""},{"dropping-particle":"","family":"Czejka","given":"Martin","non-dropping-particle":"","parse-names":false,"suffix":""},{"dropping-particle":"","family":"Buchner","given":"Philipp","non-dropping-particle":"","parse-names":false,"suffix":""},{"dropping-particle":"","family":"Kitzmueller","given":"Marie","non-dropping-particle":"","parse-names":false,"suffix":""},{"dropping-particle":"","family":"Kirchbaumer Baroian","given":"Nairi","non-dropping-particle":"","parse-names":false,"suffix":""},{"dropping-particle":"","family":"Dittrich","given":"Christian","non-dropping-particle":"","parse-names":false,"suffix":""},{"dropping-particle":"","family":"Sahmanovic Hrgovcic","given":"Azra","non-dropping-particle":"","parse-names":false,"suffix":""}],"container-title":"Cancer Chemotherapy and Pharmacology","id":"ITEM-1","issue":"4","issued":{"date-parts":[["2018"]]},"page":"763-771","publisher":"Springer Berlin Heidelberg","title":"Monitoring of erlotinib in pancreatic cancer patients during long-time administration and comparison to a physiologically based pharmacokinetic model","type":"article-journal","volume":"81"},"uris":["http://www.mendeley.com/documents/?uuid=4814ee4f-9443-4aae-82d6-929a8bfe8e3d"]}],"mendeley":{"formattedCitation":"&lt;sup&gt;1&lt;/sup&gt;","plainTextFormattedCitation":"1","previouslyFormattedCitation":"&lt;sup&gt;1&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1</w:t>
            </w:r>
            <w:r w:rsidRPr="003724A4">
              <w:rPr>
                <w:rFonts w:ascii="Arial" w:eastAsia="Times New Roman" w:hAnsi="Arial" w:cs="Arial"/>
                <w:color w:val="000000"/>
                <w:sz w:val="20"/>
                <w:szCs w:val="20"/>
              </w:rPr>
              <w:fldChar w:fldCharType="end"/>
            </w:r>
          </w:p>
        </w:tc>
      </w:tr>
      <w:tr w:rsidR="003724A4" w:rsidRPr="003724A4" w14:paraId="1475947E" w14:textId="77777777" w:rsidTr="009B5520">
        <w:trPr>
          <w:trHeight w:val="290"/>
        </w:trPr>
        <w:tc>
          <w:tcPr>
            <w:tcW w:w="1666" w:type="pct"/>
            <w:tcBorders>
              <w:top w:val="nil"/>
              <w:bottom w:val="single" w:sz="4" w:space="0" w:color="auto"/>
            </w:tcBorders>
            <w:shd w:val="clear" w:color="auto" w:fill="auto"/>
            <w:noWrap/>
            <w:vAlign w:val="center"/>
            <w:hideMark/>
          </w:tcPr>
          <w:p w14:paraId="12CB070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Main plasma binding protein</w:t>
            </w:r>
          </w:p>
        </w:tc>
        <w:tc>
          <w:tcPr>
            <w:tcW w:w="1667" w:type="pct"/>
            <w:tcBorders>
              <w:top w:val="nil"/>
              <w:left w:val="nil"/>
              <w:bottom w:val="single" w:sz="4" w:space="0" w:color="auto"/>
            </w:tcBorders>
            <w:shd w:val="clear" w:color="auto" w:fill="auto"/>
            <w:noWrap/>
            <w:vAlign w:val="center"/>
            <w:hideMark/>
          </w:tcPr>
          <w:p w14:paraId="11D950B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HSA</w:t>
            </w:r>
          </w:p>
        </w:tc>
        <w:tc>
          <w:tcPr>
            <w:tcW w:w="1667" w:type="pct"/>
            <w:tcBorders>
              <w:top w:val="nil"/>
              <w:left w:val="nil"/>
              <w:bottom w:val="single" w:sz="4" w:space="0" w:color="auto"/>
            </w:tcBorders>
          </w:tcPr>
          <w:p w14:paraId="58FA46A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FDA</w:t>
            </w:r>
          </w:p>
        </w:tc>
      </w:tr>
      <w:tr w:rsidR="003724A4" w:rsidRPr="003724A4" w14:paraId="76C4576A" w14:textId="77777777" w:rsidTr="009B5520">
        <w:trPr>
          <w:trHeight w:val="290"/>
        </w:trPr>
        <w:tc>
          <w:tcPr>
            <w:tcW w:w="1666" w:type="pct"/>
            <w:tcBorders>
              <w:top w:val="nil"/>
              <w:bottom w:val="single" w:sz="4" w:space="0" w:color="auto"/>
            </w:tcBorders>
            <w:shd w:val="clear" w:color="auto" w:fill="auto"/>
            <w:noWrap/>
            <w:vAlign w:val="center"/>
            <w:hideMark/>
          </w:tcPr>
          <w:p w14:paraId="7DCE6A1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tcBorders>
              <w:top w:val="nil"/>
              <w:left w:val="nil"/>
              <w:bottom w:val="single" w:sz="4" w:space="0" w:color="auto"/>
            </w:tcBorders>
            <w:shd w:val="clear" w:color="auto" w:fill="auto"/>
            <w:noWrap/>
            <w:vAlign w:val="center"/>
            <w:hideMark/>
          </w:tcPr>
          <w:p w14:paraId="72C980D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tcBorders>
              <w:top w:val="nil"/>
              <w:left w:val="nil"/>
              <w:bottom w:val="single" w:sz="4" w:space="0" w:color="auto"/>
            </w:tcBorders>
          </w:tcPr>
          <w:p w14:paraId="375FF19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DC32969" w14:textId="77777777" w:rsidTr="009B5520">
        <w:trPr>
          <w:trHeight w:val="290"/>
        </w:trPr>
        <w:tc>
          <w:tcPr>
            <w:tcW w:w="1666" w:type="pct"/>
            <w:tcBorders>
              <w:top w:val="nil"/>
              <w:bottom w:val="single" w:sz="4" w:space="0" w:color="auto"/>
            </w:tcBorders>
            <w:shd w:val="clear" w:color="auto" w:fill="auto"/>
            <w:noWrap/>
            <w:vAlign w:val="center"/>
            <w:hideMark/>
          </w:tcPr>
          <w:p w14:paraId="655A7FBB"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Absorption Model</w:t>
            </w:r>
          </w:p>
        </w:tc>
        <w:tc>
          <w:tcPr>
            <w:tcW w:w="1667" w:type="pct"/>
            <w:tcBorders>
              <w:top w:val="nil"/>
              <w:left w:val="nil"/>
              <w:bottom w:val="single" w:sz="4" w:space="0" w:color="auto"/>
            </w:tcBorders>
            <w:shd w:val="clear" w:color="auto" w:fill="auto"/>
            <w:noWrap/>
            <w:vAlign w:val="center"/>
            <w:hideMark/>
          </w:tcPr>
          <w:p w14:paraId="5BE31D7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ADAM</w:t>
            </w:r>
          </w:p>
        </w:tc>
        <w:tc>
          <w:tcPr>
            <w:tcW w:w="1667" w:type="pct"/>
            <w:tcBorders>
              <w:top w:val="nil"/>
              <w:left w:val="nil"/>
              <w:bottom w:val="single" w:sz="4" w:space="0" w:color="auto"/>
            </w:tcBorders>
          </w:tcPr>
          <w:p w14:paraId="32ED899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8F864B7" w14:textId="77777777" w:rsidTr="009B5520">
        <w:trPr>
          <w:trHeight w:val="290"/>
        </w:trPr>
        <w:tc>
          <w:tcPr>
            <w:tcW w:w="1666" w:type="pct"/>
            <w:tcBorders>
              <w:top w:val="nil"/>
              <w:bottom w:val="single" w:sz="4" w:space="0" w:color="auto"/>
            </w:tcBorders>
            <w:shd w:val="clear" w:color="auto" w:fill="auto"/>
            <w:noWrap/>
            <w:vAlign w:val="center"/>
            <w:hideMark/>
          </w:tcPr>
          <w:p w14:paraId="231881A7"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hAnsi="Arial" w:cs="Arial"/>
                <w:sz w:val="20"/>
                <w:szCs w:val="20"/>
              </w:rPr>
              <w:t>fu</w:t>
            </w:r>
            <w:r w:rsidRPr="003724A4">
              <w:rPr>
                <w:rFonts w:ascii="Arial" w:hAnsi="Arial" w:cs="Arial"/>
                <w:sz w:val="20"/>
                <w:szCs w:val="20"/>
                <w:vertAlign w:val="subscript"/>
              </w:rPr>
              <w:t>gut</w:t>
            </w:r>
            <w:proofErr w:type="spellEnd"/>
          </w:p>
        </w:tc>
        <w:tc>
          <w:tcPr>
            <w:tcW w:w="1667" w:type="pct"/>
            <w:tcBorders>
              <w:top w:val="nil"/>
              <w:left w:val="nil"/>
              <w:bottom w:val="single" w:sz="4" w:space="0" w:color="auto"/>
            </w:tcBorders>
            <w:shd w:val="clear" w:color="auto" w:fill="auto"/>
            <w:noWrap/>
            <w:vAlign w:val="center"/>
            <w:hideMark/>
          </w:tcPr>
          <w:p w14:paraId="7E32BBB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0.017</w:t>
            </w:r>
          </w:p>
        </w:tc>
        <w:tc>
          <w:tcPr>
            <w:tcW w:w="1667" w:type="pct"/>
            <w:tcBorders>
              <w:top w:val="nil"/>
              <w:left w:val="nil"/>
              <w:bottom w:val="single" w:sz="4" w:space="0" w:color="auto"/>
            </w:tcBorders>
          </w:tcPr>
          <w:p w14:paraId="7B57F90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Predicted</w:t>
            </w:r>
          </w:p>
        </w:tc>
      </w:tr>
      <w:tr w:rsidR="003724A4" w:rsidRPr="003724A4" w14:paraId="3A306F03" w14:textId="77777777" w:rsidTr="009B5520">
        <w:trPr>
          <w:trHeight w:val="290"/>
        </w:trPr>
        <w:tc>
          <w:tcPr>
            <w:tcW w:w="1666" w:type="pct"/>
            <w:tcBorders>
              <w:top w:val="nil"/>
              <w:bottom w:val="single" w:sz="4" w:space="0" w:color="auto"/>
            </w:tcBorders>
            <w:shd w:val="clear" w:color="auto" w:fill="auto"/>
            <w:noWrap/>
            <w:vAlign w:val="center"/>
            <w:hideMark/>
          </w:tcPr>
          <w:p w14:paraId="6C3CBA16"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proofErr w:type="gramStart"/>
            <w:r w:rsidRPr="003724A4">
              <w:rPr>
                <w:rFonts w:ascii="Arial" w:eastAsia="Times New Roman" w:hAnsi="Arial" w:cs="Arial"/>
                <w:color w:val="000000"/>
                <w:sz w:val="20"/>
                <w:szCs w:val="20"/>
              </w:rPr>
              <w:t>P</w:t>
            </w:r>
            <w:r w:rsidRPr="003724A4">
              <w:rPr>
                <w:rFonts w:ascii="Arial" w:eastAsia="Times New Roman" w:hAnsi="Arial" w:cs="Arial"/>
                <w:color w:val="000000"/>
                <w:sz w:val="20"/>
                <w:szCs w:val="20"/>
                <w:vertAlign w:val="subscript"/>
              </w:rPr>
              <w:t>eff,man</w:t>
            </w:r>
            <w:proofErr w:type="spellEnd"/>
            <w:proofErr w:type="gramEnd"/>
            <w:r w:rsidRPr="003724A4">
              <w:rPr>
                <w:rFonts w:ascii="Arial" w:eastAsia="Times New Roman" w:hAnsi="Arial" w:cs="Arial"/>
                <w:color w:val="000000"/>
                <w:sz w:val="20"/>
                <w:szCs w:val="20"/>
              </w:rPr>
              <w:t xml:space="preserve"> (10</w:t>
            </w:r>
            <w:r w:rsidRPr="003724A4">
              <w:rPr>
                <w:rFonts w:ascii="Arial" w:eastAsia="Times New Roman" w:hAnsi="Arial" w:cs="Arial"/>
                <w:color w:val="000000"/>
                <w:sz w:val="20"/>
                <w:szCs w:val="20"/>
                <w:vertAlign w:val="superscript"/>
              </w:rPr>
              <w:t>-4</w:t>
            </w:r>
            <w:r w:rsidRPr="003724A4">
              <w:rPr>
                <w:rFonts w:ascii="Arial" w:eastAsia="Times New Roman" w:hAnsi="Arial" w:cs="Arial"/>
                <w:color w:val="000000"/>
                <w:sz w:val="20"/>
                <w:szCs w:val="20"/>
              </w:rPr>
              <w:t xml:space="preserve"> cm/s)</w:t>
            </w:r>
          </w:p>
        </w:tc>
        <w:tc>
          <w:tcPr>
            <w:tcW w:w="1667" w:type="pct"/>
            <w:tcBorders>
              <w:top w:val="nil"/>
              <w:left w:val="nil"/>
              <w:bottom w:val="single" w:sz="4" w:space="0" w:color="auto"/>
            </w:tcBorders>
            <w:shd w:val="clear" w:color="auto" w:fill="auto"/>
            <w:noWrap/>
            <w:vAlign w:val="center"/>
            <w:hideMark/>
          </w:tcPr>
          <w:p w14:paraId="70BBD6B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3.576</w:t>
            </w:r>
          </w:p>
        </w:tc>
        <w:tc>
          <w:tcPr>
            <w:tcW w:w="1667" w:type="pct"/>
            <w:tcBorders>
              <w:top w:val="nil"/>
              <w:left w:val="nil"/>
              <w:bottom w:val="single" w:sz="4" w:space="0" w:color="auto"/>
            </w:tcBorders>
          </w:tcPr>
          <w:p w14:paraId="712882D7" w14:textId="5F2CFC2B"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Schwenger</w:t>
            </w:r>
            <w:proofErr w:type="spellEnd"/>
            <w:r w:rsidRPr="003724A4">
              <w:rPr>
                <w:rFonts w:ascii="Arial" w:eastAsia="Times New Roman" w:hAnsi="Arial" w:cs="Arial"/>
                <w:color w:val="000000"/>
                <w:sz w:val="20"/>
                <w:szCs w:val="20"/>
              </w:rPr>
              <w:t xml:space="preserve">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{"citationItems":[{"id":"ITEM-1","itemData":{"DOI":"10.1002/cpt.917","ISSN":"15326535","abstract":"Certain oncology compounds exhibit fundamental pharmacokinetic (PK) disparities between healthy and malignant conditions. Given the effects of tumor-associated inflammation on enzyme and transporter expression, we performed a meta-analysis of CYP- and transporter-sensitive substrate clinical PK to quantitatively compare enzyme and transporter abundances between healthy volunteers (HV) and cancer patients (CP). Hepatic and intestinal CYP1A2, CYP2C19, and CYP3A4 abundance were subsequently adjusted via Simcyp's sensitivity analysis tool. Of the 11 substrates we investigated, seven displayed marked exposure differences &gt;1.25-fold between CP and HV. Although CP studies are limited, meta-analysis-based reduction in CYP1A2, CYP2C19, and CYP3A4 enzyme abundances in a virtual oncology population effectively captures CP-PK for caffeine, theophylline, midazolam, simvastatin, omeprazole, and a subset of oncology compounds. These changes allow extrapolation from HV to CP, enhancing predictive capability; therefore, conducting simulations in this CYP-modified oncology (MOD-CP) population provides a more relevant characterization of CP-PK.","author":[{"dropping-particle":"","family":"Schwenger","given":"Emily","non-dropping-particle":"","parse-names":false,"suffix":""},{"dropping-particle":"","family":"Reddy","given":"Venkatesh Pilla","non-dropping-particle":"","parse-names":false,"suffix":""},{"dropping-particle":"","family":"Moorthy","given":"Ganesh","non-dropping-particle":"","parse-names":false,"suffix":""},{"dropping-particle":"","family":"Sharma","given":"Pradeep","non-dropping-particle":"","parse-names":false,"suffix":""},{"dropping-particle":"","family":"Tomkinson","given":"Helen","non-dropping-particle":"","parse-names":false,"suffix":""},{"dropping-particle":"","family":"Masson","given":"Eric","non-dropping-particle":"","parse-names":false,"suffix":""},{"dropping-particle":"","family":"Vishwanathan","given":"Karthick","non-dropping-particle":"","parse-names":false,"suffix":""}],"container-title":"Clinical Pharmacology and Therapeutics","id":"ITEM-1","issue":"2","issued":{"date-parts":[["2018"]]},"page":"271-280","title":"Harnessing Meta-analysis to Refine an Oncology Patient Population for Physiology-Based Pharmacokinetic Modeling of Drugs","type":"article-journal","volume":"103"},"uris":["http://www.mendeley.com/documents/?uuid=7c5b0705-33f4-46b1-81e2-3d64ec26d7c9"]}],"mendeley":{"formattedCitation":"&lt;sup&gt;4&lt;/sup&gt;","plainTextFormattedCitation":"4","previouslyFormattedCitation":"&lt;sup&gt;4&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4</w:t>
            </w:r>
            <w:r w:rsidRPr="003724A4">
              <w:rPr>
                <w:rFonts w:ascii="Arial" w:eastAsia="Times New Roman" w:hAnsi="Arial" w:cs="Arial"/>
                <w:color w:val="000000"/>
                <w:sz w:val="20"/>
                <w:szCs w:val="20"/>
              </w:rPr>
              <w:fldChar w:fldCharType="end"/>
            </w:r>
          </w:p>
        </w:tc>
      </w:tr>
      <w:tr w:rsidR="003724A4" w:rsidRPr="003724A4" w14:paraId="58EC75E7" w14:textId="77777777" w:rsidTr="009B5520">
        <w:trPr>
          <w:trHeight w:val="290"/>
        </w:trPr>
        <w:tc>
          <w:tcPr>
            <w:tcW w:w="1666" w:type="pct"/>
            <w:tcBorders>
              <w:top w:val="nil"/>
              <w:bottom w:val="single" w:sz="4" w:space="0" w:color="auto"/>
            </w:tcBorders>
            <w:shd w:val="clear" w:color="auto" w:fill="auto"/>
            <w:noWrap/>
            <w:vAlign w:val="center"/>
            <w:hideMark/>
          </w:tcPr>
          <w:p w14:paraId="6F1F982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Permeability Assay</w:t>
            </w:r>
          </w:p>
        </w:tc>
        <w:tc>
          <w:tcPr>
            <w:tcW w:w="1667" w:type="pct"/>
            <w:tcBorders>
              <w:top w:val="nil"/>
              <w:left w:val="nil"/>
              <w:bottom w:val="single" w:sz="4" w:space="0" w:color="auto"/>
            </w:tcBorders>
            <w:shd w:val="clear" w:color="auto" w:fill="auto"/>
            <w:noWrap/>
            <w:vAlign w:val="center"/>
            <w:hideMark/>
          </w:tcPr>
          <w:p w14:paraId="2A1C4C9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Caco-2</w:t>
            </w:r>
          </w:p>
        </w:tc>
        <w:tc>
          <w:tcPr>
            <w:tcW w:w="1667" w:type="pct"/>
            <w:tcBorders>
              <w:top w:val="nil"/>
              <w:left w:val="nil"/>
              <w:bottom w:val="single" w:sz="4" w:space="0" w:color="auto"/>
            </w:tcBorders>
          </w:tcPr>
          <w:p w14:paraId="1AB2D04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61511ABE" w14:textId="77777777" w:rsidTr="009B5520">
        <w:trPr>
          <w:trHeight w:val="290"/>
        </w:trPr>
        <w:tc>
          <w:tcPr>
            <w:tcW w:w="1666" w:type="pct"/>
            <w:tcBorders>
              <w:top w:val="nil"/>
              <w:bottom w:val="single" w:sz="4" w:space="0" w:color="auto"/>
            </w:tcBorders>
            <w:shd w:val="clear" w:color="auto" w:fill="auto"/>
            <w:noWrap/>
            <w:vAlign w:val="center"/>
            <w:hideMark/>
          </w:tcPr>
          <w:p w14:paraId="0273F76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xml:space="preserve">Apical </w:t>
            </w:r>
            <w:proofErr w:type="gramStart"/>
            <w:r w:rsidRPr="003724A4">
              <w:rPr>
                <w:rFonts w:ascii="Arial" w:eastAsia="Times New Roman" w:hAnsi="Arial" w:cs="Arial"/>
                <w:color w:val="000000"/>
                <w:sz w:val="20"/>
                <w:szCs w:val="20"/>
              </w:rPr>
              <w:t>pH :</w:t>
            </w:r>
            <w:proofErr w:type="gramEnd"/>
            <w:r w:rsidRPr="003724A4">
              <w:rPr>
                <w:rFonts w:ascii="Arial" w:eastAsia="Times New Roman" w:hAnsi="Arial" w:cs="Arial"/>
                <w:color w:val="000000"/>
                <w:sz w:val="20"/>
                <w:szCs w:val="20"/>
              </w:rPr>
              <w:t xml:space="preserve"> Basolateral pH</w:t>
            </w:r>
          </w:p>
        </w:tc>
        <w:tc>
          <w:tcPr>
            <w:tcW w:w="1667" w:type="pct"/>
            <w:tcBorders>
              <w:top w:val="nil"/>
              <w:left w:val="nil"/>
              <w:bottom w:val="single" w:sz="4" w:space="0" w:color="auto"/>
            </w:tcBorders>
            <w:shd w:val="clear" w:color="auto" w:fill="auto"/>
            <w:noWrap/>
            <w:vAlign w:val="center"/>
            <w:hideMark/>
          </w:tcPr>
          <w:p w14:paraId="35E73E7A" w14:textId="77777777" w:rsidR="003724A4" w:rsidRPr="003724A4" w:rsidRDefault="003724A4" w:rsidP="009B5520">
            <w:pPr>
              <w:spacing w:after="0" w:line="240" w:lineRule="auto"/>
              <w:rPr>
                <w:rFonts w:ascii="Arial" w:eastAsia="Times New Roman" w:hAnsi="Arial" w:cs="Arial"/>
                <w:color w:val="000000"/>
                <w:sz w:val="20"/>
                <w:szCs w:val="20"/>
              </w:rPr>
            </w:pPr>
            <w:proofErr w:type="gramStart"/>
            <w:r w:rsidRPr="003724A4">
              <w:rPr>
                <w:rFonts w:ascii="Arial" w:eastAsia="Times New Roman" w:hAnsi="Arial" w:cs="Arial"/>
                <w:color w:val="000000"/>
                <w:sz w:val="20"/>
                <w:szCs w:val="20"/>
              </w:rPr>
              <w:t>7.4 :</w:t>
            </w:r>
            <w:proofErr w:type="gramEnd"/>
            <w:r w:rsidRPr="003724A4">
              <w:rPr>
                <w:rFonts w:ascii="Arial" w:eastAsia="Times New Roman" w:hAnsi="Arial" w:cs="Arial"/>
                <w:color w:val="000000"/>
                <w:sz w:val="20"/>
                <w:szCs w:val="20"/>
              </w:rPr>
              <w:t xml:space="preserve"> 7.4</w:t>
            </w:r>
          </w:p>
        </w:tc>
        <w:tc>
          <w:tcPr>
            <w:tcW w:w="1667" w:type="pct"/>
            <w:vMerge w:val="restart"/>
            <w:tcBorders>
              <w:top w:val="nil"/>
              <w:left w:val="nil"/>
            </w:tcBorders>
            <w:vAlign w:val="center"/>
          </w:tcPr>
          <w:p w14:paraId="0354A52B" w14:textId="6AD5BD86"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Schwenger</w:t>
            </w:r>
            <w:proofErr w:type="spellEnd"/>
            <w:r w:rsidRPr="003724A4">
              <w:rPr>
                <w:rFonts w:ascii="Arial" w:eastAsia="Times New Roman" w:hAnsi="Arial" w:cs="Arial"/>
                <w:color w:val="000000"/>
                <w:sz w:val="20"/>
                <w:szCs w:val="20"/>
              </w:rPr>
              <w:t xml:space="preserve">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{"citationItems":[{"id":"ITEM-1","itemData":{"DOI":"10.1002/cpt.917","ISSN":"15326535","abstract":"Certain oncology compounds exhibit fundamental pharmacokinetic (PK) disparities between healthy and malignant conditions. Given the effects of tumor-associated inflammation on enzyme and transporter expression, we performed a meta-analysis of CYP- and transporter-sensitive substrate clinical PK to quantitatively compare enzyme and transporter abundances between healthy volunteers (HV) and cancer patients (CP). Hepatic and intestinal CYP1A2, CYP2C19, and CYP3A4 abundance were subsequently adjusted via Simcyp's sensitivity analysis tool. Of the 11 substrates we investigated, seven displayed marked exposure differences &gt;1.25-fold between CP and HV. Although CP studies are limited, meta-analysis-based reduction in CYP1A2, CYP2C19, and CYP3A4 enzyme abundances in a virtual oncology population effectively captures CP-PK for caffeine, theophylline, midazolam, simvastatin, omeprazole, and a subset of oncology compounds. These changes allow extrapolation from HV to CP, enhancing predictive capability; therefore, conducting simulations in this CYP-modified oncology (MOD-CP) population provides a more relevant characterization of CP-PK.","author":[{"dropping-particle":"","family":"Schwenger","given":"Emily","non-dropping-particle":"","parse-names":false,"suffix":""},{"dropping-particle":"","family":"Reddy","given":"Venkatesh Pilla","non-dropping-particle":"","parse-names":false,"suffix":""},{"dropping-particle":"","family":"Moorthy","given":"Ganesh","non-dropping-particle":"","parse-names":false,"suffix":""},{"dropping-particle":"","family":"Sharma","given":"Pradeep","non-dropping-particle":"","parse-names":false,"suffix":""},{"dropping-particle":"","family":"Tomkinson","given":"Helen","non-dropping-particle":"","parse-names":false,"suffix":""},{"dropping-particle":"","family":"Masson","given":"Eric","non-dropping-particle":"","parse-names":false,"suffix":""},{"dropping-particle":"","family":"Vishwanathan","given":"Karthick","non-dropping-particle":"","parse-names":false,"suffix":""}],"container-title":"Clinical Pharmacology and Therapeutics","id":"ITEM-1","issue":"2","issued":{"date-parts":[["2018"]]},"page":"271-280","title":"Harnessing Meta-analysis to Refine an Oncology Patient Population for Physiology-Based Pharmacokinetic Modeling of Drugs","type":"article-journal","volume":"103"},"uris":["http://www.mendeley.com/documents/?uuid=7c5b0705-33f4-46b1-81e2-3d64ec26d7c9"]}],"mendeley":{"formattedCitation":"&lt;sup&gt;4&lt;/sup&gt;","plainTextFormattedCitation":"4","previouslyFormattedCitation":"&lt;sup&gt;4&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4</w:t>
            </w:r>
            <w:r w:rsidRPr="003724A4">
              <w:rPr>
                <w:rFonts w:ascii="Arial" w:eastAsia="Times New Roman" w:hAnsi="Arial" w:cs="Arial"/>
                <w:color w:val="000000"/>
                <w:sz w:val="20"/>
                <w:szCs w:val="20"/>
              </w:rPr>
              <w:fldChar w:fldCharType="end"/>
            </w:r>
          </w:p>
        </w:tc>
      </w:tr>
      <w:tr w:rsidR="003724A4" w:rsidRPr="003724A4" w14:paraId="34764D29" w14:textId="77777777" w:rsidTr="009B5520">
        <w:trPr>
          <w:trHeight w:val="290"/>
        </w:trPr>
        <w:tc>
          <w:tcPr>
            <w:tcW w:w="1666" w:type="pct"/>
            <w:tcBorders>
              <w:top w:val="nil"/>
              <w:bottom w:val="single" w:sz="4" w:space="0" w:color="auto"/>
            </w:tcBorders>
            <w:shd w:val="clear" w:color="auto" w:fill="auto"/>
            <w:noWrap/>
            <w:vAlign w:val="center"/>
            <w:hideMark/>
          </w:tcPr>
          <w:p w14:paraId="7F7BC6B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Activity</w:t>
            </w:r>
          </w:p>
        </w:tc>
        <w:tc>
          <w:tcPr>
            <w:tcW w:w="1667" w:type="pct"/>
            <w:tcBorders>
              <w:top w:val="nil"/>
              <w:left w:val="nil"/>
              <w:bottom w:val="single" w:sz="4" w:space="0" w:color="auto"/>
            </w:tcBorders>
            <w:shd w:val="clear" w:color="auto" w:fill="auto"/>
            <w:noWrap/>
            <w:vAlign w:val="center"/>
            <w:hideMark/>
          </w:tcPr>
          <w:p w14:paraId="4A8417B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Passive</w:t>
            </w:r>
          </w:p>
        </w:tc>
        <w:tc>
          <w:tcPr>
            <w:tcW w:w="1667" w:type="pct"/>
            <w:vMerge/>
            <w:tcBorders>
              <w:left w:val="nil"/>
            </w:tcBorders>
          </w:tcPr>
          <w:p w14:paraId="488F171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38E5ED8" w14:textId="77777777" w:rsidTr="009B5520">
        <w:trPr>
          <w:trHeight w:val="290"/>
        </w:trPr>
        <w:tc>
          <w:tcPr>
            <w:tcW w:w="1666" w:type="pct"/>
            <w:tcBorders>
              <w:top w:val="nil"/>
              <w:bottom w:val="single" w:sz="4" w:space="0" w:color="auto"/>
            </w:tcBorders>
            <w:shd w:val="clear" w:color="auto" w:fill="auto"/>
            <w:noWrap/>
            <w:vAlign w:val="center"/>
            <w:hideMark/>
          </w:tcPr>
          <w:p w14:paraId="397AFC6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PCaco-2(10</w:t>
            </w:r>
            <w:r w:rsidRPr="003724A4">
              <w:rPr>
                <w:rFonts w:ascii="Arial" w:eastAsia="Times New Roman" w:hAnsi="Arial" w:cs="Arial"/>
                <w:color w:val="000000"/>
                <w:sz w:val="20"/>
                <w:szCs w:val="20"/>
                <w:vertAlign w:val="superscript"/>
              </w:rPr>
              <w:t>-6</w:t>
            </w:r>
            <w:r w:rsidRPr="003724A4">
              <w:rPr>
                <w:rFonts w:ascii="Arial" w:eastAsia="Times New Roman" w:hAnsi="Arial" w:cs="Arial"/>
                <w:color w:val="000000"/>
                <w:sz w:val="20"/>
                <w:szCs w:val="20"/>
              </w:rPr>
              <w:t xml:space="preserve"> cm/s)</w:t>
            </w:r>
          </w:p>
        </w:tc>
        <w:tc>
          <w:tcPr>
            <w:tcW w:w="1667" w:type="pct"/>
            <w:tcBorders>
              <w:top w:val="nil"/>
              <w:left w:val="nil"/>
              <w:bottom w:val="single" w:sz="4" w:space="0" w:color="auto"/>
            </w:tcBorders>
            <w:shd w:val="clear" w:color="auto" w:fill="auto"/>
            <w:noWrap/>
            <w:vAlign w:val="center"/>
            <w:hideMark/>
          </w:tcPr>
          <w:p w14:paraId="3E30F0F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33.600</w:t>
            </w:r>
          </w:p>
        </w:tc>
        <w:tc>
          <w:tcPr>
            <w:tcW w:w="1667" w:type="pct"/>
            <w:vMerge/>
            <w:tcBorders>
              <w:left w:val="nil"/>
            </w:tcBorders>
          </w:tcPr>
          <w:p w14:paraId="769880B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1DE0578" w14:textId="77777777" w:rsidTr="009B5520">
        <w:trPr>
          <w:trHeight w:val="290"/>
        </w:trPr>
        <w:tc>
          <w:tcPr>
            <w:tcW w:w="1666" w:type="pct"/>
            <w:tcBorders>
              <w:top w:val="nil"/>
              <w:bottom w:val="single" w:sz="4" w:space="0" w:color="auto"/>
            </w:tcBorders>
            <w:shd w:val="clear" w:color="auto" w:fill="auto"/>
            <w:noWrap/>
            <w:vAlign w:val="center"/>
            <w:hideMark/>
          </w:tcPr>
          <w:p w14:paraId="17D95C3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Reference Compound</w:t>
            </w:r>
          </w:p>
        </w:tc>
        <w:tc>
          <w:tcPr>
            <w:tcW w:w="1667" w:type="pct"/>
            <w:tcBorders>
              <w:top w:val="nil"/>
              <w:left w:val="nil"/>
              <w:bottom w:val="single" w:sz="4" w:space="0" w:color="auto"/>
            </w:tcBorders>
            <w:shd w:val="clear" w:color="auto" w:fill="auto"/>
            <w:noWrap/>
            <w:vAlign w:val="center"/>
            <w:hideMark/>
          </w:tcPr>
          <w:p w14:paraId="08B351F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Midazolam</w:t>
            </w:r>
          </w:p>
        </w:tc>
        <w:tc>
          <w:tcPr>
            <w:tcW w:w="1667" w:type="pct"/>
            <w:vMerge/>
            <w:tcBorders>
              <w:left w:val="nil"/>
            </w:tcBorders>
          </w:tcPr>
          <w:p w14:paraId="625D56F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BA86109" w14:textId="77777777" w:rsidTr="009B5520">
        <w:trPr>
          <w:trHeight w:val="290"/>
        </w:trPr>
        <w:tc>
          <w:tcPr>
            <w:tcW w:w="1666" w:type="pct"/>
            <w:tcBorders>
              <w:top w:val="nil"/>
              <w:bottom w:val="single" w:sz="4" w:space="0" w:color="auto"/>
            </w:tcBorders>
            <w:shd w:val="clear" w:color="auto" w:fill="auto"/>
            <w:noWrap/>
            <w:vAlign w:val="center"/>
            <w:hideMark/>
          </w:tcPr>
          <w:p w14:paraId="2D8487D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Reference Compound Value (10</w:t>
            </w:r>
            <w:r w:rsidRPr="003724A4">
              <w:rPr>
                <w:rFonts w:ascii="Arial" w:eastAsia="Times New Roman" w:hAnsi="Arial" w:cs="Arial"/>
                <w:color w:val="000000"/>
                <w:sz w:val="20"/>
                <w:szCs w:val="20"/>
                <w:vertAlign w:val="superscript"/>
              </w:rPr>
              <w:t>-6</w:t>
            </w:r>
            <w:r w:rsidRPr="003724A4">
              <w:rPr>
                <w:rFonts w:ascii="Arial" w:eastAsia="Times New Roman" w:hAnsi="Arial" w:cs="Arial"/>
                <w:color w:val="000000"/>
                <w:sz w:val="20"/>
                <w:szCs w:val="20"/>
              </w:rPr>
              <w:t xml:space="preserve"> cm/s)</w:t>
            </w:r>
          </w:p>
        </w:tc>
        <w:tc>
          <w:tcPr>
            <w:tcW w:w="1667" w:type="pct"/>
            <w:tcBorders>
              <w:top w:val="nil"/>
              <w:left w:val="nil"/>
              <w:bottom w:val="single" w:sz="4" w:space="0" w:color="auto"/>
            </w:tcBorders>
            <w:shd w:val="clear" w:color="auto" w:fill="auto"/>
            <w:noWrap/>
            <w:vAlign w:val="center"/>
            <w:hideMark/>
          </w:tcPr>
          <w:p w14:paraId="505CF6C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70.100</w:t>
            </w:r>
          </w:p>
        </w:tc>
        <w:tc>
          <w:tcPr>
            <w:tcW w:w="1667" w:type="pct"/>
            <w:vMerge/>
            <w:tcBorders>
              <w:left w:val="nil"/>
            </w:tcBorders>
          </w:tcPr>
          <w:p w14:paraId="197369A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0F8E6C6" w14:textId="77777777" w:rsidTr="009B5520">
        <w:trPr>
          <w:trHeight w:val="290"/>
        </w:trPr>
        <w:tc>
          <w:tcPr>
            <w:tcW w:w="1666" w:type="pct"/>
            <w:tcBorders>
              <w:top w:val="nil"/>
              <w:bottom w:val="single" w:sz="4" w:space="0" w:color="auto"/>
            </w:tcBorders>
            <w:shd w:val="clear" w:color="auto" w:fill="auto"/>
            <w:noWrap/>
            <w:vAlign w:val="center"/>
            <w:hideMark/>
          </w:tcPr>
          <w:p w14:paraId="059F99C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Scalar</w:t>
            </w:r>
          </w:p>
        </w:tc>
        <w:tc>
          <w:tcPr>
            <w:tcW w:w="1667" w:type="pct"/>
            <w:tcBorders>
              <w:top w:val="nil"/>
              <w:left w:val="nil"/>
              <w:bottom w:val="single" w:sz="4" w:space="0" w:color="auto"/>
            </w:tcBorders>
            <w:shd w:val="clear" w:color="auto" w:fill="auto"/>
            <w:noWrap/>
            <w:vAlign w:val="center"/>
            <w:hideMark/>
          </w:tcPr>
          <w:p w14:paraId="56DAEC0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0.997</w:t>
            </w:r>
          </w:p>
        </w:tc>
        <w:tc>
          <w:tcPr>
            <w:tcW w:w="1667" w:type="pct"/>
            <w:vMerge/>
            <w:tcBorders>
              <w:left w:val="nil"/>
              <w:bottom w:val="single" w:sz="4" w:space="0" w:color="auto"/>
            </w:tcBorders>
          </w:tcPr>
          <w:p w14:paraId="279D19F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EC034FA" w14:textId="77777777" w:rsidTr="009B5520">
        <w:trPr>
          <w:trHeight w:val="290"/>
        </w:trPr>
        <w:tc>
          <w:tcPr>
            <w:tcW w:w="1666" w:type="pct"/>
            <w:tcBorders>
              <w:top w:val="nil"/>
              <w:bottom w:val="single" w:sz="4" w:space="0" w:color="auto"/>
            </w:tcBorders>
            <w:shd w:val="clear" w:color="auto" w:fill="auto"/>
            <w:noWrap/>
            <w:vAlign w:val="center"/>
            <w:hideMark/>
          </w:tcPr>
          <w:p w14:paraId="77BA2AE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Input Form</w:t>
            </w:r>
          </w:p>
        </w:tc>
        <w:tc>
          <w:tcPr>
            <w:tcW w:w="1667" w:type="pct"/>
            <w:tcBorders>
              <w:top w:val="nil"/>
              <w:left w:val="nil"/>
              <w:bottom w:val="single" w:sz="4" w:space="0" w:color="auto"/>
            </w:tcBorders>
            <w:shd w:val="clear" w:color="auto" w:fill="auto"/>
            <w:noWrap/>
            <w:vAlign w:val="center"/>
            <w:hideMark/>
          </w:tcPr>
          <w:p w14:paraId="3C0D764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Solid Formulation</w:t>
            </w:r>
          </w:p>
        </w:tc>
        <w:tc>
          <w:tcPr>
            <w:tcW w:w="1667" w:type="pct"/>
            <w:tcBorders>
              <w:top w:val="nil"/>
              <w:left w:val="nil"/>
              <w:bottom w:val="single" w:sz="4" w:space="0" w:color="auto"/>
            </w:tcBorders>
          </w:tcPr>
          <w:p w14:paraId="6B7F53D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0BDF3DB" w14:textId="77777777" w:rsidTr="009B5520">
        <w:trPr>
          <w:trHeight w:val="290"/>
        </w:trPr>
        <w:tc>
          <w:tcPr>
            <w:tcW w:w="1666" w:type="pct"/>
            <w:tcBorders>
              <w:top w:val="nil"/>
              <w:bottom w:val="single" w:sz="4" w:space="0" w:color="auto"/>
            </w:tcBorders>
            <w:shd w:val="clear" w:color="auto" w:fill="auto"/>
            <w:noWrap/>
            <w:vAlign w:val="center"/>
            <w:hideMark/>
          </w:tcPr>
          <w:p w14:paraId="7EBD149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Formulation</w:t>
            </w:r>
          </w:p>
        </w:tc>
        <w:tc>
          <w:tcPr>
            <w:tcW w:w="1667" w:type="pct"/>
            <w:tcBorders>
              <w:top w:val="nil"/>
              <w:left w:val="nil"/>
              <w:bottom w:val="single" w:sz="4" w:space="0" w:color="auto"/>
            </w:tcBorders>
            <w:shd w:val="clear" w:color="auto" w:fill="auto"/>
            <w:noWrap/>
            <w:vAlign w:val="center"/>
            <w:hideMark/>
          </w:tcPr>
          <w:p w14:paraId="36CBC06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Immediate Release (IR)</w:t>
            </w:r>
          </w:p>
        </w:tc>
        <w:tc>
          <w:tcPr>
            <w:tcW w:w="1667" w:type="pct"/>
            <w:tcBorders>
              <w:top w:val="nil"/>
              <w:left w:val="nil"/>
              <w:bottom w:val="single" w:sz="4" w:space="0" w:color="auto"/>
            </w:tcBorders>
          </w:tcPr>
          <w:p w14:paraId="41A1A18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9137AE3" w14:textId="77777777" w:rsidTr="009B5520">
        <w:trPr>
          <w:trHeight w:val="290"/>
        </w:trPr>
        <w:tc>
          <w:tcPr>
            <w:tcW w:w="1666" w:type="pct"/>
            <w:tcBorders>
              <w:top w:val="nil"/>
              <w:bottom w:val="single" w:sz="4" w:space="0" w:color="auto"/>
            </w:tcBorders>
            <w:shd w:val="clear" w:color="auto" w:fill="auto"/>
            <w:noWrap/>
            <w:vAlign w:val="center"/>
            <w:hideMark/>
          </w:tcPr>
          <w:p w14:paraId="42410D8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Dissolution Type</w:t>
            </w:r>
          </w:p>
        </w:tc>
        <w:tc>
          <w:tcPr>
            <w:tcW w:w="1667" w:type="pct"/>
            <w:tcBorders>
              <w:top w:val="nil"/>
              <w:left w:val="nil"/>
              <w:bottom w:val="single" w:sz="4" w:space="0" w:color="auto"/>
            </w:tcBorders>
            <w:shd w:val="clear" w:color="auto" w:fill="auto"/>
            <w:noWrap/>
            <w:vAlign w:val="center"/>
            <w:hideMark/>
          </w:tcPr>
          <w:p w14:paraId="54B095F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Solubility</w:t>
            </w:r>
          </w:p>
        </w:tc>
        <w:tc>
          <w:tcPr>
            <w:tcW w:w="1667" w:type="pct"/>
            <w:tcBorders>
              <w:top w:val="nil"/>
              <w:left w:val="nil"/>
              <w:bottom w:val="single" w:sz="4" w:space="0" w:color="auto"/>
            </w:tcBorders>
          </w:tcPr>
          <w:p w14:paraId="1576C941"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C50D016" w14:textId="77777777" w:rsidTr="009B5520">
        <w:trPr>
          <w:trHeight w:val="290"/>
        </w:trPr>
        <w:tc>
          <w:tcPr>
            <w:tcW w:w="1666" w:type="pct"/>
            <w:tcBorders>
              <w:top w:val="nil"/>
              <w:bottom w:val="single" w:sz="4" w:space="0" w:color="auto"/>
            </w:tcBorders>
            <w:shd w:val="clear" w:color="auto" w:fill="auto"/>
            <w:noWrap/>
            <w:vAlign w:val="center"/>
            <w:hideMark/>
          </w:tcPr>
          <w:p w14:paraId="4B5E19C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Solubility Type</w:t>
            </w:r>
          </w:p>
        </w:tc>
        <w:tc>
          <w:tcPr>
            <w:tcW w:w="1667" w:type="pct"/>
            <w:tcBorders>
              <w:top w:val="nil"/>
              <w:left w:val="nil"/>
              <w:bottom w:val="single" w:sz="4" w:space="0" w:color="auto"/>
            </w:tcBorders>
            <w:shd w:val="clear" w:color="auto" w:fill="auto"/>
            <w:noWrap/>
            <w:vAlign w:val="center"/>
            <w:hideMark/>
          </w:tcPr>
          <w:p w14:paraId="740EB8E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Solubility-pH profile</w:t>
            </w:r>
          </w:p>
        </w:tc>
        <w:tc>
          <w:tcPr>
            <w:tcW w:w="1667" w:type="pct"/>
            <w:tcBorders>
              <w:top w:val="nil"/>
              <w:left w:val="nil"/>
              <w:bottom w:val="single" w:sz="4" w:space="0" w:color="auto"/>
            </w:tcBorders>
          </w:tcPr>
          <w:p w14:paraId="73D98F06" w14:textId="0D42D23F"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(Dodd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{"citationItems":[{"id":"ITEM-1","itemData":{"DOI":"10.1016/j.xphs.2018.10.032","ISSN":"15206017","abstract":"Advances in understanding of human disease have prompted the U.S. Food and Drug Administration to classify certain molecules as “break-through therapies,” providing an accelerated review that may potentially enhance the quality of patient lives. With this designation come compressed timelines to develop drug products, which are not only suitable for clinic trials but can also be approved and brought to the market rapidly. Early risk identification for decreased oral absorption due to drug-drug interactions with proton pump inhibitors (PPIs) or acid-reducing agents (ARAs) is paramount to an effective drug product development strategy. An early ARA/PPI drug-drug interaction (DDI) risk identification strategy has been developed using physiologically based absorption modeling that readily integrates ADMET predictor generated in silico estimates or measured in vitro solubility, permeability, and ionization constants. Observed or predicted pH-solubility profile data along with pKas and drug dosing parameters were used to calculate a fraction of drug absorbed ratio in absence and presence of ARAs/PPIs. An integrated physiologically based pharmacokinetic absorption model using GastroPlus™ with pKa values fitted to measured pH-solubility profile data along with measured permeability data correctly identified the observed ARA/PPI DDI for 78% (16/22) of the clinical studies. Formulation strategies for compounds with an anticipated pH-mediated DDI risk are presented.","author":[{"dropping-particle":"","family":"Dodd","given":"Stephanie","non-dropping-particle":"","parse-names":false,"suffix":""},{"dropping-particle":"","family":"Kollipara","given":"Sivacharan","non-dropping-particle":"","parse-names":false,"suffix":""},{"dropping-particle":"","family":"Sanchez-Felix","given":"Manuel","non-dropping-particle":"","parse-names":false,"suffix":""},{"dropping-particle":"","family":"Kim","given":"Hyungchul","non-dropping-particle":"","parse-names":false,"suffix":""},{"dropping-particle":"","family":"Meng","given":"Qingshuo","non-dropping-particle":"","parse-names":false,"suffix":""},{"dropping-particle":"","family":"Beato","given":"Stefania","non-dropping-particle":"","parse-names":false,"suffix":""},{"dropping-particle":"","family":"Heimbach","given":"Tycho","non-dropping-particle":"","parse-names":false,"suffix":""}],"container-title":"Journal of Pharmaceutical Sciences","id":"ITEM-1","issue":"1","issued":{"date-parts":[["2019"]]},"page":"87-101","publisher":"Elsevier Ltd","title":"Prediction of ARA/PPI Drug-Drug Interactions at the Drug Discovery and Development Interface","type":"article-journal","volume":"108"},"uris":["http://www.mendeley.com/documents/?uuid=2cbc81d8-971c-4801-85cc-7e585826ac5a","http://www.mendeley.com/documents/?uuid=fc93d728-f4d4-44b6-850c-edb1c28719ab"]}],"mendeley":{"formattedCitation":"&lt;sup&gt;5&lt;/sup&gt;","plainTextFormattedCitation":"5","previouslyFormattedCitation":"&lt;sup&gt;5&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5</w:t>
            </w:r>
            <w:r w:rsidRPr="003724A4">
              <w:rPr>
                <w:rFonts w:ascii="Arial" w:eastAsia="Times New Roman" w:hAnsi="Arial" w:cs="Arial"/>
                <w:color w:val="000000"/>
                <w:sz w:val="20"/>
                <w:szCs w:val="20"/>
              </w:rPr>
              <w:fldChar w:fldCharType="end"/>
            </w:r>
          </w:p>
        </w:tc>
      </w:tr>
      <w:tr w:rsidR="003724A4" w:rsidRPr="003724A4" w14:paraId="6EB69E0B" w14:textId="77777777" w:rsidTr="009B5520">
        <w:trPr>
          <w:trHeight w:val="290"/>
        </w:trPr>
        <w:tc>
          <w:tcPr>
            <w:tcW w:w="1666" w:type="pct"/>
            <w:tcBorders>
              <w:top w:val="nil"/>
              <w:bottom w:val="single" w:sz="4" w:space="0" w:color="auto"/>
            </w:tcBorders>
            <w:shd w:val="clear" w:color="auto" w:fill="auto"/>
            <w:noWrap/>
            <w:vAlign w:val="center"/>
            <w:hideMark/>
          </w:tcPr>
          <w:p w14:paraId="434BE66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b/>
                <w:bCs/>
                <w:color w:val="000000"/>
                <w:sz w:val="20"/>
                <w:szCs w:val="20"/>
              </w:rPr>
              <w:t>Absorption Model</w:t>
            </w:r>
          </w:p>
        </w:tc>
        <w:tc>
          <w:tcPr>
            <w:tcW w:w="1667" w:type="pct"/>
            <w:tcBorders>
              <w:top w:val="nil"/>
              <w:left w:val="nil"/>
              <w:bottom w:val="single" w:sz="4" w:space="0" w:color="auto"/>
            </w:tcBorders>
            <w:shd w:val="clear" w:color="auto" w:fill="auto"/>
            <w:noWrap/>
            <w:vAlign w:val="center"/>
            <w:hideMark/>
          </w:tcPr>
          <w:p w14:paraId="51D22A5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First Order</w:t>
            </w:r>
          </w:p>
        </w:tc>
        <w:tc>
          <w:tcPr>
            <w:tcW w:w="1667" w:type="pct"/>
            <w:tcBorders>
              <w:top w:val="nil"/>
              <w:left w:val="nil"/>
              <w:bottom w:val="single" w:sz="4" w:space="0" w:color="auto"/>
            </w:tcBorders>
          </w:tcPr>
          <w:p w14:paraId="06AE7B2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E882913" w14:textId="77777777" w:rsidTr="009B5520">
        <w:trPr>
          <w:trHeight w:val="290"/>
        </w:trPr>
        <w:tc>
          <w:tcPr>
            <w:tcW w:w="1666" w:type="pct"/>
            <w:tcBorders>
              <w:top w:val="nil"/>
              <w:bottom w:val="single" w:sz="4" w:space="0" w:color="auto"/>
            </w:tcBorders>
            <w:shd w:val="clear" w:color="auto" w:fill="auto"/>
            <w:noWrap/>
            <w:vAlign w:val="center"/>
          </w:tcPr>
          <w:p w14:paraId="6ED9EBE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fa</w:t>
            </w:r>
          </w:p>
        </w:tc>
        <w:tc>
          <w:tcPr>
            <w:tcW w:w="1667" w:type="pct"/>
            <w:tcBorders>
              <w:top w:val="nil"/>
              <w:left w:val="nil"/>
              <w:bottom w:val="single" w:sz="4" w:space="0" w:color="auto"/>
            </w:tcBorders>
            <w:shd w:val="clear" w:color="auto" w:fill="auto"/>
            <w:noWrap/>
            <w:vAlign w:val="center"/>
          </w:tcPr>
          <w:p w14:paraId="393BE9F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0.77</w:t>
            </w:r>
          </w:p>
        </w:tc>
        <w:tc>
          <w:tcPr>
            <w:tcW w:w="1667" w:type="pct"/>
            <w:tcBorders>
              <w:top w:val="nil"/>
              <w:left w:val="nil"/>
              <w:bottom w:val="single" w:sz="4" w:space="0" w:color="auto"/>
            </w:tcBorders>
          </w:tcPr>
          <w:p w14:paraId="4A8A811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Obtained via simulations using the ADAM model</w:t>
            </w:r>
          </w:p>
        </w:tc>
      </w:tr>
      <w:tr w:rsidR="003724A4" w:rsidRPr="003724A4" w14:paraId="69190BB6" w14:textId="77777777" w:rsidTr="009B5520">
        <w:trPr>
          <w:trHeight w:val="290"/>
        </w:trPr>
        <w:tc>
          <w:tcPr>
            <w:tcW w:w="1666" w:type="pct"/>
            <w:tcBorders>
              <w:top w:val="nil"/>
              <w:bottom w:val="single" w:sz="4" w:space="0" w:color="auto"/>
            </w:tcBorders>
            <w:shd w:val="clear" w:color="auto" w:fill="auto"/>
            <w:noWrap/>
            <w:vAlign w:val="center"/>
          </w:tcPr>
          <w:p w14:paraId="089C9B3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ka (1/h)</w:t>
            </w:r>
          </w:p>
        </w:tc>
        <w:tc>
          <w:tcPr>
            <w:tcW w:w="1667" w:type="pct"/>
            <w:tcBorders>
              <w:top w:val="nil"/>
              <w:left w:val="nil"/>
              <w:bottom w:val="single" w:sz="4" w:space="0" w:color="auto"/>
            </w:tcBorders>
            <w:shd w:val="clear" w:color="auto" w:fill="auto"/>
            <w:noWrap/>
            <w:vAlign w:val="center"/>
          </w:tcPr>
          <w:p w14:paraId="7AFA5FB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0.467</w:t>
            </w:r>
          </w:p>
        </w:tc>
        <w:tc>
          <w:tcPr>
            <w:tcW w:w="1667" w:type="pct"/>
            <w:tcBorders>
              <w:top w:val="nil"/>
              <w:left w:val="nil"/>
              <w:bottom w:val="single" w:sz="4" w:space="0" w:color="auto"/>
            </w:tcBorders>
          </w:tcPr>
          <w:p w14:paraId="7237FE0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Via parameter estimation</w:t>
            </w:r>
          </w:p>
        </w:tc>
      </w:tr>
      <w:tr w:rsidR="003724A4" w:rsidRPr="003724A4" w14:paraId="355A8787" w14:textId="77777777" w:rsidTr="009B5520">
        <w:tblPrEx>
          <w:tblBorders>
            <w:insideH w:val="single" w:sz="4" w:space="0" w:color="auto"/>
          </w:tblBorders>
        </w:tblPrEx>
        <w:trPr>
          <w:trHeight w:val="292"/>
        </w:trPr>
        <w:tc>
          <w:tcPr>
            <w:tcW w:w="1666" w:type="pct"/>
            <w:shd w:val="clear" w:color="auto" w:fill="auto"/>
            <w:noWrap/>
            <w:vAlign w:val="center"/>
            <w:hideMark/>
          </w:tcPr>
          <w:p w14:paraId="00E335BD"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hAnsi="Arial" w:cs="Arial"/>
                <w:sz w:val="20"/>
                <w:szCs w:val="20"/>
              </w:rPr>
              <w:t>fu</w:t>
            </w:r>
            <w:r w:rsidRPr="003724A4">
              <w:rPr>
                <w:rFonts w:ascii="Arial" w:hAnsi="Arial" w:cs="Arial"/>
                <w:sz w:val="20"/>
                <w:szCs w:val="20"/>
                <w:vertAlign w:val="subscript"/>
              </w:rPr>
              <w:t>gut</w:t>
            </w:r>
            <w:proofErr w:type="spellEnd"/>
          </w:p>
        </w:tc>
        <w:tc>
          <w:tcPr>
            <w:tcW w:w="1667" w:type="pct"/>
            <w:shd w:val="clear" w:color="auto" w:fill="auto"/>
            <w:noWrap/>
            <w:vAlign w:val="center"/>
            <w:hideMark/>
          </w:tcPr>
          <w:p w14:paraId="2791475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1.23E-05</w:t>
            </w:r>
          </w:p>
        </w:tc>
        <w:tc>
          <w:tcPr>
            <w:tcW w:w="1667" w:type="pct"/>
          </w:tcPr>
          <w:p w14:paraId="0B6B7B0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p>
        </w:tc>
      </w:tr>
      <w:tr w:rsidR="003724A4" w:rsidRPr="003724A4" w14:paraId="56AF3E34" w14:textId="77777777" w:rsidTr="009B5520">
        <w:tblPrEx>
          <w:tblBorders>
            <w:insideH w:val="single" w:sz="4" w:space="0" w:color="auto"/>
          </w:tblBorders>
        </w:tblPrEx>
        <w:trPr>
          <w:trHeight w:val="292"/>
        </w:trPr>
        <w:tc>
          <w:tcPr>
            <w:tcW w:w="1666" w:type="pct"/>
            <w:shd w:val="clear" w:color="auto" w:fill="auto"/>
            <w:noWrap/>
            <w:vAlign w:val="center"/>
          </w:tcPr>
          <w:p w14:paraId="6D0E240A"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hAnsi="Arial" w:cs="Arial"/>
                <w:sz w:val="20"/>
                <w:szCs w:val="20"/>
              </w:rPr>
              <w:t>Q</w:t>
            </w:r>
            <w:r w:rsidRPr="003724A4">
              <w:rPr>
                <w:rFonts w:ascii="Arial" w:hAnsi="Arial" w:cs="Arial"/>
                <w:sz w:val="20"/>
                <w:szCs w:val="20"/>
                <w:vertAlign w:val="subscript"/>
              </w:rPr>
              <w:t>gut</w:t>
            </w:r>
            <w:proofErr w:type="spellEnd"/>
            <w:r w:rsidRPr="003724A4">
              <w:rPr>
                <w:rFonts w:ascii="Arial" w:eastAsia="Times New Roman" w:hAnsi="Arial" w:cs="Arial"/>
                <w:color w:val="000000"/>
                <w:sz w:val="20"/>
                <w:szCs w:val="20"/>
              </w:rPr>
              <w:t xml:space="preserve"> (L/h)</w:t>
            </w:r>
          </w:p>
        </w:tc>
        <w:tc>
          <w:tcPr>
            <w:tcW w:w="1667" w:type="pct"/>
            <w:shd w:val="clear" w:color="auto" w:fill="auto"/>
            <w:noWrap/>
            <w:vAlign w:val="center"/>
          </w:tcPr>
          <w:p w14:paraId="52897B9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8.69</w:t>
            </w:r>
          </w:p>
        </w:tc>
        <w:tc>
          <w:tcPr>
            <w:tcW w:w="1667" w:type="pct"/>
          </w:tcPr>
          <w:p w14:paraId="7F57644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p>
        </w:tc>
      </w:tr>
      <w:tr w:rsidR="003724A4" w:rsidRPr="003724A4" w14:paraId="7508A7A1" w14:textId="77777777" w:rsidTr="009B5520">
        <w:trPr>
          <w:trHeight w:val="290"/>
        </w:trPr>
        <w:tc>
          <w:tcPr>
            <w:tcW w:w="1666" w:type="pct"/>
            <w:tcBorders>
              <w:top w:val="nil"/>
              <w:bottom w:val="single" w:sz="4" w:space="0" w:color="auto"/>
            </w:tcBorders>
            <w:shd w:val="clear" w:color="auto" w:fill="auto"/>
            <w:noWrap/>
            <w:vAlign w:val="center"/>
          </w:tcPr>
          <w:p w14:paraId="1BF22A22"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shd w:val="clear" w:color="auto" w:fill="auto"/>
            <w:noWrap/>
            <w:vAlign w:val="center"/>
          </w:tcPr>
          <w:p w14:paraId="34471AA4"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tcPr>
          <w:p w14:paraId="26D5D99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6466640" w14:textId="77777777" w:rsidTr="009B5520">
        <w:trPr>
          <w:trHeight w:val="290"/>
        </w:trPr>
        <w:tc>
          <w:tcPr>
            <w:tcW w:w="1666" w:type="pct"/>
            <w:tcBorders>
              <w:top w:val="nil"/>
              <w:bottom w:val="single" w:sz="4" w:space="0" w:color="auto"/>
            </w:tcBorders>
            <w:shd w:val="clear" w:color="auto" w:fill="auto"/>
            <w:noWrap/>
            <w:vAlign w:val="center"/>
            <w:hideMark/>
          </w:tcPr>
          <w:p w14:paraId="6813B369"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Distribution Model</w:t>
            </w:r>
          </w:p>
        </w:tc>
        <w:tc>
          <w:tcPr>
            <w:tcW w:w="1667" w:type="pct"/>
            <w:tcBorders>
              <w:top w:val="nil"/>
              <w:left w:val="nil"/>
              <w:bottom w:val="single" w:sz="4" w:space="0" w:color="auto"/>
            </w:tcBorders>
            <w:shd w:val="clear" w:color="auto" w:fill="auto"/>
            <w:noWrap/>
            <w:vAlign w:val="center"/>
            <w:hideMark/>
          </w:tcPr>
          <w:p w14:paraId="56D6C0F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Full PBPK Model</w:t>
            </w:r>
          </w:p>
        </w:tc>
        <w:tc>
          <w:tcPr>
            <w:tcW w:w="1667" w:type="pct"/>
            <w:tcBorders>
              <w:top w:val="nil"/>
              <w:left w:val="nil"/>
              <w:bottom w:val="single" w:sz="4" w:space="0" w:color="auto"/>
            </w:tcBorders>
          </w:tcPr>
          <w:p w14:paraId="07B50325"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C2966FF" w14:textId="77777777" w:rsidTr="009B5520">
        <w:trPr>
          <w:trHeight w:val="290"/>
        </w:trPr>
        <w:tc>
          <w:tcPr>
            <w:tcW w:w="1666" w:type="pct"/>
            <w:tcBorders>
              <w:top w:val="nil"/>
              <w:bottom w:val="single" w:sz="4" w:space="0" w:color="auto"/>
            </w:tcBorders>
            <w:shd w:val="clear" w:color="auto" w:fill="auto"/>
            <w:noWrap/>
            <w:vAlign w:val="center"/>
            <w:hideMark/>
          </w:tcPr>
          <w:p w14:paraId="15CD8DDA"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V</w:t>
            </w:r>
            <w:r w:rsidRPr="003724A4">
              <w:rPr>
                <w:rFonts w:ascii="Arial" w:eastAsia="Times New Roman" w:hAnsi="Arial" w:cs="Arial"/>
                <w:color w:val="000000"/>
                <w:sz w:val="20"/>
                <w:szCs w:val="20"/>
                <w:vertAlign w:val="subscript"/>
              </w:rPr>
              <w:t>ss</w:t>
            </w:r>
            <w:proofErr w:type="spellEnd"/>
            <w:r w:rsidRPr="003724A4">
              <w:rPr>
                <w:rFonts w:ascii="Arial" w:eastAsia="Times New Roman" w:hAnsi="Arial" w:cs="Arial"/>
                <w:color w:val="000000"/>
                <w:sz w:val="20"/>
                <w:szCs w:val="20"/>
              </w:rPr>
              <w:t xml:space="preserve"> input type</w:t>
            </w:r>
          </w:p>
        </w:tc>
        <w:tc>
          <w:tcPr>
            <w:tcW w:w="1667" w:type="pct"/>
            <w:tcBorders>
              <w:top w:val="nil"/>
              <w:left w:val="nil"/>
              <w:bottom w:val="single" w:sz="4" w:space="0" w:color="auto"/>
            </w:tcBorders>
            <w:shd w:val="clear" w:color="auto" w:fill="auto"/>
            <w:noWrap/>
            <w:vAlign w:val="center"/>
            <w:hideMark/>
          </w:tcPr>
          <w:p w14:paraId="09C7AD8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Predicted</w:t>
            </w:r>
          </w:p>
        </w:tc>
        <w:tc>
          <w:tcPr>
            <w:tcW w:w="1667" w:type="pct"/>
            <w:tcBorders>
              <w:top w:val="nil"/>
              <w:left w:val="nil"/>
              <w:bottom w:val="single" w:sz="4" w:space="0" w:color="auto"/>
            </w:tcBorders>
          </w:tcPr>
          <w:p w14:paraId="4C59CD65"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B93C526" w14:textId="77777777" w:rsidTr="009B5520">
        <w:trPr>
          <w:trHeight w:val="290"/>
        </w:trPr>
        <w:tc>
          <w:tcPr>
            <w:tcW w:w="1666" w:type="pct"/>
            <w:tcBorders>
              <w:top w:val="nil"/>
              <w:bottom w:val="single" w:sz="4" w:space="0" w:color="auto"/>
            </w:tcBorders>
            <w:shd w:val="clear" w:color="auto" w:fill="auto"/>
            <w:noWrap/>
            <w:vAlign w:val="center"/>
            <w:hideMark/>
          </w:tcPr>
          <w:p w14:paraId="4B610D2B"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V</w:t>
            </w:r>
            <w:r w:rsidRPr="003724A4">
              <w:rPr>
                <w:rFonts w:ascii="Arial" w:eastAsia="Times New Roman" w:hAnsi="Arial" w:cs="Arial"/>
                <w:color w:val="000000"/>
                <w:sz w:val="20"/>
                <w:szCs w:val="20"/>
                <w:vertAlign w:val="subscript"/>
              </w:rPr>
              <w:t>ss</w:t>
            </w:r>
            <w:proofErr w:type="spellEnd"/>
            <w:r w:rsidRPr="003724A4">
              <w:rPr>
                <w:rFonts w:ascii="Arial" w:eastAsia="Times New Roman" w:hAnsi="Arial" w:cs="Arial"/>
                <w:color w:val="000000"/>
                <w:sz w:val="20"/>
                <w:szCs w:val="20"/>
              </w:rPr>
              <w:t xml:space="preserve"> (L/kg)</w:t>
            </w:r>
          </w:p>
        </w:tc>
        <w:tc>
          <w:tcPr>
            <w:tcW w:w="1667" w:type="pct"/>
            <w:tcBorders>
              <w:top w:val="nil"/>
              <w:left w:val="nil"/>
              <w:bottom w:val="single" w:sz="4" w:space="0" w:color="auto"/>
            </w:tcBorders>
            <w:shd w:val="clear" w:color="auto" w:fill="auto"/>
            <w:noWrap/>
            <w:vAlign w:val="center"/>
            <w:hideMark/>
          </w:tcPr>
          <w:p w14:paraId="6542FDD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1.998</w:t>
            </w:r>
          </w:p>
        </w:tc>
        <w:tc>
          <w:tcPr>
            <w:tcW w:w="1667" w:type="pct"/>
            <w:tcBorders>
              <w:top w:val="nil"/>
              <w:left w:val="nil"/>
              <w:bottom w:val="single" w:sz="4" w:space="0" w:color="auto"/>
            </w:tcBorders>
          </w:tcPr>
          <w:p w14:paraId="5611FFEB" w14:textId="6501BD98"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(Lu et al., 2006)</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{"citationItems":[{"id":"ITEM-1","itemData":{"DOI":"10.1016/j.clpt.2006.04.007","ISSN":"00099236","PMID":"16890575","abstract":"Objective: Our objective was to assess the pharmacokinetics of erlotinib in a large patient population with solid tumors, identify covariates, and explore relationships between exposure and safety outcomes (rash and diarrhea) in patients with non-small cell lung cancer receiving single-agent erlotinib. Methods: The population pharmacokinetic analysis was performed by use of NONMEM based on 4068 concentration samples from 1047 patients receiving erlotinib as a single agent or in combination with chemotherapy. By use of a 1-compartment model with first-order absorption, the influence of demographic and clinical characteristics on clearance and volume was examined. Spearman rank correlation analyses were performed to test for correlations between maximum grades of rash and diarrhea and erlotinib exposure in non-small cell lung cancer patients treated with single-agent erlotinib. Results: On the basis of the final model developed from patients treated with erlotinib as a single agent, the oral clearance was 3.95 L/h, the oral volume of distribution was 233 L, and the absorption rate was 0.95 h-1. The median erlotinib half-life based on this patient population was 36.2 hours. Total bilirubin, α1-acid glycoprotein, and smoking status were the most important factors affecting clearance. The clearance in current smokers was 24% faster than that in former smokers or those who never smoked. There was a statistically significant correlation between drug exposure and rash (P &lt; .05). However, there was significant overlap in the range of values for patients who had no rash (grade = 0) and those who had any grade of rash. No significant correlation was found between exposure and diarrhea. Conclusions: The long half-life of erlotinib supports the current once-daily dosing regimen at 150 mg/d. Effects of covariates on erlotinib clearance and correlations with adverse event severity were provided to aid in the detection of a treatment-emergent effect. © 2006 American Society for Clinical Pharmacology and Therapeutics.","author":[{"dropping-particle":"","family":"Lu","given":"Jian Feng","non-dropping-particle":"","parse-names":false,"suffix":""},{"dropping-particle":"","family":"Eppler","given":"Steve M.","non-dropping-particle":"","parse-names":false,"suffix":""},{"dropping-particle":"","family":"Wolf","given":"Julie","non-dropping-particle":"","parse-names":false,"suffix":""},{"dropping-particle":"","family":"Hamilton","given":"Marta","non-dropping-particle":"","parse-names":false,"suffix":""},{"dropping-particle":"","family":"Rakhit","given":"Ashok","non-dropping-particle":"","parse-names":false,"suffix":""},{"dropping-particle":"","family":"Bruno","given":"Rene","non-dropping-particle":"","parse-names":false,"suffix":""},{"dropping-particle":"","family":"Lum","given":"Bert L.","non-dropping-particle":"","parse-names":false,"suffix":""}],"container-title":"Clinical Pharmacology and Therapeutics","id":"ITEM-1","issue":"2","issued":{"date-parts":[["2006","8"]]},"page":"136-145","title":"Clinical pharmacokinetics of erlotinib in patients with solid tumors and exposure-safety relationship in patients with non-small cell lung cancer","type":"article-journal","volume":"80"},"uris":["http://www.mendeley.com/documents/?uuid=774a0739-b6b4-305d-a482-bba435c793c8","http://www.mendeley.com/documents/?uuid=23b2cae1-d47a-4245-8ef1-45af39879279"]}],"mendeley":{"formattedCitation":"&lt;sup&gt;6&lt;/sup&gt;","plainTextFormattedCitation":"6","previouslyFormattedCitation":"&lt;sup&gt;6&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6</w:t>
            </w:r>
            <w:r w:rsidRPr="003724A4">
              <w:rPr>
                <w:rFonts w:ascii="Arial" w:eastAsia="Times New Roman" w:hAnsi="Arial" w:cs="Arial"/>
                <w:color w:val="000000"/>
                <w:sz w:val="20"/>
                <w:szCs w:val="20"/>
              </w:rPr>
              <w:fldChar w:fldCharType="end"/>
            </w:r>
          </w:p>
        </w:tc>
      </w:tr>
      <w:tr w:rsidR="003724A4" w:rsidRPr="003724A4" w14:paraId="0D2A4A2E" w14:textId="77777777" w:rsidTr="009B5520">
        <w:trPr>
          <w:trHeight w:val="290"/>
        </w:trPr>
        <w:tc>
          <w:tcPr>
            <w:tcW w:w="1666" w:type="pct"/>
            <w:tcBorders>
              <w:top w:val="nil"/>
              <w:bottom w:val="nil"/>
            </w:tcBorders>
            <w:shd w:val="clear" w:color="auto" w:fill="auto"/>
            <w:noWrap/>
            <w:vAlign w:val="center"/>
            <w:hideMark/>
          </w:tcPr>
          <w:p w14:paraId="3EFEF01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Prediction Method</w:t>
            </w:r>
          </w:p>
        </w:tc>
        <w:tc>
          <w:tcPr>
            <w:tcW w:w="1667" w:type="pct"/>
            <w:tcBorders>
              <w:top w:val="nil"/>
              <w:left w:val="nil"/>
              <w:bottom w:val="nil"/>
            </w:tcBorders>
            <w:shd w:val="clear" w:color="auto" w:fill="auto"/>
            <w:noWrap/>
            <w:vAlign w:val="center"/>
            <w:hideMark/>
          </w:tcPr>
          <w:p w14:paraId="554C649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Method 2</w:t>
            </w:r>
          </w:p>
        </w:tc>
        <w:tc>
          <w:tcPr>
            <w:tcW w:w="1667" w:type="pct"/>
            <w:tcBorders>
              <w:top w:val="nil"/>
              <w:left w:val="nil"/>
              <w:bottom w:val="nil"/>
            </w:tcBorders>
          </w:tcPr>
          <w:p w14:paraId="6EBABE7A"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C11D8E7" w14:textId="77777777" w:rsidTr="009B5520">
        <w:trPr>
          <w:trHeight w:val="290"/>
        </w:trPr>
        <w:tc>
          <w:tcPr>
            <w:tcW w:w="1666" w:type="pct"/>
            <w:tcBorders>
              <w:top w:val="nil"/>
              <w:bottom w:val="single" w:sz="4" w:space="0" w:color="auto"/>
            </w:tcBorders>
            <w:shd w:val="clear" w:color="auto" w:fill="auto"/>
            <w:noWrap/>
            <w:vAlign w:val="center"/>
          </w:tcPr>
          <w:p w14:paraId="2A6C83EE"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shd w:val="clear" w:color="auto" w:fill="auto"/>
            <w:noWrap/>
            <w:vAlign w:val="center"/>
          </w:tcPr>
          <w:p w14:paraId="200E044D"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tcPr>
          <w:p w14:paraId="54C7B25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480D359" w14:textId="77777777" w:rsidTr="009B5520">
        <w:trPr>
          <w:trHeight w:val="290"/>
        </w:trPr>
        <w:tc>
          <w:tcPr>
            <w:tcW w:w="1666" w:type="pct"/>
            <w:tcBorders>
              <w:top w:val="nil"/>
              <w:bottom w:val="single" w:sz="4" w:space="0" w:color="auto"/>
            </w:tcBorders>
            <w:shd w:val="clear" w:color="auto" w:fill="auto"/>
            <w:noWrap/>
            <w:vAlign w:val="center"/>
          </w:tcPr>
          <w:p w14:paraId="23BABDDB"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K</w:t>
            </w:r>
            <w:r w:rsidRPr="003724A4">
              <w:rPr>
                <w:rFonts w:ascii="Arial" w:eastAsia="Times New Roman" w:hAnsi="Arial" w:cs="Arial"/>
                <w:color w:val="000000"/>
                <w:sz w:val="20"/>
                <w:szCs w:val="20"/>
                <w:vertAlign w:val="subscript"/>
              </w:rPr>
              <w:t>p</w:t>
            </w:r>
            <w:proofErr w:type="spellEnd"/>
            <w:r w:rsidRPr="003724A4">
              <w:rPr>
                <w:rFonts w:ascii="Arial" w:eastAsia="Times New Roman" w:hAnsi="Arial" w:cs="Arial"/>
                <w:color w:val="000000"/>
                <w:sz w:val="20"/>
                <w:szCs w:val="20"/>
              </w:rPr>
              <w:t xml:space="preserve"> Scalar</w:t>
            </w:r>
          </w:p>
        </w:tc>
        <w:tc>
          <w:tcPr>
            <w:tcW w:w="1667" w:type="pct"/>
            <w:tcBorders>
              <w:top w:val="nil"/>
              <w:left w:val="nil"/>
              <w:bottom w:val="single" w:sz="4" w:space="0" w:color="auto"/>
            </w:tcBorders>
            <w:shd w:val="clear" w:color="auto" w:fill="auto"/>
            <w:noWrap/>
            <w:vAlign w:val="center"/>
          </w:tcPr>
          <w:p w14:paraId="4E124D4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1.930</w:t>
            </w:r>
          </w:p>
        </w:tc>
        <w:tc>
          <w:tcPr>
            <w:tcW w:w="1667" w:type="pct"/>
            <w:tcBorders>
              <w:top w:val="nil"/>
              <w:left w:val="nil"/>
              <w:bottom w:val="single" w:sz="4" w:space="0" w:color="auto"/>
            </w:tcBorders>
          </w:tcPr>
          <w:p w14:paraId="2F2B8B0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47AD789" w14:textId="77777777" w:rsidTr="009B5520">
        <w:trPr>
          <w:trHeight w:val="290"/>
        </w:trPr>
        <w:tc>
          <w:tcPr>
            <w:tcW w:w="1666" w:type="pct"/>
            <w:tcBorders>
              <w:top w:val="nil"/>
              <w:bottom w:val="single" w:sz="4" w:space="0" w:color="auto"/>
            </w:tcBorders>
            <w:shd w:val="clear" w:color="auto" w:fill="auto"/>
            <w:noWrap/>
            <w:vAlign w:val="center"/>
          </w:tcPr>
          <w:p w14:paraId="4D38CE54"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shd w:val="clear" w:color="auto" w:fill="auto"/>
            <w:noWrap/>
            <w:vAlign w:val="center"/>
          </w:tcPr>
          <w:p w14:paraId="175053EB"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tcPr>
          <w:p w14:paraId="7FB02B5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95F537F" w14:textId="77777777" w:rsidTr="009B5520">
        <w:trPr>
          <w:trHeight w:val="290"/>
        </w:trPr>
        <w:tc>
          <w:tcPr>
            <w:tcW w:w="1666" w:type="pct"/>
            <w:tcBorders>
              <w:top w:val="nil"/>
              <w:bottom w:val="single" w:sz="4" w:space="0" w:color="auto"/>
            </w:tcBorders>
            <w:shd w:val="clear" w:color="auto" w:fill="auto"/>
            <w:noWrap/>
            <w:vAlign w:val="center"/>
          </w:tcPr>
          <w:p w14:paraId="17AB683B"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Elimination Model</w:t>
            </w:r>
          </w:p>
        </w:tc>
        <w:tc>
          <w:tcPr>
            <w:tcW w:w="1667" w:type="pct"/>
            <w:tcBorders>
              <w:top w:val="nil"/>
              <w:left w:val="nil"/>
              <w:bottom w:val="single" w:sz="4" w:space="0" w:color="auto"/>
            </w:tcBorders>
            <w:shd w:val="clear" w:color="auto" w:fill="auto"/>
            <w:noWrap/>
            <w:vAlign w:val="center"/>
          </w:tcPr>
          <w:p w14:paraId="25CA6186"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tcPr>
          <w:p w14:paraId="600C0D1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D794666" w14:textId="77777777" w:rsidTr="009B5520">
        <w:trPr>
          <w:trHeight w:val="290"/>
        </w:trPr>
        <w:tc>
          <w:tcPr>
            <w:tcW w:w="1666" w:type="pct"/>
            <w:tcBorders>
              <w:top w:val="nil"/>
              <w:bottom w:val="single" w:sz="4" w:space="0" w:color="auto"/>
            </w:tcBorders>
            <w:shd w:val="clear" w:color="auto" w:fill="auto"/>
            <w:noWrap/>
            <w:vAlign w:val="center"/>
          </w:tcPr>
          <w:p w14:paraId="6912F9B0"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CL</w:t>
            </w:r>
            <w:r w:rsidRPr="003724A4">
              <w:rPr>
                <w:rFonts w:ascii="Arial" w:eastAsia="Times New Roman" w:hAnsi="Arial" w:cs="Arial"/>
                <w:color w:val="000000"/>
                <w:sz w:val="20"/>
                <w:szCs w:val="20"/>
                <w:vertAlign w:val="subscript"/>
              </w:rPr>
              <w:t>iv</w:t>
            </w:r>
            <w:proofErr w:type="spellEnd"/>
            <w:r w:rsidRPr="003724A4">
              <w:rPr>
                <w:rFonts w:ascii="Arial" w:eastAsia="Times New Roman" w:hAnsi="Arial" w:cs="Arial"/>
                <w:color w:val="000000"/>
                <w:sz w:val="20"/>
                <w:szCs w:val="20"/>
              </w:rPr>
              <w:t xml:space="preserve"> (L/h)</w:t>
            </w:r>
          </w:p>
          <w:p w14:paraId="1801CAE1"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gramStart"/>
            <w:r w:rsidRPr="003724A4">
              <w:rPr>
                <w:rFonts w:ascii="Arial" w:eastAsia="Times New Roman" w:hAnsi="Arial" w:cs="Arial"/>
                <w:color w:val="000000"/>
                <w:sz w:val="20"/>
                <w:szCs w:val="20"/>
              </w:rPr>
              <w:t>f</w:t>
            </w:r>
            <w:r w:rsidRPr="003724A4">
              <w:rPr>
                <w:rFonts w:ascii="Arial" w:eastAsia="Times New Roman" w:hAnsi="Arial" w:cs="Arial"/>
                <w:color w:val="000000"/>
                <w:sz w:val="20"/>
                <w:szCs w:val="20"/>
                <w:vertAlign w:val="subscript"/>
              </w:rPr>
              <w:t>m,CYP</w:t>
            </w:r>
            <w:proofErr w:type="gramEnd"/>
            <w:r w:rsidRPr="003724A4">
              <w:rPr>
                <w:rFonts w:ascii="Arial" w:eastAsia="Times New Roman" w:hAnsi="Arial" w:cs="Arial"/>
                <w:color w:val="000000"/>
                <w:sz w:val="20"/>
                <w:szCs w:val="20"/>
                <w:vertAlign w:val="subscript"/>
              </w:rPr>
              <w:t>1A2</w:t>
            </w:r>
          </w:p>
          <w:p w14:paraId="17D0C978"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gramStart"/>
            <w:r w:rsidRPr="003724A4">
              <w:rPr>
                <w:rFonts w:ascii="Arial" w:eastAsia="Times New Roman" w:hAnsi="Arial" w:cs="Arial"/>
                <w:color w:val="000000"/>
                <w:sz w:val="20"/>
                <w:szCs w:val="20"/>
              </w:rPr>
              <w:t>f</w:t>
            </w:r>
            <w:r w:rsidRPr="003724A4">
              <w:rPr>
                <w:rFonts w:ascii="Arial" w:eastAsia="Times New Roman" w:hAnsi="Arial" w:cs="Arial"/>
                <w:color w:val="000000"/>
                <w:sz w:val="20"/>
                <w:szCs w:val="20"/>
                <w:vertAlign w:val="subscript"/>
              </w:rPr>
              <w:t>m,CYP</w:t>
            </w:r>
            <w:proofErr w:type="gramEnd"/>
            <w:r w:rsidRPr="003724A4">
              <w:rPr>
                <w:rFonts w:ascii="Arial" w:eastAsia="Times New Roman" w:hAnsi="Arial" w:cs="Arial"/>
                <w:color w:val="000000"/>
                <w:sz w:val="20"/>
                <w:szCs w:val="20"/>
                <w:vertAlign w:val="subscript"/>
              </w:rPr>
              <w:t>3A4</w:t>
            </w:r>
          </w:p>
        </w:tc>
        <w:tc>
          <w:tcPr>
            <w:tcW w:w="1667" w:type="pct"/>
            <w:tcBorders>
              <w:top w:val="nil"/>
              <w:left w:val="nil"/>
              <w:bottom w:val="single" w:sz="4" w:space="0" w:color="auto"/>
            </w:tcBorders>
            <w:shd w:val="clear" w:color="auto" w:fill="auto"/>
            <w:noWrap/>
            <w:vAlign w:val="center"/>
          </w:tcPr>
          <w:p w14:paraId="3FCDCF1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4</w:t>
            </w:r>
          </w:p>
          <w:p w14:paraId="558F998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0.3</w:t>
            </w:r>
          </w:p>
          <w:p w14:paraId="01018B8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0.7</w:t>
            </w:r>
          </w:p>
        </w:tc>
        <w:tc>
          <w:tcPr>
            <w:tcW w:w="1667" w:type="pct"/>
            <w:tcBorders>
              <w:top w:val="nil"/>
              <w:left w:val="nil"/>
              <w:bottom w:val="single" w:sz="4" w:space="0" w:color="auto"/>
            </w:tcBorders>
          </w:tcPr>
          <w:p w14:paraId="3352E927" w14:textId="1E65D271"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(Lu et al., 2006)</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{"citationItems":[{"id":"ITEM-1","itemData":{"DOI":"10.1016/j.clpt.2006.04.007","ISSN":"00099236","PMID":"16890575","abstract":"Objective: Our objective was to assess the pharmacokinetics of erlotinib in a large patient population with solid tumors, identify covariates, and explore relationships between exposure and safety outcomes (rash and diarrhea) in patients with non-small cell lung cancer receiving single-agent erlotinib. Methods: The population pharmacokinetic analysis was performed by use of NONMEM based on 4068 concentration samples from 1047 patients receiving erlotinib as a single agent or in combination with chemotherapy. By use of a 1-compartment model with first-order absorption, the influence of demographic and clinical characteristics on clearance and volume was examined. Spearman rank correlation analyses were performed to test for correlations between maximum grades of rash and diarrhea and erlotinib exposure in non-small cell lung cancer patients treated with single-agent erlotinib. Results: On the basis of the final model developed from patients treated with erlotinib as a single agent, the oral clearance was 3.95 L/h, the oral volume of distribution was 233 L, and the absorption rate was 0.95 h-1. The median erlotinib half-life based on this patient population was 36.2 hours. Total bilirubin, α1-acid glycoprotein, and smoking status were the most important factors affecting clearance. The clearance in current smokers was 24% faster than that in former smokers or those who never smoked. There was a statistically significant correlation between drug exposure and rash (P &lt; .05). However, there was significant overlap in the range of values for patients who had no rash (grade = 0) and those who had any grade of rash. No significant correlation was found between exposure and diarrhea. Conclusions: The long half-life of erlotinib supports the current once-daily dosing regimen at 150 mg/d. Effects of covariates on erlotinib clearance and correlations with adverse event severity were provided to aid in the detection of a treatment-emergent effect. © 2006 American Society for Clinical Pharmacology and Therapeutics.","author":[{"dropping-particle":"","family":"Lu","given":"Jian Feng","non-dropping-particle":"","parse-names":false,"suffix":""},{"dropping-particle":"","family":"Eppler","given":"Steve M.","non-dropping-particle":"","parse-names":false,"suffix":""},{"dropping-particle":"","family":"Wolf","given":"Julie","non-dropping-particle":"","parse-names":false,"suffix":""},{"dropping-particle":"","family":"Hamilton","given":"Marta","non-dropping-particle":"","parse-names":false,"suffix":""},{"dropping-particle":"","family":"Rakhit","given":"Ashok","non-dropping-particle":"","parse-names":false,"suffix":""},{"dropping-particle":"","family":"Bruno","given":"Rene","non-dropping-particle":"","parse-names":false,"suffix":""},{"dropping-particle":"","family":"Lum","given":"Bert L.","non-dropping-particle":"","parse-names":false,"suffix":""}],"container-title":"Clinical Pharmacology and Therapeutics","id":"ITEM-1","issue":"2","issued":{"date-parts":[["2006","8"]]},"page":"136-145","title":"Clinical pharmacokinetics of erlotinib in patients with solid tumors and exposure-safety relationship in patients with non-small cell lung cancer","type":"article-journal","volume":"80"},"uris":["http://www.mendeley.com/documents/?uuid=774a0739-b6b4-305d-a482-bba435c793c8","http://www.mendeley.com/documents/?uuid=23b2cae1-d47a-4245-8ef1-45af39879279"]}],"mendeley":{"formattedCitation":"&lt;sup&gt;6&lt;/sup&gt;","plainTextFormattedCitation":"6","previouslyFormattedCitation":"&lt;sup&gt;6&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6</w:t>
            </w:r>
            <w:r w:rsidRPr="003724A4">
              <w:rPr>
                <w:rFonts w:ascii="Arial" w:eastAsia="Times New Roman" w:hAnsi="Arial" w:cs="Arial"/>
                <w:color w:val="000000"/>
                <w:sz w:val="20"/>
                <w:szCs w:val="20"/>
              </w:rPr>
              <w:fldChar w:fldCharType="end"/>
            </w:r>
          </w:p>
          <w:p w14:paraId="0EC7439B" w14:textId="6CC14EE2"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(Gruber et al., 2018)</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{"citationItems":[{"id":"ITEM-1","itemData":{"DOI":"10.1007/s00280-018-3545-4","ISBN":"0123456789","ISSN":"14320843","abstract":"Purpose: In this study, a therapeutic drug monitoring (TDM) of erlotinib in pancreatic cancer patients was performed over 50 weeks to reveal possible alterations in erlotinib plasma concentrations. Additionally, a physiologically based pharmacokinetic (PBPK) model was created to assess such variations in silico. Methods: Patients with advanced pancreatic cancer received a chemotherapeutic combination of 100 mg erlotinib q.d., 500–900 mg capecitabine b.d. and 5 mg/kg bevacizumab q.2wks. Samples were analyzed by HPLC and the results were compared to a PBPK model, built with the software GastroPlus™ and based on calculated and literature data. Results: The erlotinib plasma concentrations did not show any accumulation, but displayed a high inter-patient variability over the whole investigated period. Trough plasma concentrations ranged from 0.04 to 1.22 µg/ml after day 1 and from 0.01 to 2.4 µg/ml in the long-term assessment. 7% of the patients showed concentrations below the necessary activity threshold of 0.5 µg/ml during the first week. The impact of some co-variates on the pharmacokinetic parameters C max and AUC 0–24 were shown in a PBPK model, including food effects, changes in body weight, protein binding or liver function and the concomitant intake of gastric acid reducing agents (ARAs). Conclusion: This study presents the approach of combining TDM and PBPK modeling for erlotinib, a drug with a high interaction potential. TDM is an important method to monitor drugs with increased inter-patient variability, additionally, the PBPK model contributed valuable insights to the interaction mechanisms involved, resulting in an effective combination from a PK perspective to ensure a safe treatment.","author":[{"dropping-particle":"","family":"Gruber","given":"Andrea","non-dropping-particle":"","parse-names":false,"suffix":""},{"dropping-particle":"","family":"Czejka","given":"Martin","non-dropping-particle":"","parse-names":false,"suffix":""},{"dropping-particle":"","family":"Buchner","given":"Philipp","non-dropping-particle":"","parse-names":false,"suffix":""},{"dropping-particle":"","family":"Kitzmueller","given":"Marie","non-dropping-particle":"","parse-names":false,"suffix":""},{"dropping-particle":"","family":"Kirchbaumer Baroian","given":"Nairi","non-dropping-particle":"","parse-names":false,"suffix":""},{"dropping-particle":"","family":"Dittrich","given":"Christian","non-dropping-particle":"","parse-names":false,"suffix":""},{"dropping-particle":"","family":"Sahmanovic Hrgovcic","given":"Azra","non-dropping-particle":"","parse-names":false,"suffix":""}],"container-title":"Cancer Chemotherapy and Pharmacology","id":"ITEM-1","issue":"4","issued":{"date-parts":[["2018"]]},"page":"763-771","publisher":"Springer Berlin Heidelberg","title":"Monitoring of erlotinib in pancreatic cancer patients during long-time administration and comparison to a physiologically based pharmacokinetic model","type":"article-journal","volume":"81"},"uris":["http://www.mendeley.com/documents/?uuid=50582529-91dc-4be8-a392-e2f67c76ecbb","http://www.mendeley.com/documents/?uuid=4814ee4f-9443-4aae-82d6-929a8bfe8e3d"]}],"mendeley":{"formattedCitation":"&lt;sup&gt;1&lt;/sup&gt;","plainTextFormattedCitation":"1","previouslyFormattedCitation":"&lt;sup&gt;1&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1</w:t>
            </w:r>
            <w:r w:rsidRPr="003724A4">
              <w:rPr>
                <w:rFonts w:ascii="Arial" w:eastAsia="Times New Roman" w:hAnsi="Arial" w:cs="Arial"/>
                <w:color w:val="000000"/>
                <w:sz w:val="20"/>
                <w:szCs w:val="20"/>
              </w:rPr>
              <w:fldChar w:fldCharType="end"/>
            </w:r>
          </w:p>
        </w:tc>
      </w:tr>
      <w:tr w:rsidR="003724A4" w:rsidRPr="003724A4" w14:paraId="4F2477CE" w14:textId="77777777" w:rsidTr="009B5520">
        <w:trPr>
          <w:trHeight w:val="290"/>
        </w:trPr>
        <w:tc>
          <w:tcPr>
            <w:tcW w:w="1666" w:type="pct"/>
            <w:tcBorders>
              <w:top w:val="nil"/>
              <w:bottom w:val="single" w:sz="4" w:space="0" w:color="auto"/>
            </w:tcBorders>
            <w:shd w:val="clear" w:color="auto" w:fill="auto"/>
            <w:noWrap/>
            <w:vAlign w:val="center"/>
          </w:tcPr>
          <w:p w14:paraId="008E71E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tcBorders>
              <w:top w:val="nil"/>
              <w:left w:val="nil"/>
              <w:bottom w:val="single" w:sz="4" w:space="0" w:color="auto"/>
            </w:tcBorders>
            <w:shd w:val="clear" w:color="auto" w:fill="auto"/>
            <w:noWrap/>
            <w:vAlign w:val="center"/>
          </w:tcPr>
          <w:p w14:paraId="73B4D85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CYP1A2</w:t>
            </w:r>
          </w:p>
        </w:tc>
        <w:tc>
          <w:tcPr>
            <w:tcW w:w="1667" w:type="pct"/>
            <w:tcBorders>
              <w:top w:val="nil"/>
              <w:left w:val="nil"/>
              <w:bottom w:val="single" w:sz="4" w:space="0" w:color="auto"/>
            </w:tcBorders>
          </w:tcPr>
          <w:p w14:paraId="7BDC57E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9653634" w14:textId="77777777" w:rsidTr="009B5520">
        <w:trPr>
          <w:trHeight w:val="290"/>
        </w:trPr>
        <w:tc>
          <w:tcPr>
            <w:tcW w:w="1666" w:type="pct"/>
            <w:tcBorders>
              <w:top w:val="nil"/>
              <w:bottom w:val="single" w:sz="4" w:space="0" w:color="auto"/>
            </w:tcBorders>
            <w:shd w:val="clear" w:color="auto" w:fill="auto"/>
            <w:noWrap/>
            <w:vAlign w:val="center"/>
          </w:tcPr>
          <w:p w14:paraId="4514F9A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w:t>
            </w:r>
          </w:p>
        </w:tc>
        <w:tc>
          <w:tcPr>
            <w:tcW w:w="1667" w:type="pct"/>
            <w:tcBorders>
              <w:top w:val="nil"/>
              <w:left w:val="nil"/>
              <w:bottom w:val="single" w:sz="4" w:space="0" w:color="auto"/>
            </w:tcBorders>
            <w:shd w:val="clear" w:color="auto" w:fill="auto"/>
            <w:noWrap/>
            <w:vAlign w:val="center"/>
          </w:tcPr>
          <w:p w14:paraId="50BAFB2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 1</w:t>
            </w:r>
          </w:p>
        </w:tc>
        <w:tc>
          <w:tcPr>
            <w:tcW w:w="1667" w:type="pct"/>
            <w:tcBorders>
              <w:top w:val="nil"/>
              <w:left w:val="nil"/>
              <w:bottom w:val="single" w:sz="4" w:space="0" w:color="auto"/>
            </w:tcBorders>
          </w:tcPr>
          <w:p w14:paraId="3042AFF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C409771" w14:textId="77777777" w:rsidTr="009B5520">
        <w:trPr>
          <w:trHeight w:val="290"/>
        </w:trPr>
        <w:tc>
          <w:tcPr>
            <w:tcW w:w="1666" w:type="pct"/>
            <w:tcBorders>
              <w:top w:val="nil"/>
              <w:bottom w:val="single" w:sz="4" w:space="0" w:color="auto"/>
            </w:tcBorders>
            <w:shd w:val="clear" w:color="auto" w:fill="auto"/>
            <w:noWrap/>
            <w:vAlign w:val="center"/>
          </w:tcPr>
          <w:p w14:paraId="0ADD2776"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CL</w:t>
            </w:r>
            <w:r w:rsidRPr="003724A4">
              <w:rPr>
                <w:rFonts w:ascii="Arial" w:eastAsia="Times New Roman" w:hAnsi="Arial" w:cs="Arial"/>
                <w:color w:val="000000"/>
                <w:sz w:val="20"/>
                <w:szCs w:val="20"/>
                <w:vertAlign w:val="subscript"/>
              </w:rPr>
              <w:t>int</w:t>
            </w:r>
            <w:proofErr w:type="spellEnd"/>
            <w:r w:rsidRPr="003724A4">
              <w:rPr>
                <w:rFonts w:ascii="Arial" w:eastAsia="Times New Roman" w:hAnsi="Arial" w:cs="Arial"/>
                <w:color w:val="000000"/>
                <w:sz w:val="20"/>
                <w:szCs w:val="20"/>
                <w:vertAlign w:val="subscript"/>
              </w:rPr>
              <w:t xml:space="preserve"> </w:t>
            </w:r>
            <w:r w:rsidRPr="003724A4">
              <w:rPr>
                <w:rFonts w:ascii="Arial" w:eastAsia="Times New Roman" w:hAnsi="Arial" w:cs="Arial"/>
                <w:color w:val="000000"/>
                <w:sz w:val="20"/>
                <w:szCs w:val="20"/>
              </w:rPr>
              <w:t>(µL/min/</w:t>
            </w:r>
            <w:proofErr w:type="spellStart"/>
            <w:r w:rsidRPr="003724A4">
              <w:rPr>
                <w:rFonts w:ascii="Arial" w:eastAsia="Times New Roman" w:hAnsi="Arial" w:cs="Arial"/>
                <w:color w:val="000000"/>
                <w:sz w:val="20"/>
                <w:szCs w:val="20"/>
              </w:rPr>
              <w:t>pmol</w:t>
            </w:r>
            <w:proofErr w:type="spellEnd"/>
            <w:r w:rsidRPr="003724A4">
              <w:rPr>
                <w:rFonts w:ascii="Arial" w:eastAsia="Times New Roman" w:hAnsi="Arial" w:cs="Arial"/>
                <w:color w:val="000000"/>
                <w:sz w:val="20"/>
                <w:szCs w:val="20"/>
              </w:rPr>
              <w:t>)</w:t>
            </w:r>
          </w:p>
        </w:tc>
        <w:tc>
          <w:tcPr>
            <w:tcW w:w="1667" w:type="pct"/>
            <w:tcBorders>
              <w:top w:val="nil"/>
              <w:left w:val="nil"/>
              <w:bottom w:val="single" w:sz="4" w:space="0" w:color="auto"/>
            </w:tcBorders>
            <w:shd w:val="clear" w:color="auto" w:fill="auto"/>
            <w:noWrap/>
            <w:vAlign w:val="center"/>
          </w:tcPr>
          <w:p w14:paraId="613F80A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0.193</w:t>
            </w:r>
          </w:p>
        </w:tc>
        <w:tc>
          <w:tcPr>
            <w:tcW w:w="1667" w:type="pct"/>
            <w:tcBorders>
              <w:top w:val="nil"/>
              <w:left w:val="nil"/>
              <w:bottom w:val="single" w:sz="4" w:space="0" w:color="auto"/>
            </w:tcBorders>
          </w:tcPr>
          <w:p w14:paraId="5C38707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r w:rsidRPr="003724A4">
              <w:rPr>
                <w:rFonts w:ascii="Arial" w:hAnsi="Arial" w:cs="Arial"/>
                <w:sz w:val="20"/>
                <w:szCs w:val="20"/>
              </w:rPr>
              <w:t xml:space="preserve"> using the retrograde calculator</w:t>
            </w:r>
          </w:p>
        </w:tc>
      </w:tr>
      <w:tr w:rsidR="003724A4" w:rsidRPr="003724A4" w14:paraId="0A2AE5A1" w14:textId="77777777" w:rsidTr="009B5520">
        <w:trPr>
          <w:trHeight w:val="290"/>
        </w:trPr>
        <w:tc>
          <w:tcPr>
            <w:tcW w:w="1666" w:type="pct"/>
            <w:tcBorders>
              <w:top w:val="nil"/>
              <w:bottom w:val="single" w:sz="4" w:space="0" w:color="auto"/>
            </w:tcBorders>
            <w:shd w:val="clear" w:color="auto" w:fill="auto"/>
            <w:noWrap/>
            <w:vAlign w:val="center"/>
          </w:tcPr>
          <w:p w14:paraId="54FECC0D"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lastRenderedPageBreak/>
              <w:t>fu</w:t>
            </w:r>
            <w:r w:rsidRPr="003724A4">
              <w:rPr>
                <w:rFonts w:ascii="Arial" w:eastAsia="Times New Roman" w:hAnsi="Arial" w:cs="Arial"/>
                <w:color w:val="000000"/>
                <w:sz w:val="20"/>
                <w:szCs w:val="20"/>
                <w:vertAlign w:val="subscript"/>
              </w:rPr>
              <w:t>mic</w:t>
            </w:r>
            <w:proofErr w:type="spellEnd"/>
          </w:p>
        </w:tc>
        <w:tc>
          <w:tcPr>
            <w:tcW w:w="1667" w:type="pct"/>
            <w:tcBorders>
              <w:top w:val="nil"/>
              <w:left w:val="nil"/>
              <w:bottom w:val="single" w:sz="4" w:space="0" w:color="auto"/>
            </w:tcBorders>
            <w:shd w:val="clear" w:color="auto" w:fill="auto"/>
            <w:noWrap/>
            <w:vAlign w:val="center"/>
          </w:tcPr>
          <w:p w14:paraId="4DE6EE4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1.000</w:t>
            </w:r>
          </w:p>
        </w:tc>
        <w:tc>
          <w:tcPr>
            <w:tcW w:w="1667" w:type="pct"/>
            <w:tcBorders>
              <w:top w:val="nil"/>
              <w:left w:val="nil"/>
              <w:bottom w:val="single" w:sz="4" w:space="0" w:color="auto"/>
            </w:tcBorders>
          </w:tcPr>
          <w:p w14:paraId="2F4F2428"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14DCA33" w14:textId="77777777" w:rsidTr="009B5520">
        <w:trPr>
          <w:trHeight w:val="290"/>
        </w:trPr>
        <w:tc>
          <w:tcPr>
            <w:tcW w:w="1666" w:type="pct"/>
            <w:tcBorders>
              <w:top w:val="nil"/>
              <w:bottom w:val="single" w:sz="4" w:space="0" w:color="auto"/>
            </w:tcBorders>
            <w:shd w:val="clear" w:color="auto" w:fill="auto"/>
            <w:noWrap/>
            <w:vAlign w:val="center"/>
          </w:tcPr>
          <w:p w14:paraId="2AB815D3"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shd w:val="clear" w:color="auto" w:fill="auto"/>
            <w:noWrap/>
            <w:vAlign w:val="center"/>
          </w:tcPr>
          <w:p w14:paraId="732A0C4D"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nil"/>
              <w:left w:val="nil"/>
              <w:bottom w:val="single" w:sz="4" w:space="0" w:color="auto"/>
            </w:tcBorders>
          </w:tcPr>
          <w:p w14:paraId="2F26DF3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xml:space="preserve"> </w:t>
            </w:r>
          </w:p>
        </w:tc>
      </w:tr>
      <w:tr w:rsidR="003724A4" w:rsidRPr="003724A4" w14:paraId="36D2B541" w14:textId="77777777" w:rsidTr="009B5520">
        <w:trPr>
          <w:trHeight w:val="290"/>
        </w:trPr>
        <w:tc>
          <w:tcPr>
            <w:tcW w:w="1666" w:type="pct"/>
            <w:tcBorders>
              <w:top w:val="nil"/>
              <w:bottom w:val="single" w:sz="4" w:space="0" w:color="auto"/>
            </w:tcBorders>
            <w:shd w:val="clear" w:color="auto" w:fill="auto"/>
            <w:noWrap/>
            <w:vAlign w:val="center"/>
          </w:tcPr>
          <w:p w14:paraId="2052C71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tcBorders>
              <w:top w:val="nil"/>
              <w:left w:val="nil"/>
              <w:bottom w:val="single" w:sz="4" w:space="0" w:color="auto"/>
            </w:tcBorders>
            <w:shd w:val="clear" w:color="auto" w:fill="auto"/>
            <w:noWrap/>
            <w:vAlign w:val="center"/>
          </w:tcPr>
          <w:p w14:paraId="22AD936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CYP3A4</w:t>
            </w:r>
          </w:p>
        </w:tc>
        <w:tc>
          <w:tcPr>
            <w:tcW w:w="1667" w:type="pct"/>
            <w:tcBorders>
              <w:top w:val="nil"/>
              <w:left w:val="nil"/>
              <w:bottom w:val="single" w:sz="4" w:space="0" w:color="auto"/>
            </w:tcBorders>
          </w:tcPr>
          <w:p w14:paraId="77FCC30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F9A8A8D" w14:textId="77777777" w:rsidTr="009B5520">
        <w:trPr>
          <w:trHeight w:val="290"/>
        </w:trPr>
        <w:tc>
          <w:tcPr>
            <w:tcW w:w="1666" w:type="pct"/>
            <w:tcBorders>
              <w:top w:val="nil"/>
              <w:bottom w:val="single" w:sz="4" w:space="0" w:color="auto"/>
            </w:tcBorders>
            <w:shd w:val="clear" w:color="auto" w:fill="auto"/>
            <w:noWrap/>
            <w:vAlign w:val="center"/>
          </w:tcPr>
          <w:p w14:paraId="4C80486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w:t>
            </w:r>
          </w:p>
        </w:tc>
        <w:tc>
          <w:tcPr>
            <w:tcW w:w="1667" w:type="pct"/>
            <w:tcBorders>
              <w:top w:val="nil"/>
              <w:left w:val="nil"/>
              <w:bottom w:val="single" w:sz="4" w:space="0" w:color="auto"/>
            </w:tcBorders>
            <w:shd w:val="clear" w:color="auto" w:fill="auto"/>
            <w:noWrap/>
            <w:vAlign w:val="center"/>
          </w:tcPr>
          <w:p w14:paraId="7067077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 1</w:t>
            </w:r>
          </w:p>
        </w:tc>
        <w:tc>
          <w:tcPr>
            <w:tcW w:w="1667" w:type="pct"/>
            <w:tcBorders>
              <w:top w:val="nil"/>
              <w:left w:val="nil"/>
              <w:bottom w:val="single" w:sz="4" w:space="0" w:color="auto"/>
            </w:tcBorders>
          </w:tcPr>
          <w:p w14:paraId="3B971F5A"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14984BF" w14:textId="77777777" w:rsidTr="009B5520">
        <w:trPr>
          <w:trHeight w:val="290"/>
        </w:trPr>
        <w:tc>
          <w:tcPr>
            <w:tcW w:w="1666" w:type="pct"/>
            <w:tcBorders>
              <w:top w:val="nil"/>
              <w:bottom w:val="single" w:sz="4" w:space="0" w:color="auto"/>
            </w:tcBorders>
            <w:shd w:val="clear" w:color="auto" w:fill="auto"/>
            <w:noWrap/>
            <w:vAlign w:val="center"/>
          </w:tcPr>
          <w:p w14:paraId="56C2084E"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CL</w:t>
            </w:r>
            <w:r w:rsidRPr="003724A4">
              <w:rPr>
                <w:rFonts w:ascii="Arial" w:eastAsia="Times New Roman" w:hAnsi="Arial" w:cs="Arial"/>
                <w:color w:val="000000"/>
                <w:sz w:val="20"/>
                <w:szCs w:val="20"/>
                <w:vertAlign w:val="subscript"/>
              </w:rPr>
              <w:t>int</w:t>
            </w:r>
            <w:proofErr w:type="spellEnd"/>
            <w:r w:rsidRPr="003724A4">
              <w:rPr>
                <w:rFonts w:ascii="Arial" w:eastAsia="Times New Roman" w:hAnsi="Arial" w:cs="Arial"/>
                <w:color w:val="000000"/>
                <w:sz w:val="20"/>
                <w:szCs w:val="20"/>
              </w:rPr>
              <w:t xml:space="preserve"> (µL/min/</w:t>
            </w:r>
            <w:proofErr w:type="spellStart"/>
            <w:r w:rsidRPr="003724A4">
              <w:rPr>
                <w:rFonts w:ascii="Arial" w:eastAsia="Times New Roman" w:hAnsi="Arial" w:cs="Arial"/>
                <w:color w:val="000000"/>
                <w:sz w:val="20"/>
                <w:szCs w:val="20"/>
              </w:rPr>
              <w:t>pmol</w:t>
            </w:r>
            <w:proofErr w:type="spellEnd"/>
            <w:r w:rsidRPr="003724A4">
              <w:rPr>
                <w:rFonts w:ascii="Arial" w:eastAsia="Times New Roman" w:hAnsi="Arial" w:cs="Arial"/>
                <w:color w:val="000000"/>
                <w:sz w:val="20"/>
                <w:szCs w:val="20"/>
              </w:rPr>
              <w:t>)</w:t>
            </w:r>
          </w:p>
        </w:tc>
        <w:tc>
          <w:tcPr>
            <w:tcW w:w="1667" w:type="pct"/>
            <w:tcBorders>
              <w:top w:val="nil"/>
              <w:left w:val="nil"/>
              <w:bottom w:val="single" w:sz="4" w:space="0" w:color="auto"/>
            </w:tcBorders>
            <w:shd w:val="clear" w:color="auto" w:fill="auto"/>
            <w:noWrap/>
            <w:vAlign w:val="center"/>
          </w:tcPr>
          <w:p w14:paraId="6CC5844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0.198</w:t>
            </w:r>
          </w:p>
        </w:tc>
        <w:tc>
          <w:tcPr>
            <w:tcW w:w="1667" w:type="pct"/>
            <w:tcBorders>
              <w:top w:val="nil"/>
              <w:left w:val="nil"/>
              <w:bottom w:val="single" w:sz="4" w:space="0" w:color="auto"/>
            </w:tcBorders>
          </w:tcPr>
          <w:p w14:paraId="70719AB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r w:rsidRPr="003724A4">
              <w:rPr>
                <w:rFonts w:ascii="Arial" w:hAnsi="Arial" w:cs="Arial"/>
                <w:sz w:val="20"/>
                <w:szCs w:val="20"/>
              </w:rPr>
              <w:t xml:space="preserve"> using the retrograde calculator</w:t>
            </w:r>
          </w:p>
        </w:tc>
      </w:tr>
      <w:tr w:rsidR="003724A4" w:rsidRPr="003724A4" w14:paraId="422AB439"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0C766FA0"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left w:val="nil"/>
              <w:bottom w:val="single" w:sz="4" w:space="0" w:color="auto"/>
            </w:tcBorders>
            <w:shd w:val="clear" w:color="auto" w:fill="auto"/>
            <w:noWrap/>
            <w:vAlign w:val="center"/>
          </w:tcPr>
          <w:p w14:paraId="36A5179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1.000</w:t>
            </w:r>
          </w:p>
        </w:tc>
        <w:tc>
          <w:tcPr>
            <w:tcW w:w="1667" w:type="pct"/>
            <w:tcBorders>
              <w:top w:val="single" w:sz="4" w:space="0" w:color="auto"/>
              <w:left w:val="nil"/>
              <w:bottom w:val="single" w:sz="4" w:space="0" w:color="auto"/>
            </w:tcBorders>
          </w:tcPr>
          <w:p w14:paraId="76875DE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4576672"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7B50BCDB"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 xml:space="preserve">Inhibition Model </w:t>
            </w:r>
          </w:p>
        </w:tc>
        <w:tc>
          <w:tcPr>
            <w:tcW w:w="1667" w:type="pct"/>
            <w:tcBorders>
              <w:top w:val="single" w:sz="4" w:space="0" w:color="auto"/>
              <w:left w:val="nil"/>
              <w:bottom w:val="single" w:sz="4" w:space="0" w:color="auto"/>
            </w:tcBorders>
            <w:shd w:val="clear" w:color="auto" w:fill="auto"/>
            <w:noWrap/>
            <w:vAlign w:val="center"/>
          </w:tcPr>
          <w:p w14:paraId="636A08B4"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single" w:sz="4" w:space="0" w:color="auto"/>
              <w:left w:val="nil"/>
              <w:bottom w:val="single" w:sz="4" w:space="0" w:color="auto"/>
            </w:tcBorders>
          </w:tcPr>
          <w:p w14:paraId="75DCD80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14B9B1A"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1801F35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tcBorders>
              <w:top w:val="single" w:sz="4" w:space="0" w:color="auto"/>
              <w:left w:val="nil"/>
              <w:bottom w:val="single" w:sz="4" w:space="0" w:color="auto"/>
            </w:tcBorders>
            <w:shd w:val="clear" w:color="auto" w:fill="auto"/>
            <w:noWrap/>
            <w:vAlign w:val="center"/>
          </w:tcPr>
          <w:p w14:paraId="1DE2095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CYP3A4</w:t>
            </w:r>
          </w:p>
        </w:tc>
        <w:tc>
          <w:tcPr>
            <w:tcW w:w="1667" w:type="pct"/>
            <w:tcBorders>
              <w:top w:val="single" w:sz="4" w:space="0" w:color="auto"/>
              <w:left w:val="nil"/>
              <w:bottom w:val="single" w:sz="4" w:space="0" w:color="auto"/>
            </w:tcBorders>
          </w:tcPr>
          <w:p w14:paraId="038DC858"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2F522A7"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7C8A2B0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color w:val="000000"/>
                <w:sz w:val="20"/>
                <w:szCs w:val="20"/>
              </w:rPr>
              <w:t xml:space="preserve"> (µM)</w:t>
            </w:r>
          </w:p>
        </w:tc>
        <w:tc>
          <w:tcPr>
            <w:tcW w:w="1667" w:type="pct"/>
            <w:tcBorders>
              <w:top w:val="single" w:sz="4" w:space="0" w:color="auto"/>
              <w:left w:val="nil"/>
              <w:bottom w:val="single" w:sz="4" w:space="0" w:color="auto"/>
            </w:tcBorders>
            <w:shd w:val="clear" w:color="auto" w:fill="auto"/>
            <w:noWrap/>
            <w:vAlign w:val="center"/>
          </w:tcPr>
          <w:p w14:paraId="5BA2A69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10.12</w:t>
            </w:r>
          </w:p>
        </w:tc>
        <w:tc>
          <w:tcPr>
            <w:tcW w:w="1667" w:type="pct"/>
            <w:tcBorders>
              <w:top w:val="single" w:sz="4" w:space="0" w:color="auto"/>
              <w:left w:val="nil"/>
              <w:bottom w:val="single" w:sz="4" w:space="0" w:color="auto"/>
            </w:tcBorders>
          </w:tcPr>
          <w:p w14:paraId="09DE5F2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5C2A518A"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013F1F16"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left w:val="nil"/>
              <w:bottom w:val="single" w:sz="4" w:space="0" w:color="auto"/>
            </w:tcBorders>
            <w:shd w:val="clear" w:color="auto" w:fill="auto"/>
            <w:noWrap/>
            <w:vAlign w:val="center"/>
          </w:tcPr>
          <w:p w14:paraId="6D984E3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0.92</w:t>
            </w:r>
          </w:p>
        </w:tc>
        <w:tc>
          <w:tcPr>
            <w:tcW w:w="1667" w:type="pct"/>
            <w:tcBorders>
              <w:top w:val="single" w:sz="4" w:space="0" w:color="auto"/>
              <w:left w:val="nil"/>
              <w:bottom w:val="single" w:sz="4" w:space="0" w:color="auto"/>
            </w:tcBorders>
          </w:tcPr>
          <w:p w14:paraId="06FE12F7" w14:textId="2EF6806B"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tc>
      </w:tr>
      <w:tr w:rsidR="003724A4" w:rsidRPr="003724A4" w14:paraId="3D27448F"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5E8703B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i/>
                <w:iCs/>
                <w:color w:val="000000"/>
                <w:sz w:val="20"/>
                <w:szCs w:val="20"/>
              </w:rPr>
              <w:t xml:space="preserve"> </w:t>
            </w:r>
            <w:r w:rsidRPr="003724A4">
              <w:rPr>
                <w:rFonts w:ascii="Arial" w:eastAsia="Times New Roman" w:hAnsi="Arial" w:cs="Arial"/>
                <w:color w:val="000000"/>
                <w:sz w:val="20"/>
                <w:szCs w:val="20"/>
              </w:rPr>
              <w:t>(µM)</w:t>
            </w:r>
          </w:p>
        </w:tc>
        <w:tc>
          <w:tcPr>
            <w:tcW w:w="1667" w:type="pct"/>
            <w:tcBorders>
              <w:top w:val="single" w:sz="4" w:space="0" w:color="auto"/>
              <w:left w:val="nil"/>
              <w:bottom w:val="single" w:sz="4" w:space="0" w:color="auto"/>
            </w:tcBorders>
            <w:shd w:val="clear" w:color="auto" w:fill="auto"/>
            <w:noWrap/>
            <w:vAlign w:val="center"/>
          </w:tcPr>
          <w:p w14:paraId="7CA70CA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10.98</w:t>
            </w:r>
          </w:p>
        </w:tc>
        <w:tc>
          <w:tcPr>
            <w:tcW w:w="1667" w:type="pct"/>
            <w:tcBorders>
              <w:top w:val="single" w:sz="4" w:space="0" w:color="auto"/>
              <w:left w:val="nil"/>
              <w:bottom w:val="single" w:sz="4" w:space="0" w:color="auto"/>
            </w:tcBorders>
          </w:tcPr>
          <w:p w14:paraId="2F9D35D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6E6CDD6B"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267DF86B"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inact</w:t>
            </w:r>
            <w:proofErr w:type="spellEnd"/>
            <w:r w:rsidRPr="003724A4">
              <w:rPr>
                <w:rFonts w:ascii="Arial" w:eastAsia="Times New Roman" w:hAnsi="Arial" w:cs="Arial"/>
                <w:color w:val="000000"/>
                <w:sz w:val="20"/>
                <w:szCs w:val="20"/>
              </w:rPr>
              <w:t xml:space="preserve"> (h</w:t>
            </w:r>
            <w:r w:rsidRPr="003724A4">
              <w:rPr>
                <w:rFonts w:ascii="Arial" w:eastAsia="Times New Roman" w:hAnsi="Arial" w:cs="Arial"/>
                <w:color w:val="000000"/>
                <w:sz w:val="20"/>
                <w:szCs w:val="20"/>
                <w:vertAlign w:val="superscript"/>
              </w:rPr>
              <w:t>-1</w:t>
            </w:r>
            <w:r w:rsidRPr="003724A4">
              <w:rPr>
                <w:rFonts w:ascii="Arial" w:eastAsia="Times New Roman" w:hAnsi="Arial" w:cs="Arial"/>
                <w:color w:val="000000"/>
                <w:sz w:val="20"/>
                <w:szCs w:val="20"/>
              </w:rPr>
              <w:t>)</w:t>
            </w:r>
          </w:p>
        </w:tc>
        <w:tc>
          <w:tcPr>
            <w:tcW w:w="1667" w:type="pct"/>
            <w:tcBorders>
              <w:top w:val="single" w:sz="4" w:space="0" w:color="auto"/>
              <w:left w:val="nil"/>
              <w:bottom w:val="single" w:sz="4" w:space="0" w:color="auto"/>
            </w:tcBorders>
            <w:shd w:val="clear" w:color="auto" w:fill="auto"/>
            <w:noWrap/>
            <w:vAlign w:val="center"/>
          </w:tcPr>
          <w:p w14:paraId="49AFEBE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2.283</w:t>
            </w:r>
          </w:p>
        </w:tc>
        <w:tc>
          <w:tcPr>
            <w:tcW w:w="1667" w:type="pct"/>
            <w:tcBorders>
              <w:top w:val="single" w:sz="4" w:space="0" w:color="auto"/>
              <w:left w:val="nil"/>
              <w:bottom w:val="single" w:sz="4" w:space="0" w:color="auto"/>
            </w:tcBorders>
          </w:tcPr>
          <w:p w14:paraId="7CF8C36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61CA7F87"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61774915"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left w:val="nil"/>
              <w:bottom w:val="single" w:sz="4" w:space="0" w:color="auto"/>
            </w:tcBorders>
            <w:shd w:val="clear" w:color="auto" w:fill="auto"/>
            <w:noWrap/>
            <w:vAlign w:val="center"/>
          </w:tcPr>
          <w:p w14:paraId="383B842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0.92</w:t>
            </w:r>
          </w:p>
        </w:tc>
        <w:tc>
          <w:tcPr>
            <w:tcW w:w="1667" w:type="pct"/>
            <w:tcBorders>
              <w:top w:val="single" w:sz="4" w:space="0" w:color="auto"/>
              <w:left w:val="nil"/>
              <w:bottom w:val="single" w:sz="4" w:space="0" w:color="auto"/>
            </w:tcBorders>
          </w:tcPr>
          <w:p w14:paraId="5E4A41C8" w14:textId="2FCD6203"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tc>
      </w:tr>
      <w:tr w:rsidR="003724A4" w:rsidRPr="003724A4" w14:paraId="0B497780"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308B5122"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single" w:sz="4" w:space="0" w:color="auto"/>
              <w:left w:val="nil"/>
              <w:bottom w:val="single" w:sz="4" w:space="0" w:color="auto"/>
            </w:tcBorders>
            <w:shd w:val="clear" w:color="auto" w:fill="auto"/>
            <w:noWrap/>
            <w:vAlign w:val="center"/>
          </w:tcPr>
          <w:p w14:paraId="6BB45F30"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top w:val="single" w:sz="4" w:space="0" w:color="auto"/>
              <w:left w:val="nil"/>
              <w:bottom w:val="single" w:sz="4" w:space="0" w:color="auto"/>
            </w:tcBorders>
          </w:tcPr>
          <w:p w14:paraId="01B4AC7A"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C275DF2"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1C7A1F4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tcBorders>
              <w:top w:val="single" w:sz="4" w:space="0" w:color="auto"/>
              <w:left w:val="nil"/>
              <w:bottom w:val="single" w:sz="4" w:space="0" w:color="auto"/>
            </w:tcBorders>
            <w:shd w:val="clear" w:color="auto" w:fill="auto"/>
            <w:noWrap/>
            <w:vAlign w:val="center"/>
          </w:tcPr>
          <w:p w14:paraId="140FA77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CYP2J2</w:t>
            </w:r>
          </w:p>
        </w:tc>
        <w:tc>
          <w:tcPr>
            <w:tcW w:w="1667" w:type="pct"/>
            <w:tcBorders>
              <w:top w:val="single" w:sz="4" w:space="0" w:color="auto"/>
              <w:left w:val="nil"/>
              <w:bottom w:val="single" w:sz="4" w:space="0" w:color="auto"/>
            </w:tcBorders>
          </w:tcPr>
          <w:p w14:paraId="3798CE1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E8B402E"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0D4C12B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i/>
                <w:iCs/>
                <w:color w:val="000000"/>
                <w:sz w:val="20"/>
                <w:szCs w:val="20"/>
              </w:rPr>
              <w:t xml:space="preserve"> </w:t>
            </w:r>
            <w:r w:rsidRPr="003724A4">
              <w:rPr>
                <w:rFonts w:ascii="Arial" w:eastAsia="Times New Roman" w:hAnsi="Arial" w:cs="Arial"/>
                <w:color w:val="000000"/>
                <w:sz w:val="20"/>
                <w:szCs w:val="20"/>
              </w:rPr>
              <w:t>(µM)</w:t>
            </w:r>
          </w:p>
        </w:tc>
        <w:tc>
          <w:tcPr>
            <w:tcW w:w="1667" w:type="pct"/>
            <w:tcBorders>
              <w:top w:val="single" w:sz="4" w:space="0" w:color="auto"/>
              <w:left w:val="nil"/>
              <w:bottom w:val="single" w:sz="4" w:space="0" w:color="auto"/>
            </w:tcBorders>
            <w:shd w:val="clear" w:color="auto" w:fill="auto"/>
            <w:noWrap/>
            <w:vAlign w:val="center"/>
          </w:tcPr>
          <w:p w14:paraId="3A77A00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0.758</w:t>
            </w:r>
          </w:p>
        </w:tc>
        <w:tc>
          <w:tcPr>
            <w:tcW w:w="1667" w:type="pct"/>
            <w:tcBorders>
              <w:top w:val="single" w:sz="4" w:space="0" w:color="auto"/>
              <w:left w:val="nil"/>
              <w:bottom w:val="single" w:sz="4" w:space="0" w:color="auto"/>
            </w:tcBorders>
          </w:tcPr>
          <w:p w14:paraId="1A42C4F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39FAAC69"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0F29CF46"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left w:val="nil"/>
              <w:bottom w:val="single" w:sz="4" w:space="0" w:color="auto"/>
            </w:tcBorders>
            <w:shd w:val="clear" w:color="auto" w:fill="auto"/>
            <w:noWrap/>
            <w:vAlign w:val="center"/>
          </w:tcPr>
          <w:p w14:paraId="52016A8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0.92</w:t>
            </w:r>
          </w:p>
        </w:tc>
        <w:tc>
          <w:tcPr>
            <w:tcW w:w="1667" w:type="pct"/>
            <w:tcBorders>
              <w:top w:val="single" w:sz="4" w:space="0" w:color="auto"/>
              <w:left w:val="nil"/>
              <w:bottom w:val="single" w:sz="4" w:space="0" w:color="auto"/>
            </w:tcBorders>
          </w:tcPr>
          <w:p w14:paraId="1B5F8193" w14:textId="413E32CB"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tc>
      </w:tr>
      <w:tr w:rsidR="003724A4" w:rsidRPr="003724A4" w14:paraId="65CC577E"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60B500F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color w:val="000000"/>
                <w:sz w:val="20"/>
                <w:szCs w:val="20"/>
              </w:rPr>
              <w:t xml:space="preserve"> (µM)</w:t>
            </w:r>
          </w:p>
        </w:tc>
        <w:tc>
          <w:tcPr>
            <w:tcW w:w="1667" w:type="pct"/>
            <w:tcBorders>
              <w:top w:val="single" w:sz="4" w:space="0" w:color="auto"/>
              <w:left w:val="nil"/>
              <w:bottom w:val="single" w:sz="4" w:space="0" w:color="auto"/>
            </w:tcBorders>
            <w:shd w:val="clear" w:color="auto" w:fill="auto"/>
            <w:noWrap/>
            <w:vAlign w:val="center"/>
          </w:tcPr>
          <w:p w14:paraId="1AF33F9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1.308</w:t>
            </w:r>
          </w:p>
        </w:tc>
        <w:tc>
          <w:tcPr>
            <w:tcW w:w="1667" w:type="pct"/>
            <w:tcBorders>
              <w:top w:val="single" w:sz="4" w:space="0" w:color="auto"/>
              <w:left w:val="nil"/>
              <w:bottom w:val="single" w:sz="4" w:space="0" w:color="auto"/>
            </w:tcBorders>
          </w:tcPr>
          <w:p w14:paraId="00DAD28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5C865ECE"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6B4568AB"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inact</w:t>
            </w:r>
            <w:proofErr w:type="spellEnd"/>
            <w:r w:rsidRPr="003724A4">
              <w:rPr>
                <w:rFonts w:ascii="Arial" w:eastAsia="Times New Roman" w:hAnsi="Arial" w:cs="Arial"/>
                <w:color w:val="000000"/>
                <w:sz w:val="20"/>
                <w:szCs w:val="20"/>
              </w:rPr>
              <w:t xml:space="preserve"> (h</w:t>
            </w:r>
            <w:r w:rsidRPr="003724A4">
              <w:rPr>
                <w:rFonts w:ascii="Arial" w:eastAsia="Times New Roman" w:hAnsi="Arial" w:cs="Arial"/>
                <w:color w:val="000000"/>
                <w:sz w:val="20"/>
                <w:szCs w:val="20"/>
                <w:vertAlign w:val="superscript"/>
              </w:rPr>
              <w:t>-1</w:t>
            </w:r>
            <w:r w:rsidRPr="003724A4">
              <w:rPr>
                <w:rFonts w:ascii="Arial" w:eastAsia="Times New Roman" w:hAnsi="Arial" w:cs="Arial"/>
                <w:color w:val="000000"/>
                <w:sz w:val="20"/>
                <w:szCs w:val="20"/>
              </w:rPr>
              <w:t>)</w:t>
            </w:r>
          </w:p>
        </w:tc>
        <w:tc>
          <w:tcPr>
            <w:tcW w:w="1667" w:type="pct"/>
            <w:tcBorders>
              <w:top w:val="single" w:sz="4" w:space="0" w:color="auto"/>
              <w:left w:val="nil"/>
              <w:bottom w:val="single" w:sz="4" w:space="0" w:color="auto"/>
            </w:tcBorders>
            <w:shd w:val="clear" w:color="auto" w:fill="auto"/>
            <w:noWrap/>
            <w:vAlign w:val="center"/>
          </w:tcPr>
          <w:p w14:paraId="60CD630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1.062</w:t>
            </w:r>
          </w:p>
        </w:tc>
        <w:tc>
          <w:tcPr>
            <w:tcW w:w="1667" w:type="pct"/>
            <w:tcBorders>
              <w:top w:val="single" w:sz="4" w:space="0" w:color="auto"/>
              <w:left w:val="nil"/>
              <w:bottom w:val="single" w:sz="4" w:space="0" w:color="auto"/>
            </w:tcBorders>
          </w:tcPr>
          <w:p w14:paraId="425BF30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39035D76" w14:textId="77777777" w:rsidTr="009B5520">
        <w:trPr>
          <w:trHeight w:val="290"/>
        </w:trPr>
        <w:tc>
          <w:tcPr>
            <w:tcW w:w="1666" w:type="pct"/>
            <w:tcBorders>
              <w:top w:val="single" w:sz="4" w:space="0" w:color="auto"/>
              <w:bottom w:val="single" w:sz="4" w:space="0" w:color="auto"/>
            </w:tcBorders>
            <w:shd w:val="clear" w:color="auto" w:fill="auto"/>
            <w:noWrap/>
            <w:vAlign w:val="center"/>
          </w:tcPr>
          <w:p w14:paraId="29EFDED4"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left w:val="nil"/>
              <w:bottom w:val="single" w:sz="4" w:space="0" w:color="auto"/>
            </w:tcBorders>
            <w:shd w:val="clear" w:color="auto" w:fill="auto"/>
            <w:noWrap/>
            <w:vAlign w:val="center"/>
          </w:tcPr>
          <w:p w14:paraId="7244244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0.92</w:t>
            </w:r>
          </w:p>
        </w:tc>
        <w:tc>
          <w:tcPr>
            <w:tcW w:w="1667" w:type="pct"/>
            <w:tcBorders>
              <w:top w:val="single" w:sz="4" w:space="0" w:color="auto"/>
              <w:left w:val="nil"/>
              <w:bottom w:val="single" w:sz="4" w:space="0" w:color="auto"/>
            </w:tcBorders>
          </w:tcPr>
          <w:p w14:paraId="3B2FEF7D" w14:textId="2CEAFE2E"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tc>
      </w:tr>
    </w:tbl>
    <w:p w14:paraId="5125438B" w14:textId="77777777" w:rsidR="003724A4" w:rsidRPr="003724A4" w:rsidRDefault="003724A4" w:rsidP="003724A4">
      <w:pPr>
        <w:spacing w:after="0" w:line="240" w:lineRule="auto"/>
        <w:rPr>
          <w:rFonts w:ascii="Arial" w:hAnsi="Arial" w:cs="Arial"/>
          <w:sz w:val="18"/>
          <w:szCs w:val="18"/>
        </w:rPr>
      </w:pPr>
      <w:r w:rsidRPr="003724A4">
        <w:rPr>
          <w:rFonts w:ascii="Arial" w:hAnsi="Arial" w:cs="Arial"/>
          <w:sz w:val="18"/>
          <w:szCs w:val="18"/>
        </w:rPr>
        <w:t xml:space="preserve">B/P, blood to plasma partition ratio; </w:t>
      </w:r>
      <w:proofErr w:type="spellStart"/>
      <w:r w:rsidRPr="003724A4">
        <w:rPr>
          <w:rFonts w:ascii="Arial" w:hAnsi="Arial" w:cs="Arial"/>
          <w:sz w:val="18"/>
          <w:szCs w:val="18"/>
        </w:rPr>
        <w:t>CL</w:t>
      </w:r>
      <w:r w:rsidRPr="003724A4">
        <w:rPr>
          <w:rFonts w:ascii="Arial" w:hAnsi="Arial" w:cs="Arial"/>
          <w:sz w:val="18"/>
          <w:szCs w:val="18"/>
          <w:vertAlign w:val="subscript"/>
        </w:rPr>
        <w:t>int</w:t>
      </w:r>
      <w:proofErr w:type="spellEnd"/>
      <w:r w:rsidRPr="003724A4">
        <w:rPr>
          <w:rFonts w:ascii="Arial" w:hAnsi="Arial" w:cs="Arial"/>
          <w:sz w:val="18"/>
          <w:szCs w:val="18"/>
        </w:rPr>
        <w:t xml:space="preserve">, </w:t>
      </w:r>
      <w:r w:rsidRPr="003724A4">
        <w:rPr>
          <w:rFonts w:ascii="Arial" w:hAnsi="Arial" w:cs="Arial"/>
          <w:i/>
          <w:sz w:val="18"/>
          <w:szCs w:val="18"/>
        </w:rPr>
        <w:t>in vitro</w:t>
      </w:r>
      <w:r w:rsidRPr="003724A4">
        <w:rPr>
          <w:rFonts w:ascii="Arial" w:hAnsi="Arial" w:cs="Arial"/>
          <w:sz w:val="18"/>
          <w:szCs w:val="18"/>
        </w:rPr>
        <w:t xml:space="preserve"> intrinsic clearance; </w:t>
      </w:r>
      <w:proofErr w:type="spellStart"/>
      <w:r w:rsidRPr="003724A4">
        <w:rPr>
          <w:rFonts w:ascii="Arial" w:hAnsi="Arial" w:cs="Arial"/>
          <w:sz w:val="18"/>
          <w:szCs w:val="18"/>
        </w:rPr>
        <w:t>CL</w:t>
      </w:r>
      <w:r w:rsidRPr="003724A4">
        <w:rPr>
          <w:rFonts w:ascii="Arial" w:hAnsi="Arial" w:cs="Arial"/>
          <w:sz w:val="18"/>
          <w:szCs w:val="18"/>
          <w:vertAlign w:val="subscript"/>
        </w:rPr>
        <w:t>iv</w:t>
      </w:r>
      <w:proofErr w:type="spellEnd"/>
      <w:r w:rsidRPr="003724A4">
        <w:rPr>
          <w:rFonts w:ascii="Arial" w:hAnsi="Arial" w:cs="Arial"/>
          <w:sz w:val="18"/>
          <w:szCs w:val="18"/>
        </w:rPr>
        <w:t>, intravenous clearance; f</w:t>
      </w:r>
      <w:r w:rsidRPr="003724A4">
        <w:rPr>
          <w:rFonts w:ascii="Arial" w:hAnsi="Arial" w:cs="Arial"/>
          <w:sz w:val="18"/>
          <w:szCs w:val="18"/>
          <w:vertAlign w:val="subscript"/>
        </w:rPr>
        <w:t>a</w:t>
      </w:r>
      <w:r w:rsidRPr="003724A4">
        <w:rPr>
          <w:rFonts w:ascii="Arial" w:hAnsi="Arial" w:cs="Arial"/>
          <w:sz w:val="18"/>
          <w:szCs w:val="18"/>
        </w:rPr>
        <w:t>,</w:t>
      </w:r>
      <w:r w:rsidRPr="003724A4">
        <w:rPr>
          <w:rFonts w:ascii="Arial" w:hAnsi="Arial" w:cs="Arial"/>
          <w:sz w:val="18"/>
          <w:szCs w:val="18"/>
          <w:vertAlign w:val="subscript"/>
        </w:rPr>
        <w:t xml:space="preserve"> </w:t>
      </w:r>
      <w:r w:rsidRPr="003724A4">
        <w:rPr>
          <w:rFonts w:ascii="Arial" w:hAnsi="Arial" w:cs="Arial"/>
          <w:sz w:val="18"/>
          <w:szCs w:val="18"/>
        </w:rPr>
        <w:t xml:space="preserve">fraction available from dosage form; </w:t>
      </w:r>
      <w:proofErr w:type="spellStart"/>
      <w:r w:rsidRPr="003724A4">
        <w:rPr>
          <w:rFonts w:ascii="Arial" w:hAnsi="Arial" w:cs="Arial"/>
          <w:sz w:val="18"/>
          <w:szCs w:val="18"/>
        </w:rPr>
        <w:t>f</w:t>
      </w:r>
      <w:r w:rsidRPr="003724A4">
        <w:rPr>
          <w:rFonts w:ascii="Arial" w:hAnsi="Arial" w:cs="Arial"/>
          <w:sz w:val="18"/>
          <w:szCs w:val="18"/>
          <w:vertAlign w:val="subscript"/>
        </w:rPr>
        <w:t>m</w:t>
      </w:r>
      <w:proofErr w:type="spellEnd"/>
      <w:r w:rsidRPr="003724A4">
        <w:rPr>
          <w:rFonts w:ascii="Arial" w:hAnsi="Arial" w:cs="Arial"/>
          <w:sz w:val="18"/>
          <w:szCs w:val="18"/>
        </w:rPr>
        <w:t>,</w:t>
      </w:r>
      <w:r w:rsidRPr="003724A4">
        <w:rPr>
          <w:rFonts w:ascii="Arial" w:hAnsi="Arial" w:cs="Arial"/>
          <w:sz w:val="18"/>
          <w:szCs w:val="18"/>
          <w:vertAlign w:val="subscript"/>
        </w:rPr>
        <w:t xml:space="preserve"> </w:t>
      </w:r>
      <w:r w:rsidRPr="003724A4">
        <w:rPr>
          <w:rFonts w:ascii="Arial" w:hAnsi="Arial" w:cs="Arial"/>
          <w:sz w:val="18"/>
          <w:szCs w:val="18"/>
        </w:rPr>
        <w:t>fraction metabolized by a given enzymatic pathway; f</w:t>
      </w:r>
      <w:r w:rsidRPr="003724A4">
        <w:rPr>
          <w:rFonts w:ascii="Arial" w:hAnsi="Arial" w:cs="Arial"/>
          <w:sz w:val="18"/>
          <w:szCs w:val="18"/>
          <w:vertAlign w:val="subscript"/>
        </w:rPr>
        <w:t>u</w:t>
      </w:r>
      <w:r w:rsidRPr="003724A4">
        <w:rPr>
          <w:rFonts w:ascii="Arial" w:hAnsi="Arial" w:cs="Arial"/>
          <w:sz w:val="18"/>
          <w:szCs w:val="18"/>
        </w:rPr>
        <w:t xml:space="preserve">, fraction unbound in plasma;  </w:t>
      </w:r>
      <w:proofErr w:type="spellStart"/>
      <w:r w:rsidRPr="003724A4">
        <w:rPr>
          <w:rFonts w:ascii="Arial" w:hAnsi="Arial" w:cs="Arial"/>
          <w:sz w:val="18"/>
          <w:szCs w:val="18"/>
        </w:rPr>
        <w:t>fu</w:t>
      </w:r>
      <w:r w:rsidRPr="003724A4">
        <w:rPr>
          <w:rFonts w:ascii="Arial" w:hAnsi="Arial" w:cs="Arial"/>
          <w:sz w:val="18"/>
          <w:szCs w:val="18"/>
          <w:vertAlign w:val="subscript"/>
        </w:rPr>
        <w:t>gut</w:t>
      </w:r>
      <w:proofErr w:type="spellEnd"/>
      <w:r w:rsidRPr="003724A4">
        <w:rPr>
          <w:rFonts w:ascii="Arial" w:hAnsi="Arial" w:cs="Arial"/>
          <w:sz w:val="18"/>
          <w:szCs w:val="18"/>
        </w:rPr>
        <w:t xml:space="preserve">, fraction unbound in the enterocytes; </w:t>
      </w:r>
      <w:proofErr w:type="spellStart"/>
      <w:r w:rsidRPr="003724A4">
        <w:rPr>
          <w:rFonts w:ascii="Arial" w:hAnsi="Arial" w:cs="Arial"/>
          <w:sz w:val="18"/>
          <w:szCs w:val="18"/>
        </w:rPr>
        <w:t>fu</w:t>
      </w:r>
      <w:r w:rsidRPr="003724A4">
        <w:rPr>
          <w:rFonts w:ascii="Arial" w:hAnsi="Arial" w:cs="Arial"/>
          <w:sz w:val="18"/>
          <w:szCs w:val="18"/>
          <w:vertAlign w:val="subscript"/>
        </w:rPr>
        <w:t>mic</w:t>
      </w:r>
      <w:proofErr w:type="spellEnd"/>
      <w:r w:rsidRPr="003724A4">
        <w:rPr>
          <w:rFonts w:ascii="Arial" w:hAnsi="Arial" w:cs="Arial"/>
          <w:sz w:val="18"/>
          <w:szCs w:val="18"/>
        </w:rPr>
        <w:t>, fraction unbound in the microsomal incubation; k</w:t>
      </w:r>
      <w:r w:rsidRPr="003724A4">
        <w:rPr>
          <w:rFonts w:ascii="Arial" w:hAnsi="Arial" w:cs="Arial"/>
          <w:sz w:val="18"/>
          <w:szCs w:val="18"/>
          <w:vertAlign w:val="subscript"/>
        </w:rPr>
        <w:t>a</w:t>
      </w:r>
      <w:r w:rsidRPr="003724A4">
        <w:rPr>
          <w:rFonts w:ascii="Arial" w:hAnsi="Arial" w:cs="Arial"/>
          <w:sz w:val="18"/>
          <w:szCs w:val="18"/>
        </w:rPr>
        <w:t>,</w:t>
      </w:r>
      <w:r w:rsidRPr="003724A4">
        <w:rPr>
          <w:rFonts w:ascii="Arial" w:hAnsi="Arial" w:cs="Arial"/>
          <w:sz w:val="18"/>
          <w:szCs w:val="18"/>
          <w:vertAlign w:val="subscript"/>
        </w:rPr>
        <w:t xml:space="preserve"> </w:t>
      </w:r>
      <w:r w:rsidRPr="003724A4">
        <w:rPr>
          <w:rFonts w:ascii="Arial" w:hAnsi="Arial" w:cs="Arial"/>
          <w:sz w:val="18"/>
          <w:szCs w:val="18"/>
        </w:rPr>
        <w:t>first order absorption rate constant;</w:t>
      </w:r>
      <w:r w:rsidRPr="003724A4">
        <w:rPr>
          <w:rFonts w:ascii="Arial" w:hAnsi="Arial" w:cs="Arial"/>
          <w:i/>
          <w:iCs/>
          <w:sz w:val="18"/>
          <w:szCs w:val="18"/>
        </w:rPr>
        <w:t xml:space="preserve"> K</w:t>
      </w:r>
      <w:r w:rsidRPr="003724A4">
        <w:rPr>
          <w:rFonts w:ascii="Arial" w:hAnsi="Arial" w:cs="Arial"/>
          <w:i/>
          <w:iCs/>
          <w:sz w:val="18"/>
          <w:szCs w:val="18"/>
          <w:vertAlign w:val="subscript"/>
        </w:rPr>
        <w:t xml:space="preserve">I, </w:t>
      </w:r>
      <w:r w:rsidRPr="003724A4">
        <w:rPr>
          <w:rFonts w:ascii="Arial" w:hAnsi="Arial" w:cs="Arial"/>
          <w:sz w:val="18"/>
          <w:szCs w:val="18"/>
        </w:rPr>
        <w:t>concentration of mechanism-based inactivator associated with half maximal inhibition;</w:t>
      </w:r>
      <w:r w:rsidRPr="003724A4">
        <w:rPr>
          <w:rFonts w:ascii="Arial" w:hAnsi="Arial" w:cs="Arial"/>
          <w:sz w:val="18"/>
          <w:szCs w:val="18"/>
          <w:vertAlign w:val="subscript"/>
        </w:rPr>
        <w:t xml:space="preserve"> </w:t>
      </w:r>
      <w:proofErr w:type="spellStart"/>
      <w:r w:rsidRPr="003724A4">
        <w:rPr>
          <w:rFonts w:ascii="Arial" w:hAnsi="Arial" w:cs="Arial"/>
          <w:i/>
          <w:iCs/>
          <w:sz w:val="18"/>
          <w:szCs w:val="18"/>
        </w:rPr>
        <w:t>k</w:t>
      </w:r>
      <w:r w:rsidRPr="003724A4">
        <w:rPr>
          <w:rFonts w:ascii="Arial" w:hAnsi="Arial" w:cs="Arial"/>
          <w:i/>
          <w:iCs/>
          <w:sz w:val="18"/>
          <w:szCs w:val="18"/>
          <w:vertAlign w:val="subscript"/>
        </w:rPr>
        <w:t>inact</w:t>
      </w:r>
      <w:proofErr w:type="spellEnd"/>
      <w:r w:rsidRPr="003724A4">
        <w:rPr>
          <w:rFonts w:ascii="Arial" w:hAnsi="Arial" w:cs="Arial"/>
          <w:i/>
          <w:iCs/>
          <w:sz w:val="18"/>
          <w:szCs w:val="18"/>
          <w:vertAlign w:val="subscript"/>
        </w:rPr>
        <w:t xml:space="preserve">, </w:t>
      </w:r>
      <w:r w:rsidRPr="003724A4">
        <w:rPr>
          <w:rFonts w:ascii="Arial" w:hAnsi="Arial" w:cs="Arial"/>
          <w:sz w:val="18"/>
          <w:szCs w:val="18"/>
        </w:rPr>
        <w:t>inactivation rate of the enzyme;</w:t>
      </w:r>
      <w:r w:rsidRPr="003724A4">
        <w:rPr>
          <w:rFonts w:ascii="Arial" w:hAnsi="Arial" w:cs="Arial"/>
          <w:i/>
          <w:iCs/>
          <w:sz w:val="18"/>
          <w:szCs w:val="18"/>
          <w:vertAlign w:val="subscript"/>
        </w:rPr>
        <w:t xml:space="preserve"> </w:t>
      </w:r>
      <w:r w:rsidRPr="003724A4">
        <w:rPr>
          <w:rFonts w:ascii="Arial" w:hAnsi="Arial" w:cs="Arial"/>
          <w:i/>
          <w:iCs/>
          <w:sz w:val="18"/>
          <w:szCs w:val="18"/>
        </w:rPr>
        <w:t>K</w:t>
      </w:r>
      <w:r w:rsidRPr="003724A4">
        <w:rPr>
          <w:rFonts w:ascii="Arial" w:hAnsi="Arial" w:cs="Arial"/>
          <w:i/>
          <w:iCs/>
          <w:sz w:val="18"/>
          <w:szCs w:val="18"/>
          <w:vertAlign w:val="subscript"/>
        </w:rPr>
        <w:t>i</w:t>
      </w:r>
      <w:r w:rsidRPr="003724A4">
        <w:rPr>
          <w:rFonts w:ascii="Arial" w:hAnsi="Arial" w:cs="Arial"/>
          <w:i/>
          <w:iCs/>
          <w:sz w:val="18"/>
          <w:szCs w:val="18"/>
        </w:rPr>
        <w:t xml:space="preserve">, </w:t>
      </w:r>
      <w:r w:rsidRPr="003724A4">
        <w:rPr>
          <w:rFonts w:ascii="Arial" w:hAnsi="Arial" w:cs="Arial"/>
          <w:sz w:val="18"/>
          <w:szCs w:val="18"/>
        </w:rPr>
        <w:t xml:space="preserve">concentration of reversible inhibitor that supports half maximal inhibition; log P, common logarithm of the </w:t>
      </w:r>
      <w:proofErr w:type="spellStart"/>
      <w:r w:rsidRPr="003724A4">
        <w:rPr>
          <w:rFonts w:ascii="Arial" w:hAnsi="Arial" w:cs="Arial"/>
          <w:sz w:val="18"/>
          <w:szCs w:val="18"/>
        </w:rPr>
        <w:t>octanol:water</w:t>
      </w:r>
      <w:proofErr w:type="spellEnd"/>
      <w:r w:rsidRPr="003724A4">
        <w:rPr>
          <w:rFonts w:ascii="Arial" w:hAnsi="Arial" w:cs="Arial"/>
          <w:sz w:val="18"/>
          <w:szCs w:val="18"/>
        </w:rPr>
        <w:t xml:space="preserve"> partition coefficient; </w:t>
      </w:r>
      <w:proofErr w:type="spellStart"/>
      <w:r w:rsidRPr="003724A4">
        <w:rPr>
          <w:rFonts w:ascii="Arial" w:hAnsi="Arial" w:cs="Arial"/>
          <w:sz w:val="18"/>
          <w:szCs w:val="18"/>
        </w:rPr>
        <w:t>P</w:t>
      </w:r>
      <w:r w:rsidRPr="003724A4">
        <w:rPr>
          <w:rFonts w:ascii="Arial" w:hAnsi="Arial" w:cs="Arial"/>
          <w:sz w:val="18"/>
          <w:szCs w:val="18"/>
          <w:vertAlign w:val="subscript"/>
        </w:rPr>
        <w:t>eff,man</w:t>
      </w:r>
      <w:proofErr w:type="spellEnd"/>
      <w:r w:rsidRPr="003724A4">
        <w:rPr>
          <w:rFonts w:ascii="Arial" w:hAnsi="Arial" w:cs="Arial"/>
          <w:sz w:val="18"/>
          <w:szCs w:val="18"/>
        </w:rPr>
        <w:t xml:space="preserve">, Human jejunum effective permeability; </w:t>
      </w:r>
      <w:proofErr w:type="spellStart"/>
      <w:r w:rsidRPr="003724A4">
        <w:rPr>
          <w:rFonts w:ascii="Arial" w:hAnsi="Arial" w:cs="Arial"/>
          <w:sz w:val="18"/>
          <w:szCs w:val="18"/>
        </w:rPr>
        <w:t>Q</w:t>
      </w:r>
      <w:r w:rsidRPr="003724A4">
        <w:rPr>
          <w:rFonts w:ascii="Arial" w:hAnsi="Arial" w:cs="Arial"/>
          <w:sz w:val="18"/>
          <w:szCs w:val="18"/>
          <w:vertAlign w:val="subscript"/>
        </w:rPr>
        <w:t>gut</w:t>
      </w:r>
      <w:proofErr w:type="spellEnd"/>
      <w:r w:rsidRPr="003724A4">
        <w:rPr>
          <w:rFonts w:ascii="Arial" w:hAnsi="Arial" w:cs="Arial"/>
          <w:sz w:val="18"/>
          <w:szCs w:val="18"/>
        </w:rPr>
        <w:t xml:space="preserve">, Nominal flow in gut model; </w:t>
      </w:r>
      <w:proofErr w:type="spellStart"/>
      <w:r w:rsidRPr="003724A4">
        <w:rPr>
          <w:rFonts w:ascii="Arial" w:hAnsi="Arial" w:cs="Arial"/>
          <w:sz w:val="18"/>
          <w:szCs w:val="18"/>
        </w:rPr>
        <w:t>V</w:t>
      </w:r>
      <w:r w:rsidRPr="003724A4">
        <w:rPr>
          <w:rFonts w:ascii="Arial" w:hAnsi="Arial" w:cs="Arial"/>
          <w:sz w:val="18"/>
          <w:szCs w:val="18"/>
          <w:vertAlign w:val="subscript"/>
        </w:rPr>
        <w:t>ss</w:t>
      </w:r>
      <w:proofErr w:type="spellEnd"/>
      <w:r w:rsidRPr="003724A4">
        <w:rPr>
          <w:rFonts w:ascii="Arial" w:hAnsi="Arial" w:cs="Arial"/>
          <w:sz w:val="18"/>
          <w:szCs w:val="18"/>
        </w:rPr>
        <w:t>, volume of distribution at steady state</w:t>
      </w:r>
    </w:p>
    <w:p w14:paraId="1D9D16DF" w14:textId="77777777" w:rsidR="003724A4" w:rsidRPr="003724A4" w:rsidRDefault="003724A4" w:rsidP="003724A4">
      <w:pPr>
        <w:spacing w:after="0" w:line="240" w:lineRule="auto"/>
        <w:rPr>
          <w:rFonts w:ascii="Arial" w:hAnsi="Arial" w:cs="Arial"/>
          <w:b/>
        </w:rPr>
      </w:pPr>
    </w:p>
    <w:p w14:paraId="2E8327A7" w14:textId="77777777" w:rsidR="003724A4" w:rsidRPr="003724A4" w:rsidRDefault="003724A4" w:rsidP="003724A4">
      <w:pPr>
        <w:spacing w:after="0" w:line="240" w:lineRule="auto"/>
        <w:rPr>
          <w:rFonts w:ascii="Arial" w:hAnsi="Arial" w:cs="Arial"/>
          <w:b/>
        </w:rPr>
      </w:pPr>
    </w:p>
    <w:p w14:paraId="789505CF" w14:textId="77777777" w:rsidR="003724A4" w:rsidRPr="003724A4" w:rsidRDefault="003724A4" w:rsidP="003724A4">
      <w:pPr>
        <w:spacing w:after="0" w:line="240" w:lineRule="auto"/>
        <w:rPr>
          <w:rFonts w:ascii="Arial" w:hAnsi="Arial" w:cs="Arial"/>
          <w:b/>
        </w:rPr>
      </w:pPr>
    </w:p>
    <w:p w14:paraId="080CD5BB" w14:textId="77777777" w:rsidR="003724A4" w:rsidRPr="003724A4" w:rsidRDefault="003724A4" w:rsidP="003724A4">
      <w:pPr>
        <w:spacing w:after="0" w:line="240" w:lineRule="auto"/>
        <w:rPr>
          <w:rFonts w:ascii="Arial" w:hAnsi="Arial" w:cs="Arial"/>
          <w:b/>
        </w:rPr>
      </w:pPr>
    </w:p>
    <w:p w14:paraId="6F702067" w14:textId="77777777" w:rsidR="003724A4" w:rsidRPr="003724A4" w:rsidRDefault="003724A4" w:rsidP="003724A4">
      <w:pPr>
        <w:spacing w:after="0" w:line="240" w:lineRule="auto"/>
        <w:rPr>
          <w:rFonts w:ascii="Arial" w:hAnsi="Arial" w:cs="Arial"/>
          <w:b/>
        </w:rPr>
      </w:pPr>
    </w:p>
    <w:p w14:paraId="3B97F579" w14:textId="77777777" w:rsidR="003724A4" w:rsidRPr="003724A4" w:rsidRDefault="003724A4" w:rsidP="003724A4">
      <w:pPr>
        <w:spacing w:after="0" w:line="240" w:lineRule="auto"/>
        <w:rPr>
          <w:rFonts w:ascii="Arial" w:hAnsi="Arial" w:cs="Arial"/>
          <w:b/>
        </w:rPr>
      </w:pPr>
    </w:p>
    <w:p w14:paraId="4FB0E5B8" w14:textId="77777777" w:rsidR="003724A4" w:rsidRPr="003724A4" w:rsidRDefault="003724A4" w:rsidP="003724A4">
      <w:pPr>
        <w:spacing w:after="0" w:line="240" w:lineRule="auto"/>
        <w:rPr>
          <w:rFonts w:ascii="Arial" w:hAnsi="Arial" w:cs="Arial"/>
          <w:b/>
        </w:rPr>
      </w:pPr>
    </w:p>
    <w:p w14:paraId="5069979D" w14:textId="77777777" w:rsidR="003724A4" w:rsidRPr="003724A4" w:rsidRDefault="003724A4" w:rsidP="003724A4">
      <w:pPr>
        <w:spacing w:after="0" w:line="240" w:lineRule="auto"/>
        <w:rPr>
          <w:rFonts w:ascii="Arial" w:hAnsi="Arial" w:cs="Arial"/>
          <w:b/>
        </w:rPr>
      </w:pPr>
    </w:p>
    <w:p w14:paraId="7DEA3EB8" w14:textId="77777777" w:rsidR="003724A4" w:rsidRPr="003724A4" w:rsidRDefault="003724A4" w:rsidP="003724A4">
      <w:pPr>
        <w:spacing w:after="0" w:line="240" w:lineRule="auto"/>
        <w:rPr>
          <w:rFonts w:ascii="Arial" w:hAnsi="Arial" w:cs="Arial"/>
          <w:b/>
        </w:rPr>
      </w:pPr>
    </w:p>
    <w:p w14:paraId="1E750D23" w14:textId="77777777" w:rsidR="003724A4" w:rsidRPr="003724A4" w:rsidRDefault="003724A4" w:rsidP="003724A4">
      <w:pPr>
        <w:spacing w:after="0" w:line="240" w:lineRule="auto"/>
        <w:rPr>
          <w:rFonts w:ascii="Arial" w:hAnsi="Arial" w:cs="Arial"/>
          <w:b/>
        </w:rPr>
      </w:pPr>
    </w:p>
    <w:p w14:paraId="0B85A799" w14:textId="77777777" w:rsidR="003724A4" w:rsidRPr="003724A4" w:rsidRDefault="003724A4" w:rsidP="003724A4">
      <w:pPr>
        <w:spacing w:after="0" w:line="240" w:lineRule="auto"/>
        <w:rPr>
          <w:rFonts w:ascii="Arial" w:hAnsi="Arial" w:cs="Arial"/>
          <w:b/>
        </w:rPr>
      </w:pPr>
    </w:p>
    <w:p w14:paraId="217B4EAF" w14:textId="77777777" w:rsidR="003724A4" w:rsidRPr="003724A4" w:rsidRDefault="003724A4" w:rsidP="003724A4">
      <w:pPr>
        <w:spacing w:after="0" w:line="240" w:lineRule="auto"/>
        <w:rPr>
          <w:rFonts w:ascii="Arial" w:hAnsi="Arial" w:cs="Arial"/>
          <w:b/>
        </w:rPr>
      </w:pPr>
    </w:p>
    <w:p w14:paraId="12864899" w14:textId="77777777" w:rsidR="003724A4" w:rsidRPr="003724A4" w:rsidRDefault="003724A4" w:rsidP="003724A4">
      <w:pPr>
        <w:spacing w:after="0" w:line="240" w:lineRule="auto"/>
        <w:rPr>
          <w:rFonts w:ascii="Arial" w:hAnsi="Arial" w:cs="Arial"/>
          <w:b/>
        </w:rPr>
      </w:pPr>
    </w:p>
    <w:p w14:paraId="449BD1D3" w14:textId="3C6D73E9" w:rsidR="003724A4" w:rsidRDefault="003724A4" w:rsidP="003724A4">
      <w:pPr>
        <w:spacing w:after="0" w:line="240" w:lineRule="auto"/>
        <w:rPr>
          <w:rFonts w:ascii="Arial" w:hAnsi="Arial" w:cs="Arial"/>
          <w:b/>
        </w:rPr>
      </w:pPr>
    </w:p>
    <w:p w14:paraId="4E0486D6" w14:textId="1EB5ADBD" w:rsidR="003724A4" w:rsidRDefault="003724A4" w:rsidP="003724A4">
      <w:pPr>
        <w:spacing w:after="0" w:line="240" w:lineRule="auto"/>
        <w:rPr>
          <w:rFonts w:ascii="Arial" w:hAnsi="Arial" w:cs="Arial"/>
          <w:b/>
        </w:rPr>
      </w:pPr>
    </w:p>
    <w:p w14:paraId="3AD6F803" w14:textId="63F56873" w:rsidR="003724A4" w:rsidRDefault="003724A4" w:rsidP="003724A4">
      <w:pPr>
        <w:spacing w:after="0" w:line="240" w:lineRule="auto"/>
        <w:rPr>
          <w:rFonts w:ascii="Arial" w:hAnsi="Arial" w:cs="Arial"/>
          <w:b/>
        </w:rPr>
      </w:pPr>
    </w:p>
    <w:p w14:paraId="58B4EA0E" w14:textId="2F83F29A" w:rsidR="003724A4" w:rsidRDefault="003724A4" w:rsidP="003724A4">
      <w:pPr>
        <w:spacing w:after="0" w:line="240" w:lineRule="auto"/>
        <w:rPr>
          <w:rFonts w:ascii="Arial" w:hAnsi="Arial" w:cs="Arial"/>
          <w:b/>
        </w:rPr>
      </w:pPr>
    </w:p>
    <w:p w14:paraId="73FEDDC7" w14:textId="138F0159" w:rsidR="003724A4" w:rsidRDefault="003724A4" w:rsidP="003724A4">
      <w:pPr>
        <w:spacing w:after="0" w:line="240" w:lineRule="auto"/>
        <w:rPr>
          <w:rFonts w:ascii="Arial" w:hAnsi="Arial" w:cs="Arial"/>
          <w:b/>
        </w:rPr>
      </w:pPr>
    </w:p>
    <w:p w14:paraId="70337617" w14:textId="01464A7E" w:rsidR="003724A4" w:rsidRDefault="003724A4" w:rsidP="003724A4">
      <w:pPr>
        <w:spacing w:after="0" w:line="240" w:lineRule="auto"/>
        <w:rPr>
          <w:rFonts w:ascii="Arial" w:hAnsi="Arial" w:cs="Arial"/>
          <w:b/>
        </w:rPr>
      </w:pPr>
    </w:p>
    <w:p w14:paraId="00A47A40" w14:textId="40F29EC0" w:rsidR="003724A4" w:rsidRDefault="003724A4" w:rsidP="003724A4">
      <w:pPr>
        <w:spacing w:after="0" w:line="240" w:lineRule="auto"/>
        <w:rPr>
          <w:rFonts w:ascii="Arial" w:hAnsi="Arial" w:cs="Arial"/>
          <w:b/>
        </w:rPr>
      </w:pPr>
    </w:p>
    <w:p w14:paraId="36C10540" w14:textId="77777777" w:rsidR="003724A4" w:rsidRPr="003724A4" w:rsidRDefault="003724A4" w:rsidP="003724A4">
      <w:pPr>
        <w:spacing w:after="0" w:line="240" w:lineRule="auto"/>
        <w:rPr>
          <w:rFonts w:ascii="Arial" w:hAnsi="Arial" w:cs="Arial"/>
          <w:b/>
        </w:rPr>
      </w:pPr>
    </w:p>
    <w:p w14:paraId="28CD66FE" w14:textId="77777777" w:rsidR="003724A4" w:rsidRPr="003724A4" w:rsidRDefault="003724A4" w:rsidP="003724A4">
      <w:pPr>
        <w:spacing w:after="0" w:line="240" w:lineRule="auto"/>
        <w:rPr>
          <w:rFonts w:ascii="Arial" w:hAnsi="Arial" w:cs="Arial"/>
          <w:b/>
        </w:rPr>
      </w:pPr>
    </w:p>
    <w:p w14:paraId="6AF4E1DB" w14:textId="77777777" w:rsidR="003724A4" w:rsidRPr="003724A4" w:rsidRDefault="003724A4" w:rsidP="003724A4">
      <w:pPr>
        <w:spacing w:after="0" w:line="240" w:lineRule="auto"/>
        <w:rPr>
          <w:rFonts w:ascii="Arial" w:hAnsi="Arial" w:cs="Arial"/>
          <w:b/>
        </w:rPr>
      </w:pPr>
    </w:p>
    <w:p w14:paraId="4F89889E" w14:textId="3C6FDDFE" w:rsidR="003724A4" w:rsidRPr="003724A4" w:rsidRDefault="003724A4" w:rsidP="003724A4">
      <w:pPr>
        <w:spacing w:after="0" w:line="240" w:lineRule="auto"/>
        <w:rPr>
          <w:rFonts w:ascii="Arial" w:hAnsi="Arial" w:cs="Arial"/>
          <w:bCs/>
          <w:sz w:val="20"/>
          <w:szCs w:val="20"/>
        </w:rPr>
      </w:pPr>
      <w:bookmarkStart w:id="4" w:name="_Toc48636322"/>
      <w:bookmarkStart w:id="5" w:name="_Toc48636678"/>
      <w:bookmarkStart w:id="6" w:name="_Toc48636825"/>
      <w:bookmarkStart w:id="7" w:name="_Toc48775910"/>
      <w:r w:rsidRPr="003724A4">
        <w:rPr>
          <w:rFonts w:ascii="Arial" w:hAnsi="Arial" w:cs="Arial"/>
          <w:b/>
          <w:sz w:val="20"/>
          <w:szCs w:val="20"/>
        </w:rPr>
        <w:t>Table S</w:t>
      </w:r>
      <w:r>
        <w:rPr>
          <w:rFonts w:ascii="Arial" w:hAnsi="Arial" w:cs="Arial"/>
          <w:b/>
          <w:sz w:val="20"/>
          <w:szCs w:val="20"/>
        </w:rPr>
        <w:t>1b</w:t>
      </w:r>
      <w:r w:rsidRPr="003724A4">
        <w:rPr>
          <w:rFonts w:ascii="Arial" w:hAnsi="Arial" w:cs="Arial"/>
          <w:b/>
          <w:sz w:val="20"/>
          <w:szCs w:val="20"/>
        </w:rPr>
        <w:t>.</w:t>
      </w:r>
      <w:r w:rsidRPr="003724A4">
        <w:rPr>
          <w:rFonts w:ascii="Arial" w:hAnsi="Arial" w:cs="Arial"/>
          <w:bCs/>
          <w:sz w:val="20"/>
          <w:szCs w:val="20"/>
        </w:rPr>
        <w:t xml:space="preserve"> Key input parameters for the PBPK model of nilotinib</w:t>
      </w:r>
      <w:bookmarkEnd w:id="4"/>
      <w:bookmarkEnd w:id="5"/>
      <w:bookmarkEnd w:id="6"/>
      <w:bookmarkEnd w:id="7"/>
    </w:p>
    <w:p w14:paraId="6A4AEB30" w14:textId="77777777" w:rsidR="003724A4" w:rsidRPr="003724A4" w:rsidRDefault="003724A4" w:rsidP="003724A4">
      <w:pPr>
        <w:spacing w:after="0" w:line="240" w:lineRule="auto"/>
        <w:rPr>
          <w:rFonts w:ascii="Arial" w:hAnsi="Arial" w:cs="Arial"/>
          <w:bCs/>
          <w:sz w:val="20"/>
          <w:szCs w:val="20"/>
        </w:rPr>
      </w:pPr>
    </w:p>
    <w:tbl>
      <w:tblPr>
        <w:tblW w:w="5000" w:type="pct"/>
        <w:tblBorders>
          <w:insideH w:val="single" w:sz="4" w:space="0" w:color="auto"/>
        </w:tblBorders>
        <w:tblLayout w:type="fixed"/>
        <w:tblLook w:val="04A0" w:firstRow="1" w:lastRow="0" w:firstColumn="1" w:lastColumn="0" w:noHBand="0" w:noVBand="1"/>
      </w:tblPr>
      <w:tblGrid>
        <w:gridCol w:w="3008"/>
        <w:gridCol w:w="3009"/>
        <w:gridCol w:w="3009"/>
      </w:tblGrid>
      <w:tr w:rsidR="003724A4" w:rsidRPr="003724A4" w14:paraId="65F5BC92" w14:textId="77777777" w:rsidTr="009B5520">
        <w:trPr>
          <w:trHeight w:val="292"/>
        </w:trPr>
        <w:tc>
          <w:tcPr>
            <w:tcW w:w="1666" w:type="pct"/>
            <w:tcBorders>
              <w:top w:val="single" w:sz="4" w:space="0" w:color="auto"/>
              <w:bottom w:val="single" w:sz="4" w:space="0" w:color="auto"/>
            </w:tcBorders>
            <w:shd w:val="clear" w:color="auto" w:fill="auto"/>
            <w:noWrap/>
            <w:vAlign w:val="center"/>
            <w:hideMark/>
          </w:tcPr>
          <w:p w14:paraId="572D8FD1"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Parameter</w:t>
            </w:r>
          </w:p>
        </w:tc>
        <w:tc>
          <w:tcPr>
            <w:tcW w:w="1667" w:type="pct"/>
            <w:tcBorders>
              <w:top w:val="single" w:sz="4" w:space="0" w:color="auto"/>
              <w:bottom w:val="single" w:sz="4" w:space="0" w:color="auto"/>
            </w:tcBorders>
            <w:shd w:val="clear" w:color="auto" w:fill="auto"/>
            <w:noWrap/>
            <w:vAlign w:val="center"/>
            <w:hideMark/>
          </w:tcPr>
          <w:p w14:paraId="09F316AD"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Value</w:t>
            </w:r>
          </w:p>
        </w:tc>
        <w:tc>
          <w:tcPr>
            <w:tcW w:w="1667" w:type="pct"/>
            <w:tcBorders>
              <w:top w:val="single" w:sz="4" w:space="0" w:color="auto"/>
              <w:bottom w:val="single" w:sz="4" w:space="0" w:color="auto"/>
            </w:tcBorders>
            <w:vAlign w:val="center"/>
          </w:tcPr>
          <w:p w14:paraId="4DB9A4D7"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Method/Reference</w:t>
            </w:r>
          </w:p>
        </w:tc>
      </w:tr>
      <w:tr w:rsidR="003724A4" w:rsidRPr="003724A4" w14:paraId="6CA338B4" w14:textId="77777777" w:rsidTr="009B5520">
        <w:trPr>
          <w:trHeight w:val="292"/>
        </w:trPr>
        <w:tc>
          <w:tcPr>
            <w:tcW w:w="1666" w:type="pct"/>
            <w:tcBorders>
              <w:top w:val="single" w:sz="4" w:space="0" w:color="auto"/>
            </w:tcBorders>
            <w:shd w:val="clear" w:color="auto" w:fill="auto"/>
            <w:noWrap/>
            <w:vAlign w:val="center"/>
            <w:hideMark/>
          </w:tcPr>
          <w:p w14:paraId="1F501F8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Molecular Weight (g/mol)</w:t>
            </w:r>
          </w:p>
        </w:tc>
        <w:tc>
          <w:tcPr>
            <w:tcW w:w="1667" w:type="pct"/>
            <w:tcBorders>
              <w:top w:val="single" w:sz="4" w:space="0" w:color="auto"/>
            </w:tcBorders>
            <w:shd w:val="clear" w:color="auto" w:fill="auto"/>
            <w:noWrap/>
            <w:vAlign w:val="center"/>
            <w:hideMark/>
          </w:tcPr>
          <w:p w14:paraId="5FD66CD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529.53</w:t>
            </w:r>
          </w:p>
        </w:tc>
        <w:tc>
          <w:tcPr>
            <w:tcW w:w="1667" w:type="pct"/>
            <w:tcBorders>
              <w:top w:val="single" w:sz="4" w:space="0" w:color="auto"/>
            </w:tcBorders>
          </w:tcPr>
          <w:p w14:paraId="401B269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E4568B8" w14:textId="77777777" w:rsidTr="009B5520">
        <w:trPr>
          <w:trHeight w:val="292"/>
        </w:trPr>
        <w:tc>
          <w:tcPr>
            <w:tcW w:w="1666" w:type="pct"/>
            <w:shd w:val="clear" w:color="auto" w:fill="auto"/>
            <w:noWrap/>
            <w:vAlign w:val="center"/>
            <w:hideMark/>
          </w:tcPr>
          <w:p w14:paraId="4CC33BC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log P</w:t>
            </w:r>
          </w:p>
        </w:tc>
        <w:tc>
          <w:tcPr>
            <w:tcW w:w="1667" w:type="pct"/>
            <w:shd w:val="clear" w:color="auto" w:fill="auto"/>
            <w:noWrap/>
            <w:vAlign w:val="center"/>
            <w:hideMark/>
          </w:tcPr>
          <w:p w14:paraId="78D98B8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5.844</w:t>
            </w:r>
          </w:p>
        </w:tc>
        <w:tc>
          <w:tcPr>
            <w:tcW w:w="1667" w:type="pct"/>
          </w:tcPr>
          <w:p w14:paraId="4CCA7709" w14:textId="026C420F"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4A93E4FD" w14:textId="77777777" w:rsidTr="009B5520">
        <w:trPr>
          <w:trHeight w:val="292"/>
        </w:trPr>
        <w:tc>
          <w:tcPr>
            <w:tcW w:w="1666" w:type="pct"/>
            <w:shd w:val="clear" w:color="auto" w:fill="auto"/>
            <w:noWrap/>
            <w:vAlign w:val="center"/>
            <w:hideMark/>
          </w:tcPr>
          <w:p w14:paraId="17CF032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Compound Type</w:t>
            </w:r>
          </w:p>
        </w:tc>
        <w:tc>
          <w:tcPr>
            <w:tcW w:w="1667" w:type="pct"/>
            <w:shd w:val="clear" w:color="auto" w:fill="auto"/>
            <w:noWrap/>
            <w:vAlign w:val="center"/>
            <w:hideMark/>
          </w:tcPr>
          <w:p w14:paraId="7BB8E4B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Diprotic Base</w:t>
            </w:r>
          </w:p>
        </w:tc>
        <w:tc>
          <w:tcPr>
            <w:tcW w:w="1667" w:type="pct"/>
          </w:tcPr>
          <w:p w14:paraId="7F2BB38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18452CB" w14:textId="77777777" w:rsidTr="009B5520">
        <w:trPr>
          <w:trHeight w:val="292"/>
        </w:trPr>
        <w:tc>
          <w:tcPr>
            <w:tcW w:w="1666" w:type="pct"/>
            <w:shd w:val="clear" w:color="auto" w:fill="auto"/>
            <w:noWrap/>
            <w:vAlign w:val="center"/>
            <w:hideMark/>
          </w:tcPr>
          <w:p w14:paraId="26C4A3BD"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pKa</w:t>
            </w:r>
            <w:proofErr w:type="spellEnd"/>
            <w:r w:rsidRPr="003724A4">
              <w:rPr>
                <w:rFonts w:ascii="Arial" w:eastAsia="Times New Roman" w:hAnsi="Arial" w:cs="Arial"/>
                <w:color w:val="000000"/>
                <w:sz w:val="20"/>
                <w:szCs w:val="20"/>
              </w:rPr>
              <w:t xml:space="preserve"> 1</w:t>
            </w:r>
          </w:p>
        </w:tc>
        <w:tc>
          <w:tcPr>
            <w:tcW w:w="1667" w:type="pct"/>
            <w:shd w:val="clear" w:color="auto" w:fill="auto"/>
            <w:noWrap/>
            <w:vAlign w:val="center"/>
            <w:hideMark/>
          </w:tcPr>
          <w:p w14:paraId="60CA5DB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5.4</w:t>
            </w:r>
          </w:p>
        </w:tc>
        <w:tc>
          <w:tcPr>
            <w:tcW w:w="1667" w:type="pct"/>
            <w:vMerge w:val="restart"/>
          </w:tcPr>
          <w:p w14:paraId="4E7AA121" w14:textId="7875D734"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3CB0F3DA" w14:textId="77777777" w:rsidTr="009B5520">
        <w:trPr>
          <w:trHeight w:val="292"/>
        </w:trPr>
        <w:tc>
          <w:tcPr>
            <w:tcW w:w="1666" w:type="pct"/>
            <w:shd w:val="clear" w:color="auto" w:fill="auto"/>
            <w:noWrap/>
            <w:vAlign w:val="center"/>
          </w:tcPr>
          <w:p w14:paraId="5C690D7C"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pKa</w:t>
            </w:r>
            <w:proofErr w:type="spellEnd"/>
            <w:r w:rsidRPr="003724A4">
              <w:rPr>
                <w:rFonts w:ascii="Arial" w:eastAsia="Times New Roman" w:hAnsi="Arial" w:cs="Arial"/>
                <w:color w:val="000000"/>
                <w:sz w:val="20"/>
                <w:szCs w:val="20"/>
              </w:rPr>
              <w:t xml:space="preserve"> 2</w:t>
            </w:r>
          </w:p>
        </w:tc>
        <w:tc>
          <w:tcPr>
            <w:tcW w:w="1667" w:type="pct"/>
            <w:shd w:val="clear" w:color="auto" w:fill="auto"/>
            <w:noWrap/>
            <w:vAlign w:val="center"/>
          </w:tcPr>
          <w:p w14:paraId="453742C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3.9</w:t>
            </w:r>
          </w:p>
        </w:tc>
        <w:tc>
          <w:tcPr>
            <w:tcW w:w="1667" w:type="pct"/>
            <w:vMerge/>
          </w:tcPr>
          <w:p w14:paraId="7409F2B5"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5AC949A" w14:textId="77777777" w:rsidTr="009B5520">
        <w:trPr>
          <w:trHeight w:val="292"/>
        </w:trPr>
        <w:tc>
          <w:tcPr>
            <w:tcW w:w="1666" w:type="pct"/>
            <w:shd w:val="clear" w:color="auto" w:fill="auto"/>
            <w:noWrap/>
            <w:vAlign w:val="center"/>
            <w:hideMark/>
          </w:tcPr>
          <w:p w14:paraId="6B87D3D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B/P</w:t>
            </w:r>
          </w:p>
        </w:tc>
        <w:tc>
          <w:tcPr>
            <w:tcW w:w="1667" w:type="pct"/>
            <w:shd w:val="clear" w:color="auto" w:fill="auto"/>
            <w:noWrap/>
            <w:vAlign w:val="center"/>
            <w:hideMark/>
          </w:tcPr>
          <w:p w14:paraId="54D6397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0.68</w:t>
            </w:r>
          </w:p>
        </w:tc>
        <w:tc>
          <w:tcPr>
            <w:tcW w:w="1667" w:type="pct"/>
            <w:vMerge w:val="restart"/>
          </w:tcPr>
          <w:p w14:paraId="396869B8" w14:textId="0AC5014D"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(Xia et al., 2012)</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{"citationItems":[{"id":"ITEM-1","itemData":{"DOI":"10.1002/bdd.1821","ISSN":"01422782","abstract":"Nilotinib is a highly potent and selective bcr-abl tyrosine kinase inhibitor used for the treatment of patients who are in the chronic and accelerated phases of Philadelphia chromosome-positive (Ph+) chronic myeloid leukemia (CML). Nilotinib preclinical data and its use for practical predictions of systemic exposure profiles and oral absorption are described. The systemic clearance (CL) of nilotinib was relatively low in rodents with a value of less than 25% of hepatic blood flow (QH), while it was moderate in monkeys and dogs (CL /QH = 32-35%). The steady state volume of distribution (Vss) ranged from 0.55 to 3.9 l/kg across the species tested. The maximum concentration (Cmax) of nilotinib occurred at 0.5-4 h and the bioavailability was moderate (17-44%). The plasma protein binding was high (&gt; 97.5%) in preclinical species and humans. The human CL (~ 0.1 l/h/kg) and Vss (~2.0 l/kg) were best predicted by the rat-dog-human proportionality method and allometric scaling method, respectively. The human intravenous pharmacokinetic profile was projected by the Wajima 'C ss-MRT' method. The predicted micro-constants from human intravenous profiles were incorporated into the advanced compartmental absorption and transit model within the GastroPlus program to simulate the oral concentration-time curves in humans. Overall, the simulated oral human pharmacokinetic profiles showed good agreement with observed clinical data, and the model predicted that the Cmax, AUC, t1/2, V z/F and CL/F values were within 1.3-fold of the observed values. The absolute oral bioavailability of nilotinib in healthy humans was predicted to be low (&lt; 25%). Copyright © 2012 John Wiley &amp; Sons, Ltd.","author":[{"dropping-particle":"","family":"Xia","given":"Binfeng","non-dropping-particle":"","parse-names":false,"suffix":""},{"dropping-particle":"","family":"Heimbach","given":"Tycho","non-dropping-particle":"","parse-names":false,"suffix":""},{"dropping-particle":"","family":"He","given":"Handan","non-dropping-particle":"","parse-names":false,"suffix":""},{"dropping-particle":"","family":"Lin","given":"Tsu-han","non-dropping-particle":"","parse-names":false,"suffix":""}],"container-title":"Biopharmaceutics &amp; Drug Disposition","id":"ITEM-1","issue":"9","issued":{"date-parts":[["2012","12"]]},"page":"536-549","publisher":"John Wiley &amp; Sons, Ltd","title":"Nilotinib preclinical pharmacokinetics and practical application toward clinical projections of oral absorption and systemic availability","type":"article-journal","volume":"33"},"uris":["http://www.mendeley.com/documents/?uuid=72e8c2c5-558c-321a-b4c5-8d0594386aa4","http://www.mendeley.com/documents/?uuid=6c7a2d3f-d4c4-4134-a590-3442f1b20f80"]}],"mendeley":{"formattedCitation":"&lt;sup&gt;9&lt;/sup&gt;","plainTextFormattedCitation":"9","previouslyFormattedCitation":"&lt;sup&gt;9&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9</w:t>
            </w:r>
            <w:r w:rsidRPr="003724A4">
              <w:rPr>
                <w:rFonts w:ascii="Arial" w:eastAsia="Times New Roman" w:hAnsi="Arial" w:cs="Arial"/>
                <w:color w:val="000000"/>
                <w:sz w:val="20"/>
                <w:szCs w:val="20"/>
              </w:rPr>
              <w:fldChar w:fldCharType="end"/>
            </w:r>
          </w:p>
        </w:tc>
      </w:tr>
      <w:tr w:rsidR="003724A4" w:rsidRPr="003724A4" w14:paraId="06FEC0BA" w14:textId="77777777" w:rsidTr="009B5520">
        <w:trPr>
          <w:trHeight w:val="292"/>
        </w:trPr>
        <w:tc>
          <w:tcPr>
            <w:tcW w:w="1666" w:type="pct"/>
            <w:shd w:val="clear" w:color="auto" w:fill="auto"/>
            <w:noWrap/>
            <w:vAlign w:val="center"/>
            <w:hideMark/>
          </w:tcPr>
          <w:p w14:paraId="78CDD33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fu</w:t>
            </w:r>
          </w:p>
        </w:tc>
        <w:tc>
          <w:tcPr>
            <w:tcW w:w="1667" w:type="pct"/>
            <w:shd w:val="clear" w:color="auto" w:fill="auto"/>
            <w:noWrap/>
            <w:vAlign w:val="center"/>
            <w:hideMark/>
          </w:tcPr>
          <w:p w14:paraId="0B2C441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0.016</w:t>
            </w:r>
          </w:p>
        </w:tc>
        <w:tc>
          <w:tcPr>
            <w:tcW w:w="1667" w:type="pct"/>
            <w:vMerge/>
          </w:tcPr>
          <w:p w14:paraId="3C3CE3DF"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AFCD066" w14:textId="77777777" w:rsidTr="009B5520">
        <w:trPr>
          <w:trHeight w:val="292"/>
        </w:trPr>
        <w:tc>
          <w:tcPr>
            <w:tcW w:w="1666" w:type="pct"/>
            <w:shd w:val="clear" w:color="auto" w:fill="auto"/>
            <w:noWrap/>
            <w:vAlign w:val="center"/>
            <w:hideMark/>
          </w:tcPr>
          <w:p w14:paraId="7634437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Main plasma binding protein</w:t>
            </w:r>
          </w:p>
        </w:tc>
        <w:tc>
          <w:tcPr>
            <w:tcW w:w="1667" w:type="pct"/>
            <w:shd w:val="clear" w:color="auto" w:fill="auto"/>
            <w:noWrap/>
            <w:vAlign w:val="center"/>
            <w:hideMark/>
          </w:tcPr>
          <w:p w14:paraId="4E0CDFE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HSA</w:t>
            </w:r>
          </w:p>
        </w:tc>
        <w:tc>
          <w:tcPr>
            <w:tcW w:w="1667" w:type="pct"/>
          </w:tcPr>
          <w:p w14:paraId="5EF7943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7EBB733" w14:textId="77777777" w:rsidTr="009B5520">
        <w:trPr>
          <w:trHeight w:val="292"/>
        </w:trPr>
        <w:tc>
          <w:tcPr>
            <w:tcW w:w="1666" w:type="pct"/>
            <w:shd w:val="clear" w:color="auto" w:fill="auto"/>
            <w:noWrap/>
            <w:vAlign w:val="center"/>
            <w:hideMark/>
          </w:tcPr>
          <w:p w14:paraId="2FD3C68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shd w:val="clear" w:color="auto" w:fill="auto"/>
            <w:noWrap/>
            <w:vAlign w:val="center"/>
            <w:hideMark/>
          </w:tcPr>
          <w:p w14:paraId="6A73EAF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tcPr>
          <w:p w14:paraId="7C0A730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12A61F87" w14:textId="77777777" w:rsidTr="009B5520">
        <w:trPr>
          <w:trHeight w:val="292"/>
        </w:trPr>
        <w:tc>
          <w:tcPr>
            <w:tcW w:w="1666" w:type="pct"/>
            <w:shd w:val="clear" w:color="auto" w:fill="auto"/>
            <w:noWrap/>
            <w:vAlign w:val="center"/>
            <w:hideMark/>
          </w:tcPr>
          <w:p w14:paraId="68DFE97B"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Absorption Model</w:t>
            </w:r>
          </w:p>
        </w:tc>
        <w:tc>
          <w:tcPr>
            <w:tcW w:w="1667" w:type="pct"/>
            <w:shd w:val="clear" w:color="auto" w:fill="auto"/>
            <w:noWrap/>
            <w:vAlign w:val="center"/>
            <w:hideMark/>
          </w:tcPr>
          <w:p w14:paraId="710CF83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w:t>
            </w:r>
            <w:r w:rsidRPr="003724A4">
              <w:rPr>
                <w:rFonts w:ascii="Arial" w:eastAsia="Times New Roman" w:hAnsi="Arial" w:cs="Arial"/>
                <w:color w:val="000000"/>
                <w:sz w:val="20"/>
                <w:szCs w:val="20"/>
                <w:vertAlign w:val="superscript"/>
              </w:rPr>
              <w:t>st</w:t>
            </w:r>
            <w:r w:rsidRPr="003724A4">
              <w:rPr>
                <w:rFonts w:ascii="Arial" w:eastAsia="Times New Roman" w:hAnsi="Arial" w:cs="Arial"/>
                <w:color w:val="000000"/>
                <w:sz w:val="20"/>
                <w:szCs w:val="20"/>
              </w:rPr>
              <w:t xml:space="preserve"> order absorption</w:t>
            </w:r>
          </w:p>
        </w:tc>
        <w:tc>
          <w:tcPr>
            <w:tcW w:w="1667" w:type="pct"/>
          </w:tcPr>
          <w:p w14:paraId="199C0CDC"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CE947CA" w14:textId="77777777" w:rsidTr="009B5520">
        <w:trPr>
          <w:trHeight w:val="292"/>
        </w:trPr>
        <w:tc>
          <w:tcPr>
            <w:tcW w:w="1666" w:type="pct"/>
            <w:shd w:val="clear" w:color="auto" w:fill="auto"/>
            <w:noWrap/>
            <w:vAlign w:val="center"/>
            <w:hideMark/>
          </w:tcPr>
          <w:p w14:paraId="0A143C1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Input type</w:t>
            </w:r>
          </w:p>
        </w:tc>
        <w:tc>
          <w:tcPr>
            <w:tcW w:w="1667" w:type="pct"/>
            <w:shd w:val="clear" w:color="auto" w:fill="auto"/>
            <w:noWrap/>
            <w:vAlign w:val="center"/>
            <w:hideMark/>
          </w:tcPr>
          <w:p w14:paraId="4551DAC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User</w:t>
            </w:r>
          </w:p>
        </w:tc>
        <w:tc>
          <w:tcPr>
            <w:tcW w:w="1667" w:type="pct"/>
          </w:tcPr>
          <w:p w14:paraId="7041F1E1"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34ED6AD" w14:textId="77777777" w:rsidTr="009B5520">
        <w:trPr>
          <w:trHeight w:val="292"/>
        </w:trPr>
        <w:tc>
          <w:tcPr>
            <w:tcW w:w="1666" w:type="pct"/>
            <w:shd w:val="clear" w:color="auto" w:fill="auto"/>
            <w:noWrap/>
            <w:vAlign w:val="center"/>
            <w:hideMark/>
          </w:tcPr>
          <w:p w14:paraId="0C73DE6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fa</w:t>
            </w:r>
          </w:p>
        </w:tc>
        <w:tc>
          <w:tcPr>
            <w:tcW w:w="1667" w:type="pct"/>
            <w:shd w:val="clear" w:color="auto" w:fill="auto"/>
            <w:noWrap/>
            <w:vAlign w:val="center"/>
            <w:hideMark/>
          </w:tcPr>
          <w:p w14:paraId="542732D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0.3</w:t>
            </w:r>
          </w:p>
        </w:tc>
        <w:tc>
          <w:tcPr>
            <w:tcW w:w="1667" w:type="pct"/>
            <w:vMerge w:val="restart"/>
          </w:tcPr>
          <w:p w14:paraId="7ED52DE6" w14:textId="5038CE43"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1525E1A4" w14:textId="77777777" w:rsidTr="009B5520">
        <w:trPr>
          <w:trHeight w:val="292"/>
        </w:trPr>
        <w:tc>
          <w:tcPr>
            <w:tcW w:w="1666" w:type="pct"/>
            <w:shd w:val="clear" w:color="auto" w:fill="auto"/>
            <w:noWrap/>
            <w:vAlign w:val="center"/>
            <w:hideMark/>
          </w:tcPr>
          <w:p w14:paraId="128E8A1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ka (1/h)</w:t>
            </w:r>
          </w:p>
        </w:tc>
        <w:tc>
          <w:tcPr>
            <w:tcW w:w="1667" w:type="pct"/>
            <w:shd w:val="clear" w:color="auto" w:fill="auto"/>
            <w:noWrap/>
            <w:vAlign w:val="center"/>
            <w:hideMark/>
          </w:tcPr>
          <w:p w14:paraId="01541C4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0.3</w:t>
            </w:r>
          </w:p>
        </w:tc>
        <w:tc>
          <w:tcPr>
            <w:tcW w:w="1667" w:type="pct"/>
            <w:vMerge/>
          </w:tcPr>
          <w:p w14:paraId="12CE7331"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93CA9A6" w14:textId="77777777" w:rsidTr="009B5520">
        <w:trPr>
          <w:trHeight w:val="292"/>
        </w:trPr>
        <w:tc>
          <w:tcPr>
            <w:tcW w:w="1666" w:type="pct"/>
            <w:shd w:val="clear" w:color="auto" w:fill="auto"/>
            <w:noWrap/>
            <w:vAlign w:val="center"/>
            <w:hideMark/>
          </w:tcPr>
          <w:p w14:paraId="694E1074" w14:textId="77777777" w:rsidR="003724A4" w:rsidRPr="003724A4" w:rsidRDefault="003724A4" w:rsidP="009B5520">
            <w:pPr>
              <w:spacing w:after="0" w:line="240" w:lineRule="auto"/>
              <w:rPr>
                <w:rFonts w:ascii="Arial" w:eastAsia="Times New Roman" w:hAnsi="Arial" w:cs="Arial"/>
                <w:color w:val="000000"/>
                <w:sz w:val="20"/>
                <w:szCs w:val="20"/>
              </w:rPr>
            </w:pPr>
            <w:bookmarkStart w:id="8" w:name="_Hlk48635181"/>
            <w:proofErr w:type="spellStart"/>
            <w:r w:rsidRPr="003724A4">
              <w:rPr>
                <w:rFonts w:ascii="Arial" w:hAnsi="Arial" w:cs="Arial"/>
                <w:sz w:val="20"/>
                <w:szCs w:val="20"/>
              </w:rPr>
              <w:t>fu</w:t>
            </w:r>
            <w:r w:rsidRPr="003724A4">
              <w:rPr>
                <w:rFonts w:ascii="Arial" w:hAnsi="Arial" w:cs="Arial"/>
                <w:sz w:val="20"/>
                <w:szCs w:val="20"/>
                <w:vertAlign w:val="subscript"/>
              </w:rPr>
              <w:t>gut</w:t>
            </w:r>
            <w:proofErr w:type="spellEnd"/>
          </w:p>
        </w:tc>
        <w:tc>
          <w:tcPr>
            <w:tcW w:w="1667" w:type="pct"/>
            <w:shd w:val="clear" w:color="auto" w:fill="auto"/>
            <w:noWrap/>
            <w:vAlign w:val="center"/>
            <w:hideMark/>
          </w:tcPr>
          <w:p w14:paraId="72DA195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1.23E-05</w:t>
            </w:r>
          </w:p>
        </w:tc>
        <w:tc>
          <w:tcPr>
            <w:tcW w:w="1667" w:type="pct"/>
          </w:tcPr>
          <w:p w14:paraId="340B86B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p>
        </w:tc>
      </w:tr>
      <w:tr w:rsidR="003724A4" w:rsidRPr="003724A4" w14:paraId="0547AC9E" w14:textId="77777777" w:rsidTr="009B5520">
        <w:trPr>
          <w:trHeight w:val="292"/>
        </w:trPr>
        <w:tc>
          <w:tcPr>
            <w:tcW w:w="1666" w:type="pct"/>
            <w:shd w:val="clear" w:color="auto" w:fill="auto"/>
            <w:noWrap/>
            <w:vAlign w:val="center"/>
          </w:tcPr>
          <w:p w14:paraId="6745067D"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hAnsi="Arial" w:cs="Arial"/>
                <w:sz w:val="20"/>
                <w:szCs w:val="20"/>
              </w:rPr>
              <w:t>Q</w:t>
            </w:r>
            <w:r w:rsidRPr="003724A4">
              <w:rPr>
                <w:rFonts w:ascii="Arial" w:hAnsi="Arial" w:cs="Arial"/>
                <w:sz w:val="20"/>
                <w:szCs w:val="20"/>
                <w:vertAlign w:val="subscript"/>
              </w:rPr>
              <w:t>gut</w:t>
            </w:r>
            <w:proofErr w:type="spellEnd"/>
            <w:r w:rsidRPr="003724A4">
              <w:rPr>
                <w:rFonts w:ascii="Arial" w:eastAsia="Times New Roman" w:hAnsi="Arial" w:cs="Arial"/>
                <w:color w:val="000000"/>
                <w:sz w:val="20"/>
                <w:szCs w:val="20"/>
              </w:rPr>
              <w:t xml:space="preserve"> (L/h)</w:t>
            </w:r>
          </w:p>
        </w:tc>
        <w:tc>
          <w:tcPr>
            <w:tcW w:w="1667" w:type="pct"/>
            <w:shd w:val="clear" w:color="auto" w:fill="auto"/>
            <w:noWrap/>
            <w:vAlign w:val="center"/>
          </w:tcPr>
          <w:p w14:paraId="5E16EAA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8.69</w:t>
            </w:r>
          </w:p>
        </w:tc>
        <w:tc>
          <w:tcPr>
            <w:tcW w:w="1667" w:type="pct"/>
          </w:tcPr>
          <w:p w14:paraId="30353BE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p>
        </w:tc>
      </w:tr>
      <w:bookmarkEnd w:id="8"/>
      <w:tr w:rsidR="003724A4" w:rsidRPr="003724A4" w14:paraId="2F92EABE" w14:textId="77777777" w:rsidTr="009B5520">
        <w:trPr>
          <w:trHeight w:val="292"/>
        </w:trPr>
        <w:tc>
          <w:tcPr>
            <w:tcW w:w="1666" w:type="pct"/>
            <w:shd w:val="clear" w:color="auto" w:fill="auto"/>
            <w:noWrap/>
            <w:vAlign w:val="center"/>
          </w:tcPr>
          <w:p w14:paraId="29B5D682"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proofErr w:type="gramStart"/>
            <w:r w:rsidRPr="003724A4">
              <w:rPr>
                <w:rFonts w:ascii="Arial" w:eastAsia="Times New Roman" w:hAnsi="Arial" w:cs="Arial"/>
                <w:color w:val="000000"/>
                <w:sz w:val="20"/>
                <w:szCs w:val="20"/>
              </w:rPr>
              <w:t>P</w:t>
            </w:r>
            <w:r w:rsidRPr="003724A4">
              <w:rPr>
                <w:rFonts w:ascii="Arial" w:eastAsia="Times New Roman" w:hAnsi="Arial" w:cs="Arial"/>
                <w:color w:val="000000"/>
                <w:sz w:val="20"/>
                <w:szCs w:val="20"/>
                <w:vertAlign w:val="subscript"/>
              </w:rPr>
              <w:t>eff,man</w:t>
            </w:r>
            <w:proofErr w:type="spellEnd"/>
            <w:proofErr w:type="gramEnd"/>
            <w:r w:rsidRPr="003724A4">
              <w:rPr>
                <w:rFonts w:ascii="Arial" w:eastAsia="Times New Roman" w:hAnsi="Arial" w:cs="Arial"/>
                <w:color w:val="000000"/>
                <w:sz w:val="20"/>
                <w:szCs w:val="20"/>
              </w:rPr>
              <w:t xml:space="preserve"> (10</w:t>
            </w:r>
            <w:r w:rsidRPr="003724A4">
              <w:rPr>
                <w:rFonts w:ascii="Arial" w:eastAsia="Times New Roman" w:hAnsi="Arial" w:cs="Arial"/>
                <w:color w:val="000000"/>
                <w:sz w:val="20"/>
                <w:szCs w:val="20"/>
                <w:vertAlign w:val="superscript"/>
              </w:rPr>
              <w:t>-4</w:t>
            </w:r>
            <w:r w:rsidRPr="003724A4">
              <w:rPr>
                <w:rFonts w:ascii="Arial" w:eastAsia="Times New Roman" w:hAnsi="Arial" w:cs="Arial"/>
                <w:color w:val="000000"/>
                <w:sz w:val="20"/>
                <w:szCs w:val="20"/>
              </w:rPr>
              <w:t xml:space="preserve"> cm/s)</w:t>
            </w:r>
          </w:p>
        </w:tc>
        <w:tc>
          <w:tcPr>
            <w:tcW w:w="1667" w:type="pct"/>
            <w:shd w:val="clear" w:color="auto" w:fill="auto"/>
            <w:noWrap/>
            <w:vAlign w:val="center"/>
          </w:tcPr>
          <w:p w14:paraId="3FF2FA0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1.56</w:t>
            </w:r>
          </w:p>
        </w:tc>
        <w:tc>
          <w:tcPr>
            <w:tcW w:w="1667" w:type="pct"/>
            <w:vMerge w:val="restart"/>
          </w:tcPr>
          <w:p w14:paraId="676F300A" w14:textId="1A47A3C9"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48D00151" w14:textId="77777777" w:rsidTr="009B5520">
        <w:trPr>
          <w:trHeight w:val="292"/>
        </w:trPr>
        <w:tc>
          <w:tcPr>
            <w:tcW w:w="1666" w:type="pct"/>
            <w:shd w:val="clear" w:color="auto" w:fill="auto"/>
            <w:noWrap/>
            <w:vAlign w:val="center"/>
            <w:hideMark/>
          </w:tcPr>
          <w:p w14:paraId="32443F3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Permeability Assay</w:t>
            </w:r>
          </w:p>
        </w:tc>
        <w:tc>
          <w:tcPr>
            <w:tcW w:w="1667" w:type="pct"/>
            <w:shd w:val="clear" w:color="auto" w:fill="auto"/>
            <w:noWrap/>
            <w:vAlign w:val="center"/>
            <w:hideMark/>
          </w:tcPr>
          <w:p w14:paraId="7F39B95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Caco-2</w:t>
            </w:r>
          </w:p>
        </w:tc>
        <w:tc>
          <w:tcPr>
            <w:tcW w:w="1667" w:type="pct"/>
            <w:vMerge/>
          </w:tcPr>
          <w:p w14:paraId="6487CCFD"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68BFFA1" w14:textId="77777777" w:rsidTr="009B5520">
        <w:trPr>
          <w:trHeight w:val="292"/>
        </w:trPr>
        <w:tc>
          <w:tcPr>
            <w:tcW w:w="1666" w:type="pct"/>
            <w:shd w:val="clear" w:color="auto" w:fill="auto"/>
            <w:noWrap/>
            <w:vAlign w:val="center"/>
            <w:hideMark/>
          </w:tcPr>
          <w:p w14:paraId="6ECF607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xml:space="preserve">Apical </w:t>
            </w:r>
            <w:proofErr w:type="spellStart"/>
            <w:proofErr w:type="gramStart"/>
            <w:r w:rsidRPr="003724A4">
              <w:rPr>
                <w:rFonts w:ascii="Arial" w:eastAsia="Times New Roman" w:hAnsi="Arial" w:cs="Arial"/>
                <w:color w:val="000000"/>
                <w:sz w:val="20"/>
                <w:szCs w:val="20"/>
              </w:rPr>
              <w:t>pH:Basolateral</w:t>
            </w:r>
            <w:proofErr w:type="spellEnd"/>
            <w:proofErr w:type="gramEnd"/>
            <w:r w:rsidRPr="003724A4">
              <w:rPr>
                <w:rFonts w:ascii="Arial" w:eastAsia="Times New Roman" w:hAnsi="Arial" w:cs="Arial"/>
                <w:color w:val="000000"/>
                <w:sz w:val="20"/>
                <w:szCs w:val="20"/>
              </w:rPr>
              <w:t xml:space="preserve"> pH</w:t>
            </w:r>
          </w:p>
        </w:tc>
        <w:tc>
          <w:tcPr>
            <w:tcW w:w="1667" w:type="pct"/>
            <w:shd w:val="clear" w:color="auto" w:fill="auto"/>
            <w:noWrap/>
            <w:vAlign w:val="center"/>
            <w:hideMark/>
          </w:tcPr>
          <w:p w14:paraId="24B549A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7.4:7.4</w:t>
            </w:r>
          </w:p>
        </w:tc>
        <w:tc>
          <w:tcPr>
            <w:tcW w:w="1667" w:type="pct"/>
            <w:vMerge/>
          </w:tcPr>
          <w:p w14:paraId="59D6F54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1248E483" w14:textId="77777777" w:rsidTr="009B5520">
        <w:trPr>
          <w:trHeight w:val="292"/>
        </w:trPr>
        <w:tc>
          <w:tcPr>
            <w:tcW w:w="1666" w:type="pct"/>
            <w:shd w:val="clear" w:color="auto" w:fill="auto"/>
            <w:noWrap/>
            <w:vAlign w:val="center"/>
            <w:hideMark/>
          </w:tcPr>
          <w:p w14:paraId="63DA99B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Activity</w:t>
            </w:r>
          </w:p>
        </w:tc>
        <w:tc>
          <w:tcPr>
            <w:tcW w:w="1667" w:type="pct"/>
            <w:shd w:val="clear" w:color="auto" w:fill="auto"/>
            <w:noWrap/>
            <w:vAlign w:val="center"/>
            <w:hideMark/>
          </w:tcPr>
          <w:p w14:paraId="5448776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Passive</w:t>
            </w:r>
          </w:p>
        </w:tc>
        <w:tc>
          <w:tcPr>
            <w:tcW w:w="1667" w:type="pct"/>
            <w:vMerge/>
          </w:tcPr>
          <w:p w14:paraId="7B193D1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C7B94FE" w14:textId="77777777" w:rsidTr="009B5520">
        <w:trPr>
          <w:trHeight w:val="292"/>
        </w:trPr>
        <w:tc>
          <w:tcPr>
            <w:tcW w:w="1666" w:type="pct"/>
            <w:shd w:val="clear" w:color="auto" w:fill="auto"/>
            <w:noWrap/>
            <w:vAlign w:val="center"/>
            <w:hideMark/>
          </w:tcPr>
          <w:p w14:paraId="11732A9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PCaco-2(10</w:t>
            </w:r>
            <w:r w:rsidRPr="003724A4">
              <w:rPr>
                <w:rFonts w:ascii="Arial" w:eastAsia="Times New Roman" w:hAnsi="Arial" w:cs="Arial"/>
                <w:color w:val="000000"/>
                <w:sz w:val="20"/>
                <w:szCs w:val="20"/>
                <w:vertAlign w:val="superscript"/>
              </w:rPr>
              <w:t>-6</w:t>
            </w:r>
            <w:r w:rsidRPr="003724A4">
              <w:rPr>
                <w:rFonts w:ascii="Arial" w:eastAsia="Times New Roman" w:hAnsi="Arial" w:cs="Arial"/>
                <w:color w:val="000000"/>
                <w:sz w:val="20"/>
                <w:szCs w:val="20"/>
              </w:rPr>
              <w:t xml:space="preserve"> cm/s)</w:t>
            </w:r>
          </w:p>
        </w:tc>
        <w:tc>
          <w:tcPr>
            <w:tcW w:w="1667" w:type="pct"/>
            <w:shd w:val="clear" w:color="auto" w:fill="auto"/>
            <w:noWrap/>
            <w:vAlign w:val="center"/>
            <w:hideMark/>
          </w:tcPr>
          <w:p w14:paraId="0A34C04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5.33</w:t>
            </w:r>
          </w:p>
        </w:tc>
        <w:tc>
          <w:tcPr>
            <w:tcW w:w="1667" w:type="pct"/>
            <w:vMerge/>
          </w:tcPr>
          <w:p w14:paraId="24C09E09"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0CE0D13" w14:textId="77777777" w:rsidTr="009B5520">
        <w:trPr>
          <w:trHeight w:val="292"/>
        </w:trPr>
        <w:tc>
          <w:tcPr>
            <w:tcW w:w="1666" w:type="pct"/>
            <w:shd w:val="clear" w:color="auto" w:fill="auto"/>
            <w:noWrap/>
            <w:vAlign w:val="center"/>
            <w:hideMark/>
          </w:tcPr>
          <w:p w14:paraId="7C0F7FF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Reference Compound</w:t>
            </w:r>
          </w:p>
        </w:tc>
        <w:tc>
          <w:tcPr>
            <w:tcW w:w="1667" w:type="pct"/>
            <w:shd w:val="clear" w:color="auto" w:fill="auto"/>
            <w:noWrap/>
            <w:vAlign w:val="center"/>
            <w:hideMark/>
          </w:tcPr>
          <w:p w14:paraId="79ACAFD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Propranolol</w:t>
            </w:r>
          </w:p>
        </w:tc>
        <w:tc>
          <w:tcPr>
            <w:tcW w:w="1667" w:type="pct"/>
            <w:vMerge/>
          </w:tcPr>
          <w:p w14:paraId="70E3DE2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CBC676D" w14:textId="77777777" w:rsidTr="009B5520">
        <w:trPr>
          <w:trHeight w:val="292"/>
        </w:trPr>
        <w:tc>
          <w:tcPr>
            <w:tcW w:w="1666" w:type="pct"/>
            <w:shd w:val="clear" w:color="auto" w:fill="auto"/>
            <w:noWrap/>
            <w:vAlign w:val="center"/>
            <w:hideMark/>
          </w:tcPr>
          <w:p w14:paraId="2BD897C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Reference Compound Value (10</w:t>
            </w:r>
            <w:r w:rsidRPr="003724A4">
              <w:rPr>
                <w:rFonts w:ascii="Arial" w:eastAsia="Times New Roman" w:hAnsi="Arial" w:cs="Arial"/>
                <w:color w:val="000000"/>
                <w:sz w:val="20"/>
                <w:szCs w:val="20"/>
                <w:vertAlign w:val="superscript"/>
              </w:rPr>
              <w:t>-6</w:t>
            </w:r>
            <w:r w:rsidRPr="003724A4">
              <w:rPr>
                <w:rFonts w:ascii="Arial" w:eastAsia="Times New Roman" w:hAnsi="Arial" w:cs="Arial"/>
                <w:color w:val="000000"/>
                <w:sz w:val="20"/>
                <w:szCs w:val="20"/>
              </w:rPr>
              <w:t xml:space="preserve"> cm/s)</w:t>
            </w:r>
          </w:p>
        </w:tc>
        <w:tc>
          <w:tcPr>
            <w:tcW w:w="1667" w:type="pct"/>
            <w:shd w:val="clear" w:color="auto" w:fill="auto"/>
            <w:noWrap/>
            <w:vAlign w:val="center"/>
            <w:hideMark/>
          </w:tcPr>
          <w:p w14:paraId="2F445DB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16.5</w:t>
            </w:r>
          </w:p>
        </w:tc>
        <w:tc>
          <w:tcPr>
            <w:tcW w:w="1667" w:type="pct"/>
            <w:vMerge/>
          </w:tcPr>
          <w:p w14:paraId="6CCC82A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D994F06" w14:textId="77777777" w:rsidTr="009B5520">
        <w:trPr>
          <w:trHeight w:val="292"/>
        </w:trPr>
        <w:tc>
          <w:tcPr>
            <w:tcW w:w="1666" w:type="pct"/>
            <w:shd w:val="clear" w:color="auto" w:fill="auto"/>
            <w:noWrap/>
            <w:vAlign w:val="center"/>
            <w:hideMark/>
          </w:tcPr>
          <w:p w14:paraId="62D8B40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Scalar</w:t>
            </w:r>
          </w:p>
        </w:tc>
        <w:tc>
          <w:tcPr>
            <w:tcW w:w="1667" w:type="pct"/>
            <w:shd w:val="clear" w:color="auto" w:fill="auto"/>
            <w:noWrap/>
            <w:vAlign w:val="center"/>
            <w:hideMark/>
          </w:tcPr>
          <w:p w14:paraId="2E80A03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2.606</w:t>
            </w:r>
          </w:p>
        </w:tc>
        <w:tc>
          <w:tcPr>
            <w:tcW w:w="1667" w:type="pct"/>
            <w:vMerge/>
          </w:tcPr>
          <w:p w14:paraId="178ED54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7632C73" w14:textId="77777777" w:rsidTr="009B5520">
        <w:trPr>
          <w:trHeight w:val="292"/>
        </w:trPr>
        <w:tc>
          <w:tcPr>
            <w:tcW w:w="1666" w:type="pct"/>
            <w:shd w:val="clear" w:color="auto" w:fill="auto"/>
            <w:noWrap/>
            <w:vAlign w:val="center"/>
            <w:hideMark/>
          </w:tcPr>
          <w:p w14:paraId="5D797C8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shd w:val="clear" w:color="auto" w:fill="auto"/>
            <w:noWrap/>
            <w:vAlign w:val="center"/>
            <w:hideMark/>
          </w:tcPr>
          <w:p w14:paraId="18AB681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tcPr>
          <w:p w14:paraId="02C414E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A1CED8F" w14:textId="77777777" w:rsidTr="009B5520">
        <w:trPr>
          <w:trHeight w:val="292"/>
        </w:trPr>
        <w:tc>
          <w:tcPr>
            <w:tcW w:w="1666" w:type="pct"/>
            <w:shd w:val="clear" w:color="auto" w:fill="auto"/>
            <w:noWrap/>
            <w:vAlign w:val="center"/>
            <w:hideMark/>
          </w:tcPr>
          <w:p w14:paraId="72AD10A4"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Distribution Model</w:t>
            </w:r>
          </w:p>
        </w:tc>
        <w:tc>
          <w:tcPr>
            <w:tcW w:w="1667" w:type="pct"/>
            <w:shd w:val="clear" w:color="auto" w:fill="auto"/>
            <w:noWrap/>
            <w:vAlign w:val="center"/>
            <w:hideMark/>
          </w:tcPr>
          <w:p w14:paraId="746464C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Minimal PBPK Model</w:t>
            </w:r>
          </w:p>
        </w:tc>
        <w:tc>
          <w:tcPr>
            <w:tcW w:w="1667" w:type="pct"/>
          </w:tcPr>
          <w:p w14:paraId="4A7A1FA6"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1849E028" w14:textId="77777777" w:rsidTr="009B5520">
        <w:trPr>
          <w:trHeight w:val="292"/>
        </w:trPr>
        <w:tc>
          <w:tcPr>
            <w:tcW w:w="1666" w:type="pct"/>
            <w:shd w:val="clear" w:color="auto" w:fill="auto"/>
            <w:noWrap/>
            <w:vAlign w:val="center"/>
          </w:tcPr>
          <w:p w14:paraId="52D2610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Q (L/h)</w:t>
            </w:r>
          </w:p>
        </w:tc>
        <w:tc>
          <w:tcPr>
            <w:tcW w:w="1667" w:type="pct"/>
            <w:shd w:val="clear" w:color="auto" w:fill="auto"/>
            <w:noWrap/>
            <w:vAlign w:val="center"/>
          </w:tcPr>
          <w:p w14:paraId="6BE096A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52.5</w:t>
            </w:r>
          </w:p>
        </w:tc>
        <w:tc>
          <w:tcPr>
            <w:tcW w:w="1667" w:type="pct"/>
            <w:vMerge w:val="restart"/>
          </w:tcPr>
          <w:p w14:paraId="2200EB26" w14:textId="44129739"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313F7ABF" w14:textId="77777777" w:rsidTr="009B5520">
        <w:trPr>
          <w:trHeight w:val="292"/>
        </w:trPr>
        <w:tc>
          <w:tcPr>
            <w:tcW w:w="1666" w:type="pct"/>
            <w:shd w:val="clear" w:color="auto" w:fill="auto"/>
            <w:noWrap/>
            <w:vAlign w:val="center"/>
          </w:tcPr>
          <w:p w14:paraId="65291FB8"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V</w:t>
            </w:r>
            <w:r w:rsidRPr="003724A4">
              <w:rPr>
                <w:rFonts w:ascii="Arial" w:eastAsia="Times New Roman" w:hAnsi="Arial" w:cs="Arial"/>
                <w:color w:val="000000"/>
                <w:sz w:val="20"/>
                <w:szCs w:val="20"/>
                <w:vertAlign w:val="subscript"/>
              </w:rPr>
              <w:t>sac</w:t>
            </w:r>
            <w:proofErr w:type="spellEnd"/>
            <w:r w:rsidRPr="003724A4">
              <w:rPr>
                <w:rFonts w:ascii="Arial" w:eastAsia="Times New Roman" w:hAnsi="Arial" w:cs="Arial"/>
                <w:color w:val="000000"/>
                <w:sz w:val="20"/>
                <w:szCs w:val="20"/>
              </w:rPr>
              <w:t xml:space="preserve"> (L/kg)</w:t>
            </w:r>
          </w:p>
        </w:tc>
        <w:tc>
          <w:tcPr>
            <w:tcW w:w="1667" w:type="pct"/>
            <w:shd w:val="clear" w:color="auto" w:fill="auto"/>
            <w:noWrap/>
            <w:vAlign w:val="center"/>
          </w:tcPr>
          <w:p w14:paraId="75B2B0B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1.46</w:t>
            </w:r>
          </w:p>
        </w:tc>
        <w:tc>
          <w:tcPr>
            <w:tcW w:w="1667" w:type="pct"/>
            <w:vMerge/>
          </w:tcPr>
          <w:p w14:paraId="6332DC6F"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E14C25E" w14:textId="77777777" w:rsidTr="009B5520">
        <w:trPr>
          <w:trHeight w:val="292"/>
        </w:trPr>
        <w:tc>
          <w:tcPr>
            <w:tcW w:w="1666" w:type="pct"/>
            <w:shd w:val="clear" w:color="auto" w:fill="auto"/>
            <w:noWrap/>
            <w:vAlign w:val="center"/>
          </w:tcPr>
          <w:p w14:paraId="6B54C4DB"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V</w:t>
            </w:r>
            <w:r w:rsidRPr="003724A4">
              <w:rPr>
                <w:rFonts w:ascii="Arial" w:eastAsia="Times New Roman" w:hAnsi="Arial" w:cs="Arial"/>
                <w:color w:val="000000"/>
                <w:sz w:val="20"/>
                <w:szCs w:val="20"/>
                <w:vertAlign w:val="subscript"/>
              </w:rPr>
              <w:t>ss</w:t>
            </w:r>
            <w:proofErr w:type="spellEnd"/>
            <w:r w:rsidRPr="003724A4">
              <w:rPr>
                <w:rFonts w:ascii="Arial" w:eastAsia="Times New Roman" w:hAnsi="Arial" w:cs="Arial"/>
                <w:color w:val="000000"/>
                <w:sz w:val="20"/>
                <w:szCs w:val="20"/>
              </w:rPr>
              <w:t xml:space="preserve"> (L/kg)</w:t>
            </w:r>
          </w:p>
        </w:tc>
        <w:tc>
          <w:tcPr>
            <w:tcW w:w="1667" w:type="pct"/>
            <w:shd w:val="clear" w:color="auto" w:fill="auto"/>
            <w:noWrap/>
            <w:vAlign w:val="center"/>
          </w:tcPr>
          <w:p w14:paraId="2E10ECB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1.67</w:t>
            </w:r>
          </w:p>
        </w:tc>
        <w:tc>
          <w:tcPr>
            <w:tcW w:w="1667" w:type="pct"/>
          </w:tcPr>
          <w:p w14:paraId="5A56C6C8" w14:textId="157D63CC"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w:t>
            </w:r>
            <w:proofErr w:type="spellStart"/>
            <w:r w:rsidRPr="003724A4">
              <w:rPr>
                <w:rFonts w:ascii="Arial" w:eastAsia="Times New Roman" w:hAnsi="Arial" w:cs="Arial"/>
                <w:color w:val="000000"/>
                <w:sz w:val="20"/>
                <w:szCs w:val="20"/>
              </w:rPr>
              <w:t>Heimbach</w:t>
            </w:r>
            <w:proofErr w:type="spellEnd"/>
            <w:r w:rsidRPr="003724A4">
              <w:rPr>
                <w:rFonts w:ascii="Arial" w:eastAsia="Times New Roman" w:hAnsi="Arial" w:cs="Arial"/>
                <w:color w:val="000000"/>
                <w:sz w:val="20"/>
                <w:szCs w:val="20"/>
              </w:rPr>
              <w:t xml:space="preserve"> et al., 2019)</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{"citationItems":[{"id":"ITEM-1","itemData":{"DOI":"10.1016/j.xphs.2019.01.028","ISSN":"15206017","abstract":"In adult patients, nilotinib is indicated for chronic myeloid leukemia at an approved oral dose of 300 or 400 mg BID. Physiologically based pharmacokinetic (PBPK)model was developed to describe and supplement limited PK data in the pediatric population ranging from 2 to less than 6 years of age and ultimately inform dosing regimen. An adult Simcyp PBPK model was established and verified with clinical pharmacokinetic data after a single or multiple oral doses of 400 mg nilotinib (230 mg/m2). The model was then applied to a pediatric PBPK model, taking account of ontogeny profiles of metabolizing enzymes and pediatric physiological parameters. The model was further verified using observed pediatric PK data in 12- to &lt;18-year-old and from 6- to &lt;12-year-old patients. The PBPK models were able to recover, describe, and supplement the limited nilotinib concentration-time data profile in 2- to &lt;6-year-old patients after a single dose and Cmin,ss after BID dosing. The exposure (Cmax,ss, Cmin,ss, and AUCtau,ss)was predicted to be similar across age groups. PBPK model simulations confirmed that body surface area–normalized dosing regimen of 230 mg/m2 is considered appropriate for pediatric patients &gt;2 to &lt;18 years of age.","author":[{"dropping-particle":"","family":"Heimbach","given":"Tycho","non-dropping-particle":"","parse-names":false,"suffix":""},{"dropping-particle":"","family":"Lin","given":"Wen","non-dropping-particle":"","parse-names":false,"suffix":""},{"dropping-particle":"","family":"Hourcade-Potelleret","given":"Florence","non-dropping-particle":"","parse-names":false,"suffix":""},{"dropping-particle":"","family":"Tian","given":"Xianbin","non-dropping-particle":"","parse-names":false,"suffix":""},{"dropping-particle":"","family":"Combes","given":"Francois Pierre","non-dropping-particle":"","parse-names":false,"suffix":""},{"dropping-particle":"","family":"Horvath","given":"Nicholas","non-dropping-particle":"","parse-names":false,"suffix":""},{"dropping-particle":"","family":"He","given":"Handan","non-dropping-particle":"","parse-names":false,"suffix":""}],"container-title":"Journal of Pharmaceutical Sciences","id":"ITEM-1","issue":"6","issued":{"date-parts":[["2019"]]},"page":"2191-2198","publisher":"Elsevier Ltd","title":"Physiologically Based Pharmacokinetic Modeling to Supplement Nilotinib Pharmacokinetics and Confirm Dose Selection in Pediatric Patients","type":"article-journal","volume":"108"},"uris":["http://www.mendeley.com/documents/?uuid=7164ac74-99f7-43f3-a99e-bc63e595f3a2","http://www.mendeley.com/documents/?uuid=c5d3e071-e737-4285-8da6-738e5479b129"]}],"mendeley":{"formattedCitation":"&lt;sup&gt;8&lt;/sup&gt;","plainTextFormattedCitation":"8","previouslyFormattedCitation":"&lt;sup&gt;8&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8</w:t>
            </w:r>
            <w:r w:rsidRPr="003724A4">
              <w:rPr>
                <w:rFonts w:ascii="Arial" w:eastAsia="Times New Roman" w:hAnsi="Arial" w:cs="Arial"/>
                <w:color w:val="000000"/>
                <w:sz w:val="20"/>
                <w:szCs w:val="20"/>
              </w:rPr>
              <w:fldChar w:fldCharType="end"/>
            </w:r>
          </w:p>
        </w:tc>
      </w:tr>
      <w:tr w:rsidR="003724A4" w:rsidRPr="003724A4" w14:paraId="15CD979C" w14:textId="77777777" w:rsidTr="009B5520">
        <w:trPr>
          <w:trHeight w:val="292"/>
        </w:trPr>
        <w:tc>
          <w:tcPr>
            <w:tcW w:w="1666" w:type="pct"/>
            <w:shd w:val="clear" w:color="auto" w:fill="auto"/>
            <w:noWrap/>
            <w:vAlign w:val="center"/>
            <w:hideMark/>
          </w:tcPr>
          <w:p w14:paraId="0D71769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Prediction Method</w:t>
            </w:r>
          </w:p>
        </w:tc>
        <w:tc>
          <w:tcPr>
            <w:tcW w:w="1667" w:type="pct"/>
            <w:shd w:val="clear" w:color="auto" w:fill="auto"/>
            <w:noWrap/>
            <w:vAlign w:val="center"/>
            <w:hideMark/>
          </w:tcPr>
          <w:p w14:paraId="54DECAD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Method 2</w:t>
            </w:r>
          </w:p>
        </w:tc>
        <w:tc>
          <w:tcPr>
            <w:tcW w:w="1667" w:type="pct"/>
          </w:tcPr>
          <w:p w14:paraId="02190B27"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782D69AC" w14:textId="77777777" w:rsidTr="009B5520">
        <w:trPr>
          <w:trHeight w:val="292"/>
        </w:trPr>
        <w:tc>
          <w:tcPr>
            <w:tcW w:w="1666" w:type="pct"/>
            <w:shd w:val="clear" w:color="auto" w:fill="auto"/>
            <w:noWrap/>
            <w:vAlign w:val="center"/>
          </w:tcPr>
          <w:p w14:paraId="0B3DF73F"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shd w:val="clear" w:color="auto" w:fill="auto"/>
            <w:noWrap/>
            <w:vAlign w:val="center"/>
          </w:tcPr>
          <w:p w14:paraId="6342DF83"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Pr>
          <w:p w14:paraId="17858433"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CDDC7F5" w14:textId="77777777" w:rsidTr="009B5520">
        <w:trPr>
          <w:trHeight w:val="292"/>
        </w:trPr>
        <w:tc>
          <w:tcPr>
            <w:tcW w:w="1666" w:type="pct"/>
            <w:shd w:val="clear" w:color="auto" w:fill="auto"/>
            <w:noWrap/>
            <w:vAlign w:val="center"/>
          </w:tcPr>
          <w:p w14:paraId="013BE0D4"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Elimination</w:t>
            </w:r>
          </w:p>
        </w:tc>
        <w:tc>
          <w:tcPr>
            <w:tcW w:w="1667" w:type="pct"/>
            <w:shd w:val="clear" w:color="auto" w:fill="auto"/>
            <w:noWrap/>
            <w:vAlign w:val="center"/>
          </w:tcPr>
          <w:p w14:paraId="712CC38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 </w:t>
            </w:r>
          </w:p>
        </w:tc>
        <w:tc>
          <w:tcPr>
            <w:tcW w:w="1667" w:type="pct"/>
          </w:tcPr>
          <w:p w14:paraId="5D554FA8"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D02D7D0" w14:textId="77777777" w:rsidTr="009B5520">
        <w:trPr>
          <w:trHeight w:val="292"/>
        </w:trPr>
        <w:tc>
          <w:tcPr>
            <w:tcW w:w="1666" w:type="pct"/>
            <w:shd w:val="clear" w:color="auto" w:fill="auto"/>
            <w:noWrap/>
            <w:vAlign w:val="center"/>
          </w:tcPr>
          <w:p w14:paraId="534CD95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CL/F (L/h)</w:t>
            </w:r>
          </w:p>
          <w:p w14:paraId="463BE369"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gramStart"/>
            <w:r w:rsidRPr="003724A4">
              <w:rPr>
                <w:rFonts w:ascii="Arial" w:eastAsia="Times New Roman" w:hAnsi="Arial" w:cs="Arial"/>
                <w:color w:val="000000"/>
                <w:sz w:val="20"/>
                <w:szCs w:val="20"/>
              </w:rPr>
              <w:t>f</w:t>
            </w:r>
            <w:r w:rsidRPr="003724A4">
              <w:rPr>
                <w:rFonts w:ascii="Arial" w:eastAsia="Times New Roman" w:hAnsi="Arial" w:cs="Arial"/>
                <w:color w:val="000000"/>
                <w:sz w:val="20"/>
                <w:szCs w:val="20"/>
                <w:vertAlign w:val="subscript"/>
              </w:rPr>
              <w:t>m,CYP</w:t>
            </w:r>
            <w:proofErr w:type="gramEnd"/>
            <w:r w:rsidRPr="003724A4">
              <w:rPr>
                <w:rFonts w:ascii="Arial" w:eastAsia="Times New Roman" w:hAnsi="Arial" w:cs="Arial"/>
                <w:color w:val="000000"/>
                <w:sz w:val="20"/>
                <w:szCs w:val="20"/>
                <w:vertAlign w:val="subscript"/>
              </w:rPr>
              <w:t>1A2</w:t>
            </w:r>
          </w:p>
          <w:p w14:paraId="028FFB14"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gramStart"/>
            <w:r w:rsidRPr="003724A4">
              <w:rPr>
                <w:rFonts w:ascii="Arial" w:eastAsia="Times New Roman" w:hAnsi="Arial" w:cs="Arial"/>
                <w:color w:val="000000"/>
                <w:sz w:val="20"/>
                <w:szCs w:val="20"/>
              </w:rPr>
              <w:t>f</w:t>
            </w:r>
            <w:r w:rsidRPr="003724A4">
              <w:rPr>
                <w:rFonts w:ascii="Arial" w:eastAsia="Times New Roman" w:hAnsi="Arial" w:cs="Arial"/>
                <w:color w:val="000000"/>
                <w:sz w:val="20"/>
                <w:szCs w:val="20"/>
                <w:vertAlign w:val="subscript"/>
              </w:rPr>
              <w:t>m,CYP</w:t>
            </w:r>
            <w:proofErr w:type="gramEnd"/>
            <w:r w:rsidRPr="003724A4">
              <w:rPr>
                <w:rFonts w:ascii="Arial" w:eastAsia="Times New Roman" w:hAnsi="Arial" w:cs="Arial"/>
                <w:color w:val="000000"/>
                <w:sz w:val="20"/>
                <w:szCs w:val="20"/>
                <w:vertAlign w:val="subscript"/>
              </w:rPr>
              <w:t>2C8</w:t>
            </w:r>
          </w:p>
          <w:p w14:paraId="689FF020" w14:textId="77777777" w:rsidR="003724A4" w:rsidRPr="003724A4" w:rsidRDefault="003724A4" w:rsidP="009B5520">
            <w:pPr>
              <w:spacing w:after="0" w:line="240" w:lineRule="auto"/>
              <w:rPr>
                <w:rFonts w:ascii="Arial" w:eastAsia="Times New Roman" w:hAnsi="Arial" w:cs="Arial"/>
                <w:color w:val="000000"/>
                <w:sz w:val="20"/>
                <w:szCs w:val="20"/>
              </w:rPr>
            </w:pPr>
            <w:proofErr w:type="gramStart"/>
            <w:r w:rsidRPr="003724A4">
              <w:rPr>
                <w:rFonts w:ascii="Arial" w:eastAsia="Times New Roman" w:hAnsi="Arial" w:cs="Arial"/>
                <w:color w:val="000000"/>
                <w:sz w:val="20"/>
                <w:szCs w:val="20"/>
              </w:rPr>
              <w:t>f</w:t>
            </w:r>
            <w:r w:rsidRPr="003724A4">
              <w:rPr>
                <w:rFonts w:ascii="Arial" w:eastAsia="Times New Roman" w:hAnsi="Arial" w:cs="Arial"/>
                <w:color w:val="000000"/>
                <w:sz w:val="20"/>
                <w:szCs w:val="20"/>
                <w:vertAlign w:val="subscript"/>
              </w:rPr>
              <w:t>m,CYP</w:t>
            </w:r>
            <w:proofErr w:type="gramEnd"/>
            <w:r w:rsidRPr="003724A4">
              <w:rPr>
                <w:rFonts w:ascii="Arial" w:eastAsia="Times New Roman" w:hAnsi="Arial" w:cs="Arial"/>
                <w:color w:val="000000"/>
                <w:sz w:val="20"/>
                <w:szCs w:val="20"/>
                <w:vertAlign w:val="subscript"/>
              </w:rPr>
              <w:t>3A4</w:t>
            </w:r>
          </w:p>
        </w:tc>
        <w:tc>
          <w:tcPr>
            <w:tcW w:w="1667" w:type="pct"/>
            <w:shd w:val="clear" w:color="auto" w:fill="auto"/>
            <w:noWrap/>
            <w:vAlign w:val="center"/>
          </w:tcPr>
          <w:p w14:paraId="5ACBEED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27.6</w:t>
            </w:r>
          </w:p>
          <w:p w14:paraId="5C97931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0.04</w:t>
            </w:r>
          </w:p>
          <w:p w14:paraId="3DF1B38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0.16</w:t>
            </w:r>
          </w:p>
          <w:p w14:paraId="7C81901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0.8</w:t>
            </w:r>
          </w:p>
        </w:tc>
        <w:tc>
          <w:tcPr>
            <w:tcW w:w="1667" w:type="pct"/>
          </w:tcPr>
          <w:p w14:paraId="1181D631" w14:textId="2988CA1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(Giles et al., 2013)</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{"citationItems":[{"id":"ITEM-1","itemData":{"DOI":"10.1007/s00228-012-1385-4","ISSN":"00316970","abstract":"Purpose: We evaluated the population pharmacokinetics (PK) and exposure-response relationship of nilotinib in patients with imatinib-resistant or -intolerant chronic myeloid leukemia (CML). Methods: Concentration data from 493 patients with CML in chronic phase (CML-CP), accelerated phase, or blast crisis were used to perform a population pharmacokinetic analysis using nonlinear mixed-effect modeling. Steady-state nilotinib trough concentrations (Cmin) in individual patients were estimated from the population PK model for correlation with the efficacy and safety variables. Exposure-efficacy analysis was performed in patients with CML-CP, whereas exposure-safety analysis was performed in all patients who had both nilotinib PK data and efficacy/safety measures available. Results: Baseline demographics and CML disease phase did not significantly affect nilotinib PK. Patients with a lower Cmin had significantly longer time to complete cytogenetic response (P = 0.010), longer time to major molecular response (P = 0.012), shorter time to progression (TTP; P = 0.009), and a trend toward lower response rates vs. patients with higher Cmin. A joint effect of prognostic risk score and Cmin on TTP was significant (P &lt; 0.001). Nilotinib C min was also associated with the occurrence of all-grade elevations in total bilirubin (P &lt; 0.001) and lipase (P = 0.002) levels. Conclusions: When tolerability allows, adherence to the nilotinib dose (400 mg twice daily) in order to maintain sufficient Cmin is important in maximizing the efficacy of nilotinib in patients with imatinib-resistant or -intolerant CML. © 2012 Springer-Verlag.","author":[{"dropping-particle":"","family":"Giles","given":"Francis J.","non-dropping-particle":"","parse-names":false,"suffix":""},{"dropping-particle":"","family":"Yin","given":"Ophelia Q.P.","non-dropping-particle":"","parse-names":false,"suffix":""},{"dropping-particle":"","family":"Sallas","given":"William M.","non-dropping-particle":"","parse-names":false,"suffix":""},{"dropping-particle":"","family":"Coutre","given":"Philipp D.","non-dropping-particle":"Le","parse-names":false,"suffix":""},{"dropping-particle":"","family":"Woodman","given":"Richard C.","non-dropping-particle":"","parse-names":false,"suffix":""},{"dropping-particle":"","family":"Ottmann","given":"Oliver G.","non-dropping-particle":"","parse-names":false,"suffix":""},{"dropping-particle":"","family":"Baccarani","given":"Michele","non-dropping-particle":"","parse-names":false,"suffix":""},{"dropping-particle":"","family":"Kantarjian","given":"Hagop M.","non-dropping-particle":"","parse-names":false,"suffix":""}],"container-title":"European Journal of Clinical Pharmacology","id":"ITEM-1","issue":"4","issued":{"date-parts":[["2013","4"]]},"page":"813-823","title":"Nilotinib population pharmacokinetics and exposure-response analysis in patients with imatinib-resistant or -intolerant chronic myeloid leukemia","type":"article-journal","volume":"69"},"uris":["http://www.mendeley.com/documents/?uuid=a685a7b0-e65d-39b0-b8f4-1e1e760a0081","http://www.mendeley.com/documents/?uuid=b1000159-5764-4fd4-a4e7-4f247c7b108c"]}],"mendeley":{"formattedCitation":"&lt;sup&gt;10&lt;/sup&gt;","plainTextFormattedCitation":"10","previouslyFormattedCitation":"&lt;sup&gt;10&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10</w:t>
            </w:r>
            <w:r w:rsidRPr="003724A4">
              <w:rPr>
                <w:rFonts w:ascii="Arial" w:eastAsia="Times New Roman" w:hAnsi="Arial" w:cs="Arial"/>
                <w:color w:val="000000"/>
                <w:sz w:val="20"/>
                <w:szCs w:val="20"/>
              </w:rPr>
              <w:fldChar w:fldCharType="end"/>
            </w:r>
          </w:p>
        </w:tc>
      </w:tr>
      <w:tr w:rsidR="003724A4" w:rsidRPr="003724A4" w14:paraId="08D96867" w14:textId="77777777" w:rsidTr="009B5520">
        <w:trPr>
          <w:trHeight w:val="292"/>
        </w:trPr>
        <w:tc>
          <w:tcPr>
            <w:tcW w:w="1666" w:type="pct"/>
            <w:shd w:val="clear" w:color="auto" w:fill="auto"/>
            <w:noWrap/>
            <w:vAlign w:val="center"/>
          </w:tcPr>
          <w:p w14:paraId="311E216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shd w:val="clear" w:color="auto" w:fill="auto"/>
            <w:noWrap/>
            <w:vAlign w:val="center"/>
          </w:tcPr>
          <w:p w14:paraId="6BF33F6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CYP3A4</w:t>
            </w:r>
          </w:p>
        </w:tc>
        <w:tc>
          <w:tcPr>
            <w:tcW w:w="1667" w:type="pct"/>
          </w:tcPr>
          <w:p w14:paraId="6DD4695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04265CC" w14:textId="77777777" w:rsidTr="009B5520">
        <w:trPr>
          <w:trHeight w:val="292"/>
        </w:trPr>
        <w:tc>
          <w:tcPr>
            <w:tcW w:w="1666" w:type="pct"/>
            <w:shd w:val="clear" w:color="auto" w:fill="auto"/>
            <w:noWrap/>
            <w:vAlign w:val="center"/>
          </w:tcPr>
          <w:p w14:paraId="1786E36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w:t>
            </w:r>
          </w:p>
        </w:tc>
        <w:tc>
          <w:tcPr>
            <w:tcW w:w="1667" w:type="pct"/>
            <w:shd w:val="clear" w:color="auto" w:fill="auto"/>
            <w:noWrap/>
            <w:vAlign w:val="center"/>
          </w:tcPr>
          <w:p w14:paraId="2CCEB1C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 1</w:t>
            </w:r>
          </w:p>
        </w:tc>
        <w:tc>
          <w:tcPr>
            <w:tcW w:w="1667" w:type="pct"/>
          </w:tcPr>
          <w:p w14:paraId="1087AE9D"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7DE90E2" w14:textId="77777777" w:rsidTr="009B5520">
        <w:trPr>
          <w:trHeight w:val="292"/>
        </w:trPr>
        <w:tc>
          <w:tcPr>
            <w:tcW w:w="1666" w:type="pct"/>
            <w:shd w:val="clear" w:color="auto" w:fill="auto"/>
            <w:noWrap/>
            <w:vAlign w:val="center"/>
          </w:tcPr>
          <w:p w14:paraId="4E4815C1"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CL</w:t>
            </w:r>
            <w:r w:rsidRPr="003724A4">
              <w:rPr>
                <w:rFonts w:ascii="Arial" w:eastAsia="Times New Roman" w:hAnsi="Arial" w:cs="Arial"/>
                <w:color w:val="000000"/>
                <w:sz w:val="20"/>
                <w:szCs w:val="20"/>
                <w:vertAlign w:val="subscript"/>
              </w:rPr>
              <w:t>int</w:t>
            </w:r>
            <w:proofErr w:type="spellEnd"/>
            <w:r w:rsidRPr="003724A4">
              <w:rPr>
                <w:rFonts w:ascii="Arial" w:eastAsia="Times New Roman" w:hAnsi="Arial" w:cs="Arial"/>
                <w:color w:val="000000"/>
                <w:sz w:val="20"/>
                <w:szCs w:val="20"/>
              </w:rPr>
              <w:t xml:space="preserve"> (µL/min/</w:t>
            </w:r>
            <w:proofErr w:type="spellStart"/>
            <w:r w:rsidRPr="003724A4">
              <w:rPr>
                <w:rFonts w:ascii="Arial" w:eastAsia="Times New Roman" w:hAnsi="Arial" w:cs="Arial"/>
                <w:color w:val="000000"/>
                <w:sz w:val="20"/>
                <w:szCs w:val="20"/>
              </w:rPr>
              <w:t>pmol</w:t>
            </w:r>
            <w:proofErr w:type="spellEnd"/>
            <w:r w:rsidRPr="003724A4">
              <w:rPr>
                <w:rFonts w:ascii="Arial" w:eastAsia="Times New Roman" w:hAnsi="Arial" w:cs="Arial"/>
                <w:color w:val="000000"/>
                <w:sz w:val="20"/>
                <w:szCs w:val="20"/>
              </w:rPr>
              <w:t>)</w:t>
            </w:r>
          </w:p>
        </w:tc>
        <w:tc>
          <w:tcPr>
            <w:tcW w:w="1667" w:type="pct"/>
            <w:shd w:val="clear" w:color="auto" w:fill="auto"/>
            <w:noWrap/>
            <w:vAlign w:val="center"/>
          </w:tcPr>
          <w:p w14:paraId="3E77745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1.694</w:t>
            </w:r>
          </w:p>
        </w:tc>
        <w:tc>
          <w:tcPr>
            <w:tcW w:w="1667" w:type="pct"/>
          </w:tcPr>
          <w:p w14:paraId="07B7F92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r w:rsidRPr="003724A4">
              <w:rPr>
                <w:rFonts w:ascii="Arial" w:hAnsi="Arial" w:cs="Arial"/>
                <w:sz w:val="20"/>
                <w:szCs w:val="20"/>
              </w:rPr>
              <w:t xml:space="preserve"> using the retrograde calculator</w:t>
            </w:r>
          </w:p>
        </w:tc>
      </w:tr>
      <w:tr w:rsidR="003724A4" w:rsidRPr="003724A4" w14:paraId="456E7176" w14:textId="77777777" w:rsidTr="009B5520">
        <w:trPr>
          <w:trHeight w:val="292"/>
        </w:trPr>
        <w:tc>
          <w:tcPr>
            <w:tcW w:w="1666" w:type="pct"/>
            <w:shd w:val="clear" w:color="auto" w:fill="auto"/>
            <w:noWrap/>
            <w:vAlign w:val="center"/>
          </w:tcPr>
          <w:p w14:paraId="7068F2A9"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shd w:val="clear" w:color="auto" w:fill="auto"/>
            <w:noWrap/>
            <w:vAlign w:val="center"/>
          </w:tcPr>
          <w:p w14:paraId="05321EF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1.000</w:t>
            </w:r>
          </w:p>
        </w:tc>
        <w:tc>
          <w:tcPr>
            <w:tcW w:w="1667" w:type="pct"/>
          </w:tcPr>
          <w:p w14:paraId="6EDA3D4C"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F82833B" w14:textId="77777777" w:rsidTr="009B5520">
        <w:trPr>
          <w:trHeight w:val="292"/>
        </w:trPr>
        <w:tc>
          <w:tcPr>
            <w:tcW w:w="1666" w:type="pct"/>
            <w:shd w:val="clear" w:color="auto" w:fill="auto"/>
            <w:noWrap/>
            <w:vAlign w:val="center"/>
          </w:tcPr>
          <w:p w14:paraId="3903A897"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shd w:val="clear" w:color="auto" w:fill="auto"/>
            <w:noWrap/>
            <w:vAlign w:val="center"/>
          </w:tcPr>
          <w:p w14:paraId="5C6771D6"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Pr>
          <w:p w14:paraId="0786F57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D5C88E0" w14:textId="77777777" w:rsidTr="009B5520">
        <w:trPr>
          <w:trHeight w:val="292"/>
        </w:trPr>
        <w:tc>
          <w:tcPr>
            <w:tcW w:w="1666" w:type="pct"/>
            <w:shd w:val="clear" w:color="auto" w:fill="auto"/>
            <w:noWrap/>
            <w:vAlign w:val="center"/>
          </w:tcPr>
          <w:p w14:paraId="2CF15B7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shd w:val="clear" w:color="auto" w:fill="auto"/>
            <w:noWrap/>
            <w:vAlign w:val="center"/>
          </w:tcPr>
          <w:p w14:paraId="424E55F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CYP1A2</w:t>
            </w:r>
          </w:p>
        </w:tc>
        <w:tc>
          <w:tcPr>
            <w:tcW w:w="1667" w:type="pct"/>
          </w:tcPr>
          <w:p w14:paraId="5245DDD8"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67B5A189" w14:textId="77777777" w:rsidTr="009B5520">
        <w:trPr>
          <w:trHeight w:val="292"/>
        </w:trPr>
        <w:tc>
          <w:tcPr>
            <w:tcW w:w="1666" w:type="pct"/>
            <w:shd w:val="clear" w:color="auto" w:fill="auto"/>
            <w:noWrap/>
            <w:vAlign w:val="center"/>
          </w:tcPr>
          <w:p w14:paraId="41FBD84F"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w:t>
            </w:r>
          </w:p>
        </w:tc>
        <w:tc>
          <w:tcPr>
            <w:tcW w:w="1667" w:type="pct"/>
            <w:shd w:val="clear" w:color="auto" w:fill="auto"/>
            <w:noWrap/>
            <w:vAlign w:val="center"/>
          </w:tcPr>
          <w:p w14:paraId="75A62DD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 1</w:t>
            </w:r>
          </w:p>
        </w:tc>
        <w:tc>
          <w:tcPr>
            <w:tcW w:w="1667" w:type="pct"/>
          </w:tcPr>
          <w:p w14:paraId="033A1EA0"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19823C7E" w14:textId="77777777" w:rsidTr="009B5520">
        <w:trPr>
          <w:trHeight w:val="292"/>
        </w:trPr>
        <w:tc>
          <w:tcPr>
            <w:tcW w:w="1666" w:type="pct"/>
            <w:shd w:val="clear" w:color="auto" w:fill="auto"/>
            <w:noWrap/>
            <w:vAlign w:val="center"/>
          </w:tcPr>
          <w:p w14:paraId="3E02F491"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lastRenderedPageBreak/>
              <w:t>CL</w:t>
            </w:r>
            <w:r w:rsidRPr="003724A4">
              <w:rPr>
                <w:rFonts w:ascii="Arial" w:eastAsia="Times New Roman" w:hAnsi="Arial" w:cs="Arial"/>
                <w:color w:val="000000"/>
                <w:sz w:val="20"/>
                <w:szCs w:val="20"/>
                <w:vertAlign w:val="subscript"/>
              </w:rPr>
              <w:t>int</w:t>
            </w:r>
            <w:proofErr w:type="spellEnd"/>
            <w:r w:rsidRPr="003724A4">
              <w:rPr>
                <w:rFonts w:ascii="Arial" w:eastAsia="Times New Roman" w:hAnsi="Arial" w:cs="Arial"/>
                <w:color w:val="000000"/>
                <w:sz w:val="20"/>
                <w:szCs w:val="20"/>
                <w:vertAlign w:val="subscript"/>
              </w:rPr>
              <w:t xml:space="preserve"> </w:t>
            </w:r>
            <w:r w:rsidRPr="003724A4">
              <w:rPr>
                <w:rFonts w:ascii="Arial" w:eastAsia="Times New Roman" w:hAnsi="Arial" w:cs="Arial"/>
                <w:color w:val="000000"/>
                <w:sz w:val="20"/>
                <w:szCs w:val="20"/>
              </w:rPr>
              <w:t>(µL/min/</w:t>
            </w:r>
            <w:proofErr w:type="spellStart"/>
            <w:r w:rsidRPr="003724A4">
              <w:rPr>
                <w:rFonts w:ascii="Arial" w:eastAsia="Times New Roman" w:hAnsi="Arial" w:cs="Arial"/>
                <w:color w:val="000000"/>
                <w:sz w:val="20"/>
                <w:szCs w:val="20"/>
              </w:rPr>
              <w:t>pmol</w:t>
            </w:r>
            <w:proofErr w:type="spellEnd"/>
            <w:r w:rsidRPr="003724A4">
              <w:rPr>
                <w:rFonts w:ascii="Arial" w:eastAsia="Times New Roman" w:hAnsi="Arial" w:cs="Arial"/>
                <w:color w:val="000000"/>
                <w:sz w:val="20"/>
                <w:szCs w:val="20"/>
              </w:rPr>
              <w:t>)</w:t>
            </w:r>
          </w:p>
        </w:tc>
        <w:tc>
          <w:tcPr>
            <w:tcW w:w="1667" w:type="pct"/>
            <w:shd w:val="clear" w:color="auto" w:fill="auto"/>
            <w:noWrap/>
            <w:vAlign w:val="center"/>
          </w:tcPr>
          <w:p w14:paraId="126D2975"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0.248</w:t>
            </w:r>
          </w:p>
        </w:tc>
        <w:tc>
          <w:tcPr>
            <w:tcW w:w="1667" w:type="pct"/>
          </w:tcPr>
          <w:p w14:paraId="00DC2BA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r w:rsidRPr="003724A4">
              <w:rPr>
                <w:rFonts w:ascii="Arial" w:hAnsi="Arial" w:cs="Arial"/>
                <w:sz w:val="20"/>
                <w:szCs w:val="20"/>
              </w:rPr>
              <w:t xml:space="preserve"> using the retrograde calculator</w:t>
            </w:r>
          </w:p>
        </w:tc>
      </w:tr>
      <w:tr w:rsidR="003724A4" w:rsidRPr="003724A4" w14:paraId="3EEA6C4F" w14:textId="77777777" w:rsidTr="009B5520">
        <w:trPr>
          <w:trHeight w:val="292"/>
        </w:trPr>
        <w:tc>
          <w:tcPr>
            <w:tcW w:w="1666" w:type="pct"/>
            <w:shd w:val="clear" w:color="auto" w:fill="auto"/>
            <w:noWrap/>
            <w:vAlign w:val="center"/>
          </w:tcPr>
          <w:p w14:paraId="34577D6D"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shd w:val="clear" w:color="auto" w:fill="auto"/>
            <w:noWrap/>
            <w:vAlign w:val="center"/>
          </w:tcPr>
          <w:p w14:paraId="1B7380C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1.000</w:t>
            </w:r>
          </w:p>
        </w:tc>
        <w:tc>
          <w:tcPr>
            <w:tcW w:w="1667" w:type="pct"/>
          </w:tcPr>
          <w:p w14:paraId="3920EB2A"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466EF25A" w14:textId="77777777" w:rsidTr="009B5520">
        <w:trPr>
          <w:trHeight w:val="292"/>
        </w:trPr>
        <w:tc>
          <w:tcPr>
            <w:tcW w:w="1666" w:type="pct"/>
            <w:tcBorders>
              <w:bottom w:val="single" w:sz="4" w:space="0" w:color="auto"/>
            </w:tcBorders>
            <w:shd w:val="clear" w:color="auto" w:fill="auto"/>
            <w:noWrap/>
            <w:vAlign w:val="center"/>
          </w:tcPr>
          <w:p w14:paraId="4249DDC7"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bottom w:val="single" w:sz="4" w:space="0" w:color="auto"/>
            </w:tcBorders>
            <w:shd w:val="clear" w:color="auto" w:fill="auto"/>
            <w:noWrap/>
            <w:vAlign w:val="center"/>
          </w:tcPr>
          <w:p w14:paraId="26CDF549"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Borders>
              <w:bottom w:val="single" w:sz="4" w:space="0" w:color="auto"/>
            </w:tcBorders>
          </w:tcPr>
          <w:p w14:paraId="4647AAC4"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35EF18E0" w14:textId="77777777" w:rsidTr="009B5520">
        <w:trPr>
          <w:trHeight w:val="292"/>
        </w:trPr>
        <w:tc>
          <w:tcPr>
            <w:tcW w:w="1666" w:type="pct"/>
            <w:tcBorders>
              <w:top w:val="single" w:sz="4" w:space="0" w:color="auto"/>
              <w:bottom w:val="single" w:sz="4" w:space="0" w:color="auto"/>
            </w:tcBorders>
            <w:shd w:val="clear" w:color="auto" w:fill="auto"/>
            <w:noWrap/>
            <w:vAlign w:val="center"/>
          </w:tcPr>
          <w:p w14:paraId="295435A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tcBorders>
              <w:top w:val="single" w:sz="4" w:space="0" w:color="auto"/>
              <w:bottom w:val="single" w:sz="4" w:space="0" w:color="auto"/>
            </w:tcBorders>
            <w:shd w:val="clear" w:color="auto" w:fill="auto"/>
            <w:noWrap/>
            <w:vAlign w:val="center"/>
          </w:tcPr>
          <w:p w14:paraId="1E9BCC3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CYP2C8</w:t>
            </w:r>
          </w:p>
        </w:tc>
        <w:tc>
          <w:tcPr>
            <w:tcW w:w="1667" w:type="pct"/>
            <w:tcBorders>
              <w:top w:val="single" w:sz="4" w:space="0" w:color="auto"/>
              <w:bottom w:val="single" w:sz="4" w:space="0" w:color="auto"/>
            </w:tcBorders>
          </w:tcPr>
          <w:p w14:paraId="59F5634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6F62CDCB" w14:textId="77777777" w:rsidTr="009B5520">
        <w:trPr>
          <w:trHeight w:val="292"/>
        </w:trPr>
        <w:tc>
          <w:tcPr>
            <w:tcW w:w="1666" w:type="pct"/>
            <w:tcBorders>
              <w:top w:val="single" w:sz="4" w:space="0" w:color="auto"/>
            </w:tcBorders>
            <w:shd w:val="clear" w:color="auto" w:fill="auto"/>
            <w:noWrap/>
            <w:vAlign w:val="center"/>
          </w:tcPr>
          <w:p w14:paraId="309A210B"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w:t>
            </w:r>
          </w:p>
        </w:tc>
        <w:tc>
          <w:tcPr>
            <w:tcW w:w="1667" w:type="pct"/>
            <w:tcBorders>
              <w:top w:val="single" w:sz="4" w:space="0" w:color="auto"/>
            </w:tcBorders>
            <w:shd w:val="clear" w:color="auto" w:fill="auto"/>
            <w:noWrap/>
            <w:vAlign w:val="center"/>
          </w:tcPr>
          <w:p w14:paraId="23F26A6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Pathway 1</w:t>
            </w:r>
          </w:p>
        </w:tc>
        <w:tc>
          <w:tcPr>
            <w:tcW w:w="1667" w:type="pct"/>
            <w:tcBorders>
              <w:top w:val="single" w:sz="4" w:space="0" w:color="auto"/>
            </w:tcBorders>
          </w:tcPr>
          <w:p w14:paraId="25E8CF3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DB946EE" w14:textId="77777777" w:rsidTr="009B5520">
        <w:trPr>
          <w:trHeight w:val="292"/>
        </w:trPr>
        <w:tc>
          <w:tcPr>
            <w:tcW w:w="1666" w:type="pct"/>
            <w:shd w:val="clear" w:color="auto" w:fill="auto"/>
            <w:noWrap/>
            <w:vAlign w:val="center"/>
          </w:tcPr>
          <w:p w14:paraId="3C7DC9E6"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CL</w:t>
            </w:r>
            <w:r w:rsidRPr="003724A4">
              <w:rPr>
                <w:rFonts w:ascii="Arial" w:eastAsia="Times New Roman" w:hAnsi="Arial" w:cs="Arial"/>
                <w:color w:val="000000"/>
                <w:sz w:val="20"/>
                <w:szCs w:val="20"/>
                <w:vertAlign w:val="subscript"/>
              </w:rPr>
              <w:t>int</w:t>
            </w:r>
            <w:proofErr w:type="spellEnd"/>
            <w:r w:rsidRPr="003724A4">
              <w:rPr>
                <w:rFonts w:ascii="Arial" w:eastAsia="Times New Roman" w:hAnsi="Arial" w:cs="Arial"/>
                <w:color w:val="000000"/>
                <w:sz w:val="20"/>
                <w:szCs w:val="20"/>
              </w:rPr>
              <w:t xml:space="preserve"> (µL/min/</w:t>
            </w:r>
            <w:proofErr w:type="spellStart"/>
            <w:r w:rsidRPr="003724A4">
              <w:rPr>
                <w:rFonts w:ascii="Arial" w:eastAsia="Times New Roman" w:hAnsi="Arial" w:cs="Arial"/>
                <w:color w:val="000000"/>
                <w:sz w:val="20"/>
                <w:szCs w:val="20"/>
              </w:rPr>
              <w:t>pmol</w:t>
            </w:r>
            <w:proofErr w:type="spellEnd"/>
            <w:r w:rsidRPr="003724A4">
              <w:rPr>
                <w:rFonts w:ascii="Arial" w:eastAsia="Times New Roman" w:hAnsi="Arial" w:cs="Arial"/>
                <w:color w:val="000000"/>
                <w:sz w:val="20"/>
                <w:szCs w:val="20"/>
              </w:rPr>
              <w:t>)</w:t>
            </w:r>
          </w:p>
        </w:tc>
        <w:tc>
          <w:tcPr>
            <w:tcW w:w="1667" w:type="pct"/>
            <w:shd w:val="clear" w:color="auto" w:fill="auto"/>
            <w:noWrap/>
            <w:vAlign w:val="center"/>
          </w:tcPr>
          <w:p w14:paraId="40B75EC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2.225</w:t>
            </w:r>
          </w:p>
        </w:tc>
        <w:tc>
          <w:tcPr>
            <w:tcW w:w="1667" w:type="pct"/>
          </w:tcPr>
          <w:p w14:paraId="55BC23E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hAnsi="Arial" w:cs="Arial"/>
                <w:sz w:val="20"/>
                <w:szCs w:val="20"/>
              </w:rPr>
              <w:t xml:space="preserve">Predicted in </w:t>
            </w:r>
            <w:proofErr w:type="spellStart"/>
            <w:r w:rsidRPr="003724A4">
              <w:rPr>
                <w:rFonts w:ascii="Arial" w:hAnsi="Arial" w:cs="Arial"/>
                <w:sz w:val="20"/>
                <w:szCs w:val="20"/>
              </w:rPr>
              <w:t>Simcyp</w:t>
            </w:r>
            <w:proofErr w:type="spellEnd"/>
            <w:r w:rsidRPr="003724A4">
              <w:rPr>
                <w:rFonts w:ascii="Arial" w:hAnsi="Arial" w:cs="Arial"/>
                <w:sz w:val="20"/>
                <w:szCs w:val="20"/>
              </w:rPr>
              <w:t xml:space="preserve"> using the retrograde calculator</w:t>
            </w:r>
          </w:p>
        </w:tc>
      </w:tr>
      <w:tr w:rsidR="003724A4" w:rsidRPr="003724A4" w14:paraId="2B799969" w14:textId="77777777" w:rsidTr="009B5520">
        <w:trPr>
          <w:trHeight w:val="292"/>
        </w:trPr>
        <w:tc>
          <w:tcPr>
            <w:tcW w:w="1666" w:type="pct"/>
            <w:shd w:val="clear" w:color="auto" w:fill="auto"/>
            <w:noWrap/>
            <w:vAlign w:val="center"/>
          </w:tcPr>
          <w:p w14:paraId="37E2EA49"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shd w:val="clear" w:color="auto" w:fill="auto"/>
            <w:noWrap/>
            <w:vAlign w:val="center"/>
          </w:tcPr>
          <w:p w14:paraId="1742B37C"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1.000</w:t>
            </w:r>
          </w:p>
        </w:tc>
        <w:tc>
          <w:tcPr>
            <w:tcW w:w="1667" w:type="pct"/>
          </w:tcPr>
          <w:p w14:paraId="74EC6207"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1792DA28" w14:textId="77777777" w:rsidTr="009B5520">
        <w:trPr>
          <w:trHeight w:val="292"/>
        </w:trPr>
        <w:tc>
          <w:tcPr>
            <w:tcW w:w="1666" w:type="pct"/>
            <w:shd w:val="clear" w:color="auto" w:fill="auto"/>
            <w:noWrap/>
            <w:vAlign w:val="center"/>
          </w:tcPr>
          <w:p w14:paraId="72FF1627"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shd w:val="clear" w:color="auto" w:fill="auto"/>
            <w:noWrap/>
            <w:vAlign w:val="center"/>
          </w:tcPr>
          <w:p w14:paraId="3F01BB2C"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Pr>
          <w:p w14:paraId="40765B21"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5E1CAF74" w14:textId="77777777" w:rsidTr="009B5520">
        <w:trPr>
          <w:trHeight w:val="292"/>
        </w:trPr>
        <w:tc>
          <w:tcPr>
            <w:tcW w:w="1666" w:type="pct"/>
            <w:shd w:val="clear" w:color="auto" w:fill="auto"/>
            <w:noWrap/>
            <w:vAlign w:val="center"/>
          </w:tcPr>
          <w:p w14:paraId="77C7E9D9" w14:textId="77777777" w:rsidR="003724A4" w:rsidRPr="003724A4" w:rsidRDefault="003724A4" w:rsidP="009B5520">
            <w:pPr>
              <w:spacing w:after="0" w:line="240" w:lineRule="auto"/>
              <w:rPr>
                <w:rFonts w:ascii="Arial" w:eastAsia="Times New Roman" w:hAnsi="Arial" w:cs="Arial"/>
                <w:b/>
                <w:bCs/>
                <w:color w:val="000000"/>
                <w:sz w:val="20"/>
                <w:szCs w:val="20"/>
              </w:rPr>
            </w:pPr>
            <w:r w:rsidRPr="003724A4">
              <w:rPr>
                <w:rFonts w:ascii="Arial" w:eastAsia="Times New Roman" w:hAnsi="Arial" w:cs="Arial"/>
                <w:b/>
                <w:bCs/>
                <w:color w:val="000000"/>
                <w:sz w:val="20"/>
                <w:szCs w:val="20"/>
              </w:rPr>
              <w:t xml:space="preserve">Inhibition Model </w:t>
            </w:r>
          </w:p>
        </w:tc>
        <w:tc>
          <w:tcPr>
            <w:tcW w:w="1667" w:type="pct"/>
            <w:shd w:val="clear" w:color="auto" w:fill="auto"/>
            <w:noWrap/>
            <w:vAlign w:val="center"/>
          </w:tcPr>
          <w:p w14:paraId="4B632850"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Pr>
          <w:p w14:paraId="360E4FEB"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E792F93" w14:textId="77777777" w:rsidTr="009B5520">
        <w:trPr>
          <w:trHeight w:val="292"/>
        </w:trPr>
        <w:tc>
          <w:tcPr>
            <w:tcW w:w="1666" w:type="pct"/>
            <w:shd w:val="clear" w:color="auto" w:fill="auto"/>
            <w:noWrap/>
            <w:vAlign w:val="center"/>
          </w:tcPr>
          <w:p w14:paraId="0D83E11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shd w:val="clear" w:color="auto" w:fill="auto"/>
            <w:noWrap/>
            <w:vAlign w:val="center"/>
          </w:tcPr>
          <w:p w14:paraId="175FE590"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CYP3A4</w:t>
            </w:r>
          </w:p>
        </w:tc>
        <w:tc>
          <w:tcPr>
            <w:tcW w:w="1667" w:type="pct"/>
          </w:tcPr>
          <w:p w14:paraId="54F6787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Internal Data</w:t>
            </w:r>
          </w:p>
        </w:tc>
      </w:tr>
      <w:tr w:rsidR="003724A4" w:rsidRPr="003724A4" w14:paraId="47F11463" w14:textId="77777777" w:rsidTr="009B5520">
        <w:trPr>
          <w:trHeight w:val="292"/>
        </w:trPr>
        <w:tc>
          <w:tcPr>
            <w:tcW w:w="1666" w:type="pct"/>
            <w:shd w:val="clear" w:color="auto" w:fill="auto"/>
            <w:noWrap/>
            <w:vAlign w:val="center"/>
          </w:tcPr>
          <w:p w14:paraId="5A22DDE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i/>
                <w:iCs/>
                <w:color w:val="000000"/>
                <w:sz w:val="20"/>
                <w:szCs w:val="20"/>
              </w:rPr>
              <w:t xml:space="preserve"> </w:t>
            </w:r>
            <w:r w:rsidRPr="003724A4">
              <w:rPr>
                <w:rFonts w:ascii="Arial" w:eastAsia="Times New Roman" w:hAnsi="Arial" w:cs="Arial"/>
                <w:color w:val="000000"/>
                <w:sz w:val="20"/>
                <w:szCs w:val="20"/>
              </w:rPr>
              <w:t>(µM)</w:t>
            </w:r>
          </w:p>
        </w:tc>
        <w:tc>
          <w:tcPr>
            <w:tcW w:w="1667" w:type="pct"/>
            <w:shd w:val="clear" w:color="auto" w:fill="auto"/>
            <w:noWrap/>
            <w:vAlign w:val="center"/>
          </w:tcPr>
          <w:p w14:paraId="06A826B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3.025</w:t>
            </w:r>
          </w:p>
        </w:tc>
        <w:tc>
          <w:tcPr>
            <w:tcW w:w="1667" w:type="pct"/>
          </w:tcPr>
          <w:p w14:paraId="7BE2D422"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2E9550FB" w14:textId="77777777" w:rsidTr="009B5520">
        <w:trPr>
          <w:trHeight w:val="292"/>
        </w:trPr>
        <w:tc>
          <w:tcPr>
            <w:tcW w:w="1666" w:type="pct"/>
            <w:shd w:val="clear" w:color="auto" w:fill="auto"/>
            <w:noWrap/>
            <w:vAlign w:val="center"/>
          </w:tcPr>
          <w:p w14:paraId="06A7F382" w14:textId="77777777" w:rsidR="003724A4" w:rsidRPr="003724A4" w:rsidRDefault="003724A4" w:rsidP="009B5520">
            <w:pPr>
              <w:spacing w:after="0" w:line="240" w:lineRule="auto"/>
              <w:rPr>
                <w:rFonts w:ascii="Arial" w:eastAsia="Times New Roman" w:hAnsi="Arial" w:cs="Arial"/>
                <w:color w:val="000000"/>
                <w:sz w:val="20"/>
                <w:szCs w:val="20"/>
                <w:vertAlign w:val="subscript"/>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shd w:val="clear" w:color="auto" w:fill="auto"/>
            <w:noWrap/>
            <w:vAlign w:val="center"/>
          </w:tcPr>
          <w:p w14:paraId="7435780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0.43</w:t>
            </w:r>
          </w:p>
          <w:p w14:paraId="424A680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w:t>
            </w:r>
          </w:p>
        </w:tc>
        <w:tc>
          <w:tcPr>
            <w:tcW w:w="1667" w:type="pct"/>
          </w:tcPr>
          <w:p w14:paraId="3B86ADE3" w14:textId="3CB6BF0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p w14:paraId="38C9BE4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Optimized value</w:t>
            </w:r>
          </w:p>
        </w:tc>
      </w:tr>
      <w:tr w:rsidR="003724A4" w:rsidRPr="003724A4" w14:paraId="44E23E84" w14:textId="77777777" w:rsidTr="009B5520">
        <w:trPr>
          <w:trHeight w:val="292"/>
        </w:trPr>
        <w:tc>
          <w:tcPr>
            <w:tcW w:w="1666" w:type="pct"/>
            <w:shd w:val="clear" w:color="auto" w:fill="auto"/>
            <w:noWrap/>
            <w:vAlign w:val="center"/>
          </w:tcPr>
          <w:p w14:paraId="315086F3"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color w:val="000000"/>
                <w:sz w:val="20"/>
                <w:szCs w:val="20"/>
              </w:rPr>
              <w:t xml:space="preserve"> (µM)</w:t>
            </w:r>
          </w:p>
        </w:tc>
        <w:tc>
          <w:tcPr>
            <w:tcW w:w="1667" w:type="pct"/>
            <w:shd w:val="clear" w:color="auto" w:fill="auto"/>
            <w:noWrap/>
            <w:vAlign w:val="center"/>
          </w:tcPr>
          <w:p w14:paraId="7955E2F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4.44</w:t>
            </w:r>
          </w:p>
        </w:tc>
        <w:tc>
          <w:tcPr>
            <w:tcW w:w="1667" w:type="pct"/>
          </w:tcPr>
          <w:p w14:paraId="6EF194B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7072BE2D" w14:textId="77777777" w:rsidTr="009B5520">
        <w:trPr>
          <w:trHeight w:val="292"/>
        </w:trPr>
        <w:tc>
          <w:tcPr>
            <w:tcW w:w="1666" w:type="pct"/>
            <w:shd w:val="clear" w:color="auto" w:fill="auto"/>
            <w:noWrap/>
            <w:vAlign w:val="center"/>
          </w:tcPr>
          <w:p w14:paraId="36851D4E"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inact</w:t>
            </w:r>
            <w:proofErr w:type="spellEnd"/>
            <w:r w:rsidRPr="003724A4">
              <w:rPr>
                <w:rFonts w:ascii="Arial" w:eastAsia="Times New Roman" w:hAnsi="Arial" w:cs="Arial"/>
                <w:color w:val="000000"/>
                <w:sz w:val="20"/>
                <w:szCs w:val="20"/>
              </w:rPr>
              <w:t xml:space="preserve"> (h</w:t>
            </w:r>
            <w:r w:rsidRPr="003724A4">
              <w:rPr>
                <w:rFonts w:ascii="Arial" w:eastAsia="Times New Roman" w:hAnsi="Arial" w:cs="Arial"/>
                <w:color w:val="000000"/>
                <w:sz w:val="20"/>
                <w:szCs w:val="20"/>
                <w:vertAlign w:val="superscript"/>
              </w:rPr>
              <w:t>-1</w:t>
            </w:r>
            <w:r w:rsidRPr="003724A4">
              <w:rPr>
                <w:rFonts w:ascii="Arial" w:eastAsia="Times New Roman" w:hAnsi="Arial" w:cs="Arial"/>
                <w:color w:val="000000"/>
                <w:sz w:val="20"/>
                <w:szCs w:val="20"/>
              </w:rPr>
              <w:t>)</w:t>
            </w:r>
          </w:p>
        </w:tc>
        <w:tc>
          <w:tcPr>
            <w:tcW w:w="1667" w:type="pct"/>
            <w:shd w:val="clear" w:color="auto" w:fill="auto"/>
            <w:noWrap/>
            <w:vAlign w:val="center"/>
          </w:tcPr>
          <w:p w14:paraId="2BC1FA86"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2</w:t>
            </w:r>
          </w:p>
        </w:tc>
        <w:tc>
          <w:tcPr>
            <w:tcW w:w="1667" w:type="pct"/>
          </w:tcPr>
          <w:p w14:paraId="4BB4C19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0B759FD1" w14:textId="77777777" w:rsidTr="009B5520">
        <w:trPr>
          <w:trHeight w:val="292"/>
        </w:trPr>
        <w:tc>
          <w:tcPr>
            <w:tcW w:w="1666" w:type="pct"/>
            <w:shd w:val="clear" w:color="auto" w:fill="auto"/>
            <w:noWrap/>
            <w:vAlign w:val="center"/>
          </w:tcPr>
          <w:p w14:paraId="7CF6B0C4"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shd w:val="clear" w:color="auto" w:fill="auto"/>
            <w:noWrap/>
            <w:vAlign w:val="center"/>
          </w:tcPr>
          <w:p w14:paraId="1EE8491D"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0.43</w:t>
            </w:r>
          </w:p>
          <w:p w14:paraId="5049A564"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w:t>
            </w:r>
          </w:p>
        </w:tc>
        <w:tc>
          <w:tcPr>
            <w:tcW w:w="1667" w:type="pct"/>
          </w:tcPr>
          <w:p w14:paraId="345ACE96" w14:textId="12A93256"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p w14:paraId="1AB4217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Optimized value</w:t>
            </w:r>
          </w:p>
        </w:tc>
      </w:tr>
      <w:tr w:rsidR="003724A4" w:rsidRPr="003724A4" w14:paraId="60E0BACF" w14:textId="77777777" w:rsidTr="009B5520">
        <w:trPr>
          <w:trHeight w:val="292"/>
        </w:trPr>
        <w:tc>
          <w:tcPr>
            <w:tcW w:w="1666" w:type="pct"/>
            <w:shd w:val="clear" w:color="auto" w:fill="auto"/>
            <w:noWrap/>
            <w:vAlign w:val="center"/>
          </w:tcPr>
          <w:p w14:paraId="3A80BB84"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shd w:val="clear" w:color="auto" w:fill="auto"/>
            <w:noWrap/>
            <w:vAlign w:val="center"/>
          </w:tcPr>
          <w:p w14:paraId="77A67F55" w14:textId="77777777" w:rsidR="003724A4" w:rsidRPr="003724A4" w:rsidRDefault="003724A4" w:rsidP="009B5520">
            <w:pPr>
              <w:spacing w:after="0" w:line="240" w:lineRule="auto"/>
              <w:rPr>
                <w:rFonts w:ascii="Arial" w:eastAsia="Times New Roman" w:hAnsi="Arial" w:cs="Arial"/>
                <w:color w:val="000000"/>
                <w:sz w:val="20"/>
                <w:szCs w:val="20"/>
              </w:rPr>
            </w:pPr>
          </w:p>
        </w:tc>
        <w:tc>
          <w:tcPr>
            <w:tcW w:w="1667" w:type="pct"/>
          </w:tcPr>
          <w:p w14:paraId="496FCB8D"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2EF10F74" w14:textId="77777777" w:rsidTr="009B5520">
        <w:trPr>
          <w:trHeight w:val="292"/>
        </w:trPr>
        <w:tc>
          <w:tcPr>
            <w:tcW w:w="1666" w:type="pct"/>
            <w:shd w:val="clear" w:color="auto" w:fill="auto"/>
            <w:noWrap/>
            <w:vAlign w:val="center"/>
          </w:tcPr>
          <w:p w14:paraId="286B883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Enzyme</w:t>
            </w:r>
          </w:p>
        </w:tc>
        <w:tc>
          <w:tcPr>
            <w:tcW w:w="1667" w:type="pct"/>
            <w:shd w:val="clear" w:color="auto" w:fill="auto"/>
            <w:noWrap/>
            <w:vAlign w:val="center"/>
          </w:tcPr>
          <w:p w14:paraId="4054965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CYP2J2</w:t>
            </w:r>
          </w:p>
        </w:tc>
        <w:tc>
          <w:tcPr>
            <w:tcW w:w="1667" w:type="pct"/>
          </w:tcPr>
          <w:p w14:paraId="08187FF2" w14:textId="77777777" w:rsidR="003724A4" w:rsidRPr="003724A4" w:rsidRDefault="003724A4" w:rsidP="009B5520">
            <w:pPr>
              <w:spacing w:after="0" w:line="240" w:lineRule="auto"/>
              <w:rPr>
                <w:rFonts w:ascii="Arial" w:eastAsia="Times New Roman" w:hAnsi="Arial" w:cs="Arial"/>
                <w:color w:val="000000"/>
                <w:sz w:val="20"/>
                <w:szCs w:val="20"/>
              </w:rPr>
            </w:pPr>
          </w:p>
        </w:tc>
      </w:tr>
      <w:tr w:rsidR="003724A4" w:rsidRPr="003724A4" w14:paraId="0B91226A" w14:textId="77777777" w:rsidTr="009B5520">
        <w:trPr>
          <w:trHeight w:val="292"/>
        </w:trPr>
        <w:tc>
          <w:tcPr>
            <w:tcW w:w="1666" w:type="pct"/>
            <w:tcBorders>
              <w:bottom w:val="single" w:sz="4" w:space="0" w:color="auto"/>
            </w:tcBorders>
            <w:shd w:val="clear" w:color="auto" w:fill="auto"/>
            <w:noWrap/>
            <w:vAlign w:val="center"/>
          </w:tcPr>
          <w:p w14:paraId="70EA92E1"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i/>
                <w:iCs/>
                <w:color w:val="000000"/>
                <w:sz w:val="20"/>
                <w:szCs w:val="20"/>
              </w:rPr>
              <w:t>K</w:t>
            </w:r>
            <w:r w:rsidRPr="003724A4">
              <w:rPr>
                <w:rFonts w:ascii="Arial" w:eastAsia="Times New Roman" w:hAnsi="Arial" w:cs="Arial"/>
                <w:i/>
                <w:iCs/>
                <w:color w:val="000000"/>
                <w:sz w:val="20"/>
                <w:szCs w:val="20"/>
                <w:vertAlign w:val="subscript"/>
              </w:rPr>
              <w:t>i</w:t>
            </w:r>
            <w:r w:rsidRPr="003724A4">
              <w:rPr>
                <w:rFonts w:ascii="Arial" w:eastAsia="Times New Roman" w:hAnsi="Arial" w:cs="Arial"/>
                <w:i/>
                <w:iCs/>
                <w:color w:val="000000"/>
                <w:sz w:val="20"/>
                <w:szCs w:val="20"/>
              </w:rPr>
              <w:t xml:space="preserve"> </w:t>
            </w:r>
            <w:r w:rsidRPr="003724A4">
              <w:rPr>
                <w:rFonts w:ascii="Arial" w:eastAsia="Times New Roman" w:hAnsi="Arial" w:cs="Arial"/>
                <w:color w:val="000000"/>
                <w:sz w:val="20"/>
                <w:szCs w:val="20"/>
              </w:rPr>
              <w:t>(µM)</w:t>
            </w:r>
          </w:p>
        </w:tc>
        <w:tc>
          <w:tcPr>
            <w:tcW w:w="1667" w:type="pct"/>
            <w:tcBorders>
              <w:bottom w:val="single" w:sz="4" w:space="0" w:color="auto"/>
            </w:tcBorders>
            <w:shd w:val="clear" w:color="auto" w:fill="auto"/>
            <w:noWrap/>
            <w:vAlign w:val="center"/>
          </w:tcPr>
          <w:p w14:paraId="7211B55A"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0.758</w:t>
            </w:r>
          </w:p>
        </w:tc>
        <w:tc>
          <w:tcPr>
            <w:tcW w:w="1667" w:type="pct"/>
            <w:tcBorders>
              <w:bottom w:val="single" w:sz="4" w:space="0" w:color="auto"/>
            </w:tcBorders>
          </w:tcPr>
          <w:p w14:paraId="2C672207"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Determined experimentally</w:t>
            </w:r>
          </w:p>
        </w:tc>
      </w:tr>
      <w:tr w:rsidR="003724A4" w:rsidRPr="003724A4" w14:paraId="0BCFB409" w14:textId="77777777" w:rsidTr="009B5520">
        <w:trPr>
          <w:trHeight w:val="292"/>
        </w:trPr>
        <w:tc>
          <w:tcPr>
            <w:tcW w:w="1666" w:type="pct"/>
            <w:tcBorders>
              <w:top w:val="single" w:sz="4" w:space="0" w:color="auto"/>
              <w:bottom w:val="single" w:sz="4" w:space="0" w:color="auto"/>
            </w:tcBorders>
            <w:shd w:val="clear" w:color="auto" w:fill="auto"/>
            <w:noWrap/>
            <w:vAlign w:val="center"/>
          </w:tcPr>
          <w:p w14:paraId="59E1F501" w14:textId="77777777" w:rsidR="003724A4" w:rsidRPr="003724A4" w:rsidRDefault="003724A4" w:rsidP="009B5520">
            <w:pPr>
              <w:spacing w:after="0" w:line="240" w:lineRule="auto"/>
              <w:rPr>
                <w:rFonts w:ascii="Arial" w:eastAsia="Times New Roman" w:hAnsi="Arial" w:cs="Arial"/>
                <w:color w:val="000000"/>
                <w:sz w:val="20"/>
                <w:szCs w:val="20"/>
              </w:rPr>
            </w:pPr>
            <w:proofErr w:type="spellStart"/>
            <w:r w:rsidRPr="003724A4">
              <w:rPr>
                <w:rFonts w:ascii="Arial" w:eastAsia="Times New Roman" w:hAnsi="Arial" w:cs="Arial"/>
                <w:color w:val="000000"/>
                <w:sz w:val="20"/>
                <w:szCs w:val="20"/>
              </w:rPr>
              <w:t>fu</w:t>
            </w:r>
            <w:r w:rsidRPr="003724A4">
              <w:rPr>
                <w:rFonts w:ascii="Arial" w:eastAsia="Times New Roman" w:hAnsi="Arial" w:cs="Arial"/>
                <w:color w:val="000000"/>
                <w:sz w:val="20"/>
                <w:szCs w:val="20"/>
                <w:vertAlign w:val="subscript"/>
              </w:rPr>
              <w:t>mic</w:t>
            </w:r>
            <w:proofErr w:type="spellEnd"/>
          </w:p>
        </w:tc>
        <w:tc>
          <w:tcPr>
            <w:tcW w:w="1667" w:type="pct"/>
            <w:tcBorders>
              <w:top w:val="single" w:sz="4" w:space="0" w:color="auto"/>
              <w:bottom w:val="single" w:sz="4" w:space="0" w:color="auto"/>
            </w:tcBorders>
            <w:shd w:val="clear" w:color="auto" w:fill="auto"/>
            <w:noWrap/>
            <w:vAlign w:val="center"/>
          </w:tcPr>
          <w:p w14:paraId="4C80FF8E"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0.43</w:t>
            </w:r>
          </w:p>
          <w:p w14:paraId="0BD8BC69"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1</w:t>
            </w:r>
          </w:p>
        </w:tc>
        <w:tc>
          <w:tcPr>
            <w:tcW w:w="1667" w:type="pct"/>
            <w:tcBorders>
              <w:top w:val="single" w:sz="4" w:space="0" w:color="auto"/>
              <w:bottom w:val="single" w:sz="4" w:space="0" w:color="auto"/>
            </w:tcBorders>
          </w:tcPr>
          <w:p w14:paraId="14C0C91C" w14:textId="672411AA"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(Burns et al., 2015)</w:t>
            </w:r>
            <w:r w:rsidRPr="003724A4">
              <w:rPr>
                <w:rFonts w:ascii="Arial" w:eastAsia="Times New Roman" w:hAnsi="Arial" w:cs="Arial"/>
                <w:color w:val="000000"/>
                <w:sz w:val="20"/>
                <w:szCs w:val="20"/>
              </w:rPr>
              <w:fldChar w:fldCharType="begin" w:fldLock="1"/>
            </w:r>
            <w:r>
              <w:rPr>
                <w:rFonts w:ascii="Arial" w:eastAsia="Times New Roman" w:hAnsi="Arial" w:cs="Arial"/>
                <w:color w:val="000000"/>
                <w:sz w:val="20"/>
                <w:szCs w:val="20"/>
              </w:rPr>
              <w:instrText>ADDIN CSL_CITATION {"citationItems":[{"id":"ITEM-1","itemData":{"DOI":"10.1124/dmd.115.065292","ISSN":"1521009X","abstract":"Drugs and other chemicals frequently bind nonspecifically to the constituents of an in vitro incubation mixture, particularly the enzyme source [e.g., human liver microsomes (HLM)]. Correction for nonspecific binding (NSB) is essential for the accurate calculation of the kinetic parameters Km, Clint, and Ki. Many tyrosine kinase inhibitors (TKIs) are lipophilic organic bases that are nonionized at physiologic pH. Attempts to measure the NSB of several TKIs to HLM by equilibrium dialysis proved unsuccessful, presumably due to the limited aqueous solubility of these compounds. Thus, the addition of detergents to equilibrium dialysis samples was investigated as an approach to measure the NSB of TKIs. The binding of six validation set nonionized lipophilic bases (felodipine, isradipine, loratidine, midazolam, nifedipine, and pazopanib) to HLM (0.25 mg/ml) was shown to be unaffected by the addition of CHAPS (6 mM) to the dialysis medium. This approach was subsequently applied to measurement of the binding of axitinib, dabrafenib, erlotinib, gefitinib, ibrutinib, lapatinib, nilotinib, nintedanib, regorafenib, sorafenib, and trametinib to HLM (0.25 mg/ml). As with the validation set drugs, attainment of equilibrium was demonstrated in HLM-HLM and buffer-buffer control dialysis experiments. Values of the fraction unbound to HLM ranged from 0.14 (regorafenib and sorafenib) to 0.93 (nintedanib), and were generally consistent with the known physicochemical determinants of drug NSB. The extensive NSB of many TKIs to HLM underscores the importance of correction for TKI binding to HLM and, presumably, other enzyme sources present in in vitro incubation mixtures.","author":[{"dropping-particle":"","family":"Burns","given":"Kushari","non-dropping-particle":"","parse-names":false,"suffix":""},{"dropping-particle":"","family":"Nair","given":"Pramod C.","non-dropping-particle":"","parse-names":false,"suffix":""},{"dropping-particle":"","family":"Rowland","given":"Andrew","non-dropping-particle":"","parse-names":false,"suffix":""},{"dropping-particle":"","family":"Mackenzie","given":"Peter I.","non-dropping-particle":"","parse-names":false,"suffix":""},{"dropping-particle":"","family":"Knights","given":"Kathleen M.","non-dropping-particle":"","parse-names":false,"suffix":""},{"dropping-particle":"","family":"Miners","given":"John O.","non-dropping-particle":"","parse-names":false,"suffix":""}],"container-title":"Drug Metabolism and Disposition","id":"ITEM-1","issue":"12","issued":{"date-parts":[["2015"]]},"page":"1934-1937","title":"The nonspecific binding of tyrosine kinase inhibitors to human liver microsomes","type":"article-journal","volume":"43"},"uris":["http://www.mendeley.com/documents/?uuid=fa0d2028-c83f-4e32-8f52-4d45b5f07877"]}],"mendeley":{"formattedCitation":"&lt;sup&gt;7&lt;/sup&gt;","plainTextFormattedCitation":"7","previouslyFormattedCitation":"&lt;sup&gt;7&lt;/sup&gt;"},"properties":{"noteIndex":0},"schema":"https://github.com/citation-style-language/schema/raw/master/csl-citation.json"}</w:instrText>
            </w:r>
            <w:r w:rsidRPr="003724A4">
              <w:rPr>
                <w:rFonts w:ascii="Arial" w:eastAsia="Times New Roman" w:hAnsi="Arial" w:cs="Arial"/>
                <w:color w:val="000000"/>
                <w:sz w:val="20"/>
                <w:szCs w:val="20"/>
              </w:rPr>
              <w:fldChar w:fldCharType="separate"/>
            </w:r>
            <w:r w:rsidRPr="003724A4">
              <w:rPr>
                <w:rFonts w:ascii="Arial" w:eastAsia="Times New Roman" w:hAnsi="Arial" w:cs="Arial"/>
                <w:noProof/>
                <w:color w:val="000000"/>
                <w:sz w:val="20"/>
                <w:szCs w:val="20"/>
                <w:vertAlign w:val="superscript"/>
              </w:rPr>
              <w:t>7</w:t>
            </w:r>
            <w:r w:rsidRPr="003724A4">
              <w:rPr>
                <w:rFonts w:ascii="Arial" w:eastAsia="Times New Roman" w:hAnsi="Arial" w:cs="Arial"/>
                <w:color w:val="000000"/>
                <w:sz w:val="20"/>
                <w:szCs w:val="20"/>
              </w:rPr>
              <w:fldChar w:fldCharType="end"/>
            </w:r>
          </w:p>
          <w:p w14:paraId="42EFFD28" w14:textId="77777777" w:rsidR="003724A4" w:rsidRPr="003724A4" w:rsidRDefault="003724A4" w:rsidP="009B5520">
            <w:pPr>
              <w:spacing w:after="0" w:line="240" w:lineRule="auto"/>
              <w:rPr>
                <w:rFonts w:ascii="Arial" w:eastAsia="Times New Roman" w:hAnsi="Arial" w:cs="Arial"/>
                <w:color w:val="000000"/>
                <w:sz w:val="20"/>
                <w:szCs w:val="20"/>
              </w:rPr>
            </w:pPr>
            <w:r w:rsidRPr="003724A4">
              <w:rPr>
                <w:rFonts w:ascii="Arial" w:eastAsia="Times New Roman" w:hAnsi="Arial" w:cs="Arial"/>
                <w:color w:val="000000"/>
                <w:sz w:val="20"/>
                <w:szCs w:val="20"/>
              </w:rPr>
              <w:t>Optimized value</w:t>
            </w:r>
          </w:p>
        </w:tc>
      </w:tr>
    </w:tbl>
    <w:p w14:paraId="3A3A8234" w14:textId="77777777" w:rsidR="003724A4" w:rsidRPr="003724A4" w:rsidRDefault="003724A4" w:rsidP="003724A4">
      <w:pPr>
        <w:spacing w:line="240" w:lineRule="auto"/>
        <w:rPr>
          <w:rFonts w:ascii="Arial" w:hAnsi="Arial" w:cs="Arial"/>
          <w:sz w:val="18"/>
          <w:szCs w:val="18"/>
        </w:rPr>
      </w:pPr>
      <w:r w:rsidRPr="003724A4">
        <w:rPr>
          <w:rFonts w:ascii="Arial" w:hAnsi="Arial" w:cs="Arial"/>
          <w:sz w:val="18"/>
          <w:szCs w:val="18"/>
        </w:rPr>
        <w:t xml:space="preserve">B/P, blood to plasma partition ratio; </w:t>
      </w:r>
      <w:proofErr w:type="spellStart"/>
      <w:r w:rsidRPr="003724A4">
        <w:rPr>
          <w:rFonts w:ascii="Arial" w:hAnsi="Arial" w:cs="Arial"/>
          <w:sz w:val="18"/>
          <w:szCs w:val="18"/>
        </w:rPr>
        <w:t>CL</w:t>
      </w:r>
      <w:r w:rsidRPr="003724A4">
        <w:rPr>
          <w:rFonts w:ascii="Arial" w:hAnsi="Arial" w:cs="Arial"/>
          <w:sz w:val="18"/>
          <w:szCs w:val="18"/>
          <w:vertAlign w:val="subscript"/>
        </w:rPr>
        <w:t>int</w:t>
      </w:r>
      <w:proofErr w:type="spellEnd"/>
      <w:r w:rsidRPr="003724A4">
        <w:rPr>
          <w:rFonts w:ascii="Arial" w:hAnsi="Arial" w:cs="Arial"/>
          <w:sz w:val="18"/>
          <w:szCs w:val="18"/>
        </w:rPr>
        <w:t xml:space="preserve">, </w:t>
      </w:r>
      <w:r w:rsidRPr="003724A4">
        <w:rPr>
          <w:rFonts w:ascii="Arial" w:hAnsi="Arial" w:cs="Arial"/>
          <w:i/>
          <w:sz w:val="18"/>
          <w:szCs w:val="18"/>
        </w:rPr>
        <w:t>in vitro</w:t>
      </w:r>
      <w:r w:rsidRPr="003724A4">
        <w:rPr>
          <w:rFonts w:ascii="Arial" w:hAnsi="Arial" w:cs="Arial"/>
          <w:sz w:val="18"/>
          <w:szCs w:val="18"/>
        </w:rPr>
        <w:t xml:space="preserve"> intrinsic clearance; CL/F, apparent oral clearance; f</w:t>
      </w:r>
      <w:r w:rsidRPr="003724A4">
        <w:rPr>
          <w:rFonts w:ascii="Arial" w:hAnsi="Arial" w:cs="Arial"/>
          <w:sz w:val="18"/>
          <w:szCs w:val="18"/>
          <w:vertAlign w:val="subscript"/>
        </w:rPr>
        <w:t>a</w:t>
      </w:r>
      <w:r w:rsidRPr="003724A4">
        <w:rPr>
          <w:rFonts w:ascii="Arial" w:hAnsi="Arial" w:cs="Arial"/>
          <w:sz w:val="18"/>
          <w:szCs w:val="18"/>
        </w:rPr>
        <w:t>,</w:t>
      </w:r>
      <w:r w:rsidRPr="003724A4">
        <w:rPr>
          <w:rFonts w:ascii="Arial" w:hAnsi="Arial" w:cs="Arial"/>
          <w:sz w:val="18"/>
          <w:szCs w:val="18"/>
          <w:vertAlign w:val="subscript"/>
        </w:rPr>
        <w:t xml:space="preserve"> </w:t>
      </w:r>
      <w:r w:rsidRPr="003724A4">
        <w:rPr>
          <w:rFonts w:ascii="Arial" w:hAnsi="Arial" w:cs="Arial"/>
          <w:sz w:val="18"/>
          <w:szCs w:val="18"/>
        </w:rPr>
        <w:t xml:space="preserve">fraction available from dosage form; </w:t>
      </w:r>
      <w:proofErr w:type="spellStart"/>
      <w:r w:rsidRPr="003724A4">
        <w:rPr>
          <w:rFonts w:ascii="Arial" w:hAnsi="Arial" w:cs="Arial"/>
          <w:sz w:val="18"/>
          <w:szCs w:val="18"/>
        </w:rPr>
        <w:t>f</w:t>
      </w:r>
      <w:r w:rsidRPr="003724A4">
        <w:rPr>
          <w:rFonts w:ascii="Arial" w:hAnsi="Arial" w:cs="Arial"/>
          <w:sz w:val="18"/>
          <w:szCs w:val="18"/>
          <w:vertAlign w:val="subscript"/>
        </w:rPr>
        <w:t>m</w:t>
      </w:r>
      <w:proofErr w:type="spellEnd"/>
      <w:r w:rsidRPr="003724A4">
        <w:rPr>
          <w:rFonts w:ascii="Arial" w:hAnsi="Arial" w:cs="Arial"/>
          <w:sz w:val="18"/>
          <w:szCs w:val="18"/>
        </w:rPr>
        <w:t>,</w:t>
      </w:r>
      <w:r w:rsidRPr="003724A4">
        <w:rPr>
          <w:rFonts w:ascii="Arial" w:hAnsi="Arial" w:cs="Arial"/>
          <w:sz w:val="18"/>
          <w:szCs w:val="18"/>
          <w:vertAlign w:val="subscript"/>
        </w:rPr>
        <w:t xml:space="preserve"> </w:t>
      </w:r>
      <w:r w:rsidRPr="003724A4">
        <w:rPr>
          <w:rFonts w:ascii="Arial" w:hAnsi="Arial" w:cs="Arial"/>
          <w:sz w:val="18"/>
          <w:szCs w:val="18"/>
        </w:rPr>
        <w:t>fraction metabolized by a given enzymatic pathway;  f</w:t>
      </w:r>
      <w:r w:rsidRPr="003724A4">
        <w:rPr>
          <w:rFonts w:ascii="Arial" w:hAnsi="Arial" w:cs="Arial"/>
          <w:sz w:val="18"/>
          <w:szCs w:val="18"/>
          <w:vertAlign w:val="subscript"/>
        </w:rPr>
        <w:t>u</w:t>
      </w:r>
      <w:r w:rsidRPr="003724A4">
        <w:rPr>
          <w:rFonts w:ascii="Arial" w:hAnsi="Arial" w:cs="Arial"/>
          <w:sz w:val="18"/>
          <w:szCs w:val="18"/>
        </w:rPr>
        <w:t xml:space="preserve">, fraction unbound in plasma;  </w:t>
      </w:r>
      <w:proofErr w:type="spellStart"/>
      <w:r w:rsidRPr="003724A4">
        <w:rPr>
          <w:rFonts w:ascii="Arial" w:hAnsi="Arial" w:cs="Arial"/>
          <w:sz w:val="18"/>
          <w:szCs w:val="18"/>
        </w:rPr>
        <w:t>fu</w:t>
      </w:r>
      <w:r w:rsidRPr="003724A4">
        <w:rPr>
          <w:rFonts w:ascii="Arial" w:hAnsi="Arial" w:cs="Arial"/>
          <w:sz w:val="18"/>
          <w:szCs w:val="18"/>
          <w:vertAlign w:val="subscript"/>
        </w:rPr>
        <w:t>gut</w:t>
      </w:r>
      <w:proofErr w:type="spellEnd"/>
      <w:r w:rsidRPr="003724A4">
        <w:rPr>
          <w:rFonts w:ascii="Arial" w:hAnsi="Arial" w:cs="Arial"/>
          <w:sz w:val="18"/>
          <w:szCs w:val="18"/>
        </w:rPr>
        <w:t xml:space="preserve">, fraction unbound in the enterocytes; </w:t>
      </w:r>
      <w:proofErr w:type="spellStart"/>
      <w:r w:rsidRPr="003724A4">
        <w:rPr>
          <w:rFonts w:ascii="Arial" w:hAnsi="Arial" w:cs="Arial"/>
          <w:sz w:val="18"/>
          <w:szCs w:val="18"/>
        </w:rPr>
        <w:t>fu</w:t>
      </w:r>
      <w:r w:rsidRPr="003724A4">
        <w:rPr>
          <w:rFonts w:ascii="Arial" w:hAnsi="Arial" w:cs="Arial"/>
          <w:sz w:val="18"/>
          <w:szCs w:val="18"/>
          <w:vertAlign w:val="subscript"/>
        </w:rPr>
        <w:t>mic</w:t>
      </w:r>
      <w:proofErr w:type="spellEnd"/>
      <w:r w:rsidRPr="003724A4">
        <w:rPr>
          <w:rFonts w:ascii="Arial" w:hAnsi="Arial" w:cs="Arial"/>
          <w:sz w:val="18"/>
          <w:szCs w:val="18"/>
        </w:rPr>
        <w:t xml:space="preserve">, fraction unbound in the microsomal incubation; </w:t>
      </w:r>
      <w:r w:rsidRPr="003724A4">
        <w:rPr>
          <w:rFonts w:ascii="Arial" w:hAnsi="Arial" w:cs="Arial"/>
          <w:i/>
          <w:iCs/>
          <w:sz w:val="18"/>
          <w:szCs w:val="18"/>
        </w:rPr>
        <w:t>K</w:t>
      </w:r>
      <w:r w:rsidRPr="003724A4">
        <w:rPr>
          <w:rFonts w:ascii="Arial" w:hAnsi="Arial" w:cs="Arial"/>
          <w:i/>
          <w:iCs/>
          <w:sz w:val="18"/>
          <w:szCs w:val="18"/>
          <w:vertAlign w:val="subscript"/>
        </w:rPr>
        <w:t xml:space="preserve">I, </w:t>
      </w:r>
      <w:r w:rsidRPr="003724A4">
        <w:rPr>
          <w:rFonts w:ascii="Arial" w:hAnsi="Arial" w:cs="Arial"/>
          <w:sz w:val="18"/>
          <w:szCs w:val="18"/>
        </w:rPr>
        <w:t>concentration of mechanism-based inactivator associated with half maximal inhibition;</w:t>
      </w:r>
      <w:r w:rsidRPr="003724A4">
        <w:rPr>
          <w:rFonts w:ascii="Arial" w:hAnsi="Arial" w:cs="Arial"/>
          <w:sz w:val="18"/>
          <w:szCs w:val="18"/>
          <w:vertAlign w:val="subscript"/>
        </w:rPr>
        <w:t xml:space="preserve"> </w:t>
      </w:r>
      <w:proofErr w:type="spellStart"/>
      <w:r w:rsidRPr="003724A4">
        <w:rPr>
          <w:rFonts w:ascii="Arial" w:hAnsi="Arial" w:cs="Arial"/>
          <w:i/>
          <w:iCs/>
          <w:sz w:val="18"/>
          <w:szCs w:val="18"/>
        </w:rPr>
        <w:t>k</w:t>
      </w:r>
      <w:r w:rsidRPr="003724A4">
        <w:rPr>
          <w:rFonts w:ascii="Arial" w:hAnsi="Arial" w:cs="Arial"/>
          <w:i/>
          <w:iCs/>
          <w:sz w:val="18"/>
          <w:szCs w:val="18"/>
          <w:vertAlign w:val="subscript"/>
        </w:rPr>
        <w:t>inact</w:t>
      </w:r>
      <w:proofErr w:type="spellEnd"/>
      <w:r w:rsidRPr="003724A4">
        <w:rPr>
          <w:rFonts w:ascii="Arial" w:hAnsi="Arial" w:cs="Arial"/>
          <w:i/>
          <w:iCs/>
          <w:sz w:val="18"/>
          <w:szCs w:val="18"/>
          <w:vertAlign w:val="subscript"/>
        </w:rPr>
        <w:t xml:space="preserve">, </w:t>
      </w:r>
      <w:r w:rsidRPr="003724A4">
        <w:rPr>
          <w:rFonts w:ascii="Arial" w:hAnsi="Arial" w:cs="Arial"/>
          <w:sz w:val="18"/>
          <w:szCs w:val="18"/>
        </w:rPr>
        <w:t>inactivation rate of the enzyme;</w:t>
      </w:r>
      <w:r w:rsidRPr="003724A4">
        <w:rPr>
          <w:rFonts w:ascii="Arial" w:hAnsi="Arial" w:cs="Arial"/>
          <w:i/>
          <w:iCs/>
          <w:sz w:val="18"/>
          <w:szCs w:val="18"/>
          <w:vertAlign w:val="subscript"/>
        </w:rPr>
        <w:t xml:space="preserve"> </w:t>
      </w:r>
      <w:r w:rsidRPr="003724A4">
        <w:rPr>
          <w:rFonts w:ascii="Arial" w:hAnsi="Arial" w:cs="Arial"/>
          <w:i/>
          <w:iCs/>
          <w:sz w:val="18"/>
          <w:szCs w:val="18"/>
        </w:rPr>
        <w:t>K</w:t>
      </w:r>
      <w:r w:rsidRPr="003724A4">
        <w:rPr>
          <w:rFonts w:ascii="Arial" w:hAnsi="Arial" w:cs="Arial"/>
          <w:i/>
          <w:iCs/>
          <w:sz w:val="18"/>
          <w:szCs w:val="18"/>
          <w:vertAlign w:val="subscript"/>
        </w:rPr>
        <w:t>i</w:t>
      </w:r>
      <w:r w:rsidRPr="003724A4">
        <w:rPr>
          <w:rFonts w:ascii="Arial" w:hAnsi="Arial" w:cs="Arial"/>
          <w:i/>
          <w:iCs/>
          <w:sz w:val="18"/>
          <w:szCs w:val="18"/>
        </w:rPr>
        <w:t xml:space="preserve">, </w:t>
      </w:r>
      <w:r w:rsidRPr="003724A4">
        <w:rPr>
          <w:rFonts w:ascii="Arial" w:hAnsi="Arial" w:cs="Arial"/>
          <w:sz w:val="18"/>
          <w:szCs w:val="18"/>
        </w:rPr>
        <w:t xml:space="preserve">concentration of reversible inhibitor that supports half maximal inhibition; log P, common logarithm of the </w:t>
      </w:r>
      <w:proofErr w:type="spellStart"/>
      <w:r w:rsidRPr="003724A4">
        <w:rPr>
          <w:rFonts w:ascii="Arial" w:hAnsi="Arial" w:cs="Arial"/>
          <w:sz w:val="18"/>
          <w:szCs w:val="18"/>
        </w:rPr>
        <w:t>octanol:water</w:t>
      </w:r>
      <w:proofErr w:type="spellEnd"/>
      <w:r w:rsidRPr="003724A4">
        <w:rPr>
          <w:rFonts w:ascii="Arial" w:hAnsi="Arial" w:cs="Arial"/>
          <w:sz w:val="18"/>
          <w:szCs w:val="18"/>
        </w:rPr>
        <w:t xml:space="preserve"> partition coefficient; </w:t>
      </w:r>
      <w:proofErr w:type="spellStart"/>
      <w:r w:rsidRPr="003724A4">
        <w:rPr>
          <w:rFonts w:ascii="Arial" w:hAnsi="Arial" w:cs="Arial"/>
          <w:sz w:val="18"/>
          <w:szCs w:val="18"/>
        </w:rPr>
        <w:t>P</w:t>
      </w:r>
      <w:r w:rsidRPr="003724A4">
        <w:rPr>
          <w:rFonts w:ascii="Arial" w:hAnsi="Arial" w:cs="Arial"/>
          <w:sz w:val="18"/>
          <w:szCs w:val="18"/>
          <w:vertAlign w:val="subscript"/>
        </w:rPr>
        <w:t>eff,man</w:t>
      </w:r>
      <w:proofErr w:type="spellEnd"/>
      <w:r w:rsidRPr="003724A4">
        <w:rPr>
          <w:rFonts w:ascii="Arial" w:hAnsi="Arial" w:cs="Arial"/>
          <w:sz w:val="18"/>
          <w:szCs w:val="18"/>
        </w:rPr>
        <w:t xml:space="preserve">, Human jejunum effective permeability; Q, intercompartmental clearance in the Minimal PBPK model; </w:t>
      </w:r>
      <w:proofErr w:type="spellStart"/>
      <w:r w:rsidRPr="003724A4">
        <w:rPr>
          <w:rFonts w:ascii="Arial" w:hAnsi="Arial" w:cs="Arial"/>
          <w:sz w:val="18"/>
          <w:szCs w:val="18"/>
        </w:rPr>
        <w:t>V</w:t>
      </w:r>
      <w:r w:rsidRPr="003724A4">
        <w:rPr>
          <w:rFonts w:ascii="Arial" w:hAnsi="Arial" w:cs="Arial"/>
          <w:sz w:val="18"/>
          <w:szCs w:val="18"/>
          <w:vertAlign w:val="subscript"/>
        </w:rPr>
        <w:t>sac</w:t>
      </w:r>
      <w:proofErr w:type="spellEnd"/>
      <w:r w:rsidRPr="003724A4">
        <w:rPr>
          <w:rFonts w:ascii="Arial" w:hAnsi="Arial" w:cs="Arial"/>
          <w:sz w:val="18"/>
          <w:szCs w:val="18"/>
          <w:vertAlign w:val="subscript"/>
        </w:rPr>
        <w:t xml:space="preserve">, </w:t>
      </w:r>
      <w:r w:rsidRPr="003724A4">
        <w:rPr>
          <w:rFonts w:ascii="Arial" w:hAnsi="Arial" w:cs="Arial"/>
          <w:sz w:val="18"/>
          <w:szCs w:val="18"/>
        </w:rPr>
        <w:t xml:space="preserve">volume of the single adjusting compartment representing a lump of all tissues excluding the liver and portal vein in the </w:t>
      </w:r>
      <w:proofErr w:type="spellStart"/>
      <w:r w:rsidRPr="003724A4">
        <w:rPr>
          <w:rFonts w:ascii="Arial" w:hAnsi="Arial" w:cs="Arial"/>
          <w:sz w:val="18"/>
          <w:szCs w:val="18"/>
        </w:rPr>
        <w:t>Simcyp</w:t>
      </w:r>
      <w:proofErr w:type="spellEnd"/>
      <w:r w:rsidRPr="003724A4">
        <w:rPr>
          <w:rFonts w:ascii="Arial" w:hAnsi="Arial" w:cs="Arial"/>
          <w:sz w:val="18"/>
          <w:szCs w:val="18"/>
        </w:rPr>
        <w:t xml:space="preserve"> Minimal PBPK model; </w:t>
      </w:r>
      <w:proofErr w:type="spellStart"/>
      <w:r w:rsidRPr="003724A4">
        <w:rPr>
          <w:rFonts w:ascii="Arial" w:hAnsi="Arial" w:cs="Arial"/>
          <w:sz w:val="18"/>
          <w:szCs w:val="18"/>
        </w:rPr>
        <w:t>Q</w:t>
      </w:r>
      <w:r w:rsidRPr="003724A4">
        <w:rPr>
          <w:rFonts w:ascii="Arial" w:hAnsi="Arial" w:cs="Arial"/>
          <w:sz w:val="18"/>
          <w:szCs w:val="18"/>
          <w:vertAlign w:val="subscript"/>
        </w:rPr>
        <w:t>gut</w:t>
      </w:r>
      <w:proofErr w:type="spellEnd"/>
      <w:r w:rsidRPr="003724A4">
        <w:rPr>
          <w:rFonts w:ascii="Arial" w:hAnsi="Arial" w:cs="Arial"/>
          <w:sz w:val="18"/>
          <w:szCs w:val="18"/>
        </w:rPr>
        <w:t xml:space="preserve">, Nominal flow in gut model; </w:t>
      </w:r>
      <w:proofErr w:type="spellStart"/>
      <w:r w:rsidRPr="003724A4">
        <w:rPr>
          <w:rFonts w:ascii="Arial" w:hAnsi="Arial" w:cs="Arial"/>
          <w:sz w:val="18"/>
          <w:szCs w:val="18"/>
        </w:rPr>
        <w:t>V</w:t>
      </w:r>
      <w:r w:rsidRPr="003724A4">
        <w:rPr>
          <w:rFonts w:ascii="Arial" w:hAnsi="Arial" w:cs="Arial"/>
          <w:sz w:val="18"/>
          <w:szCs w:val="18"/>
          <w:vertAlign w:val="subscript"/>
        </w:rPr>
        <w:t>ss</w:t>
      </w:r>
      <w:proofErr w:type="spellEnd"/>
      <w:r w:rsidRPr="003724A4">
        <w:rPr>
          <w:rFonts w:ascii="Arial" w:hAnsi="Arial" w:cs="Arial"/>
          <w:sz w:val="18"/>
          <w:szCs w:val="18"/>
        </w:rPr>
        <w:t>, volume of distribution at steady state</w:t>
      </w:r>
    </w:p>
    <w:p w14:paraId="71A1E2EC" w14:textId="77777777" w:rsidR="003724A4" w:rsidRPr="003724A4" w:rsidRDefault="003724A4" w:rsidP="003724A4">
      <w:pPr>
        <w:spacing w:line="240" w:lineRule="auto"/>
        <w:rPr>
          <w:rFonts w:ascii="Arial" w:hAnsi="Arial" w:cs="Arial"/>
          <w:sz w:val="18"/>
          <w:szCs w:val="18"/>
        </w:rPr>
      </w:pPr>
    </w:p>
    <w:p w14:paraId="6A8B765C" w14:textId="77777777" w:rsidR="003724A4" w:rsidRPr="003724A4" w:rsidRDefault="003724A4" w:rsidP="003724A4">
      <w:pPr>
        <w:spacing w:line="240" w:lineRule="auto"/>
        <w:rPr>
          <w:rFonts w:ascii="Arial" w:hAnsi="Arial" w:cs="Arial"/>
          <w:sz w:val="18"/>
          <w:szCs w:val="18"/>
        </w:rPr>
      </w:pPr>
    </w:p>
    <w:p w14:paraId="0348A6BB" w14:textId="08409DA7" w:rsidR="003724A4" w:rsidRDefault="003724A4" w:rsidP="003724A4">
      <w:pPr>
        <w:spacing w:line="240" w:lineRule="auto"/>
        <w:rPr>
          <w:rFonts w:ascii="Arial" w:hAnsi="Arial" w:cs="Arial"/>
          <w:sz w:val="18"/>
          <w:szCs w:val="18"/>
        </w:rPr>
      </w:pPr>
    </w:p>
    <w:p w14:paraId="31ECB475" w14:textId="60D3CD76" w:rsidR="003724A4" w:rsidRDefault="003724A4" w:rsidP="003724A4">
      <w:pPr>
        <w:spacing w:line="240" w:lineRule="auto"/>
        <w:rPr>
          <w:rFonts w:ascii="Arial" w:hAnsi="Arial" w:cs="Arial"/>
          <w:sz w:val="18"/>
          <w:szCs w:val="18"/>
        </w:rPr>
      </w:pPr>
    </w:p>
    <w:p w14:paraId="387E035B" w14:textId="55538B94" w:rsidR="003724A4" w:rsidRDefault="003724A4" w:rsidP="003724A4">
      <w:pPr>
        <w:spacing w:line="240" w:lineRule="auto"/>
        <w:rPr>
          <w:rFonts w:ascii="Arial" w:hAnsi="Arial" w:cs="Arial"/>
          <w:sz w:val="18"/>
          <w:szCs w:val="18"/>
        </w:rPr>
      </w:pPr>
    </w:p>
    <w:p w14:paraId="011E9E96" w14:textId="0EB69099" w:rsidR="003724A4" w:rsidRDefault="003724A4" w:rsidP="003724A4">
      <w:pPr>
        <w:spacing w:line="240" w:lineRule="auto"/>
        <w:rPr>
          <w:rFonts w:ascii="Arial" w:hAnsi="Arial" w:cs="Arial"/>
          <w:sz w:val="18"/>
          <w:szCs w:val="18"/>
        </w:rPr>
      </w:pPr>
    </w:p>
    <w:p w14:paraId="0CD60897" w14:textId="0A144105" w:rsidR="003724A4" w:rsidRDefault="003724A4" w:rsidP="003724A4">
      <w:pPr>
        <w:spacing w:line="240" w:lineRule="auto"/>
        <w:rPr>
          <w:rFonts w:ascii="Arial" w:hAnsi="Arial" w:cs="Arial"/>
          <w:sz w:val="18"/>
          <w:szCs w:val="18"/>
        </w:rPr>
      </w:pPr>
    </w:p>
    <w:p w14:paraId="460F0278" w14:textId="48DE86C7" w:rsidR="003724A4" w:rsidRDefault="003724A4" w:rsidP="003724A4">
      <w:pPr>
        <w:spacing w:line="240" w:lineRule="auto"/>
        <w:rPr>
          <w:rFonts w:ascii="Arial" w:hAnsi="Arial" w:cs="Arial"/>
          <w:sz w:val="18"/>
          <w:szCs w:val="18"/>
        </w:rPr>
      </w:pPr>
    </w:p>
    <w:p w14:paraId="1BE565E6" w14:textId="4A82E7B8" w:rsidR="003724A4" w:rsidRDefault="003724A4" w:rsidP="003724A4">
      <w:pPr>
        <w:spacing w:line="240" w:lineRule="auto"/>
        <w:rPr>
          <w:rFonts w:ascii="Arial" w:hAnsi="Arial" w:cs="Arial"/>
          <w:sz w:val="18"/>
          <w:szCs w:val="18"/>
        </w:rPr>
      </w:pPr>
    </w:p>
    <w:p w14:paraId="1B005C68" w14:textId="77E5BE18" w:rsidR="003724A4" w:rsidRDefault="003724A4" w:rsidP="003724A4">
      <w:pPr>
        <w:spacing w:line="240" w:lineRule="auto"/>
        <w:rPr>
          <w:rFonts w:ascii="Arial" w:hAnsi="Arial" w:cs="Arial"/>
          <w:sz w:val="18"/>
          <w:szCs w:val="18"/>
        </w:rPr>
      </w:pPr>
    </w:p>
    <w:p w14:paraId="43BAA763" w14:textId="6AB466CA" w:rsidR="003724A4" w:rsidRDefault="003724A4" w:rsidP="003724A4">
      <w:pPr>
        <w:spacing w:line="240" w:lineRule="auto"/>
        <w:rPr>
          <w:rFonts w:ascii="Arial" w:hAnsi="Arial" w:cs="Arial"/>
          <w:sz w:val="18"/>
          <w:szCs w:val="18"/>
        </w:rPr>
      </w:pPr>
    </w:p>
    <w:p w14:paraId="25D84DD1" w14:textId="762E1D1E" w:rsidR="003724A4" w:rsidRDefault="003724A4" w:rsidP="003724A4">
      <w:pPr>
        <w:spacing w:line="240" w:lineRule="auto"/>
        <w:rPr>
          <w:rFonts w:ascii="Arial" w:hAnsi="Arial" w:cs="Arial"/>
          <w:sz w:val="18"/>
          <w:szCs w:val="18"/>
        </w:rPr>
      </w:pPr>
    </w:p>
    <w:p w14:paraId="62201210" w14:textId="0361EDEC" w:rsidR="003724A4" w:rsidRDefault="003724A4" w:rsidP="003724A4">
      <w:pPr>
        <w:spacing w:line="240" w:lineRule="auto"/>
        <w:rPr>
          <w:rFonts w:ascii="Arial" w:hAnsi="Arial" w:cs="Arial"/>
          <w:sz w:val="18"/>
          <w:szCs w:val="18"/>
        </w:rPr>
      </w:pPr>
    </w:p>
    <w:p w14:paraId="118D4601" w14:textId="6E4FE60B" w:rsidR="003724A4" w:rsidRPr="003724A4" w:rsidRDefault="003724A4" w:rsidP="003724A4">
      <w:pPr>
        <w:spacing w:line="240" w:lineRule="auto"/>
        <w:rPr>
          <w:rFonts w:ascii="Arial" w:hAnsi="Arial" w:cs="Arial"/>
          <w:b/>
          <w:bCs/>
          <w:sz w:val="20"/>
          <w:szCs w:val="20"/>
        </w:rPr>
      </w:pPr>
      <w:r w:rsidRPr="003724A4">
        <w:rPr>
          <w:rFonts w:ascii="Arial" w:hAnsi="Arial" w:cs="Arial"/>
          <w:b/>
          <w:bCs/>
          <w:sz w:val="20"/>
          <w:szCs w:val="20"/>
        </w:rPr>
        <w:t>References</w:t>
      </w:r>
    </w:p>
    <w:p w14:paraId="0074E44D" w14:textId="34B88EDC"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b/>
          <w:bCs/>
          <w:sz w:val="20"/>
          <w:szCs w:val="20"/>
        </w:rPr>
        <w:fldChar w:fldCharType="begin" w:fldLock="1"/>
      </w:r>
      <w:r w:rsidRPr="003724A4">
        <w:rPr>
          <w:rFonts w:ascii="Arial" w:hAnsi="Arial" w:cs="Arial"/>
          <w:b/>
          <w:bCs/>
          <w:sz w:val="20"/>
          <w:szCs w:val="20"/>
        </w:rPr>
        <w:instrText xml:space="preserve">ADDIN Mendeley Bibliography CSL_BIBLIOGRAPHY </w:instrText>
      </w:r>
      <w:r w:rsidRPr="003724A4">
        <w:rPr>
          <w:rFonts w:ascii="Arial" w:hAnsi="Arial" w:cs="Arial"/>
          <w:b/>
          <w:bCs/>
          <w:sz w:val="20"/>
          <w:szCs w:val="20"/>
        </w:rPr>
        <w:fldChar w:fldCharType="separate"/>
      </w:r>
      <w:r w:rsidRPr="003724A4">
        <w:rPr>
          <w:rFonts w:ascii="Arial" w:hAnsi="Arial" w:cs="Arial"/>
          <w:noProof/>
          <w:sz w:val="20"/>
          <w:szCs w:val="20"/>
        </w:rPr>
        <w:t>1.</w:t>
      </w:r>
      <w:r w:rsidRPr="003724A4">
        <w:rPr>
          <w:rFonts w:ascii="Arial" w:hAnsi="Arial" w:cs="Arial"/>
          <w:noProof/>
          <w:sz w:val="20"/>
          <w:szCs w:val="20"/>
        </w:rPr>
        <w:tab/>
        <w:t xml:space="preserve">Gruber, A. </w:t>
      </w:r>
      <w:r w:rsidRPr="003724A4">
        <w:rPr>
          <w:rFonts w:ascii="Arial" w:hAnsi="Arial" w:cs="Arial"/>
          <w:i/>
          <w:iCs/>
          <w:noProof/>
          <w:sz w:val="20"/>
          <w:szCs w:val="20"/>
        </w:rPr>
        <w:t>et al.</w:t>
      </w:r>
      <w:r w:rsidRPr="003724A4">
        <w:rPr>
          <w:rFonts w:ascii="Arial" w:hAnsi="Arial" w:cs="Arial"/>
          <w:noProof/>
          <w:sz w:val="20"/>
          <w:szCs w:val="20"/>
        </w:rPr>
        <w:t xml:space="preserve"> Monitoring of erlotinib in pancreatic cancer patients during long-time administration and comparison to a physiologically based pharmacokinetic model. </w:t>
      </w:r>
      <w:r w:rsidRPr="003724A4">
        <w:rPr>
          <w:rFonts w:ascii="Arial" w:hAnsi="Arial" w:cs="Arial"/>
          <w:i/>
          <w:iCs/>
          <w:noProof/>
          <w:sz w:val="20"/>
          <w:szCs w:val="20"/>
        </w:rPr>
        <w:t>Cancer Chemother. Pharmacol.</w:t>
      </w:r>
      <w:r w:rsidRPr="003724A4">
        <w:rPr>
          <w:rFonts w:ascii="Arial" w:hAnsi="Arial" w:cs="Arial"/>
          <w:noProof/>
          <w:sz w:val="20"/>
          <w:szCs w:val="20"/>
        </w:rPr>
        <w:t xml:space="preserve"> </w:t>
      </w:r>
      <w:r w:rsidRPr="003724A4">
        <w:rPr>
          <w:rFonts w:ascii="Arial" w:hAnsi="Arial" w:cs="Arial"/>
          <w:b/>
          <w:bCs/>
          <w:noProof/>
          <w:sz w:val="20"/>
          <w:szCs w:val="20"/>
        </w:rPr>
        <w:t>81</w:t>
      </w:r>
      <w:r w:rsidRPr="003724A4">
        <w:rPr>
          <w:rFonts w:ascii="Arial" w:hAnsi="Arial" w:cs="Arial"/>
          <w:noProof/>
          <w:sz w:val="20"/>
          <w:szCs w:val="20"/>
        </w:rPr>
        <w:t>, 763–771 (2018).</w:t>
      </w:r>
    </w:p>
    <w:p w14:paraId="1F671532"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2.</w:t>
      </w:r>
      <w:r w:rsidRPr="003724A4">
        <w:rPr>
          <w:rFonts w:ascii="Arial" w:hAnsi="Arial" w:cs="Arial"/>
          <w:noProof/>
          <w:sz w:val="20"/>
          <w:szCs w:val="20"/>
        </w:rPr>
        <w:tab/>
        <w:t xml:space="preserve">Rakhit, A. </w:t>
      </w:r>
      <w:r w:rsidRPr="003724A4">
        <w:rPr>
          <w:rFonts w:ascii="Arial" w:hAnsi="Arial" w:cs="Arial"/>
          <w:i/>
          <w:iCs/>
          <w:noProof/>
          <w:sz w:val="20"/>
          <w:szCs w:val="20"/>
        </w:rPr>
        <w:t>et al.</w:t>
      </w:r>
      <w:r w:rsidRPr="003724A4">
        <w:rPr>
          <w:rFonts w:ascii="Arial" w:hAnsi="Arial" w:cs="Arial"/>
          <w:noProof/>
          <w:sz w:val="20"/>
          <w:szCs w:val="20"/>
        </w:rPr>
        <w:t xml:space="preserve"> The effects of CYP3A4 inhibition on erlotinib pharmacokinetics: Computer-based simulation (SimCYP</w:t>
      </w:r>
      <w:r w:rsidRPr="003724A4">
        <w:rPr>
          <w:rFonts w:ascii="Arial" w:hAnsi="Arial" w:cs="Arial"/>
          <w:noProof/>
          <w:sz w:val="20"/>
          <w:szCs w:val="20"/>
          <w:vertAlign w:val="superscript"/>
        </w:rPr>
        <w:t>TM</w:t>
      </w:r>
      <w:r w:rsidRPr="003724A4">
        <w:rPr>
          <w:rFonts w:ascii="Arial" w:hAnsi="Arial" w:cs="Arial"/>
          <w:noProof/>
          <w:sz w:val="20"/>
          <w:szCs w:val="20"/>
        </w:rPr>
        <w:t xml:space="preserve">) predicts in vivo metabolic inhibition. </w:t>
      </w:r>
      <w:r w:rsidRPr="003724A4">
        <w:rPr>
          <w:rFonts w:ascii="Arial" w:hAnsi="Arial" w:cs="Arial"/>
          <w:i/>
          <w:iCs/>
          <w:noProof/>
          <w:sz w:val="20"/>
          <w:szCs w:val="20"/>
        </w:rPr>
        <w:t>Eur. J. Clin. Pharmacol.</w:t>
      </w:r>
      <w:r w:rsidRPr="003724A4">
        <w:rPr>
          <w:rFonts w:ascii="Arial" w:hAnsi="Arial" w:cs="Arial"/>
          <w:noProof/>
          <w:sz w:val="20"/>
          <w:szCs w:val="20"/>
        </w:rPr>
        <w:t xml:space="preserve"> </w:t>
      </w:r>
      <w:r w:rsidRPr="003724A4">
        <w:rPr>
          <w:rFonts w:ascii="Arial" w:hAnsi="Arial" w:cs="Arial"/>
          <w:b/>
          <w:bCs/>
          <w:noProof/>
          <w:sz w:val="20"/>
          <w:szCs w:val="20"/>
        </w:rPr>
        <w:t>64</w:t>
      </w:r>
      <w:r w:rsidRPr="003724A4">
        <w:rPr>
          <w:rFonts w:ascii="Arial" w:hAnsi="Arial" w:cs="Arial"/>
          <w:noProof/>
          <w:sz w:val="20"/>
          <w:szCs w:val="20"/>
        </w:rPr>
        <w:t>, 31–41 (2008).</w:t>
      </w:r>
    </w:p>
    <w:p w14:paraId="50A4F3FC"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3.</w:t>
      </w:r>
      <w:r w:rsidRPr="003724A4">
        <w:rPr>
          <w:rFonts w:ascii="Arial" w:hAnsi="Arial" w:cs="Arial"/>
          <w:noProof/>
          <w:sz w:val="20"/>
          <w:szCs w:val="20"/>
        </w:rPr>
        <w:tab/>
        <w:t xml:space="preserve">Scheffler, M., Gion, P. Di, Doroshyenko, O., Wolf, J. &amp; Fuhr, U. Clinical pharmacokinetics of tyrosine kinase inhibitors: Focus on 4-anilinoquinazolines. </w:t>
      </w:r>
      <w:r w:rsidRPr="003724A4">
        <w:rPr>
          <w:rFonts w:ascii="Arial" w:hAnsi="Arial" w:cs="Arial"/>
          <w:i/>
          <w:iCs/>
          <w:noProof/>
          <w:sz w:val="20"/>
          <w:szCs w:val="20"/>
        </w:rPr>
        <w:t>Clin. Pharmacokinet.</w:t>
      </w:r>
      <w:r w:rsidRPr="003724A4">
        <w:rPr>
          <w:rFonts w:ascii="Arial" w:hAnsi="Arial" w:cs="Arial"/>
          <w:noProof/>
          <w:sz w:val="20"/>
          <w:szCs w:val="20"/>
        </w:rPr>
        <w:t xml:space="preserve"> </w:t>
      </w:r>
      <w:r w:rsidRPr="003724A4">
        <w:rPr>
          <w:rFonts w:ascii="Arial" w:hAnsi="Arial" w:cs="Arial"/>
          <w:b/>
          <w:bCs/>
          <w:noProof/>
          <w:sz w:val="20"/>
          <w:szCs w:val="20"/>
        </w:rPr>
        <w:t>50</w:t>
      </w:r>
      <w:r w:rsidRPr="003724A4">
        <w:rPr>
          <w:rFonts w:ascii="Arial" w:hAnsi="Arial" w:cs="Arial"/>
          <w:noProof/>
          <w:sz w:val="20"/>
          <w:szCs w:val="20"/>
        </w:rPr>
        <w:t>, 371–403 (2011).</w:t>
      </w:r>
    </w:p>
    <w:p w14:paraId="6330E133"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4.</w:t>
      </w:r>
      <w:r w:rsidRPr="003724A4">
        <w:rPr>
          <w:rFonts w:ascii="Arial" w:hAnsi="Arial" w:cs="Arial"/>
          <w:noProof/>
          <w:sz w:val="20"/>
          <w:szCs w:val="20"/>
        </w:rPr>
        <w:tab/>
        <w:t xml:space="preserve">Schwenger, E. </w:t>
      </w:r>
      <w:r w:rsidRPr="003724A4">
        <w:rPr>
          <w:rFonts w:ascii="Arial" w:hAnsi="Arial" w:cs="Arial"/>
          <w:i/>
          <w:iCs/>
          <w:noProof/>
          <w:sz w:val="20"/>
          <w:szCs w:val="20"/>
        </w:rPr>
        <w:t>et al.</w:t>
      </w:r>
      <w:r w:rsidRPr="003724A4">
        <w:rPr>
          <w:rFonts w:ascii="Arial" w:hAnsi="Arial" w:cs="Arial"/>
          <w:noProof/>
          <w:sz w:val="20"/>
          <w:szCs w:val="20"/>
        </w:rPr>
        <w:t xml:space="preserve"> Harnessing Meta-analysis to Refine an Oncology Patient Population for Physiology-Based Pharmacokinetic Modeling of Drugs. </w:t>
      </w:r>
      <w:r w:rsidRPr="003724A4">
        <w:rPr>
          <w:rFonts w:ascii="Arial" w:hAnsi="Arial" w:cs="Arial"/>
          <w:i/>
          <w:iCs/>
          <w:noProof/>
          <w:sz w:val="20"/>
          <w:szCs w:val="20"/>
        </w:rPr>
        <w:t>Clin. Pharmacol. Ther.</w:t>
      </w:r>
      <w:r w:rsidRPr="003724A4">
        <w:rPr>
          <w:rFonts w:ascii="Arial" w:hAnsi="Arial" w:cs="Arial"/>
          <w:noProof/>
          <w:sz w:val="20"/>
          <w:szCs w:val="20"/>
        </w:rPr>
        <w:t xml:space="preserve"> </w:t>
      </w:r>
      <w:r w:rsidRPr="003724A4">
        <w:rPr>
          <w:rFonts w:ascii="Arial" w:hAnsi="Arial" w:cs="Arial"/>
          <w:b/>
          <w:bCs/>
          <w:noProof/>
          <w:sz w:val="20"/>
          <w:szCs w:val="20"/>
        </w:rPr>
        <w:t>103</w:t>
      </w:r>
      <w:r w:rsidRPr="003724A4">
        <w:rPr>
          <w:rFonts w:ascii="Arial" w:hAnsi="Arial" w:cs="Arial"/>
          <w:noProof/>
          <w:sz w:val="20"/>
          <w:szCs w:val="20"/>
        </w:rPr>
        <w:t>, 271–280 (2018).</w:t>
      </w:r>
    </w:p>
    <w:p w14:paraId="653C512B"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5.</w:t>
      </w:r>
      <w:r w:rsidRPr="003724A4">
        <w:rPr>
          <w:rFonts w:ascii="Arial" w:hAnsi="Arial" w:cs="Arial"/>
          <w:noProof/>
          <w:sz w:val="20"/>
          <w:szCs w:val="20"/>
        </w:rPr>
        <w:tab/>
        <w:t xml:space="preserve">Dodd, S. </w:t>
      </w:r>
      <w:r w:rsidRPr="003724A4">
        <w:rPr>
          <w:rFonts w:ascii="Arial" w:hAnsi="Arial" w:cs="Arial"/>
          <w:i/>
          <w:iCs/>
          <w:noProof/>
          <w:sz w:val="20"/>
          <w:szCs w:val="20"/>
        </w:rPr>
        <w:t>et al.</w:t>
      </w:r>
      <w:r w:rsidRPr="003724A4">
        <w:rPr>
          <w:rFonts w:ascii="Arial" w:hAnsi="Arial" w:cs="Arial"/>
          <w:noProof/>
          <w:sz w:val="20"/>
          <w:szCs w:val="20"/>
        </w:rPr>
        <w:t xml:space="preserve"> Prediction of ARA/PPI Drug-Drug Interactions at the Drug Discovery and Development Interface. </w:t>
      </w:r>
      <w:r w:rsidRPr="003724A4">
        <w:rPr>
          <w:rFonts w:ascii="Arial" w:hAnsi="Arial" w:cs="Arial"/>
          <w:i/>
          <w:iCs/>
          <w:noProof/>
          <w:sz w:val="20"/>
          <w:szCs w:val="20"/>
        </w:rPr>
        <w:t>J. Pharm. Sci.</w:t>
      </w:r>
      <w:r w:rsidRPr="003724A4">
        <w:rPr>
          <w:rFonts w:ascii="Arial" w:hAnsi="Arial" w:cs="Arial"/>
          <w:noProof/>
          <w:sz w:val="20"/>
          <w:szCs w:val="20"/>
        </w:rPr>
        <w:t xml:space="preserve"> </w:t>
      </w:r>
      <w:r w:rsidRPr="003724A4">
        <w:rPr>
          <w:rFonts w:ascii="Arial" w:hAnsi="Arial" w:cs="Arial"/>
          <w:b/>
          <w:bCs/>
          <w:noProof/>
          <w:sz w:val="20"/>
          <w:szCs w:val="20"/>
        </w:rPr>
        <w:t>108</w:t>
      </w:r>
      <w:r w:rsidRPr="003724A4">
        <w:rPr>
          <w:rFonts w:ascii="Arial" w:hAnsi="Arial" w:cs="Arial"/>
          <w:noProof/>
          <w:sz w:val="20"/>
          <w:szCs w:val="20"/>
        </w:rPr>
        <w:t>, 87–101 (2019).</w:t>
      </w:r>
    </w:p>
    <w:p w14:paraId="5602D12F"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6.</w:t>
      </w:r>
      <w:r w:rsidRPr="003724A4">
        <w:rPr>
          <w:rFonts w:ascii="Arial" w:hAnsi="Arial" w:cs="Arial"/>
          <w:noProof/>
          <w:sz w:val="20"/>
          <w:szCs w:val="20"/>
        </w:rPr>
        <w:tab/>
        <w:t xml:space="preserve">Lu, J. F. </w:t>
      </w:r>
      <w:r w:rsidRPr="003724A4">
        <w:rPr>
          <w:rFonts w:ascii="Arial" w:hAnsi="Arial" w:cs="Arial"/>
          <w:i/>
          <w:iCs/>
          <w:noProof/>
          <w:sz w:val="20"/>
          <w:szCs w:val="20"/>
        </w:rPr>
        <w:t>et al.</w:t>
      </w:r>
      <w:r w:rsidRPr="003724A4">
        <w:rPr>
          <w:rFonts w:ascii="Arial" w:hAnsi="Arial" w:cs="Arial"/>
          <w:noProof/>
          <w:sz w:val="20"/>
          <w:szCs w:val="20"/>
        </w:rPr>
        <w:t xml:space="preserve"> Clinical pharmacokinetics of erlotinib in patients with solid tumors and exposure-safety relationship in patients with non-small cell lung cancer. </w:t>
      </w:r>
      <w:r w:rsidRPr="003724A4">
        <w:rPr>
          <w:rFonts w:ascii="Arial" w:hAnsi="Arial" w:cs="Arial"/>
          <w:i/>
          <w:iCs/>
          <w:noProof/>
          <w:sz w:val="20"/>
          <w:szCs w:val="20"/>
        </w:rPr>
        <w:t>Clin. Pharmacol. Ther.</w:t>
      </w:r>
      <w:r w:rsidRPr="003724A4">
        <w:rPr>
          <w:rFonts w:ascii="Arial" w:hAnsi="Arial" w:cs="Arial"/>
          <w:noProof/>
          <w:sz w:val="20"/>
          <w:szCs w:val="20"/>
        </w:rPr>
        <w:t xml:space="preserve"> </w:t>
      </w:r>
      <w:r w:rsidRPr="003724A4">
        <w:rPr>
          <w:rFonts w:ascii="Arial" w:hAnsi="Arial" w:cs="Arial"/>
          <w:b/>
          <w:bCs/>
          <w:noProof/>
          <w:sz w:val="20"/>
          <w:szCs w:val="20"/>
        </w:rPr>
        <w:t>80</w:t>
      </w:r>
      <w:r w:rsidRPr="003724A4">
        <w:rPr>
          <w:rFonts w:ascii="Arial" w:hAnsi="Arial" w:cs="Arial"/>
          <w:noProof/>
          <w:sz w:val="20"/>
          <w:szCs w:val="20"/>
        </w:rPr>
        <w:t>, 136–145 (2006).</w:t>
      </w:r>
    </w:p>
    <w:p w14:paraId="451FEDDD"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7.</w:t>
      </w:r>
      <w:r w:rsidRPr="003724A4">
        <w:rPr>
          <w:rFonts w:ascii="Arial" w:hAnsi="Arial" w:cs="Arial"/>
          <w:noProof/>
          <w:sz w:val="20"/>
          <w:szCs w:val="20"/>
        </w:rPr>
        <w:tab/>
        <w:t xml:space="preserve">Burns, K. </w:t>
      </w:r>
      <w:r w:rsidRPr="003724A4">
        <w:rPr>
          <w:rFonts w:ascii="Arial" w:hAnsi="Arial" w:cs="Arial"/>
          <w:i/>
          <w:iCs/>
          <w:noProof/>
          <w:sz w:val="20"/>
          <w:szCs w:val="20"/>
        </w:rPr>
        <w:t>et al.</w:t>
      </w:r>
      <w:r w:rsidRPr="003724A4">
        <w:rPr>
          <w:rFonts w:ascii="Arial" w:hAnsi="Arial" w:cs="Arial"/>
          <w:noProof/>
          <w:sz w:val="20"/>
          <w:szCs w:val="20"/>
        </w:rPr>
        <w:t xml:space="preserve"> The nonspecific binding of tyrosine kinase inhibitors to human liver microsomes. </w:t>
      </w:r>
      <w:r w:rsidRPr="003724A4">
        <w:rPr>
          <w:rFonts w:ascii="Arial" w:hAnsi="Arial" w:cs="Arial"/>
          <w:i/>
          <w:iCs/>
          <w:noProof/>
          <w:sz w:val="20"/>
          <w:szCs w:val="20"/>
        </w:rPr>
        <w:t>Drug Metab. Dispos.</w:t>
      </w:r>
      <w:r w:rsidRPr="003724A4">
        <w:rPr>
          <w:rFonts w:ascii="Arial" w:hAnsi="Arial" w:cs="Arial"/>
          <w:noProof/>
          <w:sz w:val="20"/>
          <w:szCs w:val="20"/>
        </w:rPr>
        <w:t xml:space="preserve"> </w:t>
      </w:r>
      <w:r w:rsidRPr="003724A4">
        <w:rPr>
          <w:rFonts w:ascii="Arial" w:hAnsi="Arial" w:cs="Arial"/>
          <w:b/>
          <w:bCs/>
          <w:noProof/>
          <w:sz w:val="20"/>
          <w:szCs w:val="20"/>
        </w:rPr>
        <w:t>43</w:t>
      </w:r>
      <w:r w:rsidRPr="003724A4">
        <w:rPr>
          <w:rFonts w:ascii="Arial" w:hAnsi="Arial" w:cs="Arial"/>
          <w:noProof/>
          <w:sz w:val="20"/>
          <w:szCs w:val="20"/>
        </w:rPr>
        <w:t>, 1934–1937 (2015).</w:t>
      </w:r>
    </w:p>
    <w:p w14:paraId="74F4FF70"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8.</w:t>
      </w:r>
      <w:r w:rsidRPr="003724A4">
        <w:rPr>
          <w:rFonts w:ascii="Arial" w:hAnsi="Arial" w:cs="Arial"/>
          <w:noProof/>
          <w:sz w:val="20"/>
          <w:szCs w:val="20"/>
        </w:rPr>
        <w:tab/>
        <w:t xml:space="preserve">Heimbach, T. </w:t>
      </w:r>
      <w:r w:rsidRPr="003724A4">
        <w:rPr>
          <w:rFonts w:ascii="Arial" w:hAnsi="Arial" w:cs="Arial"/>
          <w:i/>
          <w:iCs/>
          <w:noProof/>
          <w:sz w:val="20"/>
          <w:szCs w:val="20"/>
        </w:rPr>
        <w:t>et al.</w:t>
      </w:r>
      <w:r w:rsidRPr="003724A4">
        <w:rPr>
          <w:rFonts w:ascii="Arial" w:hAnsi="Arial" w:cs="Arial"/>
          <w:noProof/>
          <w:sz w:val="20"/>
          <w:szCs w:val="20"/>
        </w:rPr>
        <w:t xml:space="preserve"> Physiologically Based Pharmacokinetic Modeling to Supplement Nilotinib Pharmacokinetics and Confirm Dose Selection in Pediatric Patients. </w:t>
      </w:r>
      <w:r w:rsidRPr="003724A4">
        <w:rPr>
          <w:rFonts w:ascii="Arial" w:hAnsi="Arial" w:cs="Arial"/>
          <w:i/>
          <w:iCs/>
          <w:noProof/>
          <w:sz w:val="20"/>
          <w:szCs w:val="20"/>
        </w:rPr>
        <w:t>J. Pharm. Sci.</w:t>
      </w:r>
      <w:r w:rsidRPr="003724A4">
        <w:rPr>
          <w:rFonts w:ascii="Arial" w:hAnsi="Arial" w:cs="Arial"/>
          <w:noProof/>
          <w:sz w:val="20"/>
          <w:szCs w:val="20"/>
        </w:rPr>
        <w:t xml:space="preserve"> </w:t>
      </w:r>
      <w:r w:rsidRPr="003724A4">
        <w:rPr>
          <w:rFonts w:ascii="Arial" w:hAnsi="Arial" w:cs="Arial"/>
          <w:b/>
          <w:bCs/>
          <w:noProof/>
          <w:sz w:val="20"/>
          <w:szCs w:val="20"/>
        </w:rPr>
        <w:t>108</w:t>
      </w:r>
      <w:r w:rsidRPr="003724A4">
        <w:rPr>
          <w:rFonts w:ascii="Arial" w:hAnsi="Arial" w:cs="Arial"/>
          <w:noProof/>
          <w:sz w:val="20"/>
          <w:szCs w:val="20"/>
        </w:rPr>
        <w:t>, 2191–2198 (2019).</w:t>
      </w:r>
    </w:p>
    <w:p w14:paraId="75F868D1"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9.</w:t>
      </w:r>
      <w:r w:rsidRPr="003724A4">
        <w:rPr>
          <w:rFonts w:ascii="Arial" w:hAnsi="Arial" w:cs="Arial"/>
          <w:noProof/>
          <w:sz w:val="20"/>
          <w:szCs w:val="20"/>
        </w:rPr>
        <w:tab/>
        <w:t xml:space="preserve">Xia, B., Heimbach, T., He, H. &amp; Lin, T. Nilotinib preclinical pharmacokinetics and practical application toward clinical projections of oral absorption and systemic availability. </w:t>
      </w:r>
      <w:r w:rsidRPr="003724A4">
        <w:rPr>
          <w:rFonts w:ascii="Arial" w:hAnsi="Arial" w:cs="Arial"/>
          <w:i/>
          <w:iCs/>
          <w:noProof/>
          <w:sz w:val="20"/>
          <w:szCs w:val="20"/>
        </w:rPr>
        <w:t>Biopharm. Drug Dispos.</w:t>
      </w:r>
      <w:r w:rsidRPr="003724A4">
        <w:rPr>
          <w:rFonts w:ascii="Arial" w:hAnsi="Arial" w:cs="Arial"/>
          <w:noProof/>
          <w:sz w:val="20"/>
          <w:szCs w:val="20"/>
        </w:rPr>
        <w:t xml:space="preserve"> </w:t>
      </w:r>
      <w:r w:rsidRPr="003724A4">
        <w:rPr>
          <w:rFonts w:ascii="Arial" w:hAnsi="Arial" w:cs="Arial"/>
          <w:b/>
          <w:bCs/>
          <w:noProof/>
          <w:sz w:val="20"/>
          <w:szCs w:val="20"/>
        </w:rPr>
        <w:t>33</w:t>
      </w:r>
      <w:r w:rsidRPr="003724A4">
        <w:rPr>
          <w:rFonts w:ascii="Arial" w:hAnsi="Arial" w:cs="Arial"/>
          <w:noProof/>
          <w:sz w:val="20"/>
          <w:szCs w:val="20"/>
        </w:rPr>
        <w:t>, 536–549 (2012).</w:t>
      </w:r>
    </w:p>
    <w:p w14:paraId="55DA00F4" w14:textId="77777777" w:rsidR="003724A4" w:rsidRPr="003724A4" w:rsidRDefault="003724A4" w:rsidP="003724A4">
      <w:pPr>
        <w:widowControl w:val="0"/>
        <w:autoSpaceDE w:val="0"/>
        <w:autoSpaceDN w:val="0"/>
        <w:adjustRightInd w:val="0"/>
        <w:spacing w:line="240" w:lineRule="auto"/>
        <w:ind w:left="640" w:hanging="640"/>
        <w:rPr>
          <w:rFonts w:ascii="Arial" w:hAnsi="Arial" w:cs="Arial"/>
          <w:noProof/>
          <w:sz w:val="20"/>
          <w:szCs w:val="20"/>
        </w:rPr>
      </w:pPr>
      <w:r w:rsidRPr="003724A4">
        <w:rPr>
          <w:rFonts w:ascii="Arial" w:hAnsi="Arial" w:cs="Arial"/>
          <w:noProof/>
          <w:sz w:val="20"/>
          <w:szCs w:val="20"/>
        </w:rPr>
        <w:t>10.</w:t>
      </w:r>
      <w:r w:rsidRPr="003724A4">
        <w:rPr>
          <w:rFonts w:ascii="Arial" w:hAnsi="Arial" w:cs="Arial"/>
          <w:noProof/>
          <w:sz w:val="20"/>
          <w:szCs w:val="20"/>
        </w:rPr>
        <w:tab/>
        <w:t xml:space="preserve">Giles, F. J. </w:t>
      </w:r>
      <w:r w:rsidRPr="003724A4">
        <w:rPr>
          <w:rFonts w:ascii="Arial" w:hAnsi="Arial" w:cs="Arial"/>
          <w:i/>
          <w:iCs/>
          <w:noProof/>
          <w:sz w:val="20"/>
          <w:szCs w:val="20"/>
        </w:rPr>
        <w:t>et al.</w:t>
      </w:r>
      <w:r w:rsidRPr="003724A4">
        <w:rPr>
          <w:rFonts w:ascii="Arial" w:hAnsi="Arial" w:cs="Arial"/>
          <w:noProof/>
          <w:sz w:val="20"/>
          <w:szCs w:val="20"/>
        </w:rPr>
        <w:t xml:space="preserve"> Nilotinib population pharmacokinetics and exposure-response analysis in patients with imatinib-resistant or -intolerant chronic myeloid leukemia. </w:t>
      </w:r>
      <w:r w:rsidRPr="003724A4">
        <w:rPr>
          <w:rFonts w:ascii="Arial" w:hAnsi="Arial" w:cs="Arial"/>
          <w:i/>
          <w:iCs/>
          <w:noProof/>
          <w:sz w:val="20"/>
          <w:szCs w:val="20"/>
        </w:rPr>
        <w:t>Eur. J. Clin. Pharmacol.</w:t>
      </w:r>
      <w:r w:rsidRPr="003724A4">
        <w:rPr>
          <w:rFonts w:ascii="Arial" w:hAnsi="Arial" w:cs="Arial"/>
          <w:noProof/>
          <w:sz w:val="20"/>
          <w:szCs w:val="20"/>
        </w:rPr>
        <w:t xml:space="preserve"> </w:t>
      </w:r>
      <w:r w:rsidRPr="003724A4">
        <w:rPr>
          <w:rFonts w:ascii="Arial" w:hAnsi="Arial" w:cs="Arial"/>
          <w:b/>
          <w:bCs/>
          <w:noProof/>
          <w:sz w:val="20"/>
          <w:szCs w:val="20"/>
        </w:rPr>
        <w:t>69</w:t>
      </w:r>
      <w:r w:rsidRPr="003724A4">
        <w:rPr>
          <w:rFonts w:ascii="Arial" w:hAnsi="Arial" w:cs="Arial"/>
          <w:noProof/>
          <w:sz w:val="20"/>
          <w:szCs w:val="20"/>
        </w:rPr>
        <w:t>, 813–823 (2013).</w:t>
      </w:r>
    </w:p>
    <w:p w14:paraId="0A39175B" w14:textId="1729AC02" w:rsidR="003724A4" w:rsidRPr="003724A4" w:rsidRDefault="003724A4" w:rsidP="003724A4">
      <w:pPr>
        <w:spacing w:line="240" w:lineRule="auto"/>
        <w:rPr>
          <w:rFonts w:ascii="Arial" w:hAnsi="Arial" w:cs="Arial"/>
          <w:b/>
          <w:bCs/>
          <w:sz w:val="18"/>
          <w:szCs w:val="18"/>
        </w:rPr>
      </w:pPr>
      <w:r w:rsidRPr="003724A4">
        <w:rPr>
          <w:rFonts w:ascii="Arial" w:hAnsi="Arial" w:cs="Arial"/>
          <w:b/>
          <w:bCs/>
          <w:sz w:val="20"/>
          <w:szCs w:val="20"/>
        </w:rPr>
        <w:fldChar w:fldCharType="end"/>
      </w:r>
    </w:p>
    <w:p w14:paraId="1111AE14" w14:textId="77777777" w:rsidR="003724A4" w:rsidRPr="003724A4" w:rsidRDefault="003724A4" w:rsidP="003724A4">
      <w:pPr>
        <w:spacing w:line="240" w:lineRule="auto"/>
        <w:rPr>
          <w:rFonts w:ascii="Arial" w:hAnsi="Arial" w:cs="Arial"/>
          <w:sz w:val="18"/>
          <w:szCs w:val="18"/>
        </w:rPr>
      </w:pPr>
    </w:p>
    <w:p w14:paraId="1530F85A" w14:textId="77777777" w:rsidR="003724A4" w:rsidRPr="00CC634C" w:rsidRDefault="003724A4" w:rsidP="003724A4">
      <w:pPr>
        <w:spacing w:line="240" w:lineRule="auto"/>
        <w:rPr>
          <w:rFonts w:ascii="Helvetica" w:hAnsi="Helvetica" w:cs="Helvetica"/>
          <w:sz w:val="18"/>
          <w:szCs w:val="18"/>
        </w:rPr>
      </w:pPr>
    </w:p>
    <w:p w14:paraId="12B452D1" w14:textId="77777777" w:rsidR="003724A4" w:rsidRPr="00CC634C" w:rsidRDefault="003724A4" w:rsidP="003724A4">
      <w:pPr>
        <w:spacing w:line="240" w:lineRule="auto"/>
        <w:rPr>
          <w:rFonts w:ascii="Helvetica" w:hAnsi="Helvetica" w:cs="Helvetica"/>
          <w:sz w:val="18"/>
          <w:szCs w:val="18"/>
        </w:rPr>
      </w:pPr>
    </w:p>
    <w:p w14:paraId="4CA4D4D6" w14:textId="77777777" w:rsidR="00A030B5" w:rsidRDefault="00A030B5"/>
    <w:sectPr w:rsidR="00A030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39A7F" w14:textId="77777777" w:rsidR="003724A4" w:rsidRDefault="003724A4" w:rsidP="003724A4">
      <w:pPr>
        <w:spacing w:after="0" w:line="240" w:lineRule="auto"/>
      </w:pPr>
      <w:r>
        <w:separator/>
      </w:r>
    </w:p>
  </w:endnote>
  <w:endnote w:type="continuationSeparator" w:id="0">
    <w:p w14:paraId="643B08F9" w14:textId="77777777" w:rsidR="003724A4" w:rsidRDefault="003724A4" w:rsidP="00372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957FA" w14:textId="77777777" w:rsidR="003724A4" w:rsidRDefault="003724A4" w:rsidP="003724A4">
      <w:pPr>
        <w:spacing w:after="0" w:line="240" w:lineRule="auto"/>
      </w:pPr>
      <w:r>
        <w:separator/>
      </w:r>
    </w:p>
  </w:footnote>
  <w:footnote w:type="continuationSeparator" w:id="0">
    <w:p w14:paraId="66F34591" w14:textId="77777777" w:rsidR="003724A4" w:rsidRDefault="003724A4" w:rsidP="003724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4A4"/>
    <w:rsid w:val="002C778F"/>
    <w:rsid w:val="003724A4"/>
    <w:rsid w:val="004A7A01"/>
    <w:rsid w:val="00701BF7"/>
    <w:rsid w:val="00A030B5"/>
    <w:rsid w:val="00AE53FB"/>
    <w:rsid w:val="00ED7D4D"/>
    <w:rsid w:val="00F40B8C"/>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75C4B"/>
  <w15:chartTrackingRefBased/>
  <w15:docId w15:val="{53F4E336-F273-43B6-913E-3CC6821B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4A4"/>
    <w:pPr>
      <w:spacing w:after="200" w:line="360" w:lineRule="auto"/>
      <w:jc w:val="both"/>
    </w:pPr>
    <w:rPr>
      <w:rFonts w:ascii="Times New Roman" w:eastAsia="SimSun" w:hAnsi="Times New Roman"/>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E5E39-C7FF-427C-A20E-26CBBF5B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13680</Words>
  <Characters>77976</Characters>
  <Application>Microsoft Office Word</Application>
  <DocSecurity>0</DocSecurity>
  <Lines>649</Lines>
  <Paragraphs>182</Paragraphs>
  <ScaleCrop>false</ScaleCrop>
  <Company/>
  <LinksUpToDate>false</LinksUpToDate>
  <CharactersWithSpaces>91474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Cheong</dc:creator>
  <cp:keywords/>
  <dc:description/>
  <cp:lastModifiedBy>Eleanor Cheong</cp:lastModifiedBy>
  <cp:revision>1</cp:revision>
  <dcterms:created xsi:type="dcterms:W3CDTF">2021-04-01T09:59:00Z</dcterms:created>
  <dcterms:modified xsi:type="dcterms:W3CDTF">2021-04-01T10:01:00Z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http://www.zotero.org/styles/archives-of-toxicology</vt:lpwstr>
  </property>
  <property fmtid="{D5CDD505-2E9C-101B-9397-08002B2CF9AE}" pid="7" name="Mendeley Recent Style Name 2_1">
    <vt:lpwstr>Archives of Toxicology</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http://www.zotero.org/styles/clinical-pharmacology-and-therapeutics</vt:lpwstr>
  </property>
  <property fmtid="{D5CDD505-2E9C-101B-9397-08002B2CF9AE}" pid="13" name="Mendeley Recent Style Name 5_1">
    <vt:lpwstr>Clinical Pharmacology &amp; Therapeutics</vt:lpwstr>
  </property>
  <property fmtid="{D5CDD505-2E9C-101B-9397-08002B2CF9AE}" pid="14" name="Mendeley Recent Style Id 6_1">
    <vt:lpwstr>http://www.zotero.org/styles/drug-testing-and-analysis</vt:lpwstr>
  </property>
  <property fmtid="{D5CDD505-2E9C-101B-9397-08002B2CF9AE}" pid="15" name="Mendeley Recent Style Name 6_1">
    <vt:lpwstr>Drug Testing and Analysis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http://www.zotero.org/styles/the-journal-of-pharmacology-and-experimental-therapeutics</vt:lpwstr>
  </property>
  <property fmtid="{D5CDD505-2E9C-101B-9397-08002B2CF9AE}" pid="21" name="Mendeley Recent Style Name 9_1">
    <vt:lpwstr>The Journal of Pharmacology and Experimental Therapeutics</vt:lpwstr>
  </property>
  <property fmtid="{D5CDD505-2E9C-101B-9397-08002B2CF9AE}" pid="22" name="Mendeley Document_1">
    <vt:lpwstr>True</vt:lpwstr>
  </property>
  <property fmtid="{D5CDD505-2E9C-101B-9397-08002B2CF9AE}" pid="23" name="Mendeley Citation Style_1">
    <vt:lpwstr>http://www.zotero.org/styles/clinical-pharmacology-and-therapeutics</vt:lpwstr>
  </property>
  <property fmtid="{D5CDD505-2E9C-101B-9397-08002B2CF9AE}" pid="24" name="Mendeley Unique User Id_1">
    <vt:lpwstr>4d7b50db-5c43-38a4-a1f6-1befd9e54280</vt:lpwstr>
  </property>
</Properties>
</file>