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F3D64" w14:textId="10747FE1" w:rsidR="00C76F04" w:rsidRPr="00C016DD" w:rsidRDefault="00C76F04" w:rsidP="00C76F04">
      <w:pPr>
        <w:pStyle w:val="Caption"/>
        <w:rPr>
          <w:rFonts w:ascii="Arial" w:hAnsi="Arial" w:cs="Arial"/>
        </w:rPr>
      </w:pPr>
      <w:bookmarkStart w:id="0" w:name="_Toc48653110"/>
      <w:bookmarkStart w:id="1" w:name="_Toc48787665"/>
      <w:r w:rsidRPr="00C016DD">
        <w:rPr>
          <w:rFonts w:ascii="Arial" w:hAnsi="Arial" w:cs="Arial"/>
          <w:b/>
          <w:bCs w:val="0"/>
        </w:rPr>
        <w:t xml:space="preserve">Table </w:t>
      </w:r>
      <w:r w:rsidR="00883407">
        <w:rPr>
          <w:rFonts w:ascii="Arial" w:hAnsi="Arial" w:cs="Arial"/>
          <w:b/>
          <w:bCs w:val="0"/>
        </w:rPr>
        <w:t>2</w:t>
      </w:r>
      <w:r w:rsidRPr="00C016DD">
        <w:rPr>
          <w:rFonts w:ascii="Arial" w:hAnsi="Arial" w:cs="Arial"/>
          <w:b/>
          <w:bCs w:val="0"/>
        </w:rPr>
        <w:t>.</w:t>
      </w:r>
      <w:r w:rsidRPr="00C016DD">
        <w:rPr>
          <w:rFonts w:ascii="Arial" w:hAnsi="Arial" w:cs="Arial"/>
        </w:rPr>
        <w:t xml:space="preserve"> Summary of CYP450 and OAT3 inhibition parameters with rivaroxaban as probe substrate and</w:t>
      </w:r>
      <w:r w:rsidR="008701F9">
        <w:rPr>
          <w:rFonts w:ascii="Arial" w:hAnsi="Arial" w:cs="Arial"/>
        </w:rPr>
        <w:t xml:space="preserve"> ketoconazole,</w:t>
      </w:r>
      <w:r w:rsidRPr="00C016DD">
        <w:rPr>
          <w:rFonts w:ascii="Arial" w:hAnsi="Arial" w:cs="Arial"/>
        </w:rPr>
        <w:t xml:space="preserve"> erlotinib or nilotinib as the putative inhibitors</w:t>
      </w:r>
      <w:bookmarkEnd w:id="0"/>
      <w:bookmarkEnd w:id="1"/>
      <w:r w:rsidRPr="00C016DD">
        <w:rPr>
          <w:rFonts w:ascii="Arial" w:hAnsi="Arial" w:cs="Arial"/>
        </w:rPr>
        <w:t xml:space="preserve"> </w:t>
      </w:r>
    </w:p>
    <w:tbl>
      <w:tblPr>
        <w:tblStyle w:val="PlainTable2"/>
        <w:tblW w:w="5000" w:type="pct"/>
        <w:jc w:val="center"/>
        <w:tblLook w:val="0420" w:firstRow="1" w:lastRow="0" w:firstColumn="0" w:lastColumn="0" w:noHBand="0" w:noVBand="1"/>
      </w:tblPr>
      <w:tblGrid>
        <w:gridCol w:w="2005"/>
        <w:gridCol w:w="1576"/>
        <w:gridCol w:w="1865"/>
        <w:gridCol w:w="1865"/>
        <w:gridCol w:w="1715"/>
      </w:tblGrid>
      <w:tr w:rsidR="00716401" w:rsidRPr="00C016DD" w14:paraId="46031502" w14:textId="77777777" w:rsidTr="00716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"/>
          <w:jc w:val="center"/>
        </w:trPr>
        <w:tc>
          <w:tcPr>
            <w:tcW w:w="1984" w:type="pct"/>
            <w:gridSpan w:val="2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1A32DDC0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i/>
                <w:iCs/>
                <w:color w:val="000000" w:themeColor="dark1"/>
                <w:kern w:val="24"/>
                <w:sz w:val="20"/>
                <w:szCs w:val="20"/>
              </w:rPr>
              <w:t xml:space="preserve">In Vitro </w:t>
            </w: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Inhibition parameters</w:t>
            </w:r>
          </w:p>
        </w:tc>
        <w:tc>
          <w:tcPr>
            <w:tcW w:w="1033" w:type="pct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21457C56" w14:textId="6BEB3072" w:rsidR="00716401" w:rsidRPr="00C016DD" w:rsidRDefault="006C0499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Ketoconazole</w:t>
            </w:r>
          </w:p>
        </w:tc>
        <w:tc>
          <w:tcPr>
            <w:tcW w:w="1033" w:type="pct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2C71DFF9" w14:textId="69A2AFF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Erlotinib</w:t>
            </w:r>
          </w:p>
        </w:tc>
        <w:tc>
          <w:tcPr>
            <w:tcW w:w="950" w:type="pct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27AA2967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Nilotinib</w:t>
            </w:r>
          </w:p>
        </w:tc>
      </w:tr>
      <w:tr w:rsidR="00716401" w:rsidRPr="00C016DD" w14:paraId="68842CA2" w14:textId="77777777" w:rsidTr="007A6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  <w:jc w:val="center"/>
        </w:trPr>
        <w:tc>
          <w:tcPr>
            <w:tcW w:w="1111" w:type="pct"/>
            <w:vMerge w:val="restart"/>
            <w:tcBorders>
              <w:left w:val="nil"/>
              <w:right w:val="nil"/>
            </w:tcBorders>
            <w:hideMark/>
          </w:tcPr>
          <w:p w14:paraId="7F49B73A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 xml:space="preserve">MBI of CYP3A4 </w:t>
            </w:r>
          </w:p>
        </w:tc>
        <w:tc>
          <w:tcPr>
            <w:tcW w:w="873" w:type="pct"/>
            <w:tcBorders>
              <w:left w:val="nil"/>
              <w:bottom w:val="nil"/>
              <w:right w:val="nil"/>
            </w:tcBorders>
            <w:hideMark/>
          </w:tcPr>
          <w:p w14:paraId="4A07338A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>K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  <w:vertAlign w:val="subscript"/>
              </w:rPr>
              <w:t>I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016DD">
              <w:rPr>
                <w:rFonts w:ascii="Arial" w:hAnsi="Arial" w:cs="Arial"/>
                <w:bCs/>
                <w:sz w:val="20"/>
                <w:szCs w:val="20"/>
              </w:rPr>
              <w:t>(µM)</w:t>
            </w:r>
          </w:p>
        </w:tc>
        <w:tc>
          <w:tcPr>
            <w:tcW w:w="103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6341FD4" w14:textId="2BF39E6C" w:rsidR="00716401" w:rsidRPr="00C016DD" w:rsidRDefault="007A6C1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-</w:t>
            </w:r>
          </w:p>
        </w:tc>
        <w:tc>
          <w:tcPr>
            <w:tcW w:w="1033" w:type="pct"/>
            <w:tcBorders>
              <w:left w:val="nil"/>
              <w:bottom w:val="nil"/>
              <w:right w:val="nil"/>
            </w:tcBorders>
            <w:hideMark/>
          </w:tcPr>
          <w:p w14:paraId="11511E8F" w14:textId="629DAE49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10.98</w:t>
            </w:r>
          </w:p>
        </w:tc>
        <w:tc>
          <w:tcPr>
            <w:tcW w:w="950" w:type="pct"/>
            <w:tcBorders>
              <w:left w:val="nil"/>
              <w:bottom w:val="nil"/>
              <w:right w:val="nil"/>
            </w:tcBorders>
            <w:hideMark/>
          </w:tcPr>
          <w:p w14:paraId="700E1D3A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4.44</w:t>
            </w:r>
          </w:p>
        </w:tc>
      </w:tr>
      <w:tr w:rsidR="00716401" w:rsidRPr="00C016DD" w14:paraId="2A157614" w14:textId="77777777" w:rsidTr="007A6C11">
        <w:trPr>
          <w:trHeight w:val="19"/>
          <w:jc w:val="center"/>
        </w:trPr>
        <w:tc>
          <w:tcPr>
            <w:tcW w:w="1111" w:type="pct"/>
            <w:vMerge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31B138B7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D9939A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>k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  <w:vertAlign w:val="subscript"/>
              </w:rPr>
              <w:t>inact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016DD">
              <w:rPr>
                <w:rFonts w:ascii="Arial" w:hAnsi="Arial" w:cs="Arial"/>
                <w:bCs/>
                <w:sz w:val="20"/>
                <w:szCs w:val="20"/>
              </w:rPr>
              <w:t>(h</w:t>
            </w:r>
            <w:r w:rsidRPr="00C016DD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-1</w:t>
            </w:r>
            <w:r w:rsidRPr="00C016D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EF4CA" w14:textId="3C11715C" w:rsidR="00716401" w:rsidRPr="00C016DD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0073F5" w14:textId="2A80B28F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2.28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6D3EF7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2.00</w:t>
            </w:r>
          </w:p>
        </w:tc>
      </w:tr>
      <w:tr w:rsidR="00716401" w:rsidRPr="00C016DD" w14:paraId="0D7C4D8C" w14:textId="77777777" w:rsidTr="007A6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  <w:jc w:val="center"/>
        </w:trPr>
        <w:tc>
          <w:tcPr>
            <w:tcW w:w="1111" w:type="pct"/>
            <w:vMerge/>
            <w:tcBorders>
              <w:left w:val="nil"/>
              <w:right w:val="nil"/>
            </w:tcBorders>
            <w:vAlign w:val="center"/>
            <w:hideMark/>
          </w:tcPr>
          <w:p w14:paraId="145FA9EC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066F3E" w14:textId="77777777" w:rsidR="00716401" w:rsidRPr="00C016DD" w:rsidRDefault="00716401" w:rsidP="00CB02A4">
            <w:pPr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  <w:vertAlign w:val="subscript"/>
              </w:rPr>
            </w:pP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>k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  <w:vertAlign w:val="subscript"/>
              </w:rPr>
              <w:t xml:space="preserve">inact / 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>K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  <w:vertAlign w:val="subscript"/>
              </w:rPr>
              <w:t>I</w:t>
            </w:r>
          </w:p>
          <w:p w14:paraId="52E67351" w14:textId="77777777" w:rsidR="00716401" w:rsidRPr="00C016DD" w:rsidRDefault="00716401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hAnsi="Arial" w:cs="Arial"/>
                <w:bCs/>
                <w:sz w:val="20"/>
                <w:szCs w:val="20"/>
              </w:rPr>
              <w:t>(µM</w:t>
            </w:r>
            <w:r w:rsidRPr="00C016DD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 xml:space="preserve">-1 </w:t>
            </w:r>
            <w:r w:rsidRPr="00C016DD"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Pr="00C016DD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-1</w:t>
            </w:r>
            <w:r w:rsidRPr="00C016D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71A15F" w14:textId="0436A9A2" w:rsidR="00716401" w:rsidRPr="00C016DD" w:rsidRDefault="007A6C1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-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E2C370" w14:textId="08084CA9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0.21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7097CD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0.45</w:t>
            </w:r>
          </w:p>
        </w:tc>
      </w:tr>
      <w:tr w:rsidR="00716401" w:rsidRPr="00C016DD" w14:paraId="5B1B81A0" w14:textId="77777777" w:rsidTr="007A6C11">
        <w:trPr>
          <w:trHeight w:val="19"/>
          <w:jc w:val="center"/>
        </w:trPr>
        <w:tc>
          <w:tcPr>
            <w:tcW w:w="1111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4B79E91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MBI of CYP2J2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34B0F0C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>K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  <w:vertAlign w:val="subscript"/>
              </w:rPr>
              <w:t>I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016DD">
              <w:rPr>
                <w:rFonts w:ascii="Arial" w:hAnsi="Arial" w:cs="Arial"/>
                <w:bCs/>
                <w:sz w:val="20"/>
                <w:szCs w:val="20"/>
              </w:rPr>
              <w:t>(µM)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712C60" w14:textId="4016677F" w:rsidR="00716401" w:rsidRPr="00C016DD" w:rsidRDefault="007A6C1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-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8D0844" w14:textId="547A5DE6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1.31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1D9B062" w14:textId="77777777" w:rsidR="00716401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  <w:p w14:paraId="4AC66197" w14:textId="77777777" w:rsidR="007A6C11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  <w:p w14:paraId="0A82E86E" w14:textId="379AC8DB" w:rsidR="007A6C11" w:rsidRPr="00C016DD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716401" w:rsidRPr="00C016DD" w14:paraId="75F352F7" w14:textId="77777777" w:rsidTr="007A6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  <w:jc w:val="center"/>
        </w:trPr>
        <w:tc>
          <w:tcPr>
            <w:tcW w:w="111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8C3C5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8B44F2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>k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  <w:vertAlign w:val="subscript"/>
              </w:rPr>
              <w:t>inact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016DD">
              <w:rPr>
                <w:rFonts w:ascii="Arial" w:hAnsi="Arial" w:cs="Arial"/>
                <w:bCs/>
                <w:sz w:val="20"/>
                <w:szCs w:val="20"/>
              </w:rPr>
              <w:t>(h</w:t>
            </w:r>
            <w:r w:rsidRPr="00C016DD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-1</w:t>
            </w:r>
            <w:r w:rsidRPr="00C016D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03A80" w14:textId="368D3D18" w:rsidR="00716401" w:rsidRPr="00C016DD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E0AC5E" w14:textId="12D197FB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1.06</w:t>
            </w:r>
          </w:p>
        </w:tc>
        <w:tc>
          <w:tcPr>
            <w:tcW w:w="950" w:type="pct"/>
            <w:vMerge/>
            <w:tcBorders>
              <w:left w:val="nil"/>
              <w:right w:val="nil"/>
            </w:tcBorders>
            <w:shd w:val="clear" w:color="auto" w:fill="auto"/>
          </w:tcPr>
          <w:p w14:paraId="3A414B52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16401" w:rsidRPr="00C016DD" w14:paraId="051250EE" w14:textId="77777777" w:rsidTr="007A6C11">
        <w:trPr>
          <w:trHeight w:val="613"/>
          <w:jc w:val="center"/>
        </w:trPr>
        <w:tc>
          <w:tcPr>
            <w:tcW w:w="1111" w:type="pct"/>
            <w:vMerge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12C2C731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14:paraId="55606736" w14:textId="77777777" w:rsidR="00716401" w:rsidRPr="00C016DD" w:rsidRDefault="00716401" w:rsidP="00CB02A4">
            <w:pPr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  <w:vertAlign w:val="subscript"/>
              </w:rPr>
            </w:pP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>k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  <w:vertAlign w:val="subscript"/>
              </w:rPr>
              <w:t xml:space="preserve">inact / 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</w:rPr>
              <w:t>K</w:t>
            </w:r>
            <w:r w:rsidRPr="00C016DD">
              <w:rPr>
                <w:rFonts w:ascii="Arial" w:hAnsi="Arial" w:cs="Arial"/>
                <w:bCs/>
                <w:i/>
                <w:sz w:val="20"/>
                <w:szCs w:val="20"/>
                <w:vertAlign w:val="subscript"/>
              </w:rPr>
              <w:t>I</w:t>
            </w:r>
          </w:p>
          <w:p w14:paraId="6E64563C" w14:textId="77777777" w:rsidR="00716401" w:rsidRPr="00C016DD" w:rsidRDefault="00716401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hAnsi="Arial" w:cs="Arial"/>
                <w:bCs/>
                <w:sz w:val="20"/>
                <w:szCs w:val="20"/>
              </w:rPr>
              <w:t>(µM</w:t>
            </w:r>
            <w:r w:rsidRPr="00C016DD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 xml:space="preserve">-1 </w:t>
            </w:r>
            <w:r w:rsidRPr="00C016DD"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Pr="00C016DD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-1</w:t>
            </w:r>
            <w:r w:rsidRPr="00C016D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</w:tcPr>
          <w:p w14:paraId="6DCF85BB" w14:textId="636D7FE8" w:rsidR="00716401" w:rsidRPr="00C016DD" w:rsidRDefault="007A6C1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-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14:paraId="1A4D30EA" w14:textId="325B260D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0.81</w:t>
            </w:r>
          </w:p>
        </w:tc>
        <w:tc>
          <w:tcPr>
            <w:tcW w:w="950" w:type="pct"/>
            <w:vMerge/>
            <w:tcBorders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</w:tcPr>
          <w:p w14:paraId="1E5A30E4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E364A7" w:rsidRPr="00C016DD" w14:paraId="10713E68" w14:textId="77777777" w:rsidTr="00716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  <w:jc w:val="center"/>
        </w:trPr>
        <w:tc>
          <w:tcPr>
            <w:tcW w:w="1111" w:type="pct"/>
            <w:tcBorders>
              <w:left w:val="nil"/>
              <w:right w:val="nil"/>
            </w:tcBorders>
            <w:hideMark/>
          </w:tcPr>
          <w:p w14:paraId="2AB7737C" w14:textId="77777777" w:rsidR="00E364A7" w:rsidRPr="00C016DD" w:rsidRDefault="00E364A7" w:rsidP="00CB0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Reversible Inhibition of CYP3A4</w:t>
            </w:r>
          </w:p>
        </w:tc>
        <w:tc>
          <w:tcPr>
            <w:tcW w:w="873" w:type="pct"/>
            <w:tcBorders>
              <w:left w:val="nil"/>
              <w:right w:val="nil"/>
            </w:tcBorders>
            <w:hideMark/>
          </w:tcPr>
          <w:p w14:paraId="1102323F" w14:textId="0E389688" w:rsidR="007A6C11" w:rsidRDefault="00E364A7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IC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bscript"/>
              </w:rPr>
              <w:t>50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position w:val="-9"/>
                <w:sz w:val="20"/>
                <w:szCs w:val="20"/>
              </w:rPr>
              <w:t xml:space="preserve"> 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(µM)</w:t>
            </w:r>
          </w:p>
          <w:p w14:paraId="7EE077AC" w14:textId="663CE862" w:rsidR="00F12459" w:rsidRDefault="00F12459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R</w:t>
            </w:r>
            <w:r w:rsidRPr="00F12459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bscript"/>
              </w:rPr>
              <w:t>1</w:t>
            </w:r>
            <w:r w:rsidRPr="00F12459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perscript"/>
              </w:rPr>
              <w:t>a</w:t>
            </w:r>
          </w:p>
          <w:p w14:paraId="577E5B9A" w14:textId="77777777" w:rsidR="000D47B9" w:rsidRDefault="000D47B9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Mode</w:t>
            </w:r>
          </w:p>
          <w:p w14:paraId="22A930F6" w14:textId="77777777" w:rsidR="000D47B9" w:rsidRDefault="000D47B9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</w:rPr>
              <w:t>K</w:t>
            </w: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  <w:vertAlign w:val="subscript"/>
              </w:rPr>
              <w:t>i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 xml:space="preserve"> (µM)</w:t>
            </w:r>
          </w:p>
          <w:p w14:paraId="626EAA38" w14:textId="4FC81AD8" w:rsidR="00E35982" w:rsidRPr="00C016DD" w:rsidRDefault="00E35982" w:rsidP="00CB02A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α</w:t>
            </w:r>
          </w:p>
        </w:tc>
        <w:tc>
          <w:tcPr>
            <w:tcW w:w="1033" w:type="pct"/>
            <w:tcBorders>
              <w:left w:val="nil"/>
              <w:right w:val="nil"/>
            </w:tcBorders>
          </w:tcPr>
          <w:p w14:paraId="2B8529DE" w14:textId="7AD0DE57" w:rsidR="00E364A7" w:rsidRDefault="007A6C1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-</w:t>
            </w:r>
          </w:p>
          <w:p w14:paraId="61BFAB44" w14:textId="39EEA17F" w:rsidR="00211B72" w:rsidRDefault="007A6C1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-</w:t>
            </w:r>
          </w:p>
          <w:p w14:paraId="29A3714C" w14:textId="77777777" w:rsidR="00211B72" w:rsidRDefault="00211B72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Mixed</w:t>
            </w:r>
          </w:p>
          <w:p w14:paraId="281E4FC8" w14:textId="1FE38791" w:rsidR="00211B72" w:rsidRDefault="00E35982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0.094</w:t>
            </w:r>
            <w:r w:rsidR="00581EBF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  <w:vertAlign w:val="superscript"/>
              </w:rPr>
              <w:t>b</w:t>
            </w:r>
          </w:p>
          <w:p w14:paraId="35578DAE" w14:textId="642CDFA0" w:rsidR="00E35982" w:rsidRPr="00C016DD" w:rsidRDefault="00732688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3.28</w:t>
            </w:r>
          </w:p>
        </w:tc>
        <w:tc>
          <w:tcPr>
            <w:tcW w:w="1033" w:type="pct"/>
            <w:tcBorders>
              <w:left w:val="nil"/>
              <w:right w:val="nil"/>
            </w:tcBorders>
            <w:hideMark/>
          </w:tcPr>
          <w:p w14:paraId="4A85104B" w14:textId="49ABF674" w:rsidR="00E364A7" w:rsidRDefault="00E364A7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20.24</w:t>
            </w:r>
          </w:p>
          <w:p w14:paraId="651AADD5" w14:textId="48183BB8" w:rsidR="00F12459" w:rsidRDefault="00F12459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1.014</w:t>
            </w:r>
          </w:p>
          <w:p w14:paraId="64B7EA97" w14:textId="32AD8C85" w:rsidR="007A6C11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  <w:p w14:paraId="46F4965E" w14:textId="2856DC66" w:rsidR="007A6C11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  <w:p w14:paraId="27520B13" w14:textId="117F9F76" w:rsidR="007A6C11" w:rsidRPr="00C016DD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  <w:p w14:paraId="6DCEE0F0" w14:textId="02D4BC0D" w:rsidR="00E364A7" w:rsidRPr="00C016DD" w:rsidRDefault="00E364A7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pct"/>
            <w:tcBorders>
              <w:left w:val="nil"/>
              <w:right w:val="nil"/>
            </w:tcBorders>
            <w:hideMark/>
          </w:tcPr>
          <w:p w14:paraId="3E5D5301" w14:textId="16DD8BEB" w:rsidR="00E364A7" w:rsidRDefault="00E364A7" w:rsidP="000D47B9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6.05</w:t>
            </w:r>
          </w:p>
          <w:p w14:paraId="10F573BC" w14:textId="77777777" w:rsidR="00F12459" w:rsidRDefault="00F12459" w:rsidP="000D47B9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1.019</w:t>
            </w:r>
          </w:p>
          <w:p w14:paraId="62C744BB" w14:textId="77777777" w:rsidR="007A6C11" w:rsidRDefault="007A6C11" w:rsidP="000D4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  <w:p w14:paraId="41D4D63F" w14:textId="77777777" w:rsidR="007A6C11" w:rsidRDefault="007A6C11" w:rsidP="000D4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  <w:p w14:paraId="52BF501D" w14:textId="1D2C0A87" w:rsidR="007A6C11" w:rsidRPr="00C016DD" w:rsidRDefault="007A6C11" w:rsidP="000D4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716401" w:rsidRPr="00C016DD" w14:paraId="2B912256" w14:textId="77777777" w:rsidTr="00716401">
        <w:trPr>
          <w:trHeight w:val="710"/>
          <w:jc w:val="center"/>
        </w:trPr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73D566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Reversible Inhibition of CYP2J2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right w:val="nil"/>
            </w:tcBorders>
            <w:hideMark/>
          </w:tcPr>
          <w:p w14:paraId="6DCE9E0B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IC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bscript"/>
              </w:rPr>
              <w:t>50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position w:val="-9"/>
                <w:sz w:val="20"/>
                <w:szCs w:val="20"/>
                <w:vertAlign w:val="subscript"/>
              </w:rPr>
              <w:t xml:space="preserve"> 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(µM)</w:t>
            </w:r>
          </w:p>
          <w:p w14:paraId="2A91ECBB" w14:textId="77777777" w:rsidR="00716401" w:rsidRPr="00C016DD" w:rsidRDefault="00716401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Mode</w:t>
            </w:r>
          </w:p>
          <w:p w14:paraId="3B338897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</w:rPr>
              <w:t>K</w:t>
            </w: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  <w:vertAlign w:val="subscript"/>
              </w:rPr>
              <w:t>i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 xml:space="preserve"> (µM)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right w:val="nil"/>
            </w:tcBorders>
          </w:tcPr>
          <w:p w14:paraId="221D2DB2" w14:textId="2D12F680" w:rsidR="0039204D" w:rsidRDefault="00BB4CE2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-</w:t>
            </w:r>
          </w:p>
          <w:p w14:paraId="3C2DCD49" w14:textId="77777777" w:rsidR="00716401" w:rsidRDefault="00E364A7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Competitive</w:t>
            </w:r>
          </w:p>
          <w:p w14:paraId="5F35CD22" w14:textId="52830475" w:rsidR="0039204D" w:rsidRPr="00C016DD" w:rsidRDefault="002C6B3B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0.082</w:t>
            </w:r>
            <w:r w:rsidR="00581EBF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right w:val="nil"/>
            </w:tcBorders>
            <w:hideMark/>
          </w:tcPr>
          <w:p w14:paraId="430BEDB6" w14:textId="41A482AC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1.81</w:t>
            </w:r>
          </w:p>
          <w:p w14:paraId="3BAB2553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Competitive</w:t>
            </w:r>
          </w:p>
          <w:p w14:paraId="2FC3C28F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0.76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right w:val="nil"/>
            </w:tcBorders>
            <w:hideMark/>
          </w:tcPr>
          <w:p w14:paraId="040BC6E3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0.30</w:t>
            </w:r>
          </w:p>
          <w:p w14:paraId="52D9AB42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Competitive</w:t>
            </w:r>
          </w:p>
          <w:p w14:paraId="038BF70B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0.12</w:t>
            </w:r>
          </w:p>
        </w:tc>
      </w:tr>
      <w:tr w:rsidR="00716401" w:rsidRPr="00C016DD" w14:paraId="435E1EE1" w14:textId="77777777" w:rsidTr="00716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  <w:jc w:val="center"/>
        </w:trPr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DEFFB3" w14:textId="77777777" w:rsidR="00716401" w:rsidRPr="00C016DD" w:rsidRDefault="00716401" w:rsidP="00CB02A4">
            <w:pPr>
              <w:spacing w:after="0" w:line="240" w:lineRule="auto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 xml:space="preserve">Fraction Unbound in the </w:t>
            </w:r>
            <w:r w:rsidRPr="00C016DD">
              <w:rPr>
                <w:rFonts w:ascii="Arial" w:eastAsia="Yu Gothic UI" w:hAnsi="Arial" w:cs="Arial"/>
                <w:i/>
                <w:iCs/>
                <w:color w:val="000000" w:themeColor="dark1"/>
                <w:kern w:val="24"/>
                <w:sz w:val="20"/>
                <w:szCs w:val="20"/>
              </w:rPr>
              <w:t xml:space="preserve">In Vitro </w:t>
            </w: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Incubation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right w:val="nil"/>
            </w:tcBorders>
          </w:tcPr>
          <w:p w14:paraId="7B047AA6" w14:textId="77777777" w:rsidR="00716401" w:rsidRPr="00C016DD" w:rsidRDefault="00716401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hAnsi="Arial" w:cs="Arial"/>
                <w:iCs/>
                <w:sz w:val="20"/>
                <w:szCs w:val="20"/>
              </w:rPr>
              <w:t>fu</w:t>
            </w:r>
            <w:r w:rsidRPr="00C016DD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inc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</w:tcPr>
          <w:p w14:paraId="336EE084" w14:textId="6707E0C4" w:rsidR="00716401" w:rsidRPr="00C016DD" w:rsidRDefault="00860FEF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</w:tcPr>
          <w:p w14:paraId="75E21F9F" w14:textId="537DA9D5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0.92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right w:val="nil"/>
            </w:tcBorders>
          </w:tcPr>
          <w:p w14:paraId="7EE4178F" w14:textId="16E93B74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0.43</w:t>
            </w:r>
          </w:p>
          <w:p w14:paraId="0F68D272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Optimized to 1</w:t>
            </w:r>
          </w:p>
        </w:tc>
      </w:tr>
      <w:tr w:rsidR="00601248" w:rsidRPr="00C016DD" w14:paraId="051F98C1" w14:textId="77777777" w:rsidTr="00C32634">
        <w:trPr>
          <w:trHeight w:val="19"/>
          <w:jc w:val="center"/>
        </w:trPr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70A261" w14:textId="5872B7F2" w:rsidR="00601248" w:rsidRPr="00C016DD" w:rsidRDefault="00601248" w:rsidP="00CB02A4">
            <w:pPr>
              <w:spacing w:after="0" w:line="240" w:lineRule="auto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Inhibition of P-gp-Mediated Efflux of Rivaroxaban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06717E" w14:textId="77777777" w:rsidR="002132B9" w:rsidRPr="00C016DD" w:rsidRDefault="002132B9" w:rsidP="002132B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IC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bscript"/>
              </w:rPr>
              <w:t>50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position w:val="-9"/>
                <w:sz w:val="20"/>
                <w:szCs w:val="20"/>
                <w:vertAlign w:val="subscript"/>
              </w:rPr>
              <w:t xml:space="preserve"> 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(µM)</w:t>
            </w:r>
          </w:p>
          <w:p w14:paraId="453CD2A7" w14:textId="7B32F326" w:rsidR="002132B9" w:rsidRPr="00C016DD" w:rsidRDefault="002132B9" w:rsidP="002132B9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</w:rPr>
              <w:t>K</w:t>
            </w: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  <w:vertAlign w:val="subscript"/>
              </w:rPr>
              <w:t>i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 xml:space="preserve"> (µM)</w:t>
            </w:r>
          </w:p>
          <w:p w14:paraId="4B122DCB" w14:textId="77777777" w:rsidR="00601248" w:rsidRPr="00C016DD" w:rsidRDefault="00601248" w:rsidP="00CB02A4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CE304F3" w14:textId="77777777" w:rsidR="00601248" w:rsidRDefault="002132B9" w:rsidP="00581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0.34</w:t>
            </w:r>
          </w:p>
          <w:p w14:paraId="13739453" w14:textId="76F4BA77" w:rsidR="00D24DAD" w:rsidRDefault="00D24DAD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0.17</w:t>
            </w:r>
            <w:r w:rsidR="00581EBF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40DE3E1" w14:textId="77777777" w:rsidR="00601248" w:rsidRPr="00C016DD" w:rsidRDefault="00601248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C23A1" w14:textId="77777777" w:rsidR="00601248" w:rsidRPr="00C016DD" w:rsidRDefault="00601248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16401" w:rsidRPr="00C016DD" w14:paraId="4C34B330" w14:textId="77777777" w:rsidTr="00C32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  <w:jc w:val="center"/>
        </w:trPr>
        <w:tc>
          <w:tcPr>
            <w:tcW w:w="11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D371D0" w14:textId="78A80FE4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 xml:space="preserve">Inhibition of OAT3-Mediated </w:t>
            </w:r>
            <w:r w:rsidR="00A923DC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Uptake</w:t>
            </w:r>
            <w:r w:rsidRPr="00C016DD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 xml:space="preserve"> of E3S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C1E466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IC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bscript"/>
              </w:rPr>
              <w:t>50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 xml:space="preserve"> (µM)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1C1E34" w14:textId="58D90FB3" w:rsidR="00716401" w:rsidRPr="00C016DD" w:rsidRDefault="000B7573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6.90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63DA7E" w14:textId="3D9C9624" w:rsidR="00716401" w:rsidRPr="00C016DD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C211E1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5.12</w:t>
            </w:r>
          </w:p>
        </w:tc>
      </w:tr>
      <w:tr w:rsidR="00716401" w:rsidRPr="00C016DD" w14:paraId="46055A3E" w14:textId="77777777" w:rsidTr="00C32634">
        <w:trPr>
          <w:trHeight w:val="19"/>
          <w:jc w:val="center"/>
        </w:trPr>
        <w:tc>
          <w:tcPr>
            <w:tcW w:w="1111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CB1919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8E93B2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bCs/>
                <w:sz w:val="20"/>
                <w:szCs w:val="20"/>
              </w:rPr>
              <w:t>Mode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69027" w14:textId="44F7C1EB" w:rsidR="00716401" w:rsidRPr="00C016DD" w:rsidRDefault="000B7573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Non-Competitive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4F5AC" w14:textId="3B38A64A" w:rsidR="00716401" w:rsidRPr="00C016DD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119171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Non-Competitive</w:t>
            </w:r>
          </w:p>
        </w:tc>
      </w:tr>
      <w:tr w:rsidR="00716401" w:rsidRPr="00C016DD" w14:paraId="5C8F189B" w14:textId="77777777" w:rsidTr="00C32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  <w:jc w:val="center"/>
        </w:trPr>
        <w:tc>
          <w:tcPr>
            <w:tcW w:w="1111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63CD38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C4CF3C" w14:textId="77777777" w:rsidR="00716401" w:rsidRPr="00C016DD" w:rsidRDefault="00716401" w:rsidP="00CB02A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</w:rPr>
              <w:t>K</w:t>
            </w: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  <w:vertAlign w:val="subscript"/>
              </w:rPr>
              <w:t>i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 xml:space="preserve"> (µM)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B0A9CE" w14:textId="7ECB3C93" w:rsidR="00716401" w:rsidRPr="00C016DD" w:rsidRDefault="00F068D0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14.96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4F0E3C" w14:textId="07503C1A" w:rsidR="00716401" w:rsidRPr="00C016DD" w:rsidRDefault="007A6C1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E1DAAD" w14:textId="7F4E2300" w:rsidR="00716401" w:rsidRPr="00C016DD" w:rsidRDefault="00BF5040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3.54</w:t>
            </w:r>
          </w:p>
        </w:tc>
      </w:tr>
      <w:tr w:rsidR="005B7B4C" w:rsidRPr="00C016DD" w14:paraId="6C3C15E1" w14:textId="77777777" w:rsidTr="00C32634">
        <w:trPr>
          <w:trHeight w:val="19"/>
          <w:jc w:val="center"/>
        </w:trPr>
        <w:tc>
          <w:tcPr>
            <w:tcW w:w="1111" w:type="pct"/>
            <w:vMerge w:val="restart"/>
            <w:tcBorders>
              <w:top w:val="single" w:sz="4" w:space="0" w:color="auto"/>
              <w:left w:val="nil"/>
              <w:right w:val="nil"/>
            </w:tcBorders>
            <w:hideMark/>
          </w:tcPr>
          <w:p w14:paraId="78AFD297" w14:textId="3FEB4AFB" w:rsidR="005B7B4C" w:rsidRPr="00C016DD" w:rsidRDefault="005B7B4C" w:rsidP="005B7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016DD">
              <w:rPr>
                <w:rFonts w:ascii="Arial" w:hAnsi="Arial" w:cs="Arial"/>
                <w:sz w:val="20"/>
                <w:szCs w:val="20"/>
              </w:rPr>
              <w:t xml:space="preserve">Inhibition of OAT3-Mediated </w:t>
            </w:r>
            <w:r w:rsidR="00A923DC">
              <w:rPr>
                <w:rFonts w:ascii="Arial" w:hAnsi="Arial" w:cs="Arial"/>
                <w:sz w:val="20"/>
                <w:szCs w:val="20"/>
              </w:rPr>
              <w:t>Uptake</w:t>
            </w:r>
            <w:r w:rsidRPr="00C016DD">
              <w:rPr>
                <w:rFonts w:ascii="Arial" w:hAnsi="Arial" w:cs="Arial"/>
                <w:sz w:val="20"/>
                <w:szCs w:val="20"/>
              </w:rPr>
              <w:t xml:space="preserve"> of Rivaroxaban</w:t>
            </w:r>
          </w:p>
          <w:p w14:paraId="0C2ED45C" w14:textId="77777777" w:rsidR="005B7B4C" w:rsidRPr="00C016DD" w:rsidRDefault="005B7B4C" w:rsidP="005B7B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016DD">
              <w:rPr>
                <w:rFonts w:ascii="Arial" w:hAnsi="Arial" w:cs="Arial"/>
                <w:sz w:val="20"/>
                <w:szCs w:val="20"/>
              </w:rPr>
              <w:t>(Protein-Free Buffer)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95774E" w14:textId="4FA574F7" w:rsidR="005B7B4C" w:rsidRPr="00C016DD" w:rsidRDefault="005B7B4C" w:rsidP="005B7B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IC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bscript"/>
              </w:rPr>
              <w:t>50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 xml:space="preserve"> (µM)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59F4CE" w14:textId="4E6DEC8B" w:rsidR="005B7B4C" w:rsidRPr="00C016DD" w:rsidRDefault="00D5160F" w:rsidP="005B7B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0.58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0ED9C8" w14:textId="2C1E7568" w:rsidR="005B7B4C" w:rsidRPr="00C016DD" w:rsidRDefault="007A6C11" w:rsidP="005B7B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4C59D9B" w14:textId="77777777" w:rsidR="005B7B4C" w:rsidRPr="00C016DD" w:rsidRDefault="005B7B4C" w:rsidP="005B7B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0.062</w:t>
            </w:r>
          </w:p>
        </w:tc>
      </w:tr>
      <w:tr w:rsidR="005B7B4C" w:rsidRPr="00C016DD" w14:paraId="40CBCF8A" w14:textId="77777777" w:rsidTr="00C32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  <w:jc w:val="center"/>
        </w:trPr>
        <w:tc>
          <w:tcPr>
            <w:tcW w:w="1111" w:type="pct"/>
            <w:vMerge/>
            <w:tcBorders>
              <w:top w:val="nil"/>
              <w:left w:val="nil"/>
              <w:right w:val="nil"/>
            </w:tcBorders>
            <w:hideMark/>
          </w:tcPr>
          <w:p w14:paraId="58203905" w14:textId="77777777" w:rsidR="005B7B4C" w:rsidRPr="00C016DD" w:rsidRDefault="005B7B4C" w:rsidP="005B7B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67385E63" w14:textId="198503AC" w:rsidR="005B7B4C" w:rsidRPr="00C016DD" w:rsidRDefault="005B7B4C" w:rsidP="005B7B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bCs/>
                <w:sz w:val="20"/>
                <w:szCs w:val="20"/>
              </w:rPr>
              <w:t>Mode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C0833" w14:textId="3C2578BD" w:rsidR="005B7B4C" w:rsidRPr="00C016DD" w:rsidRDefault="00D5160F" w:rsidP="005B7B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Non-Competitive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9F98B" w14:textId="278AE6F5" w:rsidR="005B7B4C" w:rsidRPr="00C016DD" w:rsidRDefault="007A6C11" w:rsidP="005B7B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14:paraId="603733D1" w14:textId="4C79B973" w:rsidR="00E65C3C" w:rsidRPr="00C016DD" w:rsidRDefault="00E65C3C" w:rsidP="00E65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Competitive</w:t>
            </w:r>
          </w:p>
        </w:tc>
      </w:tr>
      <w:tr w:rsidR="005B7B4C" w:rsidRPr="00C016DD" w14:paraId="4FD4C088" w14:textId="77777777" w:rsidTr="00C32634">
        <w:trPr>
          <w:trHeight w:val="19"/>
          <w:jc w:val="center"/>
        </w:trPr>
        <w:tc>
          <w:tcPr>
            <w:tcW w:w="111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E5A936" w14:textId="77777777" w:rsidR="005B7B4C" w:rsidRPr="00C016DD" w:rsidRDefault="005B7B4C" w:rsidP="005B7B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9972C8" w14:textId="1EEA8C18" w:rsidR="005B7B4C" w:rsidRPr="00C016DD" w:rsidRDefault="005B7B4C" w:rsidP="005B7B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</w:rPr>
              <w:t>K</w:t>
            </w: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  <w:vertAlign w:val="subscript"/>
              </w:rPr>
              <w:t>i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 xml:space="preserve"> (µM)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FD4548" w14:textId="71EF8AD1" w:rsidR="005B7B4C" w:rsidRPr="00C016DD" w:rsidRDefault="00D5160F" w:rsidP="005B7B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0.93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D5274B" w14:textId="16CB061F" w:rsidR="005B7B4C" w:rsidRPr="00C016DD" w:rsidRDefault="007A6C11" w:rsidP="005B7B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512A69" w14:textId="3B2A04B3" w:rsidR="005B7B4C" w:rsidRPr="00C016DD" w:rsidRDefault="00C76366" w:rsidP="005B7B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0.013</w:t>
            </w:r>
          </w:p>
        </w:tc>
      </w:tr>
      <w:tr w:rsidR="00716401" w:rsidRPr="00C016DD" w14:paraId="0BC67364" w14:textId="77777777" w:rsidTr="007A6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  <w:jc w:val="center"/>
        </w:trPr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EAF8B3" w14:textId="0C1F43BF" w:rsidR="00716401" w:rsidRPr="00C016DD" w:rsidRDefault="00716401" w:rsidP="00CB02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016DD">
              <w:rPr>
                <w:rFonts w:ascii="Arial" w:hAnsi="Arial" w:cs="Arial"/>
                <w:sz w:val="20"/>
                <w:szCs w:val="20"/>
              </w:rPr>
              <w:t xml:space="preserve">Inhibition of OAT3-Mediated </w:t>
            </w:r>
            <w:r w:rsidR="00A923DC">
              <w:rPr>
                <w:rFonts w:ascii="Arial" w:hAnsi="Arial" w:cs="Arial"/>
                <w:sz w:val="20"/>
                <w:szCs w:val="20"/>
              </w:rPr>
              <w:t>Uptake</w:t>
            </w:r>
            <w:r w:rsidRPr="00C016DD">
              <w:rPr>
                <w:rFonts w:ascii="Arial" w:hAnsi="Arial" w:cs="Arial"/>
                <w:sz w:val="20"/>
                <w:szCs w:val="20"/>
              </w:rPr>
              <w:t xml:space="preserve"> of Rivaroxaban</w:t>
            </w:r>
          </w:p>
          <w:p w14:paraId="6453B5F4" w14:textId="77777777" w:rsidR="00716401" w:rsidRPr="00C016DD" w:rsidRDefault="00716401" w:rsidP="00CB02A4">
            <w:pPr>
              <w:spacing w:after="0" w:line="240" w:lineRule="auto"/>
              <w:rPr>
                <w:rFonts w:ascii="Arial" w:eastAsia="Yu Gothic UI" w:hAnsi="Arial" w:cs="Arial"/>
                <w:b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hAnsi="Arial" w:cs="Arial"/>
                <w:sz w:val="20"/>
                <w:szCs w:val="20"/>
              </w:rPr>
              <w:t>(5% w/v Human Serum Albumin)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8440E" w14:textId="77777777" w:rsidR="00716401" w:rsidRPr="00C016DD" w:rsidRDefault="00716401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IC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bscript"/>
              </w:rPr>
              <w:t>50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position w:val="-9"/>
                <w:sz w:val="20"/>
                <w:szCs w:val="20"/>
                <w:vertAlign w:val="subscript"/>
              </w:rPr>
              <w:t xml:space="preserve"> 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 xml:space="preserve">(µM) </w:t>
            </w:r>
          </w:p>
          <w:p w14:paraId="72D7B4EF" w14:textId="77777777" w:rsidR="00716401" w:rsidRPr="00C016DD" w:rsidRDefault="00716401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IC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bscript"/>
              </w:rPr>
              <w:t xml:space="preserve">50,u 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>(µM)</w:t>
            </w:r>
          </w:p>
          <w:p w14:paraId="58452BBC" w14:textId="22D271B7" w:rsidR="00716401" w:rsidRPr="00C016DD" w:rsidRDefault="00716401" w:rsidP="00CB02A4">
            <w:pPr>
              <w:spacing w:after="0" w:line="240" w:lineRule="auto"/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</w:pP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</w:rPr>
              <w:t>K</w:t>
            </w:r>
            <w:r w:rsidRPr="00C016DD">
              <w:rPr>
                <w:rFonts w:ascii="Arial" w:eastAsia="Yu Gothic UI" w:hAnsi="Arial" w:cs="Arial"/>
                <w:bCs/>
                <w:i/>
                <w:iCs/>
                <w:color w:val="000000" w:themeColor="dark1"/>
                <w:kern w:val="24"/>
                <w:sz w:val="20"/>
                <w:szCs w:val="20"/>
                <w:vertAlign w:val="subscript"/>
              </w:rPr>
              <w:t>i,u</w:t>
            </w:r>
            <w:r w:rsidRPr="00C016DD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</w:rPr>
              <w:t xml:space="preserve"> (µM)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DE0064" w14:textId="77777777" w:rsidR="00716401" w:rsidRDefault="00513EE3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1.29</w:t>
            </w:r>
          </w:p>
          <w:p w14:paraId="40866E3A" w14:textId="634A7B2B" w:rsidR="008701F9" w:rsidRDefault="008701F9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0.037</w:t>
            </w:r>
            <w:r w:rsidR="0028357B" w:rsidRPr="0028357B"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  <w:vertAlign w:val="superscript"/>
              </w:rPr>
              <w:t>c</w:t>
            </w:r>
          </w:p>
          <w:p w14:paraId="24A77E35" w14:textId="21BF62FE" w:rsidR="008701F9" w:rsidRPr="00C016DD" w:rsidRDefault="008701F9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0.037</w:t>
            </w:r>
            <w:r w:rsidR="00011218" w:rsidRPr="0028357B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0BE3DA" w14:textId="77777777" w:rsidR="00716401" w:rsidRDefault="007A6C1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-</w:t>
            </w:r>
          </w:p>
          <w:p w14:paraId="1F273123" w14:textId="77777777" w:rsidR="007A6C11" w:rsidRDefault="007A6C1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-</w:t>
            </w:r>
          </w:p>
          <w:p w14:paraId="70ABAF53" w14:textId="3D94CF00" w:rsidR="007A6C11" w:rsidRPr="00C016DD" w:rsidRDefault="007A6C11" w:rsidP="00CB02A4">
            <w:pPr>
              <w:spacing w:after="0" w:line="240" w:lineRule="auto"/>
              <w:jc w:val="center"/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</w:pPr>
            <w:r>
              <w:rPr>
                <w:rFonts w:ascii="Arial" w:eastAsia="Yu Gothic UI" w:hAnsi="Arial" w:cs="Arial"/>
                <w:color w:val="000000" w:themeColor="dark1"/>
                <w:kern w:val="24"/>
                <w:sz w:val="20"/>
                <w:szCs w:val="20"/>
              </w:rPr>
              <w:t>-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71EFCD" w14:textId="77777777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0.61</w:t>
            </w:r>
          </w:p>
          <w:p w14:paraId="7F094DA1" w14:textId="3B63FCC9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0.0098</w:t>
            </w:r>
            <w:r w:rsidR="0028357B" w:rsidRPr="0028357B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d</w:t>
            </w:r>
          </w:p>
          <w:p w14:paraId="22F4289A" w14:textId="155430AC" w:rsidR="00716401" w:rsidRPr="00C016DD" w:rsidRDefault="00716401" w:rsidP="00CB0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16DD">
              <w:rPr>
                <w:rFonts w:ascii="Arial" w:eastAsia="Times New Roman" w:hAnsi="Arial" w:cs="Arial"/>
                <w:sz w:val="20"/>
                <w:szCs w:val="20"/>
              </w:rPr>
              <w:t>0.0098</w:t>
            </w:r>
            <w:r w:rsidR="00011218" w:rsidRPr="0028357B">
              <w:rPr>
                <w:rFonts w:ascii="Arial" w:eastAsia="Yu Gothic UI" w:hAnsi="Arial" w:cs="Arial"/>
                <w:bCs/>
                <w:color w:val="000000" w:themeColor="dark1"/>
                <w:kern w:val="24"/>
                <w:sz w:val="20"/>
                <w:szCs w:val="20"/>
                <w:vertAlign w:val="superscript"/>
              </w:rPr>
              <w:t>e</w:t>
            </w:r>
          </w:p>
        </w:tc>
      </w:tr>
    </w:tbl>
    <w:p w14:paraId="574575D4" w14:textId="50B8FBC3" w:rsidR="00C76F04" w:rsidRDefault="00B31186" w:rsidP="00AD672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31186">
        <w:rPr>
          <w:rFonts w:ascii="Arial" w:hAnsi="Arial" w:cs="Arial"/>
          <w:color w:val="000000" w:themeColor="text1"/>
          <w:sz w:val="16"/>
          <w:szCs w:val="16"/>
          <w:vertAlign w:val="superscript"/>
        </w:rPr>
        <w:t>a</w:t>
      </w:r>
      <w:r w:rsidR="00C76F04" w:rsidRPr="00B474A9">
        <w:rPr>
          <w:rFonts w:ascii="Arial" w:hAnsi="Arial" w:cs="Arial"/>
          <w:color w:val="000000" w:themeColor="text1"/>
          <w:sz w:val="16"/>
          <w:szCs w:val="16"/>
        </w:rPr>
        <w:t>R</w:t>
      </w:r>
      <w:r w:rsidR="00C76F04" w:rsidRPr="00B474A9">
        <w:rPr>
          <w:rFonts w:ascii="Arial" w:hAnsi="Arial" w:cs="Arial"/>
          <w:color w:val="000000" w:themeColor="text1"/>
          <w:sz w:val="16"/>
          <w:szCs w:val="16"/>
          <w:vertAlign w:val="subscript"/>
        </w:rPr>
        <w:t>1</w:t>
      </w:r>
      <w:r w:rsidR="00C76F04" w:rsidRPr="00B474A9">
        <w:rPr>
          <w:rFonts w:ascii="Arial" w:hAnsi="Arial" w:cs="Arial"/>
          <w:color w:val="000000" w:themeColor="text1"/>
          <w:sz w:val="16"/>
          <w:szCs w:val="16"/>
        </w:rPr>
        <w:t xml:space="preserve"> is the predicted ratio of the victim drug’s </w:t>
      </w:r>
      <w:r w:rsidR="00C76F04" w:rsidRPr="00B474A9">
        <w:rPr>
          <w:rFonts w:ascii="Arial" w:hAnsi="Arial" w:cs="Arial"/>
          <w:sz w:val="16"/>
          <w:szCs w:val="16"/>
        </w:rPr>
        <w:t>area under the plasma concentration-time curve</w:t>
      </w:r>
      <w:r w:rsidR="00C76F04" w:rsidRPr="00B474A9">
        <w:rPr>
          <w:rFonts w:ascii="Arial" w:hAnsi="Arial" w:cs="Arial"/>
          <w:color w:val="000000" w:themeColor="text1"/>
          <w:sz w:val="16"/>
          <w:szCs w:val="16"/>
        </w:rPr>
        <w:t xml:space="preserve"> in the presence and absence of an inhibitor for basic models of reversible inhibition. </w:t>
      </w:r>
    </w:p>
    <w:p w14:paraId="1EC63031" w14:textId="1C65B6E6" w:rsidR="00C76F04" w:rsidRDefault="00C76F04" w:rsidP="00AD672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474A9">
        <w:rPr>
          <w:rFonts w:ascii="Arial" w:hAnsi="Arial" w:cs="Arial"/>
          <w:color w:val="000000" w:themeColor="text1"/>
          <w:sz w:val="16"/>
          <w:szCs w:val="16"/>
        </w:rPr>
        <w:t>R</w:t>
      </w:r>
      <w:r w:rsidRPr="00B474A9">
        <w:rPr>
          <w:rFonts w:ascii="Arial" w:hAnsi="Arial" w:cs="Arial"/>
          <w:color w:val="000000" w:themeColor="text1"/>
          <w:sz w:val="16"/>
          <w:szCs w:val="16"/>
          <w:vertAlign w:val="subscript"/>
        </w:rPr>
        <w:t>1</w:t>
      </w:r>
      <w:r w:rsidRPr="00B474A9">
        <w:rPr>
          <w:rFonts w:ascii="Arial" w:hAnsi="Arial" w:cs="Arial"/>
          <w:color w:val="000000" w:themeColor="text1"/>
          <w:sz w:val="16"/>
          <w:szCs w:val="16"/>
        </w:rPr>
        <w:t xml:space="preserve"> = 1 + (I</w:t>
      </w:r>
      <w:r w:rsidRPr="00B474A9">
        <w:rPr>
          <w:rFonts w:ascii="Arial" w:hAnsi="Arial" w:cs="Arial"/>
          <w:color w:val="000000" w:themeColor="text1"/>
          <w:sz w:val="16"/>
          <w:szCs w:val="16"/>
          <w:vertAlign w:val="subscript"/>
        </w:rPr>
        <w:t>max,u</w:t>
      </w:r>
      <w:r w:rsidRPr="00B474A9">
        <w:rPr>
          <w:rFonts w:ascii="Arial" w:hAnsi="Arial" w:cs="Arial"/>
          <w:color w:val="000000" w:themeColor="text1"/>
          <w:sz w:val="16"/>
          <w:szCs w:val="16"/>
        </w:rPr>
        <w:t>/</w:t>
      </w:r>
      <w:r w:rsidRPr="00B474A9">
        <w:rPr>
          <w:rFonts w:ascii="Arial" w:hAnsi="Arial" w:cs="Arial"/>
          <w:i/>
          <w:color w:val="000000" w:themeColor="text1"/>
          <w:sz w:val="16"/>
          <w:szCs w:val="16"/>
        </w:rPr>
        <w:t>K</w:t>
      </w:r>
      <w:r w:rsidRPr="00B474A9">
        <w:rPr>
          <w:rFonts w:ascii="Arial" w:hAnsi="Arial" w:cs="Arial"/>
          <w:i/>
          <w:color w:val="000000" w:themeColor="text1"/>
          <w:sz w:val="16"/>
          <w:szCs w:val="16"/>
          <w:vertAlign w:val="subscript"/>
        </w:rPr>
        <w:t>i</w:t>
      </w:r>
      <w:r w:rsidRPr="00B474A9">
        <w:rPr>
          <w:rFonts w:ascii="Arial" w:hAnsi="Arial" w:cs="Arial"/>
          <w:color w:val="000000" w:themeColor="text1"/>
          <w:sz w:val="16"/>
          <w:szCs w:val="16"/>
        </w:rPr>
        <w:t>) where</w:t>
      </w:r>
      <w:r w:rsidRPr="00B474A9">
        <w:rPr>
          <w:rFonts w:ascii="Arial" w:hAnsi="Arial" w:cs="Arial"/>
          <w:b/>
          <w:bCs/>
          <w:sz w:val="16"/>
          <w:szCs w:val="16"/>
        </w:rPr>
        <w:t xml:space="preserve"> </w:t>
      </w:r>
      <w:r w:rsidRPr="00B474A9">
        <w:rPr>
          <w:rFonts w:ascii="Arial" w:hAnsi="Arial" w:cs="Arial"/>
          <w:bCs/>
          <w:sz w:val="16"/>
          <w:szCs w:val="16"/>
        </w:rPr>
        <w:t>I</w:t>
      </w:r>
      <w:r w:rsidRPr="00B474A9">
        <w:rPr>
          <w:rFonts w:ascii="Arial" w:hAnsi="Arial" w:cs="Arial"/>
          <w:bCs/>
          <w:sz w:val="16"/>
          <w:szCs w:val="16"/>
          <w:vertAlign w:val="subscript"/>
        </w:rPr>
        <w:t>max,u</w:t>
      </w:r>
      <w:r w:rsidRPr="00B474A9">
        <w:rPr>
          <w:rFonts w:ascii="Arial" w:hAnsi="Arial" w:cs="Arial"/>
          <w:b/>
          <w:bCs/>
          <w:sz w:val="16"/>
          <w:szCs w:val="16"/>
        </w:rPr>
        <w:t xml:space="preserve"> </w:t>
      </w:r>
      <w:r w:rsidRPr="00B474A9">
        <w:rPr>
          <w:rFonts w:ascii="Arial" w:hAnsi="Arial" w:cs="Arial"/>
          <w:sz w:val="16"/>
          <w:szCs w:val="16"/>
        </w:rPr>
        <w:t>is the maximal unbound plasma concentration of the interacting drug.</w:t>
      </w:r>
    </w:p>
    <w:p w14:paraId="28CC8994" w14:textId="77777777" w:rsidR="00042B36" w:rsidRPr="00B31186" w:rsidRDefault="00042B36" w:rsidP="00AD672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31186">
        <w:rPr>
          <w:rFonts w:ascii="Arial" w:hAnsi="Arial" w:cs="Arial"/>
          <w:color w:val="000000" w:themeColor="text1"/>
          <w:sz w:val="16"/>
          <w:szCs w:val="16"/>
          <w:vertAlign w:val="superscript"/>
        </w:rPr>
        <w:t>b</w:t>
      </w:r>
      <w:r>
        <w:rPr>
          <w:rFonts w:ascii="Arial" w:hAnsi="Arial" w:cs="Arial"/>
          <w:color w:val="000000" w:themeColor="text1"/>
          <w:sz w:val="16"/>
          <w:szCs w:val="16"/>
        </w:rPr>
        <w:t xml:space="preserve">Values reported were derived previously from Cheong </w:t>
      </w:r>
      <w:r w:rsidRPr="007221BE">
        <w:rPr>
          <w:rFonts w:ascii="Arial" w:hAnsi="Arial" w:cs="Arial"/>
          <w:i/>
          <w:iCs/>
          <w:color w:val="000000" w:themeColor="text1"/>
          <w:sz w:val="16"/>
          <w:szCs w:val="16"/>
        </w:rPr>
        <w:t>et al.</w:t>
      </w:r>
      <w:r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000000" w:themeColor="text1"/>
          <w:sz w:val="16"/>
          <w:szCs w:val="16"/>
        </w:rPr>
        <w:t>(2019).</w:t>
      </w:r>
    </w:p>
    <w:p w14:paraId="70AD6849" w14:textId="6ADF7169" w:rsidR="00664BD3" w:rsidRPr="00664BD3" w:rsidRDefault="00042B36" w:rsidP="00AD6721">
      <w:pPr>
        <w:spacing w:after="0" w:line="240" w:lineRule="auto"/>
        <w:jc w:val="both"/>
        <w:rPr>
          <w:rFonts w:ascii="Helvetica" w:hAnsi="Helvetica" w:cs="Helvetica"/>
          <w:sz w:val="16"/>
          <w:szCs w:val="16"/>
        </w:rPr>
      </w:pPr>
      <w:r w:rsidRPr="00042B36">
        <w:rPr>
          <w:rFonts w:ascii="Helvetica" w:hAnsi="Helvetica" w:cs="Helvetica"/>
          <w:sz w:val="16"/>
          <w:szCs w:val="16"/>
          <w:vertAlign w:val="superscript"/>
        </w:rPr>
        <w:t>c</w:t>
      </w:r>
      <w:r w:rsidR="00664BD3" w:rsidRPr="00B474A9">
        <w:rPr>
          <w:rFonts w:ascii="Helvetica" w:hAnsi="Helvetica" w:cs="Helvetica"/>
          <w:sz w:val="16"/>
          <w:szCs w:val="16"/>
        </w:rPr>
        <w:t>IC</w:t>
      </w:r>
      <w:r w:rsidR="00664BD3" w:rsidRPr="00B474A9">
        <w:rPr>
          <w:rFonts w:ascii="Helvetica" w:hAnsi="Helvetica" w:cs="Helvetica"/>
          <w:sz w:val="16"/>
          <w:szCs w:val="16"/>
          <w:vertAlign w:val="subscript"/>
        </w:rPr>
        <w:t>50,u</w:t>
      </w:r>
      <w:r w:rsidR="00664BD3" w:rsidRPr="00B474A9">
        <w:rPr>
          <w:rFonts w:ascii="Helvetica" w:hAnsi="Helvetica" w:cs="Helvetica"/>
          <w:sz w:val="16"/>
          <w:szCs w:val="16"/>
        </w:rPr>
        <w:t xml:space="preserve"> = fu</w:t>
      </w:r>
      <w:r w:rsidR="00664BD3" w:rsidRPr="00B474A9">
        <w:rPr>
          <w:rFonts w:ascii="Helvetica" w:hAnsi="Helvetica" w:cs="Helvetica"/>
          <w:sz w:val="16"/>
          <w:szCs w:val="16"/>
          <w:vertAlign w:val="subscript"/>
        </w:rPr>
        <w:t xml:space="preserve">p,ketoconazole </w:t>
      </w:r>
      <w:r w:rsidR="00664BD3" w:rsidRPr="00B474A9">
        <w:rPr>
          <w:rFonts w:ascii="Helvetica" w:hAnsi="Helvetica" w:cs="Helvetica"/>
          <w:sz w:val="16"/>
          <w:szCs w:val="16"/>
        </w:rPr>
        <w:t>(0.029) × IC</w:t>
      </w:r>
      <w:r w:rsidR="00664BD3" w:rsidRPr="00B474A9">
        <w:rPr>
          <w:rFonts w:ascii="Helvetica" w:hAnsi="Helvetica" w:cs="Helvetica"/>
          <w:sz w:val="16"/>
          <w:szCs w:val="16"/>
          <w:vertAlign w:val="subscript"/>
        </w:rPr>
        <w:t>50</w:t>
      </w:r>
      <w:r w:rsidR="00664BD3" w:rsidRPr="00B474A9">
        <w:rPr>
          <w:rFonts w:ascii="Helvetica" w:hAnsi="Helvetica" w:cs="Helvetica"/>
          <w:sz w:val="16"/>
          <w:szCs w:val="16"/>
        </w:rPr>
        <w:t xml:space="preserve"> (1.29 </w:t>
      </w:r>
      <w:bookmarkStart w:id="2" w:name="OLE_LINK27"/>
      <w:r w:rsidR="00664BD3" w:rsidRPr="00B474A9">
        <w:rPr>
          <w:rFonts w:ascii="Helvetica" w:hAnsi="Helvetica" w:cs="Helvetica"/>
          <w:sz w:val="16"/>
          <w:szCs w:val="16"/>
        </w:rPr>
        <w:t>µM</w:t>
      </w:r>
      <w:bookmarkEnd w:id="2"/>
      <w:r w:rsidR="00664BD3" w:rsidRPr="00B474A9">
        <w:rPr>
          <w:rFonts w:ascii="Helvetica" w:hAnsi="Helvetica" w:cs="Helvetica"/>
          <w:sz w:val="16"/>
          <w:szCs w:val="16"/>
        </w:rPr>
        <w:t>) = 0.037 µM</w:t>
      </w:r>
    </w:p>
    <w:p w14:paraId="70F2289A" w14:textId="05E56E89" w:rsidR="00B474A9" w:rsidRDefault="00870CCB" w:rsidP="00AD672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d</w:t>
      </w:r>
      <w:r w:rsidR="00C76F04" w:rsidRPr="00B474A9">
        <w:rPr>
          <w:rFonts w:ascii="Arial" w:hAnsi="Arial" w:cs="Arial"/>
          <w:sz w:val="16"/>
          <w:szCs w:val="16"/>
        </w:rPr>
        <w:t>IC</w:t>
      </w:r>
      <w:r w:rsidR="00C76F04" w:rsidRPr="00B474A9">
        <w:rPr>
          <w:rFonts w:ascii="Arial" w:hAnsi="Arial" w:cs="Arial"/>
          <w:sz w:val="16"/>
          <w:szCs w:val="16"/>
          <w:vertAlign w:val="subscript"/>
        </w:rPr>
        <w:t>50,u</w:t>
      </w:r>
      <w:r w:rsidR="00C76F04" w:rsidRPr="00B474A9">
        <w:rPr>
          <w:rFonts w:ascii="Arial" w:hAnsi="Arial" w:cs="Arial"/>
          <w:sz w:val="16"/>
          <w:szCs w:val="16"/>
        </w:rPr>
        <w:t xml:space="preserve"> = fu</w:t>
      </w:r>
      <w:r w:rsidR="00C76F04" w:rsidRPr="00B474A9">
        <w:rPr>
          <w:rFonts w:ascii="Arial" w:hAnsi="Arial" w:cs="Arial"/>
          <w:sz w:val="16"/>
          <w:szCs w:val="16"/>
          <w:vertAlign w:val="subscript"/>
        </w:rPr>
        <w:t xml:space="preserve">p,nilotinib </w:t>
      </w:r>
      <w:r w:rsidR="00C76F04" w:rsidRPr="00B474A9">
        <w:rPr>
          <w:rFonts w:ascii="Arial" w:hAnsi="Arial" w:cs="Arial"/>
          <w:sz w:val="16"/>
          <w:szCs w:val="16"/>
        </w:rPr>
        <w:t>(0.016) × IC</w:t>
      </w:r>
      <w:r w:rsidR="00C76F04" w:rsidRPr="00B474A9">
        <w:rPr>
          <w:rFonts w:ascii="Arial" w:hAnsi="Arial" w:cs="Arial"/>
          <w:sz w:val="16"/>
          <w:szCs w:val="16"/>
          <w:vertAlign w:val="subscript"/>
        </w:rPr>
        <w:t>50</w:t>
      </w:r>
      <w:r w:rsidR="00C76F04" w:rsidRPr="00B474A9">
        <w:rPr>
          <w:rFonts w:ascii="Arial" w:hAnsi="Arial" w:cs="Arial"/>
          <w:sz w:val="16"/>
          <w:szCs w:val="16"/>
        </w:rPr>
        <w:t xml:space="preserve"> (0.61 µM) = 0.0</w:t>
      </w:r>
      <w:r w:rsidR="008B37F1">
        <w:rPr>
          <w:rFonts w:ascii="Arial" w:hAnsi="Arial" w:cs="Arial"/>
          <w:sz w:val="16"/>
          <w:szCs w:val="16"/>
        </w:rPr>
        <w:t xml:space="preserve">098 </w:t>
      </w:r>
      <w:r w:rsidR="00C76F04" w:rsidRPr="00B474A9">
        <w:rPr>
          <w:rFonts w:ascii="Arial" w:hAnsi="Arial" w:cs="Arial"/>
          <w:sz w:val="16"/>
          <w:szCs w:val="16"/>
        </w:rPr>
        <w:t>µM</w:t>
      </w:r>
    </w:p>
    <w:p w14:paraId="4DCE2422" w14:textId="7CF2F687" w:rsidR="0028357B" w:rsidRPr="0028357B" w:rsidRDefault="0028357B" w:rsidP="00AD672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8357B">
        <w:rPr>
          <w:rFonts w:ascii="Arial" w:hAnsi="Arial" w:cs="Arial"/>
          <w:sz w:val="16"/>
          <w:szCs w:val="16"/>
          <w:vertAlign w:val="superscript"/>
        </w:rPr>
        <w:t>e</w:t>
      </w:r>
      <w:r>
        <w:rPr>
          <w:rFonts w:ascii="Arial" w:hAnsi="Arial" w:cs="Arial"/>
          <w:sz w:val="16"/>
          <w:szCs w:val="16"/>
        </w:rPr>
        <w:t>IC</w:t>
      </w:r>
      <w:r w:rsidRPr="0028357B">
        <w:rPr>
          <w:rFonts w:ascii="Arial" w:hAnsi="Arial" w:cs="Arial"/>
          <w:sz w:val="16"/>
          <w:szCs w:val="16"/>
          <w:vertAlign w:val="subscript"/>
        </w:rPr>
        <w:t>50,u</w:t>
      </w:r>
      <w:r>
        <w:rPr>
          <w:rFonts w:ascii="Arial" w:hAnsi="Arial" w:cs="Arial"/>
          <w:sz w:val="16"/>
          <w:szCs w:val="16"/>
        </w:rPr>
        <w:t xml:space="preserve"> corrected to </w:t>
      </w:r>
      <w:r w:rsidRPr="0028357B">
        <w:rPr>
          <w:rFonts w:ascii="Arial" w:hAnsi="Arial" w:cs="Arial"/>
          <w:i/>
          <w:iCs/>
          <w:sz w:val="16"/>
          <w:szCs w:val="16"/>
        </w:rPr>
        <w:t>K</w:t>
      </w:r>
      <w:r w:rsidRPr="0028357B">
        <w:rPr>
          <w:rFonts w:ascii="Arial" w:hAnsi="Arial" w:cs="Arial"/>
          <w:i/>
          <w:iCs/>
          <w:sz w:val="16"/>
          <w:szCs w:val="16"/>
          <w:vertAlign w:val="subscript"/>
        </w:rPr>
        <w:t>i,u</w:t>
      </w:r>
      <w:r>
        <w:rPr>
          <w:rFonts w:ascii="Arial" w:hAnsi="Arial" w:cs="Arial"/>
          <w:sz w:val="16"/>
          <w:szCs w:val="16"/>
        </w:rPr>
        <w:t xml:space="preserve"> using the appropriate Cheng Prusoff equation based on the identified mode of inhibition</w:t>
      </w:r>
      <w:r w:rsidR="005C0432">
        <w:rPr>
          <w:rFonts w:ascii="Arial" w:hAnsi="Arial" w:cs="Arial"/>
          <w:sz w:val="16"/>
          <w:szCs w:val="16"/>
        </w:rPr>
        <w:t>. A</w:t>
      </w:r>
      <w:r>
        <w:rPr>
          <w:rFonts w:ascii="Arial" w:hAnsi="Arial" w:cs="Arial"/>
          <w:sz w:val="16"/>
          <w:szCs w:val="16"/>
        </w:rPr>
        <w:t xml:space="preserve">s described by Zhang </w:t>
      </w:r>
      <w:r w:rsidRPr="0028357B">
        <w:rPr>
          <w:rFonts w:ascii="Arial" w:hAnsi="Arial" w:cs="Arial"/>
          <w:i/>
          <w:iCs/>
          <w:sz w:val="16"/>
          <w:szCs w:val="16"/>
        </w:rPr>
        <w:t>et al.</w:t>
      </w:r>
      <w:r>
        <w:rPr>
          <w:rFonts w:ascii="Arial" w:hAnsi="Arial" w:cs="Arial"/>
          <w:sz w:val="16"/>
          <w:szCs w:val="16"/>
        </w:rPr>
        <w:t xml:space="preserve"> (2005)</w:t>
      </w:r>
      <w:r w:rsidR="005C0432">
        <w:rPr>
          <w:rFonts w:ascii="Arial" w:hAnsi="Arial" w:cs="Arial"/>
          <w:sz w:val="16"/>
          <w:szCs w:val="16"/>
        </w:rPr>
        <w:t xml:space="preserve">, </w:t>
      </w:r>
      <w:r w:rsidR="00F745EB">
        <w:rPr>
          <w:rFonts w:ascii="Arial" w:hAnsi="Arial" w:cs="Arial"/>
          <w:sz w:val="16"/>
          <w:szCs w:val="16"/>
        </w:rPr>
        <w:t>IC</w:t>
      </w:r>
      <w:r w:rsidR="00F745EB" w:rsidRPr="00956438">
        <w:rPr>
          <w:rFonts w:ascii="Arial" w:hAnsi="Arial" w:cs="Arial"/>
          <w:sz w:val="16"/>
          <w:szCs w:val="16"/>
          <w:vertAlign w:val="subscript"/>
        </w:rPr>
        <w:t>50</w:t>
      </w:r>
      <w:r w:rsidR="00956438">
        <w:rPr>
          <w:rFonts w:ascii="Arial" w:hAnsi="Arial" w:cs="Arial"/>
          <w:sz w:val="16"/>
          <w:szCs w:val="16"/>
          <w:vertAlign w:val="subscript"/>
        </w:rPr>
        <w:t>,u</w:t>
      </w:r>
      <w:r w:rsidR="00F745EB">
        <w:rPr>
          <w:rFonts w:ascii="Arial" w:hAnsi="Arial" w:cs="Arial"/>
          <w:sz w:val="16"/>
          <w:szCs w:val="16"/>
        </w:rPr>
        <w:t xml:space="preserve"> = </w:t>
      </w:r>
      <w:r w:rsidR="00F745EB" w:rsidRPr="00956438">
        <w:rPr>
          <w:rFonts w:ascii="Arial" w:hAnsi="Arial" w:cs="Arial"/>
          <w:i/>
          <w:iCs/>
          <w:sz w:val="16"/>
          <w:szCs w:val="16"/>
        </w:rPr>
        <w:t>K</w:t>
      </w:r>
      <w:r w:rsidR="00F745EB" w:rsidRPr="00956438">
        <w:rPr>
          <w:rFonts w:ascii="Arial" w:hAnsi="Arial" w:cs="Arial"/>
          <w:i/>
          <w:iCs/>
          <w:sz w:val="16"/>
          <w:szCs w:val="16"/>
          <w:vertAlign w:val="subscript"/>
        </w:rPr>
        <w:t>i</w:t>
      </w:r>
      <w:r w:rsidR="00956438">
        <w:rPr>
          <w:rFonts w:ascii="Arial" w:hAnsi="Arial" w:cs="Arial"/>
          <w:i/>
          <w:iCs/>
          <w:sz w:val="16"/>
          <w:szCs w:val="16"/>
          <w:vertAlign w:val="subscript"/>
        </w:rPr>
        <w:t>,u</w:t>
      </w:r>
      <w:r w:rsidR="00F745EB">
        <w:rPr>
          <w:rFonts w:ascii="Arial" w:hAnsi="Arial" w:cs="Arial"/>
          <w:sz w:val="16"/>
          <w:szCs w:val="16"/>
        </w:rPr>
        <w:t xml:space="preserve"> for non-competitive inhibition and IC</w:t>
      </w:r>
      <w:r w:rsidR="00F745EB" w:rsidRPr="00956438">
        <w:rPr>
          <w:rFonts w:ascii="Arial" w:hAnsi="Arial" w:cs="Arial"/>
          <w:sz w:val="16"/>
          <w:szCs w:val="16"/>
          <w:vertAlign w:val="subscript"/>
        </w:rPr>
        <w:t>50</w:t>
      </w:r>
      <w:r w:rsidR="00A86E62">
        <w:rPr>
          <w:rFonts w:ascii="Arial" w:hAnsi="Arial" w:cs="Arial"/>
          <w:sz w:val="16"/>
          <w:szCs w:val="16"/>
          <w:vertAlign w:val="subscript"/>
        </w:rPr>
        <w:t>,u</w:t>
      </w:r>
      <w:r w:rsidR="00F745EB">
        <w:rPr>
          <w:rFonts w:ascii="Arial" w:hAnsi="Arial" w:cs="Arial"/>
          <w:sz w:val="16"/>
          <w:szCs w:val="16"/>
        </w:rPr>
        <w:t xml:space="preserve"> =</w:t>
      </w:r>
      <w:r w:rsidR="00F745EB" w:rsidRPr="0061337D">
        <w:rPr>
          <w:rFonts w:ascii="Arial" w:hAnsi="Arial" w:cs="Arial"/>
          <w:i/>
          <w:iCs/>
          <w:sz w:val="16"/>
          <w:szCs w:val="16"/>
        </w:rPr>
        <w:t xml:space="preserve"> </w:t>
      </w:r>
      <w:r w:rsidR="001A5E9B" w:rsidRPr="0061337D">
        <w:rPr>
          <w:rFonts w:ascii="Arial" w:hAnsi="Arial" w:cs="Arial"/>
          <w:i/>
          <w:iCs/>
          <w:sz w:val="16"/>
          <w:szCs w:val="16"/>
        </w:rPr>
        <w:t>K</w:t>
      </w:r>
      <w:r w:rsidR="001A5E9B" w:rsidRPr="0061337D">
        <w:rPr>
          <w:rFonts w:ascii="Arial" w:hAnsi="Arial" w:cs="Arial"/>
          <w:i/>
          <w:iCs/>
          <w:sz w:val="16"/>
          <w:szCs w:val="16"/>
          <w:vertAlign w:val="subscript"/>
        </w:rPr>
        <w:t>i</w:t>
      </w:r>
      <w:r w:rsidR="00A86E62" w:rsidRPr="0061337D">
        <w:rPr>
          <w:rFonts w:ascii="Arial" w:hAnsi="Arial" w:cs="Arial"/>
          <w:i/>
          <w:iCs/>
          <w:sz w:val="16"/>
          <w:szCs w:val="16"/>
          <w:vertAlign w:val="subscript"/>
        </w:rPr>
        <w:t>,u</w:t>
      </w:r>
      <w:r w:rsidR="00A86E62">
        <w:rPr>
          <w:rFonts w:ascii="Arial" w:hAnsi="Arial" w:cs="Arial"/>
          <w:sz w:val="16"/>
          <w:szCs w:val="16"/>
        </w:rPr>
        <w:t xml:space="preserve"> </w:t>
      </w:r>
      <w:r w:rsidR="001A5E9B">
        <w:rPr>
          <w:rFonts w:ascii="Arial" w:hAnsi="Arial" w:cs="Arial"/>
          <w:sz w:val="16"/>
          <w:szCs w:val="16"/>
        </w:rPr>
        <w:t>×</w:t>
      </w:r>
      <w:r w:rsidR="00A86E62">
        <w:rPr>
          <w:rFonts w:ascii="Arial" w:hAnsi="Arial" w:cs="Arial"/>
          <w:sz w:val="16"/>
          <w:szCs w:val="16"/>
        </w:rPr>
        <w:t xml:space="preserve"> </w:t>
      </w:r>
      <w:r w:rsidR="001A5E9B">
        <w:rPr>
          <w:rFonts w:ascii="Arial" w:hAnsi="Arial" w:cs="Arial"/>
          <w:sz w:val="16"/>
          <w:szCs w:val="16"/>
        </w:rPr>
        <w:t>(1+S/K</w:t>
      </w:r>
      <w:r w:rsidR="001A5E9B" w:rsidRPr="00A86E62">
        <w:rPr>
          <w:rFonts w:ascii="Arial" w:hAnsi="Arial" w:cs="Arial"/>
          <w:sz w:val="16"/>
          <w:szCs w:val="16"/>
          <w:vertAlign w:val="subscript"/>
        </w:rPr>
        <w:t>m</w:t>
      </w:r>
      <w:r w:rsidR="001A5E9B">
        <w:rPr>
          <w:rFonts w:ascii="Arial" w:hAnsi="Arial" w:cs="Arial"/>
          <w:sz w:val="16"/>
          <w:szCs w:val="16"/>
        </w:rPr>
        <w:t>) for competitive inhibition</w:t>
      </w:r>
      <w:r w:rsidR="005C0432">
        <w:rPr>
          <w:rFonts w:ascii="Arial" w:hAnsi="Arial" w:cs="Arial"/>
          <w:sz w:val="16"/>
          <w:szCs w:val="16"/>
        </w:rPr>
        <w:t>.</w:t>
      </w:r>
    </w:p>
    <w:p w14:paraId="718AA5BD" w14:textId="77777777" w:rsidR="00B474A9" w:rsidRDefault="00B474A9" w:rsidP="00AD6721">
      <w:pPr>
        <w:jc w:val="both"/>
        <w:rPr>
          <w:rFonts w:ascii="Arial" w:hAnsi="Arial" w:cs="Arial"/>
          <w:sz w:val="16"/>
          <w:szCs w:val="16"/>
        </w:rPr>
      </w:pPr>
    </w:p>
    <w:p w14:paraId="68968C79" w14:textId="77777777" w:rsidR="00236CAE" w:rsidRPr="00883407" w:rsidRDefault="00236CAE" w:rsidP="00C76F04">
      <w:pPr>
        <w:rPr>
          <w:rFonts w:ascii="Arial" w:hAnsi="Arial" w:cs="Arial"/>
          <w:sz w:val="16"/>
          <w:szCs w:val="16"/>
        </w:rPr>
      </w:pPr>
    </w:p>
    <w:p w14:paraId="464D199D" w14:textId="77777777" w:rsidR="00A030B5" w:rsidRDefault="00A030B5"/>
    <w:sectPr w:rsidR="00A03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F04"/>
    <w:rsid w:val="00011218"/>
    <w:rsid w:val="00042B36"/>
    <w:rsid w:val="000B7573"/>
    <w:rsid w:val="000D47B9"/>
    <w:rsid w:val="001625B9"/>
    <w:rsid w:val="001A5E9B"/>
    <w:rsid w:val="00211B72"/>
    <w:rsid w:val="002132B9"/>
    <w:rsid w:val="00214132"/>
    <w:rsid w:val="00236CAE"/>
    <w:rsid w:val="0028357B"/>
    <w:rsid w:val="002C6B3B"/>
    <w:rsid w:val="002C778F"/>
    <w:rsid w:val="0039204D"/>
    <w:rsid w:val="004A7A01"/>
    <w:rsid w:val="00513EE3"/>
    <w:rsid w:val="00581EBF"/>
    <w:rsid w:val="005B7B4C"/>
    <w:rsid w:val="005C0432"/>
    <w:rsid w:val="005E7DE8"/>
    <w:rsid w:val="00601248"/>
    <w:rsid w:val="0061337D"/>
    <w:rsid w:val="00664BD3"/>
    <w:rsid w:val="006C0499"/>
    <w:rsid w:val="006D7CE1"/>
    <w:rsid w:val="00701BF7"/>
    <w:rsid w:val="00716401"/>
    <w:rsid w:val="007221BE"/>
    <w:rsid w:val="00732688"/>
    <w:rsid w:val="00743F8F"/>
    <w:rsid w:val="007A6C11"/>
    <w:rsid w:val="00860FEF"/>
    <w:rsid w:val="008701F9"/>
    <w:rsid w:val="00870CCB"/>
    <w:rsid w:val="00883407"/>
    <w:rsid w:val="008B37F1"/>
    <w:rsid w:val="00924AAB"/>
    <w:rsid w:val="00956438"/>
    <w:rsid w:val="00A030B5"/>
    <w:rsid w:val="00A86E62"/>
    <w:rsid w:val="00A923DC"/>
    <w:rsid w:val="00AD6721"/>
    <w:rsid w:val="00AE53FB"/>
    <w:rsid w:val="00B31186"/>
    <w:rsid w:val="00B474A9"/>
    <w:rsid w:val="00BB4CE2"/>
    <w:rsid w:val="00BF5040"/>
    <w:rsid w:val="00C13B76"/>
    <w:rsid w:val="00C32634"/>
    <w:rsid w:val="00C76366"/>
    <w:rsid w:val="00C76F04"/>
    <w:rsid w:val="00CB02A4"/>
    <w:rsid w:val="00D24DAD"/>
    <w:rsid w:val="00D5160F"/>
    <w:rsid w:val="00D73118"/>
    <w:rsid w:val="00D77AD2"/>
    <w:rsid w:val="00DF5458"/>
    <w:rsid w:val="00E35982"/>
    <w:rsid w:val="00E364A7"/>
    <w:rsid w:val="00E65C3C"/>
    <w:rsid w:val="00ED7D4D"/>
    <w:rsid w:val="00F068D0"/>
    <w:rsid w:val="00F12459"/>
    <w:rsid w:val="00F40B8C"/>
    <w:rsid w:val="00F7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6F297"/>
  <w15:chartTrackingRefBased/>
  <w15:docId w15:val="{0F53A5AA-F814-47BA-AE11-238422D6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2B9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76F04"/>
    <w:pPr>
      <w:spacing w:line="240" w:lineRule="auto"/>
      <w:jc w:val="both"/>
    </w:pPr>
    <w:rPr>
      <w:rFonts w:ascii="Helvetica" w:eastAsia="SimSun" w:hAnsi="Helvetica"/>
      <w:bCs/>
      <w:sz w:val="20"/>
      <w:szCs w:val="20"/>
      <w:lang w:eastAsia="en-US"/>
    </w:rPr>
  </w:style>
  <w:style w:type="table" w:styleId="PlainTable2">
    <w:name w:val="Plain Table 2"/>
    <w:basedOn w:val="TableNormal"/>
    <w:uiPriority w:val="42"/>
    <w:rsid w:val="00C76F04"/>
    <w:pPr>
      <w:spacing w:after="0" w:line="240" w:lineRule="auto"/>
    </w:pPr>
    <w:rPr>
      <w:rFonts w:eastAsia="SimSun"/>
      <w:lang w:val="en-US"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 Yi Eleanor Cheong</dc:creator>
  <cp:keywords/>
  <dc:description/>
  <cp:lastModifiedBy>Eleanor Cheong</cp:lastModifiedBy>
  <cp:revision>55</cp:revision>
  <dcterms:created xsi:type="dcterms:W3CDTF">2021-03-01T07:39:00Z</dcterms:created>
  <dcterms:modified xsi:type="dcterms:W3CDTF">2021-04-03T07:30:00Z</dcterms:modified>
</cp:coreProperties>
</file>