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4DCF0" w14:textId="434F8027" w:rsidR="007948C5" w:rsidRPr="00D873EA" w:rsidRDefault="00F0399C" w:rsidP="007948C5">
      <w:pPr>
        <w:spacing w:line="360" w:lineRule="auto"/>
        <w:jc w:val="center"/>
        <w:rPr>
          <w:rFonts w:ascii="Arial" w:hAnsi="Arial" w:cs="Arial"/>
          <w:sz w:val="28"/>
          <w:szCs w:val="28"/>
        </w:rPr>
      </w:pPr>
      <w:r w:rsidRPr="00D873EA">
        <w:rPr>
          <w:rFonts w:ascii="Arial" w:hAnsi="Arial" w:cs="Arial"/>
          <w:b/>
          <w:bCs/>
          <w:sz w:val="28"/>
          <w:szCs w:val="28"/>
        </w:rPr>
        <w:t xml:space="preserve">Application of a PBPK Model of </w:t>
      </w:r>
      <w:r w:rsidR="004440A0" w:rsidRPr="00D873EA">
        <w:rPr>
          <w:rFonts w:ascii="Arial" w:hAnsi="Arial" w:cs="Arial"/>
          <w:b/>
          <w:bCs/>
          <w:sz w:val="28"/>
          <w:szCs w:val="28"/>
        </w:rPr>
        <w:t>Rivaroxaban to</w:t>
      </w:r>
      <w:r w:rsidRPr="00D873EA">
        <w:rPr>
          <w:rFonts w:ascii="Arial" w:hAnsi="Arial" w:cs="Arial"/>
          <w:b/>
          <w:bCs/>
          <w:sz w:val="28"/>
          <w:szCs w:val="28"/>
        </w:rPr>
        <w:t xml:space="preserve"> Prospective Simulations of Drug-D</w:t>
      </w:r>
      <w:r w:rsidR="00E513C8">
        <w:rPr>
          <w:rFonts w:ascii="Arial" w:hAnsi="Arial" w:cs="Arial"/>
          <w:b/>
          <w:bCs/>
          <w:sz w:val="28"/>
          <w:szCs w:val="28"/>
        </w:rPr>
        <w:t xml:space="preserve">rug-Disease Interactions </w:t>
      </w:r>
      <w:r w:rsidR="00736CEF" w:rsidRPr="00D873EA">
        <w:rPr>
          <w:rFonts w:ascii="Arial" w:hAnsi="Arial" w:cs="Arial"/>
          <w:b/>
          <w:bCs/>
          <w:sz w:val="28"/>
          <w:szCs w:val="28"/>
        </w:rPr>
        <w:t>with Protein Kinase Inhibitors</w:t>
      </w:r>
      <w:r w:rsidRPr="00D873EA">
        <w:rPr>
          <w:rFonts w:ascii="Arial" w:hAnsi="Arial" w:cs="Arial"/>
          <w:b/>
          <w:bCs/>
          <w:sz w:val="28"/>
          <w:szCs w:val="28"/>
        </w:rPr>
        <w:t xml:space="preserve"> in CA-VTE</w:t>
      </w:r>
    </w:p>
    <w:p w14:paraId="6D006041" w14:textId="77777777" w:rsidR="004440A0" w:rsidRPr="00C016DD" w:rsidRDefault="004440A0" w:rsidP="003F2167">
      <w:pPr>
        <w:spacing w:line="480" w:lineRule="auto"/>
        <w:jc w:val="both"/>
        <w:rPr>
          <w:rFonts w:ascii="Arial" w:hAnsi="Arial" w:cs="Arial"/>
          <w:sz w:val="20"/>
          <w:szCs w:val="20"/>
        </w:rPr>
      </w:pPr>
      <w:bookmarkStart w:id="0" w:name="_Hlk525716667"/>
    </w:p>
    <w:p w14:paraId="0E2C8766" w14:textId="22315BDD" w:rsidR="00AB1AD3" w:rsidRPr="00C016DD" w:rsidRDefault="00223730" w:rsidP="003F2167">
      <w:pPr>
        <w:spacing w:line="480" w:lineRule="auto"/>
        <w:jc w:val="both"/>
        <w:rPr>
          <w:rFonts w:ascii="Arial" w:hAnsi="Arial" w:cs="Arial"/>
          <w:sz w:val="20"/>
          <w:szCs w:val="20"/>
        </w:rPr>
      </w:pPr>
      <w:r w:rsidRPr="00C016DD">
        <w:rPr>
          <w:rFonts w:ascii="Arial" w:hAnsi="Arial" w:cs="Arial"/>
          <w:sz w:val="20"/>
          <w:szCs w:val="20"/>
        </w:rPr>
        <w:t xml:space="preserve">Eleanor Jing Yi Cheong, </w:t>
      </w:r>
      <w:bookmarkEnd w:id="0"/>
      <w:r w:rsidR="003B3FDD" w:rsidRPr="00C016DD">
        <w:rPr>
          <w:rFonts w:ascii="Arial" w:hAnsi="Arial" w:cs="Arial"/>
          <w:sz w:val="20"/>
          <w:szCs w:val="20"/>
        </w:rPr>
        <w:t xml:space="preserve">Daniel </w:t>
      </w:r>
      <w:r w:rsidR="00EB6D55" w:rsidRPr="00C016DD">
        <w:rPr>
          <w:rFonts w:ascii="Arial" w:hAnsi="Arial" w:cs="Arial"/>
          <w:sz w:val="20"/>
          <w:szCs w:val="20"/>
        </w:rPr>
        <w:t>Zhi Wei Ng</w:t>
      </w:r>
      <w:r w:rsidR="00BE118F" w:rsidRPr="00C016DD">
        <w:rPr>
          <w:rFonts w:ascii="Arial" w:hAnsi="Arial" w:cs="Arial"/>
          <w:sz w:val="20"/>
          <w:szCs w:val="20"/>
        </w:rPr>
        <w:t xml:space="preserve">, </w:t>
      </w:r>
      <w:r w:rsidR="00EB6D55" w:rsidRPr="00C016DD">
        <w:rPr>
          <w:rFonts w:ascii="Arial" w:hAnsi="Arial" w:cs="Arial"/>
          <w:sz w:val="20"/>
          <w:szCs w:val="20"/>
        </w:rPr>
        <w:t>Sheng Yuan Chin</w:t>
      </w:r>
      <w:r w:rsidR="00792865" w:rsidRPr="00C016DD">
        <w:rPr>
          <w:rFonts w:ascii="Arial" w:hAnsi="Arial" w:cs="Arial"/>
          <w:sz w:val="20"/>
          <w:szCs w:val="20"/>
        </w:rPr>
        <w:t>,</w:t>
      </w:r>
      <w:r w:rsidR="00B93AFC" w:rsidRPr="00C016DD">
        <w:rPr>
          <w:rFonts w:ascii="Arial" w:hAnsi="Arial" w:cs="Arial"/>
          <w:sz w:val="20"/>
          <w:szCs w:val="20"/>
        </w:rPr>
        <w:t xml:space="preserve"> </w:t>
      </w:r>
      <w:r w:rsidR="00EB6D55" w:rsidRPr="00C016DD">
        <w:rPr>
          <w:rFonts w:ascii="Arial" w:hAnsi="Arial" w:cs="Arial"/>
          <w:sz w:val="20"/>
          <w:szCs w:val="20"/>
        </w:rPr>
        <w:t>Ziteng Wang</w:t>
      </w:r>
      <w:r w:rsidR="00792865" w:rsidRPr="00C016DD">
        <w:rPr>
          <w:rFonts w:ascii="Arial" w:hAnsi="Arial" w:cs="Arial"/>
          <w:sz w:val="20"/>
          <w:szCs w:val="20"/>
        </w:rPr>
        <w:t>, Eric Chun Yong Chan</w:t>
      </w:r>
    </w:p>
    <w:p w14:paraId="3B997B67" w14:textId="0429792F" w:rsidR="003F2167" w:rsidRPr="00C016DD" w:rsidRDefault="002778CB" w:rsidP="003F2167">
      <w:pPr>
        <w:spacing w:after="0" w:line="480" w:lineRule="auto"/>
        <w:jc w:val="both"/>
        <w:rPr>
          <w:rFonts w:ascii="Arial" w:hAnsi="Arial" w:cs="Arial"/>
          <w:iCs/>
          <w:sz w:val="20"/>
          <w:szCs w:val="20"/>
        </w:rPr>
      </w:pPr>
      <w:r w:rsidRPr="00C016DD">
        <w:rPr>
          <w:rFonts w:ascii="Arial" w:hAnsi="Arial" w:cs="Arial"/>
          <w:iCs/>
          <w:sz w:val="20"/>
          <w:szCs w:val="20"/>
        </w:rPr>
        <w:t>Department of Pharmacy, Faculty of Science, National University of Singapore, 18 Science Drive 4, Singapore 117543</w:t>
      </w:r>
      <w:r w:rsidR="00EE13AF" w:rsidRPr="00C016DD">
        <w:rPr>
          <w:rFonts w:ascii="Arial" w:hAnsi="Arial" w:cs="Arial"/>
          <w:iCs/>
          <w:sz w:val="20"/>
          <w:szCs w:val="20"/>
        </w:rPr>
        <w:t>, Singapore</w:t>
      </w:r>
    </w:p>
    <w:p w14:paraId="49B61F66" w14:textId="6ADF5901" w:rsidR="00306995" w:rsidRPr="00C016DD" w:rsidRDefault="00306995" w:rsidP="00AA6C67">
      <w:pPr>
        <w:spacing w:line="360" w:lineRule="auto"/>
        <w:jc w:val="both"/>
        <w:rPr>
          <w:rFonts w:ascii="Arial" w:hAnsi="Arial" w:cs="Arial"/>
          <w:iCs/>
          <w:sz w:val="20"/>
          <w:szCs w:val="20"/>
        </w:rPr>
      </w:pPr>
    </w:p>
    <w:p w14:paraId="15666A1C" w14:textId="3BFBAD45" w:rsidR="00306995" w:rsidRPr="00C016DD" w:rsidRDefault="00AA6C67" w:rsidP="00AA6C67">
      <w:pPr>
        <w:spacing w:line="360" w:lineRule="auto"/>
        <w:jc w:val="both"/>
        <w:rPr>
          <w:rFonts w:ascii="Arial" w:hAnsi="Arial" w:cs="Arial"/>
          <w:iCs/>
          <w:sz w:val="20"/>
          <w:szCs w:val="20"/>
        </w:rPr>
      </w:pPr>
      <w:r w:rsidRPr="00AA6C67">
        <w:rPr>
          <w:rFonts w:ascii="Arial" w:hAnsi="Arial" w:cs="Arial"/>
          <w:iCs/>
          <w:sz w:val="20"/>
          <w:szCs w:val="20"/>
        </w:rPr>
        <w:t>The data that support the findings of this study are available from the corresponding author upon reasonable request. Some data may not be made available because of privacy or ethical restrictions.</w:t>
      </w:r>
    </w:p>
    <w:p w14:paraId="116AC527" w14:textId="77777777" w:rsidR="00284385" w:rsidRPr="00C016DD" w:rsidRDefault="00284385" w:rsidP="00366AD2">
      <w:pPr>
        <w:spacing w:line="360" w:lineRule="auto"/>
        <w:rPr>
          <w:rFonts w:ascii="Arial" w:hAnsi="Arial" w:cs="Arial"/>
          <w:b/>
          <w:sz w:val="20"/>
          <w:szCs w:val="20"/>
        </w:rPr>
      </w:pPr>
    </w:p>
    <w:p w14:paraId="0E00D6B1" w14:textId="77777777" w:rsidR="008D0DED" w:rsidRPr="00C016DD" w:rsidRDefault="008D0DED" w:rsidP="00366AD2">
      <w:pPr>
        <w:spacing w:line="360" w:lineRule="auto"/>
        <w:rPr>
          <w:rFonts w:ascii="Arial" w:hAnsi="Arial" w:cs="Arial"/>
          <w:b/>
          <w:sz w:val="20"/>
          <w:szCs w:val="20"/>
        </w:rPr>
      </w:pPr>
    </w:p>
    <w:p w14:paraId="1166C064" w14:textId="77777777" w:rsidR="008D0DED" w:rsidRPr="00C016DD" w:rsidRDefault="008D0DED" w:rsidP="00366AD2">
      <w:pPr>
        <w:spacing w:line="360" w:lineRule="auto"/>
        <w:rPr>
          <w:rFonts w:ascii="Arial" w:hAnsi="Arial" w:cs="Arial"/>
          <w:b/>
          <w:sz w:val="20"/>
          <w:szCs w:val="20"/>
        </w:rPr>
      </w:pPr>
    </w:p>
    <w:p w14:paraId="569B1841" w14:textId="77777777" w:rsidR="008D0DED" w:rsidRPr="00C016DD" w:rsidRDefault="008D0DED" w:rsidP="00366AD2">
      <w:pPr>
        <w:spacing w:line="360" w:lineRule="auto"/>
        <w:rPr>
          <w:rFonts w:ascii="Arial" w:hAnsi="Arial" w:cs="Arial"/>
          <w:b/>
          <w:sz w:val="20"/>
          <w:szCs w:val="20"/>
        </w:rPr>
      </w:pPr>
    </w:p>
    <w:p w14:paraId="38EC9C44" w14:textId="77777777" w:rsidR="008D0DED" w:rsidRPr="00C016DD" w:rsidRDefault="008D0DED" w:rsidP="00366AD2">
      <w:pPr>
        <w:spacing w:line="360" w:lineRule="auto"/>
        <w:rPr>
          <w:rFonts w:ascii="Arial" w:hAnsi="Arial" w:cs="Arial"/>
          <w:b/>
          <w:sz w:val="20"/>
          <w:szCs w:val="20"/>
        </w:rPr>
      </w:pPr>
    </w:p>
    <w:p w14:paraId="20E67B94" w14:textId="77777777" w:rsidR="008D0DED" w:rsidRPr="00C016DD" w:rsidRDefault="008D0DED" w:rsidP="00366AD2">
      <w:pPr>
        <w:spacing w:line="360" w:lineRule="auto"/>
        <w:rPr>
          <w:rFonts w:ascii="Arial" w:hAnsi="Arial" w:cs="Arial"/>
          <w:b/>
          <w:sz w:val="20"/>
          <w:szCs w:val="20"/>
        </w:rPr>
      </w:pPr>
    </w:p>
    <w:p w14:paraId="6968AF9D" w14:textId="77777777" w:rsidR="008D0DED" w:rsidRPr="00C016DD" w:rsidRDefault="008D0DED" w:rsidP="00366AD2">
      <w:pPr>
        <w:spacing w:line="360" w:lineRule="auto"/>
        <w:rPr>
          <w:rFonts w:ascii="Arial" w:hAnsi="Arial" w:cs="Arial"/>
          <w:b/>
          <w:sz w:val="20"/>
          <w:szCs w:val="20"/>
        </w:rPr>
      </w:pPr>
    </w:p>
    <w:p w14:paraId="7C76B99E" w14:textId="77777777" w:rsidR="008D0DED" w:rsidRPr="00C016DD" w:rsidRDefault="008D0DED" w:rsidP="00366AD2">
      <w:pPr>
        <w:spacing w:line="360" w:lineRule="auto"/>
        <w:rPr>
          <w:rFonts w:ascii="Arial" w:hAnsi="Arial" w:cs="Arial"/>
          <w:b/>
          <w:sz w:val="20"/>
          <w:szCs w:val="20"/>
        </w:rPr>
      </w:pPr>
    </w:p>
    <w:p w14:paraId="51F0A8AC" w14:textId="77777777" w:rsidR="008D0DED" w:rsidRPr="00C016DD" w:rsidRDefault="008D0DED" w:rsidP="00366AD2">
      <w:pPr>
        <w:spacing w:line="360" w:lineRule="auto"/>
        <w:rPr>
          <w:rFonts w:ascii="Arial" w:hAnsi="Arial" w:cs="Arial"/>
          <w:b/>
          <w:sz w:val="20"/>
          <w:szCs w:val="20"/>
        </w:rPr>
      </w:pPr>
    </w:p>
    <w:p w14:paraId="0E280677" w14:textId="77777777" w:rsidR="008D0DED" w:rsidRPr="00C016DD" w:rsidRDefault="008D0DED" w:rsidP="00366AD2">
      <w:pPr>
        <w:spacing w:line="360" w:lineRule="auto"/>
        <w:rPr>
          <w:rFonts w:ascii="Arial" w:hAnsi="Arial" w:cs="Arial"/>
          <w:b/>
          <w:sz w:val="20"/>
          <w:szCs w:val="20"/>
        </w:rPr>
      </w:pPr>
    </w:p>
    <w:p w14:paraId="2269827F" w14:textId="77777777" w:rsidR="008D0DED" w:rsidRPr="00C016DD" w:rsidRDefault="008D0DED" w:rsidP="00366AD2">
      <w:pPr>
        <w:spacing w:line="360" w:lineRule="auto"/>
        <w:rPr>
          <w:rFonts w:ascii="Arial" w:hAnsi="Arial" w:cs="Arial"/>
          <w:b/>
          <w:sz w:val="20"/>
          <w:szCs w:val="20"/>
        </w:rPr>
      </w:pPr>
    </w:p>
    <w:p w14:paraId="14A8896A" w14:textId="77777777" w:rsidR="008D0DED" w:rsidRPr="00C016DD" w:rsidRDefault="008D0DED" w:rsidP="00366AD2">
      <w:pPr>
        <w:spacing w:line="360" w:lineRule="auto"/>
        <w:rPr>
          <w:rFonts w:ascii="Arial" w:hAnsi="Arial" w:cs="Arial"/>
          <w:b/>
          <w:sz w:val="20"/>
          <w:szCs w:val="20"/>
        </w:rPr>
      </w:pPr>
    </w:p>
    <w:p w14:paraId="11C62938" w14:textId="77777777" w:rsidR="008D0DED" w:rsidRPr="00C016DD" w:rsidRDefault="008D0DED" w:rsidP="00366AD2">
      <w:pPr>
        <w:spacing w:line="360" w:lineRule="auto"/>
        <w:rPr>
          <w:rFonts w:ascii="Arial" w:hAnsi="Arial" w:cs="Arial"/>
          <w:b/>
          <w:sz w:val="20"/>
          <w:szCs w:val="20"/>
        </w:rPr>
      </w:pPr>
    </w:p>
    <w:p w14:paraId="6B7C9190" w14:textId="77777777" w:rsidR="008D0DED" w:rsidRPr="00C016DD" w:rsidRDefault="008D0DED" w:rsidP="00366AD2">
      <w:pPr>
        <w:spacing w:line="360" w:lineRule="auto"/>
        <w:rPr>
          <w:rFonts w:ascii="Arial" w:hAnsi="Arial" w:cs="Arial"/>
          <w:b/>
          <w:sz w:val="20"/>
          <w:szCs w:val="20"/>
        </w:rPr>
      </w:pPr>
    </w:p>
    <w:p w14:paraId="1FB1E2AC" w14:textId="77777777" w:rsidR="008D0DED" w:rsidRPr="00C016DD" w:rsidRDefault="008D0DED" w:rsidP="00366AD2">
      <w:pPr>
        <w:spacing w:line="360" w:lineRule="auto"/>
        <w:rPr>
          <w:rFonts w:ascii="Arial" w:hAnsi="Arial" w:cs="Arial"/>
          <w:b/>
          <w:sz w:val="20"/>
          <w:szCs w:val="20"/>
        </w:rPr>
      </w:pPr>
    </w:p>
    <w:p w14:paraId="4A41C2BE" w14:textId="1CC5B1EA" w:rsidR="008D0DED" w:rsidRPr="00C016DD" w:rsidRDefault="008D0DED" w:rsidP="00366AD2">
      <w:pPr>
        <w:spacing w:line="360" w:lineRule="auto"/>
        <w:rPr>
          <w:rFonts w:ascii="Arial" w:hAnsi="Arial" w:cs="Arial"/>
          <w:b/>
          <w:sz w:val="20"/>
          <w:szCs w:val="20"/>
        </w:rPr>
        <w:sectPr w:rsidR="008D0DED" w:rsidRPr="00C016DD" w:rsidSect="003E4C0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pgNumType w:start="1"/>
          <w:cols w:space="708"/>
          <w:docGrid w:linePitch="360"/>
        </w:sectPr>
      </w:pPr>
    </w:p>
    <w:p w14:paraId="309C7DD2" w14:textId="77777777" w:rsidR="007F2E10" w:rsidRDefault="007F2E10" w:rsidP="00394AD8">
      <w:pPr>
        <w:spacing w:line="480" w:lineRule="auto"/>
        <w:rPr>
          <w:rFonts w:ascii="Arial" w:hAnsi="Arial" w:cs="Arial"/>
          <w:b/>
          <w:sz w:val="20"/>
          <w:szCs w:val="20"/>
        </w:rPr>
      </w:pPr>
    </w:p>
    <w:p w14:paraId="49F831A9" w14:textId="23B9F944" w:rsidR="00AB1AD3" w:rsidRPr="00C016DD" w:rsidRDefault="008D0DED" w:rsidP="00394AD8">
      <w:pPr>
        <w:spacing w:line="480" w:lineRule="auto"/>
        <w:rPr>
          <w:rFonts w:ascii="Arial" w:hAnsi="Arial" w:cs="Arial"/>
          <w:b/>
          <w:sz w:val="20"/>
          <w:szCs w:val="20"/>
        </w:rPr>
      </w:pPr>
      <w:r w:rsidRPr="00C016DD">
        <w:rPr>
          <w:rFonts w:ascii="Arial" w:hAnsi="Arial" w:cs="Arial"/>
          <w:b/>
          <w:sz w:val="20"/>
          <w:szCs w:val="20"/>
        </w:rPr>
        <w:lastRenderedPageBreak/>
        <w:t>Corresponding Author</w:t>
      </w:r>
      <w:r w:rsidR="00962616" w:rsidRPr="00C016DD">
        <w:rPr>
          <w:rFonts w:ascii="Arial" w:hAnsi="Arial" w:cs="Arial"/>
          <w:b/>
          <w:sz w:val="20"/>
          <w:szCs w:val="20"/>
        </w:rPr>
        <w:t>:</w:t>
      </w:r>
    </w:p>
    <w:p w14:paraId="519601BA" w14:textId="74E53EEF" w:rsidR="00AB1AD3" w:rsidRPr="00C016DD" w:rsidRDefault="00394AD8" w:rsidP="00394AD8">
      <w:pPr>
        <w:spacing w:line="480" w:lineRule="auto"/>
        <w:jc w:val="both"/>
        <w:rPr>
          <w:rFonts w:ascii="Arial" w:hAnsi="Arial" w:cs="Arial"/>
          <w:sz w:val="20"/>
          <w:szCs w:val="20"/>
        </w:rPr>
      </w:pPr>
      <w:r w:rsidRPr="00C016DD">
        <w:rPr>
          <w:rFonts w:ascii="Arial" w:hAnsi="Arial" w:cs="Arial"/>
          <w:sz w:val="20"/>
          <w:szCs w:val="20"/>
        </w:rPr>
        <w:t>P</w:t>
      </w:r>
      <w:r w:rsidR="00AB1AD3" w:rsidRPr="00C016DD">
        <w:rPr>
          <w:rFonts w:ascii="Arial" w:hAnsi="Arial" w:cs="Arial"/>
          <w:sz w:val="20"/>
          <w:szCs w:val="20"/>
        </w:rPr>
        <w:t>rofessor Eric Chun Yong Chan, Department of Pharmacy, Faculty of Science, National University</w:t>
      </w:r>
      <w:r w:rsidR="00EE13AF" w:rsidRPr="00C016DD">
        <w:rPr>
          <w:rFonts w:ascii="Arial" w:hAnsi="Arial" w:cs="Arial"/>
          <w:sz w:val="20"/>
          <w:szCs w:val="20"/>
        </w:rPr>
        <w:t xml:space="preserve"> of Singapore</w:t>
      </w:r>
      <w:r w:rsidR="00AB1AD3" w:rsidRPr="00C016DD">
        <w:rPr>
          <w:rFonts w:ascii="Arial" w:hAnsi="Arial" w:cs="Arial"/>
          <w:sz w:val="20"/>
          <w:szCs w:val="20"/>
        </w:rPr>
        <w:t xml:space="preserve">, 18 Science Drive 4, Singapore 117543, Singapore. </w:t>
      </w:r>
    </w:p>
    <w:p w14:paraId="69AED2FD" w14:textId="615A9E06" w:rsidR="00962616" w:rsidRPr="00C016DD" w:rsidRDefault="00AB1AD3" w:rsidP="00394AD8">
      <w:pPr>
        <w:spacing w:line="480" w:lineRule="auto"/>
        <w:rPr>
          <w:rFonts w:ascii="Arial" w:hAnsi="Arial" w:cs="Arial"/>
          <w:sz w:val="20"/>
          <w:szCs w:val="20"/>
        </w:rPr>
      </w:pPr>
      <w:r w:rsidRPr="00C016DD">
        <w:rPr>
          <w:rFonts w:ascii="Arial" w:hAnsi="Arial" w:cs="Arial"/>
          <w:sz w:val="20"/>
          <w:szCs w:val="20"/>
        </w:rPr>
        <w:t xml:space="preserve">Email: </w:t>
      </w:r>
      <w:hyperlink r:id="rId14" w:history="1">
        <w:r w:rsidR="00002325" w:rsidRPr="00DA71A6">
          <w:rPr>
            <w:rStyle w:val="Hyperlink"/>
            <w:rFonts w:ascii="Arial" w:hAnsi="Arial" w:cs="Arial"/>
            <w:sz w:val="20"/>
            <w:szCs w:val="20"/>
          </w:rPr>
          <w:t>phaccye@nus.edu.sg</w:t>
        </w:r>
      </w:hyperlink>
      <w:r w:rsidRPr="00C016DD">
        <w:rPr>
          <w:rFonts w:ascii="Arial" w:hAnsi="Arial" w:cs="Arial"/>
          <w:color w:val="0000FF"/>
          <w:sz w:val="20"/>
          <w:szCs w:val="20"/>
        </w:rPr>
        <w:t xml:space="preserve">; </w:t>
      </w:r>
      <w:r w:rsidRPr="00C016DD">
        <w:rPr>
          <w:rFonts w:ascii="Arial" w:hAnsi="Arial" w:cs="Arial"/>
          <w:sz w:val="20"/>
          <w:szCs w:val="20"/>
        </w:rPr>
        <w:t>Telephone</w:t>
      </w:r>
      <w:r w:rsidRPr="00C016DD">
        <w:rPr>
          <w:rFonts w:ascii="Arial" w:hAnsi="Arial" w:cs="Arial"/>
          <w:color w:val="0000FF"/>
          <w:sz w:val="20"/>
          <w:szCs w:val="20"/>
        </w:rPr>
        <w:t xml:space="preserve">: </w:t>
      </w:r>
      <w:r w:rsidRPr="00C016DD">
        <w:rPr>
          <w:rFonts w:ascii="Arial" w:hAnsi="Arial" w:cs="Arial"/>
          <w:sz w:val="20"/>
          <w:szCs w:val="20"/>
        </w:rPr>
        <w:t>+65</w:t>
      </w:r>
      <w:r w:rsidRPr="00C016DD">
        <w:rPr>
          <w:rFonts w:ascii="Arial" w:hAnsi="Arial" w:cs="Arial"/>
          <w:color w:val="000000"/>
          <w:sz w:val="20"/>
          <w:szCs w:val="20"/>
          <w:shd w:val="clear" w:color="auto" w:fill="FFFFFF"/>
        </w:rPr>
        <w:t xml:space="preserve">-6516 6137; </w:t>
      </w:r>
      <w:r w:rsidR="00366AD2" w:rsidRPr="00C016DD">
        <w:rPr>
          <w:rFonts w:ascii="Arial" w:hAnsi="Arial" w:cs="Arial"/>
          <w:sz w:val="20"/>
          <w:szCs w:val="20"/>
        </w:rPr>
        <w:t>Fax: +65-6779155</w:t>
      </w:r>
    </w:p>
    <w:p w14:paraId="13D3415B" w14:textId="77777777" w:rsidR="00962616" w:rsidRPr="00C016DD" w:rsidRDefault="00962616" w:rsidP="00962616">
      <w:pPr>
        <w:spacing w:line="480" w:lineRule="auto"/>
        <w:rPr>
          <w:rFonts w:ascii="Arial" w:hAnsi="Arial" w:cs="Arial"/>
          <w:b/>
          <w:sz w:val="20"/>
          <w:szCs w:val="20"/>
        </w:rPr>
      </w:pPr>
      <w:r w:rsidRPr="00C016DD">
        <w:rPr>
          <w:rFonts w:ascii="Arial" w:hAnsi="Arial" w:cs="Arial"/>
          <w:b/>
          <w:sz w:val="20"/>
          <w:szCs w:val="20"/>
        </w:rPr>
        <w:t>Funding Information:</w:t>
      </w:r>
    </w:p>
    <w:p w14:paraId="2A7EEE11" w14:textId="506F89F3" w:rsidR="00962616" w:rsidRPr="00C016DD" w:rsidRDefault="00962616" w:rsidP="00962616">
      <w:pPr>
        <w:spacing w:line="480" w:lineRule="auto"/>
        <w:jc w:val="both"/>
        <w:rPr>
          <w:rFonts w:ascii="Arial" w:eastAsia="Calibri" w:hAnsi="Arial" w:cs="Arial"/>
          <w:sz w:val="20"/>
          <w:szCs w:val="20"/>
          <w:lang w:val="en-SG" w:eastAsia="en-US"/>
        </w:rPr>
      </w:pPr>
      <w:r w:rsidRPr="00C016DD">
        <w:rPr>
          <w:rFonts w:ascii="Arial" w:eastAsia="Calibri" w:hAnsi="Arial" w:cs="Arial"/>
          <w:sz w:val="20"/>
          <w:szCs w:val="20"/>
          <w:lang w:val="en-SG" w:eastAsia="en-US"/>
        </w:rPr>
        <w:t xml:space="preserve">This work was supported by the Singapore Ministry of Education Tier 1 Academic Research Funding [Grant R-148-000-249-114] and the National University of Singapore (NUS) President’s Graduate Fellowship (PGF) to E.J.Y.C and the National University of Singapore, Department of Pharmacy, Final Year Project Funding provided to </w:t>
      </w:r>
      <w:r w:rsidR="001D6BA1" w:rsidRPr="00C016DD">
        <w:rPr>
          <w:rFonts w:ascii="Arial" w:eastAsia="Calibri" w:hAnsi="Arial" w:cs="Arial"/>
          <w:sz w:val="20"/>
          <w:szCs w:val="20"/>
          <w:lang w:val="en-SG" w:eastAsia="en-US"/>
        </w:rPr>
        <w:t>D.Z.W.N</w:t>
      </w:r>
    </w:p>
    <w:p w14:paraId="627FC9E1" w14:textId="77777777" w:rsidR="00962616" w:rsidRPr="00C016DD" w:rsidRDefault="00962616" w:rsidP="00962616">
      <w:pPr>
        <w:spacing w:line="480" w:lineRule="auto"/>
        <w:rPr>
          <w:rFonts w:ascii="Arial" w:hAnsi="Arial" w:cs="Arial"/>
          <w:b/>
          <w:sz w:val="20"/>
          <w:szCs w:val="20"/>
        </w:rPr>
      </w:pPr>
      <w:r w:rsidRPr="00C016DD">
        <w:rPr>
          <w:rFonts w:ascii="Arial" w:hAnsi="Arial" w:cs="Arial"/>
          <w:b/>
          <w:sz w:val="20"/>
          <w:szCs w:val="20"/>
        </w:rPr>
        <w:t>Keywords:</w:t>
      </w:r>
    </w:p>
    <w:p w14:paraId="5B70B66C" w14:textId="067A91F7" w:rsidR="00962616" w:rsidRPr="00C016DD" w:rsidRDefault="006F5B23" w:rsidP="00962616">
      <w:pPr>
        <w:spacing w:line="480" w:lineRule="auto"/>
        <w:jc w:val="both"/>
        <w:rPr>
          <w:rFonts w:ascii="Arial" w:hAnsi="Arial" w:cs="Arial"/>
          <w:b/>
          <w:sz w:val="20"/>
          <w:szCs w:val="20"/>
        </w:rPr>
      </w:pPr>
      <w:r w:rsidRPr="00C016DD">
        <w:rPr>
          <w:rFonts w:ascii="Arial" w:hAnsi="Arial" w:cs="Arial"/>
          <w:sz w:val="20"/>
          <w:szCs w:val="20"/>
        </w:rPr>
        <w:t>Rivaroxaban</w:t>
      </w:r>
      <w:r w:rsidR="00962616" w:rsidRPr="00C016DD">
        <w:rPr>
          <w:rFonts w:ascii="Arial" w:hAnsi="Arial" w:cs="Arial"/>
          <w:sz w:val="20"/>
          <w:szCs w:val="20"/>
        </w:rPr>
        <w:t xml:space="preserve">, </w:t>
      </w:r>
      <w:r w:rsidRPr="00C016DD">
        <w:rPr>
          <w:rFonts w:ascii="Arial" w:hAnsi="Arial" w:cs="Arial"/>
          <w:sz w:val="20"/>
          <w:szCs w:val="20"/>
        </w:rPr>
        <w:t>Erlotinib, Nilotinib,</w:t>
      </w:r>
      <w:r w:rsidR="00962616" w:rsidRPr="00C016DD">
        <w:rPr>
          <w:rFonts w:ascii="Arial" w:hAnsi="Arial" w:cs="Arial"/>
          <w:sz w:val="20"/>
          <w:szCs w:val="20"/>
        </w:rPr>
        <w:t xml:space="preserve"> </w:t>
      </w:r>
      <w:r w:rsidRPr="00C016DD">
        <w:rPr>
          <w:rFonts w:ascii="Arial" w:hAnsi="Arial" w:cs="Arial"/>
          <w:sz w:val="20"/>
          <w:szCs w:val="20"/>
        </w:rPr>
        <w:t>Drug-drug-disease interactions</w:t>
      </w:r>
      <w:r w:rsidR="00962616" w:rsidRPr="00C016DD">
        <w:rPr>
          <w:rFonts w:ascii="Arial" w:hAnsi="Arial" w:cs="Arial"/>
          <w:sz w:val="20"/>
          <w:szCs w:val="20"/>
        </w:rPr>
        <w:t xml:space="preserve">, </w:t>
      </w:r>
      <w:r w:rsidRPr="00C016DD">
        <w:rPr>
          <w:rFonts w:ascii="Arial" w:hAnsi="Arial" w:cs="Arial"/>
          <w:sz w:val="20"/>
          <w:szCs w:val="20"/>
        </w:rPr>
        <w:t>Physiologically-based pharmacokinetic</w:t>
      </w:r>
    </w:p>
    <w:p w14:paraId="2EF57E95" w14:textId="77777777" w:rsidR="00303FAD" w:rsidRPr="00C016DD" w:rsidRDefault="00303FAD" w:rsidP="00394AD8">
      <w:pPr>
        <w:spacing w:line="480" w:lineRule="auto"/>
        <w:rPr>
          <w:rFonts w:ascii="Arial" w:hAnsi="Arial" w:cs="Arial"/>
          <w:sz w:val="20"/>
          <w:szCs w:val="20"/>
        </w:rPr>
      </w:pPr>
    </w:p>
    <w:p w14:paraId="7417A5A1" w14:textId="77777777" w:rsidR="00303FAD" w:rsidRPr="00C016DD" w:rsidRDefault="00303FAD" w:rsidP="00394AD8">
      <w:pPr>
        <w:spacing w:line="480" w:lineRule="auto"/>
        <w:rPr>
          <w:rFonts w:ascii="Arial" w:hAnsi="Arial" w:cs="Arial"/>
          <w:sz w:val="20"/>
          <w:szCs w:val="20"/>
        </w:rPr>
      </w:pPr>
    </w:p>
    <w:p w14:paraId="01F39719" w14:textId="53080DE3" w:rsidR="007A4B4B" w:rsidRPr="00C016DD" w:rsidRDefault="007A4B4B" w:rsidP="007A4B4B">
      <w:pPr>
        <w:spacing w:line="480" w:lineRule="auto"/>
        <w:jc w:val="both"/>
        <w:rPr>
          <w:rFonts w:ascii="Arial" w:hAnsi="Arial" w:cs="Arial"/>
          <w:b/>
          <w:sz w:val="20"/>
          <w:szCs w:val="20"/>
        </w:rPr>
      </w:pPr>
      <w:bookmarkStart w:id="1" w:name="_Hlk22505677"/>
    </w:p>
    <w:bookmarkEnd w:id="1"/>
    <w:p w14:paraId="635C0EEB" w14:textId="77777777" w:rsidR="007A4B4B" w:rsidRPr="00C016DD" w:rsidRDefault="007A4B4B" w:rsidP="00394AD8">
      <w:pPr>
        <w:spacing w:line="480" w:lineRule="auto"/>
        <w:rPr>
          <w:rFonts w:ascii="Arial" w:hAnsi="Arial" w:cs="Arial"/>
          <w:b/>
          <w:sz w:val="20"/>
          <w:szCs w:val="20"/>
        </w:rPr>
      </w:pPr>
    </w:p>
    <w:p w14:paraId="0EF7F761" w14:textId="77777777" w:rsidR="00306995" w:rsidRPr="00C016DD" w:rsidRDefault="00306995" w:rsidP="00394AD8">
      <w:pPr>
        <w:spacing w:line="480" w:lineRule="auto"/>
        <w:rPr>
          <w:rFonts w:ascii="Arial" w:hAnsi="Arial" w:cs="Arial"/>
          <w:b/>
          <w:sz w:val="20"/>
          <w:szCs w:val="20"/>
        </w:rPr>
        <w:sectPr w:rsidR="00306995" w:rsidRPr="00C016DD" w:rsidSect="00F41FA8">
          <w:type w:val="continuous"/>
          <w:pgSz w:w="11906" w:h="16838"/>
          <w:pgMar w:top="1440" w:right="1440" w:bottom="1440" w:left="1440" w:header="708" w:footer="708" w:gutter="0"/>
          <w:cols w:space="708"/>
          <w:docGrid w:linePitch="360"/>
        </w:sectPr>
      </w:pPr>
    </w:p>
    <w:p w14:paraId="27A9C583" w14:textId="5DB54A80" w:rsidR="00306995" w:rsidRPr="00C016DD" w:rsidRDefault="00306995" w:rsidP="00394AD8">
      <w:pPr>
        <w:spacing w:line="480" w:lineRule="auto"/>
        <w:rPr>
          <w:rFonts w:ascii="Arial" w:hAnsi="Arial" w:cs="Arial"/>
          <w:b/>
          <w:sz w:val="20"/>
          <w:szCs w:val="20"/>
        </w:rPr>
        <w:sectPr w:rsidR="00306995" w:rsidRPr="00C016DD" w:rsidSect="003E4C0D">
          <w:type w:val="continuous"/>
          <w:pgSz w:w="11906" w:h="16838"/>
          <w:pgMar w:top="1440" w:right="1440" w:bottom="1440" w:left="1440" w:header="708" w:footer="708" w:gutter="0"/>
          <w:pgNumType w:start="1"/>
          <w:cols w:space="708"/>
          <w:docGrid w:linePitch="360"/>
        </w:sectPr>
      </w:pPr>
    </w:p>
    <w:p w14:paraId="68024193" w14:textId="77777777" w:rsidR="00394AD8" w:rsidRPr="00C016DD" w:rsidRDefault="00394AD8" w:rsidP="00394AD8">
      <w:pPr>
        <w:pStyle w:val="Heading1"/>
        <w:spacing w:line="360" w:lineRule="auto"/>
        <w:rPr>
          <w:rFonts w:ascii="Arial" w:hAnsi="Arial" w:cs="Arial"/>
          <w:sz w:val="20"/>
          <w:szCs w:val="20"/>
        </w:rPr>
      </w:pPr>
      <w:r w:rsidRPr="00C016DD">
        <w:rPr>
          <w:rFonts w:ascii="Arial" w:hAnsi="Arial" w:cs="Arial"/>
          <w:sz w:val="20"/>
          <w:szCs w:val="20"/>
        </w:rPr>
        <w:lastRenderedPageBreak/>
        <w:t>Abbreviations</w:t>
      </w:r>
    </w:p>
    <w:tbl>
      <w:tblPr>
        <w:tblpPr w:leftFromText="180" w:rightFromText="180" w:vertAnchor="text" w:horzAnchor="margin" w:tblpY="87"/>
        <w:tblW w:w="0" w:type="auto"/>
        <w:tblLook w:val="04A0" w:firstRow="1" w:lastRow="0" w:firstColumn="1" w:lastColumn="0" w:noHBand="0" w:noVBand="1"/>
      </w:tblPr>
      <w:tblGrid>
        <w:gridCol w:w="2410"/>
        <w:gridCol w:w="6616"/>
      </w:tblGrid>
      <w:tr w:rsidR="00272352" w:rsidRPr="00EF6B0C" w14:paraId="00B83DA3" w14:textId="77777777" w:rsidTr="00D45D1A">
        <w:tc>
          <w:tcPr>
            <w:tcW w:w="2410" w:type="dxa"/>
          </w:tcPr>
          <w:p w14:paraId="05A950F7" w14:textId="24EC66BA" w:rsidR="00272352" w:rsidRPr="00EF6B0C" w:rsidRDefault="00AC5534" w:rsidP="00670489">
            <w:pPr>
              <w:spacing w:after="0" w:line="480" w:lineRule="auto"/>
              <w:rPr>
                <w:rFonts w:ascii="Arial" w:hAnsi="Arial" w:cs="Arial"/>
                <w:sz w:val="20"/>
                <w:szCs w:val="20"/>
              </w:rPr>
            </w:pPr>
            <w:r w:rsidRPr="00EF6B0C">
              <w:rPr>
                <w:rFonts w:ascii="Arial" w:hAnsi="Arial" w:cs="Arial"/>
                <w:sz w:val="20"/>
                <w:szCs w:val="20"/>
              </w:rPr>
              <w:t>AUC</w:t>
            </w:r>
          </w:p>
        </w:tc>
        <w:tc>
          <w:tcPr>
            <w:tcW w:w="6616" w:type="dxa"/>
          </w:tcPr>
          <w:p w14:paraId="4B93D0A6" w14:textId="5EBEA131" w:rsidR="00272352" w:rsidRPr="00EF6B0C" w:rsidRDefault="00AC5534" w:rsidP="00E377AC">
            <w:pPr>
              <w:spacing w:after="0" w:line="480" w:lineRule="auto"/>
              <w:rPr>
                <w:rFonts w:ascii="Arial" w:hAnsi="Arial" w:cs="Arial"/>
                <w:sz w:val="20"/>
                <w:szCs w:val="20"/>
              </w:rPr>
            </w:pPr>
            <w:r w:rsidRPr="00EF6B0C">
              <w:rPr>
                <w:rFonts w:ascii="Arial" w:hAnsi="Arial" w:cs="Arial"/>
                <w:sz w:val="20"/>
                <w:szCs w:val="20"/>
              </w:rPr>
              <w:t xml:space="preserve">Area under the plasma </w:t>
            </w:r>
            <w:r w:rsidR="00651C76" w:rsidRPr="00EF6B0C">
              <w:rPr>
                <w:rFonts w:ascii="Arial" w:hAnsi="Arial" w:cs="Arial"/>
                <w:sz w:val="20"/>
                <w:szCs w:val="20"/>
              </w:rPr>
              <w:t>concentration-time curve</w:t>
            </w:r>
          </w:p>
        </w:tc>
      </w:tr>
      <w:tr w:rsidR="00783851" w:rsidRPr="00EF6B0C" w14:paraId="3207C5EA" w14:textId="77777777" w:rsidTr="00D45D1A">
        <w:tc>
          <w:tcPr>
            <w:tcW w:w="2410" w:type="dxa"/>
          </w:tcPr>
          <w:p w14:paraId="2116341F" w14:textId="1677958B" w:rsidR="00783851" w:rsidRPr="00EF6B0C" w:rsidRDefault="00783851" w:rsidP="00670489">
            <w:pPr>
              <w:spacing w:after="0" w:line="480" w:lineRule="auto"/>
              <w:rPr>
                <w:rFonts w:ascii="Arial" w:hAnsi="Arial" w:cs="Arial"/>
                <w:sz w:val="20"/>
                <w:szCs w:val="20"/>
              </w:rPr>
            </w:pPr>
            <w:r>
              <w:rPr>
                <w:rFonts w:ascii="Arial" w:hAnsi="Arial" w:cs="Arial"/>
                <w:sz w:val="20"/>
                <w:szCs w:val="20"/>
              </w:rPr>
              <w:t>AF</w:t>
            </w:r>
          </w:p>
        </w:tc>
        <w:tc>
          <w:tcPr>
            <w:tcW w:w="6616" w:type="dxa"/>
          </w:tcPr>
          <w:p w14:paraId="6BDA5550" w14:textId="372B48C2" w:rsidR="00783851" w:rsidRPr="00EF6B0C" w:rsidRDefault="00783851" w:rsidP="00E377AC">
            <w:pPr>
              <w:spacing w:after="0" w:line="480" w:lineRule="auto"/>
              <w:rPr>
                <w:rFonts w:ascii="Arial" w:hAnsi="Arial" w:cs="Arial"/>
                <w:sz w:val="20"/>
                <w:szCs w:val="20"/>
              </w:rPr>
            </w:pPr>
            <w:r>
              <w:rPr>
                <w:rFonts w:ascii="Arial" w:hAnsi="Arial" w:cs="Arial"/>
                <w:sz w:val="20"/>
                <w:szCs w:val="20"/>
              </w:rPr>
              <w:t>Atrial fibrillation</w:t>
            </w:r>
          </w:p>
        </w:tc>
      </w:tr>
      <w:tr w:rsidR="00816CDB" w:rsidRPr="00EF6B0C" w14:paraId="6ADEF5F4" w14:textId="77777777" w:rsidTr="00D45D1A">
        <w:tc>
          <w:tcPr>
            <w:tcW w:w="2410" w:type="dxa"/>
          </w:tcPr>
          <w:p w14:paraId="3B09573F" w14:textId="68970DA7" w:rsidR="00816CDB" w:rsidRPr="00EF6B0C" w:rsidRDefault="00816CDB" w:rsidP="00670489">
            <w:pPr>
              <w:spacing w:after="0" w:line="480" w:lineRule="auto"/>
              <w:rPr>
                <w:rFonts w:ascii="Arial" w:hAnsi="Arial" w:cs="Arial"/>
                <w:sz w:val="20"/>
                <w:szCs w:val="20"/>
              </w:rPr>
            </w:pPr>
            <w:r w:rsidRPr="00EF6B0C">
              <w:rPr>
                <w:rFonts w:ascii="Arial" w:hAnsi="Arial" w:cs="Arial"/>
                <w:sz w:val="20"/>
                <w:szCs w:val="20"/>
              </w:rPr>
              <w:t>BCA</w:t>
            </w:r>
          </w:p>
        </w:tc>
        <w:tc>
          <w:tcPr>
            <w:tcW w:w="6616" w:type="dxa"/>
          </w:tcPr>
          <w:p w14:paraId="7064ECD7" w14:textId="19138370" w:rsidR="00816CDB" w:rsidRPr="00EF6B0C" w:rsidRDefault="00816CDB" w:rsidP="00E377AC">
            <w:pPr>
              <w:spacing w:after="0" w:line="480" w:lineRule="auto"/>
              <w:rPr>
                <w:rFonts w:ascii="Arial" w:hAnsi="Arial" w:cs="Arial"/>
                <w:sz w:val="20"/>
                <w:szCs w:val="20"/>
              </w:rPr>
            </w:pPr>
            <w:r w:rsidRPr="00EF6B0C">
              <w:rPr>
                <w:rFonts w:ascii="Arial" w:hAnsi="Arial" w:cs="Arial"/>
                <w:sz w:val="20"/>
                <w:szCs w:val="20"/>
              </w:rPr>
              <w:t>Bi</w:t>
            </w:r>
            <w:r w:rsidR="00651672" w:rsidRPr="00EF6B0C">
              <w:rPr>
                <w:rFonts w:ascii="Arial" w:hAnsi="Arial" w:cs="Arial"/>
                <w:sz w:val="20"/>
                <w:szCs w:val="20"/>
              </w:rPr>
              <w:t>cin</w:t>
            </w:r>
            <w:r w:rsidR="004F7311" w:rsidRPr="00EF6B0C">
              <w:rPr>
                <w:rFonts w:ascii="Arial" w:hAnsi="Arial" w:cs="Arial"/>
                <w:sz w:val="20"/>
                <w:szCs w:val="20"/>
              </w:rPr>
              <w:t>choninic acid</w:t>
            </w:r>
          </w:p>
        </w:tc>
      </w:tr>
      <w:tr w:rsidR="00394AD8" w:rsidRPr="00EF6B0C" w14:paraId="6594B624" w14:textId="77777777" w:rsidTr="00D45D1A">
        <w:tc>
          <w:tcPr>
            <w:tcW w:w="2410" w:type="dxa"/>
          </w:tcPr>
          <w:p w14:paraId="399A9266" w14:textId="3BA95EB3" w:rsidR="00394AD8" w:rsidRPr="00EF6B0C" w:rsidRDefault="00670489" w:rsidP="00670489">
            <w:pPr>
              <w:spacing w:after="0" w:line="480" w:lineRule="auto"/>
              <w:rPr>
                <w:rFonts w:ascii="Arial" w:hAnsi="Arial" w:cs="Arial"/>
                <w:sz w:val="20"/>
                <w:szCs w:val="20"/>
              </w:rPr>
            </w:pPr>
            <w:r w:rsidRPr="00EF6B0C">
              <w:rPr>
                <w:rFonts w:ascii="Arial" w:hAnsi="Arial" w:cs="Arial"/>
                <w:sz w:val="20"/>
                <w:szCs w:val="20"/>
              </w:rPr>
              <w:t>CA-VTE</w:t>
            </w:r>
          </w:p>
        </w:tc>
        <w:tc>
          <w:tcPr>
            <w:tcW w:w="6616" w:type="dxa"/>
          </w:tcPr>
          <w:p w14:paraId="79EF1F67" w14:textId="015A24F6" w:rsidR="00394AD8" w:rsidRPr="00EF6B0C" w:rsidRDefault="00670489" w:rsidP="00E377AC">
            <w:pPr>
              <w:spacing w:after="0" w:line="480" w:lineRule="auto"/>
              <w:rPr>
                <w:rFonts w:ascii="Arial" w:hAnsi="Arial" w:cs="Arial"/>
                <w:sz w:val="20"/>
                <w:szCs w:val="20"/>
              </w:rPr>
            </w:pPr>
            <w:r w:rsidRPr="00EF6B0C">
              <w:rPr>
                <w:rFonts w:ascii="Arial" w:hAnsi="Arial" w:cs="Arial"/>
                <w:sz w:val="20"/>
                <w:szCs w:val="20"/>
              </w:rPr>
              <w:t>Cancer-associated venous thromboembolism</w:t>
            </w:r>
          </w:p>
        </w:tc>
      </w:tr>
      <w:tr w:rsidR="0060111C" w:rsidRPr="00EF6B0C" w14:paraId="7C4C5456" w14:textId="77777777" w:rsidTr="00D45D1A">
        <w:tc>
          <w:tcPr>
            <w:tcW w:w="2410" w:type="dxa"/>
          </w:tcPr>
          <w:p w14:paraId="22DB4208" w14:textId="6A9381DD" w:rsidR="0060111C" w:rsidRDefault="0060111C" w:rsidP="00670489">
            <w:pPr>
              <w:spacing w:after="0" w:line="480" w:lineRule="auto"/>
              <w:rPr>
                <w:rFonts w:ascii="Arial" w:hAnsi="Arial" w:cs="Arial"/>
                <w:sz w:val="20"/>
                <w:szCs w:val="20"/>
              </w:rPr>
            </w:pPr>
            <w:r>
              <w:rPr>
                <w:rFonts w:ascii="Arial" w:hAnsi="Arial" w:cs="Arial"/>
                <w:sz w:val="20"/>
                <w:szCs w:val="20"/>
              </w:rPr>
              <w:t>CI</w:t>
            </w:r>
          </w:p>
        </w:tc>
        <w:tc>
          <w:tcPr>
            <w:tcW w:w="6616" w:type="dxa"/>
          </w:tcPr>
          <w:p w14:paraId="5080E7E0" w14:textId="52A98B85" w:rsidR="0060111C" w:rsidRDefault="0060111C" w:rsidP="00E377AC">
            <w:pPr>
              <w:spacing w:after="0" w:line="480" w:lineRule="auto"/>
              <w:rPr>
                <w:rFonts w:ascii="Arial" w:hAnsi="Arial" w:cs="Arial"/>
                <w:sz w:val="20"/>
                <w:szCs w:val="20"/>
              </w:rPr>
            </w:pPr>
            <w:r>
              <w:rPr>
                <w:rFonts w:ascii="Arial" w:hAnsi="Arial" w:cs="Arial"/>
                <w:sz w:val="20"/>
                <w:szCs w:val="20"/>
              </w:rPr>
              <w:t>Confidence interval</w:t>
            </w:r>
          </w:p>
        </w:tc>
      </w:tr>
      <w:tr w:rsidR="0060111C" w:rsidRPr="00EF6B0C" w14:paraId="18305939" w14:textId="77777777" w:rsidTr="00D45D1A">
        <w:tc>
          <w:tcPr>
            <w:tcW w:w="2410" w:type="dxa"/>
          </w:tcPr>
          <w:p w14:paraId="0F7B6307" w14:textId="3687CEC0" w:rsidR="0060111C" w:rsidRDefault="0060111C" w:rsidP="00670489">
            <w:pPr>
              <w:spacing w:after="0" w:line="480" w:lineRule="auto"/>
              <w:rPr>
                <w:rFonts w:ascii="Arial" w:hAnsi="Arial" w:cs="Arial"/>
                <w:sz w:val="20"/>
                <w:szCs w:val="20"/>
              </w:rPr>
            </w:pPr>
            <w:r>
              <w:rPr>
                <w:rFonts w:ascii="Arial" w:hAnsi="Arial" w:cs="Arial"/>
                <w:sz w:val="20"/>
                <w:szCs w:val="20"/>
              </w:rPr>
              <w:t>CKD</w:t>
            </w:r>
          </w:p>
        </w:tc>
        <w:tc>
          <w:tcPr>
            <w:tcW w:w="6616" w:type="dxa"/>
          </w:tcPr>
          <w:p w14:paraId="0B92C230" w14:textId="7006A95E" w:rsidR="0060111C" w:rsidRDefault="0060111C" w:rsidP="00E377AC">
            <w:pPr>
              <w:spacing w:after="0" w:line="480" w:lineRule="auto"/>
              <w:rPr>
                <w:rFonts w:ascii="Arial" w:hAnsi="Arial" w:cs="Arial"/>
                <w:sz w:val="20"/>
                <w:szCs w:val="20"/>
              </w:rPr>
            </w:pPr>
            <w:r>
              <w:rPr>
                <w:rFonts w:ascii="Arial" w:hAnsi="Arial" w:cs="Arial"/>
                <w:sz w:val="20"/>
                <w:szCs w:val="20"/>
              </w:rPr>
              <w:t>Chronic kidney disease</w:t>
            </w:r>
          </w:p>
        </w:tc>
      </w:tr>
      <w:tr w:rsidR="0060111C" w:rsidRPr="00EF6B0C" w14:paraId="4819E017" w14:textId="77777777" w:rsidTr="00D45D1A">
        <w:tc>
          <w:tcPr>
            <w:tcW w:w="2410" w:type="dxa"/>
          </w:tcPr>
          <w:p w14:paraId="281E8614" w14:textId="33013FF0" w:rsidR="0060111C" w:rsidRPr="00EF6B0C" w:rsidRDefault="0060111C" w:rsidP="00670489">
            <w:pPr>
              <w:spacing w:after="0" w:line="480" w:lineRule="auto"/>
              <w:rPr>
                <w:rFonts w:ascii="Arial" w:hAnsi="Arial" w:cs="Arial"/>
                <w:sz w:val="20"/>
                <w:szCs w:val="20"/>
              </w:rPr>
            </w:pPr>
            <w:r>
              <w:rPr>
                <w:rFonts w:ascii="Arial" w:hAnsi="Arial" w:cs="Arial"/>
                <w:sz w:val="20"/>
                <w:szCs w:val="20"/>
              </w:rPr>
              <w:t>CL</w:t>
            </w:r>
          </w:p>
        </w:tc>
        <w:tc>
          <w:tcPr>
            <w:tcW w:w="6616" w:type="dxa"/>
          </w:tcPr>
          <w:p w14:paraId="360A66E3" w14:textId="1DD897FD" w:rsidR="0060111C" w:rsidRPr="00EF6B0C" w:rsidRDefault="0060111C" w:rsidP="00E377AC">
            <w:pPr>
              <w:spacing w:after="0" w:line="480" w:lineRule="auto"/>
              <w:rPr>
                <w:rFonts w:ascii="Arial" w:hAnsi="Arial" w:cs="Arial"/>
                <w:sz w:val="20"/>
                <w:szCs w:val="20"/>
              </w:rPr>
            </w:pPr>
            <w:r>
              <w:rPr>
                <w:rFonts w:ascii="Arial" w:hAnsi="Arial" w:cs="Arial"/>
                <w:sz w:val="20"/>
                <w:szCs w:val="20"/>
              </w:rPr>
              <w:t>Total clearance</w:t>
            </w:r>
          </w:p>
        </w:tc>
      </w:tr>
      <w:tr w:rsidR="00890EE9" w:rsidRPr="00EF6B0C" w14:paraId="2CFF948D" w14:textId="77777777" w:rsidTr="00D45D1A">
        <w:tc>
          <w:tcPr>
            <w:tcW w:w="2410" w:type="dxa"/>
          </w:tcPr>
          <w:p w14:paraId="4D09D098" w14:textId="6DF27F16" w:rsidR="00890EE9" w:rsidRPr="00EF6B0C" w:rsidRDefault="00E60797" w:rsidP="00670489">
            <w:pPr>
              <w:spacing w:after="0" w:line="480" w:lineRule="auto"/>
              <w:rPr>
                <w:rFonts w:ascii="Arial" w:hAnsi="Arial" w:cs="Arial"/>
                <w:sz w:val="20"/>
                <w:szCs w:val="20"/>
              </w:rPr>
            </w:pPr>
            <w:r w:rsidRPr="00EF6B0C">
              <w:rPr>
                <w:rFonts w:ascii="Arial" w:hAnsi="Arial" w:cs="Arial"/>
                <w:sz w:val="20"/>
                <w:szCs w:val="20"/>
              </w:rPr>
              <w:t>CL/F</w:t>
            </w:r>
          </w:p>
        </w:tc>
        <w:tc>
          <w:tcPr>
            <w:tcW w:w="6616" w:type="dxa"/>
          </w:tcPr>
          <w:p w14:paraId="0C94369B" w14:textId="0C514A02" w:rsidR="00890EE9" w:rsidRPr="00EF6B0C" w:rsidRDefault="00E60797" w:rsidP="00E377AC">
            <w:pPr>
              <w:spacing w:after="0" w:line="480" w:lineRule="auto"/>
              <w:rPr>
                <w:rFonts w:ascii="Arial" w:hAnsi="Arial" w:cs="Arial"/>
                <w:sz w:val="20"/>
                <w:szCs w:val="20"/>
              </w:rPr>
            </w:pPr>
            <w:r w:rsidRPr="00EF6B0C">
              <w:rPr>
                <w:rFonts w:ascii="Arial" w:hAnsi="Arial" w:cs="Arial"/>
                <w:sz w:val="20"/>
                <w:szCs w:val="20"/>
              </w:rPr>
              <w:t>Apparent oral clearance</w:t>
            </w:r>
          </w:p>
        </w:tc>
      </w:tr>
      <w:tr w:rsidR="00E60797" w:rsidRPr="00EF6B0C" w14:paraId="3FFEEFDF" w14:textId="77777777" w:rsidTr="00D45D1A">
        <w:tc>
          <w:tcPr>
            <w:tcW w:w="2410" w:type="dxa"/>
          </w:tcPr>
          <w:p w14:paraId="1FEB0132" w14:textId="0BB6F5F4" w:rsidR="00E60797" w:rsidRPr="00EF6B0C" w:rsidRDefault="00C1356D" w:rsidP="00670489">
            <w:pPr>
              <w:spacing w:after="0" w:line="480" w:lineRule="auto"/>
              <w:rPr>
                <w:rFonts w:ascii="Arial" w:hAnsi="Arial" w:cs="Arial"/>
                <w:sz w:val="20"/>
                <w:szCs w:val="20"/>
              </w:rPr>
            </w:pPr>
            <w:r w:rsidRPr="00EF6B0C">
              <w:rPr>
                <w:rFonts w:ascii="Arial" w:hAnsi="Arial" w:cs="Arial"/>
                <w:sz w:val="20"/>
                <w:szCs w:val="20"/>
              </w:rPr>
              <w:t>CL</w:t>
            </w:r>
            <w:r w:rsidRPr="00EF6B0C">
              <w:rPr>
                <w:rFonts w:ascii="Arial" w:hAnsi="Arial" w:cs="Arial"/>
                <w:sz w:val="20"/>
                <w:szCs w:val="20"/>
                <w:vertAlign w:val="subscript"/>
              </w:rPr>
              <w:t>R</w:t>
            </w:r>
          </w:p>
        </w:tc>
        <w:tc>
          <w:tcPr>
            <w:tcW w:w="6616" w:type="dxa"/>
          </w:tcPr>
          <w:p w14:paraId="1599953D" w14:textId="1812F353" w:rsidR="00E60797" w:rsidRPr="00EF6B0C" w:rsidRDefault="00C1356D" w:rsidP="00E377AC">
            <w:pPr>
              <w:spacing w:after="0" w:line="480" w:lineRule="auto"/>
              <w:rPr>
                <w:rFonts w:ascii="Arial" w:hAnsi="Arial" w:cs="Arial"/>
                <w:sz w:val="20"/>
                <w:szCs w:val="20"/>
              </w:rPr>
            </w:pPr>
            <w:r w:rsidRPr="00EF6B0C">
              <w:rPr>
                <w:rFonts w:ascii="Arial" w:hAnsi="Arial" w:cs="Arial"/>
                <w:sz w:val="20"/>
                <w:szCs w:val="20"/>
              </w:rPr>
              <w:t>Renal clearance</w:t>
            </w:r>
          </w:p>
        </w:tc>
      </w:tr>
      <w:tr w:rsidR="00CA0264" w:rsidRPr="00EF6B0C" w14:paraId="6EB04261" w14:textId="77777777" w:rsidTr="00D45D1A">
        <w:tc>
          <w:tcPr>
            <w:tcW w:w="2410" w:type="dxa"/>
          </w:tcPr>
          <w:p w14:paraId="0AA808A6" w14:textId="165945EB" w:rsidR="00CA0264" w:rsidRPr="00EF6B0C" w:rsidRDefault="00CA0264" w:rsidP="00CA0264">
            <w:pPr>
              <w:spacing w:after="0" w:line="480" w:lineRule="auto"/>
              <w:rPr>
                <w:rFonts w:ascii="Arial" w:hAnsi="Arial" w:cs="Arial"/>
                <w:sz w:val="20"/>
                <w:szCs w:val="20"/>
              </w:rPr>
            </w:pPr>
            <w:r w:rsidRPr="00EF6B0C">
              <w:rPr>
                <w:rFonts w:ascii="Arial" w:hAnsi="Arial" w:cs="Arial"/>
                <w:sz w:val="20"/>
                <w:szCs w:val="20"/>
              </w:rPr>
              <w:t>CLu</w:t>
            </w:r>
            <w:r w:rsidRPr="00EF6B0C">
              <w:rPr>
                <w:rFonts w:ascii="Arial" w:hAnsi="Arial" w:cs="Arial"/>
                <w:sz w:val="20"/>
                <w:szCs w:val="20"/>
                <w:vertAlign w:val="subscript"/>
              </w:rPr>
              <w:t>int,met</w:t>
            </w:r>
          </w:p>
        </w:tc>
        <w:tc>
          <w:tcPr>
            <w:tcW w:w="6616" w:type="dxa"/>
          </w:tcPr>
          <w:p w14:paraId="6B607688" w14:textId="79DC0D9A" w:rsidR="00CA0264" w:rsidRPr="00EF6B0C" w:rsidRDefault="00CA0264" w:rsidP="00CA0264">
            <w:pPr>
              <w:spacing w:after="0" w:line="480" w:lineRule="auto"/>
              <w:rPr>
                <w:rFonts w:ascii="Arial" w:hAnsi="Arial" w:cs="Arial"/>
                <w:sz w:val="20"/>
                <w:szCs w:val="20"/>
              </w:rPr>
            </w:pPr>
            <w:r w:rsidRPr="00EF6B0C">
              <w:rPr>
                <w:rFonts w:ascii="Arial" w:hAnsi="Arial" w:cs="Arial"/>
                <w:i/>
                <w:iCs/>
                <w:sz w:val="20"/>
                <w:szCs w:val="20"/>
              </w:rPr>
              <w:t xml:space="preserve">In vitro </w:t>
            </w:r>
            <w:r w:rsidRPr="00EF6B0C">
              <w:rPr>
                <w:rFonts w:ascii="Arial" w:hAnsi="Arial" w:cs="Arial"/>
                <w:sz w:val="20"/>
                <w:szCs w:val="20"/>
              </w:rPr>
              <w:t>unbound metabolic intrinsic clearance</w:t>
            </w:r>
          </w:p>
        </w:tc>
      </w:tr>
      <w:tr w:rsidR="00CA0264" w:rsidRPr="00EF6B0C" w14:paraId="223D7E05" w14:textId="77777777" w:rsidTr="00D45D1A">
        <w:tc>
          <w:tcPr>
            <w:tcW w:w="2410" w:type="dxa"/>
          </w:tcPr>
          <w:p w14:paraId="151C6982" w14:textId="2793876B" w:rsidR="00CA0264" w:rsidRPr="00EF6B0C" w:rsidRDefault="00CA0264" w:rsidP="00CA0264">
            <w:pPr>
              <w:spacing w:after="0" w:line="480" w:lineRule="auto"/>
              <w:rPr>
                <w:rFonts w:ascii="Arial" w:hAnsi="Arial" w:cs="Arial"/>
                <w:sz w:val="20"/>
                <w:szCs w:val="20"/>
              </w:rPr>
            </w:pPr>
            <w:r w:rsidRPr="00EF6B0C">
              <w:rPr>
                <w:rFonts w:ascii="Arial" w:hAnsi="Arial" w:cs="Arial"/>
                <w:sz w:val="20"/>
                <w:szCs w:val="20"/>
              </w:rPr>
              <w:t>CLu</w:t>
            </w:r>
            <w:r w:rsidRPr="00EF6B0C">
              <w:rPr>
                <w:rFonts w:ascii="Arial" w:hAnsi="Arial" w:cs="Arial"/>
                <w:sz w:val="20"/>
                <w:szCs w:val="20"/>
                <w:vertAlign w:val="subscript"/>
              </w:rPr>
              <w:t>int,T</w:t>
            </w:r>
          </w:p>
        </w:tc>
        <w:tc>
          <w:tcPr>
            <w:tcW w:w="6616" w:type="dxa"/>
          </w:tcPr>
          <w:p w14:paraId="7E085F50" w14:textId="700F0633" w:rsidR="00CA0264" w:rsidRPr="00EF6B0C" w:rsidRDefault="00CA0264" w:rsidP="00CA0264">
            <w:pPr>
              <w:spacing w:after="0" w:line="480" w:lineRule="auto"/>
              <w:rPr>
                <w:rFonts w:ascii="Arial" w:hAnsi="Arial" w:cs="Arial"/>
                <w:sz w:val="20"/>
                <w:szCs w:val="20"/>
              </w:rPr>
            </w:pPr>
            <w:r w:rsidRPr="00EF6B0C">
              <w:rPr>
                <w:rFonts w:ascii="Arial" w:hAnsi="Arial" w:cs="Arial"/>
                <w:i/>
                <w:iCs/>
                <w:sz w:val="20"/>
                <w:szCs w:val="20"/>
              </w:rPr>
              <w:t xml:space="preserve">In vitro </w:t>
            </w:r>
            <w:r w:rsidRPr="00EF6B0C">
              <w:rPr>
                <w:rFonts w:ascii="Arial" w:hAnsi="Arial" w:cs="Arial"/>
                <w:sz w:val="20"/>
                <w:szCs w:val="20"/>
              </w:rPr>
              <w:t>unbound transporter-mediated intrinsic clearance</w:t>
            </w:r>
          </w:p>
        </w:tc>
      </w:tr>
      <w:tr w:rsidR="00CA0264" w:rsidRPr="00EF6B0C" w14:paraId="2BF42798" w14:textId="77777777" w:rsidTr="00D45D1A">
        <w:tc>
          <w:tcPr>
            <w:tcW w:w="2410" w:type="dxa"/>
          </w:tcPr>
          <w:p w14:paraId="5A88678E" w14:textId="0B82AC6A" w:rsidR="00CA0264" w:rsidRPr="00EF6B0C" w:rsidRDefault="00CA0264" w:rsidP="00CA0264">
            <w:pPr>
              <w:spacing w:after="0" w:line="480" w:lineRule="auto"/>
              <w:rPr>
                <w:rStyle w:val="fontstyle01"/>
              </w:rPr>
            </w:pPr>
            <w:r w:rsidRPr="00EF6B0C">
              <w:rPr>
                <w:rFonts w:ascii="Arial" w:hAnsi="Arial" w:cs="Arial"/>
                <w:sz w:val="20"/>
                <w:szCs w:val="20"/>
              </w:rPr>
              <w:t>C</w:t>
            </w:r>
            <w:r w:rsidRPr="00EF6B0C">
              <w:rPr>
                <w:rFonts w:ascii="Arial" w:hAnsi="Arial" w:cs="Arial"/>
                <w:sz w:val="20"/>
                <w:szCs w:val="20"/>
                <w:vertAlign w:val="subscript"/>
              </w:rPr>
              <w:t>max</w:t>
            </w:r>
          </w:p>
        </w:tc>
        <w:tc>
          <w:tcPr>
            <w:tcW w:w="6616" w:type="dxa"/>
          </w:tcPr>
          <w:p w14:paraId="3DF99C76" w14:textId="0C69BE24" w:rsidR="00CA0264" w:rsidRPr="00EF6B0C" w:rsidRDefault="00CA0264" w:rsidP="00CA0264">
            <w:pPr>
              <w:spacing w:after="0" w:line="480" w:lineRule="auto"/>
              <w:rPr>
                <w:rFonts w:ascii="Arial" w:hAnsi="Arial" w:cs="Arial"/>
                <w:sz w:val="20"/>
                <w:szCs w:val="20"/>
              </w:rPr>
            </w:pPr>
            <w:r w:rsidRPr="00EF6B0C">
              <w:rPr>
                <w:rFonts w:ascii="Arial" w:hAnsi="Arial" w:cs="Arial"/>
                <w:sz w:val="20"/>
                <w:szCs w:val="20"/>
              </w:rPr>
              <w:t>Peak plasma concentration</w:t>
            </w:r>
          </w:p>
        </w:tc>
      </w:tr>
      <w:tr w:rsidR="00CA0264" w:rsidRPr="00EF6B0C" w14:paraId="7B3F5B67" w14:textId="77777777" w:rsidTr="00D45D1A">
        <w:tc>
          <w:tcPr>
            <w:tcW w:w="2410" w:type="dxa"/>
          </w:tcPr>
          <w:p w14:paraId="7015CC0F" w14:textId="0FA0DEE3" w:rsidR="00CA0264" w:rsidRPr="00EF6B0C" w:rsidRDefault="00CA0264" w:rsidP="00CA0264">
            <w:pPr>
              <w:spacing w:after="0" w:line="480" w:lineRule="auto"/>
              <w:rPr>
                <w:rStyle w:val="fontstyle01"/>
              </w:rPr>
            </w:pPr>
            <w:r w:rsidRPr="00EF6B0C">
              <w:rPr>
                <w:rStyle w:val="fontstyle01"/>
              </w:rPr>
              <w:t>DDDIs</w:t>
            </w:r>
          </w:p>
        </w:tc>
        <w:tc>
          <w:tcPr>
            <w:tcW w:w="6616" w:type="dxa"/>
          </w:tcPr>
          <w:p w14:paraId="0F423D89" w14:textId="3E9EDD55" w:rsidR="00CA0264" w:rsidRPr="00EF6B0C" w:rsidRDefault="00CA0264" w:rsidP="00CA0264">
            <w:pPr>
              <w:spacing w:after="0" w:line="480" w:lineRule="auto"/>
              <w:rPr>
                <w:rFonts w:ascii="Arial" w:hAnsi="Arial" w:cs="Arial"/>
                <w:sz w:val="20"/>
                <w:szCs w:val="20"/>
              </w:rPr>
            </w:pPr>
            <w:r w:rsidRPr="00EF6B0C">
              <w:rPr>
                <w:rFonts w:ascii="Arial" w:hAnsi="Arial" w:cs="Arial"/>
                <w:sz w:val="20"/>
                <w:szCs w:val="20"/>
              </w:rPr>
              <w:t>Drug-drug-disease interactions</w:t>
            </w:r>
          </w:p>
        </w:tc>
      </w:tr>
      <w:tr w:rsidR="00CA0264" w:rsidRPr="00EF6B0C" w14:paraId="3E51E9E5" w14:textId="77777777" w:rsidTr="00D45D1A">
        <w:tc>
          <w:tcPr>
            <w:tcW w:w="2410" w:type="dxa"/>
          </w:tcPr>
          <w:p w14:paraId="63918B9E" w14:textId="576A20F5" w:rsidR="00CA0264" w:rsidRPr="00EF6B0C" w:rsidRDefault="00CA0264" w:rsidP="00CA0264">
            <w:pPr>
              <w:spacing w:after="0" w:line="480" w:lineRule="auto"/>
              <w:rPr>
                <w:rStyle w:val="fontstyle01"/>
              </w:rPr>
            </w:pPr>
            <w:r w:rsidRPr="00EF6B0C">
              <w:rPr>
                <w:rStyle w:val="fontstyle01"/>
              </w:rPr>
              <w:t>DDIs</w:t>
            </w:r>
          </w:p>
        </w:tc>
        <w:tc>
          <w:tcPr>
            <w:tcW w:w="6616" w:type="dxa"/>
          </w:tcPr>
          <w:p w14:paraId="61A627CE" w14:textId="70B0F275" w:rsidR="00CA0264" w:rsidRPr="00EF6B0C" w:rsidRDefault="00CA0264" w:rsidP="00CA0264">
            <w:pPr>
              <w:spacing w:after="0" w:line="480" w:lineRule="auto"/>
              <w:rPr>
                <w:rFonts w:ascii="Arial" w:hAnsi="Arial" w:cs="Arial"/>
                <w:sz w:val="20"/>
                <w:szCs w:val="20"/>
              </w:rPr>
            </w:pPr>
            <w:r w:rsidRPr="00EF6B0C">
              <w:rPr>
                <w:rFonts w:ascii="Arial" w:hAnsi="Arial" w:cs="Arial"/>
                <w:sz w:val="20"/>
                <w:szCs w:val="20"/>
              </w:rPr>
              <w:t>Drug-drug interactions</w:t>
            </w:r>
          </w:p>
        </w:tc>
      </w:tr>
      <w:tr w:rsidR="00A2154D" w:rsidRPr="00EF6B0C" w14:paraId="5AB04473" w14:textId="77777777" w:rsidTr="00D45D1A">
        <w:tc>
          <w:tcPr>
            <w:tcW w:w="2410" w:type="dxa"/>
          </w:tcPr>
          <w:p w14:paraId="5D10E0EE" w14:textId="43A77739" w:rsidR="00A2154D" w:rsidRPr="00EF6B0C" w:rsidRDefault="00A2154D" w:rsidP="00A2154D">
            <w:pPr>
              <w:spacing w:after="0" w:line="480" w:lineRule="auto"/>
              <w:rPr>
                <w:rStyle w:val="fontstyle01"/>
              </w:rPr>
            </w:pPr>
            <w:r w:rsidRPr="00EF6B0C">
              <w:rPr>
                <w:rFonts w:ascii="Arial" w:hAnsi="Arial" w:cs="Arial"/>
                <w:sz w:val="20"/>
                <w:szCs w:val="20"/>
              </w:rPr>
              <w:t>E3S</w:t>
            </w:r>
          </w:p>
        </w:tc>
        <w:tc>
          <w:tcPr>
            <w:tcW w:w="6616" w:type="dxa"/>
          </w:tcPr>
          <w:p w14:paraId="6B91FD53" w14:textId="0A95B0EF" w:rsidR="00A2154D" w:rsidRPr="00EF6B0C" w:rsidRDefault="00A2154D" w:rsidP="00A2154D">
            <w:pPr>
              <w:spacing w:after="0" w:line="480" w:lineRule="auto"/>
              <w:rPr>
                <w:rFonts w:ascii="Arial" w:hAnsi="Arial" w:cs="Arial"/>
                <w:sz w:val="20"/>
                <w:szCs w:val="20"/>
              </w:rPr>
            </w:pPr>
            <w:r w:rsidRPr="00EF6B0C">
              <w:rPr>
                <w:rFonts w:ascii="Arial" w:hAnsi="Arial" w:cs="Arial"/>
                <w:sz w:val="20"/>
                <w:szCs w:val="20"/>
              </w:rPr>
              <w:t>Estrone 3-Sulfate</w:t>
            </w:r>
          </w:p>
        </w:tc>
      </w:tr>
      <w:tr w:rsidR="003B1768" w:rsidRPr="00EF6B0C" w14:paraId="28BEA296" w14:textId="77777777" w:rsidTr="00D45D1A">
        <w:tc>
          <w:tcPr>
            <w:tcW w:w="2410" w:type="dxa"/>
          </w:tcPr>
          <w:p w14:paraId="1C5DE675" w14:textId="5C3BB934" w:rsidR="003B1768" w:rsidRPr="00EF6B0C" w:rsidRDefault="003B1768" w:rsidP="002C00B1">
            <w:pPr>
              <w:spacing w:after="0" w:line="480" w:lineRule="auto"/>
              <w:rPr>
                <w:rFonts w:ascii="Arial" w:hAnsi="Arial" w:cs="Arial"/>
                <w:sz w:val="20"/>
                <w:szCs w:val="20"/>
              </w:rPr>
            </w:pPr>
            <w:r>
              <w:rPr>
                <w:rFonts w:ascii="Arial" w:hAnsi="Arial" w:cs="Arial"/>
                <w:sz w:val="20"/>
                <w:szCs w:val="20"/>
              </w:rPr>
              <w:t>GFR</w:t>
            </w:r>
          </w:p>
        </w:tc>
        <w:tc>
          <w:tcPr>
            <w:tcW w:w="6616" w:type="dxa"/>
          </w:tcPr>
          <w:p w14:paraId="595EE687" w14:textId="1C45E13E" w:rsidR="003B1768" w:rsidRPr="00EF6B0C" w:rsidRDefault="003B1768" w:rsidP="002C00B1">
            <w:pPr>
              <w:spacing w:after="0" w:line="480" w:lineRule="auto"/>
              <w:rPr>
                <w:rFonts w:ascii="Arial" w:hAnsi="Arial" w:cs="Arial"/>
                <w:sz w:val="20"/>
                <w:szCs w:val="20"/>
              </w:rPr>
            </w:pPr>
            <w:r>
              <w:rPr>
                <w:rFonts w:ascii="Arial" w:hAnsi="Arial" w:cs="Arial"/>
                <w:sz w:val="20"/>
                <w:szCs w:val="20"/>
              </w:rPr>
              <w:t>Glomerular filtration rate</w:t>
            </w:r>
          </w:p>
        </w:tc>
      </w:tr>
      <w:tr w:rsidR="002C00B1" w:rsidRPr="00EF6B0C" w14:paraId="6B325792" w14:textId="77777777" w:rsidTr="00D45D1A">
        <w:tc>
          <w:tcPr>
            <w:tcW w:w="2410" w:type="dxa"/>
          </w:tcPr>
          <w:p w14:paraId="4A8ACD1C" w14:textId="069E4395" w:rsidR="002C00B1" w:rsidRPr="00EF6B0C" w:rsidRDefault="002C00B1" w:rsidP="002C00B1">
            <w:pPr>
              <w:spacing w:after="0" w:line="480" w:lineRule="auto"/>
              <w:rPr>
                <w:rFonts w:ascii="Arial" w:hAnsi="Arial" w:cs="Arial"/>
                <w:sz w:val="20"/>
                <w:szCs w:val="20"/>
              </w:rPr>
            </w:pPr>
            <w:r w:rsidRPr="00EF6B0C">
              <w:rPr>
                <w:rFonts w:ascii="Arial" w:hAnsi="Arial" w:cs="Arial"/>
                <w:sz w:val="20"/>
                <w:szCs w:val="20"/>
              </w:rPr>
              <w:t>HBSS</w:t>
            </w:r>
          </w:p>
        </w:tc>
        <w:tc>
          <w:tcPr>
            <w:tcW w:w="6616" w:type="dxa"/>
          </w:tcPr>
          <w:p w14:paraId="49EB83F6" w14:textId="0093661A" w:rsidR="002C00B1" w:rsidRPr="00EF6B0C" w:rsidRDefault="002C00B1" w:rsidP="002C00B1">
            <w:pPr>
              <w:spacing w:after="0" w:line="480" w:lineRule="auto"/>
              <w:rPr>
                <w:rFonts w:ascii="Arial" w:hAnsi="Arial" w:cs="Arial"/>
                <w:sz w:val="20"/>
                <w:szCs w:val="20"/>
              </w:rPr>
            </w:pPr>
            <w:r w:rsidRPr="00EF6B0C">
              <w:rPr>
                <w:rFonts w:ascii="Arial" w:hAnsi="Arial" w:cs="Arial"/>
                <w:sz w:val="20"/>
                <w:szCs w:val="20"/>
              </w:rPr>
              <w:t>Hank’s balanced salt solution</w:t>
            </w:r>
          </w:p>
        </w:tc>
      </w:tr>
      <w:tr w:rsidR="002C00B1" w:rsidRPr="00EF6B0C" w14:paraId="2723D7A7" w14:textId="77777777" w:rsidTr="00D45D1A">
        <w:tc>
          <w:tcPr>
            <w:tcW w:w="2410" w:type="dxa"/>
          </w:tcPr>
          <w:p w14:paraId="509FCC0F" w14:textId="4688A0A4" w:rsidR="002C00B1" w:rsidRPr="00EF6B0C" w:rsidRDefault="002C00B1" w:rsidP="002C00B1">
            <w:pPr>
              <w:spacing w:after="0" w:line="480" w:lineRule="auto"/>
              <w:rPr>
                <w:rFonts w:ascii="Arial" w:hAnsi="Arial" w:cs="Arial"/>
                <w:sz w:val="20"/>
                <w:szCs w:val="20"/>
              </w:rPr>
            </w:pPr>
            <w:r w:rsidRPr="00EF6B0C">
              <w:rPr>
                <w:rFonts w:ascii="Arial" w:hAnsi="Arial" w:cs="Arial"/>
                <w:sz w:val="20"/>
                <w:szCs w:val="20"/>
              </w:rPr>
              <w:t>HEK</w:t>
            </w:r>
          </w:p>
        </w:tc>
        <w:tc>
          <w:tcPr>
            <w:tcW w:w="6616" w:type="dxa"/>
          </w:tcPr>
          <w:p w14:paraId="1D642D20" w14:textId="25224541" w:rsidR="002C00B1" w:rsidRPr="00EF6B0C" w:rsidRDefault="002C00B1" w:rsidP="002C00B1">
            <w:pPr>
              <w:spacing w:after="0" w:line="480" w:lineRule="auto"/>
              <w:rPr>
                <w:rFonts w:ascii="Arial" w:hAnsi="Arial" w:cs="Arial"/>
                <w:sz w:val="20"/>
                <w:szCs w:val="20"/>
              </w:rPr>
            </w:pPr>
            <w:r w:rsidRPr="00EF6B0C">
              <w:rPr>
                <w:rFonts w:ascii="Arial" w:eastAsia="Times New Roman" w:hAnsi="Arial" w:cs="Arial"/>
                <w:color w:val="000000"/>
                <w:sz w:val="20"/>
                <w:szCs w:val="20"/>
              </w:rPr>
              <w:t>Human embryonic kidney</w:t>
            </w:r>
          </w:p>
        </w:tc>
      </w:tr>
      <w:tr w:rsidR="002C00B1" w:rsidRPr="00EF6B0C" w14:paraId="42BBAAFA" w14:textId="77777777" w:rsidTr="00D45D1A">
        <w:tc>
          <w:tcPr>
            <w:tcW w:w="2410" w:type="dxa"/>
          </w:tcPr>
          <w:p w14:paraId="703D583B" w14:textId="38D63E03" w:rsidR="002C00B1" w:rsidRPr="00EF6B0C" w:rsidRDefault="002C00B1" w:rsidP="002C00B1">
            <w:pPr>
              <w:spacing w:after="0" w:line="480" w:lineRule="auto"/>
              <w:rPr>
                <w:rFonts w:ascii="Arial" w:eastAsia="SimSun" w:hAnsi="Arial" w:cs="Arial"/>
                <w:sz w:val="20"/>
                <w:szCs w:val="20"/>
              </w:rPr>
            </w:pPr>
            <w:r w:rsidRPr="00EF6B0C">
              <w:rPr>
                <w:rFonts w:ascii="Arial" w:hAnsi="Arial" w:cs="Arial"/>
                <w:sz w:val="20"/>
                <w:szCs w:val="20"/>
              </w:rPr>
              <w:t>HEPES</w:t>
            </w:r>
          </w:p>
        </w:tc>
        <w:tc>
          <w:tcPr>
            <w:tcW w:w="6616" w:type="dxa"/>
          </w:tcPr>
          <w:p w14:paraId="7C6ED3AE" w14:textId="742A7E93" w:rsidR="002C00B1" w:rsidRPr="00EF6B0C" w:rsidRDefault="002C00B1" w:rsidP="002C00B1">
            <w:pPr>
              <w:spacing w:after="0" w:line="480" w:lineRule="auto"/>
              <w:rPr>
                <w:rFonts w:ascii="Arial" w:hAnsi="Arial" w:cs="Arial"/>
                <w:sz w:val="20"/>
                <w:szCs w:val="20"/>
              </w:rPr>
            </w:pPr>
            <w:r w:rsidRPr="00EF6B0C">
              <w:rPr>
                <w:rFonts w:ascii="Arial" w:eastAsia="Times New Roman" w:hAnsi="Arial" w:cs="Arial"/>
                <w:color w:val="000000"/>
                <w:sz w:val="20"/>
                <w:szCs w:val="20"/>
              </w:rPr>
              <w:t>4-(2-hydroxyethyl)-1-piperazineethanesulfonic acid</w:t>
            </w:r>
          </w:p>
        </w:tc>
      </w:tr>
      <w:tr w:rsidR="002207A8" w:rsidRPr="00EF6B0C" w14:paraId="4A40614C" w14:textId="77777777" w:rsidTr="00D45D1A">
        <w:tc>
          <w:tcPr>
            <w:tcW w:w="2410" w:type="dxa"/>
          </w:tcPr>
          <w:p w14:paraId="7FD0F4D4" w14:textId="391EC8C1" w:rsidR="002207A8" w:rsidRPr="00EF6B0C" w:rsidRDefault="001E0C4C" w:rsidP="002207A8">
            <w:pPr>
              <w:spacing w:after="0" w:line="480" w:lineRule="auto"/>
              <w:rPr>
                <w:rFonts w:ascii="Arial" w:hAnsi="Arial" w:cs="Arial"/>
                <w:sz w:val="20"/>
                <w:szCs w:val="20"/>
              </w:rPr>
            </w:pPr>
            <w:r w:rsidRPr="00EF6B0C">
              <w:rPr>
                <w:rFonts w:ascii="Arial" w:hAnsi="Arial" w:cs="Arial"/>
                <w:sz w:val="20"/>
                <w:szCs w:val="20"/>
              </w:rPr>
              <w:t>HSA</w:t>
            </w:r>
          </w:p>
        </w:tc>
        <w:tc>
          <w:tcPr>
            <w:tcW w:w="6616" w:type="dxa"/>
          </w:tcPr>
          <w:p w14:paraId="0E4D65A0" w14:textId="023D6B9F" w:rsidR="002207A8" w:rsidRPr="00EF6B0C" w:rsidRDefault="001E0C4C" w:rsidP="002207A8">
            <w:pPr>
              <w:spacing w:after="0" w:line="480" w:lineRule="auto"/>
              <w:rPr>
                <w:rFonts w:ascii="Arial" w:hAnsi="Arial" w:cs="Arial"/>
                <w:sz w:val="20"/>
                <w:szCs w:val="20"/>
              </w:rPr>
            </w:pPr>
            <w:r w:rsidRPr="00EF6B0C">
              <w:rPr>
                <w:rFonts w:ascii="Arial" w:hAnsi="Arial" w:cs="Arial"/>
                <w:sz w:val="20"/>
                <w:szCs w:val="20"/>
              </w:rPr>
              <w:t>Human serum albumin</w:t>
            </w:r>
          </w:p>
        </w:tc>
      </w:tr>
      <w:tr w:rsidR="005B1F3D" w:rsidRPr="00EF6B0C" w14:paraId="33DADA90" w14:textId="77777777" w:rsidTr="00D45D1A">
        <w:tc>
          <w:tcPr>
            <w:tcW w:w="2410" w:type="dxa"/>
          </w:tcPr>
          <w:p w14:paraId="6C084AD1" w14:textId="00DD1FC8" w:rsidR="005B1F3D" w:rsidRPr="00EF6B0C" w:rsidRDefault="005B1F3D" w:rsidP="005B1F3D">
            <w:pPr>
              <w:spacing w:after="0" w:line="480" w:lineRule="auto"/>
              <w:rPr>
                <w:rFonts w:ascii="Arial" w:hAnsi="Arial" w:cs="Arial"/>
                <w:sz w:val="20"/>
                <w:szCs w:val="20"/>
              </w:rPr>
            </w:pPr>
            <w:r w:rsidRPr="00EF6B0C">
              <w:rPr>
                <w:rFonts w:ascii="Arial" w:hAnsi="Arial" w:cs="Arial"/>
                <w:sz w:val="20"/>
                <w:szCs w:val="20"/>
              </w:rPr>
              <w:t>IC</w:t>
            </w:r>
            <w:r w:rsidRPr="00EF6B0C">
              <w:rPr>
                <w:rFonts w:ascii="Arial" w:hAnsi="Arial" w:cs="Arial"/>
                <w:sz w:val="20"/>
                <w:szCs w:val="20"/>
                <w:vertAlign w:val="subscript"/>
              </w:rPr>
              <w:t>50</w:t>
            </w:r>
          </w:p>
        </w:tc>
        <w:tc>
          <w:tcPr>
            <w:tcW w:w="6616" w:type="dxa"/>
          </w:tcPr>
          <w:p w14:paraId="152B2944" w14:textId="3E18FA12" w:rsidR="005B1F3D" w:rsidRPr="00EF6B0C" w:rsidRDefault="005B1F3D" w:rsidP="005B1F3D">
            <w:pPr>
              <w:spacing w:after="0" w:line="480" w:lineRule="auto"/>
              <w:rPr>
                <w:rFonts w:ascii="Arial" w:hAnsi="Arial" w:cs="Arial"/>
                <w:sz w:val="20"/>
                <w:szCs w:val="20"/>
              </w:rPr>
            </w:pPr>
            <w:r w:rsidRPr="00EF6B0C">
              <w:rPr>
                <w:rFonts w:ascii="Arial" w:hAnsi="Arial" w:cs="Arial"/>
                <w:sz w:val="20"/>
                <w:szCs w:val="20"/>
              </w:rPr>
              <w:t>Half-maximal inhibitory concentration</w:t>
            </w:r>
          </w:p>
        </w:tc>
      </w:tr>
      <w:tr w:rsidR="003903B2" w:rsidRPr="00EF6B0C" w14:paraId="7942CB10" w14:textId="77777777" w:rsidTr="00D45D1A">
        <w:tc>
          <w:tcPr>
            <w:tcW w:w="2410" w:type="dxa"/>
          </w:tcPr>
          <w:p w14:paraId="1E06E854" w14:textId="511FCE01" w:rsidR="003903B2" w:rsidRPr="00EF6B0C" w:rsidRDefault="003903B2" w:rsidP="005B1F3D">
            <w:pPr>
              <w:spacing w:after="0" w:line="480" w:lineRule="auto"/>
              <w:rPr>
                <w:rFonts w:ascii="Arial" w:hAnsi="Arial" w:cs="Arial"/>
                <w:sz w:val="20"/>
                <w:szCs w:val="20"/>
              </w:rPr>
            </w:pPr>
            <w:r>
              <w:rPr>
                <w:rFonts w:ascii="Arial" w:hAnsi="Arial" w:cs="Arial"/>
                <w:sz w:val="20"/>
                <w:szCs w:val="20"/>
              </w:rPr>
              <w:t>INH</w:t>
            </w:r>
          </w:p>
        </w:tc>
        <w:tc>
          <w:tcPr>
            <w:tcW w:w="6616" w:type="dxa"/>
          </w:tcPr>
          <w:p w14:paraId="0A0B943E" w14:textId="1671EECB" w:rsidR="003903B2" w:rsidRPr="00EF6B0C" w:rsidRDefault="003903B2" w:rsidP="005B1F3D">
            <w:pPr>
              <w:spacing w:after="0" w:line="480" w:lineRule="auto"/>
              <w:rPr>
                <w:rFonts w:ascii="Arial" w:hAnsi="Arial" w:cs="Arial"/>
                <w:sz w:val="20"/>
                <w:szCs w:val="20"/>
              </w:rPr>
            </w:pPr>
            <w:r>
              <w:rPr>
                <w:rFonts w:ascii="Arial" w:hAnsi="Arial" w:cs="Arial"/>
                <w:sz w:val="20"/>
                <w:szCs w:val="20"/>
              </w:rPr>
              <w:t>Intact nephron hypothesis</w:t>
            </w:r>
          </w:p>
        </w:tc>
      </w:tr>
      <w:tr w:rsidR="005B1F3D" w:rsidRPr="00EF6B0C" w14:paraId="4663FFAF" w14:textId="77777777" w:rsidTr="00D45D1A">
        <w:tc>
          <w:tcPr>
            <w:tcW w:w="2410" w:type="dxa"/>
          </w:tcPr>
          <w:p w14:paraId="43B7276D" w14:textId="7C6ACEC8" w:rsidR="005B1F3D" w:rsidRPr="00EF6B0C" w:rsidRDefault="005B1F3D" w:rsidP="005B1F3D">
            <w:pPr>
              <w:spacing w:after="0" w:line="480" w:lineRule="auto"/>
              <w:rPr>
                <w:rFonts w:ascii="Arial" w:hAnsi="Arial" w:cs="Arial"/>
                <w:sz w:val="20"/>
                <w:szCs w:val="20"/>
              </w:rPr>
            </w:pPr>
            <w:proofErr w:type="spellStart"/>
            <w:r w:rsidRPr="00EF6B0C">
              <w:rPr>
                <w:rFonts w:ascii="Arial" w:hAnsi="Arial" w:cs="Arial"/>
                <w:sz w:val="20"/>
                <w:szCs w:val="20"/>
              </w:rPr>
              <w:t>J</w:t>
            </w:r>
            <w:r w:rsidRPr="00EF6B0C">
              <w:rPr>
                <w:rFonts w:ascii="Arial" w:hAnsi="Arial" w:cs="Arial"/>
                <w:sz w:val="20"/>
                <w:szCs w:val="20"/>
                <w:vertAlign w:val="subscript"/>
              </w:rPr>
              <w:t>max</w:t>
            </w:r>
            <w:proofErr w:type="spellEnd"/>
          </w:p>
        </w:tc>
        <w:tc>
          <w:tcPr>
            <w:tcW w:w="6616" w:type="dxa"/>
          </w:tcPr>
          <w:p w14:paraId="647061C7" w14:textId="73B1A00F" w:rsidR="005B1F3D" w:rsidRPr="00EF6B0C" w:rsidRDefault="005B1F3D" w:rsidP="005B1F3D">
            <w:pPr>
              <w:spacing w:after="0" w:line="480" w:lineRule="auto"/>
              <w:rPr>
                <w:rFonts w:ascii="Arial" w:hAnsi="Arial" w:cs="Arial"/>
                <w:sz w:val="20"/>
                <w:szCs w:val="20"/>
              </w:rPr>
            </w:pPr>
            <w:r w:rsidRPr="00EF6B0C">
              <w:rPr>
                <w:rFonts w:ascii="Arial" w:hAnsi="Arial" w:cs="Arial"/>
                <w:i/>
                <w:iCs/>
                <w:sz w:val="20"/>
                <w:szCs w:val="20"/>
              </w:rPr>
              <w:t xml:space="preserve">In vitro </w:t>
            </w:r>
            <w:r w:rsidRPr="00EF6B0C">
              <w:rPr>
                <w:rFonts w:ascii="Arial" w:hAnsi="Arial" w:cs="Arial"/>
                <w:sz w:val="20"/>
                <w:szCs w:val="20"/>
              </w:rPr>
              <w:t xml:space="preserve">maximal rate of transporter-mediated </w:t>
            </w:r>
            <w:r w:rsidR="008B4FDC">
              <w:rPr>
                <w:rFonts w:ascii="Arial" w:hAnsi="Arial" w:cs="Arial"/>
                <w:sz w:val="20"/>
                <w:szCs w:val="20"/>
              </w:rPr>
              <w:t>uptake</w:t>
            </w:r>
          </w:p>
        </w:tc>
      </w:tr>
      <w:tr w:rsidR="005B1F3D" w:rsidRPr="00EF6B0C" w14:paraId="731B8A1F" w14:textId="77777777" w:rsidTr="00D45D1A">
        <w:tc>
          <w:tcPr>
            <w:tcW w:w="2410" w:type="dxa"/>
          </w:tcPr>
          <w:p w14:paraId="7BDADC5F" w14:textId="6DEFEE4A" w:rsidR="005B1F3D" w:rsidRPr="00EF6B0C" w:rsidRDefault="005B1F3D" w:rsidP="005B1F3D">
            <w:pPr>
              <w:spacing w:after="0" w:line="480" w:lineRule="auto"/>
              <w:rPr>
                <w:rFonts w:ascii="Arial" w:hAnsi="Arial" w:cs="Arial"/>
                <w:sz w:val="20"/>
                <w:szCs w:val="20"/>
              </w:rPr>
            </w:pPr>
            <w:r w:rsidRPr="00EF6B0C">
              <w:rPr>
                <w:rFonts w:ascii="Arial" w:hAnsi="Arial" w:cs="Arial"/>
                <w:i/>
                <w:iCs/>
                <w:sz w:val="20"/>
                <w:szCs w:val="20"/>
              </w:rPr>
              <w:t>K</w:t>
            </w:r>
            <w:r w:rsidRPr="00EF6B0C">
              <w:rPr>
                <w:rFonts w:ascii="Arial" w:hAnsi="Arial" w:cs="Arial"/>
                <w:i/>
                <w:iCs/>
                <w:sz w:val="20"/>
                <w:szCs w:val="20"/>
                <w:vertAlign w:val="subscript"/>
              </w:rPr>
              <w:t>i</w:t>
            </w:r>
          </w:p>
        </w:tc>
        <w:tc>
          <w:tcPr>
            <w:tcW w:w="6616" w:type="dxa"/>
          </w:tcPr>
          <w:p w14:paraId="164513F6" w14:textId="28958D63" w:rsidR="005B1F3D" w:rsidRPr="00EF6B0C" w:rsidRDefault="005B1F3D" w:rsidP="005B1F3D">
            <w:pPr>
              <w:spacing w:after="0" w:line="480" w:lineRule="auto"/>
              <w:rPr>
                <w:rFonts w:ascii="Arial" w:hAnsi="Arial" w:cs="Arial"/>
                <w:i/>
                <w:iCs/>
                <w:sz w:val="20"/>
                <w:szCs w:val="20"/>
              </w:rPr>
            </w:pPr>
            <w:r w:rsidRPr="00EF6B0C">
              <w:rPr>
                <w:rFonts w:ascii="Arial" w:hAnsi="Arial" w:cs="Arial"/>
                <w:sz w:val="20"/>
                <w:szCs w:val="20"/>
              </w:rPr>
              <w:t>Inhibition constant for the enzyme-inhibitor/transporter-inhibitor complex</w:t>
            </w:r>
          </w:p>
        </w:tc>
      </w:tr>
      <w:tr w:rsidR="005B1F3D" w:rsidRPr="00EF6B0C" w14:paraId="15B517CF" w14:textId="77777777" w:rsidTr="00D45D1A">
        <w:tc>
          <w:tcPr>
            <w:tcW w:w="2410" w:type="dxa"/>
          </w:tcPr>
          <w:p w14:paraId="3927601E" w14:textId="436746D5" w:rsidR="005B1F3D" w:rsidRPr="00EF6B0C" w:rsidRDefault="005B1F3D" w:rsidP="005B1F3D">
            <w:pPr>
              <w:spacing w:after="0" w:line="480" w:lineRule="auto"/>
              <w:rPr>
                <w:rFonts w:ascii="Arial" w:hAnsi="Arial" w:cs="Arial"/>
                <w:i/>
                <w:iCs/>
                <w:sz w:val="20"/>
                <w:szCs w:val="20"/>
              </w:rPr>
            </w:pPr>
            <w:r w:rsidRPr="00EF6B0C">
              <w:rPr>
                <w:rFonts w:ascii="Arial" w:hAnsi="Arial" w:cs="Arial"/>
                <w:i/>
                <w:iCs/>
                <w:sz w:val="20"/>
                <w:szCs w:val="20"/>
              </w:rPr>
              <w:t>K</w:t>
            </w:r>
            <w:r w:rsidRPr="00EF6B0C">
              <w:rPr>
                <w:rFonts w:ascii="Arial" w:hAnsi="Arial" w:cs="Arial"/>
                <w:i/>
                <w:iCs/>
                <w:sz w:val="20"/>
                <w:szCs w:val="20"/>
                <w:vertAlign w:val="subscript"/>
              </w:rPr>
              <w:t>I</w:t>
            </w:r>
          </w:p>
        </w:tc>
        <w:tc>
          <w:tcPr>
            <w:tcW w:w="6616" w:type="dxa"/>
          </w:tcPr>
          <w:p w14:paraId="369F3B5C" w14:textId="6C153085" w:rsidR="005B1F3D" w:rsidRPr="00EF6B0C" w:rsidRDefault="005B1F3D" w:rsidP="005B1F3D">
            <w:pPr>
              <w:spacing w:after="0" w:line="480" w:lineRule="auto"/>
              <w:rPr>
                <w:rFonts w:ascii="Arial" w:hAnsi="Arial" w:cs="Arial"/>
                <w:sz w:val="20"/>
                <w:szCs w:val="20"/>
              </w:rPr>
            </w:pPr>
            <w:r w:rsidRPr="00EF6B0C">
              <w:rPr>
                <w:rFonts w:ascii="Arial" w:hAnsi="Arial" w:cs="Arial"/>
                <w:sz w:val="20"/>
                <w:szCs w:val="20"/>
              </w:rPr>
              <w:t xml:space="preserve">Inactivator concentration yielding an inactivation rate at half of </w:t>
            </w:r>
            <w:r w:rsidRPr="00EF6B0C">
              <w:rPr>
                <w:rFonts w:ascii="Arial" w:hAnsi="Arial" w:cs="Arial"/>
                <w:i/>
                <w:iCs/>
                <w:sz w:val="20"/>
                <w:szCs w:val="20"/>
              </w:rPr>
              <w:t>k</w:t>
            </w:r>
            <w:r w:rsidRPr="00EF6B0C">
              <w:rPr>
                <w:rFonts w:ascii="Arial" w:hAnsi="Arial" w:cs="Arial"/>
                <w:i/>
                <w:iCs/>
                <w:sz w:val="20"/>
                <w:szCs w:val="20"/>
                <w:vertAlign w:val="subscript"/>
              </w:rPr>
              <w:t>inact</w:t>
            </w:r>
          </w:p>
        </w:tc>
      </w:tr>
      <w:tr w:rsidR="005B1F3D" w:rsidRPr="00EF6B0C" w14:paraId="3929D49B" w14:textId="77777777" w:rsidTr="00D45D1A">
        <w:tc>
          <w:tcPr>
            <w:tcW w:w="2410" w:type="dxa"/>
          </w:tcPr>
          <w:p w14:paraId="3C514D2F" w14:textId="5D48925C" w:rsidR="005B1F3D" w:rsidRPr="00EF6B0C" w:rsidRDefault="005B1F3D" w:rsidP="005B1F3D">
            <w:pPr>
              <w:spacing w:after="0" w:line="480" w:lineRule="auto"/>
              <w:rPr>
                <w:rFonts w:ascii="Arial" w:hAnsi="Arial" w:cs="Arial"/>
                <w:i/>
                <w:iCs/>
                <w:sz w:val="20"/>
                <w:szCs w:val="20"/>
              </w:rPr>
            </w:pPr>
            <w:r w:rsidRPr="00EF6B0C">
              <w:rPr>
                <w:rFonts w:ascii="Arial" w:hAnsi="Arial" w:cs="Arial"/>
                <w:i/>
                <w:iCs/>
                <w:sz w:val="20"/>
                <w:szCs w:val="20"/>
              </w:rPr>
              <w:t>k</w:t>
            </w:r>
            <w:r w:rsidRPr="00EF6B0C">
              <w:rPr>
                <w:rFonts w:ascii="Arial" w:hAnsi="Arial" w:cs="Arial"/>
                <w:i/>
                <w:iCs/>
                <w:sz w:val="20"/>
                <w:szCs w:val="20"/>
                <w:vertAlign w:val="subscript"/>
              </w:rPr>
              <w:t>inact</w:t>
            </w:r>
          </w:p>
        </w:tc>
        <w:tc>
          <w:tcPr>
            <w:tcW w:w="6616" w:type="dxa"/>
          </w:tcPr>
          <w:p w14:paraId="160AD8BF" w14:textId="4423C6E3" w:rsidR="005B1F3D" w:rsidRPr="00EF6B0C" w:rsidRDefault="005B1F3D" w:rsidP="005B1F3D">
            <w:pPr>
              <w:spacing w:after="0" w:line="480" w:lineRule="auto"/>
              <w:rPr>
                <w:rFonts w:ascii="Arial" w:hAnsi="Arial" w:cs="Arial"/>
                <w:sz w:val="20"/>
                <w:szCs w:val="20"/>
              </w:rPr>
            </w:pPr>
            <w:r w:rsidRPr="00EF6B0C">
              <w:rPr>
                <w:rFonts w:ascii="Arial" w:hAnsi="Arial" w:cs="Arial"/>
                <w:sz w:val="20"/>
                <w:szCs w:val="20"/>
              </w:rPr>
              <w:t>The theoretical maximum inactivation rate constant at infinite inactivator concentration</w:t>
            </w:r>
          </w:p>
        </w:tc>
      </w:tr>
      <w:tr w:rsidR="00EF6B0C" w:rsidRPr="00EF6B0C" w14:paraId="62AD23DB" w14:textId="77777777" w:rsidTr="00D45D1A">
        <w:tc>
          <w:tcPr>
            <w:tcW w:w="2410" w:type="dxa"/>
          </w:tcPr>
          <w:p w14:paraId="7A7E43B9" w14:textId="1E148B0F" w:rsidR="00EF6B0C" w:rsidRPr="00EF6B0C" w:rsidRDefault="00EF6B0C" w:rsidP="00EF6B0C">
            <w:pPr>
              <w:spacing w:after="0" w:line="480" w:lineRule="auto"/>
              <w:rPr>
                <w:rFonts w:ascii="Arial" w:hAnsi="Arial" w:cs="Arial"/>
                <w:i/>
                <w:iCs/>
                <w:sz w:val="20"/>
                <w:szCs w:val="20"/>
              </w:rPr>
            </w:pPr>
            <w:proofErr w:type="spellStart"/>
            <w:r w:rsidRPr="00EF6B0C">
              <w:rPr>
                <w:rFonts w:ascii="Arial" w:hAnsi="Arial" w:cs="Arial"/>
                <w:sz w:val="20"/>
                <w:szCs w:val="20"/>
              </w:rPr>
              <w:t>K</w:t>
            </w:r>
            <w:r w:rsidRPr="00EF6B0C">
              <w:rPr>
                <w:rFonts w:ascii="Arial" w:hAnsi="Arial" w:cs="Arial"/>
                <w:sz w:val="20"/>
                <w:szCs w:val="20"/>
                <w:vertAlign w:val="subscript"/>
              </w:rPr>
              <w:t>m,u</w:t>
            </w:r>
            <w:proofErr w:type="spellEnd"/>
          </w:p>
        </w:tc>
        <w:tc>
          <w:tcPr>
            <w:tcW w:w="6616" w:type="dxa"/>
          </w:tcPr>
          <w:p w14:paraId="58F8FA74" w14:textId="152782DD" w:rsidR="00EF6B0C" w:rsidRPr="00EF6B0C" w:rsidRDefault="00EF6B0C" w:rsidP="00EF6B0C">
            <w:pPr>
              <w:spacing w:after="0" w:line="480" w:lineRule="auto"/>
              <w:rPr>
                <w:rFonts w:ascii="Arial" w:hAnsi="Arial" w:cs="Arial"/>
                <w:sz w:val="20"/>
                <w:szCs w:val="20"/>
              </w:rPr>
            </w:pPr>
            <w:r w:rsidRPr="00EF6B0C">
              <w:rPr>
                <w:rFonts w:ascii="Arial" w:hAnsi="Arial" w:cs="Arial"/>
                <w:sz w:val="20"/>
                <w:szCs w:val="20"/>
              </w:rPr>
              <w:t>Unbound Michaelis-Menten constant</w:t>
            </w:r>
          </w:p>
        </w:tc>
      </w:tr>
      <w:tr w:rsidR="00364EC9" w:rsidRPr="00EF6B0C" w14:paraId="37BCFCA2" w14:textId="77777777" w:rsidTr="00D45D1A">
        <w:tc>
          <w:tcPr>
            <w:tcW w:w="2410" w:type="dxa"/>
          </w:tcPr>
          <w:p w14:paraId="236CF4A0" w14:textId="093BE828" w:rsidR="00364EC9" w:rsidRPr="00EF6B0C" w:rsidRDefault="00364EC9" w:rsidP="00EF6B0C">
            <w:pPr>
              <w:spacing w:after="0" w:line="480" w:lineRule="auto"/>
              <w:rPr>
                <w:rFonts w:ascii="Arial" w:hAnsi="Arial" w:cs="Arial"/>
                <w:sz w:val="20"/>
                <w:szCs w:val="20"/>
              </w:rPr>
            </w:pPr>
            <w:r>
              <w:rPr>
                <w:rFonts w:ascii="Arial" w:hAnsi="Arial" w:cs="Arial"/>
                <w:sz w:val="20"/>
                <w:szCs w:val="20"/>
              </w:rPr>
              <w:t>OCT</w:t>
            </w:r>
          </w:p>
        </w:tc>
        <w:tc>
          <w:tcPr>
            <w:tcW w:w="6616" w:type="dxa"/>
          </w:tcPr>
          <w:p w14:paraId="25F15E57" w14:textId="23CE0102" w:rsidR="00364EC9" w:rsidRPr="00EF6B0C" w:rsidRDefault="00364EC9" w:rsidP="00EF6B0C">
            <w:pPr>
              <w:spacing w:after="0" w:line="480" w:lineRule="auto"/>
              <w:rPr>
                <w:rFonts w:ascii="Arial" w:hAnsi="Arial" w:cs="Arial"/>
                <w:sz w:val="20"/>
                <w:szCs w:val="20"/>
              </w:rPr>
            </w:pPr>
            <w:r>
              <w:rPr>
                <w:rFonts w:ascii="Arial" w:hAnsi="Arial" w:cs="Arial"/>
                <w:sz w:val="20"/>
                <w:szCs w:val="20"/>
              </w:rPr>
              <w:t>Organic cation transporter</w:t>
            </w:r>
          </w:p>
        </w:tc>
      </w:tr>
      <w:tr w:rsidR="00EF6B0C" w:rsidRPr="00EF6B0C" w14:paraId="6403A64C" w14:textId="77777777" w:rsidTr="00D45D1A">
        <w:tc>
          <w:tcPr>
            <w:tcW w:w="2410" w:type="dxa"/>
          </w:tcPr>
          <w:p w14:paraId="0554C81A" w14:textId="1EC40391" w:rsidR="00EF6B0C" w:rsidRPr="00EF6B0C" w:rsidRDefault="00EF6B0C" w:rsidP="00EF6B0C">
            <w:pPr>
              <w:spacing w:after="0" w:line="480" w:lineRule="auto"/>
              <w:rPr>
                <w:rFonts w:ascii="Arial" w:hAnsi="Arial" w:cs="Arial"/>
                <w:sz w:val="20"/>
                <w:szCs w:val="20"/>
              </w:rPr>
            </w:pPr>
            <w:r w:rsidRPr="00EF6B0C">
              <w:rPr>
                <w:rFonts w:ascii="Arial" w:hAnsi="Arial" w:cs="Arial"/>
                <w:sz w:val="20"/>
                <w:szCs w:val="20"/>
              </w:rPr>
              <w:lastRenderedPageBreak/>
              <w:t>OAT3</w:t>
            </w:r>
          </w:p>
        </w:tc>
        <w:tc>
          <w:tcPr>
            <w:tcW w:w="6616" w:type="dxa"/>
          </w:tcPr>
          <w:p w14:paraId="208D33A9" w14:textId="68EF7C19" w:rsidR="00EF6B0C" w:rsidRPr="00EF6B0C" w:rsidRDefault="00EF6B0C" w:rsidP="00EF6B0C">
            <w:pPr>
              <w:spacing w:after="0" w:line="480" w:lineRule="auto"/>
              <w:rPr>
                <w:rFonts w:ascii="Arial" w:hAnsi="Arial" w:cs="Arial"/>
                <w:sz w:val="20"/>
                <w:szCs w:val="20"/>
              </w:rPr>
            </w:pPr>
            <w:r w:rsidRPr="00EF6B0C">
              <w:rPr>
                <w:rFonts w:ascii="Arial" w:hAnsi="Arial" w:cs="Arial"/>
                <w:sz w:val="20"/>
                <w:szCs w:val="20"/>
              </w:rPr>
              <w:t>Organic anion transporter 3</w:t>
            </w:r>
          </w:p>
        </w:tc>
      </w:tr>
      <w:tr w:rsidR="00EF6B0C" w:rsidRPr="00EF6B0C" w14:paraId="46EFA393" w14:textId="77777777" w:rsidTr="00D45D1A">
        <w:tc>
          <w:tcPr>
            <w:tcW w:w="2410" w:type="dxa"/>
          </w:tcPr>
          <w:p w14:paraId="0005535D" w14:textId="6194239B" w:rsidR="00EF6B0C" w:rsidRPr="00EF6B0C" w:rsidRDefault="00EF6B0C" w:rsidP="00EF6B0C">
            <w:pPr>
              <w:spacing w:after="0" w:line="480" w:lineRule="auto"/>
              <w:rPr>
                <w:rFonts w:ascii="Arial" w:hAnsi="Arial" w:cs="Arial"/>
                <w:sz w:val="20"/>
                <w:szCs w:val="20"/>
              </w:rPr>
            </w:pPr>
            <w:r w:rsidRPr="00EF6B0C">
              <w:rPr>
                <w:rFonts w:ascii="Arial" w:hAnsi="Arial" w:cs="Arial"/>
                <w:sz w:val="20"/>
                <w:szCs w:val="20"/>
              </w:rPr>
              <w:t>PBPK</w:t>
            </w:r>
          </w:p>
        </w:tc>
        <w:tc>
          <w:tcPr>
            <w:tcW w:w="6616" w:type="dxa"/>
          </w:tcPr>
          <w:p w14:paraId="675BC709" w14:textId="7565221C" w:rsidR="00EF6B0C" w:rsidRPr="00EF6B0C" w:rsidRDefault="00EF6B0C" w:rsidP="00EF6B0C">
            <w:pPr>
              <w:spacing w:after="0" w:line="480" w:lineRule="auto"/>
              <w:rPr>
                <w:rFonts w:ascii="Arial" w:hAnsi="Arial" w:cs="Arial"/>
                <w:sz w:val="20"/>
                <w:szCs w:val="20"/>
              </w:rPr>
            </w:pPr>
            <w:r w:rsidRPr="00EF6B0C">
              <w:rPr>
                <w:rFonts w:ascii="Arial" w:hAnsi="Arial" w:cs="Arial"/>
                <w:sz w:val="20"/>
                <w:szCs w:val="20"/>
              </w:rPr>
              <w:t>Physiologically-based pharmacokinetic</w:t>
            </w:r>
          </w:p>
        </w:tc>
      </w:tr>
      <w:tr w:rsidR="00EF6B0C" w:rsidRPr="00EF6B0C" w14:paraId="27105B22" w14:textId="77777777" w:rsidTr="00D45D1A">
        <w:tc>
          <w:tcPr>
            <w:tcW w:w="2410" w:type="dxa"/>
          </w:tcPr>
          <w:p w14:paraId="7B0F8B85" w14:textId="03059B21" w:rsidR="00EF6B0C" w:rsidRPr="00EF6B0C" w:rsidRDefault="00EF6B0C" w:rsidP="00EF6B0C">
            <w:pPr>
              <w:spacing w:after="0" w:line="480" w:lineRule="auto"/>
              <w:rPr>
                <w:rFonts w:ascii="Arial" w:hAnsi="Arial" w:cs="Arial"/>
                <w:sz w:val="20"/>
                <w:szCs w:val="20"/>
              </w:rPr>
            </w:pPr>
            <w:r w:rsidRPr="00EF6B0C">
              <w:rPr>
                <w:rFonts w:ascii="Arial" w:hAnsi="Arial" w:cs="Arial"/>
                <w:sz w:val="20"/>
                <w:szCs w:val="20"/>
              </w:rPr>
              <w:t>P-gp</w:t>
            </w:r>
          </w:p>
        </w:tc>
        <w:tc>
          <w:tcPr>
            <w:tcW w:w="6616" w:type="dxa"/>
          </w:tcPr>
          <w:p w14:paraId="1E686C52" w14:textId="0E6FA383" w:rsidR="00EF6B0C" w:rsidRPr="00EF6B0C" w:rsidRDefault="00EF6B0C" w:rsidP="00EF6B0C">
            <w:pPr>
              <w:spacing w:after="0" w:line="480" w:lineRule="auto"/>
              <w:rPr>
                <w:rFonts w:ascii="Arial" w:hAnsi="Arial" w:cs="Arial"/>
                <w:sz w:val="20"/>
                <w:szCs w:val="20"/>
              </w:rPr>
            </w:pPr>
            <w:r w:rsidRPr="00EF6B0C">
              <w:rPr>
                <w:rFonts w:ascii="Arial" w:hAnsi="Arial" w:cs="Arial"/>
                <w:sz w:val="20"/>
                <w:szCs w:val="20"/>
              </w:rPr>
              <w:t>P-glycoprotein</w:t>
            </w:r>
          </w:p>
        </w:tc>
      </w:tr>
      <w:tr w:rsidR="00EF6B0C" w:rsidRPr="00EF6B0C" w14:paraId="7C051593" w14:textId="77777777" w:rsidTr="00D45D1A">
        <w:tc>
          <w:tcPr>
            <w:tcW w:w="2410" w:type="dxa"/>
          </w:tcPr>
          <w:p w14:paraId="3984FCEC" w14:textId="1CFD1CCF" w:rsidR="00EF6B0C" w:rsidRPr="00EF6B0C" w:rsidRDefault="00EF6B0C" w:rsidP="00EF6B0C">
            <w:pPr>
              <w:spacing w:after="0" w:line="480" w:lineRule="auto"/>
              <w:rPr>
                <w:rFonts w:ascii="Arial" w:hAnsi="Arial" w:cs="Arial"/>
                <w:sz w:val="20"/>
                <w:szCs w:val="20"/>
              </w:rPr>
            </w:pPr>
            <w:r w:rsidRPr="00EF6B0C">
              <w:rPr>
                <w:rFonts w:ascii="Arial" w:hAnsi="Arial" w:cs="Arial"/>
                <w:sz w:val="20"/>
                <w:szCs w:val="20"/>
              </w:rPr>
              <w:t>PKIs</w:t>
            </w:r>
          </w:p>
        </w:tc>
        <w:tc>
          <w:tcPr>
            <w:tcW w:w="6616" w:type="dxa"/>
          </w:tcPr>
          <w:p w14:paraId="3DE7ADD8" w14:textId="740C068D" w:rsidR="00EF6B0C" w:rsidRPr="00EF6B0C" w:rsidRDefault="00EF6B0C" w:rsidP="00EF6B0C">
            <w:pPr>
              <w:spacing w:after="0" w:line="480" w:lineRule="auto"/>
              <w:rPr>
                <w:rFonts w:ascii="Arial" w:hAnsi="Arial" w:cs="Arial"/>
                <w:sz w:val="20"/>
                <w:szCs w:val="20"/>
              </w:rPr>
            </w:pPr>
            <w:r w:rsidRPr="00EF6B0C">
              <w:rPr>
                <w:rFonts w:ascii="Arial" w:hAnsi="Arial" w:cs="Arial"/>
                <w:sz w:val="20"/>
                <w:szCs w:val="20"/>
              </w:rPr>
              <w:t>Protein kinase inhibitors</w:t>
            </w:r>
          </w:p>
        </w:tc>
      </w:tr>
      <w:tr w:rsidR="0060111C" w:rsidRPr="00EF6B0C" w14:paraId="2CA33E6E" w14:textId="77777777" w:rsidTr="00D45D1A">
        <w:tc>
          <w:tcPr>
            <w:tcW w:w="2410" w:type="dxa"/>
          </w:tcPr>
          <w:p w14:paraId="7FA2BA1F" w14:textId="4D00B2E0" w:rsidR="0060111C" w:rsidRPr="00EF6B0C" w:rsidRDefault="0060111C" w:rsidP="00EF6B0C">
            <w:pPr>
              <w:spacing w:after="0" w:line="480" w:lineRule="auto"/>
              <w:rPr>
                <w:rFonts w:ascii="Arial" w:hAnsi="Arial" w:cs="Arial"/>
                <w:sz w:val="20"/>
                <w:szCs w:val="20"/>
              </w:rPr>
            </w:pPr>
            <w:r>
              <w:rPr>
                <w:rFonts w:ascii="Arial" w:hAnsi="Arial" w:cs="Arial"/>
                <w:sz w:val="20"/>
                <w:szCs w:val="20"/>
              </w:rPr>
              <w:t>RAF</w:t>
            </w:r>
          </w:p>
        </w:tc>
        <w:tc>
          <w:tcPr>
            <w:tcW w:w="6616" w:type="dxa"/>
          </w:tcPr>
          <w:p w14:paraId="20CB26FB" w14:textId="371083C5" w:rsidR="0060111C" w:rsidRPr="00EF6B0C" w:rsidRDefault="0060111C" w:rsidP="00EF6B0C">
            <w:pPr>
              <w:spacing w:after="0" w:line="480" w:lineRule="auto"/>
              <w:rPr>
                <w:rFonts w:ascii="Arial" w:hAnsi="Arial" w:cs="Arial"/>
                <w:sz w:val="20"/>
                <w:szCs w:val="20"/>
              </w:rPr>
            </w:pPr>
            <w:r>
              <w:rPr>
                <w:rFonts w:ascii="Arial" w:hAnsi="Arial" w:cs="Arial"/>
                <w:sz w:val="20"/>
                <w:szCs w:val="20"/>
              </w:rPr>
              <w:t>Relative activity factor</w:t>
            </w:r>
          </w:p>
        </w:tc>
      </w:tr>
      <w:tr w:rsidR="0060111C" w:rsidRPr="00EF6B0C" w14:paraId="016151DB" w14:textId="77777777" w:rsidTr="00D45D1A">
        <w:tc>
          <w:tcPr>
            <w:tcW w:w="2410" w:type="dxa"/>
          </w:tcPr>
          <w:p w14:paraId="3F1FDBA4" w14:textId="17A11599" w:rsidR="0060111C" w:rsidRDefault="0060111C" w:rsidP="00EF6B0C">
            <w:pPr>
              <w:spacing w:after="0" w:line="480" w:lineRule="auto"/>
              <w:rPr>
                <w:rFonts w:ascii="Arial" w:hAnsi="Arial" w:cs="Arial"/>
                <w:sz w:val="20"/>
                <w:szCs w:val="20"/>
              </w:rPr>
            </w:pPr>
            <w:r>
              <w:rPr>
                <w:rFonts w:ascii="Arial" w:hAnsi="Arial" w:cs="Arial"/>
                <w:sz w:val="20"/>
                <w:szCs w:val="20"/>
              </w:rPr>
              <w:t>REF</w:t>
            </w:r>
          </w:p>
        </w:tc>
        <w:tc>
          <w:tcPr>
            <w:tcW w:w="6616" w:type="dxa"/>
          </w:tcPr>
          <w:p w14:paraId="443A0868" w14:textId="41D8C705" w:rsidR="0060111C" w:rsidRDefault="0060111C" w:rsidP="00EF6B0C">
            <w:pPr>
              <w:spacing w:after="0" w:line="480" w:lineRule="auto"/>
              <w:rPr>
                <w:rFonts w:ascii="Arial" w:hAnsi="Arial" w:cs="Arial"/>
                <w:sz w:val="20"/>
                <w:szCs w:val="20"/>
              </w:rPr>
            </w:pPr>
            <w:r>
              <w:rPr>
                <w:rFonts w:ascii="Arial" w:hAnsi="Arial" w:cs="Arial"/>
                <w:sz w:val="20"/>
                <w:szCs w:val="20"/>
              </w:rPr>
              <w:t>Relative expression factor</w:t>
            </w:r>
          </w:p>
        </w:tc>
      </w:tr>
    </w:tbl>
    <w:p w14:paraId="1C42BF29" w14:textId="77777777" w:rsidR="00E16640" w:rsidRPr="00C016DD" w:rsidRDefault="00E16640" w:rsidP="00394AD8">
      <w:pPr>
        <w:tabs>
          <w:tab w:val="left" w:pos="1748"/>
        </w:tabs>
        <w:spacing w:line="360" w:lineRule="auto"/>
        <w:jc w:val="both"/>
        <w:rPr>
          <w:rFonts w:ascii="Arial" w:hAnsi="Arial" w:cs="Arial"/>
          <w:b/>
          <w:sz w:val="20"/>
          <w:szCs w:val="20"/>
        </w:rPr>
      </w:pPr>
    </w:p>
    <w:p w14:paraId="37B602EE" w14:textId="77777777" w:rsidR="00306995" w:rsidRPr="00C016DD" w:rsidRDefault="00306995" w:rsidP="00394AD8">
      <w:pPr>
        <w:tabs>
          <w:tab w:val="left" w:pos="1748"/>
        </w:tabs>
        <w:spacing w:line="360" w:lineRule="auto"/>
        <w:jc w:val="both"/>
        <w:rPr>
          <w:rFonts w:ascii="Arial" w:hAnsi="Arial" w:cs="Arial"/>
          <w:b/>
          <w:sz w:val="20"/>
          <w:szCs w:val="20"/>
        </w:rPr>
      </w:pPr>
    </w:p>
    <w:p w14:paraId="4BBD359E" w14:textId="77777777" w:rsidR="00306995" w:rsidRPr="00C016DD" w:rsidRDefault="00306995" w:rsidP="00394AD8">
      <w:pPr>
        <w:tabs>
          <w:tab w:val="left" w:pos="1748"/>
        </w:tabs>
        <w:spacing w:line="360" w:lineRule="auto"/>
        <w:jc w:val="both"/>
        <w:rPr>
          <w:rFonts w:ascii="Arial" w:hAnsi="Arial" w:cs="Arial"/>
          <w:b/>
          <w:sz w:val="20"/>
          <w:szCs w:val="20"/>
        </w:rPr>
      </w:pPr>
    </w:p>
    <w:p w14:paraId="1611BDF7" w14:textId="77777777" w:rsidR="00306995" w:rsidRPr="00C016DD" w:rsidRDefault="00306995" w:rsidP="00394AD8">
      <w:pPr>
        <w:tabs>
          <w:tab w:val="left" w:pos="1748"/>
        </w:tabs>
        <w:spacing w:line="360" w:lineRule="auto"/>
        <w:jc w:val="both"/>
        <w:rPr>
          <w:rFonts w:ascii="Arial" w:hAnsi="Arial" w:cs="Arial"/>
          <w:b/>
          <w:sz w:val="20"/>
          <w:szCs w:val="20"/>
        </w:rPr>
      </w:pPr>
    </w:p>
    <w:p w14:paraId="4D517C97" w14:textId="77777777" w:rsidR="00306995" w:rsidRPr="00C016DD" w:rsidRDefault="00306995" w:rsidP="00394AD8">
      <w:pPr>
        <w:tabs>
          <w:tab w:val="left" w:pos="1748"/>
        </w:tabs>
        <w:spacing w:line="360" w:lineRule="auto"/>
        <w:jc w:val="both"/>
        <w:rPr>
          <w:rFonts w:ascii="Arial" w:hAnsi="Arial" w:cs="Arial"/>
          <w:b/>
          <w:sz w:val="20"/>
          <w:szCs w:val="20"/>
        </w:rPr>
        <w:sectPr w:rsidR="00306995" w:rsidRPr="00C016DD" w:rsidSect="00F41FA8">
          <w:footerReference w:type="default" r:id="rId15"/>
          <w:pgSz w:w="11906" w:h="16838"/>
          <w:pgMar w:top="1440" w:right="1440" w:bottom="1440" w:left="1440" w:header="708" w:footer="708" w:gutter="0"/>
          <w:pgNumType w:start="3"/>
          <w:cols w:space="708"/>
          <w:docGrid w:linePitch="360"/>
        </w:sectPr>
      </w:pPr>
    </w:p>
    <w:p w14:paraId="2464AA44" w14:textId="41B163E1" w:rsidR="00306995" w:rsidRPr="00C016DD" w:rsidRDefault="00306995" w:rsidP="00394AD8">
      <w:pPr>
        <w:tabs>
          <w:tab w:val="left" w:pos="1748"/>
        </w:tabs>
        <w:spacing w:line="360" w:lineRule="auto"/>
        <w:jc w:val="both"/>
        <w:rPr>
          <w:rFonts w:ascii="Arial" w:hAnsi="Arial" w:cs="Arial"/>
          <w:b/>
          <w:sz w:val="20"/>
          <w:szCs w:val="20"/>
        </w:rPr>
        <w:sectPr w:rsidR="00306995" w:rsidRPr="00C016DD" w:rsidSect="003E4C0D">
          <w:type w:val="continuous"/>
          <w:pgSz w:w="11906" w:h="16838"/>
          <w:pgMar w:top="1440" w:right="1440" w:bottom="1440" w:left="1440" w:header="708" w:footer="708" w:gutter="0"/>
          <w:cols w:space="708"/>
          <w:docGrid w:linePitch="360"/>
        </w:sectPr>
      </w:pPr>
    </w:p>
    <w:p w14:paraId="0D524364" w14:textId="01F73F03" w:rsidR="009B2810" w:rsidRPr="009B2810" w:rsidRDefault="00950922" w:rsidP="00062B7A">
      <w:pPr>
        <w:spacing w:after="0" w:line="480" w:lineRule="auto"/>
        <w:jc w:val="both"/>
        <w:rPr>
          <w:rFonts w:ascii="Arial" w:hAnsi="Arial" w:cs="Arial"/>
          <w:b/>
          <w:sz w:val="20"/>
          <w:szCs w:val="20"/>
        </w:rPr>
      </w:pPr>
      <w:r>
        <w:rPr>
          <w:rFonts w:ascii="Arial" w:hAnsi="Arial" w:cs="Arial"/>
          <w:b/>
          <w:iCs/>
          <w:sz w:val="20"/>
          <w:szCs w:val="20"/>
        </w:rPr>
        <w:lastRenderedPageBreak/>
        <w:t>S</w:t>
      </w:r>
      <w:r w:rsidR="00011797" w:rsidRPr="009B2810">
        <w:rPr>
          <w:rFonts w:ascii="Arial" w:hAnsi="Arial" w:cs="Arial"/>
          <w:b/>
          <w:iCs/>
          <w:sz w:val="20"/>
          <w:szCs w:val="20"/>
        </w:rPr>
        <w:t>ummary:</w:t>
      </w:r>
      <w:r w:rsidR="00011797" w:rsidRPr="009B2810">
        <w:rPr>
          <w:rFonts w:ascii="Arial" w:hAnsi="Arial" w:cs="Arial"/>
          <w:b/>
          <w:sz w:val="20"/>
          <w:szCs w:val="20"/>
        </w:rPr>
        <w:t xml:space="preserve">  </w:t>
      </w:r>
    </w:p>
    <w:p w14:paraId="004A12A3" w14:textId="53D571CB" w:rsidR="009B2810" w:rsidRPr="009B2810" w:rsidRDefault="009B2810" w:rsidP="00062B7A">
      <w:pPr>
        <w:spacing w:after="0" w:line="480" w:lineRule="auto"/>
        <w:jc w:val="both"/>
        <w:rPr>
          <w:rFonts w:ascii="Arial" w:hAnsi="Arial" w:cs="Arial"/>
          <w:b/>
          <w:sz w:val="20"/>
          <w:szCs w:val="20"/>
        </w:rPr>
      </w:pPr>
      <w:r w:rsidRPr="009B2810">
        <w:rPr>
          <w:rFonts w:ascii="Arial" w:hAnsi="Arial" w:cs="Arial"/>
          <w:b/>
          <w:sz w:val="20"/>
          <w:szCs w:val="20"/>
        </w:rPr>
        <w:t>What is already known</w:t>
      </w:r>
    </w:p>
    <w:p w14:paraId="17923BFA" w14:textId="53B09BE3" w:rsidR="00A3490D" w:rsidRPr="00A3490D" w:rsidRDefault="00A3490D" w:rsidP="00F50B86">
      <w:pPr>
        <w:pStyle w:val="ListParagraph"/>
        <w:numPr>
          <w:ilvl w:val="0"/>
          <w:numId w:val="2"/>
        </w:numPr>
        <w:spacing w:line="480" w:lineRule="auto"/>
        <w:jc w:val="both"/>
        <w:rPr>
          <w:rFonts w:ascii="Arial" w:hAnsi="Arial" w:cs="Arial"/>
          <w:sz w:val="20"/>
          <w:szCs w:val="20"/>
        </w:rPr>
      </w:pPr>
      <w:r>
        <w:rPr>
          <w:rFonts w:ascii="Arial" w:hAnsi="Arial" w:cs="Arial"/>
          <w:sz w:val="20"/>
          <w:szCs w:val="20"/>
          <w:lang w:val="en-SG"/>
        </w:rPr>
        <w:t xml:space="preserve">Rivaroxaban </w:t>
      </w:r>
      <w:r w:rsidR="00D153CD">
        <w:rPr>
          <w:rFonts w:ascii="Arial" w:hAnsi="Arial" w:cs="Arial"/>
          <w:sz w:val="20"/>
          <w:szCs w:val="20"/>
          <w:lang w:val="en-SG"/>
        </w:rPr>
        <w:t>is emerging</w:t>
      </w:r>
      <w:r w:rsidRPr="00A3490D">
        <w:rPr>
          <w:rFonts w:ascii="Arial" w:hAnsi="Arial" w:cs="Arial"/>
          <w:sz w:val="20"/>
          <w:szCs w:val="20"/>
          <w:lang w:val="en-SG"/>
        </w:rPr>
        <w:t xml:space="preserve"> as an attractive</w:t>
      </w:r>
      <w:r>
        <w:rPr>
          <w:rFonts w:ascii="Arial" w:hAnsi="Arial" w:cs="Arial"/>
          <w:sz w:val="20"/>
          <w:szCs w:val="20"/>
          <w:lang w:val="en-SG"/>
        </w:rPr>
        <w:t xml:space="preserve"> alternative for</w:t>
      </w:r>
      <w:r w:rsidRPr="00A3490D">
        <w:rPr>
          <w:rFonts w:ascii="Arial" w:hAnsi="Arial" w:cs="Arial"/>
          <w:sz w:val="20"/>
          <w:szCs w:val="20"/>
          <w:lang w:val="en-SG"/>
        </w:rPr>
        <w:t xml:space="preserve"> </w:t>
      </w:r>
      <w:r>
        <w:rPr>
          <w:rFonts w:ascii="Arial" w:hAnsi="Arial" w:cs="Arial"/>
          <w:sz w:val="20"/>
          <w:szCs w:val="20"/>
          <w:lang w:val="en-SG"/>
        </w:rPr>
        <w:t xml:space="preserve">the </w:t>
      </w:r>
      <w:r w:rsidRPr="00A3490D">
        <w:rPr>
          <w:rFonts w:ascii="Arial" w:hAnsi="Arial" w:cs="Arial"/>
          <w:sz w:val="20"/>
          <w:szCs w:val="20"/>
          <w:lang w:val="en-SG"/>
        </w:rPr>
        <w:t>prophylaxis and treatment of CA-VTE.</w:t>
      </w:r>
    </w:p>
    <w:p w14:paraId="5761DDC6" w14:textId="1A434108" w:rsidR="009B2810" w:rsidRPr="00A3490D" w:rsidRDefault="00A3490D" w:rsidP="00F50B86">
      <w:pPr>
        <w:pStyle w:val="ListParagraph"/>
        <w:numPr>
          <w:ilvl w:val="0"/>
          <w:numId w:val="2"/>
        </w:numPr>
        <w:spacing w:after="0" w:line="480" w:lineRule="auto"/>
        <w:jc w:val="both"/>
        <w:rPr>
          <w:rFonts w:ascii="Arial" w:hAnsi="Arial" w:cs="Arial"/>
          <w:sz w:val="20"/>
          <w:szCs w:val="20"/>
        </w:rPr>
      </w:pPr>
      <w:r>
        <w:rPr>
          <w:rFonts w:ascii="Arial" w:hAnsi="Arial" w:cs="Arial"/>
          <w:sz w:val="20"/>
          <w:szCs w:val="20"/>
        </w:rPr>
        <w:t>Rivaroxaban</w:t>
      </w:r>
      <w:r>
        <w:rPr>
          <w:rFonts w:ascii="Arial" w:hAnsi="Arial" w:cs="Arial"/>
          <w:sz w:val="20"/>
          <w:szCs w:val="20"/>
          <w:lang w:val="en-SG"/>
        </w:rPr>
        <w:t xml:space="preserve"> is susceptible</w:t>
      </w:r>
      <w:r w:rsidRPr="00A3490D">
        <w:rPr>
          <w:rFonts w:ascii="Arial" w:hAnsi="Arial" w:cs="Arial"/>
          <w:sz w:val="20"/>
          <w:szCs w:val="20"/>
          <w:lang w:val="en-SG"/>
        </w:rPr>
        <w:t xml:space="preserve"> to drug-drug-disease interactions (DDDIs) attributed to impairment of its multiple clearance pathways</w:t>
      </w:r>
      <w:r>
        <w:rPr>
          <w:rFonts w:ascii="Arial" w:hAnsi="Arial" w:cs="Arial"/>
          <w:sz w:val="20"/>
          <w:szCs w:val="20"/>
          <w:lang w:val="en-SG"/>
        </w:rPr>
        <w:t>.</w:t>
      </w:r>
    </w:p>
    <w:p w14:paraId="45C42C40" w14:textId="1D254B1F" w:rsidR="009B2810" w:rsidRPr="009B2810" w:rsidRDefault="009B2810" w:rsidP="00062B7A">
      <w:pPr>
        <w:spacing w:after="0" w:line="480" w:lineRule="auto"/>
        <w:jc w:val="both"/>
        <w:rPr>
          <w:rFonts w:ascii="Arial" w:hAnsi="Arial" w:cs="Arial"/>
          <w:b/>
          <w:sz w:val="20"/>
          <w:szCs w:val="20"/>
        </w:rPr>
      </w:pPr>
      <w:r w:rsidRPr="009B2810">
        <w:rPr>
          <w:rFonts w:ascii="Arial" w:hAnsi="Arial" w:cs="Arial"/>
          <w:b/>
          <w:sz w:val="20"/>
          <w:szCs w:val="20"/>
        </w:rPr>
        <w:t>What this study adds</w:t>
      </w:r>
      <w:r w:rsidR="00011797" w:rsidRPr="009B2810">
        <w:rPr>
          <w:rFonts w:ascii="Arial" w:hAnsi="Arial" w:cs="Arial"/>
          <w:b/>
          <w:sz w:val="20"/>
          <w:szCs w:val="20"/>
        </w:rPr>
        <w:t xml:space="preserve"> </w:t>
      </w:r>
    </w:p>
    <w:p w14:paraId="3ABFB5C9" w14:textId="1042F3D9" w:rsidR="009B2810" w:rsidRPr="009B2810" w:rsidRDefault="00D153CD" w:rsidP="00F50B86">
      <w:pPr>
        <w:pStyle w:val="ListParagraph"/>
        <w:numPr>
          <w:ilvl w:val="0"/>
          <w:numId w:val="4"/>
        </w:numPr>
        <w:spacing w:after="0" w:line="480" w:lineRule="auto"/>
        <w:jc w:val="both"/>
        <w:rPr>
          <w:rFonts w:ascii="Arial" w:hAnsi="Arial" w:cs="Arial"/>
          <w:sz w:val="20"/>
          <w:szCs w:val="20"/>
        </w:rPr>
      </w:pPr>
      <w:r>
        <w:rPr>
          <w:rFonts w:ascii="Arial" w:hAnsi="Arial" w:cs="Arial"/>
          <w:sz w:val="20"/>
          <w:szCs w:val="20"/>
        </w:rPr>
        <w:t xml:space="preserve">Erlotinib and nilotinib </w:t>
      </w:r>
      <w:r w:rsidRPr="00D153CD">
        <w:rPr>
          <w:rFonts w:ascii="Arial" w:hAnsi="Arial" w:cs="Arial"/>
          <w:sz w:val="20"/>
          <w:szCs w:val="20"/>
        </w:rPr>
        <w:t xml:space="preserve">irreversibly </w:t>
      </w:r>
      <w:r>
        <w:rPr>
          <w:rFonts w:ascii="Arial" w:hAnsi="Arial" w:cs="Arial"/>
          <w:sz w:val="20"/>
          <w:szCs w:val="20"/>
        </w:rPr>
        <w:t xml:space="preserve">inhibit CYP3A4/CYP2J2-mediated metabolism and </w:t>
      </w:r>
      <w:r w:rsidRPr="00D153CD">
        <w:rPr>
          <w:rFonts w:ascii="Arial" w:hAnsi="Arial" w:cs="Arial"/>
          <w:sz w:val="20"/>
          <w:szCs w:val="20"/>
        </w:rPr>
        <w:t xml:space="preserve">reversibly inhibit </w:t>
      </w:r>
      <w:r>
        <w:rPr>
          <w:rFonts w:ascii="Arial" w:hAnsi="Arial" w:cs="Arial"/>
          <w:sz w:val="20"/>
          <w:szCs w:val="20"/>
        </w:rPr>
        <w:t>OAT3-mediated uptake of rivaroxaban.</w:t>
      </w:r>
    </w:p>
    <w:p w14:paraId="48F73ED0" w14:textId="663C36E6" w:rsidR="009B2810" w:rsidRPr="000F2933" w:rsidRDefault="000F2933" w:rsidP="00F50B86">
      <w:pPr>
        <w:pStyle w:val="ListParagraph"/>
        <w:numPr>
          <w:ilvl w:val="0"/>
          <w:numId w:val="4"/>
        </w:numPr>
        <w:spacing w:after="0" w:line="480" w:lineRule="auto"/>
        <w:jc w:val="both"/>
        <w:rPr>
          <w:rFonts w:ascii="Arial" w:hAnsi="Arial" w:cs="Arial"/>
          <w:sz w:val="20"/>
          <w:szCs w:val="20"/>
        </w:rPr>
      </w:pPr>
      <w:r w:rsidRPr="000F2933">
        <w:rPr>
          <w:rFonts w:ascii="Arial" w:hAnsi="Arial" w:cs="Arial"/>
          <w:bCs/>
          <w:sz w:val="20"/>
          <w:szCs w:val="20"/>
        </w:rPr>
        <w:t xml:space="preserve">Physiologically-based pharmacokinetic model is established to prospectively investigate </w:t>
      </w:r>
      <w:r>
        <w:rPr>
          <w:rFonts w:ascii="Arial" w:hAnsi="Arial" w:cs="Arial"/>
          <w:bCs/>
          <w:sz w:val="20"/>
          <w:szCs w:val="20"/>
        </w:rPr>
        <w:t>DDDIs</w:t>
      </w:r>
      <w:r w:rsidRPr="000F2933">
        <w:rPr>
          <w:rFonts w:ascii="Arial" w:hAnsi="Arial" w:cs="Arial"/>
          <w:bCs/>
          <w:sz w:val="20"/>
          <w:szCs w:val="20"/>
        </w:rPr>
        <w:t xml:space="preserve"> </w:t>
      </w:r>
      <w:r w:rsidR="00DC57C2">
        <w:rPr>
          <w:rFonts w:ascii="Arial" w:hAnsi="Arial" w:cs="Arial"/>
          <w:bCs/>
          <w:sz w:val="20"/>
          <w:szCs w:val="20"/>
        </w:rPr>
        <w:t>implicating</w:t>
      </w:r>
      <w:r w:rsidRPr="000F2933">
        <w:rPr>
          <w:rFonts w:ascii="Arial" w:hAnsi="Arial" w:cs="Arial"/>
          <w:bCs/>
          <w:sz w:val="20"/>
          <w:szCs w:val="20"/>
        </w:rPr>
        <w:t xml:space="preserve"> rivaroxaban in CA-VTE.</w:t>
      </w:r>
    </w:p>
    <w:p w14:paraId="7C4F8FB5" w14:textId="067F355E" w:rsidR="009B2810" w:rsidRPr="009B2810" w:rsidRDefault="009B2810" w:rsidP="00062B7A">
      <w:pPr>
        <w:spacing w:after="0" w:line="480" w:lineRule="auto"/>
        <w:jc w:val="both"/>
        <w:rPr>
          <w:rFonts w:ascii="Arial" w:hAnsi="Arial" w:cs="Arial"/>
          <w:b/>
          <w:sz w:val="20"/>
          <w:szCs w:val="20"/>
        </w:rPr>
      </w:pPr>
      <w:r w:rsidRPr="009B2810">
        <w:rPr>
          <w:rFonts w:ascii="Arial" w:hAnsi="Arial" w:cs="Arial"/>
          <w:b/>
          <w:sz w:val="20"/>
          <w:szCs w:val="20"/>
        </w:rPr>
        <w:t>Clinical significance</w:t>
      </w:r>
    </w:p>
    <w:p w14:paraId="05322281" w14:textId="3A96DCDD" w:rsidR="009B2810" w:rsidRPr="009B2810" w:rsidRDefault="00DC57C2" w:rsidP="00F50B86">
      <w:pPr>
        <w:pStyle w:val="ListParagraph"/>
        <w:numPr>
          <w:ilvl w:val="0"/>
          <w:numId w:val="3"/>
        </w:numPr>
        <w:spacing w:after="0" w:line="480" w:lineRule="auto"/>
        <w:jc w:val="both"/>
        <w:rPr>
          <w:rFonts w:ascii="Arial" w:hAnsi="Arial" w:cs="Arial"/>
          <w:sz w:val="20"/>
          <w:szCs w:val="20"/>
        </w:rPr>
      </w:pPr>
      <w:r>
        <w:rPr>
          <w:rFonts w:ascii="Arial" w:hAnsi="Arial" w:cs="Arial"/>
          <w:sz w:val="20"/>
          <w:szCs w:val="20"/>
        </w:rPr>
        <w:t>Our model facilitates</w:t>
      </w:r>
      <w:r w:rsidR="00BA44BA">
        <w:rPr>
          <w:rFonts w:ascii="Arial" w:hAnsi="Arial" w:cs="Arial"/>
          <w:sz w:val="20"/>
          <w:szCs w:val="20"/>
        </w:rPr>
        <w:t xml:space="preserve"> rivaroxaban</w:t>
      </w:r>
      <w:r>
        <w:rPr>
          <w:rFonts w:ascii="Arial" w:hAnsi="Arial" w:cs="Arial"/>
          <w:sz w:val="20"/>
          <w:szCs w:val="20"/>
        </w:rPr>
        <w:t xml:space="preserve"> d</w:t>
      </w:r>
      <w:r w:rsidR="00BA44BA">
        <w:rPr>
          <w:rFonts w:ascii="Arial" w:hAnsi="Arial" w:cs="Arial"/>
          <w:sz w:val="20"/>
          <w:szCs w:val="20"/>
        </w:rPr>
        <w:t>ose adjustment to ensure its efficacious and safe use</w:t>
      </w:r>
      <w:r>
        <w:rPr>
          <w:rFonts w:ascii="Arial" w:hAnsi="Arial" w:cs="Arial"/>
          <w:sz w:val="20"/>
          <w:szCs w:val="20"/>
        </w:rPr>
        <w:t xml:space="preserve"> in CA-VTE. </w:t>
      </w:r>
    </w:p>
    <w:p w14:paraId="4B5965EF" w14:textId="77777777" w:rsidR="00011797" w:rsidRDefault="00011797">
      <w:pPr>
        <w:rPr>
          <w:rFonts w:ascii="Arial" w:hAnsi="Arial" w:cs="Arial"/>
          <w:b/>
          <w:sz w:val="20"/>
          <w:szCs w:val="20"/>
        </w:rPr>
      </w:pPr>
      <w:r>
        <w:rPr>
          <w:rFonts w:ascii="Arial" w:hAnsi="Arial" w:cs="Arial"/>
          <w:b/>
          <w:sz w:val="20"/>
          <w:szCs w:val="20"/>
        </w:rPr>
        <w:br w:type="page"/>
      </w:r>
    </w:p>
    <w:p w14:paraId="15C1278E" w14:textId="2BB7F5B2" w:rsidR="00062B7A" w:rsidRDefault="00062B7A" w:rsidP="00062B7A">
      <w:pPr>
        <w:spacing w:after="0" w:line="480" w:lineRule="auto"/>
        <w:jc w:val="both"/>
        <w:rPr>
          <w:rFonts w:ascii="Arial" w:hAnsi="Arial" w:cs="Arial"/>
          <w:b/>
          <w:sz w:val="20"/>
          <w:szCs w:val="20"/>
        </w:rPr>
      </w:pPr>
      <w:r>
        <w:rPr>
          <w:rFonts w:ascii="Arial" w:hAnsi="Arial" w:cs="Arial"/>
          <w:b/>
          <w:sz w:val="20"/>
          <w:szCs w:val="20"/>
        </w:rPr>
        <w:lastRenderedPageBreak/>
        <w:t>Abstract</w:t>
      </w:r>
    </w:p>
    <w:p w14:paraId="139826C7" w14:textId="498712C4" w:rsidR="005B0AB8" w:rsidRPr="005B0AB8" w:rsidRDefault="005B0AB8" w:rsidP="005B0AB8">
      <w:pPr>
        <w:spacing w:after="0" w:line="480" w:lineRule="auto"/>
        <w:jc w:val="both"/>
        <w:rPr>
          <w:rFonts w:ascii="Arial" w:hAnsi="Arial" w:cs="Arial"/>
          <w:b/>
          <w:bCs/>
          <w:color w:val="000000"/>
          <w:sz w:val="20"/>
          <w:szCs w:val="20"/>
        </w:rPr>
      </w:pPr>
      <w:r w:rsidRPr="005B0AB8">
        <w:rPr>
          <w:rFonts w:ascii="Arial" w:hAnsi="Arial" w:cs="Arial"/>
          <w:b/>
          <w:bCs/>
          <w:color w:val="000000"/>
          <w:sz w:val="20"/>
          <w:szCs w:val="20"/>
        </w:rPr>
        <w:t>Background and Purpose</w:t>
      </w:r>
    </w:p>
    <w:p w14:paraId="5DE7D82C" w14:textId="395DF1A0" w:rsidR="005B0AB8" w:rsidRPr="005B0AB8" w:rsidRDefault="007B0AA2" w:rsidP="005B0AB8">
      <w:pPr>
        <w:spacing w:after="0" w:line="480" w:lineRule="auto"/>
        <w:jc w:val="both"/>
        <w:rPr>
          <w:rFonts w:ascii="Arial" w:hAnsi="Arial" w:cs="Arial"/>
          <w:bCs/>
          <w:color w:val="000000"/>
          <w:sz w:val="20"/>
          <w:szCs w:val="20"/>
        </w:rPr>
      </w:pPr>
      <w:r>
        <w:rPr>
          <w:rFonts w:ascii="Arial" w:hAnsi="Arial" w:cs="Arial"/>
          <w:bCs/>
          <w:color w:val="000000"/>
          <w:sz w:val="20"/>
          <w:szCs w:val="20"/>
        </w:rPr>
        <w:t xml:space="preserve">Rivaroxaban is </w:t>
      </w:r>
      <w:r w:rsidR="005B0AB8">
        <w:rPr>
          <w:rFonts w:ascii="Arial" w:hAnsi="Arial" w:cs="Arial"/>
          <w:bCs/>
          <w:color w:val="000000"/>
          <w:sz w:val="20"/>
          <w:szCs w:val="20"/>
        </w:rPr>
        <w:t>emerging</w:t>
      </w:r>
      <w:r>
        <w:rPr>
          <w:rFonts w:ascii="Arial" w:hAnsi="Arial" w:cs="Arial"/>
          <w:bCs/>
          <w:color w:val="000000"/>
          <w:sz w:val="20"/>
          <w:szCs w:val="20"/>
        </w:rPr>
        <w:t xml:space="preserve"> as a viable</w:t>
      </w:r>
      <w:r w:rsidR="005B0AB8" w:rsidRPr="005B0AB8">
        <w:rPr>
          <w:rFonts w:ascii="Arial" w:hAnsi="Arial" w:cs="Arial"/>
          <w:bCs/>
          <w:color w:val="000000"/>
          <w:sz w:val="20"/>
          <w:szCs w:val="20"/>
        </w:rPr>
        <w:t xml:space="preserve"> anticoagulant for the </w:t>
      </w:r>
      <w:r w:rsidR="00D808E7">
        <w:rPr>
          <w:rFonts w:ascii="Arial" w:hAnsi="Arial" w:cs="Arial"/>
          <w:bCs/>
          <w:color w:val="000000"/>
          <w:sz w:val="20"/>
          <w:szCs w:val="20"/>
        </w:rPr>
        <w:t xml:space="preserve">pharmacological </w:t>
      </w:r>
      <w:r w:rsidR="005B0AB8" w:rsidRPr="005B0AB8">
        <w:rPr>
          <w:rFonts w:ascii="Arial" w:hAnsi="Arial" w:cs="Arial"/>
          <w:bCs/>
          <w:color w:val="000000"/>
          <w:sz w:val="20"/>
          <w:szCs w:val="20"/>
        </w:rPr>
        <w:t>management of cancer associated ven</w:t>
      </w:r>
      <w:r w:rsidR="00D808E7">
        <w:rPr>
          <w:rFonts w:ascii="Arial" w:hAnsi="Arial" w:cs="Arial"/>
          <w:bCs/>
          <w:color w:val="000000"/>
          <w:sz w:val="20"/>
          <w:szCs w:val="20"/>
        </w:rPr>
        <w:t>ous thromboembolism (CA-VTE). Being eliminated</w:t>
      </w:r>
      <w:r w:rsidR="005B0AB8" w:rsidRPr="005B0AB8">
        <w:rPr>
          <w:rFonts w:ascii="Arial" w:hAnsi="Arial" w:cs="Arial"/>
          <w:bCs/>
          <w:color w:val="000000"/>
          <w:sz w:val="20"/>
          <w:szCs w:val="20"/>
        </w:rPr>
        <w:t xml:space="preserve"> via CYP3A4/2J2-mediated metabolism </w:t>
      </w:r>
      <w:r w:rsidR="005B0AB8">
        <w:rPr>
          <w:rFonts w:ascii="Arial" w:hAnsi="Arial" w:cs="Arial"/>
          <w:bCs/>
          <w:color w:val="000000"/>
          <w:sz w:val="20"/>
          <w:szCs w:val="20"/>
        </w:rPr>
        <w:t>and</w:t>
      </w:r>
      <w:r w:rsidR="005B0AB8" w:rsidRPr="005B0AB8">
        <w:rPr>
          <w:rFonts w:ascii="Arial" w:hAnsi="Arial" w:cs="Arial"/>
          <w:bCs/>
          <w:color w:val="000000"/>
          <w:sz w:val="20"/>
          <w:szCs w:val="20"/>
        </w:rPr>
        <w:t xml:space="preserve"> organic</w:t>
      </w:r>
      <w:r w:rsidR="005B0AB8">
        <w:rPr>
          <w:rFonts w:ascii="Arial" w:hAnsi="Arial" w:cs="Arial"/>
          <w:bCs/>
          <w:color w:val="000000"/>
          <w:sz w:val="20"/>
          <w:szCs w:val="20"/>
        </w:rPr>
        <w:t xml:space="preserve"> anion transporter 3 (OAT3)/</w:t>
      </w:r>
      <w:r w:rsidR="005B0AB8" w:rsidRPr="005B0AB8">
        <w:rPr>
          <w:rFonts w:ascii="Arial" w:hAnsi="Arial" w:cs="Arial"/>
          <w:bCs/>
          <w:color w:val="000000"/>
          <w:sz w:val="20"/>
          <w:szCs w:val="20"/>
        </w:rPr>
        <w:t xml:space="preserve">P-glycoprotein-mediated renal </w:t>
      </w:r>
      <w:r w:rsidR="00D808E7">
        <w:rPr>
          <w:rFonts w:ascii="Arial" w:hAnsi="Arial" w:cs="Arial"/>
          <w:bCs/>
          <w:color w:val="000000"/>
          <w:sz w:val="20"/>
          <w:szCs w:val="20"/>
        </w:rPr>
        <w:t>secretion, r</w:t>
      </w:r>
      <w:r w:rsidR="005B0AB8" w:rsidRPr="005B0AB8">
        <w:rPr>
          <w:rFonts w:ascii="Arial" w:hAnsi="Arial" w:cs="Arial"/>
          <w:bCs/>
          <w:color w:val="000000"/>
          <w:sz w:val="20"/>
          <w:szCs w:val="20"/>
        </w:rPr>
        <w:t>ivaroxaban is susceptible to drug-drug interactions (D</w:t>
      </w:r>
      <w:r w:rsidR="00CD0205">
        <w:rPr>
          <w:rFonts w:ascii="Arial" w:hAnsi="Arial" w:cs="Arial"/>
          <w:bCs/>
          <w:color w:val="000000"/>
          <w:sz w:val="20"/>
          <w:szCs w:val="20"/>
        </w:rPr>
        <w:t>D</w:t>
      </w:r>
      <w:r>
        <w:rPr>
          <w:rFonts w:ascii="Arial" w:hAnsi="Arial" w:cs="Arial"/>
          <w:bCs/>
          <w:color w:val="000000"/>
          <w:sz w:val="20"/>
          <w:szCs w:val="20"/>
        </w:rPr>
        <w:t>Is) with p</w:t>
      </w:r>
      <w:r w:rsidRPr="007B0AA2">
        <w:rPr>
          <w:rFonts w:ascii="Arial" w:hAnsi="Arial" w:cs="Arial"/>
          <w:bCs/>
          <w:color w:val="000000"/>
          <w:sz w:val="20"/>
          <w:szCs w:val="20"/>
        </w:rPr>
        <w:t xml:space="preserve">rotein kinase inhibitors (PKIs), erlotinib and nilotinib. </w:t>
      </w:r>
      <w:r w:rsidR="005B0AB8">
        <w:rPr>
          <w:rFonts w:ascii="Arial" w:hAnsi="Arial" w:cs="Arial"/>
          <w:bCs/>
          <w:color w:val="000000"/>
          <w:sz w:val="20"/>
          <w:szCs w:val="20"/>
        </w:rPr>
        <w:t>P</w:t>
      </w:r>
      <w:r w:rsidR="005B0AB8" w:rsidRPr="005B0AB8">
        <w:rPr>
          <w:rFonts w:ascii="Arial" w:hAnsi="Arial" w:cs="Arial"/>
          <w:bCs/>
          <w:color w:val="000000"/>
          <w:sz w:val="20"/>
          <w:szCs w:val="20"/>
        </w:rPr>
        <w:t xml:space="preserve">hysiologically based pharmacokinetic (PBPK) modelling </w:t>
      </w:r>
      <w:r w:rsidR="005B0AB8">
        <w:rPr>
          <w:rFonts w:ascii="Arial" w:hAnsi="Arial" w:cs="Arial"/>
          <w:bCs/>
          <w:color w:val="000000"/>
          <w:sz w:val="20"/>
          <w:szCs w:val="20"/>
        </w:rPr>
        <w:t>was applied</w:t>
      </w:r>
      <w:r w:rsidR="005B0AB8" w:rsidRPr="005B0AB8">
        <w:rPr>
          <w:rFonts w:ascii="Arial" w:hAnsi="Arial" w:cs="Arial"/>
          <w:bCs/>
          <w:color w:val="000000"/>
          <w:sz w:val="20"/>
          <w:szCs w:val="20"/>
        </w:rPr>
        <w:t xml:space="preserve"> </w:t>
      </w:r>
      <w:r w:rsidR="005B0AB8">
        <w:rPr>
          <w:rFonts w:ascii="Arial" w:hAnsi="Arial" w:cs="Arial"/>
          <w:bCs/>
          <w:color w:val="000000"/>
          <w:sz w:val="20"/>
          <w:szCs w:val="20"/>
        </w:rPr>
        <w:t>to interrogate</w:t>
      </w:r>
      <w:r w:rsidR="005B0AB8" w:rsidRPr="005B0AB8">
        <w:rPr>
          <w:rFonts w:ascii="Arial" w:hAnsi="Arial" w:cs="Arial"/>
          <w:bCs/>
          <w:color w:val="000000"/>
          <w:sz w:val="20"/>
          <w:szCs w:val="20"/>
        </w:rPr>
        <w:t xml:space="preserve"> </w:t>
      </w:r>
      <w:r w:rsidR="005B0AB8">
        <w:rPr>
          <w:rFonts w:ascii="Arial" w:hAnsi="Arial" w:cs="Arial"/>
          <w:bCs/>
          <w:color w:val="000000"/>
          <w:sz w:val="20"/>
          <w:szCs w:val="20"/>
        </w:rPr>
        <w:t xml:space="preserve">the </w:t>
      </w:r>
      <w:r>
        <w:rPr>
          <w:rFonts w:ascii="Arial" w:hAnsi="Arial" w:cs="Arial"/>
          <w:bCs/>
          <w:color w:val="000000"/>
          <w:sz w:val="20"/>
          <w:szCs w:val="20"/>
        </w:rPr>
        <w:t>DD</w:t>
      </w:r>
      <w:r w:rsidR="005B0AB8" w:rsidRPr="005B0AB8">
        <w:rPr>
          <w:rFonts w:ascii="Arial" w:hAnsi="Arial" w:cs="Arial"/>
          <w:bCs/>
          <w:color w:val="000000"/>
          <w:sz w:val="20"/>
          <w:szCs w:val="20"/>
        </w:rPr>
        <w:t>Is</w:t>
      </w:r>
      <w:r w:rsidR="005B0AB8">
        <w:rPr>
          <w:rFonts w:ascii="Arial" w:hAnsi="Arial" w:cs="Arial"/>
          <w:bCs/>
          <w:color w:val="000000"/>
          <w:sz w:val="20"/>
          <w:szCs w:val="20"/>
        </w:rPr>
        <w:t xml:space="preserve"> for dose adjustment of rivaroxaban in CA-VTE. </w:t>
      </w:r>
    </w:p>
    <w:p w14:paraId="157ED50C" w14:textId="2B1F423D" w:rsidR="005B0AB8" w:rsidRPr="005B0AB8" w:rsidRDefault="005B0AB8" w:rsidP="005B0AB8">
      <w:pPr>
        <w:spacing w:after="0" w:line="480" w:lineRule="auto"/>
        <w:jc w:val="both"/>
        <w:rPr>
          <w:rFonts w:ascii="Arial" w:hAnsi="Arial" w:cs="Arial"/>
          <w:b/>
          <w:bCs/>
          <w:color w:val="000000"/>
          <w:sz w:val="20"/>
          <w:szCs w:val="20"/>
        </w:rPr>
      </w:pPr>
      <w:r w:rsidRPr="005B0AB8">
        <w:rPr>
          <w:rFonts w:ascii="Arial" w:hAnsi="Arial" w:cs="Arial"/>
          <w:b/>
          <w:bCs/>
          <w:color w:val="000000"/>
          <w:sz w:val="20"/>
          <w:szCs w:val="20"/>
        </w:rPr>
        <w:t>Experimental Approach</w:t>
      </w:r>
    </w:p>
    <w:p w14:paraId="53E9BC8C" w14:textId="5BC8E403" w:rsidR="005B0AB8" w:rsidRPr="005B0AB8" w:rsidRDefault="005B0AB8" w:rsidP="005B0AB8">
      <w:pPr>
        <w:spacing w:after="0" w:line="480" w:lineRule="auto"/>
        <w:jc w:val="both"/>
        <w:rPr>
          <w:rFonts w:ascii="Arial" w:hAnsi="Arial" w:cs="Arial"/>
          <w:bCs/>
          <w:color w:val="000000"/>
          <w:sz w:val="20"/>
          <w:szCs w:val="20"/>
        </w:rPr>
      </w:pPr>
      <w:r>
        <w:rPr>
          <w:rFonts w:ascii="Arial" w:hAnsi="Arial" w:cs="Arial"/>
          <w:bCs/>
          <w:color w:val="000000"/>
          <w:sz w:val="20"/>
          <w:szCs w:val="20"/>
        </w:rPr>
        <w:t>T</w:t>
      </w:r>
      <w:r w:rsidRPr="005B0AB8">
        <w:rPr>
          <w:rFonts w:ascii="Arial" w:hAnsi="Arial" w:cs="Arial"/>
          <w:bCs/>
          <w:color w:val="000000"/>
          <w:sz w:val="20"/>
          <w:szCs w:val="20"/>
        </w:rPr>
        <w:t>he inhibitory potencies of erlotinib</w:t>
      </w:r>
      <w:r w:rsidR="00D808E7">
        <w:rPr>
          <w:rFonts w:ascii="Arial" w:hAnsi="Arial" w:cs="Arial"/>
          <w:bCs/>
          <w:color w:val="000000"/>
          <w:sz w:val="20"/>
          <w:szCs w:val="20"/>
        </w:rPr>
        <w:t xml:space="preserve"> and nilotinib on </w:t>
      </w:r>
      <w:r w:rsidRPr="005B0AB8">
        <w:rPr>
          <w:rFonts w:ascii="Arial" w:hAnsi="Arial" w:cs="Arial"/>
          <w:bCs/>
          <w:color w:val="000000"/>
          <w:sz w:val="20"/>
          <w:szCs w:val="20"/>
        </w:rPr>
        <w:t>CYP3A4/2J2-mediated metabolism of rivaroxaban</w:t>
      </w:r>
      <w:r>
        <w:rPr>
          <w:rFonts w:ascii="Arial" w:hAnsi="Arial" w:cs="Arial"/>
          <w:bCs/>
          <w:color w:val="000000"/>
          <w:sz w:val="20"/>
          <w:szCs w:val="20"/>
        </w:rPr>
        <w:t xml:space="preserve"> were characterized</w:t>
      </w:r>
      <w:r w:rsidRPr="005B0AB8">
        <w:rPr>
          <w:rFonts w:ascii="Arial" w:hAnsi="Arial" w:cs="Arial"/>
          <w:bCs/>
          <w:color w:val="000000"/>
          <w:sz w:val="20"/>
          <w:szCs w:val="20"/>
        </w:rPr>
        <w:t>.</w:t>
      </w:r>
      <w:r>
        <w:rPr>
          <w:rFonts w:ascii="Arial" w:hAnsi="Arial" w:cs="Arial"/>
          <w:bCs/>
          <w:color w:val="000000"/>
          <w:sz w:val="20"/>
          <w:szCs w:val="20"/>
        </w:rPr>
        <w:t xml:space="preserve"> </w:t>
      </w:r>
      <w:r w:rsidR="009126C2">
        <w:rPr>
          <w:rFonts w:ascii="Arial" w:hAnsi="Arial" w:cs="Arial"/>
          <w:bCs/>
          <w:color w:val="000000"/>
          <w:sz w:val="20"/>
          <w:szCs w:val="20"/>
        </w:rPr>
        <w:t>U</w:t>
      </w:r>
      <w:r w:rsidRPr="005B0AB8">
        <w:rPr>
          <w:rFonts w:ascii="Arial" w:hAnsi="Arial" w:cs="Arial"/>
          <w:bCs/>
          <w:color w:val="000000"/>
          <w:sz w:val="20"/>
          <w:szCs w:val="20"/>
        </w:rPr>
        <w:t xml:space="preserve">sing prototypical OAT3 inhibitor ketoconazole, </w:t>
      </w:r>
      <w:r w:rsidRPr="005B0AB8">
        <w:rPr>
          <w:rFonts w:ascii="Arial" w:hAnsi="Arial" w:cs="Arial"/>
          <w:bCs/>
          <w:i/>
          <w:iCs/>
          <w:color w:val="000000"/>
          <w:sz w:val="20"/>
          <w:szCs w:val="20"/>
        </w:rPr>
        <w:t>in vitro</w:t>
      </w:r>
      <w:r w:rsidRPr="005B0AB8">
        <w:rPr>
          <w:rFonts w:ascii="Arial" w:hAnsi="Arial" w:cs="Arial"/>
          <w:bCs/>
          <w:color w:val="000000"/>
          <w:sz w:val="20"/>
          <w:szCs w:val="20"/>
        </w:rPr>
        <w:t xml:space="preserve"> </w:t>
      </w:r>
      <w:r w:rsidR="00D808E7">
        <w:rPr>
          <w:rFonts w:ascii="Arial" w:hAnsi="Arial" w:cs="Arial"/>
          <w:bCs/>
          <w:color w:val="000000"/>
          <w:sz w:val="20"/>
          <w:szCs w:val="20"/>
        </w:rPr>
        <w:t>OAT3</w:t>
      </w:r>
      <w:r w:rsidRPr="005B0AB8">
        <w:rPr>
          <w:rFonts w:ascii="Arial" w:hAnsi="Arial" w:cs="Arial"/>
          <w:bCs/>
          <w:color w:val="000000"/>
          <w:sz w:val="20"/>
          <w:szCs w:val="20"/>
        </w:rPr>
        <w:t xml:space="preserve"> inhibition assays were optimized to ascertain the </w:t>
      </w:r>
      <w:r w:rsidRPr="005B0AB8">
        <w:rPr>
          <w:rFonts w:ascii="Arial" w:hAnsi="Arial" w:cs="Arial"/>
          <w:bCs/>
          <w:i/>
          <w:iCs/>
          <w:color w:val="000000"/>
          <w:sz w:val="20"/>
          <w:szCs w:val="20"/>
        </w:rPr>
        <w:t>in vivo</w:t>
      </w:r>
      <w:r w:rsidRPr="005B0AB8">
        <w:rPr>
          <w:rFonts w:ascii="Arial" w:hAnsi="Arial" w:cs="Arial"/>
          <w:bCs/>
          <w:color w:val="000000"/>
          <w:sz w:val="20"/>
          <w:szCs w:val="20"/>
        </w:rPr>
        <w:t xml:space="preserve"> relevance of derived inhibitory constant</w:t>
      </w:r>
      <w:r w:rsidR="009126C2">
        <w:rPr>
          <w:rFonts w:ascii="Arial" w:hAnsi="Arial" w:cs="Arial"/>
          <w:bCs/>
          <w:color w:val="000000"/>
          <w:sz w:val="20"/>
          <w:szCs w:val="20"/>
        </w:rPr>
        <w:t>s</w:t>
      </w:r>
      <w:r w:rsidRPr="005B0AB8">
        <w:rPr>
          <w:rFonts w:ascii="Arial" w:hAnsi="Arial" w:cs="Arial"/>
          <w:bCs/>
          <w:color w:val="000000"/>
          <w:sz w:val="20"/>
          <w:szCs w:val="20"/>
        </w:rPr>
        <w:t xml:space="preserve"> (</w:t>
      </w:r>
      <w:r w:rsidRPr="005B0AB8">
        <w:rPr>
          <w:rFonts w:ascii="Arial" w:hAnsi="Arial" w:cs="Arial"/>
          <w:bCs/>
          <w:i/>
          <w:iCs/>
          <w:color w:val="000000"/>
          <w:sz w:val="20"/>
          <w:szCs w:val="20"/>
        </w:rPr>
        <w:t>K</w:t>
      </w:r>
      <w:r w:rsidRPr="005B0AB8">
        <w:rPr>
          <w:rFonts w:ascii="Arial" w:hAnsi="Arial" w:cs="Arial"/>
          <w:bCs/>
          <w:i/>
          <w:iCs/>
          <w:color w:val="000000"/>
          <w:sz w:val="20"/>
          <w:szCs w:val="20"/>
          <w:vertAlign w:val="subscript"/>
        </w:rPr>
        <w:t>i</w:t>
      </w:r>
      <w:r>
        <w:rPr>
          <w:rFonts w:ascii="Arial" w:hAnsi="Arial" w:cs="Arial"/>
          <w:bCs/>
          <w:color w:val="000000"/>
          <w:sz w:val="20"/>
          <w:szCs w:val="20"/>
        </w:rPr>
        <w:t>).</w:t>
      </w:r>
      <w:r w:rsidRPr="005B0AB8">
        <w:rPr>
          <w:rStyle w:val="fontstyle01"/>
          <w:bCs/>
        </w:rPr>
        <w:t xml:space="preserve"> </w:t>
      </w:r>
      <w:r w:rsidR="00CD0205">
        <w:rPr>
          <w:rFonts w:ascii="Arial" w:hAnsi="Arial" w:cs="Arial"/>
          <w:bCs/>
          <w:color w:val="000000"/>
          <w:sz w:val="20"/>
          <w:szCs w:val="20"/>
        </w:rPr>
        <w:t>DD</w:t>
      </w:r>
      <w:r w:rsidRPr="005B0AB8">
        <w:rPr>
          <w:rFonts w:ascii="Arial" w:hAnsi="Arial" w:cs="Arial"/>
          <w:bCs/>
          <w:color w:val="000000"/>
          <w:sz w:val="20"/>
          <w:szCs w:val="20"/>
        </w:rPr>
        <w:t>Is</w:t>
      </w:r>
      <w:r w:rsidR="009126C2">
        <w:rPr>
          <w:rFonts w:ascii="Arial" w:hAnsi="Arial" w:cs="Arial"/>
          <w:bCs/>
          <w:color w:val="000000"/>
          <w:sz w:val="20"/>
          <w:szCs w:val="20"/>
        </w:rPr>
        <w:t xml:space="preserve"> between rivaroxaban and erlotinib or nilotinib</w:t>
      </w:r>
      <w:r w:rsidR="00D808E7">
        <w:rPr>
          <w:rFonts w:ascii="Arial" w:hAnsi="Arial" w:cs="Arial"/>
          <w:bCs/>
          <w:color w:val="000000"/>
          <w:sz w:val="20"/>
          <w:szCs w:val="20"/>
        </w:rPr>
        <w:t xml:space="preserve"> were investigated using iteratively</w:t>
      </w:r>
      <w:r w:rsidR="009126C2">
        <w:rPr>
          <w:rFonts w:ascii="Arial" w:hAnsi="Arial" w:cs="Arial"/>
          <w:bCs/>
          <w:color w:val="000000"/>
          <w:sz w:val="20"/>
          <w:szCs w:val="20"/>
        </w:rPr>
        <w:t xml:space="preserve"> verified PBPK model.</w:t>
      </w:r>
    </w:p>
    <w:p w14:paraId="0657B2AC" w14:textId="4C220423" w:rsidR="005B0AB8" w:rsidRPr="005B0AB8" w:rsidRDefault="005B0AB8" w:rsidP="005B0AB8">
      <w:pPr>
        <w:spacing w:after="0" w:line="480" w:lineRule="auto"/>
        <w:jc w:val="both"/>
        <w:rPr>
          <w:rFonts w:ascii="Arial" w:hAnsi="Arial" w:cs="Arial"/>
          <w:b/>
          <w:bCs/>
          <w:color w:val="000000"/>
          <w:sz w:val="20"/>
          <w:szCs w:val="20"/>
        </w:rPr>
      </w:pPr>
      <w:r w:rsidRPr="005B0AB8">
        <w:rPr>
          <w:rFonts w:ascii="Arial" w:hAnsi="Arial" w:cs="Arial"/>
          <w:b/>
          <w:bCs/>
          <w:color w:val="000000"/>
          <w:sz w:val="20"/>
          <w:szCs w:val="20"/>
        </w:rPr>
        <w:t>Key Results</w:t>
      </w:r>
    </w:p>
    <w:p w14:paraId="0EF29963" w14:textId="2AAE2759" w:rsidR="005B0AB8" w:rsidRPr="005B0AB8" w:rsidRDefault="009126C2" w:rsidP="005B0AB8">
      <w:pPr>
        <w:spacing w:after="0" w:line="480" w:lineRule="auto"/>
        <w:jc w:val="both"/>
        <w:rPr>
          <w:rFonts w:ascii="Arial" w:hAnsi="Arial" w:cs="Arial"/>
          <w:b/>
          <w:bCs/>
          <w:color w:val="000000"/>
          <w:sz w:val="20"/>
          <w:szCs w:val="20"/>
        </w:rPr>
      </w:pPr>
      <w:r>
        <w:rPr>
          <w:rFonts w:ascii="Arial" w:hAnsi="Arial" w:cs="Arial"/>
          <w:bCs/>
          <w:color w:val="000000"/>
          <w:sz w:val="20"/>
          <w:szCs w:val="20"/>
        </w:rPr>
        <w:t>M</w:t>
      </w:r>
      <w:r w:rsidR="005B0AB8" w:rsidRPr="005B0AB8">
        <w:rPr>
          <w:rFonts w:ascii="Arial" w:hAnsi="Arial" w:cs="Arial"/>
          <w:bCs/>
          <w:color w:val="000000"/>
          <w:sz w:val="20"/>
          <w:szCs w:val="20"/>
        </w:rPr>
        <w:t xml:space="preserve">echanism-based inactivation (MBI) of CYP3A4-mediated rivaroxaban metabolism by </w:t>
      </w:r>
      <w:r w:rsidR="007B0AA2">
        <w:rPr>
          <w:rFonts w:ascii="Arial" w:hAnsi="Arial" w:cs="Arial"/>
          <w:bCs/>
          <w:color w:val="000000"/>
          <w:sz w:val="20"/>
          <w:szCs w:val="20"/>
        </w:rPr>
        <w:t xml:space="preserve">both </w:t>
      </w:r>
      <w:r w:rsidR="005B0AB8" w:rsidRPr="005B0AB8">
        <w:rPr>
          <w:rFonts w:ascii="Arial" w:hAnsi="Arial" w:cs="Arial"/>
          <w:bCs/>
          <w:color w:val="000000"/>
          <w:sz w:val="20"/>
          <w:szCs w:val="20"/>
        </w:rPr>
        <w:t>PKIs and MBI of CYP2J2</w:t>
      </w:r>
      <w:r>
        <w:rPr>
          <w:rFonts w:ascii="Arial" w:hAnsi="Arial" w:cs="Arial"/>
          <w:bCs/>
          <w:color w:val="000000"/>
          <w:sz w:val="20"/>
          <w:szCs w:val="20"/>
        </w:rPr>
        <w:t xml:space="preserve"> by erlotinib were established</w:t>
      </w:r>
      <w:r w:rsidR="005B0AB8" w:rsidRPr="005B0AB8">
        <w:rPr>
          <w:rFonts w:ascii="Arial" w:hAnsi="Arial" w:cs="Arial"/>
          <w:bCs/>
          <w:color w:val="000000"/>
          <w:sz w:val="20"/>
          <w:szCs w:val="20"/>
        </w:rPr>
        <w:t xml:space="preserve">. </w:t>
      </w:r>
      <w:r w:rsidR="00CD0205">
        <w:rPr>
          <w:rFonts w:ascii="Arial" w:hAnsi="Arial" w:cs="Arial"/>
          <w:bCs/>
          <w:color w:val="000000"/>
          <w:sz w:val="20"/>
          <w:szCs w:val="20"/>
        </w:rPr>
        <w:t>T</w:t>
      </w:r>
      <w:r w:rsidR="00D808E7">
        <w:rPr>
          <w:rFonts w:ascii="Arial" w:hAnsi="Arial" w:cs="Arial"/>
          <w:bCs/>
          <w:color w:val="000000"/>
          <w:sz w:val="20"/>
          <w:szCs w:val="20"/>
        </w:rPr>
        <w:t>he importance of</w:t>
      </w:r>
      <w:r w:rsidR="005B0AB8" w:rsidRPr="005B0AB8">
        <w:rPr>
          <w:rFonts w:ascii="Arial" w:hAnsi="Arial" w:cs="Arial"/>
          <w:bCs/>
          <w:color w:val="000000"/>
          <w:sz w:val="20"/>
          <w:szCs w:val="20"/>
        </w:rPr>
        <w:t xml:space="preserve"> substrate specificity and nonspecific binding </w:t>
      </w:r>
      <w:r w:rsidR="00D808E7">
        <w:rPr>
          <w:rFonts w:ascii="Arial" w:hAnsi="Arial" w:cs="Arial"/>
          <w:bCs/>
          <w:color w:val="000000"/>
          <w:sz w:val="20"/>
          <w:szCs w:val="20"/>
        </w:rPr>
        <w:t>to derive OAT3-inhibitory</w:t>
      </w:r>
      <w:r w:rsidR="005B0AB8" w:rsidRPr="005B0AB8">
        <w:rPr>
          <w:rFonts w:ascii="Arial" w:hAnsi="Arial" w:cs="Arial"/>
          <w:bCs/>
          <w:color w:val="000000"/>
          <w:sz w:val="20"/>
          <w:szCs w:val="20"/>
        </w:rPr>
        <w:t xml:space="preserve"> </w:t>
      </w:r>
      <w:r w:rsidR="005B0AB8" w:rsidRPr="005B0AB8">
        <w:rPr>
          <w:rFonts w:ascii="Arial" w:hAnsi="Arial" w:cs="Arial"/>
          <w:bCs/>
          <w:i/>
          <w:iCs/>
          <w:color w:val="000000"/>
          <w:sz w:val="20"/>
          <w:szCs w:val="20"/>
        </w:rPr>
        <w:t>K</w:t>
      </w:r>
      <w:r w:rsidR="005B0AB8" w:rsidRPr="005B0AB8">
        <w:rPr>
          <w:rFonts w:ascii="Arial" w:hAnsi="Arial" w:cs="Arial"/>
          <w:bCs/>
          <w:i/>
          <w:iCs/>
          <w:color w:val="000000"/>
          <w:sz w:val="20"/>
          <w:szCs w:val="20"/>
          <w:vertAlign w:val="subscript"/>
        </w:rPr>
        <w:t>i</w:t>
      </w:r>
      <w:r w:rsidR="005B0AB8" w:rsidRPr="005B0AB8">
        <w:rPr>
          <w:rFonts w:ascii="Arial" w:hAnsi="Arial" w:cs="Arial"/>
          <w:bCs/>
          <w:color w:val="000000"/>
          <w:sz w:val="20"/>
          <w:szCs w:val="20"/>
        </w:rPr>
        <w:t xml:space="preserve"> value</w:t>
      </w:r>
      <w:r w:rsidR="00D808E7">
        <w:rPr>
          <w:rFonts w:ascii="Arial" w:hAnsi="Arial" w:cs="Arial"/>
          <w:bCs/>
          <w:color w:val="000000"/>
          <w:sz w:val="20"/>
          <w:szCs w:val="20"/>
        </w:rPr>
        <w:t>s</w:t>
      </w:r>
      <w:r w:rsidR="005B0AB8" w:rsidRPr="005B0AB8">
        <w:rPr>
          <w:rFonts w:ascii="Arial" w:hAnsi="Arial" w:cs="Arial"/>
          <w:bCs/>
          <w:color w:val="000000"/>
          <w:sz w:val="20"/>
          <w:szCs w:val="20"/>
        </w:rPr>
        <w:t xml:space="preserve"> of ketoconazole</w:t>
      </w:r>
      <w:r w:rsidR="00D808E7">
        <w:rPr>
          <w:rFonts w:ascii="Arial" w:hAnsi="Arial" w:cs="Arial"/>
          <w:bCs/>
          <w:color w:val="000000"/>
          <w:sz w:val="20"/>
          <w:szCs w:val="20"/>
        </w:rPr>
        <w:t xml:space="preserve"> and nilotinib for the accurate prediction of </w:t>
      </w:r>
      <w:r w:rsidR="007B0AA2">
        <w:rPr>
          <w:rFonts w:ascii="Arial" w:hAnsi="Arial" w:cs="Arial"/>
          <w:bCs/>
          <w:color w:val="000000"/>
          <w:sz w:val="20"/>
          <w:szCs w:val="20"/>
        </w:rPr>
        <w:t>DDIs</w:t>
      </w:r>
      <w:r w:rsidR="00CD0205">
        <w:rPr>
          <w:rFonts w:ascii="Arial" w:hAnsi="Arial" w:cs="Arial"/>
          <w:bCs/>
          <w:color w:val="000000"/>
          <w:sz w:val="20"/>
          <w:szCs w:val="20"/>
        </w:rPr>
        <w:t xml:space="preserve"> was </w:t>
      </w:r>
      <w:r w:rsidR="007B0AA2">
        <w:rPr>
          <w:rFonts w:ascii="Arial" w:hAnsi="Arial" w:cs="Arial"/>
          <w:bCs/>
          <w:color w:val="000000"/>
          <w:sz w:val="20"/>
          <w:szCs w:val="20"/>
        </w:rPr>
        <w:t>illustrated</w:t>
      </w:r>
      <w:r w:rsidR="00D808E7">
        <w:rPr>
          <w:rFonts w:ascii="Arial" w:hAnsi="Arial" w:cs="Arial"/>
          <w:bCs/>
          <w:color w:val="000000"/>
          <w:sz w:val="20"/>
          <w:szCs w:val="20"/>
        </w:rPr>
        <w:t>.</w:t>
      </w:r>
      <w:r w:rsidR="005B0AB8" w:rsidRPr="005B0AB8">
        <w:rPr>
          <w:rFonts w:ascii="Arial" w:hAnsi="Arial" w:cs="Arial"/>
          <w:bCs/>
          <w:color w:val="000000"/>
          <w:sz w:val="20"/>
          <w:szCs w:val="20"/>
        </w:rPr>
        <w:t xml:space="preserve"> When simulated rivaroxaban exposure variations with concomitant erlotinib and nilotinib therapy were evaluated using published dose-exposure equivalence metrics and bleeding risk analyses, dose reductions from 20 mg to 15 mg and 10 mg in normal and mild renal dysfunction, respectively, were warranted.</w:t>
      </w:r>
    </w:p>
    <w:p w14:paraId="378A2CE0" w14:textId="5FF930A8" w:rsidR="005B0AB8" w:rsidRPr="00D808E7" w:rsidRDefault="005B0AB8" w:rsidP="005B0AB8">
      <w:pPr>
        <w:spacing w:after="0" w:line="480" w:lineRule="auto"/>
        <w:jc w:val="both"/>
        <w:rPr>
          <w:rFonts w:ascii="Arial" w:hAnsi="Arial" w:cs="Arial"/>
          <w:b/>
          <w:bCs/>
          <w:color w:val="000000"/>
          <w:sz w:val="20"/>
          <w:szCs w:val="20"/>
        </w:rPr>
      </w:pPr>
      <w:r w:rsidRPr="00D808E7">
        <w:rPr>
          <w:rFonts w:ascii="Arial" w:hAnsi="Arial" w:cs="Arial"/>
          <w:b/>
          <w:bCs/>
          <w:color w:val="000000"/>
          <w:sz w:val="20"/>
          <w:szCs w:val="20"/>
        </w:rPr>
        <w:t>Conclusion and Implications</w:t>
      </w:r>
    </w:p>
    <w:p w14:paraId="08B2D353" w14:textId="53C24829" w:rsidR="005B0AB8" w:rsidRPr="009126C2" w:rsidRDefault="00CD0205" w:rsidP="009126C2">
      <w:pPr>
        <w:spacing w:after="0" w:line="480" w:lineRule="auto"/>
        <w:jc w:val="both"/>
        <w:rPr>
          <w:rFonts w:ascii="Arial" w:hAnsi="Arial" w:cs="Arial"/>
          <w:bCs/>
          <w:color w:val="000000"/>
          <w:sz w:val="20"/>
          <w:szCs w:val="20"/>
        </w:rPr>
      </w:pPr>
      <w:r w:rsidRPr="00CD0205">
        <w:rPr>
          <w:rFonts w:ascii="Arial" w:hAnsi="Arial" w:cs="Arial"/>
          <w:bCs/>
          <w:color w:val="000000"/>
          <w:sz w:val="20"/>
          <w:szCs w:val="20"/>
        </w:rPr>
        <w:t>We established the PBPK-DDI platform to prospective</w:t>
      </w:r>
      <w:r w:rsidR="007B0AA2">
        <w:rPr>
          <w:rFonts w:ascii="Arial" w:hAnsi="Arial" w:cs="Arial"/>
          <w:bCs/>
          <w:color w:val="000000"/>
          <w:sz w:val="20"/>
          <w:szCs w:val="20"/>
        </w:rPr>
        <w:t>ly interrogate and manage</w:t>
      </w:r>
      <w:r w:rsidRPr="00CD0205">
        <w:rPr>
          <w:rFonts w:ascii="Arial" w:hAnsi="Arial" w:cs="Arial"/>
          <w:bCs/>
          <w:color w:val="000000"/>
          <w:sz w:val="20"/>
          <w:szCs w:val="20"/>
        </w:rPr>
        <w:t xml:space="preserve"> </w:t>
      </w:r>
      <w:r w:rsidR="007B0AA2">
        <w:rPr>
          <w:rFonts w:ascii="Arial" w:hAnsi="Arial" w:cs="Arial"/>
          <w:bCs/>
          <w:color w:val="000000"/>
          <w:sz w:val="20"/>
          <w:szCs w:val="20"/>
        </w:rPr>
        <w:t xml:space="preserve">clinically relevant </w:t>
      </w:r>
      <w:r w:rsidRPr="00CD0205">
        <w:rPr>
          <w:rFonts w:ascii="Arial" w:hAnsi="Arial" w:cs="Arial"/>
          <w:bCs/>
          <w:color w:val="000000"/>
          <w:sz w:val="20"/>
          <w:szCs w:val="20"/>
        </w:rPr>
        <w:t>interactions between rivaroxaban and PKIs in patients with underlying renal impairment. Rational dose adjustments were proposed, attesting to the capacity of PBPK modelling in facilitating precision medicine.</w:t>
      </w:r>
    </w:p>
    <w:p w14:paraId="096BD59D" w14:textId="77777777" w:rsidR="007C6DD8" w:rsidRDefault="007C6DD8" w:rsidP="007C6DD8">
      <w:pPr>
        <w:spacing w:after="0" w:line="480" w:lineRule="auto"/>
        <w:jc w:val="both"/>
        <w:rPr>
          <w:rStyle w:val="fontstyle01"/>
          <w:bCs/>
        </w:rPr>
      </w:pPr>
    </w:p>
    <w:p w14:paraId="53597560" w14:textId="366F3E3A" w:rsidR="00B00FA7" w:rsidRDefault="00B00FA7" w:rsidP="00D45D1A">
      <w:pPr>
        <w:spacing w:after="0" w:line="480" w:lineRule="auto"/>
        <w:jc w:val="both"/>
        <w:rPr>
          <w:rFonts w:ascii="Arial" w:hAnsi="Arial" w:cs="Arial"/>
          <w:b/>
          <w:sz w:val="20"/>
          <w:szCs w:val="20"/>
        </w:rPr>
      </w:pPr>
    </w:p>
    <w:p w14:paraId="64B30C7D" w14:textId="43F2F3F2" w:rsidR="00997DC5" w:rsidRDefault="00997DC5" w:rsidP="00D45D1A">
      <w:pPr>
        <w:spacing w:after="0" w:line="480" w:lineRule="auto"/>
        <w:jc w:val="both"/>
        <w:rPr>
          <w:rFonts w:ascii="Arial" w:hAnsi="Arial" w:cs="Arial"/>
          <w:b/>
          <w:sz w:val="20"/>
          <w:szCs w:val="20"/>
        </w:rPr>
      </w:pPr>
    </w:p>
    <w:p w14:paraId="0FBB5D3B" w14:textId="77777777" w:rsidR="00062B7A" w:rsidRDefault="00062B7A">
      <w:pPr>
        <w:rPr>
          <w:rFonts w:ascii="Arial" w:hAnsi="Arial" w:cs="Arial"/>
          <w:b/>
          <w:sz w:val="20"/>
          <w:szCs w:val="20"/>
        </w:rPr>
      </w:pPr>
      <w:r>
        <w:rPr>
          <w:rFonts w:ascii="Arial" w:hAnsi="Arial" w:cs="Arial"/>
          <w:b/>
          <w:sz w:val="20"/>
          <w:szCs w:val="20"/>
        </w:rPr>
        <w:br w:type="page"/>
      </w:r>
    </w:p>
    <w:p w14:paraId="4EDC626A" w14:textId="36B66E89" w:rsidR="00DB0B34" w:rsidRPr="00C016DD" w:rsidRDefault="00BA33AC" w:rsidP="00062B7A">
      <w:pPr>
        <w:spacing w:after="0" w:line="480" w:lineRule="auto"/>
        <w:jc w:val="both"/>
        <w:rPr>
          <w:rFonts w:ascii="Arial" w:hAnsi="Arial" w:cs="Arial"/>
          <w:b/>
          <w:sz w:val="20"/>
          <w:szCs w:val="20"/>
        </w:rPr>
      </w:pPr>
      <w:r w:rsidRPr="00C016DD">
        <w:rPr>
          <w:rFonts w:ascii="Arial" w:hAnsi="Arial" w:cs="Arial"/>
          <w:b/>
          <w:sz w:val="20"/>
          <w:szCs w:val="20"/>
        </w:rPr>
        <w:lastRenderedPageBreak/>
        <w:t>Introduction</w:t>
      </w:r>
    </w:p>
    <w:p w14:paraId="4CC79414" w14:textId="18453BC5" w:rsidR="00D31474" w:rsidRPr="00C016DD" w:rsidRDefault="005C76D5" w:rsidP="00062B7A">
      <w:pPr>
        <w:spacing w:after="0" w:line="480" w:lineRule="auto"/>
        <w:jc w:val="both"/>
        <w:rPr>
          <w:rFonts w:ascii="Arial" w:eastAsia="Times New Roman" w:hAnsi="Arial" w:cs="Arial"/>
          <w:color w:val="000000"/>
          <w:sz w:val="20"/>
          <w:szCs w:val="20"/>
        </w:rPr>
      </w:pPr>
      <w:r w:rsidRPr="00C016DD">
        <w:rPr>
          <w:rFonts w:ascii="Arial" w:hAnsi="Arial" w:cs="Arial"/>
          <w:sz w:val="20"/>
          <w:szCs w:val="20"/>
        </w:rPr>
        <w:t>Cancer-associated v</w:t>
      </w:r>
      <w:r w:rsidR="00E777AD">
        <w:rPr>
          <w:rFonts w:ascii="Arial" w:hAnsi="Arial" w:cs="Arial"/>
          <w:sz w:val="20"/>
          <w:szCs w:val="20"/>
        </w:rPr>
        <w:t xml:space="preserve">enous thromboembolism (CA-VTE) </w:t>
      </w:r>
      <w:r w:rsidRPr="00C016DD">
        <w:rPr>
          <w:rFonts w:ascii="Arial" w:hAnsi="Arial" w:cs="Arial"/>
          <w:sz w:val="20"/>
          <w:szCs w:val="20"/>
        </w:rPr>
        <w:t xml:space="preserve">is a prevalent occurrence in patients with malignancies. </w:t>
      </w:r>
      <w:r w:rsidR="00E777AD">
        <w:rPr>
          <w:rFonts w:ascii="Arial" w:eastAsia="Times New Roman" w:hAnsi="Arial" w:cs="Arial"/>
          <w:color w:val="000000"/>
          <w:sz w:val="20"/>
          <w:szCs w:val="20"/>
        </w:rPr>
        <w:t xml:space="preserve">Cancer patients </w:t>
      </w:r>
      <w:r w:rsidR="00D31474" w:rsidRPr="00C016DD">
        <w:rPr>
          <w:rFonts w:ascii="Arial" w:eastAsia="Times New Roman" w:hAnsi="Arial" w:cs="Arial"/>
          <w:color w:val="000000"/>
          <w:sz w:val="20"/>
          <w:szCs w:val="20"/>
        </w:rPr>
        <w:t>have an intrinsically elevated risk of recurrent VTE and anticoagulant-induced bleeding complications.</w:t>
      </w:r>
      <w:r w:rsidR="00D31474" w:rsidRPr="00C016DD">
        <w:rPr>
          <w:rFonts w:ascii="Arial" w:eastAsia="Times New Roman" w:hAnsi="Arial" w:cs="Arial"/>
          <w:color w:val="000000"/>
          <w:sz w:val="20"/>
          <w:szCs w:val="20"/>
        </w:rPr>
        <w:fldChar w:fldCharType="begin" w:fldLock="1"/>
      </w:r>
      <w:r w:rsidR="004F4E5E" w:rsidRPr="00C016DD">
        <w:rPr>
          <w:rFonts w:ascii="Arial" w:eastAsia="Times New Roman" w:hAnsi="Arial" w:cs="Arial"/>
          <w:color w:val="000000"/>
          <w:sz w:val="20"/>
          <w:szCs w:val="20"/>
        </w:rPr>
        <w:instrText>ADDIN CSL_CITATION {"citationItems":[{"id":"ITEM-1","itemData":{"DOI":"10.1200/JCO.19.01461","ISSN":"15277755","PMID":"31381464","abstract":"PURPOSE To provide updated recommendations about prophylaxis and treatment of venous thromboembolism (VTE) in patients with cancer. METHODS PubMed and the Cochrane Library were searched for randomized controlled trials (RCTs) and meta-analyses of RCTs published from August 1, 2014, through December 4, 2018. ASCO convened an Expert Panel to review the evidence and revise previous recommendations as needed. RESULTS The systematic review included 35 publications on VTE prophylaxis and treatment and 18 publications on VTE risk assessment. Two RCTs of direct oral anticoagulants (DOACs) for the treatment of VTE in patients with cancer reported that edoxaban and rivaroxaban are effective but are linked with a higher risk of bleeding compared with low-molecular-weight heparin (LMWH) in patients with GI and potentially genitourinary cancers. Two additional RCTs reported on DOACs for thromboprophylaxis in ambulatory patients with cancer at increased risk of VTE. RECOMMENDATIONS Changes to previous recommendations: Clinicians may offer thromboprophylaxis with apixaban, rivaroxaban, or LMWH to selected high-risk outpatients with cancer; rivaroxaban and edoxaban have been added as options for VTE treatment; patients with brain metastases are now addressed in the VTE treatment section; and the recommendation regarding long-term postoperative LMWH has been expanded. Re-affirmed recommendations: Most hospitalized patients with cancer and an acute medical condition require thromboprophylaxis throughout hospitalization. Thromboprophylaxis is not routinely recommended for all outpatients with cancer. Patients undergoing major cancer surgery should receive prophylaxis starting before surgery and continuing for at least 7 to 10 days. Patients with cancer should be periodically assessed for VTE risk, and oncology professionals should provide patient education about the signs and symptoms of VTE.","author":[{"dropping-particle":"","family":"Key","given":"Nigel S.","non-dropping-particle":"","parse-names":false,"suffix":""},{"dropping-particle":"","family":"Khorana","given":"Alok A.","non-dropping-particle":"","parse-names":false,"suffix":""},{"dropping-particle":"","family":"Kuderer","given":"Nicole M.","non-dropping-particle":"","parse-names":false,"suffix":""},{"dropping-particle":"","family":"Bohlke","given":"Kari","non-dropping-particle":"","parse-names":false,"suffix":""},{"dropping-particle":"","family":"Lee","given":"Agnes Y.Y.","non-dropping-particle":"","parse-names":false,"suffix":""},{"dropping-particle":"","family":"Arcelus","given":"Juan I.","non-dropping-particle":"","parse-names":false,"suffix":""},{"dropping-particle":"","family":"Wong","given":"Sandra L.","non-dropping-particle":"","parse-names":false,"suffix":""},{"dropping-particle":"","family":"Balaban","given":"Edward P.","non-dropping-particle":"","parse-names":false,"suffix":""},{"dropping-particle":"","family":"Flowers","given":"Christopher R.","non-dropping-particle":"","parse-names":false,"suffix":""},{"dropping-particle":"","family":"Francis","given":"Charles W.","non-dropping-particle":"","parse-names":false,"suffix":""},{"dropping-particle":"","family":"Gates","given":"Leigh E.","non-dropping-particle":"","parse-names":false,"suffix":""},{"dropping-particle":"","family":"Kakkar","given":"Ajay K.","non-dropping-particle":"","parse-names":false,"suffix":""},{"dropping-particle":"","family":"Levine","given":"Mark N.","non-dropping-particle":"","parse-names":false,"suffix":""},{"dropping-particle":"","family":"Liebman","given":"Howard A.","non-dropping-particle":"","parse-names":false,"suffix":""},{"dropping-particle":"","family":"Tempero","given":"Margaret A.","non-dropping-particle":"","parse-names":false,"suffix":""},{"dropping-particle":"","family":"Lyman","given":"Gary H.","non-dropping-particle":"","parse-names":false,"suffix":""},{"dropping-particle":"","family":"Falanga","given":"Anna","non-dropping-particle":"","parse-names":false,"suffix":""}],"container-title":"Journal of Clinical Oncology","id":"ITEM-1","issue":"5","issued":{"date-parts":[["2020","2","10"]]},"page":"496-520","publisher":"American Society of Clinical Oncology","title":"Venous thromboembolism prophylaxis and treatment in patients with cancer: ASCO clinical practice guideline update","type":"article","volume":"38"},"uris":["http://www.mendeley.com/documents/?uuid=8d52550e-476a-3901-8854-2ffacaa47bf6"]}],"mendeley":{"formattedCitation":"&lt;sup&gt;1&lt;/sup&gt;","plainTextFormattedCitation":"1","previouslyFormattedCitation":"&lt;sup&gt;1&lt;/sup&gt;"},"properties":{"noteIndex":0},"schema":"https://github.com/citation-style-language/schema/raw/master/csl-citation.json"}</w:instrText>
      </w:r>
      <w:r w:rsidR="00D31474" w:rsidRPr="00C016DD">
        <w:rPr>
          <w:rFonts w:ascii="Arial" w:eastAsia="Times New Roman" w:hAnsi="Arial" w:cs="Arial"/>
          <w:color w:val="000000"/>
          <w:sz w:val="20"/>
          <w:szCs w:val="20"/>
        </w:rPr>
        <w:fldChar w:fldCharType="separate"/>
      </w:r>
      <w:r w:rsidR="00AB62BF" w:rsidRPr="00C016DD">
        <w:rPr>
          <w:rFonts w:ascii="Arial" w:eastAsia="Times New Roman" w:hAnsi="Arial" w:cs="Arial"/>
          <w:noProof/>
          <w:color w:val="000000"/>
          <w:sz w:val="20"/>
          <w:szCs w:val="20"/>
          <w:vertAlign w:val="superscript"/>
        </w:rPr>
        <w:t>1</w:t>
      </w:r>
      <w:r w:rsidR="00D31474" w:rsidRPr="00C016DD">
        <w:rPr>
          <w:rFonts w:ascii="Arial" w:eastAsia="Times New Roman" w:hAnsi="Arial" w:cs="Arial"/>
          <w:color w:val="000000"/>
          <w:sz w:val="20"/>
          <w:szCs w:val="20"/>
        </w:rPr>
        <w:fldChar w:fldCharType="end"/>
      </w:r>
      <w:r w:rsidR="00D31474" w:rsidRPr="00C016DD">
        <w:rPr>
          <w:rFonts w:ascii="Arial" w:eastAsia="Times New Roman" w:hAnsi="Arial" w:cs="Arial"/>
          <w:color w:val="000000"/>
          <w:sz w:val="20"/>
          <w:szCs w:val="20"/>
        </w:rPr>
        <w:t xml:space="preserve"> Unsurprisingly, </w:t>
      </w:r>
      <w:r w:rsidR="00D31474" w:rsidRPr="00C016DD">
        <w:rPr>
          <w:rFonts w:ascii="Arial" w:eastAsia="Times New Roman" w:hAnsi="Arial" w:cs="Arial"/>
          <w:color w:val="000000"/>
          <w:sz w:val="20"/>
          <w:szCs w:val="20"/>
          <w:lang w:val="en-SG"/>
        </w:rPr>
        <w:t>VTE has been reported to be the second most prevalent cause of death in cancer, second only to disease progression.</w:t>
      </w:r>
      <w:r w:rsidR="00D31474" w:rsidRPr="00C016DD">
        <w:rPr>
          <w:rFonts w:ascii="Arial" w:eastAsia="Times New Roman" w:hAnsi="Arial" w:cs="Arial"/>
          <w:color w:val="000000"/>
          <w:sz w:val="20"/>
          <w:szCs w:val="20"/>
          <w:lang w:val="en-SG"/>
        </w:rPr>
        <w:fldChar w:fldCharType="begin" w:fldLock="1"/>
      </w:r>
      <w:r w:rsidR="004F4E5E" w:rsidRPr="00C016DD">
        <w:rPr>
          <w:rFonts w:ascii="Arial" w:eastAsia="Times New Roman" w:hAnsi="Arial" w:cs="Arial"/>
          <w:color w:val="000000"/>
          <w:sz w:val="20"/>
          <w:szCs w:val="20"/>
          <w:lang w:val="en-SG"/>
        </w:rPr>
        <w:instrText>ADDIN CSL_CITATION {"citationItems":[{"id":"ITEM-1","itemData":{"DOI":"10.1183/16000617.0119-2018","ISSN":"16000617","PMID":"30918022","abstract":"Cancer-associated thrombosis (CAT) is a condition in which relevance has been increasingly recognised both for physicians that deal with venous thromboembolism (VTE) and for oncologists. It is currently estimated that the annual incidence of VTE in patients with cancer is 0.5% compared to 0.1% in the general population. Active cancer accounts for 20% of the overall incidence of VTE. Of note, VTE is the second most prevalent cause of death in cancer, second only to the progression of the disease, and cancer is the most prevalent cause of deaths in VTE patients. Nevertheless, CAT presents several peculiarities that distinguish it from other VTE, both in pathophysiology mechanisms, risk factors and especially in treatment, which need to be considered. CAT data will be reviewed in this review.","author":[{"dropping-particle":"","family":"Fernandes","given":"Caio J.","non-dropping-particle":"","parse-names":false,"suffix":""},{"dropping-particle":"","family":"Morinaga","given":"Luciana T.K.","non-dropping-particle":"","parse-names":false,"suffix":""},{"dropping-particle":"","family":"Alves","given":"José L.","non-dropping-particle":"","parse-names":false,"suffix":""},{"dropping-particle":"","family":"Castro","given":"Marcela A.","non-dropping-particle":"","parse-names":false,"suffix":""},{"dropping-particle":"","family":"Calderaro","given":"Daniela","non-dropping-particle":"","parse-names":false,"suffix":""},{"dropping-particle":"","family":"Jardim","given":"Carlos V.P.","non-dropping-particle":"","parse-names":false,"suffix":""},{"dropping-particle":"","family":"Souza","given":"Rogerio","non-dropping-particle":"","parse-names":false,"suffix":""}],"container-title":"European Respiratory Review","id":"ITEM-1","issue":"151","issued":{"date-parts":[["2019"]]},"page":"1-11","title":"Cancer-associated thrombosis: The when, how and why","type":"article-journal","volume":"28"},"uris":["http://www.mendeley.com/documents/?uuid=218731ca-19e6-44bc-a82f-1cc9f2754807"]},{"id":"ITEM-2","itemData":{"DOI":"10.1016/S1470-2045(19)30336-5","ISSN":"14745488","PMID":"31492632","abstract":"Venous thromboembolism (VTE) is the second leading cause of death in patients with cancer. These patients are at a high risk of VTE recurrence and bleeding during anticoagulant therapy. The International Initiative on Thrombosis and Cancer is an independent academic working group aimed at establishing a global consensus for the treatment and prophylaxis of VTE in patients with cancer. The International Initiative on Thrombosis and Cancer last updated its evidence-based clinical practice guidelines in 2016 with a free, web-based mobile phone application, which was subsequently endorsed by the International Society on Thrombosis and Haemostasis. The 2019 International Initiative on Thrombosis and Cancer clinical practice guidelines, which are based on a systematic review of the literature published up to December, 2018, are presented along with a Grading of Recommendations Assessment Development and Evaluation scale methods, with the support of the French National Cancer Institute. These guidelines were reviewed by an expanded international advisory committee and endorsed by the International Society on Thrombosis and Haemostasis. Results from head-to-head clinical trials that compared direct oral anticoagulant with low-molecular-weight heparin are also summarised, along with new evidence for the treatment and prophylaxis of VTE in patients with cancer.","author":[{"dropping-particle":"","family":"Farge","given":"Dominique","non-dropping-particle":"","parse-names":false,"suffix":""},{"dropping-particle":"","family":"Frere","given":"Corinne","non-dropping-particle":"","parse-names":false,"suffix":""},{"dropping-particle":"","family":"Connors","given":"Jean M.","non-dropping-particle":"","parse-names":false,"suffix":""},{"dropping-particle":"","family":"Ay","given":"Cihan","non-dropping-particle":"","parse-names":false,"suffix":""},{"dropping-particle":"","family":"Khorana","given":"Alok A.","non-dropping-particle":"","parse-names":false,"suffix":""},{"dropping-particle":"","family":"Munoz","given":"Andres","non-dropping-particle":"","parse-names":false,"suffix":""},{"dropping-particle":"","family":"Brenner","given":"Benjamin","non-dropping-particle":"","parse-names":false,"suffix":""},{"dropping-particle":"","family":"Kakkar","given":"Ajay","non-dropping-particle":"","parse-names":false,"suffix":""},{"dropping-particle":"","family":"Rafii","given":"Hanadi","non-dropping-particle":"","parse-names":false,"suffix":""},{"dropping-particle":"","family":"Solymoss","given":"Susan","non-dropping-particle":"","parse-names":false,"suffix":""},{"dropping-particle":"","family":"Brilhante","given":"Dialina","non-dropping-particle":"","parse-names":false,"suffix":""},{"dropping-particle":"","family":"Monreal","given":"Manuel","non-dropping-particle":"","parse-names":false,"suffix":""},{"dropping-particle":"","family":"Bounameaux","given":"Henri","non-dropping-particle":"","parse-names":false,"suffix":""},{"dropping-particle":"","family":"Pabinger","given":"Ingrid","non-dropping-particle":"","parse-names":false,"suffix":""},{"dropping-particle":"","family":"Douketis","given":"James","non-dropping-particle":"","parse-names":false,"suffix":""},{"dropping-particle":"","family":"Ageno","given":"Walter","non-dropping-particle":"","parse-names":false,"suffix":""},{"dropping-particle":"","family":"Ajauro","given":"Fernando","non-dropping-particle":"","parse-names":false,"suffix":""},{"dropping-particle":"","family":"Al-Aboudi","given":"Kamal R.","non-dropping-particle":"","parse-names":false,"suffix":""},{"dropping-particle":"","family":"Alcindor","given":"Thierry","non-dropping-particle":"","parse-names":false,"suffix":""},{"dropping-particle":"","family":"Andre","given":"Thierry","non-dropping-particle":"","parse-names":false,"suffix":""},{"dropping-particle":"","family":"Angchaisuksiri","given":"Pantep","non-dropping-particle":"","parse-names":false,"suffix":""},{"dropping-particle":"","family":"Antic","given":"Darko","non-dropping-particle":"","parse-names":false,"suffix":""},{"dropping-particle":"","family":"Arcelus","given":"Juan I.","non-dropping-particle":"","parse-names":false,"suffix":""},{"dropping-particle":"","family":"Assenat","given":"Eric","non-dropping-particle":"","parse-names":false,"suffix":""},{"dropping-particle":"","family":"Bauer","given":"Kenneth A.","non-dropping-particle":"","parse-names":false,"suffix":""},{"dropping-particle":"","family":"Bazarbachii","given":"Ali","non-dropping-particle":"","parse-names":false,"suffix":""},{"dropping-particle":"","family":"Benzidia","given":"Ilham","non-dropping-particle":"","parse-names":false,"suffix":""},{"dropping-particle":"","family":"Beyer-Westendorf","given":"Jan","non-dropping-particle":"","parse-names":false,"suffix":""},{"dropping-particle":"","family":"Bitsadze","given":"Viktoria","non-dropping-particle":"","parse-names":false,"suffix":""},{"dropping-particle":"","family":"Blickstein","given":"Dorit","non-dropping-particle":"","parse-names":false,"suffix":""},{"dropping-particle":"","family":"Blostein","given":"Mark","non-dropping-particle":"","parse-names":false,"suffix":""},{"dropping-particle":"","family":"Bogalho","given":"Isabel","non-dropping-particle":"","parse-names":false,"suffix":""},{"dropping-particle":"","family":"Bournet","given":"Barbara","non-dropping-particle":"","parse-names":false,"suffix":""},{"dropping-particle":"","family":"Casais","given":"Patricia","non-dropping-particle":"","parse-names":false,"suffix":""},{"dropping-particle":"","family":"Carpentier","given":"Antoine F.","non-dropping-particle":"","parse-names":false,"suffix":""},{"dropping-particle":"","family":"Cesarman-Maus","given":"Gabriela","non-dropping-particle":"","parse-names":false,"suffix":""},{"dropping-particle":"","family":"Chakbrabartty","given":"Joydeep","non-dropping-particle":"","parse-names":false,"suffix":""},{"dropping-particle":"","family":"Clemente","given":"Hugo","non-dropping-particle":"","parse-names":false,"suffix":""},{"dropping-particle":"","family":"Connault","given":"Jérôme","non-dropping-particle":"","parse-names":false,"suffix":""},{"dropping-particle":"","family":"Doucet","given":"Ludovic","non-dropping-particle":"","parse-names":false,"suffix":""},{"dropping-particle":"","family":"Durant","given":"Cécile","non-dropping-particle":"","parse-names":false,"suffix":""},{"dropping-particle":"","family":"Emmerich","given":"Joseph","non-dropping-particle":"","parse-names":false,"suffix":""},{"dropping-particle":"","family":"Falanga","given":"Anna","non-dropping-particle":"","parse-names":false,"suffix":""},{"dropping-particle":"","family":"Feistritzer","given":"Clemens","non-dropping-particle":"","parse-names":false,"suffix":""},{"dropping-particle":"","family":"Font","given":"Carme","non-dropping-particle":"","parse-names":false,"suffix":""},{"dropping-particle":"","family":"Francis","given":"Charles","non-dropping-particle":"","parse-names":false,"suffix":""},{"dropping-particle":"","family":"Gallardo","given":"Enrique","non-dropping-particle":"","parse-names":false,"suffix":""},{"dropping-particle":"","family":"Gary","given":"Thomas","non-dropping-particle":"","parse-names":false,"suffix":""},{"dropping-particle":"","family":"Gris","given":"Jean Christophe","non-dropping-particle":"","parse-names":false,"suffix":""},{"dropping-particle":"","family":"Guillermo","given":"Cecilia","non-dropping-particle":"","parse-names":false,"suffix":""},{"dropping-particle":"","family":"Hij","given":"Adrian","non-dropping-particle":"","parse-names":false,"suffix":""},{"dropping-particle":"","family":"Hull","given":"Russel D.","non-dropping-particle":"","parse-names":false,"suffix":""},{"dropping-particle":"","family":"IKezoe","given":"Takayuki","non-dropping-particle":"","parse-names":false,"suffix":""},{"dropping-particle":"","family":"Jara-Palomares","given":"Luis","non-dropping-particle":"","parse-names":false,"suffix":""},{"dropping-particle":"","family":"Key","given":"Nigel S.","non-dropping-particle":"","parse-names":false,"suffix":""},{"dropping-particle":"","family":"Khrizroeva","given":"Jamilya","non-dropping-particle":"","parse-names":false,"suffix":""},{"dropping-particle":"","family":"Koolian","given":"Maral","non-dropping-particle":"","parse-names":false,"suffix":""},{"dropping-particle":"","family":"Langer","given":"Florian","non-dropping-particle":"","parse-names":false,"suffix":""},{"dropping-particle":"","family":"Hello","given":"Claire","non-dropping-particle":"Le","parse-names":false,"suffix":""},{"dropping-particle":"","family":"Lecumberri","given":"Ramón","non-dropping-particle":"","parse-names":false,"suffix":""},{"dropping-particle":"","family":"Lee","given":"Lai Heng","non-dropping-particle":"","parse-names":false,"suffix":""},{"dropping-particle":"","family":"Liebman","given":"Howard","non-dropping-particle":"","parse-names":false,"suffix":""},{"dropping-particle":"","family":"Lopes Dos Santos","given":"Luisa","non-dropping-particle":"","parse-names":false,"suffix":""},{"dropping-particle":"","family":"Machado","given":"Duarte Henrique","non-dropping-particle":"","parse-names":false,"suffix":""},{"dropping-particle":"","family":"Madelaine","given":"Isabelle","non-dropping-particle":"","parse-names":false,"suffix":""},{"dropping-particle":"","family":"Makatsariya","given":"Alexander","non-dropping-particle":"","parse-names":false,"suffix":""},{"dropping-particle":"","family":"Mandala","given":"Mario","non-dropping-particle":"","parse-names":false,"suffix":""},{"dropping-particle":"","family":"Marayevas","given":"Anthony","non-dropping-particle":"","parse-names":false,"suffix":""},{"dropping-particle":"","family":"Marjanovic","given":"Zora","non-dropping-particle":"","parse-names":false,"suffix":""},{"dropping-particle":"","family":"Marosi","given":"Christine","non-dropping-particle":"","parse-names":false,"suffix":""},{"dropping-particle":"","family":"Martin","given":"Ellis","non-dropping-particle":"","parse-names":false,"suffix":""},{"dropping-particle":"","family":"Meillon","given":"Luis","non-dropping-particle":"","parse-names":false,"suffix":""},{"dropping-particle":"","family":"Messas","given":"Emmanuel","non-dropping-particle":"","parse-names":false,"suffix":""},{"dropping-particle":"","family":"Moreira","given":"Antonio","non-dropping-particle":"","parse-names":false,"suffix":""},{"dropping-particle":"","family":"Demir","given":"Ahmet M.","non-dropping-particle":"","parse-names":false,"suffix":""},{"dropping-particle":"","family":"Ndour","given":"Arlette","non-dropping-particle":"","parse-names":false,"suffix":""},{"dropping-particle":"","family":"Nguessan","given":"Michel","non-dropping-particle":"","parse-names":false,"suffix":""},{"dropping-particle":"","family":"Otero-Candelera","given":"Remedios","non-dropping-particle":"","parse-names":false,"suffix":""},{"dropping-particle":"","family":"Pachon Olmos","given":"Vanessa","non-dropping-particle":"","parse-names":false,"suffix":""},{"dropping-particle":"","family":"Pais","given":"Ana","non-dropping-particle":"","parse-names":false,"suffix":""},{"dropping-particle":"","family":"Posch","given":"Florian","non-dropping-particle":"","parse-names":false,"suffix":""},{"dropping-particle":"","family":"Preusser","given":"Matthias","non-dropping-particle":"","parse-names":false,"suffix":""},{"dropping-particle":"","family":"Riess","given":"Hanno","non-dropping-particle":"","parse-names":false,"suffix":""},{"dropping-particle":"","family":"Righini","given":"Marc","non-dropping-particle":"","parse-names":false,"suffix":""},{"dropping-particle":"","family":"Rothschild","given":"Cynthia","non-dropping-particle":"","parse-names":false,"suffix":""},{"dropping-particle":"","family":"Roussin","given":"Andre","non-dropping-particle":"","parse-names":false,"suffix":""},{"dropping-particle":"","family":"Rueda-Camino","given":"José Antonio","non-dropping-particle":"","parse-names":false,"suffix":""},{"dropping-particle":"","family":"Ruiz-Artacho","given":"Pedro","non-dropping-particle":"","parse-names":false,"suffix":""},{"dropping-particle":"","family":"Saseedharan","given":"Sanjith","non-dropping-particle":"","parse-names":false,"suffix":""},{"dropping-particle":"","family":"Shamseddine","given":"Ali","non-dropping-particle":"","parse-names":false,"suffix":""},{"dropping-particle":"","family":"Soff","given":"Gerald","non-dropping-particle":"","parse-names":false,"suffix":""},{"dropping-particle":"","family":"Stricker","given":"Hans","non-dropping-particle":"","parse-names":false,"suffix":""},{"dropping-particle":"","family":"Tagalakis","given":"Vicky","non-dropping-particle":"","parse-names":false,"suffix":""},{"dropping-particle":"","family":"Taher","given":"Ali","non-dropping-particle":"","parse-names":false,"suffix":""},{"dropping-particle":"","family":"Toussaint","given":"Toutou","non-dropping-particle":"","parse-names":false,"suffix":""},{"dropping-particle":"","family":"Trujillo-Santos","given":"Javier","non-dropping-particle":"","parse-names":false,"suffix":""},{"dropping-particle":"","family":"Villiers","given":"Stéphane","non-dropping-particle":"","parse-names":false,"suffix":""},{"dropping-particle":"","family":"Wong","given":"Raymond","non-dropping-particle":"","parse-names":false,"suffix":""},{"dropping-particle":"","family":"Yamada","given":"Norizaku","non-dropping-particle":"","parse-names":false,"suffix":""}],"container-title":"The Lancet Oncology","id":"ITEM-2","issue":"10","issued":{"date-parts":[["2019","10","1"]]},"page":"e566-e581","publisher":"Lancet Publishing Group","title":"2019 international clinical practice guidelines for the treatment and prophylaxis of venous thromboembolism in patients with cancer","type":"article-journal","volume":"20"},"uris":["http://www.mendeley.com/documents/?uuid=663c3911-8a47-3eb7-8a75-4fccaef9e4d8"]}],"mendeley":{"formattedCitation":"&lt;sup&gt;2,3&lt;/sup&gt;","plainTextFormattedCitation":"2,3","previouslyFormattedCitation":"&lt;sup&gt;2,3&lt;/sup&gt;"},"properties":{"noteIndex":0},"schema":"https://github.com/citation-style-language/schema/raw/master/csl-citation.json"}</w:instrText>
      </w:r>
      <w:r w:rsidR="00D31474" w:rsidRPr="00C016DD">
        <w:rPr>
          <w:rFonts w:ascii="Arial" w:eastAsia="Times New Roman" w:hAnsi="Arial" w:cs="Arial"/>
          <w:color w:val="000000"/>
          <w:sz w:val="20"/>
          <w:szCs w:val="20"/>
          <w:lang w:val="en-SG"/>
        </w:rPr>
        <w:fldChar w:fldCharType="separate"/>
      </w:r>
      <w:r w:rsidR="00AB62BF" w:rsidRPr="00C016DD">
        <w:rPr>
          <w:rFonts w:ascii="Arial" w:eastAsia="Times New Roman" w:hAnsi="Arial" w:cs="Arial"/>
          <w:noProof/>
          <w:color w:val="000000"/>
          <w:sz w:val="20"/>
          <w:szCs w:val="20"/>
          <w:vertAlign w:val="superscript"/>
          <w:lang w:val="en-SG"/>
        </w:rPr>
        <w:t>2,3</w:t>
      </w:r>
      <w:r w:rsidR="00D31474" w:rsidRPr="00C016DD">
        <w:rPr>
          <w:rFonts w:ascii="Arial" w:eastAsia="Times New Roman" w:hAnsi="Arial" w:cs="Arial"/>
          <w:color w:val="000000"/>
          <w:sz w:val="20"/>
          <w:szCs w:val="20"/>
          <w:lang w:val="en-SG"/>
        </w:rPr>
        <w:fldChar w:fldCharType="end"/>
      </w:r>
      <w:r w:rsidR="00D31474" w:rsidRPr="00C016DD">
        <w:rPr>
          <w:rFonts w:ascii="Arial" w:eastAsia="Times New Roman" w:hAnsi="Arial" w:cs="Arial"/>
          <w:color w:val="000000"/>
          <w:sz w:val="20"/>
          <w:szCs w:val="20"/>
          <w:lang w:val="en-SG"/>
        </w:rPr>
        <w:t xml:space="preserve"> While</w:t>
      </w:r>
      <w:r w:rsidR="00D5776A" w:rsidRPr="00C016DD">
        <w:rPr>
          <w:rFonts w:ascii="Arial" w:eastAsia="Times New Roman" w:hAnsi="Arial" w:cs="Arial"/>
          <w:color w:val="000000"/>
          <w:sz w:val="20"/>
          <w:szCs w:val="20"/>
          <w:lang w:val="en-SG"/>
        </w:rPr>
        <w:t xml:space="preserve"> parenteral anticoagulants </w:t>
      </w:r>
      <w:r w:rsidR="004F34EB">
        <w:rPr>
          <w:rFonts w:ascii="Arial" w:eastAsia="Times New Roman" w:hAnsi="Arial" w:cs="Arial"/>
          <w:color w:val="000000"/>
          <w:sz w:val="20"/>
          <w:szCs w:val="20"/>
          <w:lang w:val="en-SG"/>
        </w:rPr>
        <w:t xml:space="preserve">are recommended </w:t>
      </w:r>
      <w:r w:rsidR="009D7CF8" w:rsidRPr="00C016DD">
        <w:rPr>
          <w:rFonts w:ascii="Arial" w:eastAsia="Times New Roman" w:hAnsi="Arial" w:cs="Arial"/>
          <w:color w:val="000000"/>
          <w:sz w:val="20"/>
          <w:szCs w:val="20"/>
          <w:lang w:val="en-SG"/>
        </w:rPr>
        <w:t>as the</w:t>
      </w:r>
      <w:r w:rsidR="00D31474" w:rsidRPr="00C016DD">
        <w:rPr>
          <w:rFonts w:ascii="Arial" w:eastAsia="Times New Roman" w:hAnsi="Arial" w:cs="Arial"/>
          <w:color w:val="000000"/>
          <w:sz w:val="20"/>
          <w:szCs w:val="20"/>
          <w:lang w:val="en-SG"/>
        </w:rPr>
        <w:t xml:space="preserve"> therapeutic mainstay for the prevention and treatment of CA-VTE, </w:t>
      </w:r>
      <w:r w:rsidR="006F62BC" w:rsidRPr="00C016DD">
        <w:rPr>
          <w:rFonts w:ascii="Arial" w:eastAsia="Times New Roman" w:hAnsi="Arial" w:cs="Arial"/>
          <w:color w:val="000000"/>
          <w:sz w:val="20"/>
          <w:szCs w:val="20"/>
          <w:lang w:val="en-SG"/>
        </w:rPr>
        <w:t>direct oral anticoagulants</w:t>
      </w:r>
      <w:r w:rsidR="00670489">
        <w:rPr>
          <w:rFonts w:ascii="Arial" w:eastAsia="Times New Roman" w:hAnsi="Arial" w:cs="Arial"/>
          <w:color w:val="000000"/>
          <w:sz w:val="20"/>
          <w:szCs w:val="20"/>
          <w:lang w:val="en-SG"/>
        </w:rPr>
        <w:t xml:space="preserve"> (DOACs)</w:t>
      </w:r>
      <w:r w:rsidR="006F62BC" w:rsidRPr="00C016DD">
        <w:rPr>
          <w:rFonts w:ascii="Arial" w:eastAsia="Times New Roman" w:hAnsi="Arial" w:cs="Arial"/>
          <w:color w:val="000000"/>
          <w:sz w:val="20"/>
          <w:szCs w:val="20"/>
          <w:lang w:val="en-SG"/>
        </w:rPr>
        <w:t xml:space="preserve"> </w:t>
      </w:r>
      <w:r w:rsidR="00D31474" w:rsidRPr="00C016DD">
        <w:rPr>
          <w:rFonts w:ascii="Arial" w:eastAsia="Times New Roman" w:hAnsi="Arial" w:cs="Arial"/>
          <w:color w:val="000000"/>
          <w:sz w:val="20"/>
          <w:szCs w:val="20"/>
          <w:lang w:val="en-SG"/>
        </w:rPr>
        <w:t>ha</w:t>
      </w:r>
      <w:r w:rsidR="005509B6" w:rsidRPr="00C016DD">
        <w:rPr>
          <w:rFonts w:ascii="Arial" w:eastAsia="Times New Roman" w:hAnsi="Arial" w:cs="Arial"/>
          <w:color w:val="000000"/>
          <w:sz w:val="20"/>
          <w:szCs w:val="20"/>
          <w:lang w:val="en-SG"/>
        </w:rPr>
        <w:t>ve</w:t>
      </w:r>
      <w:r w:rsidR="00D31474" w:rsidRPr="00C016DD">
        <w:rPr>
          <w:rFonts w:ascii="Arial" w:eastAsia="Times New Roman" w:hAnsi="Arial" w:cs="Arial"/>
          <w:color w:val="000000"/>
          <w:sz w:val="20"/>
          <w:szCs w:val="20"/>
          <w:lang w:val="en-SG"/>
        </w:rPr>
        <w:t xml:space="preserve"> recently emerged as </w:t>
      </w:r>
      <w:r w:rsidR="001A5345" w:rsidRPr="00C016DD">
        <w:rPr>
          <w:rFonts w:ascii="Arial" w:eastAsia="Times New Roman" w:hAnsi="Arial" w:cs="Arial"/>
          <w:color w:val="000000"/>
          <w:sz w:val="20"/>
          <w:szCs w:val="20"/>
          <w:lang w:val="en-SG"/>
        </w:rPr>
        <w:t xml:space="preserve">an </w:t>
      </w:r>
      <w:r w:rsidR="00D31474" w:rsidRPr="00C016DD">
        <w:rPr>
          <w:rFonts w:ascii="Arial" w:eastAsia="Times New Roman" w:hAnsi="Arial" w:cs="Arial"/>
          <w:color w:val="000000"/>
          <w:sz w:val="20"/>
          <w:szCs w:val="20"/>
          <w:lang w:val="en-SG"/>
        </w:rPr>
        <w:t>attractive alternative option</w:t>
      </w:r>
      <w:r w:rsidR="005509B6" w:rsidRPr="00C016DD">
        <w:rPr>
          <w:rFonts w:ascii="Arial" w:eastAsia="Times New Roman" w:hAnsi="Arial" w:cs="Arial"/>
          <w:color w:val="000000"/>
          <w:sz w:val="20"/>
          <w:szCs w:val="20"/>
          <w:lang w:val="en-SG"/>
        </w:rPr>
        <w:t>s</w:t>
      </w:r>
      <w:r w:rsidR="00D31474" w:rsidRPr="00C016DD">
        <w:rPr>
          <w:rFonts w:ascii="Arial" w:eastAsia="Times New Roman" w:hAnsi="Arial" w:cs="Arial"/>
          <w:color w:val="000000"/>
          <w:sz w:val="20"/>
          <w:szCs w:val="20"/>
          <w:lang w:val="en-SG"/>
        </w:rPr>
        <w:t xml:space="preserve">, with the landmark </w:t>
      </w:r>
      <w:r w:rsidR="008A2AC0" w:rsidRPr="00C016DD">
        <w:rPr>
          <w:rFonts w:ascii="Arial" w:eastAsia="Times New Roman" w:hAnsi="Arial" w:cs="Arial"/>
          <w:color w:val="000000"/>
          <w:sz w:val="20"/>
          <w:szCs w:val="20"/>
          <w:lang w:val="en-SG"/>
        </w:rPr>
        <w:t>CASSINI</w:t>
      </w:r>
      <w:r w:rsidR="00326A3A" w:rsidRPr="00C016DD">
        <w:rPr>
          <w:rFonts w:ascii="Arial" w:eastAsia="Times New Roman" w:hAnsi="Arial" w:cs="Arial"/>
          <w:color w:val="000000"/>
          <w:sz w:val="20"/>
          <w:szCs w:val="20"/>
          <w:lang w:val="en-SG"/>
        </w:rPr>
        <w:fldChar w:fldCharType="begin" w:fldLock="1"/>
      </w:r>
      <w:r w:rsidR="006C155F" w:rsidRPr="00C016DD">
        <w:rPr>
          <w:rFonts w:ascii="Arial" w:eastAsia="Times New Roman" w:hAnsi="Arial" w:cs="Arial"/>
          <w:color w:val="000000"/>
          <w:sz w:val="20"/>
          <w:szCs w:val="20"/>
          <w:lang w:val="en-SG"/>
        </w:rPr>
        <w:instrText>ADDIN CSL_CITATION {"citationItems":[{"id":"ITEM-1","itemData":{"DOI":"10.1056/NEJMoa1814630","ISSN":"15334406","PMID":"30786186","abstract":"BACKGROUND Ambulatory patients receiving systemic cancer therapy are at varying risk for venous thromboembolism. However, the benefit of thromboprophylaxis in these patients is uncertain. METHODS In this double-blind, randomized trial involving high-risk ambulatory patients with cancer (Khorana score of ≥2, on a scale from 0 to 6, with higher scores indicating a higher risk of venous thromboembolism), we randomly assigned patients without deep-vein thrombosis at screening to receive rivaroxaban (at a dose of 10 mg) or placebo daily for up to 180 days, with screening every 8 weeks. The primary efficacy end point was a composite of objectively confirmed proximal deep-vein thrombosis in a lower limb, pulmonary embolism, symptomatic deep-vein thrombosis in an upper limb or distal deep-vein thrombosis in a lower limb, and death from venous thromboembolism and was assessed up to day 180. In a prespecified supportive analysis involving the same population, the same end point was assessed during the intervention period (first receipt of trial agent to last dose plus 2 days). The primary safety end point was major bleeding. RESULTS Of 1080 enrolled patients, 49 (4.5%) had thrombosis at screening and did not undergo randomization. Of the 841 patients who underwent randomization, the primary end point occurred in 25 of 420 patients (6.0%) in the rivaroxaban group and in 37 of 421 (8.8%) in the placebo group (hazard ratio, 0.66; 95% confidence interval [CI], 0.40 to 1.09; P=0.10) in the period up to day 180. In the prespecified intervention-period analysis, the primary end point occurred in 11 patients (2.6%) in the rivaroxaban group and in 27 (6.4%) in the placebo group (hazard ratio, 0.40; 95% CI, 0.20 to 0.80). Major bleeding occurred in 8 of 405 patients (2.0%) in the rivaroxaban group and in 4 of 404 (1.0%) in the placebo group (hazard ratio, 1.96; 95% CI, 0.59 to 6.49). CONCLUSIONS In high-risk ambulatory patients with cancer, treatment with rivaroxaban did not result in a significantly lower incidence of venous thromboembolism or death due to venous thromboembolism in the 180-day trial period. During the intervention period, rivaroxaban led to a substantially lower incidence of such events, with a low incidence of major bleeding.","author":[{"dropping-particle":"","family":"Khorana","given":"Alok A.","non-dropping-particle":"","parse-names":false,"suffix":""},{"dropping-particle":"","family":"Soff","given":"Gerald A.","non-dropping-particle":"","parse-names":false,"suffix":""},{"dropping-particle":"","family":"Kakkar","given":"Ajay K.","non-dropping-particle":"","parse-names":false,"suffix":""},{"dropping-particle":"","family":"Vadhan-Raj","given":"Saroj","non-dropping-particle":"","parse-names":false,"suffix":""},{"dropping-particle":"","family":"Riess","given":"Hanno","non-dropping-particle":"","parse-names":false,"suffix":""},{"dropping-particle":"","family":"Wun","given":"Ted","non-dropping-particle":"","parse-names":false,"suffix":""},{"dropping-particle":"","family":"Streiff","given":"Michael B.","non-dropping-particle":"","parse-names":false,"suffix":""},{"dropping-particle":"","family":"Garcia","given":"David A.","non-dropping-particle":"","parse-names":false,"suffix":""},{"dropping-particle":"","family":"Liebman","given":"Howard A.","non-dropping-particle":"","parse-names":false,"suffix":""},{"dropping-particle":"","family":"Belani","given":"Chandra P.","non-dropping-particle":"","parse-names":false,"suffix":""},{"dropping-particle":"","family":"O'Reilly","given":"Eileen M.","non-dropping-particle":"","parse-names":false,"suffix":""},{"dropping-particle":"","family":"Patel","given":"Jai N.","non-dropping-particle":"","parse-names":false,"suffix":""},{"dropping-particle":"","family":"Yimer","given":"Habte A.","non-dropping-particle":"","parse-names":false,"suffix":""},{"dropping-particle":"","family":"Wildgoose","given":"Peter","non-dropping-particle":"","parse-names":false,"suffix":""},{"dropping-particle":"","family":"Burton","given":"Paul","non-dropping-particle":"","parse-names":false,"suffix":""},{"dropping-particle":"","family":"Vijapurkar","given":"Ujjwala","non-dropping-particle":"","parse-names":false,"suffix":""},{"dropping-particle":"","family":"Kaul","given":"Simrati","non-dropping-particle":"","parse-names":false,"suffix":""},{"dropping-particle":"","family":"Eikelboom","given":"John","non-dropping-particle":"","parse-names":false,"suffix":""},{"dropping-particle":"","family":"McBane","given":"Robert","non-dropping-particle":"","parse-names":false,"suffix":""},{"dropping-particle":"","family":"Bauer","given":"Kenneth A.","non-dropping-particle":"","parse-names":false,"suffix":""},{"dropping-particle":"","family":"Kuderer","given":"Nicole M.","non-dropping-particle":"","parse-names":false,"suffix":""},{"dropping-particle":"","family":"Lyman","given":"Gary H.","non-dropping-particle":"","parse-names":false,"suffix":""}],"container-title":"New England Journal of Medicine","id":"ITEM-1","issue":"8","issued":{"date-parts":[["2019"]]},"page":"720-728","title":"Rivaroxaban for thromboprophylaxis in high-risk ambulatory patients with cancer","type":"article-journal","volume":"380"},"uris":["http://www.mendeley.com/documents/?uuid=a1e8a7aa-f8b3-4b8d-9073-63682f91178e"]}],"mendeley":{"formattedCitation":"&lt;sup&gt;4&lt;/sup&gt;","plainTextFormattedCitation":"4","previouslyFormattedCitation":"&lt;sup&gt;4&lt;/sup&gt;"},"properties":{"noteIndex":0},"schema":"https://github.com/citation-style-language/schema/raw/master/csl-citation.json"}</w:instrText>
      </w:r>
      <w:r w:rsidR="00326A3A" w:rsidRPr="00C016DD">
        <w:rPr>
          <w:rFonts w:ascii="Arial" w:eastAsia="Times New Roman" w:hAnsi="Arial" w:cs="Arial"/>
          <w:color w:val="000000"/>
          <w:sz w:val="20"/>
          <w:szCs w:val="20"/>
          <w:lang w:val="en-SG"/>
        </w:rPr>
        <w:fldChar w:fldCharType="separate"/>
      </w:r>
      <w:r w:rsidR="00326A3A" w:rsidRPr="00C016DD">
        <w:rPr>
          <w:rFonts w:ascii="Arial" w:eastAsia="Times New Roman" w:hAnsi="Arial" w:cs="Arial"/>
          <w:noProof/>
          <w:color w:val="000000"/>
          <w:sz w:val="20"/>
          <w:szCs w:val="20"/>
          <w:vertAlign w:val="superscript"/>
          <w:lang w:val="en-SG"/>
        </w:rPr>
        <w:t>4</w:t>
      </w:r>
      <w:r w:rsidR="00326A3A" w:rsidRPr="00C016DD">
        <w:rPr>
          <w:rFonts w:ascii="Arial" w:eastAsia="Times New Roman" w:hAnsi="Arial" w:cs="Arial"/>
          <w:color w:val="000000"/>
          <w:sz w:val="20"/>
          <w:szCs w:val="20"/>
          <w:lang w:val="en-SG"/>
        </w:rPr>
        <w:fldChar w:fldCharType="end"/>
      </w:r>
      <w:r w:rsidR="008A2AC0" w:rsidRPr="00C016DD">
        <w:rPr>
          <w:rFonts w:ascii="Arial" w:eastAsia="Times New Roman" w:hAnsi="Arial" w:cs="Arial"/>
          <w:color w:val="000000"/>
          <w:sz w:val="20"/>
          <w:szCs w:val="20"/>
          <w:lang w:val="en-SG"/>
        </w:rPr>
        <w:t xml:space="preserve"> and </w:t>
      </w:r>
      <w:r w:rsidR="00D31474" w:rsidRPr="00C016DD">
        <w:rPr>
          <w:rFonts w:ascii="Arial" w:eastAsia="Times New Roman" w:hAnsi="Arial" w:cs="Arial"/>
          <w:color w:val="000000"/>
          <w:sz w:val="20"/>
          <w:szCs w:val="20"/>
          <w:lang w:val="en-SG"/>
        </w:rPr>
        <w:t>SELECT-D</w:t>
      </w:r>
      <w:r w:rsidR="00AB7376" w:rsidRPr="00C016DD">
        <w:rPr>
          <w:rFonts w:ascii="Arial" w:eastAsia="Times New Roman" w:hAnsi="Arial" w:cs="Arial"/>
          <w:color w:val="000000"/>
          <w:sz w:val="20"/>
          <w:szCs w:val="20"/>
          <w:lang w:val="en-SG"/>
        </w:rPr>
        <w:fldChar w:fldCharType="begin" w:fldLock="1"/>
      </w:r>
      <w:r w:rsidR="006C155F" w:rsidRPr="00C016DD">
        <w:rPr>
          <w:rFonts w:ascii="Arial" w:eastAsia="Times New Roman" w:hAnsi="Arial" w:cs="Arial"/>
          <w:color w:val="000000"/>
          <w:sz w:val="20"/>
          <w:szCs w:val="20"/>
          <w:lang w:val="en-SG"/>
        </w:rPr>
        <w:instrText>ADDIN CSL_CITATION {"citationItems":[{"id":"ITEM-1","itemData":{"DOI":"10.1200/JCO.2018.78.8034","ISSN":"15277755","abstract":"Purpose Venous thromboembolism (VTE) is common in patients with cancer. Long-term daily subcutaneous low molecular weight heparin has been standard treatment for such patients. The purpose of this study was to assess if an oral factor Xa inhibitor, rivaroxaban, would offer an alternative treatment for VTE in patients with cancer. Patient and Methods In this multicenter, randomized, open-label, pilot trial in the United Kingdom, patients with active cancer who had symptomatic pulmonary embolism (PE), incidental PE, or symptomatic lower-extremity proximal deep vein thrombosis (DVT) were recruited. Allocation was to dalteparin (200 IU/kg daily during month 1, then 150 IU/kg daily for months 2-6) or rivaroxaban (15 mg twice daily for 3 weeks, then 20 mg once daily for a total of 6 months). The primary outcome was VTE recurrence over 6 months. Safety was assessed by major bleeding and clinically relevant nonmajor bleeding (CRNMB). A sample size of 400 patients would provide estimates of VTE recurrence to within 6 4.5%, assuming a VTE recurrence rate at 6 months of 10%. Results A total of 203 patients were randomly assigned to each group, 58% of whom had metastases. Twenty-six patients experienced recurrent VTE (dalteparin, n = 18; rivaroxaban, n = 8). The 6-month cumulative VTE recurrence rate was 11% (95% CI, 7% to 16%) with dalteparin and 4% (95% CI, 2% to 9%) with rivaroxaban (hazard ratio [HR], 0.43; 95% CI, 0.19 to 0.99). The 6-month cumulative rate of major bleeding was 4% (95% CI, 2% to 8%) for dalteparin and 6% (95% CI, 3% to 11%) for rivaroxaban (HR, 1.83; 95% CI, 0.68 to 4.96). Corresponding rates of CRNMB were 4% (95% CI, 2% to 9%) and 13% (95% CI, 9% to 19%), respectively (HR, 3.76; 95% CI, 1.63 to 8.69). Conclusion Rivaroxaban was associated with relatively low VTE recurrence but higher CRNMB compared with dalteparin.","author":[{"dropping-particle":"","family":"Young","given":"Annie M.","non-dropping-particle":"","parse-names":false,"suffix":""},{"dropping-particle":"","family":"Marshall","given":"Andrea","non-dropping-particle":"","parse-names":false,"suffix":""},{"dropping-particle":"","family":"Thirlwall","given":"Jenny","non-dropping-particle":"","parse-names":false,"suffix":""},{"dropping-particle":"","family":"Chapman","given":"Oliver","non-dropping-particle":"","parse-names":false,"suffix":""},{"dropping-particle":"","family":"Lokare","given":"Anand","non-dropping-particle":"","parse-names":false,"suffix":""},{"dropping-particle":"","family":"Hill","given":"Catherine","non-dropping-particle":"","parse-names":false,"suffix":""},{"dropping-particle":"","family":"Hale","given":"Danielle","non-dropping-particle":"","parse-names":false,"suffix":""},{"dropping-particle":"","family":"Dunn","given":"Janet A.","non-dropping-particle":"","parse-names":false,"suffix":""},{"dropping-particle":"","family":"Lyman","given":"Gary H.","non-dropping-particle":"","parse-names":false,"suffix":""},{"dropping-particle":"","family":"Hutchinson","given":"Charles","non-dropping-particle":"","parse-names":false,"suffix":""},{"dropping-particle":"","family":"MacCallum","given":"Peter","non-dropping-particle":"","parse-names":false,"suffix":""},{"dropping-particle":"","family":"Kakkar","given":"Ajay","non-dropping-particle":"","parse-names":false,"suffix":""},{"dropping-particle":"","family":"Richard Hobbs","given":"F. D.","non-dropping-particle":"","parse-names":false,"suffix":""},{"dropping-particle":"","family":"Petrou","given":"Stavros","non-dropping-particle":"","parse-names":false,"suffix":""},{"dropping-particle":"","family":"Dale","given":"Jeremy","non-dropping-particle":"","parse-names":false,"suffix":""},{"dropping-particle":"","family":"Poole","given":"Christopher J.","non-dropping-particle":"","parse-names":false,"suffix":""},{"dropping-particle":"","family":"Maraveyas","given":"Anthony","non-dropping-particle":"","parse-names":false,"suffix":""},{"dropping-particle":"","family":"Levine","given":"Mark","non-dropping-particle":"","parse-names":false,"suffix":""}],"container-title":"Journal of Clinical Oncology","id":"ITEM-1","issue":"20","issued":{"date-parts":[["2018"]]},"page":"2017-2023","title":"Comparison of an oral factor xa inhibitor with low molecular weight heparin in patients with cancer with venous thromboembolism: Results of a randomized trial (SELECT-D)","type":"article-journal","volume":"36"},"uris":["http://www.mendeley.com/documents/?uuid=ae7de387-e49c-4fe3-9369-557afd5e02fd"]}],"mendeley":{"formattedCitation":"&lt;sup&gt;5&lt;/sup&gt;","plainTextFormattedCitation":"5","previouslyFormattedCitation":"&lt;sup&gt;5&lt;/sup&gt;"},"properties":{"noteIndex":0},"schema":"https://github.com/citation-style-language/schema/raw/master/csl-citation.json"}</w:instrText>
      </w:r>
      <w:r w:rsidR="00AB7376" w:rsidRPr="00C016DD">
        <w:rPr>
          <w:rFonts w:ascii="Arial" w:eastAsia="Times New Roman" w:hAnsi="Arial" w:cs="Arial"/>
          <w:color w:val="000000"/>
          <w:sz w:val="20"/>
          <w:szCs w:val="20"/>
          <w:lang w:val="en-SG"/>
        </w:rPr>
        <w:fldChar w:fldCharType="separate"/>
      </w:r>
      <w:r w:rsidR="00326A3A" w:rsidRPr="00C016DD">
        <w:rPr>
          <w:rFonts w:ascii="Arial" w:eastAsia="Times New Roman" w:hAnsi="Arial" w:cs="Arial"/>
          <w:noProof/>
          <w:color w:val="000000"/>
          <w:sz w:val="20"/>
          <w:szCs w:val="20"/>
          <w:vertAlign w:val="superscript"/>
          <w:lang w:val="en-SG"/>
        </w:rPr>
        <w:t>5</w:t>
      </w:r>
      <w:r w:rsidR="00AB7376" w:rsidRPr="00C016DD">
        <w:rPr>
          <w:rFonts w:ascii="Arial" w:eastAsia="Times New Roman" w:hAnsi="Arial" w:cs="Arial"/>
          <w:color w:val="000000"/>
          <w:sz w:val="20"/>
          <w:szCs w:val="20"/>
          <w:lang w:val="en-SG"/>
        </w:rPr>
        <w:fldChar w:fldCharType="end"/>
      </w:r>
      <w:r w:rsidR="00D31474" w:rsidRPr="00C016DD">
        <w:rPr>
          <w:rFonts w:ascii="Arial" w:eastAsia="Times New Roman" w:hAnsi="Arial" w:cs="Arial"/>
          <w:color w:val="000000"/>
          <w:sz w:val="20"/>
          <w:szCs w:val="20"/>
          <w:lang w:val="en-SG"/>
        </w:rPr>
        <w:t xml:space="preserve"> </w:t>
      </w:r>
      <w:r w:rsidR="00580FDD" w:rsidRPr="00C016DD">
        <w:rPr>
          <w:rFonts w:ascii="Arial" w:eastAsia="Times New Roman" w:hAnsi="Arial" w:cs="Arial"/>
          <w:color w:val="000000"/>
          <w:sz w:val="20"/>
          <w:szCs w:val="20"/>
          <w:lang w:val="en-SG"/>
        </w:rPr>
        <w:t>trials</w:t>
      </w:r>
      <w:r w:rsidR="00D31474" w:rsidRPr="00C016DD">
        <w:rPr>
          <w:rFonts w:ascii="Arial" w:eastAsia="Times New Roman" w:hAnsi="Arial" w:cs="Arial"/>
          <w:color w:val="000000"/>
          <w:sz w:val="20"/>
          <w:szCs w:val="20"/>
          <w:lang w:val="en-SG"/>
        </w:rPr>
        <w:t xml:space="preserve"> </w:t>
      </w:r>
      <w:r w:rsidR="00580FDD" w:rsidRPr="00C016DD">
        <w:rPr>
          <w:rFonts w:ascii="Arial" w:eastAsia="Times New Roman" w:hAnsi="Arial" w:cs="Arial"/>
          <w:color w:val="000000"/>
          <w:sz w:val="20"/>
          <w:szCs w:val="20"/>
          <w:lang w:val="en-SG"/>
        </w:rPr>
        <w:t>providing the first positive evidence o</w:t>
      </w:r>
      <w:r w:rsidR="00587021" w:rsidRPr="00C016DD">
        <w:rPr>
          <w:rFonts w:ascii="Arial" w:eastAsia="Times New Roman" w:hAnsi="Arial" w:cs="Arial"/>
          <w:color w:val="000000"/>
          <w:sz w:val="20"/>
          <w:szCs w:val="20"/>
          <w:lang w:val="en-SG"/>
        </w:rPr>
        <w:t>f</w:t>
      </w:r>
      <w:r w:rsidR="00580FDD" w:rsidRPr="00C016DD">
        <w:rPr>
          <w:rFonts w:ascii="Arial" w:eastAsia="Times New Roman" w:hAnsi="Arial" w:cs="Arial"/>
          <w:color w:val="000000"/>
          <w:sz w:val="20"/>
          <w:szCs w:val="20"/>
          <w:lang w:val="en-SG"/>
        </w:rPr>
        <w:t xml:space="preserve"> the </w:t>
      </w:r>
      <w:r w:rsidR="00526406" w:rsidRPr="00C016DD">
        <w:rPr>
          <w:rFonts w:ascii="Arial" w:eastAsia="Times New Roman" w:hAnsi="Arial" w:cs="Arial"/>
          <w:color w:val="000000"/>
          <w:sz w:val="20"/>
          <w:szCs w:val="20"/>
          <w:lang w:val="en-SG"/>
        </w:rPr>
        <w:t>efficacy of rivaroxaban</w:t>
      </w:r>
      <w:r w:rsidR="004F34EB">
        <w:rPr>
          <w:rFonts w:ascii="Arial" w:eastAsia="Times New Roman" w:hAnsi="Arial" w:cs="Arial"/>
          <w:color w:val="000000"/>
          <w:sz w:val="20"/>
          <w:szCs w:val="20"/>
          <w:lang w:val="en-SG"/>
        </w:rPr>
        <w:t xml:space="preserve">, a </w:t>
      </w:r>
      <w:r w:rsidR="004F34EB" w:rsidRPr="004F34EB">
        <w:rPr>
          <w:rFonts w:ascii="Arial" w:eastAsia="Times New Roman" w:hAnsi="Arial" w:cs="Arial"/>
          <w:color w:val="000000"/>
          <w:sz w:val="20"/>
          <w:szCs w:val="20"/>
          <w:lang w:val="en-SG"/>
        </w:rPr>
        <w:t xml:space="preserve">Factor </w:t>
      </w:r>
      <w:proofErr w:type="spellStart"/>
      <w:r w:rsidR="004F34EB" w:rsidRPr="004F34EB">
        <w:rPr>
          <w:rFonts w:ascii="Arial" w:eastAsia="Times New Roman" w:hAnsi="Arial" w:cs="Arial"/>
          <w:color w:val="000000"/>
          <w:sz w:val="20"/>
          <w:szCs w:val="20"/>
          <w:lang w:val="en-SG"/>
        </w:rPr>
        <w:t>Xa</w:t>
      </w:r>
      <w:proofErr w:type="spellEnd"/>
      <w:r w:rsidR="004F34EB" w:rsidRPr="004F34EB">
        <w:rPr>
          <w:rFonts w:ascii="Arial" w:eastAsia="Times New Roman" w:hAnsi="Arial" w:cs="Arial"/>
          <w:color w:val="000000"/>
          <w:sz w:val="20"/>
          <w:szCs w:val="20"/>
          <w:lang w:val="en-SG"/>
        </w:rPr>
        <w:t xml:space="preserve"> inhibitor,</w:t>
      </w:r>
      <w:r w:rsidR="004F34EB">
        <w:rPr>
          <w:rFonts w:ascii="Arial" w:eastAsia="Times New Roman" w:hAnsi="Arial" w:cs="Arial"/>
          <w:color w:val="000000"/>
          <w:sz w:val="20"/>
          <w:szCs w:val="20"/>
          <w:lang w:val="en-SG"/>
        </w:rPr>
        <w:t xml:space="preserve"> </w:t>
      </w:r>
      <w:r w:rsidR="00C36504" w:rsidRPr="00C016DD">
        <w:rPr>
          <w:rFonts w:ascii="Arial" w:eastAsia="Times New Roman" w:hAnsi="Arial" w:cs="Arial"/>
          <w:color w:val="000000"/>
          <w:sz w:val="20"/>
          <w:szCs w:val="20"/>
          <w:lang w:val="en-SG"/>
        </w:rPr>
        <w:t xml:space="preserve">in </w:t>
      </w:r>
      <w:r w:rsidR="00580FDD" w:rsidRPr="00C016DD">
        <w:rPr>
          <w:rFonts w:ascii="Arial" w:eastAsia="Times New Roman" w:hAnsi="Arial" w:cs="Arial"/>
          <w:color w:val="000000"/>
          <w:sz w:val="20"/>
          <w:szCs w:val="20"/>
          <w:lang w:val="en-SG"/>
        </w:rPr>
        <w:t xml:space="preserve">the primary </w:t>
      </w:r>
      <w:r w:rsidR="00D31474" w:rsidRPr="00C016DD">
        <w:rPr>
          <w:rFonts w:ascii="Arial" w:eastAsia="Times New Roman" w:hAnsi="Arial" w:cs="Arial"/>
          <w:color w:val="000000"/>
          <w:sz w:val="20"/>
          <w:szCs w:val="20"/>
          <w:lang w:val="en-SG"/>
        </w:rPr>
        <w:t>prophylaxis and treatment of CA-VTE</w:t>
      </w:r>
      <w:r w:rsidR="00B21057" w:rsidRPr="00C016DD">
        <w:rPr>
          <w:rFonts w:ascii="Arial" w:eastAsia="Times New Roman" w:hAnsi="Arial" w:cs="Arial"/>
          <w:color w:val="000000"/>
          <w:sz w:val="20"/>
          <w:szCs w:val="20"/>
          <w:lang w:val="en-SG"/>
        </w:rPr>
        <w:t xml:space="preserve"> respectively</w:t>
      </w:r>
      <w:r w:rsidR="00D31474" w:rsidRPr="00C016DD">
        <w:rPr>
          <w:rFonts w:ascii="Arial" w:eastAsia="Times New Roman" w:hAnsi="Arial" w:cs="Arial"/>
          <w:color w:val="000000"/>
          <w:sz w:val="20"/>
          <w:szCs w:val="20"/>
          <w:lang w:val="en-SG"/>
        </w:rPr>
        <w:t>.</w:t>
      </w:r>
    </w:p>
    <w:p w14:paraId="53D49318" w14:textId="035FA5DE" w:rsidR="00E969CD" w:rsidRDefault="00D1545F" w:rsidP="00062B7A">
      <w:pPr>
        <w:spacing w:after="0" w:line="480" w:lineRule="auto"/>
        <w:jc w:val="both"/>
        <w:rPr>
          <w:rFonts w:ascii="Arial" w:eastAsia="Times New Roman" w:hAnsi="Arial" w:cs="Arial"/>
          <w:color w:val="000000"/>
          <w:sz w:val="20"/>
          <w:szCs w:val="20"/>
          <w:lang w:val="en-SG"/>
        </w:rPr>
      </w:pPr>
      <w:r w:rsidRPr="00C016DD">
        <w:rPr>
          <w:rFonts w:ascii="Arial" w:hAnsi="Arial" w:cs="Arial"/>
          <w:sz w:val="20"/>
          <w:szCs w:val="20"/>
        </w:rPr>
        <w:t xml:space="preserve">Approximately two-thirds of the systemically absorbed dose </w:t>
      </w:r>
      <w:r w:rsidR="00D43E41">
        <w:rPr>
          <w:rFonts w:ascii="Arial" w:hAnsi="Arial" w:cs="Arial"/>
          <w:sz w:val="20"/>
          <w:szCs w:val="20"/>
        </w:rPr>
        <w:t xml:space="preserve">of rivaroxaban </w:t>
      </w:r>
      <w:r w:rsidRPr="00C016DD">
        <w:rPr>
          <w:rFonts w:ascii="Arial" w:hAnsi="Arial" w:cs="Arial"/>
          <w:sz w:val="20"/>
          <w:szCs w:val="20"/>
        </w:rPr>
        <w:t>undergoes metabolic degradation in the liver, with contrib</w:t>
      </w:r>
      <w:r w:rsidR="004F34EB">
        <w:rPr>
          <w:rFonts w:ascii="Arial" w:hAnsi="Arial" w:cs="Arial"/>
          <w:sz w:val="20"/>
          <w:szCs w:val="20"/>
        </w:rPr>
        <w:t>utions from cytochrome P450 (P450</w:t>
      </w:r>
      <w:r w:rsidRPr="00C016DD">
        <w:rPr>
          <w:rFonts w:ascii="Arial" w:hAnsi="Arial" w:cs="Arial"/>
          <w:sz w:val="20"/>
          <w:szCs w:val="20"/>
        </w:rPr>
        <w:t>) enzymes (CYP3A</w:t>
      </w:r>
      <w:r w:rsidR="004F34EB">
        <w:rPr>
          <w:rFonts w:ascii="Arial" w:hAnsi="Arial" w:cs="Arial"/>
          <w:sz w:val="20"/>
          <w:szCs w:val="20"/>
        </w:rPr>
        <w:t>4/3A5 and CYP2J2) as well as P450</w:t>
      </w:r>
      <w:r w:rsidRPr="00C016DD">
        <w:rPr>
          <w:rFonts w:ascii="Arial" w:hAnsi="Arial" w:cs="Arial"/>
          <w:sz w:val="20"/>
          <w:szCs w:val="20"/>
        </w:rPr>
        <w:t>-independent mechanisms.</w:t>
      </w:r>
      <w:r w:rsidRPr="00C016DD">
        <w:rPr>
          <w:rFonts w:ascii="Arial" w:hAnsi="Arial" w:cs="Arial"/>
          <w:sz w:val="20"/>
          <w:szCs w:val="20"/>
        </w:rPr>
        <w:fldChar w:fldCharType="begin" w:fldLock="1"/>
      </w:r>
      <w:r w:rsidR="006C155F" w:rsidRPr="00C016DD">
        <w:rPr>
          <w:rFonts w:ascii="Arial" w:hAnsi="Arial" w:cs="Arial"/>
          <w:sz w:val="20"/>
          <w:szCs w:val="20"/>
        </w:rPr>
        <w:instrText>ADDIN CSL_CITATION {"citationItems":[{"id":"ITEM-1","itemData":{"DOI":"10.1124/dmd.108.025569","ISSN":"00909556","author":[{"dropping-particle":"","family":"Weinz","given":"C.","non-dropping-particle":"","parse-names":false,"suffix":""},{"dropping-particle":"","family":"Schwarz","given":"T.","non-dropping-particle":"","parse-names":false,"suffix":""},{"dropping-particle":"","family":"Kubitza","given":"D.","non-dropping-particle":"","parse-names":false,"suffix":""},{"dropping-particle":"","family":"Mueck","given":"W.","non-dropping-particle":"","parse-names":false,"suffix":""},{"dropping-particle":"","family":"Lang","given":"D.","non-dropping-particle":"","parse-names":false,"suffix":""}],"container-title":"Drug Metabolism and Disposition","id":"ITEM-1","issue":"5","issued":{"date-parts":[["2009"]]},"page":"1056-1064","title":"Metabolism and excretion of rivaroxaban, an oral, direct factor Xa inhibitor, in rats, dogs, and humans","type":"article-journal","volume":"37"},"uris":["http://www.mendeley.com/documents/?uuid=e1feba5d-bfe7-3b17-9cbf-d258704f5f62"]}],"mendeley":{"formattedCitation":"&lt;sup&gt;6&lt;/sup&gt;","plainTextFormattedCitation":"6","previouslyFormattedCitation":"&lt;sup&gt;6&lt;/sup&gt;"},"properties":{"noteIndex":0},"schema":"https://github.com/citation-style-language/schema/raw/master/csl-citation.json"}</w:instrText>
      </w:r>
      <w:r w:rsidRPr="00C016DD">
        <w:rPr>
          <w:rFonts w:ascii="Arial" w:hAnsi="Arial" w:cs="Arial"/>
          <w:sz w:val="20"/>
          <w:szCs w:val="20"/>
        </w:rPr>
        <w:fldChar w:fldCharType="separate"/>
      </w:r>
      <w:r w:rsidR="00326A3A" w:rsidRPr="00C016DD">
        <w:rPr>
          <w:rFonts w:ascii="Arial" w:hAnsi="Arial" w:cs="Arial"/>
          <w:noProof/>
          <w:sz w:val="20"/>
          <w:szCs w:val="20"/>
          <w:vertAlign w:val="superscript"/>
        </w:rPr>
        <w:t>6</w:t>
      </w:r>
      <w:r w:rsidRPr="00C016DD">
        <w:rPr>
          <w:rFonts w:ascii="Arial" w:hAnsi="Arial" w:cs="Arial"/>
          <w:sz w:val="20"/>
          <w:szCs w:val="20"/>
        </w:rPr>
        <w:fldChar w:fldCharType="end"/>
      </w:r>
      <w:r w:rsidRPr="00C016DD">
        <w:rPr>
          <w:rFonts w:ascii="Arial" w:hAnsi="Arial" w:cs="Arial"/>
          <w:sz w:val="20"/>
          <w:szCs w:val="20"/>
        </w:rPr>
        <w:t xml:space="preserve"> The remaining third of the absorbed dose is eliminated as unchanged drug in the urine largely via P-glycoprotein (P-gp) and b</w:t>
      </w:r>
      <w:r w:rsidR="00670489">
        <w:rPr>
          <w:rFonts w:ascii="Arial" w:hAnsi="Arial" w:cs="Arial"/>
          <w:sz w:val="20"/>
          <w:szCs w:val="20"/>
        </w:rPr>
        <w:t>reast cancer resistance protein-</w:t>
      </w:r>
      <w:r w:rsidRPr="00C016DD">
        <w:rPr>
          <w:rFonts w:ascii="Arial" w:hAnsi="Arial" w:cs="Arial"/>
          <w:sz w:val="20"/>
          <w:szCs w:val="20"/>
        </w:rPr>
        <w:t>mediated secretion.</w:t>
      </w:r>
      <w:r w:rsidRPr="00C016DD">
        <w:rPr>
          <w:rFonts w:ascii="Arial" w:hAnsi="Arial" w:cs="Arial"/>
          <w:sz w:val="20"/>
          <w:szCs w:val="20"/>
        </w:rPr>
        <w:fldChar w:fldCharType="begin" w:fldLock="1"/>
      </w:r>
      <w:r w:rsidR="006C155F" w:rsidRPr="00C016DD">
        <w:rPr>
          <w:rFonts w:ascii="Arial" w:hAnsi="Arial" w:cs="Arial"/>
          <w:sz w:val="20"/>
          <w:szCs w:val="20"/>
        </w:rPr>
        <w:instrText>ADDIN CSL_CITATION {"citationItems":[{"id":"ITEM-1","itemData":{"DOI":"10.1124/dmd.108.025569","ISSN":"00909556","author":[{"dropping-particle":"","family":"Weinz","given":"C.","non-dropping-particle":"","parse-names":false,"suffix":""},{"dropping-particle":"","family":"Schwarz","given":"T.","non-dropping-particle":"","parse-names":false,"suffix":""},{"dropping-particle":"","family":"Kubitza","given":"D.","non-dropping-particle":"","parse-names":false,"suffix":""},{"dropping-particle":"","family":"Mueck","given":"W.","non-dropping-particle":"","parse-names":false,"suffix":""},{"dropping-particle":"","family":"Lang","given":"D.","non-dropping-particle":"","parse-names":false,"suffix":""}],"container-title":"Drug Metabolism and Disposition","id":"ITEM-1","issue":"5","issued":{"date-parts":[["2009"]]},"page":"1056-1064","title":"Metabolism and excretion of rivaroxaban, an oral, direct factor Xa inhibitor, in rats, dogs, and humans","type":"article-journal","volume":"37"},"uris":["http://www.mendeley.com/documents/?uuid=e1feba5d-bfe7-3b17-9cbf-d258704f5f62"]},{"id":"ITEM-2","itemData":{"DOI":"10.1124/jpet.111.180240","ISBN":"1521-0103 (Electronic)\\r0022-3565 (Linking)","ISSN":"1521-0103","PMID":"21515813","abstract":"Rivaroxaban, an oral, direct factor Xa inhibitor, has a dual mode of elimination in humans, with two-thirds metabolized by the liver and one-third renally excreted unchanged. P-glycoprotein (P-gp) is known to be involved in the absorption, distribution, and excretion of drugs. To investigate whether rivaroxaban is a substrate of P-gp, the bidirectional flux of rivaroxaban across Caco-2, wild-type, and P-gp-overexpressing LLC-PK1 cells was investigated. Furthermore, the inhibitory effect of rivaroxaban toward P-gp was determined. Rivaroxaban exhibited high permeability and polarized transport across Caco-2 cells. Rivaroxaban was shown to be a substrate for, but not an inhibitor of, P-gp. Of a set of potential P-gp inhibitors, ketoconazole and ritonavir, but not clarithromycin or erythromycin, inhibited P-gp-mediated transport of rivaroxaban, with half-maximal inhibitory concentration values in the range of therapeutic plasma concentrations. These findings are in line with observed area under the plasma concentration-time curve increases in clinical drug-drug interaction studies indicating a possible involvement of P-gp in the distribution and excretion of rivaroxaban. In vivo studies in wild-type and P-gp double-knockout mice demonstrated that the impact of P-gp alone on the pharmacokinetics of rivaroxaban is minor. However, in P-gp double-knockout mice, a slight increase in brain concentrations and decreased excretion into the gastrointestinal tract were observed compared with wild-type mice. These studies also demonstrated that brain penetration of rivaroxaban is fairly low. In addition to P-gp, a further transport protein might be involved in the secretion of rivaroxaban.","author":[{"dropping-particle":"","family":"Gnoth","given":"M. J.","non-dropping-particle":"","parse-names":false,"suffix":""},{"dropping-particle":"","family":"Buetehorn","given":"U.","non-dropping-particle":"","parse-names":false,"suffix":""},{"dropping-particle":"","family":"Muenster","given":"U.","non-dropping-particle":"","parse-names":false,"suffix":""},{"dropping-particle":"","family":"Schwarz","given":"T.","non-dropping-particle":"","parse-names":false,"suffix":""},{"dropping-particle":"","family":"Sandmann","given":"S.","non-dropping-particle":"","parse-names":false,"suffix":""}],"container-title":"J Pharmacol Exp Ther","id":"ITEM-2","issue":"1","issued":{"date-parts":[["2011"]]},"page":"372-380","title":"In vitro and in vivo P-glycoprotein transport characteristics of rivaroxaban","type":"article-journal","volume":"338"},"uris":["http://www.mendeley.com/documents/?uuid=cc0ede52-a044-3944-bcca-96f87b9f2cb3"]}],"mendeley":{"formattedCitation":"&lt;sup&gt;6,7&lt;/sup&gt;","plainTextFormattedCitation":"6,7","previouslyFormattedCitation":"&lt;sup&gt;6,7&lt;/sup&gt;"},"properties":{"noteIndex":0},"schema":"https://github.com/citation-style-language/schema/raw/master/csl-citation.json"}</w:instrText>
      </w:r>
      <w:r w:rsidRPr="00C016DD">
        <w:rPr>
          <w:rFonts w:ascii="Arial" w:hAnsi="Arial" w:cs="Arial"/>
          <w:sz w:val="20"/>
          <w:szCs w:val="20"/>
        </w:rPr>
        <w:fldChar w:fldCharType="separate"/>
      </w:r>
      <w:r w:rsidR="00326A3A" w:rsidRPr="00C016DD">
        <w:rPr>
          <w:rFonts w:ascii="Arial" w:hAnsi="Arial" w:cs="Arial"/>
          <w:noProof/>
          <w:sz w:val="20"/>
          <w:szCs w:val="20"/>
          <w:vertAlign w:val="superscript"/>
        </w:rPr>
        <w:t>6,7</w:t>
      </w:r>
      <w:r w:rsidRPr="00C016DD">
        <w:rPr>
          <w:rFonts w:ascii="Arial" w:hAnsi="Arial" w:cs="Arial"/>
          <w:sz w:val="20"/>
          <w:szCs w:val="20"/>
        </w:rPr>
        <w:fldChar w:fldCharType="end"/>
      </w:r>
      <w:r w:rsidRPr="00C016DD">
        <w:rPr>
          <w:rFonts w:ascii="Arial" w:hAnsi="Arial" w:cs="Arial"/>
          <w:sz w:val="20"/>
          <w:szCs w:val="20"/>
        </w:rPr>
        <w:t xml:space="preserve"> </w:t>
      </w:r>
      <w:r w:rsidR="0028303B">
        <w:rPr>
          <w:rFonts w:ascii="Arial" w:hAnsi="Arial" w:cs="Arial"/>
          <w:sz w:val="20"/>
          <w:szCs w:val="20"/>
        </w:rPr>
        <w:t>W</w:t>
      </w:r>
      <w:r w:rsidR="00E969CD">
        <w:rPr>
          <w:rFonts w:ascii="Arial" w:hAnsi="Arial" w:cs="Arial"/>
          <w:sz w:val="20"/>
          <w:szCs w:val="20"/>
        </w:rPr>
        <w:t>e have recently uncovered the additional significance of basolateral organic anion transporter 3 (OAT3)-mediated proximal tubular uptake in mediating the renal elimination of rivaroxaban.</w:t>
      </w:r>
      <w:r w:rsidR="00BD1DF4">
        <w:rPr>
          <w:rFonts w:ascii="Arial" w:hAnsi="Arial" w:cs="Arial"/>
          <w:sz w:val="20"/>
          <w:szCs w:val="20"/>
        </w:rPr>
        <w:fldChar w:fldCharType="begin" w:fldLock="1"/>
      </w:r>
      <w:r w:rsidR="00DF0BB4">
        <w:rPr>
          <w:rFonts w:ascii="Arial" w:hAnsi="Arial" w:cs="Arial"/>
          <w:sz w:val="20"/>
          <w:szCs w:val="20"/>
        </w:rPr>
        <w:instrText>ADDIN CSL_CITATION {"citationItems":[{"id":"ITEM-1","itemData":{"author":[{"dropping-particle":"","family":"Jing","given":"Eleanor","non-dropping-particle":"","parse-names":false,"suffix":""},{"dropping-particle":"","family":"Cheong","given":"Yi","non-dropping-particle":"","parse-names":false,"suffix":""},{"dropping-particle":"","family":"Wun","given":"Denise","non-dropping-particle":"","parse-names":false,"suffix":""},{"dropping-particle":"","family":"Teo","given":"Xi","non-dropping-particle":"","parse-names":false,"suffix":""},{"dropping-particle":"","family":"Xin","given":"Denise","non-dropping-particle":"","parse-names":false,"suffix":""},{"dropping-particle":"","family":"Chua","given":"Yi","non-dropping-particle":"","parse-names":false,"suffix":""},{"dropping-particle":"","family":"Chun","given":"Eric","non-dropping-particle":"","parse-names":false,"suffix":""},{"dropping-particle":"","family":"Chan","given":"Yong","non-dropping-particle":"","parse-names":false,"suffix":""}],"id":"ITEM-1","issued":{"date-parts":[["2019"]]},"title":"Systematic Development and Verification of a Physiologically Based Pharmacokinetic Model of Rivaroxaban s","type":"article-journal"},"uris":["http://www.mendeley.com/documents/?uuid=9ed721ff-d724-457c-a507-0f173d45daac"]}],"mendeley":{"formattedCitation":"&lt;sup&gt;8&lt;/sup&gt;","plainTextFormattedCitation":"8","previouslyFormattedCitation":"&lt;sup&gt;8&lt;/sup&gt;"},"properties":{"noteIndex":0},"schema":"https://github.com/citation-style-language/schema/raw/master/csl-citation.json"}</w:instrText>
      </w:r>
      <w:r w:rsidR="00BD1DF4">
        <w:rPr>
          <w:rFonts w:ascii="Arial" w:hAnsi="Arial" w:cs="Arial"/>
          <w:sz w:val="20"/>
          <w:szCs w:val="20"/>
        </w:rPr>
        <w:fldChar w:fldCharType="separate"/>
      </w:r>
      <w:r w:rsidR="00BD1DF4" w:rsidRPr="00BD1DF4">
        <w:rPr>
          <w:rFonts w:ascii="Arial" w:hAnsi="Arial" w:cs="Arial"/>
          <w:noProof/>
          <w:sz w:val="20"/>
          <w:szCs w:val="20"/>
          <w:vertAlign w:val="superscript"/>
        </w:rPr>
        <w:t>8</w:t>
      </w:r>
      <w:r w:rsidR="00BD1DF4">
        <w:rPr>
          <w:rFonts w:ascii="Arial" w:hAnsi="Arial" w:cs="Arial"/>
          <w:sz w:val="20"/>
          <w:szCs w:val="20"/>
        </w:rPr>
        <w:fldChar w:fldCharType="end"/>
      </w:r>
      <w:r w:rsidR="00E969CD">
        <w:rPr>
          <w:rFonts w:ascii="Arial" w:hAnsi="Arial" w:cs="Arial"/>
          <w:sz w:val="20"/>
          <w:szCs w:val="20"/>
        </w:rPr>
        <w:t xml:space="preserve"> </w:t>
      </w:r>
      <w:r w:rsidRPr="00C016DD">
        <w:rPr>
          <w:rFonts w:ascii="Arial" w:eastAsia="Times New Roman" w:hAnsi="Arial" w:cs="Arial"/>
          <w:color w:val="000000"/>
          <w:sz w:val="20"/>
          <w:szCs w:val="20"/>
          <w:lang w:val="en-SG"/>
        </w:rPr>
        <w:t>This inevitably increases rivaroxaban’s susceptibility to drug-drug-disease interactions (DDDIs) attributed to simultaneous impairment of its multiple clearance pathways.</w:t>
      </w:r>
      <w:r w:rsidRPr="00C016DD">
        <w:rPr>
          <w:rFonts w:ascii="Arial" w:eastAsia="Times New Roman" w:hAnsi="Arial" w:cs="Arial"/>
          <w:color w:val="000000"/>
          <w:sz w:val="20"/>
          <w:szCs w:val="20"/>
          <w:lang w:val="en-SG"/>
        </w:rPr>
        <w:fldChar w:fldCharType="begin" w:fldLock="1"/>
      </w:r>
      <w:r w:rsidR="00DF0BB4">
        <w:rPr>
          <w:rFonts w:ascii="Arial" w:eastAsia="Times New Roman" w:hAnsi="Arial" w:cs="Arial"/>
          <w:color w:val="000000"/>
          <w:sz w:val="20"/>
          <w:szCs w:val="20"/>
          <w:lang w:val="en-SG"/>
        </w:rPr>
        <w:instrText>ADDIN CSL_CITATION {"citationItems":[{"id":"ITEM-1","itemData":{"DOI":"10.1002/bdd.1771","ISSN":"1099-081X","PMID":"22270945","abstract":"BACKGROUND Rivaroxaban is an oral Factor Xa inhibitor. The primary objective of this communication was to quantitatively predict changes in rivaroxaban exposure when individuals with varying degrees of renal impairment are co-administered with another drug that is both a P-gp and a moderate CYP3A4 inhibitor. METHODS A physiologically based pharmacokinetic (PBPK) model was developed to simulate rivaroxaban pharmacokinetics in young (20-45 years) or older (55-65 years) subjects with normal renal function, mild, moderate and severe renal impairment, with or without concomitant use of the combined P-gp and moderate CYP3A4 inhibitor, erythromycin. RESULTS The simulations indicate that combined factors (i.e., renal impairment and the use of erythromycin) have a greater impact on rivaroxaban exposure than expected when the impact of these factors are considered individually. Compared with normal young subjects taking rivaroxaban, concurrent mild, moderate or severe renal impairment plus erythromycin resulted in 1.9-, 2.4- or 2.6-fold increase in exposure, respectively in young subjects; and 2.5-, 2.9- or 3.0-fold increase in exposure in older subjects. CONCLUSIONS These simulations suggest that a drug-drug-disease interaction is possible, which may significantly increase rivaroxaban exposure and increase bleeding risk. These simulations render more mechanistic insights as to the possible outcomes and allow one to reach a decision to add cautionary language to the approved product labeling for rivaroxaban.","author":[{"dropping-particle":"","family":"Grillo","given":"Joseph A","non-dropping-particle":"","parse-names":false,"suffix":""},{"dropping-particle":"","family":"Zhao","given":"Ping","non-dropping-particle":"","parse-names":false,"suffix":""},{"dropping-particle":"","family":"Bullock","given":"Julie","non-dropping-particle":"","parse-names":false,"suffix":""},{"dropping-particle":"","family":"Booth","given":"Brian P","non-dropping-particle":"","parse-names":false,"suffix":""},{"dropping-particle":"","family":"Lu","given":"Min","non-dropping-particle":"","parse-names":false,"suffix":""},{"dropping-particle":"","family":"Robie-Suh","given":"Kathy","non-dropping-particle":"","parse-names":false,"suffix":""},{"dropping-particle":"","family":"Berglund","given":"Eva Gil","non-dropping-particle":"","parse-names":false,"suffix":""},{"dropping-particle":"","family":"Pang","given":"K Sandy","non-dropping-particle":"","parse-names":false,"suffix":""},{"dropping-particle":"","family":"Rahman","given":"Atiqur","non-dropping-particle":"","parse-names":false,"suffix":""},{"dropping-particle":"","family":"Zhang","given":"Lei","non-dropping-particle":"","parse-names":false,"suffix":""},{"dropping-particle":"","family":"Lesko","given":"Lawrence J","non-dropping-particle":"","parse-names":false,"suffix":""},{"dropping-particle":"","family":"Huang","given":"Shiew-Mei","non-dropping-particle":"","parse-names":false,"suffix":""}],"container-title":"Biopharmaceutics &amp; drug disposition","id":"ITEM-1","issue":"2","issued":{"date-parts":[["2012"]]},"page":"99-110","title":"Utility of a physiologically-based pharmacokinetic (PBPK) modeling approach to quantitatively predict a complex drug-drug-disease interaction scenario for rivaroxaban during the drug review process: implications for clinical practice.","type":"article-journal","volume":"33"},"uris":["http://www.mendeley.com/documents/?uuid=d7233731-4025-390e-8e38-170177787095"]}],"mendeley":{"formattedCitation":"&lt;sup&gt;9&lt;/sup&gt;","plainTextFormattedCitation":"9","previouslyFormattedCitation":"&lt;sup&gt;9&lt;/sup&gt;"},"properties":{"noteIndex":0},"schema":"https://github.com/citation-style-language/schema/raw/master/csl-citation.json"}</w:instrText>
      </w:r>
      <w:r w:rsidRPr="00C016DD">
        <w:rPr>
          <w:rFonts w:ascii="Arial" w:eastAsia="Times New Roman" w:hAnsi="Arial" w:cs="Arial"/>
          <w:color w:val="000000"/>
          <w:sz w:val="20"/>
          <w:szCs w:val="20"/>
          <w:lang w:val="en-SG"/>
        </w:rPr>
        <w:fldChar w:fldCharType="separate"/>
      </w:r>
      <w:r w:rsidR="00BD1DF4" w:rsidRPr="00BD1DF4">
        <w:rPr>
          <w:rFonts w:ascii="Arial" w:eastAsia="Times New Roman" w:hAnsi="Arial" w:cs="Arial"/>
          <w:noProof/>
          <w:color w:val="000000"/>
          <w:sz w:val="20"/>
          <w:szCs w:val="20"/>
          <w:vertAlign w:val="superscript"/>
          <w:lang w:val="en-SG"/>
        </w:rPr>
        <w:t>9</w:t>
      </w:r>
      <w:r w:rsidRPr="00C016DD">
        <w:rPr>
          <w:rFonts w:ascii="Arial" w:eastAsia="Times New Roman" w:hAnsi="Arial" w:cs="Arial"/>
          <w:color w:val="000000"/>
          <w:sz w:val="20"/>
          <w:szCs w:val="20"/>
          <w:lang w:val="en-SG"/>
        </w:rPr>
        <w:fldChar w:fldCharType="end"/>
      </w:r>
      <w:r w:rsidRPr="00C016DD">
        <w:rPr>
          <w:rFonts w:ascii="Arial" w:eastAsia="Times New Roman" w:hAnsi="Arial" w:cs="Arial"/>
          <w:color w:val="000000"/>
          <w:sz w:val="20"/>
          <w:szCs w:val="20"/>
          <w:lang w:val="en-SG"/>
        </w:rPr>
        <w:t xml:space="preserve"> </w:t>
      </w:r>
    </w:p>
    <w:p w14:paraId="2556645D" w14:textId="77777777" w:rsidR="00062B7A" w:rsidRDefault="00062B7A" w:rsidP="00062B7A">
      <w:pPr>
        <w:spacing w:after="0" w:line="480" w:lineRule="auto"/>
        <w:jc w:val="both"/>
        <w:rPr>
          <w:rFonts w:ascii="Arial" w:hAnsi="Arial" w:cs="Arial"/>
          <w:sz w:val="20"/>
          <w:szCs w:val="20"/>
        </w:rPr>
      </w:pPr>
    </w:p>
    <w:p w14:paraId="7EB1D835" w14:textId="49002348" w:rsidR="00670DDE" w:rsidRPr="00C016DD" w:rsidRDefault="00D43E41" w:rsidP="00062B7A">
      <w:pPr>
        <w:spacing w:after="0" w:line="480" w:lineRule="auto"/>
        <w:jc w:val="both"/>
        <w:rPr>
          <w:rFonts w:ascii="Arial" w:eastAsia="Times New Roman" w:hAnsi="Arial" w:cs="Arial"/>
          <w:color w:val="000000"/>
          <w:sz w:val="20"/>
          <w:szCs w:val="20"/>
          <w:lang w:val="en-SG"/>
        </w:rPr>
      </w:pPr>
      <w:r>
        <w:rPr>
          <w:rFonts w:ascii="Arial" w:hAnsi="Arial" w:cs="Arial"/>
          <w:sz w:val="20"/>
          <w:szCs w:val="20"/>
        </w:rPr>
        <w:t>I</w:t>
      </w:r>
      <w:r w:rsidR="00914E0B" w:rsidRPr="00C016DD">
        <w:rPr>
          <w:rFonts w:ascii="Arial" w:hAnsi="Arial" w:cs="Arial"/>
          <w:sz w:val="20"/>
          <w:szCs w:val="20"/>
        </w:rPr>
        <w:t>nherent in the setting of rivaroxaban therapy is the presence of narrow therapeutic indices with steep dose exposure relationships towards major bleeding.</w:t>
      </w:r>
      <w:r w:rsidR="00914E0B" w:rsidRPr="00C016DD">
        <w:rPr>
          <w:rFonts w:ascii="Arial" w:hAnsi="Arial" w:cs="Arial"/>
          <w:sz w:val="20"/>
          <w:szCs w:val="20"/>
        </w:rPr>
        <w:fldChar w:fldCharType="begin" w:fldLock="1"/>
      </w:r>
      <w:r w:rsidR="00DF0BB4">
        <w:rPr>
          <w:rFonts w:ascii="Arial" w:hAnsi="Arial" w:cs="Arial"/>
          <w:sz w:val="20"/>
          <w:szCs w:val="20"/>
        </w:rPr>
        <w:instrText>ADDIN CSL_CITATION {"citationItems":[{"id":"ITEM-1","itemData":{"DOI":"10.1002/jcph.1044","ISBN":"1552-4604 (Electronic)\r0091-2700 (Linking)","ISSN":"15524604","PMID":"29239000","abstract":"Current dosing recommendations for rivaroxaban advocate dosage reduction in patients with moderate to severe renal impairment and avoidance of concomitant strong inhibitors of CYP3A or P-glycoprotein. However, rivaroxaban dosing in patients with mild renal impairment taking concomitant moderate inhibitors of CYP3A and P-glycoprotein is not addressed. To quantify the impacts of concomitant verapamil administration and renal impairment on rivaroxaban pharmacokinetics, a minimal physiologically based pharmacokinetic model system was developed and used to evaluate potential increases in rivaroxaban exposure and the consequent increase in risk of major bleeding. Data from a phase 1, drug-drug interaction study were used to qualify the minimal physiologically based pharmacokinetic model system. Model-based simulations indicate that coadministration of rivaroxaban with verapamil substantially increases rivaroxaban exposure across all renal function categories, resulting in an exponential increase in bleeding risk. Reduction of the daily rivaroxaban dose to 10 to 15 mg reduces the major bleeding risk below the designated 4.5% threshold in the majority of patients with normal or mildly impaired renal function. A reduction to 10 mg daily in patients with moderate to severe renal impairment provides additional risk reduction so that 90% of those patients fall below the 4.5% threshold. A risk threshold of 4.5% was selected because it is the median predicted risk in patients treated concomitantly with ketoconazole, which is contraindicated for use with rivaroxaban. Patients taking both rivaroxaban and verapamil should take a reduced daily dose of rivaroxaban to minimize bleeding risk.","author":[{"dropping-particle":"","family":"Ismail","given":"Mohamed","non-dropping-particle":"","parse-names":false,"suffix":""},{"dropping-particle":"","family":"Lee","given":"Vincent H.","non-dropping-particle":"","parse-names":false,"suffix":""},{"dropping-particle":"","family":"Chow","given":"Christina R.","non-dropping-particle":"","parse-names":false,"suffix":""},{"dropping-particle":"","family":"Rubino","given":"Christopher M.","non-dropping-particle":"","parse-names":false,"suffix":""}],"container-title":"Journal of Clinical Pharmacology","id":"ITEM-1","issue":"4","issued":{"date-parts":[["2018"]]},"page":"541-548","title":"Minimal Physiologically Based Pharmacokinetic and Drug-Drug-Disease Interaction Model of Rivaroxaban and Verapamil in Healthy and Renally Impaired Subjects","type":"article-journal","volume":"58"},"uris":["http://www.mendeley.com/documents/?uuid=adfe7b23-fcfe-4293-b30b-0ad5af883773"]}],"mendeley":{"formattedCitation":"&lt;sup&gt;10&lt;/sup&gt;","plainTextFormattedCitation":"10","previouslyFormattedCitation":"&lt;sup&gt;10&lt;/sup&gt;"},"properties":{"noteIndex":0},"schema":"https://github.com/citation-style-language/schema/raw/master/csl-citation.json"}</w:instrText>
      </w:r>
      <w:r w:rsidR="00914E0B" w:rsidRPr="00C016DD">
        <w:rPr>
          <w:rFonts w:ascii="Arial" w:hAnsi="Arial" w:cs="Arial"/>
          <w:sz w:val="20"/>
          <w:szCs w:val="20"/>
        </w:rPr>
        <w:fldChar w:fldCharType="separate"/>
      </w:r>
      <w:r w:rsidR="00BD1DF4" w:rsidRPr="00BD1DF4">
        <w:rPr>
          <w:rFonts w:ascii="Arial" w:hAnsi="Arial" w:cs="Arial"/>
          <w:noProof/>
          <w:sz w:val="20"/>
          <w:szCs w:val="20"/>
          <w:vertAlign w:val="superscript"/>
        </w:rPr>
        <w:t>10</w:t>
      </w:r>
      <w:r w:rsidR="00914E0B" w:rsidRPr="00C016DD">
        <w:rPr>
          <w:rFonts w:ascii="Arial" w:hAnsi="Arial" w:cs="Arial"/>
          <w:sz w:val="20"/>
          <w:szCs w:val="20"/>
        </w:rPr>
        <w:fldChar w:fldCharType="end"/>
      </w:r>
      <w:r w:rsidR="00424156" w:rsidRPr="00C016DD">
        <w:rPr>
          <w:rFonts w:ascii="Arial" w:hAnsi="Arial" w:cs="Arial"/>
          <w:sz w:val="20"/>
          <w:szCs w:val="20"/>
        </w:rPr>
        <w:t xml:space="preserve"> </w:t>
      </w:r>
      <w:r w:rsidR="00EB0A9D" w:rsidRPr="00C016DD">
        <w:rPr>
          <w:rFonts w:ascii="Arial" w:hAnsi="Arial" w:cs="Arial"/>
          <w:sz w:val="20"/>
          <w:szCs w:val="20"/>
        </w:rPr>
        <w:t>O</w:t>
      </w:r>
      <w:r w:rsidR="00670DDE" w:rsidRPr="00C016DD">
        <w:rPr>
          <w:rFonts w:ascii="Arial" w:hAnsi="Arial" w:cs="Arial"/>
          <w:sz w:val="20"/>
          <w:szCs w:val="20"/>
        </w:rPr>
        <w:t>utcomes from</w:t>
      </w:r>
      <w:r w:rsidR="00800414" w:rsidRPr="00C016DD">
        <w:rPr>
          <w:rFonts w:ascii="Arial" w:hAnsi="Arial" w:cs="Arial"/>
          <w:sz w:val="20"/>
          <w:szCs w:val="20"/>
        </w:rPr>
        <w:t xml:space="preserve"> the</w:t>
      </w:r>
      <w:r w:rsidR="00670DDE" w:rsidRPr="00C016DD">
        <w:rPr>
          <w:rFonts w:ascii="Arial" w:hAnsi="Arial" w:cs="Arial"/>
          <w:sz w:val="20"/>
          <w:szCs w:val="20"/>
        </w:rPr>
        <w:t xml:space="preserve"> SELECT-D trial revealed a higher risk of clinically relevant nonmajor bleeding with rivaroxaban versus dalteparin treatment.</w:t>
      </w:r>
      <w:r w:rsidR="00670DDE" w:rsidRPr="00C016DD">
        <w:rPr>
          <w:rFonts w:ascii="Arial" w:hAnsi="Arial" w:cs="Arial"/>
          <w:sz w:val="20"/>
          <w:szCs w:val="20"/>
        </w:rPr>
        <w:fldChar w:fldCharType="begin" w:fldLock="1"/>
      </w:r>
      <w:r w:rsidR="006C155F" w:rsidRPr="00C016DD">
        <w:rPr>
          <w:rFonts w:ascii="Arial" w:hAnsi="Arial" w:cs="Arial"/>
          <w:sz w:val="20"/>
          <w:szCs w:val="20"/>
        </w:rPr>
        <w:instrText>ADDIN CSL_CITATION {"citationItems":[{"id":"ITEM-1","itemData":{"DOI":"10.1200/JCO.2018.78.8034","ISSN":"15277755","abstract":"Purpose Venous thromboembolism (VTE) is common in patients with cancer. Long-term daily subcutaneous low molecular weight heparin has been standard treatment for such patients. The purpose of this study was to assess if an oral factor Xa inhibitor, rivaroxaban, would offer an alternative treatment for VTE in patients with cancer. Patient and Methods In this multicenter, randomized, open-label, pilot trial in the United Kingdom, patients with active cancer who had symptomatic pulmonary embolism (PE), incidental PE, or symptomatic lower-extremity proximal deep vein thrombosis (DVT) were recruited. Allocation was to dalteparin (200 IU/kg daily during month 1, then 150 IU/kg daily for months 2-6) or rivaroxaban (15 mg twice daily for 3 weeks, then 20 mg once daily for a total of 6 months). The primary outcome was VTE recurrence over 6 months. Safety was assessed by major bleeding and clinically relevant nonmajor bleeding (CRNMB). A sample size of 400 patients would provide estimates of VTE recurrence to within 6 4.5%, assuming a VTE recurrence rate at 6 months of 10%. Results A total of 203 patients were randomly assigned to each group, 58% of whom had metastases. Twenty-six patients experienced recurrent VTE (dalteparin, n = 18; rivaroxaban, n = 8). The 6-month cumulative VTE recurrence rate was 11% (95% CI, 7% to 16%) with dalteparin and 4% (95% CI, 2% to 9%) with rivaroxaban (hazard ratio [HR], 0.43; 95% CI, 0.19 to 0.99). The 6-month cumulative rate of major bleeding was 4% (95% CI, 2% to 8%) for dalteparin and 6% (95% CI, 3% to 11%) for rivaroxaban (HR, 1.83; 95% CI, 0.68 to 4.96). Corresponding rates of CRNMB were 4% (95% CI, 2% to 9%) and 13% (95% CI, 9% to 19%), respectively (HR, 3.76; 95% CI, 1.63 to 8.69). Conclusion Rivaroxaban was associated with relatively low VTE recurrence but higher CRNMB compared with dalteparin.","author":[{"dropping-particle":"","family":"Young","given":"Annie M.","non-dropping-particle":"","parse-names":false,"suffix":""},{"dropping-particle":"","family":"Marshall","given":"Andrea","non-dropping-particle":"","parse-names":false,"suffix":""},{"dropping-particle":"","family":"Thirlwall","given":"Jenny","non-dropping-particle":"","parse-names":false,"suffix":""},{"dropping-particle":"","family":"Chapman","given":"Oliver","non-dropping-particle":"","parse-names":false,"suffix":""},{"dropping-particle":"","family":"Lokare","given":"Anand","non-dropping-particle":"","parse-names":false,"suffix":""},{"dropping-particle":"","family":"Hill","given":"Catherine","non-dropping-particle":"","parse-names":false,"suffix":""},{"dropping-particle":"","family":"Hale","given":"Danielle","non-dropping-particle":"","parse-names":false,"suffix":""},{"dropping-particle":"","family":"Dunn","given":"Janet A.","non-dropping-particle":"","parse-names":false,"suffix":""},{"dropping-particle":"","family":"Lyman","given":"Gary H.","non-dropping-particle":"","parse-names":false,"suffix":""},{"dropping-particle":"","family":"Hutchinson","given":"Charles","non-dropping-particle":"","parse-names":false,"suffix":""},{"dropping-particle":"","family":"MacCallum","given":"Peter","non-dropping-particle":"","parse-names":false,"suffix":""},{"dropping-particle":"","family":"Kakkar","given":"Ajay","non-dropping-particle":"","parse-names":false,"suffix":""},{"dropping-particle":"","family":"Richard Hobbs","given":"F. D.","non-dropping-particle":"","parse-names":false,"suffix":""},{"dropping-particle":"","family":"Petrou","given":"Stavros","non-dropping-particle":"","parse-names":false,"suffix":""},{"dropping-particle":"","family":"Dale","given":"Jeremy","non-dropping-particle":"","parse-names":false,"suffix":""},{"dropping-particle":"","family":"Poole","given":"Christopher J.","non-dropping-particle":"","parse-names":false,"suffix":""},{"dropping-particle":"","family":"Maraveyas","given":"Anthony","non-dropping-particle":"","parse-names":false,"suffix":""},{"dropping-particle":"","family":"Levine","given":"Mark","non-dropping-particle":"","parse-names":false,"suffix":""}],"container-title":"Journal of Clinical Oncology","id":"ITEM-1","issue":"20","issued":{"date-parts":[["2018"]]},"page":"2017-2023","title":"Comparison of an oral factor xa inhibitor with low molecular weight heparin in patients with cancer with venous thromboembolism: Results of a randomized trial (SELECT-D)","type":"article-journal","volume":"36"},"uris":["http://www.mendeley.com/documents/?uuid=ae7de387-e49c-4fe3-9369-557afd5e02fd"]}],"mendeley":{"formattedCitation":"&lt;sup&gt;5&lt;/sup&gt;","plainTextFormattedCitation":"5","previouslyFormattedCitation":"&lt;sup&gt;5&lt;/sup&gt;"},"properties":{"noteIndex":0},"schema":"https://github.com/citation-style-language/schema/raw/master/csl-citation.json"}</w:instrText>
      </w:r>
      <w:r w:rsidR="00670DDE" w:rsidRPr="00C016DD">
        <w:rPr>
          <w:rFonts w:ascii="Arial" w:hAnsi="Arial" w:cs="Arial"/>
          <w:sz w:val="20"/>
          <w:szCs w:val="20"/>
        </w:rPr>
        <w:fldChar w:fldCharType="separate"/>
      </w:r>
      <w:r w:rsidR="00326A3A" w:rsidRPr="00C016DD">
        <w:rPr>
          <w:rFonts w:ascii="Arial" w:hAnsi="Arial" w:cs="Arial"/>
          <w:noProof/>
          <w:sz w:val="20"/>
          <w:szCs w:val="20"/>
          <w:vertAlign w:val="superscript"/>
        </w:rPr>
        <w:t>5</w:t>
      </w:r>
      <w:r w:rsidR="00670DDE" w:rsidRPr="00C016DD">
        <w:rPr>
          <w:rFonts w:ascii="Arial" w:hAnsi="Arial" w:cs="Arial"/>
          <w:sz w:val="20"/>
          <w:szCs w:val="20"/>
        </w:rPr>
        <w:fldChar w:fldCharType="end"/>
      </w:r>
      <w:r w:rsidR="00670DDE" w:rsidRPr="00C016DD">
        <w:rPr>
          <w:rFonts w:ascii="Arial" w:hAnsi="Arial" w:cs="Arial"/>
          <w:sz w:val="20"/>
          <w:szCs w:val="20"/>
        </w:rPr>
        <w:t xml:space="preserve"> This was despite a strict exclusion criterion where the concomitant use of strong CYP3A4/P-glycoprotein (P-gp) inducers or inhibitors was disallowed. Updated recommendations by major clinical guidelines regarding the use of DOACs were thus qualified with the statement that the choice of rivaroxaban was only acceptable if there were no concomitant risk factors for bleeding and/or drug interactions.</w:t>
      </w:r>
      <w:r w:rsidR="00670DDE" w:rsidRPr="00C016DD">
        <w:rPr>
          <w:rFonts w:ascii="Arial" w:hAnsi="Arial" w:cs="Arial"/>
          <w:sz w:val="20"/>
          <w:szCs w:val="20"/>
        </w:rPr>
        <w:fldChar w:fldCharType="begin" w:fldLock="1"/>
      </w:r>
      <w:r w:rsidR="00DF0BB4">
        <w:rPr>
          <w:rFonts w:ascii="Arial" w:hAnsi="Arial" w:cs="Arial"/>
          <w:sz w:val="20"/>
          <w:szCs w:val="20"/>
        </w:rPr>
        <w:instrText>ADDIN CSL_CITATION {"citationItems":[{"id":"ITEM-1","itemData":{"DOI":"10.1002/rth2.12327","ISSN":"2475-0379","abstract":"Cancer-associated venous thromboembolism (VTE) is a frequent, potentially life-threatening event that complicates cancer management. Anticoagulants are the cornerstone of therapy for the treatment and prevention of cancer-associated thrombosis (CAT); factor Xa–inhibiting direct oral anticoagulants (DOACs; apixaban, edoxaban, and rivaroxaban), which have long been recommended for the treatment of VTE in patients without cancer, have been investigated in this setting. The first randomized comparisons of DOACs against low-molecular-weight heparin for the treatment of CAT indicated that DOACs are efficacious in this setting, with findings reflected in recent updates to published guidance on CAT treatment. However, the higher risk of bleeding events (particularly in the gastrointestinal tract) with DOACs highlights the need for appropriate patient selection. Further insights will be gained from additional studies that are ongoing or awaiting publication. The efficacy and safety of DOAC thromboprophylaxis in ambulatory patients with cancer at a high risk of VTE have also been assessed in placebo-controlled randomized controlled trials of apixaban and rivaroxaban. Both studies showed efficacy benefits with DOACs, but both studies also showed a nonsignificant increase in major bleeding events while on treatment. This review summarizes the evidence base for rivaroxaban use in CAT, the patient profile potentially most suited to DOAC use, and ongoing controversies under investigation. We also describe ongoing studies from the CALLISTO (Cancer Associated thrombosis—expLoring soLutions for patients through Treatment and Prevention with RivarOxaban) program, which comprises several randomized clinical trials and real-world evidence studies, including investigator-initiated research.","author":[{"dropping-particle":"","family":"Bauersachs","given":"Rupert","non-dropping-particle":"","parse-names":false,"suffix":""},{"dropping-particle":"","family":"Khorana","given":"Alok A.","non-dropping-particle":"","parse-names":false,"suffix":""},{"dropping-particle":"","family":"Lee","given":"Agnes Y. Y.","non-dropping-particle":"","parse-names":false,"suffix":""},{"dropping-particle":"","family":"Soff","given":"Gerald","non-dropping-particle":"","parse-names":false,"suffix":""}],"container-title":"Research and Practice in Thrombosis and Haemostasis","id":"ITEM-1","issue":"4","issued":{"date-parts":[["2020"]]},"page":"532-549","title":"Cancer-associated venous thromboembolism: Treatment and prevention with rivaroxaban","type":"article-journal","volume":"4"},"uris":["http://www.mendeley.com/documents/?uuid=5cfa7086-8770-4832-aa51-8ee618618153"]}],"mendeley":{"formattedCitation":"&lt;sup&gt;11&lt;/sup&gt;","plainTextFormattedCitation":"11","previouslyFormattedCitation":"&lt;sup&gt;11&lt;/sup&gt;"},"properties":{"noteIndex":0},"schema":"https://github.com/citation-style-language/schema/raw/master/csl-citation.json"}</w:instrText>
      </w:r>
      <w:r w:rsidR="00670DDE" w:rsidRPr="00C016DD">
        <w:rPr>
          <w:rFonts w:ascii="Arial" w:hAnsi="Arial" w:cs="Arial"/>
          <w:sz w:val="20"/>
          <w:szCs w:val="20"/>
        </w:rPr>
        <w:fldChar w:fldCharType="separate"/>
      </w:r>
      <w:r w:rsidR="00BD1DF4" w:rsidRPr="00BD1DF4">
        <w:rPr>
          <w:rFonts w:ascii="Arial" w:hAnsi="Arial" w:cs="Arial"/>
          <w:noProof/>
          <w:sz w:val="20"/>
          <w:szCs w:val="20"/>
          <w:vertAlign w:val="superscript"/>
        </w:rPr>
        <w:t>11</w:t>
      </w:r>
      <w:r w:rsidR="00670DDE" w:rsidRPr="00C016DD">
        <w:rPr>
          <w:rFonts w:ascii="Arial" w:hAnsi="Arial" w:cs="Arial"/>
          <w:sz w:val="20"/>
          <w:szCs w:val="20"/>
        </w:rPr>
        <w:fldChar w:fldCharType="end"/>
      </w:r>
      <w:r w:rsidR="00670DDE" w:rsidRPr="00C016DD">
        <w:rPr>
          <w:rFonts w:ascii="Arial" w:hAnsi="Arial" w:cs="Arial"/>
          <w:sz w:val="20"/>
          <w:szCs w:val="20"/>
        </w:rPr>
        <w:t xml:space="preserve"> However, with polypharmacy prevalent in anticancer </w:t>
      </w:r>
      <w:r w:rsidR="004E7C86" w:rsidRPr="00C016DD">
        <w:rPr>
          <w:rFonts w:ascii="Arial" w:hAnsi="Arial" w:cs="Arial"/>
          <w:sz w:val="20"/>
          <w:szCs w:val="20"/>
        </w:rPr>
        <w:t>management</w:t>
      </w:r>
      <w:r w:rsidR="00670DDE" w:rsidRPr="00C016DD">
        <w:rPr>
          <w:rFonts w:ascii="Arial" w:hAnsi="Arial" w:cs="Arial"/>
          <w:sz w:val="20"/>
          <w:szCs w:val="20"/>
        </w:rPr>
        <w:t>, patients are likely to receive</w:t>
      </w:r>
      <w:r w:rsidR="004E7C86" w:rsidRPr="00C016DD">
        <w:rPr>
          <w:rFonts w:ascii="Arial" w:hAnsi="Arial" w:cs="Arial"/>
          <w:sz w:val="20"/>
          <w:szCs w:val="20"/>
        </w:rPr>
        <w:t xml:space="preserve"> therapies</w:t>
      </w:r>
      <w:r w:rsidR="00670DDE" w:rsidRPr="00C016DD">
        <w:rPr>
          <w:rFonts w:ascii="Arial" w:hAnsi="Arial" w:cs="Arial"/>
          <w:sz w:val="20"/>
          <w:szCs w:val="20"/>
        </w:rPr>
        <w:t xml:space="preserve"> which may impair the </w:t>
      </w:r>
      <w:r w:rsidR="00E969CD">
        <w:rPr>
          <w:rFonts w:ascii="Arial" w:hAnsi="Arial" w:cs="Arial"/>
          <w:sz w:val="20"/>
          <w:szCs w:val="20"/>
        </w:rPr>
        <w:t xml:space="preserve">reported </w:t>
      </w:r>
      <w:r w:rsidR="00670DDE" w:rsidRPr="00C016DD">
        <w:rPr>
          <w:rFonts w:ascii="Arial" w:hAnsi="Arial" w:cs="Arial"/>
          <w:sz w:val="20"/>
          <w:szCs w:val="20"/>
        </w:rPr>
        <w:t>elimination</w:t>
      </w:r>
      <w:r w:rsidR="00E969CD">
        <w:rPr>
          <w:rFonts w:ascii="Arial" w:hAnsi="Arial" w:cs="Arial"/>
          <w:sz w:val="20"/>
          <w:szCs w:val="20"/>
        </w:rPr>
        <w:t xml:space="preserve"> pathways </w:t>
      </w:r>
      <w:r w:rsidR="00E51D7A">
        <w:rPr>
          <w:rFonts w:ascii="Arial" w:hAnsi="Arial" w:cs="Arial"/>
          <w:sz w:val="20"/>
          <w:szCs w:val="20"/>
        </w:rPr>
        <w:t>of</w:t>
      </w:r>
      <w:r w:rsidR="00E969CD">
        <w:rPr>
          <w:rFonts w:ascii="Arial" w:hAnsi="Arial" w:cs="Arial"/>
          <w:sz w:val="20"/>
          <w:szCs w:val="20"/>
        </w:rPr>
        <w:t xml:space="preserve"> rivaroxaban</w:t>
      </w:r>
      <w:r w:rsidR="00670DDE" w:rsidRPr="00C016DD">
        <w:rPr>
          <w:rFonts w:ascii="Arial" w:hAnsi="Arial" w:cs="Arial"/>
          <w:sz w:val="20"/>
          <w:szCs w:val="20"/>
        </w:rPr>
        <w:t>.</w:t>
      </w:r>
      <w:r w:rsidR="00670DDE" w:rsidRPr="00C016DD">
        <w:rPr>
          <w:rFonts w:ascii="Arial" w:hAnsi="Arial" w:cs="Arial"/>
          <w:sz w:val="20"/>
          <w:szCs w:val="20"/>
        </w:rPr>
        <w:fldChar w:fldCharType="begin" w:fldLock="1"/>
      </w:r>
      <w:r w:rsidR="00DF0BB4">
        <w:rPr>
          <w:rFonts w:ascii="Arial" w:hAnsi="Arial" w:cs="Arial"/>
          <w:sz w:val="20"/>
          <w:szCs w:val="20"/>
        </w:rPr>
        <w:instrText>ADDIN CSL_CITATION {"citationItems":[{"id":"ITEM-1","itemData":{"DOI":"10.1002/rth2.12327","ISSN":"2475-0379","abstract":"Cancer-associated venous thromboembolism (VTE) is a frequent, potentially life-threatening event that complicates cancer management. Anticoagulants are the cornerstone of therapy for the treatment and prevention of cancer-associated thrombosis (CAT); factor Xa–inhibiting direct oral anticoagulants (DOACs; apixaban, edoxaban, and rivaroxaban), which have long been recommended for the treatment of VTE in patients without cancer, have been investigated in this setting. The first randomized comparisons of DOACs against low-molecular-weight heparin for the treatment of CAT indicated that DOACs are efficacious in this setting, with findings reflected in recent updates to published guidance on CAT treatment. However, the higher risk of bleeding events (particularly in the gastrointestinal tract) with DOACs highlights the need for appropriate patient selection. Further insights will be gained from additional studies that are ongoing or awaiting publication. The efficacy and safety of DOAC thromboprophylaxis in ambulatory patients with cancer at a high risk of VTE have also been assessed in placebo-controlled randomized controlled trials of apixaban and rivaroxaban. Both studies showed efficacy benefits with DOACs, but both studies also showed a nonsignificant increase in major bleeding events while on treatment. This review summarizes the evidence base for rivaroxaban use in CAT, the patient profile potentially most suited to DOAC use, and ongoing controversies under investigation. We also describe ongoing studies from the CALLISTO (Cancer Associated thrombosis—expLoring soLutions for patients through Treatment and Prevention with RivarOxaban) program, which comprises several randomized clinical trials and real-world evidence studies, including investigator-initiated research.","author":[{"dropping-particle":"","family":"Bauersachs","given":"Rupert","non-dropping-particle":"","parse-names":false,"suffix":""},{"dropping-particle":"","family":"Khorana","given":"Alok A.","non-dropping-particle":"","parse-names":false,"suffix":""},{"dropping-particle":"","family":"Lee","given":"Agnes Y. Y.","non-dropping-particle":"","parse-names":false,"suffix":""},{"dropping-particle":"","family":"Soff","given":"Gerald","non-dropping-particle":"","parse-names":false,"suffix":""}],"container-title":"Research and Practice in Thrombosis and Haemostasis","id":"ITEM-1","issue":"4","issued":{"date-parts":[["2020"]]},"page":"532-549","title":"Cancer-associated venous thromboembolism: Treatment and prevention with rivaroxaban","type":"article-journal","volume":"4"},"uris":["http://www.mendeley.com/documents/?uuid=5cfa7086-8770-4832-aa51-8ee618618153"]}],"mendeley":{"formattedCitation":"&lt;sup&gt;11&lt;/sup&gt;","plainTextFormattedCitation":"11","previouslyFormattedCitation":"&lt;sup&gt;11&lt;/sup&gt;"},"properties":{"noteIndex":0},"schema":"https://github.com/citation-style-language/schema/raw/master/csl-citation.json"}</w:instrText>
      </w:r>
      <w:r w:rsidR="00670DDE" w:rsidRPr="00C016DD">
        <w:rPr>
          <w:rFonts w:ascii="Arial" w:hAnsi="Arial" w:cs="Arial"/>
          <w:sz w:val="20"/>
          <w:szCs w:val="20"/>
        </w:rPr>
        <w:fldChar w:fldCharType="separate"/>
      </w:r>
      <w:r w:rsidR="00BD1DF4" w:rsidRPr="00BD1DF4">
        <w:rPr>
          <w:rFonts w:ascii="Arial" w:hAnsi="Arial" w:cs="Arial"/>
          <w:noProof/>
          <w:sz w:val="20"/>
          <w:szCs w:val="20"/>
          <w:vertAlign w:val="superscript"/>
        </w:rPr>
        <w:t>11</w:t>
      </w:r>
      <w:r w:rsidR="00670DDE" w:rsidRPr="00C016DD">
        <w:rPr>
          <w:rFonts w:ascii="Arial" w:hAnsi="Arial" w:cs="Arial"/>
          <w:sz w:val="20"/>
          <w:szCs w:val="20"/>
        </w:rPr>
        <w:fldChar w:fldCharType="end"/>
      </w:r>
      <w:r w:rsidR="00670DDE" w:rsidRPr="00C016DD">
        <w:rPr>
          <w:rFonts w:ascii="Arial" w:hAnsi="Arial" w:cs="Arial"/>
          <w:sz w:val="20"/>
          <w:szCs w:val="20"/>
        </w:rPr>
        <w:t xml:space="preserve"> </w:t>
      </w:r>
      <w:r w:rsidR="006C155F" w:rsidRPr="00C016DD">
        <w:rPr>
          <w:rFonts w:ascii="Arial" w:hAnsi="Arial" w:cs="Arial"/>
          <w:sz w:val="20"/>
          <w:szCs w:val="20"/>
        </w:rPr>
        <w:t>A case in point would be protein kinase inhibitors (PKIs) such as erlotinib and nilotinib, which are orally administered, chronically dosed and are known to exhibit class effects as dual enzyme/transporter inhibitors</w:t>
      </w:r>
      <w:r w:rsidR="001655C8" w:rsidRPr="00C016DD">
        <w:rPr>
          <w:rFonts w:ascii="Arial" w:hAnsi="Arial" w:cs="Arial"/>
          <w:sz w:val="20"/>
          <w:szCs w:val="20"/>
        </w:rPr>
        <w:t>.</w:t>
      </w:r>
      <w:r w:rsidR="006C155F" w:rsidRPr="00C016DD">
        <w:rPr>
          <w:rFonts w:ascii="Arial" w:hAnsi="Arial" w:cs="Arial"/>
          <w:sz w:val="20"/>
          <w:szCs w:val="20"/>
        </w:rPr>
        <w:fldChar w:fldCharType="begin" w:fldLock="1"/>
      </w:r>
      <w:r w:rsidR="00DF0BB4">
        <w:rPr>
          <w:rFonts w:ascii="Arial" w:hAnsi="Arial" w:cs="Arial"/>
          <w:sz w:val="20"/>
          <w:szCs w:val="20"/>
        </w:rPr>
        <w:instrText>ADDIN CSL_CITATION {"citationItems":[{"id":"ITEM-1","itemData":{"DOI":"10.1016/S1470-2045(13)70579-5","ISSN":"14745488","PMID":"24988935","abstract":"In the past decade, many tyrosine-kinase inhibitors have been introduced in oncology and haemato-oncology. Because this new class of drugs is extensively used, serious drug-drug interactions are an increasing risk. In this Review, we give a comprehensive overview of known or suspected drug-drug interactions between tyrosine-kinase inhibitors and other drugs. We discuss all haemato-oncological and oncological tyrosine-kinase inhibitors that had been approved by Aug 1, 2013, by the US Food and Drug Administration or the European Medicines Agency. Various clinically relevant drug interactions with tyrosine-kinase inhibitors have been identified. Most interactions concern altered bioavailability due to altered stomach pH, metabolism by cytochrome P450 isoenzymes, and prolongation of the QTc interval. To guarantee the safe use of tyrosine-kinase inhibitors, a drugs review for each patient is needed. This Review provides specific recommendations to guide haemato-oncologists, oncologists, and clinical pharmacists, through the process of managing drug-drug interactions during treatment with tyrosine-kinase inhibitors in daily clinical practice. © 2014 Elsevier Ltd.","author":[{"dropping-particle":"","family":"Leeuwen","given":"Roelof W.F.","non-dropping-particle":"van","parse-names":false,"suffix":""},{"dropping-particle":"","family":"Gelder","given":"Teun","non-dropping-particle":"van","parse-names":false,"suffix":""},{"dropping-particle":"","family":"Mathijssen","given":"Ron H.J.","non-dropping-particle":"","parse-names":false,"suffix":""},{"dropping-particle":"","family":"Jansman","given":"Frank G.A.","non-dropping-particle":"","parse-names":false,"suffix":""}],"container-title":"The Lancet Oncology","id":"ITEM-1","issue":"8","issued":{"date-parts":[["2014"]]},"publisher":"Elsevier Ltd","title":"Drug-drug interactions with tyrosine-kinase inhibitors: A clinical perspective","type":"article-journal","volume":"15"},"uris":["http://www.mendeley.com/documents/?uuid=accf540a-0ddf-45b0-bded-ffab685d6acc"]},{"id":"ITEM-2","itemData":{"DOI":"10.1111/bcp.12496","ISSN":"13652125","abstract":"Drug-drug interactions (DDIs) occur when a patient's response to the drug is modified by administration or co-exposure to another drug. The main cytochrome P450 (CYP) enzyme, CYP3A4, is implicated in the metabolism of almost all of the tyrosine kinase inhibitors (TKIs). Therefore, there is a substantial potential for interaction between TKIs and other drugs that modulate the activity of this metabolic pathway. Cancer patients are susceptible to DDIs as they receive many medications, either for supportive care or for treatment of toxicity. Differences in DDI outcomes are generally negligible because of the wide therapeutic window of common drugs. However for anticancer agents, serious clinical consequences may occur from small changes in drug metabolism and pharmacokinetics. Therefore, the objective of this review is to highlight the current understanding of DDIs among TKIs, with a focus on metabolism, as well as to identify challenges in the prediction of DDIs and provide recommendations.","author":[{"dropping-particle":"","family":"Teo","given":"Yi Ling","non-dropping-particle":"","parse-names":false,"suffix":""},{"dropping-particle":"","family":"Ho","given":"Han Kiat","non-dropping-particle":"","parse-names":false,"suffix":""},{"dropping-particle":"","family":"Chan","given":"Alexandre","non-dropping-particle":"","parse-names":false,"suffix":""}],"container-title":"British Journal of Clinical Pharmacology","id":"ITEM-2","issue":"2","issued":{"date-parts":[["2015"]]},"page":"241-253","title":"Metabolism-related pharmacokinetic drug-drug interactions with tyrosine kinase inhibitors: Current understanding, challenges and recommendations","type":"article-journal","volume":"79"},"uris":["http://www.mendeley.com/documents/?uuid=4135fb3b-5c18-47d9-8fe2-bb760fd8a487"]},{"id":"ITEM-3","itemData":{"DOI":"10.1182/blood-2010-07-294330","ISSN":"00064971","abstract":"Several cancer treatments are shifting from traditional, time-limited, nonspecific cytotoxic chemotherapy cycles to continuous oral treatment with specific protein-targeted therapies. In this line, imatinib mesylate, a selective tyrosine kinases inhibitor (TKI), has excellent efficacy in the treatment of chronic myeloid leukemia. It has opened the way to the development of additional TKIs against chronic myeloid leukemia, including nilotinib and dasatinib. TKIs are prescribed for prolonged periods, often in patients with comorbidities. Therefore, they are regularly co-administered along with treatments at risk of drug-drug interactions. This aspect has been partially addressed so far, calling for a comprehensive review of the published data. We review here the available evidence and pharmacologic mechanisms of interactions between imatinib, dasatinib, and nilotinib and widely prescribed co-medications, including known inhibitors or inducers of cytochromes P450 or drug transporters. Information is mostly available for imatinib mesylate, well introduced in clinical practice. Several pharmacokinetic aspects yet remain insufficiently investigated for these drugs. Regular updates will be mandatory and so is the prospective reporting of unexpected clinical observations. © 2011 by The American Society of Hematology.","author":[{"dropping-particle":"","family":"Haouala","given":"Amina","non-dropping-particle":"","parse-names":false,"suffix":""},{"dropping-particle":"","family":"Widmer","given":"Nicolas","non-dropping-particle":"","parse-names":false,"suffix":""},{"dropping-particle":"","family":"Duchosal","given":"Michel A.","non-dropping-particle":"","parse-names":false,"suffix":""},{"dropping-particle":"","family":"Montemurro","given":"Michael","non-dropping-particle":"","parse-names":false,"suffix":""},{"dropping-particle":"","family":"Buclin","given":"Thierry","non-dropping-particle":"","parse-names":false,"suffix":""},{"dropping-particle":"","family":"Decosterd","given":"Laurent A.","non-dropping-particle":"","parse-names":false,"suffix":""}],"container-title":"Blood","id":"ITEM-3","issue":"8","issued":{"date-parts":[["2011","2"]]},"page":"75-87","title":"Drug interactions with the tyrosine kinase inhibitors imatinib, dasatinib, and nilotinib","type":"article-journal","volume":"117"},"uris":["http://www.mendeley.com/documents/?uuid=573abc26-e0ff-4568-a0e6-f12259e78973"]}],"mendeley":{"formattedCitation":"&lt;sup&gt;12–14&lt;/sup&gt;","plainTextFormattedCitation":"12–14","previouslyFormattedCitation":"&lt;sup&gt;12–14&lt;/sup&gt;"},"properties":{"noteIndex":0},"schema":"https://github.com/citation-style-language/schema/raw/master/csl-citation.json"}</w:instrText>
      </w:r>
      <w:r w:rsidR="006C155F" w:rsidRPr="00C016DD">
        <w:rPr>
          <w:rFonts w:ascii="Arial" w:hAnsi="Arial" w:cs="Arial"/>
          <w:sz w:val="20"/>
          <w:szCs w:val="20"/>
        </w:rPr>
        <w:fldChar w:fldCharType="separate"/>
      </w:r>
      <w:r w:rsidR="00BD1DF4" w:rsidRPr="00BD1DF4">
        <w:rPr>
          <w:rFonts w:ascii="Arial" w:hAnsi="Arial" w:cs="Arial"/>
          <w:noProof/>
          <w:sz w:val="20"/>
          <w:szCs w:val="20"/>
          <w:vertAlign w:val="superscript"/>
        </w:rPr>
        <w:t>12–14</w:t>
      </w:r>
      <w:r w:rsidR="006C155F" w:rsidRPr="00C016DD">
        <w:rPr>
          <w:rFonts w:ascii="Arial" w:hAnsi="Arial" w:cs="Arial"/>
          <w:sz w:val="20"/>
          <w:szCs w:val="20"/>
        </w:rPr>
        <w:fldChar w:fldCharType="end"/>
      </w:r>
      <w:r w:rsidR="006C155F" w:rsidRPr="00C016DD">
        <w:rPr>
          <w:rFonts w:ascii="Arial" w:hAnsi="Arial" w:cs="Arial"/>
          <w:sz w:val="20"/>
          <w:szCs w:val="20"/>
        </w:rPr>
        <w:t xml:space="preserve"> Both erlotinib and nilotinib have been reported to inhibit CYP3A4</w:t>
      </w:r>
      <w:r w:rsidR="006C155F" w:rsidRPr="00C016DD">
        <w:rPr>
          <w:rFonts w:ascii="Arial" w:hAnsi="Arial" w:cs="Arial"/>
          <w:sz w:val="20"/>
          <w:szCs w:val="20"/>
        </w:rPr>
        <w:fldChar w:fldCharType="begin" w:fldLock="1"/>
      </w:r>
      <w:r w:rsidR="00DF0BB4">
        <w:rPr>
          <w:rFonts w:ascii="Arial" w:hAnsi="Arial" w:cs="Arial"/>
          <w:sz w:val="20"/>
          <w:szCs w:val="20"/>
        </w:rPr>
        <w:instrText>ADDIN CSL_CITATION {"citationItems":[{"id":"ITEM-1","itemData":{"DOI":"10.1124/dmd.114.057695","ISSN":"1521009X","abstract":"Previous studies have shown that several protein kinase inhibitors are time-dependent inhibitors of cytochrome P450 (CYP) 3A. We s</w:instrText>
      </w:r>
      <w:r w:rsidR="00DF0BB4">
        <w:rPr>
          <w:rFonts w:ascii="Arial" w:hAnsi="Arial" w:cs="Arial" w:hint="eastAsia"/>
          <w:sz w:val="20"/>
          <w:szCs w:val="20"/>
        </w:rPr>
        <w:instrText>creened 14 kinase inhibitors for time-dependent inhibition of CYP2C8 and CYP3A. Amodiaquine N-deethylation and midazolam 1</w:instrText>
      </w:r>
      <w:r w:rsidR="00DF0BB4">
        <w:rPr>
          <w:rFonts w:ascii="Arial" w:hAnsi="Arial" w:cs="Arial" w:hint="eastAsia"/>
          <w:sz w:val="20"/>
          <w:szCs w:val="20"/>
        </w:rPr>
        <w:instrText>′</w:instrText>
      </w:r>
      <w:r w:rsidR="00DF0BB4">
        <w:rPr>
          <w:rFonts w:ascii="Arial" w:hAnsi="Arial" w:cs="Arial" w:hint="eastAsia"/>
          <w:sz w:val="20"/>
          <w:szCs w:val="20"/>
        </w:rPr>
        <w:instrText>-hydroxylation were used as marker reactions for CYP2C8 and CYP3A activity, respectively. A screening, IC 50 shift, and mechanism-ba</w:instrText>
      </w:r>
      <w:r w:rsidR="00DF0BB4">
        <w:rPr>
          <w:rFonts w:ascii="Arial" w:hAnsi="Arial" w:cs="Arial"/>
          <w:sz w:val="20"/>
          <w:szCs w:val="20"/>
        </w:rPr>
        <w:instrText>sed inhibition were assessed with human liver microsomes. In the screening, bosutinib isomer 1, crizotinib, dasatinib, erlotinib, gefitinib, lestaurtinib, nilotinib, pazopanib, saracatinib, sorafenib, and sunitinib exhibited an increased inhibition of CYP3A after a 30-min preincubation with NADPH, as compared with no preincubation. Axitinib and vandetanib tested negative for time-dependent inhibition of CYP3A and CYP2C8, and bosutinib was the only inhibitor causing time-dependent inhibition of CYP2C8. The inhibitory mechanism by bosutinib was consistent with weak mechanism-based inhibition, and its inactivation variables, inhibitor concentration that supports half-maximal rate of inactivation (KI) and maximal inactivation rate (kinact), were 54.8 μM and 0.018 1/min. As several of the tested inhibitors were reported to cause mechanism-based inactivation of CYP3A4 during the progress of this work, detailed experiments with these were not completed. However, lestaurtinib and saracatinib were identified as mechanism-based inhibitors of CYP3A. The K I and kinact of lestaurtinib and saracatinib were 30.7 μM and 0.040 1/min, and 12.6 μM and 0.096 1/min, respectively. Inhibition of CYP2C8 by bosutinib was predicted to have no clinical relevance, whereas therapeut</w:instrText>
      </w:r>
      <w:r w:rsidR="00DF0BB4">
        <w:rPr>
          <w:rFonts w:ascii="Arial" w:hAnsi="Arial" w:cs="Arial" w:hint="eastAsia"/>
          <w:sz w:val="20"/>
          <w:szCs w:val="20"/>
        </w:rPr>
        <w:instrText xml:space="preserve">ic lestaurtinib and saracatinib concentrations were predicted to increase the plasma exposure to CYP3A-dependent substrates by </w:instrText>
      </w:r>
      <w:r w:rsidR="00DF0BB4">
        <w:rPr>
          <w:rFonts w:ascii="Arial" w:hAnsi="Arial" w:cs="Arial" w:hint="eastAsia"/>
          <w:sz w:val="20"/>
          <w:szCs w:val="20"/>
        </w:rPr>
        <w:instrText>≥</w:instrText>
      </w:r>
      <w:r w:rsidR="00DF0BB4">
        <w:rPr>
          <w:rFonts w:ascii="Arial" w:hAnsi="Arial" w:cs="Arial" w:hint="eastAsia"/>
          <w:sz w:val="20"/>
          <w:szCs w:val="20"/>
        </w:rPr>
        <w:instrText>2.7-fold. The liability of kinase inhibitors to affect CYP enzymes by time-dependent inhibition may have long-lasting consequen</w:instrText>
      </w:r>
      <w:r w:rsidR="00DF0BB4">
        <w:rPr>
          <w:rFonts w:ascii="Arial" w:hAnsi="Arial" w:cs="Arial"/>
          <w:sz w:val="20"/>
          <w:szCs w:val="20"/>
        </w:rPr>
        <w:instrText>ces and result in clinically relevant drug-drug interactions. Copyright © 2014 by The American Society for Pharmacology and Experimental Therapeutics.","author":[{"dropping-particle":"","family":"Filppula","given":"Anne M.","non-dropping-particle":"","parse-names":false,"suffix":""},{"dropping-particle":"","family":"Neuvonen","given":"Pertti J.","non-dropping-particle":"","parse-names":false,"suffix":""},{"dropping-particle":"","family":"Backman","given":"Janne T.","non-dropping-particle":"","parse-names":false,"suffix":""}],"container-title":"Drug Metabolism and Disposition","id":"ITEM-1","issue":"7","issued":{"date-parts":[["2014"]]},"page":"1202-1209","publisher":"American Society for Pharmacology and Experimental Therapy","title":"In vitro assessment of time-dependent inhibitory effects on CYP2C8 and CYP3A activity by fourteen protein kinase inhibitors","type":"article-journal","volume":"42"},"uris":["http://www.mendeley.com/documents/?uuid=646d6ca8-8eb8-3247-9336-14d66d883f60"]},{"id":"ITEM-2","itemData":{"DOI":"10.1038/aps.2010.218","ISSN":"16714083","abstract":"Aim:To ascertain the effects of erlotinib on CYP3A, to investigate the amplitude and kinetics of erlotinib-mediated inhibition of seven major CYP isoforms in human liver microsomes (HLMs) for evaluating the magnitude of erlotinib in drug-drug interaction in vivo.Methods:The activities of 7 major CYP isoforms (CYP1A2, CYP2A6, CYP3A, CYP2C9, CYP2D6, CYP2C8, and CYP2E1) were assessed in HLMs using HPLC or UFLC analysis. A two-step incubation method was used to examine the time-dependent inhibition of erlotinib on CYP3A.Results:The activity of CYP2C8 was inhibited with an IC50 value of 6.17±2.0 mol/L. Erlotinib stimulated the midazolam 1'-hydroxy reaction, but inhibited the formation of 6Β-hydroxytestosterone and oxidized nifedipine. Inhibition of CYP3A by erlotinib was substrate-dependent: the IC50 values for inhibiting testosterone 6Β-hydroxylation and nifedipine metabolism were 31.3±8.0 and 20.5±5.3 μmol/L, respectively. Erlotinib also exhibited the time-dependent inhibition on CYP3A, regardless of the probe substrate used: the value of KI and k inact were 6.3 μmol/L and 0.035 min-1 for midazolam; 9.0 μmol/L and 0.045 min-1 for testosterone; and 10.1 μmol/L and 0.058 min-1 for nifedipine.Conclusion:The inhibition of CYP3A by erlotinib was substrate-dependent, while its time-dependent inhibition on CYP3A was substrate-independent. The time-dependent inhibition of CYP3A may be a possible cause of drug-drug interaction, suggesting that attention should be paid to the evaluation of erlotinib's safety, especially in the context of combination therapy. © 2011 CPS and SIMM. All rights reserved.","author":[{"dropping-particle":"","family":"Dong","given":"Pei Pei","non-dropping-particle":"","parse-names":false,"suffix":""},{"dropping-particle":"","family":"Fang","given":"Zhong Ze","non-dropping-particle":"","parse-names":false,"suffix":""},{"dropping-particle":"","family":"Zhang","given":"Yan Yan","non-dropping-particle":"","parse-names":false,"suffix":""},{"dropping-particle":"","family":"Ge","given":"Guang Bo","non-dropping-particle":"","parse-names":false,"suffix":""},{"dropping-particle":"","family":"Mao","given":"Yu Xi","non-dropping-particle":"","parse-names":false,"suffix":""},{"dropping-particle":"","family":"Zhu","given":"Liang Liang","non-dropping-particle":"","parse-names":false,"suffix":""},{"dropping-particle":"","family":"Qu","given":"Yan Qing","non-dropping-particle":"","parse-names":false,"suffix":""},{"dropping-particle":"","family":"Li","given":"Wei","non-dropping-particle":"","parse-names":false,"suffix":""},{"dropping-particle":"","family":"Wang","given":"Li Ming","non-dropping-particle":"","parse-names":false,"suffix":""},{"dropping-particle":"","family":"Liu","given":"Chang Xiao","non-dropping-particle":"","parse-names":false,"suffix":""},{"dropping-particle":"","family":"Yang","given":"Ling","non-dropping-particle":"","parse-names":false,"suffix":""}],"container-title":"Acta Pharmacologica Sinica","id":"ITEM-2","issue":"3","issued":{"date-parts":[["2011"]]},"page":"399-407","publisher":"Nature Publishing Group","title":"Substrate-dependent modulation of the catalytic activity of CYP3A by erlotinib","type":"article-journal","volume":"32"},"uris":["http://www.mendeley.com/documents/?uuid=1930a1af-6cee-4dcb-95ca-45f780be1c2a"]}],"mendeley":{"formattedCitation":"&lt;sup&gt;15,16&lt;/sup&gt;","plainTextFormattedCitation":"15,16","previouslyFormattedCitation":"&lt;sup&gt;15,16&lt;/sup&gt;"},"properties":{"noteIndex":0},"schema":"https://github.com/citation-style-language/schema/raw/master/csl-citation.json"}</w:instrText>
      </w:r>
      <w:r w:rsidR="006C155F" w:rsidRPr="00C016DD">
        <w:rPr>
          <w:rFonts w:ascii="Arial" w:hAnsi="Arial" w:cs="Arial"/>
          <w:sz w:val="20"/>
          <w:szCs w:val="20"/>
        </w:rPr>
        <w:fldChar w:fldCharType="separate"/>
      </w:r>
      <w:r w:rsidR="00BD1DF4" w:rsidRPr="00BD1DF4">
        <w:rPr>
          <w:rFonts w:ascii="Arial" w:hAnsi="Arial" w:cs="Arial"/>
          <w:noProof/>
          <w:sz w:val="20"/>
          <w:szCs w:val="20"/>
          <w:vertAlign w:val="superscript"/>
        </w:rPr>
        <w:t>15,16</w:t>
      </w:r>
      <w:r w:rsidR="006C155F" w:rsidRPr="00C016DD">
        <w:rPr>
          <w:rFonts w:ascii="Arial" w:hAnsi="Arial" w:cs="Arial"/>
          <w:sz w:val="20"/>
          <w:szCs w:val="20"/>
        </w:rPr>
        <w:fldChar w:fldCharType="end"/>
      </w:r>
      <w:r w:rsidR="006C155F" w:rsidRPr="00C016DD">
        <w:rPr>
          <w:rFonts w:ascii="Arial" w:hAnsi="Arial" w:cs="Arial"/>
          <w:sz w:val="20"/>
          <w:szCs w:val="20"/>
        </w:rPr>
        <w:t xml:space="preserve"> and P-gp</w:t>
      </w:r>
      <w:r w:rsidR="001C7B54">
        <w:rPr>
          <w:rFonts w:ascii="Arial" w:hAnsi="Arial" w:cs="Arial"/>
          <w:sz w:val="20"/>
          <w:szCs w:val="20"/>
        </w:rPr>
        <w:t>,</w:t>
      </w:r>
      <w:r w:rsidR="006C155F" w:rsidRPr="00C016DD">
        <w:rPr>
          <w:rFonts w:ascii="Arial" w:hAnsi="Arial" w:cs="Arial"/>
          <w:sz w:val="20"/>
          <w:szCs w:val="20"/>
        </w:rPr>
        <w:t xml:space="preserve"> with nilotinib additionally </w:t>
      </w:r>
      <w:r w:rsidR="006C155F" w:rsidRPr="00C016DD">
        <w:rPr>
          <w:rFonts w:ascii="Arial" w:hAnsi="Arial" w:cs="Arial"/>
          <w:sz w:val="20"/>
          <w:szCs w:val="20"/>
        </w:rPr>
        <w:lastRenderedPageBreak/>
        <w:t>inhibiting OAT3</w:t>
      </w:r>
      <w:r w:rsidR="001655C8" w:rsidRPr="00C016DD">
        <w:rPr>
          <w:rFonts w:ascii="Arial" w:hAnsi="Arial" w:cs="Arial"/>
          <w:sz w:val="20"/>
          <w:szCs w:val="20"/>
        </w:rPr>
        <w:t>.</w:t>
      </w:r>
      <w:r w:rsidR="006C155F" w:rsidRPr="00C016DD">
        <w:rPr>
          <w:rFonts w:ascii="Arial" w:hAnsi="Arial" w:cs="Arial"/>
          <w:sz w:val="20"/>
          <w:szCs w:val="20"/>
        </w:rPr>
        <w:fldChar w:fldCharType="begin" w:fldLock="1"/>
      </w:r>
      <w:r w:rsidR="00DF0BB4">
        <w:rPr>
          <w:rFonts w:ascii="Arial" w:hAnsi="Arial" w:cs="Arial"/>
          <w:sz w:val="20"/>
          <w:szCs w:val="20"/>
        </w:rPr>
        <w:instrText>ADDIN CSL_CITATION {"citationItems":[{"id":"ITEM-1","itemData":{"DOI":"10.1124/dmd.114.059097","ISSN":"1521009X","abstract":"Solute carrier (SLC) transporters regulate the cellular influx and disposition of endogenous and xenobiotic compounds, including anticancer agents such as the multikinase inhibitors (MKIs). Recent evidence suggests that MKIs may also inhibit SLC-dependent transport of coadministered drugs, although present information on the relative susceptibilities of multiple SLC transporters is limited. This study evaluated 18 MKI drugs and metabolites as inhibitors of prototypic substrate uptake by 13 SLC transporters that were overexpressed in human embryonic kidney cells. Organic anion transporting polypeptides (OATPs) 1A2, 1B3, and 2B1, organic anion transporter 3 (OAT3), and organic cation transporter 1 (OCT1) were inhibited by most MKIs, whereas substrate uptake by OATP1B1, OAT1, 2, and 4, OCT2 and 3, and organic zwitterion/cation transporter 1 (OCTN1) was less susceptible to inhibition; OCTN2 was also inhibited by cediranib. In further studies, IC50 values were determined for the most effective MKIs, and erlotinib and cediranib were found to be potent competitive inhibitors of OATP2B1 (K&lt;inf&gt;i&lt;/inf&gt;= 41 nM) and OATP1A2 (K&lt;inf&gt;i&lt;/inf&gt;= 33 nM), respectively. From predictive approaches, several MKI-SLC interactions were found to be of potential in vivo significance. Copyright","author":[{"dropping-particle":"","family":"Johnston","given":"Rosie A.","non-dropping-particle":"","parse-names":false,"suffix":""},{"dropping-particle":"","family":"Rawling","given":"Tristan","non-dropping-particle":"","parse-names":false,"suffix":""},{"dropping-particle":"","family":"Chan","given":"Ting","non-dropping-particle":"","parse-names":false,"suffix":""},{"dropping-particle":"","family":"Zhou","given":"Fanfan","non-dropping-particle":"","parse-names":false,"suffix":""},{"dropping-particle":"","family":"Murray","given":"Michael","non-dropping-particle":"","parse-names":false,"suffix":""}],"container-title":"Drug Metabolism and Disposition","id":"ITEM-1","issue":"11","issued":{"date-parts":[["2014","11"]]},"page":"1851-1857","publisher":"American Society for Pharmacology and Experimental Therapy","title":"Selective inhibition of human solute carrier transporters by multikinase inhibitors","type":"article-journal","volume":"42"},"uris":["http://www.mendeley.com/documents/?uuid=b79aee58-1a39-4d45-88d9-371ffa5a1b31"]}],"mendeley":{"formattedCitation":"&lt;sup&gt;17&lt;/sup&gt;","plainTextFormattedCitation":"17","previouslyFormattedCitation":"&lt;sup&gt;17&lt;/sup&gt;"},"properties":{"noteIndex":0},"schema":"https://github.com/citation-style-language/schema/raw/master/csl-citation.json"}</w:instrText>
      </w:r>
      <w:r w:rsidR="006C155F" w:rsidRPr="00C016DD">
        <w:rPr>
          <w:rFonts w:ascii="Arial" w:hAnsi="Arial" w:cs="Arial"/>
          <w:sz w:val="20"/>
          <w:szCs w:val="20"/>
        </w:rPr>
        <w:fldChar w:fldCharType="separate"/>
      </w:r>
      <w:r w:rsidR="00BD1DF4" w:rsidRPr="00BD1DF4">
        <w:rPr>
          <w:rFonts w:ascii="Arial" w:hAnsi="Arial" w:cs="Arial"/>
          <w:noProof/>
          <w:sz w:val="20"/>
          <w:szCs w:val="20"/>
          <w:vertAlign w:val="superscript"/>
        </w:rPr>
        <w:t>17</w:t>
      </w:r>
      <w:r w:rsidR="006C155F" w:rsidRPr="00C016DD">
        <w:rPr>
          <w:rFonts w:ascii="Arial" w:hAnsi="Arial" w:cs="Arial"/>
          <w:sz w:val="20"/>
          <w:szCs w:val="20"/>
        </w:rPr>
        <w:fldChar w:fldCharType="end"/>
      </w:r>
      <w:r w:rsidR="005F53C8" w:rsidRPr="00C016DD">
        <w:rPr>
          <w:rFonts w:ascii="Arial" w:hAnsi="Arial" w:cs="Arial"/>
          <w:sz w:val="20"/>
          <w:szCs w:val="20"/>
        </w:rPr>
        <w:t xml:space="preserve"> </w:t>
      </w:r>
      <w:r w:rsidR="00F814F2">
        <w:rPr>
          <w:rFonts w:ascii="Arial" w:hAnsi="Arial" w:cs="Arial"/>
          <w:sz w:val="20"/>
          <w:szCs w:val="20"/>
        </w:rPr>
        <w:t>R</w:t>
      </w:r>
      <w:r w:rsidR="00670DDE" w:rsidRPr="00C016DD">
        <w:rPr>
          <w:rFonts w:ascii="Arial" w:hAnsi="Arial" w:cs="Arial"/>
          <w:sz w:val="20"/>
          <w:szCs w:val="20"/>
        </w:rPr>
        <w:t>enal impairment, a common comorbidity in the elderly cancer population, has also been verified as a covariate for increased rivaroxaban exposure</w:t>
      </w:r>
      <w:r w:rsidR="00F35CA0" w:rsidRPr="00C016DD">
        <w:rPr>
          <w:rFonts w:ascii="Arial" w:hAnsi="Arial" w:cs="Arial"/>
          <w:sz w:val="20"/>
          <w:szCs w:val="20"/>
        </w:rPr>
        <w:t xml:space="preserve"> and </w:t>
      </w:r>
      <w:r w:rsidR="007D0ADA" w:rsidRPr="00C016DD">
        <w:rPr>
          <w:rFonts w:ascii="Arial" w:hAnsi="Arial" w:cs="Arial"/>
          <w:sz w:val="20"/>
          <w:szCs w:val="20"/>
        </w:rPr>
        <w:t>bleeding risks</w:t>
      </w:r>
      <w:r w:rsidR="00670DDE" w:rsidRPr="00C016DD">
        <w:rPr>
          <w:rFonts w:ascii="Arial" w:hAnsi="Arial" w:cs="Arial"/>
          <w:sz w:val="20"/>
          <w:szCs w:val="20"/>
        </w:rPr>
        <w:t>.</w:t>
      </w:r>
      <w:r w:rsidR="00670DDE" w:rsidRPr="00C016DD">
        <w:rPr>
          <w:rFonts w:ascii="Arial" w:hAnsi="Arial" w:cs="Arial"/>
          <w:sz w:val="20"/>
          <w:szCs w:val="20"/>
        </w:rPr>
        <w:fldChar w:fldCharType="begin" w:fldLock="1"/>
      </w:r>
      <w:r w:rsidR="00DF0BB4">
        <w:rPr>
          <w:rFonts w:ascii="Arial" w:hAnsi="Arial" w:cs="Arial"/>
          <w:sz w:val="20"/>
          <w:szCs w:val="20"/>
        </w:rPr>
        <w:instrText>ADDIN CSL_CITATION {"citationItems":[{"id":"ITEM-1","itemData":{"DOI":"10.1111/j.1365-2125.2010.03753.x","ISBN":"1365-2125 (Electronic)\\r0306-5251 (Linking)","ISSN":"03065251","PMID":"21039764","abstract":"AIM: This study evaluated the effects of impaire</w:instrText>
      </w:r>
      <w:r w:rsidR="00DF0BB4">
        <w:rPr>
          <w:rFonts w:ascii="Arial" w:hAnsi="Arial" w:cs="Arial" w:hint="eastAsia"/>
          <w:sz w:val="20"/>
          <w:szCs w:val="20"/>
        </w:rPr>
        <w:instrText>d renal function on the pharmacokinetics, pharmacodynamics and safety of rivaroxaban (10mg single dose), an oral, direct Factor Xa inhibitor.\\n\\nMETHODS: Subjects (n= 32) were stratified based on measured creatinine clearance: healthy controls (</w:instrText>
      </w:r>
      <w:r w:rsidR="00DF0BB4">
        <w:rPr>
          <w:rFonts w:ascii="Arial" w:hAnsi="Arial" w:cs="Arial" w:hint="eastAsia"/>
          <w:sz w:val="20"/>
          <w:szCs w:val="20"/>
        </w:rPr>
        <w:instrText>≥</w:instrText>
      </w:r>
      <w:r w:rsidR="00DF0BB4">
        <w:rPr>
          <w:rFonts w:ascii="Arial" w:hAnsi="Arial" w:cs="Arial" w:hint="eastAsia"/>
          <w:sz w:val="20"/>
          <w:szCs w:val="20"/>
        </w:rPr>
        <w:instrText>80ml mi</w:instrText>
      </w:r>
      <w:r w:rsidR="00DF0BB4">
        <w:rPr>
          <w:rFonts w:ascii="Arial" w:hAnsi="Arial" w:cs="Arial"/>
          <w:sz w:val="20"/>
          <w:szCs w:val="20"/>
        </w:rPr>
        <w:instrText>n(-1) ), mild (50-79mlmin(-1) ), moderate (30-49mlmin(-1) ) and severe impairment (&lt;30mlmin(-1) ).\\n\\nRESULTS: Renal clearance of rivaroxaban decreased with increasing renal impairment. Thus, plasma concentrations increased and area under the plasma concentration-time curve (AUC) LS-mean values were 1.44-fold (90% confidence interval [CI] 1.1, 1.9; mild), 1.52-fold (90% CI 1.2, 2.0; moderate) and 1.64-fold (90% CI 1.2, 2.2; severe impairment) higher than in healthy controls. Corresponding values for the LS-mean of the AUC for prolongation of prothrombin time were 1.33-fold (90% CI 0.92, 1.92; mild), 2.16-fold (90% CI 1.51, 3.10 moderate) and 2.44-fold (90% CI 1.70, 3.49 severe) higher than in healthy subjects, respectively. Likewise, the LS-mean of the AUC for Factor Xa inhibition in subjects with mild renal impairment was 1.50-fold (90% CI 1.07, 2.10) higher than in healthy subjects. In subjects with moderate and severe renal impairment, the increase was 1.86-fold (90% CI 1.34, 2.59) and 2.0-fold (90% CI 1.44, 2.78) higher than in healthy subjects, respectively.\\n\\nCONCLUSIONS: Rivaroxaban clearance is decreased with increasing renal impairment, leading to increased plasma exposure and pharmacodynamic effects, as expected for a partially renally excreted drug. However, the influence of renal function on rivaroxaban clearance was moderate, even in subjects with severe renal impairment.","author":[{"dropping-particle":"","family":"Kubitza","given":"Dagmar","non-dropping-particle":"","parse-names":false,"suffix":""},{"dropping-particle":"","family":"Becka","given":"Michael","non-dropping-particle":"","parse-names":false,"suffix":""},{"dropping-particle":"","family":"Mueck","given":"Wolfgang","non-dropping-particle":"","parse-names":false,"suffix":""},{"dropping-particle":"","family":"Halabi","given":"Atef","non-dropping-particle":"","parse-names":false,"suffix":""},{"dropping-particle":"","family":"Maatouk","given":"Haidar","non-dropping-particle":"","parse-names":false,"suffix":""},{"dropping-particle":"","family":"Klause","given":"Norbert","non-dropping-particle":"","parse-names":false,"suffix":""},{"dropping-particle":"","family":"Lufft","given":"Volkmar","non-dropping-particle":"","parse-names":false,"suffix":""},{"dropping-particle":"","family":"Wand","given":"Dominic D.","non-dropping-particle":"","parse-names":false,"suffix":""},{"dropping-particle":"","family":"Philipp","given":"Thomas","non-dropping-particle":"","parse-names":false,"suffix":""},{"dropping-particle":"","family":"Bruck","given":"Heike","non-dropping-particle":"","parse-names":false,"suffix":""}],"container-title":"British Journal of Clinical Pharmacology","id":"ITEM-1","issue":"5","issued":{"date-parts":[["2010"]]},"page":"703-712","title":"Effects of renal impairment on the pharmacokinetics, pharmacodynamics and safety of rivaroxaban, an oral, direct Factor Xa inhibitor","type":"article-journal","volume":"70"},"uris":["http://www.mendeley.com/documents/?uuid=9e7640a1-a418-32fc-aedd-2be86e0b4036"]}],"mendeley":{"formattedCitation":"&lt;sup&gt;18&lt;/sup&gt;","plainTextFormattedCitation":"18","previouslyFormattedCitation":"&lt;sup&gt;18&lt;/sup&gt;"},"properties":{"noteIndex":0},"schema":"https://github.com/citation-style-language/schema/raw/master/csl-citation.json"}</w:instrText>
      </w:r>
      <w:r w:rsidR="00670DDE" w:rsidRPr="00C016DD">
        <w:rPr>
          <w:rFonts w:ascii="Arial" w:hAnsi="Arial" w:cs="Arial"/>
          <w:sz w:val="20"/>
          <w:szCs w:val="20"/>
        </w:rPr>
        <w:fldChar w:fldCharType="separate"/>
      </w:r>
      <w:r w:rsidR="00BD1DF4" w:rsidRPr="00BD1DF4">
        <w:rPr>
          <w:rFonts w:ascii="Arial" w:hAnsi="Arial" w:cs="Arial"/>
          <w:noProof/>
          <w:sz w:val="20"/>
          <w:szCs w:val="20"/>
          <w:vertAlign w:val="superscript"/>
        </w:rPr>
        <w:t>18</w:t>
      </w:r>
      <w:r w:rsidR="00670DDE" w:rsidRPr="00C016DD">
        <w:rPr>
          <w:rFonts w:ascii="Arial" w:hAnsi="Arial" w:cs="Arial"/>
          <w:sz w:val="20"/>
          <w:szCs w:val="20"/>
        </w:rPr>
        <w:fldChar w:fldCharType="end"/>
      </w:r>
      <w:r w:rsidR="00ED1181" w:rsidRPr="00C016DD">
        <w:rPr>
          <w:rFonts w:ascii="Arial" w:hAnsi="Arial" w:cs="Arial"/>
          <w:sz w:val="20"/>
          <w:szCs w:val="20"/>
        </w:rPr>
        <w:t xml:space="preserve"> </w:t>
      </w:r>
      <w:r w:rsidR="007740CE">
        <w:rPr>
          <w:rFonts w:ascii="Arial" w:hAnsi="Arial" w:cs="Arial"/>
          <w:sz w:val="20"/>
          <w:szCs w:val="20"/>
        </w:rPr>
        <w:t>W</w:t>
      </w:r>
      <w:r w:rsidR="00266607" w:rsidRPr="00C016DD">
        <w:rPr>
          <w:rFonts w:ascii="Arial" w:hAnsi="Arial" w:cs="Arial"/>
          <w:sz w:val="20"/>
          <w:szCs w:val="20"/>
        </w:rPr>
        <w:t xml:space="preserve">hile </w:t>
      </w:r>
      <w:r w:rsidR="00124429" w:rsidRPr="00C016DD">
        <w:rPr>
          <w:rFonts w:ascii="Arial" w:hAnsi="Arial" w:cs="Arial"/>
          <w:sz w:val="20"/>
          <w:szCs w:val="20"/>
        </w:rPr>
        <w:t xml:space="preserve">rivaroxaban was </w:t>
      </w:r>
      <w:r w:rsidR="00ED1181" w:rsidRPr="00C016DD">
        <w:rPr>
          <w:rFonts w:ascii="Arial" w:hAnsi="Arial" w:cs="Arial"/>
          <w:sz w:val="20"/>
          <w:szCs w:val="20"/>
        </w:rPr>
        <w:t xml:space="preserve">initially </w:t>
      </w:r>
      <w:r w:rsidR="00124429" w:rsidRPr="00C016DD">
        <w:rPr>
          <w:rFonts w:ascii="Arial" w:hAnsi="Arial" w:cs="Arial"/>
          <w:sz w:val="20"/>
          <w:szCs w:val="20"/>
        </w:rPr>
        <w:t>poised to become a cornerstone of anticoagulant therapy</w:t>
      </w:r>
      <w:r w:rsidR="00266607" w:rsidRPr="00C016DD">
        <w:rPr>
          <w:rFonts w:ascii="Arial" w:hAnsi="Arial" w:cs="Arial"/>
          <w:sz w:val="20"/>
          <w:szCs w:val="20"/>
        </w:rPr>
        <w:t xml:space="preserve"> in CA-VTE</w:t>
      </w:r>
      <w:r w:rsidR="00B10E0D" w:rsidRPr="00C016DD">
        <w:rPr>
          <w:rFonts w:ascii="Arial" w:hAnsi="Arial" w:cs="Arial"/>
          <w:sz w:val="20"/>
          <w:szCs w:val="20"/>
        </w:rPr>
        <w:t>, its</w:t>
      </w:r>
      <w:r w:rsidR="00124429" w:rsidRPr="00C016DD">
        <w:rPr>
          <w:rFonts w:ascii="Arial" w:hAnsi="Arial" w:cs="Arial"/>
          <w:sz w:val="20"/>
          <w:szCs w:val="20"/>
        </w:rPr>
        <w:t xml:space="preserve"> clinical utility remains restricted by limited knowledge of the </w:t>
      </w:r>
      <w:r w:rsidR="00FE565E" w:rsidRPr="00C016DD">
        <w:rPr>
          <w:rFonts w:ascii="Arial" w:hAnsi="Arial" w:cs="Arial"/>
          <w:sz w:val="20"/>
          <w:szCs w:val="20"/>
        </w:rPr>
        <w:t xml:space="preserve">nature and </w:t>
      </w:r>
      <w:r w:rsidR="00124429" w:rsidRPr="00C016DD">
        <w:rPr>
          <w:rFonts w:ascii="Arial" w:hAnsi="Arial" w:cs="Arial"/>
          <w:sz w:val="20"/>
          <w:szCs w:val="20"/>
        </w:rPr>
        <w:t xml:space="preserve">extent of </w:t>
      </w:r>
      <w:r w:rsidR="00FE565E" w:rsidRPr="00C016DD">
        <w:rPr>
          <w:rFonts w:ascii="Arial" w:hAnsi="Arial" w:cs="Arial"/>
          <w:sz w:val="20"/>
          <w:szCs w:val="20"/>
        </w:rPr>
        <w:t>DDDIs</w:t>
      </w:r>
      <w:r w:rsidR="00124429" w:rsidRPr="00C016DD">
        <w:rPr>
          <w:rFonts w:ascii="Arial" w:hAnsi="Arial" w:cs="Arial"/>
          <w:sz w:val="20"/>
          <w:szCs w:val="20"/>
        </w:rPr>
        <w:t xml:space="preserve"> between rivaroxaban and anticancer therapies</w:t>
      </w:r>
      <w:r w:rsidR="007740CE">
        <w:rPr>
          <w:rFonts w:ascii="Arial" w:hAnsi="Arial" w:cs="Arial"/>
          <w:sz w:val="20"/>
          <w:szCs w:val="20"/>
        </w:rPr>
        <w:t>. T</w:t>
      </w:r>
      <w:r w:rsidR="00124429" w:rsidRPr="00C016DD">
        <w:rPr>
          <w:rFonts w:ascii="Arial" w:hAnsi="Arial" w:cs="Arial"/>
          <w:sz w:val="20"/>
          <w:szCs w:val="20"/>
        </w:rPr>
        <w:t>he lack of specific dosing recommendations in the presence of ant</w:t>
      </w:r>
      <w:r w:rsidR="007740CE">
        <w:rPr>
          <w:rFonts w:ascii="Arial" w:hAnsi="Arial" w:cs="Arial"/>
          <w:sz w:val="20"/>
          <w:szCs w:val="20"/>
        </w:rPr>
        <w:t xml:space="preserve">icipated exposure variations creates </w:t>
      </w:r>
      <w:r w:rsidR="00124429" w:rsidRPr="00C016DD">
        <w:rPr>
          <w:rFonts w:ascii="Arial" w:hAnsi="Arial" w:cs="Arial"/>
          <w:sz w:val="20"/>
          <w:szCs w:val="20"/>
        </w:rPr>
        <w:t xml:space="preserve">a compelling case </w:t>
      </w:r>
      <w:r w:rsidR="00300432" w:rsidRPr="00C016DD">
        <w:rPr>
          <w:rFonts w:ascii="Arial" w:hAnsi="Arial" w:cs="Arial"/>
          <w:sz w:val="20"/>
          <w:szCs w:val="20"/>
        </w:rPr>
        <w:t>for precision dosing guided by physiologically-based pharmacokinetic (PBPK) modelling.</w:t>
      </w:r>
    </w:p>
    <w:p w14:paraId="5D1E2873" w14:textId="77777777" w:rsidR="00062B7A" w:rsidRDefault="00062B7A" w:rsidP="00062B7A">
      <w:pPr>
        <w:spacing w:after="0" w:line="480" w:lineRule="auto"/>
        <w:jc w:val="both"/>
        <w:rPr>
          <w:rFonts w:ascii="Arial" w:eastAsia="Times New Roman" w:hAnsi="Arial" w:cs="Arial"/>
          <w:color w:val="000000"/>
          <w:sz w:val="20"/>
          <w:szCs w:val="20"/>
          <w:lang w:val="en-SG"/>
        </w:rPr>
      </w:pPr>
    </w:p>
    <w:p w14:paraId="037098B2" w14:textId="0E93F4AC" w:rsidR="00C515AA" w:rsidRPr="00C016DD" w:rsidRDefault="00D31474" w:rsidP="00062B7A">
      <w:pPr>
        <w:spacing w:after="0" w:line="480" w:lineRule="auto"/>
        <w:jc w:val="both"/>
        <w:rPr>
          <w:rFonts w:ascii="Arial" w:hAnsi="Arial" w:cs="Arial"/>
          <w:color w:val="000000"/>
          <w:sz w:val="20"/>
          <w:szCs w:val="20"/>
          <w:lang w:val="en-SG"/>
        </w:rPr>
      </w:pPr>
      <w:r w:rsidRPr="00C016DD">
        <w:rPr>
          <w:rFonts w:ascii="Arial" w:eastAsia="Times New Roman" w:hAnsi="Arial" w:cs="Arial"/>
          <w:color w:val="000000"/>
          <w:sz w:val="20"/>
          <w:szCs w:val="20"/>
          <w:lang w:val="en-SG"/>
        </w:rPr>
        <w:t>Parameterized with a combination of drug and system-specific input parameters, PBPK models</w:t>
      </w:r>
      <w:r w:rsidR="00C525D9" w:rsidRPr="00C016DD">
        <w:rPr>
          <w:rFonts w:ascii="Arial" w:eastAsia="Times New Roman" w:hAnsi="Arial" w:cs="Arial"/>
          <w:color w:val="000000"/>
          <w:sz w:val="20"/>
          <w:szCs w:val="20"/>
          <w:lang w:val="en-SG"/>
        </w:rPr>
        <w:t xml:space="preserve"> represent a quantitative mechanistic framework by which </w:t>
      </w:r>
      <w:r w:rsidR="00C525D9" w:rsidRPr="00C016DD">
        <w:rPr>
          <w:rFonts w:ascii="Arial" w:eastAsia="Times New Roman" w:hAnsi="Arial" w:cs="Arial"/>
          <w:i/>
          <w:iCs/>
          <w:color w:val="000000"/>
          <w:sz w:val="20"/>
          <w:szCs w:val="20"/>
          <w:lang w:val="en-SG"/>
        </w:rPr>
        <w:t>a priori</w:t>
      </w:r>
      <w:r w:rsidR="00C525D9" w:rsidRPr="00C016DD">
        <w:rPr>
          <w:rFonts w:ascii="Arial" w:eastAsia="Times New Roman" w:hAnsi="Arial" w:cs="Arial"/>
          <w:color w:val="000000"/>
          <w:sz w:val="20"/>
          <w:szCs w:val="20"/>
          <w:lang w:val="en-SG"/>
        </w:rPr>
        <w:t xml:space="preserve"> simulations of drug exposure can be performed and</w:t>
      </w:r>
      <w:r w:rsidRPr="00C016DD">
        <w:rPr>
          <w:rFonts w:ascii="Arial" w:eastAsia="Times New Roman" w:hAnsi="Arial" w:cs="Arial"/>
          <w:color w:val="000000"/>
          <w:sz w:val="20"/>
          <w:szCs w:val="20"/>
          <w:lang w:val="en-SG"/>
        </w:rPr>
        <w:t xml:space="preserve"> </w:t>
      </w:r>
      <w:r w:rsidR="00C525D9" w:rsidRPr="00C016DD">
        <w:rPr>
          <w:rFonts w:ascii="Arial" w:eastAsia="Times New Roman" w:hAnsi="Arial" w:cs="Arial"/>
          <w:color w:val="000000"/>
          <w:sz w:val="20"/>
          <w:szCs w:val="20"/>
          <w:lang w:val="en-SG"/>
        </w:rPr>
        <w:t xml:space="preserve">have proven to be a panacea to current challenges faced in extrapolation beyond the tested trial population. </w:t>
      </w:r>
      <w:r w:rsidRPr="00C016DD">
        <w:rPr>
          <w:rFonts w:ascii="Arial" w:eastAsia="Times New Roman" w:hAnsi="Arial" w:cs="Arial"/>
          <w:color w:val="000000"/>
          <w:sz w:val="20"/>
          <w:szCs w:val="20"/>
          <w:lang w:val="en-SG"/>
        </w:rPr>
        <w:t>Nevertheless, application of PBPK modelling for prospective DDDI simulations warrants that the PBPK-DDDI platform be qualified as “fit for purpose”.</w:t>
      </w:r>
      <w:r w:rsidR="003C0E2D" w:rsidRPr="00C016DD">
        <w:rPr>
          <w:rFonts w:ascii="Arial" w:eastAsia="Times New Roman" w:hAnsi="Arial" w:cs="Arial"/>
          <w:color w:val="000000"/>
          <w:sz w:val="20"/>
          <w:szCs w:val="20"/>
          <w:lang w:val="en-SG"/>
        </w:rPr>
        <w:fldChar w:fldCharType="begin" w:fldLock="1"/>
      </w:r>
      <w:r w:rsidR="00DF0BB4">
        <w:rPr>
          <w:rFonts w:ascii="Arial" w:eastAsia="Times New Roman" w:hAnsi="Arial" w:cs="Arial"/>
          <w:color w:val="000000"/>
          <w:sz w:val="20"/>
          <w:szCs w:val="20"/>
          <w:lang w:val="en-SG"/>
        </w:rPr>
        <w:instrText>ADDIN CSL_CITATION {"citationItems":[{"id":"ITEM-1","itemData":{"DOI":"10.1007/s40262-019-00790-0","ISBN":"0123456789","ISSN":"11791926","abstract":"When scientifically well-founded, the mechanistic basis of physiologically based pharmacokinetic (PBPK) models can help reduce the uncertainty and increase confidence in extrapolations outside the studied scenarios or studied populations. However, it is not always possible to establish mechanistically credible PBPK models. Requirements to establishing confidence in PBPK models, and challenges to meeting these requirements, are presented in this article. Parameter non-identifiability is the most challenging among the barriers to establishing confidence in PBPK models. Using case examples of small molecule drugs, this article examines the use of hypothesis testing to overcome parameter non-identifiability issues, with the objective of enhancing confidence in the mechanistic basis of PBPK models and thereby improving the quality of predictions that are meant for internal decisions and regulatory submissions. When the mechanistic basis of a PBPK model cannot be established, we propose the use of simpler models or evidence-based approaches.","author":[{"dropping-particle":"","family":"Peters","given":"Sheila Annie","non-dropping-particle":"","parse-names":false,"suffix":""},{"dropping-particle":"","family":"Dolgos","given":"Hugues","non-dropping-particle":"","parse-names":false,"suffix":""}],"container-title":"Clinical Pharmacokinetics","id":"ITEM-1","issue":"11","issued":{"date-parts":[["2019"]]},"page":"1355-1371","publisher":"Springer International Publishing","title":"Requirements to Establishing Confidence in Physiologically Based Pharmacokinetic (PBPK) Models and Overcoming Some of the Challenges to Meeting Them","type":"article-journal","volume":"58"},"uris":["http://www.mendeley.com/documents/?uuid=72f39b1e-3229-4312-95f8-9550c42b0bb1"]}],"mendeley":{"formattedCitation":"&lt;sup&gt;19&lt;/sup&gt;","plainTextFormattedCitation":"19","previouslyFormattedCitation":"&lt;sup&gt;19&lt;/sup&gt;"},"properties":{"noteIndex":0},"schema":"https://github.com/citation-style-language/schema/raw/master/csl-citation.json"}</w:instrText>
      </w:r>
      <w:r w:rsidR="003C0E2D" w:rsidRPr="00C016DD">
        <w:rPr>
          <w:rFonts w:ascii="Arial" w:eastAsia="Times New Roman" w:hAnsi="Arial" w:cs="Arial"/>
          <w:color w:val="000000"/>
          <w:sz w:val="20"/>
          <w:szCs w:val="20"/>
          <w:lang w:val="en-SG"/>
        </w:rPr>
        <w:fldChar w:fldCharType="separate"/>
      </w:r>
      <w:r w:rsidR="00BD1DF4" w:rsidRPr="00BD1DF4">
        <w:rPr>
          <w:rFonts w:ascii="Arial" w:eastAsia="Times New Roman" w:hAnsi="Arial" w:cs="Arial"/>
          <w:noProof/>
          <w:color w:val="000000"/>
          <w:sz w:val="20"/>
          <w:szCs w:val="20"/>
          <w:vertAlign w:val="superscript"/>
          <w:lang w:val="en-SG"/>
        </w:rPr>
        <w:t>19</w:t>
      </w:r>
      <w:r w:rsidR="003C0E2D" w:rsidRPr="00C016DD">
        <w:rPr>
          <w:rFonts w:ascii="Arial" w:eastAsia="Times New Roman" w:hAnsi="Arial" w:cs="Arial"/>
          <w:color w:val="000000"/>
          <w:sz w:val="20"/>
          <w:szCs w:val="20"/>
          <w:lang w:val="en-SG"/>
        </w:rPr>
        <w:fldChar w:fldCharType="end"/>
      </w:r>
      <w:r w:rsidR="00245748">
        <w:rPr>
          <w:rFonts w:ascii="Arial" w:eastAsia="Times New Roman" w:hAnsi="Arial" w:cs="Arial"/>
          <w:color w:val="000000"/>
          <w:sz w:val="20"/>
          <w:szCs w:val="20"/>
          <w:lang w:val="en-SG"/>
        </w:rPr>
        <w:t xml:space="preserve"> </w:t>
      </w:r>
      <w:r w:rsidR="008F2376">
        <w:rPr>
          <w:rFonts w:ascii="Arial" w:eastAsia="Times New Roman" w:hAnsi="Arial" w:cs="Arial"/>
          <w:color w:val="000000"/>
          <w:sz w:val="20"/>
          <w:szCs w:val="20"/>
          <w:lang w:val="en-SG"/>
        </w:rPr>
        <w:t xml:space="preserve">Our </w:t>
      </w:r>
      <w:r w:rsidR="004C04FB" w:rsidRPr="00C016DD">
        <w:rPr>
          <w:rFonts w:ascii="Arial" w:hAnsi="Arial" w:cs="Arial"/>
          <w:sz w:val="20"/>
          <w:szCs w:val="20"/>
        </w:rPr>
        <w:t xml:space="preserve">previous </w:t>
      </w:r>
      <w:r w:rsidR="00C515AA" w:rsidRPr="00C016DD">
        <w:rPr>
          <w:rFonts w:ascii="Arial" w:hAnsi="Arial" w:cs="Arial"/>
          <w:sz w:val="20"/>
          <w:szCs w:val="20"/>
        </w:rPr>
        <w:t xml:space="preserve">PBPK model of rivaroxaban has mechanistically delineated </w:t>
      </w:r>
      <w:r w:rsidR="001C5F46">
        <w:rPr>
          <w:rFonts w:ascii="Arial" w:hAnsi="Arial" w:cs="Arial"/>
          <w:sz w:val="20"/>
          <w:szCs w:val="20"/>
        </w:rPr>
        <w:t>its</w:t>
      </w:r>
      <w:r w:rsidR="00C515AA" w:rsidRPr="00C016DD">
        <w:rPr>
          <w:rFonts w:ascii="Arial" w:hAnsi="Arial" w:cs="Arial"/>
          <w:sz w:val="20"/>
          <w:szCs w:val="20"/>
        </w:rPr>
        <w:t xml:space="preserve"> hepatic and renal elimination pathways for application as a victim substrate.</w:t>
      </w:r>
      <w:r w:rsidR="00313D54">
        <w:rPr>
          <w:rFonts w:ascii="Arial" w:hAnsi="Arial" w:cs="Arial"/>
          <w:sz w:val="20"/>
          <w:szCs w:val="20"/>
        </w:rPr>
        <w:fldChar w:fldCharType="begin" w:fldLock="1"/>
      </w:r>
      <w:r w:rsidR="00DF0BB4">
        <w:rPr>
          <w:rFonts w:ascii="Arial" w:hAnsi="Arial" w:cs="Arial"/>
          <w:sz w:val="20"/>
          <w:szCs w:val="20"/>
        </w:rPr>
        <w:instrText>ADDIN CSL_CITATION {"citationItems":[{"id":"ITEM-1","itemData":{"author":[{"dropping-particle":"","family":"Jing","given":"Eleanor","non-dropping-particle":"","parse-names":false,"suffix":""},{"dropping-particle":"","family":"Cheong","given":"Yi","non-dropping-particle":"","parse-names":false,"suffix":""},{"dropping-particle":"","family":"Wun","given":"Denise","non-dropping-particle":"","parse-names":false,"suffix":""},{"dropping-particle":"","family":"Teo","given":"Xi","non-dropping-particle":"","parse-names":false,"suffix":""},{"dropping-particle":"","family":"Xin","given":"Denise","non-dropping-particle":"","parse-names":false,"suffix":""},{"dropping-particle":"","family":"Chua","given":"Yi","non-dropping-particle":"","parse-names":false,"suffix":""},{"dropping-particle":"","family":"Chun","given":"Eric","non-dropping-particle":"","parse-names":false,"suffix":""},{"dropping-particle":"","family":"Chan","given":"Yong","non-dropping-particle":"","parse-names":false,"suffix":""}],"id":"ITEM-1","issued":{"date-parts":[["2019"]]},"title":"Systematic Development and Verification of a Physiologically Based Pharmacokinetic Model of Rivaroxaban s","type":"article-journal"},"uris":["http://www.mendeley.com/documents/?uuid=9ed721ff-d724-457c-a507-0f173d45daac"]}],"mendeley":{"formattedCitation":"&lt;sup&gt;8&lt;/sup&gt;","plainTextFormattedCitation":"8","previouslyFormattedCitation":"&lt;sup&gt;8&lt;/sup&gt;"},"properties":{"noteIndex":0},"schema":"https://github.com/citation-style-language/schema/raw/master/csl-citation.json"}</w:instrText>
      </w:r>
      <w:r w:rsidR="00313D54">
        <w:rPr>
          <w:rFonts w:ascii="Arial" w:hAnsi="Arial" w:cs="Arial"/>
          <w:sz w:val="20"/>
          <w:szCs w:val="20"/>
        </w:rPr>
        <w:fldChar w:fldCharType="separate"/>
      </w:r>
      <w:r w:rsidR="00BD1DF4" w:rsidRPr="00BD1DF4">
        <w:rPr>
          <w:rFonts w:ascii="Arial" w:hAnsi="Arial" w:cs="Arial"/>
          <w:noProof/>
          <w:sz w:val="20"/>
          <w:szCs w:val="20"/>
          <w:vertAlign w:val="superscript"/>
        </w:rPr>
        <w:t>8</w:t>
      </w:r>
      <w:r w:rsidR="00313D54">
        <w:rPr>
          <w:rFonts w:ascii="Arial" w:hAnsi="Arial" w:cs="Arial"/>
          <w:sz w:val="20"/>
          <w:szCs w:val="20"/>
        </w:rPr>
        <w:fldChar w:fldCharType="end"/>
      </w:r>
      <w:r w:rsidR="00C515AA" w:rsidRPr="00C016DD">
        <w:rPr>
          <w:rFonts w:ascii="Arial" w:hAnsi="Arial" w:cs="Arial"/>
          <w:sz w:val="20"/>
          <w:szCs w:val="20"/>
        </w:rPr>
        <w:t xml:space="preserve"> Additionally, successful recapitulation of the magnitude of </w:t>
      </w:r>
      <w:r w:rsidR="00800F81" w:rsidRPr="00C016DD">
        <w:rPr>
          <w:rFonts w:ascii="Arial" w:hAnsi="Arial" w:cs="Arial"/>
          <w:sz w:val="20"/>
          <w:szCs w:val="20"/>
        </w:rPr>
        <w:t>enzyme-mediated</w:t>
      </w:r>
      <w:r w:rsidR="00803E03">
        <w:rPr>
          <w:rFonts w:ascii="Arial" w:hAnsi="Arial" w:cs="Arial"/>
          <w:sz w:val="20"/>
          <w:szCs w:val="20"/>
        </w:rPr>
        <w:t xml:space="preserve"> drug-drug interactions (</w:t>
      </w:r>
      <w:r w:rsidR="00C515AA" w:rsidRPr="00C016DD">
        <w:rPr>
          <w:rFonts w:ascii="Arial" w:hAnsi="Arial" w:cs="Arial"/>
          <w:sz w:val="20"/>
          <w:szCs w:val="20"/>
        </w:rPr>
        <w:t>DDI</w:t>
      </w:r>
      <w:r w:rsidR="00803E03">
        <w:rPr>
          <w:rFonts w:ascii="Arial" w:hAnsi="Arial" w:cs="Arial"/>
          <w:sz w:val="20"/>
          <w:szCs w:val="20"/>
        </w:rPr>
        <w:t>s)</w:t>
      </w:r>
      <w:r w:rsidR="00C515AA" w:rsidRPr="00C016DD">
        <w:rPr>
          <w:rFonts w:ascii="Arial" w:hAnsi="Arial" w:cs="Arial"/>
          <w:sz w:val="20"/>
          <w:szCs w:val="20"/>
        </w:rPr>
        <w:t xml:space="preserve"> with prototypical CYP3A4/2J2 inhibitors (verapamil and ketoconazole) also attests to the </w:t>
      </w:r>
      <w:r w:rsidR="00C515AA" w:rsidRPr="00C016DD">
        <w:rPr>
          <w:rFonts w:ascii="Arial" w:hAnsi="Arial" w:cs="Arial"/>
          <w:i/>
          <w:iCs/>
          <w:sz w:val="20"/>
          <w:szCs w:val="20"/>
        </w:rPr>
        <w:t xml:space="preserve">in vivo </w:t>
      </w:r>
      <w:r w:rsidR="00C515AA" w:rsidRPr="00C016DD">
        <w:rPr>
          <w:rFonts w:ascii="Arial" w:hAnsi="Arial" w:cs="Arial"/>
          <w:sz w:val="20"/>
          <w:szCs w:val="20"/>
        </w:rPr>
        <w:t xml:space="preserve">relevance and robustness of the </w:t>
      </w:r>
      <w:r w:rsidR="00C515AA" w:rsidRPr="00C016DD">
        <w:rPr>
          <w:rFonts w:ascii="Arial" w:hAnsi="Arial" w:cs="Arial"/>
          <w:i/>
          <w:iCs/>
          <w:sz w:val="20"/>
          <w:szCs w:val="20"/>
        </w:rPr>
        <w:t xml:space="preserve">in vitro </w:t>
      </w:r>
      <w:r w:rsidR="00C515AA" w:rsidRPr="00C016DD">
        <w:rPr>
          <w:rFonts w:ascii="Arial" w:hAnsi="Arial" w:cs="Arial"/>
          <w:sz w:val="20"/>
          <w:szCs w:val="20"/>
        </w:rPr>
        <w:t>derived enzymatic inhibitory parameters. However, simulations overpredicted the renal elimination of rivaroxaban in the presence of concomitant ketoconazole therapy. Subsequent sensitivity analysis attributed this observation to an underprediction in the characteri</w:t>
      </w:r>
      <w:r w:rsidR="009D7BA2" w:rsidRPr="00C016DD">
        <w:rPr>
          <w:rFonts w:ascii="Arial" w:hAnsi="Arial" w:cs="Arial"/>
          <w:sz w:val="20"/>
          <w:szCs w:val="20"/>
        </w:rPr>
        <w:t>z</w:t>
      </w:r>
      <w:r w:rsidR="00C515AA" w:rsidRPr="00C016DD">
        <w:rPr>
          <w:rFonts w:ascii="Arial" w:hAnsi="Arial" w:cs="Arial"/>
          <w:sz w:val="20"/>
          <w:szCs w:val="20"/>
        </w:rPr>
        <w:t xml:space="preserve">ed inhibitor potency of ketoconazole on </w:t>
      </w:r>
      <w:r w:rsidR="00E969CD">
        <w:rPr>
          <w:rFonts w:ascii="Arial" w:hAnsi="Arial" w:cs="Arial"/>
          <w:sz w:val="20"/>
          <w:szCs w:val="20"/>
        </w:rPr>
        <w:t xml:space="preserve">the </w:t>
      </w:r>
      <w:r w:rsidR="00C515AA" w:rsidRPr="00C016DD">
        <w:rPr>
          <w:rFonts w:ascii="Arial" w:hAnsi="Arial" w:cs="Arial"/>
          <w:sz w:val="20"/>
          <w:szCs w:val="20"/>
        </w:rPr>
        <w:t>OAT3-mediated transport of rivaroxaban</w:t>
      </w:r>
      <w:r w:rsidR="009D7BA2" w:rsidRPr="00C016DD">
        <w:rPr>
          <w:rFonts w:ascii="Arial" w:hAnsi="Arial" w:cs="Arial"/>
          <w:sz w:val="20"/>
          <w:szCs w:val="20"/>
        </w:rPr>
        <w:t>.</w:t>
      </w:r>
      <w:r w:rsidR="00C515AA" w:rsidRPr="00C016DD">
        <w:rPr>
          <w:rFonts w:ascii="Arial" w:hAnsi="Arial" w:cs="Arial"/>
          <w:sz w:val="20"/>
          <w:szCs w:val="20"/>
        </w:rPr>
        <w:fldChar w:fldCharType="begin" w:fldLock="1"/>
      </w:r>
      <w:r w:rsidR="00DF0BB4">
        <w:rPr>
          <w:rFonts w:ascii="Arial" w:hAnsi="Arial" w:cs="Arial"/>
          <w:sz w:val="20"/>
          <w:szCs w:val="20"/>
        </w:rPr>
        <w:instrText>ADDIN CSL_CITATION {"citationItems":[{"id":"ITEM-1","itemData":{"author":[{"dropping-particle":"","family":"Jing","given":"Eleanor","non-dropping-particle":"","parse-names":false,"suffix":""},{"dropping-particle":"","family":"Cheong","given":"Yi","non-dropping-particle":"","parse-names":false,"suffix":""},{"dropping-particle":"","family":"Wun","given":"Denise","non-dropping-particle":"","parse-names":false,"suffix":""},{"dropping-particle":"","family":"Teo","given":"Xi","non-dropping-particle":"","parse-names":false,"suffix":""},{"dropping-particle":"","family":"Xin","given":"Denise","non-dropping-particle":"","parse-names":false,"suffix":""},{"dropping-particle":"","family":"Chua","given":"Yi","non-dropping-particle":"","parse-names":false,"suffix":""},{"dropping-particle":"","family":"Chun","given":"Eric","non-dropping-particle":"","parse-names":false,"suffix":""},{"dropping-particle":"","family":"Chan","given":"Yong","non-dropping-particle":"","parse-names":false,"suffix":""}],"id":"ITEM-1","issued":{"date-parts":[["2019"]]},"title":"Systematic Development and Verification of a Physiologically Based Pharmacokinetic Model of Rivaroxaban s","type":"article-journal"},"uris":["http://www.mendeley.com/documents/?uuid=9ed721ff-d724-457c-a507-0f173d45daac"]}],"mendeley":{"formattedCitation":"&lt;sup&gt;8&lt;/sup&gt;","plainTextFormattedCitation":"8","previouslyFormattedCitation":"&lt;sup&gt;8&lt;/sup&gt;"},"properties":{"noteIndex":0},"schema":"https://github.com/citation-style-language/schema/raw/master/csl-citation.json"}</w:instrText>
      </w:r>
      <w:r w:rsidR="00C515AA" w:rsidRPr="00C016DD">
        <w:rPr>
          <w:rFonts w:ascii="Arial" w:hAnsi="Arial" w:cs="Arial"/>
          <w:sz w:val="20"/>
          <w:szCs w:val="20"/>
        </w:rPr>
        <w:fldChar w:fldCharType="separate"/>
      </w:r>
      <w:r w:rsidR="00BD1DF4" w:rsidRPr="00BD1DF4">
        <w:rPr>
          <w:rFonts w:ascii="Arial" w:hAnsi="Arial" w:cs="Arial"/>
          <w:noProof/>
          <w:sz w:val="20"/>
          <w:szCs w:val="20"/>
          <w:vertAlign w:val="superscript"/>
        </w:rPr>
        <w:t>8</w:t>
      </w:r>
      <w:r w:rsidR="00C515AA" w:rsidRPr="00C016DD">
        <w:rPr>
          <w:rFonts w:ascii="Arial" w:hAnsi="Arial" w:cs="Arial"/>
          <w:sz w:val="20"/>
          <w:szCs w:val="20"/>
        </w:rPr>
        <w:fldChar w:fldCharType="end"/>
      </w:r>
      <w:r w:rsidR="00C515AA" w:rsidRPr="00C016DD">
        <w:rPr>
          <w:rFonts w:ascii="Arial" w:hAnsi="Arial" w:cs="Arial"/>
          <w:sz w:val="20"/>
          <w:szCs w:val="20"/>
        </w:rPr>
        <w:t xml:space="preserve"> Indeed, this phenomenon is consistent with difficulties faced by previous efforts in recapitulating transporter</w:t>
      </w:r>
      <w:r w:rsidR="003529E2" w:rsidRPr="00C016DD">
        <w:rPr>
          <w:rFonts w:ascii="Arial" w:hAnsi="Arial" w:cs="Arial"/>
          <w:sz w:val="20"/>
          <w:szCs w:val="20"/>
        </w:rPr>
        <w:t>-</w:t>
      </w:r>
      <w:r w:rsidR="00C515AA" w:rsidRPr="00C016DD">
        <w:rPr>
          <w:rFonts w:ascii="Arial" w:hAnsi="Arial" w:cs="Arial"/>
          <w:sz w:val="20"/>
          <w:szCs w:val="20"/>
        </w:rPr>
        <w:t>mediated DDI</w:t>
      </w:r>
      <w:r w:rsidR="009D7BA2" w:rsidRPr="00C016DD">
        <w:rPr>
          <w:rFonts w:ascii="Arial" w:hAnsi="Arial" w:cs="Arial"/>
          <w:sz w:val="20"/>
          <w:szCs w:val="20"/>
        </w:rPr>
        <w:t>.</w:t>
      </w:r>
      <w:r w:rsidR="00C515AA" w:rsidRPr="00C016DD">
        <w:rPr>
          <w:rFonts w:ascii="Arial" w:hAnsi="Arial" w:cs="Arial"/>
          <w:sz w:val="20"/>
          <w:szCs w:val="20"/>
        </w:rPr>
        <w:fldChar w:fldCharType="begin" w:fldLock="1"/>
      </w:r>
      <w:r w:rsidR="00F257A1" w:rsidRPr="00C016DD">
        <w:rPr>
          <w:rFonts w:ascii="Arial" w:hAnsi="Arial" w:cs="Arial"/>
          <w:sz w:val="20"/>
          <w:szCs w:val="20"/>
        </w:rPr>
        <w:instrText>ADDIN CSL_CITATION {"citationItems":[{"id":"ITEM-1","itemData":{"DOI":"10.1007/s40262-013-0117-y","ISBN":"0312-5963 (Print)\\r0312-5963 (Linking)","ISSN":"03125963","PMID":"24214317","abstract":"BACKGROUND AND OBJECTIVES: The kidney is a major drug-eliminating organ. Renal impairment or concomitant use of transporter inhibitors may decrease active secretion and increase exposure to a drug that is a substrate of kidney secretory transporters. However, prediction of the effects of patient factors on kidney transporters remains challenging because of the multiplicity of transporters and the lack of understanding of their abundance and specificity. The objective of this study was to use physiologically based pharmacokinetic (PBPK) modelling to evaluate the effects of patient factors on kidney transporters.\\n\\nMETHODS: Models for three renally cleared drugs (oseltamivir carboxylate, cidofovir and cefuroxime) were developed using a general PBPK platform, with the contributions of net basolateral uptake transport (T up,b) and apical efflux transport (T eff,a) being specifically defined.\\n\\nRESULTS AND CONCLUSION: We demonstrated the practical use of PBPK models to: (1) define transporter-mediated renal secretion, using plasma and urine data; (2) inform a change in the system-dependent parameter (≥10-fold reduction in the functional 'proximal tubule cells per gram kidney') in severe renal impairment that is responsible for the decreased secretory transport activities of test drugs; (3) derive an in vivo, plasma unbound inhibition constant of T up,b by probenecid (≤1 μM), based on observed drug interaction data; and (4) suggest a plausible mechanism of probenecid preferentially inhibiting T up,b in order to alleviate cidofovir-induced nephrotoxicity.","author":[{"dropping-particle":"","family":"Hsu","given":"Vicky","non-dropping-particle":"","parse-names":false,"suffix":""},{"dropping-particle":"","family":"Vieira","given":"Manuela De L.T.","non-dropping-particle":"","parse-names":false,"suffix":""},{"dropping-particle":"","family":"Zhao","given":"Ping","non-dropping-particle":"","parse-names":false,"suffix":""},{"dropping-particle":"","family":"Zhang","given":"Lei","non-dropping-particle":"","parse-names":false,"suffix":""},{"dropping-particle":"","family":"Zheng","given":"Jenny Huimin","non-dropping-particle":"","parse-names":false,"suffix":""},{"dropping-particle":"","family":"Nordmark","given":"Anna","non-dropping-particle":"","parse-names":false,"suffix":""},{"dropping-particle":"","family":"Berglund","given":"Eva Gil","non-dropping-particle":"","parse-names":false,"suffix":""},{"dropping-particle":"","family":"Giacomini","given":"Kathleen M.","non-dropping-particle":"","parse-names":false,"suffix":""},{"dropping-particle":"","family":"Huang","given":"Shiew Mei","non-dropping-particle":"","parse-names":false,"suffix":""}],"container-title":"Clinical Pharmacokinetics","id":"ITEM-1","issue":"3","issued":{"date-parts":[["2014"]]},"page":"283-293","title":"Towards quantitation of the effects of renal impairment and probenecid inhibition on kidney uptake and efflux transporters, using physiologically based pharmacokinetic modelling and simulations","type":"article-journal","volume":"53"},"uris":["http://www.mendeley.com/documents/?uuid=473d1b33-d793-4e3b-b5da-e58156ac2fb7"]},{"id":"ITEM-2","itemData":{"DOI":"10.1016/j.ejps.2016.03.020","ISBN":"0928-0987","ISSN":"18790720","PMID":"27019345","abstract":"Metformin is used as a probe for OCT2 mediated transport when investigating possible DDIs with new chemical entities. The aim of the current study was to investigate the ability of physiologically-based pharmacokinetic (PBPK) models to simulate the effects of OCT and MATE inhibition by cimetidine on metformin kinetics. PBPK models were developed, incorporating mechanistic kidney and liver sub-models for metformin (OCT and MATE substrate) and a mechanistic kidney sub-model for cimetidine. The models were used to simulate inhibition of the MATE1, MATE2-K, OCT1 and OCT2 mediated transport of metformin by cimetidine. Assuming competitive inhibition and using cimetidine Kivalues determined in vitro, the predicted metformin AUC ratio was 1.0 compared to an observed value of 1.46. The observed AUC ratio could only be recovered with this model when the cimetidine Kifor OCT2 was decreased 1000-fold or the Ki's for both OCT1 and OCT2 were decreased 500-fold. An alternative description of metformin renal transport by OCT1 and OCT2, incorporating electrochemical modulation of the rate of metformin uptake together with 8-18-fold decreases in cimetidine Ki's for OCTs and MATEs, allowed recovery of the extent of the observed effect of cimetidine on metformin AUC. While the final PBPK model has limitations, it demonstrates the benefit of allowing for the complexities of passive permeability combined with active cellular uptake modulated by an electrochemical gradient and active efflux.","author":[{"dropping-particle":"","family":"Burt","given":"H. J.","non-dropping-particle":"","parse-names":false,"suffix":""},{"dropping-particle":"","family":"Neuhoff","given":"S.","non-dropping-particle":"","parse-names":false,"suffix":""},{"dropping-particle":"","family":"Almond","given":"L.","non-dropping-particle":"","parse-names":false,"suffix":""},{"dropping-particle":"","family":"Gaohua","given":"L.","non-dropping-particle":"","parse-names":false,"suffix":""},{"dropping-particle":"","family":"Harwood","given":"M. D.","non-dropping-particle":"","parse-names":false,"suffix":""},{"dropping-particle":"","family":"Jamei","given":"M.","non-dropping-particle":"","parse-names":false,"suffix":""},{"dropping-particle":"","family":"Rostami-Hodjegan","given":"A.","non-dropping-particle":"","parse-names":false,"suffix":""},{"dropping-particle":"","family":"Tucker","given":"G. T.","non-dropping-particle":"","parse-names":false,"suffix":""},{"dropping-particle":"","family":"Rowland-Yeo","given":"K.","non-dropping-particle":"","parse-names":false,"suffix":""}],"container-title":"European Journal of Pharmaceutical Sciences","id":"ITEM-2","issued":{"date-parts":[["2016"]]},"page":"70-82","publisher":"Simcyp Limited","title":"Metformin and cimetidine: Physiologically based pharmacokinetic modelling to investigate transporter mediated drug-drug interactions","type":"article-journal","volume":"88"},"uris":["http://www.mendeley.com/documents/?uuid=88a65a0d-5da9-4613-85e1-16c4bfda342b"]}],"mendeley":{"formattedCitation":"&lt;sup&gt;20,21&lt;/sup&gt;","plainTextFormattedCitation":"20,21","previouslyFormattedCitation":"&lt;sup&gt;20,21&lt;/sup&gt;"},"properties":{"noteIndex":0},"schema":"https://github.com/citation-style-language/schema/raw/master/csl-citation.json"}</w:instrText>
      </w:r>
      <w:r w:rsidR="00C515AA" w:rsidRPr="00C016DD">
        <w:rPr>
          <w:rFonts w:ascii="Arial" w:hAnsi="Arial" w:cs="Arial"/>
          <w:sz w:val="20"/>
          <w:szCs w:val="20"/>
        </w:rPr>
        <w:fldChar w:fldCharType="separate"/>
      </w:r>
      <w:r w:rsidR="003C0E2D" w:rsidRPr="00C016DD">
        <w:rPr>
          <w:rFonts w:ascii="Arial" w:hAnsi="Arial" w:cs="Arial"/>
          <w:noProof/>
          <w:sz w:val="20"/>
          <w:szCs w:val="20"/>
          <w:vertAlign w:val="superscript"/>
        </w:rPr>
        <w:t>20,21</w:t>
      </w:r>
      <w:r w:rsidR="00C515AA" w:rsidRPr="00C016DD">
        <w:rPr>
          <w:rFonts w:ascii="Arial" w:hAnsi="Arial" w:cs="Arial"/>
          <w:sz w:val="20"/>
          <w:szCs w:val="20"/>
        </w:rPr>
        <w:fldChar w:fldCharType="end"/>
      </w:r>
      <w:r w:rsidR="00C515AA" w:rsidRPr="00C016DD">
        <w:rPr>
          <w:rFonts w:ascii="Arial" w:hAnsi="Arial" w:cs="Arial"/>
          <w:sz w:val="20"/>
          <w:szCs w:val="20"/>
        </w:rPr>
        <w:t xml:space="preserve"> We hypothesize that this </w:t>
      </w:r>
      <w:r w:rsidR="00C515AA" w:rsidRPr="00C016DD">
        <w:rPr>
          <w:rFonts w:ascii="Arial" w:hAnsi="Arial" w:cs="Arial"/>
          <w:i/>
          <w:iCs/>
          <w:sz w:val="20"/>
          <w:szCs w:val="20"/>
        </w:rPr>
        <w:t xml:space="preserve">in vitro-in vivo </w:t>
      </w:r>
      <w:r w:rsidR="00C515AA" w:rsidRPr="00C016DD">
        <w:rPr>
          <w:rFonts w:ascii="Arial" w:hAnsi="Arial" w:cs="Arial"/>
          <w:sz w:val="20"/>
          <w:szCs w:val="20"/>
        </w:rPr>
        <w:t>disconnect could be a result of substrate-dependent differences in inhibitory parameters</w:t>
      </w:r>
      <w:r w:rsidR="00C515AA" w:rsidRPr="00C016DD">
        <w:rPr>
          <w:rFonts w:ascii="Arial" w:hAnsi="Arial" w:cs="Arial"/>
          <w:sz w:val="20"/>
          <w:szCs w:val="20"/>
        </w:rPr>
        <w:fldChar w:fldCharType="begin" w:fldLock="1"/>
      </w:r>
      <w:r w:rsidR="00F257A1" w:rsidRPr="00C016DD">
        <w:rPr>
          <w:rFonts w:ascii="Arial" w:hAnsi="Arial" w:cs="Arial"/>
          <w:sz w:val="20"/>
          <w:szCs w:val="20"/>
        </w:rPr>
        <w:instrText>ADDIN CSL_CITATION {"citationItems":[{"id":"ITEM-1","itemData":{"DOI":"10.1124/dmd.114.059105","ISSN":"1521009X","abstract":"The risk assessment of organic anion transporting polypeptide (OATP) 1B1-mediated drug-drug interactions (DDIs) is an indispensable part of drug development. We previously reported that in vitro inhibitory potencies of several inhibitors on OATP1B1 depend on the substrates when prototypical substrates, estradiol-17β-glucuronide (E2G), estrone-3-sulfate, and sulfobromophthalein were used as test substrates. The purpose of this study was to comprehensively investigate this substrate-dependent inhibition of OATP1B1 using clinically relevant OATP1B1 inhibitors and substrate drugs. Effects of cyclosporine A (CsA), rifampin, and gemfibrozil on OATP1B1-mediated uptake of 12 substrate drugs were examined in OATP1B1-expressing human embryonic kidney 293 cells. The Ki values (mM) for CsA varied from 0.0771 to 0.486 (6.3-fold), for rifampin from 0.358 to 1.23 (3.4-fold), and for gemfibrozil from 9.65 to 252 (26-fold). Except for the inhibition of torasemide uptake by CsA and that of nateglinide uptake by gemfibrozil, the Ki values were within 2.8-fold of those obtained using E2G as a substrate. Preincubation potentiated the inhibitory effect of CsA on OATP1B1 with similar magnitude regardless of the substrates. R values calculated based on a static model showed some variation depending on the Ki values determined with various substrates, and such variability could have an impact on the DDI predictions particularly for a weak-to-moderate inhibitor (gemfibrozil). OATP1B1 substrate drugs except for torasemide and nateglinide, or E2G as a surrogate, is recommended as an in vitro probe in the inhibition experiments, which will help mitigate the risk of false-negative DDI predictions potentially caused by substratedependent Ki variation.","author":[{"dropping-particle":"","family":"Izumi","given":"Saki","non-dropping-particle":"","parse-names":false,"suffix":""},{"dropping-particle":"","family":"Nozaki","given":"Yoshitane","non-dropping-particle":"","parse-names":false,"suffix":""},{"dropping-particle":"","family":"Maeda","given":"Kazuya","non-dropping-particle":"","parse-names":false,"suffix":""},{"dropping-particle":"","family":"Komori","given":"Takafumi","non-dropping-particle":"","parse-names":false,"suffix":""},{"dropping-particle":"","family":"Takenaka","given":"Osamu","non-dropping-particle":"","parse-names":false,"suffix":""},{"dropping-particle":"","family":"Kusuhara","given":"Hiroyuki","non-dropping-particle":"","parse-names":false,"suffix":""},{"dropping-particle":"","family":"Sugiyama","given":"Yuichi","non-dropping-particle":"","parse-names":false,"suffix":""}],"container-title":"Drug Metabolism and Disposition","id":"ITEM-1","issue":"2","issued":{"date-parts":[["2015","1"]]},"page":"235-247","publisher":"American Society for Pharmacology and Experimental Therapy","title":"Investigation of the impact of substrate selection on in vitro organic anion transporting polypeptide 1B1 inhibition profiles for the prediction of drug-drug interactions","type":"article-journal","volume":"43"},"uris":["http://www.mendeley.com/documents/?uuid=cfbff410-180c-4e87-955d-906b35b76a1f"]},{"id":"ITEM-2","itemData":{"DOI":"10.1124/jpet.113.203257","ISSN":"15210103","abstract":"Organic cation transporter 2 (OCT2) mediates the initial step in renal secretion of organic cations: uptake from the blood, across the basolateral membrane, and into the renal proximal tubule cells. Because of its potential as a target for unwanted drug-drug interactions (DDIs), considerable attention has been directed toward understanding the basis of OCT2 selectivity. These studies typically assess selectivity based on ligand inhibition profiles for OCT2-mediated transport of a probe substrate. However, little attention has been given to the potential influence of the substrate on the profile of ligand inhibition. Here we compared the IC50 values obtained for a set of structurally distinct inhibitors against OCT2-mediated transport of three structurally distinct substrates: 1-methyl-4-phenylpyridinium (MPP); metformin; and a novel fluorescent substrate, N,N,Ntrimethyl- 2-[methyl(7-nitrobenzo[c][l, 2,5]oxadiazol-4-yl)amino] ethanaminium iodide (NBD-MTMA). The median IC 50 value for inhibition of MPP transport was 9-fold higher than that for inhibition of metformin transport. Similarly, the median IC50 value for inhibition of MPP transport was 5-fold higher than that for NBD-MTMA transport. However, this was not a systematic difference in inhibitory efficacy; the ratio of IC50 values, MPP versus NBD-MTMA, ranged from 88-fold (ipratropium) to 0.3-fold (metformin). These data show that 1) the choice of OCT2 substrate significantly influences both quantitative and qualitative inhibitory interactions with cationic drugs; and 2) ligand interactions with OCT2 are not restricted to competition for a common ligand binding site, consistent with a binding surface characterized by multiple, possibly overlapping interaction sites. Development of predictive models of DDIs with OCT2 must take into account the substrate dependence of ligand interaction with this protein. Copyright © 2013 by The American Society for Pharmacology and Experimental Therapeutics.","author":[{"dropping-particle":"","family":"Belzer","given":"Mathew","non-dropping-particle":"","parse-names":false,"suffix":""},{"dropping-particle":"","family":"Morales","given":"Mark","non-dropping-particle":"","parse-names":false,"suffix":""},{"dropping-particle":"","family":"Jagadish","given":"Bhumasamudram","non-dropping-particle":"","parse-names":false,"suffix":""},{"dropping-particle":"","family":"Mash","given":"Eugene A.","non-dropping-particle":"","parse-names":false,"suffix":""},{"dropping-particle":"","family":"Wright","given":"Stephen H.","non-dropping-particle":"","parse-names":false,"suffix":""}],"container-title":"Journal of Pharmacology and Experimental Therapeutics","id":"ITEM-2","issue":"2","issued":{"date-parts":[["2013","8"]]},"page":"300-310","publisher":"American Society for Pharmacology and Experimental Therapy","title":"Substrate-dependent ligand inhibition of the human organic cation transporter OCT2","type":"article-journal","volume":"346"},"uris":["http://www.mendeley.com/documents/?uuid=59a9c311-f217-468c-8713-7889aa81fc12"]}],"mendeley":{"formattedCitation":"&lt;sup&gt;22,23&lt;/sup&gt;","plainTextFormattedCitation":"22,23","previouslyFormattedCitation":"&lt;sup&gt;22,23&lt;/sup&gt;"},"properties":{"noteIndex":0},"schema":"https://github.com/citation-style-language/schema/raw/master/csl-citation.json"}</w:instrText>
      </w:r>
      <w:r w:rsidR="00C515AA" w:rsidRPr="00C016DD">
        <w:rPr>
          <w:rFonts w:ascii="Arial" w:hAnsi="Arial" w:cs="Arial"/>
          <w:sz w:val="20"/>
          <w:szCs w:val="20"/>
        </w:rPr>
        <w:fldChar w:fldCharType="separate"/>
      </w:r>
      <w:r w:rsidR="003C0E2D" w:rsidRPr="00C016DD">
        <w:rPr>
          <w:rFonts w:ascii="Arial" w:hAnsi="Arial" w:cs="Arial"/>
          <w:noProof/>
          <w:sz w:val="20"/>
          <w:szCs w:val="20"/>
          <w:vertAlign w:val="superscript"/>
        </w:rPr>
        <w:t>22,23</w:t>
      </w:r>
      <w:r w:rsidR="00C515AA" w:rsidRPr="00C016DD">
        <w:rPr>
          <w:rFonts w:ascii="Arial" w:hAnsi="Arial" w:cs="Arial"/>
          <w:sz w:val="20"/>
          <w:szCs w:val="20"/>
        </w:rPr>
        <w:fldChar w:fldCharType="end"/>
      </w:r>
      <w:r w:rsidR="00C515AA" w:rsidRPr="00C016DD">
        <w:rPr>
          <w:rFonts w:ascii="Arial" w:hAnsi="Arial" w:cs="Arial"/>
          <w:sz w:val="20"/>
          <w:szCs w:val="20"/>
        </w:rPr>
        <w:t xml:space="preserve"> and </w:t>
      </w:r>
      <w:r w:rsidR="00A5293A" w:rsidRPr="00C016DD">
        <w:rPr>
          <w:rFonts w:ascii="Arial" w:hAnsi="Arial" w:cs="Arial"/>
          <w:sz w:val="20"/>
          <w:szCs w:val="20"/>
        </w:rPr>
        <w:t xml:space="preserve">an </w:t>
      </w:r>
      <w:r w:rsidR="00C515AA" w:rsidRPr="00C016DD">
        <w:rPr>
          <w:rFonts w:ascii="Arial" w:hAnsi="Arial" w:cs="Arial"/>
          <w:sz w:val="20"/>
          <w:szCs w:val="20"/>
        </w:rPr>
        <w:t>under</w:t>
      </w:r>
      <w:r w:rsidR="00E969CD">
        <w:rPr>
          <w:rFonts w:ascii="Arial" w:hAnsi="Arial" w:cs="Arial"/>
          <w:sz w:val="20"/>
          <w:szCs w:val="20"/>
        </w:rPr>
        <w:t xml:space="preserve">estimation of inhibitory potential </w:t>
      </w:r>
      <w:r w:rsidR="00C515AA" w:rsidRPr="00C016DD">
        <w:rPr>
          <w:rFonts w:ascii="Arial" w:hAnsi="Arial" w:cs="Arial"/>
          <w:sz w:val="20"/>
          <w:szCs w:val="20"/>
        </w:rPr>
        <w:t>attributed to experimental design</w:t>
      </w:r>
      <w:r w:rsidR="00DE1F72" w:rsidRPr="00C016DD">
        <w:rPr>
          <w:rFonts w:ascii="Arial" w:hAnsi="Arial" w:cs="Arial"/>
          <w:sz w:val="20"/>
          <w:szCs w:val="20"/>
        </w:rPr>
        <w:t>.</w:t>
      </w:r>
      <w:r w:rsidR="00C515AA" w:rsidRPr="00C016DD">
        <w:rPr>
          <w:rFonts w:ascii="Arial" w:hAnsi="Arial" w:cs="Arial"/>
          <w:sz w:val="20"/>
          <w:szCs w:val="20"/>
        </w:rPr>
        <w:fldChar w:fldCharType="begin" w:fldLock="1"/>
      </w:r>
      <w:r w:rsidR="00F257A1" w:rsidRPr="00C016DD">
        <w:rPr>
          <w:rFonts w:ascii="Arial" w:hAnsi="Arial" w:cs="Arial"/>
          <w:sz w:val="20"/>
          <w:szCs w:val="20"/>
        </w:rPr>
        <w:instrText>ADDIN CSL_CITATION {"citationItems":[{"id":"ITEM-1","itemData":{"DOI":"10.1080/00498254.2016.1233372","ISSN":"13665928","abstract":"1.Accurate predictions of clinical transporter-mediated drug–drug interactions (DDI) from in vitro data can be challenging when compounds have poor solubility and/or high nonspecific binding. Additionally, current DDI predictions for compounds with high plasma–protein binding assume that the unbound fraction in plasma is 0.01, if the experimental value is less than 0.01 or cannot be determined. This approach may result in an overestimation of DDI risk. To overcome these challenges, it may be beneficial to conduct inhibition studies under physiologically relevant conditions. 2.Here, IC50 values, determined in the presence of 4% bovine serum albumin approximating human plasma albumin concentrations, were successfully used to predict DDI for uptake transporters, OATP1B1/1B3, OCT1/2, OAT1/3 and MATE1/2K. 3.The IC50 values of reference inhibitors with 4% bovine serum albumin, considered total IC50, were comparable to the predicted values based on nominal IC50 values determined under protein-free conditions and unbound fraction in plasma. Calculation of R-total and Cmax/IC50,total values using total plasma exposure and total IC50 values explained the clinical DDI or absence of it for these inhibitors. 4.These results suggest that IC50 determinations in the presence of 4% albumin can be used, in the context of clinical total exposure, to predict DDI involving uptake transporters.","author":[{"dropping-particle":"","family":"Kikuchi","given":"Ryota","non-dropping-particle":"","parse-names":false,"suffix":""},{"dropping-particle":"","family":"Peterkin","given":"Vincent C.","non-dropping-particle":"","parse-names":false,"suffix":""},{"dropping-particle":"","family":"Chiou","given":"William J.","non-dropping-particle":"","parse-names":false,"suffix":""},{"dropping-particle":"","family":"Morais","given":"Sonia M.","non-dropping-particle":"de","parse-names":false,"suffix":""},{"dropping-particle":"","family":"Bow","given":"Daniel A.J.","non-dropping-particle":"","parse-names":false,"suffix":""}],"container-title":"Xenobiotica","id":"ITEM-1","issue":"9","issued":{"date-parts":[["2017","9"]]},"page":"825-832","publisher":"Taylor and Francis Ltd","title":"Validation of a total IC50 method which enables in vitro assessment of transporter inhibition under semi-physiological conditions","type":"article-journal","volume":"47"},"uris":["http://www.mendeley.com/documents/?uuid=71a59569-0e59-479a-89d6-d01fcf8bf13f"]},{"id":"ITEM-2","itemData":{"DOI":"10.1124/dmd.118.085993","ISSN":"1521009X","abstract":"Preincubation of a drug transporter with its inhibitor in a cell-based assay may result in the apparent enhancement of the inhibitory potency. Currently, limited data are available on potentiation of transporter inhibition by preincubation (PTIP) for clinically relevant solute-carrier transporters other than OATP1B1 and OATP1B3. Therefore, PTIP was examined systematically using OATP1B1, OATP1B3, OAT1, OAT3, OCT1, OCT2, MATE1, and MATE2-K cell lines. IC50 values of 30 inhibitors were determined with or without 3 hours of preincubation, and compounds with a PTIP ≥2.5× were further characterized by assessing the time course of transport inhibition potency and cellular concentration. For each compound, correlations were calculated between highest observed PTIP and physicochemical properties. PTIP was prevalent among organic cation transporters (OCTs) and organic anion-transporting polypeptides (OATPs) but not among organic anion transporters (OATs) or multidrug and toxin extrusion transporters (MATEs), and most instances of PTIP persisted after controlling for toxicity and nonspecific binding. Occasionally, preincubation in excess of 2 hours was required to attain full inhibitory potency. For four drugs examined, preincubation had the potential to change the in vitro drug-drug interaction risk prediction from \"no risk\" to \"risk\" on the basis of current regulatory criteria. Molecular weight and LogD7.4, as well as the ratio of passive cellular accumulation and cellular uptake rate correlated with PTIP; thus, low cellular permeation and a slow build-up of unbound intracellular inhibitor concentration may contribute to PTIP. Taken together, our data suggest that PTIP is partly determined by the physicochemical properties of the perpetrator drug, and preincubation may affect the in vitro predicted drug-drug interaction risk for OCTs as well as OATPs. SIGNIFICANCE STATEMENT: During the development of a novel pharmaceutical drug, in vitro studies are conducted to assess the risk of potential adverse interactions between existing medications a patient may already be taking and the novel compound. The exact way these in vitro assays are performed may influence the outcome of risk assessment. Here we suggest that the interaction risk may be underestimated unless specific assay protocols are modified to include an additional incubation step that allows the test drug to accumulate inside the cells, and demonstrate that adding this step is particularly important for la…","author":[{"dropping-particle":"","family":"Tátrai","given":"Péter","non-dropping-particle":"","parse-names":false,"suffix":""},{"dropping-particle":"","family":"Schweigler","given":"Patrick","non-dropping-particle":"","parse-names":false,"suffix":""},{"dropping-particle":"","family":"Poller","given":"Birk","non-dropping-particle":"","parse-names":false,"suffix":""},{"dropping-particle":"","family":"Domange","given":"Norbert","non-dropping-particle":"","parse-names":false,"suffix":""},{"dropping-particle":"","family":"Wilde","given":"Roelof","non-dropping-particle":"de","parse-names":false,"suffix":""},{"dropping-particle":"","family":"Hanna","given":"Imad","non-dropping-particle":"","parse-names":false,"suffix":""},{"dropping-particle":"","family":"Gáborik","given":"Zsuzsanna","non-dropping-particle":"","parse-names":false,"suffix":""},{"dropping-particle":"","family":"Huth","given":"Felix","non-dropping-particle":"","parse-names":false,"suffix":""}],"container-title":"Drug metabolism and disposition: the biological fate of chemicals","id":"ITEM-2","issue":"7","issued":{"date-parts":[["2019"]]},"page":"768-778","title":"A Sys Clatematic In Vitro Investigation of the Inhibitor Preincubation Effect on Multiplesses of Clinically Relevant Transporters","type":"article-journal","volume":"47"},"uris":["http://www.mendeley.com/documents/?uuid=c502347d-c8aa-4011-b87c-7edc48b2b5c6","http://www.mendeley.com/documents/?uuid=58bf47cf-bcd4-4f1a-a0f3-28df2706d6d3"]}],"mendeley":{"formattedCitation":"&lt;sup&gt;24,25&lt;/sup&gt;","plainTextFormattedCitation":"24,25","previouslyFormattedCitation":"&lt;sup&gt;24,25&lt;/sup&gt;"},"properties":{"noteIndex":0},"schema":"https://github.com/citation-style-language/schema/raw/master/csl-citation.json"}</w:instrText>
      </w:r>
      <w:r w:rsidR="00C515AA" w:rsidRPr="00C016DD">
        <w:rPr>
          <w:rFonts w:ascii="Arial" w:hAnsi="Arial" w:cs="Arial"/>
          <w:sz w:val="20"/>
          <w:szCs w:val="20"/>
        </w:rPr>
        <w:fldChar w:fldCharType="separate"/>
      </w:r>
      <w:r w:rsidR="003C0E2D" w:rsidRPr="00C016DD">
        <w:rPr>
          <w:rFonts w:ascii="Arial" w:hAnsi="Arial" w:cs="Arial"/>
          <w:noProof/>
          <w:sz w:val="20"/>
          <w:szCs w:val="20"/>
          <w:vertAlign w:val="superscript"/>
        </w:rPr>
        <w:t>24,25</w:t>
      </w:r>
      <w:r w:rsidR="00C515AA" w:rsidRPr="00C016DD">
        <w:rPr>
          <w:rFonts w:ascii="Arial" w:hAnsi="Arial" w:cs="Arial"/>
          <w:sz w:val="20"/>
          <w:szCs w:val="20"/>
        </w:rPr>
        <w:fldChar w:fldCharType="end"/>
      </w:r>
    </w:p>
    <w:p w14:paraId="69E4209F" w14:textId="77777777" w:rsidR="00062B7A" w:rsidRDefault="00062B7A" w:rsidP="00062B7A">
      <w:pPr>
        <w:spacing w:after="0" w:line="480" w:lineRule="auto"/>
        <w:jc w:val="both"/>
        <w:rPr>
          <w:rFonts w:ascii="Arial" w:hAnsi="Arial" w:cs="Arial"/>
          <w:sz w:val="20"/>
          <w:szCs w:val="20"/>
        </w:rPr>
      </w:pPr>
    </w:p>
    <w:p w14:paraId="7FBDA226" w14:textId="054CAF0C" w:rsidR="00A30122" w:rsidRPr="003333A7" w:rsidRDefault="003333A7" w:rsidP="00062B7A">
      <w:pPr>
        <w:spacing w:after="0" w:line="480" w:lineRule="auto"/>
        <w:jc w:val="both"/>
        <w:rPr>
          <w:rStyle w:val="normaltextrun"/>
          <w:rFonts w:ascii="Arial" w:hAnsi="Arial" w:cs="Arial"/>
          <w:sz w:val="20"/>
          <w:szCs w:val="20"/>
        </w:rPr>
      </w:pPr>
      <w:r>
        <w:rPr>
          <w:rFonts w:ascii="Arial" w:hAnsi="Arial" w:cs="Arial"/>
          <w:sz w:val="20"/>
          <w:szCs w:val="20"/>
        </w:rPr>
        <w:t>T</w:t>
      </w:r>
      <w:r w:rsidR="00A37C7E" w:rsidRPr="00C016DD">
        <w:rPr>
          <w:rFonts w:ascii="Arial" w:hAnsi="Arial" w:cs="Arial"/>
          <w:sz w:val="20"/>
          <w:szCs w:val="20"/>
        </w:rPr>
        <w:t xml:space="preserve">o confidently </w:t>
      </w:r>
      <w:r w:rsidR="009B66FB" w:rsidRPr="00C016DD">
        <w:rPr>
          <w:rFonts w:ascii="Arial" w:hAnsi="Arial" w:cs="Arial"/>
          <w:sz w:val="20"/>
          <w:szCs w:val="20"/>
        </w:rPr>
        <w:t>apply</w:t>
      </w:r>
      <w:r w:rsidR="00A37C7E" w:rsidRPr="00C016DD">
        <w:rPr>
          <w:rFonts w:ascii="Arial" w:hAnsi="Arial" w:cs="Arial"/>
          <w:sz w:val="20"/>
          <w:szCs w:val="20"/>
        </w:rPr>
        <w:t xml:space="preserve"> </w:t>
      </w:r>
      <w:r w:rsidR="009B66FB" w:rsidRPr="00C016DD">
        <w:rPr>
          <w:rFonts w:ascii="Arial" w:hAnsi="Arial" w:cs="Arial"/>
          <w:sz w:val="20"/>
          <w:szCs w:val="20"/>
        </w:rPr>
        <w:t>a PBPK-DD</w:t>
      </w:r>
      <w:r w:rsidR="0014497C" w:rsidRPr="00C016DD">
        <w:rPr>
          <w:rFonts w:ascii="Arial" w:hAnsi="Arial" w:cs="Arial"/>
          <w:sz w:val="20"/>
          <w:szCs w:val="20"/>
        </w:rPr>
        <w:t>D</w:t>
      </w:r>
      <w:r w:rsidR="009B66FB" w:rsidRPr="00C016DD">
        <w:rPr>
          <w:rFonts w:ascii="Arial" w:hAnsi="Arial" w:cs="Arial"/>
          <w:sz w:val="20"/>
          <w:szCs w:val="20"/>
        </w:rPr>
        <w:t>I platform to</w:t>
      </w:r>
      <w:r w:rsidR="00B45141" w:rsidRPr="00C016DD">
        <w:rPr>
          <w:rFonts w:ascii="Arial" w:hAnsi="Arial" w:cs="Arial"/>
          <w:sz w:val="20"/>
          <w:szCs w:val="20"/>
        </w:rPr>
        <w:t xml:space="preserve"> </w:t>
      </w:r>
      <w:r w:rsidR="006C799D" w:rsidRPr="00C016DD">
        <w:rPr>
          <w:rFonts w:ascii="Arial" w:hAnsi="Arial" w:cs="Arial"/>
          <w:sz w:val="20"/>
          <w:szCs w:val="20"/>
        </w:rPr>
        <w:t xml:space="preserve">the </w:t>
      </w:r>
      <w:r w:rsidR="00B45141" w:rsidRPr="00C016DD">
        <w:rPr>
          <w:rFonts w:ascii="Arial" w:hAnsi="Arial" w:cs="Arial"/>
          <w:sz w:val="20"/>
          <w:szCs w:val="20"/>
        </w:rPr>
        <w:t>prospective simulation of D</w:t>
      </w:r>
      <w:r w:rsidR="006C799D" w:rsidRPr="00C016DD">
        <w:rPr>
          <w:rFonts w:ascii="Arial" w:hAnsi="Arial" w:cs="Arial"/>
          <w:sz w:val="20"/>
          <w:szCs w:val="20"/>
        </w:rPr>
        <w:t>D</w:t>
      </w:r>
      <w:r w:rsidR="00B45141" w:rsidRPr="00C016DD">
        <w:rPr>
          <w:rFonts w:ascii="Arial" w:hAnsi="Arial" w:cs="Arial"/>
          <w:sz w:val="20"/>
          <w:szCs w:val="20"/>
        </w:rPr>
        <w:t>DIs between erlotinib/nilotinib and rivaroxaban</w:t>
      </w:r>
      <w:r w:rsidR="001B7FE2" w:rsidRPr="00C016DD">
        <w:rPr>
          <w:rFonts w:ascii="Arial" w:hAnsi="Arial" w:cs="Arial"/>
          <w:sz w:val="20"/>
          <w:szCs w:val="20"/>
        </w:rPr>
        <w:t xml:space="preserve">, </w:t>
      </w:r>
      <w:r>
        <w:rPr>
          <w:rFonts w:ascii="Arial" w:hAnsi="Arial" w:cs="Arial"/>
          <w:sz w:val="20"/>
          <w:szCs w:val="20"/>
        </w:rPr>
        <w:t>we aim</w:t>
      </w:r>
      <w:r w:rsidR="00C515AA" w:rsidRPr="00C016DD">
        <w:rPr>
          <w:rFonts w:ascii="Arial" w:hAnsi="Arial" w:cs="Arial"/>
          <w:sz w:val="20"/>
          <w:szCs w:val="20"/>
        </w:rPr>
        <w:t xml:space="preserve"> to first </w:t>
      </w:r>
      <w:r w:rsidR="00966391" w:rsidRPr="00C016DD">
        <w:rPr>
          <w:rFonts w:ascii="Arial" w:hAnsi="Arial" w:cs="Arial"/>
          <w:sz w:val="20"/>
          <w:szCs w:val="20"/>
        </w:rPr>
        <w:t>characterize</w:t>
      </w:r>
      <w:r w:rsidR="00C515AA" w:rsidRPr="00C016DD">
        <w:rPr>
          <w:rFonts w:ascii="Arial" w:hAnsi="Arial" w:cs="Arial"/>
          <w:sz w:val="20"/>
          <w:szCs w:val="20"/>
        </w:rPr>
        <w:t xml:space="preserve"> the </w:t>
      </w:r>
      <w:r w:rsidR="00C515AA" w:rsidRPr="00C016DD">
        <w:rPr>
          <w:rFonts w:ascii="Arial" w:hAnsi="Arial" w:cs="Arial"/>
          <w:i/>
          <w:iCs/>
          <w:sz w:val="20"/>
          <w:szCs w:val="20"/>
        </w:rPr>
        <w:t>in vitro</w:t>
      </w:r>
      <w:r w:rsidR="00C515AA" w:rsidRPr="00C016DD">
        <w:rPr>
          <w:rFonts w:ascii="Arial" w:hAnsi="Arial" w:cs="Arial"/>
          <w:sz w:val="20"/>
          <w:szCs w:val="20"/>
        </w:rPr>
        <w:t xml:space="preserve"> inhibitory parameters of erlotinib and nilotinib against rivaroxaban’s enzyme</w:t>
      </w:r>
      <w:r w:rsidR="00800F81" w:rsidRPr="00C016DD">
        <w:rPr>
          <w:rFonts w:ascii="Arial" w:hAnsi="Arial" w:cs="Arial"/>
          <w:sz w:val="20"/>
          <w:szCs w:val="20"/>
        </w:rPr>
        <w:t>-</w:t>
      </w:r>
      <w:r w:rsidR="00C515AA" w:rsidRPr="00C016DD">
        <w:rPr>
          <w:rFonts w:ascii="Arial" w:hAnsi="Arial" w:cs="Arial"/>
          <w:sz w:val="20"/>
          <w:szCs w:val="20"/>
        </w:rPr>
        <w:t xml:space="preserve">mediated elimination pathways. Using ketoconazole as a prototypical OAT3 inhibitor, exploratory </w:t>
      </w:r>
      <w:r w:rsidR="00C515AA" w:rsidRPr="00C016DD">
        <w:rPr>
          <w:rFonts w:ascii="Arial" w:hAnsi="Arial" w:cs="Arial"/>
          <w:sz w:val="20"/>
          <w:szCs w:val="20"/>
        </w:rPr>
        <w:softHyphen/>
      </w:r>
      <w:r w:rsidR="00C515AA" w:rsidRPr="00C016DD">
        <w:rPr>
          <w:rFonts w:ascii="Arial" w:hAnsi="Arial" w:cs="Arial"/>
          <w:i/>
          <w:iCs/>
          <w:sz w:val="20"/>
          <w:szCs w:val="20"/>
        </w:rPr>
        <w:t>in vitro</w:t>
      </w:r>
      <w:r w:rsidR="00C515AA" w:rsidRPr="00C016DD">
        <w:rPr>
          <w:rFonts w:ascii="Arial" w:hAnsi="Arial" w:cs="Arial"/>
          <w:sz w:val="20"/>
          <w:szCs w:val="20"/>
        </w:rPr>
        <w:t xml:space="preserve"> transporter inhibition experiments</w:t>
      </w:r>
      <w:r w:rsidR="00C36376" w:rsidRPr="00C016DD">
        <w:rPr>
          <w:rFonts w:ascii="Arial" w:hAnsi="Arial" w:cs="Arial"/>
          <w:sz w:val="20"/>
          <w:szCs w:val="20"/>
        </w:rPr>
        <w:t xml:space="preserve"> would be performed</w:t>
      </w:r>
      <w:r w:rsidR="00C515AA" w:rsidRPr="00C016DD">
        <w:rPr>
          <w:rFonts w:ascii="Arial" w:hAnsi="Arial" w:cs="Arial"/>
          <w:sz w:val="20"/>
          <w:szCs w:val="20"/>
        </w:rPr>
        <w:t xml:space="preserve"> to </w:t>
      </w:r>
      <w:r w:rsidR="00F16E53" w:rsidRPr="00C016DD">
        <w:rPr>
          <w:rFonts w:ascii="Arial" w:hAnsi="Arial" w:cs="Arial"/>
          <w:sz w:val="20"/>
          <w:szCs w:val="20"/>
        </w:rPr>
        <w:t>accurately</w:t>
      </w:r>
      <w:r w:rsidR="00C515AA" w:rsidRPr="00C016DD">
        <w:rPr>
          <w:rFonts w:ascii="Arial" w:hAnsi="Arial" w:cs="Arial"/>
          <w:sz w:val="20"/>
          <w:szCs w:val="20"/>
        </w:rPr>
        <w:t xml:space="preserve"> recapitulate the extent of OAT3-mediated DDI between rivaroxaban </w:t>
      </w:r>
      <w:r w:rsidR="00C515AA" w:rsidRPr="00C016DD">
        <w:rPr>
          <w:rFonts w:ascii="Arial" w:hAnsi="Arial" w:cs="Arial"/>
          <w:sz w:val="20"/>
          <w:szCs w:val="20"/>
        </w:rPr>
        <w:lastRenderedPageBreak/>
        <w:t xml:space="preserve">and ketoconazole. </w:t>
      </w:r>
      <w:r w:rsidR="000A5F2E" w:rsidRPr="00C016DD">
        <w:rPr>
          <w:rFonts w:ascii="Arial" w:hAnsi="Arial" w:cs="Arial"/>
          <w:sz w:val="20"/>
          <w:szCs w:val="20"/>
        </w:rPr>
        <w:t xml:space="preserve">A similar workflow can subsequently be applied to </w:t>
      </w:r>
      <w:r w:rsidR="00224093" w:rsidRPr="00C016DD">
        <w:rPr>
          <w:rFonts w:ascii="Arial" w:hAnsi="Arial" w:cs="Arial"/>
          <w:sz w:val="20"/>
          <w:szCs w:val="20"/>
        </w:rPr>
        <w:t xml:space="preserve">quantify the </w:t>
      </w:r>
      <w:r w:rsidR="00C515AA" w:rsidRPr="00C016DD">
        <w:rPr>
          <w:rFonts w:ascii="Arial" w:hAnsi="Arial" w:cs="Arial"/>
          <w:sz w:val="20"/>
          <w:szCs w:val="20"/>
        </w:rPr>
        <w:t xml:space="preserve">inhibition of OAT3-mediated rivaroxaban uptake by nilotinib. </w:t>
      </w:r>
      <w:r w:rsidR="004C04FB" w:rsidRPr="00C016DD">
        <w:rPr>
          <w:rFonts w:ascii="Arial" w:eastAsia="Times New Roman" w:hAnsi="Arial" w:cs="Arial"/>
          <w:color w:val="000000"/>
          <w:sz w:val="20"/>
          <w:szCs w:val="20"/>
          <w:lang w:val="en-SG"/>
        </w:rPr>
        <w:t xml:space="preserve">Lastly, knowledge of complex and dynamic alterations in the underlying processes governing renal physiology across the various stages of renal dysfunction </w:t>
      </w:r>
      <w:r w:rsidR="003B20EA" w:rsidRPr="00C016DD">
        <w:rPr>
          <w:rFonts w:ascii="Arial" w:eastAsia="Times New Roman" w:hAnsi="Arial" w:cs="Arial"/>
          <w:color w:val="000000"/>
          <w:sz w:val="20"/>
          <w:szCs w:val="20"/>
          <w:lang w:val="en-SG"/>
        </w:rPr>
        <w:t>would be incorporated</w:t>
      </w:r>
      <w:r w:rsidR="004C04FB" w:rsidRPr="00C016DD">
        <w:rPr>
          <w:rFonts w:ascii="Arial" w:eastAsia="Times New Roman" w:hAnsi="Arial" w:cs="Arial"/>
          <w:color w:val="000000"/>
          <w:sz w:val="20"/>
          <w:szCs w:val="20"/>
          <w:lang w:val="en-SG"/>
        </w:rPr>
        <w:t xml:space="preserve"> to allow prediction of the </w:t>
      </w:r>
      <w:r>
        <w:rPr>
          <w:rFonts w:ascii="Arial" w:eastAsia="Times New Roman" w:hAnsi="Arial" w:cs="Arial"/>
          <w:color w:val="000000"/>
          <w:sz w:val="20"/>
          <w:szCs w:val="20"/>
          <w:lang w:val="en-SG"/>
        </w:rPr>
        <w:t>augmented</w:t>
      </w:r>
      <w:r w:rsidR="004C04FB" w:rsidRPr="00C016DD">
        <w:rPr>
          <w:rFonts w:ascii="Arial" w:eastAsia="Times New Roman" w:hAnsi="Arial" w:cs="Arial"/>
          <w:color w:val="000000"/>
          <w:sz w:val="20"/>
          <w:szCs w:val="20"/>
          <w:lang w:val="en-SG"/>
        </w:rPr>
        <w:t xml:space="preserve"> effects of </w:t>
      </w:r>
      <w:r w:rsidR="00602003" w:rsidRPr="00C016DD">
        <w:rPr>
          <w:rFonts w:ascii="Arial" w:eastAsia="Times New Roman" w:hAnsi="Arial" w:cs="Arial"/>
          <w:color w:val="000000"/>
          <w:sz w:val="20"/>
          <w:szCs w:val="20"/>
          <w:lang w:val="en-SG"/>
        </w:rPr>
        <w:t>chronic kidney</w:t>
      </w:r>
      <w:r w:rsidR="000A5FDE" w:rsidRPr="00C016DD">
        <w:rPr>
          <w:rFonts w:ascii="Arial" w:eastAsia="Times New Roman" w:hAnsi="Arial" w:cs="Arial"/>
          <w:color w:val="000000"/>
          <w:sz w:val="20"/>
          <w:szCs w:val="20"/>
          <w:lang w:val="en-SG"/>
        </w:rPr>
        <w:t xml:space="preserve"> disease</w:t>
      </w:r>
      <w:r w:rsidR="004C04FB" w:rsidRPr="00C016DD">
        <w:rPr>
          <w:rFonts w:ascii="Arial" w:eastAsia="Times New Roman" w:hAnsi="Arial" w:cs="Arial"/>
          <w:color w:val="000000"/>
          <w:sz w:val="20"/>
          <w:szCs w:val="20"/>
          <w:lang w:val="en-SG"/>
        </w:rPr>
        <w:t xml:space="preserve"> on rivaroxaban’s disposition</w:t>
      </w:r>
      <w:r w:rsidR="003B20EA" w:rsidRPr="00C016DD">
        <w:rPr>
          <w:rFonts w:ascii="Arial" w:eastAsia="Times New Roman" w:hAnsi="Arial" w:cs="Arial"/>
          <w:color w:val="000000"/>
          <w:sz w:val="20"/>
          <w:szCs w:val="20"/>
          <w:lang w:val="en-SG"/>
        </w:rPr>
        <w:t xml:space="preserve"> in the presence of the putative PKIs</w:t>
      </w:r>
      <w:r w:rsidR="004C04FB" w:rsidRPr="00C016DD">
        <w:rPr>
          <w:rFonts w:ascii="Arial" w:eastAsia="Times New Roman" w:hAnsi="Arial" w:cs="Arial"/>
          <w:color w:val="000000"/>
          <w:sz w:val="20"/>
          <w:szCs w:val="20"/>
          <w:lang w:val="en-SG"/>
        </w:rPr>
        <w:t>.</w:t>
      </w:r>
      <w:r w:rsidR="004C04FB" w:rsidRPr="00C016DD">
        <w:rPr>
          <w:rFonts w:ascii="Arial" w:eastAsia="Times New Roman" w:hAnsi="Arial" w:cs="Arial"/>
          <w:color w:val="000000"/>
          <w:sz w:val="20"/>
          <w:szCs w:val="20"/>
          <w:lang w:val="en-SG"/>
        </w:rPr>
        <w:fldChar w:fldCharType="begin" w:fldLock="1"/>
      </w:r>
      <w:r w:rsidR="00F257A1" w:rsidRPr="00C016DD">
        <w:rPr>
          <w:rFonts w:ascii="Arial" w:eastAsia="Times New Roman" w:hAnsi="Arial" w:cs="Arial"/>
          <w:color w:val="000000"/>
          <w:sz w:val="20"/>
          <w:szCs w:val="20"/>
          <w:lang w:val="en-SG"/>
        </w:rPr>
        <w:instrText>ADDIN CSL_CITATION {"citationItems":[{"id":"ITEM-1","itemData":{"DOI":"10.1124/jpet.116.237438","ISSN":"0022-3565","PMID":"28057840","abstract":"Development of submodels of organs within physiologically-based pharmacokinetic (PBPK) principles and beyond simple perfusion limitations may be challenging because of underde-veloped in vitro-in vivo extrapolation approaches or lack of suitable clinical data for model refinement. However, advantage of such models in predicting clinical observations in divergent patient groups is now commonly acknowledged. Mechanistic understanding of altered renal secretion in renal impairment is one area that may benefit from such models, despite knowledge gaps in renal pathophysiology. In the current study, a PBPK kidney model was developed for digoxin, accounting for the roles of organic anion transporting peptide 4C1 (OATP4C1) and P-glycoprotein (P-gp) in its tubular secretion, with the aim to investigate the impact of age and renal impairment (moderate to severe) on renal drug disposition. Initial PBPK simulations based on changes in glomerular filtration rate (GFR) underestimated the observed reduction in digoxin renal excretion clearance (CL R) in subjects with moderately impaired renal function relative to healthy. Reduction in either proximal tubule cell number or the OATP4C1 abundance in the mechanistic kidney model success-fully predicted 59% decrease in digoxin CL R , in particular when these changes were proportional to reduction in GFR. In contrast, predicted proximal tubule concentration of digoxin was only sensitive to changes in the transporter expression/ million proximal tubule cells. Based on the mechanistic modeling, reduced proximal tubule cellularity and OATP4C1 abundance, and inhibition of OATP4C1-mediated transport, are proposed as possible causes of reduced digoxin renal secretion in renally impaired patients.","author":[{"dropping-particle":"","family":"Scotcher","given":"Daniel","non-dropping-particle":"","parse-names":false,"suffix":""},{"dropping-particle":"","family":"Jones","given":"Christopher R.","non-dropping-particle":"","parse-names":false,"suffix":""},{"dropping-particle":"","family":"Galetin","given":"Aleksandra","non-dropping-particle":"","parse-names":false,"suffix":""},{"dropping-particle":"","family":"Rostami-Hodjegan","given":"Amin","non-dropping-particle":"","parse-names":false,"suffix":""}],"container-title":"Journal of Pharmacology and Experimental Therapeutics","id":"ITEM-1","issue":"3","issued":{"date-parts":[["2017"]]},"page":"484-495","title":"Delineating the Role of Various Factors in Renal Disposition of Digoxin through Application of Physiologically Based Kidney Model to Renal Impairment Populations","type":"article-journal","volume":"360"},"uris":["http://www.mendeley.com/documents/?uuid=103bdcf6-fc0d-417f-9a02-0e1610e14486"]},{"id":"ITEM-2","itemData":{"DOI":"10.1002/cpt.750","ISBN":"1532-6535 (Electronic)\r0009-9236 (Linking)","ISSN":"15326535","PMID":"28738449","abstract":"Altered pharmacokinetics (PK) in subjects with chronic kidney disease (CKD) may lead to dosing adjustment of certain drugs in subjects with CKD. It can be valuable to quantitatively predict PK in CKD for the management of drug dosing in these subjects. We developed physiologically based pharmacokinetic (PBPK) models of seven renally eliminated drugs: adefovir, avibactam, entecavir, famotidine, ganciclovir, oseltamivir carboxylate, and sitagliptin. These drugs are all substrates of renal organic anion transporters (OATs). Drug models verified using PK data from healthy subjects (HS) were coupled with physiological models representing CKD that incorporated prior knowledge of effects of CKD on hepatic and renal elimination. The models reasonably described clinically observed PK changes in subjects with CKD (compared to subjects with normal renal function), with predicted AUC changes within 50% of the observed changes. PBPK models can be used to prospectively predict PK of renally eliminated OAT substrates in subjects with CKD.","author":[{"dropping-particle":"","family":"Hsueh","given":"C. H.","non-dropping-particle":"","parse-names":false,"suffix":""},{"dropping-particle":"","family":"Hsu","given":"V.","non-dropping-particle":"","parse-names":false,"suffix":""},{"dropping-particle":"","family":"Zhao","given":"P.","non-dropping-particle":"","parse-names":false,"suffix":""},{"dropping-particle":"","family":"Zhang","given":"L.","non-dropping-particle":"","parse-names":false,"suffix":""},{"dropping-particle":"","family":"Giacomini","given":"K. M.","non-dropping-particle":"","parse-names":false,"suffix":""},{"dropping-particle":"","family":"Huang","given":"S. M.","non-dropping-particle":"","parse-names":false,"suffix":""}],"container-title":"Clinical Pharmacology and Therapeutics","id":"ITEM-2","issue":"3","issued":{"date-parts":[["2018"]]},"page":"485-492","title":"PBPK Modeling of the Effect of Reduced Kidney Function on the Pharmacokinetics of Drugs Excreted Renally by Organic Anion Transporters","type":"article-journal","volume":"103"},"uris":["http://www.mendeley.com/documents/?uuid=b06ff96c-fdaa-4af6-9a1f-516b24965f58"]}],"mendeley":{"formattedCitation":"&lt;sup&gt;26,27&lt;/sup&gt;","plainTextFormattedCitation":"26,27","previouslyFormattedCitation":"&lt;sup&gt;26,27&lt;/sup&gt;"},"properties":{"noteIndex":0},"schema":"https://github.com/citation-style-language/schema/raw/master/csl-citation.json"}</w:instrText>
      </w:r>
      <w:r w:rsidR="004C04FB" w:rsidRPr="00C016DD">
        <w:rPr>
          <w:rFonts w:ascii="Arial" w:eastAsia="Times New Roman" w:hAnsi="Arial" w:cs="Arial"/>
          <w:color w:val="000000"/>
          <w:sz w:val="20"/>
          <w:szCs w:val="20"/>
          <w:lang w:val="en-SG"/>
        </w:rPr>
        <w:fldChar w:fldCharType="separate"/>
      </w:r>
      <w:r w:rsidR="003C0E2D" w:rsidRPr="00C016DD">
        <w:rPr>
          <w:rFonts w:ascii="Arial" w:eastAsia="Times New Roman" w:hAnsi="Arial" w:cs="Arial"/>
          <w:noProof/>
          <w:color w:val="000000"/>
          <w:sz w:val="20"/>
          <w:szCs w:val="20"/>
          <w:vertAlign w:val="superscript"/>
          <w:lang w:val="en-SG"/>
        </w:rPr>
        <w:t>26,27</w:t>
      </w:r>
      <w:r w:rsidR="004C04FB" w:rsidRPr="00C016DD">
        <w:rPr>
          <w:rFonts w:ascii="Arial" w:eastAsia="Times New Roman" w:hAnsi="Arial" w:cs="Arial"/>
          <w:color w:val="000000"/>
          <w:sz w:val="20"/>
          <w:szCs w:val="20"/>
          <w:lang w:val="en-SG"/>
        </w:rPr>
        <w:fldChar w:fldCharType="end"/>
      </w:r>
      <w:r>
        <w:rPr>
          <w:rFonts w:ascii="Arial" w:hAnsi="Arial" w:cs="Arial"/>
          <w:sz w:val="20"/>
          <w:szCs w:val="20"/>
        </w:rPr>
        <w:t xml:space="preserve"> </w:t>
      </w:r>
      <w:r w:rsidR="00E04FD2" w:rsidRPr="00C016DD">
        <w:rPr>
          <w:rFonts w:ascii="Arial" w:hAnsi="Arial" w:cs="Arial"/>
          <w:sz w:val="20"/>
          <w:szCs w:val="20"/>
        </w:rPr>
        <w:t>We envision that this systematic approa</w:t>
      </w:r>
      <w:r w:rsidR="00A8373E" w:rsidRPr="00C016DD">
        <w:rPr>
          <w:rFonts w:ascii="Arial" w:hAnsi="Arial" w:cs="Arial"/>
          <w:sz w:val="20"/>
          <w:szCs w:val="20"/>
        </w:rPr>
        <w:t xml:space="preserve">ch to </w:t>
      </w:r>
      <w:r w:rsidR="00E04FD2" w:rsidRPr="00C016DD">
        <w:rPr>
          <w:rFonts w:ascii="Arial" w:hAnsi="Arial" w:cs="Arial"/>
          <w:sz w:val="20"/>
          <w:szCs w:val="20"/>
        </w:rPr>
        <w:t>PBPK-guided precision dosing of rivaroxaban would minimize the extent of inadvertent increases in the systemic exposure of rivaroxaban in the presence of DDDIs while still ensuring that anticoagulant efficacy is preserved, extending the utility of rivaroxaban across the spectrum of patients within the CA-VTE population.</w:t>
      </w:r>
    </w:p>
    <w:p w14:paraId="77AEF1E9" w14:textId="77777777" w:rsidR="00E04FD2" w:rsidRPr="00C016DD" w:rsidRDefault="00E04FD2" w:rsidP="00062B7A">
      <w:pPr>
        <w:spacing w:after="0" w:line="480" w:lineRule="auto"/>
        <w:jc w:val="both"/>
        <w:rPr>
          <w:rStyle w:val="normaltextrun"/>
          <w:rFonts w:ascii="Arial" w:hAnsi="Arial" w:cs="Arial"/>
          <w:color w:val="000000"/>
          <w:sz w:val="20"/>
          <w:szCs w:val="20"/>
          <w:shd w:val="clear" w:color="auto" w:fill="FFFFFF"/>
        </w:rPr>
      </w:pPr>
    </w:p>
    <w:p w14:paraId="119EA5B4" w14:textId="359EF506" w:rsidR="00C515AA" w:rsidRPr="00C016DD" w:rsidRDefault="00C515AA" w:rsidP="00062B7A">
      <w:pPr>
        <w:spacing w:after="0" w:line="480" w:lineRule="auto"/>
        <w:jc w:val="both"/>
        <w:rPr>
          <w:rFonts w:ascii="Arial" w:hAnsi="Arial" w:cs="Arial"/>
          <w:sz w:val="20"/>
          <w:szCs w:val="20"/>
          <w:lang w:val="en-SG"/>
        </w:rPr>
      </w:pPr>
    </w:p>
    <w:p w14:paraId="7AA3641A" w14:textId="77777777" w:rsidR="00D31474" w:rsidRPr="00C016DD" w:rsidRDefault="00D31474" w:rsidP="00062B7A">
      <w:pPr>
        <w:spacing w:after="0" w:line="480" w:lineRule="auto"/>
        <w:jc w:val="both"/>
        <w:rPr>
          <w:rFonts w:ascii="Arial" w:hAnsi="Arial" w:cs="Arial"/>
          <w:bCs/>
          <w:sz w:val="20"/>
          <w:szCs w:val="20"/>
        </w:rPr>
      </w:pPr>
    </w:p>
    <w:p w14:paraId="7947A857" w14:textId="77777777" w:rsidR="00D31474" w:rsidRPr="00C016DD" w:rsidRDefault="00D31474" w:rsidP="00062B7A">
      <w:pPr>
        <w:spacing w:after="0" w:line="480" w:lineRule="auto"/>
        <w:jc w:val="both"/>
        <w:rPr>
          <w:rFonts w:ascii="Arial" w:hAnsi="Arial" w:cs="Arial"/>
          <w:bCs/>
          <w:sz w:val="20"/>
          <w:szCs w:val="20"/>
        </w:rPr>
      </w:pPr>
    </w:p>
    <w:p w14:paraId="4AA953B4" w14:textId="77777777" w:rsidR="00D31474" w:rsidRPr="00C016DD" w:rsidRDefault="00D31474" w:rsidP="00062B7A">
      <w:pPr>
        <w:spacing w:after="0" w:line="480" w:lineRule="auto"/>
        <w:jc w:val="both"/>
        <w:rPr>
          <w:rFonts w:ascii="Arial" w:hAnsi="Arial" w:cs="Arial"/>
          <w:bCs/>
          <w:sz w:val="20"/>
          <w:szCs w:val="20"/>
        </w:rPr>
      </w:pPr>
    </w:p>
    <w:p w14:paraId="63E3E06C" w14:textId="77777777" w:rsidR="002A2315" w:rsidRPr="00C016DD" w:rsidRDefault="002A2315" w:rsidP="00062B7A">
      <w:pPr>
        <w:spacing w:after="0" w:line="480" w:lineRule="auto"/>
        <w:jc w:val="both"/>
        <w:rPr>
          <w:rFonts w:ascii="Arial" w:hAnsi="Arial" w:cs="Arial"/>
          <w:sz w:val="20"/>
          <w:szCs w:val="20"/>
        </w:rPr>
      </w:pPr>
      <w:bookmarkStart w:id="2" w:name="_Hlk528226175"/>
    </w:p>
    <w:p w14:paraId="63A204F3" w14:textId="77777777" w:rsidR="00A30122" w:rsidRPr="00C016DD" w:rsidRDefault="00A30122" w:rsidP="00062B7A">
      <w:pPr>
        <w:spacing w:after="0" w:line="480" w:lineRule="auto"/>
        <w:rPr>
          <w:rFonts w:ascii="Arial" w:hAnsi="Arial" w:cs="Arial"/>
          <w:b/>
          <w:sz w:val="20"/>
          <w:szCs w:val="20"/>
        </w:rPr>
      </w:pPr>
      <w:bookmarkStart w:id="3" w:name="_Hlk22464717"/>
      <w:bookmarkEnd w:id="2"/>
    </w:p>
    <w:p w14:paraId="2196AD49" w14:textId="77777777" w:rsidR="00A30122" w:rsidRPr="00C016DD" w:rsidRDefault="00A30122" w:rsidP="00062B7A">
      <w:pPr>
        <w:spacing w:after="0" w:line="480" w:lineRule="auto"/>
        <w:rPr>
          <w:rFonts w:ascii="Arial" w:hAnsi="Arial" w:cs="Arial"/>
          <w:b/>
          <w:sz w:val="20"/>
          <w:szCs w:val="20"/>
        </w:rPr>
      </w:pPr>
    </w:p>
    <w:p w14:paraId="26DC5EF9" w14:textId="77777777" w:rsidR="00A30122" w:rsidRPr="00C016DD" w:rsidRDefault="00A30122" w:rsidP="00062B7A">
      <w:pPr>
        <w:spacing w:after="0" w:line="480" w:lineRule="auto"/>
        <w:rPr>
          <w:rFonts w:ascii="Arial" w:hAnsi="Arial" w:cs="Arial"/>
          <w:b/>
          <w:sz w:val="20"/>
          <w:szCs w:val="20"/>
        </w:rPr>
      </w:pPr>
    </w:p>
    <w:p w14:paraId="40BD960A" w14:textId="77777777" w:rsidR="00A30122" w:rsidRPr="00C016DD" w:rsidRDefault="00A30122" w:rsidP="00062B7A">
      <w:pPr>
        <w:spacing w:after="0" w:line="480" w:lineRule="auto"/>
        <w:rPr>
          <w:rFonts w:ascii="Arial" w:hAnsi="Arial" w:cs="Arial"/>
          <w:b/>
          <w:sz w:val="20"/>
          <w:szCs w:val="20"/>
        </w:rPr>
      </w:pPr>
    </w:p>
    <w:p w14:paraId="4432F083" w14:textId="77777777" w:rsidR="00A30122" w:rsidRPr="00C016DD" w:rsidRDefault="00A30122" w:rsidP="00062B7A">
      <w:pPr>
        <w:spacing w:after="0" w:line="480" w:lineRule="auto"/>
        <w:rPr>
          <w:rFonts w:ascii="Arial" w:hAnsi="Arial" w:cs="Arial"/>
          <w:b/>
          <w:sz w:val="20"/>
          <w:szCs w:val="20"/>
        </w:rPr>
      </w:pPr>
    </w:p>
    <w:p w14:paraId="001DE3D8" w14:textId="7287CD30" w:rsidR="00A30122" w:rsidRDefault="00A30122" w:rsidP="00062B7A">
      <w:pPr>
        <w:spacing w:after="0" w:line="480" w:lineRule="auto"/>
        <w:rPr>
          <w:rFonts w:ascii="Arial" w:hAnsi="Arial" w:cs="Arial"/>
          <w:b/>
          <w:sz w:val="20"/>
          <w:szCs w:val="20"/>
        </w:rPr>
      </w:pPr>
    </w:p>
    <w:p w14:paraId="5ED79D3A" w14:textId="10B79E67" w:rsidR="00E84F61" w:rsidRDefault="00E84F61" w:rsidP="00062B7A">
      <w:pPr>
        <w:spacing w:after="0" w:line="480" w:lineRule="auto"/>
        <w:rPr>
          <w:rFonts w:ascii="Arial" w:hAnsi="Arial" w:cs="Arial"/>
          <w:b/>
          <w:sz w:val="20"/>
          <w:szCs w:val="20"/>
        </w:rPr>
      </w:pPr>
    </w:p>
    <w:p w14:paraId="6F449135" w14:textId="34839C82" w:rsidR="00E84F61" w:rsidRDefault="00E84F61" w:rsidP="00062B7A">
      <w:pPr>
        <w:spacing w:after="0" w:line="480" w:lineRule="auto"/>
        <w:rPr>
          <w:rFonts w:ascii="Arial" w:hAnsi="Arial" w:cs="Arial"/>
          <w:b/>
          <w:sz w:val="20"/>
          <w:szCs w:val="20"/>
        </w:rPr>
      </w:pPr>
    </w:p>
    <w:p w14:paraId="3818039D" w14:textId="0C4F7674" w:rsidR="00E84F61" w:rsidRDefault="00E84F61" w:rsidP="00062B7A">
      <w:pPr>
        <w:spacing w:after="0" w:line="480" w:lineRule="auto"/>
        <w:rPr>
          <w:rFonts w:ascii="Arial" w:hAnsi="Arial" w:cs="Arial"/>
          <w:b/>
          <w:sz w:val="20"/>
          <w:szCs w:val="20"/>
        </w:rPr>
      </w:pPr>
    </w:p>
    <w:p w14:paraId="5F800081" w14:textId="4CA02FD3" w:rsidR="00E84F61" w:rsidRDefault="00E84F61" w:rsidP="00062B7A">
      <w:pPr>
        <w:spacing w:after="0" w:line="480" w:lineRule="auto"/>
        <w:rPr>
          <w:rFonts w:ascii="Arial" w:hAnsi="Arial" w:cs="Arial"/>
          <w:b/>
          <w:sz w:val="20"/>
          <w:szCs w:val="20"/>
        </w:rPr>
      </w:pPr>
    </w:p>
    <w:p w14:paraId="38579F20" w14:textId="77777777" w:rsidR="00E84F61" w:rsidRPr="00C016DD" w:rsidRDefault="00E84F61" w:rsidP="00062B7A">
      <w:pPr>
        <w:spacing w:after="0" w:line="480" w:lineRule="auto"/>
        <w:rPr>
          <w:rFonts w:ascii="Arial" w:hAnsi="Arial" w:cs="Arial"/>
          <w:b/>
          <w:sz w:val="20"/>
          <w:szCs w:val="20"/>
        </w:rPr>
      </w:pPr>
    </w:p>
    <w:p w14:paraId="79739479" w14:textId="77777777" w:rsidR="003333A7" w:rsidRDefault="003333A7" w:rsidP="00062B7A">
      <w:pPr>
        <w:spacing w:after="0" w:line="480" w:lineRule="auto"/>
        <w:rPr>
          <w:rFonts w:ascii="Arial" w:hAnsi="Arial" w:cs="Arial"/>
          <w:b/>
          <w:sz w:val="20"/>
          <w:szCs w:val="20"/>
        </w:rPr>
      </w:pPr>
      <w:r>
        <w:rPr>
          <w:rFonts w:ascii="Arial" w:hAnsi="Arial" w:cs="Arial"/>
          <w:b/>
          <w:sz w:val="20"/>
          <w:szCs w:val="20"/>
        </w:rPr>
        <w:br w:type="page"/>
      </w:r>
    </w:p>
    <w:p w14:paraId="73C8EAD9" w14:textId="155BAFCA" w:rsidR="002A0D7F" w:rsidRPr="00C016DD" w:rsidRDefault="00436C6C" w:rsidP="00062B7A">
      <w:pPr>
        <w:spacing w:after="0" w:line="480" w:lineRule="auto"/>
        <w:jc w:val="both"/>
        <w:rPr>
          <w:rFonts w:ascii="Arial" w:hAnsi="Arial" w:cs="Arial"/>
          <w:b/>
          <w:sz w:val="20"/>
          <w:szCs w:val="20"/>
        </w:rPr>
      </w:pPr>
      <w:r w:rsidRPr="00C016DD">
        <w:rPr>
          <w:rFonts w:ascii="Arial" w:hAnsi="Arial" w:cs="Arial"/>
          <w:b/>
          <w:sz w:val="20"/>
          <w:szCs w:val="20"/>
        </w:rPr>
        <w:lastRenderedPageBreak/>
        <w:t>Methods</w:t>
      </w:r>
      <w:bookmarkEnd w:id="3"/>
    </w:p>
    <w:p w14:paraId="17C54BF3" w14:textId="08CC0646" w:rsidR="00692968" w:rsidRPr="00C016DD" w:rsidRDefault="00A5293A" w:rsidP="00062B7A">
      <w:pPr>
        <w:spacing w:after="0" w:line="480" w:lineRule="auto"/>
        <w:jc w:val="both"/>
        <w:rPr>
          <w:rFonts w:ascii="Arial" w:hAnsi="Arial" w:cs="Arial"/>
          <w:b/>
          <w:bCs/>
          <w:sz w:val="20"/>
          <w:szCs w:val="20"/>
        </w:rPr>
      </w:pPr>
      <w:r w:rsidRPr="00C016DD">
        <w:rPr>
          <w:rFonts w:ascii="Arial" w:hAnsi="Arial" w:cs="Arial"/>
          <w:b/>
          <w:bCs/>
          <w:sz w:val="20"/>
          <w:szCs w:val="20"/>
        </w:rPr>
        <w:t>PBPK Modelling W</w:t>
      </w:r>
      <w:r w:rsidR="00692968" w:rsidRPr="00C016DD">
        <w:rPr>
          <w:rFonts w:ascii="Arial" w:hAnsi="Arial" w:cs="Arial"/>
          <w:b/>
          <w:bCs/>
          <w:sz w:val="20"/>
          <w:szCs w:val="20"/>
        </w:rPr>
        <w:t>orkflow</w:t>
      </w:r>
      <w:r w:rsidR="00A3671C" w:rsidRPr="00C016DD">
        <w:rPr>
          <w:rFonts w:ascii="Arial" w:hAnsi="Arial" w:cs="Arial"/>
          <w:b/>
          <w:bCs/>
          <w:sz w:val="20"/>
          <w:szCs w:val="20"/>
        </w:rPr>
        <w:t xml:space="preserve">. </w:t>
      </w:r>
      <w:r w:rsidR="00692968" w:rsidRPr="00C016DD">
        <w:rPr>
          <w:rFonts w:ascii="Arial" w:hAnsi="Arial" w:cs="Arial"/>
          <w:sz w:val="20"/>
          <w:szCs w:val="20"/>
        </w:rPr>
        <w:t>All PBPK modelling and simulations were conducted using a population-based absorption, distribution, metabolism and excretion simulator (version 18, Simcyp</w:t>
      </w:r>
      <w:r w:rsidR="00692968" w:rsidRPr="003333A7">
        <w:rPr>
          <w:rFonts w:ascii="Arial" w:hAnsi="Arial" w:cs="Arial"/>
          <w:sz w:val="20"/>
          <w:szCs w:val="20"/>
          <w:vertAlign w:val="superscript"/>
        </w:rPr>
        <w:t>®</w:t>
      </w:r>
      <w:r w:rsidR="00692968" w:rsidRPr="00C016DD">
        <w:rPr>
          <w:rFonts w:ascii="Arial" w:hAnsi="Arial" w:cs="Arial"/>
          <w:sz w:val="20"/>
          <w:szCs w:val="20"/>
        </w:rPr>
        <w:t>,</w:t>
      </w:r>
      <w:r w:rsidR="003333A7">
        <w:rPr>
          <w:rFonts w:ascii="Arial" w:hAnsi="Arial" w:cs="Arial"/>
          <w:sz w:val="20"/>
          <w:szCs w:val="20"/>
        </w:rPr>
        <w:t xml:space="preserve"> Sheffield, UK). A</w:t>
      </w:r>
      <w:r w:rsidR="00692968" w:rsidRPr="00C016DD">
        <w:rPr>
          <w:rFonts w:ascii="Arial" w:hAnsi="Arial" w:cs="Arial"/>
          <w:sz w:val="20"/>
          <w:szCs w:val="20"/>
        </w:rPr>
        <w:t xml:space="preserve"> stepwise approach was applied to qualify the PBPK-DD</w:t>
      </w:r>
      <w:r w:rsidR="006225EB" w:rsidRPr="00C016DD">
        <w:rPr>
          <w:rFonts w:ascii="Arial" w:hAnsi="Arial" w:cs="Arial"/>
          <w:sz w:val="20"/>
          <w:szCs w:val="20"/>
        </w:rPr>
        <w:t>D</w:t>
      </w:r>
      <w:r w:rsidR="00692968" w:rsidRPr="00C016DD">
        <w:rPr>
          <w:rFonts w:ascii="Arial" w:hAnsi="Arial" w:cs="Arial"/>
          <w:sz w:val="20"/>
          <w:szCs w:val="20"/>
        </w:rPr>
        <w:t>I platform for prospective DD</w:t>
      </w:r>
      <w:r w:rsidR="00670489">
        <w:rPr>
          <w:rFonts w:ascii="Arial" w:hAnsi="Arial" w:cs="Arial"/>
          <w:sz w:val="20"/>
          <w:szCs w:val="20"/>
        </w:rPr>
        <w:t>D</w:t>
      </w:r>
      <w:r w:rsidR="00692968" w:rsidRPr="00C016DD">
        <w:rPr>
          <w:rFonts w:ascii="Arial" w:hAnsi="Arial" w:cs="Arial"/>
          <w:sz w:val="20"/>
          <w:szCs w:val="20"/>
        </w:rPr>
        <w:t>I simulations between rivaroxaban and erlotinib or nilotinib</w:t>
      </w:r>
      <w:r w:rsidR="003333A7">
        <w:rPr>
          <w:rFonts w:ascii="Arial" w:hAnsi="Arial" w:cs="Arial"/>
          <w:sz w:val="20"/>
          <w:szCs w:val="20"/>
        </w:rPr>
        <w:t xml:space="preserve"> (</w:t>
      </w:r>
      <w:r w:rsidR="003333A7" w:rsidRPr="003333A7">
        <w:rPr>
          <w:rFonts w:ascii="Arial" w:hAnsi="Arial" w:cs="Arial"/>
          <w:b/>
          <w:bCs/>
          <w:sz w:val="20"/>
          <w:szCs w:val="20"/>
        </w:rPr>
        <w:t>Figure 1</w:t>
      </w:r>
      <w:r w:rsidR="003333A7">
        <w:rPr>
          <w:rFonts w:ascii="Arial" w:hAnsi="Arial" w:cs="Arial"/>
          <w:sz w:val="20"/>
          <w:szCs w:val="20"/>
        </w:rPr>
        <w:t>)</w:t>
      </w:r>
      <w:r w:rsidR="00692968" w:rsidRPr="00C016DD">
        <w:rPr>
          <w:rFonts w:ascii="Arial" w:hAnsi="Arial" w:cs="Arial"/>
          <w:sz w:val="20"/>
          <w:szCs w:val="20"/>
        </w:rPr>
        <w:t xml:space="preserve">. </w:t>
      </w:r>
      <w:r w:rsidR="00947540" w:rsidRPr="00C016DD">
        <w:rPr>
          <w:rFonts w:ascii="Arial" w:hAnsi="Arial" w:cs="Arial"/>
          <w:sz w:val="20"/>
          <w:szCs w:val="20"/>
        </w:rPr>
        <w:t xml:space="preserve">Both </w:t>
      </w:r>
      <w:r w:rsidR="00AF37C3">
        <w:rPr>
          <w:rFonts w:ascii="Arial" w:hAnsi="Arial" w:cs="Arial"/>
          <w:sz w:val="20"/>
          <w:szCs w:val="20"/>
        </w:rPr>
        <w:t>PKIs</w:t>
      </w:r>
      <w:r w:rsidR="00947540" w:rsidRPr="00C016DD">
        <w:rPr>
          <w:rFonts w:ascii="Arial" w:hAnsi="Arial" w:cs="Arial"/>
          <w:sz w:val="20"/>
          <w:szCs w:val="20"/>
        </w:rPr>
        <w:t xml:space="preserve"> have been reported to perpetrate </w:t>
      </w:r>
      <w:r w:rsidR="00D60D0A" w:rsidRPr="00C016DD">
        <w:rPr>
          <w:rFonts w:ascii="Arial" w:hAnsi="Arial" w:cs="Arial"/>
          <w:sz w:val="20"/>
          <w:szCs w:val="20"/>
        </w:rPr>
        <w:t>mechanism</w:t>
      </w:r>
      <w:r w:rsidR="007D08A3" w:rsidRPr="00C016DD">
        <w:rPr>
          <w:rFonts w:ascii="Arial" w:hAnsi="Arial" w:cs="Arial"/>
          <w:sz w:val="20"/>
          <w:szCs w:val="20"/>
        </w:rPr>
        <w:t>-</w:t>
      </w:r>
      <w:r w:rsidR="00D60D0A" w:rsidRPr="00C016DD">
        <w:rPr>
          <w:rFonts w:ascii="Arial" w:hAnsi="Arial" w:cs="Arial"/>
          <w:sz w:val="20"/>
          <w:szCs w:val="20"/>
        </w:rPr>
        <w:t>based inactivation (MBI)</w:t>
      </w:r>
      <w:r w:rsidR="00947540" w:rsidRPr="00C016DD">
        <w:rPr>
          <w:rFonts w:ascii="Arial" w:hAnsi="Arial" w:cs="Arial"/>
          <w:sz w:val="20"/>
          <w:szCs w:val="20"/>
        </w:rPr>
        <w:t xml:space="preserve"> of CYP3A4, while their ability to elicit MBI of CYP2J2 is unknown. Hence, MBI and rev</w:t>
      </w:r>
      <w:r w:rsidR="00D60D0A" w:rsidRPr="00C016DD">
        <w:rPr>
          <w:rFonts w:ascii="Arial" w:hAnsi="Arial" w:cs="Arial"/>
          <w:sz w:val="20"/>
          <w:szCs w:val="20"/>
        </w:rPr>
        <w:t xml:space="preserve">ersible inhibition experiments </w:t>
      </w:r>
      <w:r w:rsidR="00947540" w:rsidRPr="00C016DD">
        <w:rPr>
          <w:rFonts w:ascii="Arial" w:hAnsi="Arial" w:cs="Arial"/>
          <w:sz w:val="20"/>
          <w:szCs w:val="20"/>
        </w:rPr>
        <w:t>were first performed to investigate and quantify the</w:t>
      </w:r>
      <w:r w:rsidR="00AF37C3">
        <w:rPr>
          <w:rFonts w:ascii="Arial" w:hAnsi="Arial" w:cs="Arial"/>
          <w:sz w:val="20"/>
          <w:szCs w:val="20"/>
        </w:rPr>
        <w:t>ir</w:t>
      </w:r>
      <w:r w:rsidR="00947540" w:rsidRPr="00C016DD">
        <w:rPr>
          <w:rFonts w:ascii="Arial" w:hAnsi="Arial" w:cs="Arial"/>
          <w:sz w:val="20"/>
          <w:szCs w:val="20"/>
        </w:rPr>
        <w:t xml:space="preserve"> inhibitory potenc</w:t>
      </w:r>
      <w:r w:rsidR="00AF37C3">
        <w:rPr>
          <w:rFonts w:ascii="Arial" w:hAnsi="Arial" w:cs="Arial"/>
          <w:sz w:val="20"/>
          <w:szCs w:val="20"/>
        </w:rPr>
        <w:t>ies</w:t>
      </w:r>
      <w:r w:rsidR="00947540" w:rsidRPr="00C016DD">
        <w:rPr>
          <w:rFonts w:ascii="Arial" w:hAnsi="Arial" w:cs="Arial"/>
          <w:sz w:val="20"/>
          <w:szCs w:val="20"/>
        </w:rPr>
        <w:t xml:space="preserve"> on the CYP3A4/2J2-mediated metabolism of rivaroxaban. By applying a similar inhibition protocol as that defined for ketoconazole, the capacity of nilotinib to inhibit </w:t>
      </w:r>
      <w:r w:rsidR="00670489">
        <w:rPr>
          <w:rFonts w:ascii="Arial" w:hAnsi="Arial" w:cs="Arial"/>
          <w:sz w:val="20"/>
          <w:szCs w:val="20"/>
        </w:rPr>
        <w:t xml:space="preserve">OAT3-mediated </w:t>
      </w:r>
      <w:r w:rsidR="00947540" w:rsidRPr="00C016DD">
        <w:rPr>
          <w:rFonts w:ascii="Arial" w:hAnsi="Arial" w:cs="Arial"/>
          <w:sz w:val="20"/>
          <w:szCs w:val="20"/>
        </w:rPr>
        <w:t>rivaroxaban uptake was evaluated.</w:t>
      </w:r>
    </w:p>
    <w:p w14:paraId="41D75D71" w14:textId="77777777" w:rsidR="00062B7A" w:rsidRDefault="00062B7A" w:rsidP="00062B7A">
      <w:pPr>
        <w:spacing w:after="0" w:line="480" w:lineRule="auto"/>
        <w:jc w:val="both"/>
        <w:rPr>
          <w:rFonts w:ascii="Arial" w:eastAsia="Times New Roman" w:hAnsi="Arial" w:cs="Arial"/>
          <w:b/>
          <w:color w:val="000000"/>
          <w:sz w:val="20"/>
          <w:szCs w:val="20"/>
          <w:lang w:val="en-SG"/>
        </w:rPr>
      </w:pPr>
      <w:bookmarkStart w:id="4" w:name="_Hlk23717631"/>
      <w:bookmarkStart w:id="5" w:name="OLE_LINK3"/>
    </w:p>
    <w:p w14:paraId="693822E9" w14:textId="5A81D50E" w:rsidR="00DF3DFA" w:rsidRPr="00CF2A59" w:rsidRDefault="00AF37C3" w:rsidP="00062B7A">
      <w:pPr>
        <w:spacing w:after="0" w:line="480" w:lineRule="auto"/>
        <w:jc w:val="both"/>
        <w:rPr>
          <w:rFonts w:ascii="Arial" w:eastAsia="Times New Roman" w:hAnsi="Arial" w:cs="Arial"/>
          <w:color w:val="000000"/>
          <w:sz w:val="20"/>
          <w:szCs w:val="20"/>
          <w:lang w:val="en-SG"/>
        </w:rPr>
      </w:pPr>
      <w:r>
        <w:rPr>
          <w:rFonts w:ascii="Arial" w:eastAsia="Times New Roman" w:hAnsi="Arial" w:cs="Arial"/>
          <w:b/>
          <w:color w:val="000000"/>
          <w:sz w:val="20"/>
          <w:szCs w:val="20"/>
          <w:lang w:val="en-SG"/>
        </w:rPr>
        <w:t>I</w:t>
      </w:r>
      <w:proofErr w:type="spellStart"/>
      <w:r w:rsidRPr="00C016DD">
        <w:rPr>
          <w:rFonts w:ascii="Arial" w:hAnsi="Arial" w:cs="Arial"/>
          <w:b/>
          <w:bCs/>
          <w:sz w:val="20"/>
          <w:szCs w:val="20"/>
        </w:rPr>
        <w:t>nvestigating</w:t>
      </w:r>
      <w:proofErr w:type="spellEnd"/>
      <w:r>
        <w:rPr>
          <w:rFonts w:ascii="Arial" w:hAnsi="Arial" w:cs="Arial"/>
          <w:b/>
          <w:bCs/>
          <w:sz w:val="20"/>
          <w:szCs w:val="20"/>
        </w:rPr>
        <w:t xml:space="preserve"> </w:t>
      </w:r>
      <w:r w:rsidR="00D60D0A" w:rsidRPr="00C016DD">
        <w:rPr>
          <w:rFonts w:ascii="Arial" w:hAnsi="Arial" w:cs="Arial"/>
          <w:b/>
          <w:bCs/>
          <w:sz w:val="20"/>
          <w:szCs w:val="20"/>
        </w:rPr>
        <w:t>MBI</w:t>
      </w:r>
      <w:r w:rsidR="00DF3DFA" w:rsidRPr="00C016DD">
        <w:rPr>
          <w:rFonts w:ascii="Arial" w:hAnsi="Arial" w:cs="Arial"/>
          <w:b/>
          <w:bCs/>
          <w:sz w:val="20"/>
          <w:szCs w:val="20"/>
        </w:rPr>
        <w:t xml:space="preserve"> </w:t>
      </w:r>
      <w:r w:rsidR="00E4008D" w:rsidRPr="00C016DD">
        <w:rPr>
          <w:rFonts w:ascii="Arial" w:hAnsi="Arial" w:cs="Arial"/>
          <w:b/>
          <w:bCs/>
          <w:sz w:val="20"/>
          <w:szCs w:val="20"/>
        </w:rPr>
        <w:t xml:space="preserve">and Reversible Inhibition </w:t>
      </w:r>
      <w:r w:rsidR="00DF3DFA" w:rsidRPr="00C016DD">
        <w:rPr>
          <w:rFonts w:ascii="Arial" w:hAnsi="Arial" w:cs="Arial"/>
          <w:b/>
          <w:bCs/>
          <w:sz w:val="20"/>
          <w:szCs w:val="20"/>
        </w:rPr>
        <w:t xml:space="preserve">of </w:t>
      </w:r>
      <w:r>
        <w:rPr>
          <w:rFonts w:ascii="Arial" w:hAnsi="Arial" w:cs="Arial"/>
          <w:b/>
          <w:bCs/>
          <w:sz w:val="20"/>
          <w:szCs w:val="20"/>
        </w:rPr>
        <w:t>P450</w:t>
      </w:r>
      <w:r w:rsidR="00E4008D" w:rsidRPr="00C016DD">
        <w:rPr>
          <w:rFonts w:ascii="Arial" w:hAnsi="Arial" w:cs="Arial"/>
          <w:b/>
          <w:bCs/>
          <w:sz w:val="20"/>
          <w:szCs w:val="20"/>
        </w:rPr>
        <w:t xml:space="preserve"> Metabolism of Rivaroxaban by </w:t>
      </w:r>
      <w:r>
        <w:rPr>
          <w:rFonts w:ascii="Arial" w:hAnsi="Arial" w:cs="Arial"/>
          <w:b/>
          <w:bCs/>
          <w:sz w:val="20"/>
          <w:szCs w:val="20"/>
        </w:rPr>
        <w:t>PKIs</w:t>
      </w:r>
      <w:r w:rsidR="00F1019C" w:rsidRPr="00C016DD">
        <w:rPr>
          <w:rFonts w:ascii="Arial" w:hAnsi="Arial" w:cs="Arial"/>
          <w:b/>
          <w:bCs/>
          <w:sz w:val="20"/>
          <w:szCs w:val="20"/>
        </w:rPr>
        <w:t xml:space="preserve">. </w:t>
      </w:r>
      <w:r w:rsidR="00924D5A" w:rsidRPr="00062B7A">
        <w:rPr>
          <w:rFonts w:ascii="Arial" w:hAnsi="Arial" w:cs="Arial"/>
          <w:sz w:val="20"/>
          <w:szCs w:val="20"/>
        </w:rPr>
        <w:t xml:space="preserve">Chemicals and reagents used for </w:t>
      </w:r>
      <w:r w:rsidR="00F537C8">
        <w:rPr>
          <w:rFonts w:ascii="Arial" w:hAnsi="Arial" w:cs="Arial"/>
          <w:sz w:val="20"/>
          <w:szCs w:val="20"/>
        </w:rPr>
        <w:t xml:space="preserve">all </w:t>
      </w:r>
      <w:r w:rsidR="00F537C8">
        <w:rPr>
          <w:rFonts w:ascii="Arial" w:hAnsi="Arial" w:cs="Arial"/>
          <w:i/>
          <w:iCs/>
          <w:sz w:val="20"/>
          <w:szCs w:val="20"/>
        </w:rPr>
        <w:t xml:space="preserve">in vitro </w:t>
      </w:r>
      <w:r w:rsidR="00924D5A" w:rsidRPr="00062B7A">
        <w:rPr>
          <w:rFonts w:ascii="Arial" w:hAnsi="Arial" w:cs="Arial"/>
          <w:sz w:val="20"/>
          <w:szCs w:val="20"/>
        </w:rPr>
        <w:t xml:space="preserve">experiments are detailed in the </w:t>
      </w:r>
      <w:r w:rsidR="00924D5A" w:rsidRPr="00924D5A">
        <w:rPr>
          <w:rFonts w:ascii="Arial" w:hAnsi="Arial" w:cs="Arial"/>
          <w:b/>
          <w:bCs/>
          <w:sz w:val="20"/>
          <w:szCs w:val="20"/>
        </w:rPr>
        <w:t>Supplementary Methods</w:t>
      </w:r>
      <w:r w:rsidR="00924D5A" w:rsidRPr="00062B7A">
        <w:rPr>
          <w:rFonts w:ascii="Arial" w:hAnsi="Arial" w:cs="Arial"/>
          <w:sz w:val="20"/>
          <w:szCs w:val="20"/>
        </w:rPr>
        <w:t>.</w:t>
      </w:r>
      <w:r w:rsidR="00924D5A">
        <w:rPr>
          <w:rFonts w:ascii="Arial" w:hAnsi="Arial" w:cs="Arial"/>
          <w:sz w:val="20"/>
          <w:szCs w:val="20"/>
        </w:rPr>
        <w:t xml:space="preserve"> </w:t>
      </w:r>
      <w:r w:rsidR="00565703">
        <w:rPr>
          <w:rFonts w:ascii="Arial" w:hAnsi="Arial" w:cs="Arial"/>
          <w:sz w:val="20"/>
          <w:szCs w:val="20"/>
        </w:rPr>
        <w:t>T</w:t>
      </w:r>
      <w:r w:rsidR="00565703" w:rsidRPr="003A5D4F">
        <w:rPr>
          <w:rFonts w:ascii="Arial" w:hAnsi="Arial" w:cs="Arial"/>
          <w:sz w:val="20"/>
          <w:szCs w:val="20"/>
        </w:rPr>
        <w:t>o investigate and quantify the inhibitory potency of erlotinib or nilotinib on the CYP3A4/2J2-mediated metabolism of rivaroxaban</w:t>
      </w:r>
      <w:r w:rsidR="00565703">
        <w:rPr>
          <w:rFonts w:ascii="Arial" w:hAnsi="Arial" w:cs="Arial"/>
          <w:sz w:val="20"/>
          <w:szCs w:val="20"/>
        </w:rPr>
        <w:t xml:space="preserve">, </w:t>
      </w:r>
      <w:r w:rsidR="003A5D4F" w:rsidRPr="003A5D4F">
        <w:rPr>
          <w:rFonts w:ascii="Arial" w:hAnsi="Arial" w:cs="Arial"/>
          <w:sz w:val="20"/>
          <w:szCs w:val="20"/>
        </w:rPr>
        <w:t>MBI and reversible inhibition experiments</w:t>
      </w:r>
      <w:r w:rsidR="00223B1D">
        <w:rPr>
          <w:rFonts w:ascii="Arial" w:hAnsi="Arial" w:cs="Arial"/>
          <w:sz w:val="20"/>
          <w:szCs w:val="20"/>
        </w:rPr>
        <w:t xml:space="preserve"> were performed according to procedures </w:t>
      </w:r>
      <w:r w:rsidR="003A5D4F" w:rsidRPr="003A5D4F">
        <w:rPr>
          <w:rFonts w:ascii="Arial" w:hAnsi="Arial" w:cs="Arial"/>
          <w:sz w:val="20"/>
          <w:szCs w:val="20"/>
        </w:rPr>
        <w:t>previously outlined</w:t>
      </w:r>
      <w:r w:rsidR="003A5D4F">
        <w:rPr>
          <w:rFonts w:ascii="Arial" w:hAnsi="Arial" w:cs="Arial"/>
          <w:sz w:val="20"/>
          <w:szCs w:val="20"/>
        </w:rPr>
        <w:t xml:space="preserve"> by Cheong </w:t>
      </w:r>
      <w:r w:rsidR="003A5D4F" w:rsidRPr="003A5D4F">
        <w:rPr>
          <w:rFonts w:ascii="Arial" w:hAnsi="Arial" w:cs="Arial"/>
          <w:i/>
          <w:iCs/>
          <w:sz w:val="20"/>
          <w:szCs w:val="20"/>
        </w:rPr>
        <w:t>et al</w:t>
      </w:r>
      <w:r w:rsidR="00565703">
        <w:rPr>
          <w:rFonts w:ascii="Arial" w:hAnsi="Arial" w:cs="Arial"/>
          <w:sz w:val="20"/>
          <w:szCs w:val="20"/>
        </w:rPr>
        <w:t>.</w:t>
      </w:r>
      <w:r w:rsidR="009E4D4A">
        <w:rPr>
          <w:rFonts w:ascii="Arial" w:hAnsi="Arial" w:cs="Arial"/>
          <w:sz w:val="20"/>
          <w:szCs w:val="20"/>
        </w:rPr>
        <w:fldChar w:fldCharType="begin" w:fldLock="1"/>
      </w:r>
      <w:r w:rsidR="00DF0BB4">
        <w:rPr>
          <w:rFonts w:ascii="Arial" w:hAnsi="Arial" w:cs="Arial"/>
          <w:sz w:val="20"/>
          <w:szCs w:val="20"/>
        </w:rPr>
        <w:instrText>ADDIN CSL_CITATION {"citationItems":[{"id":"ITEM-1","itemData":{"author":[{"dropping-particle":"","family":"Jing","given":"Eleanor","non-dropping-particle":"","parse-names":false,"suffix":""},{"dropping-particle":"","family":"Cheong","given":"Yi","non-dropping-particle":"","parse-names":false,"suffix":""},{"dropping-particle":"","family":"Wun","given":"Denise","non-dropping-particle":"","parse-names":false,"suffix":""},{"dropping-particle":"","family":"Teo","given":"Xi","non-dropping-particle":"","parse-names":false,"suffix":""},{"dropping-particle":"","family":"Xin","given":"Denise","non-dropping-particle":"","parse-names":false,"suffix":""},{"dropping-particle":"","family":"Chua","given":"Yi","non-dropping-particle":"","parse-names":false,"suffix":""},{"dropping-particle":"","family":"Chun","given":"Eric","non-dropping-particle":"","parse-names":false,"suffix":""},{"dropping-particle":"","family":"Chan","given":"Yong","non-dropping-particle":"","parse-names":false,"suffix":""}],"id":"ITEM-1","issued":{"date-parts":[["2019"]]},"title":"Systematic Development and Verification of a Physiologically Based Pharmacokinetic Model of Rivaroxaban s","type":"article-journal"},"uris":["http://www.mendeley.com/documents/?uuid=9ed721ff-d724-457c-a507-0f173d45daac"]}],"mendeley":{"formattedCitation":"&lt;sup&gt;8&lt;/sup&gt;","plainTextFormattedCitation":"8","previouslyFormattedCitation":"&lt;sup&gt;8&lt;/sup&gt;"},"properties":{"noteIndex":0},"schema":"https://github.com/citation-style-language/schema/raw/master/csl-citation.json"}</w:instrText>
      </w:r>
      <w:r w:rsidR="009E4D4A">
        <w:rPr>
          <w:rFonts w:ascii="Arial" w:hAnsi="Arial" w:cs="Arial"/>
          <w:sz w:val="20"/>
          <w:szCs w:val="20"/>
        </w:rPr>
        <w:fldChar w:fldCharType="separate"/>
      </w:r>
      <w:r w:rsidR="00BD1DF4" w:rsidRPr="00BD1DF4">
        <w:rPr>
          <w:rFonts w:ascii="Arial" w:hAnsi="Arial" w:cs="Arial"/>
          <w:noProof/>
          <w:sz w:val="20"/>
          <w:szCs w:val="20"/>
          <w:vertAlign w:val="superscript"/>
        </w:rPr>
        <w:t>8</w:t>
      </w:r>
      <w:r w:rsidR="009E4D4A">
        <w:rPr>
          <w:rFonts w:ascii="Arial" w:hAnsi="Arial" w:cs="Arial"/>
          <w:sz w:val="20"/>
          <w:szCs w:val="20"/>
        </w:rPr>
        <w:fldChar w:fldCharType="end"/>
      </w:r>
      <w:r w:rsidR="00565703">
        <w:rPr>
          <w:rFonts w:ascii="Arial" w:hAnsi="Arial" w:cs="Arial"/>
          <w:sz w:val="20"/>
          <w:szCs w:val="20"/>
        </w:rPr>
        <w:t xml:space="preserve"> </w:t>
      </w:r>
      <w:bookmarkStart w:id="6" w:name="OLE_LINK2"/>
      <w:r w:rsidR="00C8667E">
        <w:rPr>
          <w:rFonts w:ascii="Arial" w:hAnsi="Arial" w:cs="Arial"/>
          <w:sz w:val="20"/>
          <w:szCs w:val="20"/>
        </w:rPr>
        <w:t xml:space="preserve">Additional details on the </w:t>
      </w:r>
      <w:r w:rsidR="005D0EC3">
        <w:rPr>
          <w:rFonts w:ascii="Arial" w:hAnsi="Arial" w:cs="Arial"/>
          <w:sz w:val="20"/>
          <w:szCs w:val="20"/>
        </w:rPr>
        <w:t>range of inhibitor concentrations utilized</w:t>
      </w:r>
      <w:r w:rsidR="00D55B6C">
        <w:rPr>
          <w:rFonts w:ascii="Arial" w:hAnsi="Arial" w:cs="Arial"/>
          <w:sz w:val="20"/>
          <w:szCs w:val="20"/>
        </w:rPr>
        <w:t xml:space="preserve">, </w:t>
      </w:r>
      <w:r w:rsidR="005D0EC3">
        <w:rPr>
          <w:rFonts w:ascii="Arial" w:hAnsi="Arial" w:cs="Arial"/>
          <w:sz w:val="20"/>
          <w:szCs w:val="20"/>
        </w:rPr>
        <w:t>c</w:t>
      </w:r>
      <w:r w:rsidR="00DF3DFA" w:rsidRPr="00C016DD">
        <w:rPr>
          <w:rFonts w:ascii="Arial" w:hAnsi="Arial" w:cs="Arial"/>
          <w:sz w:val="20"/>
          <w:szCs w:val="20"/>
        </w:rPr>
        <w:t>alculation of inactivation kinetic parameters (</w:t>
      </w:r>
      <w:r w:rsidR="00DF3DFA" w:rsidRPr="00C016DD">
        <w:rPr>
          <w:rFonts w:ascii="Arial" w:hAnsi="Arial" w:cs="Arial"/>
          <w:i/>
          <w:iCs/>
          <w:sz w:val="20"/>
          <w:szCs w:val="20"/>
        </w:rPr>
        <w:t>K</w:t>
      </w:r>
      <w:r w:rsidR="00DF3DFA" w:rsidRPr="00C016DD">
        <w:rPr>
          <w:rFonts w:ascii="Arial" w:hAnsi="Arial" w:cs="Arial"/>
          <w:i/>
          <w:iCs/>
          <w:sz w:val="20"/>
          <w:szCs w:val="20"/>
          <w:vertAlign w:val="subscript"/>
        </w:rPr>
        <w:t>I</w:t>
      </w:r>
      <w:r w:rsidR="00DF3DFA" w:rsidRPr="00C016DD">
        <w:rPr>
          <w:rFonts w:ascii="Arial" w:hAnsi="Arial" w:cs="Arial"/>
          <w:sz w:val="20"/>
          <w:szCs w:val="20"/>
          <w:vertAlign w:val="subscript"/>
        </w:rPr>
        <w:t xml:space="preserve"> </w:t>
      </w:r>
      <w:r w:rsidR="00DF3DFA" w:rsidRPr="00C016DD">
        <w:rPr>
          <w:rFonts w:ascii="Arial" w:hAnsi="Arial" w:cs="Arial"/>
          <w:sz w:val="20"/>
          <w:szCs w:val="20"/>
        </w:rPr>
        <w:t xml:space="preserve">and </w:t>
      </w:r>
      <w:r w:rsidR="00DF3DFA" w:rsidRPr="00C016DD">
        <w:rPr>
          <w:rFonts w:ascii="Arial" w:hAnsi="Arial" w:cs="Arial"/>
          <w:i/>
          <w:iCs/>
          <w:sz w:val="20"/>
          <w:szCs w:val="20"/>
        </w:rPr>
        <w:t>k</w:t>
      </w:r>
      <w:r w:rsidR="00DF3DFA" w:rsidRPr="00C016DD">
        <w:rPr>
          <w:rFonts w:ascii="Arial" w:hAnsi="Arial" w:cs="Arial"/>
          <w:i/>
          <w:iCs/>
          <w:sz w:val="20"/>
          <w:szCs w:val="20"/>
          <w:vertAlign w:val="subscript"/>
        </w:rPr>
        <w:t>inact</w:t>
      </w:r>
      <w:r w:rsidR="00DF3DFA" w:rsidRPr="00C016DD">
        <w:rPr>
          <w:rFonts w:ascii="Arial" w:hAnsi="Arial" w:cs="Arial"/>
          <w:sz w:val="20"/>
          <w:szCs w:val="20"/>
        </w:rPr>
        <w:t>)</w:t>
      </w:r>
      <w:r w:rsidR="00653016">
        <w:rPr>
          <w:rFonts w:ascii="Arial" w:hAnsi="Arial" w:cs="Arial"/>
          <w:sz w:val="20"/>
          <w:szCs w:val="20"/>
        </w:rPr>
        <w:t xml:space="preserve"> as well as</w:t>
      </w:r>
      <w:r w:rsidR="00DF3DFA" w:rsidRPr="00C016DD">
        <w:rPr>
          <w:rFonts w:ascii="Arial" w:hAnsi="Arial" w:cs="Arial"/>
          <w:sz w:val="20"/>
          <w:szCs w:val="20"/>
        </w:rPr>
        <w:t xml:space="preserve"> </w:t>
      </w:r>
      <w:bookmarkEnd w:id="6"/>
      <w:r w:rsidR="00653016" w:rsidRPr="00C016DD">
        <w:rPr>
          <w:rFonts w:ascii="Arial" w:hAnsi="Arial" w:cs="Arial"/>
          <w:sz w:val="20"/>
          <w:szCs w:val="20"/>
        </w:rPr>
        <w:t>reversible inhibition parameters (IC</w:t>
      </w:r>
      <w:r w:rsidR="00653016" w:rsidRPr="00C016DD">
        <w:rPr>
          <w:rFonts w:ascii="Arial" w:hAnsi="Arial" w:cs="Arial"/>
          <w:sz w:val="20"/>
          <w:szCs w:val="20"/>
          <w:vertAlign w:val="subscript"/>
        </w:rPr>
        <w:t>50</w:t>
      </w:r>
      <w:r w:rsidR="00653016" w:rsidRPr="00C016DD">
        <w:rPr>
          <w:rFonts w:ascii="Arial" w:hAnsi="Arial" w:cs="Arial"/>
          <w:sz w:val="20"/>
          <w:szCs w:val="20"/>
        </w:rPr>
        <w:t xml:space="preserve"> and </w:t>
      </w:r>
      <w:r w:rsidR="00653016" w:rsidRPr="00C016DD">
        <w:rPr>
          <w:rFonts w:ascii="Arial" w:hAnsi="Arial" w:cs="Arial"/>
          <w:i/>
          <w:iCs/>
          <w:sz w:val="20"/>
          <w:szCs w:val="20"/>
        </w:rPr>
        <w:t>K</w:t>
      </w:r>
      <w:r w:rsidR="00653016" w:rsidRPr="00C016DD">
        <w:rPr>
          <w:rFonts w:ascii="Arial" w:hAnsi="Arial" w:cs="Arial"/>
          <w:i/>
          <w:iCs/>
          <w:sz w:val="20"/>
          <w:szCs w:val="20"/>
          <w:vertAlign w:val="subscript"/>
        </w:rPr>
        <w:t>i</w:t>
      </w:r>
      <w:r w:rsidR="00653016" w:rsidRPr="00C016DD">
        <w:rPr>
          <w:rFonts w:ascii="Arial" w:hAnsi="Arial" w:cs="Arial"/>
          <w:sz w:val="20"/>
          <w:szCs w:val="20"/>
        </w:rPr>
        <w:t>)</w:t>
      </w:r>
      <w:r w:rsidR="00653016">
        <w:rPr>
          <w:rFonts w:ascii="Arial" w:hAnsi="Arial" w:cs="Arial"/>
          <w:sz w:val="20"/>
          <w:szCs w:val="20"/>
        </w:rPr>
        <w:t xml:space="preserve"> </w:t>
      </w:r>
      <w:r w:rsidR="00DF3DFA" w:rsidRPr="00C016DD">
        <w:rPr>
          <w:rFonts w:ascii="Arial" w:hAnsi="Arial" w:cs="Arial"/>
          <w:sz w:val="20"/>
          <w:szCs w:val="20"/>
        </w:rPr>
        <w:t xml:space="preserve">are detailed in the </w:t>
      </w:r>
      <w:r w:rsidR="00DF3DFA" w:rsidRPr="00C016DD">
        <w:rPr>
          <w:rFonts w:ascii="Arial" w:hAnsi="Arial" w:cs="Arial"/>
          <w:b/>
          <w:bCs/>
          <w:sz w:val="20"/>
          <w:szCs w:val="20"/>
        </w:rPr>
        <w:t>Supplementary Methods</w:t>
      </w:r>
      <w:r w:rsidR="00DF3DFA" w:rsidRPr="00C016DD">
        <w:rPr>
          <w:rFonts w:ascii="Arial" w:hAnsi="Arial" w:cs="Arial"/>
          <w:sz w:val="20"/>
          <w:szCs w:val="20"/>
        </w:rPr>
        <w:t>.</w:t>
      </w:r>
    </w:p>
    <w:p w14:paraId="270259FD" w14:textId="77777777" w:rsidR="00B06136" w:rsidRPr="00B06136" w:rsidRDefault="00B06136" w:rsidP="00062B7A">
      <w:pPr>
        <w:spacing w:after="0" w:line="480" w:lineRule="auto"/>
        <w:jc w:val="both"/>
        <w:rPr>
          <w:rFonts w:ascii="Arial" w:eastAsia="Times New Roman" w:hAnsi="Arial" w:cs="Arial"/>
          <w:color w:val="000000"/>
          <w:sz w:val="20"/>
          <w:szCs w:val="20"/>
          <w:lang w:val="en-SG"/>
        </w:rPr>
      </w:pPr>
    </w:p>
    <w:p w14:paraId="1F5F5968" w14:textId="4DFCBCC3" w:rsidR="00DF3DFA" w:rsidRPr="00C016DD" w:rsidRDefault="00E43B12" w:rsidP="00062B7A">
      <w:pPr>
        <w:spacing w:after="0" w:line="480" w:lineRule="auto"/>
        <w:jc w:val="both"/>
        <w:rPr>
          <w:rFonts w:ascii="Arial" w:hAnsi="Arial" w:cs="Arial"/>
          <w:b/>
          <w:bCs/>
          <w:sz w:val="20"/>
          <w:szCs w:val="20"/>
        </w:rPr>
      </w:pPr>
      <w:r w:rsidRPr="00C016DD">
        <w:rPr>
          <w:rFonts w:ascii="Arial" w:hAnsi="Arial" w:cs="Arial"/>
          <w:b/>
          <w:bCs/>
          <w:sz w:val="20"/>
          <w:szCs w:val="20"/>
        </w:rPr>
        <w:t xml:space="preserve">Investigating Inhibition of </w:t>
      </w:r>
      <w:r w:rsidRPr="00C016DD">
        <w:rPr>
          <w:rFonts w:ascii="Arial" w:hAnsi="Arial" w:cs="Arial"/>
          <w:b/>
          <w:bCs/>
          <w:i/>
          <w:sz w:val="20"/>
          <w:szCs w:val="20"/>
        </w:rPr>
        <w:t>In Vitro</w:t>
      </w:r>
      <w:r w:rsidRPr="00C016DD">
        <w:rPr>
          <w:rFonts w:ascii="Arial" w:hAnsi="Arial" w:cs="Arial"/>
          <w:b/>
          <w:bCs/>
          <w:sz w:val="20"/>
          <w:szCs w:val="20"/>
        </w:rPr>
        <w:t xml:space="preserve"> OAT3-</w:t>
      </w:r>
      <w:r w:rsidR="00580ABE">
        <w:rPr>
          <w:rFonts w:ascii="Arial" w:hAnsi="Arial" w:cs="Arial"/>
          <w:b/>
          <w:bCs/>
          <w:sz w:val="20"/>
          <w:szCs w:val="20"/>
        </w:rPr>
        <w:t>M</w:t>
      </w:r>
      <w:r w:rsidRPr="00C016DD">
        <w:rPr>
          <w:rFonts w:ascii="Arial" w:hAnsi="Arial" w:cs="Arial"/>
          <w:b/>
          <w:bCs/>
          <w:sz w:val="20"/>
          <w:szCs w:val="20"/>
        </w:rPr>
        <w:t xml:space="preserve">ediated </w:t>
      </w:r>
      <w:r w:rsidR="00580ABE">
        <w:rPr>
          <w:rFonts w:ascii="Arial" w:hAnsi="Arial" w:cs="Arial"/>
          <w:b/>
          <w:bCs/>
          <w:sz w:val="20"/>
          <w:szCs w:val="20"/>
        </w:rPr>
        <w:t>U</w:t>
      </w:r>
      <w:r w:rsidRPr="00C016DD">
        <w:rPr>
          <w:rFonts w:ascii="Arial" w:hAnsi="Arial" w:cs="Arial"/>
          <w:b/>
          <w:bCs/>
          <w:sz w:val="20"/>
          <w:szCs w:val="20"/>
        </w:rPr>
        <w:t>ptake of E3S and Rivaroxaban by Ketoconazole</w:t>
      </w:r>
      <w:r w:rsidR="00D60D0A" w:rsidRPr="00C016DD">
        <w:rPr>
          <w:rFonts w:ascii="Arial" w:hAnsi="Arial" w:cs="Arial"/>
          <w:b/>
          <w:bCs/>
          <w:sz w:val="20"/>
          <w:szCs w:val="20"/>
        </w:rPr>
        <w:t xml:space="preserve"> and Nilotinib</w:t>
      </w:r>
      <w:r w:rsidR="00D10D33" w:rsidRPr="00C016DD">
        <w:rPr>
          <w:rFonts w:ascii="Arial" w:hAnsi="Arial" w:cs="Arial"/>
          <w:b/>
          <w:bCs/>
          <w:sz w:val="20"/>
          <w:szCs w:val="20"/>
        </w:rPr>
        <w:t xml:space="preserve"> in Both Protein-Free and </w:t>
      </w:r>
      <w:r w:rsidR="003F027B" w:rsidRPr="00C016DD">
        <w:rPr>
          <w:rFonts w:ascii="Arial" w:hAnsi="Arial" w:cs="Arial"/>
          <w:b/>
          <w:bCs/>
          <w:sz w:val="20"/>
          <w:szCs w:val="20"/>
        </w:rPr>
        <w:t>HSA</w:t>
      </w:r>
      <w:r w:rsidR="00D10D33" w:rsidRPr="00C016DD">
        <w:rPr>
          <w:rFonts w:ascii="Arial" w:hAnsi="Arial" w:cs="Arial"/>
          <w:b/>
          <w:bCs/>
          <w:sz w:val="20"/>
          <w:szCs w:val="20"/>
        </w:rPr>
        <w:t>-Containing Buffer</w:t>
      </w:r>
      <w:r w:rsidRPr="00C016DD">
        <w:rPr>
          <w:rFonts w:ascii="Arial" w:hAnsi="Arial" w:cs="Arial"/>
          <w:b/>
          <w:bCs/>
          <w:sz w:val="20"/>
          <w:szCs w:val="20"/>
        </w:rPr>
        <w:t xml:space="preserve">. </w:t>
      </w:r>
      <w:r w:rsidR="00D60D0A" w:rsidRPr="00C016DD">
        <w:rPr>
          <w:rFonts w:ascii="Arial" w:hAnsi="Arial" w:cs="Arial"/>
          <w:bCs/>
          <w:sz w:val="20"/>
          <w:szCs w:val="20"/>
        </w:rPr>
        <w:t xml:space="preserve">Both wild type and </w:t>
      </w:r>
      <w:r w:rsidRPr="00C016DD">
        <w:rPr>
          <w:rFonts w:ascii="Arial" w:hAnsi="Arial" w:cs="Arial"/>
          <w:sz w:val="20"/>
          <w:szCs w:val="20"/>
        </w:rPr>
        <w:t>hOAT3-transfected human embryonic kidney (HEK</w:t>
      </w:r>
      <w:r w:rsidR="00D60D0A" w:rsidRPr="00C016DD">
        <w:rPr>
          <w:rFonts w:ascii="Arial" w:hAnsi="Arial" w:cs="Arial"/>
          <w:sz w:val="20"/>
          <w:szCs w:val="20"/>
        </w:rPr>
        <w:t>293</w:t>
      </w:r>
      <w:r w:rsidRPr="00C016DD">
        <w:rPr>
          <w:rFonts w:ascii="Arial" w:hAnsi="Arial" w:cs="Arial"/>
          <w:sz w:val="20"/>
          <w:szCs w:val="20"/>
        </w:rPr>
        <w:t>) cell lines</w:t>
      </w:r>
      <w:r w:rsidR="00D60D0A" w:rsidRPr="00C016DD">
        <w:rPr>
          <w:rFonts w:ascii="Arial" w:hAnsi="Arial" w:cs="Arial"/>
          <w:sz w:val="20"/>
          <w:szCs w:val="20"/>
        </w:rPr>
        <w:t xml:space="preserve"> used in this study were obtained </w:t>
      </w:r>
      <w:r w:rsidRPr="00C016DD">
        <w:rPr>
          <w:rFonts w:ascii="Arial" w:hAnsi="Arial" w:cs="Arial"/>
          <w:sz w:val="20"/>
          <w:szCs w:val="20"/>
        </w:rPr>
        <w:t xml:space="preserve">from Dr. Kathleen Giacomini (University of California, San Francisco, San Francisco, CA). </w:t>
      </w:r>
      <w:r w:rsidR="00DF3DFA" w:rsidRPr="00C016DD">
        <w:rPr>
          <w:rFonts w:ascii="Arial" w:hAnsi="Arial" w:cs="Arial"/>
          <w:sz w:val="20"/>
          <w:szCs w:val="20"/>
        </w:rPr>
        <w:t xml:space="preserve">HEK293 cell culture methods are highlighted in the </w:t>
      </w:r>
      <w:r w:rsidR="00DF3DFA" w:rsidRPr="00C016DD">
        <w:rPr>
          <w:rFonts w:ascii="Arial" w:hAnsi="Arial" w:cs="Arial"/>
          <w:b/>
          <w:bCs/>
          <w:sz w:val="20"/>
          <w:szCs w:val="20"/>
        </w:rPr>
        <w:t>Supplementary Methods</w:t>
      </w:r>
      <w:r w:rsidR="00DF3DFA" w:rsidRPr="00C016DD">
        <w:rPr>
          <w:rFonts w:ascii="Arial" w:hAnsi="Arial" w:cs="Arial"/>
          <w:sz w:val="20"/>
          <w:szCs w:val="20"/>
        </w:rPr>
        <w:t>. Transport and inhibition studies were conducted in HEK293 cells as described previously</w:t>
      </w:r>
      <w:r w:rsidR="003F027B" w:rsidRPr="00C016DD">
        <w:rPr>
          <w:rFonts w:ascii="Arial" w:hAnsi="Arial" w:cs="Arial"/>
          <w:sz w:val="20"/>
          <w:szCs w:val="20"/>
        </w:rPr>
        <w:t>,</w:t>
      </w:r>
      <w:r w:rsidR="00DF3DFA" w:rsidRPr="00C016DD">
        <w:rPr>
          <w:rFonts w:ascii="Arial" w:hAnsi="Arial" w:cs="Arial"/>
          <w:sz w:val="20"/>
          <w:szCs w:val="20"/>
        </w:rPr>
        <w:t xml:space="preserve"> with some modifications.</w:t>
      </w:r>
      <w:r w:rsidR="003F5ACC" w:rsidRPr="00C016DD">
        <w:rPr>
          <w:rFonts w:ascii="Arial" w:hAnsi="Arial" w:cs="Arial"/>
          <w:sz w:val="20"/>
          <w:szCs w:val="20"/>
        </w:rPr>
        <w:fldChar w:fldCharType="begin" w:fldLock="1"/>
      </w:r>
      <w:r w:rsidR="00855BC0">
        <w:rPr>
          <w:rFonts w:ascii="Arial" w:hAnsi="Arial" w:cs="Arial"/>
          <w:sz w:val="20"/>
          <w:szCs w:val="20"/>
        </w:rPr>
        <w:instrText>ADDIN CSL_CITATION {"citationItems":[{"id":"ITEM-1","itemData":{"DOI":"10.1124/dmd.115.067744","ISSN":"1521-009X","PMID":"26668209","abstract":"Ketoconazole is a potent CYP3A4/5 inhibitor and, until recently, recommended by the Food and Drug Administration (FDA) and the European Medicines Agency as a strong CYP3A4/5 inhibitor in clinical drug-drug interaction (DDI) studies. Ketoconazole sporadically causes liver injury or adrenal insufficiency. Because of this, the FDA and European Medicines Agency recommended suspension of ketoconazole use in DDI studies in 2013. The FDA specifically recommended use of clarithromycin or itraconazole as alternative strong CYP3A4/5 inhibitors in clinical DDI studies, but many investigators have also used ritonavir as an alternative. Although the effects of these clinical CYP3A4/5 inhibitors on other CYPs are largely established, reports on the effects on the broad range of drug transporter activities are sparse. In this study, the inhibitory effects of ketoconazole, clarithromycin, ritonavir, and itraconazole (and its CYP3A4-inhibitory metabolites, hydroxy-, keto-, and N-desalkyl itraconazole) toward 13 drug transporters (OATP1B1, OATP1B3, OAT1, OAT3, OCT1, OCT2, MATE1, MATE2-K, P-gp, BCRP, MRP2, MRP3, and BSEP) were systematically assessed in transporter-expressing HEK-293 cell lines or membrane vesicles. In vitro findings were translated into clinical context with the basic static model approaches outlined by the FDA in its 2012 draft guidance on DDIs. The results indicate that, like ketoconazole, the alternative clinical CYP3A4/5 inhibitors ritonavir, clarithromycin, and itraconazole each have unique transporter inhibition profiles. None of the alternatives to ketoconazole provided a clean inhibition profile toward the 13 drug transporters evaluated. The results provide guidance for the selection of clinical CYP3A4/5 inhibitors when transporters are potentially involved in a victim drug's pharmacokinetics.","author":[{"dropping-particle":"","family":"Vermeer","given":"L. M. M.","non-dropping-particle":"","parse-names":false,"suffix":""},{"dropping-particle":"","family":"Isringhausen","given":"C. D.","non-dropping-particle":"","parse-names":false,"suffix":""},{"dropping-particle":"","family":"Ogilvie","given":"B. W.","non-dropping-particle":"","parse-names":false,"suffix":""},{"dropping-particle":"","family":"Buckley","given":"D. B.","non-dropping-particle":"","parse-names":false,"suffix":""}],"container-title":"Drug Metabolism and Disposition","id":"ITEM-1","issue":"3","issued":{"date-parts":[["2016","2","16"]]},"page":"453-459","title":"Evaluation of Ketoconazole and Its Alternative Clinical CYP3A4/5 Inhibitors as Inhibitors of Drug Transporters: The In Vitro Effects of Ketoconazole, Ritonavir, Clarithromycin, and Itraconazole on 13 Clinically-Relevant Drug Transporters","type":"article-journal","volume":"44"},"uris":["http://www.mendeley.com/documents/?uuid=13b330f9-fabf-3bfb-84a9-9a723660b579"]},{"id":"ITEM-2","itemData":{"DOI":"10.2133/dmpk.20.379","ISSN":"13474367","abstract":"Although metformin, a cationic agent for type II diabetes, shows its pharmacological effect in the liver, the drug is mainly eliminated into urine. The tissue selectivity based on the function of drug transporters is unclear. In the present study, the transport of metformin was examined using HEK293 cells transiently transfected with five human renal organic ion transporter cDNAs. Human OCT1 and OCT2, but not OAT1, OAT3 or OCT2-A, stimulated the uptake. A kinetic analysis of metformin transport demonstrated that the amount of plasmid cDNA for transfection was also important parameter to the quantitative elucidation of functional characteristics of transporters, and both human and rat OCT2 had about a 10- and 100-fold greater capacity to transport metformin than did OCT1, respectively. In male rats, the mRNA expression level of rOCT2 in the whole kidneys was 8-fold greater than that of rOCT1 in the whole liver. The in vivo distribution of metformin in rats revealed that the expression level of renal OCT2 was a key factor in the control of the concentrative accumulation of metformin in the kidney. These findings suggest that metformin is a superior substrate for renal OCT2 rather than hepatic OCT1, and renal OCT2 plays a dominant role for metformin pharmacokinetics.","author":[{"dropping-particle":"","family":"Kimura","given":"Naoko","non-dropping-particle":"","parse-names":false,"suffix":""},{"dropping-particle":"","family":"Masuda","given":"Satohiro","non-dropping-particle":"","parse-names":false,"suffix":""},{"dropping-particle":"","family":"Tanihara","given":"Yuko","non-dropping-particle":"","parse-names":false,"suffix":""},{"dropping-particle":"","family":"Ueo","given":"Harumasa","non-dropping-particle":"","parse-names":false,"suffix":""},{"dropping-particle":"","family":"Okuda","given":"Masahiro","non-dropping-particle":"","parse-names":false,"suffix":""},{"dropping-particle":"","family":"Katsura","given":"Toshiya","non-dropping-particle":"","parse-names":false,"suffix":""},{"dropping-particle":"","family":"Inui","given":"Ken Ichi","non-dropping-particle":"","parse-names":false,"suffix":""}],"container-title":"Drug metabolism and pharmacokinetics","id":"ITEM-2","issue":"5","issued":{"date-parts":[["2005","10"]]},"page":"379-386","title":"Metformin is a superior substrate for renal organic cation transporter OCT2 rather than hepatic OCT1.","type":"article-journal","volume":"20"},"uris":["http://www.mendeley.com/documents/?uuid=d582f3de-ff13-4a28-85d7-05978a62a200"]}],"mendeley":{"formattedCitation":"&lt;sup&gt;28,29&lt;/sup&gt;","plainTextFormattedCitation":"28,29","previouslyFormattedCitation":"&lt;sup&gt;28,29&lt;/sup&gt;"},"properties":{"noteIndex":0},"schema":"https://github.com/citation-style-language/schema/raw/master/csl-citation.json"}</w:instrText>
      </w:r>
      <w:r w:rsidR="003F5ACC" w:rsidRPr="00C016DD">
        <w:rPr>
          <w:rFonts w:ascii="Arial" w:hAnsi="Arial" w:cs="Arial"/>
          <w:sz w:val="20"/>
          <w:szCs w:val="20"/>
        </w:rPr>
        <w:fldChar w:fldCharType="separate"/>
      </w:r>
      <w:r w:rsidR="009E4D4A" w:rsidRPr="009E4D4A">
        <w:rPr>
          <w:rFonts w:ascii="Arial" w:hAnsi="Arial" w:cs="Arial"/>
          <w:noProof/>
          <w:sz w:val="20"/>
          <w:szCs w:val="20"/>
          <w:vertAlign w:val="superscript"/>
        </w:rPr>
        <w:t>28,29</w:t>
      </w:r>
      <w:r w:rsidR="003F5ACC" w:rsidRPr="00C016DD">
        <w:rPr>
          <w:rFonts w:ascii="Arial" w:hAnsi="Arial" w:cs="Arial"/>
          <w:sz w:val="20"/>
          <w:szCs w:val="20"/>
        </w:rPr>
        <w:fldChar w:fldCharType="end"/>
      </w:r>
      <w:r w:rsidR="00DF3DFA" w:rsidRPr="00C016DD">
        <w:rPr>
          <w:rFonts w:ascii="Arial" w:hAnsi="Arial" w:cs="Arial"/>
          <w:sz w:val="20"/>
          <w:szCs w:val="20"/>
        </w:rPr>
        <w:t xml:space="preserve"> </w:t>
      </w:r>
      <w:r w:rsidR="0057241E" w:rsidRPr="00C016DD">
        <w:rPr>
          <w:rFonts w:ascii="Arial" w:hAnsi="Arial" w:cs="Arial"/>
          <w:sz w:val="20"/>
          <w:szCs w:val="20"/>
        </w:rPr>
        <w:t xml:space="preserve">Briefly, cells were washed once with transport buffer (HBSS supplemented with 20 mM HEPES (pH 7.4) or HBSS </w:t>
      </w:r>
      <w:r w:rsidR="00D60D0A" w:rsidRPr="00C016DD">
        <w:rPr>
          <w:rFonts w:ascii="Arial" w:hAnsi="Arial" w:cs="Arial"/>
          <w:sz w:val="20"/>
          <w:szCs w:val="20"/>
        </w:rPr>
        <w:t xml:space="preserve">with 20 mM HEPES (pH 7.4) </w:t>
      </w:r>
      <w:r w:rsidR="0057241E" w:rsidRPr="00C016DD">
        <w:rPr>
          <w:rFonts w:ascii="Arial" w:hAnsi="Arial" w:cs="Arial"/>
          <w:sz w:val="20"/>
          <w:szCs w:val="20"/>
        </w:rPr>
        <w:t xml:space="preserve">containing 5% w/v </w:t>
      </w:r>
      <w:r w:rsidR="006F2D01" w:rsidRPr="00C016DD">
        <w:rPr>
          <w:rFonts w:ascii="Arial" w:hAnsi="Arial" w:cs="Arial"/>
          <w:sz w:val="20"/>
          <w:szCs w:val="20"/>
        </w:rPr>
        <w:t xml:space="preserve">human serum albumin </w:t>
      </w:r>
      <w:r w:rsidR="006F2D01">
        <w:rPr>
          <w:rFonts w:ascii="Arial" w:hAnsi="Arial" w:cs="Arial"/>
          <w:sz w:val="20"/>
          <w:szCs w:val="20"/>
        </w:rPr>
        <w:t>(</w:t>
      </w:r>
      <w:r w:rsidR="0057241E" w:rsidRPr="00C016DD">
        <w:rPr>
          <w:rFonts w:ascii="Arial" w:hAnsi="Arial" w:cs="Arial"/>
          <w:sz w:val="20"/>
          <w:szCs w:val="20"/>
        </w:rPr>
        <w:t>HSA)</w:t>
      </w:r>
      <w:r w:rsidR="006F2D01">
        <w:rPr>
          <w:rFonts w:ascii="Arial" w:hAnsi="Arial" w:cs="Arial"/>
          <w:sz w:val="20"/>
          <w:szCs w:val="20"/>
        </w:rPr>
        <w:t>)</w:t>
      </w:r>
      <w:r w:rsidR="0057241E" w:rsidRPr="00C016DD">
        <w:rPr>
          <w:rFonts w:ascii="Arial" w:hAnsi="Arial" w:cs="Arial"/>
          <w:sz w:val="20"/>
          <w:szCs w:val="20"/>
        </w:rPr>
        <w:t xml:space="preserve">. </w:t>
      </w:r>
      <w:r w:rsidR="00487DC8" w:rsidRPr="00C016DD">
        <w:rPr>
          <w:rFonts w:ascii="Arial" w:hAnsi="Arial" w:cs="Arial"/>
          <w:sz w:val="20"/>
          <w:szCs w:val="20"/>
        </w:rPr>
        <w:t>Stock solutions of probe substrate (E3S</w:t>
      </w:r>
      <w:r w:rsidR="00BC67AC" w:rsidRPr="00C016DD">
        <w:rPr>
          <w:rFonts w:ascii="Arial" w:hAnsi="Arial" w:cs="Arial"/>
          <w:sz w:val="20"/>
          <w:szCs w:val="20"/>
        </w:rPr>
        <w:t xml:space="preserve"> – 1 µM</w:t>
      </w:r>
      <w:r w:rsidR="00487DC8" w:rsidRPr="00C016DD">
        <w:rPr>
          <w:rFonts w:ascii="Arial" w:hAnsi="Arial" w:cs="Arial"/>
          <w:sz w:val="20"/>
          <w:szCs w:val="20"/>
        </w:rPr>
        <w:t>) and test substrate (rivaroxaban</w:t>
      </w:r>
      <w:r w:rsidR="00BC67AC" w:rsidRPr="00C016DD">
        <w:rPr>
          <w:rFonts w:ascii="Arial" w:hAnsi="Arial" w:cs="Arial"/>
          <w:sz w:val="20"/>
          <w:szCs w:val="20"/>
        </w:rPr>
        <w:t xml:space="preserve"> – 1 µM</w:t>
      </w:r>
      <w:r w:rsidR="00487DC8" w:rsidRPr="00C016DD">
        <w:rPr>
          <w:rFonts w:ascii="Arial" w:hAnsi="Arial" w:cs="Arial"/>
          <w:sz w:val="20"/>
          <w:szCs w:val="20"/>
        </w:rPr>
        <w:t xml:space="preserve">) as well as inhibitors (ketoconazole or nilotinib) were dissolved in DMSO and co-incubated in transport buffer (either HBSS or </w:t>
      </w:r>
      <w:r w:rsidR="00CF2A59">
        <w:rPr>
          <w:rFonts w:ascii="Arial" w:hAnsi="Arial" w:cs="Arial"/>
          <w:sz w:val="20"/>
          <w:szCs w:val="20"/>
        </w:rPr>
        <w:t xml:space="preserve">HBSS containing </w:t>
      </w:r>
      <w:r w:rsidR="00487DC8" w:rsidRPr="00C016DD">
        <w:rPr>
          <w:rFonts w:ascii="Arial" w:hAnsi="Arial" w:cs="Arial"/>
          <w:sz w:val="20"/>
          <w:szCs w:val="20"/>
        </w:rPr>
        <w:t xml:space="preserve">5% w/v HSA). </w:t>
      </w:r>
      <w:r w:rsidR="00DF3DFA" w:rsidRPr="00C016DD">
        <w:rPr>
          <w:rFonts w:ascii="Arial" w:hAnsi="Arial" w:cs="Arial"/>
          <w:sz w:val="20"/>
          <w:szCs w:val="20"/>
        </w:rPr>
        <w:t xml:space="preserve">Final organic content of transport buffer was ≤1% v/v. </w:t>
      </w:r>
      <w:r w:rsidRPr="00C016DD">
        <w:rPr>
          <w:rFonts w:ascii="Arial" w:hAnsi="Arial" w:cs="Arial"/>
          <w:sz w:val="20"/>
          <w:szCs w:val="20"/>
        </w:rPr>
        <w:t xml:space="preserve">100 μL of transport </w:t>
      </w:r>
      <w:r w:rsidRPr="00C016DD">
        <w:rPr>
          <w:rFonts w:ascii="Arial" w:hAnsi="Arial" w:cs="Arial"/>
          <w:sz w:val="20"/>
          <w:szCs w:val="20"/>
        </w:rPr>
        <w:lastRenderedPageBreak/>
        <w:t>buffer was used to initiate the uptake experiment, which was allowed to proceed for 4 min for</w:t>
      </w:r>
      <w:r w:rsidR="00842E85" w:rsidRPr="00C016DD">
        <w:rPr>
          <w:rFonts w:ascii="Arial" w:hAnsi="Arial" w:cs="Arial"/>
          <w:sz w:val="20"/>
          <w:szCs w:val="20"/>
        </w:rPr>
        <w:t xml:space="preserve"> </w:t>
      </w:r>
      <w:r w:rsidRPr="00C016DD">
        <w:rPr>
          <w:rFonts w:ascii="Arial" w:hAnsi="Arial" w:cs="Arial"/>
          <w:sz w:val="20"/>
          <w:szCs w:val="20"/>
        </w:rPr>
        <w:t>IC</w:t>
      </w:r>
      <w:r w:rsidRPr="00C016DD">
        <w:rPr>
          <w:rFonts w:ascii="Arial" w:hAnsi="Arial" w:cs="Arial"/>
          <w:sz w:val="20"/>
          <w:szCs w:val="20"/>
          <w:vertAlign w:val="subscript"/>
        </w:rPr>
        <w:t xml:space="preserve">50 </w:t>
      </w:r>
      <w:r w:rsidR="00487DC8" w:rsidRPr="00C016DD">
        <w:rPr>
          <w:rFonts w:ascii="Arial" w:hAnsi="Arial" w:cs="Arial"/>
          <w:sz w:val="20"/>
          <w:szCs w:val="20"/>
        </w:rPr>
        <w:t xml:space="preserve">experiments. </w:t>
      </w:r>
      <w:r w:rsidR="00D60D0A" w:rsidRPr="00C016DD">
        <w:rPr>
          <w:rFonts w:ascii="Arial" w:hAnsi="Arial" w:cs="Arial"/>
          <w:sz w:val="20"/>
          <w:szCs w:val="20"/>
        </w:rPr>
        <w:t>Following removal of the uptake solution, cells were washed twice with ice-cold DPBS and lysed with 0.2 N NaOH containing the respective internal standards (pregnenolone sulfate for E3S and testosterone-2,3,4-</w:t>
      </w:r>
      <w:r w:rsidR="00D60D0A" w:rsidRPr="00C016DD">
        <w:rPr>
          <w:rFonts w:ascii="Arial" w:hAnsi="Arial" w:cs="Arial"/>
          <w:sz w:val="20"/>
          <w:szCs w:val="20"/>
          <w:vertAlign w:val="superscript"/>
        </w:rPr>
        <w:t>13</w:t>
      </w:r>
      <w:r w:rsidR="00D60D0A" w:rsidRPr="00C016DD">
        <w:rPr>
          <w:rFonts w:ascii="Arial" w:hAnsi="Arial" w:cs="Arial"/>
          <w:sz w:val="20"/>
          <w:szCs w:val="20"/>
        </w:rPr>
        <w:t>C</w:t>
      </w:r>
      <w:r w:rsidR="00D60D0A" w:rsidRPr="00C016DD">
        <w:rPr>
          <w:rFonts w:ascii="Arial" w:hAnsi="Arial" w:cs="Arial"/>
          <w:sz w:val="20"/>
          <w:szCs w:val="20"/>
          <w:vertAlign w:val="subscript"/>
        </w:rPr>
        <w:t>3</w:t>
      </w:r>
      <w:r w:rsidR="00D60D0A" w:rsidRPr="00C016DD">
        <w:rPr>
          <w:rFonts w:ascii="Arial" w:hAnsi="Arial" w:cs="Arial"/>
          <w:sz w:val="20"/>
          <w:szCs w:val="20"/>
        </w:rPr>
        <w:t xml:space="preserve"> for rivaroxaban) for 10 min at 4°C. 80 μL of lysate solution was removed and transferred into Eppendorf tubes containing 80 μL of 0.2 N HCL and 20 μL of </w:t>
      </w:r>
      <w:r w:rsidR="00BC67AC" w:rsidRPr="00C016DD">
        <w:rPr>
          <w:rFonts w:ascii="Arial" w:hAnsi="Arial" w:cs="Arial"/>
          <w:sz w:val="20"/>
          <w:szCs w:val="20"/>
        </w:rPr>
        <w:t>ACN</w:t>
      </w:r>
      <w:r w:rsidR="00D60D0A" w:rsidRPr="00C016DD">
        <w:rPr>
          <w:rFonts w:ascii="Arial" w:hAnsi="Arial" w:cs="Arial"/>
          <w:sz w:val="20"/>
          <w:szCs w:val="20"/>
        </w:rPr>
        <w:t>. Following thorough mixing and centrifugation at 14</w:t>
      </w:r>
      <w:r w:rsidR="00CF2A59">
        <w:rPr>
          <w:rFonts w:ascii="Arial" w:hAnsi="Arial" w:cs="Arial"/>
          <w:sz w:val="20"/>
          <w:szCs w:val="20"/>
        </w:rPr>
        <w:t>,</w:t>
      </w:r>
      <w:r w:rsidR="00D60D0A" w:rsidRPr="00C016DD">
        <w:rPr>
          <w:rFonts w:ascii="Arial" w:hAnsi="Arial" w:cs="Arial"/>
          <w:sz w:val="20"/>
          <w:szCs w:val="20"/>
        </w:rPr>
        <w:t xml:space="preserve">000 </w:t>
      </w:r>
      <w:r w:rsidR="00D60D0A" w:rsidRPr="00C016DD">
        <w:rPr>
          <w:rFonts w:ascii="Arial" w:hAnsi="Arial" w:cs="Arial"/>
          <w:i/>
          <w:iCs/>
          <w:sz w:val="20"/>
          <w:szCs w:val="20"/>
        </w:rPr>
        <w:t>g</w:t>
      </w:r>
      <w:r w:rsidR="00D60D0A" w:rsidRPr="00C016DD">
        <w:rPr>
          <w:rFonts w:ascii="Arial" w:hAnsi="Arial" w:cs="Arial"/>
          <w:sz w:val="20"/>
          <w:szCs w:val="20"/>
        </w:rPr>
        <w:t xml:space="preserve"> for 15 min at 4°C, the supernatant was removed for </w:t>
      </w:r>
      <w:r w:rsidR="00D85818">
        <w:rPr>
          <w:rFonts w:ascii="Arial" w:hAnsi="Arial" w:cs="Arial"/>
          <w:sz w:val="20"/>
          <w:szCs w:val="20"/>
        </w:rPr>
        <w:t xml:space="preserve">liquid chromatography tandem mass spectrometry </w:t>
      </w:r>
      <w:r w:rsidR="00D60D0A" w:rsidRPr="00C016DD">
        <w:rPr>
          <w:rFonts w:ascii="Arial" w:hAnsi="Arial" w:cs="Arial"/>
          <w:sz w:val="20"/>
          <w:szCs w:val="20"/>
        </w:rPr>
        <w:t>quantification of drug amount in cellular lysate (</w:t>
      </w:r>
      <w:r w:rsidR="00D60D0A" w:rsidRPr="00C016DD">
        <w:rPr>
          <w:rFonts w:ascii="Arial" w:hAnsi="Arial" w:cs="Arial"/>
          <w:b/>
          <w:sz w:val="20"/>
          <w:szCs w:val="20"/>
        </w:rPr>
        <w:t>Supplementary Methods</w:t>
      </w:r>
      <w:r w:rsidR="00D60D0A" w:rsidRPr="00C016DD">
        <w:rPr>
          <w:rFonts w:ascii="Arial" w:hAnsi="Arial" w:cs="Arial"/>
          <w:sz w:val="20"/>
          <w:szCs w:val="20"/>
        </w:rPr>
        <w:t xml:space="preserve">). The total protein concentration in each well was measured using a BCA protein assay kit. </w:t>
      </w:r>
    </w:p>
    <w:p w14:paraId="2C3BB480" w14:textId="77777777" w:rsidR="00062B7A" w:rsidRDefault="00062B7A" w:rsidP="00062B7A">
      <w:pPr>
        <w:spacing w:after="0" w:line="480" w:lineRule="auto"/>
        <w:jc w:val="both"/>
        <w:rPr>
          <w:rFonts w:ascii="Arial" w:hAnsi="Arial" w:cs="Arial"/>
          <w:i/>
          <w:iCs/>
          <w:sz w:val="20"/>
          <w:szCs w:val="20"/>
        </w:rPr>
      </w:pPr>
    </w:p>
    <w:p w14:paraId="0F6AAA29" w14:textId="4F832B35" w:rsidR="00F41FA8" w:rsidRDefault="00947540" w:rsidP="00062B7A">
      <w:pPr>
        <w:spacing w:after="0" w:line="480" w:lineRule="auto"/>
        <w:jc w:val="both"/>
        <w:rPr>
          <w:rFonts w:ascii="Arial" w:hAnsi="Arial" w:cs="Arial"/>
          <w:sz w:val="20"/>
          <w:szCs w:val="20"/>
        </w:rPr>
      </w:pPr>
      <w:r w:rsidRPr="00D74B58">
        <w:rPr>
          <w:rFonts w:ascii="Arial" w:hAnsi="Arial" w:cs="Arial"/>
          <w:i/>
          <w:iCs/>
          <w:sz w:val="20"/>
          <w:szCs w:val="20"/>
        </w:rPr>
        <w:t>Calculation of transpo</w:t>
      </w:r>
      <w:r w:rsidR="00A563E5" w:rsidRPr="00D74B58">
        <w:rPr>
          <w:rFonts w:ascii="Arial" w:hAnsi="Arial" w:cs="Arial"/>
          <w:i/>
          <w:iCs/>
          <w:sz w:val="20"/>
          <w:szCs w:val="20"/>
        </w:rPr>
        <w:t>rt inhibitory kinetic parameter</w:t>
      </w:r>
      <w:r w:rsidRPr="00D74B58">
        <w:rPr>
          <w:rFonts w:ascii="Arial" w:hAnsi="Arial" w:cs="Arial"/>
          <w:i/>
          <w:iCs/>
          <w:sz w:val="20"/>
          <w:szCs w:val="20"/>
        </w:rPr>
        <w:t xml:space="preserve"> (IC</w:t>
      </w:r>
      <w:r w:rsidRPr="00D74B58">
        <w:rPr>
          <w:rFonts w:ascii="Arial" w:hAnsi="Arial" w:cs="Arial"/>
          <w:i/>
          <w:iCs/>
          <w:sz w:val="20"/>
          <w:szCs w:val="20"/>
          <w:vertAlign w:val="subscript"/>
        </w:rPr>
        <w:t>50</w:t>
      </w:r>
      <w:r w:rsidRPr="00D74B58">
        <w:rPr>
          <w:rFonts w:ascii="Arial" w:hAnsi="Arial" w:cs="Arial"/>
          <w:i/>
          <w:iCs/>
          <w:sz w:val="20"/>
          <w:szCs w:val="20"/>
        </w:rPr>
        <w:t>).</w:t>
      </w:r>
      <w:r w:rsidRPr="00C016DD">
        <w:rPr>
          <w:rFonts w:ascii="Arial" w:hAnsi="Arial" w:cs="Arial"/>
          <w:sz w:val="20"/>
          <w:szCs w:val="20"/>
        </w:rPr>
        <w:t xml:space="preserve"> Concentration-dependent diminution of total uptake measured in OAT3-transfected cells across inhibitor concentrations was first fitted to log (inhibitor) vs. response variable slope (four parameters) analysis as presented in </w:t>
      </w:r>
      <w:r w:rsidRPr="00C016DD">
        <w:rPr>
          <w:rFonts w:ascii="Arial" w:hAnsi="Arial" w:cs="Arial"/>
          <w:b/>
          <w:bCs/>
          <w:sz w:val="20"/>
          <w:szCs w:val="20"/>
        </w:rPr>
        <w:t xml:space="preserve">Equation </w:t>
      </w:r>
      <w:r w:rsidR="00BC67AC" w:rsidRPr="00C016DD">
        <w:rPr>
          <w:rFonts w:ascii="Arial" w:hAnsi="Arial" w:cs="Arial"/>
          <w:b/>
          <w:bCs/>
          <w:sz w:val="20"/>
          <w:szCs w:val="20"/>
        </w:rPr>
        <w:t>1</w:t>
      </w:r>
      <w:r w:rsidRPr="00C016DD">
        <w:rPr>
          <w:rFonts w:ascii="Arial" w:hAnsi="Arial" w:cs="Arial"/>
          <w:sz w:val="20"/>
          <w:szCs w:val="20"/>
        </w:rPr>
        <w:t xml:space="preserve"> to establish the IC</w:t>
      </w:r>
      <w:r w:rsidRPr="00C016DD">
        <w:rPr>
          <w:rFonts w:ascii="Arial" w:hAnsi="Arial" w:cs="Arial"/>
          <w:sz w:val="20"/>
          <w:szCs w:val="20"/>
          <w:vertAlign w:val="subscript"/>
        </w:rPr>
        <w:t>50</w:t>
      </w:r>
      <w:r w:rsidRPr="00C016DD">
        <w:rPr>
          <w:rFonts w:ascii="Arial" w:hAnsi="Arial" w:cs="Arial"/>
          <w:sz w:val="20"/>
          <w:szCs w:val="20"/>
        </w:rPr>
        <w:t xml:space="preserve"> of ketoconazole</w:t>
      </w:r>
      <w:r w:rsidR="00BC67AC" w:rsidRPr="00C016DD">
        <w:rPr>
          <w:rFonts w:ascii="Arial" w:hAnsi="Arial" w:cs="Arial"/>
          <w:sz w:val="20"/>
          <w:szCs w:val="20"/>
        </w:rPr>
        <w:t xml:space="preserve"> or nilotinib</w:t>
      </w:r>
      <w:r w:rsidRPr="00C016DD">
        <w:rPr>
          <w:rFonts w:ascii="Arial" w:hAnsi="Arial" w:cs="Arial"/>
          <w:sz w:val="20"/>
          <w:szCs w:val="20"/>
        </w:rPr>
        <w:t xml:space="preserve"> against OAT3-mediated </w:t>
      </w:r>
      <w:r w:rsidR="00BC67AC" w:rsidRPr="00C016DD">
        <w:rPr>
          <w:rFonts w:ascii="Arial" w:hAnsi="Arial" w:cs="Arial"/>
          <w:sz w:val="20"/>
          <w:szCs w:val="20"/>
        </w:rPr>
        <w:t xml:space="preserve">E3S or </w:t>
      </w:r>
      <w:r w:rsidRPr="00C016DD">
        <w:rPr>
          <w:rFonts w:ascii="Arial" w:hAnsi="Arial" w:cs="Arial"/>
          <w:sz w:val="20"/>
          <w:szCs w:val="20"/>
        </w:rPr>
        <w:t xml:space="preserve">rivaroxaban uptake. </w:t>
      </w:r>
    </w:p>
    <w:p w14:paraId="761D7B2C" w14:textId="77777777" w:rsidR="00062B7A" w:rsidRPr="00C016DD" w:rsidRDefault="00062B7A" w:rsidP="00062B7A">
      <w:pPr>
        <w:spacing w:after="0" w:line="480" w:lineRule="auto"/>
        <w:jc w:val="both"/>
        <w:rPr>
          <w:rFonts w:ascii="Arial" w:hAnsi="Arial" w:cs="Arial"/>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65"/>
        <w:gridCol w:w="461"/>
      </w:tblGrid>
      <w:tr w:rsidR="00936087" w:rsidRPr="00C016DD" w14:paraId="6BD31400" w14:textId="77777777" w:rsidTr="004B4285">
        <w:trPr>
          <w:trHeight w:val="344"/>
        </w:trPr>
        <w:tc>
          <w:tcPr>
            <w:tcW w:w="4786" w:type="pct"/>
          </w:tcPr>
          <w:p w14:paraId="251E9E84" w14:textId="77777777" w:rsidR="00936087" w:rsidRPr="00C016DD" w:rsidRDefault="00936087" w:rsidP="00062B7A">
            <w:pPr>
              <w:autoSpaceDE w:val="0"/>
              <w:autoSpaceDN w:val="0"/>
              <w:adjustRightInd w:val="0"/>
              <w:spacing w:line="480" w:lineRule="auto"/>
              <w:jc w:val="both"/>
              <w:rPr>
                <w:rFonts w:ascii="Arial" w:hAnsi="Arial" w:cs="Arial"/>
                <w:color w:val="000000" w:themeColor="text1"/>
                <w:sz w:val="20"/>
                <w:szCs w:val="20"/>
              </w:rPr>
            </w:pPr>
            <m:oMathPara>
              <m:oMath>
                <m:r>
                  <m:rPr>
                    <m:nor/>
                  </m:rPr>
                  <w:rPr>
                    <w:rFonts w:ascii="Arial" w:hAnsi="Arial" w:cs="Arial"/>
                    <w:i/>
                    <w:iCs/>
                    <w:sz w:val="20"/>
                    <w:szCs w:val="20"/>
                  </w:rPr>
                  <m:t xml:space="preserve">Y=min + </m:t>
                </m:r>
                <m:f>
                  <m:fPr>
                    <m:ctrlPr>
                      <w:rPr>
                        <w:rFonts w:ascii="Cambria Math" w:hAnsi="Cambria Math" w:cs="Arial"/>
                        <w:i/>
                        <w:iCs/>
                        <w:sz w:val="20"/>
                        <w:szCs w:val="20"/>
                      </w:rPr>
                    </m:ctrlPr>
                  </m:fPr>
                  <m:num>
                    <m:r>
                      <w:rPr>
                        <w:rFonts w:ascii="Cambria Math" w:hAnsi="Cambria Math" w:cs="Arial"/>
                        <w:sz w:val="20"/>
                        <w:szCs w:val="20"/>
                      </w:rPr>
                      <m:t>max-min</m:t>
                    </m:r>
                  </m:num>
                  <m:den>
                    <m:r>
                      <w:rPr>
                        <w:rFonts w:ascii="Cambria Math" w:hAnsi="Cambria Math" w:cs="Arial"/>
                        <w:sz w:val="20"/>
                        <w:szCs w:val="20"/>
                      </w:rPr>
                      <m:t>1+</m:t>
                    </m:r>
                    <m:sSup>
                      <m:sSupPr>
                        <m:ctrlPr>
                          <w:rPr>
                            <w:rFonts w:ascii="Cambria Math" w:hAnsi="Cambria Math" w:cs="Arial"/>
                            <w:i/>
                            <w:iCs/>
                            <w:sz w:val="20"/>
                            <w:szCs w:val="20"/>
                          </w:rPr>
                        </m:ctrlPr>
                      </m:sSupPr>
                      <m:e>
                        <m:r>
                          <w:rPr>
                            <w:rFonts w:ascii="Cambria Math" w:hAnsi="Cambria Math" w:cs="Arial"/>
                            <w:sz w:val="20"/>
                            <w:szCs w:val="20"/>
                          </w:rPr>
                          <m:t>10</m:t>
                        </m:r>
                      </m:e>
                      <m:sup>
                        <m:r>
                          <w:rPr>
                            <w:rFonts w:ascii="Cambria Math" w:hAnsi="Cambria Math" w:cs="Arial"/>
                            <w:sz w:val="20"/>
                            <w:szCs w:val="20"/>
                          </w:rPr>
                          <m:t>((log</m:t>
                        </m:r>
                        <m:sSub>
                          <m:sSubPr>
                            <m:ctrlPr>
                              <w:rPr>
                                <w:rFonts w:ascii="Cambria Math" w:hAnsi="Cambria Math" w:cs="Arial"/>
                                <w:i/>
                                <w:iCs/>
                                <w:sz w:val="20"/>
                                <w:szCs w:val="20"/>
                              </w:rPr>
                            </m:ctrlPr>
                          </m:sSubPr>
                          <m:e>
                            <m:r>
                              <w:rPr>
                                <w:rFonts w:ascii="Cambria Math" w:hAnsi="Cambria Math" w:cs="Arial"/>
                                <w:sz w:val="20"/>
                                <w:szCs w:val="20"/>
                              </w:rPr>
                              <m:t>IC</m:t>
                            </m:r>
                          </m:e>
                          <m:sub>
                            <m:r>
                              <w:rPr>
                                <w:rFonts w:ascii="Cambria Math" w:hAnsi="Cambria Math" w:cs="Arial"/>
                                <w:sz w:val="20"/>
                                <w:szCs w:val="20"/>
                              </w:rPr>
                              <m:t>50</m:t>
                            </m:r>
                          </m:sub>
                        </m:sSub>
                        <m:r>
                          <w:rPr>
                            <w:rFonts w:ascii="Cambria Math" w:hAnsi="Cambria Math" w:cs="Arial"/>
                            <w:sz w:val="20"/>
                            <w:szCs w:val="20"/>
                          </w:rPr>
                          <m:t>-I)×Hill Slope</m:t>
                        </m:r>
                      </m:sup>
                    </m:sSup>
                  </m:den>
                </m:f>
              </m:oMath>
            </m:oMathPara>
          </w:p>
        </w:tc>
        <w:tc>
          <w:tcPr>
            <w:tcW w:w="214" w:type="pct"/>
            <w:vAlign w:val="center"/>
          </w:tcPr>
          <w:p w14:paraId="22B3EE8B" w14:textId="4B50CC99" w:rsidR="00936087" w:rsidRPr="00C016DD" w:rsidRDefault="00936087" w:rsidP="00062B7A">
            <w:pPr>
              <w:spacing w:line="480" w:lineRule="auto"/>
              <w:jc w:val="center"/>
              <w:rPr>
                <w:rFonts w:ascii="Arial" w:hAnsi="Arial" w:cs="Arial"/>
                <w:color w:val="000000" w:themeColor="text1"/>
                <w:sz w:val="20"/>
                <w:szCs w:val="20"/>
              </w:rPr>
            </w:pPr>
            <w:r w:rsidRPr="00C016DD">
              <w:rPr>
                <w:rFonts w:ascii="Arial" w:hAnsi="Arial" w:cs="Arial"/>
                <w:sz w:val="20"/>
                <w:szCs w:val="20"/>
              </w:rPr>
              <w:t>(</w:t>
            </w:r>
            <w:r w:rsidR="004B4285" w:rsidRPr="00C016DD">
              <w:rPr>
                <w:rFonts w:ascii="Arial" w:hAnsi="Arial" w:cs="Arial"/>
                <w:b/>
                <w:bCs/>
                <w:sz w:val="20"/>
                <w:szCs w:val="20"/>
              </w:rPr>
              <w:t>1</w:t>
            </w:r>
            <w:r w:rsidRPr="00C016DD">
              <w:rPr>
                <w:rFonts w:ascii="Arial" w:hAnsi="Arial" w:cs="Arial"/>
                <w:sz w:val="20"/>
                <w:szCs w:val="20"/>
              </w:rPr>
              <w:t>)</w:t>
            </w:r>
          </w:p>
        </w:tc>
      </w:tr>
    </w:tbl>
    <w:p w14:paraId="3577DB15" w14:textId="77777777" w:rsidR="00062B7A" w:rsidRDefault="00062B7A" w:rsidP="00062B7A">
      <w:pPr>
        <w:spacing w:after="0" w:line="480" w:lineRule="auto"/>
        <w:jc w:val="both"/>
        <w:rPr>
          <w:rFonts w:ascii="Arial" w:hAnsi="Arial" w:cs="Arial"/>
          <w:sz w:val="20"/>
          <w:szCs w:val="20"/>
        </w:rPr>
      </w:pPr>
    </w:p>
    <w:p w14:paraId="0F900291" w14:textId="1545E53C" w:rsidR="00936087" w:rsidRPr="00C016DD" w:rsidRDefault="00936087" w:rsidP="00062B7A">
      <w:pPr>
        <w:spacing w:after="0" w:line="480" w:lineRule="auto"/>
        <w:jc w:val="both"/>
        <w:rPr>
          <w:rFonts w:ascii="Arial" w:hAnsi="Arial" w:cs="Arial"/>
          <w:sz w:val="20"/>
          <w:szCs w:val="20"/>
        </w:rPr>
      </w:pPr>
      <w:r w:rsidRPr="00C016DD">
        <w:rPr>
          <w:rFonts w:ascii="Arial" w:hAnsi="Arial" w:cs="Arial"/>
          <w:sz w:val="20"/>
          <w:szCs w:val="20"/>
        </w:rPr>
        <w:t xml:space="preserve">where min is the minimum inhibitory effect, max is the maximum inhibitory effect, I </w:t>
      </w:r>
      <w:proofErr w:type="gramStart"/>
      <w:r w:rsidRPr="00C016DD">
        <w:rPr>
          <w:rFonts w:ascii="Arial" w:hAnsi="Arial" w:cs="Arial"/>
          <w:sz w:val="20"/>
          <w:szCs w:val="20"/>
        </w:rPr>
        <w:t>is</w:t>
      </w:r>
      <w:proofErr w:type="gramEnd"/>
      <w:r w:rsidRPr="00C016DD">
        <w:rPr>
          <w:rFonts w:ascii="Arial" w:hAnsi="Arial" w:cs="Arial"/>
          <w:sz w:val="20"/>
          <w:szCs w:val="20"/>
        </w:rPr>
        <w:t xml:space="preserve"> the inhibitor concentration, and Hill slope is the Hill coefficient. </w:t>
      </w:r>
      <w:r w:rsidR="003B345F" w:rsidRPr="00C016DD">
        <w:rPr>
          <w:rFonts w:ascii="Arial" w:hAnsi="Arial" w:cs="Arial"/>
          <w:sz w:val="20"/>
          <w:szCs w:val="20"/>
        </w:rPr>
        <w:t>The derived IC</w:t>
      </w:r>
      <w:r w:rsidR="003B345F" w:rsidRPr="00C016DD">
        <w:rPr>
          <w:rFonts w:ascii="Arial" w:hAnsi="Arial" w:cs="Arial"/>
          <w:sz w:val="20"/>
          <w:szCs w:val="20"/>
          <w:vertAlign w:val="subscript"/>
        </w:rPr>
        <w:t>50</w:t>
      </w:r>
      <w:r w:rsidR="003B345F" w:rsidRPr="00C016DD">
        <w:rPr>
          <w:rFonts w:ascii="Arial" w:hAnsi="Arial" w:cs="Arial"/>
          <w:sz w:val="20"/>
          <w:szCs w:val="20"/>
        </w:rPr>
        <w:t xml:space="preserve"> value would guide the choice of inhibitor concentrations to be utilized in subsequent </w:t>
      </w:r>
      <w:r w:rsidR="003B345F" w:rsidRPr="00C016DD">
        <w:rPr>
          <w:rFonts w:ascii="Arial" w:hAnsi="Arial" w:cs="Arial"/>
          <w:i/>
          <w:sz w:val="20"/>
          <w:szCs w:val="20"/>
        </w:rPr>
        <w:t>K</w:t>
      </w:r>
      <w:r w:rsidR="003B345F" w:rsidRPr="00C016DD">
        <w:rPr>
          <w:rFonts w:ascii="Arial" w:hAnsi="Arial" w:cs="Arial"/>
          <w:i/>
          <w:sz w:val="20"/>
          <w:szCs w:val="20"/>
          <w:vertAlign w:val="subscript"/>
        </w:rPr>
        <w:t>i</w:t>
      </w:r>
      <w:r w:rsidR="003B345F" w:rsidRPr="00C016DD">
        <w:rPr>
          <w:rFonts w:ascii="Arial" w:hAnsi="Arial" w:cs="Arial"/>
          <w:sz w:val="20"/>
          <w:szCs w:val="20"/>
        </w:rPr>
        <w:t xml:space="preserve"> determinations. </w:t>
      </w:r>
      <w:r w:rsidR="006B0D60">
        <w:rPr>
          <w:rFonts w:ascii="Arial" w:hAnsi="Arial" w:cs="Arial"/>
          <w:sz w:val="20"/>
          <w:szCs w:val="20"/>
        </w:rPr>
        <w:t xml:space="preserve">In </w:t>
      </w:r>
      <w:r w:rsidR="00ED666A">
        <w:rPr>
          <w:rFonts w:ascii="Arial" w:hAnsi="Arial" w:cs="Arial"/>
          <w:sz w:val="20"/>
          <w:szCs w:val="20"/>
        </w:rPr>
        <w:t>the presence of 5% w/v HSA, the apparent IC</w:t>
      </w:r>
      <w:r w:rsidR="00ED666A" w:rsidRPr="005179ED">
        <w:rPr>
          <w:rFonts w:ascii="Arial" w:hAnsi="Arial" w:cs="Arial"/>
          <w:sz w:val="20"/>
          <w:szCs w:val="20"/>
          <w:vertAlign w:val="subscript"/>
        </w:rPr>
        <w:t>50</w:t>
      </w:r>
      <w:r w:rsidR="00ED666A">
        <w:rPr>
          <w:rFonts w:ascii="Arial" w:hAnsi="Arial" w:cs="Arial"/>
          <w:sz w:val="20"/>
          <w:szCs w:val="20"/>
        </w:rPr>
        <w:t xml:space="preserve"> value</w:t>
      </w:r>
      <w:r w:rsidR="00504276">
        <w:rPr>
          <w:rFonts w:ascii="Arial" w:hAnsi="Arial" w:cs="Arial"/>
          <w:sz w:val="20"/>
          <w:szCs w:val="20"/>
        </w:rPr>
        <w:t xml:space="preserve"> obtained</w:t>
      </w:r>
      <w:r w:rsidR="00ED666A">
        <w:rPr>
          <w:rFonts w:ascii="Arial" w:hAnsi="Arial" w:cs="Arial"/>
          <w:sz w:val="20"/>
          <w:szCs w:val="20"/>
        </w:rPr>
        <w:t xml:space="preserve"> would be corrected for the fraction unbound </w:t>
      </w:r>
      <w:r w:rsidR="008833B2">
        <w:rPr>
          <w:rFonts w:ascii="Arial" w:hAnsi="Arial" w:cs="Arial"/>
          <w:sz w:val="20"/>
          <w:szCs w:val="20"/>
        </w:rPr>
        <w:t xml:space="preserve">in plasma of the putative </w:t>
      </w:r>
      <w:r w:rsidR="004251BD">
        <w:rPr>
          <w:rFonts w:ascii="Arial" w:hAnsi="Arial" w:cs="Arial"/>
          <w:sz w:val="20"/>
          <w:szCs w:val="20"/>
        </w:rPr>
        <w:t xml:space="preserve">inhibitor(s) </w:t>
      </w:r>
      <w:r w:rsidR="00504276">
        <w:rPr>
          <w:rFonts w:ascii="Arial" w:hAnsi="Arial" w:cs="Arial"/>
          <w:sz w:val="20"/>
          <w:szCs w:val="20"/>
        </w:rPr>
        <w:t xml:space="preserve">to establish the effective unbound </w:t>
      </w:r>
      <w:r w:rsidR="00D6299C">
        <w:rPr>
          <w:rFonts w:ascii="Arial" w:hAnsi="Arial" w:cs="Arial"/>
          <w:sz w:val="20"/>
          <w:szCs w:val="20"/>
        </w:rPr>
        <w:t>inhibito</w:t>
      </w:r>
      <w:r w:rsidR="008833B2">
        <w:rPr>
          <w:rFonts w:ascii="Arial" w:hAnsi="Arial" w:cs="Arial"/>
          <w:sz w:val="20"/>
          <w:szCs w:val="20"/>
        </w:rPr>
        <w:t>r concentrations</w:t>
      </w:r>
      <w:r w:rsidR="00055F9D">
        <w:rPr>
          <w:rFonts w:ascii="Arial" w:hAnsi="Arial" w:cs="Arial"/>
          <w:sz w:val="20"/>
          <w:szCs w:val="20"/>
        </w:rPr>
        <w:t xml:space="preserve"> (IC</w:t>
      </w:r>
      <w:proofErr w:type="gramStart"/>
      <w:r w:rsidR="00055F9D" w:rsidRPr="00055F9D">
        <w:rPr>
          <w:rFonts w:ascii="Arial" w:hAnsi="Arial" w:cs="Arial"/>
          <w:sz w:val="20"/>
          <w:szCs w:val="20"/>
          <w:vertAlign w:val="subscript"/>
        </w:rPr>
        <w:t>50,u</w:t>
      </w:r>
      <w:proofErr w:type="gramEnd"/>
      <w:r w:rsidR="00055F9D">
        <w:rPr>
          <w:rFonts w:ascii="Arial" w:hAnsi="Arial" w:cs="Arial"/>
          <w:sz w:val="20"/>
          <w:szCs w:val="20"/>
        </w:rPr>
        <w:t>)</w:t>
      </w:r>
      <w:r w:rsidR="008833B2">
        <w:rPr>
          <w:rFonts w:ascii="Arial" w:hAnsi="Arial" w:cs="Arial"/>
          <w:sz w:val="20"/>
          <w:szCs w:val="20"/>
        </w:rPr>
        <w:t xml:space="preserve"> </w:t>
      </w:r>
      <w:r w:rsidR="006438AF">
        <w:rPr>
          <w:rFonts w:ascii="Arial" w:hAnsi="Arial" w:cs="Arial"/>
          <w:sz w:val="20"/>
          <w:szCs w:val="20"/>
        </w:rPr>
        <w:t>attenuating OAT3-mediated uptake.</w:t>
      </w:r>
    </w:p>
    <w:p w14:paraId="3963F7FC" w14:textId="77777777" w:rsidR="00062B7A" w:rsidRDefault="00062B7A" w:rsidP="00062B7A">
      <w:pPr>
        <w:spacing w:after="0" w:line="480" w:lineRule="auto"/>
        <w:jc w:val="both"/>
        <w:rPr>
          <w:rFonts w:ascii="Arial" w:hAnsi="Arial" w:cs="Arial"/>
          <w:b/>
          <w:bCs/>
          <w:sz w:val="20"/>
          <w:szCs w:val="20"/>
        </w:rPr>
      </w:pPr>
    </w:p>
    <w:p w14:paraId="35C6CEF7" w14:textId="743BE8EE" w:rsidR="0094297E" w:rsidRPr="00C016DD" w:rsidRDefault="00B60E5F" w:rsidP="00062B7A">
      <w:pPr>
        <w:spacing w:after="0" w:line="480" w:lineRule="auto"/>
        <w:jc w:val="both"/>
        <w:rPr>
          <w:rFonts w:ascii="Arial" w:hAnsi="Arial" w:cs="Arial"/>
          <w:sz w:val="20"/>
          <w:szCs w:val="20"/>
        </w:rPr>
      </w:pPr>
      <w:r>
        <w:rPr>
          <w:rFonts w:ascii="Arial" w:hAnsi="Arial" w:cs="Arial"/>
          <w:b/>
          <w:bCs/>
          <w:sz w:val="20"/>
          <w:szCs w:val="20"/>
        </w:rPr>
        <w:t xml:space="preserve">Determining the Mode of Inhibition </w:t>
      </w:r>
      <w:r w:rsidR="00580ABE">
        <w:rPr>
          <w:rFonts w:ascii="Arial" w:hAnsi="Arial" w:cs="Arial"/>
          <w:b/>
          <w:bCs/>
          <w:sz w:val="20"/>
          <w:szCs w:val="20"/>
        </w:rPr>
        <w:t xml:space="preserve">of Ketoconazole and Nilotinib against </w:t>
      </w:r>
      <w:r w:rsidR="0088161C" w:rsidRPr="00C016DD">
        <w:rPr>
          <w:rFonts w:ascii="Arial" w:hAnsi="Arial" w:cs="Arial"/>
          <w:b/>
          <w:bCs/>
          <w:i/>
          <w:sz w:val="20"/>
          <w:szCs w:val="20"/>
        </w:rPr>
        <w:t>In Vitro</w:t>
      </w:r>
      <w:r w:rsidR="0088161C" w:rsidRPr="00C016DD">
        <w:rPr>
          <w:rFonts w:ascii="Arial" w:hAnsi="Arial" w:cs="Arial"/>
          <w:b/>
          <w:bCs/>
          <w:sz w:val="20"/>
          <w:szCs w:val="20"/>
        </w:rPr>
        <w:t xml:space="preserve"> OAT3-mediated E3S and Rivaroxaban </w:t>
      </w:r>
      <w:r w:rsidR="00580ABE">
        <w:rPr>
          <w:rFonts w:ascii="Arial" w:hAnsi="Arial" w:cs="Arial"/>
          <w:b/>
          <w:bCs/>
          <w:sz w:val="20"/>
          <w:szCs w:val="20"/>
        </w:rPr>
        <w:t>Uptake</w:t>
      </w:r>
      <w:r w:rsidR="0088161C" w:rsidRPr="00C016DD">
        <w:rPr>
          <w:rFonts w:ascii="Arial" w:hAnsi="Arial" w:cs="Arial"/>
          <w:b/>
          <w:bCs/>
          <w:sz w:val="20"/>
          <w:szCs w:val="20"/>
        </w:rPr>
        <w:t xml:space="preserve">. </w:t>
      </w:r>
      <w:r w:rsidR="0094297E" w:rsidRPr="00C016DD">
        <w:rPr>
          <w:rFonts w:ascii="Arial" w:hAnsi="Arial" w:cs="Arial"/>
          <w:sz w:val="20"/>
          <w:szCs w:val="20"/>
        </w:rPr>
        <w:t xml:space="preserve">Prior to the conduct of </w:t>
      </w:r>
      <w:r w:rsidR="0094297E" w:rsidRPr="00C016DD">
        <w:rPr>
          <w:rFonts w:ascii="Arial" w:hAnsi="Arial" w:cs="Arial"/>
          <w:i/>
          <w:sz w:val="20"/>
          <w:szCs w:val="20"/>
        </w:rPr>
        <w:t>K</w:t>
      </w:r>
      <w:r w:rsidR="0094297E" w:rsidRPr="00C016DD">
        <w:rPr>
          <w:rFonts w:ascii="Arial" w:hAnsi="Arial" w:cs="Arial"/>
          <w:i/>
          <w:sz w:val="20"/>
          <w:szCs w:val="20"/>
          <w:vertAlign w:val="subscript"/>
        </w:rPr>
        <w:t>i</w:t>
      </w:r>
      <w:r w:rsidR="0094297E" w:rsidRPr="00C016DD">
        <w:rPr>
          <w:rFonts w:ascii="Arial" w:hAnsi="Arial" w:cs="Arial"/>
          <w:i/>
          <w:sz w:val="20"/>
          <w:szCs w:val="20"/>
        </w:rPr>
        <w:t xml:space="preserve"> </w:t>
      </w:r>
      <w:r w:rsidR="0094297E" w:rsidRPr="00C016DD">
        <w:rPr>
          <w:rFonts w:ascii="Arial" w:hAnsi="Arial" w:cs="Arial"/>
          <w:sz w:val="20"/>
          <w:szCs w:val="20"/>
        </w:rPr>
        <w:t>experiments</w:t>
      </w:r>
      <w:r w:rsidR="0055458C">
        <w:rPr>
          <w:rFonts w:ascii="Arial" w:hAnsi="Arial" w:cs="Arial"/>
          <w:sz w:val="20"/>
          <w:szCs w:val="20"/>
        </w:rPr>
        <w:t xml:space="preserve"> to identify the inhibition modality</w:t>
      </w:r>
      <w:r w:rsidR="001F50E2">
        <w:rPr>
          <w:rFonts w:ascii="Arial" w:hAnsi="Arial" w:cs="Arial"/>
          <w:sz w:val="20"/>
          <w:szCs w:val="20"/>
        </w:rPr>
        <w:t xml:space="preserve"> </w:t>
      </w:r>
      <w:r w:rsidR="00140428">
        <w:rPr>
          <w:rFonts w:ascii="Arial" w:hAnsi="Arial" w:cs="Arial"/>
          <w:sz w:val="20"/>
          <w:szCs w:val="20"/>
        </w:rPr>
        <w:t>which could eventually be used to correct the IC</w:t>
      </w:r>
      <w:r w:rsidR="00140428" w:rsidRPr="00140428">
        <w:rPr>
          <w:rFonts w:ascii="Arial" w:hAnsi="Arial" w:cs="Arial"/>
          <w:sz w:val="20"/>
          <w:szCs w:val="20"/>
          <w:vertAlign w:val="subscript"/>
        </w:rPr>
        <w:t>50</w:t>
      </w:r>
      <w:r w:rsidR="00140428">
        <w:rPr>
          <w:rFonts w:ascii="Arial" w:hAnsi="Arial" w:cs="Arial"/>
          <w:sz w:val="20"/>
          <w:szCs w:val="20"/>
        </w:rPr>
        <w:t xml:space="preserve"> values</w:t>
      </w:r>
      <w:r w:rsidR="0094297E" w:rsidRPr="00C016DD">
        <w:rPr>
          <w:rFonts w:ascii="Arial" w:hAnsi="Arial" w:cs="Arial"/>
          <w:sz w:val="20"/>
          <w:szCs w:val="20"/>
        </w:rPr>
        <w:t>, concentration-dependent uptake of both E3S (1 – 50 µM E3S) and rivaroxaban (0.5 – 20 µM) was</w:t>
      </w:r>
      <w:r w:rsidR="00A563E5" w:rsidRPr="00C016DD">
        <w:rPr>
          <w:rFonts w:ascii="Arial" w:hAnsi="Arial" w:cs="Arial"/>
          <w:sz w:val="20"/>
          <w:szCs w:val="20"/>
        </w:rPr>
        <w:t xml:space="preserve"> </w:t>
      </w:r>
      <w:r w:rsidR="00140428">
        <w:rPr>
          <w:rFonts w:ascii="Arial" w:hAnsi="Arial" w:cs="Arial"/>
          <w:sz w:val="20"/>
          <w:szCs w:val="20"/>
        </w:rPr>
        <w:t>first</w:t>
      </w:r>
      <w:r w:rsidR="00A563E5" w:rsidRPr="00C016DD">
        <w:rPr>
          <w:rFonts w:ascii="Arial" w:hAnsi="Arial" w:cs="Arial"/>
          <w:sz w:val="20"/>
          <w:szCs w:val="20"/>
        </w:rPr>
        <w:t xml:space="preserve"> assessed</w:t>
      </w:r>
      <w:r w:rsidR="0094297E" w:rsidRPr="00C016DD">
        <w:rPr>
          <w:rFonts w:ascii="Arial" w:hAnsi="Arial" w:cs="Arial"/>
          <w:sz w:val="20"/>
          <w:szCs w:val="20"/>
        </w:rPr>
        <w:t xml:space="preserve"> to determine the range of substrate concentrations that would be used for subsequent inhibition experiments. The uptake protocol was similar to that </w:t>
      </w:r>
      <w:r w:rsidR="00140428">
        <w:rPr>
          <w:rFonts w:ascii="Arial" w:hAnsi="Arial" w:cs="Arial"/>
          <w:sz w:val="20"/>
          <w:szCs w:val="20"/>
        </w:rPr>
        <w:t>of</w:t>
      </w:r>
      <w:r w:rsidR="0094297E" w:rsidRPr="00C016DD">
        <w:rPr>
          <w:rFonts w:ascii="Arial" w:hAnsi="Arial" w:cs="Arial"/>
          <w:sz w:val="20"/>
          <w:szCs w:val="20"/>
        </w:rPr>
        <w:t xml:space="preserve"> the IC</w:t>
      </w:r>
      <w:r w:rsidR="0094297E" w:rsidRPr="00C016DD">
        <w:rPr>
          <w:rFonts w:ascii="Arial" w:hAnsi="Arial" w:cs="Arial"/>
          <w:sz w:val="20"/>
          <w:szCs w:val="20"/>
          <w:vertAlign w:val="subscript"/>
        </w:rPr>
        <w:t>50</w:t>
      </w:r>
      <w:r w:rsidR="0094297E" w:rsidRPr="00C016DD">
        <w:rPr>
          <w:rFonts w:ascii="Arial" w:hAnsi="Arial" w:cs="Arial"/>
          <w:sz w:val="20"/>
          <w:szCs w:val="20"/>
        </w:rPr>
        <w:t xml:space="preserve"> experiments except that </w:t>
      </w:r>
      <w:r w:rsidR="009A2AA3">
        <w:rPr>
          <w:rFonts w:ascii="Arial" w:hAnsi="Arial" w:cs="Arial"/>
          <w:sz w:val="20"/>
          <w:szCs w:val="20"/>
        </w:rPr>
        <w:t xml:space="preserve">uptake was only performed </w:t>
      </w:r>
      <w:r w:rsidR="00373B38">
        <w:rPr>
          <w:rFonts w:ascii="Arial" w:hAnsi="Arial" w:cs="Arial"/>
          <w:sz w:val="20"/>
          <w:szCs w:val="20"/>
        </w:rPr>
        <w:t xml:space="preserve">in </w:t>
      </w:r>
      <w:r w:rsidR="009A2AA3">
        <w:rPr>
          <w:rFonts w:ascii="Arial" w:hAnsi="Arial" w:cs="Arial"/>
          <w:sz w:val="20"/>
          <w:szCs w:val="20"/>
        </w:rPr>
        <w:t xml:space="preserve">protein-free HBSS </w:t>
      </w:r>
      <w:r w:rsidR="009A2AA3">
        <w:rPr>
          <w:rFonts w:ascii="Arial" w:hAnsi="Arial" w:cs="Arial"/>
          <w:sz w:val="20"/>
          <w:szCs w:val="20"/>
        </w:rPr>
        <w:lastRenderedPageBreak/>
        <w:t>buffer for a duration of</w:t>
      </w:r>
      <w:r w:rsidR="0094297E" w:rsidRPr="00C016DD">
        <w:rPr>
          <w:rFonts w:ascii="Arial" w:hAnsi="Arial" w:cs="Arial"/>
          <w:sz w:val="20"/>
          <w:szCs w:val="20"/>
        </w:rPr>
        <w:t xml:space="preserve"> 1 min for E3S and 2 min for rivaroxaban (previously determined to be within the range of linear uptake). </w:t>
      </w:r>
    </w:p>
    <w:p w14:paraId="68A4AFFD" w14:textId="77777777" w:rsidR="00062B7A" w:rsidRDefault="00062B7A" w:rsidP="00062B7A">
      <w:pPr>
        <w:spacing w:after="0" w:line="480" w:lineRule="auto"/>
        <w:jc w:val="both"/>
        <w:rPr>
          <w:rFonts w:ascii="Arial" w:hAnsi="Arial" w:cs="Arial"/>
          <w:i/>
          <w:iCs/>
          <w:sz w:val="20"/>
          <w:szCs w:val="20"/>
        </w:rPr>
      </w:pPr>
    </w:p>
    <w:p w14:paraId="743FA8CC" w14:textId="189D6126" w:rsidR="00936087" w:rsidRDefault="0088161C" w:rsidP="00062B7A">
      <w:pPr>
        <w:spacing w:after="0" w:line="480" w:lineRule="auto"/>
        <w:jc w:val="both"/>
        <w:rPr>
          <w:rFonts w:ascii="Arial" w:hAnsi="Arial" w:cs="Arial"/>
          <w:sz w:val="20"/>
          <w:szCs w:val="20"/>
        </w:rPr>
      </w:pPr>
      <w:r w:rsidRPr="00C016DD">
        <w:rPr>
          <w:rFonts w:ascii="Arial" w:hAnsi="Arial" w:cs="Arial"/>
          <w:i/>
          <w:iCs/>
          <w:sz w:val="20"/>
          <w:szCs w:val="20"/>
        </w:rPr>
        <w:t>Calculation of transporter uptake kinetic parameters (</w:t>
      </w:r>
      <w:proofErr w:type="spellStart"/>
      <w:r w:rsidRPr="00C016DD">
        <w:rPr>
          <w:rFonts w:ascii="Arial" w:hAnsi="Arial" w:cs="Arial"/>
          <w:i/>
          <w:iCs/>
          <w:sz w:val="20"/>
          <w:szCs w:val="20"/>
        </w:rPr>
        <w:t>J</w:t>
      </w:r>
      <w:r w:rsidRPr="00C016DD">
        <w:rPr>
          <w:rFonts w:ascii="Arial" w:hAnsi="Arial" w:cs="Arial"/>
          <w:i/>
          <w:iCs/>
          <w:sz w:val="20"/>
          <w:szCs w:val="20"/>
          <w:vertAlign w:val="subscript"/>
        </w:rPr>
        <w:t>max</w:t>
      </w:r>
      <w:proofErr w:type="spellEnd"/>
      <w:r w:rsidRPr="00C016DD">
        <w:rPr>
          <w:rFonts w:ascii="Arial" w:hAnsi="Arial" w:cs="Arial"/>
          <w:i/>
          <w:iCs/>
          <w:sz w:val="20"/>
          <w:szCs w:val="20"/>
        </w:rPr>
        <w:t xml:space="preserve"> and K</w:t>
      </w:r>
      <w:r w:rsidRPr="00C016DD">
        <w:rPr>
          <w:rFonts w:ascii="Arial" w:hAnsi="Arial" w:cs="Arial"/>
          <w:i/>
          <w:iCs/>
          <w:sz w:val="20"/>
          <w:szCs w:val="20"/>
          <w:vertAlign w:val="subscript"/>
        </w:rPr>
        <w:t>m</w:t>
      </w:r>
      <w:r w:rsidRPr="00C016DD">
        <w:rPr>
          <w:rFonts w:ascii="Arial" w:hAnsi="Arial" w:cs="Arial"/>
          <w:i/>
          <w:iCs/>
          <w:sz w:val="20"/>
          <w:szCs w:val="20"/>
        </w:rPr>
        <w:t>).</w:t>
      </w:r>
      <w:r w:rsidRPr="00C016DD">
        <w:rPr>
          <w:rFonts w:ascii="Arial" w:hAnsi="Arial" w:cs="Arial"/>
          <w:b/>
          <w:bCs/>
          <w:sz w:val="20"/>
          <w:szCs w:val="20"/>
        </w:rPr>
        <w:t xml:space="preserve"> </w:t>
      </w:r>
      <w:r w:rsidR="00936087" w:rsidRPr="00C016DD">
        <w:rPr>
          <w:rFonts w:ascii="Arial" w:hAnsi="Arial" w:cs="Arial"/>
          <w:sz w:val="20"/>
          <w:szCs w:val="20"/>
        </w:rPr>
        <w:t xml:space="preserve">Cellular uptake of E3S and rivaroxaban in both HEK wild type and OAT3-transfected cells was normalized for incubation time and total protein content in each well. OAT3-mediated uptake was subsequently calculated by subtracting the passive uptake measured in wild type cells from total uptake quantified in OAT3-transfected cells. Concentration-dependent </w:t>
      </w:r>
      <w:r w:rsidR="003138EB">
        <w:rPr>
          <w:rFonts w:ascii="Arial" w:hAnsi="Arial" w:cs="Arial"/>
          <w:sz w:val="20"/>
          <w:szCs w:val="20"/>
        </w:rPr>
        <w:t>OAT3</w:t>
      </w:r>
      <w:r w:rsidR="00936087" w:rsidRPr="00C016DD">
        <w:rPr>
          <w:rFonts w:ascii="Arial" w:hAnsi="Arial" w:cs="Arial"/>
          <w:sz w:val="20"/>
          <w:szCs w:val="20"/>
        </w:rPr>
        <w:t>-mediated uptake data was eventually fitted via nonlinear regression to the Michaelis−Menten equation (</w:t>
      </w:r>
      <w:r w:rsidR="00936087" w:rsidRPr="00C016DD">
        <w:rPr>
          <w:rFonts w:ascii="Arial" w:hAnsi="Arial" w:cs="Arial"/>
          <w:b/>
          <w:bCs/>
          <w:sz w:val="20"/>
          <w:szCs w:val="20"/>
        </w:rPr>
        <w:t xml:space="preserve">Equation </w:t>
      </w:r>
      <w:r w:rsidR="00842E85" w:rsidRPr="00C016DD">
        <w:rPr>
          <w:rFonts w:ascii="Arial" w:hAnsi="Arial" w:cs="Arial"/>
          <w:b/>
          <w:bCs/>
          <w:sz w:val="20"/>
          <w:szCs w:val="20"/>
        </w:rPr>
        <w:t>2</w:t>
      </w:r>
      <w:r w:rsidR="00936087" w:rsidRPr="00C016DD">
        <w:rPr>
          <w:rFonts w:ascii="Arial" w:hAnsi="Arial" w:cs="Arial"/>
          <w:sz w:val="20"/>
          <w:szCs w:val="20"/>
        </w:rPr>
        <w:t>) to calculate kinetic parameters</w:t>
      </w:r>
      <w:r w:rsidR="00842E85" w:rsidRPr="00C016DD">
        <w:rPr>
          <w:rFonts w:ascii="Arial" w:hAnsi="Arial" w:cs="Arial"/>
          <w:sz w:val="20"/>
          <w:szCs w:val="20"/>
        </w:rPr>
        <w:t>.</w:t>
      </w:r>
    </w:p>
    <w:p w14:paraId="1E9787CE" w14:textId="77777777" w:rsidR="00F41FA8" w:rsidRPr="00C016DD" w:rsidRDefault="00F41FA8" w:rsidP="00062B7A">
      <w:pPr>
        <w:spacing w:after="0" w:line="480" w:lineRule="auto"/>
        <w:jc w:val="both"/>
        <w:rPr>
          <w:rFonts w:ascii="Arial" w:hAnsi="Arial" w:cs="Arial"/>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65"/>
        <w:gridCol w:w="461"/>
      </w:tblGrid>
      <w:tr w:rsidR="00842E85" w:rsidRPr="00C016DD" w14:paraId="537EBD58" w14:textId="77777777" w:rsidTr="00A563E5">
        <w:trPr>
          <w:trHeight w:val="344"/>
        </w:trPr>
        <w:tc>
          <w:tcPr>
            <w:tcW w:w="4786" w:type="pct"/>
          </w:tcPr>
          <w:p w14:paraId="42EB64B4" w14:textId="76787AC7" w:rsidR="00842E85" w:rsidRPr="00C016DD" w:rsidRDefault="00A563E5" w:rsidP="00062B7A">
            <w:pPr>
              <w:autoSpaceDE w:val="0"/>
              <w:autoSpaceDN w:val="0"/>
              <w:adjustRightInd w:val="0"/>
              <w:spacing w:line="480" w:lineRule="auto"/>
              <w:jc w:val="both"/>
              <w:rPr>
                <w:rFonts w:ascii="Arial" w:hAnsi="Arial" w:cs="Arial"/>
                <w:color w:val="000000" w:themeColor="text1"/>
                <w:sz w:val="20"/>
                <w:szCs w:val="20"/>
              </w:rPr>
            </w:pPr>
            <m:oMathPara>
              <m:oMath>
                <m:r>
                  <w:rPr>
                    <w:rFonts w:ascii="Cambria Math" w:hAnsi="Cambria Math" w:cs="Arial"/>
                    <w:sz w:val="20"/>
                    <w:szCs w:val="20"/>
                  </w:rPr>
                  <m:t>v=</m:t>
                </m:r>
                <m:f>
                  <m:fPr>
                    <m:ctrlPr>
                      <w:rPr>
                        <w:rFonts w:ascii="Cambria Math" w:hAnsi="Cambria Math" w:cs="Arial"/>
                        <w:i/>
                        <w:iCs/>
                        <w:sz w:val="20"/>
                        <w:szCs w:val="20"/>
                      </w:rPr>
                    </m:ctrlPr>
                  </m:fPr>
                  <m:num>
                    <m:sSub>
                      <m:sSubPr>
                        <m:ctrlPr>
                          <w:rPr>
                            <w:rFonts w:ascii="Cambria Math" w:hAnsi="Cambria Math" w:cs="Arial"/>
                            <w:i/>
                            <w:iCs/>
                            <w:sz w:val="20"/>
                            <w:szCs w:val="20"/>
                          </w:rPr>
                        </m:ctrlPr>
                      </m:sSubPr>
                      <m:e>
                        <m:r>
                          <w:rPr>
                            <w:rFonts w:ascii="Cambria Math" w:hAnsi="Cambria Math" w:cs="Arial"/>
                            <w:sz w:val="20"/>
                            <w:szCs w:val="20"/>
                          </w:rPr>
                          <m:t>J</m:t>
                        </m:r>
                      </m:e>
                      <m:sub>
                        <m:r>
                          <w:rPr>
                            <w:rFonts w:ascii="Cambria Math" w:hAnsi="Cambria Math" w:cs="Arial"/>
                            <w:sz w:val="20"/>
                            <w:szCs w:val="20"/>
                          </w:rPr>
                          <m:t>max</m:t>
                        </m:r>
                      </m:sub>
                    </m:sSub>
                    <m:r>
                      <w:rPr>
                        <w:rFonts w:ascii="Cambria Math" w:hAnsi="Cambria Math" w:cs="Arial"/>
                        <w:sz w:val="20"/>
                        <w:szCs w:val="20"/>
                      </w:rPr>
                      <m:t>.</m:t>
                    </m:r>
                    <m:d>
                      <m:dPr>
                        <m:begChr m:val="["/>
                        <m:endChr m:val="]"/>
                        <m:ctrlPr>
                          <w:rPr>
                            <w:rFonts w:ascii="Cambria Math" w:hAnsi="Cambria Math" w:cs="Arial"/>
                            <w:i/>
                            <w:sz w:val="20"/>
                            <w:szCs w:val="20"/>
                          </w:rPr>
                        </m:ctrlPr>
                      </m:dPr>
                      <m:e>
                        <m:r>
                          <w:rPr>
                            <w:rFonts w:ascii="Cambria Math" w:hAnsi="Cambria Math" w:cs="Arial"/>
                            <w:sz w:val="20"/>
                            <w:szCs w:val="20"/>
                          </w:rPr>
                          <m:t>S</m:t>
                        </m:r>
                      </m:e>
                    </m:d>
                  </m:num>
                  <m:den>
                    <m:sSub>
                      <m:sSubPr>
                        <m:ctrlPr>
                          <w:rPr>
                            <w:rFonts w:ascii="Cambria Math" w:hAnsi="Cambria Math" w:cs="Arial"/>
                            <w:i/>
                            <w:iCs/>
                            <w:sz w:val="20"/>
                            <w:szCs w:val="20"/>
                          </w:rPr>
                        </m:ctrlPr>
                      </m:sSubPr>
                      <m:e>
                        <m:r>
                          <w:rPr>
                            <w:rFonts w:ascii="Cambria Math" w:hAnsi="Cambria Math" w:cs="Arial"/>
                            <w:sz w:val="20"/>
                            <w:szCs w:val="20"/>
                          </w:rPr>
                          <m:t>K</m:t>
                        </m:r>
                      </m:e>
                      <m:sub>
                        <m:r>
                          <w:rPr>
                            <w:rFonts w:ascii="Cambria Math" w:hAnsi="Cambria Math" w:cs="Arial"/>
                            <w:sz w:val="20"/>
                            <w:szCs w:val="20"/>
                          </w:rPr>
                          <m:t>m,u</m:t>
                        </m:r>
                      </m:sub>
                    </m:sSub>
                    <m:r>
                      <w:rPr>
                        <w:rFonts w:ascii="Cambria Math" w:hAnsi="Cambria Math" w:cs="Arial"/>
                        <w:sz w:val="20"/>
                        <w:szCs w:val="20"/>
                      </w:rPr>
                      <m:t>+</m:t>
                    </m:r>
                    <m:d>
                      <m:dPr>
                        <m:begChr m:val="["/>
                        <m:endChr m:val="]"/>
                        <m:ctrlPr>
                          <w:rPr>
                            <w:rFonts w:ascii="Cambria Math" w:hAnsi="Cambria Math" w:cs="Arial"/>
                            <w:i/>
                            <w:iCs/>
                            <w:sz w:val="20"/>
                            <w:szCs w:val="20"/>
                          </w:rPr>
                        </m:ctrlPr>
                      </m:dPr>
                      <m:e>
                        <m:r>
                          <w:rPr>
                            <w:rFonts w:ascii="Cambria Math" w:hAnsi="Cambria Math" w:cs="Arial"/>
                            <w:sz w:val="20"/>
                            <w:szCs w:val="20"/>
                          </w:rPr>
                          <m:t>S</m:t>
                        </m:r>
                      </m:e>
                    </m:d>
                  </m:den>
                </m:f>
              </m:oMath>
            </m:oMathPara>
          </w:p>
        </w:tc>
        <w:tc>
          <w:tcPr>
            <w:tcW w:w="214" w:type="pct"/>
            <w:vAlign w:val="center"/>
          </w:tcPr>
          <w:p w14:paraId="5B83346A" w14:textId="3DFBA203" w:rsidR="00842E85" w:rsidRPr="00C016DD" w:rsidRDefault="00842E85" w:rsidP="00062B7A">
            <w:pPr>
              <w:spacing w:line="480" w:lineRule="auto"/>
              <w:jc w:val="center"/>
              <w:rPr>
                <w:rFonts w:ascii="Arial" w:hAnsi="Arial" w:cs="Arial"/>
                <w:color w:val="000000" w:themeColor="text1"/>
                <w:sz w:val="20"/>
                <w:szCs w:val="20"/>
              </w:rPr>
            </w:pPr>
            <w:r w:rsidRPr="00C016DD">
              <w:rPr>
                <w:rFonts w:ascii="Arial" w:hAnsi="Arial" w:cs="Arial"/>
                <w:sz w:val="20"/>
                <w:szCs w:val="20"/>
              </w:rPr>
              <w:t>(</w:t>
            </w:r>
            <w:r w:rsidRPr="00C016DD">
              <w:rPr>
                <w:rFonts w:ascii="Arial" w:hAnsi="Arial" w:cs="Arial"/>
                <w:b/>
                <w:bCs/>
                <w:sz w:val="20"/>
                <w:szCs w:val="20"/>
              </w:rPr>
              <w:t>2</w:t>
            </w:r>
            <w:r w:rsidRPr="00C016DD">
              <w:rPr>
                <w:rFonts w:ascii="Arial" w:hAnsi="Arial" w:cs="Arial"/>
                <w:sz w:val="20"/>
                <w:szCs w:val="20"/>
              </w:rPr>
              <w:t>)</w:t>
            </w:r>
          </w:p>
        </w:tc>
      </w:tr>
    </w:tbl>
    <w:p w14:paraId="0151A8D0" w14:textId="2AD2FC4C" w:rsidR="00842E85" w:rsidRPr="00C016DD" w:rsidRDefault="00842E85" w:rsidP="00062B7A">
      <w:pPr>
        <w:spacing w:after="0" w:line="480" w:lineRule="auto"/>
        <w:jc w:val="both"/>
        <w:rPr>
          <w:rFonts w:ascii="Arial" w:hAnsi="Arial" w:cs="Arial"/>
          <w:sz w:val="20"/>
          <w:szCs w:val="20"/>
        </w:rPr>
      </w:pPr>
    </w:p>
    <w:p w14:paraId="6D0D2ECA" w14:textId="3BFC5F95" w:rsidR="00A563E5" w:rsidRPr="00C016DD" w:rsidRDefault="00936087" w:rsidP="00062B7A">
      <w:pPr>
        <w:spacing w:after="0" w:line="480" w:lineRule="auto"/>
        <w:jc w:val="both"/>
        <w:rPr>
          <w:rFonts w:ascii="Arial" w:hAnsi="Arial" w:cs="Arial"/>
          <w:sz w:val="20"/>
          <w:szCs w:val="20"/>
        </w:rPr>
      </w:pPr>
      <w:r w:rsidRPr="00C016DD">
        <w:rPr>
          <w:rFonts w:ascii="Arial" w:hAnsi="Arial" w:cs="Arial"/>
          <w:sz w:val="20"/>
          <w:szCs w:val="20"/>
        </w:rPr>
        <w:t xml:space="preserve">where </w:t>
      </w:r>
      <m:oMath>
        <m:sSub>
          <m:sSubPr>
            <m:ctrlPr>
              <w:rPr>
                <w:rFonts w:ascii="Cambria Math" w:hAnsi="Cambria Math" w:cs="Arial"/>
                <w:i/>
                <w:sz w:val="20"/>
                <w:szCs w:val="20"/>
              </w:rPr>
            </m:ctrlPr>
          </m:sSubPr>
          <m:e>
            <m:r>
              <w:rPr>
                <w:rFonts w:ascii="Cambria Math" w:hAnsi="Cambria Math" w:cs="Arial"/>
                <w:sz w:val="20"/>
                <w:szCs w:val="20"/>
              </w:rPr>
              <m:t>v,  S,  J</m:t>
            </m:r>
          </m:e>
          <m:sub>
            <m:r>
              <w:rPr>
                <w:rFonts w:ascii="Cambria Math" w:hAnsi="Cambria Math" w:cs="Arial"/>
                <w:sz w:val="20"/>
                <w:szCs w:val="20"/>
              </w:rPr>
              <m:t>max</m:t>
            </m:r>
          </m:sub>
        </m:sSub>
        <m:r>
          <w:rPr>
            <w:rFonts w:ascii="Cambria Math" w:hAnsi="Cambria Math" w:cs="Arial"/>
            <w:sz w:val="20"/>
            <w:szCs w:val="20"/>
          </w:rPr>
          <m:t xml:space="preserve"> and </m:t>
        </m:r>
        <m:sSub>
          <m:sSubPr>
            <m:ctrlPr>
              <w:rPr>
                <w:rFonts w:ascii="Cambria Math" w:hAnsi="Cambria Math" w:cs="Arial"/>
                <w:i/>
                <w:sz w:val="20"/>
                <w:szCs w:val="20"/>
              </w:rPr>
            </m:ctrlPr>
          </m:sSubPr>
          <m:e>
            <m:r>
              <w:rPr>
                <w:rFonts w:ascii="Cambria Math" w:hAnsi="Cambria Math" w:cs="Arial"/>
                <w:sz w:val="20"/>
                <w:szCs w:val="20"/>
              </w:rPr>
              <m:t xml:space="preserve"> K</m:t>
            </m:r>
          </m:e>
          <m:sub>
            <m:r>
              <w:rPr>
                <w:rFonts w:ascii="Cambria Math" w:hAnsi="Cambria Math" w:cs="Arial"/>
                <w:sz w:val="20"/>
                <w:szCs w:val="20"/>
              </w:rPr>
              <m:t>m,u</m:t>
            </m:r>
          </m:sub>
        </m:sSub>
        <m:r>
          <w:rPr>
            <w:rFonts w:ascii="Cambria Math" w:hAnsi="Cambria Math" w:cs="Arial"/>
            <w:sz w:val="20"/>
            <w:szCs w:val="20"/>
          </w:rPr>
          <m:t xml:space="preserve"> </m:t>
        </m:r>
      </m:oMath>
      <w:r w:rsidRPr="00C016DD">
        <w:rPr>
          <w:rFonts w:ascii="Arial" w:hAnsi="Arial" w:cs="Arial"/>
          <w:sz w:val="20"/>
          <w:szCs w:val="20"/>
        </w:rPr>
        <w:t xml:space="preserve"> represent the uptake rate of the substrate (pmol/min/mg protein), the unbound substrate concentration in the incubation buffer (µM) (</w:t>
      </w:r>
      <w:r w:rsidR="00384DB0">
        <w:rPr>
          <w:rFonts w:ascii="Arial" w:hAnsi="Arial" w:cs="Arial"/>
          <w:sz w:val="20"/>
          <w:szCs w:val="20"/>
        </w:rPr>
        <w:t xml:space="preserve">fraction unbound is </w:t>
      </w:r>
      <w:r w:rsidRPr="00C016DD">
        <w:rPr>
          <w:rFonts w:ascii="Arial" w:hAnsi="Arial" w:cs="Arial"/>
          <w:sz w:val="20"/>
          <w:szCs w:val="20"/>
        </w:rPr>
        <w:t>assumed to be 1 in the protein-free HBSS buffer), maximum uptake rate (pmol/min/mg protein) and the unbound Michaelis-Menten constant (µM) respectively.</w:t>
      </w:r>
    </w:p>
    <w:p w14:paraId="1DCF6561" w14:textId="77777777" w:rsidR="00062B7A" w:rsidRDefault="00062B7A" w:rsidP="00062B7A">
      <w:pPr>
        <w:spacing w:after="0" w:line="480" w:lineRule="auto"/>
        <w:jc w:val="both"/>
        <w:rPr>
          <w:rFonts w:ascii="Arial" w:hAnsi="Arial" w:cs="Arial"/>
          <w:i/>
          <w:iCs/>
          <w:sz w:val="20"/>
          <w:szCs w:val="20"/>
        </w:rPr>
      </w:pPr>
    </w:p>
    <w:p w14:paraId="099AF9C6" w14:textId="584A270C" w:rsidR="00947540" w:rsidRDefault="00842E85" w:rsidP="00062B7A">
      <w:pPr>
        <w:spacing w:after="0" w:line="480" w:lineRule="auto"/>
        <w:jc w:val="both"/>
        <w:rPr>
          <w:rFonts w:ascii="Arial" w:hAnsi="Arial" w:cs="Arial"/>
          <w:sz w:val="20"/>
          <w:szCs w:val="20"/>
        </w:rPr>
      </w:pPr>
      <w:r w:rsidRPr="00C016DD">
        <w:rPr>
          <w:rFonts w:ascii="Arial" w:hAnsi="Arial" w:cs="Arial"/>
          <w:i/>
          <w:iCs/>
          <w:sz w:val="20"/>
          <w:szCs w:val="20"/>
        </w:rPr>
        <w:t>Calculation of transpo</w:t>
      </w:r>
      <w:r w:rsidR="00A563E5" w:rsidRPr="00C016DD">
        <w:rPr>
          <w:rFonts w:ascii="Arial" w:hAnsi="Arial" w:cs="Arial"/>
          <w:i/>
          <w:iCs/>
          <w:sz w:val="20"/>
          <w:szCs w:val="20"/>
        </w:rPr>
        <w:t>rt inhibitory kinetic parameter</w:t>
      </w:r>
      <w:r w:rsidRPr="00C016DD">
        <w:rPr>
          <w:rFonts w:ascii="Arial" w:hAnsi="Arial" w:cs="Arial"/>
          <w:i/>
          <w:iCs/>
          <w:sz w:val="20"/>
          <w:szCs w:val="20"/>
        </w:rPr>
        <w:t xml:space="preserve"> (</w:t>
      </w:r>
      <w:r w:rsidRPr="00C016DD">
        <w:rPr>
          <w:rFonts w:ascii="Arial" w:hAnsi="Arial" w:cs="Arial"/>
          <w:i/>
          <w:sz w:val="20"/>
          <w:szCs w:val="20"/>
        </w:rPr>
        <w:t>K</w:t>
      </w:r>
      <w:r w:rsidRPr="00C016DD">
        <w:rPr>
          <w:rFonts w:ascii="Arial" w:hAnsi="Arial" w:cs="Arial"/>
          <w:i/>
          <w:sz w:val="20"/>
          <w:szCs w:val="20"/>
          <w:vertAlign w:val="subscript"/>
        </w:rPr>
        <w:t>i</w:t>
      </w:r>
      <w:r w:rsidRPr="00C016DD">
        <w:rPr>
          <w:rFonts w:ascii="Arial" w:hAnsi="Arial" w:cs="Arial"/>
          <w:i/>
          <w:iCs/>
          <w:sz w:val="20"/>
          <w:szCs w:val="20"/>
        </w:rPr>
        <w:t>).</w:t>
      </w:r>
      <w:r w:rsidRPr="00C016DD">
        <w:rPr>
          <w:rFonts w:ascii="Arial" w:hAnsi="Arial" w:cs="Arial"/>
          <w:sz w:val="20"/>
          <w:szCs w:val="20"/>
        </w:rPr>
        <w:t xml:space="preserve"> </w:t>
      </w:r>
      <w:r w:rsidR="00947540" w:rsidRPr="00C016DD">
        <w:rPr>
          <w:rFonts w:ascii="Arial" w:hAnsi="Arial" w:cs="Arial"/>
          <w:sz w:val="20"/>
          <w:szCs w:val="20"/>
        </w:rPr>
        <w:t xml:space="preserve">Michaelis-Menten curves generated at various inhibitor concentrations were transformed to Dixon plots to discern the mode of reversible inhibition by ketoconazole on OAT3-mediated E3S and rivaroxaban uptake. </w:t>
      </w:r>
      <w:r w:rsidR="005C126C" w:rsidRPr="004F5DB8">
        <w:rPr>
          <w:rFonts w:ascii="Arial" w:hAnsi="Arial" w:cs="Arial"/>
          <w:sz w:val="20"/>
          <w:szCs w:val="20"/>
        </w:rPr>
        <w:t xml:space="preserve">The derived inhibition modality dictated the selection of appropriate equations to determine the </w:t>
      </w:r>
      <m:oMath>
        <m:sSub>
          <m:sSubPr>
            <m:ctrlPr>
              <w:rPr>
                <w:rFonts w:ascii="Cambria Math" w:hAnsi="Cambria Math" w:cs="Arial"/>
                <w:i/>
                <w:sz w:val="20"/>
                <w:szCs w:val="20"/>
              </w:rPr>
            </m:ctrlPr>
          </m:sSubPr>
          <m:e>
            <m:r>
              <w:rPr>
                <w:rFonts w:ascii="Cambria Math" w:hAnsi="Cambria Math" w:cs="Arial"/>
                <w:sz w:val="20"/>
                <w:szCs w:val="20"/>
              </w:rPr>
              <m:t>K</m:t>
            </m:r>
          </m:e>
          <m:sub>
            <m:r>
              <w:rPr>
                <w:rFonts w:ascii="Cambria Math" w:hAnsi="Cambria Math" w:cs="Arial"/>
                <w:sz w:val="20"/>
                <w:szCs w:val="20"/>
              </w:rPr>
              <m:t>i</m:t>
            </m:r>
          </m:sub>
        </m:sSub>
      </m:oMath>
      <w:r w:rsidR="005C126C" w:rsidRPr="004F5DB8">
        <w:rPr>
          <w:rFonts w:ascii="Arial" w:hAnsi="Arial" w:cs="Arial"/>
          <w:i/>
          <w:sz w:val="20"/>
          <w:szCs w:val="20"/>
        </w:rPr>
        <w:t xml:space="preserve"> </w:t>
      </w:r>
      <w:r w:rsidR="005C126C" w:rsidRPr="004F5DB8">
        <w:rPr>
          <w:rFonts w:ascii="Arial" w:hAnsi="Arial" w:cs="Arial"/>
          <w:sz w:val="20"/>
          <w:szCs w:val="20"/>
        </w:rPr>
        <w:t>value via non-linear regression analyses</w:t>
      </w:r>
      <w:r w:rsidR="00146EEF">
        <w:rPr>
          <w:rFonts w:ascii="Arial" w:hAnsi="Arial" w:cs="Arial"/>
          <w:sz w:val="20"/>
          <w:szCs w:val="20"/>
        </w:rPr>
        <w:t xml:space="preserve"> f</w:t>
      </w:r>
      <w:r w:rsidR="0058171B">
        <w:rPr>
          <w:rFonts w:ascii="Arial" w:hAnsi="Arial" w:cs="Arial"/>
          <w:sz w:val="20"/>
          <w:szCs w:val="20"/>
        </w:rPr>
        <w:t xml:space="preserve">or </w:t>
      </w:r>
      <w:r w:rsidR="005C126C" w:rsidRPr="004F5DB8">
        <w:rPr>
          <w:rFonts w:ascii="Arial" w:hAnsi="Arial" w:cs="Arial"/>
          <w:sz w:val="20"/>
          <w:szCs w:val="20"/>
        </w:rPr>
        <w:t>competitive</w:t>
      </w:r>
      <w:r w:rsidR="0058171B">
        <w:rPr>
          <w:rFonts w:ascii="Arial" w:hAnsi="Arial" w:cs="Arial"/>
          <w:sz w:val="20"/>
          <w:szCs w:val="20"/>
        </w:rPr>
        <w:t xml:space="preserve"> </w:t>
      </w:r>
      <w:r w:rsidR="0058171B" w:rsidRPr="000305CF">
        <w:rPr>
          <w:rFonts w:ascii="Arial" w:hAnsi="Arial" w:cs="Arial"/>
          <w:sz w:val="20"/>
          <w:szCs w:val="20"/>
        </w:rPr>
        <w:t>(</w:t>
      </w:r>
      <w:r w:rsidR="0058171B" w:rsidRPr="004F5DB8">
        <w:rPr>
          <w:rFonts w:ascii="Arial" w:hAnsi="Arial" w:cs="Arial"/>
          <w:b/>
          <w:sz w:val="20"/>
          <w:szCs w:val="20"/>
        </w:rPr>
        <w:t xml:space="preserve">Equation </w:t>
      </w:r>
      <w:r w:rsidR="0058171B">
        <w:rPr>
          <w:rFonts w:ascii="Arial" w:hAnsi="Arial" w:cs="Arial"/>
          <w:b/>
          <w:sz w:val="20"/>
          <w:szCs w:val="20"/>
        </w:rPr>
        <w:t>3a</w:t>
      </w:r>
      <w:r w:rsidR="0058171B">
        <w:rPr>
          <w:rFonts w:ascii="Arial" w:hAnsi="Arial" w:cs="Arial"/>
          <w:bCs/>
          <w:sz w:val="20"/>
          <w:szCs w:val="20"/>
        </w:rPr>
        <w:t>)</w:t>
      </w:r>
      <w:r w:rsidR="005C126C" w:rsidRPr="004F5DB8">
        <w:rPr>
          <w:rFonts w:ascii="Arial" w:hAnsi="Arial" w:cs="Arial"/>
          <w:sz w:val="20"/>
          <w:szCs w:val="20"/>
        </w:rPr>
        <w:t xml:space="preserve"> and </w:t>
      </w:r>
      <w:r w:rsidR="001261FA">
        <w:rPr>
          <w:rFonts w:ascii="Arial" w:hAnsi="Arial" w:cs="Arial"/>
          <w:sz w:val="20"/>
          <w:szCs w:val="20"/>
        </w:rPr>
        <w:t>non-competitive</w:t>
      </w:r>
      <w:r w:rsidR="005C126C" w:rsidRPr="004F5DB8">
        <w:rPr>
          <w:rFonts w:ascii="Arial" w:hAnsi="Arial" w:cs="Arial"/>
          <w:sz w:val="20"/>
          <w:szCs w:val="20"/>
        </w:rPr>
        <w:t xml:space="preserve"> inhibition</w:t>
      </w:r>
      <w:r w:rsidR="000305CF">
        <w:rPr>
          <w:rFonts w:ascii="Arial" w:hAnsi="Arial" w:cs="Arial"/>
          <w:sz w:val="20"/>
          <w:szCs w:val="20"/>
        </w:rPr>
        <w:t xml:space="preserve"> </w:t>
      </w:r>
      <w:r w:rsidR="000305CF" w:rsidRPr="000305CF">
        <w:rPr>
          <w:rFonts w:ascii="Arial" w:hAnsi="Arial" w:cs="Arial"/>
          <w:sz w:val="20"/>
          <w:szCs w:val="20"/>
        </w:rPr>
        <w:t>(</w:t>
      </w:r>
      <w:r w:rsidR="000305CF" w:rsidRPr="004F5DB8">
        <w:rPr>
          <w:rFonts w:ascii="Arial" w:hAnsi="Arial" w:cs="Arial"/>
          <w:b/>
          <w:sz w:val="20"/>
          <w:szCs w:val="20"/>
        </w:rPr>
        <w:t xml:space="preserve">Equation </w:t>
      </w:r>
      <w:r w:rsidR="000305CF">
        <w:rPr>
          <w:rFonts w:ascii="Arial" w:hAnsi="Arial" w:cs="Arial"/>
          <w:b/>
          <w:sz w:val="20"/>
          <w:szCs w:val="20"/>
        </w:rPr>
        <w:t>3</w:t>
      </w:r>
      <w:r w:rsidR="00146EEF">
        <w:rPr>
          <w:rFonts w:ascii="Arial" w:hAnsi="Arial" w:cs="Arial"/>
          <w:b/>
          <w:sz w:val="20"/>
          <w:szCs w:val="20"/>
        </w:rPr>
        <w:t>b</w:t>
      </w:r>
      <w:r w:rsidR="000305CF">
        <w:rPr>
          <w:rFonts w:ascii="Arial" w:hAnsi="Arial" w:cs="Arial"/>
          <w:bCs/>
          <w:sz w:val="20"/>
          <w:szCs w:val="20"/>
        </w:rPr>
        <w:t>)</w:t>
      </w:r>
      <w:r w:rsidR="00947540" w:rsidRPr="00C016DD">
        <w:rPr>
          <w:rFonts w:ascii="Arial" w:hAnsi="Arial" w:cs="Arial"/>
          <w:sz w:val="20"/>
          <w:szCs w:val="20"/>
        </w:rPr>
        <w:t>.</w:t>
      </w:r>
      <w:r w:rsidR="00947540" w:rsidRPr="00C016DD">
        <w:rPr>
          <w:rFonts w:ascii="Arial" w:hAnsi="Arial" w:cs="Arial"/>
          <w:sz w:val="20"/>
          <w:szCs w:val="20"/>
        </w:rPr>
        <w:fldChar w:fldCharType="begin" w:fldLock="1"/>
      </w:r>
      <w:r w:rsidR="00B322E0">
        <w:rPr>
          <w:rFonts w:ascii="Arial" w:hAnsi="Arial" w:cs="Arial"/>
          <w:sz w:val="20"/>
          <w:szCs w:val="20"/>
        </w:rPr>
        <w:instrText>ADDIN CSL_CITATION {"citationItems":[{"id":"ITEM-1","itemData":{"DOI":"10.1042/bj1290197","ISSN":"02646021","PMID":"4630451","abstract":"The principle of Dixon (1965) has been extended to give rapid graphical methods for determining enzyme constants for substrates (K.) and inhibitors (K). It does away with the sometimes questionable assumption that the amounts of substrate or inhibitor bound by the enzyme are negligible in comparison with the total amount added, and is therefore valid even for cases of high affinity, where the usual methods fail. Besides doing away with the need for calculation, it enables the concentrations of the various components of the system to be read off directly for any point of the velocity curve. The usual graphical methods for determining K. or K, make use of various plots expressing the relation between reaction velocity and concentration of sub-strate or inhibitor respectively. The equations on which they are based are in terms of concentrations offree substrate (s) or free inhibitor (i), but in practice the quantity that is plotted under the name of sub-strate or inhibitor concentration is the total added concentration (s, or it), and the assumption is made (usually tacitly) that the free and total concentrations are equal. This may or may not be true; if the enzyme concentration is very small in relation to the substrate the amount of substrate bound by it is negligible and s is equal to s,, but if the enzyme has a very high affinity for the substrate it may be necessary to use such low concentrations of substrate that a considerable portion is bound by the enzyme. The assumption is then no longer true and the methods fail. Similar considerations hold for inhibitors. Dixon (1965) published a simple graphical method for determining equilibrium constants from plots of total concentrations, and applied it to the case of the activation ofan apo-enzyme by a flavin. This method gave the constant as the distance between the two points at which the initial tangent to the curve and the line drawn from the origin through the half-maximum point on the curve cut the line for the maximum velocity V. (These are the points s, and s2 in Fig. 1 of this paper.) In thefollowing year Kilroe-Smith (1966) suggested a modification in which the half-and three-quarter-maximum points were used (corresponding to s2 and s4 in Fig. 1) and the intersections were read on the line for V/2, to avoid possible inaccuracies in drawing the tangent. In the present paper the theory of the method is further developed, and extended to inhibitors as well as substrates. Vol. 129 Substrates For the…","author":[{"dropping-particle":"","family":"Dixon","given":"M.","non-dropping-particle":"","parse-names":false,"suffix":""}],"container-title":"The Biochemical journal","id":"ITEM-1","issue":"1","issued":{"date-parts":[["1972"]]},"page":"197-202","publisher":"Portland Press Ltd","title":"The graphical determination of Km and Ki","type":"article-journal","volume":"129"},"uris":["http://www.mendeley.com/documents/?uuid=bac98c2c-2424-3817-ac38-de1e71b31270"]},{"id":"ITEM-2","itemData":{"ISBN":"978-0-08-051336-2","container-title":"Organic Chemistry of Enzyme-Catalyzed Reactions (Second Edition)","editor":[{"dropping-particle":"","family":"Silverman","given":"Richard","non-dropping-particle":"","parse-names":false,"suffix":""}],"id":"ITEM-2","issued":{"date-parts":[["2002"]]},"page":"563-596","publisher":"Academic Press","publisher-place":"San Diego","title":"Appendix I - Enzyme Kinetics","type":"chapter"},"uris":["http://www.mendeley.com/documents/?uuid=84953049-5850-4827-8a3c-d4e602d568c1"]}],"mendeley":{"formattedCitation":"&lt;sup&gt;30,31&lt;/sup&gt;","plainTextFormattedCitation":"30,31","previouslyFormattedCitation":"&lt;sup&gt;30,31&lt;/sup&gt;"},"properties":{"noteIndex":0},"schema":"https://github.com/citation-style-language/schema/raw/master/csl-citation.json"}</w:instrText>
      </w:r>
      <w:r w:rsidR="00947540" w:rsidRPr="00C016DD">
        <w:rPr>
          <w:rFonts w:ascii="Arial" w:hAnsi="Arial" w:cs="Arial"/>
          <w:sz w:val="20"/>
          <w:szCs w:val="20"/>
        </w:rPr>
        <w:fldChar w:fldCharType="separate"/>
      </w:r>
      <w:r w:rsidR="007F3F37" w:rsidRPr="007F3F37">
        <w:rPr>
          <w:rFonts w:ascii="Arial" w:hAnsi="Arial" w:cs="Arial"/>
          <w:noProof/>
          <w:sz w:val="20"/>
          <w:szCs w:val="20"/>
          <w:vertAlign w:val="superscript"/>
        </w:rPr>
        <w:t>30,31</w:t>
      </w:r>
      <w:r w:rsidR="00947540" w:rsidRPr="00C016DD">
        <w:rPr>
          <w:rFonts w:ascii="Arial" w:hAnsi="Arial" w:cs="Arial"/>
          <w:sz w:val="20"/>
          <w:szCs w:val="20"/>
        </w:rPr>
        <w:fldChar w:fldCharType="end"/>
      </w:r>
    </w:p>
    <w:p w14:paraId="2FC8E1D5" w14:textId="77777777" w:rsidR="00062B7A" w:rsidRPr="001261FA" w:rsidRDefault="00062B7A" w:rsidP="00062B7A">
      <w:pPr>
        <w:spacing w:after="0" w:line="480" w:lineRule="auto"/>
        <w:jc w:val="both"/>
        <w:rPr>
          <w:rFonts w:ascii="Arial" w:hAnsi="Arial" w:cs="Arial"/>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3"/>
        <w:gridCol w:w="803"/>
      </w:tblGrid>
      <w:tr w:rsidR="00947540" w:rsidRPr="00C016DD" w14:paraId="74B59CCD" w14:textId="77777777" w:rsidTr="00086833">
        <w:trPr>
          <w:trHeight w:val="736"/>
        </w:trPr>
        <w:tc>
          <w:tcPr>
            <w:tcW w:w="4555" w:type="pct"/>
          </w:tcPr>
          <w:p w14:paraId="196CC6C5" w14:textId="593B8491" w:rsidR="00947540" w:rsidRPr="00C016DD" w:rsidRDefault="00C01121" w:rsidP="00062B7A">
            <w:pPr>
              <w:spacing w:line="480" w:lineRule="auto"/>
              <w:jc w:val="both"/>
              <w:rPr>
                <w:rFonts w:ascii="Arial" w:hAnsi="Arial" w:cs="Arial"/>
                <w:sz w:val="20"/>
                <w:szCs w:val="20"/>
              </w:rPr>
            </w:pPr>
            <m:oMathPara>
              <m:oMath>
                <m:r>
                  <w:rPr>
                    <w:rFonts w:ascii="Cambria Math" w:hAnsi="Cambria Math" w:cs="Arial"/>
                    <w:sz w:val="20"/>
                    <w:szCs w:val="20"/>
                    <w:lang w:val="en-SG"/>
                  </w:rPr>
                  <m:t>v</m:t>
                </m:r>
                <m:r>
                  <w:rPr>
                    <w:rFonts w:ascii="Cambria Math" w:hAnsi="Cambria Math" w:cs="Arial"/>
                    <w:sz w:val="20"/>
                    <w:szCs w:val="20"/>
                  </w:rPr>
                  <m:t>=</m:t>
                </m:r>
                <m:f>
                  <m:fPr>
                    <m:ctrlPr>
                      <w:rPr>
                        <w:rFonts w:ascii="Cambria Math" w:hAnsi="Cambria Math" w:cs="Arial"/>
                        <w:i/>
                        <w:sz w:val="20"/>
                        <w:szCs w:val="20"/>
                      </w:rPr>
                    </m:ctrlPr>
                  </m:fPr>
                  <m:num>
                    <m:sSub>
                      <m:sSubPr>
                        <m:ctrlPr>
                          <w:rPr>
                            <w:rFonts w:ascii="Cambria Math" w:hAnsi="Cambria Math" w:cs="Arial"/>
                            <w:i/>
                            <w:sz w:val="20"/>
                            <w:szCs w:val="20"/>
                          </w:rPr>
                        </m:ctrlPr>
                      </m:sSubPr>
                      <m:e>
                        <m:r>
                          <w:rPr>
                            <w:rFonts w:ascii="Cambria Math" w:hAnsi="Cambria Math" w:cs="Arial"/>
                            <w:sz w:val="20"/>
                            <w:szCs w:val="20"/>
                          </w:rPr>
                          <m:t>J</m:t>
                        </m:r>
                      </m:e>
                      <m:sub>
                        <m:r>
                          <w:rPr>
                            <w:rFonts w:ascii="Cambria Math" w:hAnsi="Cambria Math" w:cs="Arial"/>
                            <w:sz w:val="20"/>
                            <w:szCs w:val="20"/>
                          </w:rPr>
                          <m:t>max</m:t>
                        </m:r>
                      </m:sub>
                    </m:sSub>
                    <m:r>
                      <w:rPr>
                        <w:rFonts w:ascii="Cambria Math" w:hAnsi="Cambria Math" w:cs="Arial"/>
                        <w:sz w:val="20"/>
                        <w:szCs w:val="20"/>
                      </w:rPr>
                      <m:t>[S]</m:t>
                    </m:r>
                  </m:num>
                  <m:den>
                    <m:sSub>
                      <m:sSubPr>
                        <m:ctrlPr>
                          <w:rPr>
                            <w:rFonts w:ascii="Cambria Math" w:hAnsi="Cambria Math" w:cs="Arial"/>
                            <w:i/>
                            <w:sz w:val="20"/>
                            <w:szCs w:val="20"/>
                          </w:rPr>
                        </m:ctrlPr>
                      </m:sSubPr>
                      <m:e>
                        <m:r>
                          <w:rPr>
                            <w:rFonts w:ascii="Cambria Math" w:hAnsi="Cambria Math" w:cs="Arial"/>
                            <w:sz w:val="20"/>
                            <w:szCs w:val="20"/>
                          </w:rPr>
                          <m:t>K</m:t>
                        </m:r>
                      </m:e>
                      <m:sub>
                        <m:r>
                          <w:rPr>
                            <w:rFonts w:ascii="Cambria Math" w:hAnsi="Cambria Math" w:cs="Arial"/>
                            <w:sz w:val="20"/>
                            <w:szCs w:val="20"/>
                          </w:rPr>
                          <m:t>m</m:t>
                        </m:r>
                      </m:sub>
                    </m:sSub>
                    <m:d>
                      <m:dPr>
                        <m:ctrlPr>
                          <w:rPr>
                            <w:rFonts w:ascii="Cambria Math" w:hAnsi="Cambria Math" w:cs="Arial"/>
                            <w:i/>
                            <w:sz w:val="20"/>
                            <w:szCs w:val="20"/>
                          </w:rPr>
                        </m:ctrlPr>
                      </m:dPr>
                      <m:e>
                        <m:r>
                          <w:rPr>
                            <w:rFonts w:ascii="Cambria Math" w:hAnsi="Cambria Math" w:cs="Arial"/>
                            <w:sz w:val="20"/>
                            <w:szCs w:val="20"/>
                          </w:rPr>
                          <m:t>1+</m:t>
                        </m:r>
                        <m:f>
                          <m:fPr>
                            <m:ctrlPr>
                              <w:rPr>
                                <w:rFonts w:ascii="Cambria Math" w:hAnsi="Cambria Math" w:cs="Arial"/>
                                <w:i/>
                                <w:sz w:val="20"/>
                                <w:szCs w:val="20"/>
                              </w:rPr>
                            </m:ctrlPr>
                          </m:fPr>
                          <m:num>
                            <m:d>
                              <m:dPr>
                                <m:begChr m:val="["/>
                                <m:endChr m:val="]"/>
                                <m:ctrlPr>
                                  <w:rPr>
                                    <w:rFonts w:ascii="Cambria Math" w:hAnsi="Cambria Math" w:cs="Arial"/>
                                    <w:i/>
                                    <w:sz w:val="20"/>
                                    <w:szCs w:val="20"/>
                                  </w:rPr>
                                </m:ctrlPr>
                              </m:dPr>
                              <m:e>
                                <m:r>
                                  <w:rPr>
                                    <w:rFonts w:ascii="Cambria Math" w:hAnsi="Cambria Math" w:cs="Arial"/>
                                    <w:sz w:val="20"/>
                                    <w:szCs w:val="20"/>
                                  </w:rPr>
                                  <m:t>I</m:t>
                                </m:r>
                              </m:e>
                            </m:d>
                          </m:num>
                          <m:den>
                            <m:sSub>
                              <m:sSubPr>
                                <m:ctrlPr>
                                  <w:rPr>
                                    <w:rFonts w:ascii="Cambria Math" w:hAnsi="Cambria Math" w:cs="Arial"/>
                                    <w:i/>
                                    <w:sz w:val="20"/>
                                    <w:szCs w:val="20"/>
                                  </w:rPr>
                                </m:ctrlPr>
                              </m:sSubPr>
                              <m:e>
                                <m:r>
                                  <w:rPr>
                                    <w:rFonts w:ascii="Cambria Math" w:hAnsi="Cambria Math" w:cs="Arial"/>
                                    <w:sz w:val="20"/>
                                    <w:szCs w:val="20"/>
                                  </w:rPr>
                                  <m:t>K</m:t>
                                </m:r>
                              </m:e>
                              <m:sub>
                                <m:r>
                                  <w:rPr>
                                    <w:rFonts w:ascii="Cambria Math" w:hAnsi="Cambria Math" w:cs="Arial"/>
                                    <w:sz w:val="20"/>
                                    <w:szCs w:val="20"/>
                                  </w:rPr>
                                  <m:t>i</m:t>
                                </m:r>
                              </m:sub>
                            </m:sSub>
                          </m:den>
                        </m:f>
                      </m:e>
                    </m:d>
                    <m:r>
                      <w:rPr>
                        <w:rFonts w:ascii="Cambria Math" w:hAnsi="Cambria Math" w:cs="Arial"/>
                        <w:sz w:val="20"/>
                        <w:szCs w:val="20"/>
                      </w:rPr>
                      <m:t>+[S]</m:t>
                    </m:r>
                  </m:den>
                </m:f>
              </m:oMath>
            </m:oMathPara>
          </w:p>
        </w:tc>
        <w:tc>
          <w:tcPr>
            <w:tcW w:w="445" w:type="pct"/>
          </w:tcPr>
          <w:p w14:paraId="7D1242FD" w14:textId="0655E45A" w:rsidR="00947540" w:rsidRPr="00C016DD" w:rsidRDefault="00947540" w:rsidP="00062B7A">
            <w:pPr>
              <w:spacing w:line="480" w:lineRule="auto"/>
              <w:jc w:val="center"/>
              <w:rPr>
                <w:rFonts w:ascii="Arial" w:hAnsi="Arial" w:cs="Arial"/>
                <w:sz w:val="20"/>
                <w:szCs w:val="20"/>
              </w:rPr>
            </w:pPr>
            <w:r w:rsidRPr="00C016DD">
              <w:rPr>
                <w:rFonts w:ascii="Arial" w:hAnsi="Arial" w:cs="Arial"/>
                <w:sz w:val="20"/>
                <w:szCs w:val="20"/>
              </w:rPr>
              <w:t>(</w:t>
            </w:r>
            <w:r w:rsidR="00086833">
              <w:rPr>
                <w:rFonts w:ascii="Arial" w:hAnsi="Arial" w:cs="Arial"/>
                <w:b/>
                <w:bCs/>
                <w:sz w:val="20"/>
                <w:szCs w:val="20"/>
              </w:rPr>
              <w:t>3a</w:t>
            </w:r>
            <w:r w:rsidRPr="00C016DD">
              <w:rPr>
                <w:rFonts w:ascii="Arial" w:hAnsi="Arial" w:cs="Arial"/>
                <w:sz w:val="20"/>
                <w:szCs w:val="20"/>
              </w:rPr>
              <w:t>)</w:t>
            </w:r>
          </w:p>
          <w:p w14:paraId="40A0D26E" w14:textId="77777777" w:rsidR="00947540" w:rsidRPr="00C016DD" w:rsidRDefault="00947540" w:rsidP="00062B7A">
            <w:pPr>
              <w:spacing w:line="480" w:lineRule="auto"/>
              <w:jc w:val="both"/>
              <w:rPr>
                <w:rFonts w:ascii="Arial" w:hAnsi="Arial" w:cs="Arial"/>
                <w:sz w:val="20"/>
                <w:szCs w:val="20"/>
              </w:rPr>
            </w:pPr>
          </w:p>
        </w:tc>
      </w:tr>
      <w:tr w:rsidR="00062B7A" w:rsidRPr="00C016DD" w14:paraId="0EAD7523" w14:textId="77777777" w:rsidTr="00086833">
        <w:trPr>
          <w:trHeight w:val="736"/>
        </w:trPr>
        <w:tc>
          <w:tcPr>
            <w:tcW w:w="4555" w:type="pct"/>
          </w:tcPr>
          <w:p w14:paraId="650F1D9F" w14:textId="77777777" w:rsidR="00062B7A" w:rsidRDefault="00062B7A" w:rsidP="00062B7A">
            <w:pPr>
              <w:spacing w:line="480" w:lineRule="auto"/>
              <w:jc w:val="both"/>
              <w:rPr>
                <w:rFonts w:ascii="Arial" w:eastAsia="SimSun" w:hAnsi="Arial" w:cs="Arial"/>
                <w:sz w:val="20"/>
                <w:szCs w:val="20"/>
                <w:lang w:val="en-SG"/>
              </w:rPr>
            </w:pPr>
          </w:p>
        </w:tc>
        <w:tc>
          <w:tcPr>
            <w:tcW w:w="445" w:type="pct"/>
          </w:tcPr>
          <w:p w14:paraId="0FF03EFF" w14:textId="77777777" w:rsidR="00062B7A" w:rsidRPr="00C016DD" w:rsidRDefault="00062B7A" w:rsidP="00062B7A">
            <w:pPr>
              <w:spacing w:line="480" w:lineRule="auto"/>
              <w:jc w:val="center"/>
              <w:rPr>
                <w:rFonts w:ascii="Arial" w:hAnsi="Arial" w:cs="Arial"/>
                <w:sz w:val="20"/>
                <w:szCs w:val="20"/>
              </w:rPr>
            </w:pPr>
          </w:p>
        </w:tc>
      </w:tr>
      <w:tr w:rsidR="00947540" w:rsidRPr="00C016DD" w14:paraId="50A1BA4F" w14:textId="77777777" w:rsidTr="00086833">
        <w:trPr>
          <w:trHeight w:val="227"/>
        </w:trPr>
        <w:tc>
          <w:tcPr>
            <w:tcW w:w="4555" w:type="pct"/>
          </w:tcPr>
          <w:p w14:paraId="764D5251" w14:textId="3413B83A" w:rsidR="00947540" w:rsidRPr="00C016DD" w:rsidRDefault="00F44190" w:rsidP="00062B7A">
            <w:pPr>
              <w:spacing w:line="480" w:lineRule="auto"/>
              <w:jc w:val="both"/>
              <w:rPr>
                <w:rFonts w:ascii="Arial" w:hAnsi="Arial" w:cs="Arial"/>
                <w:sz w:val="20"/>
                <w:szCs w:val="20"/>
              </w:rPr>
            </w:pPr>
            <m:oMathPara>
              <m:oMath>
                <m:r>
                  <w:rPr>
                    <w:rFonts w:ascii="Cambria Math" w:hAnsi="Cambria Math" w:cs="Arial"/>
                    <w:sz w:val="20"/>
                    <w:szCs w:val="20"/>
                    <w:lang w:val="en-SG"/>
                  </w:rPr>
                  <m:t>v</m:t>
                </m:r>
                <m:r>
                  <w:rPr>
                    <w:rFonts w:ascii="Cambria Math" w:hAnsi="Cambria Math" w:cs="Arial"/>
                    <w:sz w:val="20"/>
                    <w:szCs w:val="20"/>
                  </w:rPr>
                  <m:t>=</m:t>
                </m:r>
                <m:f>
                  <m:fPr>
                    <m:ctrlPr>
                      <w:rPr>
                        <w:rFonts w:ascii="Cambria Math" w:hAnsi="Cambria Math" w:cs="Arial"/>
                        <w:i/>
                        <w:sz w:val="20"/>
                        <w:szCs w:val="20"/>
                      </w:rPr>
                    </m:ctrlPr>
                  </m:fPr>
                  <m:num>
                    <m:sSub>
                      <m:sSubPr>
                        <m:ctrlPr>
                          <w:rPr>
                            <w:rFonts w:ascii="Cambria Math" w:hAnsi="Cambria Math" w:cs="Arial"/>
                            <w:i/>
                            <w:sz w:val="20"/>
                            <w:szCs w:val="20"/>
                          </w:rPr>
                        </m:ctrlPr>
                      </m:sSubPr>
                      <m:e>
                        <m:r>
                          <w:rPr>
                            <w:rFonts w:ascii="Cambria Math" w:hAnsi="Cambria Math" w:cs="Arial"/>
                            <w:sz w:val="20"/>
                            <w:szCs w:val="20"/>
                          </w:rPr>
                          <m:t>J</m:t>
                        </m:r>
                      </m:e>
                      <m:sub>
                        <m:r>
                          <w:rPr>
                            <w:rFonts w:ascii="Cambria Math" w:hAnsi="Cambria Math" w:cs="Arial"/>
                            <w:sz w:val="20"/>
                            <w:szCs w:val="20"/>
                          </w:rPr>
                          <m:t>max</m:t>
                        </m:r>
                      </m:sub>
                    </m:sSub>
                    <m:d>
                      <m:dPr>
                        <m:begChr m:val="["/>
                        <m:endChr m:val="]"/>
                        <m:ctrlPr>
                          <w:rPr>
                            <w:rFonts w:ascii="Cambria Math" w:hAnsi="Cambria Math" w:cs="Arial"/>
                            <w:i/>
                            <w:sz w:val="20"/>
                            <w:szCs w:val="20"/>
                          </w:rPr>
                        </m:ctrlPr>
                      </m:dPr>
                      <m:e>
                        <m:r>
                          <w:rPr>
                            <w:rFonts w:ascii="Cambria Math" w:hAnsi="Cambria Math" w:cs="Arial"/>
                            <w:sz w:val="20"/>
                            <w:szCs w:val="20"/>
                          </w:rPr>
                          <m:t>S</m:t>
                        </m:r>
                      </m:e>
                    </m:d>
                    <m:r>
                      <w:rPr>
                        <w:rFonts w:ascii="Cambria Math" w:hAnsi="Cambria Math" w:cs="Arial"/>
                        <w:sz w:val="20"/>
                        <w:szCs w:val="20"/>
                      </w:rPr>
                      <m:t>/(1+</m:t>
                    </m:r>
                    <m:f>
                      <m:fPr>
                        <m:ctrlPr>
                          <w:rPr>
                            <w:rFonts w:ascii="Cambria Math" w:hAnsi="Cambria Math" w:cs="Arial"/>
                            <w:i/>
                            <w:sz w:val="20"/>
                            <w:szCs w:val="20"/>
                          </w:rPr>
                        </m:ctrlPr>
                      </m:fPr>
                      <m:num>
                        <m:d>
                          <m:dPr>
                            <m:begChr m:val="["/>
                            <m:endChr m:val="]"/>
                            <m:ctrlPr>
                              <w:rPr>
                                <w:rFonts w:ascii="Cambria Math" w:hAnsi="Cambria Math" w:cs="Arial"/>
                                <w:i/>
                                <w:sz w:val="20"/>
                                <w:szCs w:val="20"/>
                              </w:rPr>
                            </m:ctrlPr>
                          </m:dPr>
                          <m:e>
                            <m:r>
                              <w:rPr>
                                <w:rFonts w:ascii="Cambria Math" w:hAnsi="Cambria Math" w:cs="Arial"/>
                                <w:sz w:val="20"/>
                                <w:szCs w:val="20"/>
                              </w:rPr>
                              <m:t>I</m:t>
                            </m:r>
                          </m:e>
                        </m:d>
                      </m:num>
                      <m:den>
                        <m:sSub>
                          <m:sSubPr>
                            <m:ctrlPr>
                              <w:rPr>
                                <w:rFonts w:ascii="Cambria Math" w:hAnsi="Cambria Math" w:cs="Arial"/>
                                <w:i/>
                                <w:sz w:val="20"/>
                                <w:szCs w:val="20"/>
                              </w:rPr>
                            </m:ctrlPr>
                          </m:sSubPr>
                          <m:e>
                            <m:r>
                              <w:rPr>
                                <w:rFonts w:ascii="Cambria Math" w:hAnsi="Cambria Math" w:cs="Arial"/>
                                <w:sz w:val="20"/>
                                <w:szCs w:val="20"/>
                              </w:rPr>
                              <m:t>K</m:t>
                            </m:r>
                          </m:e>
                          <m:sub>
                            <m:r>
                              <w:rPr>
                                <w:rFonts w:ascii="Cambria Math" w:hAnsi="Cambria Math" w:cs="Arial"/>
                                <w:sz w:val="20"/>
                                <w:szCs w:val="20"/>
                              </w:rPr>
                              <m:t>i</m:t>
                            </m:r>
                          </m:sub>
                        </m:sSub>
                      </m:den>
                    </m:f>
                    <m:r>
                      <w:rPr>
                        <w:rFonts w:ascii="Cambria Math" w:hAnsi="Cambria Math" w:cs="Arial"/>
                        <w:sz w:val="20"/>
                        <w:szCs w:val="20"/>
                      </w:rPr>
                      <m:t>)</m:t>
                    </m:r>
                  </m:num>
                  <m:den>
                    <m:sSub>
                      <m:sSubPr>
                        <m:ctrlPr>
                          <w:rPr>
                            <w:rFonts w:ascii="Cambria Math" w:hAnsi="Cambria Math" w:cs="Arial"/>
                            <w:i/>
                            <w:sz w:val="20"/>
                            <w:szCs w:val="20"/>
                          </w:rPr>
                        </m:ctrlPr>
                      </m:sSubPr>
                      <m:e>
                        <m:r>
                          <w:rPr>
                            <w:rFonts w:ascii="Cambria Math" w:hAnsi="Cambria Math" w:cs="Arial"/>
                            <w:sz w:val="20"/>
                            <w:szCs w:val="20"/>
                          </w:rPr>
                          <m:t>K</m:t>
                        </m:r>
                      </m:e>
                      <m:sub>
                        <m:r>
                          <w:rPr>
                            <w:rFonts w:ascii="Cambria Math" w:hAnsi="Cambria Math" w:cs="Arial"/>
                            <w:sz w:val="20"/>
                            <w:szCs w:val="20"/>
                          </w:rPr>
                          <m:t>m</m:t>
                        </m:r>
                      </m:sub>
                    </m:sSub>
                    <m:r>
                      <w:rPr>
                        <w:rFonts w:ascii="Cambria Math" w:hAnsi="Cambria Math" w:cs="Arial"/>
                        <w:sz w:val="20"/>
                        <w:szCs w:val="20"/>
                      </w:rPr>
                      <m:t>+[S]</m:t>
                    </m:r>
                  </m:den>
                </m:f>
              </m:oMath>
            </m:oMathPara>
          </w:p>
        </w:tc>
        <w:tc>
          <w:tcPr>
            <w:tcW w:w="445" w:type="pct"/>
            <w:vAlign w:val="center"/>
          </w:tcPr>
          <w:p w14:paraId="0F5BD25C" w14:textId="649FBD24" w:rsidR="00947540" w:rsidRPr="00C016DD" w:rsidRDefault="00947540" w:rsidP="00062B7A">
            <w:pPr>
              <w:spacing w:line="480" w:lineRule="auto"/>
              <w:jc w:val="center"/>
              <w:rPr>
                <w:rFonts w:ascii="Arial" w:hAnsi="Arial" w:cs="Arial"/>
                <w:color w:val="000000" w:themeColor="text1"/>
                <w:sz w:val="20"/>
                <w:szCs w:val="20"/>
              </w:rPr>
            </w:pPr>
            <w:r w:rsidRPr="00C016DD">
              <w:rPr>
                <w:rFonts w:ascii="Arial" w:hAnsi="Arial" w:cs="Arial"/>
                <w:color w:val="000000" w:themeColor="text1"/>
                <w:sz w:val="20"/>
                <w:szCs w:val="20"/>
              </w:rPr>
              <w:t>(</w:t>
            </w:r>
            <w:r w:rsidR="00086833">
              <w:rPr>
                <w:rFonts w:ascii="Arial" w:hAnsi="Arial" w:cs="Arial"/>
                <w:b/>
                <w:bCs/>
                <w:color w:val="000000" w:themeColor="text1"/>
                <w:sz w:val="20"/>
                <w:szCs w:val="20"/>
              </w:rPr>
              <w:t>3b</w:t>
            </w:r>
            <w:r w:rsidRPr="00C016DD">
              <w:rPr>
                <w:rFonts w:ascii="Arial" w:hAnsi="Arial" w:cs="Arial"/>
                <w:color w:val="000000" w:themeColor="text1"/>
                <w:sz w:val="20"/>
                <w:szCs w:val="20"/>
              </w:rPr>
              <w:t>)</w:t>
            </w:r>
          </w:p>
        </w:tc>
      </w:tr>
    </w:tbl>
    <w:p w14:paraId="02F94C93" w14:textId="77777777" w:rsidR="00062B7A" w:rsidRDefault="00062B7A" w:rsidP="00062B7A">
      <w:pPr>
        <w:spacing w:after="0" w:line="480" w:lineRule="auto"/>
        <w:jc w:val="both"/>
        <w:rPr>
          <w:rFonts w:ascii="Arial" w:hAnsi="Arial" w:cs="Arial"/>
          <w:b/>
          <w:sz w:val="20"/>
          <w:szCs w:val="20"/>
        </w:rPr>
      </w:pPr>
      <w:bookmarkStart w:id="7" w:name="_Toc48787260"/>
    </w:p>
    <w:p w14:paraId="13C98838" w14:textId="40EDEF12" w:rsidR="006838FE" w:rsidRDefault="00DC1BE7" w:rsidP="00062B7A">
      <w:pPr>
        <w:spacing w:after="0" w:line="480" w:lineRule="auto"/>
        <w:jc w:val="both"/>
        <w:rPr>
          <w:rFonts w:ascii="Arial" w:hAnsi="Arial" w:cs="Arial"/>
          <w:b/>
          <w:sz w:val="20"/>
          <w:szCs w:val="20"/>
        </w:rPr>
      </w:pPr>
      <w:r w:rsidRPr="00C016DD">
        <w:rPr>
          <w:rFonts w:ascii="Arial" w:hAnsi="Arial" w:cs="Arial"/>
          <w:b/>
          <w:sz w:val="20"/>
          <w:szCs w:val="20"/>
        </w:rPr>
        <w:lastRenderedPageBreak/>
        <w:t xml:space="preserve">Application of PBPK Modelling for </w:t>
      </w:r>
      <w:r w:rsidR="00855BC0">
        <w:rPr>
          <w:rFonts w:ascii="Arial" w:hAnsi="Arial" w:cs="Arial"/>
          <w:b/>
          <w:sz w:val="20"/>
          <w:szCs w:val="20"/>
        </w:rPr>
        <w:t xml:space="preserve">DDI or </w:t>
      </w:r>
      <w:r w:rsidRPr="00C016DD">
        <w:rPr>
          <w:rFonts w:ascii="Arial" w:hAnsi="Arial" w:cs="Arial"/>
          <w:b/>
          <w:sz w:val="20"/>
          <w:szCs w:val="20"/>
        </w:rPr>
        <w:t>DDDI Simulations with</w:t>
      </w:r>
      <w:r w:rsidR="00830883">
        <w:rPr>
          <w:rFonts w:ascii="Arial" w:hAnsi="Arial" w:cs="Arial"/>
          <w:b/>
          <w:sz w:val="20"/>
          <w:szCs w:val="20"/>
        </w:rPr>
        <w:t xml:space="preserve"> Ketoconazole,</w:t>
      </w:r>
      <w:r w:rsidRPr="00C016DD">
        <w:rPr>
          <w:rFonts w:ascii="Arial" w:hAnsi="Arial" w:cs="Arial"/>
          <w:b/>
          <w:sz w:val="20"/>
          <w:szCs w:val="20"/>
        </w:rPr>
        <w:t xml:space="preserve"> Erlotinib and Nilotinib</w:t>
      </w:r>
      <w:bookmarkEnd w:id="7"/>
      <w:r w:rsidR="003B345F" w:rsidRPr="00C016DD">
        <w:rPr>
          <w:rFonts w:ascii="Arial" w:hAnsi="Arial" w:cs="Arial"/>
          <w:b/>
          <w:sz w:val="20"/>
          <w:szCs w:val="20"/>
        </w:rPr>
        <w:t xml:space="preserve">. </w:t>
      </w:r>
    </w:p>
    <w:p w14:paraId="351B6636" w14:textId="402CBEBC" w:rsidR="008B2390" w:rsidRPr="008B2390" w:rsidRDefault="00D85818" w:rsidP="00062B7A">
      <w:pPr>
        <w:spacing w:after="0" w:line="480" w:lineRule="auto"/>
        <w:jc w:val="both"/>
        <w:rPr>
          <w:rFonts w:ascii="Arial" w:hAnsi="Arial" w:cs="Arial"/>
          <w:b/>
          <w:sz w:val="20"/>
          <w:szCs w:val="20"/>
        </w:rPr>
      </w:pPr>
      <w:r w:rsidRPr="00D85818">
        <w:rPr>
          <w:rFonts w:ascii="Arial" w:hAnsi="Arial" w:cs="Arial"/>
          <w:bCs/>
          <w:i/>
          <w:iCs/>
          <w:sz w:val="20"/>
          <w:szCs w:val="20"/>
        </w:rPr>
        <w:t xml:space="preserve">PBPK </w:t>
      </w:r>
      <w:r w:rsidR="00855BC0">
        <w:rPr>
          <w:rFonts w:ascii="Arial" w:hAnsi="Arial" w:cs="Arial"/>
          <w:bCs/>
          <w:i/>
          <w:iCs/>
          <w:sz w:val="20"/>
          <w:szCs w:val="20"/>
        </w:rPr>
        <w:t>m</w:t>
      </w:r>
      <w:r w:rsidRPr="00D85818">
        <w:rPr>
          <w:rFonts w:ascii="Arial" w:hAnsi="Arial" w:cs="Arial"/>
          <w:bCs/>
          <w:i/>
          <w:iCs/>
          <w:sz w:val="20"/>
          <w:szCs w:val="20"/>
        </w:rPr>
        <w:t>odel</w:t>
      </w:r>
      <w:r w:rsidR="00855BC0">
        <w:rPr>
          <w:rFonts w:ascii="Arial" w:hAnsi="Arial" w:cs="Arial"/>
          <w:bCs/>
          <w:i/>
          <w:iCs/>
          <w:sz w:val="20"/>
          <w:szCs w:val="20"/>
        </w:rPr>
        <w:t>s</w:t>
      </w:r>
      <w:r w:rsidRPr="00D85818">
        <w:rPr>
          <w:rFonts w:ascii="Arial" w:hAnsi="Arial" w:cs="Arial"/>
          <w:bCs/>
          <w:i/>
          <w:iCs/>
          <w:sz w:val="20"/>
          <w:szCs w:val="20"/>
        </w:rPr>
        <w:t xml:space="preserve"> of Inhibitors.</w:t>
      </w:r>
      <w:r>
        <w:rPr>
          <w:rFonts w:ascii="Arial" w:hAnsi="Arial" w:cs="Arial"/>
          <w:b/>
          <w:sz w:val="20"/>
          <w:szCs w:val="20"/>
        </w:rPr>
        <w:t xml:space="preserve"> </w:t>
      </w:r>
      <w:r w:rsidR="002C0148" w:rsidRPr="002C0148">
        <w:rPr>
          <w:rFonts w:ascii="Arial" w:hAnsi="Arial" w:cs="Arial"/>
          <w:bCs/>
          <w:sz w:val="20"/>
          <w:szCs w:val="20"/>
        </w:rPr>
        <w:t>In the construction of PBPK-DDI models for retrospective DDI simulations, the verified compound file of ketoconazole provided in Simcyp</w:t>
      </w:r>
      <w:r w:rsidR="002C0148" w:rsidRPr="00350667">
        <w:rPr>
          <w:rFonts w:ascii="Arial" w:hAnsi="Arial" w:cs="Arial"/>
          <w:bCs/>
          <w:sz w:val="20"/>
          <w:szCs w:val="20"/>
          <w:vertAlign w:val="superscript"/>
        </w:rPr>
        <w:t>®</w:t>
      </w:r>
      <w:r w:rsidR="002C0148" w:rsidRPr="002C0148">
        <w:rPr>
          <w:rFonts w:ascii="Arial" w:hAnsi="Arial" w:cs="Arial"/>
          <w:bCs/>
          <w:sz w:val="20"/>
          <w:szCs w:val="20"/>
        </w:rPr>
        <w:t xml:space="preserve"> (version 1</w:t>
      </w:r>
      <w:r w:rsidR="00D83DB8">
        <w:rPr>
          <w:rFonts w:ascii="Arial" w:hAnsi="Arial" w:cs="Arial"/>
          <w:bCs/>
          <w:sz w:val="20"/>
          <w:szCs w:val="20"/>
        </w:rPr>
        <w:t>8</w:t>
      </w:r>
      <w:r w:rsidR="002C0148" w:rsidRPr="002C0148">
        <w:rPr>
          <w:rFonts w:ascii="Arial" w:hAnsi="Arial" w:cs="Arial"/>
          <w:bCs/>
          <w:sz w:val="20"/>
          <w:szCs w:val="20"/>
        </w:rPr>
        <w:t>) was used</w:t>
      </w:r>
      <w:r w:rsidR="002C0148">
        <w:rPr>
          <w:rFonts w:ascii="Arial" w:hAnsi="Arial" w:cs="Arial"/>
          <w:bCs/>
          <w:sz w:val="20"/>
          <w:szCs w:val="20"/>
        </w:rPr>
        <w:t>.</w:t>
      </w:r>
      <w:r w:rsidR="002C0148" w:rsidRPr="002C0148">
        <w:rPr>
          <w:rFonts w:ascii="Arial" w:hAnsi="Arial" w:cs="Arial"/>
          <w:bCs/>
          <w:sz w:val="20"/>
          <w:szCs w:val="20"/>
        </w:rPr>
        <w:t xml:space="preserve"> </w:t>
      </w:r>
      <w:r w:rsidR="008B2390" w:rsidRPr="008B2390">
        <w:rPr>
          <w:rFonts w:ascii="Arial" w:hAnsi="Arial" w:cs="Arial"/>
          <w:bCs/>
          <w:sz w:val="20"/>
          <w:szCs w:val="20"/>
        </w:rPr>
        <w:t>For subsequent prospective DDI simulations, although compound files of erlotinib and nilotinib were not available in the Simcyp simulator, PBPK models of erlotinib</w:t>
      </w:r>
      <w:r w:rsidR="004948F9">
        <w:rPr>
          <w:rFonts w:ascii="Arial" w:hAnsi="Arial" w:cs="Arial"/>
          <w:bCs/>
          <w:sz w:val="20"/>
          <w:szCs w:val="20"/>
        </w:rPr>
        <w:fldChar w:fldCharType="begin" w:fldLock="1"/>
      </w:r>
      <w:r w:rsidR="004948F9">
        <w:rPr>
          <w:rFonts w:ascii="Arial" w:hAnsi="Arial" w:cs="Arial"/>
          <w:bCs/>
          <w:sz w:val="20"/>
          <w:szCs w:val="20"/>
        </w:rPr>
        <w:instrText>ADDIN CSL_CITATION {"citationItems":[{"id":"ITEM-1","itemData":{"DOI":"10.1007/s00280-018-3545-4","ISBN":"0123456789","ISSN":"14320843","abstract":"Purpose: In this study, a therapeutic drug monitoring (TDM) of erlotinib in pancreatic cancer patients was performed over 50 weeks to reveal possible alterations in erlotinib plasma concentrations. Additionally, a physiologically based pharmacokinetic (PBPK) model was created to assess such variations in silico. Methods: Patients with advanced pancreatic cancer received a chemotherapeutic combination of 100 mg erlotinib q.d., 500–900 mg capecitabine b.d. and 5 mg/kg bevacizumab q.2wks. Samples were analyzed by HPLC and the results were compared to a PBPK model, built with the software GastroPlus™ and based on calculated and literature data. Results: The erlotinib plasma concentrations did not show any accumulation, but displayed a high inter-patient variability over the whole investigated period. Trough plasma concentrations ranged from 0.04 to 1.22 µg/ml after day 1 and from 0.01 to 2.4 µg/ml in the long-term assessment. 7% of the patients showed concentrations below the necessary activity threshold of 0.5 µg/ml during the first week. The impact of some co-variates on the pharmacokinetic parameters C max and AUC 0–24 were shown in a PBPK model, including food effects, changes in body weight, protein binding or liver function and the concomitant intake of gastric acid reducing agents (ARAs). Conclusion: This study presents the approach of combining TDM and PBPK modeling for erlotinib, a drug with a high interaction potential. TDM is an important method to monitor drugs with increased inter-patient variability, additionally, the PBPK model contributed valuable insights to the interaction mechanisms involved, resulting in an effective combination from a PK perspective to ensure a safe treatment.","author":[{"dropping-particle":"","family":"Gruber","given":"Andrea","non-dropping-particle":"","parse-names":false,"suffix":""},{"dropping-particle":"","family":"Czejka","given":"Martin","non-dropping-particle":"","parse-names":false,"suffix":""},{"dropping-particle":"","family":"Buchner","given":"Philipp","non-dropping-particle":"","parse-names":false,"suffix":""},{"dropping-particle":"","family":"Kitzmueller","given":"Marie","non-dropping-particle":"","parse-names":false,"suffix":""},{"dropping-particle":"","family":"Kirchbaumer Baroian","given":"Nairi","non-dropping-particle":"","parse-names":false,"suffix":""},{"dropping-particle":"","family":"Dittrich","given":"Christian","non-dropping-particle":"","parse-names":false,"suffix":""},{"dropping-particle":"","family":"Sahmanovic Hrgovcic","given":"Azra","non-dropping-particle":"","parse-names":false,"suffix":""}],"container-title":"Cancer Chemotherapy and Pharmacology","id":"ITEM-1","issue":"4","issued":{"date-parts":[["2018"]]},"page":"763-771","publisher":"Springer Berlin Heidelberg","title":"Monitoring of erlotinib in pancreatic cancer patients during long-time administration and comparison to a physiologically based pharmacokinetic model","type":"article-journal","volume":"81"},"uris":["http://www.mendeley.com/documents/?uuid=4814ee4f-9443-4aae-82d6-929a8bfe8e3d"]},{"id":"ITEM-2","itemData":{"DOI":"10.1002/cpt.917","ISSN":"15326535","abstract":"Certain oncology compounds exhibit fundamental pharmacokinetic (PK) disparities between healthy and malignant conditions. Given the effects of tumor-associated inflammation on enzyme and transporter expression, we performed a meta-analysis of CYP- and transporter-sensitive substrate clinical PK to quantitatively compare enzyme and transporter abundances between healthy volunteers (HV) and cancer patients (CP). Hepatic and intestinal CYP1A2, CYP2C19, and CYP3A4 abundance were subsequently adjusted via Simcyp's sensitivity analysis tool. Of the 11 substrates we investigated, seven displayed marked exposure differences &gt;1.25-fold between CP and HV. Although CP studies are limited, meta-analysis-based reduction in CYP1A2, CYP2C19, and CYP3A4 enzyme abundances in a virtual oncology population effectively captures CP-PK for caffeine, theophylline, midazolam, simvastatin, omeprazole, and a subset of oncology compounds. These changes allow extrapolation from HV to CP, enhancing predictive capability; therefore, conducting simulations in this CYP-modified oncology (MOD-CP) population provides a more relevant characterization of CP-PK.","author":[{"dropping-particle":"","family":"Schwenger","given":"Emily","non-dropping-particle":"","parse-names":false,"suffix":""},{"dropping-particle":"","family":"Reddy","given":"Venkatesh Pilla","non-dropping-particle":"","parse-names":false,"suffix":""},{"dropping-particle":"","family":"Moorthy","given":"Ganesh","non-dropping-particle":"","parse-names":false,"suffix":""},{"dropping-particle":"","family":"Sharma","given":"Pradeep","non-dropping-particle":"","parse-names":false,"suffix":""},{"dropping-particle":"","family":"Tomkinson","given":"Helen","non-dropping-particle":"","parse-names":false,"suffix":""},{"dropping-particle":"","family":"Masson","given":"Eric","non-dropping-particle":"","parse-names":false,"suffix":""},{"dropping-particle":"","family":"Vishwanathan","given":"Karthick","non-dropping-particle":"","parse-names":false,"suffix":""}],"container-title":"Clinical Pharmacology and Therapeutics","id":"ITEM-2","issue":"2","issued":{"date-parts":[["2018"]]},"page":"271-280","title":"Harnessing Meta-analysis to Refine an Oncology Patient Population for Physiology-Based Pharmacokinetic Modeling of Drugs","type":"article-journal","volume":"103"},"uris":["http://www.mendeley.com/documents/?uuid=7c5b0705-33f4-46b1-81e2-3d64ec26d7c9"]}],"mendeley":{"formattedCitation":"&lt;sup&gt;32,33&lt;/sup&gt;","plainTextFormattedCitation":"32,33","previouslyFormattedCitation":"&lt;sup&gt;32,33&lt;/sup&gt;"},"properties":{"noteIndex":0},"schema":"https://github.com/citation-style-language/schema/raw/master/csl-citation.json"}</w:instrText>
      </w:r>
      <w:r w:rsidR="004948F9">
        <w:rPr>
          <w:rFonts w:ascii="Arial" w:hAnsi="Arial" w:cs="Arial"/>
          <w:bCs/>
          <w:sz w:val="20"/>
          <w:szCs w:val="20"/>
        </w:rPr>
        <w:fldChar w:fldCharType="separate"/>
      </w:r>
      <w:r w:rsidR="004948F9" w:rsidRPr="004948F9">
        <w:rPr>
          <w:rFonts w:ascii="Arial" w:hAnsi="Arial" w:cs="Arial"/>
          <w:bCs/>
          <w:noProof/>
          <w:sz w:val="20"/>
          <w:szCs w:val="20"/>
          <w:vertAlign w:val="superscript"/>
        </w:rPr>
        <w:t>32,33</w:t>
      </w:r>
      <w:r w:rsidR="004948F9">
        <w:rPr>
          <w:rFonts w:ascii="Arial" w:hAnsi="Arial" w:cs="Arial"/>
          <w:bCs/>
          <w:sz w:val="20"/>
          <w:szCs w:val="20"/>
        </w:rPr>
        <w:fldChar w:fldCharType="end"/>
      </w:r>
      <w:r w:rsidR="008B2390" w:rsidRPr="008B2390">
        <w:rPr>
          <w:rFonts w:ascii="Arial" w:hAnsi="Arial" w:cs="Arial"/>
          <w:bCs/>
          <w:sz w:val="20"/>
          <w:szCs w:val="20"/>
        </w:rPr>
        <w:t xml:space="preserve"> and nilotinib</w:t>
      </w:r>
      <w:r w:rsidR="004948F9">
        <w:rPr>
          <w:rFonts w:ascii="Arial" w:hAnsi="Arial" w:cs="Arial"/>
          <w:bCs/>
          <w:sz w:val="20"/>
          <w:szCs w:val="20"/>
        </w:rPr>
        <w:fldChar w:fldCharType="begin" w:fldLock="1"/>
      </w:r>
      <w:r w:rsidR="006C6945">
        <w:rPr>
          <w:rFonts w:ascii="Arial" w:hAnsi="Arial" w:cs="Arial"/>
          <w:bCs/>
          <w:sz w:val="20"/>
          <w:szCs w:val="20"/>
        </w:rPr>
        <w:instrText>ADDIN CSL_CITATION {"citationItems":[{"id":"ITEM-1","itemData":{"DOI":"10.1016/j.xphs.2019.01.028","ISSN":"15206017","abstract":"In adult patients, nilotinib is indicated for chronic myeloid leukemia at an approved oral dose of 300 or 400 mg BID. Physiologically based pharmacokinetic (PBPK)model was developed to describe and supplement limited PK data in the pediatric population ranging from 2 to less than 6 years of age and ultimately inform dosing regimen. An adult Simcyp PBPK model was established and verified with clinical pharmacokinetic data after a single or multiple oral doses of 400 mg nilotinib (230 mg/m2). The model was then applied to a pediatric PBPK model, taking account of ontogeny profiles of metabolizing enzymes and pediatric physiological parameters. The model was further verified using observed pediatric PK data in 12- to &lt;18-year-old and from 6- to &lt;12-year-old patients. The PBPK models were able to recover, describe, and supplement the limited nilotinib concentration-time data profile in 2- to &lt;6-year-old patients after a single dose and Cmin,ss after BID dosing. The exposure (Cmax,ss, Cmin,ss, and AUCtau,ss)was predicted to be similar across age groups. PBPK model simulations confirmed that body surface area–normalized dosing regimen of 230 mg/m2 is considered appropriate for pediatric patients &gt;2 to &lt;18 years of age.","author":[{"dropping-particle":"","family":"Heimbach","given":"Tycho","non-dropping-particle":"","parse-names":false,"suffix":""},{"dropping-particle":"","family":"Lin","given":"Wen","non-dropping-particle":"","parse-names":false,"suffix":""},{"dropping-particle":"","family":"Hourcade-Potelleret","given":"Florence","non-dropping-particle":"","parse-names":false,"suffix":""},{"dropping-particle":"","family":"Tian","given":"Xianbin","non-dropping-particle":"","parse-names":false,"suffix":""},{"dropping-particle":"","family":"Combes","given":"Francois Pierre","non-dropping-particle":"","parse-names":false,"suffix":""},{"dropping-particle":"","family":"Horvath","given":"Nicholas","non-dropping-particle":"","parse-names":false,"suffix":""},{"dropping-particle":"","family":"He","given":"Handan","non-dropping-particle":"","parse-names":false,"suffix":""}],"container-title":"Journal of Pharmaceutical Sciences","id":"ITEM-1","issue":"6","issued":{"date-parts":[["2019"]]},"page":"2191-2198","publisher":"Elsevier Ltd","title":"Physiologically Based Pharmacokinetic Modeling to Supplement Nilotinib Pharmacokinetics and Confirm Dose Selection in Pediatric Patients","type":"article-journal","volume":"108"},"uris":["http://www.mendeley.com/documents/?uuid=c5d3e071-e737-4285-8da6-738e5479b129"]}],"mendeley":{"formattedCitation":"&lt;sup&gt;34&lt;/sup&gt;","plainTextFormattedCitation":"34","previouslyFormattedCitation":"&lt;sup&gt;34&lt;/sup&gt;"},"properties":{"noteIndex":0},"schema":"https://github.com/citation-style-language/schema/raw/master/csl-citation.json"}</w:instrText>
      </w:r>
      <w:r w:rsidR="004948F9">
        <w:rPr>
          <w:rFonts w:ascii="Arial" w:hAnsi="Arial" w:cs="Arial"/>
          <w:bCs/>
          <w:sz w:val="20"/>
          <w:szCs w:val="20"/>
        </w:rPr>
        <w:fldChar w:fldCharType="separate"/>
      </w:r>
      <w:r w:rsidR="004948F9" w:rsidRPr="004948F9">
        <w:rPr>
          <w:rFonts w:ascii="Arial" w:hAnsi="Arial" w:cs="Arial"/>
          <w:bCs/>
          <w:noProof/>
          <w:sz w:val="20"/>
          <w:szCs w:val="20"/>
          <w:vertAlign w:val="superscript"/>
        </w:rPr>
        <w:t>34</w:t>
      </w:r>
      <w:r w:rsidR="004948F9">
        <w:rPr>
          <w:rFonts w:ascii="Arial" w:hAnsi="Arial" w:cs="Arial"/>
          <w:bCs/>
          <w:sz w:val="20"/>
          <w:szCs w:val="20"/>
        </w:rPr>
        <w:fldChar w:fldCharType="end"/>
      </w:r>
      <w:r w:rsidR="008B2390" w:rsidRPr="008B2390">
        <w:rPr>
          <w:rFonts w:ascii="Arial" w:hAnsi="Arial" w:cs="Arial"/>
          <w:bCs/>
          <w:sz w:val="20"/>
          <w:szCs w:val="20"/>
        </w:rPr>
        <w:t xml:space="preserve"> have previously been established and verified. </w:t>
      </w:r>
      <w:r w:rsidR="00686972" w:rsidRPr="00686972">
        <w:rPr>
          <w:rFonts w:ascii="Arial" w:hAnsi="Arial" w:cs="Arial"/>
          <w:bCs/>
          <w:sz w:val="20"/>
          <w:szCs w:val="20"/>
        </w:rPr>
        <w:t xml:space="preserve">Final model parameters for </w:t>
      </w:r>
      <w:r w:rsidR="00686972">
        <w:rPr>
          <w:rFonts w:ascii="Arial" w:hAnsi="Arial" w:cs="Arial"/>
          <w:bCs/>
          <w:sz w:val="20"/>
          <w:szCs w:val="20"/>
        </w:rPr>
        <w:t>erlotinib and nilotinib</w:t>
      </w:r>
      <w:r w:rsidR="00686972" w:rsidRPr="00686972">
        <w:rPr>
          <w:rFonts w:ascii="Arial" w:hAnsi="Arial" w:cs="Arial"/>
          <w:bCs/>
          <w:sz w:val="20"/>
          <w:szCs w:val="20"/>
        </w:rPr>
        <w:t xml:space="preserve"> are summarized in</w:t>
      </w:r>
      <w:r w:rsidR="00686972">
        <w:rPr>
          <w:rFonts w:ascii="Arial" w:hAnsi="Arial" w:cs="Arial"/>
          <w:bCs/>
          <w:sz w:val="20"/>
          <w:szCs w:val="20"/>
        </w:rPr>
        <w:t xml:space="preserve"> </w:t>
      </w:r>
      <w:r w:rsidR="00686972" w:rsidRPr="00686972">
        <w:rPr>
          <w:rFonts w:ascii="Arial" w:hAnsi="Arial" w:cs="Arial"/>
          <w:b/>
          <w:sz w:val="20"/>
          <w:szCs w:val="20"/>
        </w:rPr>
        <w:t>Table S1</w:t>
      </w:r>
      <w:r w:rsidR="006B33BD">
        <w:rPr>
          <w:rFonts w:ascii="Arial" w:hAnsi="Arial" w:cs="Arial"/>
          <w:bCs/>
          <w:sz w:val="20"/>
          <w:szCs w:val="20"/>
        </w:rPr>
        <w:t xml:space="preserve">, with specific modifications </w:t>
      </w:r>
      <w:r w:rsidR="000E78CF">
        <w:rPr>
          <w:rFonts w:ascii="Arial" w:hAnsi="Arial" w:cs="Arial"/>
          <w:bCs/>
          <w:sz w:val="20"/>
          <w:szCs w:val="20"/>
        </w:rPr>
        <w:t xml:space="preserve">being </w:t>
      </w:r>
      <w:r w:rsidR="006B33BD">
        <w:rPr>
          <w:rFonts w:ascii="Arial" w:hAnsi="Arial" w:cs="Arial"/>
          <w:bCs/>
          <w:sz w:val="20"/>
          <w:szCs w:val="20"/>
        </w:rPr>
        <w:t>highlighted in</w:t>
      </w:r>
      <w:r w:rsidR="00C24A8C">
        <w:rPr>
          <w:rFonts w:ascii="Arial" w:hAnsi="Arial" w:cs="Arial"/>
          <w:bCs/>
          <w:sz w:val="20"/>
          <w:szCs w:val="20"/>
        </w:rPr>
        <w:t xml:space="preserve"> the </w:t>
      </w:r>
      <w:r w:rsidR="00C24A8C" w:rsidRPr="00062B7A">
        <w:rPr>
          <w:rFonts w:ascii="Arial" w:hAnsi="Arial" w:cs="Arial"/>
          <w:b/>
          <w:sz w:val="20"/>
          <w:szCs w:val="20"/>
        </w:rPr>
        <w:t>Supplementary Methods.</w:t>
      </w:r>
    </w:p>
    <w:p w14:paraId="5838D611" w14:textId="77777777" w:rsidR="00062B7A" w:rsidRDefault="00062B7A" w:rsidP="00062B7A">
      <w:pPr>
        <w:spacing w:after="0" w:line="480" w:lineRule="auto"/>
        <w:jc w:val="both"/>
        <w:rPr>
          <w:rFonts w:ascii="Arial" w:hAnsi="Arial" w:cs="Arial"/>
          <w:sz w:val="20"/>
          <w:szCs w:val="20"/>
        </w:rPr>
      </w:pPr>
    </w:p>
    <w:p w14:paraId="1EC7417E" w14:textId="09388451" w:rsidR="008B2390" w:rsidRDefault="00DC1BE7" w:rsidP="00062B7A">
      <w:pPr>
        <w:spacing w:after="0" w:line="480" w:lineRule="auto"/>
        <w:jc w:val="both"/>
        <w:rPr>
          <w:rFonts w:ascii="Arial" w:hAnsi="Arial" w:cs="Arial"/>
          <w:sz w:val="20"/>
          <w:szCs w:val="20"/>
        </w:rPr>
      </w:pPr>
      <w:r w:rsidRPr="00C016DD">
        <w:rPr>
          <w:rFonts w:ascii="Arial" w:hAnsi="Arial" w:cs="Arial"/>
          <w:sz w:val="20"/>
          <w:szCs w:val="20"/>
        </w:rPr>
        <w:t xml:space="preserve">Chronic dosing regimens of erlotinib and nilotinib achieve </w:t>
      </w:r>
      <w:r w:rsidRPr="00C016DD">
        <w:rPr>
          <w:rFonts w:ascii="Arial" w:hAnsi="Arial" w:cs="Arial"/>
          <w:i/>
          <w:iCs/>
          <w:sz w:val="20"/>
          <w:szCs w:val="20"/>
        </w:rPr>
        <w:t>in vivo</w:t>
      </w:r>
      <w:r w:rsidRPr="00C016DD">
        <w:rPr>
          <w:rFonts w:ascii="Arial" w:hAnsi="Arial" w:cs="Arial"/>
          <w:sz w:val="20"/>
          <w:szCs w:val="20"/>
        </w:rPr>
        <w:t xml:space="preserve"> steady state concentrations in approximately 7 days</w:t>
      </w:r>
      <w:r w:rsidRPr="00C016DD">
        <w:rPr>
          <w:rFonts w:ascii="Arial" w:hAnsi="Arial" w:cs="Arial"/>
          <w:sz w:val="20"/>
          <w:szCs w:val="20"/>
        </w:rPr>
        <w:fldChar w:fldCharType="begin" w:fldLock="1"/>
      </w:r>
      <w:r w:rsidR="006C6945">
        <w:rPr>
          <w:rFonts w:ascii="Arial" w:hAnsi="Arial" w:cs="Arial"/>
          <w:sz w:val="20"/>
          <w:szCs w:val="20"/>
        </w:rPr>
        <w:instrText>ADDIN CSL_CITATION {"citationItems":[{"id":"ITEM-1","itemData":{"DOI":"10.1016/S0093-7754(03)70012-8","ISSN":"00937754","abstract":"Pharmacokinetic and pharmacodynamic studies have an important role in the optimization of targeted agents. Phase I pharmacokinetic studies show that treatment with erlotinib HCl (Tarceva; Genentech Inc, South San Francisco, CA), an orally available epidermal growth factor receptor (HER1/EGFR)-tyrosine kinase inhibitor, on a daily, uninterrupted schedule is feasible. Also, plasma drug concentrations, likely to be clinically effective based on preclinical studies, are consistently achieved at the recommended phase II dose of 150 mg/day, the maximum tolerated dose. Pharmacodynamic studies are in progress to assess the activation of HER1/EGFR and associated downstream signaling pathways in tissue samples from patients treated with erlotinib. Expression of p27 is identified as a potential surrogate marker of erlotinib activity, and is a focus of ongoing and future studies. Also, studies indicate that skin may be a useful surrogate tissue for evaluating the pharmacodynamic effects of therapy. These studies will hopefully enable us to accurately assess the extent of target inhibition in patients treated with erlotinib and help optimize its clinical use. © 2003 Elsevier Inc. All rights reserved.","author":[{"dropping-particle":"","family":"Hidalgo","given":"Manuel","non-dropping-particle":"","parse-names":false,"suffix":""},{"dropping-particle":"","family":"Bloedow","given":"Duane","non-dropping-particle":"","parse-names":false,"suffix":""}],"container-title":"Seminars in Oncology","id":"ITEM-1","issued":{"date-parts":[["2003","6","1"]]},"page":"25-33","publisher":"W.B. Saunders","title":"Pharmacokinetics and pharmacodynamics: Maximizing the clinical potential of erlotinib (Tarceva)","type":"article-journal","volume":"30"},"uris":["http://www.mendeley.com/documents/?uuid=c34745ef-2b3c-360d-83a3-abbf61e911ae"]}],"mendeley":{"formattedCitation":"&lt;sup&gt;35&lt;/sup&gt;","plainTextFormattedCitation":"35","previouslyFormattedCitation":"&lt;sup&gt;35&lt;/sup&gt;"},"properties":{"noteIndex":0},"schema":"https://github.com/citation-style-language/schema/raw/master/csl-citation.json"}</w:instrText>
      </w:r>
      <w:r w:rsidRPr="00C016DD">
        <w:rPr>
          <w:rFonts w:ascii="Arial" w:hAnsi="Arial" w:cs="Arial"/>
          <w:sz w:val="20"/>
          <w:szCs w:val="20"/>
        </w:rPr>
        <w:fldChar w:fldCharType="separate"/>
      </w:r>
      <w:r w:rsidR="004948F9" w:rsidRPr="004948F9">
        <w:rPr>
          <w:rFonts w:ascii="Arial" w:hAnsi="Arial" w:cs="Arial"/>
          <w:noProof/>
          <w:sz w:val="20"/>
          <w:szCs w:val="20"/>
          <w:vertAlign w:val="superscript"/>
        </w:rPr>
        <w:t>35</w:t>
      </w:r>
      <w:r w:rsidRPr="00C016DD">
        <w:rPr>
          <w:rFonts w:ascii="Arial" w:hAnsi="Arial" w:cs="Arial"/>
          <w:sz w:val="20"/>
          <w:szCs w:val="20"/>
        </w:rPr>
        <w:fldChar w:fldCharType="end"/>
      </w:r>
      <w:r w:rsidRPr="00C016DD">
        <w:rPr>
          <w:rFonts w:ascii="Arial" w:hAnsi="Arial" w:cs="Arial"/>
          <w:sz w:val="20"/>
          <w:szCs w:val="20"/>
        </w:rPr>
        <w:t xml:space="preserve"> and 8 days</w:t>
      </w:r>
      <w:r w:rsidRPr="00C016DD">
        <w:rPr>
          <w:rFonts w:ascii="Arial" w:hAnsi="Arial" w:cs="Arial"/>
          <w:sz w:val="20"/>
          <w:szCs w:val="20"/>
        </w:rPr>
        <w:fldChar w:fldCharType="begin" w:fldLock="1"/>
      </w:r>
      <w:r w:rsidR="006C6945">
        <w:rPr>
          <w:rFonts w:ascii="Arial" w:hAnsi="Arial" w:cs="Arial"/>
          <w:sz w:val="20"/>
          <w:szCs w:val="20"/>
        </w:rPr>
        <w:instrText>ADDIN CSL_CITATION {"citationItems":[{"id":"ITEM-1","itemData":{"DOI":"10.1038/clpt.2009.208","ISSN":"0009-9236","abstract":"This article describes studies that investigated the pharmacokinetics of nilotinib, a highly specific, oral, second-generation BCR-ABL tyrosine kinase inhibitor. After a once-or twice-daily regimen at doses ranging from 50 to 1,200mg/day in 119 patients with chronic myeloid leukemia (CML), the area under the serum concentration-time curve (AUC) and peak serum concentration (C max) of nilotinib were found to be nearly dose proportional up to a dose of 400mg once daily. Solubility-limited absorption at higher doses was observed, but this was partially overcome by dividing the daily dose into two. For instance, the administration of 400mg nilotinib twice daily resulted in a 35% increase in AUC as compared to a once-daily dose of 800mg. Exploratory pharmacodynamic assessment showed a general trend of greater reduction in white blood cell (WBC) levels with increase in nilotinib concentrations. This finding was consistent with the observation of an 82% reduction in WBC levels in patients after a regimen of 400mg nilotinib twice daily for 15 days. The type and quantity of food intake variably affected nilotinib absorption. When administered after a high-fat meal, the AUC of nilotinib increased by 50% in CML patients (n = 10) and by 82% in healthy volunteers (n = 44). © 2009 American Society for Clinical Pharmacology and Therapeutics.","author":[{"dropping-particle":"","family":"Tanaka","given":"C","non-dropping-particle":"","parse-names":false,"suffix":""},{"dropping-particle":"","family":"Yin","given":"O Q P","non-dropping-particle":"","parse-names":false,"suffix":""},{"dropping-particle":"","family":"Sethuraman","given":"V","non-dropping-particle":"","parse-names":false,"suffix":""},{"dropping-particle":"","family":"Smith","given":"T","non-dropping-particle":"","parse-names":false,"suffix":""},{"dropping-particle":"","family":"Wang","given":"X","non-dropping-particle":"","parse-names":false,"suffix":""},{"dropping-particle":"","family":"Grouss","given":"K","non-dropping-particle":"","parse-names":false,"suffix":""},{"dropping-particle":"","family":"Kantarjian","given":"H","non-dropping-particle":"","parse-names":false,"suffix":""},{"dropping-particle":"","family":"Giles","given":"F","non-dropping-particle":"","parse-names":false,"suffix":""},{"dropping-particle":"","family":"Ottmann","given":"O G","non-dropping-particle":"","parse-names":false,"suffix":""},{"dropping-particle":"","family":"Galitz","given":"L","non-dropping-particle":"","parse-names":false,"suffix":""},{"dropping-particle":"","family":"Schran","given":"H","non-dropping-particle":"","parse-names":false,"suffix":""}],"container-title":"Clinical Pharmacology &amp; Therapeutics","id":"ITEM-1","issue":"2","issued":{"date-parts":[["2010","2","18"]]},"page":"197-203","publisher":"John Wiley &amp; Sons, Ltd","title":"Clinical Pharmacokinetics of the BCR–ABL Tyrosine Kinase Inhibitor Nilotinib","type":"article-journal","volume":"87"},"uris":["http://www.mendeley.com/documents/?uuid=52a87905-acfc-392c-a30a-e7ed70ac5de9"]}],"mendeley":{"formattedCitation":"&lt;sup&gt;36&lt;/sup&gt;","plainTextFormattedCitation":"36","previouslyFormattedCitation":"&lt;sup&gt;36&lt;/sup&gt;"},"properties":{"noteIndex":0},"schema":"https://github.com/citation-style-language/schema/raw/master/csl-citation.json"}</w:instrText>
      </w:r>
      <w:r w:rsidRPr="00C016DD">
        <w:rPr>
          <w:rFonts w:ascii="Arial" w:hAnsi="Arial" w:cs="Arial"/>
          <w:sz w:val="20"/>
          <w:szCs w:val="20"/>
        </w:rPr>
        <w:fldChar w:fldCharType="separate"/>
      </w:r>
      <w:r w:rsidR="004948F9" w:rsidRPr="004948F9">
        <w:rPr>
          <w:rFonts w:ascii="Arial" w:hAnsi="Arial" w:cs="Arial"/>
          <w:noProof/>
          <w:sz w:val="20"/>
          <w:szCs w:val="20"/>
          <w:vertAlign w:val="superscript"/>
        </w:rPr>
        <w:t>36</w:t>
      </w:r>
      <w:r w:rsidRPr="00C016DD">
        <w:rPr>
          <w:rFonts w:ascii="Arial" w:hAnsi="Arial" w:cs="Arial"/>
          <w:sz w:val="20"/>
          <w:szCs w:val="20"/>
        </w:rPr>
        <w:fldChar w:fldCharType="end"/>
      </w:r>
      <w:r w:rsidRPr="00C016DD">
        <w:rPr>
          <w:rFonts w:ascii="Arial" w:hAnsi="Arial" w:cs="Arial"/>
          <w:sz w:val="20"/>
          <w:szCs w:val="20"/>
        </w:rPr>
        <w:t xml:space="preserve"> respectively. As such, </w:t>
      </w:r>
      <w:r w:rsidR="001E368E">
        <w:rPr>
          <w:rFonts w:ascii="Arial" w:hAnsi="Arial" w:cs="Arial"/>
          <w:sz w:val="20"/>
          <w:szCs w:val="20"/>
        </w:rPr>
        <w:t xml:space="preserve">prospective </w:t>
      </w:r>
      <w:r w:rsidRPr="00C016DD">
        <w:rPr>
          <w:rFonts w:ascii="Arial" w:hAnsi="Arial" w:cs="Arial"/>
          <w:sz w:val="20"/>
          <w:szCs w:val="20"/>
        </w:rPr>
        <w:t xml:space="preserve">DDI simulations were conducted with trial subjects receiving PKIs under clinically relevant dosage regimens (erlotinib 150 mg </w:t>
      </w:r>
      <w:r w:rsidR="00AA35E3">
        <w:rPr>
          <w:rFonts w:ascii="Arial" w:hAnsi="Arial" w:cs="Arial"/>
          <w:sz w:val="20"/>
          <w:szCs w:val="20"/>
        </w:rPr>
        <w:t>once daily (</w:t>
      </w:r>
      <w:r w:rsidRPr="00C016DD">
        <w:rPr>
          <w:rFonts w:ascii="Arial" w:hAnsi="Arial" w:cs="Arial"/>
          <w:sz w:val="20"/>
          <w:szCs w:val="20"/>
        </w:rPr>
        <w:t>OD</w:t>
      </w:r>
      <w:r w:rsidR="00AA35E3">
        <w:rPr>
          <w:rFonts w:ascii="Arial" w:hAnsi="Arial" w:cs="Arial"/>
          <w:sz w:val="20"/>
          <w:szCs w:val="20"/>
        </w:rPr>
        <w:t>)</w:t>
      </w:r>
      <w:r w:rsidRPr="00C016DD">
        <w:rPr>
          <w:rFonts w:ascii="Arial" w:hAnsi="Arial" w:cs="Arial"/>
          <w:sz w:val="20"/>
          <w:szCs w:val="20"/>
        </w:rPr>
        <w:t xml:space="preserve"> and nilotinib 400 mg </w:t>
      </w:r>
      <w:r w:rsidR="00AA35E3">
        <w:rPr>
          <w:rFonts w:ascii="Arial" w:hAnsi="Arial" w:cs="Arial"/>
          <w:sz w:val="20"/>
          <w:szCs w:val="20"/>
        </w:rPr>
        <w:t>twice daily (</w:t>
      </w:r>
      <w:r w:rsidRPr="00C016DD">
        <w:rPr>
          <w:rFonts w:ascii="Arial" w:hAnsi="Arial" w:cs="Arial"/>
          <w:sz w:val="20"/>
          <w:szCs w:val="20"/>
        </w:rPr>
        <w:t>BID)</w:t>
      </w:r>
      <w:r w:rsidR="00AA35E3">
        <w:rPr>
          <w:rFonts w:ascii="Arial" w:hAnsi="Arial" w:cs="Arial"/>
          <w:sz w:val="20"/>
          <w:szCs w:val="20"/>
        </w:rPr>
        <w:t>)</w:t>
      </w:r>
      <w:r w:rsidRPr="00C016DD">
        <w:rPr>
          <w:rFonts w:ascii="Arial" w:hAnsi="Arial" w:cs="Arial"/>
          <w:sz w:val="20"/>
          <w:szCs w:val="20"/>
        </w:rPr>
        <w:t xml:space="preserve"> chronically before a single dose of rivaroxaban (20 mg) was administered together with the PKI on day 9 for erlotinib</w:t>
      </w:r>
      <w:r w:rsidRPr="00C016DD">
        <w:rPr>
          <w:rFonts w:ascii="Arial" w:hAnsi="Arial" w:cs="Arial"/>
          <w:sz w:val="20"/>
          <w:szCs w:val="20"/>
        </w:rPr>
        <w:fldChar w:fldCharType="begin" w:fldLock="1"/>
      </w:r>
      <w:r w:rsidR="006C6945">
        <w:rPr>
          <w:rFonts w:ascii="Arial" w:hAnsi="Arial" w:cs="Arial"/>
          <w:sz w:val="20"/>
          <w:szCs w:val="20"/>
        </w:rPr>
        <w:instrText>ADDIN CSL_CITATION {"citationItems":[{"id":"ITEM-1","itemData":{"DOI":"10.1097/JTO.0b013e3181d32287","ISSN":"15561380","abstract":"Introduction: Although erlotinib, an orally active and selective tyrosine kinase inhibitor of epidermal growth factor receptor, is mainly metabolized in the liver, its effectiveness and safety for patients with chronic renal failure (CRF) undergoing hemodialysis (HD) has not been reported. Thus, we investigated the pharmacokinetics (PK) of erlotinib and its active metabolite OSI-420 in such patients with nonsmall cell lung cancer (NSCLC). Method: We administered 150 mg erlotinib daily to three patients with NSCLC and CRF undergoing HD (HD group) and five patients with NSCLC and normal organ function (control group) and analyzed the PK of erlotinib and OSI-420. In the HD group, PK analyses were performed on day 1 (off HD), day 8 (off HD), and day 9 (on HD) after starting administration of erlotinib, and in the control group, they were performed on day 1 and day 8. Results: In the HD group, there were little differences in the PK data between day 8 and day 9. The PK data on day 1 and day 8 of the HD group were also similar to those of the control group. There were no serious adverse events in any cases, and one of the HD patients achieved partial response. Conclusion: Erlotinib was hardly affected by renal function and HD, which confirms the effectiveness and safety of erlotinib treatment in patients with NSCLC and CRF undergoing HD. Erlotinib can become one treatment option for such patients. © 2010 by the International Association for the study of lung cancer.","author":[{"dropping-particle":"","family":"Togashi","given":"Yosuke","non-dropping-particle":"","parse-names":false,"suffix":""},{"dropping-particle":"","family":"Masago","given":"Katsuhiro","non-dropping-particle":"","parse-names":false,"suffix":""},{"dropping-particle":"","family":"Fukudo","given":"Masahide","non-dropping-particle":"","parse-names":false,"suffix":""},{"dropping-particle":"","family":"Terada","given":"Tomohiro","non-dropping-particle":"","parse-names":false,"suffix":""},{"dropping-particle":"","family":"Ikemi","given":"Yasuaki","non-dropping-particle":"","parse-names":false,"suffix":""},{"dropping-particle":"","family":"Kim","given":"Young Hak","non-dropping-particle":"","parse-names":false,"suffix":""},{"dropping-particle":"","family":"Fujita","given":"Shiro","non-dropping-particle":"","parse-names":false,"suffix":""},{"dropping-particle":"","family":"Irisa","given":"Kaoru","non-dropping-particle":"","parse-names":false,"suffix":""},{"dropping-particle":"","family":"Sakamori","given":"Yuichi","non-dropping-particle":"","parse-names":false,"suffix":""},{"dropping-particle":"","family":"Mio","given":"Tadashi","non-dropping-particle":"","parse-names":false,"suffix":""},{"dropping-particle":"","family":"Inui","given":"Ken Ichi","non-dropping-particle":"","parse-names":false,"suffix":""},{"dropping-particle":"","family":"Mishima","given":"Michiaki","non-dropping-particle":"","parse-names":false,"suffix":""}],"container-title":"Journal of Thoracic Oncology","id":"ITEM-1","issue":"5","issued":{"date-parts":[["2010","5","1"]]},"page":"601-605","publisher":"Lippincott Williams and Wilkins","title":"Pharmacokinetics of erlotinib and its active metabolite OSI-420 in patients with non-small cell lung cancer and chronic renal failure who are undergoing hemodialysis","type":"article-journal","volume":"5"},"uris":["http://www.mendeley.com/documents/?uuid=ab883b8b-d540-3fca-945f-bb74a465441a"]}],"mendeley":{"formattedCitation":"&lt;sup&gt;37&lt;/sup&gt;","plainTextFormattedCitation":"37","previouslyFormattedCitation":"&lt;sup&gt;37&lt;/sup&gt;"},"properties":{"noteIndex":0},"schema":"https://github.com/citation-style-language/schema/raw/master/csl-citation.json"}</w:instrText>
      </w:r>
      <w:r w:rsidRPr="00C016DD">
        <w:rPr>
          <w:rFonts w:ascii="Arial" w:hAnsi="Arial" w:cs="Arial"/>
          <w:sz w:val="20"/>
          <w:szCs w:val="20"/>
        </w:rPr>
        <w:fldChar w:fldCharType="separate"/>
      </w:r>
      <w:r w:rsidR="004948F9" w:rsidRPr="004948F9">
        <w:rPr>
          <w:rFonts w:ascii="Arial" w:hAnsi="Arial" w:cs="Arial"/>
          <w:noProof/>
          <w:sz w:val="20"/>
          <w:szCs w:val="20"/>
          <w:vertAlign w:val="superscript"/>
        </w:rPr>
        <w:t>37</w:t>
      </w:r>
      <w:r w:rsidRPr="00C016DD">
        <w:rPr>
          <w:rFonts w:ascii="Arial" w:hAnsi="Arial" w:cs="Arial"/>
          <w:sz w:val="20"/>
          <w:szCs w:val="20"/>
        </w:rPr>
        <w:fldChar w:fldCharType="end"/>
      </w:r>
      <w:r w:rsidRPr="00C016DD">
        <w:rPr>
          <w:rFonts w:ascii="Arial" w:hAnsi="Arial" w:cs="Arial"/>
          <w:sz w:val="20"/>
          <w:szCs w:val="20"/>
        </w:rPr>
        <w:t xml:space="preserve"> and day 15 for nilotinib.</w:t>
      </w:r>
      <w:r w:rsidRPr="00C016DD">
        <w:rPr>
          <w:rFonts w:ascii="Arial" w:hAnsi="Arial" w:cs="Arial"/>
          <w:sz w:val="20"/>
          <w:szCs w:val="20"/>
        </w:rPr>
        <w:fldChar w:fldCharType="begin" w:fldLock="1"/>
      </w:r>
      <w:r w:rsidR="006C6945">
        <w:rPr>
          <w:rFonts w:ascii="Arial" w:hAnsi="Arial" w:cs="Arial"/>
          <w:sz w:val="20"/>
          <w:szCs w:val="20"/>
        </w:rPr>
        <w:instrText>ADDIN CSL_CITATION {"citationItems":[{"id":"ITEM-1","itemData":{"DOI":"10.1038/clpt.2009.208","ISSN":"0009-9236","abstract":"This article describes studies that investigated the pharmacokinetics of nilotinib, a highly specific, oral, second-generation BCR-ABL tyrosine kinase inhibitor. After a once-or twice-daily regimen at doses ranging from 50 to 1,200mg/day in 119 patients with chronic myeloid leukemia (CML), the area under the serum concentration-time curve (AUC) and peak serum concentration (C max) of nilotinib were found to be nearly dose proportional up to a dose of 400mg once daily. Solubility-limited absorption at higher doses was observed, but this was partially overcome by dividing the daily dose into two. For instance, the administration of 400mg nilotinib twice daily resulted in a 35% increase in AUC as compared to a once-daily dose of 800mg. Exploratory pharmacodynamic assessment showed a general trend of greater reduction in white blood cell (WBC) levels with increase in nilotinib concentrations. This finding was consistent with the observation of an 82% reduction in WBC levels in patients after a regimen of 400mg nilotinib twice daily for 15 days. The type and quantity of food intake variably affected nilotinib absorption. When administered after a high-fat meal, the AUC of nilotinib increased by 50% in CML patients (n = 10) and by 82% in healthy volunteers (n = 44). © 2009 American Society for Clinical Pharmacology and Therapeutics.","author":[{"dropping-particle":"","family":"Tanaka","given":"C","non-dropping-particle":"","parse-names":false,"suffix":""},{"dropping-particle":"","family":"Yin","given":"O Q P","non-dropping-particle":"","parse-names":false,"suffix":""},{"dropping-particle":"","family":"Sethuraman","given":"V","non-dropping-particle":"","parse-names":false,"suffix":""},{"dropping-particle":"","family":"Smith","given":"T","non-dropping-particle":"","parse-names":false,"suffix":""},{"dropping-particle":"","family":"Wang","given":"X","non-dropping-particle":"","parse-names":false,"suffix":""},{"dropping-particle":"","family":"Grouss","given":"K","non-dropping-particle":"","parse-names":false,"suffix":""},{"dropping-particle":"","family":"Kantarjian","given":"H","non-dropping-particle":"","parse-names":false,"suffix":""},{"dropping-particle":"","family":"Giles","given":"F","non-dropping-particle":"","parse-names":false,"suffix":""},{"dropping-particle":"","family":"Ottmann","given":"O G","non-dropping-particle":"","parse-names":false,"suffix":""},{"dropping-particle":"","family":"Galitz","given":"L","non-dropping-particle":"","parse-names":false,"suffix":""},{"dropping-particle":"","family":"Schran","given":"H","non-dropping-particle":"","parse-names":false,"suffix":""}],"container-title":"Clinical Pharmacology &amp; Therapeutics","id":"ITEM-1","issue":"2","issued":{"date-parts":[["2010","2","18"]]},"page":"197-203","publisher":"John Wiley &amp; Sons, Ltd","title":"Clinical Pharmacokinetics of the BCR–ABL Tyrosine Kinase Inhibitor Nilotinib","type":"article-journal","volume":"87"},"uris":["http://www.mendeley.com/documents/?uuid=52a87905-acfc-392c-a30a-e7ed70ac5de9"]}],"mendeley":{"formattedCitation":"&lt;sup&gt;36&lt;/sup&gt;","plainTextFormattedCitation":"36","previouslyFormattedCitation":"&lt;sup&gt;36&lt;/sup&gt;"},"properties":{"noteIndex":0},"schema":"https://github.com/citation-style-language/schema/raw/master/csl-citation.json"}</w:instrText>
      </w:r>
      <w:r w:rsidRPr="00C016DD">
        <w:rPr>
          <w:rFonts w:ascii="Arial" w:hAnsi="Arial" w:cs="Arial"/>
          <w:sz w:val="20"/>
          <w:szCs w:val="20"/>
        </w:rPr>
        <w:fldChar w:fldCharType="separate"/>
      </w:r>
      <w:r w:rsidR="004948F9" w:rsidRPr="004948F9">
        <w:rPr>
          <w:rFonts w:ascii="Arial" w:hAnsi="Arial" w:cs="Arial"/>
          <w:noProof/>
          <w:sz w:val="20"/>
          <w:szCs w:val="20"/>
          <w:vertAlign w:val="superscript"/>
        </w:rPr>
        <w:t>36</w:t>
      </w:r>
      <w:r w:rsidRPr="00C016DD">
        <w:rPr>
          <w:rFonts w:ascii="Arial" w:hAnsi="Arial" w:cs="Arial"/>
          <w:sz w:val="20"/>
          <w:szCs w:val="20"/>
        </w:rPr>
        <w:fldChar w:fldCharType="end"/>
      </w:r>
      <w:r w:rsidRPr="00C016DD">
        <w:rPr>
          <w:rFonts w:ascii="Arial" w:hAnsi="Arial" w:cs="Arial"/>
          <w:sz w:val="20"/>
          <w:szCs w:val="20"/>
        </w:rPr>
        <w:t xml:space="preserve"> However, while rivaroxaban is indicated to be administered under fed conditions, both erlotinib and nilotinib are to be taken on an empty stomach at least one hour before or two hours after the ingestion of food.</w:t>
      </w:r>
      <w:r w:rsidRPr="00C016DD">
        <w:rPr>
          <w:rFonts w:ascii="Arial" w:hAnsi="Arial" w:cs="Arial"/>
          <w:sz w:val="20"/>
          <w:szCs w:val="20"/>
        </w:rPr>
        <w:fldChar w:fldCharType="begin" w:fldLock="1"/>
      </w:r>
      <w:r w:rsidR="006C6945">
        <w:rPr>
          <w:rFonts w:ascii="Arial" w:hAnsi="Arial" w:cs="Arial"/>
          <w:sz w:val="20"/>
          <w:szCs w:val="20"/>
        </w:rPr>
        <w:instrText>ADDIN CSL_CITATION {"citationItems":[{"id":"ITEM-1","itemData":{"author":[{"dropping-particle":"","family":"US FDA","given":"","non-dropping-particle":"","parse-names":false,"suffix":""}],"id":"ITEM-1","issued":{"date-parts":[["2007"]]},"title":"Tasigna® (nilotinib) capsules. Highlights of Prescribing Information","type":"webpage"},"uris":["http://www.mendeley.com/documents/?uuid=de1e48f6-9f8f-306a-a942-65936c47998f"]},{"id":"ITEM-2","itemData":{"author":[{"dropping-particle":"","family":"US FDA","given":"","non-dropping-particle":"","parse-names":false,"suffix":""}],"id":"ITEM-2","issued":{"date-parts":[["2004"]]},"title":"TARCEVA® (erlotinib) tablets. Highlights of Prescribing Information","type":"webpage"},"uris":["http://www.mendeley.com/documents/?uuid=c1f58229-ca36-37ee-9f41-8736aad40127"]}],"mendeley":{"formattedCitation":"&lt;sup&gt;38,39&lt;/sup&gt;","plainTextFormattedCitation":"38,39","previouslyFormattedCitation":"&lt;sup&gt;38,39&lt;/sup&gt;"},"properties":{"noteIndex":0},"schema":"https://github.com/citation-style-language/schema/raw/master/csl-citation.json"}</w:instrText>
      </w:r>
      <w:r w:rsidRPr="00C016DD">
        <w:rPr>
          <w:rFonts w:ascii="Arial" w:hAnsi="Arial" w:cs="Arial"/>
          <w:sz w:val="20"/>
          <w:szCs w:val="20"/>
        </w:rPr>
        <w:fldChar w:fldCharType="separate"/>
      </w:r>
      <w:r w:rsidR="004948F9" w:rsidRPr="004948F9">
        <w:rPr>
          <w:rFonts w:ascii="Arial" w:hAnsi="Arial" w:cs="Arial"/>
          <w:noProof/>
          <w:sz w:val="20"/>
          <w:szCs w:val="20"/>
          <w:vertAlign w:val="superscript"/>
        </w:rPr>
        <w:t>38,39</w:t>
      </w:r>
      <w:r w:rsidRPr="00C016DD">
        <w:rPr>
          <w:rFonts w:ascii="Arial" w:hAnsi="Arial" w:cs="Arial"/>
          <w:sz w:val="20"/>
          <w:szCs w:val="20"/>
        </w:rPr>
        <w:fldChar w:fldCharType="end"/>
      </w:r>
      <w:r w:rsidRPr="00C016DD">
        <w:rPr>
          <w:rFonts w:ascii="Arial" w:hAnsi="Arial" w:cs="Arial"/>
          <w:sz w:val="20"/>
          <w:szCs w:val="20"/>
        </w:rPr>
        <w:t xml:space="preserve"> Hence, to ensure that our trial design conforms to the stipulated dosing guidelines, both inhibitors were administered one hour </w:t>
      </w:r>
      <w:r w:rsidR="00947540" w:rsidRPr="00C016DD">
        <w:rPr>
          <w:rFonts w:ascii="Arial" w:hAnsi="Arial" w:cs="Arial"/>
          <w:sz w:val="20"/>
          <w:szCs w:val="20"/>
        </w:rPr>
        <w:t>prior to the rivaroxaban dose.</w:t>
      </w:r>
    </w:p>
    <w:p w14:paraId="0D9F7132" w14:textId="77777777" w:rsidR="00062B7A" w:rsidRDefault="00062B7A" w:rsidP="00062B7A">
      <w:pPr>
        <w:spacing w:after="0" w:line="480" w:lineRule="auto"/>
        <w:jc w:val="both"/>
        <w:rPr>
          <w:rFonts w:ascii="Arial" w:hAnsi="Arial" w:cs="Arial"/>
          <w:i/>
          <w:iCs/>
          <w:sz w:val="20"/>
          <w:szCs w:val="20"/>
        </w:rPr>
      </w:pPr>
    </w:p>
    <w:p w14:paraId="6D5A52E1" w14:textId="3B357A3E" w:rsidR="007B6AB0" w:rsidRDefault="007B6AB0" w:rsidP="00062B7A">
      <w:pPr>
        <w:spacing w:after="0" w:line="480" w:lineRule="auto"/>
        <w:jc w:val="both"/>
        <w:rPr>
          <w:rFonts w:ascii="Arial" w:hAnsi="Arial" w:cs="Arial"/>
          <w:sz w:val="20"/>
          <w:szCs w:val="20"/>
        </w:rPr>
      </w:pPr>
      <w:r w:rsidRPr="0072713A">
        <w:rPr>
          <w:rFonts w:ascii="Arial" w:hAnsi="Arial" w:cs="Arial"/>
          <w:i/>
          <w:iCs/>
          <w:sz w:val="20"/>
          <w:szCs w:val="20"/>
        </w:rPr>
        <w:t>DDI simulations.</w:t>
      </w:r>
      <w:r w:rsidRPr="0072713A">
        <w:rPr>
          <w:rFonts w:ascii="Arial" w:hAnsi="Arial" w:cs="Arial"/>
          <w:sz w:val="20"/>
          <w:szCs w:val="20"/>
        </w:rPr>
        <w:t xml:space="preserve"> Derived </w:t>
      </w:r>
      <w:r w:rsidRPr="0072713A">
        <w:rPr>
          <w:rFonts w:ascii="Arial" w:hAnsi="Arial" w:cs="Arial"/>
          <w:i/>
          <w:iCs/>
          <w:sz w:val="20"/>
          <w:szCs w:val="20"/>
        </w:rPr>
        <w:t xml:space="preserve">in vitro </w:t>
      </w:r>
      <w:r w:rsidRPr="0072713A">
        <w:rPr>
          <w:rFonts w:ascii="Arial" w:hAnsi="Arial" w:cs="Arial"/>
          <w:sz w:val="20"/>
          <w:szCs w:val="20"/>
        </w:rPr>
        <w:t xml:space="preserve">inhibitory parameters were subsequently incorporated into PBPK-DDI models to predict the extent of interactions between rivaroxaban and </w:t>
      </w:r>
      <w:r>
        <w:rPr>
          <w:rFonts w:ascii="Arial" w:hAnsi="Arial" w:cs="Arial"/>
          <w:sz w:val="20"/>
          <w:szCs w:val="20"/>
        </w:rPr>
        <w:t xml:space="preserve">ketoconazole </w:t>
      </w:r>
      <w:r w:rsidRPr="0072713A">
        <w:rPr>
          <w:rFonts w:ascii="Arial" w:hAnsi="Arial" w:cs="Arial"/>
          <w:sz w:val="20"/>
          <w:szCs w:val="20"/>
        </w:rPr>
        <w:t xml:space="preserve">as well </w:t>
      </w:r>
      <w:r>
        <w:rPr>
          <w:rFonts w:ascii="Arial" w:hAnsi="Arial" w:cs="Arial"/>
          <w:sz w:val="20"/>
          <w:szCs w:val="20"/>
        </w:rPr>
        <w:t xml:space="preserve">as </w:t>
      </w:r>
      <w:r w:rsidRPr="0072713A">
        <w:rPr>
          <w:rFonts w:ascii="Arial" w:hAnsi="Arial" w:cs="Arial"/>
          <w:sz w:val="20"/>
          <w:szCs w:val="20"/>
        </w:rPr>
        <w:t xml:space="preserve">rivaroxaban and </w:t>
      </w:r>
      <w:r>
        <w:rPr>
          <w:rFonts w:ascii="Arial" w:hAnsi="Arial" w:cs="Arial"/>
          <w:sz w:val="20"/>
          <w:szCs w:val="20"/>
        </w:rPr>
        <w:t>erlotinib or nilotinib</w:t>
      </w:r>
      <w:r w:rsidR="008E770A">
        <w:rPr>
          <w:rFonts w:ascii="Arial" w:hAnsi="Arial" w:cs="Arial"/>
          <w:sz w:val="20"/>
          <w:szCs w:val="20"/>
        </w:rPr>
        <w:t xml:space="preserve"> (</w:t>
      </w:r>
      <w:r w:rsidR="008E770A" w:rsidRPr="008E770A">
        <w:rPr>
          <w:rFonts w:ascii="Arial" w:hAnsi="Arial" w:cs="Arial"/>
          <w:b/>
          <w:bCs/>
          <w:sz w:val="20"/>
          <w:szCs w:val="20"/>
        </w:rPr>
        <w:t>Supplementary Methods</w:t>
      </w:r>
      <w:r w:rsidR="008E770A">
        <w:rPr>
          <w:rFonts w:ascii="Arial" w:hAnsi="Arial" w:cs="Arial"/>
          <w:sz w:val="20"/>
          <w:szCs w:val="20"/>
        </w:rPr>
        <w:t>).</w:t>
      </w:r>
    </w:p>
    <w:p w14:paraId="6F296CD5" w14:textId="77777777" w:rsidR="00062B7A" w:rsidRDefault="00062B7A" w:rsidP="00062B7A">
      <w:pPr>
        <w:spacing w:after="0" w:line="480" w:lineRule="auto"/>
        <w:jc w:val="both"/>
        <w:rPr>
          <w:rFonts w:ascii="Arial" w:hAnsi="Arial" w:cs="Arial"/>
          <w:i/>
          <w:iCs/>
          <w:sz w:val="20"/>
          <w:szCs w:val="20"/>
        </w:rPr>
      </w:pPr>
    </w:p>
    <w:p w14:paraId="779822C7" w14:textId="6D870075" w:rsidR="00855BC0" w:rsidRPr="00855BC0" w:rsidRDefault="001F4529" w:rsidP="00062B7A">
      <w:pPr>
        <w:spacing w:after="0" w:line="480" w:lineRule="auto"/>
        <w:jc w:val="both"/>
        <w:rPr>
          <w:rFonts w:ascii="Arial" w:hAnsi="Arial" w:cs="Arial"/>
          <w:sz w:val="20"/>
          <w:szCs w:val="20"/>
        </w:rPr>
      </w:pPr>
      <w:r w:rsidRPr="00855BC0">
        <w:rPr>
          <w:rFonts w:ascii="Arial" w:hAnsi="Arial" w:cs="Arial"/>
          <w:i/>
          <w:iCs/>
          <w:sz w:val="20"/>
          <w:szCs w:val="20"/>
        </w:rPr>
        <w:t xml:space="preserve">Development of renal impairment populations for </w:t>
      </w:r>
      <w:r w:rsidR="00855BC0" w:rsidRPr="00855BC0">
        <w:rPr>
          <w:rFonts w:ascii="Arial" w:hAnsi="Arial" w:cs="Arial"/>
          <w:i/>
          <w:iCs/>
          <w:sz w:val="20"/>
          <w:szCs w:val="20"/>
        </w:rPr>
        <w:t>DDDI simulations.</w:t>
      </w:r>
      <w:r w:rsidR="00855BC0" w:rsidRPr="00855BC0">
        <w:rPr>
          <w:rFonts w:ascii="Arial" w:hAnsi="Arial" w:cs="Arial"/>
          <w:sz w:val="20"/>
          <w:szCs w:val="20"/>
        </w:rPr>
        <w:t xml:space="preserve"> </w:t>
      </w:r>
      <w:r w:rsidR="00EE7B66">
        <w:rPr>
          <w:rFonts w:ascii="Arial" w:hAnsi="Arial" w:cs="Arial"/>
          <w:sz w:val="20"/>
          <w:szCs w:val="20"/>
        </w:rPr>
        <w:t xml:space="preserve">As outlined in the </w:t>
      </w:r>
      <w:r w:rsidR="00EE7B66" w:rsidRPr="000F1935">
        <w:rPr>
          <w:rFonts w:ascii="Arial" w:hAnsi="Arial" w:cs="Arial"/>
          <w:b/>
          <w:bCs/>
          <w:sz w:val="20"/>
          <w:szCs w:val="20"/>
        </w:rPr>
        <w:t>Supplementary Methods</w:t>
      </w:r>
      <w:r w:rsidR="00EE7B66">
        <w:rPr>
          <w:rFonts w:ascii="Arial" w:hAnsi="Arial" w:cs="Arial"/>
          <w:sz w:val="20"/>
          <w:szCs w:val="20"/>
        </w:rPr>
        <w:t>, u</w:t>
      </w:r>
      <w:r w:rsidR="00855BC0" w:rsidRPr="00855BC0">
        <w:rPr>
          <w:rFonts w:ascii="Arial" w:hAnsi="Arial" w:cs="Arial"/>
          <w:sz w:val="20"/>
          <w:szCs w:val="20"/>
        </w:rPr>
        <w:t>pon verification of the predictive capabilities of the mechanistic kidney model in healthy subjects, system-dependent parameters within the model were subsequently modified to examine the utility of the developed model of rivaroxaban in recapitulating exposure changes across the spectrum of renal impairment.</w:t>
      </w:r>
      <w:r w:rsidR="00855BC0" w:rsidRPr="00855BC0">
        <w:rPr>
          <w:rFonts w:ascii="Arial" w:hAnsi="Arial" w:cs="Arial"/>
          <w:sz w:val="20"/>
          <w:szCs w:val="20"/>
        </w:rPr>
        <w:fldChar w:fldCharType="begin" w:fldLock="1"/>
      </w:r>
      <w:r w:rsidR="00DF0BB4">
        <w:rPr>
          <w:rFonts w:ascii="Arial" w:hAnsi="Arial" w:cs="Arial"/>
          <w:sz w:val="20"/>
          <w:szCs w:val="20"/>
        </w:rPr>
        <w:instrText>ADDIN CSL_CITATION {"citationItems":[{"id":"ITEM-1","itemData":{"DOI":"10.1111/j.1365-2125.2010.03753.x","ISBN":"1365-2125 (Electronic)\\r0306-5251 (Linking)","ISSN":"03065251","PMID":"21039764","abstract":"AIM: This study evaluated the effects of impaire</w:instrText>
      </w:r>
      <w:r w:rsidR="00DF0BB4">
        <w:rPr>
          <w:rFonts w:ascii="Arial" w:hAnsi="Arial" w:cs="Arial" w:hint="eastAsia"/>
          <w:sz w:val="20"/>
          <w:szCs w:val="20"/>
        </w:rPr>
        <w:instrText>d renal function on the pharmacokinetics, pharmacodynamics and safety of rivaroxaban (10mg single dose), an oral, direct Factor Xa inhibitor.\\n\\nMETHODS: Subjects (n= 32) were stratified based on measured creatinine clearance: healthy controls (</w:instrText>
      </w:r>
      <w:r w:rsidR="00DF0BB4">
        <w:rPr>
          <w:rFonts w:ascii="Arial" w:hAnsi="Arial" w:cs="Arial" w:hint="eastAsia"/>
          <w:sz w:val="20"/>
          <w:szCs w:val="20"/>
        </w:rPr>
        <w:instrText>≥</w:instrText>
      </w:r>
      <w:r w:rsidR="00DF0BB4">
        <w:rPr>
          <w:rFonts w:ascii="Arial" w:hAnsi="Arial" w:cs="Arial" w:hint="eastAsia"/>
          <w:sz w:val="20"/>
          <w:szCs w:val="20"/>
        </w:rPr>
        <w:instrText>80ml mi</w:instrText>
      </w:r>
      <w:r w:rsidR="00DF0BB4">
        <w:rPr>
          <w:rFonts w:ascii="Arial" w:hAnsi="Arial" w:cs="Arial"/>
          <w:sz w:val="20"/>
          <w:szCs w:val="20"/>
        </w:rPr>
        <w:instrText>n(-1) ), mild (50-79mlmin(-1) ), moderate (30-49mlmin(-1) ) and severe impairment (&lt;30mlmin(-1) ).\\n\\nRESULTS: Renal clearance of rivaroxaban decreased with increasing renal impairment. Thus, plasma concentrations increased and area under the plasma concentration-time curve (AUC) LS-mean values were 1.44-fold (90% confidence interval [CI] 1.1, 1.9; mild), 1.52-fold (90% CI 1.2, 2.0; moderate) and 1.64-fold (90% CI 1.2, 2.2; severe impairment) higher than in healthy controls. Corresponding values for the LS-mean of the AUC for prolongation of prothrombin time were 1.33-fold (90% CI 0.92, 1.92; mild), 2.16-fold (90% CI 1.51, 3.10 moderate) and 2.44-fold (90% CI 1.70, 3.49 severe) higher than in healthy subjects, respectively. Likewise, the LS-mean of the AUC for Factor Xa inhibition in subjects with mild renal impairment was 1.50-fold (90% CI 1.07, 2.10) higher than in healthy subjects. In subjects with moderate and severe renal impairment, the increase was 1.86-fold (90% CI 1.34, 2.59) and 2.0-fold (90% CI 1.44, 2.78) higher than in healthy subjects, respectively.\\n\\nCONCLUSIONS: Rivaroxaban clearance is decreased with increasing renal impairment, leading to increased plasma exposure and pharmacodynamic effects, as expected for a partially renally excreted drug. However, the influence of renal function on rivaroxaban clearance was moderate, even in subjects with severe renal impairment.","author":[{"dropping-particle":"","family":"Kubitza","given":"Dagmar","non-dropping-particle":"","parse-names":false,"suffix":""},{"dropping-particle":"","family":"Becka","given":"Michael","non-dropping-particle":"","parse-names":false,"suffix":""},{"dropping-particle":"","family":"Mueck","given":"Wolfgang","non-dropping-particle":"","parse-names":false,"suffix":""},{"dropping-particle":"","family":"Halabi","given":"Atef","non-dropping-particle":"","parse-names":false,"suffix":""},{"dropping-particle":"","family":"Maatouk","given":"Haidar","non-dropping-particle":"","parse-names":false,"suffix":""},{"dropping-particle":"","family":"Klause","given":"Norbert","non-dropping-particle":"","parse-names":false,"suffix":""},{"dropping-particle":"","family":"Lufft","given":"Volkmar","non-dropping-particle":"","parse-names":false,"suffix":""},{"dropping-particle":"","family":"Wand","given":"Dominic D.","non-dropping-particle":"","parse-names":false,"suffix":""},{"dropping-particle":"","family":"Philipp","given":"Thomas","non-dropping-particle":"","parse-names":false,"suffix":""},{"dropping-particle":"","family":"Bruck","given":"Heike","non-dropping-particle":"","parse-names":false,"suffix":""}],"container-title":"British Journal of Clinical Pharmacology","id":"ITEM-1","issue":"5","issued":{"date-parts":[["2010"]]},"page":"703-712","title":"Effects of renal impairment on the pharmacokinetics, pharmacodynamics and safety of rivaroxaban, an oral, direct Factor Xa inhibitor","type":"article-journal","volume":"70"},"uris":["http://www.mendeley.com/documents/?uuid=9e7640a1-a418-32fc-aedd-2be86e0b4036"]}],"mendeley":{"formattedCitation":"&lt;sup&gt;18&lt;/sup&gt;","plainTextFormattedCitation":"18","previouslyFormattedCitation":"&lt;sup&gt;18&lt;/sup&gt;"},"properties":{"noteIndex":0},"schema":"https://github.com/citation-style-language/schema/raw/master/csl-citation.json"}</w:instrText>
      </w:r>
      <w:r w:rsidR="00855BC0" w:rsidRPr="00855BC0">
        <w:rPr>
          <w:rFonts w:ascii="Arial" w:hAnsi="Arial" w:cs="Arial"/>
          <w:sz w:val="20"/>
          <w:szCs w:val="20"/>
        </w:rPr>
        <w:fldChar w:fldCharType="separate"/>
      </w:r>
      <w:r w:rsidR="00BD1DF4" w:rsidRPr="00BD1DF4">
        <w:rPr>
          <w:rFonts w:ascii="Arial" w:hAnsi="Arial" w:cs="Arial"/>
          <w:noProof/>
          <w:sz w:val="20"/>
          <w:szCs w:val="20"/>
          <w:vertAlign w:val="superscript"/>
        </w:rPr>
        <w:t>18</w:t>
      </w:r>
      <w:r w:rsidR="00855BC0" w:rsidRPr="00855BC0">
        <w:rPr>
          <w:rFonts w:ascii="Arial" w:hAnsi="Arial" w:cs="Arial"/>
          <w:sz w:val="20"/>
          <w:szCs w:val="20"/>
        </w:rPr>
        <w:fldChar w:fldCharType="end"/>
      </w:r>
      <w:r w:rsidR="00855BC0" w:rsidRPr="00855BC0">
        <w:rPr>
          <w:rFonts w:ascii="Arial" w:hAnsi="Arial" w:cs="Arial"/>
          <w:sz w:val="20"/>
          <w:szCs w:val="20"/>
        </w:rPr>
        <w:t xml:space="preserve"> </w:t>
      </w:r>
    </w:p>
    <w:p w14:paraId="280078F2" w14:textId="77777777" w:rsidR="00062B7A" w:rsidRDefault="00062B7A" w:rsidP="00062B7A">
      <w:pPr>
        <w:spacing w:after="0" w:line="480" w:lineRule="auto"/>
        <w:jc w:val="both"/>
        <w:rPr>
          <w:rFonts w:ascii="Arial" w:hAnsi="Arial" w:cs="Arial"/>
          <w:b/>
          <w:sz w:val="20"/>
          <w:szCs w:val="20"/>
        </w:rPr>
      </w:pPr>
    </w:p>
    <w:p w14:paraId="7F37188B" w14:textId="0B6E780E" w:rsidR="00DC1BE7" w:rsidRDefault="00DC1BE7" w:rsidP="00062B7A">
      <w:pPr>
        <w:spacing w:after="0" w:line="480" w:lineRule="auto"/>
        <w:jc w:val="both"/>
        <w:rPr>
          <w:rFonts w:ascii="Arial" w:hAnsi="Arial" w:cs="Arial"/>
          <w:sz w:val="20"/>
          <w:szCs w:val="20"/>
        </w:rPr>
      </w:pPr>
      <w:r w:rsidRPr="00C016DD">
        <w:rPr>
          <w:rFonts w:ascii="Arial" w:hAnsi="Arial" w:cs="Arial"/>
          <w:b/>
          <w:sz w:val="20"/>
          <w:szCs w:val="20"/>
        </w:rPr>
        <w:lastRenderedPageBreak/>
        <w:t>Assessing the Clinical Significance of the Predicted DDDIs</w:t>
      </w:r>
      <w:r w:rsidR="003B345F" w:rsidRPr="00C016DD">
        <w:rPr>
          <w:rFonts w:ascii="Arial" w:hAnsi="Arial" w:cs="Arial"/>
          <w:b/>
          <w:sz w:val="20"/>
          <w:szCs w:val="20"/>
        </w:rPr>
        <w:t>.</w:t>
      </w:r>
      <w:r w:rsidR="003B345F" w:rsidRPr="00C016DD">
        <w:rPr>
          <w:rFonts w:ascii="Arial" w:hAnsi="Arial" w:cs="Arial"/>
          <w:sz w:val="20"/>
          <w:szCs w:val="20"/>
        </w:rPr>
        <w:t xml:space="preserve"> </w:t>
      </w:r>
      <w:r w:rsidRPr="00C016DD">
        <w:rPr>
          <w:rFonts w:ascii="Arial" w:hAnsi="Arial" w:cs="Arial"/>
          <w:sz w:val="20"/>
          <w:szCs w:val="20"/>
        </w:rPr>
        <w:t>Systematic dose adjustments to mitigate the predicted DDIs were guided by the dual objectives of preserving anticoagulant efficacy (i.e. minimizing thromboembolic complications in CA-VTE) while managing bleeding risks associated with augmented rivaroxaban exposure.</w:t>
      </w:r>
    </w:p>
    <w:p w14:paraId="3B78FAFE" w14:textId="77777777" w:rsidR="00062B7A" w:rsidRDefault="00062B7A" w:rsidP="00062B7A">
      <w:pPr>
        <w:spacing w:after="0" w:line="480" w:lineRule="auto"/>
        <w:jc w:val="both"/>
        <w:rPr>
          <w:rFonts w:ascii="Arial" w:hAnsi="Arial" w:cs="Arial"/>
          <w:i/>
          <w:iCs/>
          <w:sz w:val="20"/>
          <w:szCs w:val="20"/>
        </w:rPr>
      </w:pPr>
    </w:p>
    <w:p w14:paraId="7FB59ADB" w14:textId="78BE66C1" w:rsidR="00DC1BE7" w:rsidRPr="00C016DD" w:rsidRDefault="00DC1BE7" w:rsidP="00062B7A">
      <w:pPr>
        <w:spacing w:after="0" w:line="480" w:lineRule="auto"/>
        <w:jc w:val="both"/>
        <w:rPr>
          <w:rFonts w:ascii="Arial" w:hAnsi="Arial" w:cs="Arial"/>
          <w:i/>
          <w:iCs/>
          <w:sz w:val="20"/>
          <w:szCs w:val="20"/>
        </w:rPr>
      </w:pPr>
      <w:r w:rsidRPr="00C016DD">
        <w:rPr>
          <w:rFonts w:ascii="Arial" w:hAnsi="Arial" w:cs="Arial"/>
          <w:i/>
          <w:iCs/>
          <w:sz w:val="20"/>
          <w:szCs w:val="20"/>
        </w:rPr>
        <w:t>Dose Exposure Equivalence.</w:t>
      </w:r>
      <w:r w:rsidRPr="00C016DD">
        <w:rPr>
          <w:rFonts w:ascii="Arial" w:hAnsi="Arial" w:cs="Arial"/>
          <w:sz w:val="20"/>
          <w:szCs w:val="20"/>
        </w:rPr>
        <w:t xml:space="preserve"> A unique characteristic of rivaroxaban is the close </w:t>
      </w:r>
      <w:r w:rsidR="003928CB">
        <w:rPr>
          <w:rFonts w:ascii="Arial" w:hAnsi="Arial" w:cs="Arial"/>
          <w:sz w:val="20"/>
          <w:szCs w:val="20"/>
        </w:rPr>
        <w:t xml:space="preserve">pharmacokinetic/pharmacodynamic </w:t>
      </w:r>
      <w:r w:rsidRPr="00C016DD">
        <w:rPr>
          <w:rFonts w:ascii="Arial" w:hAnsi="Arial" w:cs="Arial"/>
          <w:sz w:val="20"/>
          <w:szCs w:val="20"/>
        </w:rPr>
        <w:t xml:space="preserve">correlation. For patients with </w:t>
      </w:r>
      <w:r w:rsidR="003928CB">
        <w:rPr>
          <w:rFonts w:ascii="Arial" w:hAnsi="Arial" w:cs="Arial"/>
          <w:sz w:val="20"/>
          <w:szCs w:val="20"/>
        </w:rPr>
        <w:t>atrial fibrillation (AF)</w:t>
      </w:r>
      <w:r w:rsidRPr="00C016DD">
        <w:rPr>
          <w:rFonts w:ascii="Arial" w:hAnsi="Arial" w:cs="Arial"/>
          <w:sz w:val="20"/>
          <w:szCs w:val="20"/>
        </w:rPr>
        <w:t xml:space="preserve"> and moderate renal impairment, previous population PK simulations showed that dose reduction to 15 mg OD would result in approximately similar drug exposure to patients with AF and normal or mildly impaired renal function receiving 20 mg OD, falling within the predefined range of 0.70-1.43 for drug exposure equivalence.</w:t>
      </w:r>
      <w:r w:rsidRPr="00C016DD">
        <w:rPr>
          <w:rFonts w:ascii="Arial" w:hAnsi="Arial" w:cs="Arial"/>
          <w:i/>
          <w:iCs/>
          <w:sz w:val="20"/>
          <w:szCs w:val="20"/>
        </w:rPr>
        <w:fldChar w:fldCharType="begin" w:fldLock="1"/>
      </w:r>
      <w:r w:rsidR="00516D49">
        <w:rPr>
          <w:rFonts w:ascii="Arial" w:hAnsi="Arial" w:cs="Arial"/>
          <w:i/>
          <w:iCs/>
          <w:sz w:val="20"/>
          <w:szCs w:val="20"/>
        </w:rPr>
        <w:instrText>ADDIN CSL_CITATION {"citationItems":[{"id":"ITEM-1","itemData":{"DOI":"10.1002/jcph.288","ISBN":"1552-4604; 0091-2700","ISSN":"15524604","PMID":"24668660","abstract":"Two once-daily rivaroxaban dosing regimens were compared with warfarin for stroke prevention in patients with non-valvular atrial fibrillation in ROCKET AF: 20 mg for patients with normal/mildly impaired renal function and 15 mg for patients with moderate renal impairment. Rivaroxaban population pharmacokinetic (PK)/pharmacodynamic (PD) modeling data from ROCKET AF patients (n = 161) are reported and are used to confirm established rivaroxaban PK and PK/PD models and to re-estimate values of the models' parameters for the current AF population. An oral one-compartment model with first-order absorption adequately described rivaroxaban PK. Age, renal function, and lean body mass influenced the PK model. Prothrombin time and prothrombinase-induced clotting time exhibited a near-linear relationship with rivaroxaban plasma concentration; inhibitory effects were observed through to 24 hours post-dose. Rivaroxaban plasma concentration and factor Xa activity had an inhibitory maximum-effect (Emax ) relationship. Renal function (on prothrombin time; prothrombinase-induced clotting time) and age (on factor Xa activity) had moderate effects on PK/PD models. PK and PK/PD models were shown to be adequate for describing the current dataset. These findings confirm the modeling and empirical results that led to the selection of doses tested against warfarin in ROCKET AF.","author":[{"dropping-particle":"","family":"Girgis","given":"I. G.","non-dropping-particle":"","parse-names":false,"suffix":""},{"dropping-particle":"","family":"Patel","given":"M. R.","non-dropping-particle":"","parse-names":false,"suffix":""},{"dropping-particle":"","family":"Peters","given":"G. R.","non-dropping-particle":"","parse-names":false,"suffix":""},{"dropping-particle":"","family":"Moore","given":"K. T.","non-dropping-particle":"","parse-names":false,"suffix":""},{"dropping-particle":"","family":"Mahaffey","given":"K. W.","non-dropping-particle":"","parse-names":false,"suffix":""},{"dropping-particle":"","family":"Nessel","given":"C. C.","non-dropping-particle":"","parse-names":false,"suffix":""},{"dropping-particle":"","family":"Halperin","given":"J. L.","non-dropping-particle":"","parse-names":false,"suffix":""},{"dropping-particle":"","family":"Califf","given":"R. M.","non-dropping-particle":"","parse-names":false,"suffix":""},{"dropping-particle":"","family":"Fox","given":"K. A A","non-dropping-particle":"","parse-names":false,"suffix":""},{"dropping-particle":"","family":"Becker","given":"R. C.","non-dropping-particle":"","parse-names":false,"suffix":""}],"container-title":"Journal of Clinical Pharmacology","id":"ITEM-1","issue":"8","issued":{"date-parts":[["2014"]]},"page":"917-927","title":"Population pharmacokinetics and pharmacodynamics of rivaroxaban in patients with non-valvular atrial fibrillation: Results from ROCKET AF","type":"article-journal","volume":"54"},"uris":["http://www.mendeley.com/documents/?uuid=1bd76796-df6b-4acf-ae79-f603db6a45a3"]}],"mendeley":{"formattedCitation":"&lt;sup&gt;41&lt;/sup&gt;","plainTextFormattedCitation":"41","previouslyFormattedCitation":"&lt;sup&gt;41&lt;/sup&gt;"},"properties":{"noteIndex":0},"schema":"https://github.com/citation-style-language/schema/raw/master/csl-citation.json"}</w:instrText>
      </w:r>
      <w:r w:rsidRPr="00C016DD">
        <w:rPr>
          <w:rFonts w:ascii="Arial" w:hAnsi="Arial" w:cs="Arial"/>
          <w:i/>
          <w:iCs/>
          <w:sz w:val="20"/>
          <w:szCs w:val="20"/>
        </w:rPr>
        <w:fldChar w:fldCharType="separate"/>
      </w:r>
      <w:r w:rsidR="006C6945" w:rsidRPr="006C6945">
        <w:rPr>
          <w:rFonts w:ascii="Arial" w:hAnsi="Arial" w:cs="Arial"/>
          <w:iCs/>
          <w:noProof/>
          <w:sz w:val="20"/>
          <w:szCs w:val="20"/>
          <w:vertAlign w:val="superscript"/>
        </w:rPr>
        <w:t>41</w:t>
      </w:r>
      <w:r w:rsidRPr="00C016DD">
        <w:rPr>
          <w:rFonts w:ascii="Arial" w:hAnsi="Arial" w:cs="Arial"/>
          <w:i/>
          <w:iCs/>
          <w:sz w:val="20"/>
          <w:szCs w:val="20"/>
        </w:rPr>
        <w:fldChar w:fldCharType="end"/>
      </w:r>
      <w:r w:rsidRPr="00C016DD">
        <w:rPr>
          <w:rFonts w:ascii="Arial" w:hAnsi="Arial" w:cs="Arial"/>
          <w:sz w:val="20"/>
          <w:szCs w:val="20"/>
        </w:rPr>
        <w:t xml:space="preserve"> This reduced dose was adapted for the ROCKET AF trial comparing rivaroxaban to warfarin where it was established that both safety and efficacy measures did not differ between mild and moderate renal impairment subgroups.</w:t>
      </w:r>
      <w:r w:rsidRPr="00C016DD">
        <w:rPr>
          <w:rFonts w:ascii="Arial" w:hAnsi="Arial" w:cs="Arial"/>
          <w:i/>
          <w:iCs/>
          <w:sz w:val="20"/>
          <w:szCs w:val="20"/>
        </w:rPr>
        <w:fldChar w:fldCharType="begin" w:fldLock="1"/>
      </w:r>
      <w:r w:rsidR="00516D49">
        <w:rPr>
          <w:rFonts w:ascii="Arial" w:hAnsi="Arial" w:cs="Arial"/>
          <w:i/>
          <w:iCs/>
          <w:sz w:val="20"/>
          <w:szCs w:val="20"/>
        </w:rPr>
        <w:instrText>ADDIN CSL_CITATION {"citationItems":[{"id":"ITEM-1","itemData":{"DOI":"10.1177/1753944716663156","ISBN":"1753944716","ISSN":"1753-9455","PMID":"27555569","abstract":"BACKGROUND The safety and efficacy of the oral anticoagulant rivaroxaban were studied in the Rivaroxaban Once Daily Oral Direct Factor Xa Inhibition Compared with Vitamin K Antagonism for Prevention of Stroke and Embolism Trial in Atrial Fibrillation (ROCKET AF trial). A number of subanalyses of the ROCKET AF trial have subsequently analyzed the use of rivaroxaban in special patient populations. METHODS The outcomes of the ROCKET AF trial were reviewed. The use of rivaroxaban in higher risk populations, as determined by the presence of co-morbidities included in the CHADS2 criteria, was analyzed. Requirements for dose adjustment in patients with renal impairment and in East Asian patients were described. Finally, clinical management challenges, including interruptions in therapy, drug discontinuation, management of bleeding events, drug interactions, and management of patients requiring cardioversion/ablation were reviewed. RESULTS Rivaroxaban is efficacious in high-risk populations, including elderly patients, patients with diabetes, heart failure, history of stroke, prior myocardial infarction, or peripheral arterial disease (PAD). Patients with PAD have a higher risk of bleeding with rivaroxaban compared with warfarin. East Asian populations do not require a dose adjustment for rivaroxaban, while a reduced dose of 15 mg daily is required for patients with moderate renal impairment. Rivaroxaban remains effective with temporary interruptions in therapy and in patients requiring cardioversion/ablation. Rates of major bleeding and subsequent outcomes were similar in patients on warfarin and rivaroxaban, although rates of gastrointestinal bleeding were higher with rivaroxaban. Concurrent use of antiarrhythmic therapy was not associated with adverse outcomes. CONCLUSIONS Rivaroxaban represents an efficacious alternative to warfarin in high-risk patients with AF. Dose adjustment is required for patients with moderate renal impairment. Rivaroxaban can be used safely in a number of challenging clinical management scenarios although the concurrent use of amiodarone requires more study.","author":[{"dropping-particle":"","family":"Shah","given":"Rohan","non-dropping-particle":"","parse-names":false,"suffix":""},{"dropping-particle":"","family":"Patel","given":"Manesh R","non-dropping-particle":"","parse-names":false,"suffix":""}],"container-title":"Therapeutic advances in cardiovascular disease","id":"ITEM-1","issue":"3","issued":{"date-parts":[["2017"]]},"page":"105-120","title":"Primary and key secondary results from the ROCKET AF trial, and their implications on clinical practice.","type":"article-journal","volume":"11"},"uris":["http://www.mendeley.com/documents/?uuid=5cc1e8f4-8bf4-37bd-8ca8-3261d6207a99"]}],"mendeley":{"formattedCitation":"&lt;sup&gt;42&lt;/sup&gt;","plainTextFormattedCitation":"42","previouslyFormattedCitation":"&lt;sup&gt;42&lt;/sup&gt;"},"properties":{"noteIndex":0},"schema":"https://github.com/citation-style-language/schema/raw/master/csl-citation.json"}</w:instrText>
      </w:r>
      <w:r w:rsidRPr="00C016DD">
        <w:rPr>
          <w:rFonts w:ascii="Arial" w:hAnsi="Arial" w:cs="Arial"/>
          <w:i/>
          <w:iCs/>
          <w:sz w:val="20"/>
          <w:szCs w:val="20"/>
        </w:rPr>
        <w:fldChar w:fldCharType="separate"/>
      </w:r>
      <w:r w:rsidR="006C6945" w:rsidRPr="006C6945">
        <w:rPr>
          <w:rFonts w:ascii="Arial" w:hAnsi="Arial" w:cs="Arial"/>
          <w:iCs/>
          <w:noProof/>
          <w:sz w:val="20"/>
          <w:szCs w:val="20"/>
          <w:vertAlign w:val="superscript"/>
        </w:rPr>
        <w:t>42</w:t>
      </w:r>
      <w:r w:rsidRPr="00C016DD">
        <w:rPr>
          <w:rFonts w:ascii="Arial" w:hAnsi="Arial" w:cs="Arial"/>
          <w:i/>
          <w:iCs/>
          <w:sz w:val="20"/>
          <w:szCs w:val="20"/>
        </w:rPr>
        <w:fldChar w:fldCharType="end"/>
      </w:r>
      <w:r w:rsidRPr="00C016DD">
        <w:rPr>
          <w:rFonts w:ascii="Arial" w:hAnsi="Arial" w:cs="Arial"/>
          <w:sz w:val="20"/>
          <w:szCs w:val="20"/>
        </w:rPr>
        <w:t xml:space="preserve"> Hence, simulated AUC fold changes of rivaroxaban in the presence of erlotinib or nilotinib were first evaluated using this prespecified dose-exposure equivalence statistic of 0.70-1.43 to determine if dose modifications would be warranted. </w:t>
      </w:r>
    </w:p>
    <w:p w14:paraId="49D6FCA3" w14:textId="77777777" w:rsidR="00062B7A" w:rsidRDefault="00062B7A" w:rsidP="00062B7A">
      <w:pPr>
        <w:spacing w:after="0" w:line="480" w:lineRule="auto"/>
        <w:jc w:val="both"/>
        <w:rPr>
          <w:rFonts w:ascii="Arial" w:hAnsi="Arial" w:cs="Arial"/>
          <w:i/>
          <w:iCs/>
          <w:sz w:val="20"/>
          <w:szCs w:val="20"/>
        </w:rPr>
      </w:pPr>
    </w:p>
    <w:p w14:paraId="7502C841" w14:textId="7D4BF132" w:rsidR="00DC1BE7" w:rsidRDefault="00DC1BE7" w:rsidP="00062B7A">
      <w:pPr>
        <w:spacing w:after="0" w:line="480" w:lineRule="auto"/>
        <w:jc w:val="both"/>
        <w:rPr>
          <w:rFonts w:ascii="Arial" w:hAnsi="Arial" w:cs="Arial"/>
          <w:color w:val="000000" w:themeColor="text1"/>
          <w:sz w:val="20"/>
          <w:szCs w:val="20"/>
        </w:rPr>
      </w:pPr>
      <w:r w:rsidRPr="00C016DD">
        <w:rPr>
          <w:rFonts w:ascii="Arial" w:hAnsi="Arial" w:cs="Arial"/>
          <w:i/>
          <w:iCs/>
          <w:sz w:val="20"/>
          <w:szCs w:val="20"/>
        </w:rPr>
        <w:t>Bleeding Risk Analyses.</w:t>
      </w:r>
      <w:r w:rsidRPr="00C016DD">
        <w:rPr>
          <w:rFonts w:ascii="Arial" w:hAnsi="Arial" w:cs="Arial"/>
          <w:sz w:val="20"/>
          <w:szCs w:val="20"/>
        </w:rPr>
        <w:t xml:space="preserve"> </w:t>
      </w:r>
      <w:r w:rsidRPr="00C016DD">
        <w:rPr>
          <w:rFonts w:ascii="Arial" w:hAnsi="Arial" w:cs="Arial"/>
          <w:color w:val="000000" w:themeColor="text1"/>
          <w:sz w:val="20"/>
          <w:szCs w:val="20"/>
        </w:rPr>
        <w:t xml:space="preserve">Based on reported outcomes from an exposure-response analysis, Ismail </w:t>
      </w:r>
      <w:r w:rsidRPr="00C016DD">
        <w:rPr>
          <w:rFonts w:ascii="Arial" w:hAnsi="Arial" w:cs="Arial"/>
          <w:i/>
          <w:color w:val="000000" w:themeColor="text1"/>
          <w:sz w:val="20"/>
          <w:szCs w:val="20"/>
        </w:rPr>
        <w:t>et al</w:t>
      </w:r>
      <w:r w:rsidRPr="00C016DD">
        <w:rPr>
          <w:rFonts w:ascii="Arial" w:hAnsi="Arial" w:cs="Arial"/>
          <w:color w:val="000000" w:themeColor="text1"/>
          <w:sz w:val="20"/>
          <w:szCs w:val="20"/>
        </w:rPr>
        <w:t xml:space="preserve"> utilized an exponential regression model to depict the relationship between risk of major bleeding and steady-state AUC</w:t>
      </w:r>
      <w:r w:rsidRPr="00C016DD">
        <w:rPr>
          <w:rFonts w:ascii="Arial" w:hAnsi="Arial" w:cs="Arial"/>
          <w:color w:val="000000" w:themeColor="text1"/>
          <w:sz w:val="20"/>
          <w:szCs w:val="20"/>
          <w:vertAlign w:val="subscript"/>
        </w:rPr>
        <w:t xml:space="preserve">0-24h </w:t>
      </w:r>
      <w:r w:rsidRPr="00C016DD">
        <w:rPr>
          <w:rFonts w:ascii="Arial" w:hAnsi="Arial" w:cs="Arial"/>
          <w:color w:val="000000" w:themeColor="text1"/>
          <w:sz w:val="20"/>
          <w:szCs w:val="20"/>
        </w:rPr>
        <w:t xml:space="preserve">as shown in </w:t>
      </w:r>
      <w:r w:rsidRPr="00C016DD">
        <w:rPr>
          <w:rFonts w:ascii="Arial" w:hAnsi="Arial" w:cs="Arial"/>
          <w:b/>
          <w:color w:val="000000" w:themeColor="text1"/>
          <w:sz w:val="20"/>
          <w:szCs w:val="20"/>
        </w:rPr>
        <w:t xml:space="preserve">Equation </w:t>
      </w:r>
      <w:r w:rsidR="006D1DEB">
        <w:rPr>
          <w:rFonts w:ascii="Arial" w:hAnsi="Arial" w:cs="Arial"/>
          <w:b/>
          <w:color w:val="000000" w:themeColor="text1"/>
          <w:sz w:val="20"/>
          <w:szCs w:val="20"/>
        </w:rPr>
        <w:t>4</w:t>
      </w:r>
      <w:r w:rsidRPr="00C016DD">
        <w:rPr>
          <w:rFonts w:ascii="Arial" w:hAnsi="Arial" w:cs="Arial"/>
          <w:bCs/>
          <w:color w:val="000000" w:themeColor="text1"/>
          <w:sz w:val="20"/>
          <w:szCs w:val="20"/>
        </w:rPr>
        <w:t>.</w:t>
      </w:r>
      <w:r w:rsidRPr="00C016DD">
        <w:rPr>
          <w:rFonts w:ascii="Arial" w:hAnsi="Arial" w:cs="Arial"/>
          <w:color w:val="000000" w:themeColor="text1"/>
          <w:sz w:val="20"/>
          <w:szCs w:val="20"/>
        </w:rPr>
        <w:fldChar w:fldCharType="begin" w:fldLock="1"/>
      </w:r>
      <w:r w:rsidR="00DF0BB4">
        <w:rPr>
          <w:rFonts w:ascii="Arial" w:hAnsi="Arial" w:cs="Arial"/>
          <w:color w:val="000000" w:themeColor="text1"/>
          <w:sz w:val="20"/>
          <w:szCs w:val="20"/>
        </w:rPr>
        <w:instrText>ADDIN CSL_CITATION {"citationItems":[{"id":"ITEM-1","itemData":{"DOI":"10.1002/jcph.1044","ISBN":"1552-4604 (Electronic)\r0091-2700 (Linking)","ISSN":"15524604","PMID":"29239000","abstract":"Current dosing recommendations for rivaroxaban advocate dosage reduction in patients with moderate to severe renal impairment and avoidance of concomitant strong inhibitors of CYP3A or P-glycoprotein. However, rivaroxaban dosing in patients with mild renal impairment taking concomitant moderate inhibitors of CYP3A and P-glycoprotein is not addressed. To quantify the impacts of concomitant verapamil administration and renal impairment on rivaroxaban pharmacokinetics, a minimal physiologically based pharmacokinetic model system was developed and used to evaluate potential increases in rivaroxaban exposure and the consequent increase in risk of major bleeding. Data from a phase 1, drug-drug interaction study were used to qualify the minimal physiologically based pharmacokinetic model system. Model-based simulations indicate that coadministration of rivaroxaban with verapamil substantially increases rivaroxaban exposure across all renal function categories, resulting in an exponential increase in bleeding risk. Reduction of the daily rivaroxaban dose to 10 to 15 mg reduces the major bleeding risk below the designated 4.5% threshold in the majority of patients with normal or mildly impaired renal function. A reduction to 10 mg daily in patients with moderate to severe renal impairment provides additional risk reduction so that 90% of those patients fall below the 4.5% threshold. A risk threshold of 4.5% was selected because it is the median predicted risk in patients treated concomitantly with ketoconazole, which is contraindicated for use with rivaroxaban. Patients taking both rivaroxaban and verapamil should take a reduced daily dose of rivaroxaban to minimize bleeding risk.","author":[{"dropping-particle":"","family":"Ismail","given":"Mohamed","non-dropping-particle":"","parse-names":false,"suffix":""},{"dropping-particle":"","family":"Lee","given":"Vincent H.","non-dropping-particle":"","parse-names":false,"suffix":""},{"dropping-particle":"","family":"Chow","given":"Christina R.","non-dropping-particle":"","parse-names":false,"suffix":""},{"dropping-particle":"","family":"Rubino","given":"Christopher M.","non-dropping-particle":"","parse-names":false,"suffix":""}],"container-title":"Journal of Clinical Pharmacology","id":"ITEM-1","issue":"4","issued":{"date-parts":[["2018"]]},"page":"541-548","title":"Minimal Physiologically Based Pharmacokinetic and Drug-Drug-Disease Interaction Model of Rivaroxaban and Verapamil in Healthy and Renally Impaired Subjects","type":"article-journal","volume":"58"},"uris":["http://www.mendeley.com/documents/?uuid=adfe7b23-fcfe-4293-b30b-0ad5af883773"]}],"mendeley":{"formattedCitation":"&lt;sup&gt;10&lt;/sup&gt;","plainTextFormattedCitation":"10","previouslyFormattedCitation":"&lt;sup&gt;10&lt;/sup&gt;"},"properties":{"noteIndex":0},"schema":"https://github.com/citation-style-language/schema/raw/master/csl-citation.json"}</w:instrText>
      </w:r>
      <w:r w:rsidRPr="00C016DD">
        <w:rPr>
          <w:rFonts w:ascii="Arial" w:hAnsi="Arial" w:cs="Arial"/>
          <w:color w:val="000000" w:themeColor="text1"/>
          <w:sz w:val="20"/>
          <w:szCs w:val="20"/>
        </w:rPr>
        <w:fldChar w:fldCharType="separate"/>
      </w:r>
      <w:r w:rsidR="00BD1DF4" w:rsidRPr="00BD1DF4">
        <w:rPr>
          <w:rFonts w:ascii="Arial" w:hAnsi="Arial" w:cs="Arial"/>
          <w:noProof/>
          <w:color w:val="000000" w:themeColor="text1"/>
          <w:sz w:val="20"/>
          <w:szCs w:val="20"/>
          <w:vertAlign w:val="superscript"/>
        </w:rPr>
        <w:t>10</w:t>
      </w:r>
      <w:r w:rsidRPr="00C016DD">
        <w:rPr>
          <w:rFonts w:ascii="Arial" w:hAnsi="Arial" w:cs="Arial"/>
          <w:color w:val="000000" w:themeColor="text1"/>
          <w:sz w:val="20"/>
          <w:szCs w:val="20"/>
        </w:rPr>
        <w:fldChar w:fldCharType="end"/>
      </w:r>
    </w:p>
    <w:p w14:paraId="657104D8" w14:textId="77777777" w:rsidR="00062B7A" w:rsidRPr="00C016DD" w:rsidRDefault="00062B7A" w:rsidP="00062B7A">
      <w:pPr>
        <w:spacing w:after="0" w:line="480" w:lineRule="auto"/>
        <w:jc w:val="both"/>
        <w:rPr>
          <w:rFonts w:ascii="Arial" w:hAnsi="Arial" w:cs="Arial"/>
          <w:color w:val="000000" w:themeColor="text1"/>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3"/>
        <w:gridCol w:w="803"/>
      </w:tblGrid>
      <w:tr w:rsidR="00DC1BE7" w:rsidRPr="00C016DD" w14:paraId="7A107C55" w14:textId="77777777" w:rsidTr="006D1DEB">
        <w:trPr>
          <w:trHeight w:val="344"/>
        </w:trPr>
        <w:tc>
          <w:tcPr>
            <w:tcW w:w="4555" w:type="pct"/>
          </w:tcPr>
          <w:p w14:paraId="06C959D5" w14:textId="77777777" w:rsidR="00DC1BE7" w:rsidRPr="00C016DD" w:rsidRDefault="00DC1BE7" w:rsidP="00062B7A">
            <w:pPr>
              <w:autoSpaceDE w:val="0"/>
              <w:autoSpaceDN w:val="0"/>
              <w:adjustRightInd w:val="0"/>
              <w:spacing w:line="480" w:lineRule="auto"/>
              <w:jc w:val="both"/>
              <w:rPr>
                <w:rFonts w:ascii="Arial" w:hAnsi="Arial" w:cs="Arial"/>
                <w:color w:val="000000" w:themeColor="text1"/>
                <w:sz w:val="20"/>
                <w:szCs w:val="20"/>
              </w:rPr>
            </w:pPr>
            <m:oMathPara>
              <m:oMath>
                <m:r>
                  <w:rPr>
                    <w:rFonts w:ascii="Cambria Math" w:hAnsi="Cambria Math" w:cs="Arial"/>
                    <w:color w:val="000000" w:themeColor="text1"/>
                    <w:sz w:val="20"/>
                    <w:szCs w:val="20"/>
                  </w:rPr>
                  <m:t xml:space="preserve">Risk of major bleeding </m:t>
                </m:r>
                <m:d>
                  <m:dPr>
                    <m:ctrlPr>
                      <w:rPr>
                        <w:rFonts w:ascii="Cambria Math" w:hAnsi="Cambria Math" w:cs="Arial"/>
                        <w:i/>
                        <w:color w:val="000000" w:themeColor="text1"/>
                        <w:sz w:val="20"/>
                        <w:szCs w:val="20"/>
                      </w:rPr>
                    </m:ctrlPr>
                  </m:dPr>
                  <m:e>
                    <m:r>
                      <w:rPr>
                        <w:rFonts w:ascii="Cambria Math" w:hAnsi="Cambria Math" w:cs="Arial"/>
                        <w:color w:val="000000" w:themeColor="text1"/>
                        <w:sz w:val="20"/>
                        <w:szCs w:val="20"/>
                      </w:rPr>
                      <m:t>%</m:t>
                    </m:r>
                  </m:e>
                </m:d>
                <m:r>
                  <w:rPr>
                    <w:rFonts w:ascii="Cambria Math" w:hAnsi="Cambria Math" w:cs="Arial"/>
                    <w:color w:val="000000" w:themeColor="text1"/>
                    <w:sz w:val="20"/>
                    <w:szCs w:val="20"/>
                  </w:rPr>
                  <m:t xml:space="preserve">= 1.79 x </m:t>
                </m:r>
                <m:sSup>
                  <m:sSupPr>
                    <m:ctrlPr>
                      <w:rPr>
                        <w:rFonts w:ascii="Cambria Math" w:hAnsi="Cambria Math" w:cs="Arial"/>
                        <w:color w:val="000000" w:themeColor="text1"/>
                        <w:sz w:val="20"/>
                        <w:szCs w:val="20"/>
                      </w:rPr>
                    </m:ctrlPr>
                  </m:sSupPr>
                  <m:e>
                    <m:r>
                      <w:rPr>
                        <w:rFonts w:ascii="Cambria Math" w:hAnsi="Cambria Math" w:cs="Arial"/>
                        <w:color w:val="000000" w:themeColor="text1"/>
                        <w:sz w:val="20"/>
                        <w:szCs w:val="20"/>
                      </w:rPr>
                      <m:t>1.32</m:t>
                    </m:r>
                  </m:e>
                  <m:sup>
                    <m:r>
                      <m:rPr>
                        <m:sty m:val="p"/>
                      </m:rPr>
                      <w:rPr>
                        <w:rFonts w:ascii="Cambria Math" w:hAnsi="Cambria Math" w:cs="Arial"/>
                        <w:color w:val="000000" w:themeColor="text1"/>
                        <w:sz w:val="20"/>
                        <w:szCs w:val="20"/>
                      </w:rPr>
                      <m:t>AUC</m:t>
                    </m:r>
                    <m:r>
                      <m:rPr>
                        <m:sty m:val="p"/>
                      </m:rPr>
                      <w:rPr>
                        <w:rFonts w:ascii="Cambria Math" w:hAnsi="Cambria Math" w:cs="Arial"/>
                        <w:color w:val="000000" w:themeColor="text1"/>
                        <w:sz w:val="20"/>
                        <w:szCs w:val="20"/>
                        <w:vertAlign w:val="subscript"/>
                      </w:rPr>
                      <m:t>0-24h</m:t>
                    </m:r>
                  </m:sup>
                </m:sSup>
              </m:oMath>
            </m:oMathPara>
          </w:p>
        </w:tc>
        <w:tc>
          <w:tcPr>
            <w:tcW w:w="445" w:type="pct"/>
            <w:vAlign w:val="center"/>
          </w:tcPr>
          <w:p w14:paraId="7587E95D" w14:textId="24FA0378" w:rsidR="00DC1BE7" w:rsidRPr="00C016DD" w:rsidRDefault="00DC1BE7" w:rsidP="00062B7A">
            <w:pPr>
              <w:spacing w:line="480" w:lineRule="auto"/>
              <w:jc w:val="center"/>
              <w:rPr>
                <w:rFonts w:ascii="Arial" w:hAnsi="Arial" w:cs="Arial"/>
                <w:color w:val="000000" w:themeColor="text1"/>
                <w:sz w:val="20"/>
                <w:szCs w:val="20"/>
              </w:rPr>
            </w:pPr>
            <w:r w:rsidRPr="00C016DD">
              <w:rPr>
                <w:rFonts w:ascii="Arial" w:hAnsi="Arial" w:cs="Arial"/>
                <w:color w:val="000000" w:themeColor="text1"/>
                <w:sz w:val="20"/>
                <w:szCs w:val="20"/>
              </w:rPr>
              <w:t>(</w:t>
            </w:r>
            <w:r w:rsidR="006D1DEB" w:rsidRPr="00312A81">
              <w:rPr>
                <w:rFonts w:ascii="Arial" w:hAnsi="Arial" w:cs="Arial"/>
                <w:b/>
                <w:bCs/>
                <w:color w:val="000000" w:themeColor="text1"/>
                <w:sz w:val="20"/>
                <w:szCs w:val="20"/>
              </w:rPr>
              <w:t>4</w:t>
            </w:r>
            <w:r w:rsidRPr="00C016DD">
              <w:rPr>
                <w:rFonts w:ascii="Arial" w:hAnsi="Arial" w:cs="Arial"/>
                <w:color w:val="000000" w:themeColor="text1"/>
                <w:sz w:val="20"/>
                <w:szCs w:val="20"/>
              </w:rPr>
              <w:t>)</w:t>
            </w:r>
          </w:p>
        </w:tc>
      </w:tr>
    </w:tbl>
    <w:p w14:paraId="3833B3F4" w14:textId="77777777" w:rsidR="00947540" w:rsidRPr="00C016DD" w:rsidRDefault="00947540" w:rsidP="00062B7A">
      <w:pPr>
        <w:spacing w:after="0" w:line="480" w:lineRule="auto"/>
        <w:jc w:val="both"/>
        <w:rPr>
          <w:rFonts w:ascii="Arial" w:hAnsi="Arial" w:cs="Arial"/>
          <w:sz w:val="20"/>
          <w:szCs w:val="20"/>
        </w:rPr>
      </w:pPr>
    </w:p>
    <w:p w14:paraId="2C25606C" w14:textId="788CD536" w:rsidR="00947540" w:rsidRPr="00C016DD" w:rsidRDefault="00DC1BE7" w:rsidP="00062B7A">
      <w:pPr>
        <w:spacing w:after="0" w:line="480" w:lineRule="auto"/>
        <w:jc w:val="both"/>
        <w:rPr>
          <w:rFonts w:ascii="Arial" w:hAnsi="Arial" w:cs="Arial"/>
          <w:sz w:val="20"/>
          <w:szCs w:val="20"/>
        </w:rPr>
      </w:pPr>
      <w:r w:rsidRPr="00C016DD">
        <w:rPr>
          <w:rFonts w:ascii="Arial" w:hAnsi="Arial" w:cs="Arial"/>
          <w:sz w:val="20"/>
          <w:szCs w:val="20"/>
        </w:rPr>
        <w:t>According to published analyses, a 10 mg dose of rivaroxaban yields a major bleeding risk of 4.5% when used concurrently with a combined P-gp and strong CYP450 inhibitor.</w:t>
      </w:r>
      <w:r w:rsidRPr="00C016DD">
        <w:rPr>
          <w:rFonts w:ascii="Arial" w:hAnsi="Arial" w:cs="Arial"/>
          <w:i/>
          <w:iCs/>
          <w:sz w:val="20"/>
          <w:szCs w:val="20"/>
        </w:rPr>
        <w:fldChar w:fldCharType="begin" w:fldLock="1"/>
      </w:r>
      <w:r w:rsidR="00516D49">
        <w:rPr>
          <w:rFonts w:ascii="Arial" w:hAnsi="Arial" w:cs="Arial"/>
          <w:i/>
          <w:iCs/>
          <w:sz w:val="20"/>
          <w:szCs w:val="20"/>
        </w:rPr>
        <w:instrText>ADDIN CSL_CITATION {"citationItems":[{"id":"ITEM-1","itemData":{"author":[{"dropping-particle":"","family":"US FDA","given":"","non-dropping-particle":"","parse-names":false,"suffix":""}],"id":"ITEM-1","issued":{"date-parts":[["2011"]]},"title":"XARELTO (rivaroxaban). Clinical Pharmacology and Biopharmaceutics Review","type":"webpage"},"uris":["http://www.mendeley.com/documents/?uuid=4d3ca5f8-8e04-3570-aa18-b4c1aebbc025"]}],"mendeley":{"formattedCitation":"&lt;sup&gt;43&lt;/sup&gt;","plainTextFormattedCitation":"43","previouslyFormattedCitation":"&lt;sup&gt;43&lt;/sup&gt;"},"properties":{"noteIndex":0},"schema":"https://github.com/citation-style-language/schema/raw/master/csl-citation.json"}</w:instrText>
      </w:r>
      <w:r w:rsidRPr="00C016DD">
        <w:rPr>
          <w:rFonts w:ascii="Arial" w:hAnsi="Arial" w:cs="Arial"/>
          <w:i/>
          <w:iCs/>
          <w:sz w:val="20"/>
          <w:szCs w:val="20"/>
        </w:rPr>
        <w:fldChar w:fldCharType="separate"/>
      </w:r>
      <w:r w:rsidR="006C6945" w:rsidRPr="006C6945">
        <w:rPr>
          <w:rFonts w:ascii="Arial" w:hAnsi="Arial" w:cs="Arial"/>
          <w:iCs/>
          <w:noProof/>
          <w:sz w:val="20"/>
          <w:szCs w:val="20"/>
          <w:vertAlign w:val="superscript"/>
        </w:rPr>
        <w:t>43</w:t>
      </w:r>
      <w:r w:rsidRPr="00C016DD">
        <w:rPr>
          <w:rFonts w:ascii="Arial" w:hAnsi="Arial" w:cs="Arial"/>
          <w:i/>
          <w:iCs/>
          <w:sz w:val="20"/>
          <w:szCs w:val="20"/>
        </w:rPr>
        <w:fldChar w:fldCharType="end"/>
      </w:r>
      <w:r w:rsidRPr="00C016DD">
        <w:rPr>
          <w:rFonts w:ascii="Arial" w:hAnsi="Arial" w:cs="Arial"/>
          <w:sz w:val="20"/>
          <w:szCs w:val="20"/>
        </w:rPr>
        <w:t xml:space="preserve"> As a result, ketoconazole, a combined P-gp and strong CYP inhibitor is contraindicated with all doses of rivaroxaban.</w:t>
      </w:r>
      <w:r w:rsidRPr="00C016DD">
        <w:rPr>
          <w:rFonts w:ascii="Arial" w:hAnsi="Arial" w:cs="Arial"/>
          <w:i/>
          <w:iCs/>
          <w:sz w:val="20"/>
          <w:szCs w:val="20"/>
        </w:rPr>
        <w:fldChar w:fldCharType="begin" w:fldLock="1"/>
      </w:r>
      <w:r w:rsidR="00516D49">
        <w:rPr>
          <w:rFonts w:ascii="Arial" w:hAnsi="Arial" w:cs="Arial"/>
          <w:i/>
          <w:iCs/>
          <w:sz w:val="20"/>
          <w:szCs w:val="20"/>
        </w:rPr>
        <w:instrText>ADDIN CSL_CITATION {"citationItems":[{"id":"ITEM-1","itemData":{"author":[{"dropping-particle":"","family":"US FDA","given":"","non-dropping-particle":"","parse-names":false,"suffix":""}],"id":"ITEM-1","issued":{"date-parts":[["2011"]]},"title":"XARELTO (rivaroxaban). Clinical Pharmacology and Biopharmaceutics Review","type":"webpage"},"uris":["http://www.mendeley.com/documents/?uuid=4d3ca5f8-8e04-3570-aa18-b4c1aebbc025"]},{"id":"ITEM-2","itemData":{"DOI":"10.1111/bcp.12075","ISSN":"1365-2125","PMID":"23305158","abstract":"AIMS The anticoagulant rivaroxaban is an oral, direct Factor Xa inhibitor for the management of thromboembolic disorders. Metabolism and excretion involve cytochrome P450 3A4 (CYP3A4) and 2J2 (CYP2J2), CYP-independent mechanisms, and P-glycoprotein (P-gp) and breast cancer resistance protein (Bcrp) (ABCG2). METHODS The pharmacokinetic effects of substrates or inhibitors of CYP3A4, P-gp and Bcrp (ABCG2) on rivaroxaban were studied in healthy volunteers. RESULTS Rivaroxaban did not interact with midazolam (CYP3A4 probe substrate). Exposure to rivaroxaban when co-administered with midazolam was slightly decreased by 11% (95% confidence interval [CI] -28%, 7%) compared with rivaroxaban alone. The following drugs moderately affected rivaroxaban exposure, but not to a clinically relevant extent: erythromycin (moderate CYP3A4/P-gp inhibitor; 34% increase [95% CI 23%, 46%]), clarithromycin (strong CYP3A4/moderate P-gp inhibitor; 54% increase [95% CI 44%, 64%]) and fluconazole (moderate CYP3A4, possible Bcrp [ABCG2] inhibitor; 42% increase [95% CI 29%, 56%]). A significant increase in rivaroxaban exposure was demonstrated with the strong CYP3A4, P-gp/Bcrp (ABCG2) inhibitors (and potential CYP2J2 inhibitors) ketoconazole (158% increase [95% CI 136%, 182%] for a 400 mg once daily dose) and ritonavir (153% increase [95% CI 134%, 174%]). CONCLUSIONS Results suggest that rivaroxaban may be co-administered with CYP3A4 and/or P-gp substrates/moderate inhibitors, but not with strong combined CYP3A4, P-gp and Bcrp (ABCG2) inhibitors (mainly comprising azole-antimycotics, apart from fluconazole, and HIV protease inhibitors), which are multi-pathway inhibitors of rivaroxaban clearance and elimination.","author":[{"dropping-particle":"","family":"Mueck","given":"Wolfgang","non-dropping-particle":"","parse-names":false,"suffix":""},{"dropping-particle":"","family":"Kubitza","given":"Dagmar","non-dropping-particle":"","parse-names":false,"suffix":""},{"dropping-particle":"","family":"Becka","given":"Michael","non-dropping-particle":"","parse-names":false,"suffix":""}],"container-title":"British journal of clinical pharmacology","id":"ITEM-2","issue":"3","issued":{"date-parts":[["2013","9"]]},"page":"455-466","title":"Co-administration of rivaroxaban with drugs that share its elimination pathways: pharmacokinetic effects in healthy subjects.","type":"article-journal","volume":"76"},"uris":["http://www.mendeley.com/documents/?uuid=f3dde3be-e4fc-3a61-909f-a12c00e36b9e"]}],"mendeley":{"formattedCitation":"&lt;sup&gt;43,44&lt;/sup&gt;","plainTextFormattedCitation":"43,44","previouslyFormattedCitation":"&lt;sup&gt;43,44&lt;/sup&gt;"},"properties":{"noteIndex":0},"schema":"https://github.com/citation-style-language/schema/raw/master/csl-citation.json"}</w:instrText>
      </w:r>
      <w:r w:rsidRPr="00C016DD">
        <w:rPr>
          <w:rFonts w:ascii="Arial" w:hAnsi="Arial" w:cs="Arial"/>
          <w:i/>
          <w:iCs/>
          <w:sz w:val="20"/>
          <w:szCs w:val="20"/>
        </w:rPr>
        <w:fldChar w:fldCharType="separate"/>
      </w:r>
      <w:r w:rsidR="006C6945" w:rsidRPr="006C6945">
        <w:rPr>
          <w:rFonts w:ascii="Arial" w:hAnsi="Arial" w:cs="Arial"/>
          <w:iCs/>
          <w:noProof/>
          <w:sz w:val="20"/>
          <w:szCs w:val="20"/>
          <w:vertAlign w:val="superscript"/>
        </w:rPr>
        <w:t>43,44</w:t>
      </w:r>
      <w:r w:rsidRPr="00C016DD">
        <w:rPr>
          <w:rFonts w:ascii="Arial" w:hAnsi="Arial" w:cs="Arial"/>
          <w:i/>
          <w:iCs/>
          <w:sz w:val="20"/>
          <w:szCs w:val="20"/>
        </w:rPr>
        <w:fldChar w:fldCharType="end"/>
      </w:r>
      <w:r w:rsidRPr="00C016DD">
        <w:rPr>
          <w:rFonts w:ascii="Arial" w:hAnsi="Arial" w:cs="Arial"/>
          <w:sz w:val="20"/>
          <w:szCs w:val="20"/>
        </w:rPr>
        <w:t xml:space="preserve"> Hence, it follows that the objective of any dose modifications should entail reducing the bleeding risk to under 4.5%. To determine if dose adjustments would be required for rivaroxaban in the presence of erlotinib or nilotinib, simulated AUC</w:t>
      </w:r>
      <w:r w:rsidRPr="00C016DD">
        <w:rPr>
          <w:rFonts w:ascii="Arial" w:hAnsi="Arial" w:cs="Arial"/>
          <w:sz w:val="20"/>
          <w:szCs w:val="20"/>
          <w:vertAlign w:val="subscript"/>
        </w:rPr>
        <w:t xml:space="preserve">0-24h </w:t>
      </w:r>
      <w:r w:rsidRPr="00C016DD">
        <w:rPr>
          <w:rFonts w:ascii="Arial" w:hAnsi="Arial" w:cs="Arial"/>
          <w:sz w:val="20"/>
          <w:szCs w:val="20"/>
        </w:rPr>
        <w:t xml:space="preserve">of rivaroxaban were incorporated into </w:t>
      </w:r>
      <w:r w:rsidRPr="00C016DD">
        <w:rPr>
          <w:rFonts w:ascii="Arial" w:hAnsi="Arial" w:cs="Arial"/>
          <w:b/>
          <w:bCs/>
          <w:sz w:val="20"/>
          <w:szCs w:val="20"/>
        </w:rPr>
        <w:t xml:space="preserve">Equation </w:t>
      </w:r>
      <w:r w:rsidR="00312A81">
        <w:rPr>
          <w:rFonts w:ascii="Arial" w:hAnsi="Arial" w:cs="Arial"/>
          <w:b/>
          <w:bCs/>
          <w:sz w:val="20"/>
          <w:szCs w:val="20"/>
        </w:rPr>
        <w:t>4</w:t>
      </w:r>
      <w:r w:rsidRPr="00C016DD">
        <w:rPr>
          <w:rFonts w:ascii="Arial" w:hAnsi="Arial" w:cs="Arial"/>
          <w:sz w:val="20"/>
          <w:szCs w:val="20"/>
        </w:rPr>
        <w:t xml:space="preserve"> for calculation of major bleeding risks.</w:t>
      </w:r>
    </w:p>
    <w:p w14:paraId="0248A715" w14:textId="46C05CFD" w:rsidR="00A563E5" w:rsidRPr="00C016DD" w:rsidRDefault="00A563E5" w:rsidP="00062B7A">
      <w:pPr>
        <w:spacing w:after="0" w:line="480" w:lineRule="auto"/>
        <w:jc w:val="both"/>
        <w:rPr>
          <w:rFonts w:ascii="Arial" w:hAnsi="Arial" w:cs="Arial"/>
          <w:bCs/>
          <w:sz w:val="20"/>
          <w:szCs w:val="20"/>
        </w:rPr>
      </w:pPr>
    </w:p>
    <w:p w14:paraId="4C35A4FA" w14:textId="28149FA9" w:rsidR="00A563E5" w:rsidRPr="006B7128" w:rsidRDefault="006B7128" w:rsidP="00062B7A">
      <w:pPr>
        <w:spacing w:after="0" w:line="480" w:lineRule="auto"/>
        <w:jc w:val="both"/>
        <w:rPr>
          <w:rFonts w:ascii="Arial" w:hAnsi="Arial" w:cs="Arial"/>
          <w:b/>
          <w:sz w:val="20"/>
          <w:szCs w:val="20"/>
        </w:rPr>
      </w:pPr>
      <w:r w:rsidRPr="006B7128">
        <w:rPr>
          <w:rFonts w:ascii="Arial" w:hAnsi="Arial" w:cs="Arial"/>
          <w:b/>
          <w:sz w:val="20"/>
          <w:szCs w:val="20"/>
        </w:rPr>
        <w:lastRenderedPageBreak/>
        <w:t>Results</w:t>
      </w:r>
    </w:p>
    <w:p w14:paraId="17A0CBAE" w14:textId="1B6B158F" w:rsidR="00A563E5" w:rsidRPr="00C016DD" w:rsidRDefault="00DD5F1B" w:rsidP="00062B7A">
      <w:pPr>
        <w:spacing w:after="0" w:line="480" w:lineRule="auto"/>
        <w:jc w:val="both"/>
        <w:rPr>
          <w:rFonts w:ascii="Arial" w:hAnsi="Arial" w:cs="Arial"/>
          <w:sz w:val="20"/>
          <w:szCs w:val="20"/>
        </w:rPr>
      </w:pPr>
      <w:bookmarkStart w:id="8" w:name="OLE_LINK19"/>
      <w:r w:rsidRPr="00AA5618">
        <w:rPr>
          <w:rFonts w:ascii="Arial" w:hAnsi="Arial" w:cs="Arial"/>
          <w:b/>
          <w:bCs/>
          <w:sz w:val="20"/>
          <w:szCs w:val="20"/>
        </w:rPr>
        <w:t xml:space="preserve">Consideration of </w:t>
      </w:r>
      <w:r w:rsidR="009D3144" w:rsidRPr="00AA5618">
        <w:rPr>
          <w:rFonts w:ascii="Arial" w:hAnsi="Arial" w:cs="Arial"/>
          <w:b/>
          <w:bCs/>
          <w:sz w:val="20"/>
          <w:szCs w:val="20"/>
        </w:rPr>
        <w:t>OAT3 Inhibition</w:t>
      </w:r>
      <w:r w:rsidR="00DF4F82" w:rsidRPr="00AA5618">
        <w:rPr>
          <w:rFonts w:ascii="Arial" w:hAnsi="Arial" w:cs="Arial"/>
          <w:b/>
          <w:bCs/>
          <w:sz w:val="20"/>
          <w:szCs w:val="20"/>
        </w:rPr>
        <w:t xml:space="preserve"> </w:t>
      </w:r>
      <w:r w:rsidR="009D3144" w:rsidRPr="00AA5618">
        <w:rPr>
          <w:rFonts w:ascii="Arial" w:hAnsi="Arial" w:cs="Arial"/>
          <w:b/>
          <w:bCs/>
          <w:sz w:val="20"/>
          <w:szCs w:val="20"/>
        </w:rPr>
        <w:t xml:space="preserve">Enabled </w:t>
      </w:r>
      <w:r w:rsidR="00A563E5" w:rsidRPr="00AA5618">
        <w:rPr>
          <w:rFonts w:ascii="Arial" w:hAnsi="Arial" w:cs="Arial"/>
          <w:b/>
          <w:bCs/>
          <w:sz w:val="20"/>
          <w:szCs w:val="20"/>
        </w:rPr>
        <w:t xml:space="preserve">Successful recapitulation of </w:t>
      </w:r>
      <w:r w:rsidR="009D3144" w:rsidRPr="00AA5618">
        <w:rPr>
          <w:rFonts w:ascii="Arial" w:hAnsi="Arial" w:cs="Arial"/>
          <w:b/>
          <w:bCs/>
          <w:sz w:val="20"/>
          <w:szCs w:val="20"/>
        </w:rPr>
        <w:t>T</w:t>
      </w:r>
      <w:r w:rsidR="00A563E5" w:rsidRPr="00AA5618">
        <w:rPr>
          <w:rFonts w:ascii="Arial" w:hAnsi="Arial" w:cs="Arial"/>
          <w:b/>
          <w:bCs/>
          <w:sz w:val="20"/>
          <w:szCs w:val="20"/>
        </w:rPr>
        <w:t xml:space="preserve">ransporter-mediated DDIs between </w:t>
      </w:r>
      <w:r w:rsidR="009D3144" w:rsidRPr="00AA5618">
        <w:rPr>
          <w:rFonts w:ascii="Arial" w:hAnsi="Arial" w:cs="Arial"/>
          <w:b/>
          <w:bCs/>
          <w:sz w:val="20"/>
          <w:szCs w:val="20"/>
        </w:rPr>
        <w:t>R</w:t>
      </w:r>
      <w:r w:rsidR="00A563E5" w:rsidRPr="00AA5618">
        <w:rPr>
          <w:rFonts w:ascii="Arial" w:hAnsi="Arial" w:cs="Arial"/>
          <w:b/>
          <w:bCs/>
          <w:sz w:val="20"/>
          <w:szCs w:val="20"/>
        </w:rPr>
        <w:t xml:space="preserve">ivaroxaban and </w:t>
      </w:r>
      <w:r w:rsidR="009D3144" w:rsidRPr="00AA5618">
        <w:rPr>
          <w:rFonts w:ascii="Arial" w:hAnsi="Arial" w:cs="Arial"/>
          <w:b/>
          <w:bCs/>
          <w:sz w:val="20"/>
          <w:szCs w:val="20"/>
        </w:rPr>
        <w:t>K</w:t>
      </w:r>
      <w:r w:rsidR="00A563E5" w:rsidRPr="00AA5618">
        <w:rPr>
          <w:rFonts w:ascii="Arial" w:hAnsi="Arial" w:cs="Arial"/>
          <w:b/>
          <w:bCs/>
          <w:sz w:val="20"/>
          <w:szCs w:val="20"/>
        </w:rPr>
        <w:t>etoconazol</w:t>
      </w:r>
      <w:bookmarkEnd w:id="8"/>
      <w:r w:rsidR="00AC1E10" w:rsidRPr="00AA5618">
        <w:rPr>
          <w:rFonts w:ascii="Arial" w:hAnsi="Arial" w:cs="Arial"/>
          <w:b/>
          <w:bCs/>
          <w:sz w:val="20"/>
          <w:szCs w:val="20"/>
        </w:rPr>
        <w:t>e.</w:t>
      </w:r>
      <w:r w:rsidR="0002604A">
        <w:rPr>
          <w:rFonts w:ascii="Arial" w:hAnsi="Arial" w:cs="Arial"/>
          <w:sz w:val="20"/>
          <w:szCs w:val="20"/>
        </w:rPr>
        <w:t xml:space="preserve"> D</w:t>
      </w:r>
      <w:r w:rsidR="001951AA" w:rsidRPr="00AA5618">
        <w:rPr>
          <w:rFonts w:ascii="Arial" w:hAnsi="Arial" w:cs="Arial"/>
          <w:sz w:val="20"/>
          <w:szCs w:val="20"/>
        </w:rPr>
        <w:t>espite</w:t>
      </w:r>
      <w:r w:rsidR="00AB6BDA" w:rsidRPr="00AA5618">
        <w:rPr>
          <w:rFonts w:ascii="Arial" w:hAnsi="Arial" w:cs="Arial"/>
          <w:sz w:val="20"/>
          <w:szCs w:val="20"/>
        </w:rPr>
        <w:t xml:space="preserve"> </w:t>
      </w:r>
      <w:r w:rsidR="002A18FA" w:rsidRPr="00AA5618">
        <w:rPr>
          <w:rFonts w:ascii="Arial" w:hAnsi="Arial" w:cs="Arial"/>
          <w:sz w:val="20"/>
          <w:szCs w:val="20"/>
        </w:rPr>
        <w:t xml:space="preserve">incorporation of </w:t>
      </w:r>
      <w:r w:rsidR="002A18FA" w:rsidRPr="00AA5618">
        <w:rPr>
          <w:rFonts w:ascii="Arial" w:hAnsi="Arial" w:cs="Arial"/>
          <w:i/>
          <w:iCs/>
          <w:sz w:val="20"/>
          <w:szCs w:val="20"/>
        </w:rPr>
        <w:t xml:space="preserve">in vitro </w:t>
      </w:r>
      <w:r w:rsidR="002A18FA" w:rsidRPr="00AA5618">
        <w:rPr>
          <w:rFonts w:ascii="Arial" w:hAnsi="Arial" w:cs="Arial"/>
          <w:sz w:val="20"/>
          <w:szCs w:val="20"/>
        </w:rPr>
        <w:t>CYP3A4/2J2 and P-gp inhibitory parameters</w:t>
      </w:r>
      <w:r w:rsidR="0017417F">
        <w:rPr>
          <w:rFonts w:ascii="Arial" w:hAnsi="Arial" w:cs="Arial"/>
          <w:sz w:val="20"/>
          <w:szCs w:val="20"/>
        </w:rPr>
        <w:t>,</w:t>
      </w:r>
      <w:r w:rsidR="0017417F" w:rsidRPr="0017417F">
        <w:rPr>
          <w:rFonts w:ascii="Arial" w:hAnsi="Arial" w:cs="Arial"/>
          <w:sz w:val="20"/>
          <w:szCs w:val="20"/>
        </w:rPr>
        <w:t xml:space="preserve"> </w:t>
      </w:r>
      <w:r w:rsidR="0017417F" w:rsidRPr="00AA5618">
        <w:rPr>
          <w:rFonts w:ascii="Arial" w:hAnsi="Arial" w:cs="Arial"/>
          <w:sz w:val="20"/>
          <w:szCs w:val="20"/>
        </w:rPr>
        <w:t xml:space="preserve">the modelled plasma concentration-time profile in the presence of ketoconazole evidently demonstrated an underestimation of </w:t>
      </w:r>
      <w:r w:rsidR="00966E54">
        <w:rPr>
          <w:rFonts w:ascii="Arial" w:hAnsi="Arial" w:cs="Arial"/>
          <w:sz w:val="20"/>
          <w:szCs w:val="20"/>
        </w:rPr>
        <w:t xml:space="preserve">the clinical </w:t>
      </w:r>
      <w:r w:rsidR="0017417F" w:rsidRPr="00AA5618">
        <w:rPr>
          <w:rFonts w:ascii="Arial" w:hAnsi="Arial" w:cs="Arial"/>
          <w:sz w:val="20"/>
          <w:szCs w:val="20"/>
        </w:rPr>
        <w:t xml:space="preserve">DDI magnitude </w:t>
      </w:r>
      <w:r w:rsidR="00966E54">
        <w:rPr>
          <w:rFonts w:ascii="Arial" w:hAnsi="Arial" w:cs="Arial"/>
          <w:sz w:val="20"/>
          <w:szCs w:val="20"/>
        </w:rPr>
        <w:t xml:space="preserve">between rivaroxaban and ketoconazole </w:t>
      </w:r>
      <w:r w:rsidR="0017417F" w:rsidRPr="00AA5618">
        <w:rPr>
          <w:rFonts w:ascii="Arial" w:hAnsi="Arial" w:cs="Arial"/>
          <w:sz w:val="20"/>
          <w:szCs w:val="20"/>
        </w:rPr>
        <w:t>(blue solid line</w:t>
      </w:r>
      <w:r w:rsidR="003675BA">
        <w:rPr>
          <w:rFonts w:ascii="Arial" w:hAnsi="Arial" w:cs="Arial"/>
          <w:sz w:val="20"/>
          <w:szCs w:val="20"/>
        </w:rPr>
        <w:t xml:space="preserve"> in</w:t>
      </w:r>
      <w:r w:rsidR="0002604A">
        <w:rPr>
          <w:rFonts w:ascii="Arial" w:hAnsi="Arial" w:cs="Arial"/>
          <w:sz w:val="20"/>
          <w:szCs w:val="20"/>
        </w:rPr>
        <w:t xml:space="preserve"> </w:t>
      </w:r>
      <w:r w:rsidR="0002604A" w:rsidRPr="0002604A">
        <w:rPr>
          <w:rFonts w:ascii="Arial" w:hAnsi="Arial" w:cs="Arial"/>
          <w:b/>
          <w:bCs/>
          <w:sz w:val="20"/>
          <w:szCs w:val="20"/>
        </w:rPr>
        <w:t>Figure 2A</w:t>
      </w:r>
      <w:r w:rsidR="0017417F" w:rsidRPr="00AA5618">
        <w:rPr>
          <w:rFonts w:ascii="Arial" w:hAnsi="Arial" w:cs="Arial"/>
          <w:sz w:val="20"/>
          <w:szCs w:val="20"/>
        </w:rPr>
        <w:t xml:space="preserve">). </w:t>
      </w:r>
      <w:r w:rsidR="00AB6BDA" w:rsidRPr="00AA5618">
        <w:rPr>
          <w:rFonts w:ascii="Arial" w:hAnsi="Arial" w:cs="Arial"/>
          <w:sz w:val="20"/>
          <w:szCs w:val="20"/>
        </w:rPr>
        <w:t xml:space="preserve">Moreover, </w:t>
      </w:r>
      <w:r w:rsidR="004462DC">
        <w:rPr>
          <w:rFonts w:ascii="Arial" w:hAnsi="Arial" w:cs="Arial"/>
          <w:sz w:val="20"/>
          <w:szCs w:val="20"/>
        </w:rPr>
        <w:t xml:space="preserve">the </w:t>
      </w:r>
      <w:r w:rsidR="004462DC" w:rsidRPr="00AA5618">
        <w:rPr>
          <w:rFonts w:ascii="Arial" w:hAnsi="Arial" w:cs="Arial"/>
          <w:sz w:val="20"/>
          <w:szCs w:val="20"/>
        </w:rPr>
        <w:t>PBPK-DDI model predicted minimal reductions in CL</w:t>
      </w:r>
      <w:r w:rsidR="004462DC" w:rsidRPr="00AA5618">
        <w:rPr>
          <w:rFonts w:ascii="Arial" w:hAnsi="Arial" w:cs="Arial"/>
          <w:sz w:val="20"/>
          <w:szCs w:val="20"/>
          <w:vertAlign w:val="subscript"/>
        </w:rPr>
        <w:t>R</w:t>
      </w:r>
      <w:r w:rsidR="004462DC" w:rsidRPr="00AA5618">
        <w:rPr>
          <w:rFonts w:ascii="Arial" w:hAnsi="Arial" w:cs="Arial"/>
          <w:sz w:val="20"/>
          <w:szCs w:val="20"/>
        </w:rPr>
        <w:t xml:space="preserve"> in comparison to the 36% reduction in CL</w:t>
      </w:r>
      <w:r w:rsidR="004462DC" w:rsidRPr="00AA5618">
        <w:rPr>
          <w:rFonts w:ascii="Arial" w:hAnsi="Arial" w:cs="Arial"/>
          <w:sz w:val="20"/>
          <w:szCs w:val="20"/>
          <w:vertAlign w:val="subscript"/>
        </w:rPr>
        <w:t>R</w:t>
      </w:r>
      <w:r w:rsidR="004462DC" w:rsidRPr="00AA5618">
        <w:rPr>
          <w:rFonts w:ascii="Arial" w:hAnsi="Arial" w:cs="Arial"/>
          <w:sz w:val="20"/>
          <w:szCs w:val="20"/>
        </w:rPr>
        <w:t xml:space="preserve"> (2.5 L/h to 1.6 L/h) reported by Mueck </w:t>
      </w:r>
      <w:r w:rsidR="004462DC" w:rsidRPr="00AA5618">
        <w:rPr>
          <w:rFonts w:ascii="Arial" w:hAnsi="Arial" w:cs="Arial"/>
          <w:i/>
          <w:iCs/>
          <w:sz w:val="20"/>
          <w:szCs w:val="20"/>
        </w:rPr>
        <w:t>et al.,</w:t>
      </w:r>
      <w:r w:rsidR="004462DC" w:rsidRPr="00AA5618">
        <w:rPr>
          <w:rFonts w:ascii="Arial" w:hAnsi="Arial" w:cs="Arial"/>
          <w:i/>
          <w:iCs/>
          <w:sz w:val="20"/>
          <w:szCs w:val="20"/>
        </w:rPr>
        <w:fldChar w:fldCharType="begin" w:fldLock="1"/>
      </w:r>
      <w:r w:rsidR="00516D49">
        <w:rPr>
          <w:rFonts w:ascii="Arial" w:hAnsi="Arial" w:cs="Arial"/>
          <w:i/>
          <w:iCs/>
          <w:sz w:val="20"/>
          <w:szCs w:val="20"/>
        </w:rPr>
        <w:instrText>ADDIN CSL_CITATION {"citationItems":[{"id":"ITEM-1","itemData":{"DOI":"10.1111/bcp.12075","ISSN":"1365-2125","PMID":"23305158","abstract":"AIMS The anticoagulant rivaroxaban is an oral, direct Factor Xa inhibitor for the management of thromboembolic disorders. Metabolism and excretion involve cytochrome P450 3A4 (CYP3A4) and 2J2 (CYP2J2), CYP-independent mechanisms, and P-glycoprotein (P-gp) and breast cancer resistance protein (Bcrp) (ABCG2). METHODS The pharmacokinetic effects of substrates or inhibitors of CYP3A4, P-gp and Bcrp (ABCG2) on rivaroxaban were studied in healthy volunteers. RESULTS Rivaroxaban did not interact with midazolam (CYP3A4 probe substrate). Exposure to rivaroxaban when co-administered with midazolam was slightly decreased by 11% (95% confidence interval [CI] -28%, 7%) compared with rivaroxaban alone. The following drugs moderately affected rivaroxaban exposure, but not to a clinically relevant extent: erythromycin (moderate CYP3A4/P-gp inhibitor; 34% increase [95% CI 23%, 46%]), clarithromycin (strong CYP3A4/moderate P-gp inhibitor; 54% increase [95% CI 44%, 64%]) and fluconazole (moderate CYP3A4, possible Bcrp [ABCG2] inhibitor; 42% increase [95% CI 29%, 56%]). A significant increase in rivaroxaban exposure was demonstrated with the strong CYP3A4, P-gp/Bcrp (ABCG2) inhibitors (and potential CYP2J2 inhibitors) ketoconazole (158% increase [95% CI 136%, 182%] for a 400 mg once daily dose) and ritonavir (153% increase [95% CI 134%, 174%]). CONCLUSIONS Results suggest that rivaroxaban may be co-administered with CYP3A4 and/or P-gp substrates/moderate inhibitors, but not with strong combined CYP3A4, P-gp and Bcrp (ABCG2) inhibitors (mainly comprising azole-antimycotics, apart from fluconazole, and HIV protease inhibitors), which are multi-pathway inhibitors of rivaroxaban clearance and elimination.","author":[{"dropping-particle":"","family":"Mueck","given":"Wolfgang","non-dropping-particle":"","parse-names":false,"suffix":""},{"dropping-particle":"","family":"Kubitza","given":"Dagmar","non-dropping-particle":"","parse-names":false,"suffix":""},{"dropping-particle":"","family":"Becka","given":"Michael","non-dropping-particle":"","parse-names":false,"suffix":""}],"container-title":"British journal of clinical pharmacology","id":"ITEM-1","issue":"3","issued":{"date-parts":[["2013","9"]]},"page":"455-466","title":"Co-administration of rivaroxaban with drugs that share its elimination pathways: pharmacokinetic effects in healthy subjects.","type":"article-journal","volume":"76"},"uris":["http://www.mendeley.com/documents/?uuid=f3dde3be-e4fc-3a61-909f-a12c00e36b9e"]}],"mendeley":{"formattedCitation":"&lt;sup&gt;44&lt;/sup&gt;","plainTextFormattedCitation":"44","previouslyFormattedCitation":"&lt;sup&gt;44&lt;/sup&gt;"},"properties":{"noteIndex":0},"schema":"https://github.com/citation-style-language/schema/raw/master/csl-citation.json"}</w:instrText>
      </w:r>
      <w:r w:rsidR="004462DC" w:rsidRPr="00AA5618">
        <w:rPr>
          <w:rFonts w:ascii="Arial" w:hAnsi="Arial" w:cs="Arial"/>
          <w:i/>
          <w:iCs/>
          <w:sz w:val="20"/>
          <w:szCs w:val="20"/>
        </w:rPr>
        <w:fldChar w:fldCharType="separate"/>
      </w:r>
      <w:r w:rsidR="006C6945" w:rsidRPr="006C6945">
        <w:rPr>
          <w:rFonts w:ascii="Arial" w:hAnsi="Arial" w:cs="Arial"/>
          <w:iCs/>
          <w:noProof/>
          <w:sz w:val="20"/>
          <w:szCs w:val="20"/>
          <w:vertAlign w:val="superscript"/>
        </w:rPr>
        <w:t>44</w:t>
      </w:r>
      <w:r w:rsidR="004462DC" w:rsidRPr="00AA5618">
        <w:rPr>
          <w:rFonts w:ascii="Arial" w:hAnsi="Arial" w:cs="Arial"/>
          <w:i/>
          <w:iCs/>
          <w:sz w:val="20"/>
          <w:szCs w:val="20"/>
        </w:rPr>
        <w:fldChar w:fldCharType="end"/>
      </w:r>
      <w:r w:rsidR="00AB6BDA" w:rsidRPr="00AA5618">
        <w:rPr>
          <w:rFonts w:ascii="Arial" w:hAnsi="Arial" w:cs="Arial"/>
          <w:sz w:val="20"/>
          <w:szCs w:val="20"/>
        </w:rPr>
        <w:t xml:space="preserve"> suggesting that the nature and potency of transporter-mediated interactions between rivaroxaban and ketoconazole have not been adequately elucidated</w:t>
      </w:r>
      <w:r w:rsidR="00B5114A">
        <w:rPr>
          <w:rFonts w:ascii="Arial" w:hAnsi="Arial" w:cs="Arial"/>
          <w:sz w:val="20"/>
          <w:szCs w:val="20"/>
        </w:rPr>
        <w:t xml:space="preserve"> (</w:t>
      </w:r>
      <w:r w:rsidR="00B5114A" w:rsidRPr="00B5114A">
        <w:rPr>
          <w:rFonts w:ascii="Arial" w:hAnsi="Arial" w:cs="Arial"/>
          <w:b/>
          <w:bCs/>
          <w:sz w:val="20"/>
          <w:szCs w:val="20"/>
        </w:rPr>
        <w:t>Table 1</w:t>
      </w:r>
      <w:r w:rsidR="00B5114A">
        <w:rPr>
          <w:rFonts w:ascii="Arial" w:hAnsi="Arial" w:cs="Arial"/>
          <w:sz w:val="20"/>
          <w:szCs w:val="20"/>
        </w:rPr>
        <w:t>)</w:t>
      </w:r>
      <w:r w:rsidR="00AB6BDA" w:rsidRPr="00AA5618">
        <w:rPr>
          <w:rFonts w:ascii="Arial" w:hAnsi="Arial" w:cs="Arial"/>
          <w:sz w:val="20"/>
          <w:szCs w:val="20"/>
        </w:rPr>
        <w:t xml:space="preserve">. </w:t>
      </w:r>
    </w:p>
    <w:p w14:paraId="425B09B1" w14:textId="77777777" w:rsidR="00062B7A" w:rsidRDefault="00062B7A" w:rsidP="00062B7A">
      <w:pPr>
        <w:spacing w:after="0" w:line="480" w:lineRule="auto"/>
        <w:jc w:val="both"/>
        <w:rPr>
          <w:rFonts w:ascii="Arial" w:hAnsi="Arial" w:cs="Arial"/>
          <w:sz w:val="20"/>
          <w:szCs w:val="20"/>
        </w:rPr>
      </w:pPr>
    </w:p>
    <w:p w14:paraId="0EB283BE" w14:textId="32820DE0" w:rsidR="00A563E5" w:rsidRPr="00C016DD" w:rsidRDefault="003675BA" w:rsidP="00062B7A">
      <w:pPr>
        <w:spacing w:after="0" w:line="480" w:lineRule="auto"/>
        <w:jc w:val="both"/>
        <w:rPr>
          <w:rFonts w:ascii="Arial" w:hAnsi="Arial" w:cs="Arial"/>
          <w:sz w:val="20"/>
          <w:szCs w:val="20"/>
        </w:rPr>
      </w:pPr>
      <w:r>
        <w:rPr>
          <w:rFonts w:ascii="Arial" w:hAnsi="Arial" w:cs="Arial"/>
          <w:sz w:val="20"/>
          <w:szCs w:val="20"/>
        </w:rPr>
        <w:t>T</w:t>
      </w:r>
      <w:r w:rsidR="00A563E5" w:rsidRPr="00C016DD">
        <w:rPr>
          <w:rFonts w:ascii="Arial" w:hAnsi="Arial" w:cs="Arial"/>
          <w:sz w:val="20"/>
          <w:szCs w:val="20"/>
        </w:rPr>
        <w:t>he IC</w:t>
      </w:r>
      <w:r w:rsidR="00A563E5" w:rsidRPr="00C016DD">
        <w:rPr>
          <w:rFonts w:ascii="Arial" w:hAnsi="Arial" w:cs="Arial"/>
          <w:sz w:val="20"/>
          <w:szCs w:val="20"/>
          <w:vertAlign w:val="subscript"/>
        </w:rPr>
        <w:t>50</w:t>
      </w:r>
      <w:r w:rsidR="00A563E5" w:rsidRPr="00C016DD">
        <w:rPr>
          <w:rFonts w:ascii="Arial" w:hAnsi="Arial" w:cs="Arial"/>
          <w:sz w:val="20"/>
          <w:szCs w:val="20"/>
        </w:rPr>
        <w:t xml:space="preserve"> value obtained when using rivaroxaban as substrate (0.58 µM) was approximately 12-fold lower compared to the IC</w:t>
      </w:r>
      <w:r w:rsidR="00A563E5" w:rsidRPr="00C016DD">
        <w:rPr>
          <w:rFonts w:ascii="Arial" w:hAnsi="Arial" w:cs="Arial"/>
          <w:sz w:val="20"/>
          <w:szCs w:val="20"/>
          <w:vertAlign w:val="subscript"/>
        </w:rPr>
        <w:t>50</w:t>
      </w:r>
      <w:r w:rsidR="00A563E5" w:rsidRPr="00C016DD">
        <w:rPr>
          <w:rFonts w:ascii="Arial" w:hAnsi="Arial" w:cs="Arial"/>
          <w:sz w:val="20"/>
          <w:szCs w:val="20"/>
        </w:rPr>
        <w:t xml:space="preserve"> value obtained when E3S was utilized (6.90 µM), highlighting the differential sensitivity of our test substrates to OAT3 inhibition</w:t>
      </w:r>
      <w:r>
        <w:rPr>
          <w:rFonts w:ascii="Arial" w:hAnsi="Arial" w:cs="Arial"/>
          <w:sz w:val="20"/>
          <w:szCs w:val="20"/>
        </w:rPr>
        <w:t xml:space="preserve"> (</w:t>
      </w:r>
      <w:r w:rsidRPr="003675BA">
        <w:rPr>
          <w:rFonts w:ascii="Arial" w:hAnsi="Arial" w:cs="Arial"/>
          <w:b/>
          <w:bCs/>
          <w:sz w:val="20"/>
          <w:szCs w:val="20"/>
        </w:rPr>
        <w:t>Figure 2B</w:t>
      </w:r>
      <w:r>
        <w:rPr>
          <w:rFonts w:ascii="Arial" w:hAnsi="Arial" w:cs="Arial"/>
          <w:sz w:val="20"/>
          <w:szCs w:val="20"/>
        </w:rPr>
        <w:t>)</w:t>
      </w:r>
      <w:r w:rsidR="00A563E5" w:rsidRPr="00C016DD">
        <w:rPr>
          <w:rFonts w:ascii="Arial" w:hAnsi="Arial" w:cs="Arial"/>
          <w:sz w:val="20"/>
          <w:szCs w:val="20"/>
        </w:rPr>
        <w:t xml:space="preserve">. Concentrations of </w:t>
      </w:r>
      <w:r w:rsidR="00540BB9">
        <w:rPr>
          <w:rFonts w:ascii="Arial" w:hAnsi="Arial" w:cs="Arial"/>
          <w:sz w:val="20"/>
          <w:szCs w:val="20"/>
        </w:rPr>
        <w:t>ketoconazole</w:t>
      </w:r>
      <w:r w:rsidR="00A563E5" w:rsidRPr="00C016DD">
        <w:rPr>
          <w:rFonts w:ascii="Arial" w:hAnsi="Arial" w:cs="Arial"/>
          <w:sz w:val="20"/>
          <w:szCs w:val="20"/>
        </w:rPr>
        <w:t xml:space="preserve"> spanning the IC</w:t>
      </w:r>
      <w:r w:rsidR="00A563E5" w:rsidRPr="00C016DD">
        <w:rPr>
          <w:rFonts w:ascii="Arial" w:hAnsi="Arial" w:cs="Arial"/>
          <w:sz w:val="20"/>
          <w:szCs w:val="20"/>
          <w:vertAlign w:val="subscript"/>
        </w:rPr>
        <w:t>50</w:t>
      </w:r>
      <w:r w:rsidR="00A563E5" w:rsidRPr="00C016DD">
        <w:rPr>
          <w:rFonts w:ascii="Arial" w:hAnsi="Arial" w:cs="Arial"/>
          <w:sz w:val="20"/>
          <w:szCs w:val="20"/>
        </w:rPr>
        <w:t xml:space="preserve"> were chosen for subsequent </w:t>
      </w:r>
      <w:r w:rsidR="00A563E5" w:rsidRPr="00C016DD">
        <w:rPr>
          <w:rFonts w:ascii="Arial" w:hAnsi="Arial" w:cs="Arial"/>
          <w:i/>
          <w:iCs/>
          <w:sz w:val="20"/>
          <w:szCs w:val="20"/>
        </w:rPr>
        <w:t>K</w:t>
      </w:r>
      <w:r w:rsidR="00A563E5" w:rsidRPr="00C016DD">
        <w:rPr>
          <w:rFonts w:ascii="Arial" w:hAnsi="Arial" w:cs="Arial"/>
          <w:i/>
          <w:iCs/>
          <w:sz w:val="20"/>
          <w:szCs w:val="20"/>
          <w:vertAlign w:val="subscript"/>
        </w:rPr>
        <w:t>i</w:t>
      </w:r>
      <w:r w:rsidR="00A563E5" w:rsidRPr="00C016DD">
        <w:rPr>
          <w:rFonts w:ascii="Arial" w:hAnsi="Arial" w:cs="Arial"/>
          <w:sz w:val="20"/>
          <w:szCs w:val="20"/>
        </w:rPr>
        <w:t xml:space="preserve"> experiments. The intersection of all lines at the same point on the x-axis of the Dixon plots (</w:t>
      </w:r>
      <w:r w:rsidR="00A563E5" w:rsidRPr="00C016DD">
        <w:rPr>
          <w:rFonts w:ascii="Arial" w:hAnsi="Arial" w:cs="Arial"/>
          <w:b/>
          <w:bCs/>
          <w:sz w:val="20"/>
          <w:szCs w:val="20"/>
        </w:rPr>
        <w:t>Figures 2</w:t>
      </w:r>
      <w:r w:rsidR="00540BB9">
        <w:rPr>
          <w:rFonts w:ascii="Arial" w:hAnsi="Arial" w:cs="Arial"/>
          <w:b/>
          <w:bCs/>
          <w:sz w:val="20"/>
          <w:szCs w:val="20"/>
        </w:rPr>
        <w:t>C</w:t>
      </w:r>
      <w:r w:rsidR="00A563E5" w:rsidRPr="00C016DD">
        <w:rPr>
          <w:rFonts w:ascii="Arial" w:hAnsi="Arial" w:cs="Arial"/>
          <w:sz w:val="20"/>
          <w:szCs w:val="20"/>
        </w:rPr>
        <w:t xml:space="preserve"> and </w:t>
      </w:r>
      <w:r w:rsidR="00540BB9">
        <w:rPr>
          <w:rFonts w:ascii="Arial" w:hAnsi="Arial" w:cs="Arial"/>
          <w:b/>
          <w:bCs/>
          <w:sz w:val="20"/>
          <w:szCs w:val="20"/>
        </w:rPr>
        <w:t>2E</w:t>
      </w:r>
      <w:r w:rsidR="00A563E5" w:rsidRPr="00C016DD">
        <w:rPr>
          <w:rFonts w:ascii="Arial" w:hAnsi="Arial" w:cs="Arial"/>
          <w:sz w:val="20"/>
          <w:szCs w:val="20"/>
        </w:rPr>
        <w:t xml:space="preserve">) demonstrated that irrespective of the substrate utilized, ketoconazole was a non-competitive inhibitor of OAT3-mediated basolateral uptake. </w:t>
      </w:r>
      <w:r w:rsidR="00A563E5" w:rsidRPr="00C016DD">
        <w:rPr>
          <w:rFonts w:ascii="Arial" w:hAnsi="Arial" w:cs="Arial"/>
          <w:i/>
          <w:iCs/>
          <w:sz w:val="20"/>
          <w:szCs w:val="20"/>
        </w:rPr>
        <w:t>K</w:t>
      </w:r>
      <w:r w:rsidR="00A563E5" w:rsidRPr="00C016DD">
        <w:rPr>
          <w:rFonts w:ascii="Arial" w:hAnsi="Arial" w:cs="Arial"/>
          <w:i/>
          <w:iCs/>
          <w:sz w:val="20"/>
          <w:szCs w:val="20"/>
          <w:vertAlign w:val="subscript"/>
        </w:rPr>
        <w:t>i</w:t>
      </w:r>
      <w:r w:rsidR="00A563E5" w:rsidRPr="00C016DD">
        <w:rPr>
          <w:rFonts w:ascii="Arial" w:hAnsi="Arial" w:cs="Arial"/>
          <w:sz w:val="20"/>
          <w:szCs w:val="20"/>
        </w:rPr>
        <w:t xml:space="preserve"> values obtained</w:t>
      </w:r>
      <w:r w:rsidR="00EC6150">
        <w:rPr>
          <w:rFonts w:ascii="Arial" w:hAnsi="Arial" w:cs="Arial"/>
          <w:sz w:val="20"/>
          <w:szCs w:val="20"/>
        </w:rPr>
        <w:t xml:space="preserve"> based on non-linear regression analyses</w:t>
      </w:r>
      <w:r w:rsidR="00A32EBF">
        <w:rPr>
          <w:rFonts w:ascii="Arial" w:hAnsi="Arial" w:cs="Arial"/>
          <w:sz w:val="20"/>
          <w:szCs w:val="20"/>
        </w:rPr>
        <w:t xml:space="preserve"> (</w:t>
      </w:r>
      <w:r w:rsidR="00A32EBF" w:rsidRPr="00A32EBF">
        <w:rPr>
          <w:rFonts w:ascii="Arial" w:hAnsi="Arial" w:cs="Arial"/>
          <w:b/>
          <w:bCs/>
          <w:sz w:val="20"/>
          <w:szCs w:val="20"/>
        </w:rPr>
        <w:t>Figures 2D and 2F</w:t>
      </w:r>
      <w:r w:rsidR="00B0596B">
        <w:rPr>
          <w:rFonts w:ascii="Arial" w:hAnsi="Arial" w:cs="Arial"/>
          <w:sz w:val="20"/>
          <w:szCs w:val="20"/>
        </w:rPr>
        <w:t xml:space="preserve"> for </w:t>
      </w:r>
      <w:r w:rsidR="00100382">
        <w:rPr>
          <w:rFonts w:ascii="Arial" w:hAnsi="Arial" w:cs="Arial"/>
          <w:sz w:val="20"/>
          <w:szCs w:val="20"/>
        </w:rPr>
        <w:t>E3S and rivaroxaban respectively)</w:t>
      </w:r>
      <w:r w:rsidR="00A563E5" w:rsidRPr="00C016DD">
        <w:rPr>
          <w:rFonts w:ascii="Arial" w:hAnsi="Arial" w:cs="Arial"/>
          <w:sz w:val="20"/>
          <w:szCs w:val="20"/>
        </w:rPr>
        <w:t xml:space="preserve"> corroborated IC</w:t>
      </w:r>
      <w:r w:rsidR="00A563E5" w:rsidRPr="00C016DD">
        <w:rPr>
          <w:rFonts w:ascii="Arial" w:hAnsi="Arial" w:cs="Arial"/>
          <w:sz w:val="20"/>
          <w:szCs w:val="20"/>
          <w:vertAlign w:val="subscript"/>
        </w:rPr>
        <w:t>50</w:t>
      </w:r>
      <w:r w:rsidR="00A563E5" w:rsidRPr="00C016DD">
        <w:rPr>
          <w:rFonts w:ascii="Arial" w:hAnsi="Arial" w:cs="Arial"/>
          <w:sz w:val="20"/>
          <w:szCs w:val="20"/>
        </w:rPr>
        <w:t xml:space="preserve"> determinations based on the identified non-competitive mode of inhibition and further verified that ketoconazole was a more potent inhibitor of rivaroxaban active uptake compared to E3S (</w:t>
      </w:r>
      <w:r w:rsidR="00A563E5" w:rsidRPr="00C016DD">
        <w:rPr>
          <w:rFonts w:ascii="Arial" w:hAnsi="Arial" w:cs="Arial"/>
          <w:i/>
          <w:iCs/>
          <w:sz w:val="20"/>
          <w:szCs w:val="20"/>
        </w:rPr>
        <w:t>K</w:t>
      </w:r>
      <w:r w:rsidR="00A563E5" w:rsidRPr="00C016DD">
        <w:rPr>
          <w:rFonts w:ascii="Arial" w:hAnsi="Arial" w:cs="Arial"/>
          <w:i/>
          <w:iCs/>
          <w:sz w:val="20"/>
          <w:szCs w:val="20"/>
          <w:vertAlign w:val="subscript"/>
        </w:rPr>
        <w:t>i</w:t>
      </w:r>
      <w:r w:rsidR="00A563E5" w:rsidRPr="00C016DD">
        <w:rPr>
          <w:rFonts w:ascii="Arial" w:hAnsi="Arial" w:cs="Arial"/>
          <w:sz w:val="20"/>
          <w:szCs w:val="20"/>
        </w:rPr>
        <w:t xml:space="preserve"> of 0.93 µM and </w:t>
      </w:r>
      <w:r w:rsidR="00176816">
        <w:rPr>
          <w:rFonts w:ascii="Arial" w:hAnsi="Arial" w:cs="Arial"/>
          <w:sz w:val="20"/>
          <w:szCs w:val="20"/>
        </w:rPr>
        <w:t>14</w:t>
      </w:r>
      <w:r w:rsidR="00A563E5" w:rsidRPr="00C016DD">
        <w:rPr>
          <w:rFonts w:ascii="Arial" w:hAnsi="Arial" w:cs="Arial"/>
          <w:sz w:val="20"/>
          <w:szCs w:val="20"/>
        </w:rPr>
        <w:t>.</w:t>
      </w:r>
      <w:r w:rsidR="00176816">
        <w:rPr>
          <w:rFonts w:ascii="Arial" w:hAnsi="Arial" w:cs="Arial"/>
          <w:sz w:val="20"/>
          <w:szCs w:val="20"/>
        </w:rPr>
        <w:t>96</w:t>
      </w:r>
      <w:r w:rsidR="00A563E5" w:rsidRPr="00C016DD">
        <w:rPr>
          <w:rFonts w:ascii="Arial" w:hAnsi="Arial" w:cs="Arial"/>
          <w:sz w:val="20"/>
          <w:szCs w:val="20"/>
        </w:rPr>
        <w:t xml:space="preserve"> </w:t>
      </w:r>
      <w:bookmarkStart w:id="9" w:name="OLE_LINK28"/>
      <w:r w:rsidR="00A563E5" w:rsidRPr="00C016DD">
        <w:rPr>
          <w:rFonts w:ascii="Arial" w:hAnsi="Arial" w:cs="Arial"/>
          <w:sz w:val="20"/>
          <w:szCs w:val="20"/>
        </w:rPr>
        <w:t>µM</w:t>
      </w:r>
      <w:bookmarkEnd w:id="9"/>
      <w:r>
        <w:rPr>
          <w:rFonts w:ascii="Arial" w:hAnsi="Arial" w:cs="Arial"/>
          <w:sz w:val="20"/>
          <w:szCs w:val="20"/>
        </w:rPr>
        <w:t xml:space="preserve"> respectively; </w:t>
      </w:r>
      <w:r w:rsidR="00A563E5" w:rsidRPr="00C016DD">
        <w:rPr>
          <w:rFonts w:ascii="Arial" w:hAnsi="Arial" w:cs="Arial"/>
          <w:b/>
          <w:bCs/>
          <w:sz w:val="20"/>
          <w:szCs w:val="20"/>
        </w:rPr>
        <w:t xml:space="preserve">Table </w:t>
      </w:r>
      <w:r w:rsidR="000A7CC4">
        <w:rPr>
          <w:rFonts w:ascii="Arial" w:hAnsi="Arial" w:cs="Arial"/>
          <w:b/>
          <w:bCs/>
          <w:sz w:val="20"/>
          <w:szCs w:val="20"/>
        </w:rPr>
        <w:t>2</w:t>
      </w:r>
      <w:r w:rsidR="00A563E5" w:rsidRPr="00C016DD">
        <w:rPr>
          <w:rFonts w:ascii="Arial" w:hAnsi="Arial" w:cs="Arial"/>
          <w:sz w:val="20"/>
          <w:szCs w:val="20"/>
        </w:rPr>
        <w:t xml:space="preserve">). </w:t>
      </w:r>
    </w:p>
    <w:p w14:paraId="01927C81" w14:textId="77777777" w:rsidR="00062B7A" w:rsidRDefault="00062B7A" w:rsidP="00062B7A">
      <w:pPr>
        <w:spacing w:after="0" w:line="480" w:lineRule="auto"/>
        <w:jc w:val="both"/>
        <w:rPr>
          <w:rFonts w:ascii="Arial" w:hAnsi="Arial" w:cs="Arial"/>
          <w:sz w:val="20"/>
          <w:szCs w:val="20"/>
        </w:rPr>
      </w:pPr>
      <w:bookmarkStart w:id="10" w:name="OLE_LINK49"/>
    </w:p>
    <w:p w14:paraId="7174C5F8" w14:textId="0A51DCDB" w:rsidR="00A563E5" w:rsidRPr="00C016DD" w:rsidRDefault="00A563E5" w:rsidP="00062B7A">
      <w:pPr>
        <w:spacing w:after="0" w:line="480" w:lineRule="auto"/>
        <w:jc w:val="both"/>
        <w:rPr>
          <w:rFonts w:ascii="Arial" w:hAnsi="Arial" w:cs="Arial"/>
          <w:sz w:val="20"/>
          <w:szCs w:val="20"/>
        </w:rPr>
      </w:pPr>
      <w:r w:rsidRPr="00C016DD">
        <w:rPr>
          <w:rFonts w:ascii="Arial" w:hAnsi="Arial" w:cs="Arial"/>
          <w:sz w:val="20"/>
          <w:szCs w:val="20"/>
        </w:rPr>
        <w:t xml:space="preserve">Inhibition of OAT3-mediated uptake of rivaroxaban by ketoconazole was further investigated in the presence of 5% HSA, approximating the physiological albumin concentrations </w:t>
      </w:r>
      <w:r w:rsidRPr="00C016DD">
        <w:rPr>
          <w:rFonts w:ascii="Arial" w:hAnsi="Arial" w:cs="Arial"/>
          <w:i/>
          <w:iCs/>
          <w:sz w:val="20"/>
          <w:szCs w:val="20"/>
        </w:rPr>
        <w:t>in vivo</w:t>
      </w:r>
      <w:r w:rsidRPr="00C016DD">
        <w:rPr>
          <w:rFonts w:ascii="Arial" w:hAnsi="Arial" w:cs="Arial"/>
          <w:sz w:val="20"/>
          <w:szCs w:val="20"/>
        </w:rPr>
        <w:t>.</w:t>
      </w:r>
      <w:r w:rsidRPr="00C016DD">
        <w:rPr>
          <w:rFonts w:ascii="Arial" w:hAnsi="Arial" w:cs="Arial"/>
          <w:sz w:val="20"/>
          <w:szCs w:val="20"/>
        </w:rPr>
        <w:fldChar w:fldCharType="begin" w:fldLock="1"/>
      </w:r>
      <w:r w:rsidR="00516D49">
        <w:rPr>
          <w:rFonts w:ascii="Arial" w:hAnsi="Arial" w:cs="Arial"/>
          <w:sz w:val="20"/>
          <w:szCs w:val="20"/>
        </w:rPr>
        <w:instrText>ADDIN CSL_CITATION {"citationItems":[{"id":"ITEM-1","itemData":{"DOI":"10.1124/dmd.118.083733","ISSN":"1521009X","abstract":"We investigated whether human serum albumin (HSA) would affect the uptake clearance of anionic drugs with high binding to HSA by suspended human hepatocytes and improve the extrapolation of in vivo hepatic clearance from in vitro uptake clearance by the hepatocytes via the \"albumin-mediated\" hepatic uptake mechanism. The uptake clearances for total forms (PSinf) and for unbound forms (PSu,inf) of 11 anionic drugs (all of which were organic anion-transporting polypeptide (OATP) substrates) were determined with suspended human hepatocytes in varying concentrations of HSA. The fraction (fu) of unbound drugs was determined using an equilibrium dialysis at various HSA concentrations. The PSinf values decreased with increasing concentrations of HSA, whereas the unbound uptake clearances (PSu,inf(+)=PSinf/fu) in the presence of HSA were increased substantially, thus demonstrating the \"albumin-mediated\" hepatic uptake mechanism. The relationships between PSinf and HSA concentration were well described by the previously proposed facilitated-dissociation model in which the drug - albumin complex interacts with the cell surface, enhancing the dissociation of the complex and providing unbound drug for hepatic uptake. Furthermore, the PSu,inf(+) values in in vivo conditions (at 5% HSA) were predicted from those obtained in isolated hepatocytes based on the facilitated-dissociation model, revealing compatibility with the overall hepatic intrinsic clearance in vivo We conclude that the facilitated-dissociation model is useful to describe the \"albumin-mediated\" hepatic uptake phenomenon of OATP drugs and to predict hepatic uptake clearance in vivo.","author":[{"dropping-particle":"","family":"Kim","given":"Soo Jin","non-dropping-particle":"","parse-names":false,"suffix":""},{"dropping-particle":"","family":"Lee","given":"Kyeong Ryoon","non-dropping-particle":"","parse-names":false,"suffix":""},{"dropping-particle":"","family":"Miyauchi","given":"Seiji","non-dropping-particle":"","parse-names":false,"suffix":""},{"dropping-particle":"","family":"Sugiyama","given":"Yuichi","non-dropping-particle":"","parse-names":false,"suffix":""}],"container-title":"Drug Metabolism and Disposition","id":"ITEM-1","issue":"2","issued":{"date-parts":[["2019"]]},"page":"94-103","title":"Extrapolation of in vivo hepatic clearance from in vitro uptake clearance by suspended human hepatocytes for anionic drugs with high binding to human albumin: Improvement of in vitro-to-in vivo extrapolation by considering the “albumin-mediated” hepatic u","type":"article-journal","volume":"47"},"uris":["http://www.mendeley.com/documents/?uuid=68b69f6e-328d-4d06-924c-d3397f0e0bcc"]},{"id":"ITEM-2","itemData":{"DOI":"10.1124/dmd.117.077115","ISSN":"1521009X","abstract":"The effects of bovine serum albumin and human serum albumin on the unbound hepatic uptake clearance (PSu,inf) of the organic anion-transporting polypeptide substrates 1-anilino-8-naphthalene sulfonate (ANS) and pitavastatin (PTV)were determined using primary cultured rat hepatocytes and isolated human hepatocytes, respectively. The PSu,inf value of hepatocytes was estimated by dividing the initial uptake rate of these anions by their unbound concentrations. The PSu,inf values for ANS and PTV were enhanced in the presence of albumin, thereby demonstrating the phenomenon of \"albumin-mediated\" hepatic uptake. We previously constructed a \"facilitated-dissociation\" model, in which the interaction of the ligand-albumin complex with the cell surface enhanced the dissociation of that complex to provide unbound ligand for uptake to the hepatocytes [J Pharmacokinet Biopharm 16:165-181 (1988)]. That model was able to describe accurately the relationship between the enhancement of the PSu,inf values and the albumin concentration. By considering the enhancement of hepatic uptake clearance by albumin using this facilitated-dissociation model, we could predict accurately the PSu,inf in vivo from that obtained in isolated hepatocytes. In the light of these findings, we suggest that the facilitated-dissociationmodel is applicable to describing the phenomenon of albumin-mediated hepatic uptake via organic anion transporters and to evaluating hepatic uptake clearance in vivo.","author":[{"dropping-particle":"","family":"Miyauchi","given":"Seiji","non-dropping-particle":"","parse-names":false,"suffix":""},{"dropping-particle":"","family":"Masuda","given":"Masayuki M.","non-dropping-particle":"","parse-names":false,"suffix":""},{"dropping-particle":"","family":"Kim","given":"Soo Jin","non-dropping-particle":"","parse-names":false,"suffix":""},{"dropping-particle":"","family":"Tanaka","given":"Yuudai","non-dropping-particle":"","parse-names":false,"suffix":""},{"dropping-particle":"","family":"Lee","given":"Kyeong Ryoon","non-dropping-particle":"","parse-names":false,"suffix":""},{"dropping-particle":"","family":"Iwakado","given":"Shouko","non-dropping-particle":"","parse-names":false,"suffix":""},{"dropping-particle":"","family":"Nemoto","given":"Momoko","non-dropping-particle":"","parse-names":false,"suffix":""},{"dropping-particle":"","family":"Sasaki","given":"Shotaro","non-dropping-particle":"","parse-names":false,"suffix":""},{"dropping-particle":"","family":"Shimono","given":"Kazumi","non-dropping-particle":"","parse-names":false,"suffix":""},{"dropping-particle":"","family":"Tanaka","given":"Yoshio","non-dropping-particle":"","parse-names":false,"suffix":""},{"dropping-particle":"","family":"Sugiyama","given":"Yuichi","non-dropping-particle":"","parse-names":false,"suffix":""}],"container-title":"Drug Metabolism and Disposition","id":"ITEM-2","issue":"3","issued":{"date-parts":[["2018"]]},"page":"259-267","title":"The phenomenon of albumin-mediated hepatic uptake of organic anion transport polypeptide substrates: Prediction of the in vivo uptake clearance from the in vitro uptake by isolated hepatocytes using a facilitated-dissociation model","type":"article-journal","volume":"46"},"uris":["http://www.mendeley.com/documents/?uuid=b2964fa3-810a-4b60-bef7-61f32ebffc04","http://www.mendeley.com/documents/?uuid=1fd33532-e1cc-48c6-940a-4fbcb6a8175a"]}],"mendeley":{"formattedCitation":"&lt;sup&gt;45,46&lt;/sup&gt;","plainTextFormattedCitation":"45,46","previouslyFormattedCitation":"&lt;sup&gt;45,46&lt;/sup&gt;"},"properties":{"noteIndex":0},"schema":"https://github.com/citation-style-language/schema/raw/master/csl-citation.json"}</w:instrText>
      </w:r>
      <w:r w:rsidRPr="00C016DD">
        <w:rPr>
          <w:rFonts w:ascii="Arial" w:hAnsi="Arial" w:cs="Arial"/>
          <w:sz w:val="20"/>
          <w:szCs w:val="20"/>
        </w:rPr>
        <w:fldChar w:fldCharType="separate"/>
      </w:r>
      <w:r w:rsidR="006C6945" w:rsidRPr="006C6945">
        <w:rPr>
          <w:rFonts w:ascii="Arial" w:hAnsi="Arial" w:cs="Arial"/>
          <w:noProof/>
          <w:sz w:val="20"/>
          <w:szCs w:val="20"/>
          <w:vertAlign w:val="superscript"/>
        </w:rPr>
        <w:t>45,46</w:t>
      </w:r>
      <w:r w:rsidRPr="00C016DD">
        <w:rPr>
          <w:rFonts w:ascii="Arial" w:hAnsi="Arial" w:cs="Arial"/>
          <w:sz w:val="20"/>
          <w:szCs w:val="20"/>
        </w:rPr>
        <w:fldChar w:fldCharType="end"/>
      </w:r>
      <w:r w:rsidRPr="00C016DD">
        <w:rPr>
          <w:rFonts w:ascii="Arial" w:hAnsi="Arial" w:cs="Arial"/>
          <w:sz w:val="20"/>
          <w:szCs w:val="20"/>
        </w:rPr>
        <w:t xml:space="preserve"> Adjustment of the apparent IC</w:t>
      </w:r>
      <w:r w:rsidRPr="00C016DD">
        <w:rPr>
          <w:rFonts w:ascii="Arial" w:hAnsi="Arial" w:cs="Arial"/>
          <w:sz w:val="20"/>
          <w:szCs w:val="20"/>
          <w:vertAlign w:val="subscript"/>
        </w:rPr>
        <w:t>50</w:t>
      </w:r>
      <w:r w:rsidRPr="00C016DD">
        <w:rPr>
          <w:rFonts w:ascii="Arial" w:hAnsi="Arial" w:cs="Arial"/>
          <w:sz w:val="20"/>
          <w:szCs w:val="20"/>
        </w:rPr>
        <w:t xml:space="preserve"> value of ketoconazole determined in the presence of 5% HSA (</w:t>
      </w:r>
      <w:r w:rsidRPr="00C016DD">
        <w:rPr>
          <w:rFonts w:ascii="Arial" w:hAnsi="Arial" w:cs="Arial"/>
          <w:b/>
          <w:bCs/>
          <w:sz w:val="20"/>
          <w:szCs w:val="20"/>
        </w:rPr>
        <w:t>Figure 2</w:t>
      </w:r>
      <w:r w:rsidR="00F80AE0">
        <w:rPr>
          <w:rFonts w:ascii="Arial" w:hAnsi="Arial" w:cs="Arial"/>
          <w:b/>
          <w:bCs/>
          <w:sz w:val="20"/>
          <w:szCs w:val="20"/>
        </w:rPr>
        <w:t>G</w:t>
      </w:r>
      <w:r w:rsidRPr="00C016DD">
        <w:rPr>
          <w:rFonts w:ascii="Arial" w:hAnsi="Arial" w:cs="Arial"/>
          <w:sz w:val="20"/>
          <w:szCs w:val="20"/>
        </w:rPr>
        <w:t>) for the reported fraction unbound of ketoconazole in plasma revealed an approximate 9-fold decrease in the IC</w:t>
      </w:r>
      <w:r w:rsidRPr="00C016DD">
        <w:rPr>
          <w:rFonts w:ascii="Arial" w:hAnsi="Arial" w:cs="Arial"/>
          <w:sz w:val="20"/>
          <w:szCs w:val="20"/>
          <w:vertAlign w:val="subscript"/>
        </w:rPr>
        <w:t>50</w:t>
      </w:r>
      <w:r w:rsidRPr="00C016DD">
        <w:rPr>
          <w:rFonts w:ascii="Arial" w:hAnsi="Arial" w:cs="Arial"/>
          <w:sz w:val="20"/>
          <w:szCs w:val="20"/>
        </w:rPr>
        <w:t xml:space="preserve"> as compared to that measured in protein-free buffer (0.037 µM versus 0.58 µM</w:t>
      </w:r>
      <w:r w:rsidR="0053159B">
        <w:rPr>
          <w:rFonts w:ascii="Arial" w:hAnsi="Arial" w:cs="Arial"/>
          <w:sz w:val="20"/>
          <w:szCs w:val="20"/>
        </w:rPr>
        <w:t xml:space="preserve"> in </w:t>
      </w:r>
      <w:r w:rsidR="0053159B" w:rsidRPr="0053159B">
        <w:rPr>
          <w:rFonts w:ascii="Arial" w:hAnsi="Arial" w:cs="Arial"/>
          <w:b/>
          <w:bCs/>
          <w:sz w:val="20"/>
          <w:szCs w:val="20"/>
        </w:rPr>
        <w:t>Table 2</w:t>
      </w:r>
      <w:r w:rsidR="0053159B">
        <w:rPr>
          <w:rFonts w:ascii="Arial" w:hAnsi="Arial" w:cs="Arial"/>
          <w:sz w:val="20"/>
          <w:szCs w:val="20"/>
        </w:rPr>
        <w:t xml:space="preserve">). </w:t>
      </w:r>
    </w:p>
    <w:p w14:paraId="3B85C830" w14:textId="77777777" w:rsidR="00062B7A" w:rsidRDefault="00062B7A" w:rsidP="00062B7A">
      <w:pPr>
        <w:spacing w:after="0" w:line="480" w:lineRule="auto"/>
        <w:jc w:val="both"/>
        <w:rPr>
          <w:rFonts w:ascii="Arial" w:hAnsi="Arial" w:cs="Arial"/>
          <w:sz w:val="20"/>
          <w:szCs w:val="20"/>
        </w:rPr>
      </w:pPr>
    </w:p>
    <w:p w14:paraId="20909827" w14:textId="77777777" w:rsidR="00062B7A" w:rsidRDefault="00A563E5" w:rsidP="00062B7A">
      <w:pPr>
        <w:spacing w:after="0" w:line="480" w:lineRule="auto"/>
        <w:jc w:val="both"/>
        <w:rPr>
          <w:rFonts w:ascii="Arial" w:hAnsi="Arial" w:cs="Arial"/>
          <w:sz w:val="20"/>
          <w:szCs w:val="20"/>
        </w:rPr>
      </w:pPr>
      <w:r w:rsidRPr="00C016DD">
        <w:rPr>
          <w:rFonts w:ascii="Arial" w:hAnsi="Arial" w:cs="Arial"/>
          <w:sz w:val="20"/>
          <w:szCs w:val="20"/>
        </w:rPr>
        <w:t xml:space="preserve">Collectively, considerations </w:t>
      </w:r>
      <w:r w:rsidR="003675BA">
        <w:rPr>
          <w:rFonts w:ascii="Arial" w:hAnsi="Arial" w:cs="Arial"/>
          <w:sz w:val="20"/>
          <w:szCs w:val="20"/>
        </w:rPr>
        <w:t>of substrate specificity and</w:t>
      </w:r>
      <w:r w:rsidRPr="00C016DD">
        <w:rPr>
          <w:rFonts w:ascii="Arial" w:hAnsi="Arial" w:cs="Arial"/>
          <w:sz w:val="20"/>
          <w:szCs w:val="20"/>
        </w:rPr>
        <w:t xml:space="preserve"> differential inhibitory potential of ketoconazole in protein-free versus protein containing buffer culminated in an </w:t>
      </w:r>
      <w:r w:rsidRPr="00C016DD">
        <w:rPr>
          <w:rFonts w:ascii="Arial" w:hAnsi="Arial" w:cs="Arial"/>
          <w:i/>
          <w:iCs/>
          <w:sz w:val="20"/>
          <w:szCs w:val="20"/>
        </w:rPr>
        <w:t>in vitro</w:t>
      </w:r>
      <w:r w:rsidRPr="00C016DD">
        <w:rPr>
          <w:rFonts w:ascii="Arial" w:hAnsi="Arial" w:cs="Arial"/>
          <w:sz w:val="20"/>
          <w:szCs w:val="20"/>
        </w:rPr>
        <w:t xml:space="preserve"> </w:t>
      </w:r>
      <w:proofErr w:type="spellStart"/>
      <w:r w:rsidRPr="00C016DD">
        <w:rPr>
          <w:rFonts w:ascii="Arial" w:hAnsi="Arial" w:cs="Arial"/>
          <w:i/>
          <w:iCs/>
          <w:sz w:val="20"/>
          <w:szCs w:val="20"/>
        </w:rPr>
        <w:t>K</w:t>
      </w:r>
      <w:r w:rsidR="00557248" w:rsidRPr="00557248">
        <w:rPr>
          <w:rFonts w:ascii="Arial" w:hAnsi="Arial" w:cs="Arial"/>
          <w:i/>
          <w:iCs/>
          <w:sz w:val="20"/>
          <w:szCs w:val="20"/>
          <w:vertAlign w:val="subscript"/>
        </w:rPr>
        <w:t>i,u</w:t>
      </w:r>
      <w:proofErr w:type="spellEnd"/>
      <w:r w:rsidRPr="00C016DD">
        <w:rPr>
          <w:rFonts w:ascii="Arial" w:hAnsi="Arial" w:cs="Arial"/>
          <w:sz w:val="20"/>
          <w:szCs w:val="20"/>
        </w:rPr>
        <w:t xml:space="preserve"> value</w:t>
      </w:r>
      <w:r w:rsidR="00C32790">
        <w:rPr>
          <w:rFonts w:ascii="Arial" w:hAnsi="Arial" w:cs="Arial"/>
          <w:sz w:val="20"/>
          <w:szCs w:val="20"/>
        </w:rPr>
        <w:fldChar w:fldCharType="begin" w:fldLock="1"/>
      </w:r>
      <w:r w:rsidR="00516D49">
        <w:rPr>
          <w:rFonts w:ascii="Arial" w:hAnsi="Arial" w:cs="Arial"/>
          <w:sz w:val="20"/>
          <w:szCs w:val="20"/>
        </w:rPr>
        <w:instrText>ADDIN CSL_CITATION {"citationItems":[{"id":"ITEM-1","itemData":{"DOI":"10.2174/1389200054021834","ISBN":"13892002","ISSN":"13892002","PMID":"15975042","abstract":"In vitro cytochrome P450 (CYP)-associated metabolic studies have been considered cost-effective for predicting the potential clinical drug-drug interactions (DDIs), one of the major attritions in drug development. The breakthroughs during the past decade in understanding the biochemistry of CYP-mediated biotransformation and molecular biology of CYP gene regulation in humans have provided the scientific bases for such endeavors in early drug development. In this review, the enzyme kinetics of CYP inhibitions is described, with the primary focus on the ones proven with clinical relevance, namely the competitive inhibition and mechanism-based inactivation (MBI). Competitive CYP inhibition, the most often detected reversible inhibition, is well understood and has been studied extensively both in vitro and in clinical setting. Recently, MBI has received increasing attention. It has been recognized that MBI could occur more often than anticipated, due in part to the redox cycling-allied enzymatic action of CYPs. As commonly as an irreversible inhibition, MBI would inactivate the target proteins, and thus would be generally considered of high potential for causing clinical DDI. Moreover, the reversible inhibitions other than the competitive, namely noncompetitive, uncompetitive and mixed, were also documented for the important drug-metabolizing CYP members, particularly CYP1A2 and CYP2C9. Finally, the unusual kinetic interactions, which did not follow the Michaelis-Menten (M-M) kinetics, were detected in vitro for the majority of drug-metabolizing CYP members, and manifested for CYP3A4. However, the clinical relevance of the interactions involving the unusual CYP kinetics has not yet been fully understood. Nonetheless, the reversibility and inhibitory potency should be considered as the major determinants of the clinical relevance, particularly in combination with the therapeutic exposure levels. With rapid expansion of knowledge and technology, the evaluation of the clinically relevant CYP-associated DDIs in vitro is not only desirable but also achievable.","author":[{"dropping-particle":"","family":"Zhang","given":"Zhi-Yi","non-dropping-particle":"","parse-names":false,"suffix":""},{"dropping-particle":"","family":"Wong","given":"Y Nancy","non-dropping-particle":"","parse-names":false,"suffix":""}],"container-title":"Current drug metabolism","id":"ITEM-1","issue":"3","issued":{"date-parts":[["2005"]]},"page":"241-257","title":"Enzyme kinetics for clinically relevant CYP inhibition.","type":"article-journal","volume":"6"},"uris":["http://www.mendeley.com/documents/?uuid=9a89b0a0-dfc6-419b-b29a-9d3ea5045b69"]}],"mendeley":{"formattedCitation":"&lt;sup&gt;47&lt;/sup&gt;","plainTextFormattedCitation":"47","previouslyFormattedCitation":"&lt;sup&gt;47&lt;/sup&gt;"},"properties":{"noteIndex":0},"schema":"https://github.com/citation-style-language/schema/raw/master/csl-citation.json"}</w:instrText>
      </w:r>
      <w:r w:rsidR="00C32790">
        <w:rPr>
          <w:rFonts w:ascii="Arial" w:hAnsi="Arial" w:cs="Arial"/>
          <w:sz w:val="20"/>
          <w:szCs w:val="20"/>
        </w:rPr>
        <w:fldChar w:fldCharType="separate"/>
      </w:r>
      <w:r w:rsidR="006C6945" w:rsidRPr="006C6945">
        <w:rPr>
          <w:rFonts w:ascii="Arial" w:hAnsi="Arial" w:cs="Arial"/>
          <w:noProof/>
          <w:sz w:val="20"/>
          <w:szCs w:val="20"/>
          <w:vertAlign w:val="superscript"/>
        </w:rPr>
        <w:t>47</w:t>
      </w:r>
      <w:r w:rsidR="00C32790">
        <w:rPr>
          <w:rFonts w:ascii="Arial" w:hAnsi="Arial" w:cs="Arial"/>
          <w:sz w:val="20"/>
          <w:szCs w:val="20"/>
        </w:rPr>
        <w:fldChar w:fldCharType="end"/>
      </w:r>
      <w:r w:rsidRPr="00C016DD">
        <w:rPr>
          <w:rFonts w:ascii="Arial" w:hAnsi="Arial" w:cs="Arial"/>
          <w:sz w:val="20"/>
          <w:szCs w:val="20"/>
        </w:rPr>
        <w:t xml:space="preserve"> that accurately </w:t>
      </w:r>
      <w:r w:rsidRPr="00C016DD">
        <w:rPr>
          <w:rFonts w:ascii="Arial" w:hAnsi="Arial" w:cs="Arial"/>
          <w:sz w:val="20"/>
          <w:szCs w:val="20"/>
        </w:rPr>
        <w:lastRenderedPageBreak/>
        <w:t>recapitulated the extent of transporter-mediated DDI between rivaroxaban and ketoconazole (</w:t>
      </w:r>
      <w:r w:rsidRPr="00C016DD">
        <w:rPr>
          <w:rFonts w:ascii="Arial" w:hAnsi="Arial" w:cs="Arial"/>
          <w:b/>
          <w:bCs/>
          <w:sz w:val="20"/>
          <w:szCs w:val="20"/>
        </w:rPr>
        <w:t xml:space="preserve">Table </w:t>
      </w:r>
      <w:r w:rsidR="00EC6150">
        <w:rPr>
          <w:rFonts w:ascii="Arial" w:hAnsi="Arial" w:cs="Arial"/>
          <w:b/>
          <w:bCs/>
          <w:sz w:val="20"/>
          <w:szCs w:val="20"/>
        </w:rPr>
        <w:t>1</w:t>
      </w:r>
      <w:r w:rsidR="003675BA">
        <w:rPr>
          <w:rFonts w:ascii="Arial" w:hAnsi="Arial" w:cs="Arial"/>
          <w:sz w:val="20"/>
          <w:szCs w:val="20"/>
        </w:rPr>
        <w:t>;</w:t>
      </w:r>
      <w:r w:rsidRPr="00C016DD">
        <w:rPr>
          <w:rFonts w:ascii="Arial" w:hAnsi="Arial" w:cs="Arial"/>
          <w:sz w:val="20"/>
          <w:szCs w:val="20"/>
        </w:rPr>
        <w:t xml:space="preserve"> blue dashed line in </w:t>
      </w:r>
      <w:r w:rsidRPr="00C016DD">
        <w:rPr>
          <w:rFonts w:ascii="Arial" w:hAnsi="Arial" w:cs="Arial"/>
          <w:b/>
          <w:bCs/>
          <w:sz w:val="20"/>
          <w:szCs w:val="20"/>
        </w:rPr>
        <w:t>Figure 2</w:t>
      </w:r>
      <w:r w:rsidR="00F80AE0">
        <w:rPr>
          <w:rFonts w:ascii="Arial" w:hAnsi="Arial" w:cs="Arial"/>
          <w:b/>
          <w:bCs/>
          <w:sz w:val="20"/>
          <w:szCs w:val="20"/>
        </w:rPr>
        <w:t>H</w:t>
      </w:r>
      <w:r w:rsidRPr="00C016DD">
        <w:rPr>
          <w:rFonts w:ascii="Arial" w:hAnsi="Arial" w:cs="Arial"/>
          <w:sz w:val="20"/>
          <w:szCs w:val="20"/>
        </w:rPr>
        <w:t xml:space="preserve">). </w:t>
      </w:r>
      <w:bookmarkStart w:id="11" w:name="_Toc48787264"/>
      <w:bookmarkEnd w:id="10"/>
    </w:p>
    <w:p w14:paraId="61A0F99D" w14:textId="77777777" w:rsidR="00062B7A" w:rsidRDefault="00062B7A" w:rsidP="00062B7A">
      <w:pPr>
        <w:spacing w:after="0" w:line="480" w:lineRule="auto"/>
        <w:jc w:val="both"/>
        <w:rPr>
          <w:rFonts w:ascii="Arial" w:hAnsi="Arial" w:cs="Arial"/>
          <w:sz w:val="20"/>
          <w:szCs w:val="20"/>
        </w:rPr>
      </w:pPr>
    </w:p>
    <w:p w14:paraId="7DF59260" w14:textId="77777777" w:rsidR="00062B7A" w:rsidRDefault="00A563E5" w:rsidP="00062B7A">
      <w:pPr>
        <w:spacing w:after="0" w:line="480" w:lineRule="auto"/>
        <w:jc w:val="both"/>
        <w:rPr>
          <w:rFonts w:ascii="Arial" w:hAnsi="Arial" w:cs="Arial"/>
          <w:b/>
          <w:bCs/>
          <w:sz w:val="20"/>
          <w:szCs w:val="20"/>
        </w:rPr>
      </w:pPr>
      <w:r w:rsidRPr="00202870">
        <w:rPr>
          <w:rFonts w:ascii="Arial" w:hAnsi="Arial" w:cs="Arial"/>
          <w:b/>
          <w:bCs/>
          <w:sz w:val="20"/>
          <w:szCs w:val="20"/>
        </w:rPr>
        <w:t>Prospective Predictions of Enzyme- and/or Transporter-Mediated DDDIs between Rivaroxaban and Erlotinib or Nilotinib</w:t>
      </w:r>
      <w:bookmarkEnd w:id="11"/>
    </w:p>
    <w:p w14:paraId="50FDB1AC" w14:textId="77777777" w:rsidR="00C71580" w:rsidRDefault="00A563E5" w:rsidP="00C71580">
      <w:pPr>
        <w:spacing w:after="0" w:line="480" w:lineRule="auto"/>
        <w:jc w:val="both"/>
        <w:rPr>
          <w:rFonts w:ascii="Arial" w:hAnsi="Arial" w:cs="Arial"/>
          <w:sz w:val="20"/>
          <w:szCs w:val="20"/>
        </w:rPr>
      </w:pPr>
      <w:r w:rsidRPr="00202870">
        <w:rPr>
          <w:rFonts w:ascii="Arial" w:hAnsi="Arial" w:cs="Arial"/>
          <w:i/>
          <w:iCs/>
          <w:sz w:val="20"/>
          <w:szCs w:val="20"/>
        </w:rPr>
        <w:t>In vitro experiments affirmed the presence of MBI and/or reversible inhibition of CYP3A4- and/or CYP2J2-mediated metabolism of rivaroxaban by erlotinib and nilotinib</w:t>
      </w:r>
      <w:r w:rsidR="00202870" w:rsidRPr="00202870">
        <w:rPr>
          <w:rFonts w:ascii="Arial" w:hAnsi="Arial" w:cs="Arial"/>
          <w:i/>
          <w:iCs/>
          <w:sz w:val="20"/>
          <w:szCs w:val="20"/>
        </w:rPr>
        <w:t xml:space="preserve">. </w:t>
      </w:r>
      <w:r w:rsidRPr="00202870">
        <w:rPr>
          <w:rFonts w:ascii="Arial" w:hAnsi="Arial" w:cs="Arial"/>
          <w:sz w:val="20"/>
          <w:szCs w:val="20"/>
        </w:rPr>
        <w:t>Using rivaroxaban as the probe substrate, MBI of CYP3A4-mediated metabolism by erlotinib and nilotinib was demonstrated (</w:t>
      </w:r>
      <w:r w:rsidR="00C3669A">
        <w:rPr>
          <w:rFonts w:ascii="Arial" w:hAnsi="Arial" w:cs="Arial"/>
          <w:b/>
          <w:bCs/>
          <w:sz w:val="20"/>
          <w:szCs w:val="20"/>
        </w:rPr>
        <w:t>Figure</w:t>
      </w:r>
      <w:r w:rsidR="0091407B">
        <w:rPr>
          <w:rFonts w:ascii="Arial" w:hAnsi="Arial" w:cs="Arial"/>
          <w:b/>
          <w:bCs/>
          <w:sz w:val="20"/>
          <w:szCs w:val="20"/>
        </w:rPr>
        <w:t>s</w:t>
      </w:r>
      <w:r w:rsidR="00C3669A">
        <w:rPr>
          <w:rFonts w:ascii="Arial" w:hAnsi="Arial" w:cs="Arial"/>
          <w:b/>
          <w:bCs/>
          <w:sz w:val="20"/>
          <w:szCs w:val="20"/>
        </w:rPr>
        <w:t xml:space="preserve"> S</w:t>
      </w:r>
      <w:r w:rsidR="00671BA5">
        <w:rPr>
          <w:rFonts w:ascii="Arial" w:hAnsi="Arial" w:cs="Arial"/>
          <w:b/>
          <w:bCs/>
          <w:sz w:val="20"/>
          <w:szCs w:val="20"/>
        </w:rPr>
        <w:t>1</w:t>
      </w:r>
      <w:r w:rsidR="0091407B">
        <w:rPr>
          <w:rFonts w:ascii="Arial" w:hAnsi="Arial" w:cs="Arial"/>
          <w:b/>
          <w:bCs/>
          <w:sz w:val="20"/>
          <w:szCs w:val="20"/>
        </w:rPr>
        <w:t>A-D</w:t>
      </w:r>
      <w:r w:rsidRPr="00202870">
        <w:rPr>
          <w:rFonts w:ascii="Arial" w:hAnsi="Arial" w:cs="Arial"/>
          <w:sz w:val="20"/>
          <w:szCs w:val="20"/>
        </w:rPr>
        <w:t>). Preliminary studies in the presence of positive control (dronedarone) demonstrated that erlotinib (</w:t>
      </w:r>
      <w:r w:rsidRPr="00202870">
        <w:rPr>
          <w:rFonts w:ascii="Arial" w:hAnsi="Arial" w:cs="Arial"/>
          <w:b/>
          <w:bCs/>
          <w:sz w:val="20"/>
          <w:szCs w:val="20"/>
        </w:rPr>
        <w:t xml:space="preserve">Figure </w:t>
      </w:r>
      <w:r w:rsidR="0091407B">
        <w:rPr>
          <w:rFonts w:ascii="Arial" w:hAnsi="Arial" w:cs="Arial"/>
          <w:b/>
          <w:bCs/>
          <w:sz w:val="20"/>
          <w:szCs w:val="20"/>
        </w:rPr>
        <w:t>S</w:t>
      </w:r>
      <w:r w:rsidR="00671BA5">
        <w:rPr>
          <w:rFonts w:ascii="Arial" w:hAnsi="Arial" w:cs="Arial"/>
          <w:b/>
          <w:bCs/>
          <w:sz w:val="20"/>
          <w:szCs w:val="20"/>
        </w:rPr>
        <w:t>1</w:t>
      </w:r>
      <w:r w:rsidR="0091407B">
        <w:rPr>
          <w:rFonts w:ascii="Arial" w:hAnsi="Arial" w:cs="Arial"/>
          <w:b/>
          <w:bCs/>
          <w:sz w:val="20"/>
          <w:szCs w:val="20"/>
        </w:rPr>
        <w:t>E</w:t>
      </w:r>
      <w:r w:rsidRPr="00202870">
        <w:rPr>
          <w:rFonts w:ascii="Arial" w:hAnsi="Arial" w:cs="Arial"/>
          <w:sz w:val="20"/>
          <w:szCs w:val="20"/>
        </w:rPr>
        <w:t xml:space="preserve">), but not nilotinib produced time-dependent inactivation of CYP2J2 </w:t>
      </w:r>
      <w:r w:rsidRPr="00202870">
        <w:rPr>
          <w:rFonts w:ascii="Arial" w:hAnsi="Arial" w:cs="Arial"/>
          <w:b/>
          <w:bCs/>
          <w:sz w:val="20"/>
          <w:szCs w:val="20"/>
        </w:rPr>
        <w:t xml:space="preserve">(Figure </w:t>
      </w:r>
      <w:r w:rsidR="0091407B">
        <w:rPr>
          <w:rFonts w:ascii="Arial" w:hAnsi="Arial" w:cs="Arial"/>
          <w:b/>
          <w:bCs/>
          <w:sz w:val="20"/>
          <w:szCs w:val="20"/>
        </w:rPr>
        <w:t>S</w:t>
      </w:r>
      <w:r w:rsidR="00671BA5">
        <w:rPr>
          <w:rFonts w:ascii="Arial" w:hAnsi="Arial" w:cs="Arial"/>
          <w:b/>
          <w:bCs/>
          <w:sz w:val="20"/>
          <w:szCs w:val="20"/>
        </w:rPr>
        <w:t>1</w:t>
      </w:r>
      <w:r w:rsidRPr="00202870">
        <w:rPr>
          <w:rFonts w:ascii="Arial" w:hAnsi="Arial" w:cs="Arial"/>
          <w:b/>
          <w:bCs/>
          <w:sz w:val="20"/>
          <w:szCs w:val="20"/>
        </w:rPr>
        <w:t>F)</w:t>
      </w:r>
      <w:r w:rsidRPr="00202870">
        <w:rPr>
          <w:rFonts w:ascii="Arial" w:hAnsi="Arial" w:cs="Arial"/>
          <w:sz w:val="20"/>
          <w:szCs w:val="20"/>
        </w:rPr>
        <w:t>. Hence, the MBI potency of erlotinib on CYP2J2-mediated metabolism of rivaroxaban was further characterized (</w:t>
      </w:r>
      <w:r w:rsidRPr="00202870">
        <w:rPr>
          <w:rFonts w:ascii="Arial" w:hAnsi="Arial" w:cs="Arial"/>
          <w:b/>
          <w:bCs/>
          <w:sz w:val="20"/>
          <w:szCs w:val="20"/>
        </w:rPr>
        <w:t xml:space="preserve">Figure </w:t>
      </w:r>
      <w:r w:rsidR="0091407B">
        <w:rPr>
          <w:rFonts w:ascii="Arial" w:hAnsi="Arial" w:cs="Arial"/>
          <w:b/>
          <w:bCs/>
          <w:sz w:val="20"/>
          <w:szCs w:val="20"/>
        </w:rPr>
        <w:t>S</w:t>
      </w:r>
      <w:r w:rsidR="00671BA5">
        <w:rPr>
          <w:rFonts w:ascii="Arial" w:hAnsi="Arial" w:cs="Arial"/>
          <w:b/>
          <w:bCs/>
          <w:sz w:val="20"/>
          <w:szCs w:val="20"/>
        </w:rPr>
        <w:t>1</w:t>
      </w:r>
      <w:r w:rsidR="0091407B">
        <w:rPr>
          <w:rFonts w:ascii="Arial" w:hAnsi="Arial" w:cs="Arial"/>
          <w:b/>
          <w:bCs/>
          <w:sz w:val="20"/>
          <w:szCs w:val="20"/>
        </w:rPr>
        <w:t>G</w:t>
      </w:r>
      <w:r w:rsidRPr="00202870">
        <w:rPr>
          <w:rFonts w:ascii="Arial" w:hAnsi="Arial" w:cs="Arial"/>
          <w:sz w:val="20"/>
          <w:szCs w:val="20"/>
        </w:rPr>
        <w:t xml:space="preserve"> and </w:t>
      </w:r>
      <w:r w:rsidR="0091407B">
        <w:rPr>
          <w:rFonts w:ascii="Arial" w:hAnsi="Arial" w:cs="Arial"/>
          <w:b/>
          <w:bCs/>
          <w:sz w:val="20"/>
          <w:szCs w:val="20"/>
        </w:rPr>
        <w:t>S</w:t>
      </w:r>
      <w:r w:rsidR="00671BA5">
        <w:rPr>
          <w:rFonts w:ascii="Arial" w:hAnsi="Arial" w:cs="Arial"/>
          <w:b/>
          <w:bCs/>
          <w:sz w:val="20"/>
          <w:szCs w:val="20"/>
        </w:rPr>
        <w:t>1</w:t>
      </w:r>
      <w:r w:rsidR="0091407B">
        <w:rPr>
          <w:rFonts w:ascii="Arial" w:hAnsi="Arial" w:cs="Arial"/>
          <w:b/>
          <w:bCs/>
          <w:sz w:val="20"/>
          <w:szCs w:val="20"/>
        </w:rPr>
        <w:t>H</w:t>
      </w:r>
      <w:r w:rsidRPr="00202870">
        <w:rPr>
          <w:rFonts w:ascii="Arial" w:hAnsi="Arial" w:cs="Arial"/>
          <w:sz w:val="20"/>
          <w:szCs w:val="20"/>
        </w:rPr>
        <w:t>). Quantification of the</w:t>
      </w:r>
      <w:r w:rsidR="00062B7A">
        <w:rPr>
          <w:rFonts w:ascii="Arial" w:hAnsi="Arial" w:cs="Arial"/>
          <w:sz w:val="20"/>
          <w:szCs w:val="20"/>
        </w:rPr>
        <w:t xml:space="preserve"> reversible inhibitory potencies</w:t>
      </w:r>
      <w:r w:rsidRPr="00202870">
        <w:rPr>
          <w:rFonts w:ascii="Arial" w:hAnsi="Arial" w:cs="Arial"/>
          <w:sz w:val="20"/>
          <w:szCs w:val="20"/>
        </w:rPr>
        <w:t xml:space="preserve"> of erlotinib and nilotinib on CYP3A4-mediated rivaroxaban metabolism was also performed</w:t>
      </w:r>
      <w:r w:rsidR="00062B7A">
        <w:rPr>
          <w:rFonts w:ascii="Arial" w:hAnsi="Arial" w:cs="Arial"/>
          <w:sz w:val="20"/>
          <w:szCs w:val="20"/>
        </w:rPr>
        <w:t xml:space="preserve"> (</w:t>
      </w:r>
      <w:r w:rsidRPr="00202870">
        <w:rPr>
          <w:rFonts w:ascii="Arial" w:hAnsi="Arial" w:cs="Arial"/>
          <w:b/>
          <w:bCs/>
          <w:sz w:val="20"/>
          <w:szCs w:val="20"/>
        </w:rPr>
        <w:t xml:space="preserve">Figures </w:t>
      </w:r>
      <w:r w:rsidR="005A7922">
        <w:rPr>
          <w:rFonts w:ascii="Arial" w:hAnsi="Arial" w:cs="Arial"/>
          <w:b/>
          <w:bCs/>
          <w:sz w:val="20"/>
          <w:szCs w:val="20"/>
        </w:rPr>
        <w:t>S</w:t>
      </w:r>
      <w:r w:rsidR="005F317F">
        <w:rPr>
          <w:rFonts w:ascii="Arial" w:hAnsi="Arial" w:cs="Arial"/>
          <w:b/>
          <w:bCs/>
          <w:sz w:val="20"/>
          <w:szCs w:val="20"/>
        </w:rPr>
        <w:t>2</w:t>
      </w:r>
      <w:r w:rsidRPr="00202870">
        <w:rPr>
          <w:rFonts w:ascii="Arial" w:hAnsi="Arial" w:cs="Arial"/>
          <w:b/>
          <w:bCs/>
          <w:sz w:val="20"/>
          <w:szCs w:val="20"/>
        </w:rPr>
        <w:t>A</w:t>
      </w:r>
      <w:r w:rsidRPr="00202870">
        <w:rPr>
          <w:rFonts w:ascii="Arial" w:hAnsi="Arial" w:cs="Arial"/>
          <w:sz w:val="20"/>
          <w:szCs w:val="20"/>
        </w:rPr>
        <w:t xml:space="preserve"> and </w:t>
      </w:r>
      <w:r w:rsidR="005A7922">
        <w:rPr>
          <w:rFonts w:ascii="Arial" w:hAnsi="Arial" w:cs="Arial"/>
          <w:b/>
          <w:bCs/>
          <w:sz w:val="20"/>
          <w:szCs w:val="20"/>
        </w:rPr>
        <w:t>S</w:t>
      </w:r>
      <w:r w:rsidR="005F317F">
        <w:rPr>
          <w:rFonts w:ascii="Arial" w:hAnsi="Arial" w:cs="Arial"/>
          <w:b/>
          <w:bCs/>
          <w:sz w:val="20"/>
          <w:szCs w:val="20"/>
        </w:rPr>
        <w:t>2</w:t>
      </w:r>
      <w:r w:rsidR="007C5592">
        <w:rPr>
          <w:rFonts w:ascii="Arial" w:hAnsi="Arial" w:cs="Arial"/>
          <w:b/>
          <w:bCs/>
          <w:sz w:val="20"/>
          <w:szCs w:val="20"/>
        </w:rPr>
        <w:t>C</w:t>
      </w:r>
      <w:r w:rsidRPr="00202870">
        <w:rPr>
          <w:rFonts w:ascii="Arial" w:hAnsi="Arial" w:cs="Arial"/>
          <w:b/>
          <w:bCs/>
          <w:sz w:val="20"/>
          <w:szCs w:val="20"/>
        </w:rPr>
        <w:t xml:space="preserve"> </w:t>
      </w:r>
      <w:r w:rsidRPr="00202870">
        <w:rPr>
          <w:rFonts w:ascii="Arial" w:hAnsi="Arial" w:cs="Arial"/>
          <w:sz w:val="20"/>
          <w:szCs w:val="20"/>
        </w:rPr>
        <w:t>respectively</w:t>
      </w:r>
      <w:r w:rsidR="00062B7A">
        <w:rPr>
          <w:rFonts w:ascii="Arial" w:hAnsi="Arial" w:cs="Arial"/>
          <w:sz w:val="20"/>
          <w:szCs w:val="20"/>
        </w:rPr>
        <w:t>)</w:t>
      </w:r>
      <w:r w:rsidRPr="00202870">
        <w:rPr>
          <w:rFonts w:ascii="Arial" w:hAnsi="Arial" w:cs="Arial"/>
          <w:sz w:val="20"/>
          <w:szCs w:val="20"/>
        </w:rPr>
        <w:t>. R</w:t>
      </w:r>
      <w:r w:rsidRPr="00202870">
        <w:rPr>
          <w:rFonts w:ascii="Arial" w:hAnsi="Arial" w:cs="Arial"/>
          <w:sz w:val="20"/>
          <w:szCs w:val="20"/>
          <w:vertAlign w:val="subscript"/>
        </w:rPr>
        <w:t>1</w:t>
      </w:r>
      <w:r w:rsidRPr="00202870">
        <w:rPr>
          <w:rFonts w:ascii="Arial" w:hAnsi="Arial" w:cs="Arial"/>
          <w:sz w:val="20"/>
          <w:szCs w:val="20"/>
        </w:rPr>
        <w:t xml:space="preserve"> ratios calculated based on derived IC</w:t>
      </w:r>
      <w:r w:rsidRPr="00202870">
        <w:rPr>
          <w:rFonts w:ascii="Arial" w:hAnsi="Arial" w:cs="Arial"/>
          <w:sz w:val="20"/>
          <w:szCs w:val="20"/>
          <w:vertAlign w:val="subscript"/>
        </w:rPr>
        <w:t>50</w:t>
      </w:r>
      <w:r w:rsidRPr="00202870">
        <w:rPr>
          <w:rFonts w:ascii="Arial" w:hAnsi="Arial" w:cs="Arial"/>
          <w:sz w:val="20"/>
          <w:szCs w:val="20"/>
        </w:rPr>
        <w:t xml:space="preserve"> values of 20.24 µM (erlotinib) and 6.05 µM (nilotinib) were below the FDA recommended threshold of 1.02 (1.014 and 1.019 for erlotinib and nilotinib respectively)</w:t>
      </w:r>
      <w:r w:rsidR="00925509">
        <w:rPr>
          <w:rFonts w:ascii="Arial" w:hAnsi="Arial" w:cs="Arial"/>
          <w:sz w:val="20"/>
          <w:szCs w:val="20"/>
        </w:rPr>
        <w:t xml:space="preserve"> (</w:t>
      </w:r>
      <w:r w:rsidR="00925509" w:rsidRPr="00925509">
        <w:rPr>
          <w:rFonts w:ascii="Arial" w:hAnsi="Arial" w:cs="Arial"/>
          <w:b/>
          <w:bCs/>
          <w:sz w:val="20"/>
          <w:szCs w:val="20"/>
        </w:rPr>
        <w:t>Table 2</w:t>
      </w:r>
      <w:r w:rsidR="00925509">
        <w:rPr>
          <w:rFonts w:ascii="Arial" w:hAnsi="Arial" w:cs="Arial"/>
          <w:sz w:val="20"/>
          <w:szCs w:val="20"/>
        </w:rPr>
        <w:t>)</w:t>
      </w:r>
      <w:r w:rsidRPr="00202870">
        <w:rPr>
          <w:rFonts w:ascii="Arial" w:hAnsi="Arial" w:cs="Arial"/>
          <w:sz w:val="20"/>
          <w:szCs w:val="20"/>
        </w:rPr>
        <w:t xml:space="preserve">. Hence, </w:t>
      </w:r>
      <w:r w:rsidRPr="00202870">
        <w:rPr>
          <w:rFonts w:ascii="Arial" w:hAnsi="Arial" w:cs="Arial"/>
          <w:i/>
          <w:iCs/>
          <w:sz w:val="20"/>
          <w:szCs w:val="20"/>
        </w:rPr>
        <w:t>K</w:t>
      </w:r>
      <w:r w:rsidRPr="00202870">
        <w:rPr>
          <w:rFonts w:ascii="Arial" w:hAnsi="Arial" w:cs="Arial"/>
          <w:i/>
          <w:iCs/>
          <w:sz w:val="20"/>
          <w:szCs w:val="20"/>
          <w:vertAlign w:val="subscript"/>
        </w:rPr>
        <w:t>i</w:t>
      </w:r>
      <w:r w:rsidRPr="00202870">
        <w:rPr>
          <w:rFonts w:ascii="Arial" w:hAnsi="Arial" w:cs="Arial"/>
          <w:i/>
          <w:iCs/>
          <w:sz w:val="20"/>
          <w:szCs w:val="20"/>
        </w:rPr>
        <w:t xml:space="preserve"> </w:t>
      </w:r>
      <w:r w:rsidRPr="00202870">
        <w:rPr>
          <w:rFonts w:ascii="Arial" w:hAnsi="Arial" w:cs="Arial"/>
          <w:sz w:val="20"/>
          <w:szCs w:val="20"/>
        </w:rPr>
        <w:t>determinations were not conducted.</w:t>
      </w:r>
      <w:r w:rsidRPr="00202870">
        <w:rPr>
          <w:rFonts w:ascii="Arial" w:hAnsi="Arial" w:cs="Arial"/>
          <w:sz w:val="20"/>
          <w:szCs w:val="20"/>
        </w:rPr>
        <w:fldChar w:fldCharType="begin" w:fldLock="1"/>
      </w:r>
      <w:r w:rsidR="00516D49">
        <w:rPr>
          <w:rFonts w:ascii="Arial" w:hAnsi="Arial" w:cs="Arial"/>
          <w:sz w:val="20"/>
          <w:szCs w:val="20"/>
        </w:rPr>
        <w:instrText>ADDIN CSL_CITATION {"citationItems":[{"id":"ITEM-1","itemData":{"author":[{"dropping-particle":"","family":"U.S. Department of Health and Human Services Food and Drug Administration Center for Drug Evaluation and Research (CDER)","given":"","non-dropping-particle":"","parse-names":false,"suffix":""}],"id":"ITEM-1","issued":{"date-parts":[["2020"]]},"title":"In Vitro Drug Interaction Studies-Cytochrome P450 Enzyme-and Transporter-Mediated Drug Interactions Guidance for Industry","type":"report"},"uris":["http://www.mendeley.com/documents/?uuid=00121271-c999-30e2-988a-65d9b1f32368","http://www.mendeley.com/documents/?uuid=297c7055-81f8-4d0c-a1e4-ee4ca18a5929"]}],"mendeley":{"formattedCitation":"&lt;sup&gt;48&lt;/sup&gt;","plainTextFormattedCitation":"48","previouslyFormattedCitation":"&lt;sup&gt;48&lt;/sup&gt;"},"properties":{"noteIndex":0},"schema":"https://github.com/citation-style-language/schema/raw/master/csl-citation.json"}</w:instrText>
      </w:r>
      <w:r w:rsidRPr="00202870">
        <w:rPr>
          <w:rFonts w:ascii="Arial" w:hAnsi="Arial" w:cs="Arial"/>
          <w:sz w:val="20"/>
          <w:szCs w:val="20"/>
        </w:rPr>
        <w:fldChar w:fldCharType="separate"/>
      </w:r>
      <w:r w:rsidR="006C6945" w:rsidRPr="006C6945">
        <w:rPr>
          <w:rFonts w:ascii="Arial" w:hAnsi="Arial" w:cs="Arial"/>
          <w:noProof/>
          <w:sz w:val="20"/>
          <w:szCs w:val="20"/>
          <w:vertAlign w:val="superscript"/>
        </w:rPr>
        <w:t>48</w:t>
      </w:r>
      <w:r w:rsidRPr="00202870">
        <w:rPr>
          <w:rFonts w:ascii="Arial" w:hAnsi="Arial" w:cs="Arial"/>
          <w:sz w:val="20"/>
          <w:szCs w:val="20"/>
        </w:rPr>
        <w:fldChar w:fldCharType="end"/>
      </w:r>
      <w:r w:rsidRPr="00202870">
        <w:rPr>
          <w:rFonts w:ascii="Arial" w:hAnsi="Arial" w:cs="Arial"/>
          <w:sz w:val="20"/>
          <w:szCs w:val="20"/>
        </w:rPr>
        <w:t xml:space="preserve"> Conversely, reversible inhibition of CYP2J2 by erlotinib (</w:t>
      </w:r>
      <w:r w:rsidRPr="00202870">
        <w:rPr>
          <w:rFonts w:ascii="Arial" w:hAnsi="Arial" w:cs="Arial"/>
          <w:b/>
          <w:bCs/>
          <w:sz w:val="20"/>
          <w:szCs w:val="20"/>
        </w:rPr>
        <w:t xml:space="preserve">Figure </w:t>
      </w:r>
      <w:r w:rsidR="00364BC6">
        <w:rPr>
          <w:rFonts w:ascii="Arial" w:hAnsi="Arial" w:cs="Arial"/>
          <w:b/>
          <w:bCs/>
          <w:sz w:val="20"/>
          <w:szCs w:val="20"/>
        </w:rPr>
        <w:t>S</w:t>
      </w:r>
      <w:r w:rsidR="005F317F">
        <w:rPr>
          <w:rFonts w:ascii="Arial" w:hAnsi="Arial" w:cs="Arial"/>
          <w:b/>
          <w:bCs/>
          <w:sz w:val="20"/>
          <w:szCs w:val="20"/>
        </w:rPr>
        <w:t>2</w:t>
      </w:r>
      <w:r w:rsidR="00121546">
        <w:rPr>
          <w:rFonts w:ascii="Arial" w:hAnsi="Arial" w:cs="Arial"/>
          <w:b/>
          <w:bCs/>
          <w:sz w:val="20"/>
          <w:szCs w:val="20"/>
        </w:rPr>
        <w:t>B</w:t>
      </w:r>
      <w:r w:rsidRPr="00202870">
        <w:rPr>
          <w:rFonts w:ascii="Arial" w:hAnsi="Arial" w:cs="Arial"/>
          <w:sz w:val="20"/>
          <w:szCs w:val="20"/>
        </w:rPr>
        <w:t>) and nilotinib (</w:t>
      </w:r>
      <w:r w:rsidRPr="00202870">
        <w:rPr>
          <w:rFonts w:ascii="Arial" w:hAnsi="Arial" w:cs="Arial"/>
          <w:b/>
          <w:bCs/>
          <w:sz w:val="20"/>
          <w:szCs w:val="20"/>
        </w:rPr>
        <w:t xml:space="preserve">Figure </w:t>
      </w:r>
      <w:r w:rsidR="003D6C15">
        <w:rPr>
          <w:rFonts w:ascii="Arial" w:hAnsi="Arial" w:cs="Arial"/>
          <w:b/>
          <w:bCs/>
          <w:sz w:val="20"/>
          <w:szCs w:val="20"/>
        </w:rPr>
        <w:t>S</w:t>
      </w:r>
      <w:r w:rsidR="005F317F">
        <w:rPr>
          <w:rFonts w:ascii="Arial" w:hAnsi="Arial" w:cs="Arial"/>
          <w:b/>
          <w:bCs/>
          <w:sz w:val="20"/>
          <w:szCs w:val="20"/>
        </w:rPr>
        <w:t>2</w:t>
      </w:r>
      <w:r w:rsidR="003D6C15">
        <w:rPr>
          <w:rFonts w:ascii="Arial" w:hAnsi="Arial" w:cs="Arial"/>
          <w:b/>
          <w:bCs/>
          <w:sz w:val="20"/>
          <w:szCs w:val="20"/>
        </w:rPr>
        <w:t>D</w:t>
      </w:r>
      <w:r w:rsidRPr="00202870">
        <w:rPr>
          <w:rFonts w:ascii="Arial" w:hAnsi="Arial" w:cs="Arial"/>
          <w:sz w:val="20"/>
          <w:szCs w:val="20"/>
        </w:rPr>
        <w:t>) yielded IC</w:t>
      </w:r>
      <w:r w:rsidRPr="00202870">
        <w:rPr>
          <w:rFonts w:ascii="Arial" w:hAnsi="Arial" w:cs="Arial"/>
          <w:sz w:val="20"/>
          <w:szCs w:val="20"/>
          <w:vertAlign w:val="subscript"/>
        </w:rPr>
        <w:t>50</w:t>
      </w:r>
      <w:r w:rsidRPr="00202870">
        <w:rPr>
          <w:rFonts w:ascii="Arial" w:hAnsi="Arial" w:cs="Arial"/>
          <w:sz w:val="20"/>
          <w:szCs w:val="20"/>
        </w:rPr>
        <w:t xml:space="preserve"> values of 1.81 µM and 0.30 µM. Calculated R</w:t>
      </w:r>
      <w:r w:rsidRPr="00202870">
        <w:rPr>
          <w:rFonts w:ascii="Arial" w:hAnsi="Arial" w:cs="Arial"/>
          <w:sz w:val="20"/>
          <w:szCs w:val="20"/>
          <w:vertAlign w:val="subscript"/>
        </w:rPr>
        <w:t>1</w:t>
      </w:r>
      <w:r w:rsidRPr="00202870">
        <w:rPr>
          <w:rFonts w:ascii="Arial" w:hAnsi="Arial" w:cs="Arial"/>
          <w:sz w:val="20"/>
          <w:szCs w:val="20"/>
        </w:rPr>
        <w:t xml:space="preserve"> ratios exceeded 1.02, hence warranting further elucidation of </w:t>
      </w:r>
      <w:r w:rsidRPr="00202870">
        <w:rPr>
          <w:rFonts w:ascii="Arial" w:hAnsi="Arial" w:cs="Arial"/>
          <w:i/>
          <w:iCs/>
          <w:sz w:val="20"/>
          <w:szCs w:val="20"/>
        </w:rPr>
        <w:t>K</w:t>
      </w:r>
      <w:r w:rsidRPr="00202870">
        <w:rPr>
          <w:rFonts w:ascii="Arial" w:hAnsi="Arial" w:cs="Arial"/>
          <w:i/>
          <w:iCs/>
          <w:sz w:val="20"/>
          <w:szCs w:val="20"/>
          <w:vertAlign w:val="subscript"/>
        </w:rPr>
        <w:t>i</w:t>
      </w:r>
      <w:r w:rsidRPr="00202870">
        <w:rPr>
          <w:rFonts w:ascii="Arial" w:hAnsi="Arial" w:cs="Arial"/>
          <w:sz w:val="20"/>
          <w:szCs w:val="20"/>
        </w:rPr>
        <w:t xml:space="preserve"> via enzyme kinetics experiments. Michaelis-Menten curves were derived in the presence of varying concentrations of the putative inhibitors (erlotinib and nilotinib). Lineweaver-Burk transformations </w:t>
      </w:r>
      <w:r w:rsidR="00616CB4" w:rsidRPr="00202870">
        <w:rPr>
          <w:rFonts w:ascii="Arial" w:hAnsi="Arial" w:cs="Arial"/>
          <w:sz w:val="20"/>
          <w:szCs w:val="20"/>
        </w:rPr>
        <w:t>(</w:t>
      </w:r>
      <w:r w:rsidR="00616CB4" w:rsidRPr="00202870">
        <w:rPr>
          <w:rFonts w:ascii="Arial" w:hAnsi="Arial" w:cs="Arial"/>
          <w:b/>
          <w:bCs/>
          <w:sz w:val="20"/>
          <w:szCs w:val="20"/>
        </w:rPr>
        <w:t xml:space="preserve">Figures </w:t>
      </w:r>
      <w:r w:rsidR="00616CB4">
        <w:rPr>
          <w:rFonts w:ascii="Arial" w:hAnsi="Arial" w:cs="Arial"/>
          <w:b/>
          <w:bCs/>
          <w:sz w:val="20"/>
          <w:szCs w:val="20"/>
        </w:rPr>
        <w:t>S2E</w:t>
      </w:r>
      <w:r w:rsidR="00616CB4" w:rsidRPr="00202870">
        <w:rPr>
          <w:rFonts w:ascii="Arial" w:hAnsi="Arial" w:cs="Arial"/>
          <w:b/>
          <w:bCs/>
          <w:sz w:val="20"/>
          <w:szCs w:val="20"/>
        </w:rPr>
        <w:t xml:space="preserve"> </w:t>
      </w:r>
      <w:r w:rsidR="00616CB4" w:rsidRPr="00202870">
        <w:rPr>
          <w:rFonts w:ascii="Arial" w:hAnsi="Arial" w:cs="Arial"/>
          <w:sz w:val="20"/>
          <w:szCs w:val="20"/>
        </w:rPr>
        <w:t>and</w:t>
      </w:r>
      <w:r w:rsidR="00616CB4" w:rsidRPr="00202870">
        <w:rPr>
          <w:rFonts w:ascii="Arial" w:hAnsi="Arial" w:cs="Arial"/>
          <w:b/>
          <w:bCs/>
          <w:sz w:val="20"/>
          <w:szCs w:val="20"/>
        </w:rPr>
        <w:t xml:space="preserve"> </w:t>
      </w:r>
      <w:r w:rsidR="00616CB4">
        <w:rPr>
          <w:rFonts w:ascii="Arial" w:hAnsi="Arial" w:cs="Arial"/>
          <w:b/>
          <w:bCs/>
          <w:sz w:val="20"/>
          <w:szCs w:val="20"/>
        </w:rPr>
        <w:t>S2</w:t>
      </w:r>
      <w:r w:rsidR="00F42891">
        <w:rPr>
          <w:rFonts w:ascii="Arial" w:hAnsi="Arial" w:cs="Arial"/>
          <w:b/>
          <w:bCs/>
          <w:sz w:val="20"/>
          <w:szCs w:val="20"/>
        </w:rPr>
        <w:t>G</w:t>
      </w:r>
      <w:r w:rsidR="00616CB4" w:rsidRPr="00202870">
        <w:rPr>
          <w:rFonts w:ascii="Arial" w:hAnsi="Arial" w:cs="Arial"/>
          <w:sz w:val="20"/>
          <w:szCs w:val="20"/>
        </w:rPr>
        <w:t>)</w:t>
      </w:r>
      <w:r w:rsidR="00616CB4">
        <w:rPr>
          <w:rFonts w:ascii="Arial" w:hAnsi="Arial" w:cs="Arial"/>
          <w:sz w:val="20"/>
          <w:szCs w:val="20"/>
        </w:rPr>
        <w:t xml:space="preserve"> </w:t>
      </w:r>
      <w:r w:rsidRPr="00202870">
        <w:rPr>
          <w:rFonts w:ascii="Arial" w:hAnsi="Arial" w:cs="Arial"/>
          <w:sz w:val="20"/>
          <w:szCs w:val="20"/>
        </w:rPr>
        <w:t xml:space="preserve">verified that erlotinib and nilotinib competitively inhibit CYP2J2 and subsequent non-linear regression analyses yielded </w:t>
      </w:r>
      <w:r w:rsidRPr="00202870">
        <w:rPr>
          <w:rFonts w:ascii="Arial" w:hAnsi="Arial" w:cs="Arial"/>
          <w:i/>
          <w:iCs/>
          <w:sz w:val="20"/>
          <w:szCs w:val="20"/>
        </w:rPr>
        <w:t>K</w:t>
      </w:r>
      <w:r w:rsidRPr="00202870">
        <w:rPr>
          <w:rFonts w:ascii="Arial" w:hAnsi="Arial" w:cs="Arial"/>
          <w:i/>
          <w:iCs/>
          <w:sz w:val="20"/>
          <w:szCs w:val="20"/>
          <w:vertAlign w:val="subscript"/>
        </w:rPr>
        <w:t>i</w:t>
      </w:r>
      <w:r w:rsidRPr="00202870">
        <w:rPr>
          <w:rFonts w:ascii="Arial" w:hAnsi="Arial" w:cs="Arial"/>
          <w:sz w:val="20"/>
          <w:szCs w:val="20"/>
        </w:rPr>
        <w:t xml:space="preserve"> values of 0.76 µM and 0.12 µM respectively (</w:t>
      </w:r>
      <w:r w:rsidRPr="00202870">
        <w:rPr>
          <w:rFonts w:ascii="Arial" w:hAnsi="Arial" w:cs="Arial"/>
          <w:b/>
          <w:bCs/>
          <w:sz w:val="20"/>
          <w:szCs w:val="20"/>
        </w:rPr>
        <w:t xml:space="preserve">Figures </w:t>
      </w:r>
      <w:r w:rsidR="003D6C15">
        <w:rPr>
          <w:rFonts w:ascii="Arial" w:hAnsi="Arial" w:cs="Arial"/>
          <w:b/>
          <w:bCs/>
          <w:sz w:val="20"/>
          <w:szCs w:val="20"/>
        </w:rPr>
        <w:t>S</w:t>
      </w:r>
      <w:r w:rsidR="005F317F">
        <w:rPr>
          <w:rFonts w:ascii="Arial" w:hAnsi="Arial" w:cs="Arial"/>
          <w:b/>
          <w:bCs/>
          <w:sz w:val="20"/>
          <w:szCs w:val="20"/>
        </w:rPr>
        <w:t>2</w:t>
      </w:r>
      <w:r w:rsidR="00F42891">
        <w:rPr>
          <w:rFonts w:ascii="Arial" w:hAnsi="Arial" w:cs="Arial"/>
          <w:b/>
          <w:bCs/>
          <w:sz w:val="20"/>
          <w:szCs w:val="20"/>
        </w:rPr>
        <w:t>F</w:t>
      </w:r>
      <w:r w:rsidRPr="00202870">
        <w:rPr>
          <w:rFonts w:ascii="Arial" w:hAnsi="Arial" w:cs="Arial"/>
          <w:b/>
          <w:bCs/>
          <w:sz w:val="20"/>
          <w:szCs w:val="20"/>
        </w:rPr>
        <w:t xml:space="preserve"> </w:t>
      </w:r>
      <w:r w:rsidRPr="00202870">
        <w:rPr>
          <w:rFonts w:ascii="Arial" w:hAnsi="Arial" w:cs="Arial"/>
          <w:sz w:val="20"/>
          <w:szCs w:val="20"/>
        </w:rPr>
        <w:t>and</w:t>
      </w:r>
      <w:r w:rsidRPr="00202870">
        <w:rPr>
          <w:rFonts w:ascii="Arial" w:hAnsi="Arial" w:cs="Arial"/>
          <w:b/>
          <w:bCs/>
          <w:sz w:val="20"/>
          <w:szCs w:val="20"/>
        </w:rPr>
        <w:t xml:space="preserve"> </w:t>
      </w:r>
      <w:r w:rsidR="003D6C15">
        <w:rPr>
          <w:rFonts w:ascii="Arial" w:hAnsi="Arial" w:cs="Arial"/>
          <w:b/>
          <w:bCs/>
          <w:sz w:val="20"/>
          <w:szCs w:val="20"/>
        </w:rPr>
        <w:t>S</w:t>
      </w:r>
      <w:r w:rsidR="005F317F">
        <w:rPr>
          <w:rFonts w:ascii="Arial" w:hAnsi="Arial" w:cs="Arial"/>
          <w:b/>
          <w:bCs/>
          <w:sz w:val="20"/>
          <w:szCs w:val="20"/>
        </w:rPr>
        <w:t>2</w:t>
      </w:r>
      <w:r w:rsidR="007A6A61">
        <w:rPr>
          <w:rFonts w:ascii="Arial" w:hAnsi="Arial" w:cs="Arial"/>
          <w:b/>
          <w:bCs/>
          <w:sz w:val="20"/>
          <w:szCs w:val="20"/>
        </w:rPr>
        <w:t>H</w:t>
      </w:r>
      <w:r w:rsidRPr="00202870">
        <w:rPr>
          <w:rFonts w:ascii="Arial" w:hAnsi="Arial" w:cs="Arial"/>
          <w:sz w:val="20"/>
          <w:szCs w:val="20"/>
        </w:rPr>
        <w:t xml:space="preserve">). Derived </w:t>
      </w:r>
      <w:r w:rsidRPr="00202870">
        <w:rPr>
          <w:rFonts w:ascii="Arial" w:hAnsi="Arial" w:cs="Arial"/>
          <w:i/>
          <w:iCs/>
          <w:sz w:val="20"/>
          <w:szCs w:val="20"/>
        </w:rPr>
        <w:t xml:space="preserve">in vitro </w:t>
      </w:r>
      <w:r w:rsidRPr="00202870">
        <w:rPr>
          <w:rFonts w:ascii="Arial" w:hAnsi="Arial" w:cs="Arial"/>
          <w:sz w:val="20"/>
          <w:szCs w:val="20"/>
        </w:rPr>
        <w:t xml:space="preserve">inhibitory parameters from MBI and reversible inhibition assays are summarized in </w:t>
      </w:r>
      <w:r w:rsidRPr="00202870">
        <w:rPr>
          <w:rFonts w:ascii="Arial" w:hAnsi="Arial" w:cs="Arial"/>
          <w:b/>
          <w:bCs/>
          <w:sz w:val="20"/>
          <w:szCs w:val="20"/>
        </w:rPr>
        <w:t>Table 2</w:t>
      </w:r>
      <w:r w:rsidRPr="00202870">
        <w:rPr>
          <w:rFonts w:ascii="Arial" w:hAnsi="Arial" w:cs="Arial"/>
          <w:sz w:val="20"/>
          <w:szCs w:val="20"/>
        </w:rPr>
        <w:t xml:space="preserve">. </w:t>
      </w:r>
    </w:p>
    <w:p w14:paraId="24B9B221" w14:textId="77777777" w:rsidR="00C71580" w:rsidRDefault="00C71580" w:rsidP="00C71580">
      <w:pPr>
        <w:spacing w:after="0" w:line="480" w:lineRule="auto"/>
        <w:jc w:val="both"/>
        <w:rPr>
          <w:rFonts w:ascii="Arial" w:hAnsi="Arial" w:cs="Arial"/>
          <w:sz w:val="20"/>
          <w:szCs w:val="20"/>
        </w:rPr>
      </w:pPr>
    </w:p>
    <w:p w14:paraId="5511BC88" w14:textId="5A6A1F42" w:rsidR="00C71580" w:rsidRPr="00C71580" w:rsidRDefault="00A563E5" w:rsidP="00C71580">
      <w:pPr>
        <w:spacing w:after="0" w:line="480" w:lineRule="auto"/>
        <w:jc w:val="both"/>
        <w:rPr>
          <w:rFonts w:ascii="Arial" w:hAnsi="Arial" w:cs="Arial"/>
          <w:iCs/>
          <w:sz w:val="20"/>
          <w:szCs w:val="20"/>
        </w:rPr>
      </w:pPr>
      <w:r w:rsidRPr="00C71580">
        <w:rPr>
          <w:rFonts w:ascii="Arial" w:hAnsi="Arial" w:cs="Arial"/>
          <w:i/>
          <w:sz w:val="20"/>
          <w:szCs w:val="20"/>
        </w:rPr>
        <w:t>PBPK models of erlotinib and nilotinib recapitulated clinically observed PK profiles</w:t>
      </w:r>
      <w:r w:rsidR="002D4839" w:rsidRPr="00C71580">
        <w:rPr>
          <w:rFonts w:ascii="Arial" w:hAnsi="Arial" w:cs="Arial"/>
          <w:i/>
          <w:sz w:val="20"/>
          <w:szCs w:val="20"/>
        </w:rPr>
        <w:t>.</w:t>
      </w:r>
      <w:r w:rsidR="002D4839" w:rsidRPr="00C71580">
        <w:rPr>
          <w:rFonts w:ascii="Arial" w:hAnsi="Arial" w:cs="Arial"/>
          <w:iCs/>
          <w:sz w:val="20"/>
          <w:szCs w:val="20"/>
        </w:rPr>
        <w:t xml:space="preserve"> </w:t>
      </w:r>
      <w:r w:rsidRPr="00C71580">
        <w:rPr>
          <w:rFonts w:ascii="Arial" w:hAnsi="Arial" w:cs="Arial"/>
          <w:iCs/>
          <w:sz w:val="20"/>
          <w:szCs w:val="20"/>
        </w:rPr>
        <w:t xml:space="preserve">Modified PBPK models of erlotinib and nilotinib were first systematically verified against </w:t>
      </w:r>
      <w:r w:rsidRPr="00C71580">
        <w:rPr>
          <w:rFonts w:ascii="Arial" w:hAnsi="Arial" w:cs="Arial"/>
          <w:sz w:val="20"/>
          <w:szCs w:val="20"/>
        </w:rPr>
        <w:t>in vivo</w:t>
      </w:r>
      <w:r w:rsidRPr="00C71580">
        <w:rPr>
          <w:rFonts w:ascii="Arial" w:hAnsi="Arial" w:cs="Arial"/>
          <w:iCs/>
          <w:sz w:val="20"/>
          <w:szCs w:val="20"/>
        </w:rPr>
        <w:t xml:space="preserve"> single oral PK profiles using the “Sim-Cancer” population within the Simcyp simulator (</w:t>
      </w:r>
      <w:r w:rsidRPr="00C71580">
        <w:rPr>
          <w:rFonts w:ascii="Arial" w:hAnsi="Arial" w:cs="Arial"/>
          <w:b/>
          <w:bCs/>
          <w:iCs/>
          <w:sz w:val="20"/>
          <w:szCs w:val="20"/>
        </w:rPr>
        <w:t xml:space="preserve">Figures </w:t>
      </w:r>
      <w:r w:rsidR="004B1375" w:rsidRPr="00C71580">
        <w:rPr>
          <w:rFonts w:ascii="Arial" w:hAnsi="Arial" w:cs="Arial"/>
          <w:b/>
          <w:bCs/>
          <w:iCs/>
          <w:sz w:val="20"/>
          <w:szCs w:val="20"/>
        </w:rPr>
        <w:t>3A -</w:t>
      </w:r>
      <w:r w:rsidRPr="00C71580">
        <w:rPr>
          <w:rFonts w:ascii="Arial" w:hAnsi="Arial" w:cs="Arial"/>
          <w:iCs/>
          <w:sz w:val="20"/>
          <w:szCs w:val="20"/>
        </w:rPr>
        <w:t xml:space="preserve"> </w:t>
      </w:r>
      <w:r w:rsidR="00AE74A0" w:rsidRPr="00C71580">
        <w:rPr>
          <w:rFonts w:ascii="Arial" w:hAnsi="Arial" w:cs="Arial"/>
          <w:b/>
          <w:bCs/>
          <w:iCs/>
          <w:sz w:val="20"/>
          <w:szCs w:val="20"/>
        </w:rPr>
        <w:t>3</w:t>
      </w:r>
      <w:r w:rsidRPr="00C71580">
        <w:rPr>
          <w:rFonts w:ascii="Arial" w:hAnsi="Arial" w:cs="Arial"/>
          <w:b/>
          <w:bCs/>
          <w:iCs/>
          <w:sz w:val="20"/>
          <w:szCs w:val="20"/>
        </w:rPr>
        <w:t>C</w:t>
      </w:r>
      <w:r w:rsidRPr="00C71580">
        <w:rPr>
          <w:rFonts w:ascii="Arial" w:hAnsi="Arial" w:cs="Arial"/>
          <w:iCs/>
          <w:sz w:val="20"/>
          <w:szCs w:val="20"/>
        </w:rPr>
        <w:t>).</w:t>
      </w:r>
      <w:r w:rsidR="004F32B8" w:rsidRPr="00C71580">
        <w:rPr>
          <w:rFonts w:ascii="Arial" w:hAnsi="Arial" w:cs="Arial"/>
          <w:iCs/>
          <w:sz w:val="20"/>
          <w:szCs w:val="20"/>
        </w:rPr>
        <w:fldChar w:fldCharType="begin" w:fldLock="1"/>
      </w:r>
      <w:r w:rsidR="00516D49" w:rsidRPr="00C71580">
        <w:rPr>
          <w:rFonts w:ascii="Arial" w:hAnsi="Arial" w:cs="Arial"/>
          <w:iCs/>
          <w:sz w:val="20"/>
          <w:szCs w:val="20"/>
        </w:rPr>
        <w:instrText>ADDIN CSL_CITATION {"citationItems":[{"id":"ITEM-1","itemData":{"DOI":"10.1097/JTO.0b013e3181d32287","ISSN":"15561380","abstract":"Introduction: Although erlotinib, an orally active and selective tyrosine kinase inhibitor of epidermal growth factor receptor, is mainly metabolized in the liver, its effectiveness and safety for patients with chronic renal failure (CRF) undergoing hemodialysis (HD) has not been reported. Thus, we investigated the pharmacokinetics (PK) of erlotinib and its active metabolite OSI-420 in such patients with nonsmall cell lung cancer (NSCLC). Method: We administered 150 mg erlotinib daily to three patients with NSCLC and CRF undergoing HD (HD group) and five patients with NSCLC and normal organ function (control group) and analyzed the PK of erlotinib and OSI-420. In the HD group, PK analyses were performed on day 1 (off HD), day 8 (off HD), and day 9 (on HD) after starting administration of erlotinib, and in the control group, they were performed on day 1 and day 8. Results: In the HD group, there were little differences in the PK data between day 8 and day 9. The PK data on day 1 and day 8 of the HD group were also similar to those of the control group. There were no serious adverse events in any cases, and one of the HD patients achieved partial response. Conclusion: Erlotinib was hardly affected by renal function and HD, which confirms the effectiveness and safety of erlotinib treatment in patients with NSCLC and CRF undergoing HD. Erlotinib can become one treatment option for such patients. © 2010 by the International Association for the study of lung cancer.","author":[{"dropping-particle":"","family":"Togashi","given":"Yosuke","non-dropping-particle":"","parse-names":false,"suffix":""},{"dropping-particle":"","family":"Masago","given":"Katsuhiro","non-dropping-particle":"","parse-names":false,"suffix":""},{"dropping-particle":"","family":"Fukudo","given":"Masahide","non-dropping-particle":"","parse-names":false,"suffix":""},{"dropping-particle":"","family":"Terada","given":"Tomohiro","non-dropping-particle":"","parse-names":false,"suffix":""},{"dropping-particle":"","family":"Ikemi","given":"Yasuaki","non-dropping-particle":"","parse-names":false,"suffix":""},{"dropping-particle":"","family":"Kim","given":"Young Hak","non-dropping-particle":"","parse-names":false,"suffix":""},{"dropping-particle":"","family":"Fujita","given":"Shiro","non-dropping-particle":"","parse-names":false,"suffix":""},{"dropping-particle":"","family":"Irisa","given":"Kaoru","non-dropping-particle":"","parse-names":false,"suffix":""},{"dropping-particle":"","family":"Sakamori","given":"Yuichi","non-dropping-particle":"","parse-names":false,"suffix":""},{"dropping-particle":"","family":"Mio","given":"Tadashi","non-dropping-particle":"","parse-names":false,"suffix":""},{"dropping-particle":"","family":"Inui","given":"Ken Ichi","non-dropping-particle":"","parse-names":false,"suffix":""},{"dropping-particle":"","family":"Mishima","given":"Michiaki","non-dropping-particle":"","parse-names":false,"suffix":""}],"container-title":"Journal of Thoracic Oncology","id":"ITEM-1","issue":"5","issued":{"date-parts":[["2010","5","1"]]},"page":"601-605","publisher":"Lippincott Williams and Wilkins","title":"Pharmacokinetics of erlotinib and its active metabolite OSI-420 in patients with non-small cell lung cancer and chronic renal failure who are undergoing hemodialysis","type":"article-journal","volume":"5"},"uris":["http://www.mendeley.com/documents/?uuid=ab883b8b-d540-3fca-945f-bb74a465441a"]},{"id":"ITEM-2","itemData":{"DOI":"10.1007/s00280-007-0494-8","abstract":"Purpose The objectives of this phase I dose-Wnding study of erlotinib were to investigate the toxicity proWle, to con-Wrm the acceptable toxicity of doses up to 150 mg/day, and to assess the pharmacokinetic (PK) proWle and antitumor activity in Japanese patients with solid tumors. Patients and methods Patients with solid tumors not amenable to standard forms of treatment were included. Treatment cycle 1 consisted of single-dose administration on day 1, withdrawal on day 2, continuous daily administration from days 3-23, and withdrawal from days 24-30. Subsequent cycles (28 days) used continuous daily administration. The dose of erlotinib was escalated from 50 mg/day to 150 mg/day in 50-mg increments. PK evaluation was performed in all patients during cycle 1. Results Fifteen patients, aged 38-70 (median; 57) years with non-small-cell lung (n = 11), colorectal (n = 3) or head and neck (n = 1) cancer were enrolled. The major toxicities were rash, diarrhea and liver dysfunctions, which were generally mild and easily manageable. The good tolerability of erlotinib up to the dose of 150 mg/day was conWrmed. One patient developed grade 5 treatment-related interstitial pneumonitis. Four of 11 evaluable patients achieved partial responses; all four had non-small-cell lung cancer (NSCLC). The peak plasma concentration of erlotinib, and the area under the concentration-time curve increased proportionally to the dose, suggesting linear PK. Conclusion The recommended dose of erlotinib in Japa-nese patients is 150 mg/day. Further trials in Japanese NSCLC patients are warranted.","author":[{"dropping-particle":"","family":"Yamamoto","given":"Noboru","non-dropping-particle":"","parse-names":false,"suffix":""},{"dropping-particle":"","family":"Horiike","given":"Atsushi","non-dropping-particle":"","parse-names":false,"suffix":""},{"dropping-particle":"","family":"Fujisaka","given":"Yasuhito","non-dropping-particle":"","parse-names":false,"suffix":""},{"dropping-particle":"","family":"Murakami","given":"Haruyasu","non-dropping-particle":"","parse-names":false,"suffix":""},{"dropping-particle":"","family":"Shimoyama","given":"Tatsu","non-dropping-particle":"","parse-names":false,"suffix":""},{"dropping-particle":"","family":"Yamada","given":"Yasuhide","non-dropping-particle":"","parse-names":false,"suffix":""},{"dropping-particle":"","family":"Tamura","given":"Tomohide","non-dropping-particle":"","parse-names":false,"suffix":""}],"container-title":"Cancer Chemother Pharmacol","id":"ITEM-2","issued":{"date-parts":[["2008"]]},"page":"489-496","title":"Phase I dose-finding and pharmacokinetic study of the oral epidermal growth factor receptor tyrosine kinase inhibitor Ro50-8231 (erlotinib) in Japanese patients with solid tumors","type":"article-journal","volume":"61"},"uris":["http://www.mendeley.com/documents/?uuid=9456dd1d-aa65-3df1-a03c-e73f8486a8fe"]},{"id":"ITEM-3","itemData":{"DOI":"10.1038/clpt.2009.208","ISSN":"0009-9236","abstract":"This article describes studies that investigated the pharmacokinetics of nilotinib, a highly specific, oral, second-generation BCR-ABL tyrosine kinase inhibitor. After a once-or twice-daily regimen at doses ranging from 50 to 1,200mg/day in 119 patients with chronic myeloid leukemia (CML), the area under the serum concentration-time curve (AUC) and peak serum concentration (C max) of nilotinib were found to be nearly dose proportional up to a dose of 400mg once daily. Solubility-limited absorption at higher doses was observed, but this was partially overcome by dividing the daily dose into two. For instance, the administration of 400mg nilotinib twice daily resulted in a 35% increase in AUC as compared to a once-daily dose of 800mg. Exploratory pharmacodynamic assessment showed a general trend of greater reduction in white blood cell (WBC) levels with increase in nilotinib concentrations. This finding was consistent with the observation of an 82% reduction in WBC levels in patients after a regimen of 400mg nilotinib twice daily for 15 days. The type and quantity of food intake variably affected nilotinib absorption. When administered after a high-fat meal, the AUC of nilotinib increased by 50% in CML patients (n = 10) and by 82% in healthy volunteers (n = 44). © 2009 American Society for Clinical Pharmacology and Therapeutics.","author":[{"dropping-particle":"","family":"Tanaka","given":"C","non-dropping-particle":"","parse-names":false,"suffix":""},{"dropping-particle":"","family":"Yin","given":"O Q P","non-dropping-particle":"","parse-names":false,"suffix":""},{"dropping-particle":"","family":"Sethuraman","given":"V","non-dropping-particle":"","parse-names":false,"suffix":""},{"dropping-particle":"","family":"Smith","given":"T","non-dropping-particle":"","parse-names":false,"suffix":""},{"dropping-particle":"","family":"Wang","given":"X","non-dropping-particle":"","parse-names":false,"suffix":""},{"dropping-particle":"","family":"Grouss","given":"K","non-dropping-particle":"","parse-names":false,"suffix":""},{"dropping-particle":"","family":"Kantarjian","given":"H","non-dropping-particle":"","parse-names":false,"suffix":""},{"dropping-particle":"","family":"Giles","given":"F","non-dropping-particle":"","parse-names":false,"suffix":""},{"dropping-particle":"","family":"Ottmann","given":"O G","non-dropping-particle":"","parse-names":false,"suffix":""},{"dropping-particle":"","family":"Galitz","given":"L","non-dropping-particle":"","parse-names":false,"suffix":""},{"dropping-particle":"","family":"Schran","given":"H","non-dropping-particle":"","parse-names":false,"suffix":""}],"container-title":"Clinical Pharmacology &amp; Therapeutics","id":"ITEM-3","issue":"2","issued":{"date-parts":[["2010","2","18"]]},"page":"197-203","publisher":"John Wiley &amp; Sons, Ltd","title":"Clinical Pharmacokinetics of the BCR–ABL Tyrosine Kinase Inhibitor Nilotinib","type":"article-journal","volume":"87"},"uris":["http://www.mendeley.com/documents/?uuid=52a87905-acfc-392c-a30a-e7ed70ac5de9"]}],"mendeley":{"formattedCitation":"&lt;sup&gt;36,37,49&lt;/sup&gt;","plainTextFormattedCitation":"36,37,49","previouslyFormattedCitation":"&lt;sup&gt;36,37,49&lt;/sup&gt;"},"properties":{"noteIndex":0},"schema":"https://github.com/citation-style-language/schema/raw/master/csl-citation.json"}</w:instrText>
      </w:r>
      <w:r w:rsidR="004F32B8" w:rsidRPr="00C71580">
        <w:rPr>
          <w:rFonts w:ascii="Arial" w:hAnsi="Arial" w:cs="Arial"/>
          <w:iCs/>
          <w:sz w:val="20"/>
          <w:szCs w:val="20"/>
        </w:rPr>
        <w:fldChar w:fldCharType="separate"/>
      </w:r>
      <w:r w:rsidR="006C6945" w:rsidRPr="00C71580">
        <w:rPr>
          <w:rFonts w:ascii="Arial" w:hAnsi="Arial" w:cs="Arial"/>
          <w:iCs/>
          <w:noProof/>
          <w:sz w:val="20"/>
          <w:szCs w:val="20"/>
          <w:vertAlign w:val="superscript"/>
        </w:rPr>
        <w:t>36,37,49</w:t>
      </w:r>
      <w:r w:rsidR="004F32B8" w:rsidRPr="00C71580">
        <w:rPr>
          <w:rFonts w:ascii="Arial" w:hAnsi="Arial" w:cs="Arial"/>
          <w:iCs/>
          <w:sz w:val="20"/>
          <w:szCs w:val="20"/>
        </w:rPr>
        <w:fldChar w:fldCharType="end"/>
      </w:r>
      <w:r w:rsidRPr="00C71580">
        <w:rPr>
          <w:rFonts w:ascii="Arial" w:hAnsi="Arial" w:cs="Arial"/>
          <w:iCs/>
          <w:sz w:val="20"/>
          <w:szCs w:val="20"/>
        </w:rPr>
        <w:t xml:space="preserve"> Nevertheless, given that potential DDDI scenarios would likely implicate chronic dosing of both the perpetrator drug (either erlotin</w:t>
      </w:r>
      <w:r w:rsidR="009B48B7">
        <w:rPr>
          <w:rFonts w:ascii="Arial" w:hAnsi="Arial" w:cs="Arial"/>
          <w:iCs/>
          <w:sz w:val="20"/>
          <w:szCs w:val="20"/>
        </w:rPr>
        <w:t>i</w:t>
      </w:r>
      <w:r w:rsidRPr="00C71580">
        <w:rPr>
          <w:rFonts w:ascii="Arial" w:hAnsi="Arial" w:cs="Arial"/>
          <w:iCs/>
          <w:sz w:val="20"/>
          <w:szCs w:val="20"/>
        </w:rPr>
        <w:t xml:space="preserve">b or nilotinib) as well as the victim substrate (rivaroxaban), robust quantification of DDDI </w:t>
      </w:r>
      <w:r w:rsidRPr="00C71580">
        <w:rPr>
          <w:rFonts w:ascii="Arial" w:hAnsi="Arial" w:cs="Arial"/>
          <w:iCs/>
          <w:sz w:val="20"/>
          <w:szCs w:val="20"/>
        </w:rPr>
        <w:lastRenderedPageBreak/>
        <w:t>magnitude also remains contingent on accurate characterization of the plasma-concentration time profiles of erlotinib and nilotinib upon multiple dosing. The potential of both PKIs to cause MBI of CYP3A4 has been established and with CYP3A4 being the main enzyme governing the metabolic elimination of both erlotinib (~70%)</w:t>
      </w:r>
      <w:r w:rsidRPr="00C71580">
        <w:rPr>
          <w:rFonts w:ascii="Arial" w:hAnsi="Arial" w:cs="Arial"/>
          <w:iCs/>
          <w:sz w:val="20"/>
          <w:szCs w:val="20"/>
        </w:rPr>
        <w:fldChar w:fldCharType="begin" w:fldLock="1"/>
      </w:r>
      <w:r w:rsidR="00516D49" w:rsidRPr="00C71580">
        <w:rPr>
          <w:rFonts w:ascii="Arial" w:hAnsi="Arial" w:cs="Arial"/>
          <w:iCs/>
          <w:sz w:val="20"/>
          <w:szCs w:val="20"/>
        </w:rPr>
        <w:instrText xml:space="preserve">ADDIN CSL_CITATION {"citationItems":[{"id":"ITEM-1","itemData":{"DOI":"10.1007/s00228-007-0396-z","ISSN":"00316970","abstract":"Background: Erlotinib is an orally active antitumor agent. Analyses in vitro using human liver microsomes and recombinant enzymes showed that erlotinib was metabolized primarily by CYP3A4, with a secondary contribution from CYP1A2. Methods: A computer-based simulation model, SimCYP™, predicted that CYP3A4 contributed to </w:instrText>
      </w:r>
      <w:r w:rsidR="00516D49" w:rsidRPr="00C71580">
        <w:rPr>
          <w:rFonts w:ascii="Cambria Math" w:hAnsi="Cambria Math" w:cs="Cambria Math"/>
          <w:iCs/>
          <w:sz w:val="20"/>
          <w:szCs w:val="20"/>
        </w:rPr>
        <w:instrText>∼</w:instrText>
      </w:r>
      <w:r w:rsidR="00516D49" w:rsidRPr="00C71580">
        <w:rPr>
          <w:rFonts w:ascii="Arial" w:hAnsi="Arial" w:cs="Arial"/>
          <w:iCs/>
          <w:sz w:val="20"/>
          <w:szCs w:val="20"/>
        </w:rPr>
        <w:instrText xml:space="preserve">70% of the metabolic elimination of erlotinib, with CYP1A2 being responsible for the other </w:instrText>
      </w:r>
      <w:r w:rsidR="00516D49" w:rsidRPr="00C71580">
        <w:rPr>
          <w:rFonts w:ascii="Cambria Math" w:hAnsi="Cambria Math" w:cs="Cambria Math"/>
          <w:iCs/>
          <w:sz w:val="20"/>
          <w:szCs w:val="20"/>
        </w:rPr>
        <w:instrText>∼</w:instrText>
      </w:r>
      <w:r w:rsidR="00516D49" w:rsidRPr="00C71580">
        <w:rPr>
          <w:rFonts w:ascii="Arial" w:hAnsi="Arial" w:cs="Arial"/>
          <w:iCs/>
          <w:sz w:val="20"/>
          <w:szCs w:val="20"/>
        </w:rPr>
        <w:instrText>30%. A drug-drug interaction study was therefore conducted for erlotinib and a potent CYP3A4 inhibitor, ketoconazole, in healthy male volunteers to evaluate the impact of CYP3A4 inhibition on erlotinib exposure. Results: Ketoconazole caused an almost two-fold increase in erlotinib plasma area under the concentration curve and in maximum plasma concentration. This is consistent with the SimCYP™ prediction of a two-fold increase in erlotinib AUC, further validating a primary (</w:instrText>
      </w:r>
      <w:r w:rsidR="00516D49" w:rsidRPr="00C71580">
        <w:rPr>
          <w:rFonts w:ascii="Cambria Math" w:hAnsi="Cambria Math" w:cs="Cambria Math"/>
          <w:iCs/>
          <w:sz w:val="20"/>
          <w:szCs w:val="20"/>
        </w:rPr>
        <w:instrText>∼</w:instrText>
      </w:r>
      <w:r w:rsidR="00516D49" w:rsidRPr="00C71580">
        <w:rPr>
          <w:rFonts w:ascii="Arial" w:hAnsi="Arial" w:cs="Arial"/>
          <w:iCs/>
          <w:sz w:val="20"/>
          <w:szCs w:val="20"/>
        </w:rPr>
        <w:instrText>70%) role of CYP3A4 in erlotinib elimination. Conclusion: Prediction of clinically important drug-drug interaction with SimCYP™ using in vitro human metabolism data can be a powerful tool during early clinical development to ensure safe administration of anticancer drugs, which are often co-administered at maximum tolerated doses with other drugs as part of a palliative treatment regimen. © 2007 Springer-Verlag.","author":[{"dropping-particle":"","family":"Rakhit","given":"Ashok","non-dropping-particle":"","parse-names":false,"suffix":""},{"dropping-particle":"","family":"Pantze","given":"Michael P.","non-dropping-particle":"","parse-names":false,"suffix":""},{"dropping-particle":"","family":"Fettner","given":"Scott","non-dropping-particle":"","parse-names":false,"suffix":""},{"dropping-particle":"","family":"Jones","given":"Hannah M.","non-dropping-particle":"","parse-names":false,"suffix":""},{"dropping-particle":"","family":"Charoin","given":"Jean Eric","non-dropping-particle":"","parse-names":false,"suffix":""},{"dropping-particle":"","family":"Riek","given":"Myriam","non-dropping-particle":"","parse-names":false,"suffix":""},{"dropping-particle":"","family":"Lum","given":"Bert L.","non-dropping-particle":"","parse-names":false,"suffix":""},{"dropping-particle":"","family":"Hamilton","given":"Marta","non-dropping-particle":"","parse-names":false,"suffix":""}],"container-title":"European Journal of Clinical Pharmacology","id":"ITEM-1","issue":"1","issued":{"date-parts":[["2008"]]},"page":"31-41","title":"The effects of CYP3A4 inhibition on erlotinib pharmacokinetics: Computer-based simulation (SimCYP™) predicts in vivo metabolic inhibition","type":"article-journal","volume":"64"},"uris":["http://www.mendeley.com/documents/?uuid=7b9afae2-87c3-460a-a1ed-0ec841f172f2"]}],"mendeley":{"formattedCitation":"&lt;sup&gt;50&lt;/sup&gt;","plainTextFormattedCitation":"50","previouslyFormattedCitation":"&lt;sup&gt;50&lt;/sup&gt;"},"properties":{"noteIndex":0},"schema":"https://github.com/citation-style-language/schema/raw/master/csl-citation.json"}</w:instrText>
      </w:r>
      <w:r w:rsidRPr="00C71580">
        <w:rPr>
          <w:rFonts w:ascii="Arial" w:hAnsi="Arial" w:cs="Arial"/>
          <w:iCs/>
          <w:sz w:val="20"/>
          <w:szCs w:val="20"/>
        </w:rPr>
        <w:fldChar w:fldCharType="separate"/>
      </w:r>
      <w:r w:rsidR="006C6945" w:rsidRPr="00C71580">
        <w:rPr>
          <w:rFonts w:ascii="Arial" w:hAnsi="Arial" w:cs="Arial"/>
          <w:iCs/>
          <w:noProof/>
          <w:sz w:val="20"/>
          <w:szCs w:val="20"/>
          <w:vertAlign w:val="superscript"/>
        </w:rPr>
        <w:t>50</w:t>
      </w:r>
      <w:r w:rsidRPr="00C71580">
        <w:rPr>
          <w:rFonts w:ascii="Arial" w:hAnsi="Arial" w:cs="Arial"/>
          <w:iCs/>
          <w:sz w:val="20"/>
          <w:szCs w:val="20"/>
        </w:rPr>
        <w:fldChar w:fldCharType="end"/>
      </w:r>
      <w:r w:rsidRPr="00C71580">
        <w:rPr>
          <w:rFonts w:ascii="Arial" w:hAnsi="Arial" w:cs="Arial"/>
          <w:iCs/>
          <w:sz w:val="20"/>
          <w:szCs w:val="20"/>
        </w:rPr>
        <w:t xml:space="preserve"> and nilotinib (~80%)</w:t>
      </w:r>
      <w:r w:rsidR="006005D2" w:rsidRPr="00C71580">
        <w:rPr>
          <w:rFonts w:ascii="Arial" w:hAnsi="Arial" w:cs="Arial"/>
          <w:iCs/>
          <w:sz w:val="20"/>
          <w:szCs w:val="20"/>
        </w:rPr>
        <w:t>,</w:t>
      </w:r>
      <w:r w:rsidRPr="00C71580">
        <w:rPr>
          <w:rFonts w:ascii="Arial" w:hAnsi="Arial" w:cs="Arial"/>
          <w:iCs/>
          <w:sz w:val="20"/>
          <w:szCs w:val="20"/>
        </w:rPr>
        <w:fldChar w:fldCharType="begin" w:fldLock="1"/>
      </w:r>
      <w:r w:rsidR="006C6945" w:rsidRPr="00C71580">
        <w:rPr>
          <w:rFonts w:ascii="Arial" w:hAnsi="Arial" w:cs="Arial"/>
          <w:iCs/>
          <w:sz w:val="20"/>
          <w:szCs w:val="20"/>
        </w:rPr>
        <w:instrText>ADDIN CSL_CITATION {"citationItems":[{"id":"ITEM-1","itemData":{"DOI":"10.1016/j.xphs.2019.01.028","ISSN":"15206017","abstract":"In adult patients, nilotinib is indicated for chronic myeloid leukemia at an approved oral dose of 300 or 400 mg BID. Physiologically based pharmacokinetic (PBPK)model was developed to describe and supplement limited PK data in the pediatric population ranging from 2 to less than 6 years of age and ultimately inform dosing regimen. An adult Simcyp PBPK model was established and verified with clinical pharmacokinetic data after a single or multiple oral doses of 400 mg nilotinib (230 mg/m2). The model was then applied to a pediatric PBPK model, taking account of ontogeny profiles of metabolizing enzymes and pediatric physiological parameters. The model was further verified using observed pediatric PK data in 12- to &lt;18-year-old and from 6- to &lt;12-year-old patients. The PBPK models were able to recover, describe, and supplement the limited nilotinib concentration-time data profile in 2- to &lt;6-year-old patients after a single dose and Cmin,ss after BID dosing. The exposure (Cmax,ss, Cmin,ss, and AUCtau,ss)was predicted to be similar across age groups. PBPK model simulations confirmed that body surface area–normalized dosing regimen of 230 mg/m2 is considered appropriate for pediatric patients &gt;2 to &lt;18 years of age.","author":[{"dropping-particle":"","family":"Heimbach","given":"Tycho","non-dropping-particle":"","parse-names":false,"suffix":""},{"dropping-particle":"","family":"Lin","given":"Wen","non-dropping-particle":"","parse-names":false,"suffix":""},{"dropping-particle":"","family":"Hourcade-Potelleret","given":"Florence","non-dropping-particle":"","parse-names":false,"suffix":""},{"dropping-particle":"","family":"Tian","given":"Xianbin","non-dropping-particle":"","parse-names":false,"suffix":""},{"dropping-particle":"","family":"Combes","given":"Francois Pierre","non-dropping-particle":"","parse-names":false,"suffix":""},{"dropping-particle":"","family":"Horvath","given":"Nicholas","non-dropping-particle":"","parse-names":false,"suffix":""},{"dropping-particle":"","family":"He","given":"Handan","non-dropping-particle":"","parse-names":false,"suffix":""}],"container-title":"Journal of Pharmaceutical Sciences","id":"ITEM-1","issue":"6","issued":{"date-parts":[["2019"]]},"page":"2191-2198","publisher":"Elsevier Ltd","title":"Physiologically Based Pharmacokinetic Modeling to Supplement Nilotinib Pharmacokinetics and Confirm Dose Selection in Pediatric Patients","type":"article-journal","volume":"108"},"uris":["http://www.mendeley.com/documents/?uuid=c5d3e071-e737-4285-8da6-738e5479b129"]}],"mendeley":{"formattedCitation":"&lt;sup&gt;34&lt;/sup&gt;","plainTextFormattedCitation":"34","previouslyFormattedCitation":"&lt;sup&gt;34&lt;/sup&gt;"},"properties":{"noteIndex":0},"schema":"https://github.com/citation-style-language/schema/raw/master/csl-citation.json"}</w:instrText>
      </w:r>
      <w:r w:rsidRPr="00C71580">
        <w:rPr>
          <w:rFonts w:ascii="Arial" w:hAnsi="Arial" w:cs="Arial"/>
          <w:iCs/>
          <w:sz w:val="20"/>
          <w:szCs w:val="20"/>
        </w:rPr>
        <w:fldChar w:fldCharType="separate"/>
      </w:r>
      <w:r w:rsidR="004948F9" w:rsidRPr="00C71580">
        <w:rPr>
          <w:rFonts w:ascii="Arial" w:hAnsi="Arial" w:cs="Arial"/>
          <w:iCs/>
          <w:noProof/>
          <w:sz w:val="20"/>
          <w:szCs w:val="20"/>
          <w:vertAlign w:val="superscript"/>
        </w:rPr>
        <w:t>34</w:t>
      </w:r>
      <w:r w:rsidRPr="00C71580">
        <w:rPr>
          <w:rFonts w:ascii="Arial" w:hAnsi="Arial" w:cs="Arial"/>
          <w:iCs/>
          <w:sz w:val="20"/>
          <w:szCs w:val="20"/>
        </w:rPr>
        <w:fldChar w:fldCharType="end"/>
      </w:r>
      <w:r w:rsidRPr="00C71580">
        <w:rPr>
          <w:rFonts w:ascii="Arial" w:hAnsi="Arial" w:cs="Arial"/>
          <w:iCs/>
          <w:sz w:val="20"/>
          <w:szCs w:val="20"/>
        </w:rPr>
        <w:t xml:space="preserve"> auto-inactivation of oral clearance is likely to occur upon multiple dosing. In this study, incorporation of </w:t>
      </w:r>
      <w:r w:rsidRPr="009B48B7">
        <w:rPr>
          <w:rFonts w:ascii="Arial" w:hAnsi="Arial" w:cs="Arial"/>
          <w:i/>
          <w:sz w:val="20"/>
          <w:szCs w:val="20"/>
        </w:rPr>
        <w:t>in vitro</w:t>
      </w:r>
      <w:r w:rsidRPr="00C71580">
        <w:rPr>
          <w:rFonts w:ascii="Arial" w:hAnsi="Arial" w:cs="Arial"/>
          <w:iCs/>
          <w:sz w:val="20"/>
          <w:szCs w:val="20"/>
        </w:rPr>
        <w:t xml:space="preserve"> MBI parameters against CYP3A4 (</w:t>
      </w:r>
      <w:r w:rsidRPr="00C71580">
        <w:rPr>
          <w:rFonts w:ascii="Arial" w:hAnsi="Arial" w:cs="Arial"/>
          <w:b/>
          <w:bCs/>
          <w:iCs/>
          <w:sz w:val="20"/>
          <w:szCs w:val="20"/>
        </w:rPr>
        <w:t xml:space="preserve">Table </w:t>
      </w:r>
      <w:r w:rsidR="006005D2" w:rsidRPr="00C71580">
        <w:rPr>
          <w:rFonts w:ascii="Arial" w:hAnsi="Arial" w:cs="Arial"/>
          <w:b/>
          <w:bCs/>
          <w:iCs/>
          <w:sz w:val="20"/>
          <w:szCs w:val="20"/>
        </w:rPr>
        <w:t>2</w:t>
      </w:r>
      <w:r w:rsidRPr="00C71580">
        <w:rPr>
          <w:rFonts w:ascii="Arial" w:hAnsi="Arial" w:cs="Arial"/>
          <w:iCs/>
          <w:sz w:val="20"/>
          <w:szCs w:val="20"/>
        </w:rPr>
        <w:t>) was pivotal in facilitating recapitulation of the observed non-linear accumulation kinetics governing the PK of erlotinib (</w:t>
      </w:r>
      <w:r w:rsidRPr="00C71580">
        <w:rPr>
          <w:rFonts w:ascii="Arial" w:hAnsi="Arial" w:cs="Arial"/>
          <w:b/>
          <w:bCs/>
          <w:iCs/>
          <w:sz w:val="20"/>
          <w:szCs w:val="20"/>
        </w:rPr>
        <w:t xml:space="preserve">Table </w:t>
      </w:r>
      <w:r w:rsidR="004E3E6C" w:rsidRPr="00C71580">
        <w:rPr>
          <w:rFonts w:ascii="Arial" w:hAnsi="Arial" w:cs="Arial"/>
          <w:b/>
          <w:bCs/>
          <w:iCs/>
          <w:sz w:val="20"/>
          <w:szCs w:val="20"/>
        </w:rPr>
        <w:t>S</w:t>
      </w:r>
      <w:r w:rsidR="00216A96" w:rsidRPr="00C71580">
        <w:rPr>
          <w:rFonts w:ascii="Arial" w:hAnsi="Arial" w:cs="Arial"/>
          <w:b/>
          <w:bCs/>
          <w:iCs/>
          <w:sz w:val="20"/>
          <w:szCs w:val="20"/>
        </w:rPr>
        <w:t>2</w:t>
      </w:r>
      <w:r w:rsidRPr="00C71580">
        <w:rPr>
          <w:rFonts w:ascii="Arial" w:hAnsi="Arial" w:cs="Arial"/>
          <w:iCs/>
          <w:sz w:val="20"/>
          <w:szCs w:val="20"/>
        </w:rPr>
        <w:t xml:space="preserve">, </w:t>
      </w:r>
      <w:r w:rsidRPr="00C71580">
        <w:rPr>
          <w:rFonts w:ascii="Arial" w:hAnsi="Arial" w:cs="Arial"/>
          <w:b/>
          <w:bCs/>
          <w:iCs/>
          <w:sz w:val="20"/>
          <w:szCs w:val="20"/>
        </w:rPr>
        <w:t xml:space="preserve">Figures </w:t>
      </w:r>
      <w:r w:rsidR="005320BD" w:rsidRPr="00C71580">
        <w:rPr>
          <w:rFonts w:ascii="Arial" w:hAnsi="Arial" w:cs="Arial"/>
          <w:b/>
          <w:bCs/>
          <w:iCs/>
          <w:sz w:val="20"/>
          <w:szCs w:val="20"/>
        </w:rPr>
        <w:t>3</w:t>
      </w:r>
      <w:r w:rsidRPr="00C71580">
        <w:rPr>
          <w:rFonts w:ascii="Arial" w:hAnsi="Arial" w:cs="Arial"/>
          <w:b/>
          <w:bCs/>
          <w:iCs/>
          <w:sz w:val="20"/>
          <w:szCs w:val="20"/>
        </w:rPr>
        <w:t>A</w:t>
      </w:r>
      <w:r w:rsidRPr="00C71580">
        <w:rPr>
          <w:rFonts w:ascii="Arial" w:hAnsi="Arial" w:cs="Arial"/>
          <w:iCs/>
          <w:sz w:val="20"/>
          <w:szCs w:val="20"/>
        </w:rPr>
        <w:t xml:space="preserve"> to </w:t>
      </w:r>
      <w:r w:rsidR="005320BD" w:rsidRPr="00C71580">
        <w:rPr>
          <w:rFonts w:ascii="Arial" w:hAnsi="Arial" w:cs="Arial"/>
          <w:b/>
          <w:bCs/>
          <w:iCs/>
          <w:sz w:val="20"/>
          <w:szCs w:val="20"/>
        </w:rPr>
        <w:t>3B</w:t>
      </w:r>
      <w:r w:rsidRPr="00C71580">
        <w:rPr>
          <w:rFonts w:ascii="Arial" w:hAnsi="Arial" w:cs="Arial"/>
          <w:iCs/>
          <w:sz w:val="20"/>
          <w:szCs w:val="20"/>
        </w:rPr>
        <w:t xml:space="preserve">). In the case of nilotinib, correcting the derived MBI parameters for potential non-specific binding in the </w:t>
      </w:r>
      <w:r w:rsidRPr="009B48B7">
        <w:rPr>
          <w:rFonts w:ascii="Arial" w:hAnsi="Arial" w:cs="Arial"/>
          <w:i/>
          <w:sz w:val="20"/>
          <w:szCs w:val="20"/>
        </w:rPr>
        <w:t>in vitro</w:t>
      </w:r>
      <w:r w:rsidRPr="00C71580">
        <w:rPr>
          <w:rFonts w:ascii="Arial" w:hAnsi="Arial" w:cs="Arial"/>
          <w:iCs/>
          <w:sz w:val="20"/>
          <w:szCs w:val="20"/>
        </w:rPr>
        <w:t xml:space="preserve"> incubation as defined by Burns </w:t>
      </w:r>
      <w:r w:rsidRPr="00C71580">
        <w:rPr>
          <w:rFonts w:ascii="Arial" w:hAnsi="Arial" w:cs="Arial"/>
          <w:sz w:val="20"/>
          <w:szCs w:val="20"/>
        </w:rPr>
        <w:t>et al</w:t>
      </w:r>
      <w:r w:rsidRPr="00C71580">
        <w:rPr>
          <w:rFonts w:ascii="Arial" w:hAnsi="Arial" w:cs="Arial"/>
          <w:iCs/>
          <w:sz w:val="20"/>
          <w:szCs w:val="20"/>
        </w:rPr>
        <w:t xml:space="preserve"> (</w:t>
      </w:r>
      <w:proofErr w:type="spellStart"/>
      <w:r w:rsidRPr="00C71580">
        <w:rPr>
          <w:rFonts w:ascii="Arial" w:hAnsi="Arial" w:cs="Arial"/>
          <w:iCs/>
          <w:sz w:val="20"/>
          <w:szCs w:val="20"/>
        </w:rPr>
        <w:t>fu</w:t>
      </w:r>
      <w:r w:rsidRPr="00C71580">
        <w:rPr>
          <w:rFonts w:ascii="Arial" w:hAnsi="Arial" w:cs="Arial"/>
          <w:iCs/>
          <w:sz w:val="20"/>
          <w:szCs w:val="20"/>
          <w:vertAlign w:val="subscript"/>
        </w:rPr>
        <w:t>inc</w:t>
      </w:r>
      <w:proofErr w:type="spellEnd"/>
      <w:r w:rsidRPr="00C71580">
        <w:rPr>
          <w:rFonts w:ascii="Arial" w:hAnsi="Arial" w:cs="Arial"/>
          <w:iCs/>
          <w:sz w:val="20"/>
          <w:szCs w:val="20"/>
        </w:rPr>
        <w:t xml:space="preserve"> = 0.43)</w:t>
      </w:r>
      <w:r w:rsidR="009251C5" w:rsidRPr="00C71580">
        <w:rPr>
          <w:rFonts w:ascii="Arial" w:hAnsi="Arial" w:cs="Arial"/>
          <w:iCs/>
          <w:sz w:val="20"/>
          <w:szCs w:val="20"/>
        </w:rPr>
        <w:fldChar w:fldCharType="begin" w:fldLock="1"/>
      </w:r>
      <w:r w:rsidR="00516D49" w:rsidRPr="00C71580">
        <w:rPr>
          <w:rFonts w:ascii="Arial" w:hAnsi="Arial" w:cs="Arial"/>
          <w:iCs/>
          <w:sz w:val="20"/>
          <w:szCs w:val="20"/>
        </w:rPr>
        <w:instrText>ADDIN CSL_CITATION {"citationItems":[{"id":"ITEM-1","itemData":{"DOI":"10.1124/dmd.115.065292","ISSN":"1521009X","abstract":"Drugs and other chemicals frequently bind nonspecifically to the constituents of an in vitro incubation mixture, particularly the enzyme source [e.g., human liver microsomes (HLM)]. Correction for nonspecific binding (NSB) is essential for the accurate calculation of the kinetic parameters Km, Clint, and Ki. Many tyrosine kinase inhibitors (TKIs) are lipophilic organic bases that are nonionized at physiologic pH. Attempts to measure the NSB of several TKIs to HLM by equilibrium dialysis proved unsuccessful, presumably due to the limited aqueous solubility of these compounds. Thus, the addition of detergents to equilibrium dialysis samples was investigated as an approach to measure the NSB of TKIs. The binding of six validation set nonionized lipophilic bases (felodipine, isradipine, loratidine, midazolam, nifedipine, and pazopanib) to HLM (0.25 mg/ml) was shown to be unaffected by the addition of CHAPS (6 mM) to the dialysis medium. This approach was subsequently applied to measurement of the binding of axitinib, dabrafenib, erlotinib, gefitinib, ibrutinib, lapatinib, nilotinib, nintedanib, regorafenib, sorafenib, and trametinib to HLM (0.25 mg/ml). As with the validation set drugs, attainment of equilibrium was demonstrated in HLM-HLM and buffer-buffer control dialysis experiments. Values of the fraction unbound to HLM ranged from 0.14 (regorafenib and sorafenib) to 0.93 (nintedanib), and were generally consistent with the known physicochemical determinants of drug NSB. The extensive NSB of many TKIs to HLM underscores the importance of correction for TKI binding to HLM and, presumably, other enzyme sources present in in vitro incubation mixtures.","author":[{"dropping-particle":"","family":"Burns","given":"Kushari","non-dropping-particle":"","parse-names":false,"suffix":""},{"dropping-particle":"","family":"Nair","given":"Pramod C.","non-dropping-particle":"","parse-names":false,"suffix":""},{"dropping-particle":"","family":"Rowland","given":"Andrew","non-dropping-particle":"","parse-names":false,"suffix":""},{"dropping-particle":"","family":"Mackenzie","given":"Peter I.","non-dropping-particle":"","parse-names":false,"suffix":""},{"dropping-particle":"","family":"Knights","given":"Kathleen M.","non-dropping-particle":"","parse-names":false,"suffix":""},{"dropping-particle":"","family":"Miners","given":"John O.","non-dropping-particle":"","parse-names":false,"suffix":""}],"container-title":"Drug Metabolism and Disposition","id":"ITEM-1","issue":"12","issued":{"date-parts":[["2015"]]},"page":"1934-1937","title":"The nonspecific binding of tyrosine kinase inhibitors to human liver microsomes","type":"article-journal","volume":"43"},"uris":["http://www.mendeley.com/documents/?uuid=fa0d2028-c83f-4e32-8f52-4d45b5f07877"]}],"mendeley":{"formattedCitation":"&lt;sup&gt;51&lt;/sup&gt;","plainTextFormattedCitation":"51","previouslyFormattedCitation":"&lt;sup&gt;51&lt;/sup&gt;"},"properties":{"noteIndex":0},"schema":"https://github.com/citation-style-language/schema/raw/master/csl-citation.json"}</w:instrText>
      </w:r>
      <w:r w:rsidR="009251C5" w:rsidRPr="00C71580">
        <w:rPr>
          <w:rFonts w:ascii="Arial" w:hAnsi="Arial" w:cs="Arial"/>
          <w:iCs/>
          <w:sz w:val="20"/>
          <w:szCs w:val="20"/>
        </w:rPr>
        <w:fldChar w:fldCharType="separate"/>
      </w:r>
      <w:r w:rsidR="006C6945" w:rsidRPr="00C71580">
        <w:rPr>
          <w:rFonts w:ascii="Arial" w:hAnsi="Arial" w:cs="Arial"/>
          <w:iCs/>
          <w:noProof/>
          <w:sz w:val="20"/>
          <w:szCs w:val="20"/>
          <w:vertAlign w:val="superscript"/>
        </w:rPr>
        <w:t>51</w:t>
      </w:r>
      <w:r w:rsidR="009251C5" w:rsidRPr="00C71580">
        <w:rPr>
          <w:rFonts w:ascii="Arial" w:hAnsi="Arial" w:cs="Arial"/>
          <w:iCs/>
          <w:sz w:val="20"/>
          <w:szCs w:val="20"/>
        </w:rPr>
        <w:fldChar w:fldCharType="end"/>
      </w:r>
      <w:r w:rsidRPr="00C71580">
        <w:rPr>
          <w:rFonts w:ascii="Arial" w:hAnsi="Arial" w:cs="Arial"/>
          <w:iCs/>
          <w:sz w:val="20"/>
          <w:szCs w:val="20"/>
        </w:rPr>
        <w:t xml:space="preserve"> resulted in overestimations of the systemic exposure upon multiple dosing (black dashed lines in </w:t>
      </w:r>
      <w:r w:rsidRPr="00C71580">
        <w:rPr>
          <w:rFonts w:ascii="Arial" w:hAnsi="Arial" w:cs="Arial"/>
          <w:b/>
          <w:bCs/>
          <w:iCs/>
          <w:sz w:val="20"/>
          <w:szCs w:val="20"/>
        </w:rPr>
        <w:t xml:space="preserve">Figures </w:t>
      </w:r>
      <w:r w:rsidR="00496586" w:rsidRPr="00C71580">
        <w:rPr>
          <w:rFonts w:ascii="Arial" w:hAnsi="Arial" w:cs="Arial"/>
          <w:b/>
          <w:bCs/>
          <w:iCs/>
          <w:sz w:val="20"/>
          <w:szCs w:val="20"/>
        </w:rPr>
        <w:t>3</w:t>
      </w:r>
      <w:r w:rsidRPr="00C71580">
        <w:rPr>
          <w:rFonts w:ascii="Arial" w:hAnsi="Arial" w:cs="Arial"/>
          <w:b/>
          <w:bCs/>
          <w:iCs/>
          <w:sz w:val="20"/>
          <w:szCs w:val="20"/>
        </w:rPr>
        <w:t>C</w:t>
      </w:r>
      <w:r w:rsidRPr="00C71580">
        <w:rPr>
          <w:rFonts w:ascii="Arial" w:hAnsi="Arial" w:cs="Arial"/>
          <w:iCs/>
          <w:sz w:val="20"/>
          <w:szCs w:val="20"/>
        </w:rPr>
        <w:t xml:space="preserve"> to </w:t>
      </w:r>
      <w:r w:rsidR="00496586" w:rsidRPr="00C71580">
        <w:rPr>
          <w:rFonts w:ascii="Arial" w:hAnsi="Arial" w:cs="Arial"/>
          <w:b/>
          <w:bCs/>
          <w:iCs/>
          <w:sz w:val="20"/>
          <w:szCs w:val="20"/>
        </w:rPr>
        <w:t>3D</w:t>
      </w:r>
      <w:r w:rsidRPr="00C71580">
        <w:rPr>
          <w:rFonts w:ascii="Arial" w:hAnsi="Arial" w:cs="Arial"/>
          <w:iCs/>
          <w:sz w:val="20"/>
          <w:szCs w:val="20"/>
        </w:rPr>
        <w:t xml:space="preserve">). In contrast, utilizing </w:t>
      </w:r>
      <w:proofErr w:type="spellStart"/>
      <w:r w:rsidRPr="00C71580">
        <w:rPr>
          <w:rFonts w:ascii="Arial" w:hAnsi="Arial" w:cs="Arial"/>
          <w:iCs/>
          <w:sz w:val="20"/>
          <w:szCs w:val="20"/>
        </w:rPr>
        <w:t>fu</w:t>
      </w:r>
      <w:r w:rsidRPr="00C71580">
        <w:rPr>
          <w:rFonts w:ascii="Arial" w:hAnsi="Arial" w:cs="Arial"/>
          <w:iCs/>
          <w:sz w:val="20"/>
          <w:szCs w:val="20"/>
          <w:vertAlign w:val="subscript"/>
        </w:rPr>
        <w:t>inc</w:t>
      </w:r>
      <w:proofErr w:type="spellEnd"/>
      <w:r w:rsidRPr="00C71580">
        <w:rPr>
          <w:rFonts w:ascii="Arial" w:hAnsi="Arial" w:cs="Arial"/>
          <w:iCs/>
          <w:sz w:val="20"/>
          <w:szCs w:val="20"/>
        </w:rPr>
        <w:t xml:space="preserve"> = 1 demonstrated increased congruency with the clinical profiles reported by both Tanaka </w:t>
      </w:r>
      <w:r w:rsidRPr="00C71580">
        <w:rPr>
          <w:rFonts w:ascii="Arial" w:hAnsi="Arial" w:cs="Arial"/>
          <w:sz w:val="20"/>
          <w:szCs w:val="20"/>
        </w:rPr>
        <w:t>et al.</w:t>
      </w:r>
      <w:r w:rsidRPr="00C71580">
        <w:rPr>
          <w:rFonts w:ascii="Arial" w:hAnsi="Arial" w:cs="Arial"/>
          <w:iCs/>
          <w:sz w:val="20"/>
          <w:szCs w:val="20"/>
        </w:rPr>
        <w:t xml:space="preserve"> (</w:t>
      </w:r>
      <w:r w:rsidRPr="00C71580">
        <w:rPr>
          <w:rFonts w:ascii="Arial" w:hAnsi="Arial" w:cs="Arial"/>
          <w:b/>
          <w:bCs/>
          <w:iCs/>
          <w:sz w:val="20"/>
          <w:szCs w:val="20"/>
        </w:rPr>
        <w:t xml:space="preserve">Figure </w:t>
      </w:r>
      <w:r w:rsidR="00496586" w:rsidRPr="00C71580">
        <w:rPr>
          <w:rFonts w:ascii="Arial" w:hAnsi="Arial" w:cs="Arial"/>
          <w:b/>
          <w:bCs/>
          <w:iCs/>
          <w:sz w:val="20"/>
          <w:szCs w:val="20"/>
        </w:rPr>
        <w:t>3</w:t>
      </w:r>
      <w:r w:rsidRPr="00C71580">
        <w:rPr>
          <w:rFonts w:ascii="Arial" w:hAnsi="Arial" w:cs="Arial"/>
          <w:b/>
          <w:bCs/>
          <w:iCs/>
          <w:sz w:val="20"/>
          <w:szCs w:val="20"/>
        </w:rPr>
        <w:t>C</w:t>
      </w:r>
      <w:r w:rsidRPr="00C71580">
        <w:rPr>
          <w:rFonts w:ascii="Arial" w:hAnsi="Arial" w:cs="Arial"/>
          <w:iCs/>
          <w:sz w:val="20"/>
          <w:szCs w:val="20"/>
        </w:rPr>
        <w:t xml:space="preserve">) and Larson </w:t>
      </w:r>
      <w:r w:rsidRPr="00C71580">
        <w:rPr>
          <w:rFonts w:ascii="Arial" w:hAnsi="Arial" w:cs="Arial"/>
          <w:sz w:val="20"/>
          <w:szCs w:val="20"/>
        </w:rPr>
        <w:t>et al.</w:t>
      </w:r>
      <w:r w:rsidRPr="00C71580">
        <w:rPr>
          <w:rFonts w:ascii="Arial" w:hAnsi="Arial" w:cs="Arial"/>
          <w:iCs/>
          <w:sz w:val="20"/>
          <w:szCs w:val="20"/>
        </w:rPr>
        <w:t xml:space="preserve"> (</w:t>
      </w:r>
      <w:r w:rsidR="00F57563" w:rsidRPr="00C71580">
        <w:rPr>
          <w:rFonts w:ascii="Arial" w:hAnsi="Arial" w:cs="Arial"/>
          <w:b/>
          <w:bCs/>
          <w:iCs/>
          <w:sz w:val="20"/>
          <w:szCs w:val="20"/>
        </w:rPr>
        <w:t xml:space="preserve">Table </w:t>
      </w:r>
      <w:r w:rsidR="00047607" w:rsidRPr="00C71580">
        <w:rPr>
          <w:rFonts w:ascii="Arial" w:hAnsi="Arial" w:cs="Arial"/>
          <w:b/>
          <w:bCs/>
          <w:iCs/>
          <w:sz w:val="20"/>
          <w:szCs w:val="20"/>
        </w:rPr>
        <w:t>S</w:t>
      </w:r>
      <w:r w:rsidR="00216A96" w:rsidRPr="00C71580">
        <w:rPr>
          <w:rFonts w:ascii="Arial" w:hAnsi="Arial" w:cs="Arial"/>
          <w:b/>
          <w:bCs/>
          <w:iCs/>
          <w:sz w:val="20"/>
          <w:szCs w:val="20"/>
        </w:rPr>
        <w:t>2</w:t>
      </w:r>
      <w:r w:rsidR="009B48B7">
        <w:rPr>
          <w:rFonts w:ascii="Arial" w:hAnsi="Arial" w:cs="Arial"/>
          <w:iCs/>
          <w:sz w:val="20"/>
          <w:szCs w:val="20"/>
        </w:rPr>
        <w:t>;</w:t>
      </w:r>
      <w:r w:rsidR="00F57563" w:rsidRPr="00C71580">
        <w:rPr>
          <w:rFonts w:ascii="Arial" w:hAnsi="Arial" w:cs="Arial"/>
          <w:iCs/>
          <w:sz w:val="20"/>
          <w:szCs w:val="20"/>
        </w:rPr>
        <w:t xml:space="preserve"> </w:t>
      </w:r>
      <w:r w:rsidRPr="00C71580">
        <w:rPr>
          <w:rFonts w:ascii="Arial" w:hAnsi="Arial" w:cs="Arial"/>
          <w:b/>
          <w:bCs/>
          <w:iCs/>
          <w:sz w:val="20"/>
          <w:szCs w:val="20"/>
        </w:rPr>
        <w:t xml:space="preserve">Figure </w:t>
      </w:r>
      <w:r w:rsidR="00496586" w:rsidRPr="00C71580">
        <w:rPr>
          <w:rFonts w:ascii="Arial" w:hAnsi="Arial" w:cs="Arial"/>
          <w:b/>
          <w:bCs/>
          <w:iCs/>
          <w:sz w:val="20"/>
          <w:szCs w:val="20"/>
        </w:rPr>
        <w:t>3</w:t>
      </w:r>
      <w:r w:rsidRPr="00C71580">
        <w:rPr>
          <w:rFonts w:ascii="Arial" w:hAnsi="Arial" w:cs="Arial"/>
          <w:b/>
          <w:bCs/>
          <w:iCs/>
          <w:sz w:val="20"/>
          <w:szCs w:val="20"/>
        </w:rPr>
        <w:t>D</w:t>
      </w:r>
      <w:r w:rsidRPr="00C71580">
        <w:rPr>
          <w:rFonts w:ascii="Arial" w:hAnsi="Arial" w:cs="Arial"/>
          <w:iCs/>
          <w:sz w:val="20"/>
          <w:szCs w:val="20"/>
        </w:rPr>
        <w:t>).</w:t>
      </w:r>
      <w:r w:rsidR="00624D60" w:rsidRPr="00C71580">
        <w:rPr>
          <w:rFonts w:ascii="Arial" w:hAnsi="Arial" w:cs="Arial"/>
          <w:iCs/>
          <w:sz w:val="20"/>
          <w:szCs w:val="20"/>
        </w:rPr>
        <w:fldChar w:fldCharType="begin" w:fldLock="1"/>
      </w:r>
      <w:r w:rsidR="00516D49" w:rsidRPr="00C71580">
        <w:rPr>
          <w:rFonts w:ascii="Arial" w:hAnsi="Arial" w:cs="Arial"/>
          <w:iCs/>
          <w:sz w:val="20"/>
          <w:szCs w:val="20"/>
        </w:rPr>
        <w:instrText>ADDIN CSL_CITATION {"citationItems":[{"id":"ITEM-1","itemData":{"DOI":"10.1038/clpt.2009.208","ISSN":"0009-9236","abstract":"This article describes studies that investigated the pharmacokinetics of nilotinib, a highly specific, oral, second-generation BCR-ABL tyrosine kinase inhibitor. After a once-or twice-daily regimen at doses ranging from 50 to 1,200mg/day in 119 patients with chronic myeloid leukemia (CML), the area under the serum concentration-time curve (AUC) and peak serum concentration (C max) of nilotinib were found to be nearly dose proportional up to a dose of 400mg once daily. Solubility-limited absorption at higher doses was observed, but this was partially overcome by dividing the daily dose into two. For instance, the administration of 400mg nilotinib twice daily resulted in a 35% increase in AUC as compared to a once-daily dose of 800mg. Exploratory pharmacodynamic assessment showed a general trend of greater reduction in white blood cell (WBC) levels with increase in nilotinib concentrations. This finding was consistent with the observation of an 82% reduction in WBC levels in patients after a regimen of 400mg nilotinib twice daily for 15 days. The type and quantity of food intake variably affected nilotinib absorption. When administered after a high-fat meal, the AUC of nilotinib increased by 50% in CML patients (n = 10) and by 82% in healthy volunteers (n = 44). © 2009 American Society for Clinical Pharmacology and Therapeutics.","author":[{"dropping-particle":"","family":"Tanaka","given":"C","non-dropping-particle":"","parse-names":false,"suffix":""},{"dropping-particle":"","family":"Yin","given":"O Q P","non-dropping-particle":"","parse-names":false,"suffix":""},{"dropping-particle":"","family":"Sethuraman","given":"V","non-dropping-particle":"","parse-names":false,"suffix":""},{"dropping-particle":"","family":"Smith","given":"T","non-dropping-particle":"","parse-names":false,"suffix":""},{"dropping-particle":"","family":"Wang","given":"X","non-dropping-particle":"","parse-names":false,"suffix":""},{"dropping-particle":"","family":"Grouss","given":"K","non-dropping-particle":"","parse-names":false,"suffix":""},{"dropping-particle":"","family":"Kantarjian","given":"H","non-dropping-particle":"","parse-names":false,"suffix":""},{"dropping-particle":"","family":"Giles","given":"F","non-dropping-particle":"","parse-names":false,"suffix":""},{"dropping-particle":"","family":"Ottmann","given":"O G","non-dropping-particle":"","parse-names":false,"suffix":""},{"dropping-particle":"","family":"Galitz","given":"L","non-dropping-particle":"","parse-names":false,"suffix":""},{"dropping-particle":"","family":"Schran","given":"H","non-dropping-particle":"","parse-names":false,"suffix":""}],"container-title":"Clinical Pharmacology &amp; Therapeutics","id":"ITEM-1","issue":"2","issued":{"date-parts":[["2010","2","18"]]},"page":"197-203","publisher":"John Wiley &amp; Sons, Ltd","title":"Clinical Pharmacokinetics of the BCR–ABL Tyrosine Kinase Inhibitor Nilotinib","type":"article-journal","volume":"87"},"uris":["http://www.mendeley.com/documents/?uuid=52a87905-acfc-392c-a30a-e7ed70ac5de9"]},{"id":"ITEM-2","itemData":{"DOI":"10.1007/s00228-011-1200-7","abstract":"Purpose-We investigated the population pharmacokinetics and exposure-response relationship of nilotinib in patients with newly diagnosed chronic myeloid leukemia (CML) in chronic phase. Methods-Nilotinib was given at 300 mg or 400 mg twice daily. Serum concentration data (sparse and full pharmacokinetic profiles) were obtained from 542 patients over 12 months. A population pharmacokinetic analysis was performed using nonlinear mixed-effect modeling. Exposure-response relationships were explored graphically or using logistic regression models. Results-Nilotinib concentrations were stable over 12 months. Patients in the 400 mg twice-daily arm had an 11.5% higher exposure than did those in the 300 mg twice-daily arm, and the relative bioavailability of nilotinib 400 mg twice daily was 0.84 times that of 300 mg twice daily. Patient demographics did not significantly affect nilotinib pharmacokinetics. The occurrence of all grade total bilirubin elevation was significantly higher in patients with higher nilotinib exposure, and a positive correlation was also observed between nilotinib exposure and QTcF change on electrocardiograms from baseline. There was no significant relationship between nilotinib exposure and major molecular response at 12 months. Conclusions-There is a less than proportional dose-exposure relationship between nilotinib 300 mg and 400 mg twice-daily doses. Blood level testing is unlikely to play an important role in the general management of patients with newly diagnosed CML treated with nilotinib.","author":[{"dropping-particle":"","family":"Larson","given":"Richard A","non-dropping-particle":"","parse-names":false,"suffix":""},{"dropping-particle":"","family":"Yin","given":"Ophelia Q P","non-dropping-particle":"","parse-names":false,"suffix":""},{"dropping-particle":"","family":"Hochhaus","given":"Andreas","non-dropping-particle":"","parse-names":false,"suffix":""},{"dropping-particle":"","family":"Saglio","given":"Giuseppe","non-dropping-particle":"","parse-names":false,"suffix":""},{"dropping-particle":"","family":"Clark","given":"Richard E","non-dropping-particle":"","parse-names":false,"suffix":""},{"dropping-particle":"","family":"Nakamae","given":"Hirohisa","non-dropping-particle":"","parse-names":false,"suffix":""},{"dropping-particle":"","family":"Gallagher","given":"Neil J","non-dropping-particle":"","parse-names":false,"suffix":""},{"dropping-particle":"","family":"Demirhan","given":"Eren","non-dropping-particle":"","parse-names":false,"suffix":""},{"dropping-particle":"","family":"Hughes","given":"Timothy P","non-dropping-particle":"","parse-names":false,"suffix":""},{"dropping-particle":"","family":"Kantarjian","given":"Hagop M","non-dropping-particle":"","parse-names":false,"suffix":""},{"dropping-particle":"","family":"Coutre","given":"Philipp D","non-dropping-particle":"Le","parse-names":false,"suffix":""}],"container-title":"Eur J Clin Pharmacol","id":"ITEM-2","issue":"5","issued":{"date-parts":[["2012"]]},"page":"723-733","title":"Population pharmacokinetic and exposure-response analysis of nilotinib in patients with newly diagnosed Ph+ chronic myeloid leukemia in chronic phase","type":"article-journal","volume":"68"},"uris":["http://www.mendeley.com/documents/?uuid=a823e9de-8f2f-319f-aa27-3042e727ff60"]}],"mendeley":{"formattedCitation":"&lt;sup&gt;36,52&lt;/sup&gt;","plainTextFormattedCitation":"36,52","previouslyFormattedCitation":"&lt;sup&gt;36,52&lt;/sup&gt;"},"properties":{"noteIndex":0},"schema":"https://github.com/citation-style-language/schema/raw/master/csl-citation.json"}</w:instrText>
      </w:r>
      <w:r w:rsidR="00624D60" w:rsidRPr="00C71580">
        <w:rPr>
          <w:rFonts w:ascii="Arial" w:hAnsi="Arial" w:cs="Arial"/>
          <w:iCs/>
          <w:sz w:val="20"/>
          <w:szCs w:val="20"/>
        </w:rPr>
        <w:fldChar w:fldCharType="separate"/>
      </w:r>
      <w:r w:rsidR="006C6945" w:rsidRPr="00C71580">
        <w:rPr>
          <w:rFonts w:ascii="Arial" w:hAnsi="Arial" w:cs="Arial"/>
          <w:iCs/>
          <w:noProof/>
          <w:sz w:val="20"/>
          <w:szCs w:val="20"/>
          <w:vertAlign w:val="superscript"/>
        </w:rPr>
        <w:t>36,52</w:t>
      </w:r>
      <w:r w:rsidR="00624D60" w:rsidRPr="00C71580">
        <w:rPr>
          <w:rFonts w:ascii="Arial" w:hAnsi="Arial" w:cs="Arial"/>
          <w:iCs/>
          <w:sz w:val="20"/>
          <w:szCs w:val="20"/>
        </w:rPr>
        <w:fldChar w:fldCharType="end"/>
      </w:r>
    </w:p>
    <w:p w14:paraId="7B8446F4" w14:textId="77777777" w:rsidR="00C71580" w:rsidRPr="00C71580" w:rsidRDefault="00C71580" w:rsidP="00C71580">
      <w:pPr>
        <w:spacing w:after="0" w:line="480" w:lineRule="auto"/>
        <w:jc w:val="both"/>
        <w:rPr>
          <w:rFonts w:ascii="Arial" w:hAnsi="Arial" w:cs="Arial"/>
          <w:iCs/>
          <w:sz w:val="20"/>
          <w:szCs w:val="20"/>
        </w:rPr>
      </w:pPr>
    </w:p>
    <w:p w14:paraId="487084DF" w14:textId="77777777" w:rsidR="009B48B7" w:rsidRDefault="00CB3B28" w:rsidP="009B48B7">
      <w:pPr>
        <w:spacing w:after="0" w:line="480" w:lineRule="auto"/>
        <w:jc w:val="both"/>
        <w:rPr>
          <w:rFonts w:ascii="Arial" w:hAnsi="Arial" w:cs="Arial"/>
          <w:iCs/>
          <w:sz w:val="20"/>
          <w:szCs w:val="20"/>
        </w:rPr>
      </w:pPr>
      <w:r w:rsidRPr="00C71580">
        <w:rPr>
          <w:rFonts w:ascii="Arial" w:hAnsi="Arial" w:cs="Arial"/>
          <w:i/>
          <w:sz w:val="20"/>
          <w:szCs w:val="20"/>
        </w:rPr>
        <w:t>In</w:t>
      </w:r>
      <w:r w:rsidR="00A563E5" w:rsidRPr="00C71580">
        <w:rPr>
          <w:rFonts w:ascii="Arial" w:hAnsi="Arial" w:cs="Arial"/>
          <w:i/>
          <w:sz w:val="20"/>
          <w:szCs w:val="20"/>
        </w:rPr>
        <w:t>hibition of OAT3-mediated uptake of rivaroxaban by nilotini</w:t>
      </w:r>
      <w:r w:rsidR="003643D9" w:rsidRPr="00C71580">
        <w:rPr>
          <w:rFonts w:ascii="Arial" w:hAnsi="Arial" w:cs="Arial"/>
          <w:i/>
          <w:sz w:val="20"/>
          <w:szCs w:val="20"/>
        </w:rPr>
        <w:t>b.</w:t>
      </w:r>
      <w:r w:rsidR="003643D9" w:rsidRPr="00C71580">
        <w:rPr>
          <w:rFonts w:ascii="Arial" w:hAnsi="Arial" w:cs="Arial"/>
          <w:sz w:val="20"/>
          <w:szCs w:val="20"/>
        </w:rPr>
        <w:t xml:space="preserve"> </w:t>
      </w:r>
      <w:r w:rsidR="00A563E5" w:rsidRPr="00C71580">
        <w:rPr>
          <w:rFonts w:ascii="Arial" w:hAnsi="Arial" w:cs="Arial"/>
          <w:iCs/>
          <w:sz w:val="20"/>
          <w:szCs w:val="20"/>
        </w:rPr>
        <w:t xml:space="preserve">The inhibitory potential of nilotinib on OAT3-mediated transport was subsequently evaluated in a similar manner as that described </w:t>
      </w:r>
      <w:r w:rsidR="00F57563" w:rsidRPr="00C71580">
        <w:rPr>
          <w:rFonts w:ascii="Arial" w:hAnsi="Arial" w:cs="Arial"/>
          <w:iCs/>
          <w:sz w:val="20"/>
          <w:szCs w:val="20"/>
        </w:rPr>
        <w:t>for ketoconazole</w:t>
      </w:r>
      <w:r w:rsidR="00A563E5" w:rsidRPr="00C71580">
        <w:rPr>
          <w:rFonts w:ascii="Arial" w:hAnsi="Arial" w:cs="Arial"/>
          <w:b/>
          <w:bCs/>
          <w:iCs/>
          <w:sz w:val="20"/>
          <w:szCs w:val="20"/>
        </w:rPr>
        <w:t xml:space="preserve">. </w:t>
      </w:r>
      <w:r w:rsidR="00A563E5" w:rsidRPr="00C71580">
        <w:rPr>
          <w:rFonts w:ascii="Arial" w:hAnsi="Arial" w:cs="Arial"/>
          <w:iCs/>
          <w:sz w:val="20"/>
          <w:szCs w:val="20"/>
        </w:rPr>
        <w:t>Quantifying the attenuation of OAT3-mediated rivaroxaban uptake in the presence of nilotinib produced a leftward shift in the IC</w:t>
      </w:r>
      <w:r w:rsidR="00A563E5" w:rsidRPr="00C71580">
        <w:rPr>
          <w:rFonts w:ascii="Arial" w:hAnsi="Arial" w:cs="Arial"/>
          <w:iCs/>
          <w:sz w:val="20"/>
          <w:szCs w:val="20"/>
          <w:vertAlign w:val="subscript"/>
        </w:rPr>
        <w:t>50</w:t>
      </w:r>
      <w:r w:rsidR="00A563E5" w:rsidRPr="00C71580">
        <w:rPr>
          <w:rFonts w:ascii="Arial" w:hAnsi="Arial" w:cs="Arial"/>
          <w:iCs/>
          <w:sz w:val="20"/>
          <w:szCs w:val="20"/>
        </w:rPr>
        <w:t xml:space="preserve"> curve</w:t>
      </w:r>
      <w:r w:rsidR="00287943" w:rsidRPr="00C71580">
        <w:rPr>
          <w:rFonts w:ascii="Arial" w:hAnsi="Arial" w:cs="Arial"/>
          <w:iCs/>
          <w:sz w:val="20"/>
          <w:szCs w:val="20"/>
        </w:rPr>
        <w:t xml:space="preserve"> (</w:t>
      </w:r>
      <w:r w:rsidR="00287943" w:rsidRPr="00C71580">
        <w:rPr>
          <w:rFonts w:ascii="Arial" w:hAnsi="Arial" w:cs="Arial"/>
          <w:b/>
          <w:bCs/>
          <w:iCs/>
          <w:sz w:val="20"/>
          <w:szCs w:val="20"/>
        </w:rPr>
        <w:t>Figure 4A</w:t>
      </w:r>
      <w:r w:rsidR="00287943" w:rsidRPr="00C71580">
        <w:rPr>
          <w:rFonts w:ascii="Arial" w:hAnsi="Arial" w:cs="Arial"/>
          <w:iCs/>
          <w:sz w:val="20"/>
          <w:szCs w:val="20"/>
        </w:rPr>
        <w:t>)</w:t>
      </w:r>
      <w:r w:rsidR="00A563E5" w:rsidRPr="00C71580">
        <w:rPr>
          <w:rFonts w:ascii="Arial" w:hAnsi="Arial" w:cs="Arial"/>
          <w:iCs/>
          <w:sz w:val="20"/>
          <w:szCs w:val="20"/>
        </w:rPr>
        <w:t>, yielding a measured IC</w:t>
      </w:r>
      <w:r w:rsidR="00A563E5" w:rsidRPr="00C71580">
        <w:rPr>
          <w:rFonts w:ascii="Arial" w:hAnsi="Arial" w:cs="Arial"/>
          <w:iCs/>
          <w:sz w:val="20"/>
          <w:szCs w:val="20"/>
          <w:vertAlign w:val="subscript"/>
        </w:rPr>
        <w:t>50</w:t>
      </w:r>
      <w:r w:rsidR="00A563E5" w:rsidRPr="00C71580">
        <w:rPr>
          <w:rFonts w:ascii="Arial" w:hAnsi="Arial" w:cs="Arial"/>
          <w:iCs/>
          <w:sz w:val="20"/>
          <w:szCs w:val="20"/>
        </w:rPr>
        <w:t xml:space="preserve"> value (0.062 µM) that was 0.012-fold that obtained when E3S was utilized as the probe substrate (5.12 µM)</w:t>
      </w:r>
      <w:r w:rsidR="00AA37F1" w:rsidRPr="00C71580">
        <w:rPr>
          <w:rFonts w:ascii="Arial" w:hAnsi="Arial" w:cs="Arial"/>
          <w:iCs/>
          <w:sz w:val="20"/>
          <w:szCs w:val="20"/>
        </w:rPr>
        <w:t xml:space="preserve"> (</w:t>
      </w:r>
      <w:r w:rsidR="00AA37F1" w:rsidRPr="00C71580">
        <w:rPr>
          <w:rFonts w:ascii="Arial" w:hAnsi="Arial" w:cs="Arial"/>
          <w:b/>
          <w:bCs/>
          <w:iCs/>
          <w:sz w:val="20"/>
          <w:szCs w:val="20"/>
        </w:rPr>
        <w:t>Table 2</w:t>
      </w:r>
      <w:r w:rsidR="00AA37F1" w:rsidRPr="00C71580">
        <w:rPr>
          <w:rFonts w:ascii="Arial" w:hAnsi="Arial" w:cs="Arial"/>
          <w:iCs/>
          <w:sz w:val="20"/>
          <w:szCs w:val="20"/>
        </w:rPr>
        <w:t>)</w:t>
      </w:r>
      <w:r w:rsidR="00A563E5" w:rsidRPr="00C71580">
        <w:rPr>
          <w:rFonts w:ascii="Arial" w:hAnsi="Arial" w:cs="Arial"/>
          <w:iCs/>
          <w:sz w:val="20"/>
          <w:szCs w:val="20"/>
        </w:rPr>
        <w:t xml:space="preserve">. Further investigations via Dixon plots substantiated a non-competitive </w:t>
      </w:r>
      <w:r w:rsidR="004D6C1A" w:rsidRPr="00C71580">
        <w:rPr>
          <w:rFonts w:ascii="Arial" w:hAnsi="Arial" w:cs="Arial"/>
          <w:iCs/>
          <w:sz w:val="20"/>
          <w:szCs w:val="20"/>
        </w:rPr>
        <w:t xml:space="preserve">versus competitive mode of inhibition </w:t>
      </w:r>
      <w:r w:rsidR="00A563E5" w:rsidRPr="00C71580">
        <w:rPr>
          <w:rFonts w:ascii="Arial" w:hAnsi="Arial" w:cs="Arial"/>
          <w:iCs/>
          <w:sz w:val="20"/>
          <w:szCs w:val="20"/>
        </w:rPr>
        <w:t xml:space="preserve">when E3S </w:t>
      </w:r>
      <w:r w:rsidR="005358E8" w:rsidRPr="00C71580">
        <w:rPr>
          <w:rFonts w:ascii="Arial" w:hAnsi="Arial" w:cs="Arial"/>
          <w:iCs/>
          <w:sz w:val="20"/>
          <w:szCs w:val="20"/>
        </w:rPr>
        <w:t>(</w:t>
      </w:r>
      <w:r w:rsidR="005358E8" w:rsidRPr="00C71580">
        <w:rPr>
          <w:rFonts w:ascii="Arial" w:hAnsi="Arial" w:cs="Arial"/>
          <w:b/>
          <w:bCs/>
          <w:iCs/>
          <w:sz w:val="20"/>
          <w:szCs w:val="20"/>
        </w:rPr>
        <w:t>Figure 4B</w:t>
      </w:r>
      <w:r w:rsidR="005358E8" w:rsidRPr="00C71580">
        <w:rPr>
          <w:rFonts w:ascii="Arial" w:hAnsi="Arial" w:cs="Arial"/>
          <w:iCs/>
          <w:sz w:val="20"/>
          <w:szCs w:val="20"/>
        </w:rPr>
        <w:t xml:space="preserve">) </w:t>
      </w:r>
      <w:r w:rsidR="00685880" w:rsidRPr="00C71580">
        <w:rPr>
          <w:rFonts w:ascii="Arial" w:hAnsi="Arial" w:cs="Arial"/>
          <w:iCs/>
          <w:sz w:val="20"/>
          <w:szCs w:val="20"/>
        </w:rPr>
        <w:t xml:space="preserve">and rivaroxaban </w:t>
      </w:r>
      <w:r w:rsidR="005358E8" w:rsidRPr="00C71580">
        <w:rPr>
          <w:rFonts w:ascii="Arial" w:hAnsi="Arial" w:cs="Arial"/>
          <w:iCs/>
          <w:sz w:val="20"/>
          <w:szCs w:val="20"/>
        </w:rPr>
        <w:t>(</w:t>
      </w:r>
      <w:r w:rsidR="005358E8" w:rsidRPr="00C71580">
        <w:rPr>
          <w:rFonts w:ascii="Arial" w:hAnsi="Arial" w:cs="Arial"/>
          <w:b/>
          <w:bCs/>
          <w:iCs/>
          <w:sz w:val="20"/>
          <w:szCs w:val="20"/>
        </w:rPr>
        <w:t>Figure 4D</w:t>
      </w:r>
      <w:r w:rsidR="005358E8" w:rsidRPr="00C71580">
        <w:rPr>
          <w:rFonts w:ascii="Arial" w:hAnsi="Arial" w:cs="Arial"/>
          <w:iCs/>
          <w:sz w:val="20"/>
          <w:szCs w:val="20"/>
        </w:rPr>
        <w:t xml:space="preserve">) </w:t>
      </w:r>
      <w:r w:rsidR="004D6C1A" w:rsidRPr="00C71580">
        <w:rPr>
          <w:rFonts w:ascii="Arial" w:hAnsi="Arial" w:cs="Arial"/>
          <w:iCs/>
          <w:sz w:val="20"/>
          <w:szCs w:val="20"/>
        </w:rPr>
        <w:t>were used</w:t>
      </w:r>
      <w:r w:rsidR="00A563E5" w:rsidRPr="00C71580">
        <w:rPr>
          <w:rFonts w:ascii="Arial" w:hAnsi="Arial" w:cs="Arial"/>
          <w:iCs/>
          <w:sz w:val="20"/>
          <w:szCs w:val="20"/>
        </w:rPr>
        <w:t xml:space="preserve"> as the probe substrate</w:t>
      </w:r>
      <w:r w:rsidR="004D6C1A" w:rsidRPr="00C71580">
        <w:rPr>
          <w:rFonts w:ascii="Arial" w:hAnsi="Arial" w:cs="Arial"/>
          <w:iCs/>
          <w:sz w:val="20"/>
          <w:szCs w:val="20"/>
        </w:rPr>
        <w:t>s respectively</w:t>
      </w:r>
      <w:r w:rsidR="00A563E5" w:rsidRPr="00C71580">
        <w:rPr>
          <w:rFonts w:ascii="Arial" w:hAnsi="Arial" w:cs="Arial"/>
          <w:iCs/>
          <w:sz w:val="20"/>
          <w:szCs w:val="20"/>
        </w:rPr>
        <w:t xml:space="preserve">. </w:t>
      </w:r>
      <w:r w:rsidR="002C21B1" w:rsidRPr="00C71580">
        <w:rPr>
          <w:rFonts w:ascii="Arial" w:hAnsi="Arial" w:cs="Arial"/>
          <w:iCs/>
          <w:sz w:val="20"/>
          <w:szCs w:val="20"/>
        </w:rPr>
        <w:t>Considering</w:t>
      </w:r>
      <w:r w:rsidR="00E95F22" w:rsidRPr="00C71580">
        <w:rPr>
          <w:rFonts w:ascii="Arial" w:hAnsi="Arial" w:cs="Arial"/>
          <w:iCs/>
          <w:sz w:val="20"/>
          <w:szCs w:val="20"/>
        </w:rPr>
        <w:t xml:space="preserve"> both</w:t>
      </w:r>
      <w:r w:rsidR="002C21B1" w:rsidRPr="00C71580">
        <w:rPr>
          <w:rFonts w:ascii="Arial" w:hAnsi="Arial" w:cs="Arial"/>
          <w:iCs/>
          <w:sz w:val="20"/>
          <w:szCs w:val="20"/>
        </w:rPr>
        <w:t xml:space="preserve"> the competitive nature of </w:t>
      </w:r>
      <w:r w:rsidR="00C74A95" w:rsidRPr="00C71580">
        <w:rPr>
          <w:rFonts w:ascii="Arial" w:hAnsi="Arial" w:cs="Arial"/>
          <w:iCs/>
          <w:sz w:val="20"/>
          <w:szCs w:val="20"/>
        </w:rPr>
        <w:t xml:space="preserve">inhibition nilotinib </w:t>
      </w:r>
      <w:r w:rsidR="00E95F22" w:rsidRPr="00C71580">
        <w:rPr>
          <w:rFonts w:ascii="Arial" w:hAnsi="Arial" w:cs="Arial"/>
          <w:iCs/>
          <w:sz w:val="20"/>
          <w:szCs w:val="20"/>
        </w:rPr>
        <w:t xml:space="preserve">displays </w:t>
      </w:r>
      <w:r w:rsidR="00C74A95" w:rsidRPr="00C71580">
        <w:rPr>
          <w:rFonts w:ascii="Arial" w:hAnsi="Arial" w:cs="Arial"/>
          <w:iCs/>
          <w:sz w:val="20"/>
          <w:szCs w:val="20"/>
        </w:rPr>
        <w:t>against OAT3-mediated rivaroxaban uptake</w:t>
      </w:r>
      <w:r w:rsidR="00E95F22" w:rsidRPr="00C71580">
        <w:rPr>
          <w:rFonts w:ascii="Arial" w:hAnsi="Arial" w:cs="Arial"/>
          <w:iCs/>
          <w:sz w:val="20"/>
          <w:szCs w:val="20"/>
        </w:rPr>
        <w:t xml:space="preserve"> and the fraction unbound of nilotinib in plasma,</w:t>
      </w:r>
      <w:r w:rsidR="00A563E5" w:rsidRPr="00C71580">
        <w:rPr>
          <w:rFonts w:ascii="Arial" w:hAnsi="Arial" w:cs="Arial"/>
          <w:iCs/>
          <w:sz w:val="20"/>
          <w:szCs w:val="20"/>
        </w:rPr>
        <w:t xml:space="preserve"> the apparent IC</w:t>
      </w:r>
      <w:r w:rsidR="00A563E5" w:rsidRPr="00C71580">
        <w:rPr>
          <w:rFonts w:ascii="Arial" w:hAnsi="Arial" w:cs="Arial"/>
          <w:iCs/>
          <w:sz w:val="20"/>
          <w:szCs w:val="20"/>
          <w:vertAlign w:val="subscript"/>
        </w:rPr>
        <w:t>50</w:t>
      </w:r>
      <w:r w:rsidR="00A563E5" w:rsidRPr="00C71580">
        <w:rPr>
          <w:rFonts w:ascii="Arial" w:hAnsi="Arial" w:cs="Arial"/>
          <w:iCs/>
          <w:sz w:val="20"/>
          <w:szCs w:val="20"/>
        </w:rPr>
        <w:t xml:space="preserve"> derived in the presence of 5% w/v HSA </w:t>
      </w:r>
      <w:r w:rsidR="00B46BEB" w:rsidRPr="00C71580">
        <w:rPr>
          <w:rFonts w:ascii="Arial" w:hAnsi="Arial" w:cs="Arial"/>
          <w:iCs/>
          <w:sz w:val="20"/>
          <w:szCs w:val="20"/>
        </w:rPr>
        <w:t>(</w:t>
      </w:r>
      <w:r w:rsidR="00B46BEB" w:rsidRPr="00C71580">
        <w:rPr>
          <w:rFonts w:ascii="Arial" w:hAnsi="Arial" w:cs="Arial"/>
          <w:b/>
          <w:bCs/>
          <w:iCs/>
          <w:sz w:val="20"/>
          <w:szCs w:val="20"/>
        </w:rPr>
        <w:t>Figure 4F</w:t>
      </w:r>
      <w:r w:rsidR="00B46BEB" w:rsidRPr="00C71580">
        <w:rPr>
          <w:rFonts w:ascii="Arial" w:hAnsi="Arial" w:cs="Arial"/>
          <w:iCs/>
          <w:sz w:val="20"/>
          <w:szCs w:val="20"/>
        </w:rPr>
        <w:t xml:space="preserve">) </w:t>
      </w:r>
      <w:r w:rsidR="00A563E5" w:rsidRPr="00C71580">
        <w:rPr>
          <w:rFonts w:ascii="Arial" w:hAnsi="Arial" w:cs="Arial"/>
          <w:iCs/>
          <w:sz w:val="20"/>
          <w:szCs w:val="20"/>
        </w:rPr>
        <w:t xml:space="preserve">was </w:t>
      </w:r>
      <w:r w:rsidR="00B46BEB" w:rsidRPr="00C71580">
        <w:rPr>
          <w:rFonts w:ascii="Arial" w:hAnsi="Arial" w:cs="Arial"/>
          <w:iCs/>
          <w:sz w:val="20"/>
          <w:szCs w:val="20"/>
        </w:rPr>
        <w:t>corrected</w:t>
      </w:r>
      <w:r w:rsidR="00A563E5" w:rsidRPr="00C71580">
        <w:rPr>
          <w:rFonts w:ascii="Arial" w:hAnsi="Arial" w:cs="Arial"/>
          <w:iCs/>
          <w:sz w:val="20"/>
          <w:szCs w:val="20"/>
        </w:rPr>
        <w:t xml:space="preserve"> to obtain a </w:t>
      </w:r>
      <w:proofErr w:type="spellStart"/>
      <w:proofErr w:type="gramStart"/>
      <w:r w:rsidR="00A563E5" w:rsidRPr="00C71580">
        <w:rPr>
          <w:rFonts w:ascii="Arial" w:hAnsi="Arial" w:cs="Arial"/>
          <w:sz w:val="20"/>
          <w:szCs w:val="20"/>
        </w:rPr>
        <w:t>K</w:t>
      </w:r>
      <w:r w:rsidR="00A563E5" w:rsidRPr="00C71580">
        <w:rPr>
          <w:rFonts w:ascii="Arial" w:hAnsi="Arial" w:cs="Arial"/>
          <w:sz w:val="20"/>
          <w:szCs w:val="20"/>
          <w:vertAlign w:val="subscript"/>
        </w:rPr>
        <w:t>i,u</w:t>
      </w:r>
      <w:proofErr w:type="spellEnd"/>
      <w:proofErr w:type="gramEnd"/>
      <w:r w:rsidR="00A563E5" w:rsidRPr="00C71580">
        <w:rPr>
          <w:rFonts w:ascii="Arial" w:hAnsi="Arial" w:cs="Arial"/>
          <w:iCs/>
          <w:sz w:val="20"/>
          <w:szCs w:val="20"/>
        </w:rPr>
        <w:t xml:space="preserve"> of 0.0098 µM (</w:t>
      </w:r>
      <w:r w:rsidR="00A563E5" w:rsidRPr="00C71580">
        <w:rPr>
          <w:rFonts w:ascii="Arial" w:hAnsi="Arial" w:cs="Arial"/>
          <w:b/>
          <w:bCs/>
          <w:iCs/>
          <w:sz w:val="20"/>
          <w:szCs w:val="20"/>
        </w:rPr>
        <w:t>Table 2</w:t>
      </w:r>
      <w:r w:rsidR="00A563E5" w:rsidRPr="00C71580">
        <w:rPr>
          <w:rFonts w:ascii="Arial" w:hAnsi="Arial" w:cs="Arial"/>
          <w:iCs/>
          <w:sz w:val="20"/>
          <w:szCs w:val="20"/>
        </w:rPr>
        <w:t xml:space="preserve">), which was eventually incorporated into the PBPK-DDI model </w:t>
      </w:r>
      <w:r w:rsidR="008C5A8F" w:rsidRPr="00C71580">
        <w:rPr>
          <w:rFonts w:ascii="Arial" w:hAnsi="Arial" w:cs="Arial"/>
          <w:iCs/>
          <w:sz w:val="20"/>
          <w:szCs w:val="20"/>
        </w:rPr>
        <w:t>for prospective simulations of transporter-mediated DDIs between rivaroxaban and nilotinib.</w:t>
      </w:r>
      <w:r w:rsidR="009B48B7">
        <w:rPr>
          <w:rFonts w:ascii="Arial" w:hAnsi="Arial" w:cs="Arial"/>
          <w:iCs/>
          <w:sz w:val="20"/>
          <w:szCs w:val="20"/>
        </w:rPr>
        <w:t xml:space="preserve"> </w:t>
      </w:r>
    </w:p>
    <w:p w14:paraId="78AEE056" w14:textId="77777777" w:rsidR="009B48B7" w:rsidRDefault="009B48B7" w:rsidP="009B48B7">
      <w:pPr>
        <w:spacing w:after="0" w:line="480" w:lineRule="auto"/>
        <w:jc w:val="both"/>
        <w:rPr>
          <w:rFonts w:ascii="Arial" w:hAnsi="Arial" w:cs="Arial"/>
          <w:iCs/>
          <w:sz w:val="20"/>
          <w:szCs w:val="20"/>
        </w:rPr>
      </w:pPr>
    </w:p>
    <w:p w14:paraId="5ADF917C" w14:textId="0654A79D" w:rsidR="00A563E5" w:rsidRPr="009B48B7" w:rsidRDefault="00790F9E" w:rsidP="009B48B7">
      <w:pPr>
        <w:spacing w:after="0" w:line="480" w:lineRule="auto"/>
        <w:jc w:val="both"/>
        <w:rPr>
          <w:rFonts w:ascii="Arial" w:hAnsi="Arial" w:cs="Arial"/>
          <w:sz w:val="20"/>
          <w:szCs w:val="20"/>
        </w:rPr>
      </w:pPr>
      <w:r w:rsidRPr="009B48B7">
        <w:rPr>
          <w:rFonts w:ascii="Arial" w:hAnsi="Arial" w:cs="Arial"/>
          <w:i/>
          <w:sz w:val="20"/>
          <w:szCs w:val="20"/>
        </w:rPr>
        <w:t>P</w:t>
      </w:r>
      <w:r w:rsidR="00A563E5" w:rsidRPr="009B48B7">
        <w:rPr>
          <w:rFonts w:ascii="Arial" w:hAnsi="Arial" w:cs="Arial"/>
          <w:i/>
          <w:sz w:val="20"/>
          <w:szCs w:val="20"/>
        </w:rPr>
        <w:t>KIs demonstrated augmented systemic exposure of rivaroxaban, necessitating consideration of rational dose adjustments.</w:t>
      </w:r>
      <w:r w:rsidR="00496586" w:rsidRPr="009B48B7">
        <w:rPr>
          <w:rFonts w:ascii="Arial" w:hAnsi="Arial" w:cs="Arial"/>
          <w:i/>
          <w:iCs/>
          <w:sz w:val="20"/>
          <w:szCs w:val="20"/>
        </w:rPr>
        <w:t xml:space="preserve"> </w:t>
      </w:r>
      <w:r w:rsidR="00A563E5" w:rsidRPr="009B48B7">
        <w:rPr>
          <w:rFonts w:ascii="Arial" w:hAnsi="Arial" w:cs="Arial"/>
          <w:iCs/>
          <w:sz w:val="20"/>
          <w:szCs w:val="20"/>
        </w:rPr>
        <w:t xml:space="preserve">Simulations of a single 20 mg dose of rivaroxaban performed using the default “Sim-Cancer” in place of the default healthy “NEurCaucasian” populations yielded comparable plasma concentration-time profiles, establishing that demographic and physiological changes </w:t>
      </w:r>
      <w:r w:rsidR="00A563E5" w:rsidRPr="009B48B7">
        <w:rPr>
          <w:rFonts w:ascii="Arial" w:hAnsi="Arial" w:cs="Arial"/>
          <w:iCs/>
          <w:sz w:val="20"/>
          <w:szCs w:val="20"/>
        </w:rPr>
        <w:lastRenderedPageBreak/>
        <w:t>incorporated within the oncology population did not significantly impact the PK of rivaroxaban monotherapy (</w:t>
      </w:r>
      <w:r w:rsidR="00A563E5" w:rsidRPr="009B48B7">
        <w:rPr>
          <w:rFonts w:ascii="Arial" w:hAnsi="Arial" w:cs="Arial"/>
          <w:b/>
          <w:bCs/>
          <w:iCs/>
          <w:sz w:val="20"/>
          <w:szCs w:val="20"/>
        </w:rPr>
        <w:t>Figure S</w:t>
      </w:r>
      <w:r w:rsidR="004B5FB1" w:rsidRPr="009B48B7">
        <w:rPr>
          <w:rFonts w:ascii="Arial" w:hAnsi="Arial" w:cs="Arial"/>
          <w:b/>
          <w:bCs/>
          <w:iCs/>
          <w:sz w:val="20"/>
          <w:szCs w:val="20"/>
        </w:rPr>
        <w:t>3</w:t>
      </w:r>
      <w:r w:rsidR="00A563E5" w:rsidRPr="009B48B7">
        <w:rPr>
          <w:rFonts w:ascii="Arial" w:hAnsi="Arial" w:cs="Arial"/>
          <w:b/>
          <w:bCs/>
          <w:iCs/>
          <w:sz w:val="20"/>
          <w:szCs w:val="20"/>
        </w:rPr>
        <w:t>A</w:t>
      </w:r>
      <w:r w:rsidR="00A563E5" w:rsidRPr="009B48B7">
        <w:rPr>
          <w:rFonts w:ascii="Arial" w:hAnsi="Arial" w:cs="Arial"/>
          <w:iCs/>
          <w:sz w:val="20"/>
          <w:szCs w:val="20"/>
        </w:rPr>
        <w:t>). Similarly, given that renal dysfunction has been shown to minimally affect the PK of erlotinib</w:t>
      </w:r>
      <w:r w:rsidR="00A563E5" w:rsidRPr="009B48B7">
        <w:rPr>
          <w:rFonts w:ascii="Arial" w:hAnsi="Arial" w:cs="Arial"/>
          <w:iCs/>
          <w:sz w:val="20"/>
          <w:szCs w:val="20"/>
        </w:rPr>
        <w:fldChar w:fldCharType="begin" w:fldLock="1"/>
      </w:r>
      <w:r w:rsidR="006C6945" w:rsidRPr="009B48B7">
        <w:rPr>
          <w:rFonts w:ascii="Arial" w:hAnsi="Arial" w:cs="Arial"/>
          <w:iCs/>
          <w:sz w:val="20"/>
          <w:szCs w:val="20"/>
        </w:rPr>
        <w:instrText>ADDIN CSL_CITATION {"citationItems":[{"id":"ITEM-1","itemData":{"DOI":"10.1097/JTO.0b013e3181d32287","ISSN":"15561380","abstract":"Introduction: Although erlotinib, an orally active and selective tyrosine kinase inhibitor of epidermal growth factor receptor, is mainly metabolized in the liver, its effectiveness and safety for patients with chronic renal failure (CRF) undergoing hemodialysis (HD) has not been reported. Thus, we investigated the pharmacokinetics (PK) of erlotinib and its active metabolite OSI-420 in such patients with nonsmall cell lung cancer (NSCLC). Method: We administered 150 mg erlotinib daily to three patients with NSCLC and CRF undergoing HD (HD group) and five patients with NSCLC and normal organ function (control group) and analyzed the PK of erlotinib and OSI-420. In the HD group, PK analyses were performed on day 1 (off HD), day 8 (off HD), and day 9 (on HD) after starting administration of erlotinib, and in the control group, they were performed on day 1 and day 8. Results: In the HD group, there were little differences in the PK data between day 8 and day 9. The PK data on day 1 and day 8 of the HD group were also similar to those of the control group. There were no serious adverse events in any cases, and one of the HD patients achieved partial response. Conclusion: Erlotinib was hardly affected by renal function and HD, which confirms the effectiveness and safety of erlotinib treatment in patients with NSCLC and CRF undergoing HD. Erlotinib can become one treatment option for such patients. © 2010 by the International Association for the study of lung cancer.","author":[{"dropping-particle":"","family":"Togashi","given":"Yosuke","non-dropping-particle":"","parse-names":false,"suffix":""},{"dropping-particle":"","family":"Masago","given":"Katsuhiro","non-dropping-particle":"","parse-names":false,"suffix":""},{"dropping-particle":"","family":"Fukudo","given":"Masahide","non-dropping-particle":"","parse-names":false,"suffix":""},{"dropping-particle":"","family":"Terada","given":"Tomohiro","non-dropping-particle":"","parse-names":false,"suffix":""},{"dropping-particle":"","family":"Ikemi","given":"Yasuaki","non-dropping-particle":"","parse-names":false,"suffix":""},{"dropping-particle":"","family":"Kim","given":"Young Hak","non-dropping-particle":"","parse-names":false,"suffix":""},{"dropping-particle":"","family":"Fujita","given":"Shiro","non-dropping-particle":"","parse-names":false,"suffix":""},{"dropping-particle":"","family":"Irisa","given":"Kaoru","non-dropping-particle":"","parse-names":false,"suffix":""},{"dropping-particle":"","family":"Sakamori","given":"Yuichi","non-dropping-particle":"","parse-names":false,"suffix":""},{"dropping-particle":"","family":"Mio","given":"Tadashi","non-dropping-particle":"","parse-names":false,"suffix":""},{"dropping-particle":"","family":"Inui","given":"Ken Ichi","non-dropping-particle":"","parse-names":false,"suffix":""},{"dropping-particle":"","family":"Mishima","given":"Michiaki","non-dropping-particle":"","parse-names":false,"suffix":""}],"container-title":"Journal of Thoracic Oncology","id":"ITEM-1","issue":"5","issued":{"date-parts":[["2010","5","1"]]},"page":"601-605","publisher":"Lippincott Williams and Wilkins","title":"Pharmacokinetics of erlotinib and its active metabolite OSI-420 in patients with non-small cell lung cancer and chronic renal failure who are undergoing hemodialysis","type":"article-journal","volume":"5"},"uris":["http://www.mendeley.com/documents/?uuid=ab883b8b-d540-3fca-945f-bb74a465441a"]}],"mendeley":{"formattedCitation":"&lt;sup&gt;37&lt;/sup&gt;","plainTextFormattedCitation":"37","previouslyFormattedCitation":"&lt;sup&gt;37&lt;/sup&gt;"},"properties":{"noteIndex":0},"schema":"https://github.com/citation-style-language/schema/raw/master/csl-citation.json"}</w:instrText>
      </w:r>
      <w:r w:rsidR="00A563E5" w:rsidRPr="009B48B7">
        <w:rPr>
          <w:rFonts w:ascii="Arial" w:hAnsi="Arial" w:cs="Arial"/>
          <w:iCs/>
          <w:sz w:val="20"/>
          <w:szCs w:val="20"/>
        </w:rPr>
        <w:fldChar w:fldCharType="separate"/>
      </w:r>
      <w:r w:rsidR="004948F9" w:rsidRPr="009B48B7">
        <w:rPr>
          <w:rFonts w:ascii="Arial" w:hAnsi="Arial" w:cs="Arial"/>
          <w:iCs/>
          <w:noProof/>
          <w:sz w:val="20"/>
          <w:szCs w:val="20"/>
          <w:vertAlign w:val="superscript"/>
        </w:rPr>
        <w:t>37</w:t>
      </w:r>
      <w:r w:rsidR="00A563E5" w:rsidRPr="009B48B7">
        <w:rPr>
          <w:rFonts w:ascii="Arial" w:hAnsi="Arial" w:cs="Arial"/>
          <w:iCs/>
          <w:sz w:val="20"/>
          <w:szCs w:val="20"/>
        </w:rPr>
        <w:fldChar w:fldCharType="end"/>
      </w:r>
      <w:r w:rsidR="00A563E5" w:rsidRPr="009B48B7">
        <w:rPr>
          <w:rFonts w:ascii="Arial" w:hAnsi="Arial" w:cs="Arial"/>
          <w:iCs/>
          <w:sz w:val="20"/>
          <w:szCs w:val="20"/>
        </w:rPr>
        <w:t xml:space="preserve"> and nilotinib</w:t>
      </w:r>
      <w:r w:rsidR="008300BC" w:rsidRPr="009B48B7">
        <w:rPr>
          <w:rFonts w:ascii="Arial" w:hAnsi="Arial" w:cs="Arial"/>
          <w:iCs/>
          <w:sz w:val="20"/>
          <w:szCs w:val="20"/>
        </w:rPr>
        <w:t>,</w:t>
      </w:r>
      <w:r w:rsidR="00A563E5" w:rsidRPr="009B48B7">
        <w:rPr>
          <w:rFonts w:ascii="Arial" w:hAnsi="Arial" w:cs="Arial"/>
          <w:iCs/>
          <w:sz w:val="20"/>
          <w:szCs w:val="20"/>
        </w:rPr>
        <w:fldChar w:fldCharType="begin" w:fldLock="1"/>
      </w:r>
      <w:r w:rsidR="00516D49" w:rsidRPr="009B48B7">
        <w:rPr>
          <w:rFonts w:ascii="Arial" w:hAnsi="Arial" w:cs="Arial"/>
          <w:iCs/>
          <w:sz w:val="20"/>
          <w:szCs w:val="20"/>
        </w:rPr>
        <w:instrText>ADDIN CSL_CITATION {"citationItems":[{"id":"ITEM-1","itemData":{"DOI":"10.1002/ajh.23125","ISSN":"03618609","author":[{"dropping-particle":"","family":"Onaka","given":"Takashi","non-dropping-particle":"","parse-names":false,"suffix":""},{"dropping-particle":"","family":"Takahashi","given":"Naoto","non-dropping-particle":"","parse-names":false,"suffix":""},{"dropping-particle":"","family":"Miura","given":"Masatomo","non-dropping-particle":"","parse-names":false,"suffix":""},{"dropping-particle":"","family":"Yonezawa","given":"Akihito","non-dropping-particle":"","parse-names":false,"suffix":""},{"dropping-particle":"","family":"Imada","given":"Kazunori","non-dropping-particle":"","parse-names":false,"suffix":""},{"dropping-particle":"","family":"Sawada","given":"Kenichi","non-dropping-particle":"","parse-names":false,"suffix":""}],"container-title":"American Journal of Hematology","id":"ITEM-1","issue":"4","issued":{"date-parts":[["2012","4","1"]]},"page":"451-451","publisher":"John Wiley &amp; Sons, Ltd","title":"Pharmacokinetics of nilotinib in imatinib-resistant/intolerant chronic myeloid leukemia patients on hemodialysis for chronic renal failure","type":"article-journal","volume":"87"},"uris":["http://www.mendeley.com/documents/?uuid=716453ef-e0d2-3556-acd3-fd218fd37ffe"]}],"mendeley":{"formattedCitation":"&lt;sup&gt;53&lt;/sup&gt;","plainTextFormattedCitation":"53","previouslyFormattedCitation":"&lt;sup&gt;53&lt;/sup&gt;"},"properties":{"noteIndex":0},"schema":"https://github.com/citation-style-language/schema/raw/master/csl-citation.json"}</w:instrText>
      </w:r>
      <w:r w:rsidR="00A563E5" w:rsidRPr="009B48B7">
        <w:rPr>
          <w:rFonts w:ascii="Arial" w:hAnsi="Arial" w:cs="Arial"/>
          <w:iCs/>
          <w:sz w:val="20"/>
          <w:szCs w:val="20"/>
        </w:rPr>
        <w:fldChar w:fldCharType="separate"/>
      </w:r>
      <w:r w:rsidR="006C6945" w:rsidRPr="009B48B7">
        <w:rPr>
          <w:rFonts w:ascii="Arial" w:hAnsi="Arial" w:cs="Arial"/>
          <w:iCs/>
          <w:noProof/>
          <w:sz w:val="20"/>
          <w:szCs w:val="20"/>
          <w:vertAlign w:val="superscript"/>
        </w:rPr>
        <w:t>53</w:t>
      </w:r>
      <w:r w:rsidR="00A563E5" w:rsidRPr="009B48B7">
        <w:rPr>
          <w:rFonts w:ascii="Arial" w:hAnsi="Arial" w:cs="Arial"/>
          <w:iCs/>
          <w:sz w:val="20"/>
          <w:szCs w:val="20"/>
        </w:rPr>
        <w:fldChar w:fldCharType="end"/>
      </w:r>
      <w:r w:rsidR="00A563E5" w:rsidRPr="009B48B7">
        <w:rPr>
          <w:rFonts w:ascii="Arial" w:hAnsi="Arial" w:cs="Arial"/>
          <w:iCs/>
          <w:sz w:val="20"/>
          <w:szCs w:val="20"/>
        </w:rPr>
        <w:t xml:space="preserve"> simulations of the steady state exposure of erlotinib (</w:t>
      </w:r>
      <w:r w:rsidR="00A563E5" w:rsidRPr="009B48B7">
        <w:rPr>
          <w:rFonts w:ascii="Arial" w:hAnsi="Arial" w:cs="Arial"/>
          <w:b/>
          <w:bCs/>
          <w:iCs/>
          <w:sz w:val="20"/>
          <w:szCs w:val="20"/>
        </w:rPr>
        <w:t>Figure S</w:t>
      </w:r>
      <w:r w:rsidR="004B5FB1" w:rsidRPr="009B48B7">
        <w:rPr>
          <w:rFonts w:ascii="Arial" w:hAnsi="Arial" w:cs="Arial"/>
          <w:b/>
          <w:bCs/>
          <w:iCs/>
          <w:sz w:val="20"/>
          <w:szCs w:val="20"/>
        </w:rPr>
        <w:t>3</w:t>
      </w:r>
      <w:r w:rsidR="00A563E5" w:rsidRPr="009B48B7">
        <w:rPr>
          <w:rFonts w:ascii="Arial" w:hAnsi="Arial" w:cs="Arial"/>
          <w:b/>
          <w:bCs/>
          <w:iCs/>
          <w:sz w:val="20"/>
          <w:szCs w:val="20"/>
        </w:rPr>
        <w:t>B</w:t>
      </w:r>
      <w:r w:rsidR="00A563E5" w:rsidRPr="009B48B7">
        <w:rPr>
          <w:rFonts w:ascii="Arial" w:hAnsi="Arial" w:cs="Arial"/>
          <w:iCs/>
          <w:sz w:val="20"/>
          <w:szCs w:val="20"/>
        </w:rPr>
        <w:t>) and nilotinib (</w:t>
      </w:r>
      <w:r w:rsidR="00A563E5" w:rsidRPr="009B48B7">
        <w:rPr>
          <w:rFonts w:ascii="Arial" w:hAnsi="Arial" w:cs="Arial"/>
          <w:b/>
          <w:bCs/>
          <w:iCs/>
          <w:sz w:val="20"/>
          <w:szCs w:val="20"/>
        </w:rPr>
        <w:t>Figure S</w:t>
      </w:r>
      <w:r w:rsidR="004B5FB1" w:rsidRPr="009B48B7">
        <w:rPr>
          <w:rFonts w:ascii="Arial" w:hAnsi="Arial" w:cs="Arial"/>
          <w:b/>
          <w:bCs/>
          <w:iCs/>
          <w:sz w:val="20"/>
          <w:szCs w:val="20"/>
        </w:rPr>
        <w:t>3</w:t>
      </w:r>
      <w:r w:rsidR="00A563E5" w:rsidRPr="009B48B7">
        <w:rPr>
          <w:rFonts w:ascii="Arial" w:hAnsi="Arial" w:cs="Arial"/>
          <w:b/>
          <w:bCs/>
          <w:iCs/>
          <w:sz w:val="20"/>
          <w:szCs w:val="20"/>
        </w:rPr>
        <w:t>C</w:t>
      </w:r>
      <w:r w:rsidR="00A563E5" w:rsidRPr="009B48B7">
        <w:rPr>
          <w:rFonts w:ascii="Arial" w:hAnsi="Arial" w:cs="Arial"/>
          <w:iCs/>
          <w:sz w:val="20"/>
          <w:szCs w:val="20"/>
        </w:rPr>
        <w:t>) using the developed mild renal impairment populations verified the recapitulation of clinical outcomes within the observed range of interindividual variabilities. In contrast, simulations using the developed moderate renal impairment population markedly overestimated the exposure of erlotinib (</w:t>
      </w:r>
      <w:r w:rsidR="00A563E5" w:rsidRPr="009B48B7">
        <w:rPr>
          <w:rFonts w:ascii="Arial" w:hAnsi="Arial" w:cs="Arial"/>
          <w:b/>
          <w:bCs/>
          <w:iCs/>
          <w:sz w:val="20"/>
          <w:szCs w:val="20"/>
        </w:rPr>
        <w:t>Figure S</w:t>
      </w:r>
      <w:r w:rsidR="004B5FB1" w:rsidRPr="009B48B7">
        <w:rPr>
          <w:rFonts w:ascii="Arial" w:hAnsi="Arial" w:cs="Arial"/>
          <w:b/>
          <w:bCs/>
          <w:iCs/>
          <w:sz w:val="20"/>
          <w:szCs w:val="20"/>
        </w:rPr>
        <w:t>3</w:t>
      </w:r>
      <w:r w:rsidR="00A563E5" w:rsidRPr="009B48B7">
        <w:rPr>
          <w:rFonts w:ascii="Arial" w:hAnsi="Arial" w:cs="Arial"/>
          <w:b/>
          <w:bCs/>
          <w:iCs/>
          <w:sz w:val="20"/>
          <w:szCs w:val="20"/>
        </w:rPr>
        <w:t>B</w:t>
      </w:r>
      <w:r w:rsidR="00A563E5" w:rsidRPr="009B48B7">
        <w:rPr>
          <w:rFonts w:ascii="Arial" w:hAnsi="Arial" w:cs="Arial"/>
          <w:iCs/>
          <w:sz w:val="20"/>
          <w:szCs w:val="20"/>
        </w:rPr>
        <w:t>) and nilotinib (</w:t>
      </w:r>
      <w:r w:rsidR="00A563E5" w:rsidRPr="009B48B7">
        <w:rPr>
          <w:rFonts w:ascii="Arial" w:hAnsi="Arial" w:cs="Arial"/>
          <w:b/>
          <w:bCs/>
          <w:iCs/>
          <w:sz w:val="20"/>
          <w:szCs w:val="20"/>
        </w:rPr>
        <w:t>Figure S</w:t>
      </w:r>
      <w:r w:rsidR="004B5FB1" w:rsidRPr="009B48B7">
        <w:rPr>
          <w:rFonts w:ascii="Arial" w:hAnsi="Arial" w:cs="Arial"/>
          <w:b/>
          <w:bCs/>
          <w:iCs/>
          <w:sz w:val="20"/>
          <w:szCs w:val="20"/>
        </w:rPr>
        <w:t>3</w:t>
      </w:r>
      <w:r w:rsidR="00A563E5" w:rsidRPr="009B48B7">
        <w:rPr>
          <w:rFonts w:ascii="Arial" w:hAnsi="Arial" w:cs="Arial"/>
          <w:b/>
          <w:bCs/>
          <w:iCs/>
          <w:sz w:val="20"/>
          <w:szCs w:val="20"/>
        </w:rPr>
        <w:t>C</w:t>
      </w:r>
      <w:r w:rsidR="00A563E5" w:rsidRPr="009B48B7">
        <w:rPr>
          <w:rFonts w:ascii="Arial" w:hAnsi="Arial" w:cs="Arial"/>
          <w:iCs/>
          <w:sz w:val="20"/>
          <w:szCs w:val="20"/>
        </w:rPr>
        <w:t>). Consequently, calculation of AUC fold changes in the presence of PKIs across patients with normal renal function and mild renal impairment were derived upon comparison with the geometric mean AUC</w:t>
      </w:r>
      <w:r w:rsidR="00A563E5" w:rsidRPr="009B48B7">
        <w:rPr>
          <w:rFonts w:ascii="Arial" w:hAnsi="Arial" w:cs="Arial"/>
          <w:iCs/>
          <w:sz w:val="20"/>
          <w:szCs w:val="20"/>
          <w:vertAlign w:val="subscript"/>
        </w:rPr>
        <w:t>0-INF</w:t>
      </w:r>
      <w:r w:rsidR="00A563E5" w:rsidRPr="009B48B7">
        <w:rPr>
          <w:rFonts w:ascii="Arial" w:hAnsi="Arial" w:cs="Arial"/>
          <w:iCs/>
          <w:sz w:val="20"/>
          <w:szCs w:val="20"/>
        </w:rPr>
        <w:t xml:space="preserve"> following a single rivaroxaban dose of 20 mg administered in the fed state to the “Sim-Cancer” population.</w:t>
      </w:r>
    </w:p>
    <w:p w14:paraId="1613FF42" w14:textId="77777777" w:rsidR="00C71580" w:rsidRDefault="00C71580" w:rsidP="00062B7A">
      <w:pPr>
        <w:spacing w:after="0" w:line="480" w:lineRule="auto"/>
        <w:jc w:val="both"/>
        <w:rPr>
          <w:rFonts w:ascii="Arial" w:hAnsi="Arial" w:cs="Arial"/>
          <w:sz w:val="20"/>
          <w:szCs w:val="20"/>
        </w:rPr>
      </w:pPr>
    </w:p>
    <w:p w14:paraId="717B094B" w14:textId="43E07C79" w:rsidR="00AD03BD" w:rsidRDefault="00A563E5" w:rsidP="00062B7A">
      <w:pPr>
        <w:spacing w:after="0" w:line="480" w:lineRule="auto"/>
        <w:jc w:val="both"/>
        <w:rPr>
          <w:rFonts w:ascii="Arial" w:hAnsi="Arial" w:cs="Arial"/>
          <w:sz w:val="20"/>
          <w:szCs w:val="20"/>
        </w:rPr>
      </w:pPr>
      <w:r w:rsidRPr="00C016DD">
        <w:rPr>
          <w:rFonts w:ascii="Arial" w:hAnsi="Arial" w:cs="Arial"/>
          <w:sz w:val="20"/>
          <w:szCs w:val="20"/>
        </w:rPr>
        <w:t xml:space="preserve">A forest plot facilitating quantitative comparison of the simulated fold changes in rivaroxaban’s systemic exposure in the presence of DDDIs is presented in </w:t>
      </w:r>
      <w:r w:rsidRPr="00C016DD">
        <w:rPr>
          <w:rFonts w:ascii="Arial" w:hAnsi="Arial" w:cs="Arial"/>
          <w:b/>
          <w:bCs/>
          <w:sz w:val="20"/>
          <w:szCs w:val="20"/>
        </w:rPr>
        <w:t xml:space="preserve">Figure </w:t>
      </w:r>
      <w:r w:rsidR="00892036">
        <w:rPr>
          <w:rFonts w:ascii="Arial" w:hAnsi="Arial" w:cs="Arial"/>
          <w:b/>
          <w:bCs/>
          <w:sz w:val="20"/>
          <w:szCs w:val="20"/>
        </w:rPr>
        <w:t>5</w:t>
      </w:r>
      <w:r w:rsidRPr="00C016DD">
        <w:rPr>
          <w:rFonts w:ascii="Arial" w:hAnsi="Arial" w:cs="Arial"/>
          <w:b/>
          <w:bCs/>
          <w:sz w:val="20"/>
          <w:szCs w:val="20"/>
        </w:rPr>
        <w:t>A</w:t>
      </w:r>
      <w:r w:rsidRPr="00C016DD">
        <w:rPr>
          <w:rFonts w:ascii="Arial" w:hAnsi="Arial" w:cs="Arial"/>
          <w:sz w:val="20"/>
          <w:szCs w:val="20"/>
        </w:rPr>
        <w:t xml:space="preserve">. Clinical metrics applied to rationalize the predicted AUC ratios are as follows. First, as denoted by the red dotted line in </w:t>
      </w:r>
      <w:r w:rsidRPr="00C016DD">
        <w:rPr>
          <w:rFonts w:ascii="Arial" w:hAnsi="Arial" w:cs="Arial"/>
          <w:b/>
          <w:bCs/>
          <w:sz w:val="20"/>
          <w:szCs w:val="20"/>
        </w:rPr>
        <w:t xml:space="preserve">Figure </w:t>
      </w:r>
      <w:r w:rsidR="00892036">
        <w:rPr>
          <w:rFonts w:ascii="Arial" w:hAnsi="Arial" w:cs="Arial"/>
          <w:b/>
          <w:bCs/>
          <w:sz w:val="20"/>
          <w:szCs w:val="20"/>
        </w:rPr>
        <w:t>5</w:t>
      </w:r>
      <w:r w:rsidRPr="00C016DD">
        <w:rPr>
          <w:rFonts w:ascii="Arial" w:hAnsi="Arial" w:cs="Arial"/>
          <w:b/>
          <w:bCs/>
          <w:sz w:val="20"/>
          <w:szCs w:val="20"/>
        </w:rPr>
        <w:t>A</w:t>
      </w:r>
      <w:r w:rsidRPr="00C016DD">
        <w:rPr>
          <w:rFonts w:ascii="Arial" w:hAnsi="Arial" w:cs="Arial"/>
          <w:sz w:val="20"/>
          <w:szCs w:val="20"/>
        </w:rPr>
        <w:t>, the use of rivaroxaban is currently contraindicated with strong CYP3A4 and P-gp inhibitors such as ketoconazole and ritonavir, where concomitant administration has been shown to yield 2.58-fold and 2.53-fold increases in AUC over that observed in healthy controls.</w:t>
      </w:r>
      <w:r w:rsidRPr="00C016DD">
        <w:rPr>
          <w:rFonts w:ascii="Arial" w:hAnsi="Arial" w:cs="Arial"/>
          <w:sz w:val="20"/>
          <w:szCs w:val="20"/>
        </w:rPr>
        <w:fldChar w:fldCharType="begin" w:fldLock="1"/>
      </w:r>
      <w:r w:rsidR="00516D49">
        <w:rPr>
          <w:rFonts w:ascii="Arial" w:hAnsi="Arial" w:cs="Arial"/>
          <w:sz w:val="20"/>
          <w:szCs w:val="20"/>
        </w:rPr>
        <w:instrText>ADDIN CSL_CITATION {"citationItems":[{"id":"ITEM-1","itemData":{"DOI":"10.1111/bcp.12075","ISSN":"1365-2125","PMID":"23305158","abstract":"AIMS The anticoagulant rivaroxaban is an oral, direct Factor Xa inhibitor for the management of thromboembolic disorders. Metabolism and excretion involve cytochrome P450 3A4 (CYP3A4) and 2J2 (CYP2J2), CYP-independent mechanisms, and P-glycoprotein (P-gp) and breast cancer resistance protein (Bcrp) (ABCG2). METHODS The pharmacokinetic effects of substrates or inhibitors of CYP3A4, P-gp and Bcrp (ABCG2) on rivaroxaban were studied in healthy volunteers. RESULTS Rivaroxaban did not interact with midazolam (CYP3A4 probe substrate). Exposure to rivaroxaban when co-administered with midazolam was slightly decreased by 11% (95% confidence interval [CI] -28%, 7%) compared with rivaroxaban alone. The following drugs moderately affected rivaroxaban exposure, but not to a clinically relevant extent: erythromycin (moderate CYP3A4/P-gp inhibitor; 34% increase [95% CI 23%, 46%]), clarithromycin (strong CYP3A4/moderate P-gp inhibitor; 54% increase [95% CI 44%, 64%]) and fluconazole (moderate CYP3A4, possible Bcrp [ABCG2] inhibitor; 42% increase [95% CI 29%, 56%]). A significant increase in rivaroxaban exposure was demonstrated with the strong CYP3A4, P-gp/Bcrp (ABCG2) inhibitors (and potential CYP2J2 inhibitors) ketoconazole (158% increase [95% CI 136%, 182%] for a 400 mg once daily dose) and ritonavir (153% increase [95% CI 134%, 174%]). CONCLUSIONS Results suggest that rivaroxaban may be co-administered with CYP3A4 and/or P-gp substrates/moderate inhibitors, but not with strong combined CYP3A4, P-gp and Bcrp (ABCG2) inhibitors (mainly comprising azole-antimycotics, apart from fluconazole, and HIV protease inhibitors), which are multi-pathway inhibitors of rivaroxaban clearance and elimination.","author":[{"dropping-particle":"","family":"Mueck","given":"Wolfgang","non-dropping-particle":"","parse-names":false,"suffix":""},{"dropping-particle":"","family":"Kubitza","given":"Dagmar","non-dropping-particle":"","parse-names":false,"suffix":""},{"dropping-particle":"","family":"Becka","given":"Michael","non-dropping-particle":"","parse-names":false,"suffix":""}],"container-title":"British journal of clinical pharmacology","id":"ITEM-1","issue":"3","issued":{"date-parts":[["2013","9"]]},"page":"455-466","title":"Co-administration of rivaroxaban with drugs that share its elimination pathways: pharmacokinetic effects in healthy subjects.","type":"article-journal","volume":"76"},"uris":["http://www.mendeley.com/documents/?uuid=f3dde3be-e4fc-3a61-909f-a12c00e36b9e"]}],"mendeley":{"formattedCitation":"&lt;sup&gt;44&lt;/sup&gt;","plainTextFormattedCitation":"44","previouslyFormattedCitation":"&lt;sup&gt;44&lt;/sup&gt;"},"properties":{"noteIndex":0},"schema":"https://github.com/citation-style-language/schema/raw/master/csl-citation.json"}</w:instrText>
      </w:r>
      <w:r w:rsidRPr="00C016DD">
        <w:rPr>
          <w:rFonts w:ascii="Arial" w:hAnsi="Arial" w:cs="Arial"/>
          <w:sz w:val="20"/>
          <w:szCs w:val="20"/>
        </w:rPr>
        <w:fldChar w:fldCharType="separate"/>
      </w:r>
      <w:r w:rsidR="006C6945" w:rsidRPr="006C6945">
        <w:rPr>
          <w:rFonts w:ascii="Arial" w:hAnsi="Arial" w:cs="Arial"/>
          <w:noProof/>
          <w:sz w:val="20"/>
          <w:szCs w:val="20"/>
          <w:vertAlign w:val="superscript"/>
        </w:rPr>
        <w:t>44</w:t>
      </w:r>
      <w:r w:rsidRPr="00C016DD">
        <w:rPr>
          <w:rFonts w:ascii="Arial" w:hAnsi="Arial" w:cs="Arial"/>
          <w:sz w:val="20"/>
          <w:szCs w:val="20"/>
        </w:rPr>
        <w:fldChar w:fldCharType="end"/>
      </w:r>
      <w:r w:rsidRPr="00C016DD">
        <w:rPr>
          <w:rFonts w:ascii="Arial" w:hAnsi="Arial" w:cs="Arial"/>
          <w:sz w:val="20"/>
          <w:szCs w:val="20"/>
        </w:rPr>
        <w:t xml:space="preserve"> Conversely, the blue dotted line demarcates a reported AUC fold change of 1.52 in patients with moderate renal impairment (GFR = 30 - 49 mL/min), where a dose reduction of rivaroxaban from 20 mg to 15 mg once daily is currently recommended.</w:t>
      </w:r>
    </w:p>
    <w:p w14:paraId="2F9E6587" w14:textId="77777777" w:rsidR="00AD03BD" w:rsidRDefault="00AD03BD" w:rsidP="00062B7A">
      <w:pPr>
        <w:spacing w:after="0" w:line="480" w:lineRule="auto"/>
        <w:jc w:val="both"/>
        <w:rPr>
          <w:rFonts w:ascii="Arial" w:hAnsi="Arial" w:cs="Arial"/>
          <w:sz w:val="20"/>
          <w:szCs w:val="20"/>
        </w:rPr>
      </w:pPr>
    </w:p>
    <w:p w14:paraId="0CF669B0" w14:textId="536C969B" w:rsidR="00A563E5" w:rsidRPr="00C016DD" w:rsidRDefault="00A563E5" w:rsidP="00062B7A">
      <w:pPr>
        <w:spacing w:after="0" w:line="480" w:lineRule="auto"/>
        <w:jc w:val="both"/>
        <w:rPr>
          <w:rFonts w:ascii="Arial" w:hAnsi="Arial" w:cs="Arial"/>
          <w:sz w:val="20"/>
          <w:szCs w:val="20"/>
        </w:rPr>
      </w:pPr>
      <w:r w:rsidRPr="00C016DD">
        <w:rPr>
          <w:rFonts w:ascii="Arial" w:hAnsi="Arial" w:cs="Arial"/>
          <w:sz w:val="20"/>
          <w:szCs w:val="20"/>
        </w:rPr>
        <w:t xml:space="preserve">From our simulations, we demonstrated how co-administration of 20 mg rivaroxaban (Day 8) with erlotinib 150 mg OD (Days 1-8, based on the trial design defined by </w:t>
      </w:r>
      <w:proofErr w:type="spellStart"/>
      <w:r w:rsidRPr="00C016DD">
        <w:rPr>
          <w:rFonts w:ascii="Arial" w:hAnsi="Arial" w:cs="Arial"/>
          <w:sz w:val="20"/>
          <w:szCs w:val="20"/>
        </w:rPr>
        <w:t>Togahsi</w:t>
      </w:r>
      <w:proofErr w:type="spellEnd"/>
      <w:r w:rsidRPr="00C016DD">
        <w:rPr>
          <w:rFonts w:ascii="Arial" w:hAnsi="Arial" w:cs="Arial"/>
          <w:sz w:val="20"/>
          <w:szCs w:val="20"/>
        </w:rPr>
        <w:t xml:space="preserve"> </w:t>
      </w:r>
      <w:r w:rsidRPr="00C016DD">
        <w:rPr>
          <w:rFonts w:ascii="Arial" w:hAnsi="Arial" w:cs="Arial"/>
          <w:i/>
          <w:iCs/>
          <w:sz w:val="20"/>
          <w:szCs w:val="20"/>
        </w:rPr>
        <w:t>et al.</w:t>
      </w:r>
      <w:r w:rsidRPr="00C016DD">
        <w:rPr>
          <w:rFonts w:ascii="Arial" w:hAnsi="Arial" w:cs="Arial"/>
          <w:i/>
          <w:iCs/>
          <w:sz w:val="20"/>
          <w:szCs w:val="20"/>
        </w:rPr>
        <w:fldChar w:fldCharType="begin" w:fldLock="1"/>
      </w:r>
      <w:r w:rsidR="006C6945">
        <w:rPr>
          <w:rFonts w:ascii="Arial" w:hAnsi="Arial" w:cs="Arial"/>
          <w:i/>
          <w:iCs/>
          <w:sz w:val="20"/>
          <w:szCs w:val="20"/>
        </w:rPr>
        <w:instrText>ADDIN CSL_CITATION {"citationItems":[{"id":"ITEM-1","itemData":{"DOI":"10.1097/JTO.0b013e3181d32287","ISSN":"15561380","abstract":"Introduction: Although erlotinib, an orally active and selective tyrosine kinase inhibitor of epidermal growth factor receptor, is mainly metabolized in the liver, its effectiveness and safety for patients with chronic renal failure (CRF) undergoing hemodialysis (HD) has not been reported. Thus, we investigated the pharmacokinetics (PK) of erlotinib and its active metabolite OSI-420 in such patients with nonsmall cell lung cancer (NSCLC). Method: We administered 150 mg erlotinib daily to three patients with NSCLC and CRF undergoing HD (HD group) and five patients with NSCLC and normal organ function (control group) and analyzed the PK of erlotinib and OSI-420. In the HD group, PK analyses were performed on day 1 (off HD), day 8 (off HD), and day 9 (on HD) after starting administration of erlotinib, and in the control group, they were performed on day 1 and day 8. Results: In the HD group, there were little differences in the PK data between day 8 and day 9. The PK data on day 1 and day 8 of the HD group were also similar to those of the control group. There were no serious adverse events in any cases, and one of the HD patients achieved partial response. Conclusion: Erlotinib was hardly affected by renal function and HD, which confirms the effectiveness and safety of erlotinib treatment in patients with NSCLC and CRF undergoing HD. Erlotinib can become one treatment option for such patients. © 2010 by the International Association for the study of lung cancer.","author":[{"dropping-particle":"","family":"Togashi","given":"Yosuke","non-dropping-particle":"","parse-names":false,"suffix":""},{"dropping-particle":"","family":"Masago","given":"Katsuhiro","non-dropping-particle":"","parse-names":false,"suffix":""},{"dropping-particle":"","family":"Fukudo","given":"Masahide","non-dropping-particle":"","parse-names":false,"suffix":""},{"dropping-particle":"","family":"Terada","given":"Tomohiro","non-dropping-particle":"","parse-names":false,"suffix":""},{"dropping-particle":"","family":"Ikemi","given":"Yasuaki","non-dropping-particle":"","parse-names":false,"suffix":""},{"dropping-particle":"","family":"Kim","given":"Young Hak","non-dropping-particle":"","parse-names":false,"suffix":""},{"dropping-particle":"","family":"Fujita","given":"Shiro","non-dropping-particle":"","parse-names":false,"suffix":""},{"dropping-particle":"","family":"Irisa","given":"Kaoru","non-dropping-particle":"","parse-names":false,"suffix":""},{"dropping-particle":"","family":"Sakamori","given":"Yuichi","non-dropping-particle":"","parse-names":false,"suffix":""},{"dropping-particle":"","family":"Mio","given":"Tadashi","non-dropping-particle":"","parse-names":false,"suffix":""},{"dropping-particle":"","family":"Inui","given":"Ken Ichi","non-dropping-particle":"","parse-names":false,"suffix":""},{"dropping-particle":"","family":"Mishima","given":"Michiaki","non-dropping-particle":"","parse-names":false,"suffix":""}],"container-title":"Journal of Thoracic Oncology","id":"ITEM-1","issue":"5","issued":{"date-parts":[["2010","5","1"]]},"page":"601-605","publisher":"Lippincott Williams and Wilkins","title":"Pharmacokinetics of erlotinib and its active metabolite OSI-420 in patients with non-small cell lung cancer and chronic renal failure who are undergoing hemodialysis","type":"article-journal","volume":"5"},"uris":["http://www.mendeley.com/documents/?uuid=ab883b8b-d540-3fca-945f-bb74a465441a"]}],"mendeley":{"formattedCitation":"&lt;sup&gt;37&lt;/sup&gt;","plainTextFormattedCitation":"37","previouslyFormattedCitation":"&lt;sup&gt;37&lt;/sup&gt;"},"properties":{"noteIndex":0},"schema":"https://github.com/citation-style-language/schema/raw/master/csl-citation.json"}</w:instrText>
      </w:r>
      <w:r w:rsidRPr="00C016DD">
        <w:rPr>
          <w:rFonts w:ascii="Arial" w:hAnsi="Arial" w:cs="Arial"/>
          <w:i/>
          <w:iCs/>
          <w:sz w:val="20"/>
          <w:szCs w:val="20"/>
        </w:rPr>
        <w:fldChar w:fldCharType="separate"/>
      </w:r>
      <w:r w:rsidR="004948F9" w:rsidRPr="004948F9">
        <w:rPr>
          <w:rFonts w:ascii="Arial" w:hAnsi="Arial" w:cs="Arial"/>
          <w:iCs/>
          <w:noProof/>
          <w:sz w:val="20"/>
          <w:szCs w:val="20"/>
          <w:vertAlign w:val="superscript"/>
        </w:rPr>
        <w:t>37</w:t>
      </w:r>
      <w:r w:rsidRPr="00C016DD">
        <w:rPr>
          <w:rFonts w:ascii="Arial" w:hAnsi="Arial" w:cs="Arial"/>
          <w:i/>
          <w:iCs/>
          <w:sz w:val="20"/>
          <w:szCs w:val="20"/>
        </w:rPr>
        <w:fldChar w:fldCharType="end"/>
      </w:r>
      <w:r w:rsidRPr="00C016DD">
        <w:rPr>
          <w:rFonts w:ascii="Arial" w:hAnsi="Arial" w:cs="Arial"/>
          <w:sz w:val="20"/>
          <w:szCs w:val="20"/>
        </w:rPr>
        <w:t>) generated geometric mean rivaroxaban AUC fold changes of 1.52 and 1.84 in patients with normal renal function and mild renal impairment, respectively (</w:t>
      </w:r>
      <w:r w:rsidRPr="00C016DD">
        <w:rPr>
          <w:rFonts w:ascii="Arial" w:hAnsi="Arial" w:cs="Arial"/>
          <w:b/>
          <w:bCs/>
          <w:sz w:val="20"/>
          <w:szCs w:val="20"/>
        </w:rPr>
        <w:t xml:space="preserve">Figure </w:t>
      </w:r>
      <w:r w:rsidR="00892036">
        <w:rPr>
          <w:rFonts w:ascii="Arial" w:hAnsi="Arial" w:cs="Arial"/>
          <w:b/>
          <w:bCs/>
          <w:sz w:val="20"/>
          <w:szCs w:val="20"/>
        </w:rPr>
        <w:t>5A</w:t>
      </w:r>
      <w:r w:rsidRPr="00C016DD">
        <w:rPr>
          <w:rFonts w:ascii="Arial" w:hAnsi="Arial" w:cs="Arial"/>
          <w:sz w:val="20"/>
          <w:szCs w:val="20"/>
        </w:rPr>
        <w:t xml:space="preserve">). In the presence of nilotinib as the putative inhibitor (400 mg BID, Days 1-15, based on the trial design defined by Tanaka </w:t>
      </w:r>
      <w:r w:rsidRPr="00C016DD">
        <w:rPr>
          <w:rFonts w:ascii="Arial" w:hAnsi="Arial" w:cs="Arial"/>
          <w:i/>
          <w:iCs/>
          <w:sz w:val="20"/>
          <w:szCs w:val="20"/>
        </w:rPr>
        <w:t>et al.</w:t>
      </w:r>
      <w:r w:rsidRPr="00C016DD">
        <w:rPr>
          <w:rFonts w:ascii="Arial" w:hAnsi="Arial" w:cs="Arial"/>
          <w:i/>
          <w:iCs/>
          <w:sz w:val="20"/>
          <w:szCs w:val="20"/>
        </w:rPr>
        <w:fldChar w:fldCharType="begin" w:fldLock="1"/>
      </w:r>
      <w:r w:rsidR="006C6945">
        <w:rPr>
          <w:rFonts w:ascii="Arial" w:hAnsi="Arial" w:cs="Arial"/>
          <w:i/>
          <w:iCs/>
          <w:sz w:val="20"/>
          <w:szCs w:val="20"/>
        </w:rPr>
        <w:instrText>ADDIN CSL_CITATION {"citationItems":[{"id":"ITEM-1","itemData":{"DOI":"10.1038/clpt.2009.208","ISSN":"0009-9236","abstract":"This article describes studies that investigated the pharmacokinetics of nilotinib, a highly specific, oral, second-generation BCR-ABL tyrosine kinase inhibitor. After a once-or twice-daily regimen at doses ranging from 50 to 1,200mg/day in 119 patients with chronic myeloid leukemia (CML), the area under the serum concentration-time curve (AUC) and peak serum concentration (C max) of nilotinib were found to be nearly dose proportional up to a dose of 400mg once daily. Solubility-limited absorption at higher doses was observed, but this was partially overcome by dividing the daily dose into two. For instance, the administration of 400mg nilotinib twice daily resulted in a 35% increase in AUC as compared to a once-daily dose of 800mg. Exploratory pharmacodynamic assessment showed a general trend of greater reduction in white blood cell (WBC) levels with increase in nilotinib concentrations. This finding was consistent with the observation of an 82% reduction in WBC levels in patients after a regimen of 400mg nilotinib twice daily for 15 days. The type and quantity of food intake variably affected nilotinib absorption. When administered after a high-fat meal, the AUC of nilotinib increased by 50% in CML patients (n = 10) and by 82% in healthy volunteers (n = 44). © 2009 American Society for Clinical Pharmacology and Therapeutics.","author":[{"dropping-particle":"","family":"Tanaka","given":"C","non-dropping-particle":"","parse-names":false,"suffix":""},{"dropping-particle":"","family":"Yin","given":"O Q P","non-dropping-particle":"","parse-names":false,"suffix":""},{"dropping-particle":"","family":"Sethuraman","given":"V","non-dropping-particle":"","parse-names":false,"suffix":""},{"dropping-particle":"","family":"Smith","given":"T","non-dropping-particle":"","parse-names":false,"suffix":""},{"dropping-particle":"","family":"Wang","given":"X","non-dropping-particle":"","parse-names":false,"suffix":""},{"dropping-particle":"","family":"Grouss","given":"K","non-dropping-particle":"","parse-names":false,"suffix":""},{"dropping-particle":"","family":"Kantarjian","given":"H","non-dropping-particle":"","parse-names":false,"suffix":""},{"dropping-particle":"","family":"Giles","given":"F","non-dropping-particle":"","parse-names":false,"suffix":""},{"dropping-particle":"","family":"Ottmann","given":"O G","non-dropping-particle":"","parse-names":false,"suffix":""},{"dropping-particle":"","family":"Galitz","given":"L","non-dropping-particle":"","parse-names":false,"suffix":""},{"dropping-particle":"","family":"Schran","given":"H","non-dropping-particle":"","parse-names":false,"suffix":""}],"container-title":"Clinical Pharmacology &amp; Therapeutics","id":"ITEM-1","issue":"2","issued":{"date-parts":[["2010","2","18"]]},"page":"197-203","publisher":"John Wiley &amp; Sons, Ltd","title":"Clinical Pharmacokinetics of the BCR–ABL Tyrosine Kinase Inhibitor Nilotinib","type":"article-journal","volume":"87"},"uris":["http://www.mendeley.com/documents/?uuid=52a87905-acfc-392c-a30a-e7ed70ac5de9"]}],"mendeley":{"formattedCitation":"&lt;sup&gt;36&lt;/sup&gt;","plainTextFormattedCitation":"36","previouslyFormattedCitation":"&lt;sup&gt;36&lt;/sup&gt;"},"properties":{"noteIndex":0},"schema":"https://github.com/citation-style-language/schema/raw/master/csl-citation.json"}</w:instrText>
      </w:r>
      <w:r w:rsidRPr="00C016DD">
        <w:rPr>
          <w:rFonts w:ascii="Arial" w:hAnsi="Arial" w:cs="Arial"/>
          <w:i/>
          <w:iCs/>
          <w:sz w:val="20"/>
          <w:szCs w:val="20"/>
        </w:rPr>
        <w:fldChar w:fldCharType="separate"/>
      </w:r>
      <w:r w:rsidR="004948F9" w:rsidRPr="004948F9">
        <w:rPr>
          <w:rFonts w:ascii="Arial" w:hAnsi="Arial" w:cs="Arial"/>
          <w:iCs/>
          <w:noProof/>
          <w:sz w:val="20"/>
          <w:szCs w:val="20"/>
          <w:vertAlign w:val="superscript"/>
        </w:rPr>
        <w:t>36</w:t>
      </w:r>
      <w:r w:rsidRPr="00C016DD">
        <w:rPr>
          <w:rFonts w:ascii="Arial" w:hAnsi="Arial" w:cs="Arial"/>
          <w:i/>
          <w:iCs/>
          <w:sz w:val="20"/>
          <w:szCs w:val="20"/>
        </w:rPr>
        <w:fldChar w:fldCharType="end"/>
      </w:r>
      <w:r w:rsidRPr="00C016DD">
        <w:rPr>
          <w:rFonts w:ascii="Arial" w:hAnsi="Arial" w:cs="Arial"/>
          <w:sz w:val="20"/>
          <w:szCs w:val="20"/>
        </w:rPr>
        <w:t>), predicted magnitude of elevations in rivaroxaban exposure (20 mg OD, Day 15) surpassed that observed with erlotinib across the spectrum of renal function (</w:t>
      </w:r>
      <w:r w:rsidRPr="00C016DD">
        <w:rPr>
          <w:rFonts w:ascii="Arial" w:hAnsi="Arial" w:cs="Arial"/>
          <w:b/>
          <w:bCs/>
          <w:sz w:val="20"/>
          <w:szCs w:val="20"/>
        </w:rPr>
        <w:t xml:space="preserve">Figure </w:t>
      </w:r>
      <w:r w:rsidR="00892036">
        <w:rPr>
          <w:rFonts w:ascii="Arial" w:hAnsi="Arial" w:cs="Arial"/>
          <w:b/>
          <w:bCs/>
          <w:sz w:val="20"/>
          <w:szCs w:val="20"/>
        </w:rPr>
        <w:t>5A</w:t>
      </w:r>
      <w:r w:rsidRPr="00C016DD">
        <w:rPr>
          <w:rFonts w:ascii="Arial" w:hAnsi="Arial" w:cs="Arial"/>
          <w:sz w:val="20"/>
          <w:szCs w:val="20"/>
        </w:rPr>
        <w:t>). This was expected considering the added dimension of OAT3 inhibition by nilotinib, culminating in simultaneous impairment of both hepatic and renal clearance pathways governing rivaroxaban’s elimination.</w:t>
      </w:r>
    </w:p>
    <w:p w14:paraId="644131AB" w14:textId="77777777" w:rsidR="00A563E5" w:rsidRPr="00C016DD" w:rsidRDefault="00A563E5" w:rsidP="00062B7A">
      <w:pPr>
        <w:spacing w:after="0" w:line="480" w:lineRule="auto"/>
        <w:jc w:val="both"/>
        <w:rPr>
          <w:rFonts w:ascii="Arial" w:hAnsi="Arial" w:cs="Arial"/>
          <w:sz w:val="20"/>
          <w:szCs w:val="20"/>
        </w:rPr>
      </w:pPr>
    </w:p>
    <w:p w14:paraId="341B57D2" w14:textId="1EA46168" w:rsidR="00A563E5" w:rsidRPr="00C016DD" w:rsidRDefault="00A563E5" w:rsidP="00062B7A">
      <w:pPr>
        <w:spacing w:after="0" w:line="480" w:lineRule="auto"/>
        <w:jc w:val="both"/>
        <w:rPr>
          <w:rFonts w:ascii="Arial" w:hAnsi="Arial" w:cs="Arial"/>
          <w:sz w:val="20"/>
          <w:szCs w:val="20"/>
        </w:rPr>
      </w:pPr>
      <w:r w:rsidRPr="00C016DD">
        <w:rPr>
          <w:rFonts w:ascii="Arial" w:hAnsi="Arial" w:cs="Arial"/>
          <w:sz w:val="20"/>
          <w:szCs w:val="20"/>
        </w:rPr>
        <w:lastRenderedPageBreak/>
        <w:t>Corresponding major bleeding risks were calculated to be 5.07% and 6.02% in the presence of erlotinib, as well as 5.83% and 6.81% with nilotinib co-administration, in normal renal function and mild renal impairment respectively (</w:t>
      </w:r>
      <w:r w:rsidRPr="00C016DD">
        <w:rPr>
          <w:rFonts w:ascii="Arial" w:hAnsi="Arial" w:cs="Arial"/>
          <w:b/>
          <w:bCs/>
          <w:sz w:val="20"/>
          <w:szCs w:val="20"/>
        </w:rPr>
        <w:t xml:space="preserve">Figure </w:t>
      </w:r>
      <w:r w:rsidR="00892036">
        <w:rPr>
          <w:rFonts w:ascii="Arial" w:hAnsi="Arial" w:cs="Arial"/>
          <w:b/>
          <w:bCs/>
          <w:sz w:val="20"/>
          <w:szCs w:val="20"/>
        </w:rPr>
        <w:t>5</w:t>
      </w:r>
      <w:r w:rsidRPr="00C016DD">
        <w:rPr>
          <w:rFonts w:ascii="Arial" w:hAnsi="Arial" w:cs="Arial"/>
          <w:b/>
          <w:bCs/>
          <w:sz w:val="20"/>
          <w:szCs w:val="20"/>
        </w:rPr>
        <w:t>B</w:t>
      </w:r>
      <w:r w:rsidRPr="00C016DD">
        <w:rPr>
          <w:rFonts w:ascii="Arial" w:hAnsi="Arial" w:cs="Arial"/>
          <w:sz w:val="20"/>
          <w:szCs w:val="20"/>
        </w:rPr>
        <w:t xml:space="preserve">), exceeding the defined threshold of 4.5% (red solid line) reflecting the risk of major bleeding associated with concomitant rivaroxaban and ketoconazole therapy. </w:t>
      </w:r>
    </w:p>
    <w:p w14:paraId="1804DFF2" w14:textId="77777777" w:rsidR="00A563E5" w:rsidRPr="00C016DD" w:rsidRDefault="00A563E5" w:rsidP="00062B7A">
      <w:pPr>
        <w:spacing w:after="0" w:line="480" w:lineRule="auto"/>
        <w:jc w:val="both"/>
        <w:rPr>
          <w:rFonts w:ascii="Arial" w:hAnsi="Arial" w:cs="Arial"/>
          <w:sz w:val="20"/>
          <w:szCs w:val="20"/>
        </w:rPr>
      </w:pPr>
    </w:p>
    <w:p w14:paraId="0E0FF36D" w14:textId="06ABED49" w:rsidR="00A563E5" w:rsidRPr="00C016DD" w:rsidRDefault="00A563E5" w:rsidP="00062B7A">
      <w:pPr>
        <w:spacing w:after="0" w:line="480" w:lineRule="auto"/>
        <w:jc w:val="both"/>
        <w:rPr>
          <w:rFonts w:ascii="Arial" w:hAnsi="Arial" w:cs="Arial"/>
          <w:sz w:val="20"/>
          <w:szCs w:val="20"/>
        </w:rPr>
      </w:pPr>
      <w:r w:rsidRPr="00C016DD">
        <w:rPr>
          <w:rFonts w:ascii="Arial" w:hAnsi="Arial" w:cs="Arial"/>
          <w:sz w:val="20"/>
          <w:szCs w:val="20"/>
        </w:rPr>
        <w:t>Collectively, there is a clear consensus that dose adjustments are warranted. Using our verified PBPK model and considering the linear PK of rivaroxaban under fed conditions in doses up to 20 mg, we demonstrated how decreasing the dose of rivaroxaban to 15 mg in normal renal function and 10 mg in mild renal impairment would sufficiently reduce major bleeding risks to below 4.5% (</w:t>
      </w:r>
      <w:r w:rsidRPr="00C016DD">
        <w:rPr>
          <w:rFonts w:ascii="Arial" w:hAnsi="Arial" w:cs="Arial"/>
          <w:b/>
          <w:bCs/>
          <w:sz w:val="20"/>
          <w:szCs w:val="20"/>
        </w:rPr>
        <w:t xml:space="preserve">Figure </w:t>
      </w:r>
      <w:r w:rsidR="00892036">
        <w:rPr>
          <w:rFonts w:ascii="Arial" w:hAnsi="Arial" w:cs="Arial"/>
          <w:b/>
          <w:bCs/>
          <w:sz w:val="20"/>
          <w:szCs w:val="20"/>
        </w:rPr>
        <w:t>5</w:t>
      </w:r>
      <w:r w:rsidRPr="00C016DD">
        <w:rPr>
          <w:rFonts w:ascii="Arial" w:hAnsi="Arial" w:cs="Arial"/>
          <w:b/>
          <w:bCs/>
          <w:sz w:val="20"/>
          <w:szCs w:val="20"/>
        </w:rPr>
        <w:t>B</w:t>
      </w:r>
      <w:r w:rsidRPr="00C016DD">
        <w:rPr>
          <w:rFonts w:ascii="Arial" w:hAnsi="Arial" w:cs="Arial"/>
          <w:sz w:val="20"/>
          <w:szCs w:val="20"/>
        </w:rPr>
        <w:t xml:space="preserve"> and </w:t>
      </w:r>
      <w:r w:rsidR="00892036">
        <w:rPr>
          <w:rFonts w:ascii="Arial" w:hAnsi="Arial" w:cs="Arial"/>
          <w:b/>
          <w:bCs/>
          <w:sz w:val="20"/>
          <w:szCs w:val="20"/>
        </w:rPr>
        <w:t>5</w:t>
      </w:r>
      <w:r w:rsidRPr="00C016DD">
        <w:rPr>
          <w:rFonts w:ascii="Arial" w:hAnsi="Arial" w:cs="Arial"/>
          <w:b/>
          <w:bCs/>
          <w:sz w:val="20"/>
          <w:szCs w:val="20"/>
        </w:rPr>
        <w:t>C</w:t>
      </w:r>
      <w:r w:rsidRPr="00C016DD">
        <w:rPr>
          <w:rFonts w:ascii="Arial" w:hAnsi="Arial" w:cs="Arial"/>
          <w:sz w:val="20"/>
          <w:szCs w:val="20"/>
        </w:rPr>
        <w:t xml:space="preserve">). Simulated AUC fold changes also fell within the predefined dose-exposure equivalence range of 0.70-1.43 (grey zone in </w:t>
      </w:r>
      <w:r w:rsidRPr="00C016DD">
        <w:rPr>
          <w:rFonts w:ascii="Arial" w:hAnsi="Arial" w:cs="Arial"/>
          <w:b/>
          <w:bCs/>
          <w:sz w:val="20"/>
          <w:szCs w:val="20"/>
        </w:rPr>
        <w:t xml:space="preserve">Figure </w:t>
      </w:r>
      <w:r w:rsidR="00892036">
        <w:rPr>
          <w:rFonts w:ascii="Arial" w:hAnsi="Arial" w:cs="Arial"/>
          <w:b/>
          <w:bCs/>
          <w:sz w:val="20"/>
          <w:szCs w:val="20"/>
        </w:rPr>
        <w:t>5</w:t>
      </w:r>
      <w:r w:rsidRPr="00C016DD">
        <w:rPr>
          <w:rFonts w:ascii="Arial" w:hAnsi="Arial" w:cs="Arial"/>
          <w:b/>
          <w:bCs/>
          <w:sz w:val="20"/>
          <w:szCs w:val="20"/>
        </w:rPr>
        <w:t>A</w:t>
      </w:r>
      <w:r w:rsidRPr="00C016DD">
        <w:rPr>
          <w:rFonts w:ascii="Arial" w:hAnsi="Arial" w:cs="Arial"/>
          <w:sz w:val="20"/>
          <w:szCs w:val="20"/>
        </w:rPr>
        <w:t>), plausibly preserving the anticoagulant efficacy of rivaroxaban while minimizing hematologic toxicities.</w:t>
      </w:r>
    </w:p>
    <w:p w14:paraId="14FA4C08" w14:textId="77777777" w:rsidR="00A563E5" w:rsidRPr="00C016DD" w:rsidRDefault="00A563E5" w:rsidP="00062B7A">
      <w:pPr>
        <w:spacing w:after="0" w:line="480" w:lineRule="auto"/>
        <w:jc w:val="both"/>
        <w:rPr>
          <w:rFonts w:ascii="Arial" w:hAnsi="Arial" w:cs="Arial"/>
          <w:sz w:val="20"/>
          <w:szCs w:val="20"/>
        </w:rPr>
      </w:pPr>
    </w:p>
    <w:p w14:paraId="6143818E" w14:textId="77777777" w:rsidR="00A563E5" w:rsidRPr="00C016DD" w:rsidRDefault="00A563E5" w:rsidP="00062B7A">
      <w:pPr>
        <w:spacing w:after="0" w:line="480" w:lineRule="auto"/>
        <w:jc w:val="both"/>
        <w:rPr>
          <w:rFonts w:ascii="Arial" w:hAnsi="Arial" w:cs="Arial"/>
          <w:sz w:val="20"/>
          <w:szCs w:val="20"/>
        </w:rPr>
      </w:pPr>
    </w:p>
    <w:p w14:paraId="75CE1CB1" w14:textId="77777777" w:rsidR="00A563E5" w:rsidRPr="00C016DD" w:rsidRDefault="00A563E5" w:rsidP="00062B7A">
      <w:pPr>
        <w:spacing w:after="0" w:line="480" w:lineRule="auto"/>
        <w:rPr>
          <w:rFonts w:ascii="Arial" w:hAnsi="Arial" w:cs="Arial"/>
          <w:sz w:val="20"/>
          <w:szCs w:val="20"/>
        </w:rPr>
      </w:pPr>
    </w:p>
    <w:p w14:paraId="7F2FB905" w14:textId="77777777" w:rsidR="00A563E5" w:rsidRPr="00C016DD" w:rsidRDefault="00A563E5" w:rsidP="00062B7A">
      <w:pPr>
        <w:spacing w:after="0" w:line="480" w:lineRule="auto"/>
        <w:jc w:val="center"/>
        <w:rPr>
          <w:rFonts w:ascii="Arial" w:hAnsi="Arial" w:cs="Arial"/>
          <w:sz w:val="20"/>
          <w:szCs w:val="20"/>
        </w:rPr>
      </w:pPr>
    </w:p>
    <w:p w14:paraId="64D9E56F" w14:textId="77777777" w:rsidR="00A563E5" w:rsidRPr="00C016DD" w:rsidRDefault="00A563E5" w:rsidP="00062B7A">
      <w:pPr>
        <w:keepNext/>
        <w:spacing w:after="0" w:line="480" w:lineRule="auto"/>
        <w:rPr>
          <w:rFonts w:ascii="Arial" w:hAnsi="Arial" w:cs="Arial"/>
          <w:sz w:val="20"/>
          <w:szCs w:val="20"/>
        </w:rPr>
      </w:pPr>
    </w:p>
    <w:p w14:paraId="1643AD77" w14:textId="77777777" w:rsidR="00A563E5" w:rsidRPr="00C016DD" w:rsidRDefault="00A563E5" w:rsidP="00062B7A">
      <w:pPr>
        <w:pStyle w:val="Caption"/>
        <w:spacing w:after="0" w:line="480" w:lineRule="auto"/>
        <w:rPr>
          <w:rFonts w:ascii="Arial" w:hAnsi="Arial" w:cs="Arial"/>
          <w:b/>
          <w:bCs w:val="0"/>
        </w:rPr>
      </w:pPr>
    </w:p>
    <w:p w14:paraId="3D62756A" w14:textId="77777777" w:rsidR="00A563E5" w:rsidRPr="000C1087" w:rsidRDefault="00A563E5" w:rsidP="00062B7A">
      <w:pPr>
        <w:pStyle w:val="Caption"/>
        <w:spacing w:after="0" w:line="480" w:lineRule="auto"/>
        <w:rPr>
          <w:rFonts w:ascii="Arial" w:hAnsi="Arial" w:cs="Arial"/>
          <w:b/>
          <w:bCs w:val="0"/>
        </w:rPr>
      </w:pPr>
    </w:p>
    <w:p w14:paraId="053F2C6B" w14:textId="77777777" w:rsidR="00A563E5" w:rsidRPr="000C1087" w:rsidRDefault="00A563E5" w:rsidP="00062B7A">
      <w:pPr>
        <w:pStyle w:val="Caption"/>
        <w:spacing w:after="0" w:line="480" w:lineRule="auto"/>
        <w:rPr>
          <w:rFonts w:ascii="Arial" w:hAnsi="Arial" w:cs="Arial"/>
          <w:b/>
          <w:bCs w:val="0"/>
        </w:rPr>
      </w:pPr>
    </w:p>
    <w:p w14:paraId="6397AE3B" w14:textId="77777777" w:rsidR="00A563E5" w:rsidRPr="000C1087" w:rsidRDefault="00A563E5" w:rsidP="00062B7A">
      <w:pPr>
        <w:pStyle w:val="Caption"/>
        <w:spacing w:after="0" w:line="480" w:lineRule="auto"/>
        <w:rPr>
          <w:rFonts w:ascii="Arial" w:hAnsi="Arial" w:cs="Arial"/>
          <w:b/>
          <w:bCs w:val="0"/>
        </w:rPr>
      </w:pPr>
    </w:p>
    <w:p w14:paraId="4D03F176" w14:textId="77777777" w:rsidR="00A563E5" w:rsidRPr="000C1087" w:rsidRDefault="00A563E5" w:rsidP="00062B7A">
      <w:pPr>
        <w:pStyle w:val="Caption"/>
        <w:spacing w:after="0" w:line="480" w:lineRule="auto"/>
        <w:rPr>
          <w:rFonts w:ascii="Arial" w:hAnsi="Arial" w:cs="Arial"/>
          <w:b/>
          <w:bCs w:val="0"/>
        </w:rPr>
      </w:pPr>
    </w:p>
    <w:p w14:paraId="77501F45" w14:textId="77777777" w:rsidR="00A563E5" w:rsidRPr="000C1087" w:rsidRDefault="00A563E5" w:rsidP="00062B7A">
      <w:pPr>
        <w:spacing w:after="0" w:line="480" w:lineRule="auto"/>
        <w:jc w:val="both"/>
        <w:rPr>
          <w:rFonts w:ascii="Arial" w:hAnsi="Arial" w:cs="Arial"/>
          <w:bCs/>
          <w:sz w:val="20"/>
          <w:szCs w:val="20"/>
        </w:rPr>
      </w:pPr>
    </w:p>
    <w:p w14:paraId="43728C7D" w14:textId="77777777" w:rsidR="00DC1BE7" w:rsidRPr="000C1087" w:rsidRDefault="00DC1BE7" w:rsidP="00062B7A">
      <w:pPr>
        <w:spacing w:after="0" w:line="480" w:lineRule="auto"/>
        <w:rPr>
          <w:rFonts w:ascii="Arial" w:eastAsia="Times New Roman" w:hAnsi="Arial" w:cs="Arial"/>
          <w:color w:val="000000"/>
          <w:sz w:val="20"/>
          <w:szCs w:val="20"/>
        </w:rPr>
      </w:pPr>
    </w:p>
    <w:p w14:paraId="4B9EE748" w14:textId="77777777" w:rsidR="00BE1115" w:rsidRPr="000C1087" w:rsidRDefault="00BE1115" w:rsidP="00062B7A">
      <w:pPr>
        <w:spacing w:after="0" w:line="480" w:lineRule="auto"/>
        <w:jc w:val="both"/>
        <w:rPr>
          <w:rFonts w:ascii="Arial" w:hAnsi="Arial" w:cs="Arial"/>
          <w:sz w:val="20"/>
          <w:szCs w:val="20"/>
        </w:rPr>
      </w:pPr>
    </w:p>
    <w:bookmarkEnd w:id="4"/>
    <w:bookmarkEnd w:id="5"/>
    <w:p w14:paraId="5F5DE107" w14:textId="48102C0C" w:rsidR="00F65832" w:rsidRDefault="00F65832" w:rsidP="00062B7A">
      <w:pPr>
        <w:spacing w:after="0" w:line="480" w:lineRule="auto"/>
        <w:rPr>
          <w:rFonts w:ascii="Arial" w:hAnsi="Arial" w:cs="Arial"/>
          <w:b/>
          <w:sz w:val="20"/>
          <w:szCs w:val="20"/>
        </w:rPr>
      </w:pPr>
      <w:r w:rsidRPr="000C1087">
        <w:rPr>
          <w:rFonts w:ascii="Arial" w:hAnsi="Arial" w:cs="Arial"/>
          <w:sz w:val="20"/>
          <w:szCs w:val="20"/>
        </w:rPr>
        <w:br w:type="page"/>
      </w:r>
      <w:r w:rsidRPr="000C1087">
        <w:rPr>
          <w:rFonts w:ascii="Arial" w:hAnsi="Arial" w:cs="Arial"/>
          <w:b/>
          <w:sz w:val="20"/>
          <w:szCs w:val="20"/>
        </w:rPr>
        <w:lastRenderedPageBreak/>
        <w:t>Discussion</w:t>
      </w:r>
    </w:p>
    <w:p w14:paraId="39028F72" w14:textId="240C56D0" w:rsidR="00AF52CC" w:rsidRPr="00AF52CC" w:rsidRDefault="0087787B" w:rsidP="00062B7A">
      <w:pPr>
        <w:spacing w:after="0" w:line="480" w:lineRule="auto"/>
        <w:jc w:val="both"/>
        <w:rPr>
          <w:rFonts w:ascii="Arial" w:eastAsia="SimSun" w:hAnsi="Arial" w:cs="Arial"/>
          <w:sz w:val="20"/>
          <w:szCs w:val="20"/>
          <w:lang w:eastAsia="en-US"/>
        </w:rPr>
      </w:pPr>
      <w:r>
        <w:rPr>
          <w:rFonts w:ascii="Arial" w:eastAsia="SimSun" w:hAnsi="Arial" w:cs="Arial"/>
          <w:sz w:val="20"/>
          <w:szCs w:val="20"/>
          <w:lang w:eastAsia="en-US"/>
        </w:rPr>
        <w:t>T</w:t>
      </w:r>
      <w:r w:rsidR="00AF52CC" w:rsidRPr="00AF52CC">
        <w:rPr>
          <w:rFonts w:ascii="Arial" w:eastAsia="SimSun" w:hAnsi="Arial" w:cs="Arial"/>
          <w:sz w:val="20"/>
          <w:szCs w:val="20"/>
          <w:lang w:eastAsia="en-US"/>
        </w:rPr>
        <w:t xml:space="preserve">he higher probability of hematologic toxicities observed with rivaroxaban in comparison to </w:t>
      </w:r>
      <w:r w:rsidR="00171268" w:rsidRPr="00171268">
        <w:rPr>
          <w:rFonts w:ascii="Arial" w:eastAsia="SimSun" w:hAnsi="Arial" w:cs="Arial"/>
          <w:sz w:val="20"/>
          <w:szCs w:val="20"/>
          <w:lang w:eastAsia="en-US"/>
        </w:rPr>
        <w:t xml:space="preserve">low </w:t>
      </w:r>
      <w:r w:rsidR="00171268">
        <w:rPr>
          <w:rFonts w:ascii="Arial" w:eastAsia="SimSun" w:hAnsi="Arial" w:cs="Arial"/>
          <w:sz w:val="20"/>
          <w:szCs w:val="20"/>
          <w:lang w:eastAsia="en-US"/>
        </w:rPr>
        <w:t>molecular weight heparins</w:t>
      </w:r>
      <w:r w:rsidR="00AF52CC" w:rsidRPr="00AF52CC">
        <w:rPr>
          <w:rFonts w:ascii="Arial" w:eastAsia="SimSun" w:hAnsi="Arial" w:cs="Arial"/>
          <w:sz w:val="20"/>
          <w:szCs w:val="20"/>
          <w:lang w:eastAsia="en-US"/>
        </w:rPr>
        <w:t xml:space="preserve"> constitutes an important consideration that may diminish the widespread adoption of rivaroxaban in CA-VTE where patients are intrinsically predisposed to increased risk of bleeding.</w:t>
      </w:r>
      <w:r w:rsidR="00AF52CC" w:rsidRPr="00AF52CC">
        <w:rPr>
          <w:rFonts w:ascii="Arial" w:eastAsia="SimSun" w:hAnsi="Arial" w:cs="Arial"/>
          <w:sz w:val="20"/>
          <w:szCs w:val="20"/>
          <w:lang w:eastAsia="en-US"/>
        </w:rPr>
        <w:fldChar w:fldCharType="begin" w:fldLock="1"/>
      </w:r>
      <w:r w:rsidR="00516D49">
        <w:rPr>
          <w:rFonts w:ascii="Arial" w:eastAsia="SimSun" w:hAnsi="Arial" w:cs="Arial"/>
          <w:sz w:val="20"/>
          <w:szCs w:val="20"/>
          <w:lang w:eastAsia="en-US"/>
        </w:rPr>
        <w:instrText>ADDIN CSL_CITATION {"citationItems":[{"id":"ITEM-1","itemData":{"DOI":"10.1200/JCO.2018.78.8034","ISSN":"15277755","abstract":"Purpose Venous thromboembolism (VTE) is common in patients with cancer. Long-term daily subcutaneous low molecular weight heparin has been standard treatment for such patients. The purpose of this study was to assess if an oral factor Xa inhibitor, rivaroxaban, would offer an alternative treatment for VTE in patients with cancer. Patient and Methods In this multicenter, randomized, open-label, pilot trial in the United Kingdom, patients with active cancer who had symptomatic pulmonary embolism (PE), incidental PE, or symptomatic lower-extremity proximal deep vein thrombosis (DVT) were recruited. Allocation was to dalteparin (200 IU/kg daily during month 1, then 150 IU/kg daily for months 2-6) or rivaroxaban (15 mg twice daily for 3 weeks, then 20 mg once daily for a total of 6 months). The primary outcome was VTE recurrence over 6 months. Safety was assessed by major bleeding and clinically relevant nonmajor bleeding (CRNMB). A sample size of 400 patients would provide estimates of VTE recurrence to within 6 4.5%, assuming a VTE recurrence rate at 6 months of 10%. Results A total of 203 patients were randomly assigned to each group, 58% of whom had metastases. Twenty-six patients experienced recurrent VTE (dalteparin, n = 18; rivaroxaban, n = 8). The 6-month cumulative VTE recurrence rate was 11% (95% CI, 7% to 16%) with dalteparin and 4% (95% CI, 2% to 9%) with rivaroxaban (hazard ratio [HR], 0.43; 95% CI, 0.19 to 0.99). The 6-month cumulative rate of major bleeding was 4% (95% CI, 2% to 8%) for dalteparin and 6% (95% CI, 3% to 11%) for rivaroxaban (HR, 1.83; 95% CI, 0.68 to 4.96). Corresponding rates of CRNMB were 4% (95% CI, 2% to 9%) and 13% (95% CI, 9% to 19%), respectively (HR, 3.76; 95% CI, 1.63 to 8.69). Conclusion Rivaroxaban was associated with relatively low VTE recurrence but higher CRNMB compared with dalteparin.","author":[{"dropping-particle":"","family":"Young","given":"Annie M.","non-dropping-particle":"","parse-names":false,"suffix":""},{"dropping-particle":"","family":"Marshall","given":"Andrea","non-dropping-particle":"","parse-names":false,"suffix":""},{"dropping-particle":"","family":"Thirlwall","given":"Jenny","non-dropping-particle":"","parse-names":false,"suffix":""},{"dropping-particle":"","family":"Chapman","given":"Oliver","non-dropping-particle":"","parse-names":false,"suffix":""},{"dropping-particle":"","family":"Lokare","given":"Anand","non-dropping-particle":"","parse-names":false,"suffix":""},{"dropping-particle":"","family":"Hill","given":"Catherine","non-dropping-particle":"","parse-names":false,"suffix":""},{"dropping-particle":"","family":"Hale","given":"Danielle","non-dropping-particle":"","parse-names":false,"suffix":""},{"dropping-particle":"","family":"Dunn","given":"Janet A.","non-dropping-particle":"","parse-names":false,"suffix":""},{"dropping-particle":"","family":"Lyman","given":"Gary H.","non-dropping-particle":"","parse-names":false,"suffix":""},{"dropping-particle":"","family":"Hutchinson","given":"Charles","non-dropping-particle":"","parse-names":false,"suffix":""},{"dropping-particle":"","family":"MacCallum","given":"Peter","non-dropping-particle":"","parse-names":false,"suffix":""},{"dropping-particle":"","family":"Kakkar","given":"Ajay","non-dropping-particle":"","parse-names":false,"suffix":""},{"dropping-particle":"","family":"Richard Hobbs","given":"F. D.","non-dropping-particle":"","parse-names":false,"suffix":""},{"dropping-particle":"","family":"Petrou","given":"Stavros","non-dropping-particle":"","parse-names":false,"suffix":""},{"dropping-particle":"","family":"Dale","given":"Jeremy","non-dropping-particle":"","parse-names":false,"suffix":""},{"dropping-particle":"","family":"Poole","given":"Christopher J.","non-dropping-particle":"","parse-names":false,"suffix":""},{"dropping-particle":"","family":"Maraveyas","given":"Anthony","non-dropping-particle":"","parse-names":false,"suffix":""},{"dropping-particle":"","family":"Levine","given":"Mark","non-dropping-particle":"","parse-names":false,"suffix":""}],"container-title":"Journal of Clinical Oncology","id":"ITEM-1","issue":"20","issued":{"date-parts":[["2018"]]},"page":"2017-2023","title":"Comparison of an oral factor xa inhibitor with low molecular weight heparin in patients with cancer with venous thromboembolism: Results of a randomized trial (SELECT-D)","type":"article-journal","volume":"36"},"uris":["http://www.mendeley.com/documents/?uuid=ae7de387-e49c-4fe3-9369-557afd5e02fd"]},{"id":"ITEM-2","itemData":{"DOI":"10.1002/ajh.25604","abstract":"To provide direct comparison between apixaban and rivaroxaban in patients with acute cancer-associated venous thromboembolism (Ca-VTE), consecutive patients treated with apixaban, rivaroxaban, or enoxaparin at Mayo Thrombophilia Clinic (March 1, 2013 to January 31, 2018)) were followed prospectively. The primary effectiveness outcome was venous thromboembolism (VTE) recurrence, and the secondary was mortality. The primary safety outcome was major bleeding, the secondary clinically relevant safety outcome was non-major bleeding (CRNMB), and the third a composite of major and CRNMB. There were 750 patients treated for acute Ca-VTE with apixaban (n = 224), rivaroxaban (n = 163), and enoxaparin (n = 363) within 14 days of diagnosis and for at least 3 months, or until study event. Recurrent VTE was diagnosed in 11 receiving apixaban, 7 receiving rivaroxaban (apixaban vs rivaroxaban hazard ratio (HR) 1.31, 95% confidence interval (95% CI) 0.51-3.36) and 17 in the enoxaparin receiving group (apixaban vs enoxaparin HR 1.14, 95% CI: 0.54, 2.42 and rivaroxaban vs enoxaparin HR 0.85, 95% Cl: 0.36, 2.06). There were 82 deaths in apixaban, 74 rivaroxaban (apixaban vs rivaroxaban HR 1.67, 95% Cl: 1.20, 2.33) and 171 in enoxaparin group (rivaroxaban vs enoxaparin HR 0.73, 95% Cl: 0.56, 0.96). Major bleeding occurred in 11 apixaban, 12 rivaroxaban (apixaban vs rivaroxaban HR 0.73, 95% Cl: 0.32, 1.66) and 21 enoxaparin group (apixaban vs enoxaparin HR 0.89, 95% Cl: 0.43, 1.84 and rivaroxaban vs enoxaparin HR 1.23, 95% Cl: 0.61, 2.50). The CRNMB rate was higher in rivaroxaban compared to apixaban (P = .03) and LMWH (P = .01) groups. Recurrence of VTE and major bleeding were similar in apixaban, rivaroxaban, and enoxaparin groups. Rivaroxaban was associated with higher CRNMB but lower mortality compared to apixaban and enoxaparin.","author":[{"dropping-particle":"","family":"Wysokinski","given":"Waldemar E","non-dropping-particle":"","parse-names":false,"suffix":""},{"dropping-particle":"","family":"Houghton","given":"Damon E","non-dropping-particle":"","parse-names":false,"suffix":""},{"dropping-particle":"","family":"Casanegra","given":"Ana I","non-dropping-particle":"","parse-names":false,"suffix":""},{"dropping-particle":"","family":"Vlazny","given":"Danielle T","non-dropping-particle":"","parse-names":false,"suffix":""},{"dropping-particle":"","family":"Bott-Kitslaar","given":"Dalene M","non-dropping-particle":"","parse-names":false,"suffix":""},{"dropping-particle":"","family":"Froehling","given":"David A","non-dropping-particle":"","parse-names":false,"suffix":""},{"dropping-particle":"","family":"Hodge","given":"David O","non-dropping-particle":"","parse-names":false,"suffix":""},{"dropping-particle":"","family":"Peterson","given":"Lisa G","non-dropping-particle":"","parse-names":false,"suffix":""},{"dropping-particle":"","family":"Mcbane","given":"Robert D","non-dropping-particle":"","parse-names":false,"suffix":""},{"dropping-particle":"","family":"Waldemar Wysokinski","given":"Correspondence E","non-dropping-particle":"","parse-names":false,"suffix":""}],"id":"ITEM-2","issued":{"date-parts":[["2019"]]},"title":"Comparison of apixaban to rivaroxaban and enoxaparin in acute cancer-associated venous thromboembolism","type":"article-journal"},"uris":["http://www.mendeley.com/documents/?uuid=5bb57279-d653-3a87-9d06-672ba4e495e8"]}],"mendeley":{"formattedCitation":"&lt;sup&gt;5,54&lt;/sup&gt;","plainTextFormattedCitation":"5,54","previouslyFormattedCitation":"&lt;sup&gt;5,54&lt;/sup&gt;"},"properties":{"noteIndex":0},"schema":"https://github.com/citation-style-language/schema/raw/master/csl-citation.json"}</w:instrText>
      </w:r>
      <w:r w:rsidR="00AF52CC" w:rsidRPr="00AF52CC">
        <w:rPr>
          <w:rFonts w:ascii="Arial" w:eastAsia="SimSun" w:hAnsi="Arial" w:cs="Arial"/>
          <w:sz w:val="20"/>
          <w:szCs w:val="20"/>
          <w:lang w:eastAsia="en-US"/>
        </w:rPr>
        <w:fldChar w:fldCharType="separate"/>
      </w:r>
      <w:r w:rsidR="006C6945" w:rsidRPr="006C6945">
        <w:rPr>
          <w:rFonts w:ascii="Arial" w:eastAsia="SimSun" w:hAnsi="Arial" w:cs="Arial"/>
          <w:noProof/>
          <w:sz w:val="20"/>
          <w:szCs w:val="20"/>
          <w:vertAlign w:val="superscript"/>
          <w:lang w:eastAsia="en-US"/>
        </w:rPr>
        <w:t>5,54</w:t>
      </w:r>
      <w:r w:rsidR="00AF52CC" w:rsidRPr="00AF52CC">
        <w:rPr>
          <w:rFonts w:ascii="Arial" w:eastAsia="SimSun" w:hAnsi="Arial" w:cs="Arial"/>
          <w:sz w:val="20"/>
          <w:szCs w:val="20"/>
          <w:lang w:eastAsia="en-US"/>
        </w:rPr>
        <w:fldChar w:fldCharType="end"/>
      </w:r>
      <w:r w:rsidR="00AF52CC" w:rsidRPr="00AF52CC">
        <w:rPr>
          <w:rFonts w:ascii="Arial" w:eastAsia="SimSun" w:hAnsi="Arial" w:cs="Arial"/>
          <w:sz w:val="20"/>
          <w:szCs w:val="20"/>
          <w:lang w:eastAsia="en-US"/>
        </w:rPr>
        <w:t xml:space="preserve"> Incidentally, PKIs could perpetrate significant DDIs with rivaroxaban</w:t>
      </w:r>
      <w:r w:rsidR="00996D92">
        <w:rPr>
          <w:rFonts w:ascii="Arial" w:eastAsia="SimSun" w:hAnsi="Arial" w:cs="Arial"/>
          <w:sz w:val="20"/>
          <w:szCs w:val="20"/>
          <w:lang w:eastAsia="en-US"/>
        </w:rPr>
        <w:t>.</w:t>
      </w:r>
      <w:r w:rsidR="00AF52CC" w:rsidRPr="00AF52CC">
        <w:rPr>
          <w:rFonts w:ascii="Arial" w:eastAsia="SimSun" w:hAnsi="Arial" w:cs="Arial"/>
          <w:sz w:val="20"/>
          <w:szCs w:val="20"/>
          <w:lang w:eastAsia="en-US"/>
        </w:rPr>
        <w:fldChar w:fldCharType="begin" w:fldLock="1"/>
      </w:r>
      <w:r w:rsidR="00516D49">
        <w:rPr>
          <w:rFonts w:ascii="Arial" w:eastAsia="SimSun" w:hAnsi="Arial" w:cs="Arial"/>
          <w:sz w:val="20"/>
          <w:szCs w:val="20"/>
          <w:lang w:eastAsia="en-US"/>
        </w:rPr>
        <w:instrText>ADDIN CSL_CITATION {"citationItems":[{"id":"ITEM-1","itemData":{"DOI":"10.1111/bcp.12496","ISSN":"13652125","abstract":"Drug-drug interactions (DDIs) occur when a patient's response to the drug is modified by administration or co-exposure to another drug. The main cytochrome P450 (CYP) enzyme, CYP3A4, is implicated in the metabolism of almost all of the tyrosine kinase inhibitors (TKIs). Therefore, there is a substantial potential for interaction between TKIs and other drugs that modulate the activity of this metabolic pathway. Cancer patients are susceptible to DDIs as they receive many medications, either for supportive care or for treatment of toxicity. Differences in DDI outcomes are generally negligible because of the wide therapeutic window of common drugs. However for anticancer agents, serious clinical consequences may occur from small changes in drug metabolism and pharmacokinetics. Therefore, the objective of this review is to highlight the current understanding of DDIs among TKIs, with a focus on metabolism, as well as to identify challenges in the prediction of DDIs and provide recommendations.","author":[{"dropping-particle":"","family":"Teo","given":"Yi Ling","non-dropping-particle":"","parse-names":false,"suffix":""},{"dropping-particle":"","family":"Ho","given":"Han Kiat","non-dropping-particle":"","parse-names":false,"suffix":""},{"dropping-particle":"","family":"Chan","given":"Alexandre","non-dropping-particle":"","parse-names":false,"suffix":""}],"container-title":"British Journal of Clinical Pharmacology","id":"ITEM-1","issue":"2","issued":{"date-parts":[["2015"]]},"page":"241-253","title":"Metabolism-related pharmacokinetic drug-drug interactions with tyrosine kinase inhibitors: Current understanding, challenges and recommendations","type":"article-journal","volume":"79"},"uris":["http://www.mendeley.com/documents/?uuid=4135fb3b-5c18-47d9-8fe2-bb760fd8a487"]},{"id":"ITEM-2","itemData":{"DOI":"10.2147/OTT.S194870","ISSN":"11786930","abstract":"The development of small-molecule tyrosine kinase inhibitors (TKIs) that target the epidermal growth factor receptor (EGFR) has revolutionized the management of non-small-cell lung cancer (NSCLC). Because these drugs are commonly used in combination with other types of medication, the risk of clinically significant drug–drug interactions (DDIs) is an important consideration, especially for patients using multiple drugs for coexisting medical conditions. Clinicians need to be aware of the potential for clinically important DDIs when considering therapeutic options for individual patients. In this article, we describe the main mechanisms underlying DDIs with the EGFR-TKIs that are currently approved for the treatment of NSCLC, and, specifically, the potential for interactions mediated via effects on gastrointestinal pH, cytochrome P450-dependent metabolism, uridine diphosphate-glucuronosyltransferase, and transporter proteins. We review evidence of such DDIs with the currently approved EGFR-TKIs (gefitinib, erlotinib, afatinib, osimertinib, and icotinib) and discuss several information sources that are available online to aid clinical decision-making. We conclude by summarizing the most clinically relevant DDIs with these EFGR-TKIs and provide recommendations for managing, minimizing, or avoiding DDIs with the different agents.","author":[{"dropping-particle":"","family":"Xu","given":"Zi Yi","non-dropping-particle":"","parse-names":false,"suffix":""},{"dropping-particle":"","family":"Li","given":"Jun Ling","non-dropping-particle":"","parse-names":false,"suffix":""}],"container-title":"OncoTargets and Therapy","id":"ITEM-2","issued":{"date-parts":[["2019"]]},"page":"5467-5484","title":"Comparative review of drug–drug interactions with epidermal growth factor receptor tyrosine kinase inhibitors for the treatment of non-small-cell lung cancer","type":"article-journal","volume":"12"},"uris":["http://www.mendeley.com/documents/?uuid=612422ef-5c26-463c-bae2-f7c2addc51e7","http://www.mendeley.com/documents/?uuid=0954c91b-d763-4cc2-b13e-5c397ead0d13"]},{"id":"ITEM-3","itemData":{"DOI":"10.1002/hon.2335","ISSN":"10991069","abstract":"The extensive use of tyrosine kinase inhibitors (TKI's) in hematology and oncology has shown that these drugs have a significant potential for drug-drug interactions. Since these drugs have a rather low therapeutic window, some drug interactions are of particular clinical relevance either on drug toxicity or on patient's response. Significant interactions occur with concomitant use of acid-suppressive therapy leading to a decreased oral bioavailability. However, such interactions are drug dependent according to their solubility pattern and to the duration of action of acid-suppressive therapy, which is coprescribed. Significant interactions occur by inhibition or induction of CYP450 3A4 which is the main metabolic pathway of TKIs. However, minor metabolic pathways should also be paid attention to. Interactions involving efflux and influx transporters should also be considered occurring for some TKIs. Genetic polymorphism in drug metabolism as well as in drug transport is a factor of variability in drug exposure, which could modulate the magnitude of drug-drug interactions (DDIs). It should be noticed that TKIs can also be at the origin of drug interactions by altering the pharmacokinetics of coprescribed drugs. Since cancer patients are given many drugs either for supportive care or for the treatment of drug toxicity, and to the fact that the oldest patients are polymedicated, a clear understanding of DDIs with TKIs is of interest. The objectives of this review are to provide an overview of the mechanisms of DDIs with TKIs and to provide to physicians and pharmacists recommendations to manage these DDIs in their clinical practice.","author":[{"dropping-particle":"","family":"Gay","given":"Caroline","non-dropping-particle":"","parse-names":false,"suffix":""},{"dropping-particle":"","family":"Toulet","given":"Delphine","non-dropping-particle":"","parse-names":false,"suffix":""},{"dropping-particle":"","family":"Corre","given":"Pascal","non-dropping-particle":"Le","parse-names":false,"suffix":""}],"container-title":"Hematological Oncology","id":"ITEM-3","issue":"3","issued":{"date-parts":[["2017"]]},"page":"259-280","title":"Pharmacokinetic drug-drug interactions of tyrosine kinase inhibitors: A focus on cytochrome P450, transporters, and acid suppression therapy","type":"article-journal","volume":"35"},"uris":["http://www.mendeley.com/documents/?uuid=9fd88303-afcb-4485-9fb2-356fa4546240","http://www.mendeley.com/documents/?uuid=da55d7ab-30d3-4127-a4b0-5667658632e5"]}],"mendeley":{"formattedCitation":"&lt;sup&gt;13,55,56&lt;/sup&gt;","plainTextFormattedCitation":"13,55,56","previouslyFormattedCitation":"&lt;sup&gt;13,55,56&lt;/sup&gt;"},"properties":{"noteIndex":0},"schema":"https://github.com/citation-style-language/schema/raw/master/csl-citation.json"}</w:instrText>
      </w:r>
      <w:r w:rsidR="00AF52CC" w:rsidRPr="00AF52CC">
        <w:rPr>
          <w:rFonts w:ascii="Arial" w:eastAsia="SimSun" w:hAnsi="Arial" w:cs="Arial"/>
          <w:sz w:val="20"/>
          <w:szCs w:val="20"/>
          <w:lang w:eastAsia="en-US"/>
        </w:rPr>
        <w:fldChar w:fldCharType="separate"/>
      </w:r>
      <w:r w:rsidR="006C6945" w:rsidRPr="006C6945">
        <w:rPr>
          <w:rFonts w:ascii="Arial" w:eastAsia="SimSun" w:hAnsi="Arial" w:cs="Arial"/>
          <w:noProof/>
          <w:sz w:val="20"/>
          <w:szCs w:val="20"/>
          <w:vertAlign w:val="superscript"/>
          <w:lang w:eastAsia="en-US"/>
        </w:rPr>
        <w:t>13,55,56</w:t>
      </w:r>
      <w:r w:rsidR="00AF52CC" w:rsidRPr="00AF52CC">
        <w:rPr>
          <w:rFonts w:ascii="Arial" w:eastAsia="SimSun" w:hAnsi="Arial" w:cs="Arial"/>
          <w:sz w:val="20"/>
          <w:szCs w:val="20"/>
          <w:lang w:eastAsia="en-US"/>
        </w:rPr>
        <w:fldChar w:fldCharType="end"/>
      </w:r>
      <w:r w:rsidR="00212174">
        <w:rPr>
          <w:rFonts w:ascii="Arial" w:eastAsia="SimSun" w:hAnsi="Arial" w:cs="Arial"/>
          <w:sz w:val="20"/>
          <w:szCs w:val="20"/>
          <w:lang w:eastAsia="en-US"/>
        </w:rPr>
        <w:t xml:space="preserve"> </w:t>
      </w:r>
      <w:r w:rsidR="00171268">
        <w:rPr>
          <w:rFonts w:ascii="Arial" w:eastAsia="SimSun" w:hAnsi="Arial" w:cs="Arial"/>
          <w:sz w:val="20"/>
          <w:szCs w:val="20"/>
          <w:lang w:eastAsia="en-US"/>
        </w:rPr>
        <w:t>Here, we performed</w:t>
      </w:r>
      <w:r w:rsidR="00AF52CC" w:rsidRPr="00AF52CC">
        <w:rPr>
          <w:rFonts w:ascii="Arial" w:eastAsia="SimSun" w:hAnsi="Arial" w:cs="Arial"/>
          <w:sz w:val="20"/>
          <w:szCs w:val="20"/>
          <w:lang w:eastAsia="en-US"/>
        </w:rPr>
        <w:t xml:space="preserve"> PBPK-guided prospective predictions of potential DDDIs </w:t>
      </w:r>
      <w:r w:rsidR="00171268">
        <w:rPr>
          <w:rFonts w:ascii="Arial" w:eastAsia="SimSun" w:hAnsi="Arial" w:cs="Arial"/>
          <w:sz w:val="20"/>
          <w:szCs w:val="20"/>
          <w:lang w:eastAsia="en-US"/>
        </w:rPr>
        <w:t xml:space="preserve">in CA-VTE </w:t>
      </w:r>
      <w:r w:rsidR="00AF52CC" w:rsidRPr="00AF52CC">
        <w:rPr>
          <w:rFonts w:ascii="Arial" w:eastAsia="SimSun" w:hAnsi="Arial" w:cs="Arial"/>
          <w:sz w:val="20"/>
          <w:szCs w:val="20"/>
          <w:lang w:eastAsia="en-US"/>
        </w:rPr>
        <w:t>that provide</w:t>
      </w:r>
      <w:r>
        <w:rPr>
          <w:rFonts w:ascii="Arial" w:eastAsia="SimSun" w:hAnsi="Arial" w:cs="Arial"/>
          <w:sz w:val="20"/>
          <w:szCs w:val="20"/>
          <w:lang w:eastAsia="en-US"/>
        </w:rPr>
        <w:t>s</w:t>
      </w:r>
      <w:r w:rsidR="00AF52CC" w:rsidRPr="00AF52CC">
        <w:rPr>
          <w:rFonts w:ascii="Arial" w:eastAsia="SimSun" w:hAnsi="Arial" w:cs="Arial"/>
          <w:sz w:val="20"/>
          <w:szCs w:val="20"/>
          <w:lang w:eastAsia="en-US"/>
        </w:rPr>
        <w:t xml:space="preserve"> the basis for eventual dose adjustments</w:t>
      </w:r>
      <w:r w:rsidR="00171268">
        <w:rPr>
          <w:rFonts w:ascii="Arial" w:eastAsia="SimSun" w:hAnsi="Arial" w:cs="Arial"/>
          <w:sz w:val="20"/>
          <w:szCs w:val="20"/>
          <w:lang w:eastAsia="en-US"/>
        </w:rPr>
        <w:t xml:space="preserve"> of rivaroxaban</w:t>
      </w:r>
      <w:r w:rsidR="00AF52CC" w:rsidRPr="00AF52CC">
        <w:rPr>
          <w:rFonts w:ascii="Arial" w:eastAsia="SimSun" w:hAnsi="Arial" w:cs="Arial"/>
          <w:sz w:val="20"/>
          <w:szCs w:val="20"/>
          <w:lang w:eastAsia="en-US"/>
        </w:rPr>
        <w:t>.</w:t>
      </w:r>
    </w:p>
    <w:p w14:paraId="726A360C" w14:textId="77777777" w:rsidR="00C71580" w:rsidRDefault="00C71580" w:rsidP="00062B7A">
      <w:pPr>
        <w:spacing w:after="0" w:line="480" w:lineRule="auto"/>
        <w:jc w:val="both"/>
        <w:rPr>
          <w:rFonts w:ascii="Arial" w:hAnsi="Arial" w:cs="Arial"/>
          <w:sz w:val="20"/>
          <w:szCs w:val="20"/>
        </w:rPr>
      </w:pPr>
    </w:p>
    <w:p w14:paraId="14222B3E" w14:textId="56F62DB8" w:rsidR="00C10ACC" w:rsidRPr="00FE158B" w:rsidRDefault="0087787B" w:rsidP="00E93D87">
      <w:pPr>
        <w:spacing w:after="0" w:line="480" w:lineRule="auto"/>
        <w:jc w:val="both"/>
        <w:rPr>
          <w:rFonts w:ascii="Arial" w:hAnsi="Arial" w:cs="Arial"/>
          <w:sz w:val="20"/>
          <w:szCs w:val="20"/>
        </w:rPr>
      </w:pPr>
      <w:r>
        <w:rPr>
          <w:rFonts w:ascii="Arial" w:hAnsi="Arial" w:cs="Arial"/>
          <w:sz w:val="20"/>
          <w:szCs w:val="20"/>
        </w:rPr>
        <w:t>We</w:t>
      </w:r>
      <w:r w:rsidR="00525635">
        <w:rPr>
          <w:rFonts w:ascii="Arial" w:hAnsi="Arial" w:cs="Arial"/>
          <w:sz w:val="20"/>
          <w:szCs w:val="20"/>
        </w:rPr>
        <w:t xml:space="preserve"> adopted </w:t>
      </w:r>
      <w:r w:rsidR="00483A2F" w:rsidRPr="00483A2F">
        <w:rPr>
          <w:rFonts w:ascii="Arial" w:hAnsi="Arial" w:cs="Arial"/>
          <w:sz w:val="20"/>
          <w:szCs w:val="20"/>
        </w:rPr>
        <w:t xml:space="preserve">multiple cycles of “predict, learn and confirm” to </w:t>
      </w:r>
      <w:r w:rsidR="00525635">
        <w:rPr>
          <w:rFonts w:ascii="Arial" w:hAnsi="Arial" w:cs="Arial"/>
          <w:sz w:val="20"/>
          <w:szCs w:val="20"/>
        </w:rPr>
        <w:t xml:space="preserve">ensure </w:t>
      </w:r>
      <w:r w:rsidR="00483A2F" w:rsidRPr="00483A2F">
        <w:rPr>
          <w:rFonts w:ascii="Arial" w:hAnsi="Arial" w:cs="Arial"/>
          <w:sz w:val="20"/>
          <w:szCs w:val="20"/>
        </w:rPr>
        <w:t>adequate verification</w:t>
      </w:r>
      <w:r w:rsidR="00525635">
        <w:rPr>
          <w:rFonts w:ascii="Arial" w:hAnsi="Arial" w:cs="Arial"/>
          <w:sz w:val="20"/>
          <w:szCs w:val="20"/>
        </w:rPr>
        <w:t xml:space="preserve"> of our PBPK models</w:t>
      </w:r>
      <w:r w:rsidR="00FE158B">
        <w:rPr>
          <w:rFonts w:ascii="Arial" w:hAnsi="Arial" w:cs="Arial"/>
          <w:sz w:val="20"/>
          <w:szCs w:val="20"/>
        </w:rPr>
        <w:t xml:space="preserve"> </w:t>
      </w:r>
      <w:r w:rsidR="00525635" w:rsidRPr="00525635">
        <w:rPr>
          <w:rFonts w:ascii="Arial" w:hAnsi="Arial" w:cs="Arial"/>
          <w:sz w:val="20"/>
          <w:szCs w:val="20"/>
        </w:rPr>
        <w:t>(</w:t>
      </w:r>
      <w:r w:rsidR="00525635" w:rsidRPr="00525635">
        <w:rPr>
          <w:rFonts w:ascii="Arial" w:hAnsi="Arial" w:cs="Arial"/>
          <w:b/>
          <w:bCs/>
          <w:sz w:val="20"/>
          <w:szCs w:val="20"/>
        </w:rPr>
        <w:t>Figure 1</w:t>
      </w:r>
      <w:r w:rsidR="00525635" w:rsidRPr="00525635">
        <w:rPr>
          <w:rFonts w:ascii="Arial" w:hAnsi="Arial" w:cs="Arial"/>
          <w:sz w:val="20"/>
          <w:szCs w:val="20"/>
        </w:rPr>
        <w:t>)</w:t>
      </w:r>
      <w:r w:rsidR="00483A2F" w:rsidRPr="00483A2F">
        <w:rPr>
          <w:rFonts w:ascii="Arial" w:hAnsi="Arial" w:cs="Arial"/>
          <w:sz w:val="20"/>
          <w:szCs w:val="20"/>
        </w:rPr>
        <w:t>.</w:t>
      </w:r>
      <w:r w:rsidR="002F7791">
        <w:rPr>
          <w:rFonts w:ascii="Arial" w:hAnsi="Arial" w:cs="Arial"/>
          <w:sz w:val="20"/>
          <w:szCs w:val="20"/>
        </w:rPr>
        <w:fldChar w:fldCharType="begin" w:fldLock="1"/>
      </w:r>
      <w:r w:rsidR="00516D49">
        <w:rPr>
          <w:rFonts w:ascii="Arial" w:hAnsi="Arial" w:cs="Arial"/>
          <w:sz w:val="20"/>
          <w:szCs w:val="20"/>
        </w:rPr>
        <w:instrText>ADDIN CSL_CITATION {"citationItems":[{"id":"ITEM-1","itemData":{"ISSN":"15326535","PMID":"29315504","abstract":"This work provides a perspective on the qualification and verification of physiologically based pharmacokinetic (PBPK) platforms/models intended for regulatory submission based on the collective experience of the Simcyp Consortium members. Examples of regulatory submission of PBPK analyses across various intended applications are presented and discussed. European Medicines Agency (EMA) and US Food and Drug Administration (FDA) recent draft guidelines regarding PBPK analyses and reporting are encouraging, and to advance the use and acceptability of PBPK analyses, more clarity and flexibility are warranted.","author":[{"dropping-particle":"","family":"Shebley","given":"Mohamad","non-dropping-particle":"","parse-names":false,"suffix":""},{"dropping-particle":"","family":"Sandhu","given":"Punam","non-dropping-particle":"","parse-names":false,"suffix":""},{"dropping-particle":"","family":"Emami Riedmaier","given":"Arian","non-dropping-particle":"","parse-names":false,"suffix":""},{"dropping-particle":"","family":"Jamei","given":"Masoud","non-dropping-particle":"","parse-names":false,"suffix":""},{"dropping-particle":"","family":"Narayanan","given":"Rangaraj","non-dropping-particle":"","parse-names":false,"suffix":""},{"dropping-particle":"","family":"Patel","given":"Aarti","non-dropping-particle":"","parse-names":false,"suffix":""},{"dropping-particle":"","family":"Peters","given":"Sheila Annie","non-dropping-particle":"","parse-names":false,"suffix":""},{"dropping-particle":"","family":"Reddy","given":"Venkatesh Pilla","non-dropping-particle":"","parse-names":false,"suffix":""},{"dropping-particle":"","family":"Zheng","given":"Ming","non-dropping-particle":"","parse-names":false,"suffix":""},{"dropping-particle":"","family":"Zwart","given":"Loeckie","non-dropping-particle":"de","parse-names":false,"suffix":""},{"dropping-particle":"","family":"Beneton","given":"Maud","non-dropping-particle":"","parse-names":false,"suffix":""},{"dropping-particle":"","family":"Bouzom","given":"Francois","non-dropping-particle":"","parse-names":false,"suffix":""},{"dropping-particle":"","family":"Chen","given":"Jun","non-dropping-particle":"","parse-names":false,"suffix":""},{"dropping-particle":"","family":"Chen","given":"Yuan","non-dropping-particle":"","parse-names":false,"suffix":""},{"dropping-particle":"","family":"Cleary","given":"Yumi","non-dropping-particle":"","parse-names":false,"suffix":""},{"dropping-particle":"","family":"Collins","given":"Christiane","non-dropping-particle":"","parse-names":false,"suffix":""},{"dropping-particle":"","family":"Dickinson","given":"Gemma L.","non-dropping-particle":"","parse-names":false,"suffix":""},{"dropping-particle":"","family":"Djebli","given":"Nassim","non-dropping-particle":"","parse-names":false,"suffix":""},{"dropping-particle":"","family":"Einolf","given":"Heidi J.","non-dropping-particle":"","parse-names":false,"suffix":""},{"dropping-particle":"","family":"Gardner","given":"Iain","non-dropping-particle":"","parse-names":false,"suffix":""},{"dropping-particle":"","family":"Huth","given":"Felix","non-dropping-particle":"","parse-names":false,"suffix":""},{"dropping-particle":"","family":"Kazmi","given":"Faraz","non-dropping-particle":"","parse-names":false,"suffix":""},{"dropping-particle":"","family":"Khalil","given":"Feras","non-dropping-particle":"","parse-names":false,"suffix":""},{"dropping-particle":"","family":"Lin","given":"Jing","non-dropping-particle":"","parse-names":false,"suffix":""},{"dropping-particle":"","family":"Odinecs","given":"Aleksandrs","non-dropping-particle":"","parse-names":false,"suffix":""},{"dropping-particle":"","family":"Patel","given":"Chirag","non-dropping-particle":"","parse-names":false,"suffix":""},{"dropping-particle":"","family":"Rong","given":"Haojing","non-dropping-particle":"","parse-names":false,"suffix":""},{"dropping-particle":"","family":"Schuck","given":"Edgar","non-dropping-particle":"","parse-names":false,"suffix":""},{"dropping-particle":"","family":"Sharma","given":"Pradeep","non-dropping-particle":"","parse-names":false,"suffix":""},{"dropping-particle":"","family":"Wu","given":"Shu Pei","non-dropping-particle":"","parse-names":false,"suffix":""},{"dropping-particle":"","family":"Xu","given":"Yang","non-dropping-particle":"","parse-names":false,"suffix":""},{"dropping-particle":"","family":"Yamazaki","given":"Shinji","non-dropping-particle":"","parse-names":false,"suffix":""},{"dropping-particle":"","family":"Yoshida","given":"Kenta","non-dropping-particle":"","parse-names":false,"suffix":""},{"dropping-particle":"","family":"Rowland","given":"Malcolm","non-dropping-particle":"","parse-names":false,"suffix":""}],"container-title":"Clinical Pharmacology and Therapeutics","id":"ITEM-1","issue":"1","issued":{"date-parts":[["2018"]]},"page":"88-110","title":"Physiologically Based Pharmacokinetic Model Qualification and Reporting Procedures for Regulatory Submissions: A Consortium Perspective","type":"article-journal","volume":"104"},"uris":["http://www.mendeley.com/documents/?uuid=82172185-9b20-4a55-937d-09a16edcd1e8"]},{"id":"ITEM-2","itemData":{"DOI":"10.1007/s40262-019-00790-0","ISBN":"0123456789","ISSN":"11791926","abstract":"When scientifically well-founded, the mechanistic basis of physiologically based pharmacokinetic (PBPK) models can help reduce the uncertainty and increase confidence in extrapolations outside the studied scenarios or studied populations. However, it is not always possible to establish mechanistically credible PBPK models. Requirements to establishing confidence in PBPK models, and challenges to meeting these requirements, are presented in this article. Parameter non-identifiability is the most challenging among the barriers to establishing confidence in PBPK models. Using case examples of small molecule drugs, this article examines the use of hypothesis testing to overcome parameter non-identifiability issues, with the objective of enhancing confidence in the mechanistic basis of PBPK models and thereby improving the quality of predictions that are meant for internal decisions and regulatory submissions. When the mechanistic basis of a PBPK model cannot be established, we propose the use of simpler models or evidence-based approaches.","author":[{"dropping-particle":"","family":"Peters","given":"Sheila Annie","non-dropping-particle":"","parse-names":false,"suffix":""},{"dropping-particle":"","family":"Dolgos","given":"Hugues","non-dropping-particle":"","parse-names":false,"suffix":""}],"container-title":"Clinical Pharmacokinetics","id":"ITEM-2","issue":"11","issued":{"date-parts":[["2019"]]},"page":"1355-1371","publisher":"Springer International Publishing","title":"Requirements to Establishing Confidence in Physiologically Based Pharmacokinetic (PBPK) Models and Overcoming Some of the Challenges to Meeting Them","type":"article-journal","volume":"58"},"uris":["http://www.mendeley.com/documents/?uuid=72f39b1e-3229-4312-95f8-9550c42b0bb1"]}],"mendeley":{"formattedCitation":"&lt;sup&gt;19,57&lt;/sup&gt;","plainTextFormattedCitation":"19,57","previouslyFormattedCitation":"&lt;sup&gt;19,57&lt;/sup&gt;"},"properties":{"noteIndex":0},"schema":"https://github.com/citation-style-language/schema/raw/master/csl-citation.json"}</w:instrText>
      </w:r>
      <w:r w:rsidR="002F7791">
        <w:rPr>
          <w:rFonts w:ascii="Arial" w:hAnsi="Arial" w:cs="Arial"/>
          <w:sz w:val="20"/>
          <w:szCs w:val="20"/>
        </w:rPr>
        <w:fldChar w:fldCharType="separate"/>
      </w:r>
      <w:r w:rsidR="006C6945" w:rsidRPr="006C6945">
        <w:rPr>
          <w:rFonts w:ascii="Arial" w:hAnsi="Arial" w:cs="Arial"/>
          <w:noProof/>
          <w:sz w:val="20"/>
          <w:szCs w:val="20"/>
          <w:vertAlign w:val="superscript"/>
        </w:rPr>
        <w:t>19,57</w:t>
      </w:r>
      <w:r w:rsidR="002F7791">
        <w:rPr>
          <w:rFonts w:ascii="Arial" w:hAnsi="Arial" w:cs="Arial"/>
          <w:sz w:val="20"/>
          <w:szCs w:val="20"/>
        </w:rPr>
        <w:fldChar w:fldCharType="end"/>
      </w:r>
      <w:r w:rsidR="00483A2F" w:rsidRPr="00483A2F">
        <w:rPr>
          <w:rFonts w:ascii="Arial" w:hAnsi="Arial" w:cs="Arial"/>
          <w:sz w:val="20"/>
          <w:szCs w:val="20"/>
        </w:rPr>
        <w:t xml:space="preserve"> For</w:t>
      </w:r>
      <w:r w:rsidR="00FE158B">
        <w:rPr>
          <w:rFonts w:ascii="Arial" w:hAnsi="Arial" w:cs="Arial"/>
          <w:sz w:val="20"/>
          <w:szCs w:val="20"/>
        </w:rPr>
        <w:t xml:space="preserve"> the PBPK model of</w:t>
      </w:r>
      <w:r w:rsidR="00483A2F" w:rsidRPr="00483A2F">
        <w:rPr>
          <w:rFonts w:ascii="Arial" w:hAnsi="Arial" w:cs="Arial"/>
          <w:sz w:val="20"/>
          <w:szCs w:val="20"/>
        </w:rPr>
        <w:t xml:space="preserve"> rivaroxaban, </w:t>
      </w:r>
      <w:r w:rsidR="00FE158B">
        <w:rPr>
          <w:rFonts w:ascii="Arial" w:hAnsi="Arial" w:cs="Arial"/>
          <w:sz w:val="20"/>
          <w:szCs w:val="20"/>
        </w:rPr>
        <w:t xml:space="preserve">we </w:t>
      </w:r>
      <w:r w:rsidR="00116BF2">
        <w:rPr>
          <w:rFonts w:ascii="Arial" w:hAnsi="Arial" w:cs="Arial"/>
          <w:sz w:val="20"/>
          <w:szCs w:val="20"/>
        </w:rPr>
        <w:t>characterize</w:t>
      </w:r>
      <w:r w:rsidR="00FE158B">
        <w:rPr>
          <w:rFonts w:ascii="Arial" w:hAnsi="Arial" w:cs="Arial"/>
          <w:sz w:val="20"/>
          <w:szCs w:val="20"/>
        </w:rPr>
        <w:t>d</w:t>
      </w:r>
      <w:r w:rsidR="00116BF2">
        <w:rPr>
          <w:rFonts w:ascii="Arial" w:hAnsi="Arial" w:cs="Arial"/>
          <w:sz w:val="20"/>
          <w:szCs w:val="20"/>
        </w:rPr>
        <w:t xml:space="preserve"> the relative contributions of its</w:t>
      </w:r>
      <w:r w:rsidR="00E24AC6" w:rsidRPr="00E24AC6">
        <w:rPr>
          <w:rFonts w:ascii="Arial" w:hAnsi="Arial" w:cs="Arial"/>
          <w:sz w:val="20"/>
          <w:szCs w:val="20"/>
        </w:rPr>
        <w:t xml:space="preserve"> metabolic and </w:t>
      </w:r>
      <w:r w:rsidR="00FE158B">
        <w:rPr>
          <w:rFonts w:ascii="Arial" w:hAnsi="Arial" w:cs="Arial"/>
          <w:sz w:val="20"/>
          <w:szCs w:val="20"/>
        </w:rPr>
        <w:t xml:space="preserve">excretion pathways in order to apply it </w:t>
      </w:r>
      <w:r w:rsidR="00FE158B" w:rsidRPr="00FE158B">
        <w:rPr>
          <w:rFonts w:ascii="Arial" w:hAnsi="Arial" w:cs="Arial"/>
          <w:sz w:val="20"/>
          <w:szCs w:val="20"/>
        </w:rPr>
        <w:t>as a victim substrate in DDDI simulations</w:t>
      </w:r>
      <w:r w:rsidR="00116BF2">
        <w:rPr>
          <w:rFonts w:ascii="Arial" w:hAnsi="Arial" w:cs="Arial"/>
          <w:sz w:val="20"/>
          <w:szCs w:val="20"/>
        </w:rPr>
        <w:t>.</w:t>
      </w:r>
      <w:r w:rsidR="002F7791">
        <w:rPr>
          <w:rFonts w:ascii="Arial" w:hAnsi="Arial" w:cs="Arial"/>
          <w:sz w:val="20"/>
          <w:szCs w:val="20"/>
        </w:rPr>
        <w:fldChar w:fldCharType="begin" w:fldLock="1"/>
      </w:r>
      <w:r w:rsidR="00B4169F">
        <w:rPr>
          <w:rFonts w:ascii="Arial" w:hAnsi="Arial" w:cs="Arial"/>
          <w:sz w:val="20"/>
          <w:szCs w:val="20"/>
        </w:rPr>
        <w:instrText>ADDIN CSL_CITATION {"citationItems":[{"id":"ITEM-1","itemData":{"DOI":"10.1007/s40262-019-00790-0","ISBN":"0123456789","ISSN":"11791926","abstract":"When scientifically well-founded, the mechanistic basis of physiologically based pharmacokinetic (PBPK) models can help reduce the uncertainty and increase confidence in extrapolations outside the studied scenarios or studied populations. However, it is not always possible to establish mechanistically credible PBPK models. Requirements to establishing confidence in PBPK models, and challenges to meeting these requirements, are presented in this article. Parameter non-identifiability is the most challenging among the barriers to establishing confidence in PBPK models. Using case examples of small molecule drugs, this article examines the use of hypothesis testing to overcome parameter non-identifiability issues, with the objective of enhancing confidence in the mechanistic basis of PBPK models and thereby improving the quality of predictions that are meant for internal decisions and regulatory submissions. When the mechanistic basis of a PBPK model cannot be established, we propose the use of simpler models or evidence-based approaches.","author":[{"dropping-particle":"","family":"Peters","given":"Sheila Annie","non-dropping-particle":"","parse-names":false,"suffix":""},{"dropping-particle":"","family":"Dolgos","given":"Hugues","non-dropping-particle":"","parse-names":false,"suffix":""}],"container-title":"Clinical Pharmacokinetics","id":"ITEM-1","issue":"11","issued":{"date-parts":[["2019"]]},"page":"1355-1371","publisher":"Springer International Publishing","title":"Requirements to Establishing Confidence in Physiologically Based Pharmacokinetic (PBPK) Models and Overcoming Some of the Challenges to Meeting Them","type":"article-journal","volume":"58"},"uris":["http://www.mendeley.com/documents/?uuid=72f39b1e-3229-4312-95f8-9550c42b0bb1"]}],"mendeley":{"formattedCitation":"&lt;sup&gt;19&lt;/sup&gt;","plainTextFormattedCitation":"19","previouslyFormattedCitation":"&lt;sup&gt;19&lt;/sup&gt;"},"properties":{"noteIndex":0},"schema":"https://github.com/citation-style-language/schema/raw/master/csl-citation.json"}</w:instrText>
      </w:r>
      <w:r w:rsidR="002F7791">
        <w:rPr>
          <w:rFonts w:ascii="Arial" w:hAnsi="Arial" w:cs="Arial"/>
          <w:sz w:val="20"/>
          <w:szCs w:val="20"/>
        </w:rPr>
        <w:fldChar w:fldCharType="separate"/>
      </w:r>
      <w:r w:rsidR="002F7791" w:rsidRPr="002F7791">
        <w:rPr>
          <w:rFonts w:ascii="Arial" w:hAnsi="Arial" w:cs="Arial"/>
          <w:noProof/>
          <w:sz w:val="20"/>
          <w:szCs w:val="20"/>
          <w:vertAlign w:val="superscript"/>
        </w:rPr>
        <w:t>19</w:t>
      </w:r>
      <w:r w:rsidR="002F7791">
        <w:rPr>
          <w:rFonts w:ascii="Arial" w:hAnsi="Arial" w:cs="Arial"/>
          <w:sz w:val="20"/>
          <w:szCs w:val="20"/>
        </w:rPr>
        <w:fldChar w:fldCharType="end"/>
      </w:r>
      <w:r w:rsidR="00E93D87">
        <w:rPr>
          <w:rFonts w:ascii="Arial" w:hAnsi="Arial" w:cs="Arial"/>
          <w:sz w:val="20"/>
          <w:szCs w:val="20"/>
        </w:rPr>
        <w:t xml:space="preserve"> </w:t>
      </w:r>
      <w:r w:rsidR="00D40BBF">
        <w:rPr>
          <w:rFonts w:ascii="Arial" w:hAnsi="Arial" w:cs="Arial"/>
          <w:sz w:val="20"/>
          <w:szCs w:val="20"/>
        </w:rPr>
        <w:t>It</w:t>
      </w:r>
      <w:r w:rsidR="00E93D87">
        <w:rPr>
          <w:rFonts w:ascii="Arial" w:hAnsi="Arial" w:cs="Arial"/>
          <w:sz w:val="20"/>
          <w:szCs w:val="20"/>
        </w:rPr>
        <w:t xml:space="preserve"> is important to note that r</w:t>
      </w:r>
      <w:r w:rsidR="00116BF2" w:rsidRPr="00A44D64">
        <w:rPr>
          <w:rFonts w:ascii="Arial" w:hAnsi="Arial" w:cs="Arial"/>
          <w:sz w:val="20"/>
          <w:szCs w:val="20"/>
        </w:rPr>
        <w:t xml:space="preserve">etrospective </w:t>
      </w:r>
      <w:r w:rsidR="00E93D87">
        <w:rPr>
          <w:rFonts w:ascii="Arial" w:hAnsi="Arial" w:cs="Arial"/>
          <w:sz w:val="20"/>
          <w:szCs w:val="20"/>
        </w:rPr>
        <w:t>D</w:t>
      </w:r>
      <w:r w:rsidR="00116BF2" w:rsidRPr="00A44D64">
        <w:rPr>
          <w:rFonts w:ascii="Arial" w:hAnsi="Arial" w:cs="Arial"/>
          <w:sz w:val="20"/>
          <w:szCs w:val="20"/>
        </w:rPr>
        <w:t>DDI s</w:t>
      </w:r>
      <w:r w:rsidR="00301166" w:rsidRPr="00A44D64">
        <w:rPr>
          <w:rFonts w:ascii="Arial" w:hAnsi="Arial" w:cs="Arial"/>
          <w:sz w:val="20"/>
          <w:szCs w:val="20"/>
        </w:rPr>
        <w:t>imulations</w:t>
      </w:r>
      <w:r w:rsidR="00853C7B" w:rsidRPr="00A44D64">
        <w:rPr>
          <w:rFonts w:ascii="Arial" w:hAnsi="Arial" w:cs="Arial"/>
          <w:sz w:val="20"/>
          <w:szCs w:val="20"/>
        </w:rPr>
        <w:t xml:space="preserve"> </w:t>
      </w:r>
      <w:r w:rsidR="00453B76" w:rsidRPr="00A44D64">
        <w:rPr>
          <w:rFonts w:ascii="Arial" w:hAnsi="Arial" w:cs="Arial"/>
          <w:sz w:val="20"/>
          <w:szCs w:val="20"/>
        </w:rPr>
        <w:t>could be confounded by</w:t>
      </w:r>
      <w:r w:rsidR="00317A06" w:rsidRPr="00A44D64">
        <w:rPr>
          <w:rFonts w:ascii="Arial" w:hAnsi="Arial" w:cs="Arial"/>
          <w:sz w:val="20"/>
          <w:szCs w:val="20"/>
        </w:rPr>
        <w:t xml:space="preserve"> </w:t>
      </w:r>
      <w:r w:rsidR="00AE7F01" w:rsidRPr="00A44D64">
        <w:rPr>
          <w:rFonts w:ascii="Arial" w:hAnsi="Arial" w:cs="Arial"/>
          <w:sz w:val="20"/>
          <w:szCs w:val="20"/>
        </w:rPr>
        <w:t>p</w:t>
      </w:r>
      <w:r w:rsidR="00790BA4" w:rsidRPr="00A44D64">
        <w:rPr>
          <w:rFonts w:ascii="Arial" w:hAnsi="Arial" w:cs="Arial"/>
          <w:sz w:val="20"/>
          <w:szCs w:val="20"/>
        </w:rPr>
        <w:t>arameter</w:t>
      </w:r>
      <w:r w:rsidR="00FB6D99" w:rsidRPr="00A44D64">
        <w:rPr>
          <w:rFonts w:ascii="Arial" w:hAnsi="Arial" w:cs="Arial"/>
          <w:sz w:val="20"/>
          <w:szCs w:val="20"/>
        </w:rPr>
        <w:t xml:space="preserve"> non-identifiability, where </w:t>
      </w:r>
      <w:r w:rsidR="00790BA4" w:rsidRPr="00A44D64">
        <w:rPr>
          <w:rFonts w:ascii="Arial" w:hAnsi="Arial" w:cs="Arial"/>
          <w:sz w:val="20"/>
          <w:szCs w:val="20"/>
        </w:rPr>
        <w:t xml:space="preserve">multiple </w:t>
      </w:r>
      <w:r w:rsidR="00F07E5A" w:rsidRPr="00A44D64">
        <w:rPr>
          <w:rFonts w:ascii="Arial" w:hAnsi="Arial" w:cs="Arial"/>
          <w:sz w:val="20"/>
          <w:szCs w:val="20"/>
        </w:rPr>
        <w:t xml:space="preserve">parameter permutations </w:t>
      </w:r>
      <w:r w:rsidR="00266119" w:rsidRPr="00A44D64">
        <w:rPr>
          <w:rFonts w:ascii="Arial" w:hAnsi="Arial" w:cs="Arial"/>
          <w:sz w:val="20"/>
          <w:szCs w:val="20"/>
        </w:rPr>
        <w:t>culminate in the same outcome</w:t>
      </w:r>
      <w:r w:rsidR="00CF7658" w:rsidRPr="00A44D64">
        <w:rPr>
          <w:rFonts w:ascii="Arial" w:hAnsi="Arial" w:cs="Arial"/>
          <w:sz w:val="20"/>
          <w:szCs w:val="20"/>
        </w:rPr>
        <w:t>.</w:t>
      </w:r>
      <w:r w:rsidR="004B5849" w:rsidRPr="00A44D64">
        <w:rPr>
          <w:rFonts w:ascii="Arial" w:hAnsi="Arial" w:cs="Arial"/>
          <w:sz w:val="20"/>
          <w:szCs w:val="20"/>
        </w:rPr>
        <w:t xml:space="preserve"> For instance,</w:t>
      </w:r>
      <w:r w:rsidR="00CF7658" w:rsidRPr="00A44D64">
        <w:rPr>
          <w:rFonts w:ascii="Arial" w:hAnsi="Arial" w:cs="Arial"/>
          <w:sz w:val="20"/>
          <w:szCs w:val="20"/>
        </w:rPr>
        <w:t xml:space="preserve"> </w:t>
      </w:r>
      <w:r w:rsidR="009E30F8" w:rsidRPr="00A44D64">
        <w:rPr>
          <w:rFonts w:ascii="Arial" w:hAnsi="Arial" w:cs="Arial"/>
          <w:sz w:val="20"/>
          <w:szCs w:val="20"/>
        </w:rPr>
        <w:t xml:space="preserve">Grillo </w:t>
      </w:r>
      <w:r w:rsidR="009E30F8" w:rsidRPr="00A44D64">
        <w:rPr>
          <w:rFonts w:ascii="Arial" w:hAnsi="Arial" w:cs="Arial"/>
          <w:i/>
          <w:iCs/>
          <w:sz w:val="20"/>
          <w:szCs w:val="20"/>
        </w:rPr>
        <w:t>et al.</w:t>
      </w:r>
      <w:r w:rsidR="009E30F8" w:rsidRPr="00A44D64">
        <w:rPr>
          <w:rFonts w:ascii="Arial" w:hAnsi="Arial" w:cs="Arial"/>
          <w:sz w:val="20"/>
          <w:szCs w:val="20"/>
        </w:rPr>
        <w:t xml:space="preserve"> estimated the fraction</w:t>
      </w:r>
      <w:r w:rsidR="0057745D" w:rsidRPr="00A44D64">
        <w:rPr>
          <w:rFonts w:ascii="Arial" w:hAnsi="Arial" w:cs="Arial"/>
          <w:sz w:val="20"/>
          <w:szCs w:val="20"/>
        </w:rPr>
        <w:t xml:space="preserve">al </w:t>
      </w:r>
      <w:r w:rsidR="00ED24CE" w:rsidRPr="00A44D64">
        <w:rPr>
          <w:rFonts w:ascii="Arial" w:hAnsi="Arial" w:cs="Arial"/>
          <w:sz w:val="20"/>
          <w:szCs w:val="20"/>
        </w:rPr>
        <w:t xml:space="preserve">CYP3A4 </w:t>
      </w:r>
      <w:r w:rsidR="00792EEF" w:rsidRPr="00A44D64">
        <w:rPr>
          <w:rFonts w:ascii="Arial" w:hAnsi="Arial" w:cs="Arial"/>
          <w:sz w:val="20"/>
          <w:szCs w:val="20"/>
        </w:rPr>
        <w:t xml:space="preserve">and CYP2J2 </w:t>
      </w:r>
      <w:r w:rsidR="0057745D" w:rsidRPr="00A44D64">
        <w:rPr>
          <w:rFonts w:ascii="Arial" w:hAnsi="Arial" w:cs="Arial"/>
          <w:sz w:val="20"/>
          <w:szCs w:val="20"/>
        </w:rPr>
        <w:t xml:space="preserve">metabolism in the liver to be </w:t>
      </w:r>
      <w:r w:rsidR="009E30F8" w:rsidRPr="00A44D64">
        <w:rPr>
          <w:rFonts w:ascii="Arial" w:hAnsi="Arial" w:cs="Arial"/>
          <w:sz w:val="20"/>
          <w:szCs w:val="20"/>
        </w:rPr>
        <w:t>0.37</w:t>
      </w:r>
      <w:r w:rsidR="00792EEF" w:rsidRPr="00A44D64">
        <w:rPr>
          <w:rFonts w:ascii="Arial" w:hAnsi="Arial" w:cs="Arial"/>
          <w:sz w:val="20"/>
          <w:szCs w:val="20"/>
        </w:rPr>
        <w:t xml:space="preserve"> and 0.29 respectively</w:t>
      </w:r>
      <w:r w:rsidR="009E30F8" w:rsidRPr="00A44D64">
        <w:rPr>
          <w:rFonts w:ascii="Arial" w:hAnsi="Arial" w:cs="Arial"/>
          <w:sz w:val="20"/>
          <w:szCs w:val="20"/>
        </w:rPr>
        <w:t xml:space="preserve"> in their PBPK analysis, and </w:t>
      </w:r>
      <w:r w:rsidR="00CA285A" w:rsidRPr="00A44D64">
        <w:rPr>
          <w:rFonts w:ascii="Arial" w:hAnsi="Arial" w:cs="Arial"/>
          <w:sz w:val="20"/>
          <w:szCs w:val="20"/>
        </w:rPr>
        <w:t xml:space="preserve">utilizing similar estimates, </w:t>
      </w:r>
      <w:r w:rsidR="00960662" w:rsidRPr="00A44D64">
        <w:rPr>
          <w:rFonts w:ascii="Arial" w:hAnsi="Arial" w:cs="Arial"/>
          <w:sz w:val="20"/>
          <w:szCs w:val="20"/>
        </w:rPr>
        <w:t xml:space="preserve">we </w:t>
      </w:r>
      <w:r w:rsidR="00CA285A" w:rsidRPr="00A44D64">
        <w:rPr>
          <w:rFonts w:ascii="Arial" w:hAnsi="Arial" w:cs="Arial"/>
          <w:sz w:val="20"/>
          <w:szCs w:val="20"/>
        </w:rPr>
        <w:t xml:space="preserve">previously demonstrated how </w:t>
      </w:r>
      <w:r w:rsidR="00FA7725" w:rsidRPr="00A44D64">
        <w:rPr>
          <w:rFonts w:ascii="Arial" w:hAnsi="Arial" w:cs="Arial"/>
          <w:sz w:val="20"/>
          <w:szCs w:val="20"/>
        </w:rPr>
        <w:t>the enzyme-mediated DDI between rivaroxaban</w:t>
      </w:r>
      <w:r w:rsidR="00D6337D" w:rsidRPr="00A44D64">
        <w:rPr>
          <w:rFonts w:ascii="Arial" w:hAnsi="Arial" w:cs="Arial"/>
          <w:sz w:val="20"/>
          <w:szCs w:val="20"/>
        </w:rPr>
        <w:t xml:space="preserve"> and ketoconazole</w:t>
      </w:r>
      <w:r w:rsidR="00CA285A" w:rsidRPr="00A44D64">
        <w:rPr>
          <w:rFonts w:ascii="Arial" w:hAnsi="Arial" w:cs="Arial"/>
          <w:sz w:val="20"/>
          <w:szCs w:val="20"/>
        </w:rPr>
        <w:t xml:space="preserve"> (CYP3A4/2J2 inhibitor)</w:t>
      </w:r>
      <w:r w:rsidR="00D6337D" w:rsidRPr="00A44D64">
        <w:rPr>
          <w:rFonts w:ascii="Arial" w:hAnsi="Arial" w:cs="Arial"/>
          <w:sz w:val="20"/>
          <w:szCs w:val="20"/>
        </w:rPr>
        <w:t xml:space="preserve"> was adequately recapitulated</w:t>
      </w:r>
      <w:r w:rsidR="00F66288" w:rsidRPr="00A44D64">
        <w:rPr>
          <w:rFonts w:ascii="Arial" w:hAnsi="Arial" w:cs="Arial"/>
          <w:sz w:val="20"/>
          <w:szCs w:val="20"/>
        </w:rPr>
        <w:t>.</w:t>
      </w:r>
      <w:r w:rsidR="00B4169F" w:rsidRPr="00A44D64">
        <w:rPr>
          <w:rFonts w:ascii="Arial" w:hAnsi="Arial" w:cs="Arial"/>
          <w:sz w:val="20"/>
          <w:szCs w:val="20"/>
        </w:rPr>
        <w:fldChar w:fldCharType="begin" w:fldLock="1"/>
      </w:r>
      <w:r w:rsidR="001A6014" w:rsidRPr="00A44D64">
        <w:rPr>
          <w:rFonts w:ascii="Arial" w:hAnsi="Arial" w:cs="Arial"/>
          <w:sz w:val="20"/>
          <w:szCs w:val="20"/>
        </w:rPr>
        <w:instrText>ADDIN CSL_CITATION {"citationItems":[{"id":"ITEM-1","itemData":{"DOI":"10.1002/bdd.1771","ISSN":"1099-081X","PMID":"22270945","abstract":"BACKGROUND Rivaroxaban is an oral Factor Xa inhibitor. The primary objective of this communication was to quantitatively predict changes in rivaroxaban exposure when individuals with varying degrees of renal impairment are co-administered with another drug that is both a P-gp and a moderate CYP3A4 inhibitor. METHODS A physiologically based pharmacokinetic (PBPK) model was developed to simulate rivaroxaban pharmacokinetics in young (20-45 years) or older (55-65 years) subjects with normal renal function, mild, moderate and severe renal impairment, with or without concomitant use of the combined P-gp and moderate CYP3A4 inhibitor, erythromycin. RESULTS The simulations indicate that combined factors (i.e., renal impairment and the use of erythromycin) have a greater impact on rivaroxaban exposure than expected when the impact of these factors are considered individually. Compared with normal young subjects taking rivaroxaban, concurrent mild, moderate or severe renal impairment plus erythromycin resulted in 1.9-, 2.4- or 2.6-fold increase in exposure, respectively in young subjects; and 2.5-, 2.9- or 3.0-fold increase in exposure in older subjects. CONCLUSIONS These simulations suggest that a drug-drug-disease interaction is possible, which may significantly increase rivaroxaban exposure and increase bleeding risk. These simulations render more mechanistic insights as to the possible outcomes and allow one to reach a decision to add cautionary language to the approved product labeling for rivaroxaban.","author":[{"dropping-particle":"","family":"Grillo","given":"Joseph A","non-dropping-particle":"","parse-names":false,"suffix":""},{"dropping-particle":"","family":"Zhao","given":"Ping","non-dropping-particle":"","parse-names":false,"suffix":""},{"dropping-particle":"","family":"Bullock","given":"Julie","non-dropping-particle":"","parse-names":false,"suffix":""},{"dropping-particle":"","family":"Booth","given":"Brian P","non-dropping-particle":"","parse-names":false,"suffix":""},{"dropping-particle":"","family":"Lu","given":"Min","non-dropping-particle":"","parse-names":false,"suffix":""},{"dropping-particle":"","family":"Robie-Suh","given":"Kathy","non-dropping-particle":"","parse-names":false,"suffix":""},{"dropping-particle":"","family":"Berglund","given":"Eva Gil","non-dropping-particle":"","parse-names":false,"suffix":""},{"dropping-particle":"","family":"Pang","given":"K Sandy","non-dropping-particle":"","parse-names":false,"suffix":""},{"dropping-particle":"","family":"Rahman","given":"Atiqur","non-dropping-particle":"","parse-names":false,"suffix":""},{"dropping-particle":"","family":"Zhang","given":"Lei","non-dropping-particle":"","parse-names":false,"suffix":""},{"dropping-particle":"","family":"Lesko","given":"Lawrence J","non-dropping-particle":"","parse-names":false,"suffix":""},{"dropping-particle":"","family":"Huang","given":"Shiew-Mei","non-dropping-particle":"","parse-names":false,"suffix":""}],"container-title":"Biopharmaceutics &amp; drug disposition","id":"ITEM-1","issue":"2","issued":{"date-parts":[["2012"]]},"page":"99-110","title":"Utility of a physiologically-based pharmacokinetic (PBPK) modeling approach to quantitatively predict a complex drug-drug-disease interaction scenario for rivaroxaban during the drug review process: implications for clinical practice.","type":"article-journal","volume":"33"},"uris":["http://www.mendeley.com/documents/?uuid=d7233731-4025-390e-8e38-170177787095"]},{"id":"ITEM-2","itemData":{"author":[{"dropping-particle":"","family":"Jing","given":"Eleanor","non-dropping-particle":"","parse-names":false,"suffix":""},{"dropping-particle":"","family":"Cheong","given":"Yi","non-dropping-particle":"","parse-names":false,"suffix":""},{"dropping-particle":"","family":"Wun","given":"Denise","non-dropping-particle":"","parse-names":false,"suffix":""},{"dropping-particle":"","family":"Teo","given":"Xi","non-dropping-particle":"","parse-names":false,"suffix":""},{"dropping-particle":"","family":"Xin","given":"Denise","non-dropping-particle":"","parse-names":false,"suffix":""},{"dropping-particle":"","family":"Chua","given":"Yi","non-dropping-particle":"","parse-names":false,"suffix":""},{"dropping-particle":"","family":"Chun","given":"Eric","non-dropping-particle":"","parse-names":false,"suffix":""},{"dropping-particle":"","family":"Chan","given":"Yong","non-dropping-particle":"","parse-names":false,"suffix":""}],"id":"ITEM-2","issued":{"date-parts":[["2019"]]},"title":"Systematic Development and Verification of a Physiologically Based Pharmacokinetic Model of Rivaroxaban s","type":"article-journal"},"uris":["http://www.mendeley.com/documents/?uuid=9ed721ff-d724-457c-a507-0f173d45daac"]}],"mendeley":{"formattedCitation":"&lt;sup&gt;8,9&lt;/sup&gt;","plainTextFormattedCitation":"8,9","previouslyFormattedCitation":"&lt;sup&gt;8,9&lt;/sup&gt;"},"properties":{"noteIndex":0},"schema":"https://github.com/citation-style-language/schema/raw/master/csl-citation.json"}</w:instrText>
      </w:r>
      <w:r w:rsidR="00B4169F" w:rsidRPr="00A44D64">
        <w:rPr>
          <w:rFonts w:ascii="Arial" w:hAnsi="Arial" w:cs="Arial"/>
          <w:sz w:val="20"/>
          <w:szCs w:val="20"/>
        </w:rPr>
        <w:fldChar w:fldCharType="separate"/>
      </w:r>
      <w:r w:rsidR="00B4169F" w:rsidRPr="00A44D64">
        <w:rPr>
          <w:rFonts w:ascii="Arial" w:hAnsi="Arial" w:cs="Arial"/>
          <w:noProof/>
          <w:sz w:val="20"/>
          <w:szCs w:val="20"/>
          <w:vertAlign w:val="superscript"/>
        </w:rPr>
        <w:t>8,9</w:t>
      </w:r>
      <w:r w:rsidR="00B4169F" w:rsidRPr="00A44D64">
        <w:rPr>
          <w:rFonts w:ascii="Arial" w:hAnsi="Arial" w:cs="Arial"/>
          <w:sz w:val="20"/>
          <w:szCs w:val="20"/>
        </w:rPr>
        <w:fldChar w:fldCharType="end"/>
      </w:r>
      <w:r w:rsidR="0076066C" w:rsidRPr="00A44D64">
        <w:rPr>
          <w:rFonts w:ascii="Arial" w:hAnsi="Arial" w:cs="Arial"/>
          <w:sz w:val="20"/>
          <w:szCs w:val="20"/>
        </w:rPr>
        <w:t xml:space="preserve"> </w:t>
      </w:r>
      <w:r w:rsidR="001F0268" w:rsidRPr="00FE158B">
        <w:rPr>
          <w:rFonts w:ascii="Arial" w:hAnsi="Arial" w:cs="Arial"/>
          <w:sz w:val="20"/>
          <w:szCs w:val="20"/>
        </w:rPr>
        <w:t>Conversely</w:t>
      </w:r>
      <w:r w:rsidR="00F66288" w:rsidRPr="00FE158B">
        <w:rPr>
          <w:rFonts w:ascii="Arial" w:hAnsi="Arial" w:cs="Arial"/>
          <w:sz w:val="20"/>
          <w:szCs w:val="20"/>
        </w:rPr>
        <w:t xml:space="preserve">, Otsuka </w:t>
      </w:r>
      <w:r w:rsidR="00F66288" w:rsidRPr="00FE158B">
        <w:rPr>
          <w:rFonts w:ascii="Arial" w:hAnsi="Arial" w:cs="Arial"/>
          <w:i/>
          <w:iCs/>
          <w:sz w:val="20"/>
          <w:szCs w:val="20"/>
        </w:rPr>
        <w:t>et al.</w:t>
      </w:r>
      <w:r w:rsidR="00804BB4" w:rsidRPr="00FE158B">
        <w:rPr>
          <w:rFonts w:ascii="Arial" w:hAnsi="Arial" w:cs="Arial"/>
          <w:i/>
          <w:iCs/>
          <w:sz w:val="20"/>
          <w:szCs w:val="20"/>
        </w:rPr>
        <w:t xml:space="preserve"> </w:t>
      </w:r>
      <w:r w:rsidR="00C70B56">
        <w:rPr>
          <w:rFonts w:ascii="Arial" w:hAnsi="Arial" w:cs="Arial"/>
          <w:iCs/>
          <w:sz w:val="20"/>
          <w:szCs w:val="20"/>
        </w:rPr>
        <w:t>adjusted</w:t>
      </w:r>
      <w:r w:rsidR="00E93D87">
        <w:rPr>
          <w:rFonts w:ascii="Arial" w:hAnsi="Arial" w:cs="Arial"/>
          <w:iCs/>
          <w:sz w:val="20"/>
          <w:szCs w:val="20"/>
        </w:rPr>
        <w:t xml:space="preserve"> </w:t>
      </w:r>
      <w:r w:rsidR="00E93D87" w:rsidRPr="00E93D87">
        <w:rPr>
          <w:rFonts w:ascii="Arial" w:hAnsi="Arial" w:cs="Arial"/>
          <w:iCs/>
          <w:sz w:val="20"/>
          <w:szCs w:val="20"/>
        </w:rPr>
        <w:t>the fractional CYP3A4/2J2 metabolism</w:t>
      </w:r>
      <w:r w:rsidR="00C70B56">
        <w:rPr>
          <w:rFonts w:ascii="Arial" w:hAnsi="Arial" w:cs="Arial"/>
          <w:iCs/>
          <w:sz w:val="20"/>
          <w:szCs w:val="20"/>
        </w:rPr>
        <w:t xml:space="preserve"> to recapitulate </w:t>
      </w:r>
      <w:r w:rsidR="009E30F8" w:rsidRPr="00FE158B">
        <w:rPr>
          <w:rFonts w:ascii="Arial" w:hAnsi="Arial" w:cs="Arial"/>
          <w:sz w:val="20"/>
          <w:szCs w:val="20"/>
        </w:rPr>
        <w:t xml:space="preserve">the </w:t>
      </w:r>
      <w:r w:rsidR="003120FA" w:rsidRPr="00FE158B">
        <w:rPr>
          <w:rFonts w:ascii="Arial" w:hAnsi="Arial" w:cs="Arial"/>
          <w:sz w:val="20"/>
          <w:szCs w:val="20"/>
        </w:rPr>
        <w:t xml:space="preserve">extent of </w:t>
      </w:r>
      <w:r w:rsidR="009E30F8" w:rsidRPr="00FE158B">
        <w:rPr>
          <w:rFonts w:ascii="Arial" w:hAnsi="Arial" w:cs="Arial"/>
          <w:sz w:val="20"/>
          <w:szCs w:val="20"/>
        </w:rPr>
        <w:t xml:space="preserve">DDI </w:t>
      </w:r>
      <w:r w:rsidR="00C70B56">
        <w:rPr>
          <w:rFonts w:ascii="Arial" w:hAnsi="Arial" w:cs="Arial"/>
          <w:sz w:val="20"/>
          <w:szCs w:val="20"/>
        </w:rPr>
        <w:t>between rivaroxaban and</w:t>
      </w:r>
      <w:r w:rsidR="009E30F8" w:rsidRPr="00FE158B">
        <w:rPr>
          <w:rFonts w:ascii="Arial" w:hAnsi="Arial" w:cs="Arial"/>
          <w:sz w:val="20"/>
          <w:szCs w:val="20"/>
        </w:rPr>
        <w:t xml:space="preserve"> fluconazole</w:t>
      </w:r>
      <w:r w:rsidR="001F56C1">
        <w:rPr>
          <w:rFonts w:ascii="Arial" w:hAnsi="Arial" w:cs="Arial"/>
          <w:sz w:val="20"/>
          <w:szCs w:val="20"/>
        </w:rPr>
        <w:t>,</w:t>
      </w:r>
      <w:r w:rsidR="00516D49" w:rsidRPr="00FE158B">
        <w:rPr>
          <w:rFonts w:ascii="Arial" w:hAnsi="Arial" w:cs="Arial"/>
          <w:sz w:val="20"/>
          <w:szCs w:val="20"/>
        </w:rPr>
        <w:fldChar w:fldCharType="begin" w:fldLock="1"/>
      </w:r>
      <w:r w:rsidR="00516D49" w:rsidRPr="00FE158B">
        <w:rPr>
          <w:rFonts w:ascii="Arial" w:hAnsi="Arial" w:cs="Arial"/>
          <w:sz w:val="20"/>
          <w:szCs w:val="20"/>
        </w:rPr>
        <w:instrText>ADDIN CSL_CITATION {"citationItems":[{"id":"ITEM-1","itemData":{"DOI":"10.1002/psp4.12562","ISSN":"21638306","PMID":"33030266","abstract":"Direct oral anticoagulants, such as apixaban and rivaroxaban, are important for the treatment and prophylaxis of venous thromboembolism and to reduce the risk of stroke and systemic embolism in patients with nonvalvular atrial fibrillation. Because apixaban and rivaroxaban are predominantly eliminated by cytochrome P450 (CYP) 3A and P-glycoprotein (P-gp), concomitant use of combined P-gp and strong CYP3A4 inhibitors and inducers should be avoided. Physiologically-based pharmacokinetic models for apixaban and rivaroxaban were developed to estimate the net effect of CYP3A induction, P-gp inhibition, and P-gp induction by rifampicin. The disposition of rivaroxaban is more complex compared with apixaban because both hepatic and renal P-gp is considered to contribute to rivaroxaban elimination. Furthermore, organic anion transporter-3, a renal uptake transporter, may also contribute the elimination of rivaroxaban from systemic circulation. The models were verified with observed clinical drug–drug interactions with CYP3A and P-gp inhibitors. With the developed models, the predicted area under the concentration time curve and maximum concentration ratios were 0.43 and 0.48, respectively, for apixaban, and 0.50–0.52 and 0.72–0.73, respectively, for rivaroxaban when coadministered with 600 mg multiple doses of rifampicin and that were very close to observed data. The impact of each of the elimination pathways was assessed for rivaroxaban, and inhibition of CYP3A led to a larger impact over intestinal and hepatic P-gp. Inhibition of renal organic anion transporter-3 or P-gp led to an overall modest interaction. The developed apixaban and rivaroxaban models can be further applied to the investigation of interactions with other P-gp and/or CYP3A4 inhibitors and inducers.","author":[{"dropping-particle":"","family":"Otsuka","given":"Yukio","non-dropping-particle":"","parse-names":false,"suffix":""},{"dropping-particle":"","family":"Choules","given":"Mary P.","non-dropping-particle":"","parse-names":false,"suffix":""},{"dropping-particle":"","family":"Bonate","given":"Peter L.","non-dropping-particle":"","parse-names":false,"suffix":""},{"dropping-particle":"","family":"Komatsu","given":"Kanji","non-dropping-particle":"","parse-names":false,"suffix":""}],"container-title":"CPT: Pharmacometrics and Systems Pharmacology","id":"ITEM-1","issue":"11","issued":{"date-parts":[["2020","11","1"]]},"page":"659-669","publisher":"American Society for Clinical Pharmacology and Therapeutics","title":"Physiologically-Based Pharmacokinetic Modeling for the Prediction of a Drug–Drug Interaction of Combined Effects on P-glycoprotein and Cytochrome P450 3A","type":"article-journal","volume":"9"},"uris":["http://www.mendeley.com/documents/?uuid=1502fab5-7b41-3770-8a6f-33429769e50b"]}],"mendeley":{"formattedCitation":"&lt;sup&gt;58&lt;/sup&gt;","plainTextFormattedCitation":"58"},"properties":{"noteIndex":0},"schema":"https://github.com/citation-style-language/schema/raw/master/csl-citation.json"}</w:instrText>
      </w:r>
      <w:r w:rsidR="00516D49" w:rsidRPr="00FE158B">
        <w:rPr>
          <w:rFonts w:ascii="Arial" w:hAnsi="Arial" w:cs="Arial"/>
          <w:sz w:val="20"/>
          <w:szCs w:val="20"/>
        </w:rPr>
        <w:fldChar w:fldCharType="separate"/>
      </w:r>
      <w:r w:rsidR="00516D49" w:rsidRPr="00FE158B">
        <w:rPr>
          <w:rFonts w:ascii="Arial" w:hAnsi="Arial" w:cs="Arial"/>
          <w:noProof/>
          <w:sz w:val="20"/>
          <w:szCs w:val="20"/>
          <w:vertAlign w:val="superscript"/>
        </w:rPr>
        <w:t>58</w:t>
      </w:r>
      <w:r w:rsidR="00516D49" w:rsidRPr="00FE158B">
        <w:rPr>
          <w:rFonts w:ascii="Arial" w:hAnsi="Arial" w:cs="Arial"/>
          <w:sz w:val="20"/>
          <w:szCs w:val="20"/>
        </w:rPr>
        <w:fldChar w:fldCharType="end"/>
      </w:r>
      <w:r w:rsidR="00C70B56">
        <w:rPr>
          <w:rFonts w:ascii="Arial" w:hAnsi="Arial" w:cs="Arial"/>
          <w:sz w:val="20"/>
          <w:szCs w:val="20"/>
        </w:rPr>
        <w:t xml:space="preserve"> </w:t>
      </w:r>
      <w:r w:rsidR="001F56C1">
        <w:rPr>
          <w:rFonts w:ascii="Arial" w:hAnsi="Arial" w:cs="Arial"/>
          <w:sz w:val="20"/>
          <w:szCs w:val="20"/>
        </w:rPr>
        <w:t>where</w:t>
      </w:r>
      <w:r w:rsidR="00C70B56">
        <w:rPr>
          <w:rFonts w:ascii="Arial" w:hAnsi="Arial" w:cs="Arial"/>
          <w:sz w:val="20"/>
          <w:szCs w:val="20"/>
        </w:rPr>
        <w:t xml:space="preserve"> neither </w:t>
      </w:r>
      <w:r w:rsidR="00A93B99" w:rsidRPr="00FE158B">
        <w:rPr>
          <w:rFonts w:ascii="Arial" w:hAnsi="Arial" w:cs="Arial"/>
          <w:sz w:val="20"/>
          <w:szCs w:val="20"/>
        </w:rPr>
        <w:t xml:space="preserve">OAT3 interaction </w:t>
      </w:r>
      <w:r w:rsidR="00C70B56">
        <w:rPr>
          <w:rFonts w:ascii="Arial" w:hAnsi="Arial" w:cs="Arial"/>
          <w:sz w:val="20"/>
          <w:szCs w:val="20"/>
        </w:rPr>
        <w:t>nor demonstrated</w:t>
      </w:r>
      <w:r w:rsidR="00A93B99" w:rsidRPr="00FE158B">
        <w:rPr>
          <w:rFonts w:ascii="Arial" w:hAnsi="Arial" w:cs="Arial"/>
          <w:sz w:val="20"/>
          <w:szCs w:val="20"/>
        </w:rPr>
        <w:t xml:space="preserve"> </w:t>
      </w:r>
      <w:r w:rsidR="00C70B56">
        <w:rPr>
          <w:rFonts w:ascii="Arial" w:hAnsi="Arial" w:cs="Arial"/>
          <w:sz w:val="20"/>
          <w:szCs w:val="20"/>
        </w:rPr>
        <w:t>the clinically-observed reduction in</w:t>
      </w:r>
      <w:r w:rsidR="00A93B99" w:rsidRPr="00FE158B">
        <w:rPr>
          <w:rFonts w:ascii="Arial" w:hAnsi="Arial" w:cs="Arial"/>
          <w:sz w:val="20"/>
          <w:szCs w:val="20"/>
        </w:rPr>
        <w:t xml:space="preserve"> </w:t>
      </w:r>
      <w:r w:rsidR="00A93B99" w:rsidRPr="00FE158B">
        <w:rPr>
          <w:rFonts w:ascii="Arial" w:hAnsi="Arial" w:cs="Arial" w:hint="eastAsia"/>
          <w:sz w:val="20"/>
          <w:szCs w:val="20"/>
        </w:rPr>
        <w:t>CL</w:t>
      </w:r>
      <w:r w:rsidR="00A93B99" w:rsidRPr="00FE158B">
        <w:rPr>
          <w:rFonts w:ascii="Arial" w:hAnsi="Arial" w:cs="Arial"/>
          <w:sz w:val="20"/>
          <w:szCs w:val="20"/>
          <w:vertAlign w:val="subscript"/>
        </w:rPr>
        <w:t>R</w:t>
      </w:r>
      <w:r w:rsidR="00A93B99" w:rsidRPr="00FE158B">
        <w:rPr>
          <w:rFonts w:ascii="Arial" w:hAnsi="Arial" w:cs="Arial"/>
          <w:sz w:val="20"/>
          <w:szCs w:val="20"/>
        </w:rPr>
        <w:t xml:space="preserve"> of rivaroxaban </w:t>
      </w:r>
      <w:r w:rsidR="00C70B56">
        <w:rPr>
          <w:rFonts w:ascii="Arial" w:hAnsi="Arial" w:cs="Arial"/>
          <w:sz w:val="20"/>
          <w:szCs w:val="20"/>
        </w:rPr>
        <w:t>in the presence of</w:t>
      </w:r>
      <w:r w:rsidR="00A93B99" w:rsidRPr="00FE158B">
        <w:rPr>
          <w:rFonts w:ascii="Arial" w:hAnsi="Arial" w:cs="Arial"/>
          <w:sz w:val="20"/>
          <w:szCs w:val="20"/>
        </w:rPr>
        <w:t xml:space="preserve"> fluconazole</w:t>
      </w:r>
      <w:r w:rsidR="001F56C1">
        <w:rPr>
          <w:rFonts w:ascii="Arial" w:hAnsi="Arial" w:cs="Arial"/>
          <w:sz w:val="20"/>
          <w:szCs w:val="20"/>
        </w:rPr>
        <w:t xml:space="preserve"> was considered</w:t>
      </w:r>
      <w:r w:rsidR="00A93B99" w:rsidRPr="00FE158B">
        <w:rPr>
          <w:rFonts w:ascii="Arial" w:hAnsi="Arial" w:cs="Arial"/>
          <w:sz w:val="20"/>
          <w:szCs w:val="20"/>
        </w:rPr>
        <w:t>.</w:t>
      </w:r>
      <w:r w:rsidR="006C6945" w:rsidRPr="00FE158B">
        <w:rPr>
          <w:rFonts w:ascii="Arial" w:hAnsi="Arial" w:cs="Arial"/>
          <w:sz w:val="20"/>
          <w:szCs w:val="20"/>
        </w:rPr>
        <w:fldChar w:fldCharType="begin" w:fldLock="1"/>
      </w:r>
      <w:r w:rsidR="00516D49" w:rsidRPr="00FE158B">
        <w:rPr>
          <w:rFonts w:ascii="Arial" w:hAnsi="Arial" w:cs="Arial"/>
          <w:sz w:val="20"/>
          <w:szCs w:val="20"/>
        </w:rPr>
        <w:instrText>ADDIN CSL_CITATION {"citationItems":[{"id":"ITEM-1","itemData":{"DOI":"10.1111/bcp.12075","ISSN":"1365-2125","PMID":"23305158","abstract":"AIMS The anticoagulant rivaroxaban is an oral, direct Factor Xa inhibitor for the management of thromboembolic disorders. Metabolism and excretion involve cytochrome P450 3A4 (CYP3A4) and 2J2 (CYP2J2), CYP-independent mechanisms, and P-glycoprotein (P-gp) and breast cancer resistance protein (Bcrp) (ABCG2). METHODS The pharmacokinetic effects of substrates or inhibitors of CYP3A4, P-gp and Bcrp (ABCG2) on rivaroxaban were studied in healthy volunteers. RESULTS Rivaroxaban did not interact with midazolam (CYP3A4 probe substrate). Exposure to rivaroxaban when co-administered with midazolam was slightly decreased by 11% (95% confidence interval [CI] -28%, 7%) compared with rivaroxaban alone. The following drugs moderately affected rivaroxaban exposure, but not to a clinically relevant extent: erythromycin (moderate CYP3A4/P-gp inhibitor; 34% increase [95% CI 23%, 46%]), clarithromycin (strong CYP3A4/moderate P-gp inhibitor; 54% increase [95% CI 44%, 64%]) and fluconazole (moderate CYP3A4, possible Bcrp [ABCG2] inhibitor; 42% increase [95% CI 29%, 56%]). A significant increase in rivaroxaban exposure was demonstrated with the strong CYP3A4, P-gp/Bcrp (ABCG2) inhibitors (and potential CYP2J2 inhibitors) ketoconazole (158% increase [95% CI 136%, 182%] for a 400 mg once daily dose) and ritonavir (153% increase [95% CI 134%, 174%]). CONCLUSIONS Results suggest that rivaroxaban may be co-administered with CYP3A4 and/or P-gp substrates/moderate inhibitors, but not with strong combined CYP3A4, P-gp and Bcrp (ABCG2) inhibitors (mainly comprising azole-antimycotics, apart from fluconazole, and HIV protease inhibitors), which are multi-pathway inhibitors of rivaroxaban clearance and elimination.","author":[{"dropping-particle":"","family":"Mueck","given":"Wolfgang","non-dropping-particle":"","parse-names":false,"suffix":""},{"dropping-particle":"","family":"Kubitza","given":"Dagmar","non-dropping-particle":"","parse-names":false,"suffix":""},{"dropping-particle":"","family":"Becka","given":"Michael","non-dropping-particle":"","parse-names":false,"suffix":""}],"container-title":"British journal of clinical pharmacology","id":"ITEM-1","issue":"3","issued":{"date-parts":[["2013","9"]]},"page":"455-466","title":"Co-administration of rivaroxaban with drugs that share its elimination pathways: pharmacokinetic effects in healthy subjects.","type":"article-journal","volume":"76"},"uris":["http://www.mendeley.com/documents/?uuid=f3dde3be-e4fc-3a61-909f-a12c00e36b9e"]}],"mendeley":{"formattedCitation":"&lt;sup&gt;44&lt;/sup&gt;","plainTextFormattedCitation":"44","previouslyFormattedCitation":"&lt;sup&gt;44&lt;/sup&gt;"},"properties":{"noteIndex":0},"schema":"https://github.com/citation-style-language/schema/raw/master/csl-citation.json"}</w:instrText>
      </w:r>
      <w:r w:rsidR="006C6945" w:rsidRPr="00FE158B">
        <w:rPr>
          <w:rFonts w:ascii="Arial" w:hAnsi="Arial" w:cs="Arial"/>
          <w:sz w:val="20"/>
          <w:szCs w:val="20"/>
        </w:rPr>
        <w:fldChar w:fldCharType="separate"/>
      </w:r>
      <w:r w:rsidR="006C6945" w:rsidRPr="00FE158B">
        <w:rPr>
          <w:rFonts w:ascii="Arial" w:hAnsi="Arial" w:cs="Arial"/>
          <w:noProof/>
          <w:sz w:val="20"/>
          <w:szCs w:val="20"/>
          <w:vertAlign w:val="superscript"/>
        </w:rPr>
        <w:t>44</w:t>
      </w:r>
      <w:r w:rsidR="006C6945" w:rsidRPr="00FE158B">
        <w:rPr>
          <w:rFonts w:ascii="Arial" w:hAnsi="Arial" w:cs="Arial"/>
          <w:sz w:val="20"/>
          <w:szCs w:val="20"/>
        </w:rPr>
        <w:fldChar w:fldCharType="end"/>
      </w:r>
      <w:r w:rsidR="00A93B99" w:rsidRPr="00FE158B">
        <w:rPr>
          <w:rFonts w:ascii="Arial" w:hAnsi="Arial" w:cs="Arial"/>
          <w:sz w:val="20"/>
          <w:szCs w:val="20"/>
        </w:rPr>
        <w:t xml:space="preserve"> </w:t>
      </w:r>
      <w:r w:rsidR="001F56C1">
        <w:rPr>
          <w:rFonts w:ascii="Arial" w:hAnsi="Arial" w:cs="Arial"/>
          <w:sz w:val="20"/>
          <w:szCs w:val="20"/>
        </w:rPr>
        <w:t>As o</w:t>
      </w:r>
      <w:r w:rsidR="00686D50" w:rsidRPr="00FE158B">
        <w:rPr>
          <w:rFonts w:ascii="Arial" w:hAnsi="Arial" w:cs="Arial"/>
          <w:sz w:val="20"/>
          <w:szCs w:val="20"/>
        </w:rPr>
        <w:t xml:space="preserve">ur preliminary data </w:t>
      </w:r>
      <w:r w:rsidR="00575799" w:rsidRPr="00FE158B">
        <w:rPr>
          <w:rFonts w:ascii="Arial" w:hAnsi="Arial" w:cs="Arial"/>
          <w:sz w:val="20"/>
          <w:szCs w:val="20"/>
        </w:rPr>
        <w:t xml:space="preserve">demonstrated </w:t>
      </w:r>
      <w:r w:rsidR="00BD45C4" w:rsidRPr="00FE158B">
        <w:rPr>
          <w:rFonts w:ascii="Arial" w:hAnsi="Arial" w:cs="Arial"/>
          <w:sz w:val="20"/>
          <w:szCs w:val="20"/>
        </w:rPr>
        <w:t xml:space="preserve">fluconazole </w:t>
      </w:r>
      <w:r w:rsidR="00A93B99" w:rsidRPr="00FE158B">
        <w:rPr>
          <w:rFonts w:ascii="Arial" w:hAnsi="Arial" w:cs="Arial"/>
          <w:sz w:val="20"/>
          <w:szCs w:val="20"/>
        </w:rPr>
        <w:t xml:space="preserve">is an inhibitor of </w:t>
      </w:r>
      <w:r w:rsidR="006C44D0" w:rsidRPr="00FE158B">
        <w:rPr>
          <w:rFonts w:ascii="Arial" w:hAnsi="Arial" w:cs="Arial"/>
          <w:sz w:val="20"/>
          <w:szCs w:val="20"/>
        </w:rPr>
        <w:t xml:space="preserve">OAT3-mediated </w:t>
      </w:r>
      <w:r w:rsidR="00A93B99" w:rsidRPr="00FE158B">
        <w:rPr>
          <w:rFonts w:ascii="Arial" w:hAnsi="Arial" w:cs="Arial"/>
          <w:sz w:val="20"/>
          <w:szCs w:val="20"/>
        </w:rPr>
        <w:t>uptake</w:t>
      </w:r>
      <w:r w:rsidR="006C44D0" w:rsidRPr="00FE158B">
        <w:rPr>
          <w:rFonts w:ascii="Arial" w:hAnsi="Arial" w:cs="Arial"/>
          <w:sz w:val="20"/>
          <w:szCs w:val="20"/>
        </w:rPr>
        <w:t xml:space="preserve"> of rivaroxaban</w:t>
      </w:r>
      <w:r w:rsidR="00EA6B9A" w:rsidRPr="00FE158B">
        <w:rPr>
          <w:rFonts w:ascii="Arial" w:hAnsi="Arial" w:cs="Arial"/>
          <w:i/>
          <w:iCs/>
          <w:sz w:val="20"/>
          <w:szCs w:val="20"/>
        </w:rPr>
        <w:t xml:space="preserve"> </w:t>
      </w:r>
      <w:r w:rsidR="0020378C" w:rsidRPr="00FE158B">
        <w:rPr>
          <w:rFonts w:ascii="Arial" w:hAnsi="Arial" w:cs="Arial"/>
          <w:sz w:val="20"/>
          <w:szCs w:val="20"/>
        </w:rPr>
        <w:t>(</w:t>
      </w:r>
      <w:r w:rsidR="00A93B99" w:rsidRPr="00FE158B">
        <w:rPr>
          <w:rFonts w:ascii="Arial" w:hAnsi="Arial" w:cs="Arial"/>
          <w:b/>
          <w:bCs/>
          <w:sz w:val="20"/>
          <w:szCs w:val="20"/>
        </w:rPr>
        <w:t>Figure</w:t>
      </w:r>
      <w:r w:rsidR="00EF082A" w:rsidRPr="00FE158B">
        <w:rPr>
          <w:rFonts w:ascii="Arial" w:hAnsi="Arial" w:cs="Arial"/>
          <w:b/>
          <w:bCs/>
          <w:sz w:val="20"/>
          <w:szCs w:val="20"/>
        </w:rPr>
        <w:t xml:space="preserve"> S</w:t>
      </w:r>
      <w:r w:rsidR="004E48DC" w:rsidRPr="00FE158B">
        <w:rPr>
          <w:rFonts w:ascii="Arial" w:hAnsi="Arial" w:cs="Arial"/>
          <w:b/>
          <w:bCs/>
          <w:sz w:val="20"/>
          <w:szCs w:val="20"/>
        </w:rPr>
        <w:t>4</w:t>
      </w:r>
      <w:r w:rsidR="0020378C" w:rsidRPr="00FE158B">
        <w:rPr>
          <w:rFonts w:ascii="Arial" w:hAnsi="Arial" w:cs="Arial"/>
          <w:sz w:val="20"/>
          <w:szCs w:val="20"/>
        </w:rPr>
        <w:t>)</w:t>
      </w:r>
      <w:r w:rsidR="001F56C1">
        <w:rPr>
          <w:rFonts w:ascii="Arial" w:hAnsi="Arial" w:cs="Arial"/>
          <w:sz w:val="20"/>
          <w:szCs w:val="20"/>
        </w:rPr>
        <w:t>, f</w:t>
      </w:r>
      <w:r w:rsidR="00A93B99" w:rsidRPr="00FE158B">
        <w:rPr>
          <w:rFonts w:ascii="Arial" w:hAnsi="Arial" w:cs="Arial"/>
          <w:sz w:val="20"/>
          <w:szCs w:val="20"/>
        </w:rPr>
        <w:t xml:space="preserve">uture PBPK modelling of </w:t>
      </w:r>
      <w:r w:rsidR="001F56C1">
        <w:rPr>
          <w:rFonts w:ascii="Arial" w:hAnsi="Arial" w:cs="Arial"/>
          <w:sz w:val="20"/>
          <w:szCs w:val="20"/>
        </w:rPr>
        <w:t xml:space="preserve">this </w:t>
      </w:r>
      <w:r w:rsidR="00A93B99" w:rsidRPr="00FE158B">
        <w:rPr>
          <w:rFonts w:ascii="Arial" w:hAnsi="Arial" w:cs="Arial"/>
          <w:sz w:val="20"/>
          <w:szCs w:val="20"/>
        </w:rPr>
        <w:t xml:space="preserve">DDI should be performed </w:t>
      </w:r>
      <w:r w:rsidR="005A3D01">
        <w:rPr>
          <w:rFonts w:ascii="Arial" w:hAnsi="Arial" w:cs="Arial"/>
          <w:sz w:val="20"/>
          <w:szCs w:val="20"/>
        </w:rPr>
        <w:t>with the consideration of OAT3</w:t>
      </w:r>
      <w:r w:rsidR="00686D50" w:rsidRPr="00FE158B">
        <w:rPr>
          <w:rFonts w:ascii="Arial" w:hAnsi="Arial" w:cs="Arial"/>
          <w:sz w:val="20"/>
          <w:szCs w:val="20"/>
        </w:rPr>
        <w:t xml:space="preserve"> interaction</w:t>
      </w:r>
      <w:r w:rsidR="00A93B99" w:rsidRPr="00FE158B">
        <w:rPr>
          <w:rFonts w:ascii="Arial" w:hAnsi="Arial" w:cs="Arial"/>
          <w:sz w:val="20"/>
          <w:szCs w:val="20"/>
        </w:rPr>
        <w:t>.</w:t>
      </w:r>
    </w:p>
    <w:p w14:paraId="610EF180" w14:textId="77777777" w:rsidR="00C71580" w:rsidRDefault="00C71580" w:rsidP="00062B7A">
      <w:pPr>
        <w:spacing w:after="0" w:line="480" w:lineRule="auto"/>
        <w:jc w:val="both"/>
        <w:rPr>
          <w:rFonts w:ascii="Arial" w:hAnsi="Arial" w:cs="Arial"/>
          <w:sz w:val="20"/>
          <w:szCs w:val="20"/>
        </w:rPr>
      </w:pPr>
    </w:p>
    <w:p w14:paraId="5FD36B42" w14:textId="64DB6D18" w:rsidR="00D32B4F" w:rsidRPr="00FB50B5" w:rsidRDefault="00BA1316" w:rsidP="00062B7A">
      <w:pPr>
        <w:spacing w:after="0" w:line="480" w:lineRule="auto"/>
        <w:jc w:val="both"/>
        <w:rPr>
          <w:rFonts w:ascii="Arial" w:hAnsi="Arial" w:cs="Arial"/>
          <w:sz w:val="20"/>
          <w:szCs w:val="20"/>
        </w:rPr>
      </w:pPr>
      <w:r>
        <w:rPr>
          <w:rFonts w:ascii="Arial" w:hAnsi="Arial" w:cs="Arial"/>
          <w:sz w:val="20"/>
          <w:szCs w:val="20"/>
        </w:rPr>
        <w:t>Par</w:t>
      </w:r>
      <w:r w:rsidR="001141A1">
        <w:rPr>
          <w:rFonts w:ascii="Arial" w:hAnsi="Arial" w:cs="Arial"/>
          <w:sz w:val="20"/>
          <w:szCs w:val="20"/>
        </w:rPr>
        <w:t xml:space="preserve">ameter non-identifiability also arises when </w:t>
      </w:r>
      <w:r w:rsidR="00702DFF">
        <w:rPr>
          <w:rFonts w:ascii="Arial" w:hAnsi="Arial" w:cs="Arial"/>
          <w:sz w:val="20"/>
          <w:szCs w:val="20"/>
        </w:rPr>
        <w:t xml:space="preserve">there is incomplete deconvolution of the underlying </w:t>
      </w:r>
      <w:r w:rsidR="00BD0E35">
        <w:rPr>
          <w:rFonts w:ascii="Arial" w:hAnsi="Arial" w:cs="Arial"/>
          <w:sz w:val="20"/>
          <w:szCs w:val="20"/>
        </w:rPr>
        <w:t xml:space="preserve">mechanisms </w:t>
      </w:r>
      <w:r w:rsidR="00C922BE">
        <w:rPr>
          <w:rFonts w:ascii="Arial" w:hAnsi="Arial" w:cs="Arial"/>
          <w:sz w:val="20"/>
          <w:szCs w:val="20"/>
        </w:rPr>
        <w:t xml:space="preserve">contributing to </w:t>
      </w:r>
      <w:r w:rsidR="00C21D92">
        <w:rPr>
          <w:rFonts w:ascii="Arial" w:hAnsi="Arial" w:cs="Arial"/>
          <w:sz w:val="20"/>
          <w:szCs w:val="20"/>
        </w:rPr>
        <w:t xml:space="preserve">the </w:t>
      </w:r>
      <w:r w:rsidR="00E6728F">
        <w:rPr>
          <w:rFonts w:ascii="Arial" w:hAnsi="Arial" w:cs="Arial"/>
          <w:sz w:val="20"/>
          <w:szCs w:val="20"/>
        </w:rPr>
        <w:t>elimination process</w:t>
      </w:r>
      <w:r w:rsidR="00FF308A">
        <w:rPr>
          <w:rFonts w:ascii="Arial" w:hAnsi="Arial" w:cs="Arial"/>
          <w:sz w:val="20"/>
          <w:szCs w:val="20"/>
        </w:rPr>
        <w:t>es</w:t>
      </w:r>
      <w:r w:rsidR="00E6728F">
        <w:rPr>
          <w:rFonts w:ascii="Arial" w:hAnsi="Arial" w:cs="Arial"/>
          <w:sz w:val="20"/>
          <w:szCs w:val="20"/>
        </w:rPr>
        <w:t xml:space="preserve">. </w:t>
      </w:r>
      <w:r w:rsidR="001435C1">
        <w:rPr>
          <w:rFonts w:ascii="Arial" w:hAnsi="Arial" w:cs="Arial"/>
          <w:sz w:val="20"/>
          <w:szCs w:val="20"/>
        </w:rPr>
        <w:t>Here</w:t>
      </w:r>
      <w:r w:rsidR="00AC74DF" w:rsidRPr="002966D9">
        <w:rPr>
          <w:rFonts w:ascii="Arial" w:hAnsi="Arial" w:cs="Arial"/>
          <w:sz w:val="20"/>
          <w:szCs w:val="20"/>
        </w:rPr>
        <w:t xml:space="preserve">, </w:t>
      </w:r>
      <w:r w:rsidR="00D125D6">
        <w:rPr>
          <w:rFonts w:ascii="Arial" w:hAnsi="Arial" w:cs="Arial"/>
          <w:sz w:val="20"/>
          <w:szCs w:val="20"/>
        </w:rPr>
        <w:t xml:space="preserve">we </w:t>
      </w:r>
      <w:r w:rsidR="001F56C1">
        <w:rPr>
          <w:rFonts w:ascii="Arial" w:hAnsi="Arial" w:cs="Arial"/>
          <w:sz w:val="20"/>
          <w:szCs w:val="20"/>
        </w:rPr>
        <w:t>provided</w:t>
      </w:r>
      <w:r w:rsidR="00D57C84">
        <w:rPr>
          <w:rFonts w:ascii="Arial" w:hAnsi="Arial" w:cs="Arial"/>
          <w:sz w:val="20"/>
          <w:szCs w:val="20"/>
        </w:rPr>
        <w:t xml:space="preserve"> mechanistic credibility to</w:t>
      </w:r>
      <w:r w:rsidR="00F95AA1" w:rsidRPr="002966D9">
        <w:rPr>
          <w:rFonts w:ascii="Arial" w:hAnsi="Arial" w:cs="Arial"/>
          <w:sz w:val="20"/>
          <w:szCs w:val="20"/>
        </w:rPr>
        <w:t xml:space="preserve"> </w:t>
      </w:r>
      <w:r w:rsidR="00C10A55">
        <w:rPr>
          <w:rFonts w:ascii="Arial" w:hAnsi="Arial" w:cs="Arial"/>
          <w:sz w:val="20"/>
          <w:szCs w:val="20"/>
        </w:rPr>
        <w:t xml:space="preserve">the estimation of the OAT3-mediated </w:t>
      </w:r>
      <w:proofErr w:type="gramStart"/>
      <w:r w:rsidR="00F95AA1" w:rsidRPr="002966D9">
        <w:rPr>
          <w:rFonts w:ascii="Arial" w:hAnsi="Arial" w:cs="Arial"/>
          <w:sz w:val="20"/>
          <w:szCs w:val="20"/>
        </w:rPr>
        <w:t>CLu</w:t>
      </w:r>
      <w:r w:rsidR="00F95AA1" w:rsidRPr="002966D9">
        <w:rPr>
          <w:rFonts w:ascii="Arial" w:hAnsi="Arial" w:cs="Arial"/>
          <w:sz w:val="20"/>
          <w:szCs w:val="20"/>
          <w:vertAlign w:val="subscript"/>
        </w:rPr>
        <w:t>int,T</w:t>
      </w:r>
      <w:proofErr w:type="gramEnd"/>
      <w:r w:rsidR="00F95AA1" w:rsidRPr="002966D9">
        <w:rPr>
          <w:rFonts w:ascii="Arial" w:hAnsi="Arial" w:cs="Arial"/>
          <w:sz w:val="20"/>
          <w:szCs w:val="20"/>
        </w:rPr>
        <w:t xml:space="preserve"> </w:t>
      </w:r>
      <w:r w:rsidR="00C10A55">
        <w:rPr>
          <w:rFonts w:ascii="Arial" w:hAnsi="Arial" w:cs="Arial"/>
          <w:sz w:val="20"/>
          <w:szCs w:val="20"/>
        </w:rPr>
        <w:t xml:space="preserve">of rivaroxaban via a bottom-up approach. In OAT3-transfected HEK cells, </w:t>
      </w:r>
      <w:r w:rsidR="005273B8">
        <w:rPr>
          <w:rFonts w:ascii="Arial" w:hAnsi="Arial" w:cs="Arial"/>
          <w:sz w:val="20"/>
          <w:szCs w:val="20"/>
        </w:rPr>
        <w:t xml:space="preserve">experimental </w:t>
      </w:r>
      <w:proofErr w:type="gramStart"/>
      <w:r w:rsidR="005273B8" w:rsidRPr="002966D9">
        <w:rPr>
          <w:rFonts w:ascii="Arial" w:hAnsi="Arial" w:cs="Arial"/>
          <w:sz w:val="20"/>
          <w:szCs w:val="20"/>
        </w:rPr>
        <w:t>CLu</w:t>
      </w:r>
      <w:r w:rsidR="005273B8" w:rsidRPr="002966D9">
        <w:rPr>
          <w:rFonts w:ascii="Arial" w:hAnsi="Arial" w:cs="Arial"/>
          <w:sz w:val="20"/>
          <w:szCs w:val="20"/>
          <w:vertAlign w:val="subscript"/>
        </w:rPr>
        <w:t>int,T</w:t>
      </w:r>
      <w:proofErr w:type="gramEnd"/>
      <w:r w:rsidR="005273B8" w:rsidRPr="002966D9">
        <w:rPr>
          <w:rFonts w:ascii="Arial" w:hAnsi="Arial" w:cs="Arial"/>
          <w:sz w:val="20"/>
          <w:szCs w:val="20"/>
        </w:rPr>
        <w:t xml:space="preserve"> </w:t>
      </w:r>
      <w:r w:rsidR="00F95AA1" w:rsidRPr="002966D9">
        <w:rPr>
          <w:rFonts w:ascii="Arial" w:hAnsi="Arial" w:cs="Arial"/>
          <w:sz w:val="20"/>
          <w:szCs w:val="20"/>
        </w:rPr>
        <w:t>was initiall</w:t>
      </w:r>
      <w:r w:rsidR="005273B8">
        <w:rPr>
          <w:rFonts w:ascii="Arial" w:hAnsi="Arial" w:cs="Arial"/>
          <w:sz w:val="20"/>
          <w:szCs w:val="20"/>
        </w:rPr>
        <w:t xml:space="preserve">y derived </w:t>
      </w:r>
      <w:r w:rsidR="00F95AA1" w:rsidRPr="002966D9">
        <w:rPr>
          <w:rFonts w:ascii="Arial" w:hAnsi="Arial" w:cs="Arial"/>
          <w:sz w:val="20"/>
          <w:szCs w:val="20"/>
        </w:rPr>
        <w:t xml:space="preserve">to be 3.5 </w:t>
      </w:r>
      <w:bookmarkStart w:id="12" w:name="OLE_LINK75"/>
      <w:r w:rsidR="00F95AA1" w:rsidRPr="002966D9">
        <w:rPr>
          <w:rFonts w:ascii="Arial" w:hAnsi="Arial" w:cs="Arial"/>
          <w:sz w:val="20"/>
          <w:szCs w:val="20"/>
        </w:rPr>
        <w:t>µL/min/mg</w:t>
      </w:r>
      <w:bookmarkEnd w:id="12"/>
      <w:r w:rsidR="00F95AA1" w:rsidRPr="002966D9">
        <w:rPr>
          <w:rFonts w:ascii="Arial" w:hAnsi="Arial" w:cs="Arial"/>
          <w:sz w:val="20"/>
          <w:szCs w:val="20"/>
        </w:rPr>
        <w:t xml:space="preserve"> protein [</w:t>
      </w:r>
      <w:proofErr w:type="spellStart"/>
      <w:r w:rsidR="00F95AA1" w:rsidRPr="002966D9">
        <w:rPr>
          <w:rFonts w:ascii="Arial" w:hAnsi="Arial" w:cs="Arial"/>
          <w:sz w:val="20"/>
          <w:szCs w:val="20"/>
        </w:rPr>
        <w:t>J</w:t>
      </w:r>
      <w:r w:rsidR="00F95AA1" w:rsidRPr="002966D9">
        <w:rPr>
          <w:rFonts w:ascii="Arial" w:hAnsi="Arial" w:cs="Arial"/>
          <w:sz w:val="20"/>
          <w:szCs w:val="20"/>
          <w:vertAlign w:val="subscript"/>
        </w:rPr>
        <w:t>max</w:t>
      </w:r>
      <w:proofErr w:type="spellEnd"/>
      <w:r w:rsidR="00F95AA1" w:rsidRPr="002966D9">
        <w:rPr>
          <w:rFonts w:ascii="Arial" w:hAnsi="Arial" w:cs="Arial"/>
          <w:sz w:val="20"/>
          <w:szCs w:val="20"/>
        </w:rPr>
        <w:t xml:space="preserve"> = 31.0 </w:t>
      </w:r>
      <w:proofErr w:type="spellStart"/>
      <w:r w:rsidR="00F95AA1" w:rsidRPr="002966D9">
        <w:rPr>
          <w:rFonts w:ascii="Arial" w:hAnsi="Arial" w:cs="Arial"/>
          <w:sz w:val="20"/>
          <w:szCs w:val="20"/>
        </w:rPr>
        <w:t>pmol</w:t>
      </w:r>
      <w:proofErr w:type="spellEnd"/>
      <w:r w:rsidR="00F95AA1" w:rsidRPr="002966D9">
        <w:rPr>
          <w:rFonts w:ascii="Arial" w:hAnsi="Arial" w:cs="Arial"/>
          <w:sz w:val="20"/>
          <w:szCs w:val="20"/>
        </w:rPr>
        <w:t>/min/mg (95% CI: 20.8, 72.8), K</w:t>
      </w:r>
      <w:r w:rsidR="00F95AA1" w:rsidRPr="002966D9">
        <w:rPr>
          <w:rFonts w:ascii="Arial" w:hAnsi="Arial" w:cs="Arial"/>
          <w:sz w:val="20"/>
          <w:szCs w:val="20"/>
          <w:vertAlign w:val="subscript"/>
        </w:rPr>
        <w:t>m</w:t>
      </w:r>
      <w:r w:rsidR="00F95AA1" w:rsidRPr="002966D9">
        <w:rPr>
          <w:rFonts w:ascii="Arial" w:hAnsi="Arial" w:cs="Arial"/>
          <w:sz w:val="20"/>
          <w:szCs w:val="20"/>
        </w:rPr>
        <w:t xml:space="preserve"> = 8.91 µM (95% CI: 3.01, 40)]</w:t>
      </w:r>
      <w:r w:rsidR="00457081">
        <w:rPr>
          <w:rFonts w:ascii="Arial" w:hAnsi="Arial" w:cs="Arial"/>
          <w:sz w:val="20"/>
          <w:szCs w:val="20"/>
        </w:rPr>
        <w:t xml:space="preserve"> (</w:t>
      </w:r>
      <w:r w:rsidR="00457081" w:rsidRPr="00217D6D">
        <w:rPr>
          <w:rFonts w:ascii="Arial" w:hAnsi="Arial" w:cs="Arial"/>
          <w:b/>
          <w:bCs/>
          <w:sz w:val="20"/>
          <w:szCs w:val="20"/>
        </w:rPr>
        <w:t>Figure S</w:t>
      </w:r>
      <w:r w:rsidR="004E48DC">
        <w:rPr>
          <w:rFonts w:ascii="Arial" w:hAnsi="Arial" w:cs="Arial"/>
          <w:b/>
          <w:bCs/>
          <w:sz w:val="20"/>
          <w:szCs w:val="20"/>
        </w:rPr>
        <w:t>5</w:t>
      </w:r>
      <w:r w:rsidR="00894766">
        <w:rPr>
          <w:rFonts w:ascii="Arial" w:hAnsi="Arial" w:cs="Arial"/>
          <w:b/>
          <w:bCs/>
          <w:sz w:val="20"/>
          <w:szCs w:val="20"/>
        </w:rPr>
        <w:t>A</w:t>
      </w:r>
      <w:r w:rsidR="00217D6D">
        <w:rPr>
          <w:rFonts w:ascii="Arial" w:hAnsi="Arial" w:cs="Arial"/>
          <w:sz w:val="20"/>
          <w:szCs w:val="20"/>
        </w:rPr>
        <w:t>)</w:t>
      </w:r>
      <w:r w:rsidR="008F39BE">
        <w:rPr>
          <w:rFonts w:ascii="Arial" w:hAnsi="Arial" w:cs="Arial"/>
          <w:sz w:val="20"/>
          <w:szCs w:val="20"/>
        </w:rPr>
        <w:t>.</w:t>
      </w:r>
      <w:r w:rsidR="00F95AA1" w:rsidRPr="002966D9">
        <w:rPr>
          <w:rFonts w:ascii="Arial" w:hAnsi="Arial" w:cs="Arial"/>
          <w:sz w:val="20"/>
          <w:szCs w:val="20"/>
        </w:rPr>
        <w:t xml:space="preserve"> Considering the number of HEK cells per measured protein (5.62 million cells/mg) and the differential OAT3 abundance between the transfected system in this study </w:t>
      </w:r>
      <w:r w:rsidR="00F95AA1" w:rsidRPr="008A6495">
        <w:rPr>
          <w:rFonts w:ascii="Arial" w:hAnsi="Arial" w:cs="Arial"/>
          <w:sz w:val="20"/>
          <w:szCs w:val="20"/>
        </w:rPr>
        <w:t>(0.3</w:t>
      </w:r>
      <w:r w:rsidR="008A6495" w:rsidRPr="008A6495">
        <w:rPr>
          <w:rFonts w:ascii="Arial" w:hAnsi="Arial" w:cs="Arial"/>
          <w:sz w:val="20"/>
          <w:szCs w:val="20"/>
        </w:rPr>
        <w:t>7±</w:t>
      </w:r>
      <w:r w:rsidR="008A6495" w:rsidRPr="008A6495">
        <w:rPr>
          <w:rFonts w:ascii="Arial" w:hAnsi="Arial" w:cs="Arial" w:hint="eastAsia"/>
          <w:sz w:val="20"/>
          <w:szCs w:val="20"/>
        </w:rPr>
        <w:t>0</w:t>
      </w:r>
      <w:r w:rsidR="008A6495" w:rsidRPr="008A6495">
        <w:rPr>
          <w:rFonts w:ascii="Arial" w:hAnsi="Arial" w:cs="Arial"/>
          <w:sz w:val="20"/>
          <w:szCs w:val="20"/>
        </w:rPr>
        <w:t>.0</w:t>
      </w:r>
      <w:r w:rsidR="00F95AA1" w:rsidRPr="008A6495">
        <w:rPr>
          <w:rFonts w:ascii="Arial" w:hAnsi="Arial" w:cs="Arial"/>
          <w:sz w:val="20"/>
          <w:szCs w:val="20"/>
        </w:rPr>
        <w:t>6</w:t>
      </w:r>
      <w:r w:rsidR="00F95AA1" w:rsidRPr="002966D9">
        <w:rPr>
          <w:rFonts w:ascii="Arial" w:hAnsi="Arial" w:cs="Arial"/>
          <w:sz w:val="20"/>
          <w:szCs w:val="20"/>
        </w:rPr>
        <w:t xml:space="preserve"> pmol/mg membrane protein</w:t>
      </w:r>
      <w:r w:rsidR="00C10A55">
        <w:rPr>
          <w:rFonts w:ascii="Arial" w:hAnsi="Arial" w:cs="Arial"/>
          <w:sz w:val="20"/>
          <w:szCs w:val="20"/>
        </w:rPr>
        <w:t xml:space="preserve"> – </w:t>
      </w:r>
      <w:r w:rsidR="00C10A55" w:rsidRPr="00F74F2F">
        <w:rPr>
          <w:rFonts w:ascii="Arial" w:hAnsi="Arial" w:cs="Arial"/>
          <w:b/>
          <w:bCs/>
          <w:sz w:val="20"/>
          <w:szCs w:val="20"/>
        </w:rPr>
        <w:t xml:space="preserve">Table </w:t>
      </w:r>
      <w:r w:rsidR="00F74F2F" w:rsidRPr="00F74F2F">
        <w:rPr>
          <w:rFonts w:ascii="Arial" w:hAnsi="Arial" w:cs="Arial"/>
          <w:b/>
          <w:bCs/>
          <w:sz w:val="20"/>
          <w:szCs w:val="20"/>
        </w:rPr>
        <w:t>S3</w:t>
      </w:r>
      <w:r w:rsidR="00F95AA1" w:rsidRPr="002966D9">
        <w:rPr>
          <w:rFonts w:ascii="Arial" w:hAnsi="Arial" w:cs="Arial"/>
          <w:sz w:val="20"/>
          <w:szCs w:val="20"/>
        </w:rPr>
        <w:t xml:space="preserve">) versus </w:t>
      </w:r>
      <w:r w:rsidR="00F95AA1" w:rsidRPr="002966D9">
        <w:rPr>
          <w:rFonts w:ascii="Arial" w:hAnsi="Arial" w:cs="Arial"/>
          <w:sz w:val="20"/>
          <w:szCs w:val="20"/>
        </w:rPr>
        <w:lastRenderedPageBreak/>
        <w:t xml:space="preserve">that reported in the kidney cortex by Cheung </w:t>
      </w:r>
      <w:r w:rsidR="00F95AA1" w:rsidRPr="002966D9">
        <w:rPr>
          <w:rFonts w:ascii="Arial" w:hAnsi="Arial" w:cs="Arial"/>
          <w:i/>
          <w:iCs/>
          <w:sz w:val="20"/>
          <w:szCs w:val="20"/>
        </w:rPr>
        <w:t>et al.</w:t>
      </w:r>
      <w:r w:rsidR="00F95AA1" w:rsidRPr="002966D9">
        <w:rPr>
          <w:rFonts w:ascii="Arial" w:hAnsi="Arial" w:cs="Arial"/>
          <w:sz w:val="20"/>
          <w:szCs w:val="20"/>
        </w:rPr>
        <w:t xml:space="preserve"> (median = 26.71 pmol/mg membrane protein) yielded a </w:t>
      </w:r>
      <w:r w:rsidR="00F74F2F">
        <w:rPr>
          <w:rFonts w:ascii="Arial" w:hAnsi="Arial" w:cs="Arial"/>
          <w:sz w:val="20"/>
          <w:szCs w:val="20"/>
        </w:rPr>
        <w:t>relative expression factor</w:t>
      </w:r>
      <w:r w:rsidR="008917B3">
        <w:rPr>
          <w:rFonts w:ascii="Arial" w:hAnsi="Arial" w:cs="Arial"/>
          <w:sz w:val="20"/>
          <w:szCs w:val="20"/>
        </w:rPr>
        <w:t xml:space="preserve"> (REF)</w:t>
      </w:r>
      <w:r w:rsidR="00F74F2F">
        <w:rPr>
          <w:rFonts w:ascii="Arial" w:hAnsi="Arial" w:cs="Arial"/>
          <w:sz w:val="20"/>
          <w:szCs w:val="20"/>
        </w:rPr>
        <w:t xml:space="preserve"> of</w:t>
      </w:r>
      <w:r w:rsidR="00884FFF">
        <w:rPr>
          <w:rFonts w:ascii="Arial" w:hAnsi="Arial" w:cs="Arial"/>
          <w:sz w:val="20"/>
          <w:szCs w:val="20"/>
        </w:rPr>
        <w:t xml:space="preserve"> </w:t>
      </w:r>
      <w:r w:rsidR="008A6495">
        <w:rPr>
          <w:rFonts w:ascii="Arial" w:hAnsi="Arial" w:cs="Arial"/>
          <w:sz w:val="20"/>
          <w:szCs w:val="20"/>
        </w:rPr>
        <w:t>73.26</w:t>
      </w:r>
      <w:r w:rsidR="008A6495" w:rsidRPr="008A6495">
        <w:rPr>
          <w:rFonts w:ascii="Arial" w:hAnsi="Arial" w:cs="Arial"/>
          <w:sz w:val="20"/>
          <w:szCs w:val="20"/>
        </w:rPr>
        <w:t>±</w:t>
      </w:r>
      <w:r w:rsidR="008A6495">
        <w:rPr>
          <w:rFonts w:ascii="Arial" w:hAnsi="Arial" w:cs="Arial"/>
          <w:sz w:val="20"/>
          <w:szCs w:val="20"/>
        </w:rPr>
        <w:t>1</w:t>
      </w:r>
      <w:r w:rsidR="008A6495" w:rsidRPr="008A6495">
        <w:rPr>
          <w:rFonts w:ascii="Arial" w:hAnsi="Arial" w:cs="Arial" w:hint="eastAsia"/>
          <w:sz w:val="20"/>
          <w:szCs w:val="20"/>
        </w:rPr>
        <w:t>0</w:t>
      </w:r>
      <w:r w:rsidR="008A6495" w:rsidRPr="008A6495">
        <w:rPr>
          <w:rFonts w:ascii="Arial" w:hAnsi="Arial" w:cs="Arial"/>
          <w:sz w:val="20"/>
          <w:szCs w:val="20"/>
        </w:rPr>
        <w:t>.</w:t>
      </w:r>
      <w:r w:rsidR="008A6495">
        <w:rPr>
          <w:rFonts w:ascii="Arial" w:hAnsi="Arial" w:cs="Arial"/>
          <w:sz w:val="20"/>
          <w:szCs w:val="20"/>
        </w:rPr>
        <w:t>71</w:t>
      </w:r>
      <w:r w:rsidR="00F95AA1" w:rsidRPr="002966D9">
        <w:rPr>
          <w:rFonts w:ascii="Arial" w:hAnsi="Arial" w:cs="Arial"/>
          <w:sz w:val="20"/>
          <w:szCs w:val="20"/>
        </w:rPr>
        <w:t>,</w:t>
      </w:r>
      <w:r w:rsidR="00F95AA1" w:rsidRPr="002966D9">
        <w:rPr>
          <w:rFonts w:ascii="Arial" w:hAnsi="Arial" w:cs="Arial"/>
          <w:sz w:val="20"/>
          <w:szCs w:val="20"/>
        </w:rPr>
        <w:fldChar w:fldCharType="begin" w:fldLock="1"/>
      </w:r>
      <w:r w:rsidR="00516D49">
        <w:rPr>
          <w:rFonts w:ascii="Arial" w:hAnsi="Arial" w:cs="Arial"/>
          <w:sz w:val="20"/>
          <w:szCs w:val="20"/>
        </w:rPr>
        <w:instrText>ADDIN CSL_CITATION {"citationItems":[{"id":"ITEM-1","itemData":{"DOI":"10.1002/cpt.1516","ISSN":"15326535","PMID":"31127606","abstract":"Human renal membrane transporters play key roles in the disposition of renally cleared drugs and endogenous substrates, but their ontogeny is largely unknown. Using 184 human postmortem frozen renal cortical tissues (preterm newborns to adults) and a subset of 62 tissue samples, we measured the mRNA levels of 11 renal transporters and the transcription factor pregnane X receptor (PXR) with quantitative real-time polymerase chain reaction, and protein abundance of nine transporters using liquid chromatography tandem mass spectrometry selective reaction monitoring, respectively. Expression levels of p-glycoprotein, urate transporter 1, organic anion transporter 1, organic anion transporter 3, and organic cation transporter 2 increased with age. Protein levels of multidrug and toxin extrusion transporter 2-K and breast cancer resistance protein showed no difference from newborns to adults, despite age-related changes in mRNA expression. Multidrug and toxin extrusion transporter 1, glucose transporter 2, multidrug resistance-associated protein 2, multidrug resistance-associated protein 4 (MRP4), and PXR expression levels were stable. Using immunohistochemistry, we found that MRP4 localization in pediatric samples was similar to that in adult samples. Collectively, our study revealed that renal drug transporters exhibited different rates and patterns of maturation, suggesting that renal handling of substrates may change with age.","author":[{"dropping-particle":"","family":"Cheung","given":"Kit Wun Kathy","non-dropping-particle":"","parse-names":false,"suffix":""},{"dropping-particle":"","family":"Groen","given":"Bianca D.","non-dropping-particle":"van","parse-names":false,"suffix":""},{"dropping-particle":"","family":"Spaans","given":"Edwin","non-dropping-particle":"","parse-names":false,"suffix":""},{"dropping-particle":"","family":"Borselen","given":"Marjolein D.","non-dropping-particle":"van","parse-names":false,"suffix":""},{"dropping-particle":"","family":"Bruijn","given":"Adrianus C.J.M.","non-dropping-particle":"de","parse-names":false,"suffix":""},{"dropping-particle":"","family":"Simons-Oosterhuis","given":"Ytje","non-dropping-particle":"","parse-names":false,"suffix":""},{"dropping-particle":"","family":"Tibboel","given":"Dick","non-dropping-particle":"","parse-names":false,"suffix":""},{"dropping-particle":"","family":"Samsom","given":"Janneke N.","non-dropping-particle":"","parse-names":false,"suffix":""},{"dropping-particle":"","family":"Verdijk","given":"Robert M.","non-dropping-particle":"","parse-names":false,"suffix":""},{"dropping-particle":"","family":"Smeets","given":"Bart","non-dropping-particle":"","parse-names":false,"suffix":""},{"dropping-particle":"","family":"Zhang","given":"Lei","non-dropping-particle":"","parse-names":false,"suffix":""},{"dropping-particle":"","family":"Huang","given":"Shiew Mei","non-dropping-particle":"","parse-names":false,"suffix":""},{"dropping-particle":"","family":"Giacomini","given":"Kathleen M.","non-dropping-particle":"","parse-names":false,"suffix":""},{"dropping-particle":"","family":"Wildt","given":"Saskia N.","non-dropping-particle":"de","parse-names":false,"suffix":""}],"container-title":"Clinical Pharmacology and Therapeutics","id":"ITEM-1","issue":"5","issued":{"date-parts":[["2019"]]},"page":"1083-1092","title":"A Comprehensive Analysis of Ontogeny of Renal Drug Transporters: mRNA Analyses, Quantitative Proteomics, and Localization","type":"article-journal","volume":"106"},"uris":["http://www.mendeley.com/documents/?uuid=de90086d-bfbc-47d6-bce7-a8ff4f6c2115"]}],"mendeley":{"formattedCitation":"&lt;sup&gt;59&lt;/sup&gt;","plainTextFormattedCitation":"59","previouslyFormattedCitation":"&lt;sup&gt;58&lt;/sup&gt;"},"properties":{"noteIndex":0},"schema":"https://github.com/citation-style-language/schema/raw/master/csl-citation.json"}</w:instrText>
      </w:r>
      <w:r w:rsidR="00F95AA1" w:rsidRPr="002966D9">
        <w:rPr>
          <w:rFonts w:ascii="Arial" w:hAnsi="Arial" w:cs="Arial"/>
          <w:sz w:val="20"/>
          <w:szCs w:val="20"/>
        </w:rPr>
        <w:fldChar w:fldCharType="separate"/>
      </w:r>
      <w:r w:rsidR="00516D49" w:rsidRPr="00516D49">
        <w:rPr>
          <w:rFonts w:ascii="Arial" w:hAnsi="Arial" w:cs="Arial"/>
          <w:noProof/>
          <w:sz w:val="20"/>
          <w:szCs w:val="20"/>
          <w:vertAlign w:val="superscript"/>
        </w:rPr>
        <w:t>59</w:t>
      </w:r>
      <w:r w:rsidR="00F95AA1" w:rsidRPr="002966D9">
        <w:rPr>
          <w:rFonts w:ascii="Arial" w:hAnsi="Arial" w:cs="Arial"/>
          <w:sz w:val="20"/>
          <w:szCs w:val="20"/>
        </w:rPr>
        <w:fldChar w:fldCharType="end"/>
      </w:r>
      <w:r w:rsidR="00F95AA1" w:rsidRPr="002966D9">
        <w:rPr>
          <w:rFonts w:ascii="Arial" w:hAnsi="Arial" w:cs="Arial"/>
          <w:sz w:val="20"/>
          <w:szCs w:val="20"/>
        </w:rPr>
        <w:t xml:space="preserve"> and the eventual </w:t>
      </w:r>
      <w:r w:rsidR="008F39BE" w:rsidRPr="002966D9">
        <w:rPr>
          <w:rFonts w:ascii="Arial" w:hAnsi="Arial" w:cs="Arial"/>
          <w:sz w:val="20"/>
          <w:szCs w:val="20"/>
        </w:rPr>
        <w:t>CLu</w:t>
      </w:r>
      <w:r w:rsidR="008F39BE" w:rsidRPr="002966D9">
        <w:rPr>
          <w:rFonts w:ascii="Arial" w:hAnsi="Arial" w:cs="Arial"/>
          <w:sz w:val="20"/>
          <w:szCs w:val="20"/>
          <w:vertAlign w:val="subscript"/>
        </w:rPr>
        <w:t>int,T</w:t>
      </w:r>
      <w:r w:rsidR="008F39BE" w:rsidRPr="002966D9">
        <w:rPr>
          <w:rFonts w:ascii="Arial" w:hAnsi="Arial" w:cs="Arial"/>
          <w:sz w:val="20"/>
          <w:szCs w:val="20"/>
        </w:rPr>
        <w:t xml:space="preserve"> </w:t>
      </w:r>
      <w:r w:rsidR="00F95AA1" w:rsidRPr="002966D9">
        <w:rPr>
          <w:rFonts w:ascii="Arial" w:hAnsi="Arial" w:cs="Arial"/>
          <w:sz w:val="20"/>
          <w:szCs w:val="20"/>
        </w:rPr>
        <w:t>was determined to be 45.96 µL/min/10</w:t>
      </w:r>
      <w:r w:rsidR="00F95AA1" w:rsidRPr="002966D9">
        <w:rPr>
          <w:rFonts w:ascii="Arial" w:hAnsi="Arial" w:cs="Arial"/>
          <w:sz w:val="20"/>
          <w:szCs w:val="20"/>
          <w:vertAlign w:val="superscript"/>
        </w:rPr>
        <w:t>6</w:t>
      </w:r>
      <w:r w:rsidR="00F95AA1" w:rsidRPr="002966D9">
        <w:rPr>
          <w:rFonts w:ascii="Arial" w:hAnsi="Arial" w:cs="Arial"/>
          <w:sz w:val="20"/>
          <w:szCs w:val="20"/>
        </w:rPr>
        <w:t xml:space="preserve"> cells.</w:t>
      </w:r>
      <w:r w:rsidR="00C10ACC">
        <w:rPr>
          <w:rFonts w:ascii="Arial" w:hAnsi="Arial" w:cs="Arial"/>
          <w:sz w:val="20"/>
          <w:szCs w:val="20"/>
        </w:rPr>
        <w:t xml:space="preserve"> </w:t>
      </w:r>
      <w:r w:rsidR="0087787B">
        <w:rPr>
          <w:rFonts w:ascii="Arial" w:hAnsi="Arial" w:cs="Arial"/>
          <w:sz w:val="20"/>
          <w:szCs w:val="20"/>
        </w:rPr>
        <w:t>T</w:t>
      </w:r>
      <w:r w:rsidR="00C10ACC" w:rsidRPr="00C10ACC">
        <w:rPr>
          <w:rFonts w:ascii="Arial" w:hAnsi="Arial" w:cs="Arial"/>
          <w:sz w:val="20"/>
          <w:szCs w:val="20"/>
        </w:rPr>
        <w:t>he convergence of clinical</w:t>
      </w:r>
      <w:r w:rsidR="001435C1">
        <w:rPr>
          <w:rFonts w:ascii="Arial" w:hAnsi="Arial" w:cs="Arial"/>
          <w:sz w:val="20"/>
          <w:szCs w:val="20"/>
        </w:rPr>
        <w:t xml:space="preserve"> </w:t>
      </w:r>
      <w:r w:rsidR="001435C1" w:rsidRPr="001435C1">
        <w:rPr>
          <w:rFonts w:ascii="Arial" w:hAnsi="Arial" w:cs="Arial"/>
          <w:sz w:val="20"/>
          <w:szCs w:val="20"/>
        </w:rPr>
        <w:t>(43 µL/min/10</w:t>
      </w:r>
      <w:r w:rsidR="001435C1" w:rsidRPr="001435C1">
        <w:rPr>
          <w:rFonts w:ascii="Arial" w:hAnsi="Arial" w:cs="Arial"/>
          <w:sz w:val="20"/>
          <w:szCs w:val="20"/>
          <w:vertAlign w:val="superscript"/>
        </w:rPr>
        <w:t>6</w:t>
      </w:r>
      <w:r w:rsidR="001435C1">
        <w:rPr>
          <w:rFonts w:ascii="Arial" w:hAnsi="Arial" w:cs="Arial"/>
          <w:sz w:val="20"/>
          <w:szCs w:val="20"/>
        </w:rPr>
        <w:t xml:space="preserve"> cells)</w:t>
      </w:r>
      <w:r w:rsidR="001435C1" w:rsidRPr="001435C1">
        <w:rPr>
          <w:rFonts w:ascii="Arial" w:hAnsi="Arial" w:cs="Arial"/>
          <w:sz w:val="20"/>
          <w:szCs w:val="20"/>
        </w:rPr>
        <w:fldChar w:fldCharType="begin" w:fldLock="1"/>
      </w:r>
      <w:r w:rsidR="001435C1" w:rsidRPr="001435C1">
        <w:rPr>
          <w:rFonts w:ascii="Arial" w:hAnsi="Arial" w:cs="Arial"/>
          <w:sz w:val="20"/>
          <w:szCs w:val="20"/>
        </w:rPr>
        <w:instrText>ADDIN CSL_CITATION {"citationItems":[{"id":"ITEM-1","itemData":{"author":[{"dropping-particle":"","family":"Jing","given":"Eleanor","non-dropping-particle":"","parse-names":false,"suffix":""},{"dropping-particle":"","family":"Cheong","given":"Yi","non-dropping-particle":"","parse-names":false,"suffix":""},{"dropping-particle":"","family":"Wun","given":"Denise","non-dropping-particle":"","parse-names":false,"suffix":""},{"dropping-particle":"","family":"Teo","given":"Xi","non-dropping-particle":"","parse-names":false,"suffix":""},{"dropping-particle":"","family":"Xin","given":"Denise","non-dropping-particle":"","parse-names":false,"suffix":""},{"dropping-particle":"","family":"Chua","given":"Yi","non-dropping-particle":"","parse-names":false,"suffix":""},{"dropping-particle":"","family":"Chun","given":"Eric","non-dropping-particle":"","parse-names":false,"suffix":""},{"dropping-particle":"","family":"Chan","given":"Yong","non-dropping-particle":"","parse-names":false,"suffix":""}],"id":"ITEM-1","issued":{"date-parts":[["2019"]]},"title":"Systematic Development and Verification of a Physiologically Based Pharmacokinetic Model of Rivaroxaban s","type":"article-journal"},"uris":["http://www.mendeley.com/documents/?uuid=9ed721ff-d724-457c-a507-0f173d45daac"]}],"mendeley":{"formattedCitation":"&lt;sup&gt;8&lt;/sup&gt;","plainTextFormattedCitation":"8","previouslyFormattedCitation":"&lt;sup&gt;8&lt;/sup&gt;"},"properties":{"noteIndex":0},"schema":"https://github.com/citation-style-language/schema/raw/master/csl-citation.json"}</w:instrText>
      </w:r>
      <w:r w:rsidR="001435C1" w:rsidRPr="001435C1">
        <w:rPr>
          <w:rFonts w:ascii="Arial" w:hAnsi="Arial" w:cs="Arial"/>
          <w:sz w:val="20"/>
          <w:szCs w:val="20"/>
        </w:rPr>
        <w:fldChar w:fldCharType="separate"/>
      </w:r>
      <w:r w:rsidR="001435C1" w:rsidRPr="001435C1">
        <w:rPr>
          <w:rFonts w:ascii="Arial" w:hAnsi="Arial" w:cs="Arial"/>
          <w:sz w:val="20"/>
          <w:szCs w:val="20"/>
          <w:vertAlign w:val="superscript"/>
        </w:rPr>
        <w:t>8</w:t>
      </w:r>
      <w:r w:rsidR="001435C1" w:rsidRPr="001435C1">
        <w:rPr>
          <w:rFonts w:ascii="Arial" w:hAnsi="Arial" w:cs="Arial"/>
          <w:sz w:val="20"/>
          <w:szCs w:val="20"/>
        </w:rPr>
        <w:fldChar w:fldCharType="end"/>
      </w:r>
      <w:r w:rsidR="00C10ACC" w:rsidRPr="00C10ACC">
        <w:rPr>
          <w:rFonts w:ascii="Arial" w:hAnsi="Arial" w:cs="Arial"/>
          <w:sz w:val="20"/>
          <w:szCs w:val="20"/>
        </w:rPr>
        <w:t xml:space="preserve"> and </w:t>
      </w:r>
      <w:r w:rsidR="003C4504">
        <w:rPr>
          <w:rFonts w:ascii="Arial" w:hAnsi="Arial" w:cs="Arial"/>
          <w:sz w:val="20"/>
          <w:szCs w:val="20"/>
        </w:rPr>
        <w:t xml:space="preserve">our </w:t>
      </w:r>
      <w:r w:rsidR="00C10ACC" w:rsidRPr="00C10ACC">
        <w:rPr>
          <w:rFonts w:ascii="Arial" w:hAnsi="Arial" w:cs="Arial"/>
          <w:sz w:val="20"/>
          <w:szCs w:val="20"/>
        </w:rPr>
        <w:t xml:space="preserve">experimental </w:t>
      </w:r>
      <w:r w:rsidR="0087787B">
        <w:rPr>
          <w:rFonts w:ascii="Arial" w:hAnsi="Arial" w:cs="Arial"/>
          <w:sz w:val="20"/>
          <w:szCs w:val="20"/>
        </w:rPr>
        <w:t>findings</w:t>
      </w:r>
      <w:r w:rsidR="00C10ACC" w:rsidRPr="00C10ACC">
        <w:rPr>
          <w:rFonts w:ascii="Arial" w:hAnsi="Arial" w:cs="Arial"/>
          <w:sz w:val="20"/>
          <w:szCs w:val="20"/>
        </w:rPr>
        <w:t xml:space="preserve"> reinforced </w:t>
      </w:r>
      <w:r w:rsidR="00F74F2F">
        <w:rPr>
          <w:rFonts w:ascii="Arial" w:hAnsi="Arial" w:cs="Arial"/>
          <w:sz w:val="20"/>
          <w:szCs w:val="20"/>
        </w:rPr>
        <w:t xml:space="preserve">OAT3 as the key basolateral transporter </w:t>
      </w:r>
      <w:r w:rsidR="00C56F22">
        <w:rPr>
          <w:rFonts w:ascii="Arial" w:hAnsi="Arial" w:cs="Arial"/>
          <w:sz w:val="20"/>
          <w:szCs w:val="20"/>
        </w:rPr>
        <w:t>mediating the</w:t>
      </w:r>
      <w:r w:rsidR="008F39BE">
        <w:rPr>
          <w:rFonts w:ascii="Arial" w:hAnsi="Arial" w:cs="Arial"/>
          <w:sz w:val="20"/>
          <w:szCs w:val="20"/>
        </w:rPr>
        <w:t xml:space="preserve"> </w:t>
      </w:r>
      <w:r w:rsidR="00EF6C88">
        <w:rPr>
          <w:rFonts w:ascii="Arial" w:hAnsi="Arial" w:cs="Arial"/>
          <w:sz w:val="20"/>
          <w:szCs w:val="20"/>
        </w:rPr>
        <w:t>active renal secretion of rivaroxaba</w:t>
      </w:r>
      <w:r w:rsidR="00956B83">
        <w:rPr>
          <w:rFonts w:ascii="Arial" w:hAnsi="Arial" w:cs="Arial"/>
          <w:sz w:val="20"/>
          <w:szCs w:val="20"/>
        </w:rPr>
        <w:t>n</w:t>
      </w:r>
      <w:r w:rsidR="003E18D5">
        <w:rPr>
          <w:rFonts w:ascii="Arial" w:hAnsi="Arial" w:cs="Arial"/>
          <w:sz w:val="20"/>
          <w:szCs w:val="20"/>
        </w:rPr>
        <w:t xml:space="preserve">, </w:t>
      </w:r>
      <w:r w:rsidR="001435C1">
        <w:rPr>
          <w:rFonts w:ascii="Arial" w:hAnsi="Arial" w:cs="Arial"/>
          <w:sz w:val="20"/>
          <w:szCs w:val="20"/>
        </w:rPr>
        <w:t>exemplifying a comprehensive</w:t>
      </w:r>
      <w:r w:rsidR="008C26C2">
        <w:rPr>
          <w:rFonts w:ascii="Arial" w:hAnsi="Arial" w:cs="Arial"/>
          <w:sz w:val="20"/>
          <w:szCs w:val="20"/>
        </w:rPr>
        <w:t xml:space="preserve"> approach to </w:t>
      </w:r>
      <w:r w:rsidR="00AE50CC" w:rsidRPr="00AE50CC">
        <w:rPr>
          <w:rFonts w:ascii="Arial" w:hAnsi="Arial" w:cs="Arial"/>
          <w:sz w:val="20"/>
          <w:szCs w:val="20"/>
        </w:rPr>
        <w:t xml:space="preserve">overcome </w:t>
      </w:r>
      <w:r w:rsidR="005A3D01">
        <w:rPr>
          <w:rFonts w:ascii="Arial" w:hAnsi="Arial" w:cs="Arial"/>
          <w:sz w:val="20"/>
          <w:szCs w:val="20"/>
        </w:rPr>
        <w:t>such</w:t>
      </w:r>
      <w:r w:rsidR="0087787B">
        <w:rPr>
          <w:rFonts w:ascii="Arial" w:hAnsi="Arial" w:cs="Arial"/>
          <w:sz w:val="20"/>
          <w:szCs w:val="20"/>
        </w:rPr>
        <w:t xml:space="preserve"> </w:t>
      </w:r>
      <w:r w:rsidR="001435C1">
        <w:rPr>
          <w:rFonts w:ascii="Arial" w:hAnsi="Arial" w:cs="Arial"/>
          <w:sz w:val="20"/>
          <w:szCs w:val="20"/>
        </w:rPr>
        <w:t xml:space="preserve">parameter </w:t>
      </w:r>
      <w:r w:rsidR="00AE50CC" w:rsidRPr="00AE50CC">
        <w:rPr>
          <w:rFonts w:ascii="Arial" w:hAnsi="Arial" w:cs="Arial"/>
          <w:sz w:val="20"/>
          <w:szCs w:val="20"/>
        </w:rPr>
        <w:t>non-identifiability</w:t>
      </w:r>
      <w:r w:rsidR="00790D2A">
        <w:rPr>
          <w:rFonts w:ascii="Arial" w:hAnsi="Arial" w:cs="Arial"/>
          <w:sz w:val="20"/>
          <w:szCs w:val="20"/>
        </w:rPr>
        <w:t>.</w:t>
      </w:r>
    </w:p>
    <w:p w14:paraId="47B51B31" w14:textId="77777777" w:rsidR="009B48B7" w:rsidRDefault="009B48B7" w:rsidP="00062B7A">
      <w:pPr>
        <w:spacing w:after="0" w:line="480" w:lineRule="auto"/>
        <w:jc w:val="both"/>
        <w:rPr>
          <w:rFonts w:ascii="Arial" w:hAnsi="Arial" w:cs="Arial"/>
          <w:sz w:val="20"/>
          <w:szCs w:val="20"/>
        </w:rPr>
      </w:pPr>
    </w:p>
    <w:p w14:paraId="59602F03" w14:textId="7A13AF7C" w:rsidR="00C30842" w:rsidRDefault="00987FCD" w:rsidP="00062B7A">
      <w:pPr>
        <w:spacing w:after="0" w:line="480" w:lineRule="auto"/>
        <w:jc w:val="both"/>
        <w:rPr>
          <w:rFonts w:ascii="Arial" w:hAnsi="Arial" w:cs="Arial"/>
          <w:sz w:val="20"/>
          <w:szCs w:val="20"/>
        </w:rPr>
      </w:pPr>
      <w:r w:rsidRPr="00987FCD">
        <w:rPr>
          <w:rFonts w:ascii="Arial" w:hAnsi="Arial" w:cs="Arial"/>
          <w:sz w:val="20"/>
          <w:szCs w:val="20"/>
        </w:rPr>
        <w:t xml:space="preserve">Establishing confidence in </w:t>
      </w:r>
      <w:r w:rsidR="003C4504">
        <w:rPr>
          <w:rFonts w:ascii="Arial" w:hAnsi="Arial" w:cs="Arial"/>
          <w:sz w:val="20"/>
          <w:szCs w:val="20"/>
        </w:rPr>
        <w:t xml:space="preserve">a PBPK-DDI platform could </w:t>
      </w:r>
      <w:r w:rsidR="00E915C1">
        <w:rPr>
          <w:rFonts w:ascii="Arial" w:hAnsi="Arial" w:cs="Arial"/>
          <w:sz w:val="20"/>
          <w:szCs w:val="20"/>
        </w:rPr>
        <w:t xml:space="preserve">be hampered by </w:t>
      </w:r>
      <w:r w:rsidRPr="00987FCD">
        <w:rPr>
          <w:rFonts w:ascii="Arial" w:hAnsi="Arial" w:cs="Arial"/>
          <w:sz w:val="20"/>
          <w:szCs w:val="20"/>
        </w:rPr>
        <w:t xml:space="preserve">poor </w:t>
      </w:r>
      <w:r w:rsidRPr="00294EC0">
        <w:rPr>
          <w:rFonts w:ascii="Arial" w:hAnsi="Arial" w:cs="Arial"/>
          <w:i/>
          <w:iCs/>
          <w:sz w:val="20"/>
          <w:szCs w:val="20"/>
        </w:rPr>
        <w:t>in vitro</w:t>
      </w:r>
      <w:r w:rsidRPr="00987FCD">
        <w:rPr>
          <w:rFonts w:ascii="Arial" w:hAnsi="Arial" w:cs="Arial"/>
          <w:sz w:val="20"/>
          <w:szCs w:val="20"/>
        </w:rPr>
        <w:t>-</w:t>
      </w:r>
      <w:r w:rsidRPr="00294EC0">
        <w:rPr>
          <w:rFonts w:ascii="Arial" w:hAnsi="Arial" w:cs="Arial"/>
          <w:i/>
          <w:iCs/>
          <w:sz w:val="20"/>
          <w:szCs w:val="20"/>
        </w:rPr>
        <w:t>in vivo</w:t>
      </w:r>
      <w:r w:rsidRPr="00987FCD">
        <w:rPr>
          <w:rFonts w:ascii="Arial" w:hAnsi="Arial" w:cs="Arial"/>
          <w:sz w:val="20"/>
          <w:szCs w:val="20"/>
        </w:rPr>
        <w:t xml:space="preserve"> correlations</w:t>
      </w:r>
      <w:r w:rsidRPr="00987FCD">
        <w:rPr>
          <w:rFonts w:ascii="Arial" w:hAnsi="Arial" w:cs="Arial"/>
          <w:i/>
          <w:iCs/>
          <w:sz w:val="20"/>
          <w:szCs w:val="20"/>
        </w:rPr>
        <w:t xml:space="preserve"> </w:t>
      </w:r>
      <w:r w:rsidR="007B3F0C" w:rsidRPr="000C1087">
        <w:rPr>
          <w:rFonts w:ascii="Arial" w:hAnsi="Arial" w:cs="Arial"/>
          <w:sz w:val="20"/>
          <w:szCs w:val="20"/>
        </w:rPr>
        <w:t>in transport inhibitory parameters.</w:t>
      </w:r>
      <w:r w:rsidR="007B3F0C" w:rsidRPr="000C1087">
        <w:rPr>
          <w:rFonts w:ascii="Arial" w:hAnsi="Arial" w:cs="Arial"/>
          <w:sz w:val="20"/>
          <w:szCs w:val="20"/>
        </w:rPr>
        <w:fldChar w:fldCharType="begin" w:fldLock="1"/>
      </w:r>
      <w:r w:rsidR="00516D49">
        <w:rPr>
          <w:rFonts w:ascii="Arial" w:hAnsi="Arial" w:cs="Arial"/>
          <w:sz w:val="20"/>
          <w:szCs w:val="20"/>
        </w:rPr>
        <w:instrText>ADDIN CSL_CITATION {"citationItems":[{"id":"ITEM-1","itemData":{"DOI":"10.1517/17460441.2014.922540","ISSN":"1746045X","PMID":"24857286","abstract":"Introduction: It is becoming increasingly evident that transporters play an important role in the absorption, distribution and elimination of many drugs. Different approaches have been developed and validated to understand the interactions between drugs and transporters, and the in vivo role of drug transporters. These tools are helping to understand the impact of transporters on the pharmacokinetics (PK) of drugs and assess the risk of drug-drug interactions (DDIs) in drug discovery and development.Areas covered: This article provides an overview of different approaches to evaluate the drug transporters involved in intestinal absorption, hepatic and renal clearance, and brain penetration. Specifically, it provides the best practices to evaluate the major uptake and efflux transporters in drug discovery. It also discusses the challenges and gaps in understanding the clinical relevance of drug transporters.Expert opinion: Quantitative prediction of transporter-mediated clearance, tissue exposure, as well as DDIs is still limited. The current challenge is to develop in vitro-in vivo correlations, extrapolate and integrate data from in vitro transporter assays, and preclinical species into humans to quantitatively predict the impact of transporters on drug absorption, disposition, elimination and DDIs. With the development of a variety of novel tools, the ultimate goal is to use high quality in vitro and in vivo data to establish physiologically based PK models, which will improve the capability to predict PK, tissue exposure and DDIs in humans. © 2014 Informa UK, Ltd.","author":[{"dropping-particle":"","family":"Feng","given":"Bo","non-dropping-particle":"","parse-names":false,"suffix":""},{"dropping-particle":"V","family":"Varma","given":"Manthena","non-dropping-particle":"","parse-names":false,"suffix":""},{"dropping-particle":"","family":"Costales","given":"Chester","non-dropping-particle":"","parse-names":false,"suffix":""},{"dropping-particle":"","family":"Zhang","given":"Hui","non-dropping-particle":"","parse-names":false,"suffix":""},{"dropping-particle":"","family":"Tremaine","given":"Larry","non-dropping-particle":"","parse-names":false,"suffix":""}],"container-title":"Expert Opinion on Drug Discovery","id":"ITEM-1","issue":"8","issued":{"date-parts":[["2014"]]},"page":"873-890","title":"In vitro and in vivo approaches to characterize transporter-mediated disposition in drug discovery","type":"article-journal","volume":"9"},"uris":["http://www.mendeley.com/documents/?uuid=68b8c5f8-1587-3275-a08b-8d4692cc78e7","http://www.mendeley.com/documents/?uuid=4150087b-3137-4022-b426-52a2a46ccbe4"]},{"id":"ITEM-2","itemData":{"DOI":"10.1517/17425255.2013.759210","ISSN":"1742-5255","abstract":"Introduction: Membrane transporters have been recognized to play a key role in determining the absorption, distribution and elimination processes of drugs. The organic anion-transporting polypeptide (OATP)1B1 and OATP1B3 isoforms are selectively expressed in the human liver and are known to cause significant drug-drug interactions (DDIs), as observed with an increasing number of drugs. It is evident that DDIs involving hepatic transporters are capable of altering systemic, as well as tissue-specific, exposure of drug substrates resulting in marked differences in drug safety and/or efficacy. It is therefore essential to quantitatively predict such interactions early in the drug development to mitigate clinical risks. Areas covered: The role of hepatic uptake transporters in drug disposition and clinical DDIs has been reviewed with an emphasis on the current state of the models applicable for quantitative predictions. The readers will also gain insight into the in vitro experimental tools available to characterize transport kinetics, while appreciating the knowledge gaps in the in vitro-in vivo extrapolation (IVIVE), which warrant further investigation. Expert opinion: Static and dynamic models can be convincingly applied to quantitatively predict drug interactions, early in drug discovery, to mitigate clinical risks as well as to avoid unnecessary clinical studies. Compared to basic models, which focus on individual processes, mechanistic models provide the ability to assess DDI potential for compounds with systemic disposition determined by both transporters and metabolic enzymes. However, complexities in the experimental tools and an apparent disconnect in the IVIVE of transport kinetics have limited the physiologically based pharmacokinetic modeling strategies. Emerging data on the expression of transporter proteins and tissue drug concentrations are expected to help bridge these gaps. In addition, detailed characterization of substrate kinetics can facilitate building comprehensive mechanistic models. © 2013 Informa UK, Ltd.","author":[{"dropping-particle":"","family":"Barton","given":"Hugh A","non-dropping-particle":"","parse-names":false,"suffix":""},{"dropping-particle":"","family":"Lai","given":"Yurong","non-dropping-particle":"","parse-names":false,"suffix":""},{"dropping-particle":"","family":"Goosen","given":"Theunis C","non-dropping-particle":"","parse-names":false,"suffix":""},{"dropping-particle":"","family":"Jones","given":"Hannah M","non-dropping-particle":"","parse-names":false,"suffix":""},{"dropping-particle":"","family":"El-Kattan","given":"Ayman F","non-dropping-particle":"","parse-names":false,"suffix":""},{"dropping-particle":"","family":"Gosset","given":"James R","non-dropping-particle":"","parse-names":false,"suffix":""},{"dropping-particle":"","family":"Lin","given":"Jian","non-dropping-particle":"","parse-names":false,"suffix":""},{"dropping-particle":"V","family":"Varma","given":"Manthena","non-dropping-particle":"","parse-names":false,"suffix":""}],"container-title":"Expert Opinion on Drug Metabolism &amp; Toxicology","id":"ITEM-2","issue":"4","issued":{"date-parts":[["2013","4"]]},"page":"459-472","publisher":"Taylor &amp; Francis","title":"Model-based approaches to predict drug–drug interactions associated with hepatic uptake transporters: preclinical, clinical and beyond","type":"article-journal","volume":"9"},"uris":["http://www.mendeley.com/documents/?uuid=5d850745-293c-3af5-a1be-19e2c5c7aa1e","http://www.mendeley.com/documents/?uuid=f3a1d7f9-d80c-4a0a-bc45-86f2e1caa171"]}],"mendeley":{"formattedCitation":"&lt;sup&gt;60,61&lt;/sup&gt;","plainTextFormattedCitation":"60,61","previouslyFormattedCitation":"&lt;sup&gt;59,60&lt;/sup&gt;"},"properties":{"noteIndex":0},"schema":"https://github.com/citation-style-language/schema/raw/master/csl-citation.json"}</w:instrText>
      </w:r>
      <w:r w:rsidR="007B3F0C" w:rsidRPr="000C1087">
        <w:rPr>
          <w:rFonts w:ascii="Arial" w:hAnsi="Arial" w:cs="Arial"/>
          <w:sz w:val="20"/>
          <w:szCs w:val="20"/>
        </w:rPr>
        <w:fldChar w:fldCharType="separate"/>
      </w:r>
      <w:r w:rsidR="00516D49" w:rsidRPr="00516D49">
        <w:rPr>
          <w:rFonts w:ascii="Arial" w:hAnsi="Arial" w:cs="Arial"/>
          <w:noProof/>
          <w:sz w:val="20"/>
          <w:szCs w:val="20"/>
          <w:vertAlign w:val="superscript"/>
        </w:rPr>
        <w:t>60,61</w:t>
      </w:r>
      <w:r w:rsidR="007B3F0C" w:rsidRPr="000C1087">
        <w:rPr>
          <w:rFonts w:ascii="Arial" w:hAnsi="Arial" w:cs="Arial"/>
          <w:sz w:val="20"/>
          <w:szCs w:val="20"/>
        </w:rPr>
        <w:fldChar w:fldCharType="end"/>
      </w:r>
      <w:r w:rsidR="007B3F0C" w:rsidRPr="000C1087">
        <w:rPr>
          <w:rFonts w:ascii="Arial" w:hAnsi="Arial" w:cs="Arial"/>
          <w:sz w:val="20"/>
          <w:szCs w:val="20"/>
        </w:rPr>
        <w:t xml:space="preserve"> </w:t>
      </w:r>
      <w:r w:rsidR="00E4631C" w:rsidRPr="00E4631C">
        <w:rPr>
          <w:rFonts w:ascii="Arial" w:hAnsi="Arial" w:cs="Arial"/>
          <w:sz w:val="20"/>
          <w:szCs w:val="20"/>
        </w:rPr>
        <w:t xml:space="preserve">OAT3 </w:t>
      </w:r>
      <w:r w:rsidR="004263B1">
        <w:rPr>
          <w:rFonts w:ascii="Arial" w:hAnsi="Arial" w:cs="Arial"/>
          <w:sz w:val="20"/>
          <w:szCs w:val="20"/>
        </w:rPr>
        <w:t>has been reported</w:t>
      </w:r>
      <w:r w:rsidR="00890F6D">
        <w:rPr>
          <w:rFonts w:ascii="Arial" w:hAnsi="Arial" w:cs="Arial"/>
          <w:sz w:val="20"/>
          <w:szCs w:val="20"/>
        </w:rPr>
        <w:t xml:space="preserve"> to accept</w:t>
      </w:r>
      <w:r w:rsidR="00E4631C" w:rsidRPr="00E4631C">
        <w:rPr>
          <w:rFonts w:ascii="Arial" w:hAnsi="Arial" w:cs="Arial"/>
          <w:sz w:val="20"/>
          <w:szCs w:val="20"/>
        </w:rPr>
        <w:t xml:space="preserve"> larger and </w:t>
      </w:r>
      <w:r w:rsidR="0087787B">
        <w:rPr>
          <w:rFonts w:ascii="Arial" w:hAnsi="Arial" w:cs="Arial"/>
          <w:sz w:val="20"/>
          <w:szCs w:val="20"/>
        </w:rPr>
        <w:t>more cationic/zwitterionic ligands</w:t>
      </w:r>
      <w:r w:rsidR="00300068">
        <w:rPr>
          <w:rFonts w:ascii="Arial" w:hAnsi="Arial" w:cs="Arial"/>
          <w:sz w:val="20"/>
          <w:szCs w:val="20"/>
        </w:rPr>
        <w:t>.</w:t>
      </w:r>
      <w:r w:rsidR="004F0B36">
        <w:rPr>
          <w:rFonts w:ascii="Arial" w:hAnsi="Arial" w:cs="Arial"/>
          <w:sz w:val="20"/>
          <w:szCs w:val="20"/>
        </w:rPr>
        <w:fldChar w:fldCharType="begin" w:fldLock="1"/>
      </w:r>
      <w:r w:rsidR="00516D49">
        <w:rPr>
          <w:rFonts w:ascii="Arial" w:hAnsi="Arial" w:cs="Arial"/>
          <w:sz w:val="20"/>
          <w:szCs w:val="20"/>
        </w:rPr>
        <w:instrText xml:space="preserve">ADDIN CSL_CITATION {"citationItems":[{"id":"ITEM-1","itemData":{"DOI":"10.1124/jpet.116.232660","abstract":"Statistical analysis was performed on physicochemical descrip-tors of </w:instrText>
      </w:r>
      <w:r w:rsidR="00516D49">
        <w:rPr>
          <w:rFonts w:ascii="Cambria Math" w:hAnsi="Cambria Math" w:cs="Cambria Math"/>
          <w:sz w:val="20"/>
          <w:szCs w:val="20"/>
        </w:rPr>
        <w:instrText>∼</w:instrText>
      </w:r>
      <w:r w:rsidR="00516D49">
        <w:rPr>
          <w:rFonts w:ascii="Arial" w:hAnsi="Arial" w:cs="Arial"/>
          <w:sz w:val="20"/>
          <w:szCs w:val="20"/>
        </w:rPr>
        <w:instrText>250 drugs known to interact with one or more SLC22 \"drug\" transporters (i.e., SLC22A6 or OAT1, SLC22A8 or OAT3, SLC22A1 or OCT1, and SLC22A2 or OCT2), followed by application of machine-learning methods and wet laboratory testing of novel predictions. In addition to molecular charge, organic anion transporters (OATs) were found to prefer interacting with planar structures, whereas organic cation transporters (OCTs) interact with more three-dimensional structures (i.e., greater SP3 character). Moreover, compared with OAT1 ligands, OAT3 ligands possess more acyclic tetravalent bonds and have a more zwitterionic/cationic character. In contrast, OCT1 and OCT2 ligands were not clearly distinquishable form one another by the methods employed. Multiple pharmacophore models were generated on the basis of the drugs and, consistent with the machine-learning analyses, one unique pharmacophore created from ligands of OAT3 possessed cationic properties similar to OCT ligands; this was confirmed by quantitative atomic property field analysis. Virtual screening with this pharmacophore, followed by transport assays, identified several cationic drugs that selectively interact with OAT3 but not OAT1. Although the present analysis may be somewhat limited by the need to rely largely on inhibition data for modeling, wet laboratory/in vitro transport studies, as well as analysis of drug/metabolite handling in Oat and Oct knockout animals, support the general validity of the approach-which can also be applied to other SLC and ATP binding cassette drug transporters. This may make it possible to predict the molecular properties of a drug or metabolite necessary for interaction with the transporter(s), thereby enabling better prediction of drug-drug interactions and drug-metabolite interactions. Furthermore, understanding the overlapping specificities of OATs and OCTs in the context of dynamic transporter tissue expression patterns should help predict net flux in a particular tissue of anionic, cationic, and zwitterionic molecules in normal and pathophysiological states.","author":[{"dropping-particle":"","family":"Liu","given":"Henry C","non-dropping-particle":"","parse-names":false,"suffix":""},{"dropping-particle":"","family":"Goldenberg","given":"Anne","non-dropping-particle":"","parse-names":false,"suffix":""},{"dropping-particle":"","family":"Chen","given":"Yuchen","non-dropping-particle":"","parse-names":false,"suffix":""},{"dropping-particle":"","family":"Lun","given":"Christina","non-dropping-particle":"","parse-names":false,"suffix":""},{"dropping-particle":"","family":"Wu","given":"Wei","non-dropping-particle":"","parse-names":false,"suffix":""},{"dropping-particle":"","family":"Bush","given":"Kevin T","non-dropping-particle":"","parse-names":false,"suffix":""},{"dropping-particle":"","family":"Balac","given":"Natasha","non-dropping-particle":"","parse-names":false,"suffix":""},{"dropping-particle":"","family":"Rodriguez","given":"Paul","non-dropping-particle":"","parse-names":false,"suffix":""},{"dropping-particle":"","family":"Abagyan","given":"Ruben","non-dropping-particle":"","parse-names":false,"suffix":""},{"dropping-particle":"","family":"Nigam","given":"Sanjay K","non-dropping-particle":"","parse-names":false,"suffix":""}],"container-title":"J Pharmacol Exp Ther","id":"ITEM-1","issued":{"date-parts":[["2016"]]},"page":"215-229","title":"Molecular Properties of Drugs Interacting with SLC22 Transporters OAT1, OAT3, OCT1, and OCT2: A Machine-Learning Approach s","type":"article-journal","volume":"359"},"uris":["http://www.mendeley.com/documents/?uuid=35a1b32b-6a7a-3802-94b4-b3145133fa70"]}],"mendeley":{"formattedCitation":"&lt;sup&gt;62&lt;/sup&gt;","plainTextFormattedCitation":"62","previouslyFormattedCitation":"&lt;sup&gt;61&lt;/sup&gt;"},"properties":{"noteIndex":0},"schema":"https://github.com/citation-style-language/schema/raw/master/csl-citation.json"}</w:instrText>
      </w:r>
      <w:r w:rsidR="004F0B36">
        <w:rPr>
          <w:rFonts w:ascii="Arial" w:hAnsi="Arial" w:cs="Arial"/>
          <w:sz w:val="20"/>
          <w:szCs w:val="20"/>
        </w:rPr>
        <w:fldChar w:fldCharType="separate"/>
      </w:r>
      <w:r w:rsidR="00516D49" w:rsidRPr="00516D49">
        <w:rPr>
          <w:rFonts w:ascii="Arial" w:hAnsi="Arial" w:cs="Arial"/>
          <w:noProof/>
          <w:sz w:val="20"/>
          <w:szCs w:val="20"/>
          <w:vertAlign w:val="superscript"/>
        </w:rPr>
        <w:t>62</w:t>
      </w:r>
      <w:r w:rsidR="004F0B36">
        <w:rPr>
          <w:rFonts w:ascii="Arial" w:hAnsi="Arial" w:cs="Arial"/>
          <w:sz w:val="20"/>
          <w:szCs w:val="20"/>
        </w:rPr>
        <w:fldChar w:fldCharType="end"/>
      </w:r>
      <w:r w:rsidR="00391D0E">
        <w:rPr>
          <w:rFonts w:ascii="Arial" w:hAnsi="Arial" w:cs="Arial"/>
          <w:sz w:val="20"/>
          <w:szCs w:val="20"/>
        </w:rPr>
        <w:t xml:space="preserve"> </w:t>
      </w:r>
      <w:r w:rsidR="00FD3144">
        <w:rPr>
          <w:rFonts w:ascii="Arial" w:hAnsi="Arial" w:cs="Arial"/>
          <w:sz w:val="20"/>
          <w:szCs w:val="20"/>
        </w:rPr>
        <w:t>Such</w:t>
      </w:r>
      <w:r w:rsidR="00121E6D" w:rsidRPr="00E339C9">
        <w:rPr>
          <w:rFonts w:ascii="Arial" w:hAnsi="Arial" w:cs="Arial"/>
          <w:sz w:val="20"/>
          <w:szCs w:val="20"/>
        </w:rPr>
        <w:t xml:space="preserve"> </w:t>
      </w:r>
      <w:r w:rsidR="003C4504">
        <w:rPr>
          <w:rFonts w:ascii="Arial" w:hAnsi="Arial" w:cs="Arial"/>
          <w:sz w:val="20"/>
          <w:szCs w:val="20"/>
        </w:rPr>
        <w:t>variabilities in the transporter-ligand</w:t>
      </w:r>
      <w:r w:rsidR="00121E6D" w:rsidRPr="00E339C9">
        <w:rPr>
          <w:rFonts w:ascii="Arial" w:hAnsi="Arial" w:cs="Arial"/>
          <w:sz w:val="20"/>
          <w:szCs w:val="20"/>
        </w:rPr>
        <w:t xml:space="preserve"> interaction </w:t>
      </w:r>
      <w:r w:rsidR="004263B1">
        <w:rPr>
          <w:rFonts w:ascii="Arial" w:hAnsi="Arial" w:cs="Arial"/>
          <w:sz w:val="20"/>
          <w:szCs w:val="20"/>
        </w:rPr>
        <w:t>could yield</w:t>
      </w:r>
      <w:r w:rsidR="00121E6D" w:rsidRPr="00E339C9">
        <w:rPr>
          <w:rFonts w:ascii="Arial" w:hAnsi="Arial" w:cs="Arial"/>
          <w:sz w:val="20"/>
          <w:szCs w:val="20"/>
        </w:rPr>
        <w:t xml:space="preserve"> substrate-dependent </w:t>
      </w:r>
      <w:r w:rsidR="00121E6D" w:rsidRPr="00DF710B">
        <w:rPr>
          <w:rFonts w:ascii="Arial" w:hAnsi="Arial" w:cs="Arial"/>
          <w:i/>
          <w:iCs/>
          <w:sz w:val="20"/>
          <w:szCs w:val="20"/>
        </w:rPr>
        <w:t>K</w:t>
      </w:r>
      <w:r w:rsidR="00121E6D" w:rsidRPr="00DF710B">
        <w:rPr>
          <w:rFonts w:ascii="Arial" w:hAnsi="Arial" w:cs="Arial"/>
          <w:i/>
          <w:iCs/>
          <w:sz w:val="20"/>
          <w:szCs w:val="20"/>
          <w:vertAlign w:val="subscript"/>
        </w:rPr>
        <w:t>i</w:t>
      </w:r>
      <w:r w:rsidR="00121E6D" w:rsidRPr="00DF710B">
        <w:rPr>
          <w:rFonts w:ascii="Arial" w:hAnsi="Arial" w:cs="Arial"/>
          <w:i/>
          <w:iCs/>
          <w:sz w:val="20"/>
          <w:szCs w:val="20"/>
        </w:rPr>
        <w:t xml:space="preserve"> </w:t>
      </w:r>
      <w:r w:rsidR="00121E6D" w:rsidRPr="00E339C9">
        <w:rPr>
          <w:rFonts w:ascii="Arial" w:hAnsi="Arial" w:cs="Arial"/>
          <w:sz w:val="20"/>
          <w:szCs w:val="20"/>
        </w:rPr>
        <w:t>values</w:t>
      </w:r>
      <w:r w:rsidR="00121E6D">
        <w:rPr>
          <w:rFonts w:ascii="Arial" w:hAnsi="Arial" w:cs="Arial"/>
          <w:sz w:val="20"/>
          <w:szCs w:val="20"/>
        </w:rPr>
        <w:t xml:space="preserve">. </w:t>
      </w:r>
      <w:r w:rsidR="00FD3144">
        <w:rPr>
          <w:rFonts w:ascii="Arial" w:hAnsi="Arial" w:cs="Arial"/>
          <w:sz w:val="20"/>
          <w:szCs w:val="20"/>
        </w:rPr>
        <w:t>Here</w:t>
      </w:r>
      <w:r w:rsidR="00ED12B2">
        <w:rPr>
          <w:rFonts w:ascii="Arial" w:hAnsi="Arial" w:cs="Arial"/>
          <w:sz w:val="20"/>
          <w:szCs w:val="20"/>
        </w:rPr>
        <w:t xml:space="preserve">, </w:t>
      </w:r>
      <w:r w:rsidR="004263B1">
        <w:rPr>
          <w:rFonts w:ascii="Arial" w:hAnsi="Arial" w:cs="Arial"/>
          <w:sz w:val="20"/>
          <w:szCs w:val="20"/>
        </w:rPr>
        <w:t>we</w:t>
      </w:r>
      <w:r w:rsidR="00ED12B2">
        <w:rPr>
          <w:rFonts w:ascii="Arial" w:hAnsi="Arial" w:cs="Arial"/>
          <w:sz w:val="20"/>
          <w:szCs w:val="20"/>
        </w:rPr>
        <w:t xml:space="preserve"> </w:t>
      </w:r>
      <w:r w:rsidR="00C402AE">
        <w:rPr>
          <w:rFonts w:ascii="Arial" w:hAnsi="Arial" w:cs="Arial"/>
          <w:sz w:val="20"/>
          <w:szCs w:val="20"/>
        </w:rPr>
        <w:t>highlighte</w:t>
      </w:r>
      <w:r w:rsidR="00BD271E">
        <w:rPr>
          <w:rFonts w:ascii="Arial" w:hAnsi="Arial" w:cs="Arial"/>
          <w:sz w:val="20"/>
          <w:szCs w:val="20"/>
        </w:rPr>
        <w:t>d</w:t>
      </w:r>
      <w:r w:rsidR="0014299F">
        <w:rPr>
          <w:rFonts w:ascii="Arial" w:hAnsi="Arial" w:cs="Arial"/>
          <w:sz w:val="20"/>
          <w:szCs w:val="20"/>
        </w:rPr>
        <w:t xml:space="preserve"> how substrate substitution</w:t>
      </w:r>
      <w:r w:rsidR="004263B1">
        <w:rPr>
          <w:rFonts w:ascii="Arial" w:hAnsi="Arial" w:cs="Arial"/>
          <w:sz w:val="20"/>
          <w:szCs w:val="20"/>
        </w:rPr>
        <w:t xml:space="preserve"> (rivaroxaban versus E3S)</w:t>
      </w:r>
      <w:r w:rsidR="0014299F">
        <w:rPr>
          <w:rFonts w:ascii="Arial" w:hAnsi="Arial" w:cs="Arial"/>
          <w:sz w:val="20"/>
          <w:szCs w:val="20"/>
        </w:rPr>
        <w:t xml:space="preserve"> </w:t>
      </w:r>
      <w:r w:rsidR="00450648">
        <w:rPr>
          <w:rFonts w:ascii="Arial" w:hAnsi="Arial" w:cs="Arial"/>
          <w:sz w:val="20"/>
          <w:szCs w:val="20"/>
        </w:rPr>
        <w:t xml:space="preserve">would result in </w:t>
      </w:r>
      <w:r w:rsidR="004263B1">
        <w:rPr>
          <w:rFonts w:ascii="Arial" w:hAnsi="Arial" w:cs="Arial"/>
          <w:sz w:val="20"/>
          <w:szCs w:val="20"/>
        </w:rPr>
        <w:t>underprediction</w:t>
      </w:r>
      <w:r w:rsidR="00450648">
        <w:rPr>
          <w:rFonts w:ascii="Arial" w:hAnsi="Arial" w:cs="Arial"/>
          <w:sz w:val="20"/>
          <w:szCs w:val="20"/>
        </w:rPr>
        <w:t xml:space="preserve"> of the extent of</w:t>
      </w:r>
      <w:r w:rsidR="00F55FED">
        <w:rPr>
          <w:rFonts w:ascii="Arial" w:hAnsi="Arial" w:cs="Arial"/>
          <w:sz w:val="20"/>
          <w:szCs w:val="20"/>
        </w:rPr>
        <w:t xml:space="preserve"> DDI between rivaroxaban and ketoconazole or nilotinib (</w:t>
      </w:r>
      <w:r w:rsidR="00F55FED" w:rsidRPr="00F55FED">
        <w:rPr>
          <w:rFonts w:ascii="Arial" w:hAnsi="Arial" w:cs="Arial"/>
          <w:b/>
          <w:bCs/>
          <w:sz w:val="20"/>
          <w:szCs w:val="20"/>
        </w:rPr>
        <w:t>Table 2</w:t>
      </w:r>
      <w:r w:rsidR="00F55FED">
        <w:rPr>
          <w:rFonts w:ascii="Arial" w:hAnsi="Arial" w:cs="Arial"/>
          <w:sz w:val="20"/>
          <w:szCs w:val="20"/>
        </w:rPr>
        <w:t>).</w:t>
      </w:r>
      <w:r w:rsidR="00ED12B2">
        <w:rPr>
          <w:rFonts w:ascii="Arial" w:hAnsi="Arial" w:cs="Arial"/>
          <w:sz w:val="20"/>
          <w:szCs w:val="20"/>
        </w:rPr>
        <w:t xml:space="preserve"> </w:t>
      </w:r>
      <w:r w:rsidR="004263B1">
        <w:rPr>
          <w:rFonts w:ascii="Arial" w:hAnsi="Arial" w:cs="Arial"/>
          <w:sz w:val="20"/>
          <w:szCs w:val="20"/>
        </w:rPr>
        <w:t>While</w:t>
      </w:r>
      <w:r w:rsidR="00CC2536">
        <w:rPr>
          <w:rFonts w:ascii="Arial" w:hAnsi="Arial" w:cs="Arial"/>
          <w:sz w:val="20"/>
          <w:szCs w:val="20"/>
        </w:rPr>
        <w:t xml:space="preserve"> reversible </w:t>
      </w:r>
      <w:r w:rsidR="00E21AE5">
        <w:rPr>
          <w:rFonts w:ascii="Arial" w:hAnsi="Arial" w:cs="Arial"/>
          <w:sz w:val="20"/>
          <w:szCs w:val="20"/>
        </w:rPr>
        <w:t>c</w:t>
      </w:r>
      <w:r w:rsidR="00115C8C">
        <w:rPr>
          <w:rFonts w:ascii="Arial" w:hAnsi="Arial" w:cs="Arial"/>
          <w:sz w:val="20"/>
          <w:szCs w:val="20"/>
        </w:rPr>
        <w:t>ompetitive in</w:t>
      </w:r>
      <w:r w:rsidR="004848ED">
        <w:rPr>
          <w:rFonts w:ascii="Arial" w:hAnsi="Arial" w:cs="Arial"/>
          <w:sz w:val="20"/>
          <w:szCs w:val="20"/>
        </w:rPr>
        <w:t xml:space="preserve">hibition </w:t>
      </w:r>
      <w:r w:rsidR="004263B1">
        <w:rPr>
          <w:rFonts w:ascii="Arial" w:hAnsi="Arial" w:cs="Arial"/>
          <w:sz w:val="20"/>
          <w:szCs w:val="20"/>
        </w:rPr>
        <w:t xml:space="preserve">was </w:t>
      </w:r>
      <w:r w:rsidR="004848ED">
        <w:rPr>
          <w:rFonts w:ascii="Arial" w:hAnsi="Arial" w:cs="Arial"/>
          <w:sz w:val="20"/>
          <w:szCs w:val="20"/>
        </w:rPr>
        <w:t>being</w:t>
      </w:r>
      <w:r w:rsidR="00CC2536">
        <w:rPr>
          <w:rFonts w:ascii="Arial" w:hAnsi="Arial" w:cs="Arial"/>
          <w:sz w:val="20"/>
          <w:szCs w:val="20"/>
        </w:rPr>
        <w:t xml:space="preserve"> assumed in most </w:t>
      </w:r>
      <w:r w:rsidR="004263B1" w:rsidRPr="004263B1">
        <w:rPr>
          <w:rFonts w:ascii="Arial" w:hAnsi="Arial" w:cs="Arial"/>
          <w:sz w:val="20"/>
          <w:szCs w:val="20"/>
        </w:rPr>
        <w:t>transport inhibition assays</w:t>
      </w:r>
      <w:r w:rsidR="004263B1">
        <w:rPr>
          <w:rFonts w:ascii="Arial" w:hAnsi="Arial" w:cs="Arial"/>
          <w:sz w:val="20"/>
          <w:szCs w:val="20"/>
        </w:rPr>
        <w:t>,</w:t>
      </w:r>
      <w:r w:rsidR="00F46CCF">
        <w:rPr>
          <w:rFonts w:ascii="Arial" w:hAnsi="Arial" w:cs="Arial"/>
          <w:sz w:val="20"/>
          <w:szCs w:val="20"/>
        </w:rPr>
        <w:fldChar w:fldCharType="begin" w:fldLock="1"/>
      </w:r>
      <w:r w:rsidR="00516D49">
        <w:rPr>
          <w:rFonts w:ascii="Arial" w:hAnsi="Arial" w:cs="Arial"/>
          <w:sz w:val="20"/>
          <w:szCs w:val="20"/>
        </w:rPr>
        <w:instrText>ADDIN CSL_CITATION {"citationItems":[{"id":"ITEM-1","itemData":{"DOI":"10.1002/cpt.1693","ISSN":"15326535","abstract":"Physiologically-based pharmacokinetic (PBPK) modeling has been extensively used to quantitatively translate in vitro data and evaluate temporal effects from drug–drug interactions (DDIs), arising due to reversible enzyme and transporter inhibition, irreversible time-dependent inhibition, enzyme induction, and/or suppression. PBPK modeling has now gained reasonable acceptance with the regulatory authorities for the cytochrome-P450-mediated DDIs and is routinely used. However, the application of PBPK for transporter-mediated DDIs (tDDI) in drug development is relatively uncommon. Because the predictive performance of PBPK models for tDDI is not well established, here, we represent and discuss examples of PBPK analyses included in regulatory submission (the US Food and Drug Administration (FDA), the European Medicines Agency (EMA), and the Pharmaceuticals and Medical Devices Agency (PMDA)) across various tDDIs. The goal of this collaborative effort (involving scientists representing 17 pharmaceutical companies in the Consortium and from academia) is to reflect on the use of current databases and models to address tDDIs. This challenges the common perceptions on applications of PBPK for tDDIs and further delves into the requirements to improve such PBPK predictions. This review provides a reflection on the current trends in PBPK modeling for tDDIs and provides a framework to promote continuous use, verification, and improvement in industrialization of the transporter PBPK modeling.","author":[{"dropping-particle":"","family":"Taskar","given":"Kunal S.","non-dropping-particle":"","parse-names":false,"suffix":""},{"dropping-particle":"","family":"Pilla Reddy","given":"Venkatesh","non-dropping-particle":"","parse-names":false,"suffix":""},{"dropping-particle":"","family":"Burt","given":"Howard","non-dropping-particle":"","parse-names":false,"suffix":""},{"dropping-particle":"","family":"Posada","given":"Maria M.","non-dropping-particle":"","parse-names":false,"suffix":""},{"dropping-particle":"","family":"Varma","given":"Manthena","non-dropping-particle":"","parse-names":false,"suffix":""},{"dropping-particle":"","family":"Zheng","given":"Ming","non-dropping-particle":"","parse-names":false,"suffix":""},{"dropping-particle":"","family":"Ullah","given":"Mohammed","non-dropping-particle":"","parse-names":false,"suffix":""},{"dropping-particle":"","family":"Emami Riedmaier","given":"Arian","non-dropping-particle":"","parse-names":false,"suffix":""},{"dropping-particle":"","family":"Umehara","given":"Ken ichi","non-dropping-particle":"","parse-names":false,"suffix":""},{"dropping-particle":"","family":"Snoeys","given":"Jan","non-dropping-particle":"","parse-names":false,"suffix":""},{"dropping-particle":"","family":"Nakakariya","given":"Masanori","non-dropping-particle":"","parse-names":false,"suffix":""},{"dropping-particle":"","family":"Chu","given":"Xiaoyan","non-dropping-particle":"","parse-names":false,"suffix":""},{"dropping-particle":"","family":"Beneton","given":"Maud","non-dropping-particle":"","parse-names":false,"suffix":""},{"dropping-particle":"","family":"Chen","given":"Yuan","non-dropping-particle":"","parse-names":false,"suffix":""},{"dropping-particle":"","family":"Huth","given":"Felix","non-dropping-particle":"","parse-names":false,"suffix":""},{"dropping-particle":"","family":"Narayanan","given":"Rangaraj","non-dropping-particle":"","parse-names":false,"suffix":""},{"dropping-particle":"","family":"Mukherjee","given":"Dwaipayan","non-dropping-particle":"","parse-names":false,"suffix":""},{"dropping-particle":"","family":"Dixit","given":"Vaishali","non-dropping-particle":"","parse-names":false,"suffix":""},{"dropping-particle":"","family":"Sugiyama","given":"Yuichi","non-dropping-particle":"","parse-names":false,"suffix":""},{"dropping-particle":"","family":"Neuhoff","given":"Sibylle","non-dropping-particle":"","parse-names":false,"suffix":""}],"container-title":"Clinical Pharmacology and Therapeutics","id":"ITEM-1","issue":"0","issued":{"date-parts":[["2019"]]},"page":"1-34","title":"Physiologically-Based Pharmacokinetic Models for Evaluating Membrane Transporter Mediated Drug–Drug Interactions: Current Capabilities, Case Studies, Future Opportunities, and Recommendations","type":"article-journal","volume":"0"},"uris":["http://www.mendeley.com/documents/?uuid=4a60056d-d1c9-4794-9d0b-89166d955aa4"]}],"mendeley":{"formattedCitation":"&lt;sup&gt;63&lt;/sup&gt;","plainTextFormattedCitation":"63","previouslyFormattedCitation":"&lt;sup&gt;62&lt;/sup&gt;"},"properties":{"noteIndex":0},"schema":"https://github.com/citation-style-language/schema/raw/master/csl-citation.json"}</w:instrText>
      </w:r>
      <w:r w:rsidR="00F46CCF">
        <w:rPr>
          <w:rFonts w:ascii="Arial" w:hAnsi="Arial" w:cs="Arial"/>
          <w:sz w:val="20"/>
          <w:szCs w:val="20"/>
        </w:rPr>
        <w:fldChar w:fldCharType="separate"/>
      </w:r>
      <w:r w:rsidR="00516D49" w:rsidRPr="00516D49">
        <w:rPr>
          <w:rFonts w:ascii="Arial" w:hAnsi="Arial" w:cs="Arial"/>
          <w:noProof/>
          <w:sz w:val="20"/>
          <w:szCs w:val="20"/>
          <w:vertAlign w:val="superscript"/>
        </w:rPr>
        <w:t>63</w:t>
      </w:r>
      <w:r w:rsidR="00F46CCF">
        <w:rPr>
          <w:rFonts w:ascii="Arial" w:hAnsi="Arial" w:cs="Arial"/>
          <w:sz w:val="20"/>
          <w:szCs w:val="20"/>
        </w:rPr>
        <w:fldChar w:fldCharType="end"/>
      </w:r>
      <w:r w:rsidR="00CC2536">
        <w:rPr>
          <w:rFonts w:ascii="Arial" w:hAnsi="Arial" w:cs="Arial"/>
          <w:sz w:val="20"/>
          <w:szCs w:val="20"/>
        </w:rPr>
        <w:t xml:space="preserve"> </w:t>
      </w:r>
      <w:r w:rsidR="004263B1">
        <w:rPr>
          <w:rFonts w:ascii="Arial" w:hAnsi="Arial" w:cs="Arial"/>
          <w:sz w:val="20"/>
          <w:szCs w:val="20"/>
        </w:rPr>
        <w:t xml:space="preserve">we </w:t>
      </w:r>
      <w:r w:rsidR="003C4504">
        <w:rPr>
          <w:rFonts w:ascii="Arial" w:hAnsi="Arial" w:cs="Arial"/>
          <w:sz w:val="20"/>
          <w:szCs w:val="20"/>
        </w:rPr>
        <w:t xml:space="preserve">further </w:t>
      </w:r>
      <w:r w:rsidR="004263B1">
        <w:rPr>
          <w:rFonts w:ascii="Arial" w:hAnsi="Arial" w:cs="Arial"/>
          <w:sz w:val="20"/>
          <w:szCs w:val="20"/>
        </w:rPr>
        <w:t xml:space="preserve">demonstrated that </w:t>
      </w:r>
      <w:r w:rsidR="00DB441F">
        <w:rPr>
          <w:rFonts w:ascii="Arial" w:hAnsi="Arial" w:cs="Arial"/>
          <w:sz w:val="20"/>
          <w:szCs w:val="20"/>
        </w:rPr>
        <w:t xml:space="preserve">ketoconazole is a non-competitive inhibitor of OAT3 </w:t>
      </w:r>
      <w:r w:rsidR="004263B1">
        <w:rPr>
          <w:rFonts w:ascii="Arial" w:hAnsi="Arial" w:cs="Arial"/>
          <w:sz w:val="20"/>
          <w:szCs w:val="20"/>
        </w:rPr>
        <w:t>(</w:t>
      </w:r>
      <w:r w:rsidR="004263B1" w:rsidRPr="004263B1">
        <w:rPr>
          <w:rFonts w:ascii="Arial" w:hAnsi="Arial" w:cs="Arial"/>
          <w:b/>
          <w:bCs/>
          <w:sz w:val="20"/>
          <w:szCs w:val="20"/>
        </w:rPr>
        <w:t>Figures 2C</w:t>
      </w:r>
      <w:r w:rsidR="004263B1" w:rsidRPr="004263B1">
        <w:rPr>
          <w:rFonts w:ascii="Arial" w:hAnsi="Arial" w:cs="Arial"/>
          <w:sz w:val="20"/>
          <w:szCs w:val="20"/>
        </w:rPr>
        <w:t xml:space="preserve"> and </w:t>
      </w:r>
      <w:r w:rsidR="004263B1" w:rsidRPr="004263B1">
        <w:rPr>
          <w:rFonts w:ascii="Arial" w:hAnsi="Arial" w:cs="Arial"/>
          <w:b/>
          <w:bCs/>
          <w:sz w:val="20"/>
          <w:szCs w:val="20"/>
        </w:rPr>
        <w:t>2E</w:t>
      </w:r>
      <w:r w:rsidR="004263B1">
        <w:rPr>
          <w:rFonts w:ascii="Arial" w:hAnsi="Arial" w:cs="Arial"/>
          <w:bCs/>
          <w:sz w:val="20"/>
          <w:szCs w:val="20"/>
        </w:rPr>
        <w:t>)</w:t>
      </w:r>
      <w:r w:rsidR="00DB441F">
        <w:rPr>
          <w:rFonts w:ascii="Arial" w:hAnsi="Arial" w:cs="Arial"/>
          <w:sz w:val="20"/>
          <w:szCs w:val="20"/>
        </w:rPr>
        <w:t>,</w:t>
      </w:r>
      <w:r w:rsidR="0065488C">
        <w:rPr>
          <w:rFonts w:ascii="Arial" w:hAnsi="Arial" w:cs="Arial"/>
          <w:sz w:val="20"/>
          <w:szCs w:val="20"/>
        </w:rPr>
        <w:t xml:space="preserve"> </w:t>
      </w:r>
      <w:r w:rsidR="00943F95">
        <w:rPr>
          <w:rFonts w:ascii="Arial" w:hAnsi="Arial" w:cs="Arial"/>
          <w:sz w:val="20"/>
          <w:szCs w:val="20"/>
        </w:rPr>
        <w:t xml:space="preserve">ratifying </w:t>
      </w:r>
      <w:r w:rsidR="001A02A8">
        <w:rPr>
          <w:rFonts w:ascii="Arial" w:hAnsi="Arial" w:cs="Arial"/>
          <w:sz w:val="20"/>
          <w:szCs w:val="20"/>
        </w:rPr>
        <w:t>how understanding the mode of inhibition is essential for</w:t>
      </w:r>
      <w:r w:rsidR="002718DF">
        <w:rPr>
          <w:rFonts w:ascii="Arial" w:hAnsi="Arial" w:cs="Arial"/>
          <w:sz w:val="20"/>
          <w:szCs w:val="20"/>
        </w:rPr>
        <w:t xml:space="preserve"> accurate conversion of experimental IC</w:t>
      </w:r>
      <w:r w:rsidR="002718DF" w:rsidRPr="0026765F">
        <w:rPr>
          <w:rFonts w:ascii="Arial" w:hAnsi="Arial" w:cs="Arial"/>
          <w:sz w:val="20"/>
          <w:szCs w:val="20"/>
          <w:vertAlign w:val="subscript"/>
        </w:rPr>
        <w:t>50</w:t>
      </w:r>
      <w:r w:rsidR="0026765F">
        <w:rPr>
          <w:rFonts w:ascii="Arial" w:hAnsi="Arial" w:cs="Arial"/>
          <w:sz w:val="20"/>
          <w:szCs w:val="20"/>
        </w:rPr>
        <w:t xml:space="preserve"> </w:t>
      </w:r>
      <w:r w:rsidR="002718DF">
        <w:rPr>
          <w:rFonts w:ascii="Arial" w:hAnsi="Arial" w:cs="Arial"/>
          <w:sz w:val="20"/>
          <w:szCs w:val="20"/>
        </w:rPr>
        <w:t xml:space="preserve">to </w:t>
      </w:r>
      <w:r w:rsidR="00176460" w:rsidRPr="0026765F">
        <w:rPr>
          <w:rFonts w:ascii="Arial" w:hAnsi="Arial" w:cs="Arial"/>
          <w:i/>
          <w:iCs/>
          <w:sz w:val="20"/>
          <w:szCs w:val="20"/>
        </w:rPr>
        <w:t>K</w:t>
      </w:r>
      <w:r w:rsidR="00176460" w:rsidRPr="0026765F">
        <w:rPr>
          <w:rFonts w:ascii="Arial" w:hAnsi="Arial" w:cs="Arial"/>
          <w:i/>
          <w:iCs/>
          <w:sz w:val="20"/>
          <w:szCs w:val="20"/>
          <w:vertAlign w:val="subscript"/>
        </w:rPr>
        <w:t>i</w:t>
      </w:r>
      <w:r w:rsidR="00176460" w:rsidRPr="00176460">
        <w:rPr>
          <w:rFonts w:ascii="Arial" w:hAnsi="Arial" w:cs="Arial"/>
          <w:sz w:val="20"/>
          <w:szCs w:val="20"/>
        </w:rPr>
        <w:t xml:space="preserve"> </w:t>
      </w:r>
      <w:r w:rsidR="004263B1">
        <w:rPr>
          <w:rFonts w:ascii="Arial" w:hAnsi="Arial" w:cs="Arial"/>
          <w:sz w:val="20"/>
          <w:szCs w:val="20"/>
        </w:rPr>
        <w:t xml:space="preserve">values </w:t>
      </w:r>
      <w:r w:rsidR="0026765F">
        <w:rPr>
          <w:rFonts w:ascii="Arial" w:hAnsi="Arial" w:cs="Arial"/>
          <w:sz w:val="20"/>
          <w:szCs w:val="20"/>
        </w:rPr>
        <w:t>for incorporation in</w:t>
      </w:r>
      <w:r w:rsidR="002718DF">
        <w:rPr>
          <w:rFonts w:ascii="Arial" w:hAnsi="Arial" w:cs="Arial"/>
          <w:sz w:val="20"/>
          <w:szCs w:val="20"/>
        </w:rPr>
        <w:t>to the PBPK-DDI model</w:t>
      </w:r>
      <w:r w:rsidR="0026765F">
        <w:rPr>
          <w:rFonts w:ascii="Arial" w:hAnsi="Arial" w:cs="Arial"/>
          <w:sz w:val="20"/>
          <w:szCs w:val="20"/>
        </w:rPr>
        <w:t>.</w:t>
      </w:r>
    </w:p>
    <w:p w14:paraId="025EAAC6" w14:textId="77777777" w:rsidR="009B48B7" w:rsidRDefault="009B48B7" w:rsidP="00062B7A">
      <w:pPr>
        <w:spacing w:after="0" w:line="480" w:lineRule="auto"/>
        <w:jc w:val="both"/>
        <w:rPr>
          <w:rFonts w:ascii="Arial" w:hAnsi="Arial" w:cs="Arial"/>
          <w:sz w:val="20"/>
          <w:szCs w:val="20"/>
        </w:rPr>
      </w:pPr>
    </w:p>
    <w:p w14:paraId="01A5C3E3" w14:textId="7B9941F8" w:rsidR="000C1087" w:rsidRPr="005A3D01" w:rsidRDefault="00A91FC9" w:rsidP="005A3D01">
      <w:pPr>
        <w:spacing w:after="0" w:line="480" w:lineRule="auto"/>
        <w:jc w:val="both"/>
        <w:rPr>
          <w:rFonts w:ascii="Arial" w:hAnsi="Arial" w:cs="Arial"/>
          <w:sz w:val="20"/>
          <w:szCs w:val="20"/>
        </w:rPr>
      </w:pPr>
      <w:r w:rsidRPr="00F8794C">
        <w:rPr>
          <w:rFonts w:ascii="Arial" w:hAnsi="Arial" w:cs="Arial"/>
          <w:sz w:val="20"/>
          <w:szCs w:val="20"/>
        </w:rPr>
        <w:t>Additionally,</w:t>
      </w:r>
      <w:r w:rsidR="000C1087" w:rsidRPr="000C1087">
        <w:rPr>
          <w:rFonts w:ascii="Arial" w:hAnsi="Arial" w:cs="Arial"/>
          <w:sz w:val="20"/>
          <w:szCs w:val="20"/>
        </w:rPr>
        <w:t xml:space="preserve"> marked differences in</w:t>
      </w:r>
      <w:r w:rsidR="00FA43EF">
        <w:rPr>
          <w:rFonts w:ascii="Arial" w:hAnsi="Arial" w:cs="Arial"/>
          <w:sz w:val="20"/>
          <w:szCs w:val="20"/>
        </w:rPr>
        <w:t xml:space="preserve"> experimentally derived</w:t>
      </w:r>
      <w:r w:rsidR="000C1087" w:rsidRPr="000C1087">
        <w:rPr>
          <w:rFonts w:ascii="Arial" w:hAnsi="Arial" w:cs="Arial"/>
          <w:sz w:val="20"/>
          <w:szCs w:val="20"/>
        </w:rPr>
        <w:t xml:space="preserve"> inhibitory potencies in the absence and presence of proteins have been </w:t>
      </w:r>
      <w:r w:rsidR="008D1BF3">
        <w:rPr>
          <w:rFonts w:ascii="Arial" w:hAnsi="Arial" w:cs="Arial"/>
          <w:sz w:val="20"/>
          <w:szCs w:val="20"/>
        </w:rPr>
        <w:t>alluded to in previous studies</w:t>
      </w:r>
      <w:r w:rsidR="000C1087" w:rsidRPr="000C1087">
        <w:rPr>
          <w:rFonts w:ascii="Arial" w:hAnsi="Arial" w:cs="Arial"/>
          <w:sz w:val="20"/>
          <w:szCs w:val="20"/>
        </w:rPr>
        <w:t>. Conventionally, IC</w:t>
      </w:r>
      <w:r w:rsidR="000C1087" w:rsidRPr="000C1087">
        <w:rPr>
          <w:rFonts w:ascii="Arial" w:hAnsi="Arial" w:cs="Arial"/>
          <w:sz w:val="20"/>
          <w:szCs w:val="20"/>
          <w:vertAlign w:val="subscript"/>
        </w:rPr>
        <w:t>50</w:t>
      </w:r>
      <w:r w:rsidR="000C1087" w:rsidRPr="000C1087">
        <w:rPr>
          <w:rFonts w:ascii="Arial" w:hAnsi="Arial" w:cs="Arial"/>
          <w:sz w:val="20"/>
          <w:szCs w:val="20"/>
        </w:rPr>
        <w:t>/</w:t>
      </w:r>
      <w:r w:rsidR="000C1087" w:rsidRPr="000C1087">
        <w:rPr>
          <w:rFonts w:ascii="Arial" w:hAnsi="Arial" w:cs="Arial"/>
          <w:i/>
          <w:iCs/>
          <w:sz w:val="20"/>
          <w:szCs w:val="20"/>
        </w:rPr>
        <w:t>K</w:t>
      </w:r>
      <w:r w:rsidR="000C1087" w:rsidRPr="000C1087">
        <w:rPr>
          <w:rFonts w:ascii="Arial" w:hAnsi="Arial" w:cs="Arial"/>
          <w:i/>
          <w:iCs/>
          <w:sz w:val="20"/>
          <w:szCs w:val="20"/>
          <w:vertAlign w:val="subscript"/>
        </w:rPr>
        <w:t>i</w:t>
      </w:r>
      <w:r w:rsidR="000C1087" w:rsidRPr="000C1087">
        <w:rPr>
          <w:rFonts w:ascii="Arial" w:hAnsi="Arial" w:cs="Arial"/>
          <w:sz w:val="20"/>
          <w:szCs w:val="20"/>
        </w:rPr>
        <w:t xml:space="preserve"> values against transporters are measured </w:t>
      </w:r>
      <w:r w:rsidR="000C1087" w:rsidRPr="000C1087">
        <w:rPr>
          <w:rFonts w:ascii="Arial" w:hAnsi="Arial" w:cs="Arial"/>
          <w:i/>
          <w:iCs/>
          <w:sz w:val="20"/>
          <w:szCs w:val="20"/>
        </w:rPr>
        <w:t xml:space="preserve">in vitro </w:t>
      </w:r>
      <w:r w:rsidR="000C1087" w:rsidRPr="000C1087">
        <w:rPr>
          <w:rFonts w:ascii="Arial" w:hAnsi="Arial" w:cs="Arial"/>
          <w:sz w:val="20"/>
          <w:szCs w:val="20"/>
        </w:rPr>
        <w:t>in protein free buffers such as HBSS (</w:t>
      </w:r>
      <w:proofErr w:type="spellStart"/>
      <w:r w:rsidR="000C1087" w:rsidRPr="000C1087">
        <w:rPr>
          <w:rFonts w:ascii="Arial" w:hAnsi="Arial" w:cs="Arial"/>
          <w:sz w:val="20"/>
          <w:szCs w:val="20"/>
        </w:rPr>
        <w:t>fu</w:t>
      </w:r>
      <w:r w:rsidR="000C1087" w:rsidRPr="000C1087">
        <w:rPr>
          <w:rFonts w:ascii="Arial" w:hAnsi="Arial" w:cs="Arial"/>
          <w:sz w:val="20"/>
          <w:szCs w:val="20"/>
          <w:vertAlign w:val="subscript"/>
        </w:rPr>
        <w:t>inc</w:t>
      </w:r>
      <w:proofErr w:type="spellEnd"/>
      <w:r w:rsidR="000C1087" w:rsidRPr="000C1087">
        <w:rPr>
          <w:rFonts w:ascii="Arial" w:hAnsi="Arial" w:cs="Arial"/>
          <w:sz w:val="20"/>
          <w:szCs w:val="20"/>
        </w:rPr>
        <w:t xml:space="preserve"> = 1). Translation of these values to the </w:t>
      </w:r>
      <w:r w:rsidR="000C1087" w:rsidRPr="000C1087">
        <w:rPr>
          <w:rFonts w:ascii="Arial" w:hAnsi="Arial" w:cs="Arial"/>
          <w:i/>
          <w:iCs/>
          <w:sz w:val="20"/>
          <w:szCs w:val="20"/>
        </w:rPr>
        <w:t xml:space="preserve">in vivo </w:t>
      </w:r>
      <w:r w:rsidR="000C1087" w:rsidRPr="000C1087">
        <w:rPr>
          <w:rFonts w:ascii="Arial" w:hAnsi="Arial" w:cs="Arial"/>
          <w:sz w:val="20"/>
          <w:szCs w:val="20"/>
        </w:rPr>
        <w:t>setting would result in an attenuation of the intrinsic transporter-mediated clearance of the test substrate (</w:t>
      </w:r>
      <w:proofErr w:type="spellStart"/>
      <w:proofErr w:type="gramStart"/>
      <w:r w:rsidR="000C1087" w:rsidRPr="000C1087">
        <w:rPr>
          <w:rFonts w:ascii="Arial" w:hAnsi="Arial" w:cs="Arial"/>
          <w:sz w:val="20"/>
          <w:szCs w:val="20"/>
        </w:rPr>
        <w:t>CL</w:t>
      </w:r>
      <w:r w:rsidR="000C1087" w:rsidRPr="000C1087">
        <w:rPr>
          <w:rFonts w:ascii="Arial" w:hAnsi="Arial" w:cs="Arial"/>
          <w:sz w:val="20"/>
          <w:szCs w:val="20"/>
          <w:vertAlign w:val="subscript"/>
        </w:rPr>
        <w:t>int,T</w:t>
      </w:r>
      <w:proofErr w:type="spellEnd"/>
      <w:proofErr w:type="gramEnd"/>
      <w:r w:rsidR="000C1087" w:rsidRPr="000C1087">
        <w:rPr>
          <w:rFonts w:ascii="Arial" w:hAnsi="Arial" w:cs="Arial"/>
          <w:sz w:val="20"/>
          <w:szCs w:val="20"/>
          <w:vertAlign w:val="subscript"/>
        </w:rPr>
        <w:t>-inhibitor</w:t>
      </w:r>
      <w:r w:rsidR="000C1087" w:rsidRPr="000C1087">
        <w:rPr>
          <w:rFonts w:ascii="Arial" w:hAnsi="Arial" w:cs="Arial"/>
          <w:sz w:val="20"/>
          <w:szCs w:val="20"/>
        </w:rPr>
        <w:t xml:space="preserve">), as presented in </w:t>
      </w:r>
      <w:r w:rsidR="000C1087" w:rsidRPr="000C1087">
        <w:rPr>
          <w:rFonts w:ascii="Arial" w:hAnsi="Arial" w:cs="Arial"/>
          <w:b/>
          <w:bCs/>
          <w:sz w:val="20"/>
          <w:szCs w:val="20"/>
        </w:rPr>
        <w:t xml:space="preserve">Equation </w:t>
      </w:r>
      <w:r w:rsidR="001C6CC4">
        <w:rPr>
          <w:rFonts w:ascii="Arial" w:hAnsi="Arial" w:cs="Arial"/>
          <w:b/>
          <w:bCs/>
          <w:sz w:val="20"/>
          <w:szCs w:val="20"/>
        </w:rPr>
        <w:t>5</w:t>
      </w:r>
      <w:r w:rsidR="00A224EE">
        <w:rPr>
          <w:rFonts w:ascii="Arial" w:hAnsi="Arial" w:cs="Arial"/>
          <w:sz w:val="20"/>
          <w:szCs w:val="20"/>
        </w:rPr>
        <w:t>. O</w:t>
      </w:r>
      <w:r w:rsidR="005A3D01" w:rsidRPr="005A3D01">
        <w:rPr>
          <w:rFonts w:ascii="Arial" w:hAnsi="Arial" w:cs="Arial"/>
          <w:sz w:val="20"/>
          <w:szCs w:val="20"/>
        </w:rPr>
        <w:t>verestimations of IC</w:t>
      </w:r>
      <w:r w:rsidR="005A3D01" w:rsidRPr="005A3D01">
        <w:rPr>
          <w:rFonts w:ascii="Arial" w:hAnsi="Arial" w:cs="Arial"/>
          <w:sz w:val="20"/>
          <w:szCs w:val="20"/>
          <w:vertAlign w:val="subscript"/>
        </w:rPr>
        <w:t>50</w:t>
      </w:r>
      <w:r w:rsidR="005A3D01" w:rsidRPr="005A3D01">
        <w:rPr>
          <w:rFonts w:ascii="Arial" w:hAnsi="Arial" w:cs="Arial"/>
          <w:sz w:val="20"/>
          <w:szCs w:val="20"/>
        </w:rPr>
        <w:t xml:space="preserve"> and corresponding underestimations of DDI risk utilizing this approach have been reported.</w:t>
      </w:r>
      <w:r w:rsidR="005A3D01" w:rsidRPr="005A3D01">
        <w:rPr>
          <w:rFonts w:ascii="Arial" w:hAnsi="Arial" w:cs="Arial"/>
          <w:sz w:val="20"/>
          <w:szCs w:val="20"/>
        </w:rPr>
        <w:fldChar w:fldCharType="begin" w:fldLock="1"/>
      </w:r>
      <w:r w:rsidR="005A3D01" w:rsidRPr="005A3D01">
        <w:rPr>
          <w:rFonts w:ascii="Arial" w:hAnsi="Arial" w:cs="Arial"/>
          <w:sz w:val="20"/>
          <w:szCs w:val="20"/>
        </w:rPr>
        <w:instrText>ADDIN CSL_CITATION {"citationItems":[{"id":"ITEM-1","itemData":{"author":[{"dropping-particle":"","family":"Jahic","given":"Mirza","non-dropping-particle":"","parse-names":false,"suffix":""},{"dropping-particle":"","family":"Baik","given":"Jason","non-dropping-particle":"","parse-names":false,"suffix":""},{"dropping-particle":"","family":"Li","given":"Chen-Ming","non-dropping-particle":"","parse-names":false,"suffix":""},{"dropping-particle":"","family":"Jiang","given":"Wenjie","non-dropping-particle":"","parse-names":false,"suffix":""},{"dropping-particle":"","family":"Zhang","given":"Xuexiang","non-dropping-particle":"","parse-names":false,"suffix":""},{"dropping-particle":"","family":"Warren","given":"Mark","non-dropping-particle":"","parse-names":false,"suffix":""},{"dropping-particle":"","family":"Huang","given":"Yong","non-dropping-particle":"","parse-names":false,"suffix":""}],"container-title":"13th European ISSX Meeting","id":"ITEM-1","issued":{"date-parts":[["2015"]]},"title":"Should Total Plasma Drug Concentration Be Used to Predict Transporter Mediated Drug-Drug Interactions for Highly Protein Bound Drugs?","type":"webpage"},"uris":["http://www.mendeley.com/documents/?uuid=b585bd5d-4615-48b0-a879-62e42c0ee459"]}],"mendeley":{"formattedCitation":"&lt;sup&gt;64&lt;/sup&gt;","plainTextFormattedCitation":"64","previouslyFormattedCitation":"&lt;sup&gt;63&lt;/sup&gt;"},"properties":{"noteIndex":0},"schema":"https://github.com/citation-style-language/schema/raw/master/csl-citation.json"}</w:instrText>
      </w:r>
      <w:r w:rsidR="005A3D01" w:rsidRPr="005A3D01">
        <w:rPr>
          <w:rFonts w:ascii="Arial" w:hAnsi="Arial" w:cs="Arial"/>
          <w:sz w:val="20"/>
          <w:szCs w:val="20"/>
        </w:rPr>
        <w:fldChar w:fldCharType="separate"/>
      </w:r>
      <w:r w:rsidR="005A3D01" w:rsidRPr="005A3D01">
        <w:rPr>
          <w:rFonts w:ascii="Arial" w:hAnsi="Arial" w:cs="Arial"/>
          <w:sz w:val="20"/>
          <w:szCs w:val="20"/>
          <w:vertAlign w:val="superscript"/>
        </w:rPr>
        <w:t>64</w:t>
      </w:r>
      <w:r w:rsidR="005A3D01" w:rsidRPr="005A3D01">
        <w:rPr>
          <w:rFonts w:ascii="Arial" w:hAnsi="Arial" w:cs="Arial"/>
          <w:sz w:val="20"/>
          <w:szCs w:val="20"/>
        </w:rPr>
        <w:fldChar w:fldCharType="end"/>
      </w:r>
    </w:p>
    <w:p w14:paraId="1ACD09CE" w14:textId="77777777" w:rsidR="009B48B7" w:rsidRPr="000C1087" w:rsidRDefault="009B48B7" w:rsidP="00062B7A">
      <w:pPr>
        <w:spacing w:after="0" w:line="480" w:lineRule="auto"/>
        <w:jc w:val="both"/>
        <w:rPr>
          <w:rFonts w:ascii="Arial" w:hAnsi="Arial" w:cs="Arial"/>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8"/>
        <w:gridCol w:w="1098"/>
      </w:tblGrid>
      <w:tr w:rsidR="000C1087" w:rsidRPr="000C1087" w14:paraId="09A35FEE" w14:textId="77777777" w:rsidTr="001C6CC4">
        <w:tc>
          <w:tcPr>
            <w:tcW w:w="4392" w:type="pct"/>
          </w:tcPr>
          <w:p w14:paraId="4F589E73" w14:textId="77777777" w:rsidR="000C1087" w:rsidRPr="000C1087" w:rsidRDefault="008B7C45" w:rsidP="00062B7A">
            <w:pPr>
              <w:spacing w:line="480" w:lineRule="auto"/>
              <w:jc w:val="both"/>
              <w:rPr>
                <w:rFonts w:ascii="Arial" w:hAnsi="Arial" w:cs="Arial"/>
                <w:sz w:val="20"/>
                <w:szCs w:val="20"/>
              </w:rPr>
            </w:pPr>
            <m:oMathPara>
              <m:oMath>
                <m:sSub>
                  <m:sSubPr>
                    <m:ctrlPr>
                      <w:rPr>
                        <w:rFonts w:ascii="Cambria Math" w:hAnsi="Cambria Math" w:cs="Arial"/>
                        <w:i/>
                        <w:sz w:val="20"/>
                        <w:szCs w:val="20"/>
                      </w:rPr>
                    </m:ctrlPr>
                  </m:sSubPr>
                  <m:e>
                    <m:r>
                      <w:rPr>
                        <w:rFonts w:ascii="Cambria Math" w:hAnsi="Cambria Math" w:cs="Arial"/>
                        <w:sz w:val="20"/>
                        <w:szCs w:val="20"/>
                      </w:rPr>
                      <m:t>CL</m:t>
                    </m:r>
                  </m:e>
                  <m:sub>
                    <m:r>
                      <w:rPr>
                        <w:rFonts w:ascii="Cambria Math" w:hAnsi="Cambria Math" w:cs="Arial"/>
                        <w:sz w:val="20"/>
                        <w:szCs w:val="20"/>
                      </w:rPr>
                      <m:t>int,T-inhibitor</m:t>
                    </m:r>
                  </m:sub>
                </m:sSub>
                <m:r>
                  <w:rPr>
                    <w:rFonts w:ascii="Cambria Math" w:hAnsi="Cambria Math" w:cs="Arial"/>
                    <w:sz w:val="20"/>
                    <w:szCs w:val="20"/>
                  </w:rPr>
                  <m:t>=</m:t>
                </m:r>
                <m:f>
                  <m:fPr>
                    <m:ctrlPr>
                      <w:rPr>
                        <w:rFonts w:ascii="Cambria Math" w:hAnsi="Cambria Math" w:cs="Arial"/>
                        <w:i/>
                        <w:sz w:val="20"/>
                        <w:szCs w:val="20"/>
                      </w:rPr>
                    </m:ctrlPr>
                  </m:fPr>
                  <m:num>
                    <m:sSub>
                      <m:sSubPr>
                        <m:ctrlPr>
                          <w:rPr>
                            <w:rFonts w:ascii="Cambria Math" w:hAnsi="Cambria Math" w:cs="Arial"/>
                            <w:i/>
                            <w:sz w:val="20"/>
                            <w:szCs w:val="20"/>
                          </w:rPr>
                        </m:ctrlPr>
                      </m:sSubPr>
                      <m:e>
                        <m:r>
                          <w:rPr>
                            <w:rFonts w:ascii="Cambria Math" w:hAnsi="Cambria Math" w:cs="Arial"/>
                            <w:sz w:val="20"/>
                            <w:szCs w:val="20"/>
                          </w:rPr>
                          <m:t>CL</m:t>
                        </m:r>
                      </m:e>
                      <m:sub>
                        <m:r>
                          <w:rPr>
                            <w:rFonts w:ascii="Cambria Math" w:hAnsi="Cambria Math" w:cs="Arial"/>
                            <w:sz w:val="20"/>
                            <w:szCs w:val="20"/>
                          </w:rPr>
                          <m:t>int,T</m:t>
                        </m:r>
                      </m:sub>
                    </m:sSub>
                  </m:num>
                  <m:den>
                    <m:r>
                      <w:rPr>
                        <w:rFonts w:ascii="Cambria Math" w:hAnsi="Cambria Math" w:cs="Arial"/>
                        <w:sz w:val="20"/>
                        <w:szCs w:val="20"/>
                      </w:rPr>
                      <m:t>1+</m:t>
                    </m:r>
                    <m:f>
                      <m:fPr>
                        <m:ctrlPr>
                          <w:rPr>
                            <w:rFonts w:ascii="Cambria Math" w:hAnsi="Cambria Math" w:cs="Arial"/>
                            <w:i/>
                            <w:sz w:val="20"/>
                            <w:szCs w:val="20"/>
                          </w:rPr>
                        </m:ctrlPr>
                      </m:fPr>
                      <m:num>
                        <m:sSub>
                          <m:sSubPr>
                            <m:ctrlPr>
                              <w:rPr>
                                <w:rFonts w:ascii="Cambria Math" w:hAnsi="Cambria Math" w:cs="Arial"/>
                                <w:i/>
                                <w:sz w:val="20"/>
                                <w:szCs w:val="20"/>
                              </w:rPr>
                            </m:ctrlPr>
                          </m:sSubPr>
                          <m:e>
                            <m:r>
                              <w:rPr>
                                <w:rFonts w:ascii="Cambria Math" w:hAnsi="Cambria Math" w:cs="Arial"/>
                                <w:sz w:val="20"/>
                                <w:szCs w:val="20"/>
                              </w:rPr>
                              <m:t>fu</m:t>
                            </m:r>
                          </m:e>
                          <m:sub>
                            <m:r>
                              <w:rPr>
                                <w:rFonts w:ascii="Cambria Math" w:hAnsi="Cambria Math" w:cs="Arial"/>
                                <w:sz w:val="20"/>
                                <w:szCs w:val="20"/>
                              </w:rPr>
                              <m:t>p</m:t>
                            </m:r>
                          </m:sub>
                        </m:sSub>
                        <m:r>
                          <w:rPr>
                            <w:rFonts w:ascii="Cambria Math" w:hAnsi="Cambria Math" w:cs="Arial"/>
                            <w:sz w:val="20"/>
                            <w:szCs w:val="20"/>
                          </w:rPr>
                          <m:t>×[Inhibitor]</m:t>
                        </m:r>
                      </m:num>
                      <m:den>
                        <m:sSub>
                          <m:sSubPr>
                            <m:ctrlPr>
                              <w:rPr>
                                <w:rFonts w:ascii="Cambria Math" w:hAnsi="Cambria Math" w:cs="Arial"/>
                                <w:i/>
                                <w:sz w:val="20"/>
                                <w:szCs w:val="20"/>
                              </w:rPr>
                            </m:ctrlPr>
                          </m:sSubPr>
                          <m:e>
                            <m:r>
                              <w:rPr>
                                <w:rFonts w:ascii="Cambria Math" w:hAnsi="Cambria Math" w:cs="Arial"/>
                                <w:sz w:val="20"/>
                                <w:szCs w:val="20"/>
                              </w:rPr>
                              <m:t>fu</m:t>
                            </m:r>
                          </m:e>
                          <m:sub>
                            <m:r>
                              <w:rPr>
                                <w:rFonts w:ascii="Cambria Math" w:hAnsi="Cambria Math" w:cs="Arial"/>
                                <w:sz w:val="20"/>
                                <w:szCs w:val="20"/>
                              </w:rPr>
                              <m:t>inc</m:t>
                            </m:r>
                          </m:sub>
                        </m:sSub>
                        <m:r>
                          <w:rPr>
                            <w:rFonts w:ascii="Cambria Math" w:hAnsi="Cambria Math" w:cs="Arial"/>
                            <w:sz w:val="20"/>
                            <w:szCs w:val="20"/>
                          </w:rPr>
                          <m:t>×</m:t>
                        </m:r>
                        <m:sSub>
                          <m:sSubPr>
                            <m:ctrlPr>
                              <w:rPr>
                                <w:rFonts w:ascii="Cambria Math" w:hAnsi="Cambria Math" w:cs="Arial"/>
                                <w:i/>
                                <w:sz w:val="20"/>
                                <w:szCs w:val="20"/>
                              </w:rPr>
                            </m:ctrlPr>
                          </m:sSubPr>
                          <m:e>
                            <m:sSub>
                              <m:sSubPr>
                                <m:ctrlPr>
                                  <w:rPr>
                                    <w:rFonts w:ascii="Cambria Math" w:hAnsi="Cambria Math" w:cs="Arial"/>
                                    <w:i/>
                                    <w:sz w:val="20"/>
                                    <w:szCs w:val="20"/>
                                  </w:rPr>
                                </m:ctrlPr>
                              </m:sSubPr>
                              <m:e>
                                <m:r>
                                  <w:rPr>
                                    <w:rFonts w:ascii="Cambria Math" w:hAnsi="Cambria Math" w:cs="Arial"/>
                                    <w:sz w:val="20"/>
                                    <w:szCs w:val="20"/>
                                  </w:rPr>
                                  <m:t>IC</m:t>
                                </m:r>
                              </m:e>
                              <m:sub>
                                <m:r>
                                  <w:rPr>
                                    <w:rFonts w:ascii="Cambria Math" w:hAnsi="Cambria Math" w:cs="Arial"/>
                                    <w:sz w:val="20"/>
                                    <w:szCs w:val="20"/>
                                  </w:rPr>
                                  <m:t>50,HBSS</m:t>
                                </m:r>
                              </m:sub>
                            </m:sSub>
                            <m:r>
                              <w:rPr>
                                <w:rFonts w:ascii="Cambria Math" w:hAnsi="Cambria Math" w:cs="Arial"/>
                                <w:sz w:val="20"/>
                                <w:szCs w:val="20"/>
                              </w:rPr>
                              <m:t>/K</m:t>
                            </m:r>
                          </m:e>
                          <m:sub>
                            <m:r>
                              <w:rPr>
                                <w:rFonts w:ascii="Cambria Math" w:hAnsi="Cambria Math" w:cs="Arial"/>
                                <w:sz w:val="20"/>
                                <w:szCs w:val="20"/>
                              </w:rPr>
                              <m:t>i,HBSS</m:t>
                            </m:r>
                          </m:sub>
                        </m:sSub>
                      </m:den>
                    </m:f>
                  </m:den>
                </m:f>
              </m:oMath>
            </m:oMathPara>
          </w:p>
        </w:tc>
        <w:tc>
          <w:tcPr>
            <w:tcW w:w="608" w:type="pct"/>
            <w:vAlign w:val="center"/>
          </w:tcPr>
          <w:p w14:paraId="15C38A75" w14:textId="4EE692B1" w:rsidR="000C1087" w:rsidRPr="000C1087" w:rsidRDefault="000C1087" w:rsidP="00062B7A">
            <w:pPr>
              <w:spacing w:line="480" w:lineRule="auto"/>
              <w:jc w:val="center"/>
              <w:rPr>
                <w:rFonts w:ascii="Arial" w:hAnsi="Arial" w:cs="Arial"/>
                <w:sz w:val="20"/>
                <w:szCs w:val="20"/>
              </w:rPr>
            </w:pPr>
            <w:r w:rsidRPr="000C1087">
              <w:rPr>
                <w:rFonts w:ascii="Arial" w:hAnsi="Arial" w:cs="Arial"/>
                <w:sz w:val="20"/>
                <w:szCs w:val="20"/>
              </w:rPr>
              <w:t>(</w:t>
            </w:r>
            <w:r w:rsidR="001C6CC4" w:rsidRPr="001C6CC4">
              <w:rPr>
                <w:rFonts w:ascii="Arial" w:hAnsi="Arial" w:cs="Arial"/>
                <w:b/>
                <w:bCs/>
                <w:sz w:val="20"/>
                <w:szCs w:val="20"/>
              </w:rPr>
              <w:t>5</w:t>
            </w:r>
            <w:r w:rsidRPr="000C1087">
              <w:rPr>
                <w:rFonts w:ascii="Arial" w:hAnsi="Arial" w:cs="Arial"/>
                <w:sz w:val="20"/>
                <w:szCs w:val="20"/>
              </w:rPr>
              <w:t>)</w:t>
            </w:r>
          </w:p>
        </w:tc>
      </w:tr>
    </w:tbl>
    <w:p w14:paraId="5BA3F47E" w14:textId="77777777" w:rsidR="000C1087" w:rsidRPr="000C1087" w:rsidRDefault="000C1087" w:rsidP="00062B7A">
      <w:pPr>
        <w:spacing w:after="0" w:line="480" w:lineRule="auto"/>
        <w:jc w:val="both"/>
        <w:rPr>
          <w:rFonts w:ascii="Arial" w:hAnsi="Arial" w:cs="Arial"/>
          <w:sz w:val="20"/>
          <w:szCs w:val="20"/>
        </w:rPr>
      </w:pPr>
    </w:p>
    <w:p w14:paraId="3BE7671B" w14:textId="06A6E616" w:rsidR="000C1087" w:rsidRDefault="005A3D01" w:rsidP="00062B7A">
      <w:pPr>
        <w:spacing w:after="0" w:line="480" w:lineRule="auto"/>
        <w:jc w:val="both"/>
        <w:rPr>
          <w:rFonts w:ascii="Arial" w:hAnsi="Arial" w:cs="Arial"/>
          <w:sz w:val="20"/>
          <w:szCs w:val="20"/>
        </w:rPr>
      </w:pPr>
      <w:r>
        <w:rPr>
          <w:rFonts w:ascii="Arial" w:hAnsi="Arial" w:cs="Arial"/>
          <w:sz w:val="20"/>
          <w:szCs w:val="20"/>
        </w:rPr>
        <w:t xml:space="preserve">By considering plasma protein binding in our </w:t>
      </w:r>
      <w:r w:rsidRPr="005A3D01">
        <w:rPr>
          <w:rFonts w:ascii="Arial" w:hAnsi="Arial" w:cs="Arial"/>
          <w:i/>
          <w:sz w:val="20"/>
          <w:szCs w:val="20"/>
        </w:rPr>
        <w:t>in vitro</w:t>
      </w:r>
      <w:r>
        <w:rPr>
          <w:rFonts w:ascii="Arial" w:hAnsi="Arial" w:cs="Arial"/>
          <w:sz w:val="20"/>
          <w:szCs w:val="20"/>
        </w:rPr>
        <w:t xml:space="preserve"> assay and u</w:t>
      </w:r>
      <w:r w:rsidR="000C1087" w:rsidRPr="000C1087">
        <w:rPr>
          <w:rFonts w:ascii="Arial" w:hAnsi="Arial" w:cs="Arial"/>
          <w:sz w:val="20"/>
          <w:szCs w:val="20"/>
        </w:rPr>
        <w:t xml:space="preserve">pon application of </w:t>
      </w:r>
      <w:r w:rsidR="000C1087" w:rsidRPr="000C1087">
        <w:rPr>
          <w:rFonts w:ascii="Arial" w:hAnsi="Arial" w:cs="Arial"/>
          <w:b/>
          <w:bCs/>
          <w:sz w:val="20"/>
          <w:szCs w:val="20"/>
        </w:rPr>
        <w:t xml:space="preserve">Equation </w:t>
      </w:r>
      <w:r w:rsidR="001C6CC4">
        <w:rPr>
          <w:rFonts w:ascii="Arial" w:hAnsi="Arial" w:cs="Arial"/>
          <w:b/>
          <w:bCs/>
          <w:sz w:val="20"/>
          <w:szCs w:val="20"/>
        </w:rPr>
        <w:t>6</w:t>
      </w:r>
      <w:r w:rsidR="000C1087" w:rsidRPr="000C1087">
        <w:rPr>
          <w:rFonts w:ascii="Arial" w:hAnsi="Arial" w:cs="Arial"/>
          <w:sz w:val="20"/>
          <w:szCs w:val="20"/>
        </w:rPr>
        <w:t xml:space="preserve">, comparing the relative ratios of </w:t>
      </w:r>
      <w:proofErr w:type="spellStart"/>
      <w:proofErr w:type="gramStart"/>
      <w:r w:rsidR="000C1087" w:rsidRPr="000C1087">
        <w:rPr>
          <w:rFonts w:ascii="Arial" w:hAnsi="Arial" w:cs="Arial"/>
          <w:sz w:val="20"/>
          <w:szCs w:val="20"/>
        </w:rPr>
        <w:t>CL</w:t>
      </w:r>
      <w:r w:rsidR="000C1087" w:rsidRPr="000C1087">
        <w:rPr>
          <w:rFonts w:ascii="Arial" w:hAnsi="Arial" w:cs="Arial"/>
          <w:sz w:val="20"/>
          <w:szCs w:val="20"/>
          <w:vertAlign w:val="subscript"/>
        </w:rPr>
        <w:t>int,T</w:t>
      </w:r>
      <w:proofErr w:type="spellEnd"/>
      <w:proofErr w:type="gramEnd"/>
      <w:r w:rsidR="000C1087" w:rsidRPr="000C1087">
        <w:rPr>
          <w:rFonts w:ascii="Arial" w:hAnsi="Arial" w:cs="Arial"/>
          <w:sz w:val="20"/>
          <w:szCs w:val="20"/>
          <w:vertAlign w:val="subscript"/>
        </w:rPr>
        <w:t>-inhibitor</w:t>
      </w:r>
      <w:r w:rsidR="000C1087" w:rsidRPr="000C1087">
        <w:rPr>
          <w:rFonts w:ascii="Arial" w:hAnsi="Arial" w:cs="Arial"/>
          <w:sz w:val="20"/>
          <w:szCs w:val="20"/>
        </w:rPr>
        <w:t xml:space="preserve"> and </w:t>
      </w:r>
      <w:proofErr w:type="spellStart"/>
      <w:r w:rsidR="000C1087" w:rsidRPr="000C1087">
        <w:rPr>
          <w:rFonts w:ascii="Arial" w:hAnsi="Arial" w:cs="Arial"/>
          <w:sz w:val="20"/>
          <w:szCs w:val="20"/>
        </w:rPr>
        <w:t>CL</w:t>
      </w:r>
      <w:r w:rsidR="000C1087" w:rsidRPr="000C1087">
        <w:rPr>
          <w:rFonts w:ascii="Arial" w:hAnsi="Arial" w:cs="Arial"/>
          <w:sz w:val="20"/>
          <w:szCs w:val="20"/>
          <w:vertAlign w:val="subscript"/>
        </w:rPr>
        <w:t>int,T</w:t>
      </w:r>
      <w:proofErr w:type="spellEnd"/>
      <w:r w:rsidR="000C1087" w:rsidRPr="000C1087">
        <w:rPr>
          <w:rFonts w:ascii="Arial" w:hAnsi="Arial" w:cs="Arial"/>
          <w:sz w:val="20"/>
          <w:szCs w:val="20"/>
        </w:rPr>
        <w:t>, exposure was predicted to increase by 1.5-fold, demonstrating a closer correlation with the clinically observed fold change.</w:t>
      </w:r>
    </w:p>
    <w:p w14:paraId="1190D53F" w14:textId="77777777" w:rsidR="009B48B7" w:rsidRPr="000C1087" w:rsidRDefault="009B48B7" w:rsidP="00062B7A">
      <w:pPr>
        <w:spacing w:after="0" w:line="480" w:lineRule="auto"/>
        <w:jc w:val="both"/>
        <w:rPr>
          <w:rFonts w:ascii="Arial" w:hAnsi="Arial" w:cs="Arial"/>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8"/>
        <w:gridCol w:w="1098"/>
      </w:tblGrid>
      <w:tr w:rsidR="000C1087" w:rsidRPr="000C1087" w14:paraId="389B15F2" w14:textId="77777777" w:rsidTr="001C6CC4">
        <w:tc>
          <w:tcPr>
            <w:tcW w:w="4392" w:type="pct"/>
          </w:tcPr>
          <w:p w14:paraId="376B4EC6" w14:textId="77777777" w:rsidR="000C1087" w:rsidRPr="000C1087" w:rsidRDefault="008B7C45" w:rsidP="00062B7A">
            <w:pPr>
              <w:spacing w:line="480" w:lineRule="auto"/>
              <w:jc w:val="both"/>
              <w:rPr>
                <w:rFonts w:ascii="Arial" w:hAnsi="Arial" w:cs="Arial"/>
                <w:sz w:val="20"/>
                <w:szCs w:val="20"/>
              </w:rPr>
            </w:pPr>
            <m:oMathPara>
              <m:oMath>
                <m:sSub>
                  <m:sSubPr>
                    <m:ctrlPr>
                      <w:rPr>
                        <w:rFonts w:ascii="Cambria Math" w:hAnsi="Cambria Math" w:cs="Arial"/>
                        <w:i/>
                        <w:sz w:val="20"/>
                        <w:szCs w:val="20"/>
                      </w:rPr>
                    </m:ctrlPr>
                  </m:sSubPr>
                  <m:e>
                    <m:r>
                      <w:rPr>
                        <w:rFonts w:ascii="Cambria Math" w:hAnsi="Cambria Math" w:cs="Arial"/>
                        <w:sz w:val="20"/>
                        <w:szCs w:val="20"/>
                      </w:rPr>
                      <m:t>CL</m:t>
                    </m:r>
                  </m:e>
                  <m:sub>
                    <m:r>
                      <w:rPr>
                        <w:rFonts w:ascii="Cambria Math" w:hAnsi="Cambria Math" w:cs="Arial"/>
                        <w:sz w:val="20"/>
                        <w:szCs w:val="20"/>
                      </w:rPr>
                      <m:t>int,T-inhibitor</m:t>
                    </m:r>
                  </m:sub>
                </m:sSub>
                <m:r>
                  <w:rPr>
                    <w:rFonts w:ascii="Cambria Math" w:hAnsi="Cambria Math" w:cs="Arial"/>
                    <w:sz w:val="20"/>
                    <w:szCs w:val="20"/>
                  </w:rPr>
                  <m:t>=</m:t>
                </m:r>
                <m:f>
                  <m:fPr>
                    <m:ctrlPr>
                      <w:rPr>
                        <w:rFonts w:ascii="Cambria Math" w:hAnsi="Cambria Math" w:cs="Arial"/>
                        <w:i/>
                        <w:sz w:val="20"/>
                        <w:szCs w:val="20"/>
                      </w:rPr>
                    </m:ctrlPr>
                  </m:fPr>
                  <m:num>
                    <m:sSub>
                      <m:sSubPr>
                        <m:ctrlPr>
                          <w:rPr>
                            <w:rFonts w:ascii="Cambria Math" w:hAnsi="Cambria Math" w:cs="Arial"/>
                            <w:i/>
                            <w:sz w:val="20"/>
                            <w:szCs w:val="20"/>
                          </w:rPr>
                        </m:ctrlPr>
                      </m:sSubPr>
                      <m:e>
                        <m:r>
                          <w:rPr>
                            <w:rFonts w:ascii="Cambria Math" w:hAnsi="Cambria Math" w:cs="Arial"/>
                            <w:sz w:val="20"/>
                            <w:szCs w:val="20"/>
                          </w:rPr>
                          <m:t>CL</m:t>
                        </m:r>
                      </m:e>
                      <m:sub>
                        <m:r>
                          <w:rPr>
                            <w:rFonts w:ascii="Cambria Math" w:hAnsi="Cambria Math" w:cs="Arial"/>
                            <w:sz w:val="20"/>
                            <w:szCs w:val="20"/>
                          </w:rPr>
                          <m:t>int,T</m:t>
                        </m:r>
                      </m:sub>
                    </m:sSub>
                  </m:num>
                  <m:den>
                    <m:r>
                      <w:rPr>
                        <w:rFonts w:ascii="Cambria Math" w:hAnsi="Cambria Math" w:cs="Arial"/>
                        <w:sz w:val="20"/>
                        <w:szCs w:val="20"/>
                      </w:rPr>
                      <m:t>1+</m:t>
                    </m:r>
                    <m:f>
                      <m:fPr>
                        <m:ctrlPr>
                          <w:rPr>
                            <w:rFonts w:ascii="Cambria Math" w:hAnsi="Cambria Math" w:cs="Arial"/>
                            <w:i/>
                            <w:sz w:val="20"/>
                            <w:szCs w:val="20"/>
                          </w:rPr>
                        </m:ctrlPr>
                      </m:fPr>
                      <m:num>
                        <m:sSub>
                          <m:sSubPr>
                            <m:ctrlPr>
                              <w:rPr>
                                <w:rFonts w:ascii="Cambria Math" w:hAnsi="Cambria Math" w:cs="Arial"/>
                                <w:i/>
                                <w:sz w:val="20"/>
                                <w:szCs w:val="20"/>
                              </w:rPr>
                            </m:ctrlPr>
                          </m:sSubPr>
                          <m:e>
                            <m:r>
                              <w:rPr>
                                <w:rFonts w:ascii="Cambria Math" w:hAnsi="Cambria Math" w:cs="Arial"/>
                                <w:sz w:val="20"/>
                                <w:szCs w:val="20"/>
                              </w:rPr>
                              <m:t>fu</m:t>
                            </m:r>
                          </m:e>
                          <m:sub>
                            <m:r>
                              <w:rPr>
                                <w:rFonts w:ascii="Cambria Math" w:hAnsi="Cambria Math" w:cs="Arial"/>
                                <w:sz w:val="20"/>
                                <w:szCs w:val="20"/>
                              </w:rPr>
                              <m:t>p</m:t>
                            </m:r>
                          </m:sub>
                        </m:sSub>
                        <m:r>
                          <w:rPr>
                            <w:rFonts w:ascii="Cambria Math" w:hAnsi="Cambria Math" w:cs="Arial"/>
                            <w:sz w:val="20"/>
                            <w:szCs w:val="20"/>
                          </w:rPr>
                          <m:t>×[Inhibitor]</m:t>
                        </m:r>
                      </m:num>
                      <m:den>
                        <m:sSub>
                          <m:sSubPr>
                            <m:ctrlPr>
                              <w:rPr>
                                <w:rFonts w:ascii="Cambria Math" w:hAnsi="Cambria Math" w:cs="Arial"/>
                                <w:i/>
                                <w:sz w:val="20"/>
                                <w:szCs w:val="20"/>
                              </w:rPr>
                            </m:ctrlPr>
                          </m:sSubPr>
                          <m:e>
                            <m:r>
                              <w:rPr>
                                <w:rFonts w:ascii="Cambria Math" w:hAnsi="Cambria Math" w:cs="Arial"/>
                                <w:sz w:val="20"/>
                                <w:szCs w:val="20"/>
                              </w:rPr>
                              <m:t>fu</m:t>
                            </m:r>
                          </m:e>
                          <m:sub>
                            <m:r>
                              <w:rPr>
                                <w:rFonts w:ascii="Cambria Math" w:hAnsi="Cambria Math" w:cs="Arial"/>
                                <w:sz w:val="20"/>
                                <w:szCs w:val="20"/>
                              </w:rPr>
                              <m:t>p</m:t>
                            </m:r>
                          </m:sub>
                        </m:sSub>
                        <m:r>
                          <w:rPr>
                            <w:rFonts w:ascii="Cambria Math" w:hAnsi="Cambria Math" w:cs="Arial"/>
                            <w:sz w:val="20"/>
                            <w:szCs w:val="20"/>
                          </w:rPr>
                          <m:t>×</m:t>
                        </m:r>
                        <m:sSub>
                          <m:sSubPr>
                            <m:ctrlPr>
                              <w:rPr>
                                <w:rFonts w:ascii="Cambria Math" w:hAnsi="Cambria Math" w:cs="Arial"/>
                                <w:i/>
                                <w:sz w:val="20"/>
                                <w:szCs w:val="20"/>
                              </w:rPr>
                            </m:ctrlPr>
                          </m:sSubPr>
                          <m:e>
                            <m:sSub>
                              <m:sSubPr>
                                <m:ctrlPr>
                                  <w:rPr>
                                    <w:rFonts w:ascii="Cambria Math" w:hAnsi="Cambria Math" w:cs="Arial"/>
                                    <w:i/>
                                    <w:sz w:val="20"/>
                                    <w:szCs w:val="20"/>
                                  </w:rPr>
                                </m:ctrlPr>
                              </m:sSubPr>
                              <m:e>
                                <m:r>
                                  <w:rPr>
                                    <w:rFonts w:ascii="Cambria Math" w:hAnsi="Cambria Math" w:cs="Arial"/>
                                    <w:sz w:val="20"/>
                                    <w:szCs w:val="20"/>
                                  </w:rPr>
                                  <m:t>IC</m:t>
                                </m:r>
                              </m:e>
                              <m:sub>
                                <m:r>
                                  <w:rPr>
                                    <w:rFonts w:ascii="Cambria Math" w:hAnsi="Cambria Math" w:cs="Arial"/>
                                    <w:sz w:val="20"/>
                                    <w:szCs w:val="20"/>
                                  </w:rPr>
                                  <m:t>50,plasma</m:t>
                                </m:r>
                              </m:sub>
                            </m:sSub>
                            <m:r>
                              <w:rPr>
                                <w:rFonts w:ascii="Cambria Math" w:hAnsi="Cambria Math" w:cs="Arial"/>
                                <w:sz w:val="20"/>
                                <w:szCs w:val="20"/>
                              </w:rPr>
                              <m:t>/K</m:t>
                            </m:r>
                          </m:e>
                          <m:sub>
                            <m:r>
                              <w:rPr>
                                <w:rFonts w:ascii="Cambria Math" w:hAnsi="Cambria Math" w:cs="Arial"/>
                                <w:sz w:val="20"/>
                                <w:szCs w:val="20"/>
                              </w:rPr>
                              <m:t>i,plasma</m:t>
                            </m:r>
                          </m:sub>
                        </m:sSub>
                      </m:den>
                    </m:f>
                  </m:den>
                </m:f>
              </m:oMath>
            </m:oMathPara>
          </w:p>
        </w:tc>
        <w:tc>
          <w:tcPr>
            <w:tcW w:w="608" w:type="pct"/>
            <w:vAlign w:val="center"/>
          </w:tcPr>
          <w:p w14:paraId="2AB9E536" w14:textId="63D985C9" w:rsidR="000C1087" w:rsidRPr="000C1087" w:rsidRDefault="000C1087" w:rsidP="00062B7A">
            <w:pPr>
              <w:spacing w:line="480" w:lineRule="auto"/>
              <w:jc w:val="center"/>
              <w:rPr>
                <w:rFonts w:ascii="Arial" w:hAnsi="Arial" w:cs="Arial"/>
                <w:sz w:val="20"/>
                <w:szCs w:val="20"/>
              </w:rPr>
            </w:pPr>
            <w:r w:rsidRPr="000C1087">
              <w:rPr>
                <w:rFonts w:ascii="Arial" w:hAnsi="Arial" w:cs="Arial"/>
                <w:sz w:val="20"/>
                <w:szCs w:val="20"/>
              </w:rPr>
              <w:t>(</w:t>
            </w:r>
            <w:r w:rsidR="001C6CC4">
              <w:rPr>
                <w:rFonts w:ascii="Arial" w:hAnsi="Arial" w:cs="Arial"/>
                <w:b/>
                <w:bCs/>
                <w:sz w:val="20"/>
                <w:szCs w:val="20"/>
              </w:rPr>
              <w:t>6</w:t>
            </w:r>
            <w:r w:rsidRPr="000C1087">
              <w:rPr>
                <w:rFonts w:ascii="Arial" w:hAnsi="Arial" w:cs="Arial"/>
                <w:sz w:val="20"/>
                <w:szCs w:val="20"/>
              </w:rPr>
              <w:t>)</w:t>
            </w:r>
          </w:p>
        </w:tc>
      </w:tr>
    </w:tbl>
    <w:p w14:paraId="30A5A9C6" w14:textId="77777777" w:rsidR="000C1087" w:rsidRPr="000C1087" w:rsidRDefault="000C1087" w:rsidP="00062B7A">
      <w:pPr>
        <w:spacing w:after="0" w:line="480" w:lineRule="auto"/>
        <w:jc w:val="both"/>
        <w:rPr>
          <w:rFonts w:ascii="Arial" w:hAnsi="Arial" w:cs="Arial"/>
          <w:sz w:val="20"/>
          <w:szCs w:val="20"/>
        </w:rPr>
      </w:pPr>
    </w:p>
    <w:p w14:paraId="6566AD40" w14:textId="2E4E13B2" w:rsidR="00324523" w:rsidRPr="000C1087" w:rsidRDefault="000C1087" w:rsidP="00062B7A">
      <w:pPr>
        <w:spacing w:after="0" w:line="480" w:lineRule="auto"/>
        <w:jc w:val="both"/>
        <w:rPr>
          <w:rFonts w:ascii="Arial" w:hAnsi="Arial" w:cs="Arial"/>
          <w:sz w:val="20"/>
          <w:szCs w:val="20"/>
        </w:rPr>
      </w:pPr>
      <w:r w:rsidRPr="000C1087">
        <w:rPr>
          <w:rFonts w:ascii="Arial" w:hAnsi="Arial" w:cs="Arial"/>
          <w:sz w:val="20"/>
          <w:szCs w:val="20"/>
        </w:rPr>
        <w:t>Baik and Huang provide</w:t>
      </w:r>
      <w:r w:rsidR="00A224EE">
        <w:rPr>
          <w:rFonts w:ascii="Arial" w:hAnsi="Arial" w:cs="Arial"/>
          <w:sz w:val="20"/>
          <w:szCs w:val="20"/>
        </w:rPr>
        <w:t>d</w:t>
      </w:r>
      <w:r w:rsidRPr="000C1087">
        <w:rPr>
          <w:rFonts w:ascii="Arial" w:hAnsi="Arial" w:cs="Arial"/>
          <w:sz w:val="20"/>
          <w:szCs w:val="20"/>
        </w:rPr>
        <w:t xml:space="preserve"> a theoretical basis for the greater </w:t>
      </w:r>
      <w:r w:rsidRPr="000C1087">
        <w:rPr>
          <w:rFonts w:ascii="Arial" w:hAnsi="Arial" w:cs="Arial"/>
          <w:i/>
          <w:iCs/>
          <w:sz w:val="20"/>
          <w:szCs w:val="20"/>
        </w:rPr>
        <w:t xml:space="preserve">in vivo </w:t>
      </w:r>
      <w:r w:rsidRPr="000C1087">
        <w:rPr>
          <w:rFonts w:ascii="Arial" w:hAnsi="Arial" w:cs="Arial"/>
          <w:sz w:val="20"/>
          <w:szCs w:val="20"/>
        </w:rPr>
        <w:t>relevance of inhibitory parameters determined in plasma for highly protein bound drugs using the concept of a transporter-induced protein binding shift (TIPBS).</w:t>
      </w:r>
      <w:r w:rsidRPr="000C1087">
        <w:rPr>
          <w:rFonts w:ascii="Arial" w:hAnsi="Arial" w:cs="Arial"/>
          <w:sz w:val="20"/>
          <w:szCs w:val="20"/>
        </w:rPr>
        <w:fldChar w:fldCharType="begin" w:fldLock="1"/>
      </w:r>
      <w:r w:rsidR="00516D49">
        <w:rPr>
          <w:rFonts w:ascii="Arial" w:hAnsi="Arial" w:cs="Arial"/>
          <w:sz w:val="20"/>
          <w:szCs w:val="20"/>
        </w:rPr>
        <w:instrText>ADDIN CSL_CITATION {"citationItems":[{"id":"ITEM-1","itemData":{"author":[{"dropping-particle":"","family":"Baik","given":"Jason","non-dropping-particle":"","parse-names":false,"suffix":""},{"dropping-particle":"","family":"Huang","given":"Yong","non-dropping-particle":"","parse-names":false,"suffix":""}],"container-title":"20th North American ISSX Meeting","id":"ITEM-1","issued":{"date-parts":[["2015"]]},"title":"Transporter-Induced Protein Binding Shift (TIPBS): Hypothesis and Modeling","type":"webpage"},"uris":["http://www.mendeley.com/documents/?uuid=0fae2fe3-87d4-3b4d-a067-a911890c8651"]}],"mendeley":{"formattedCitation":"&lt;sup&gt;65&lt;/sup&gt;","plainTextFormattedCitation":"65","previouslyFormattedCitation":"&lt;sup&gt;64&lt;/sup&gt;"},"properties":{"noteIndex":0},"schema":"https://github.com/citation-style-language/schema/raw/master/csl-citation.json"}</w:instrText>
      </w:r>
      <w:r w:rsidRPr="000C1087">
        <w:rPr>
          <w:rFonts w:ascii="Arial" w:hAnsi="Arial" w:cs="Arial"/>
          <w:sz w:val="20"/>
          <w:szCs w:val="20"/>
        </w:rPr>
        <w:fldChar w:fldCharType="separate"/>
      </w:r>
      <w:r w:rsidR="00516D49" w:rsidRPr="00516D49">
        <w:rPr>
          <w:rFonts w:ascii="Arial" w:hAnsi="Arial" w:cs="Arial"/>
          <w:noProof/>
          <w:sz w:val="20"/>
          <w:szCs w:val="20"/>
          <w:vertAlign w:val="superscript"/>
        </w:rPr>
        <w:t>65</w:t>
      </w:r>
      <w:r w:rsidRPr="000C1087">
        <w:rPr>
          <w:rFonts w:ascii="Arial" w:hAnsi="Arial" w:cs="Arial"/>
          <w:sz w:val="20"/>
          <w:szCs w:val="20"/>
        </w:rPr>
        <w:fldChar w:fldCharType="end"/>
      </w:r>
      <w:r w:rsidRPr="000C1087">
        <w:rPr>
          <w:rFonts w:ascii="Arial" w:hAnsi="Arial" w:cs="Arial"/>
          <w:sz w:val="20"/>
          <w:szCs w:val="20"/>
        </w:rPr>
        <w:t xml:space="preserve"> Alternatively, Kikuchi </w:t>
      </w:r>
      <w:r w:rsidRPr="000C1087">
        <w:rPr>
          <w:rFonts w:ascii="Arial" w:hAnsi="Arial" w:cs="Arial"/>
          <w:i/>
          <w:sz w:val="20"/>
          <w:szCs w:val="20"/>
        </w:rPr>
        <w:t>et al.</w:t>
      </w:r>
      <w:r w:rsidRPr="000C1087">
        <w:rPr>
          <w:rFonts w:ascii="Arial" w:hAnsi="Arial" w:cs="Arial"/>
          <w:sz w:val="20"/>
          <w:szCs w:val="20"/>
        </w:rPr>
        <w:t xml:space="preserve"> and </w:t>
      </w:r>
      <w:proofErr w:type="spellStart"/>
      <w:r w:rsidRPr="000C1087">
        <w:rPr>
          <w:rFonts w:ascii="Arial" w:hAnsi="Arial" w:cs="Arial"/>
          <w:sz w:val="20"/>
          <w:szCs w:val="20"/>
        </w:rPr>
        <w:t>Taskar</w:t>
      </w:r>
      <w:proofErr w:type="spellEnd"/>
      <w:r w:rsidRPr="000C1087">
        <w:rPr>
          <w:rFonts w:ascii="Arial" w:hAnsi="Arial" w:cs="Arial"/>
          <w:sz w:val="20"/>
          <w:szCs w:val="20"/>
        </w:rPr>
        <w:t xml:space="preserve"> </w:t>
      </w:r>
      <w:r w:rsidRPr="000C1087">
        <w:rPr>
          <w:rFonts w:ascii="Arial" w:hAnsi="Arial" w:cs="Arial"/>
          <w:i/>
          <w:iCs/>
          <w:sz w:val="20"/>
          <w:szCs w:val="20"/>
        </w:rPr>
        <w:t xml:space="preserve">et al. </w:t>
      </w:r>
      <w:r w:rsidRPr="000C1087">
        <w:rPr>
          <w:rFonts w:ascii="Arial" w:hAnsi="Arial" w:cs="Arial"/>
          <w:sz w:val="20"/>
          <w:szCs w:val="20"/>
        </w:rPr>
        <w:t xml:space="preserve">posit that </w:t>
      </w:r>
      <w:r w:rsidRPr="000C1087">
        <w:rPr>
          <w:rFonts w:ascii="Arial" w:hAnsi="Arial" w:cs="Arial"/>
          <w:i/>
          <w:iCs/>
          <w:sz w:val="20"/>
          <w:szCs w:val="20"/>
        </w:rPr>
        <w:t xml:space="preserve">in vitro </w:t>
      </w:r>
      <w:r w:rsidRPr="000C1087">
        <w:rPr>
          <w:rFonts w:ascii="Arial" w:hAnsi="Arial" w:cs="Arial"/>
          <w:sz w:val="20"/>
          <w:szCs w:val="20"/>
        </w:rPr>
        <w:t xml:space="preserve">“free” inhibitor concentrations may not be equivalent to 1 due to poor aqueous solubility or high nonspecific binding within the </w:t>
      </w:r>
      <w:r w:rsidRPr="000C1087">
        <w:rPr>
          <w:rFonts w:ascii="Arial" w:hAnsi="Arial" w:cs="Arial"/>
          <w:i/>
          <w:iCs/>
          <w:sz w:val="20"/>
          <w:szCs w:val="20"/>
        </w:rPr>
        <w:t>in vitro</w:t>
      </w:r>
      <w:r w:rsidRPr="000C1087">
        <w:rPr>
          <w:rFonts w:ascii="Arial" w:hAnsi="Arial" w:cs="Arial"/>
          <w:sz w:val="20"/>
          <w:szCs w:val="20"/>
        </w:rPr>
        <w:t xml:space="preserve"> system.</w:t>
      </w:r>
      <w:r w:rsidRPr="000C1087">
        <w:rPr>
          <w:rFonts w:ascii="Arial" w:hAnsi="Arial" w:cs="Arial"/>
          <w:sz w:val="20"/>
          <w:szCs w:val="20"/>
        </w:rPr>
        <w:fldChar w:fldCharType="begin" w:fldLock="1"/>
      </w:r>
      <w:r w:rsidR="00516D49">
        <w:rPr>
          <w:rFonts w:ascii="Arial" w:hAnsi="Arial" w:cs="Arial"/>
          <w:sz w:val="20"/>
          <w:szCs w:val="20"/>
        </w:rPr>
        <w:instrText>ADDIN CSL_CITATION {"citationItems":[{"id":"ITEM-1","itemData":{"DOI":"10.1080/00498254.2016.1233372","ISSN":"13665928","abstract":"1.Accurate predictions of clinical transporter-mediated drug–drug interactions (DDI) from in vitro data can be challenging when compounds have poor solubility and/or high nonspecific binding. Additionally, current DDI predictions for compounds with high plasma–protein binding assume that the unbound fraction in plasma is 0.01, if the experimental value is less than 0.01 or cannot be determined. This approach may result in an overestimation of DDI risk. To overcome these challenges, it may be beneficial to conduct inhibition studies under physiologically relevant conditions. 2.Here, IC50 values, determined in the presence of 4% bovine serum albumin approximating human plasma albumin concentrations, were successfully used to predict DDI for uptake transporters, OATP1B1/1B3, OCT1/2, OAT1/3 and MATE1/2K. 3.The IC50 values of reference inhibitors with 4% bovine serum albumin, considered total IC50, were comparable to the predicted values based on nominal IC50 values determined under protein-free conditions and unbound fraction in plasma. Calculation of R-total and Cmax/IC50,total values using total plasma exposure and total IC50 values explained the clinical DDI or absence of it for these inhibitors. 4.These results suggest that IC50 determinations in the presence of 4% albumin can be used, in the context of clinical total exposure, to predict DDI involving uptake transporters.","author":[{"dropping-particle":"","family":"Kikuchi","given":"Ryota","non-dropping-particle":"","parse-names":false,"suffix":""},{"dropping-particle":"","family":"Peterkin","given":"Vincent C.","non-dropping-particle":"","parse-names":false,"suffix":""},{"dropping-particle":"","family":"Chiou","given":"William J.","non-dropping-particle":"","parse-names":false,"suffix":""},{"dropping-particle":"","family":"Morais","given":"Sonia M.","non-dropping-particle":"de","parse-names":false,"suffix":""},{"dropping-particle":"","family":"Bow","given":"Daniel A.J.","non-dropping-particle":"","parse-names":false,"suffix":""}],"container-title":"Xenobiotica","id":"ITEM-1","issue":"9","issued":{"date-parts":[["2017","9"]]},"page":"825-832","publisher":"Taylor and Francis Ltd","title":"Validation of a total IC50 method which enables in vitro assessment of transporter inhibition under semi-physiological conditions","type":"article-journal","volume":"47"},"uris":["http://www.mendeley.com/documents/?uuid=71a59569-0e59-479a-89d6-d01fcf8bf13f","http://www.mendeley.com/documents/?uuid=9b091d7e-286e-3136-a221-3fae63d797a6"]},{"id":"ITEM-2","itemData":{"DOI":"10.1002/cpt.1693","ISSN":"15326535","abstract":"Physiologically-based pharmacokinetic (PBPK) modeling has been extensively used to quantitatively translate in vitro data and evaluate temporal effects from drug–drug interactions (DDIs), arising due to reversible enzyme and transporter inhibition, irreversible time-dependent inhibition, enzyme induction, and/or suppression. PBPK modeling has now gained reasonable acceptance with the regulatory authorities for the cytochrome-P450-mediated DDIs and is routinely used. However, the application of PBPK for transporter-mediated DDIs (tDDI) in drug development is relatively uncommon. Because the predictive performance of PBPK models for tDDI is not well established, here, we represent and discuss examples of PBPK analyses included in regulatory submission (the US Food and Drug Administration (FDA), the European Medicines Agency (EMA), and the Pharmaceuticals and Medical Devices Agency (PMDA)) across various tDDIs. The goal of this collaborative effort (involving scientists representing 17 pharmaceutical companies in the Consortium and from academia) is to reflect on the use of current databases and models to address tDDIs. This challenges the common perceptions on applications of PBPK for tDDIs and further delves into the requirements to improve such PBPK predictions. This review provides a reflection on the current trends in PBPK modeling for tDDIs and provides a framework to promote continuous use, verification, and improvement in industrialization of the transporter PBPK modeling.","author":[{"dropping-particle":"","family":"Taskar","given":"Kunal S.","non-dropping-particle":"","parse-names":false,"suffix":""},{"dropping-particle":"","family":"Pilla Reddy","given":"Venkatesh","non-dropping-particle":"","parse-names":false,"suffix":""},{"dropping-particle":"","family":"Burt","given":"Howard","non-dropping-particle":"","parse-names":false,"suffix":""},{"dropping-particle":"","family":"Posada","given":"Maria M.","non-dropping-particle":"","parse-names":false,"suffix":""},{"dropping-particle":"","family":"Varma","given":"Manthena","non-dropping-particle":"","parse-names":false,"suffix":""},{"dropping-particle":"","family":"Zheng","given":"Ming","non-dropping-particle":"","parse-names":false,"suffix":""},{"dropping-particle":"","family":"Ullah","given":"Mohammed","non-dropping-particle":"","parse-names":false,"suffix":""},{"dropping-particle":"","family":"Emami Riedmaier","given":"Arian","non-dropping-particle":"","parse-names":false,"suffix":""},{"dropping-particle":"","family":"Umehara","given":"Ken ichi","non-dropping-particle":"","parse-names":false,"suffix":""},{"dropping-particle":"","family":"Snoeys","given":"Jan","non-dropping-particle":"","parse-names":false,"suffix":""},{"dropping-particle":"","family":"Nakakariya","given":"Masanori","non-dropping-particle":"","parse-names":false,"suffix":""},{"dropping-particle":"","family":"Chu","given":"Xiaoyan","non-dropping-particle":"","parse-names":false,"suffix":""},{"dropping-particle":"","family":"Beneton","given":"Maud","non-dropping-particle":"","parse-names":false,"suffix":""},{"dropping-particle":"","family":"Chen","given":"Yuan","non-dropping-particle":"","parse-names":false,"suffix":""},{"dropping-particle":"","family":"Huth","given":"Felix","non-dropping-particle":"","parse-names":false,"suffix":""},{"dropping-particle":"","family":"Narayanan","given":"Rangaraj","non-dropping-particle":"","parse-names":false,"suffix":""},{"dropping-particle":"","family":"Mukherjee","given":"Dwaipayan","non-dropping-particle":"","parse-names":false,"suffix":""},{"dropping-particle":"","family":"Dixit","given":"Vaishali","non-dropping-particle":"","parse-names":false,"suffix":""},{"dropping-particle":"","family":"Sugiyama","given":"Yuichi","non-dropping-particle":"","parse-names":false,"suffix":""},{"dropping-particle":"","family":"Neuhoff","given":"Sibylle","non-dropping-particle":"","parse-names":false,"suffix":""}],"container-title":"Clinical Pharmacology and Therapeutics","id":"ITEM-2","issue":"0","issued":{"date-parts":[["2019"]]},"page":"1-34","title":"Physiologically-Based Pharmacokinetic Models for Evaluating Membrane Transporter Mediated Drug–Drug Interactions: Current Capabilities, Case Studies, Future Opportunities, and Recommendations","type":"article-journal","volume":"0"},"uris":["http://www.mendeley.com/documents/?uuid=4a60056d-d1c9-4794-9d0b-89166d955aa4"]}],"mendeley":{"formattedCitation":"&lt;sup&gt;24,63&lt;/sup&gt;","plainTextFormattedCitation":"24,63","previouslyFormattedCitation":"&lt;sup&gt;24,62&lt;/sup&gt;"},"properties":{"noteIndex":0},"schema":"https://github.com/citation-style-language/schema/raw/master/csl-citation.json"}</w:instrText>
      </w:r>
      <w:r w:rsidRPr="000C1087">
        <w:rPr>
          <w:rFonts w:ascii="Arial" w:hAnsi="Arial" w:cs="Arial"/>
          <w:sz w:val="20"/>
          <w:szCs w:val="20"/>
        </w:rPr>
        <w:fldChar w:fldCharType="separate"/>
      </w:r>
      <w:r w:rsidR="00516D49" w:rsidRPr="00516D49">
        <w:rPr>
          <w:rFonts w:ascii="Arial" w:hAnsi="Arial" w:cs="Arial"/>
          <w:noProof/>
          <w:sz w:val="20"/>
          <w:szCs w:val="20"/>
          <w:vertAlign w:val="superscript"/>
        </w:rPr>
        <w:t>24,63</w:t>
      </w:r>
      <w:r w:rsidRPr="000C1087">
        <w:rPr>
          <w:rFonts w:ascii="Arial" w:hAnsi="Arial" w:cs="Arial"/>
          <w:sz w:val="20"/>
          <w:szCs w:val="20"/>
        </w:rPr>
        <w:fldChar w:fldCharType="end"/>
      </w:r>
      <w:r w:rsidRPr="000C1087">
        <w:rPr>
          <w:rFonts w:ascii="Arial" w:hAnsi="Arial" w:cs="Arial"/>
          <w:sz w:val="20"/>
          <w:szCs w:val="20"/>
        </w:rPr>
        <w:t xml:space="preserve"> Consequently, the presence of </w:t>
      </w:r>
      <w:r w:rsidR="000638C2" w:rsidRPr="000638C2">
        <w:rPr>
          <w:rFonts w:ascii="Arial" w:hAnsi="Arial" w:cs="Arial"/>
          <w:i/>
          <w:sz w:val="20"/>
          <w:szCs w:val="20"/>
        </w:rPr>
        <w:t>in vitro</w:t>
      </w:r>
      <w:r w:rsidR="000638C2">
        <w:rPr>
          <w:rFonts w:ascii="Arial" w:hAnsi="Arial" w:cs="Arial"/>
          <w:sz w:val="20"/>
          <w:szCs w:val="20"/>
        </w:rPr>
        <w:t xml:space="preserve"> </w:t>
      </w:r>
      <w:r w:rsidRPr="000C1087">
        <w:rPr>
          <w:rFonts w:ascii="Arial" w:hAnsi="Arial" w:cs="Arial"/>
          <w:sz w:val="20"/>
          <w:szCs w:val="20"/>
        </w:rPr>
        <w:t xml:space="preserve">albumin is expected to mitigate the confounding </w:t>
      </w:r>
      <w:r w:rsidR="000638C2">
        <w:rPr>
          <w:rFonts w:ascii="Arial" w:hAnsi="Arial" w:cs="Arial"/>
          <w:sz w:val="20"/>
          <w:szCs w:val="20"/>
        </w:rPr>
        <w:t xml:space="preserve">effects </w:t>
      </w:r>
      <w:r w:rsidR="0005224E">
        <w:rPr>
          <w:rFonts w:ascii="Arial" w:hAnsi="Arial" w:cs="Arial"/>
          <w:sz w:val="20"/>
          <w:szCs w:val="20"/>
        </w:rPr>
        <w:t>postulated by these authors</w:t>
      </w:r>
      <w:r w:rsidR="00A224EE">
        <w:rPr>
          <w:rFonts w:ascii="Arial" w:hAnsi="Arial" w:cs="Arial"/>
          <w:sz w:val="20"/>
          <w:szCs w:val="20"/>
        </w:rPr>
        <w:t xml:space="preserve">. </w:t>
      </w:r>
      <w:r w:rsidR="000638C2">
        <w:rPr>
          <w:rFonts w:ascii="Arial" w:hAnsi="Arial" w:cs="Arial"/>
          <w:sz w:val="20"/>
          <w:szCs w:val="20"/>
        </w:rPr>
        <w:t>As</w:t>
      </w:r>
      <w:r w:rsidRPr="000C1087">
        <w:rPr>
          <w:rFonts w:ascii="Arial" w:hAnsi="Arial" w:cs="Arial"/>
          <w:sz w:val="20"/>
          <w:szCs w:val="20"/>
        </w:rPr>
        <w:t xml:space="preserve"> </w:t>
      </w:r>
      <w:r w:rsidR="004A14BB">
        <w:rPr>
          <w:rFonts w:ascii="Arial" w:hAnsi="Arial" w:cs="Arial"/>
          <w:sz w:val="20"/>
          <w:szCs w:val="20"/>
        </w:rPr>
        <w:t xml:space="preserve">both </w:t>
      </w:r>
      <w:r w:rsidRPr="000C1087">
        <w:rPr>
          <w:rFonts w:ascii="Arial" w:hAnsi="Arial" w:cs="Arial"/>
          <w:sz w:val="20"/>
          <w:szCs w:val="20"/>
        </w:rPr>
        <w:t>ketoconazole</w:t>
      </w:r>
      <w:r w:rsidR="004A14BB">
        <w:rPr>
          <w:rFonts w:ascii="Arial" w:hAnsi="Arial" w:cs="Arial"/>
          <w:sz w:val="20"/>
          <w:szCs w:val="20"/>
        </w:rPr>
        <w:t xml:space="preserve"> and nilotinib are</w:t>
      </w:r>
      <w:r w:rsidR="000638C2">
        <w:rPr>
          <w:rFonts w:ascii="Arial" w:hAnsi="Arial" w:cs="Arial"/>
          <w:sz w:val="20"/>
          <w:szCs w:val="20"/>
        </w:rPr>
        <w:t xml:space="preserve"> highly protein bound, our </w:t>
      </w:r>
      <w:r w:rsidRPr="000C1087">
        <w:rPr>
          <w:rFonts w:ascii="Arial" w:hAnsi="Arial" w:cs="Arial"/>
          <w:sz w:val="20"/>
          <w:szCs w:val="20"/>
        </w:rPr>
        <w:t xml:space="preserve">experiments were conducted in the presence of 5% HSA, simulating a physiological environment. </w:t>
      </w:r>
      <w:r w:rsidR="000638C2">
        <w:rPr>
          <w:rFonts w:ascii="Arial" w:hAnsi="Arial" w:cs="Arial"/>
          <w:sz w:val="20"/>
          <w:szCs w:val="20"/>
        </w:rPr>
        <w:t>Consistently</w:t>
      </w:r>
      <w:r w:rsidRPr="000C1087">
        <w:rPr>
          <w:rFonts w:ascii="Arial" w:hAnsi="Arial" w:cs="Arial"/>
          <w:sz w:val="20"/>
          <w:szCs w:val="20"/>
        </w:rPr>
        <w:t xml:space="preserve">, </w:t>
      </w:r>
      <w:r w:rsidRPr="008728E3">
        <w:rPr>
          <w:rFonts w:ascii="Arial" w:hAnsi="Arial" w:cs="Arial"/>
          <w:sz w:val="20"/>
          <w:szCs w:val="20"/>
        </w:rPr>
        <w:t>the</w:t>
      </w:r>
      <w:r w:rsidRPr="000C1087">
        <w:rPr>
          <w:rFonts w:ascii="Arial" w:hAnsi="Arial" w:cs="Arial"/>
          <w:sz w:val="20"/>
          <w:szCs w:val="20"/>
        </w:rPr>
        <w:t xml:space="preserve"> experiments conducted in 5% HSA yielded a further 16-fold increase in inhibitor potency</w:t>
      </w:r>
      <w:r w:rsidR="009D026E">
        <w:rPr>
          <w:rFonts w:ascii="Arial" w:hAnsi="Arial" w:cs="Arial"/>
          <w:sz w:val="20"/>
          <w:szCs w:val="20"/>
        </w:rPr>
        <w:t xml:space="preserve"> in the case of ketoconazole</w:t>
      </w:r>
      <w:r w:rsidRPr="000C1087">
        <w:rPr>
          <w:rFonts w:ascii="Arial" w:hAnsi="Arial" w:cs="Arial"/>
          <w:sz w:val="20"/>
          <w:szCs w:val="20"/>
        </w:rPr>
        <w:t xml:space="preserve"> </w:t>
      </w:r>
      <w:r w:rsidR="009D026E">
        <w:rPr>
          <w:rFonts w:ascii="Arial" w:hAnsi="Arial" w:cs="Arial"/>
          <w:sz w:val="20"/>
          <w:szCs w:val="20"/>
        </w:rPr>
        <w:t xml:space="preserve">and </w:t>
      </w:r>
      <w:r w:rsidR="00EC76AD">
        <w:rPr>
          <w:rFonts w:ascii="Arial" w:hAnsi="Arial" w:cs="Arial"/>
          <w:sz w:val="20"/>
          <w:szCs w:val="20"/>
        </w:rPr>
        <w:t>a</w:t>
      </w:r>
      <w:r w:rsidR="00852874">
        <w:rPr>
          <w:rFonts w:ascii="Arial" w:hAnsi="Arial" w:cs="Arial"/>
          <w:sz w:val="20"/>
          <w:szCs w:val="20"/>
        </w:rPr>
        <w:t xml:space="preserve"> </w:t>
      </w:r>
      <w:r w:rsidR="00852874" w:rsidRPr="000C1087">
        <w:rPr>
          <w:rFonts w:ascii="Arial" w:hAnsi="Arial" w:cs="Arial"/>
          <w:sz w:val="20"/>
          <w:szCs w:val="20"/>
        </w:rPr>
        <w:t>6-fold increase</w:t>
      </w:r>
      <w:r w:rsidR="00EC76AD">
        <w:rPr>
          <w:rFonts w:ascii="Arial" w:hAnsi="Arial" w:cs="Arial"/>
          <w:sz w:val="20"/>
          <w:szCs w:val="20"/>
        </w:rPr>
        <w:t xml:space="preserve"> </w:t>
      </w:r>
      <w:r w:rsidR="00852874">
        <w:rPr>
          <w:rFonts w:ascii="Arial" w:hAnsi="Arial" w:cs="Arial"/>
          <w:sz w:val="20"/>
          <w:szCs w:val="20"/>
        </w:rPr>
        <w:t xml:space="preserve">in the case of </w:t>
      </w:r>
      <w:r w:rsidR="00E275A8">
        <w:rPr>
          <w:rFonts w:ascii="Arial" w:hAnsi="Arial" w:cs="Arial"/>
          <w:sz w:val="20"/>
          <w:szCs w:val="20"/>
        </w:rPr>
        <w:t xml:space="preserve">nilotinib </w:t>
      </w:r>
      <w:r w:rsidR="000638C2">
        <w:rPr>
          <w:rFonts w:ascii="Arial" w:hAnsi="Arial" w:cs="Arial"/>
          <w:sz w:val="20"/>
          <w:szCs w:val="20"/>
        </w:rPr>
        <w:t>(</w:t>
      </w:r>
      <w:r w:rsidR="000638C2" w:rsidRPr="000638C2">
        <w:rPr>
          <w:rFonts w:ascii="Arial" w:hAnsi="Arial" w:cs="Arial"/>
          <w:b/>
          <w:bCs/>
          <w:sz w:val="20"/>
          <w:szCs w:val="20"/>
        </w:rPr>
        <w:t>Table 2</w:t>
      </w:r>
      <w:r w:rsidR="000638C2" w:rsidRPr="000638C2">
        <w:rPr>
          <w:rFonts w:ascii="Arial" w:hAnsi="Arial" w:cs="Arial"/>
          <w:sz w:val="20"/>
          <w:szCs w:val="20"/>
        </w:rPr>
        <w:t>)</w:t>
      </w:r>
      <w:r w:rsidR="00852874">
        <w:rPr>
          <w:rFonts w:ascii="Arial" w:hAnsi="Arial" w:cs="Arial"/>
          <w:sz w:val="20"/>
          <w:szCs w:val="20"/>
        </w:rPr>
        <w:t>.</w:t>
      </w:r>
    </w:p>
    <w:p w14:paraId="4A096193" w14:textId="77777777" w:rsidR="009B48B7" w:rsidRDefault="009B48B7" w:rsidP="00062B7A">
      <w:pPr>
        <w:spacing w:after="0" w:line="480" w:lineRule="auto"/>
        <w:jc w:val="both"/>
        <w:rPr>
          <w:rFonts w:ascii="Arial" w:hAnsi="Arial" w:cs="Arial"/>
          <w:color w:val="000000" w:themeColor="text1"/>
          <w:sz w:val="20"/>
          <w:szCs w:val="20"/>
        </w:rPr>
      </w:pPr>
    </w:p>
    <w:p w14:paraId="181921F3" w14:textId="550CF948" w:rsidR="000C1087" w:rsidRPr="008B724D" w:rsidRDefault="00B138A7" w:rsidP="00062B7A">
      <w:pPr>
        <w:spacing w:after="0" w:line="480" w:lineRule="auto"/>
        <w:jc w:val="both"/>
        <w:rPr>
          <w:rFonts w:ascii="Arial" w:hAnsi="Arial" w:cs="Arial"/>
          <w:sz w:val="20"/>
          <w:szCs w:val="20"/>
          <w:lang w:val="en-SG"/>
        </w:rPr>
      </w:pPr>
      <w:r>
        <w:rPr>
          <w:rFonts w:ascii="Arial" w:hAnsi="Arial" w:cs="Arial"/>
          <w:color w:val="000000" w:themeColor="text1"/>
          <w:sz w:val="20"/>
          <w:szCs w:val="20"/>
        </w:rPr>
        <w:t>U</w:t>
      </w:r>
      <w:r w:rsidR="000C1087" w:rsidRPr="000C1087">
        <w:rPr>
          <w:rFonts w:ascii="Arial" w:hAnsi="Arial" w:cs="Arial"/>
          <w:color w:val="000000" w:themeColor="text1"/>
          <w:sz w:val="20"/>
          <w:szCs w:val="20"/>
        </w:rPr>
        <w:t xml:space="preserve">pon systematic verification of the PBPK-DDDI platform, prospective explorations of potential DDDIs of rivaroxaban with erlotinib or nilotinib across the spectrum of renal function was performed. </w:t>
      </w:r>
      <w:r w:rsidR="008B724D">
        <w:rPr>
          <w:rFonts w:ascii="Arial" w:hAnsi="Arial" w:cs="Arial"/>
          <w:color w:val="000000" w:themeColor="text1"/>
          <w:sz w:val="20"/>
          <w:szCs w:val="20"/>
        </w:rPr>
        <w:t>For rivaroxaban i</w:t>
      </w:r>
      <w:r w:rsidR="00112AC2" w:rsidRPr="00112AC2">
        <w:rPr>
          <w:rFonts w:ascii="Arial" w:hAnsi="Arial" w:cs="Arial"/>
          <w:sz w:val="20"/>
          <w:szCs w:val="20"/>
        </w:rPr>
        <w:t xml:space="preserve">n moderate renal impairment, apart from the INH, a reduction in </w:t>
      </w:r>
      <w:proofErr w:type="gramStart"/>
      <w:r w:rsidR="00112AC2" w:rsidRPr="00112AC2">
        <w:rPr>
          <w:rFonts w:ascii="Arial" w:hAnsi="Arial" w:cs="Arial"/>
          <w:sz w:val="20"/>
          <w:szCs w:val="20"/>
        </w:rPr>
        <w:t>CLu</w:t>
      </w:r>
      <w:r w:rsidR="00112AC2" w:rsidRPr="00112AC2">
        <w:rPr>
          <w:rFonts w:ascii="Arial" w:hAnsi="Arial" w:cs="Arial"/>
          <w:sz w:val="20"/>
          <w:szCs w:val="20"/>
          <w:vertAlign w:val="subscript"/>
        </w:rPr>
        <w:t>int,OAT</w:t>
      </w:r>
      <w:proofErr w:type="gramEnd"/>
      <w:r w:rsidR="00112AC2" w:rsidRPr="00112AC2">
        <w:rPr>
          <w:rFonts w:ascii="Arial" w:hAnsi="Arial" w:cs="Arial"/>
          <w:sz w:val="20"/>
          <w:szCs w:val="20"/>
          <w:vertAlign w:val="subscript"/>
        </w:rPr>
        <w:t>3</w:t>
      </w:r>
      <w:r w:rsidR="00112AC2" w:rsidRPr="00112AC2">
        <w:rPr>
          <w:rFonts w:ascii="Arial" w:hAnsi="Arial" w:cs="Arial"/>
          <w:sz w:val="20"/>
          <w:szCs w:val="20"/>
        </w:rPr>
        <w:t xml:space="preserve"> by 27% (REF = 0.73) as proposed by Hsueh </w:t>
      </w:r>
      <w:r w:rsidR="00112AC2" w:rsidRPr="00112AC2">
        <w:rPr>
          <w:rFonts w:ascii="Arial" w:hAnsi="Arial" w:cs="Arial"/>
          <w:i/>
          <w:iCs/>
          <w:sz w:val="20"/>
          <w:szCs w:val="20"/>
        </w:rPr>
        <w:t>et al.</w:t>
      </w:r>
      <w:r w:rsidR="00112AC2" w:rsidRPr="00112AC2">
        <w:rPr>
          <w:rFonts w:ascii="Arial" w:hAnsi="Arial" w:cs="Arial"/>
          <w:sz w:val="20"/>
          <w:szCs w:val="20"/>
        </w:rPr>
        <w:t xml:space="preserve"> to reflect the additional inhibition of OAT activity by uremic solutes enabled accurate recapitulation of the PK of rivaroxaban (</w:t>
      </w:r>
      <w:r w:rsidR="00BE263F">
        <w:rPr>
          <w:rFonts w:ascii="Arial" w:hAnsi="Arial" w:cs="Arial"/>
          <w:b/>
          <w:bCs/>
          <w:sz w:val="20"/>
          <w:szCs w:val="20"/>
        </w:rPr>
        <w:t>Table S4</w:t>
      </w:r>
      <w:r w:rsidR="00112AC2" w:rsidRPr="00112AC2">
        <w:rPr>
          <w:rFonts w:ascii="Arial" w:hAnsi="Arial" w:cs="Arial"/>
          <w:sz w:val="20"/>
          <w:szCs w:val="20"/>
        </w:rPr>
        <w:t>). Conversely, in severe renal impairment, application of a REF of 0.41 resulted in a simulated fold change in CL</w:t>
      </w:r>
      <w:r w:rsidR="00112AC2" w:rsidRPr="00112AC2">
        <w:rPr>
          <w:rFonts w:ascii="Arial" w:hAnsi="Arial" w:cs="Arial"/>
          <w:sz w:val="20"/>
          <w:szCs w:val="20"/>
          <w:vertAlign w:val="subscript"/>
        </w:rPr>
        <w:t>R</w:t>
      </w:r>
      <w:r w:rsidR="00112AC2" w:rsidRPr="00112AC2">
        <w:rPr>
          <w:rFonts w:ascii="Arial" w:hAnsi="Arial" w:cs="Arial"/>
          <w:sz w:val="20"/>
          <w:szCs w:val="20"/>
        </w:rPr>
        <w:t xml:space="preserve"> of 0.11, surpassing the reported clinical reduction of 0.21-fold (</w:t>
      </w:r>
      <w:r w:rsidR="00112AC2" w:rsidRPr="00112AC2">
        <w:rPr>
          <w:rFonts w:ascii="Arial" w:hAnsi="Arial" w:cs="Arial"/>
          <w:b/>
          <w:bCs/>
          <w:sz w:val="20"/>
          <w:szCs w:val="20"/>
        </w:rPr>
        <w:t xml:space="preserve">Table </w:t>
      </w:r>
      <w:r w:rsidR="00CF496C">
        <w:rPr>
          <w:rFonts w:ascii="Arial" w:hAnsi="Arial" w:cs="Arial"/>
          <w:b/>
          <w:bCs/>
          <w:sz w:val="20"/>
          <w:szCs w:val="20"/>
        </w:rPr>
        <w:t>S4</w:t>
      </w:r>
      <w:r w:rsidR="00112AC2" w:rsidRPr="00112AC2">
        <w:rPr>
          <w:rFonts w:ascii="Arial" w:hAnsi="Arial" w:cs="Arial"/>
          <w:sz w:val="20"/>
          <w:szCs w:val="20"/>
        </w:rPr>
        <w:t xml:space="preserve">). </w:t>
      </w:r>
      <w:r w:rsidR="00EE60EA">
        <w:rPr>
          <w:rFonts w:ascii="Arial" w:hAnsi="Arial" w:cs="Arial"/>
          <w:sz w:val="20"/>
          <w:szCs w:val="20"/>
        </w:rPr>
        <w:t>In</w:t>
      </w:r>
      <w:r w:rsidR="00112AC2" w:rsidRPr="00112AC2">
        <w:rPr>
          <w:rFonts w:ascii="Arial" w:hAnsi="Arial" w:cs="Arial"/>
          <w:sz w:val="20"/>
          <w:szCs w:val="20"/>
        </w:rPr>
        <w:t xml:space="preserve"> view of the wide range of potential REFs (0.02-1) that were derived from analyses of 18 drugs to quantify the magnitude of disproportionate deterioration of active secretion over GFR, application of the median REF of 0.41 </w:t>
      </w:r>
      <w:r w:rsidR="00EE60EA">
        <w:rPr>
          <w:rFonts w:ascii="Arial" w:hAnsi="Arial" w:cs="Arial"/>
          <w:sz w:val="20"/>
          <w:szCs w:val="20"/>
        </w:rPr>
        <w:t>is expectedly</w:t>
      </w:r>
      <w:r w:rsidR="00112AC2" w:rsidRPr="00112AC2">
        <w:rPr>
          <w:rFonts w:ascii="Arial" w:hAnsi="Arial" w:cs="Arial"/>
          <w:sz w:val="20"/>
          <w:szCs w:val="20"/>
        </w:rPr>
        <w:t xml:space="preserve"> </w:t>
      </w:r>
      <w:r w:rsidR="00EE60EA">
        <w:rPr>
          <w:rFonts w:ascii="Arial" w:hAnsi="Arial" w:cs="Arial"/>
          <w:sz w:val="20"/>
          <w:szCs w:val="20"/>
        </w:rPr>
        <w:t>non-</w:t>
      </w:r>
      <w:r w:rsidR="00112AC2" w:rsidRPr="00112AC2">
        <w:rPr>
          <w:rFonts w:ascii="Arial" w:hAnsi="Arial" w:cs="Arial"/>
          <w:sz w:val="20"/>
          <w:szCs w:val="20"/>
        </w:rPr>
        <w:t>optimal in all scenarios.</w:t>
      </w:r>
      <w:r w:rsidR="008338F9">
        <w:rPr>
          <w:rFonts w:ascii="Arial" w:hAnsi="Arial" w:cs="Arial"/>
          <w:sz w:val="20"/>
          <w:szCs w:val="20"/>
        </w:rPr>
        <w:fldChar w:fldCharType="begin" w:fldLock="1"/>
      </w:r>
      <w:r w:rsidR="00516D49">
        <w:rPr>
          <w:rFonts w:ascii="Arial" w:hAnsi="Arial" w:cs="Arial"/>
          <w:sz w:val="20"/>
          <w:szCs w:val="20"/>
        </w:rPr>
        <w:instrText>ADDIN CSL_CITATION {"citationItems":[{"id":"ITEM-1","itemData":{"DOI":"10.1021/acs.molpharmaceut.6b00332","ISSN":"1543-8384","abstract":"One of the characteristics of chronic kidney disease (CKD) is the accumulation of uremic solutes in the plasma. Less is known about the effects of uremic solutes on transporters that may play critical roles in pharmacokinetics. We evaluated the effect of 72 uremic solutes on organic anion transporter 1 and 3 (OAT1 and OAT3) using a fluorescent probe substrate, 6-carboxyfluorescein. A total of 12 and 13 solutes were identified as inhibitors of OAT1 and OAT3, respectively. Several of them inhibited OAT1 or OAT3 at clinically relevant concentrations and reduced the transport of other OAT1/3 substrates in vitro. Review of clinical studies showed that the active secretion of most drugs that are known substrates of OAT1/3 deteriorated faster than the renal filtration in CKD. Collectively, these data suggest that through inhibition of OAT1 and OAT3, uremic solutes contribute to the decline in renal drug clearance in patients with CKD.","author":[{"dropping-particle":"","family":"Hsueh","given":"Chia-Hsiang","non-dropping-particle":"","parse-names":false,"suffix":""},{"dropping-particle":"","family":"Yoshida","given":"Kenta","non-dropping-particle":"","parse-names":false,"suffix":""},{"dropping-particle":"","family":"Zhao","given":"Ping","non-dropping-particle":"","parse-names":false,"suffix":""},{"dropping-particle":"","family":"Meyer","given":"Timothy W.","non-dropping-particle":"","parse-names":false,"suffix":""},{"dropping-particle":"","family":"Zhang","given":"Lei","non-dropping-particle":"","parse-names":false,"suffix":""},{"dropping-particle":"","family":"Huang","given":"Shiew-Mei","non-dropping-particle":"","parse-names":false,"suffix":""},{"dropping-particle":"","family":"Giacomini","given":"Kathleen M.","non-dropping-particle":"","parse-names":false,"suffix":""}],"container-title":"Molecular Pharmaceutics","id":"ITEM-1","issue":"9","issued":{"date-parts":[["2016","9","6"]]},"page":"3130-3140","publisher":"American Chemical Society","title":"Identification and Quantitative Assessment of Uremic Solutes as Inhibitors of Renal Organic Anion Transporters, OAT1 and OAT3","type":"article-journal","volume":"13"},"uris":["http://www.mendeley.com/documents/?uuid=5d17c396-0ddd-3a0c-b77d-4db0b077afce"]}],"mendeley":{"formattedCitation":"&lt;sup&gt;66&lt;/sup&gt;","plainTextFormattedCitation":"66","previouslyFormattedCitation":"&lt;sup&gt;65&lt;/sup&gt;"},"properties":{"noteIndex":0},"schema":"https://github.com/citation-style-language/schema/raw/master/csl-citation.json"}</w:instrText>
      </w:r>
      <w:r w:rsidR="008338F9">
        <w:rPr>
          <w:rFonts w:ascii="Arial" w:hAnsi="Arial" w:cs="Arial"/>
          <w:sz w:val="20"/>
          <w:szCs w:val="20"/>
        </w:rPr>
        <w:fldChar w:fldCharType="separate"/>
      </w:r>
      <w:r w:rsidR="00516D49" w:rsidRPr="00516D49">
        <w:rPr>
          <w:rFonts w:ascii="Arial" w:hAnsi="Arial" w:cs="Arial"/>
          <w:noProof/>
          <w:sz w:val="20"/>
          <w:szCs w:val="20"/>
          <w:vertAlign w:val="superscript"/>
        </w:rPr>
        <w:t>66</w:t>
      </w:r>
      <w:r w:rsidR="008338F9">
        <w:rPr>
          <w:rFonts w:ascii="Arial" w:hAnsi="Arial" w:cs="Arial"/>
          <w:sz w:val="20"/>
          <w:szCs w:val="20"/>
        </w:rPr>
        <w:fldChar w:fldCharType="end"/>
      </w:r>
      <w:r w:rsidR="00112AC2" w:rsidRPr="00112AC2">
        <w:rPr>
          <w:rFonts w:ascii="Arial" w:hAnsi="Arial" w:cs="Arial"/>
          <w:sz w:val="20"/>
          <w:szCs w:val="20"/>
        </w:rPr>
        <w:t xml:space="preserve"> Outcomes from a sensitivity analysis (</w:t>
      </w:r>
      <w:r w:rsidR="00112AC2" w:rsidRPr="00112AC2">
        <w:rPr>
          <w:rFonts w:ascii="Arial" w:hAnsi="Arial" w:cs="Arial"/>
          <w:b/>
          <w:bCs/>
          <w:sz w:val="20"/>
          <w:szCs w:val="20"/>
        </w:rPr>
        <w:t xml:space="preserve">Figure </w:t>
      </w:r>
      <w:r w:rsidR="00161B62">
        <w:rPr>
          <w:rFonts w:ascii="Arial" w:hAnsi="Arial" w:cs="Arial"/>
          <w:b/>
          <w:bCs/>
          <w:sz w:val="20"/>
          <w:szCs w:val="20"/>
        </w:rPr>
        <w:t>S</w:t>
      </w:r>
      <w:r w:rsidR="004E48DC">
        <w:rPr>
          <w:rFonts w:ascii="Arial" w:hAnsi="Arial" w:cs="Arial"/>
          <w:b/>
          <w:bCs/>
          <w:sz w:val="20"/>
          <w:szCs w:val="20"/>
        </w:rPr>
        <w:t>5</w:t>
      </w:r>
      <w:r w:rsidR="00FE3008">
        <w:rPr>
          <w:rFonts w:ascii="Arial" w:hAnsi="Arial" w:cs="Arial"/>
          <w:b/>
          <w:bCs/>
          <w:sz w:val="20"/>
          <w:szCs w:val="20"/>
        </w:rPr>
        <w:t>B</w:t>
      </w:r>
      <w:r w:rsidR="00112AC2" w:rsidRPr="00112AC2">
        <w:rPr>
          <w:rFonts w:ascii="Arial" w:hAnsi="Arial" w:cs="Arial"/>
          <w:sz w:val="20"/>
          <w:szCs w:val="20"/>
        </w:rPr>
        <w:t xml:space="preserve">) substantiated the need for an increase in REF in severe renal impairment to meet the success criteria highlighted </w:t>
      </w:r>
      <w:r w:rsidR="00112AC2" w:rsidRPr="00017A6B">
        <w:rPr>
          <w:rFonts w:ascii="Arial" w:hAnsi="Arial" w:cs="Arial"/>
          <w:sz w:val="20"/>
          <w:szCs w:val="20"/>
        </w:rPr>
        <w:t>in</w:t>
      </w:r>
      <w:r w:rsidR="00112AC2" w:rsidRPr="00112AC2">
        <w:rPr>
          <w:rFonts w:ascii="Arial" w:hAnsi="Arial" w:cs="Arial"/>
          <w:b/>
          <w:bCs/>
          <w:sz w:val="20"/>
          <w:szCs w:val="20"/>
        </w:rPr>
        <w:t xml:space="preserve"> Table </w:t>
      </w:r>
      <w:r w:rsidR="00017A6B">
        <w:rPr>
          <w:rFonts w:ascii="Arial" w:hAnsi="Arial" w:cs="Arial"/>
          <w:b/>
          <w:bCs/>
          <w:sz w:val="20"/>
          <w:szCs w:val="20"/>
        </w:rPr>
        <w:t>S4</w:t>
      </w:r>
      <w:r w:rsidR="00112AC2" w:rsidRPr="00112AC2">
        <w:rPr>
          <w:rFonts w:ascii="Arial" w:hAnsi="Arial" w:cs="Arial"/>
          <w:sz w:val="20"/>
          <w:szCs w:val="20"/>
        </w:rPr>
        <w:t>.</w:t>
      </w:r>
      <w:r w:rsidR="008B724D">
        <w:rPr>
          <w:rFonts w:ascii="Arial" w:hAnsi="Arial" w:cs="Arial"/>
          <w:sz w:val="20"/>
          <w:szCs w:val="20"/>
          <w:lang w:val="en-SG"/>
        </w:rPr>
        <w:t xml:space="preserve"> </w:t>
      </w:r>
      <w:r w:rsidR="00017A6B">
        <w:rPr>
          <w:rFonts w:ascii="Arial" w:hAnsi="Arial" w:cs="Arial"/>
          <w:sz w:val="20"/>
          <w:szCs w:val="20"/>
          <w:lang w:val="en-SG"/>
        </w:rPr>
        <w:t xml:space="preserve">For the putative inhibitors, </w:t>
      </w:r>
      <w:r w:rsidR="000C1087" w:rsidRPr="000C1087">
        <w:rPr>
          <w:rFonts w:ascii="Arial" w:hAnsi="Arial" w:cs="Arial"/>
          <w:color w:val="000000" w:themeColor="text1"/>
          <w:sz w:val="20"/>
          <w:szCs w:val="20"/>
        </w:rPr>
        <w:t>elevations in inhibitor exposure</w:t>
      </w:r>
      <w:r w:rsidR="000305CA">
        <w:rPr>
          <w:rFonts w:ascii="Arial" w:hAnsi="Arial" w:cs="Arial"/>
          <w:color w:val="000000" w:themeColor="text1"/>
          <w:sz w:val="20"/>
          <w:szCs w:val="20"/>
        </w:rPr>
        <w:t>s</w:t>
      </w:r>
      <w:r w:rsidR="000C1087" w:rsidRPr="000C1087">
        <w:rPr>
          <w:rFonts w:ascii="Arial" w:hAnsi="Arial" w:cs="Arial"/>
          <w:color w:val="000000" w:themeColor="text1"/>
          <w:sz w:val="20"/>
          <w:szCs w:val="20"/>
        </w:rPr>
        <w:t xml:space="preserve"> accompanying increasing severities of renal impairment as highlighted </w:t>
      </w:r>
      <w:r w:rsidR="000C1087" w:rsidRPr="000C1087">
        <w:rPr>
          <w:rFonts w:ascii="Arial" w:hAnsi="Arial" w:cs="Arial"/>
          <w:b/>
          <w:bCs/>
          <w:color w:val="000000" w:themeColor="text1"/>
          <w:sz w:val="20"/>
          <w:szCs w:val="20"/>
        </w:rPr>
        <w:t>in Figures S</w:t>
      </w:r>
      <w:r w:rsidR="004739F5">
        <w:rPr>
          <w:rFonts w:ascii="Arial" w:hAnsi="Arial" w:cs="Arial"/>
          <w:b/>
          <w:bCs/>
          <w:color w:val="000000" w:themeColor="text1"/>
          <w:sz w:val="20"/>
          <w:szCs w:val="20"/>
        </w:rPr>
        <w:t>3</w:t>
      </w:r>
      <w:r w:rsidR="000C1087" w:rsidRPr="000C1087">
        <w:rPr>
          <w:rFonts w:ascii="Arial" w:hAnsi="Arial" w:cs="Arial"/>
          <w:b/>
          <w:bCs/>
          <w:color w:val="000000" w:themeColor="text1"/>
          <w:sz w:val="20"/>
          <w:szCs w:val="20"/>
        </w:rPr>
        <w:t>B</w:t>
      </w:r>
      <w:r w:rsidR="000C1087" w:rsidRPr="000C1087">
        <w:rPr>
          <w:rFonts w:ascii="Arial" w:hAnsi="Arial" w:cs="Arial"/>
          <w:color w:val="000000" w:themeColor="text1"/>
          <w:sz w:val="20"/>
          <w:szCs w:val="20"/>
        </w:rPr>
        <w:t xml:space="preserve"> and </w:t>
      </w:r>
      <w:r w:rsidR="00484DCA">
        <w:rPr>
          <w:rFonts w:ascii="Arial" w:hAnsi="Arial" w:cs="Arial"/>
          <w:b/>
          <w:bCs/>
          <w:color w:val="000000" w:themeColor="text1"/>
          <w:sz w:val="20"/>
          <w:szCs w:val="20"/>
        </w:rPr>
        <w:t xml:space="preserve">3C </w:t>
      </w:r>
      <w:r w:rsidR="00451B05" w:rsidRPr="00451B05">
        <w:rPr>
          <w:rFonts w:ascii="Arial" w:hAnsi="Arial" w:cs="Arial"/>
          <w:color w:val="000000" w:themeColor="text1"/>
          <w:sz w:val="20"/>
          <w:szCs w:val="20"/>
        </w:rPr>
        <w:t>arose as a result of other physiological changes synonymous with renal dysfunction (e.g. reductions in hepatic CYP expression)</w:t>
      </w:r>
      <w:r w:rsidR="00451B05">
        <w:rPr>
          <w:rFonts w:ascii="Arial" w:hAnsi="Arial" w:cs="Arial"/>
          <w:color w:val="000000" w:themeColor="text1"/>
          <w:sz w:val="20"/>
          <w:szCs w:val="20"/>
        </w:rPr>
        <w:t>.</w:t>
      </w:r>
      <w:r w:rsidR="002B7F49">
        <w:rPr>
          <w:rFonts w:ascii="Arial" w:hAnsi="Arial" w:cs="Arial"/>
          <w:color w:val="000000" w:themeColor="text1"/>
          <w:sz w:val="20"/>
          <w:szCs w:val="20"/>
        </w:rPr>
        <w:fldChar w:fldCharType="begin" w:fldLock="1"/>
      </w:r>
      <w:r w:rsidR="005500B4">
        <w:rPr>
          <w:rFonts w:ascii="Arial" w:hAnsi="Arial" w:cs="Arial"/>
          <w:color w:val="000000" w:themeColor="text1"/>
          <w:sz w:val="20"/>
          <w:szCs w:val="20"/>
        </w:rPr>
        <w:instrText>ADDIN CSL_CITATION {"citationItems":[{"id":"ITEM-1","itemData":{"DOI":"10.1002/cpt.750","ISBN":"1532-6535 (Electronic)\r0009-9236 (Linking)","ISSN":"15326535","PMID":"28738449","abstract":"Altered pharmacokinetics (PK) in subjects with chronic kidney disease (CKD) may lead to dosing adjustment of certain drugs in subjects with CKD. It can be valuable to quantitatively predict PK in CKD for the management of drug dosing in these subjects. We developed physiologically based pharmacokinetic (PBPK) models of seven renally eliminated drugs: adefovir, avibactam, entecavir, famotidine, ganciclovir, oseltamivir carboxylate, and sitagliptin. These drugs are all substrates of renal organic anion transporters (OATs). Drug models verified using PK data from healthy subjects (HS) were coupled with physiological models representing CKD that incorporated prior knowledge of effects of CKD on hepatic and renal elimination. The models reasonably described clinically observed PK changes in subjects with CKD (compared to subjects with normal renal function), with predicted AUC changes within 50% of the observed changes. PBPK models can be used to prospectively predict PK of renally eliminated OAT substrates in subjects with CKD.","author":[{"dropping-particle":"","family":"Hsueh","given":"C. H.","non-dropping-particle":"","parse-names":false,"suffix":""},{"dropping-particle":"","family":"Hsu","given":"V.","non-dropping-particle":"","parse-names":false,"suffix":""},{"dropping-particle":"","family":"Zhao","given":"P.","non-dropping-particle":"","parse-names":false,"suffix":""},{"dropping-particle":"","family":"Zhang","given":"L.","non-dropping-particle":"","parse-names":false,"suffix":""},{"dropping-particle":"","family":"Giacomini","given":"K. M.","non-dropping-particle":"","parse-names":false,"suffix":""},{"dropping-particle":"","family":"Huang","given":"S. M.","non-dropping-particle":"","parse-names":false,"suffix":""}],"container-title":"Clinical Pharmacology and Therapeutics","id":"ITEM-1","issue":"3","issued":{"date-parts":[["2018"]]},"page":"485-492","title":"PBPK Modeling of the Effect of Reduced Kidney Function on the Pharmacokinetics of Drugs Excreted Renally by Organic Anion Transporters","type":"article-journal","volume":"103"},"uris":["http://www.mendeley.com/documents/?uuid=b06ff96c-fdaa-4af6-9a1f-516b24965f58"]}],"mendeley":{"formattedCitation":"&lt;sup&gt;27&lt;/sup&gt;","plainTextFormattedCitation":"27","previouslyFormattedCitation":"&lt;sup&gt;27&lt;/sup&gt;"},"properties":{"noteIndex":0},"schema":"https://github.com/citation-style-language/schema/raw/master/csl-citation.json"}</w:instrText>
      </w:r>
      <w:r w:rsidR="002B7F49">
        <w:rPr>
          <w:rFonts w:ascii="Arial" w:hAnsi="Arial" w:cs="Arial"/>
          <w:color w:val="000000" w:themeColor="text1"/>
          <w:sz w:val="20"/>
          <w:szCs w:val="20"/>
        </w:rPr>
        <w:fldChar w:fldCharType="separate"/>
      </w:r>
      <w:r w:rsidR="002B7F49" w:rsidRPr="002B7F49">
        <w:rPr>
          <w:rFonts w:ascii="Arial" w:hAnsi="Arial" w:cs="Arial"/>
          <w:noProof/>
          <w:color w:val="000000" w:themeColor="text1"/>
          <w:sz w:val="20"/>
          <w:szCs w:val="20"/>
          <w:vertAlign w:val="superscript"/>
        </w:rPr>
        <w:t>27</w:t>
      </w:r>
      <w:r w:rsidR="002B7F49">
        <w:rPr>
          <w:rFonts w:ascii="Arial" w:hAnsi="Arial" w:cs="Arial"/>
          <w:color w:val="000000" w:themeColor="text1"/>
          <w:sz w:val="20"/>
          <w:szCs w:val="20"/>
        </w:rPr>
        <w:fldChar w:fldCharType="end"/>
      </w:r>
      <w:r w:rsidR="00451B05">
        <w:rPr>
          <w:rFonts w:ascii="Arial" w:hAnsi="Arial" w:cs="Arial"/>
          <w:color w:val="000000" w:themeColor="text1"/>
          <w:sz w:val="20"/>
          <w:szCs w:val="20"/>
        </w:rPr>
        <w:t xml:space="preserve"> </w:t>
      </w:r>
      <w:r w:rsidR="00B848A2">
        <w:rPr>
          <w:rFonts w:ascii="Arial" w:hAnsi="Arial" w:cs="Arial"/>
          <w:color w:val="000000" w:themeColor="text1"/>
          <w:sz w:val="20"/>
          <w:szCs w:val="20"/>
        </w:rPr>
        <w:t>T</w:t>
      </w:r>
      <w:r w:rsidR="004E1A64">
        <w:rPr>
          <w:rFonts w:ascii="Arial" w:hAnsi="Arial" w:cs="Arial"/>
          <w:color w:val="000000" w:themeColor="text1"/>
          <w:sz w:val="20"/>
          <w:szCs w:val="20"/>
        </w:rPr>
        <w:t xml:space="preserve">he </w:t>
      </w:r>
      <w:r w:rsidR="004E1A64" w:rsidRPr="000C1087">
        <w:rPr>
          <w:rFonts w:ascii="Arial" w:hAnsi="Arial" w:cs="Arial"/>
          <w:color w:val="000000" w:themeColor="text1"/>
          <w:sz w:val="20"/>
          <w:szCs w:val="20"/>
        </w:rPr>
        <w:t>inability to extend the DDDI investigations to patients with moderate and severe renal impairment</w:t>
      </w:r>
      <w:r w:rsidR="004E1A64">
        <w:rPr>
          <w:rFonts w:ascii="Arial" w:hAnsi="Arial" w:cs="Arial"/>
          <w:color w:val="000000" w:themeColor="text1"/>
          <w:sz w:val="20"/>
          <w:szCs w:val="20"/>
        </w:rPr>
        <w:t xml:space="preserve"> remains a </w:t>
      </w:r>
      <w:r w:rsidR="004E1A64" w:rsidRPr="000C1087">
        <w:rPr>
          <w:rFonts w:ascii="Arial" w:hAnsi="Arial" w:cs="Arial"/>
          <w:color w:val="000000" w:themeColor="text1"/>
          <w:sz w:val="20"/>
          <w:szCs w:val="20"/>
        </w:rPr>
        <w:t>key limitation of the current platform</w:t>
      </w:r>
      <w:r w:rsidR="00B848A2">
        <w:rPr>
          <w:rFonts w:ascii="Arial" w:hAnsi="Arial" w:cs="Arial"/>
          <w:color w:val="000000" w:themeColor="text1"/>
          <w:sz w:val="20"/>
          <w:szCs w:val="20"/>
        </w:rPr>
        <w:t>. Nevertheless,</w:t>
      </w:r>
      <w:r w:rsidR="004E1A64">
        <w:rPr>
          <w:rFonts w:ascii="Arial" w:hAnsi="Arial" w:cs="Arial"/>
          <w:color w:val="000000" w:themeColor="text1"/>
          <w:sz w:val="20"/>
          <w:szCs w:val="20"/>
        </w:rPr>
        <w:t xml:space="preserve"> </w:t>
      </w:r>
      <w:r w:rsidR="00B848A2">
        <w:rPr>
          <w:rFonts w:ascii="Arial" w:hAnsi="Arial" w:cs="Arial"/>
          <w:color w:val="000000" w:themeColor="text1"/>
          <w:sz w:val="20"/>
          <w:szCs w:val="20"/>
        </w:rPr>
        <w:t>our</w:t>
      </w:r>
      <w:r w:rsidR="000C1087" w:rsidRPr="000C1087">
        <w:rPr>
          <w:rFonts w:ascii="Arial" w:hAnsi="Arial" w:cs="Arial"/>
          <w:color w:val="000000" w:themeColor="text1"/>
          <w:sz w:val="20"/>
          <w:szCs w:val="20"/>
        </w:rPr>
        <w:t xml:space="preserve"> insights </w:t>
      </w:r>
      <w:r w:rsidR="00D40BBF">
        <w:rPr>
          <w:rFonts w:ascii="Arial" w:hAnsi="Arial" w:cs="Arial"/>
          <w:color w:val="000000" w:themeColor="text1"/>
          <w:sz w:val="20"/>
          <w:szCs w:val="20"/>
        </w:rPr>
        <w:t xml:space="preserve">pave </w:t>
      </w:r>
      <w:r w:rsidR="000C1087" w:rsidRPr="000C1087">
        <w:rPr>
          <w:rFonts w:ascii="Arial" w:hAnsi="Arial" w:cs="Arial"/>
          <w:color w:val="000000" w:themeColor="text1"/>
          <w:sz w:val="20"/>
          <w:szCs w:val="20"/>
        </w:rPr>
        <w:t xml:space="preserve">way for further clinical DDDI studies designed to validate the clinical </w:t>
      </w:r>
      <w:r w:rsidR="004E1A64">
        <w:rPr>
          <w:rFonts w:ascii="Arial" w:hAnsi="Arial" w:cs="Arial"/>
          <w:color w:val="000000" w:themeColor="text1"/>
          <w:sz w:val="20"/>
          <w:szCs w:val="20"/>
        </w:rPr>
        <w:t>relevance</w:t>
      </w:r>
      <w:r w:rsidR="000C1087" w:rsidRPr="000C1087">
        <w:rPr>
          <w:rFonts w:ascii="Arial" w:hAnsi="Arial" w:cs="Arial"/>
          <w:color w:val="000000" w:themeColor="text1"/>
          <w:sz w:val="20"/>
          <w:szCs w:val="20"/>
        </w:rPr>
        <w:t xml:space="preserve"> of the PBPK-guided outcomes.</w:t>
      </w:r>
    </w:p>
    <w:p w14:paraId="7E3BC118" w14:textId="77777777" w:rsidR="009B48B7" w:rsidRDefault="009B48B7" w:rsidP="00062B7A">
      <w:pPr>
        <w:spacing w:after="0" w:line="480" w:lineRule="auto"/>
        <w:jc w:val="both"/>
        <w:rPr>
          <w:rFonts w:ascii="Arial" w:hAnsi="Arial" w:cs="Arial"/>
          <w:color w:val="000000" w:themeColor="text1"/>
          <w:sz w:val="20"/>
          <w:szCs w:val="20"/>
        </w:rPr>
      </w:pPr>
    </w:p>
    <w:p w14:paraId="6269140A" w14:textId="77405489" w:rsidR="00F622F5" w:rsidRDefault="00015343" w:rsidP="00062B7A">
      <w:pPr>
        <w:spacing w:after="0" w:line="480" w:lineRule="auto"/>
        <w:jc w:val="both"/>
        <w:rPr>
          <w:rFonts w:ascii="Arial" w:hAnsi="Arial" w:cs="Arial"/>
          <w:color w:val="000000" w:themeColor="text1"/>
          <w:sz w:val="20"/>
          <w:szCs w:val="20"/>
        </w:rPr>
      </w:pPr>
      <w:r>
        <w:rPr>
          <w:rFonts w:ascii="Arial" w:hAnsi="Arial" w:cs="Arial"/>
          <w:color w:val="000000" w:themeColor="text1"/>
          <w:sz w:val="20"/>
          <w:szCs w:val="20"/>
        </w:rPr>
        <w:t>W</w:t>
      </w:r>
      <w:r w:rsidR="000C1087" w:rsidRPr="000C1087">
        <w:rPr>
          <w:rFonts w:ascii="Arial" w:hAnsi="Arial" w:cs="Arial"/>
          <w:color w:val="000000" w:themeColor="text1"/>
          <w:sz w:val="20"/>
          <w:szCs w:val="20"/>
        </w:rPr>
        <w:t>hen rivaroxaban was co-administered with erlotinib, simulated geometric mean AUC and CL ratios were 1.52 and 0.66 in comparison with 1.39 and 0.72 that was reported clinically with verapamil</w:t>
      </w:r>
      <w:r w:rsidRPr="00015343">
        <w:rPr>
          <w:rFonts w:ascii="Arial" w:hAnsi="Arial" w:cs="Arial"/>
          <w:color w:val="000000" w:themeColor="text1"/>
          <w:sz w:val="20"/>
          <w:szCs w:val="20"/>
        </w:rPr>
        <w:t xml:space="preserve"> </w:t>
      </w:r>
      <w:r>
        <w:rPr>
          <w:rFonts w:ascii="Arial" w:hAnsi="Arial" w:cs="Arial"/>
          <w:color w:val="000000" w:themeColor="text1"/>
          <w:sz w:val="20"/>
          <w:szCs w:val="20"/>
        </w:rPr>
        <w:t>(</w:t>
      </w:r>
      <w:r w:rsidRPr="00015343">
        <w:rPr>
          <w:rFonts w:ascii="Arial" w:hAnsi="Arial" w:cs="Arial"/>
          <w:b/>
          <w:bCs/>
          <w:color w:val="000000" w:themeColor="text1"/>
          <w:sz w:val="20"/>
          <w:szCs w:val="20"/>
        </w:rPr>
        <w:t>Figure 5A</w:t>
      </w:r>
      <w:r>
        <w:rPr>
          <w:rFonts w:ascii="Arial" w:hAnsi="Arial" w:cs="Arial"/>
          <w:color w:val="000000" w:themeColor="text1"/>
          <w:sz w:val="20"/>
          <w:szCs w:val="20"/>
        </w:rPr>
        <w:t>)</w:t>
      </w:r>
      <w:r w:rsidR="000C1087" w:rsidRPr="00015343">
        <w:rPr>
          <w:rFonts w:ascii="Arial" w:hAnsi="Arial" w:cs="Arial"/>
          <w:color w:val="000000" w:themeColor="text1"/>
          <w:sz w:val="20"/>
          <w:szCs w:val="20"/>
        </w:rPr>
        <w:t>.</w:t>
      </w:r>
      <w:r w:rsidR="00283029">
        <w:rPr>
          <w:rFonts w:ascii="Arial" w:hAnsi="Arial" w:cs="Arial"/>
          <w:color w:val="000000" w:themeColor="text1"/>
          <w:sz w:val="20"/>
          <w:szCs w:val="20"/>
        </w:rPr>
        <w:fldChar w:fldCharType="begin" w:fldLock="1"/>
      </w:r>
      <w:r w:rsidR="00516D49">
        <w:rPr>
          <w:rFonts w:ascii="Arial" w:hAnsi="Arial" w:cs="Arial"/>
          <w:color w:val="000000" w:themeColor="text1"/>
          <w:sz w:val="20"/>
          <w:szCs w:val="20"/>
        </w:rPr>
        <w:instrText>ADDIN CSL_CITATION {"citationItems":[{"id":"ITEM-1","itemData":{"DOI":"10.1002/jcph.1040","ISSN":"15524604","PMID":"29194698","abstract":"Pharmacokinetics and antithrombotic effects of the Factor Xa inhibitor rivaroxaban were studied in subjects with mild renal insufficiency concurrently taking the P-glycoprotein and moderate CYP3A inhibitor verapamil, a drug commonly administered to patients with hypertension, ischemic heart disease, or atrial fibrillation. Age-matched controls with normal renal function were studied concurrently. Subjects' overall mean age was 59 years. Mean creatinine clearance values in the 2 groups were 105 and 71 mL/min. After single 20-mg oral doses, rivaroxaban area under the curve (AUC) was increased by a factor of 1.11 (ratio of geometric means [RGM]) in mild renal insufficiency compared to controls. Verapamil coadministration independently increased AUC to the same extent in both the mild renal insufficiency and control groups (RGM, 1.39 and 1.43). Concurrent mild renal insufficiency and verapamil produced additive inhibition compared to controls without verapamil (RGM, 1.58). Prothrombin time (PT) prolongation and Factor Xa inhibition tracked plasma rivaroxaban, and were enhanced by verapamil. Concentration-response relationships for PT (linear) and Factor Xa inhibition (hyperbolic) were unaffected by renal function or verapamil. The absolute and relative increases in rivaroxaban AUC caused by verapamil in mild renal insufficiency subjects are potentially associated with an increased bleeding risk. Modification of recommended dosage may be required in this combination of circumstances to reduce risk to patients.","author":[{"dropping-particle":"","family":"Greenblatt","given":"David J.","non-dropping-particle":"","parse-names":false,"suffix":""},{"dropping-particle":"","family":"Patel","given":"Maulik","non-dropping-particle":"","parse-names":false,"suffix":""},{"dropping-particle":"","family":"Harmatz","given":"Jerold S.","non-dropping-particle":"","parse-names":false,"suffix":""},{"dropping-particle":"","family":"Nicholson","given":"Wayne T.","non-dropping-particle":"","parse-names":false,"suffix":""},{"dropping-particle":"","family":"Rubino","given":"Christopher M.","non-dropping-particle":"","parse-names":false,"suffix":""},{"dropping-particle":"","family":"Chow","given":"Christina R.","non-dropping-particle":"","parse-names":false,"suffix":""}],"container-title":"Journal of Clinical Pharmacology","id":"ITEM-1","issue":"4","issued":{"date-parts":[["2018"]]},"page":"533-540","title":"Impaired Rivaroxaban Clearance in Mild Renal Insufficiency With Verapamil Coadministration: Potential Implications for Bleeding Risk and Dose Selection","type":"article-journal","volume":"58"},"uris":["http://www.mendeley.com/documents/?uuid=4f57863a-2709-46f1-9459-e2aeb9b1e383"]}],"mendeley":{"formattedCitation":"&lt;sup&gt;67&lt;/sup&gt;","plainTextFormattedCitation":"67","previouslyFormattedCitation":"&lt;sup&gt;66&lt;/sup&gt;"},"properties":{"noteIndex":0},"schema":"https://github.com/citation-style-language/schema/raw/master/csl-citation.json"}</w:instrText>
      </w:r>
      <w:r w:rsidR="00283029">
        <w:rPr>
          <w:rFonts w:ascii="Arial" w:hAnsi="Arial" w:cs="Arial"/>
          <w:color w:val="000000" w:themeColor="text1"/>
          <w:sz w:val="20"/>
          <w:szCs w:val="20"/>
        </w:rPr>
        <w:fldChar w:fldCharType="separate"/>
      </w:r>
      <w:r w:rsidR="00516D49" w:rsidRPr="00516D49">
        <w:rPr>
          <w:rFonts w:ascii="Arial" w:hAnsi="Arial" w:cs="Arial"/>
          <w:noProof/>
          <w:color w:val="000000" w:themeColor="text1"/>
          <w:sz w:val="20"/>
          <w:szCs w:val="20"/>
          <w:vertAlign w:val="superscript"/>
        </w:rPr>
        <w:t>67</w:t>
      </w:r>
      <w:r w:rsidR="00283029">
        <w:rPr>
          <w:rFonts w:ascii="Arial" w:hAnsi="Arial" w:cs="Arial"/>
          <w:color w:val="000000" w:themeColor="text1"/>
          <w:sz w:val="20"/>
          <w:szCs w:val="20"/>
        </w:rPr>
        <w:fldChar w:fldCharType="end"/>
      </w:r>
      <w:r w:rsidR="000C1087" w:rsidRPr="000C1087">
        <w:rPr>
          <w:rFonts w:ascii="Arial" w:hAnsi="Arial" w:cs="Arial"/>
          <w:color w:val="000000" w:themeColor="text1"/>
          <w:sz w:val="20"/>
          <w:szCs w:val="20"/>
        </w:rPr>
        <w:t xml:space="preserve"> This amplification of interaction potential was in line with our </w:t>
      </w:r>
      <w:r w:rsidR="000C1087" w:rsidRPr="000C1087">
        <w:rPr>
          <w:rFonts w:ascii="Arial" w:hAnsi="Arial" w:cs="Arial"/>
          <w:i/>
          <w:iCs/>
          <w:color w:val="000000" w:themeColor="text1"/>
          <w:sz w:val="20"/>
          <w:szCs w:val="20"/>
        </w:rPr>
        <w:t xml:space="preserve">in vitro </w:t>
      </w:r>
      <w:r w:rsidR="000C1087" w:rsidRPr="000C1087">
        <w:rPr>
          <w:rFonts w:ascii="Arial" w:hAnsi="Arial" w:cs="Arial"/>
          <w:color w:val="000000" w:themeColor="text1"/>
          <w:sz w:val="20"/>
          <w:szCs w:val="20"/>
        </w:rPr>
        <w:t>data where erlotinib was shown to perpetrate MBI of CYP2J2 in addition to CYP3A4 (</w:t>
      </w:r>
      <w:r w:rsidR="00C54242">
        <w:rPr>
          <w:rFonts w:ascii="Arial" w:hAnsi="Arial" w:cs="Arial"/>
          <w:b/>
          <w:bCs/>
          <w:color w:val="000000" w:themeColor="text1"/>
          <w:sz w:val="20"/>
          <w:szCs w:val="20"/>
        </w:rPr>
        <w:t>Figure</w:t>
      </w:r>
      <w:r w:rsidR="0013494D">
        <w:rPr>
          <w:rFonts w:ascii="Arial" w:hAnsi="Arial" w:cs="Arial"/>
          <w:b/>
          <w:bCs/>
          <w:color w:val="000000" w:themeColor="text1"/>
          <w:sz w:val="20"/>
          <w:szCs w:val="20"/>
        </w:rPr>
        <w:t xml:space="preserve"> S1G</w:t>
      </w:r>
      <w:r w:rsidR="000C1087" w:rsidRPr="000C1087">
        <w:rPr>
          <w:rFonts w:ascii="Arial" w:hAnsi="Arial" w:cs="Arial"/>
          <w:color w:val="000000" w:themeColor="text1"/>
          <w:sz w:val="20"/>
          <w:szCs w:val="20"/>
        </w:rPr>
        <w:t>). Conversely, both verapamil and norverapamil did not cause MBI of CYP2J2.</w:t>
      </w:r>
      <w:r w:rsidR="00194EDC">
        <w:rPr>
          <w:rFonts w:ascii="Arial" w:hAnsi="Arial" w:cs="Arial"/>
          <w:color w:val="000000" w:themeColor="text1"/>
          <w:sz w:val="20"/>
          <w:szCs w:val="20"/>
        </w:rPr>
        <w:fldChar w:fldCharType="begin" w:fldLock="1"/>
      </w:r>
      <w:r w:rsidR="00520AD6">
        <w:rPr>
          <w:rFonts w:ascii="Arial" w:hAnsi="Arial" w:cs="Arial"/>
          <w:color w:val="000000" w:themeColor="text1"/>
          <w:sz w:val="20"/>
          <w:szCs w:val="20"/>
        </w:rPr>
        <w:instrText>ADDIN CSL_CITATION {"citationItems":[{"id":"ITEM-1","itemData":{"author":[{"dropping-particle":"","family":"Jing","given":"Eleanor","non-dropping-particle":"","parse-names":false,"suffix":""},{"dropping-particle":"","family":"Cheong","given":"Yi","non-dropping-particle":"","parse-names":false,"suffix":""},{"dropping-particle":"","family":"Wun","given":"Denise","non-dropping-particle":"","parse-names":false,"suffix":""},{"dropping-particle":"","family":"Teo","given":"Xi","non-dropping-particle":"","parse-names":false,"suffix":""},{"dropping-particle":"","family":"Xin","given":"Denise","non-dropping-particle":"","parse-names":false,"suffix":""},{"dropping-particle":"","family":"Chua","given":"Yi","non-dropping-particle":"","parse-names":false,"suffix":""},{"dropping-particle":"","family":"Chun","given":"Eric","non-dropping-particle":"","parse-names":false,"suffix":""},{"dropping-particle":"","family":"Chan","given":"Yong","non-dropping-particle":"","parse-names":false,"suffix":""}],"id":"ITEM-1","issued":{"date-parts":[["2019"]]},"title":"Systematic Development and Verification of a Physiologically Based Pharmacokinetic Model of Rivaroxaban s","type":"article-journal"},"uris":["http://www.mendeley.com/documents/?uuid=9ed721ff-d724-457c-a507-0f173d45daac"]}],"mendeley":{"formattedCitation":"&lt;sup&gt;8&lt;/sup&gt;","plainTextFormattedCitation":"8","previouslyFormattedCitation":"&lt;sup&gt;8&lt;/sup&gt;"},"properties":{"noteIndex":0},"schema":"https://github.com/citation-style-language/schema/raw/master/csl-citation.json"}</w:instrText>
      </w:r>
      <w:r w:rsidR="00194EDC">
        <w:rPr>
          <w:rFonts w:ascii="Arial" w:hAnsi="Arial" w:cs="Arial"/>
          <w:color w:val="000000" w:themeColor="text1"/>
          <w:sz w:val="20"/>
          <w:szCs w:val="20"/>
        </w:rPr>
        <w:fldChar w:fldCharType="separate"/>
      </w:r>
      <w:r w:rsidR="00194EDC" w:rsidRPr="00194EDC">
        <w:rPr>
          <w:rFonts w:ascii="Arial" w:hAnsi="Arial" w:cs="Arial"/>
          <w:noProof/>
          <w:color w:val="000000" w:themeColor="text1"/>
          <w:sz w:val="20"/>
          <w:szCs w:val="20"/>
          <w:vertAlign w:val="superscript"/>
        </w:rPr>
        <w:t>8</w:t>
      </w:r>
      <w:r w:rsidR="00194EDC">
        <w:rPr>
          <w:rFonts w:ascii="Arial" w:hAnsi="Arial" w:cs="Arial"/>
          <w:color w:val="000000" w:themeColor="text1"/>
          <w:sz w:val="20"/>
          <w:szCs w:val="20"/>
        </w:rPr>
        <w:fldChar w:fldCharType="end"/>
      </w:r>
      <w:r w:rsidR="000C1087" w:rsidRPr="000C1087">
        <w:rPr>
          <w:rFonts w:ascii="Arial" w:hAnsi="Arial" w:cs="Arial"/>
          <w:color w:val="000000" w:themeColor="text1"/>
          <w:sz w:val="20"/>
          <w:szCs w:val="20"/>
        </w:rPr>
        <w:t xml:space="preserve"> </w:t>
      </w:r>
      <w:r w:rsidR="00194EDC">
        <w:rPr>
          <w:rFonts w:ascii="Arial" w:hAnsi="Arial" w:cs="Arial"/>
          <w:color w:val="000000" w:themeColor="text1"/>
          <w:sz w:val="20"/>
          <w:szCs w:val="20"/>
        </w:rPr>
        <w:t>Traditionally</w:t>
      </w:r>
      <w:r w:rsidR="000C1087" w:rsidRPr="000C1087">
        <w:rPr>
          <w:rFonts w:ascii="Arial" w:hAnsi="Arial" w:cs="Arial"/>
          <w:color w:val="000000" w:themeColor="text1"/>
          <w:sz w:val="20"/>
          <w:szCs w:val="20"/>
        </w:rPr>
        <w:t>, drugs that are primarily eliminated by a single pathway are expected to be considerably more sensitive to DDIs compared to drugs undergoing multi-pathway clearance, which implies that the parallel CYP3A4 and CYP2J2-mediated pathways of rivaroxaban elimination might reduce rivaroxaban’s susceptibility to DDIs.</w:t>
      </w:r>
      <w:r w:rsidR="000C1087" w:rsidRPr="000C1087">
        <w:rPr>
          <w:rFonts w:ascii="Arial" w:hAnsi="Arial" w:cs="Arial"/>
          <w:color w:val="000000" w:themeColor="text1"/>
          <w:sz w:val="20"/>
          <w:szCs w:val="20"/>
        </w:rPr>
        <w:fldChar w:fldCharType="begin" w:fldLock="1"/>
      </w:r>
      <w:r w:rsidR="00516D49">
        <w:rPr>
          <w:rFonts w:ascii="Arial" w:hAnsi="Arial" w:cs="Arial"/>
          <w:color w:val="000000" w:themeColor="text1"/>
          <w:sz w:val="20"/>
          <w:szCs w:val="20"/>
        </w:rPr>
        <w:instrText>ADDIN CSL_CITATION {"citationItems":[{"id":"ITEM-1","itemData":{"DOI":"10.1021/tx300192g","ISSN":"1520-5010","PMID":"22823924","abstract":"Drugs that are mainly cleared by a single enzyme are considered more sensitive to drug-drug interactions (DDIs) than drugs cleared by multiple pathways. However, whether this is true when a drug cleared by multiple pathways is coadministered with an inhibitor of multiple P450 enzymes (multi-P450 inhibition) is not known. Mathematically, simultaneous equipotent inhibition of two elimination pathways that each contribute half of the drug clearance is equal to equipotent inhibition of a single pathway that clears the drug. However, simultaneous strong or moderate inhibition of two pathways by a single inhibitor is perceived as an unlikely scenario. The aim of this study was (i) to identify P450 inhibitors currently in clinical use that can inhibit more than one clearance pathway of an object drug in vivo and (ii) to evaluate the magnitude and predictability of DDIs caused by these multi-P450 inhibitors. Multi-P450 inhibitors were identified using the Metabolism and Transport Drug Interaction Database. A total of 38 multi-P450 inhibitors, defined as inhibitors that increased the AUC or decreased the clearance of probes of two or more P450s, were identified. Seventeen (45%) multi-P450 inhibitors were strong inhibitors of at least one P450, and an additional 12 (32%) were moderate inhibitors of one or more P450s. Only one inhibitor (fluvoxamine) was a strong inhibitor of more than one enzyme. Fifteen of the multi-P450 inhibitors also inhibit drug transporters in vivo, but such data are lacking on many of the inhibitors. Inhibition of multiple P450 enzymes by a single inhibitor resulted in significant (&gt;2-fold) clinical DDIs with drugs that are cleared by multiple pathways such as imipramine and diazepam, while strong P450 inhibitors resulted in only weak DDIs with these object drugs. The magnitude of the DDIs between multi-P450 inhibitors and diazepam, imipramine, and omeprazole could be predicted using in vitro data with similar accuracy as probe substrate studies with the same inhibitors. The results of this study suggest that inhibition of multiple clearance pathways in vivo is clinically relevant, and the risk of DDIs with object drugs may be best evaluated in studies using multi-P450 inhibitors.","author":[{"dropping-particle":"","family":"Isoherranen","given":"Nina","non-dropping-particle":"","parse-names":false,"suffix":""},{"dropping-particle":"","family":"Lutz","given":"Justin D","non-dropping-particle":"","parse-names":false,"suffix":""},{"dropping-particle":"","family":"Chung","given":"Sophie P","non-dropping-particle":"","parse-names":false,"suffix":""},{"dropping-particle":"","family":"Hachad","given":"Houda","non-dropping-particle":"","parse-names":false,"suffix":""},{"dropping-particle":"","family":"Levy","given":"Rene H","non-dropping-particle":"","parse-names":false,"suffix":""},{"dropping-particle":"","family":"Ragueneau-Majlessi","given":"Isabelle","non-dropping-particle":"","parse-names":false,"suffix":""}],"container-title":"Chemical research in toxicology","id":"ITEM-1","issue":"11","issued":{"date-parts":[["2012","11","19"]]},"page":"2285-300","title":"Importance of multi-p450 inhibition in drug-drug interactions: evaluation of incidence, inhibition magnitude, and prediction from in vitro data.","type":"article-journal","volume":"25"},"uris":["http://www.mendeley.com/documents/?uuid=5bbc32ad-b4b3-30cb-a0bd-77a0d0e200f8"]}],"mendeley":{"formattedCitation":"&lt;sup&gt;68&lt;/sup&gt;","plainTextFormattedCitation":"68","previouslyFormattedCitation":"&lt;sup&gt;67&lt;/sup&gt;"},"properties":{"noteIndex":0},"schema":"https://github.com/citation-style-language/schema/raw/master/csl-citation.json"}</w:instrText>
      </w:r>
      <w:r w:rsidR="000C1087" w:rsidRPr="000C1087">
        <w:rPr>
          <w:rFonts w:ascii="Arial" w:hAnsi="Arial" w:cs="Arial"/>
          <w:color w:val="000000" w:themeColor="text1"/>
          <w:sz w:val="20"/>
          <w:szCs w:val="20"/>
        </w:rPr>
        <w:fldChar w:fldCharType="separate"/>
      </w:r>
      <w:r w:rsidR="00516D49" w:rsidRPr="00516D49">
        <w:rPr>
          <w:rFonts w:ascii="Arial" w:hAnsi="Arial" w:cs="Arial"/>
          <w:noProof/>
          <w:color w:val="000000" w:themeColor="text1"/>
          <w:sz w:val="20"/>
          <w:szCs w:val="20"/>
          <w:vertAlign w:val="superscript"/>
        </w:rPr>
        <w:t>68</w:t>
      </w:r>
      <w:r w:rsidR="000C1087" w:rsidRPr="000C1087">
        <w:rPr>
          <w:rFonts w:ascii="Arial" w:hAnsi="Arial" w:cs="Arial"/>
          <w:color w:val="000000" w:themeColor="text1"/>
          <w:sz w:val="20"/>
          <w:szCs w:val="20"/>
        </w:rPr>
        <w:fldChar w:fldCharType="end"/>
      </w:r>
      <w:r w:rsidR="000C1087" w:rsidRPr="000C1087">
        <w:rPr>
          <w:rFonts w:ascii="Arial" w:hAnsi="Arial" w:cs="Arial"/>
          <w:color w:val="000000" w:themeColor="text1"/>
          <w:sz w:val="20"/>
          <w:szCs w:val="20"/>
        </w:rPr>
        <w:t xml:space="preserve"> Paradoxically, we </w:t>
      </w:r>
      <w:r w:rsidR="00AA4136">
        <w:rPr>
          <w:rFonts w:ascii="Arial" w:hAnsi="Arial" w:cs="Arial"/>
          <w:color w:val="000000" w:themeColor="text1"/>
          <w:sz w:val="20"/>
          <w:szCs w:val="20"/>
        </w:rPr>
        <w:t>demonstrated</w:t>
      </w:r>
      <w:r w:rsidR="000C1087" w:rsidRPr="000C1087">
        <w:rPr>
          <w:rFonts w:ascii="Arial" w:hAnsi="Arial" w:cs="Arial"/>
          <w:color w:val="000000" w:themeColor="text1"/>
          <w:sz w:val="20"/>
          <w:szCs w:val="20"/>
        </w:rPr>
        <w:t xml:space="preserve"> how simultaneous impairment of the multiple hepatic elimination pathways of rivaroxaban could represent an alternative mechanism </w:t>
      </w:r>
      <w:r w:rsidR="003E4BA2">
        <w:rPr>
          <w:rFonts w:ascii="Arial" w:hAnsi="Arial" w:cs="Arial"/>
          <w:color w:val="000000" w:themeColor="text1"/>
          <w:sz w:val="20"/>
          <w:szCs w:val="20"/>
        </w:rPr>
        <w:t>perpetrating</w:t>
      </w:r>
      <w:r w:rsidR="000C1087" w:rsidRPr="000C1087">
        <w:rPr>
          <w:rFonts w:ascii="Arial" w:hAnsi="Arial" w:cs="Arial"/>
          <w:color w:val="000000" w:themeColor="text1"/>
          <w:sz w:val="20"/>
          <w:szCs w:val="20"/>
        </w:rPr>
        <w:t xml:space="preserve"> clinically significant DDIs.</w:t>
      </w:r>
    </w:p>
    <w:p w14:paraId="5E8A3F19" w14:textId="77777777" w:rsidR="009B48B7" w:rsidRDefault="009B48B7" w:rsidP="00062B7A">
      <w:pPr>
        <w:spacing w:after="0" w:line="480" w:lineRule="auto"/>
        <w:jc w:val="both"/>
        <w:rPr>
          <w:rFonts w:ascii="Arial" w:hAnsi="Arial" w:cs="Arial"/>
          <w:color w:val="000000" w:themeColor="text1"/>
          <w:sz w:val="20"/>
          <w:szCs w:val="20"/>
        </w:rPr>
      </w:pPr>
    </w:p>
    <w:p w14:paraId="7E404B63" w14:textId="09B03186" w:rsidR="00D07501" w:rsidRPr="000C1087" w:rsidRDefault="00015343" w:rsidP="00062B7A">
      <w:pPr>
        <w:spacing w:after="0" w:line="480" w:lineRule="auto"/>
        <w:jc w:val="both"/>
        <w:rPr>
          <w:rFonts w:ascii="Arial" w:hAnsi="Arial" w:cs="Arial"/>
          <w:color w:val="000000" w:themeColor="text1"/>
          <w:sz w:val="20"/>
          <w:szCs w:val="20"/>
        </w:rPr>
      </w:pPr>
      <w:r>
        <w:rPr>
          <w:rFonts w:ascii="Arial" w:hAnsi="Arial" w:cs="Arial"/>
          <w:color w:val="000000" w:themeColor="text1"/>
          <w:sz w:val="20"/>
          <w:szCs w:val="20"/>
        </w:rPr>
        <w:t>W</w:t>
      </w:r>
      <w:r w:rsidR="002A33C3">
        <w:rPr>
          <w:rFonts w:ascii="Arial" w:hAnsi="Arial" w:cs="Arial"/>
          <w:color w:val="000000" w:themeColor="text1"/>
          <w:sz w:val="20"/>
          <w:szCs w:val="20"/>
        </w:rPr>
        <w:t xml:space="preserve">ith the concomitant administration of erlotinib or nilotinib, </w:t>
      </w:r>
      <w:r w:rsidR="00D21C6A" w:rsidRPr="00D21C6A">
        <w:rPr>
          <w:rFonts w:ascii="Arial" w:hAnsi="Arial" w:cs="Arial"/>
          <w:color w:val="000000" w:themeColor="text1"/>
          <w:sz w:val="20"/>
          <w:szCs w:val="20"/>
        </w:rPr>
        <w:t xml:space="preserve">decreasing the dose of rivaroxaban to 15 mg </w:t>
      </w:r>
      <w:r w:rsidR="00791FFD">
        <w:rPr>
          <w:rFonts w:ascii="Arial" w:hAnsi="Arial" w:cs="Arial"/>
          <w:color w:val="000000" w:themeColor="text1"/>
          <w:sz w:val="20"/>
          <w:szCs w:val="20"/>
        </w:rPr>
        <w:t xml:space="preserve">and </w:t>
      </w:r>
      <w:r w:rsidR="00D21C6A" w:rsidRPr="00D21C6A">
        <w:rPr>
          <w:rFonts w:ascii="Arial" w:hAnsi="Arial" w:cs="Arial"/>
          <w:color w:val="000000" w:themeColor="text1"/>
          <w:sz w:val="20"/>
          <w:szCs w:val="20"/>
        </w:rPr>
        <w:t xml:space="preserve">10 mg </w:t>
      </w:r>
      <w:r w:rsidR="00791FFD">
        <w:rPr>
          <w:rFonts w:ascii="Arial" w:hAnsi="Arial" w:cs="Arial"/>
          <w:color w:val="000000" w:themeColor="text1"/>
          <w:sz w:val="20"/>
          <w:szCs w:val="20"/>
        </w:rPr>
        <w:t xml:space="preserve">in </w:t>
      </w:r>
      <w:r w:rsidR="00B40ECA">
        <w:rPr>
          <w:rFonts w:ascii="Arial" w:hAnsi="Arial" w:cs="Arial"/>
          <w:color w:val="000000" w:themeColor="text1"/>
          <w:sz w:val="20"/>
          <w:szCs w:val="20"/>
        </w:rPr>
        <w:t xml:space="preserve">normal renal function and mild renal impairment respectively </w:t>
      </w:r>
      <w:r w:rsidR="00D21C6A" w:rsidRPr="00D21C6A">
        <w:rPr>
          <w:rFonts w:ascii="Arial" w:hAnsi="Arial" w:cs="Arial"/>
          <w:color w:val="000000" w:themeColor="text1"/>
          <w:sz w:val="20"/>
          <w:szCs w:val="20"/>
        </w:rPr>
        <w:t>would sufficiently mitigate the risks of bleeding to below 4.5%</w:t>
      </w:r>
      <w:r w:rsidR="00B40ECA">
        <w:rPr>
          <w:rFonts w:ascii="Arial" w:hAnsi="Arial" w:cs="Arial"/>
          <w:color w:val="000000" w:themeColor="text1"/>
          <w:sz w:val="20"/>
          <w:szCs w:val="20"/>
        </w:rPr>
        <w:t xml:space="preserve"> (</w:t>
      </w:r>
      <w:r w:rsidR="00B40ECA" w:rsidRPr="00B40ECA">
        <w:rPr>
          <w:rFonts w:ascii="Arial" w:hAnsi="Arial" w:cs="Arial"/>
          <w:b/>
          <w:bCs/>
          <w:color w:val="000000" w:themeColor="text1"/>
          <w:sz w:val="20"/>
          <w:szCs w:val="20"/>
        </w:rPr>
        <w:t>Figures 5B</w:t>
      </w:r>
      <w:r w:rsidR="00B40ECA">
        <w:rPr>
          <w:rFonts w:ascii="Arial" w:hAnsi="Arial" w:cs="Arial"/>
          <w:color w:val="000000" w:themeColor="text1"/>
          <w:sz w:val="20"/>
          <w:szCs w:val="20"/>
        </w:rPr>
        <w:t xml:space="preserve"> and </w:t>
      </w:r>
      <w:r w:rsidR="00B40ECA" w:rsidRPr="00B40ECA">
        <w:rPr>
          <w:rFonts w:ascii="Arial" w:hAnsi="Arial" w:cs="Arial"/>
          <w:b/>
          <w:bCs/>
          <w:color w:val="000000" w:themeColor="text1"/>
          <w:sz w:val="20"/>
          <w:szCs w:val="20"/>
        </w:rPr>
        <w:t>5C</w:t>
      </w:r>
      <w:r w:rsidR="00B40ECA">
        <w:rPr>
          <w:rFonts w:ascii="Arial" w:hAnsi="Arial" w:cs="Arial"/>
          <w:color w:val="000000" w:themeColor="text1"/>
          <w:sz w:val="20"/>
          <w:szCs w:val="20"/>
        </w:rPr>
        <w:t>)</w:t>
      </w:r>
      <w:r>
        <w:rPr>
          <w:rFonts w:ascii="Arial" w:hAnsi="Arial" w:cs="Arial"/>
          <w:color w:val="000000" w:themeColor="text1"/>
          <w:sz w:val="20"/>
          <w:szCs w:val="20"/>
        </w:rPr>
        <w:t>.</w:t>
      </w:r>
      <w:r w:rsidR="00D21C6A" w:rsidRPr="00D21C6A">
        <w:rPr>
          <w:rFonts w:ascii="Arial" w:hAnsi="Arial" w:cs="Arial"/>
          <w:color w:val="000000" w:themeColor="text1"/>
          <w:sz w:val="20"/>
          <w:szCs w:val="20"/>
        </w:rPr>
        <w:t xml:space="preserve"> As highlighted in </w:t>
      </w:r>
      <w:r w:rsidR="00D21C6A" w:rsidRPr="00DA548C">
        <w:rPr>
          <w:rFonts w:ascii="Arial" w:hAnsi="Arial" w:cs="Arial"/>
          <w:b/>
          <w:bCs/>
          <w:color w:val="000000" w:themeColor="text1"/>
          <w:sz w:val="20"/>
          <w:szCs w:val="20"/>
        </w:rPr>
        <w:t xml:space="preserve">Figure </w:t>
      </w:r>
      <w:r w:rsidR="007A5905" w:rsidRPr="00DA548C">
        <w:rPr>
          <w:rFonts w:ascii="Arial" w:hAnsi="Arial" w:cs="Arial"/>
          <w:b/>
          <w:bCs/>
          <w:color w:val="000000" w:themeColor="text1"/>
          <w:sz w:val="20"/>
          <w:szCs w:val="20"/>
        </w:rPr>
        <w:t>5A</w:t>
      </w:r>
      <w:r w:rsidR="00D21C6A" w:rsidRPr="00D21C6A">
        <w:rPr>
          <w:rFonts w:ascii="Arial" w:hAnsi="Arial" w:cs="Arial"/>
          <w:color w:val="000000" w:themeColor="text1"/>
          <w:sz w:val="20"/>
          <w:szCs w:val="20"/>
        </w:rPr>
        <w:t>, AUC-fold changes continued to fall within the range of dose-exposure equivalence.</w:t>
      </w:r>
      <w:r w:rsidR="007A5905">
        <w:rPr>
          <w:rFonts w:ascii="Arial" w:hAnsi="Arial" w:cs="Arial"/>
          <w:color w:val="000000" w:themeColor="text1"/>
          <w:sz w:val="20"/>
          <w:szCs w:val="20"/>
        </w:rPr>
        <w:t xml:space="preserve"> </w:t>
      </w:r>
      <w:r w:rsidR="00301389" w:rsidRPr="00301389">
        <w:rPr>
          <w:rFonts w:ascii="Arial" w:hAnsi="Arial" w:cs="Arial"/>
          <w:color w:val="000000" w:themeColor="text1"/>
          <w:sz w:val="20"/>
          <w:szCs w:val="20"/>
        </w:rPr>
        <w:t xml:space="preserve">Ismail </w:t>
      </w:r>
      <w:r w:rsidR="00301389" w:rsidRPr="00301389">
        <w:rPr>
          <w:rFonts w:ascii="Arial" w:hAnsi="Arial" w:cs="Arial"/>
          <w:i/>
          <w:iCs/>
          <w:color w:val="000000" w:themeColor="text1"/>
          <w:sz w:val="20"/>
          <w:szCs w:val="20"/>
        </w:rPr>
        <w:t>et al.</w:t>
      </w:r>
      <w:r w:rsidR="00301389" w:rsidRPr="00301389">
        <w:rPr>
          <w:rFonts w:ascii="Arial" w:hAnsi="Arial" w:cs="Arial"/>
          <w:color w:val="000000" w:themeColor="text1"/>
          <w:sz w:val="20"/>
          <w:szCs w:val="20"/>
        </w:rPr>
        <w:t xml:space="preserve"> </w:t>
      </w:r>
      <w:r w:rsidR="00301389">
        <w:rPr>
          <w:rFonts w:ascii="Arial" w:hAnsi="Arial" w:cs="Arial"/>
          <w:color w:val="000000" w:themeColor="text1"/>
          <w:sz w:val="20"/>
          <w:szCs w:val="20"/>
        </w:rPr>
        <w:t xml:space="preserve">previously </w:t>
      </w:r>
      <w:r w:rsidR="00301389" w:rsidRPr="00301389">
        <w:rPr>
          <w:rFonts w:ascii="Arial" w:hAnsi="Arial" w:cs="Arial"/>
          <w:color w:val="000000" w:themeColor="text1"/>
          <w:sz w:val="20"/>
          <w:szCs w:val="20"/>
        </w:rPr>
        <w:t>showed that for 90% of simulated patients to have a bleeding risk below 4.5%, the dose of rivaroxaba</w:t>
      </w:r>
      <w:r w:rsidR="00350D5A">
        <w:rPr>
          <w:rFonts w:ascii="Arial" w:hAnsi="Arial" w:cs="Arial"/>
          <w:color w:val="000000" w:themeColor="text1"/>
          <w:sz w:val="20"/>
          <w:szCs w:val="20"/>
        </w:rPr>
        <w:t xml:space="preserve">n in the </w:t>
      </w:r>
      <w:r w:rsidR="00301389" w:rsidRPr="00301389">
        <w:rPr>
          <w:rFonts w:ascii="Arial" w:hAnsi="Arial" w:cs="Arial"/>
          <w:color w:val="000000" w:themeColor="text1"/>
          <w:sz w:val="20"/>
          <w:szCs w:val="20"/>
        </w:rPr>
        <w:t>presence of verapamil should be reduced to 10 mg regardless of renal impairment</w:t>
      </w:r>
      <w:r w:rsidR="00927BB2">
        <w:rPr>
          <w:rFonts w:ascii="Arial" w:hAnsi="Arial" w:cs="Arial"/>
          <w:color w:val="000000" w:themeColor="text1"/>
          <w:sz w:val="20"/>
          <w:szCs w:val="20"/>
        </w:rPr>
        <w:t>.</w:t>
      </w:r>
      <w:r w:rsidR="00520AD6">
        <w:rPr>
          <w:rFonts w:ascii="Arial" w:hAnsi="Arial" w:cs="Arial"/>
          <w:color w:val="000000" w:themeColor="text1"/>
          <w:sz w:val="20"/>
          <w:szCs w:val="20"/>
        </w:rPr>
        <w:fldChar w:fldCharType="begin" w:fldLock="1"/>
      </w:r>
      <w:r w:rsidR="002B7F49">
        <w:rPr>
          <w:rFonts w:ascii="Arial" w:hAnsi="Arial" w:cs="Arial"/>
          <w:color w:val="000000" w:themeColor="text1"/>
          <w:sz w:val="20"/>
          <w:szCs w:val="20"/>
        </w:rPr>
        <w:instrText>ADDIN CSL_CITATION {"citationItems":[{"id":"ITEM-1","itemData":{"DOI":"10.1002/jcph.1044","ISBN":"1552-4604 (Electronic)\r0091-2700 (Linking)","ISSN":"15524604","PMID":"29239000","abstract":"Current dosing recommendations for rivaroxaban advocate dosage reduction in patients with moderate to severe renal impairment and avoidance of concomitant strong inhibitors of CYP3A or P-glycoprotein. However, rivaroxaban dosing in patients with mild renal impairment taking concomitant moderate inhibitors of CYP3A and P-glycoprotein is not addressed. To quantify the impacts of concomitant verapamil administration and renal impairment on rivaroxaban pharmacokinetics, a minimal physiologically based pharmacokinetic model system was developed and used to evaluate potential increases in rivaroxaban exposure and the consequent increase in risk of major bleeding. Data from a phase 1, drug-drug interaction study were used to qualify the minimal physiologically based pharmacokinetic model system. Model-based simulations indicate that coadministration of rivaroxaban with verapamil substantially increases rivaroxaban exposure across all renal function categories, resulting in an exponential increase in bleeding risk. Reduction of the daily rivaroxaban dose to 10 to 15 mg reduces the major bleeding risk below the designated 4.5% threshold in the majority of patients with normal or mildly impaired renal function. A reduction to 10 mg daily in patients with moderate to severe renal impairment provides additional risk reduction so that 90% of those patients fall below the 4.5% threshold. A risk threshold of 4.5% was selected because it is the median predicted risk in patients treated concomitantly with ketoconazole, which is contraindicated for use with rivaroxaban. Patients taking both rivaroxaban and verapamil should take a reduced daily dose of rivaroxaban to minimize bleeding risk.","author":[{"dropping-particle":"","family":"Ismail","given":"Mohamed","non-dropping-particle":"","parse-names":false,"suffix":""},{"dropping-particle":"","family":"Lee","given":"Vincent H.","non-dropping-particle":"","parse-names":false,"suffix":""},{"dropping-particle":"","family":"Chow","given":"Christina R.","non-dropping-particle":"","parse-names":false,"suffix":""},{"dropping-particle":"","family":"Rubino","given":"Christopher M.","non-dropping-particle":"","parse-names":false,"suffix":""}],"container-title":"Journal of Clinical Pharmacology","id":"ITEM-1","issue":"4","issued":{"date-parts":[["2018"]]},"page":"541-548","title":"Minimal Physiologically Based Pharmacokinetic and Drug-Drug-Disease Interaction Model of Rivaroxaban and Verapamil in Healthy and Renally Impaired Subjects","type":"article-journal","volume":"58"},"uris":["http://www.mendeley.com/documents/?uuid=adfe7b23-fcfe-4293-b30b-0ad5af883773"]}],"mendeley":{"formattedCitation":"&lt;sup&gt;10&lt;/sup&gt;","plainTextFormattedCitation":"10","previouslyFormattedCitation":"&lt;sup&gt;10&lt;/sup&gt;"},"properties":{"noteIndex":0},"schema":"https://github.com/citation-style-language/schema/raw/master/csl-citation.json"}</w:instrText>
      </w:r>
      <w:r w:rsidR="00520AD6">
        <w:rPr>
          <w:rFonts w:ascii="Arial" w:hAnsi="Arial" w:cs="Arial"/>
          <w:color w:val="000000" w:themeColor="text1"/>
          <w:sz w:val="20"/>
          <w:szCs w:val="20"/>
        </w:rPr>
        <w:fldChar w:fldCharType="separate"/>
      </w:r>
      <w:r w:rsidR="00520AD6" w:rsidRPr="00520AD6">
        <w:rPr>
          <w:rFonts w:ascii="Arial" w:hAnsi="Arial" w:cs="Arial"/>
          <w:noProof/>
          <w:color w:val="000000" w:themeColor="text1"/>
          <w:sz w:val="20"/>
          <w:szCs w:val="20"/>
          <w:vertAlign w:val="superscript"/>
        </w:rPr>
        <w:t>10</w:t>
      </w:r>
      <w:r w:rsidR="00520AD6">
        <w:rPr>
          <w:rFonts w:ascii="Arial" w:hAnsi="Arial" w:cs="Arial"/>
          <w:color w:val="000000" w:themeColor="text1"/>
          <w:sz w:val="20"/>
          <w:szCs w:val="20"/>
        </w:rPr>
        <w:fldChar w:fldCharType="end"/>
      </w:r>
      <w:r w:rsidR="00927BB2">
        <w:rPr>
          <w:rFonts w:ascii="Arial" w:hAnsi="Arial" w:cs="Arial"/>
          <w:color w:val="000000" w:themeColor="text1"/>
          <w:sz w:val="20"/>
          <w:szCs w:val="20"/>
        </w:rPr>
        <w:t xml:space="preserve"> </w:t>
      </w:r>
      <w:r w:rsidR="004A65F9">
        <w:rPr>
          <w:rFonts w:ascii="Arial" w:hAnsi="Arial" w:cs="Arial"/>
          <w:color w:val="000000" w:themeColor="text1"/>
          <w:sz w:val="20"/>
          <w:szCs w:val="20"/>
        </w:rPr>
        <w:t xml:space="preserve">However, </w:t>
      </w:r>
      <w:r w:rsidR="00CE2C87" w:rsidRPr="00CE2C87">
        <w:rPr>
          <w:rFonts w:ascii="Arial" w:hAnsi="Arial" w:cs="Arial"/>
          <w:color w:val="000000" w:themeColor="text1"/>
          <w:sz w:val="20"/>
          <w:szCs w:val="20"/>
        </w:rPr>
        <w:t>our simulations showed how dose reductions to 10 mg of rivaroxaban produced an AUC fold change of 0.70 (90% CI: 0.66 to 0.79), which falls outside the acceptable dose equivalence range</w:t>
      </w:r>
      <w:r>
        <w:rPr>
          <w:rFonts w:ascii="Arial" w:hAnsi="Arial" w:cs="Arial"/>
          <w:color w:val="000000" w:themeColor="text1"/>
          <w:sz w:val="20"/>
          <w:szCs w:val="20"/>
        </w:rPr>
        <w:t xml:space="preserve"> (</w:t>
      </w:r>
      <w:r w:rsidRPr="00015343">
        <w:rPr>
          <w:rFonts w:ascii="Arial" w:hAnsi="Arial" w:cs="Arial"/>
          <w:b/>
          <w:bCs/>
          <w:color w:val="000000" w:themeColor="text1"/>
          <w:sz w:val="20"/>
          <w:szCs w:val="20"/>
        </w:rPr>
        <w:t>Figure S6</w:t>
      </w:r>
      <w:r>
        <w:rPr>
          <w:rFonts w:ascii="Arial" w:hAnsi="Arial" w:cs="Arial"/>
          <w:color w:val="000000" w:themeColor="text1"/>
          <w:sz w:val="20"/>
          <w:szCs w:val="20"/>
        </w:rPr>
        <w:t>)</w:t>
      </w:r>
      <w:r w:rsidR="00CE2C87" w:rsidRPr="00CE2C87">
        <w:rPr>
          <w:rFonts w:ascii="Arial" w:hAnsi="Arial" w:cs="Arial"/>
          <w:color w:val="000000" w:themeColor="text1"/>
          <w:sz w:val="20"/>
          <w:szCs w:val="20"/>
        </w:rPr>
        <w:t xml:space="preserve">. In contrast, a rivaroxaban dose of 15 mg yielded an AUC ratio of 1.03 (90% CI: 0.96 to 1.14), falling within the range of dose-exposure equivalence. </w:t>
      </w:r>
      <w:r w:rsidR="00520AD6">
        <w:rPr>
          <w:rFonts w:ascii="Arial" w:hAnsi="Arial" w:cs="Arial"/>
          <w:color w:val="000000" w:themeColor="text1"/>
          <w:sz w:val="20"/>
          <w:szCs w:val="20"/>
        </w:rPr>
        <w:t xml:space="preserve">Evidently, </w:t>
      </w:r>
      <w:r w:rsidR="00D07501" w:rsidRPr="00A13C59">
        <w:rPr>
          <w:rFonts w:ascii="Arial" w:hAnsi="Arial" w:cs="Arial"/>
          <w:color w:val="000000" w:themeColor="text1"/>
          <w:sz w:val="20"/>
          <w:szCs w:val="20"/>
        </w:rPr>
        <w:t xml:space="preserve">it is imperative that any attempts to mitigate bleeding risks via systematic dose adjustments must also be accompanied by </w:t>
      </w:r>
      <w:r w:rsidR="00D3578D">
        <w:rPr>
          <w:rFonts w:ascii="Arial" w:hAnsi="Arial" w:cs="Arial"/>
          <w:color w:val="000000" w:themeColor="text1"/>
          <w:sz w:val="20"/>
          <w:szCs w:val="20"/>
        </w:rPr>
        <w:t xml:space="preserve">holistic </w:t>
      </w:r>
      <w:r w:rsidR="00D07501" w:rsidRPr="00A13C59">
        <w:rPr>
          <w:rFonts w:ascii="Arial" w:hAnsi="Arial" w:cs="Arial"/>
          <w:color w:val="000000" w:themeColor="text1"/>
          <w:sz w:val="20"/>
          <w:szCs w:val="20"/>
        </w:rPr>
        <w:t>considerations of potential implications on anticoagulant efficacy. With the availability of both 15 mg and 10 mg formulations, dose reductions should be carefully calibrated based on individual patient’s bleeding risk profile</w:t>
      </w:r>
      <w:r w:rsidR="00D3578D">
        <w:rPr>
          <w:rFonts w:ascii="Arial" w:hAnsi="Arial" w:cs="Arial"/>
          <w:color w:val="000000" w:themeColor="text1"/>
          <w:sz w:val="20"/>
          <w:szCs w:val="20"/>
        </w:rPr>
        <w:t xml:space="preserve">. </w:t>
      </w:r>
    </w:p>
    <w:p w14:paraId="75A4EF47" w14:textId="77777777" w:rsidR="009B48B7" w:rsidRDefault="009B48B7" w:rsidP="00062B7A">
      <w:pPr>
        <w:spacing w:after="0" w:line="480" w:lineRule="auto"/>
        <w:jc w:val="both"/>
        <w:rPr>
          <w:rFonts w:ascii="Arial" w:hAnsi="Arial" w:cs="Arial"/>
          <w:sz w:val="20"/>
          <w:szCs w:val="20"/>
        </w:rPr>
      </w:pPr>
    </w:p>
    <w:p w14:paraId="393F4A01" w14:textId="0DA021C0" w:rsidR="000C1087" w:rsidRPr="000C1087" w:rsidRDefault="000C1087" w:rsidP="00062B7A">
      <w:pPr>
        <w:spacing w:after="0" w:line="480" w:lineRule="auto"/>
        <w:jc w:val="both"/>
        <w:rPr>
          <w:rFonts w:ascii="Arial" w:hAnsi="Arial" w:cs="Arial"/>
          <w:sz w:val="20"/>
          <w:szCs w:val="20"/>
        </w:rPr>
      </w:pPr>
      <w:r w:rsidRPr="000C1087">
        <w:rPr>
          <w:rFonts w:ascii="Arial" w:hAnsi="Arial" w:cs="Arial"/>
          <w:sz w:val="20"/>
          <w:szCs w:val="20"/>
        </w:rPr>
        <w:t xml:space="preserve">In conclusion, </w:t>
      </w:r>
      <w:r w:rsidR="00AA4136">
        <w:rPr>
          <w:rFonts w:ascii="Arial" w:hAnsi="Arial" w:cs="Arial"/>
          <w:sz w:val="20"/>
          <w:szCs w:val="20"/>
        </w:rPr>
        <w:t>we</w:t>
      </w:r>
      <w:r w:rsidRPr="000C1087">
        <w:rPr>
          <w:rFonts w:ascii="Arial" w:hAnsi="Arial" w:cs="Arial"/>
          <w:sz w:val="20"/>
          <w:szCs w:val="20"/>
        </w:rPr>
        <w:t xml:space="preserve"> presented a case study of rivaroxaban in CA-VTE, where the safety of anticoagulation therapy could be undermined with administration of the conventional 20 mg daily dose due to the presence of DDDIs. We established the utility of applying a verified PBPK-DDI platform to the </w:t>
      </w:r>
      <w:r w:rsidRPr="000C1087">
        <w:rPr>
          <w:rFonts w:ascii="Arial" w:hAnsi="Arial" w:cs="Arial"/>
          <w:sz w:val="20"/>
          <w:szCs w:val="20"/>
        </w:rPr>
        <w:lastRenderedPageBreak/>
        <w:t xml:space="preserve">prospective interrogation and management of clinically relevant, albeit untested interactions between rivaroxaban and PKIs, in patients with underlying renal impairment. </w:t>
      </w:r>
      <w:r w:rsidRPr="000C1087">
        <w:rPr>
          <w:rFonts w:ascii="Arial" w:hAnsi="Arial" w:cs="Arial"/>
          <w:color w:val="000000" w:themeColor="text1"/>
          <w:sz w:val="20"/>
          <w:szCs w:val="20"/>
        </w:rPr>
        <w:t xml:space="preserve">Rational dose adjustments were proposed, attesting to the capacity of PBPK modelling in facilitating </w:t>
      </w:r>
      <w:r w:rsidR="00F94152">
        <w:rPr>
          <w:rFonts w:ascii="Arial" w:hAnsi="Arial" w:cs="Arial"/>
          <w:color w:val="000000" w:themeColor="text1"/>
          <w:sz w:val="20"/>
          <w:szCs w:val="20"/>
        </w:rPr>
        <w:t>precision medicine</w:t>
      </w:r>
      <w:r w:rsidRPr="000C1087">
        <w:rPr>
          <w:rFonts w:ascii="Arial" w:hAnsi="Arial" w:cs="Arial"/>
          <w:color w:val="000000" w:themeColor="text1"/>
          <w:sz w:val="20"/>
          <w:szCs w:val="20"/>
        </w:rPr>
        <w:t>.</w:t>
      </w:r>
    </w:p>
    <w:p w14:paraId="4C06C97A" w14:textId="77777777" w:rsidR="000C1087" w:rsidRPr="000C1087" w:rsidRDefault="000C1087" w:rsidP="00062B7A">
      <w:pPr>
        <w:spacing w:after="0" w:line="480" w:lineRule="auto"/>
        <w:jc w:val="both"/>
        <w:rPr>
          <w:rFonts w:ascii="Arial" w:hAnsi="Arial" w:cs="Arial"/>
          <w:sz w:val="20"/>
          <w:szCs w:val="20"/>
        </w:rPr>
      </w:pPr>
    </w:p>
    <w:p w14:paraId="3B6C213E" w14:textId="77777777" w:rsidR="000C1087" w:rsidRPr="000C1087" w:rsidRDefault="000C1087" w:rsidP="00062B7A">
      <w:pPr>
        <w:spacing w:after="0" w:line="480" w:lineRule="auto"/>
        <w:jc w:val="both"/>
        <w:rPr>
          <w:rFonts w:ascii="Arial" w:hAnsi="Arial" w:cs="Arial"/>
          <w:sz w:val="20"/>
          <w:szCs w:val="20"/>
        </w:rPr>
      </w:pPr>
    </w:p>
    <w:p w14:paraId="76D4E639" w14:textId="77777777" w:rsidR="000C1087" w:rsidRPr="000C1087" w:rsidRDefault="000C1087" w:rsidP="00062B7A">
      <w:pPr>
        <w:spacing w:after="0" w:line="480" w:lineRule="auto"/>
        <w:jc w:val="both"/>
        <w:rPr>
          <w:rFonts w:ascii="Arial" w:hAnsi="Arial" w:cs="Arial"/>
          <w:sz w:val="20"/>
          <w:szCs w:val="20"/>
        </w:rPr>
      </w:pPr>
    </w:p>
    <w:p w14:paraId="52FF9A37" w14:textId="77777777" w:rsidR="00AE44A5" w:rsidRPr="00C016DD" w:rsidRDefault="00AE44A5" w:rsidP="00062B7A">
      <w:pPr>
        <w:spacing w:after="0" w:line="480" w:lineRule="auto"/>
        <w:contextualSpacing/>
        <w:rPr>
          <w:rFonts w:ascii="Arial" w:hAnsi="Arial" w:cs="Arial"/>
          <w:b/>
          <w:sz w:val="20"/>
          <w:szCs w:val="20"/>
        </w:rPr>
        <w:sectPr w:rsidR="00AE44A5" w:rsidRPr="00C016DD" w:rsidSect="003E4C0D">
          <w:headerReference w:type="default" r:id="rId16"/>
          <w:footerReference w:type="default" r:id="rId17"/>
          <w:pgSz w:w="11906" w:h="16838"/>
          <w:pgMar w:top="1440" w:right="1440" w:bottom="1440" w:left="1440" w:header="708" w:footer="708" w:gutter="0"/>
          <w:cols w:space="708"/>
          <w:docGrid w:linePitch="360"/>
        </w:sectPr>
      </w:pPr>
    </w:p>
    <w:p w14:paraId="74FE3CB4" w14:textId="6F42D1BD" w:rsidR="00277299" w:rsidRPr="00C016DD" w:rsidRDefault="00277299" w:rsidP="00062B7A">
      <w:pPr>
        <w:spacing w:after="0" w:line="480" w:lineRule="auto"/>
        <w:rPr>
          <w:rFonts w:ascii="Arial" w:hAnsi="Arial" w:cs="Arial"/>
          <w:b/>
          <w:sz w:val="20"/>
          <w:szCs w:val="20"/>
        </w:rPr>
      </w:pPr>
      <w:r w:rsidRPr="00C016DD">
        <w:rPr>
          <w:rFonts w:ascii="Arial" w:hAnsi="Arial" w:cs="Arial"/>
          <w:b/>
          <w:sz w:val="20"/>
          <w:szCs w:val="20"/>
        </w:rPr>
        <w:lastRenderedPageBreak/>
        <w:t>Acknowledgements</w:t>
      </w:r>
    </w:p>
    <w:p w14:paraId="7CF4A67E" w14:textId="112FE0DE" w:rsidR="002E40F3" w:rsidRPr="00232AA5" w:rsidRDefault="00232AA5" w:rsidP="00062B7A">
      <w:pPr>
        <w:spacing w:after="0" w:line="480" w:lineRule="auto"/>
        <w:jc w:val="both"/>
        <w:rPr>
          <w:rFonts w:ascii="Arial" w:eastAsia="Calibri" w:hAnsi="Arial" w:cs="Arial"/>
          <w:sz w:val="20"/>
          <w:szCs w:val="20"/>
          <w:lang w:val="en-SG" w:eastAsia="en-US"/>
        </w:rPr>
      </w:pPr>
      <w:r w:rsidRPr="00232AA5">
        <w:rPr>
          <w:rFonts w:ascii="Arial" w:eastAsia="Calibri" w:hAnsi="Arial" w:cs="Arial"/>
          <w:sz w:val="20"/>
          <w:szCs w:val="20"/>
          <w:lang w:val="en-SG" w:eastAsia="en-US"/>
        </w:rPr>
        <w:t>The authors thank Dr. Kathleen Giacomini (University of California, San</w:t>
      </w:r>
      <w:r>
        <w:rPr>
          <w:rFonts w:ascii="Arial" w:eastAsia="Calibri" w:hAnsi="Arial" w:cs="Arial"/>
          <w:sz w:val="20"/>
          <w:szCs w:val="20"/>
          <w:lang w:val="en-SG" w:eastAsia="en-US"/>
        </w:rPr>
        <w:t xml:space="preserve"> </w:t>
      </w:r>
      <w:r w:rsidRPr="00232AA5">
        <w:rPr>
          <w:rFonts w:ascii="Arial" w:eastAsia="Calibri" w:hAnsi="Arial" w:cs="Arial"/>
          <w:sz w:val="20"/>
          <w:szCs w:val="20"/>
          <w:lang w:val="en-SG" w:eastAsia="en-US"/>
        </w:rPr>
        <w:t>Francisco, CA) for the kind donation of the human OAT3-transfected human embryonic kidney cell lines</w:t>
      </w:r>
      <w:r>
        <w:rPr>
          <w:rFonts w:ascii="Arial" w:eastAsia="Calibri" w:hAnsi="Arial" w:cs="Arial"/>
          <w:sz w:val="20"/>
          <w:szCs w:val="20"/>
          <w:lang w:val="en-SG" w:eastAsia="en-US"/>
        </w:rPr>
        <w:t>.</w:t>
      </w:r>
    </w:p>
    <w:p w14:paraId="1E66C2DB" w14:textId="674E0A92" w:rsidR="00277299" w:rsidRPr="00C016DD" w:rsidRDefault="00277299" w:rsidP="00062B7A">
      <w:pPr>
        <w:spacing w:after="0" w:line="480" w:lineRule="auto"/>
        <w:jc w:val="both"/>
        <w:rPr>
          <w:rFonts w:ascii="Arial" w:hAnsi="Arial" w:cs="Arial"/>
          <w:b/>
          <w:sz w:val="20"/>
          <w:szCs w:val="20"/>
          <w:lang w:val="en-SG"/>
        </w:rPr>
      </w:pPr>
    </w:p>
    <w:p w14:paraId="37F87A07" w14:textId="526E231A" w:rsidR="00277299" w:rsidRPr="00C016DD" w:rsidRDefault="00277299" w:rsidP="00062B7A">
      <w:pPr>
        <w:spacing w:after="0" w:line="480" w:lineRule="auto"/>
        <w:jc w:val="both"/>
        <w:rPr>
          <w:rFonts w:ascii="Arial" w:hAnsi="Arial" w:cs="Arial"/>
          <w:b/>
          <w:sz w:val="20"/>
          <w:szCs w:val="20"/>
          <w:lang w:val="en-SG"/>
        </w:rPr>
      </w:pPr>
    </w:p>
    <w:p w14:paraId="66457E00" w14:textId="12FFB2E0" w:rsidR="00277299" w:rsidRPr="00C016DD" w:rsidRDefault="00277299" w:rsidP="00062B7A">
      <w:pPr>
        <w:spacing w:after="0" w:line="480" w:lineRule="auto"/>
        <w:jc w:val="both"/>
        <w:rPr>
          <w:rFonts w:ascii="Arial" w:hAnsi="Arial" w:cs="Arial"/>
          <w:b/>
          <w:sz w:val="20"/>
          <w:szCs w:val="20"/>
          <w:lang w:val="en-SG"/>
        </w:rPr>
      </w:pPr>
    </w:p>
    <w:p w14:paraId="767DEBED" w14:textId="57D0D7E9" w:rsidR="00277299" w:rsidRPr="00C016DD" w:rsidRDefault="00277299" w:rsidP="00366AD2">
      <w:pPr>
        <w:spacing w:after="0" w:line="360" w:lineRule="auto"/>
        <w:jc w:val="both"/>
        <w:rPr>
          <w:rFonts w:ascii="Arial" w:hAnsi="Arial" w:cs="Arial"/>
          <w:b/>
          <w:sz w:val="20"/>
          <w:szCs w:val="20"/>
          <w:lang w:val="en-SG"/>
        </w:rPr>
      </w:pPr>
    </w:p>
    <w:p w14:paraId="01F7E662" w14:textId="1E4DDDD3" w:rsidR="00277299" w:rsidRPr="00C016DD" w:rsidRDefault="00277299" w:rsidP="00366AD2">
      <w:pPr>
        <w:spacing w:after="0" w:line="360" w:lineRule="auto"/>
        <w:jc w:val="both"/>
        <w:rPr>
          <w:rFonts w:ascii="Arial" w:hAnsi="Arial" w:cs="Arial"/>
          <w:b/>
          <w:sz w:val="20"/>
          <w:szCs w:val="20"/>
          <w:lang w:val="en-SG"/>
        </w:rPr>
      </w:pPr>
    </w:p>
    <w:p w14:paraId="2C439F2E" w14:textId="393E62AE" w:rsidR="00277299" w:rsidRPr="00C016DD" w:rsidRDefault="00277299" w:rsidP="00366AD2">
      <w:pPr>
        <w:spacing w:after="0" w:line="360" w:lineRule="auto"/>
        <w:jc w:val="both"/>
        <w:rPr>
          <w:rFonts w:ascii="Arial" w:hAnsi="Arial" w:cs="Arial"/>
          <w:b/>
          <w:sz w:val="20"/>
          <w:szCs w:val="20"/>
          <w:lang w:val="en-SG"/>
        </w:rPr>
      </w:pPr>
    </w:p>
    <w:p w14:paraId="295C852E" w14:textId="5D6DF2A0" w:rsidR="00277299" w:rsidRPr="00C016DD" w:rsidRDefault="00277299" w:rsidP="00366AD2">
      <w:pPr>
        <w:spacing w:after="0" w:line="360" w:lineRule="auto"/>
        <w:jc w:val="both"/>
        <w:rPr>
          <w:rFonts w:ascii="Arial" w:hAnsi="Arial" w:cs="Arial"/>
          <w:b/>
          <w:sz w:val="20"/>
          <w:szCs w:val="20"/>
          <w:lang w:val="en-SG"/>
        </w:rPr>
      </w:pPr>
    </w:p>
    <w:p w14:paraId="5E01D7D0" w14:textId="07C131CA" w:rsidR="00277299" w:rsidRPr="00C016DD" w:rsidRDefault="00277299" w:rsidP="00366AD2">
      <w:pPr>
        <w:spacing w:after="0" w:line="360" w:lineRule="auto"/>
        <w:jc w:val="both"/>
        <w:rPr>
          <w:rFonts w:ascii="Arial" w:hAnsi="Arial" w:cs="Arial"/>
          <w:b/>
          <w:sz w:val="20"/>
          <w:szCs w:val="20"/>
          <w:lang w:val="en-SG"/>
        </w:rPr>
      </w:pPr>
    </w:p>
    <w:p w14:paraId="199FC317" w14:textId="210BFF62" w:rsidR="00277299" w:rsidRPr="00C016DD" w:rsidRDefault="00277299" w:rsidP="00366AD2">
      <w:pPr>
        <w:spacing w:after="0" w:line="360" w:lineRule="auto"/>
        <w:jc w:val="both"/>
        <w:rPr>
          <w:rFonts w:ascii="Arial" w:hAnsi="Arial" w:cs="Arial"/>
          <w:b/>
          <w:sz w:val="20"/>
          <w:szCs w:val="20"/>
          <w:lang w:val="en-SG"/>
        </w:rPr>
      </w:pPr>
    </w:p>
    <w:p w14:paraId="645104A7" w14:textId="132C6166" w:rsidR="00277299" w:rsidRPr="00C016DD" w:rsidRDefault="00277299" w:rsidP="00366AD2">
      <w:pPr>
        <w:spacing w:after="0" w:line="360" w:lineRule="auto"/>
        <w:jc w:val="both"/>
        <w:rPr>
          <w:rFonts w:ascii="Arial" w:hAnsi="Arial" w:cs="Arial"/>
          <w:b/>
          <w:sz w:val="20"/>
          <w:szCs w:val="20"/>
          <w:lang w:val="en-SG"/>
        </w:rPr>
      </w:pPr>
    </w:p>
    <w:p w14:paraId="28A13AA8" w14:textId="4C540623" w:rsidR="00277299" w:rsidRPr="00C016DD" w:rsidRDefault="00277299" w:rsidP="00366AD2">
      <w:pPr>
        <w:spacing w:after="0" w:line="360" w:lineRule="auto"/>
        <w:jc w:val="both"/>
        <w:rPr>
          <w:rFonts w:ascii="Arial" w:hAnsi="Arial" w:cs="Arial"/>
          <w:b/>
          <w:sz w:val="20"/>
          <w:szCs w:val="20"/>
          <w:lang w:val="en-SG"/>
        </w:rPr>
      </w:pPr>
    </w:p>
    <w:p w14:paraId="4E7C5504" w14:textId="12D64E4D" w:rsidR="00277299" w:rsidRPr="00C016DD" w:rsidRDefault="00277299" w:rsidP="00366AD2">
      <w:pPr>
        <w:spacing w:after="0" w:line="360" w:lineRule="auto"/>
        <w:jc w:val="both"/>
        <w:rPr>
          <w:rFonts w:ascii="Arial" w:hAnsi="Arial" w:cs="Arial"/>
          <w:b/>
          <w:sz w:val="20"/>
          <w:szCs w:val="20"/>
          <w:lang w:val="en-SG"/>
        </w:rPr>
      </w:pPr>
    </w:p>
    <w:p w14:paraId="42869D44" w14:textId="414C0382" w:rsidR="00277299" w:rsidRPr="00C016DD" w:rsidRDefault="00277299" w:rsidP="00366AD2">
      <w:pPr>
        <w:spacing w:after="0" w:line="360" w:lineRule="auto"/>
        <w:jc w:val="both"/>
        <w:rPr>
          <w:rFonts w:ascii="Arial" w:hAnsi="Arial" w:cs="Arial"/>
          <w:b/>
          <w:sz w:val="20"/>
          <w:szCs w:val="20"/>
          <w:lang w:val="en-SG"/>
        </w:rPr>
      </w:pPr>
    </w:p>
    <w:p w14:paraId="1C2F68D9" w14:textId="61D5FF68" w:rsidR="00277299" w:rsidRPr="00C016DD" w:rsidRDefault="00277299" w:rsidP="00366AD2">
      <w:pPr>
        <w:spacing w:after="0" w:line="360" w:lineRule="auto"/>
        <w:jc w:val="both"/>
        <w:rPr>
          <w:rFonts w:ascii="Arial" w:hAnsi="Arial" w:cs="Arial"/>
          <w:b/>
          <w:sz w:val="20"/>
          <w:szCs w:val="20"/>
          <w:lang w:val="en-SG"/>
        </w:rPr>
      </w:pPr>
    </w:p>
    <w:p w14:paraId="69B429EC" w14:textId="3FB92737" w:rsidR="00277299" w:rsidRPr="00C016DD" w:rsidRDefault="00277299" w:rsidP="00366AD2">
      <w:pPr>
        <w:spacing w:after="0" w:line="360" w:lineRule="auto"/>
        <w:jc w:val="both"/>
        <w:rPr>
          <w:rFonts w:ascii="Arial" w:hAnsi="Arial" w:cs="Arial"/>
          <w:b/>
          <w:sz w:val="20"/>
          <w:szCs w:val="20"/>
          <w:lang w:val="en-SG"/>
        </w:rPr>
      </w:pPr>
    </w:p>
    <w:p w14:paraId="3D2232B6" w14:textId="64003FC4" w:rsidR="00277299" w:rsidRPr="00C016DD" w:rsidRDefault="00277299" w:rsidP="00366AD2">
      <w:pPr>
        <w:spacing w:after="0" w:line="360" w:lineRule="auto"/>
        <w:jc w:val="both"/>
        <w:rPr>
          <w:rFonts w:ascii="Arial" w:hAnsi="Arial" w:cs="Arial"/>
          <w:b/>
          <w:sz w:val="20"/>
          <w:szCs w:val="20"/>
          <w:lang w:val="en-SG"/>
        </w:rPr>
      </w:pPr>
    </w:p>
    <w:p w14:paraId="789B1F43" w14:textId="720B3E1B" w:rsidR="00277299" w:rsidRPr="00C016DD" w:rsidRDefault="00277299" w:rsidP="00366AD2">
      <w:pPr>
        <w:spacing w:after="0" w:line="360" w:lineRule="auto"/>
        <w:jc w:val="both"/>
        <w:rPr>
          <w:rFonts w:ascii="Arial" w:hAnsi="Arial" w:cs="Arial"/>
          <w:b/>
          <w:sz w:val="20"/>
          <w:szCs w:val="20"/>
          <w:lang w:val="en-SG"/>
        </w:rPr>
      </w:pPr>
    </w:p>
    <w:p w14:paraId="345A79E3" w14:textId="0E02B87C" w:rsidR="00277299" w:rsidRPr="00C016DD" w:rsidRDefault="00277299" w:rsidP="00366AD2">
      <w:pPr>
        <w:spacing w:after="0" w:line="360" w:lineRule="auto"/>
        <w:jc w:val="both"/>
        <w:rPr>
          <w:rFonts w:ascii="Arial" w:hAnsi="Arial" w:cs="Arial"/>
          <w:b/>
          <w:sz w:val="20"/>
          <w:szCs w:val="20"/>
          <w:lang w:val="en-SG"/>
        </w:rPr>
      </w:pPr>
    </w:p>
    <w:p w14:paraId="196C174F" w14:textId="62C6F642" w:rsidR="00277299" w:rsidRPr="00C016DD" w:rsidRDefault="00277299" w:rsidP="00366AD2">
      <w:pPr>
        <w:spacing w:after="0" w:line="360" w:lineRule="auto"/>
        <w:jc w:val="both"/>
        <w:rPr>
          <w:rFonts w:ascii="Arial" w:hAnsi="Arial" w:cs="Arial"/>
          <w:b/>
          <w:sz w:val="20"/>
          <w:szCs w:val="20"/>
          <w:lang w:val="en-SG"/>
        </w:rPr>
      </w:pPr>
    </w:p>
    <w:p w14:paraId="05E22389" w14:textId="4F7A0547" w:rsidR="00277299" w:rsidRPr="00C016DD" w:rsidRDefault="00277299" w:rsidP="00366AD2">
      <w:pPr>
        <w:spacing w:after="0" w:line="360" w:lineRule="auto"/>
        <w:jc w:val="both"/>
        <w:rPr>
          <w:rFonts w:ascii="Arial" w:hAnsi="Arial" w:cs="Arial"/>
          <w:b/>
          <w:sz w:val="20"/>
          <w:szCs w:val="20"/>
          <w:lang w:val="en-SG"/>
        </w:rPr>
      </w:pPr>
    </w:p>
    <w:p w14:paraId="17294BB6" w14:textId="264A5392" w:rsidR="00277299" w:rsidRPr="00C016DD" w:rsidRDefault="00277299" w:rsidP="00366AD2">
      <w:pPr>
        <w:spacing w:after="0" w:line="360" w:lineRule="auto"/>
        <w:jc w:val="both"/>
        <w:rPr>
          <w:rFonts w:ascii="Arial" w:hAnsi="Arial" w:cs="Arial"/>
          <w:b/>
          <w:sz w:val="20"/>
          <w:szCs w:val="20"/>
          <w:lang w:val="en-SG"/>
        </w:rPr>
      </w:pPr>
    </w:p>
    <w:p w14:paraId="0C74C256" w14:textId="76501CDA" w:rsidR="00277299" w:rsidRPr="00C016DD" w:rsidRDefault="00277299" w:rsidP="00366AD2">
      <w:pPr>
        <w:spacing w:after="0" w:line="360" w:lineRule="auto"/>
        <w:jc w:val="both"/>
        <w:rPr>
          <w:rFonts w:ascii="Arial" w:hAnsi="Arial" w:cs="Arial"/>
          <w:b/>
          <w:sz w:val="20"/>
          <w:szCs w:val="20"/>
          <w:lang w:val="en-SG"/>
        </w:rPr>
      </w:pPr>
    </w:p>
    <w:p w14:paraId="7A6FDF90" w14:textId="30E087A2" w:rsidR="00277299" w:rsidRPr="00C016DD" w:rsidRDefault="00277299" w:rsidP="00366AD2">
      <w:pPr>
        <w:spacing w:after="0" w:line="360" w:lineRule="auto"/>
        <w:jc w:val="both"/>
        <w:rPr>
          <w:rFonts w:ascii="Arial" w:hAnsi="Arial" w:cs="Arial"/>
          <w:b/>
          <w:sz w:val="20"/>
          <w:szCs w:val="20"/>
          <w:lang w:val="en-SG"/>
        </w:rPr>
      </w:pPr>
    </w:p>
    <w:p w14:paraId="30C0101E" w14:textId="53372690" w:rsidR="00277299" w:rsidRPr="00C016DD" w:rsidRDefault="00277299" w:rsidP="00366AD2">
      <w:pPr>
        <w:spacing w:after="0" w:line="360" w:lineRule="auto"/>
        <w:jc w:val="both"/>
        <w:rPr>
          <w:rFonts w:ascii="Arial" w:hAnsi="Arial" w:cs="Arial"/>
          <w:b/>
          <w:sz w:val="20"/>
          <w:szCs w:val="20"/>
          <w:lang w:val="en-SG"/>
        </w:rPr>
      </w:pPr>
    </w:p>
    <w:p w14:paraId="05CF5016" w14:textId="7D401370" w:rsidR="00277299" w:rsidRPr="00C016DD" w:rsidRDefault="00277299" w:rsidP="00366AD2">
      <w:pPr>
        <w:spacing w:after="0" w:line="360" w:lineRule="auto"/>
        <w:jc w:val="both"/>
        <w:rPr>
          <w:rFonts w:ascii="Arial" w:hAnsi="Arial" w:cs="Arial"/>
          <w:b/>
          <w:sz w:val="20"/>
          <w:szCs w:val="20"/>
          <w:lang w:val="en-SG"/>
        </w:rPr>
      </w:pPr>
    </w:p>
    <w:p w14:paraId="1E36996A" w14:textId="2FA83660" w:rsidR="00277299" w:rsidRPr="00C016DD" w:rsidRDefault="00277299" w:rsidP="00366AD2">
      <w:pPr>
        <w:spacing w:after="0" w:line="360" w:lineRule="auto"/>
        <w:jc w:val="both"/>
        <w:rPr>
          <w:rFonts w:ascii="Arial" w:hAnsi="Arial" w:cs="Arial"/>
          <w:b/>
          <w:sz w:val="20"/>
          <w:szCs w:val="20"/>
          <w:lang w:val="en-SG"/>
        </w:rPr>
      </w:pPr>
    </w:p>
    <w:p w14:paraId="633AC38F" w14:textId="606D381D" w:rsidR="00277299" w:rsidRPr="00C016DD" w:rsidRDefault="00277299" w:rsidP="00366AD2">
      <w:pPr>
        <w:spacing w:after="0" w:line="360" w:lineRule="auto"/>
        <w:jc w:val="both"/>
        <w:rPr>
          <w:rFonts w:ascii="Arial" w:hAnsi="Arial" w:cs="Arial"/>
          <w:b/>
          <w:sz w:val="20"/>
          <w:szCs w:val="20"/>
          <w:lang w:val="en-SG"/>
        </w:rPr>
      </w:pPr>
    </w:p>
    <w:p w14:paraId="590E9157" w14:textId="1EEAAA86" w:rsidR="00277299" w:rsidRPr="00C016DD" w:rsidRDefault="00277299" w:rsidP="00366AD2">
      <w:pPr>
        <w:spacing w:after="0" w:line="360" w:lineRule="auto"/>
        <w:jc w:val="both"/>
        <w:rPr>
          <w:rFonts w:ascii="Arial" w:hAnsi="Arial" w:cs="Arial"/>
          <w:b/>
          <w:sz w:val="20"/>
          <w:szCs w:val="20"/>
          <w:lang w:val="en-SG"/>
        </w:rPr>
      </w:pPr>
    </w:p>
    <w:p w14:paraId="2B9C8A15" w14:textId="2F6A1255" w:rsidR="00277299" w:rsidRPr="00C016DD" w:rsidRDefault="00277299" w:rsidP="00366AD2">
      <w:pPr>
        <w:spacing w:after="0" w:line="360" w:lineRule="auto"/>
        <w:jc w:val="both"/>
        <w:rPr>
          <w:rFonts w:ascii="Arial" w:hAnsi="Arial" w:cs="Arial"/>
          <w:b/>
          <w:sz w:val="20"/>
          <w:szCs w:val="20"/>
          <w:lang w:val="en-SG"/>
        </w:rPr>
      </w:pPr>
    </w:p>
    <w:p w14:paraId="134E2464" w14:textId="37D6DE2E" w:rsidR="00277299" w:rsidRPr="00C016DD" w:rsidRDefault="00277299" w:rsidP="00366AD2">
      <w:pPr>
        <w:spacing w:after="0" w:line="360" w:lineRule="auto"/>
        <w:jc w:val="both"/>
        <w:rPr>
          <w:rFonts w:ascii="Arial" w:hAnsi="Arial" w:cs="Arial"/>
          <w:b/>
          <w:sz w:val="20"/>
          <w:szCs w:val="20"/>
          <w:lang w:val="en-SG"/>
        </w:rPr>
      </w:pPr>
    </w:p>
    <w:p w14:paraId="491659FC" w14:textId="7986F920" w:rsidR="00277299" w:rsidRPr="00C016DD" w:rsidRDefault="00277299" w:rsidP="00366AD2">
      <w:pPr>
        <w:spacing w:after="0" w:line="360" w:lineRule="auto"/>
        <w:jc w:val="both"/>
        <w:rPr>
          <w:rFonts w:ascii="Arial" w:hAnsi="Arial" w:cs="Arial"/>
          <w:b/>
          <w:sz w:val="20"/>
          <w:szCs w:val="20"/>
          <w:lang w:val="en-SG"/>
        </w:rPr>
      </w:pPr>
    </w:p>
    <w:p w14:paraId="4A1045FF" w14:textId="17C2353B" w:rsidR="00277299" w:rsidRPr="00C016DD" w:rsidRDefault="00277299" w:rsidP="00366AD2">
      <w:pPr>
        <w:spacing w:after="0" w:line="360" w:lineRule="auto"/>
        <w:jc w:val="both"/>
        <w:rPr>
          <w:rFonts w:ascii="Arial" w:hAnsi="Arial" w:cs="Arial"/>
          <w:b/>
          <w:sz w:val="20"/>
          <w:szCs w:val="20"/>
          <w:lang w:val="en-SG"/>
        </w:rPr>
      </w:pPr>
    </w:p>
    <w:p w14:paraId="0B03A057" w14:textId="625DE65C" w:rsidR="00277299" w:rsidRPr="00C016DD" w:rsidRDefault="00277299" w:rsidP="00366AD2">
      <w:pPr>
        <w:spacing w:after="0" w:line="360" w:lineRule="auto"/>
        <w:jc w:val="both"/>
        <w:rPr>
          <w:rFonts w:ascii="Arial" w:hAnsi="Arial" w:cs="Arial"/>
          <w:b/>
          <w:sz w:val="20"/>
          <w:szCs w:val="20"/>
          <w:lang w:val="en-SG"/>
        </w:rPr>
      </w:pPr>
    </w:p>
    <w:p w14:paraId="475B426B" w14:textId="5C5906F3" w:rsidR="00B239EC" w:rsidRDefault="00B239EC" w:rsidP="00366AD2">
      <w:pPr>
        <w:spacing w:after="0" w:line="360" w:lineRule="auto"/>
        <w:jc w:val="both"/>
        <w:rPr>
          <w:rFonts w:ascii="Arial" w:hAnsi="Arial" w:cs="Arial"/>
          <w:b/>
          <w:sz w:val="20"/>
          <w:szCs w:val="20"/>
          <w:lang w:val="en-SG"/>
        </w:rPr>
      </w:pPr>
    </w:p>
    <w:p w14:paraId="5E6C8E4A" w14:textId="059B89F3" w:rsidR="00232AA5" w:rsidRDefault="00232AA5" w:rsidP="00366AD2">
      <w:pPr>
        <w:spacing w:after="0" w:line="360" w:lineRule="auto"/>
        <w:jc w:val="both"/>
        <w:rPr>
          <w:rFonts w:ascii="Arial" w:hAnsi="Arial" w:cs="Arial"/>
          <w:b/>
          <w:sz w:val="20"/>
          <w:szCs w:val="20"/>
          <w:lang w:val="en-SG"/>
        </w:rPr>
      </w:pPr>
    </w:p>
    <w:p w14:paraId="3B07D352" w14:textId="77777777" w:rsidR="00232AA5" w:rsidRPr="00C016DD" w:rsidRDefault="00232AA5" w:rsidP="00366AD2">
      <w:pPr>
        <w:spacing w:after="0" w:line="360" w:lineRule="auto"/>
        <w:jc w:val="both"/>
        <w:rPr>
          <w:rFonts w:ascii="Arial" w:hAnsi="Arial" w:cs="Arial"/>
          <w:b/>
          <w:sz w:val="20"/>
          <w:szCs w:val="20"/>
          <w:lang w:val="en-SG"/>
        </w:rPr>
      </w:pPr>
    </w:p>
    <w:p w14:paraId="2CF14CDB" w14:textId="5F5EC028" w:rsidR="00366AD2" w:rsidRPr="00C016DD" w:rsidRDefault="00366AD2" w:rsidP="00366AD2">
      <w:pPr>
        <w:tabs>
          <w:tab w:val="left" w:pos="1748"/>
        </w:tabs>
        <w:spacing w:line="360" w:lineRule="auto"/>
        <w:rPr>
          <w:rFonts w:ascii="Arial" w:hAnsi="Arial" w:cs="Arial"/>
          <w:b/>
          <w:sz w:val="20"/>
          <w:szCs w:val="20"/>
        </w:rPr>
      </w:pPr>
      <w:r w:rsidRPr="00C016DD">
        <w:rPr>
          <w:rFonts w:ascii="Arial" w:hAnsi="Arial" w:cs="Arial"/>
          <w:b/>
          <w:sz w:val="20"/>
          <w:szCs w:val="20"/>
        </w:rPr>
        <w:t>Author</w:t>
      </w:r>
      <w:r w:rsidR="00B13BDB" w:rsidRPr="00C016DD">
        <w:rPr>
          <w:rFonts w:ascii="Arial" w:hAnsi="Arial" w:cs="Arial"/>
          <w:b/>
          <w:sz w:val="20"/>
          <w:szCs w:val="20"/>
        </w:rPr>
        <w:t>ship</w:t>
      </w:r>
      <w:r w:rsidR="00370E1B" w:rsidRPr="00C016DD">
        <w:rPr>
          <w:rFonts w:ascii="Arial" w:hAnsi="Arial" w:cs="Arial"/>
          <w:b/>
          <w:sz w:val="20"/>
          <w:szCs w:val="20"/>
        </w:rPr>
        <w:t xml:space="preserve"> </w:t>
      </w:r>
      <w:r w:rsidRPr="00C016DD">
        <w:rPr>
          <w:rFonts w:ascii="Arial" w:hAnsi="Arial" w:cs="Arial"/>
          <w:b/>
          <w:sz w:val="20"/>
          <w:szCs w:val="20"/>
        </w:rPr>
        <w:t>Contributions</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9"/>
        <w:gridCol w:w="4517"/>
      </w:tblGrid>
      <w:tr w:rsidR="00366AD2" w:rsidRPr="00C016DD" w14:paraId="7475ACC0" w14:textId="77777777" w:rsidTr="00F42F24">
        <w:tc>
          <w:tcPr>
            <w:tcW w:w="4509" w:type="dxa"/>
          </w:tcPr>
          <w:p w14:paraId="401E4035" w14:textId="77777777" w:rsidR="00366AD2" w:rsidRPr="00C016DD" w:rsidRDefault="00366AD2" w:rsidP="00CA3394">
            <w:pPr>
              <w:spacing w:after="120" w:line="480" w:lineRule="auto"/>
              <w:rPr>
                <w:rFonts w:ascii="Arial" w:hAnsi="Arial" w:cs="Arial"/>
                <w:i/>
                <w:sz w:val="20"/>
                <w:szCs w:val="20"/>
                <w:lang w:val="en-SG"/>
              </w:rPr>
            </w:pPr>
            <w:r w:rsidRPr="00C016DD">
              <w:rPr>
                <w:rFonts w:ascii="Arial" w:hAnsi="Arial" w:cs="Arial"/>
                <w:i/>
                <w:sz w:val="20"/>
                <w:szCs w:val="20"/>
                <w:lang w:val="en-SG"/>
              </w:rPr>
              <w:t>Participated in research design:</w:t>
            </w:r>
          </w:p>
        </w:tc>
        <w:tc>
          <w:tcPr>
            <w:tcW w:w="4517" w:type="dxa"/>
          </w:tcPr>
          <w:p w14:paraId="63920925" w14:textId="443B8124" w:rsidR="00366AD2" w:rsidRPr="00C016DD" w:rsidRDefault="00366AD2" w:rsidP="00CA3394">
            <w:pPr>
              <w:spacing w:line="480" w:lineRule="auto"/>
              <w:jc w:val="both"/>
              <w:rPr>
                <w:rFonts w:ascii="Arial" w:hAnsi="Arial" w:cs="Arial"/>
                <w:sz w:val="20"/>
                <w:szCs w:val="20"/>
                <w:lang w:val="en-SG"/>
              </w:rPr>
            </w:pPr>
            <w:r w:rsidRPr="00C016DD">
              <w:rPr>
                <w:rFonts w:ascii="Arial" w:hAnsi="Arial" w:cs="Arial"/>
                <w:sz w:val="20"/>
                <w:szCs w:val="20"/>
                <w:lang w:val="en-SG"/>
              </w:rPr>
              <w:t xml:space="preserve">Cheong, </w:t>
            </w:r>
            <w:r w:rsidR="00611E33">
              <w:rPr>
                <w:rFonts w:ascii="Arial" w:hAnsi="Arial" w:cs="Arial"/>
                <w:sz w:val="20"/>
                <w:szCs w:val="20"/>
                <w:lang w:val="en-SG"/>
              </w:rPr>
              <w:t>Ng</w:t>
            </w:r>
            <w:r w:rsidRPr="00C016DD">
              <w:rPr>
                <w:rFonts w:ascii="Arial" w:hAnsi="Arial" w:cs="Arial"/>
                <w:sz w:val="20"/>
                <w:szCs w:val="20"/>
                <w:lang w:val="en-SG"/>
              </w:rPr>
              <w:t xml:space="preserve">, </w:t>
            </w:r>
            <w:r w:rsidR="00611E33">
              <w:rPr>
                <w:rFonts w:ascii="Arial" w:hAnsi="Arial" w:cs="Arial"/>
                <w:sz w:val="20"/>
                <w:szCs w:val="20"/>
                <w:lang w:val="en-SG"/>
              </w:rPr>
              <w:t xml:space="preserve">Chin, Wang </w:t>
            </w:r>
            <w:r w:rsidRPr="00C016DD">
              <w:rPr>
                <w:rFonts w:ascii="Arial" w:hAnsi="Arial" w:cs="Arial"/>
                <w:sz w:val="20"/>
                <w:szCs w:val="20"/>
                <w:lang w:val="en-SG"/>
              </w:rPr>
              <w:t>and Chan</w:t>
            </w:r>
          </w:p>
        </w:tc>
      </w:tr>
      <w:tr w:rsidR="00366AD2" w:rsidRPr="00C016DD" w14:paraId="2FB30592" w14:textId="77777777" w:rsidTr="00F42F24">
        <w:tc>
          <w:tcPr>
            <w:tcW w:w="4509" w:type="dxa"/>
          </w:tcPr>
          <w:p w14:paraId="6171398F" w14:textId="77777777" w:rsidR="00366AD2" w:rsidRPr="00C016DD" w:rsidRDefault="00366AD2" w:rsidP="00CA3394">
            <w:pPr>
              <w:spacing w:after="120" w:line="480" w:lineRule="auto"/>
              <w:rPr>
                <w:rFonts w:ascii="Arial" w:hAnsi="Arial" w:cs="Arial"/>
                <w:i/>
                <w:sz w:val="20"/>
                <w:szCs w:val="20"/>
                <w:lang w:val="en-SG"/>
              </w:rPr>
            </w:pPr>
            <w:r w:rsidRPr="00C016DD">
              <w:rPr>
                <w:rFonts w:ascii="Arial" w:hAnsi="Arial" w:cs="Arial"/>
                <w:i/>
                <w:sz w:val="20"/>
                <w:szCs w:val="20"/>
                <w:lang w:val="en-SG"/>
              </w:rPr>
              <w:t>Conducted experiments:</w:t>
            </w:r>
          </w:p>
        </w:tc>
        <w:tc>
          <w:tcPr>
            <w:tcW w:w="4517" w:type="dxa"/>
          </w:tcPr>
          <w:p w14:paraId="4FBA0DDF" w14:textId="27034D57" w:rsidR="00366AD2" w:rsidRPr="00C016DD" w:rsidRDefault="00366AD2" w:rsidP="00CA3394">
            <w:pPr>
              <w:spacing w:line="480" w:lineRule="auto"/>
              <w:jc w:val="both"/>
              <w:rPr>
                <w:rFonts w:ascii="Arial" w:hAnsi="Arial" w:cs="Arial"/>
                <w:sz w:val="20"/>
                <w:szCs w:val="20"/>
                <w:lang w:val="en-SG"/>
              </w:rPr>
            </w:pPr>
            <w:r w:rsidRPr="00C016DD">
              <w:rPr>
                <w:rFonts w:ascii="Arial" w:hAnsi="Arial" w:cs="Arial"/>
                <w:sz w:val="20"/>
                <w:szCs w:val="20"/>
                <w:lang w:val="en-SG"/>
              </w:rPr>
              <w:t>Cheong, N</w:t>
            </w:r>
            <w:r w:rsidR="00611E33">
              <w:rPr>
                <w:rFonts w:ascii="Arial" w:hAnsi="Arial" w:cs="Arial"/>
                <w:sz w:val="20"/>
                <w:szCs w:val="20"/>
                <w:lang w:val="en-SG"/>
              </w:rPr>
              <w:t>g</w:t>
            </w:r>
            <w:r w:rsidRPr="00C016DD">
              <w:rPr>
                <w:rFonts w:ascii="Arial" w:hAnsi="Arial" w:cs="Arial"/>
                <w:sz w:val="20"/>
                <w:szCs w:val="20"/>
                <w:lang w:val="en-SG"/>
              </w:rPr>
              <w:t xml:space="preserve">, </w:t>
            </w:r>
            <w:r w:rsidR="00611E33">
              <w:rPr>
                <w:rFonts w:ascii="Arial" w:hAnsi="Arial" w:cs="Arial"/>
                <w:sz w:val="20"/>
                <w:szCs w:val="20"/>
                <w:lang w:val="en-SG"/>
              </w:rPr>
              <w:t>Chin and Wang</w:t>
            </w:r>
          </w:p>
        </w:tc>
      </w:tr>
      <w:tr w:rsidR="00F42F24" w:rsidRPr="00C016DD" w14:paraId="209B3EE1" w14:textId="77777777" w:rsidTr="00F42F24">
        <w:tc>
          <w:tcPr>
            <w:tcW w:w="4509" w:type="dxa"/>
          </w:tcPr>
          <w:p w14:paraId="588F01AF" w14:textId="77777777" w:rsidR="00F42F24" w:rsidRPr="00C016DD" w:rsidRDefault="00F42F24" w:rsidP="00F42F24">
            <w:pPr>
              <w:spacing w:after="120" w:line="480" w:lineRule="auto"/>
              <w:rPr>
                <w:rFonts w:ascii="Arial" w:hAnsi="Arial" w:cs="Arial"/>
                <w:i/>
                <w:sz w:val="20"/>
                <w:szCs w:val="20"/>
                <w:lang w:val="en-SG"/>
              </w:rPr>
            </w:pPr>
            <w:r w:rsidRPr="00C016DD">
              <w:rPr>
                <w:rFonts w:ascii="Arial" w:hAnsi="Arial" w:cs="Arial"/>
                <w:i/>
                <w:sz w:val="20"/>
                <w:szCs w:val="20"/>
                <w:lang w:val="en-SG"/>
              </w:rPr>
              <w:t>Performed data analysis:</w:t>
            </w:r>
          </w:p>
        </w:tc>
        <w:tc>
          <w:tcPr>
            <w:tcW w:w="4517" w:type="dxa"/>
          </w:tcPr>
          <w:p w14:paraId="0140737D" w14:textId="11BD1B6B" w:rsidR="00F42F24" w:rsidRPr="00C016DD" w:rsidRDefault="00F42F24" w:rsidP="00F42F24">
            <w:pPr>
              <w:spacing w:line="480" w:lineRule="auto"/>
              <w:jc w:val="both"/>
              <w:rPr>
                <w:rFonts w:ascii="Arial" w:hAnsi="Arial" w:cs="Arial"/>
                <w:sz w:val="20"/>
                <w:szCs w:val="20"/>
                <w:lang w:val="en-SG"/>
              </w:rPr>
            </w:pPr>
            <w:r w:rsidRPr="00C016DD">
              <w:rPr>
                <w:rFonts w:ascii="Arial" w:hAnsi="Arial" w:cs="Arial"/>
                <w:sz w:val="20"/>
                <w:szCs w:val="20"/>
                <w:lang w:val="en-SG"/>
              </w:rPr>
              <w:t xml:space="preserve">Cheong, </w:t>
            </w:r>
            <w:r>
              <w:rPr>
                <w:rFonts w:ascii="Arial" w:hAnsi="Arial" w:cs="Arial"/>
                <w:sz w:val="20"/>
                <w:szCs w:val="20"/>
                <w:lang w:val="en-SG"/>
              </w:rPr>
              <w:t>Ng</w:t>
            </w:r>
            <w:r w:rsidRPr="00C016DD">
              <w:rPr>
                <w:rFonts w:ascii="Arial" w:hAnsi="Arial" w:cs="Arial"/>
                <w:sz w:val="20"/>
                <w:szCs w:val="20"/>
                <w:lang w:val="en-SG"/>
              </w:rPr>
              <w:t xml:space="preserve">, </w:t>
            </w:r>
            <w:r>
              <w:rPr>
                <w:rFonts w:ascii="Arial" w:hAnsi="Arial" w:cs="Arial"/>
                <w:sz w:val="20"/>
                <w:szCs w:val="20"/>
                <w:lang w:val="en-SG"/>
              </w:rPr>
              <w:t xml:space="preserve">Chin, Wang </w:t>
            </w:r>
            <w:r w:rsidRPr="00C016DD">
              <w:rPr>
                <w:rFonts w:ascii="Arial" w:hAnsi="Arial" w:cs="Arial"/>
                <w:sz w:val="20"/>
                <w:szCs w:val="20"/>
                <w:lang w:val="en-SG"/>
              </w:rPr>
              <w:t>and Chan</w:t>
            </w:r>
          </w:p>
        </w:tc>
      </w:tr>
      <w:tr w:rsidR="00F42F24" w:rsidRPr="00C016DD" w14:paraId="56E675A0" w14:textId="77777777" w:rsidTr="00F42F24">
        <w:tc>
          <w:tcPr>
            <w:tcW w:w="4509" w:type="dxa"/>
          </w:tcPr>
          <w:p w14:paraId="7EC8079E" w14:textId="77777777" w:rsidR="00F42F24" w:rsidRPr="00C016DD" w:rsidRDefault="00F42F24" w:rsidP="00F42F24">
            <w:pPr>
              <w:spacing w:after="120" w:line="480" w:lineRule="auto"/>
              <w:rPr>
                <w:rFonts w:ascii="Arial" w:hAnsi="Arial" w:cs="Arial"/>
                <w:i/>
                <w:sz w:val="20"/>
                <w:szCs w:val="20"/>
                <w:lang w:val="en-SG"/>
              </w:rPr>
            </w:pPr>
            <w:r w:rsidRPr="00C016DD">
              <w:rPr>
                <w:rFonts w:ascii="Arial" w:hAnsi="Arial" w:cs="Arial"/>
                <w:i/>
                <w:sz w:val="20"/>
                <w:szCs w:val="20"/>
                <w:lang w:val="en-SG"/>
              </w:rPr>
              <w:t>Wrote or contributed to the writing of the manuscript:</w:t>
            </w:r>
          </w:p>
        </w:tc>
        <w:tc>
          <w:tcPr>
            <w:tcW w:w="4517" w:type="dxa"/>
          </w:tcPr>
          <w:p w14:paraId="5AD9217C" w14:textId="2F0B5860" w:rsidR="00F42F24" w:rsidRPr="00C016DD" w:rsidRDefault="00F42F24" w:rsidP="00F42F24">
            <w:pPr>
              <w:spacing w:line="480" w:lineRule="auto"/>
              <w:jc w:val="both"/>
              <w:rPr>
                <w:rFonts w:ascii="Arial" w:hAnsi="Arial" w:cs="Arial"/>
                <w:sz w:val="20"/>
                <w:szCs w:val="20"/>
                <w:lang w:val="en-SG"/>
              </w:rPr>
            </w:pPr>
            <w:r w:rsidRPr="00C016DD">
              <w:rPr>
                <w:rFonts w:ascii="Arial" w:hAnsi="Arial" w:cs="Arial"/>
                <w:sz w:val="20"/>
                <w:szCs w:val="20"/>
                <w:lang w:val="en-SG"/>
              </w:rPr>
              <w:t xml:space="preserve">Cheong, </w:t>
            </w:r>
            <w:r>
              <w:rPr>
                <w:rFonts w:ascii="Arial" w:hAnsi="Arial" w:cs="Arial"/>
                <w:sz w:val="20"/>
                <w:szCs w:val="20"/>
                <w:lang w:val="en-SG"/>
              </w:rPr>
              <w:t>Ng</w:t>
            </w:r>
            <w:r w:rsidRPr="00C016DD">
              <w:rPr>
                <w:rFonts w:ascii="Arial" w:hAnsi="Arial" w:cs="Arial"/>
                <w:sz w:val="20"/>
                <w:szCs w:val="20"/>
                <w:lang w:val="en-SG"/>
              </w:rPr>
              <w:t xml:space="preserve">, </w:t>
            </w:r>
            <w:r>
              <w:rPr>
                <w:rFonts w:ascii="Arial" w:hAnsi="Arial" w:cs="Arial"/>
                <w:sz w:val="20"/>
                <w:szCs w:val="20"/>
                <w:lang w:val="en-SG"/>
              </w:rPr>
              <w:t xml:space="preserve">Chin, Wang </w:t>
            </w:r>
            <w:r w:rsidRPr="00C016DD">
              <w:rPr>
                <w:rFonts w:ascii="Arial" w:hAnsi="Arial" w:cs="Arial"/>
                <w:sz w:val="20"/>
                <w:szCs w:val="20"/>
                <w:lang w:val="en-SG"/>
              </w:rPr>
              <w:t>and Chan</w:t>
            </w:r>
          </w:p>
        </w:tc>
      </w:tr>
    </w:tbl>
    <w:p w14:paraId="057082CA" w14:textId="77777777" w:rsidR="00366AD2" w:rsidRPr="00C016DD" w:rsidRDefault="00366AD2" w:rsidP="00366AD2">
      <w:pPr>
        <w:tabs>
          <w:tab w:val="left" w:pos="1748"/>
        </w:tabs>
        <w:spacing w:line="360" w:lineRule="auto"/>
        <w:rPr>
          <w:rFonts w:ascii="Arial" w:hAnsi="Arial" w:cs="Arial"/>
          <w:b/>
          <w:sz w:val="20"/>
          <w:szCs w:val="20"/>
        </w:rPr>
      </w:pPr>
    </w:p>
    <w:p w14:paraId="33687547" w14:textId="77777777" w:rsidR="00366AD2" w:rsidRPr="00C016DD" w:rsidRDefault="00366AD2" w:rsidP="00366AD2">
      <w:pPr>
        <w:tabs>
          <w:tab w:val="left" w:pos="1748"/>
        </w:tabs>
        <w:spacing w:line="360" w:lineRule="auto"/>
        <w:rPr>
          <w:rFonts w:ascii="Arial" w:hAnsi="Arial" w:cs="Arial"/>
          <w:b/>
          <w:sz w:val="20"/>
          <w:szCs w:val="20"/>
        </w:rPr>
      </w:pPr>
    </w:p>
    <w:p w14:paraId="64567D25" w14:textId="77777777" w:rsidR="00366AD2" w:rsidRPr="00C016DD" w:rsidRDefault="00366AD2" w:rsidP="00366AD2">
      <w:pPr>
        <w:tabs>
          <w:tab w:val="left" w:pos="1748"/>
        </w:tabs>
        <w:spacing w:line="360" w:lineRule="auto"/>
        <w:rPr>
          <w:rFonts w:ascii="Arial" w:hAnsi="Arial" w:cs="Arial"/>
          <w:b/>
          <w:sz w:val="20"/>
          <w:szCs w:val="20"/>
        </w:rPr>
      </w:pPr>
    </w:p>
    <w:p w14:paraId="251DE098" w14:textId="4E7A627E" w:rsidR="00366AD2" w:rsidRPr="00C016DD" w:rsidRDefault="00366AD2" w:rsidP="00366AD2">
      <w:pPr>
        <w:tabs>
          <w:tab w:val="left" w:pos="1748"/>
        </w:tabs>
        <w:spacing w:line="360" w:lineRule="auto"/>
        <w:rPr>
          <w:rFonts w:ascii="Arial" w:hAnsi="Arial" w:cs="Arial"/>
          <w:b/>
          <w:sz w:val="20"/>
          <w:szCs w:val="20"/>
        </w:rPr>
      </w:pPr>
    </w:p>
    <w:p w14:paraId="482163EC" w14:textId="1FB0459F" w:rsidR="00370E1B" w:rsidRPr="00C016DD" w:rsidRDefault="00370E1B" w:rsidP="00366AD2">
      <w:pPr>
        <w:tabs>
          <w:tab w:val="left" w:pos="1748"/>
        </w:tabs>
        <w:spacing w:line="360" w:lineRule="auto"/>
        <w:rPr>
          <w:rFonts w:ascii="Arial" w:hAnsi="Arial" w:cs="Arial"/>
          <w:b/>
          <w:sz w:val="20"/>
          <w:szCs w:val="20"/>
        </w:rPr>
      </w:pPr>
    </w:p>
    <w:p w14:paraId="486BB190" w14:textId="0A1B9B18" w:rsidR="00370E1B" w:rsidRPr="00C016DD" w:rsidRDefault="00370E1B" w:rsidP="00366AD2">
      <w:pPr>
        <w:tabs>
          <w:tab w:val="left" w:pos="1748"/>
        </w:tabs>
        <w:spacing w:line="360" w:lineRule="auto"/>
        <w:rPr>
          <w:rFonts w:ascii="Arial" w:hAnsi="Arial" w:cs="Arial"/>
          <w:b/>
          <w:sz w:val="20"/>
          <w:szCs w:val="20"/>
        </w:rPr>
      </w:pPr>
    </w:p>
    <w:p w14:paraId="601999EB" w14:textId="1F94D737" w:rsidR="00370E1B" w:rsidRPr="00C016DD" w:rsidRDefault="00370E1B" w:rsidP="00366AD2">
      <w:pPr>
        <w:tabs>
          <w:tab w:val="left" w:pos="1748"/>
        </w:tabs>
        <w:spacing w:line="360" w:lineRule="auto"/>
        <w:rPr>
          <w:rFonts w:ascii="Arial" w:hAnsi="Arial" w:cs="Arial"/>
          <w:b/>
          <w:sz w:val="20"/>
          <w:szCs w:val="20"/>
        </w:rPr>
      </w:pPr>
    </w:p>
    <w:p w14:paraId="2C110FFB" w14:textId="55D7CC31" w:rsidR="00370E1B" w:rsidRPr="00C016DD" w:rsidRDefault="00370E1B" w:rsidP="00366AD2">
      <w:pPr>
        <w:tabs>
          <w:tab w:val="left" w:pos="1748"/>
        </w:tabs>
        <w:spacing w:line="360" w:lineRule="auto"/>
        <w:rPr>
          <w:rFonts w:ascii="Arial" w:hAnsi="Arial" w:cs="Arial"/>
          <w:b/>
          <w:sz w:val="20"/>
          <w:szCs w:val="20"/>
        </w:rPr>
      </w:pPr>
    </w:p>
    <w:p w14:paraId="52C1464C" w14:textId="5BA444D3" w:rsidR="00370E1B" w:rsidRPr="00C016DD" w:rsidRDefault="00370E1B" w:rsidP="00366AD2">
      <w:pPr>
        <w:tabs>
          <w:tab w:val="left" w:pos="1748"/>
        </w:tabs>
        <w:spacing w:line="360" w:lineRule="auto"/>
        <w:rPr>
          <w:rFonts w:ascii="Arial" w:hAnsi="Arial" w:cs="Arial"/>
          <w:b/>
          <w:sz w:val="20"/>
          <w:szCs w:val="20"/>
        </w:rPr>
      </w:pPr>
    </w:p>
    <w:p w14:paraId="47F14106" w14:textId="0A7EF687" w:rsidR="00370E1B" w:rsidRPr="00C016DD" w:rsidRDefault="00370E1B" w:rsidP="00366AD2">
      <w:pPr>
        <w:tabs>
          <w:tab w:val="left" w:pos="1748"/>
        </w:tabs>
        <w:spacing w:line="360" w:lineRule="auto"/>
        <w:rPr>
          <w:rFonts w:ascii="Arial" w:hAnsi="Arial" w:cs="Arial"/>
          <w:b/>
          <w:sz w:val="20"/>
          <w:szCs w:val="20"/>
        </w:rPr>
      </w:pPr>
    </w:p>
    <w:p w14:paraId="43C44C98" w14:textId="5CBB3BDC" w:rsidR="00370E1B" w:rsidRPr="00C016DD" w:rsidRDefault="00370E1B" w:rsidP="00366AD2">
      <w:pPr>
        <w:tabs>
          <w:tab w:val="left" w:pos="1748"/>
        </w:tabs>
        <w:spacing w:line="360" w:lineRule="auto"/>
        <w:rPr>
          <w:rFonts w:ascii="Arial" w:hAnsi="Arial" w:cs="Arial"/>
          <w:b/>
          <w:sz w:val="20"/>
          <w:szCs w:val="20"/>
        </w:rPr>
      </w:pPr>
    </w:p>
    <w:p w14:paraId="15F43C31" w14:textId="591C68D2" w:rsidR="00370E1B" w:rsidRPr="00C016DD" w:rsidRDefault="00370E1B" w:rsidP="00366AD2">
      <w:pPr>
        <w:tabs>
          <w:tab w:val="left" w:pos="1748"/>
        </w:tabs>
        <w:spacing w:line="360" w:lineRule="auto"/>
        <w:rPr>
          <w:rFonts w:ascii="Arial" w:hAnsi="Arial" w:cs="Arial"/>
          <w:b/>
          <w:sz w:val="20"/>
          <w:szCs w:val="20"/>
        </w:rPr>
      </w:pPr>
    </w:p>
    <w:p w14:paraId="31EE2F8F" w14:textId="37C32351" w:rsidR="00370E1B" w:rsidRPr="00C016DD" w:rsidRDefault="00370E1B" w:rsidP="00366AD2">
      <w:pPr>
        <w:tabs>
          <w:tab w:val="left" w:pos="1748"/>
        </w:tabs>
        <w:spacing w:line="360" w:lineRule="auto"/>
        <w:rPr>
          <w:rFonts w:ascii="Arial" w:hAnsi="Arial" w:cs="Arial"/>
          <w:b/>
          <w:sz w:val="20"/>
          <w:szCs w:val="20"/>
        </w:rPr>
      </w:pPr>
    </w:p>
    <w:p w14:paraId="542EB709" w14:textId="1C5155B3" w:rsidR="00370E1B" w:rsidRPr="00C016DD" w:rsidRDefault="00370E1B" w:rsidP="00366AD2">
      <w:pPr>
        <w:tabs>
          <w:tab w:val="left" w:pos="1748"/>
        </w:tabs>
        <w:spacing w:line="360" w:lineRule="auto"/>
        <w:rPr>
          <w:rFonts w:ascii="Arial" w:hAnsi="Arial" w:cs="Arial"/>
          <w:b/>
          <w:sz w:val="20"/>
          <w:szCs w:val="20"/>
        </w:rPr>
      </w:pPr>
    </w:p>
    <w:p w14:paraId="7751669A" w14:textId="01CC0DDC" w:rsidR="00370E1B" w:rsidRPr="00C016DD" w:rsidRDefault="00370E1B" w:rsidP="00366AD2">
      <w:pPr>
        <w:tabs>
          <w:tab w:val="left" w:pos="1748"/>
        </w:tabs>
        <w:spacing w:line="360" w:lineRule="auto"/>
        <w:rPr>
          <w:rFonts w:ascii="Arial" w:hAnsi="Arial" w:cs="Arial"/>
          <w:b/>
          <w:sz w:val="20"/>
          <w:szCs w:val="20"/>
        </w:rPr>
      </w:pPr>
    </w:p>
    <w:p w14:paraId="0C3C539E" w14:textId="0F015348" w:rsidR="00D34780" w:rsidRDefault="00D34780" w:rsidP="00366AD2">
      <w:pPr>
        <w:tabs>
          <w:tab w:val="left" w:pos="1748"/>
        </w:tabs>
        <w:spacing w:line="360" w:lineRule="auto"/>
        <w:rPr>
          <w:rFonts w:ascii="Arial" w:hAnsi="Arial" w:cs="Arial"/>
          <w:b/>
          <w:sz w:val="20"/>
          <w:szCs w:val="20"/>
        </w:rPr>
      </w:pPr>
    </w:p>
    <w:p w14:paraId="40E4B916" w14:textId="219D6938" w:rsidR="006E56C6" w:rsidRDefault="006E56C6" w:rsidP="00366AD2">
      <w:pPr>
        <w:tabs>
          <w:tab w:val="left" w:pos="1748"/>
        </w:tabs>
        <w:spacing w:line="360" w:lineRule="auto"/>
        <w:rPr>
          <w:rFonts w:ascii="Arial" w:hAnsi="Arial" w:cs="Arial"/>
          <w:b/>
          <w:sz w:val="20"/>
          <w:szCs w:val="20"/>
        </w:rPr>
      </w:pPr>
    </w:p>
    <w:p w14:paraId="2EDA5639" w14:textId="092A8A20" w:rsidR="006E56C6" w:rsidRDefault="006E56C6" w:rsidP="00366AD2">
      <w:pPr>
        <w:tabs>
          <w:tab w:val="left" w:pos="1748"/>
        </w:tabs>
        <w:spacing w:line="360" w:lineRule="auto"/>
        <w:rPr>
          <w:rFonts w:ascii="Arial" w:hAnsi="Arial" w:cs="Arial"/>
          <w:b/>
          <w:sz w:val="20"/>
          <w:szCs w:val="20"/>
        </w:rPr>
      </w:pPr>
    </w:p>
    <w:p w14:paraId="400190B1" w14:textId="77777777" w:rsidR="006E56C6" w:rsidRPr="00C016DD" w:rsidRDefault="006E56C6" w:rsidP="00366AD2">
      <w:pPr>
        <w:tabs>
          <w:tab w:val="left" w:pos="1748"/>
        </w:tabs>
        <w:spacing w:line="360" w:lineRule="auto"/>
        <w:rPr>
          <w:rFonts w:ascii="Arial" w:hAnsi="Arial" w:cs="Arial"/>
          <w:b/>
          <w:sz w:val="20"/>
          <w:szCs w:val="20"/>
        </w:rPr>
      </w:pPr>
    </w:p>
    <w:p w14:paraId="644F12DC" w14:textId="00044936" w:rsidR="00D83BF9" w:rsidRPr="00C016DD" w:rsidRDefault="00D83BF9" w:rsidP="00366AD2">
      <w:pPr>
        <w:spacing w:after="0" w:line="360" w:lineRule="auto"/>
        <w:jc w:val="both"/>
        <w:rPr>
          <w:rFonts w:ascii="Arial" w:hAnsi="Arial" w:cs="Arial"/>
          <w:sz w:val="20"/>
          <w:szCs w:val="20"/>
        </w:rPr>
      </w:pPr>
    </w:p>
    <w:p w14:paraId="48334A5D" w14:textId="2601E9F2" w:rsidR="00141C56" w:rsidRPr="00C016DD" w:rsidRDefault="00141C56" w:rsidP="00366AD2">
      <w:pPr>
        <w:spacing w:line="360" w:lineRule="auto"/>
        <w:jc w:val="both"/>
        <w:rPr>
          <w:rFonts w:ascii="Arial" w:hAnsi="Arial" w:cs="Arial"/>
          <w:b/>
          <w:sz w:val="20"/>
          <w:szCs w:val="20"/>
        </w:rPr>
      </w:pPr>
      <w:r w:rsidRPr="00C016DD">
        <w:rPr>
          <w:rFonts w:ascii="Arial" w:hAnsi="Arial" w:cs="Arial"/>
          <w:b/>
          <w:sz w:val="20"/>
          <w:szCs w:val="20"/>
        </w:rPr>
        <w:t>References</w:t>
      </w:r>
    </w:p>
    <w:p w14:paraId="2CC1DFD5" w14:textId="3982A183" w:rsidR="00516D49" w:rsidRPr="00516D49" w:rsidRDefault="004245C7" w:rsidP="00516D49">
      <w:pPr>
        <w:widowControl w:val="0"/>
        <w:autoSpaceDE w:val="0"/>
        <w:autoSpaceDN w:val="0"/>
        <w:adjustRightInd w:val="0"/>
        <w:spacing w:line="360" w:lineRule="auto"/>
        <w:ind w:left="640" w:hanging="640"/>
        <w:rPr>
          <w:rFonts w:ascii="Arial" w:hAnsi="Arial" w:cs="Arial"/>
          <w:noProof/>
          <w:sz w:val="20"/>
          <w:szCs w:val="24"/>
        </w:rPr>
      </w:pPr>
      <w:r w:rsidRPr="00C016DD">
        <w:rPr>
          <w:rFonts w:ascii="Arial" w:hAnsi="Arial" w:cs="Arial"/>
          <w:b/>
          <w:sz w:val="20"/>
          <w:szCs w:val="20"/>
        </w:rPr>
        <w:fldChar w:fldCharType="begin" w:fldLock="1"/>
      </w:r>
      <w:r w:rsidRPr="00C016DD">
        <w:rPr>
          <w:rFonts w:ascii="Arial" w:hAnsi="Arial" w:cs="Arial"/>
          <w:b/>
          <w:sz w:val="20"/>
          <w:szCs w:val="20"/>
        </w:rPr>
        <w:instrText xml:space="preserve">ADDIN Mendeley Bibliography CSL_BIBLIOGRAPHY </w:instrText>
      </w:r>
      <w:r w:rsidRPr="00C016DD">
        <w:rPr>
          <w:rFonts w:ascii="Arial" w:hAnsi="Arial" w:cs="Arial"/>
          <w:b/>
          <w:sz w:val="20"/>
          <w:szCs w:val="20"/>
        </w:rPr>
        <w:fldChar w:fldCharType="separate"/>
      </w:r>
      <w:r w:rsidR="00516D49" w:rsidRPr="00516D49">
        <w:rPr>
          <w:rFonts w:ascii="Arial" w:hAnsi="Arial" w:cs="Arial"/>
          <w:noProof/>
          <w:sz w:val="20"/>
          <w:szCs w:val="24"/>
        </w:rPr>
        <w:t>1.</w:t>
      </w:r>
      <w:r w:rsidR="00516D49" w:rsidRPr="00516D49">
        <w:rPr>
          <w:rFonts w:ascii="Arial" w:hAnsi="Arial" w:cs="Arial"/>
          <w:noProof/>
          <w:sz w:val="20"/>
          <w:szCs w:val="24"/>
        </w:rPr>
        <w:tab/>
        <w:t xml:space="preserve">Key, N. S. </w:t>
      </w:r>
      <w:r w:rsidR="00516D49" w:rsidRPr="00516D49">
        <w:rPr>
          <w:rFonts w:ascii="Arial" w:hAnsi="Arial" w:cs="Arial"/>
          <w:i/>
          <w:iCs/>
          <w:noProof/>
          <w:sz w:val="20"/>
          <w:szCs w:val="24"/>
        </w:rPr>
        <w:t>et al.</w:t>
      </w:r>
      <w:r w:rsidR="00516D49" w:rsidRPr="00516D49">
        <w:rPr>
          <w:rFonts w:ascii="Arial" w:hAnsi="Arial" w:cs="Arial"/>
          <w:noProof/>
          <w:sz w:val="20"/>
          <w:szCs w:val="24"/>
        </w:rPr>
        <w:t xml:space="preserve"> Venous thromboembolism prophylaxis and treatment in patients with cancer: ASCO clinical practice guideline update. </w:t>
      </w:r>
      <w:r w:rsidR="00516D49" w:rsidRPr="00516D49">
        <w:rPr>
          <w:rFonts w:ascii="Arial" w:hAnsi="Arial" w:cs="Arial"/>
          <w:i/>
          <w:iCs/>
          <w:noProof/>
          <w:sz w:val="20"/>
          <w:szCs w:val="24"/>
        </w:rPr>
        <w:t>J. Clin. Oncol.</w:t>
      </w:r>
      <w:r w:rsidR="00516D49" w:rsidRPr="00516D49">
        <w:rPr>
          <w:rFonts w:ascii="Arial" w:hAnsi="Arial" w:cs="Arial"/>
          <w:noProof/>
          <w:sz w:val="20"/>
          <w:szCs w:val="24"/>
        </w:rPr>
        <w:t xml:space="preserve"> </w:t>
      </w:r>
      <w:r w:rsidR="00516D49" w:rsidRPr="00516D49">
        <w:rPr>
          <w:rFonts w:ascii="Arial" w:hAnsi="Arial" w:cs="Arial"/>
          <w:b/>
          <w:bCs/>
          <w:noProof/>
          <w:sz w:val="20"/>
          <w:szCs w:val="24"/>
        </w:rPr>
        <w:t>38</w:t>
      </w:r>
      <w:r w:rsidR="00516D49" w:rsidRPr="00516D49">
        <w:rPr>
          <w:rFonts w:ascii="Arial" w:hAnsi="Arial" w:cs="Arial"/>
          <w:noProof/>
          <w:sz w:val="20"/>
          <w:szCs w:val="24"/>
        </w:rPr>
        <w:t>, 496–520 (2020).</w:t>
      </w:r>
    </w:p>
    <w:p w14:paraId="24B4B03E"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2.</w:t>
      </w:r>
      <w:r w:rsidRPr="00516D49">
        <w:rPr>
          <w:rFonts w:ascii="Arial" w:hAnsi="Arial" w:cs="Arial"/>
          <w:noProof/>
          <w:sz w:val="20"/>
          <w:szCs w:val="24"/>
        </w:rPr>
        <w:tab/>
        <w:t xml:space="preserve">Fernandes, C. J. </w:t>
      </w:r>
      <w:r w:rsidRPr="00516D49">
        <w:rPr>
          <w:rFonts w:ascii="Arial" w:hAnsi="Arial" w:cs="Arial"/>
          <w:i/>
          <w:iCs/>
          <w:noProof/>
          <w:sz w:val="20"/>
          <w:szCs w:val="24"/>
        </w:rPr>
        <w:t>et al.</w:t>
      </w:r>
      <w:r w:rsidRPr="00516D49">
        <w:rPr>
          <w:rFonts w:ascii="Arial" w:hAnsi="Arial" w:cs="Arial"/>
          <w:noProof/>
          <w:sz w:val="20"/>
          <w:szCs w:val="24"/>
        </w:rPr>
        <w:t xml:space="preserve"> Cancer-associated thrombosis: The when, how and why. </w:t>
      </w:r>
      <w:r w:rsidRPr="00516D49">
        <w:rPr>
          <w:rFonts w:ascii="Arial" w:hAnsi="Arial" w:cs="Arial"/>
          <w:i/>
          <w:iCs/>
          <w:noProof/>
          <w:sz w:val="20"/>
          <w:szCs w:val="24"/>
        </w:rPr>
        <w:t>Eur. Respir. Rev.</w:t>
      </w:r>
      <w:r w:rsidRPr="00516D49">
        <w:rPr>
          <w:rFonts w:ascii="Arial" w:hAnsi="Arial" w:cs="Arial"/>
          <w:noProof/>
          <w:sz w:val="20"/>
          <w:szCs w:val="24"/>
        </w:rPr>
        <w:t xml:space="preserve"> </w:t>
      </w:r>
      <w:r w:rsidRPr="00516D49">
        <w:rPr>
          <w:rFonts w:ascii="Arial" w:hAnsi="Arial" w:cs="Arial"/>
          <w:b/>
          <w:bCs/>
          <w:noProof/>
          <w:sz w:val="20"/>
          <w:szCs w:val="24"/>
        </w:rPr>
        <w:t>28</w:t>
      </w:r>
      <w:r w:rsidRPr="00516D49">
        <w:rPr>
          <w:rFonts w:ascii="Arial" w:hAnsi="Arial" w:cs="Arial"/>
          <w:noProof/>
          <w:sz w:val="20"/>
          <w:szCs w:val="24"/>
        </w:rPr>
        <w:t>, 1–11 (2019).</w:t>
      </w:r>
    </w:p>
    <w:p w14:paraId="42DA0766"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3.</w:t>
      </w:r>
      <w:r w:rsidRPr="00516D49">
        <w:rPr>
          <w:rFonts w:ascii="Arial" w:hAnsi="Arial" w:cs="Arial"/>
          <w:noProof/>
          <w:sz w:val="20"/>
          <w:szCs w:val="24"/>
        </w:rPr>
        <w:tab/>
        <w:t xml:space="preserve">Farge, D. </w:t>
      </w:r>
      <w:r w:rsidRPr="00516D49">
        <w:rPr>
          <w:rFonts w:ascii="Arial" w:hAnsi="Arial" w:cs="Arial"/>
          <w:i/>
          <w:iCs/>
          <w:noProof/>
          <w:sz w:val="20"/>
          <w:szCs w:val="24"/>
        </w:rPr>
        <w:t>et al.</w:t>
      </w:r>
      <w:r w:rsidRPr="00516D49">
        <w:rPr>
          <w:rFonts w:ascii="Arial" w:hAnsi="Arial" w:cs="Arial"/>
          <w:noProof/>
          <w:sz w:val="20"/>
          <w:szCs w:val="24"/>
        </w:rPr>
        <w:t xml:space="preserve"> 2019 international clinical practice guidelines for the treatment and prophylaxis of venous thromboembolism in patients with cancer. </w:t>
      </w:r>
      <w:r w:rsidRPr="00516D49">
        <w:rPr>
          <w:rFonts w:ascii="Arial" w:hAnsi="Arial" w:cs="Arial"/>
          <w:i/>
          <w:iCs/>
          <w:noProof/>
          <w:sz w:val="20"/>
          <w:szCs w:val="24"/>
        </w:rPr>
        <w:t>Lancet Oncol.</w:t>
      </w:r>
      <w:r w:rsidRPr="00516D49">
        <w:rPr>
          <w:rFonts w:ascii="Arial" w:hAnsi="Arial" w:cs="Arial"/>
          <w:noProof/>
          <w:sz w:val="20"/>
          <w:szCs w:val="24"/>
        </w:rPr>
        <w:t xml:space="preserve"> </w:t>
      </w:r>
      <w:r w:rsidRPr="00516D49">
        <w:rPr>
          <w:rFonts w:ascii="Arial" w:hAnsi="Arial" w:cs="Arial"/>
          <w:b/>
          <w:bCs/>
          <w:noProof/>
          <w:sz w:val="20"/>
          <w:szCs w:val="24"/>
        </w:rPr>
        <w:t>20</w:t>
      </w:r>
      <w:r w:rsidRPr="00516D49">
        <w:rPr>
          <w:rFonts w:ascii="Arial" w:hAnsi="Arial" w:cs="Arial"/>
          <w:noProof/>
          <w:sz w:val="20"/>
          <w:szCs w:val="24"/>
        </w:rPr>
        <w:t>, e566–e581 (2019).</w:t>
      </w:r>
    </w:p>
    <w:p w14:paraId="415ABBD5"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4.</w:t>
      </w:r>
      <w:r w:rsidRPr="00516D49">
        <w:rPr>
          <w:rFonts w:ascii="Arial" w:hAnsi="Arial" w:cs="Arial"/>
          <w:noProof/>
          <w:sz w:val="20"/>
          <w:szCs w:val="24"/>
        </w:rPr>
        <w:tab/>
        <w:t xml:space="preserve">Khorana, A. A. </w:t>
      </w:r>
      <w:r w:rsidRPr="00516D49">
        <w:rPr>
          <w:rFonts w:ascii="Arial" w:hAnsi="Arial" w:cs="Arial"/>
          <w:i/>
          <w:iCs/>
          <w:noProof/>
          <w:sz w:val="20"/>
          <w:szCs w:val="24"/>
        </w:rPr>
        <w:t>et al.</w:t>
      </w:r>
      <w:r w:rsidRPr="00516D49">
        <w:rPr>
          <w:rFonts w:ascii="Arial" w:hAnsi="Arial" w:cs="Arial"/>
          <w:noProof/>
          <w:sz w:val="20"/>
          <w:szCs w:val="24"/>
        </w:rPr>
        <w:t xml:space="preserve"> Rivaroxaban for thromboprophylaxis in high-risk ambulatory patients with cancer. </w:t>
      </w:r>
      <w:r w:rsidRPr="00516D49">
        <w:rPr>
          <w:rFonts w:ascii="Arial" w:hAnsi="Arial" w:cs="Arial"/>
          <w:i/>
          <w:iCs/>
          <w:noProof/>
          <w:sz w:val="20"/>
          <w:szCs w:val="24"/>
        </w:rPr>
        <w:t>N. Engl. J. Med.</w:t>
      </w:r>
      <w:r w:rsidRPr="00516D49">
        <w:rPr>
          <w:rFonts w:ascii="Arial" w:hAnsi="Arial" w:cs="Arial"/>
          <w:noProof/>
          <w:sz w:val="20"/>
          <w:szCs w:val="24"/>
        </w:rPr>
        <w:t xml:space="preserve"> </w:t>
      </w:r>
      <w:r w:rsidRPr="00516D49">
        <w:rPr>
          <w:rFonts w:ascii="Arial" w:hAnsi="Arial" w:cs="Arial"/>
          <w:b/>
          <w:bCs/>
          <w:noProof/>
          <w:sz w:val="20"/>
          <w:szCs w:val="24"/>
        </w:rPr>
        <w:t>380</w:t>
      </w:r>
      <w:r w:rsidRPr="00516D49">
        <w:rPr>
          <w:rFonts w:ascii="Arial" w:hAnsi="Arial" w:cs="Arial"/>
          <w:noProof/>
          <w:sz w:val="20"/>
          <w:szCs w:val="24"/>
        </w:rPr>
        <w:t>, 720–728 (2019).</w:t>
      </w:r>
    </w:p>
    <w:p w14:paraId="50E4A3CF"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5.</w:t>
      </w:r>
      <w:r w:rsidRPr="00516D49">
        <w:rPr>
          <w:rFonts w:ascii="Arial" w:hAnsi="Arial" w:cs="Arial"/>
          <w:noProof/>
          <w:sz w:val="20"/>
          <w:szCs w:val="24"/>
        </w:rPr>
        <w:tab/>
        <w:t xml:space="preserve">Young, A. M. </w:t>
      </w:r>
      <w:r w:rsidRPr="00516D49">
        <w:rPr>
          <w:rFonts w:ascii="Arial" w:hAnsi="Arial" w:cs="Arial"/>
          <w:i/>
          <w:iCs/>
          <w:noProof/>
          <w:sz w:val="20"/>
          <w:szCs w:val="24"/>
        </w:rPr>
        <w:t>et al.</w:t>
      </w:r>
      <w:r w:rsidRPr="00516D49">
        <w:rPr>
          <w:rFonts w:ascii="Arial" w:hAnsi="Arial" w:cs="Arial"/>
          <w:noProof/>
          <w:sz w:val="20"/>
          <w:szCs w:val="24"/>
        </w:rPr>
        <w:t xml:space="preserve"> Comparison of an oral factor xa inhibitor with low molecular weight heparin in patients with cancer with venous thromboembolism: Results of a randomized trial (SELECT-D). </w:t>
      </w:r>
      <w:r w:rsidRPr="00516D49">
        <w:rPr>
          <w:rFonts w:ascii="Arial" w:hAnsi="Arial" w:cs="Arial"/>
          <w:i/>
          <w:iCs/>
          <w:noProof/>
          <w:sz w:val="20"/>
          <w:szCs w:val="24"/>
        </w:rPr>
        <w:t>J. Clin. Oncol.</w:t>
      </w:r>
      <w:r w:rsidRPr="00516D49">
        <w:rPr>
          <w:rFonts w:ascii="Arial" w:hAnsi="Arial" w:cs="Arial"/>
          <w:noProof/>
          <w:sz w:val="20"/>
          <w:szCs w:val="24"/>
        </w:rPr>
        <w:t xml:space="preserve"> </w:t>
      </w:r>
      <w:r w:rsidRPr="00516D49">
        <w:rPr>
          <w:rFonts w:ascii="Arial" w:hAnsi="Arial" w:cs="Arial"/>
          <w:b/>
          <w:bCs/>
          <w:noProof/>
          <w:sz w:val="20"/>
          <w:szCs w:val="24"/>
        </w:rPr>
        <w:t>36</w:t>
      </w:r>
      <w:r w:rsidRPr="00516D49">
        <w:rPr>
          <w:rFonts w:ascii="Arial" w:hAnsi="Arial" w:cs="Arial"/>
          <w:noProof/>
          <w:sz w:val="20"/>
          <w:szCs w:val="24"/>
        </w:rPr>
        <w:t>, 2017–2023 (2018).</w:t>
      </w:r>
    </w:p>
    <w:p w14:paraId="6E6D1656"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6.</w:t>
      </w:r>
      <w:r w:rsidRPr="00516D49">
        <w:rPr>
          <w:rFonts w:ascii="Arial" w:hAnsi="Arial" w:cs="Arial"/>
          <w:noProof/>
          <w:sz w:val="20"/>
          <w:szCs w:val="24"/>
        </w:rPr>
        <w:tab/>
        <w:t xml:space="preserve">Weinz, C., Schwarz, T., Kubitza, D., Mueck, W. &amp; Lang, D. Metabolism and excretion of rivaroxaban, an oral, direct factor Xa inhibitor, in rats, dogs, and humans. </w:t>
      </w:r>
      <w:r w:rsidRPr="00516D49">
        <w:rPr>
          <w:rFonts w:ascii="Arial" w:hAnsi="Arial" w:cs="Arial"/>
          <w:i/>
          <w:iCs/>
          <w:noProof/>
          <w:sz w:val="20"/>
          <w:szCs w:val="24"/>
        </w:rPr>
        <w:t>Drug Metab. Dispos.</w:t>
      </w:r>
      <w:r w:rsidRPr="00516D49">
        <w:rPr>
          <w:rFonts w:ascii="Arial" w:hAnsi="Arial" w:cs="Arial"/>
          <w:noProof/>
          <w:sz w:val="20"/>
          <w:szCs w:val="24"/>
        </w:rPr>
        <w:t xml:space="preserve"> </w:t>
      </w:r>
      <w:r w:rsidRPr="00516D49">
        <w:rPr>
          <w:rFonts w:ascii="Arial" w:hAnsi="Arial" w:cs="Arial"/>
          <w:b/>
          <w:bCs/>
          <w:noProof/>
          <w:sz w:val="20"/>
          <w:szCs w:val="24"/>
        </w:rPr>
        <w:t>37</w:t>
      </w:r>
      <w:r w:rsidRPr="00516D49">
        <w:rPr>
          <w:rFonts w:ascii="Arial" w:hAnsi="Arial" w:cs="Arial"/>
          <w:noProof/>
          <w:sz w:val="20"/>
          <w:szCs w:val="24"/>
        </w:rPr>
        <w:t>, 1056–1064 (2009).</w:t>
      </w:r>
    </w:p>
    <w:p w14:paraId="69FECEC9"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7.</w:t>
      </w:r>
      <w:r w:rsidRPr="00516D49">
        <w:rPr>
          <w:rFonts w:ascii="Arial" w:hAnsi="Arial" w:cs="Arial"/>
          <w:noProof/>
          <w:sz w:val="20"/>
          <w:szCs w:val="24"/>
        </w:rPr>
        <w:tab/>
        <w:t xml:space="preserve">Gnoth, M. J., Buetehorn, U., Muenster, U., Schwarz, T. &amp; Sandmann, S. In vitro and in vivo P-glycoprotein transport characteristics of rivaroxaban. </w:t>
      </w:r>
      <w:r w:rsidRPr="00516D49">
        <w:rPr>
          <w:rFonts w:ascii="Arial" w:hAnsi="Arial" w:cs="Arial"/>
          <w:i/>
          <w:iCs/>
          <w:noProof/>
          <w:sz w:val="20"/>
          <w:szCs w:val="24"/>
        </w:rPr>
        <w:t>J Pharmacol Exp Ther</w:t>
      </w:r>
      <w:r w:rsidRPr="00516D49">
        <w:rPr>
          <w:rFonts w:ascii="Arial" w:hAnsi="Arial" w:cs="Arial"/>
          <w:noProof/>
          <w:sz w:val="20"/>
          <w:szCs w:val="24"/>
        </w:rPr>
        <w:t xml:space="preserve"> </w:t>
      </w:r>
      <w:r w:rsidRPr="00516D49">
        <w:rPr>
          <w:rFonts w:ascii="Arial" w:hAnsi="Arial" w:cs="Arial"/>
          <w:b/>
          <w:bCs/>
          <w:noProof/>
          <w:sz w:val="20"/>
          <w:szCs w:val="24"/>
        </w:rPr>
        <w:t>338</w:t>
      </w:r>
      <w:r w:rsidRPr="00516D49">
        <w:rPr>
          <w:rFonts w:ascii="Arial" w:hAnsi="Arial" w:cs="Arial"/>
          <w:noProof/>
          <w:sz w:val="20"/>
          <w:szCs w:val="24"/>
        </w:rPr>
        <w:t>, 372–380 (2011).</w:t>
      </w:r>
    </w:p>
    <w:p w14:paraId="6F4FE46F"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8.</w:t>
      </w:r>
      <w:r w:rsidRPr="00516D49">
        <w:rPr>
          <w:rFonts w:ascii="Arial" w:hAnsi="Arial" w:cs="Arial"/>
          <w:noProof/>
          <w:sz w:val="20"/>
          <w:szCs w:val="24"/>
        </w:rPr>
        <w:tab/>
        <w:t xml:space="preserve">Jing, E. </w:t>
      </w:r>
      <w:r w:rsidRPr="00516D49">
        <w:rPr>
          <w:rFonts w:ascii="Arial" w:hAnsi="Arial" w:cs="Arial"/>
          <w:i/>
          <w:iCs/>
          <w:noProof/>
          <w:sz w:val="20"/>
          <w:szCs w:val="24"/>
        </w:rPr>
        <w:t>et al.</w:t>
      </w:r>
      <w:r w:rsidRPr="00516D49">
        <w:rPr>
          <w:rFonts w:ascii="Arial" w:hAnsi="Arial" w:cs="Arial"/>
          <w:noProof/>
          <w:sz w:val="20"/>
          <w:szCs w:val="24"/>
        </w:rPr>
        <w:t xml:space="preserve"> Systematic Development and Verification of a Physiologically Based Pharmacokinetic Model of Rivaroxaban s. (2019).</w:t>
      </w:r>
    </w:p>
    <w:p w14:paraId="66FB7A59"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9.</w:t>
      </w:r>
      <w:r w:rsidRPr="00516D49">
        <w:rPr>
          <w:rFonts w:ascii="Arial" w:hAnsi="Arial" w:cs="Arial"/>
          <w:noProof/>
          <w:sz w:val="20"/>
          <w:szCs w:val="24"/>
        </w:rPr>
        <w:tab/>
        <w:t xml:space="preserve">Grillo, J. A. </w:t>
      </w:r>
      <w:r w:rsidRPr="00516D49">
        <w:rPr>
          <w:rFonts w:ascii="Arial" w:hAnsi="Arial" w:cs="Arial"/>
          <w:i/>
          <w:iCs/>
          <w:noProof/>
          <w:sz w:val="20"/>
          <w:szCs w:val="24"/>
        </w:rPr>
        <w:t>et al.</w:t>
      </w:r>
      <w:r w:rsidRPr="00516D49">
        <w:rPr>
          <w:rFonts w:ascii="Arial" w:hAnsi="Arial" w:cs="Arial"/>
          <w:noProof/>
          <w:sz w:val="20"/>
          <w:szCs w:val="24"/>
        </w:rPr>
        <w:t xml:space="preserve"> Utility of a physiologically-based pharmacokinetic (PBPK) modeling approach to quantitatively predict a complex drug-drug-disease interaction scenario for rivaroxaban during the drug review process: implications for clinical practice. </w:t>
      </w:r>
      <w:r w:rsidRPr="00516D49">
        <w:rPr>
          <w:rFonts w:ascii="Arial" w:hAnsi="Arial" w:cs="Arial"/>
          <w:i/>
          <w:iCs/>
          <w:noProof/>
          <w:sz w:val="20"/>
          <w:szCs w:val="24"/>
        </w:rPr>
        <w:t>Biopharm. Drug Dispos.</w:t>
      </w:r>
      <w:r w:rsidRPr="00516D49">
        <w:rPr>
          <w:rFonts w:ascii="Arial" w:hAnsi="Arial" w:cs="Arial"/>
          <w:noProof/>
          <w:sz w:val="20"/>
          <w:szCs w:val="24"/>
        </w:rPr>
        <w:t xml:space="preserve"> </w:t>
      </w:r>
      <w:r w:rsidRPr="00516D49">
        <w:rPr>
          <w:rFonts w:ascii="Arial" w:hAnsi="Arial" w:cs="Arial"/>
          <w:b/>
          <w:bCs/>
          <w:noProof/>
          <w:sz w:val="20"/>
          <w:szCs w:val="24"/>
        </w:rPr>
        <w:t>33</w:t>
      </w:r>
      <w:r w:rsidRPr="00516D49">
        <w:rPr>
          <w:rFonts w:ascii="Arial" w:hAnsi="Arial" w:cs="Arial"/>
          <w:noProof/>
          <w:sz w:val="20"/>
          <w:szCs w:val="24"/>
        </w:rPr>
        <w:t>, 99–110 (2012).</w:t>
      </w:r>
    </w:p>
    <w:p w14:paraId="58918445"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10.</w:t>
      </w:r>
      <w:r w:rsidRPr="00516D49">
        <w:rPr>
          <w:rFonts w:ascii="Arial" w:hAnsi="Arial" w:cs="Arial"/>
          <w:noProof/>
          <w:sz w:val="20"/>
          <w:szCs w:val="24"/>
        </w:rPr>
        <w:tab/>
        <w:t xml:space="preserve">Ismail, M., Lee, V. H., Chow, C. R. &amp; Rubino, C. M. Minimal Physiologically Based Pharmacokinetic and Drug-Drug-Disease Interaction Model of Rivaroxaban and Verapamil in Healthy and Renally Impaired Subjects. </w:t>
      </w:r>
      <w:r w:rsidRPr="00516D49">
        <w:rPr>
          <w:rFonts w:ascii="Arial" w:hAnsi="Arial" w:cs="Arial"/>
          <w:i/>
          <w:iCs/>
          <w:noProof/>
          <w:sz w:val="20"/>
          <w:szCs w:val="24"/>
        </w:rPr>
        <w:t>J. Clin. Pharmacol.</w:t>
      </w:r>
      <w:r w:rsidRPr="00516D49">
        <w:rPr>
          <w:rFonts w:ascii="Arial" w:hAnsi="Arial" w:cs="Arial"/>
          <w:noProof/>
          <w:sz w:val="20"/>
          <w:szCs w:val="24"/>
        </w:rPr>
        <w:t xml:space="preserve"> </w:t>
      </w:r>
      <w:r w:rsidRPr="00516D49">
        <w:rPr>
          <w:rFonts w:ascii="Arial" w:hAnsi="Arial" w:cs="Arial"/>
          <w:b/>
          <w:bCs/>
          <w:noProof/>
          <w:sz w:val="20"/>
          <w:szCs w:val="24"/>
        </w:rPr>
        <w:t>58</w:t>
      </w:r>
      <w:r w:rsidRPr="00516D49">
        <w:rPr>
          <w:rFonts w:ascii="Arial" w:hAnsi="Arial" w:cs="Arial"/>
          <w:noProof/>
          <w:sz w:val="20"/>
          <w:szCs w:val="24"/>
        </w:rPr>
        <w:t>, 541–548 (2018).</w:t>
      </w:r>
    </w:p>
    <w:p w14:paraId="618C2009"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11.</w:t>
      </w:r>
      <w:r w:rsidRPr="00516D49">
        <w:rPr>
          <w:rFonts w:ascii="Arial" w:hAnsi="Arial" w:cs="Arial"/>
          <w:noProof/>
          <w:sz w:val="20"/>
          <w:szCs w:val="24"/>
        </w:rPr>
        <w:tab/>
        <w:t xml:space="preserve">Bauersachs, R., Khorana, A. A., Lee, A. Y. Y. &amp; Soff, G. Cancer-associated venous thromboembolism: Treatment and prevention with rivaroxaban. </w:t>
      </w:r>
      <w:r w:rsidRPr="00516D49">
        <w:rPr>
          <w:rFonts w:ascii="Arial" w:hAnsi="Arial" w:cs="Arial"/>
          <w:i/>
          <w:iCs/>
          <w:noProof/>
          <w:sz w:val="20"/>
          <w:szCs w:val="24"/>
        </w:rPr>
        <w:t>Res. Pract. Thromb. Haemost.</w:t>
      </w:r>
      <w:r w:rsidRPr="00516D49">
        <w:rPr>
          <w:rFonts w:ascii="Arial" w:hAnsi="Arial" w:cs="Arial"/>
          <w:noProof/>
          <w:sz w:val="20"/>
          <w:szCs w:val="24"/>
        </w:rPr>
        <w:t xml:space="preserve"> </w:t>
      </w:r>
      <w:r w:rsidRPr="00516D49">
        <w:rPr>
          <w:rFonts w:ascii="Arial" w:hAnsi="Arial" w:cs="Arial"/>
          <w:b/>
          <w:bCs/>
          <w:noProof/>
          <w:sz w:val="20"/>
          <w:szCs w:val="24"/>
        </w:rPr>
        <w:t>4</w:t>
      </w:r>
      <w:r w:rsidRPr="00516D49">
        <w:rPr>
          <w:rFonts w:ascii="Arial" w:hAnsi="Arial" w:cs="Arial"/>
          <w:noProof/>
          <w:sz w:val="20"/>
          <w:szCs w:val="24"/>
        </w:rPr>
        <w:t>, 532–549 (2020).</w:t>
      </w:r>
    </w:p>
    <w:p w14:paraId="57B5D25C"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12.</w:t>
      </w:r>
      <w:r w:rsidRPr="00516D49">
        <w:rPr>
          <w:rFonts w:ascii="Arial" w:hAnsi="Arial" w:cs="Arial"/>
          <w:noProof/>
          <w:sz w:val="20"/>
          <w:szCs w:val="24"/>
        </w:rPr>
        <w:tab/>
        <w:t xml:space="preserve">Leeuwen, R. W. F. van, Gelder, T. van, Mathijssen, R. H. J. &amp; Jansman, F. G. A. Drug-drug interactions with tyrosine-kinase inhibitors: A clinical perspective. </w:t>
      </w:r>
      <w:r w:rsidRPr="00516D49">
        <w:rPr>
          <w:rFonts w:ascii="Arial" w:hAnsi="Arial" w:cs="Arial"/>
          <w:i/>
          <w:iCs/>
          <w:noProof/>
          <w:sz w:val="20"/>
          <w:szCs w:val="24"/>
        </w:rPr>
        <w:t>Lancet Oncol.</w:t>
      </w:r>
      <w:r w:rsidRPr="00516D49">
        <w:rPr>
          <w:rFonts w:ascii="Arial" w:hAnsi="Arial" w:cs="Arial"/>
          <w:noProof/>
          <w:sz w:val="20"/>
          <w:szCs w:val="24"/>
        </w:rPr>
        <w:t xml:space="preserve"> </w:t>
      </w:r>
      <w:r w:rsidRPr="00516D49">
        <w:rPr>
          <w:rFonts w:ascii="Arial" w:hAnsi="Arial" w:cs="Arial"/>
          <w:b/>
          <w:bCs/>
          <w:noProof/>
          <w:sz w:val="20"/>
          <w:szCs w:val="24"/>
        </w:rPr>
        <w:t>15</w:t>
      </w:r>
      <w:r w:rsidRPr="00516D49">
        <w:rPr>
          <w:rFonts w:ascii="Arial" w:hAnsi="Arial" w:cs="Arial"/>
          <w:noProof/>
          <w:sz w:val="20"/>
          <w:szCs w:val="24"/>
        </w:rPr>
        <w:t>,  (2014).</w:t>
      </w:r>
    </w:p>
    <w:p w14:paraId="7553EC22"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lastRenderedPageBreak/>
        <w:t>13.</w:t>
      </w:r>
      <w:r w:rsidRPr="00516D49">
        <w:rPr>
          <w:rFonts w:ascii="Arial" w:hAnsi="Arial" w:cs="Arial"/>
          <w:noProof/>
          <w:sz w:val="20"/>
          <w:szCs w:val="24"/>
        </w:rPr>
        <w:tab/>
        <w:t xml:space="preserve">Teo, Y. L., Ho, H. K. &amp; Chan, A. Metabolism-related pharmacokinetic drug-drug interactions with tyrosine kinase inhibitors: Current understanding, challenges and recommendations. </w:t>
      </w:r>
      <w:r w:rsidRPr="00516D49">
        <w:rPr>
          <w:rFonts w:ascii="Arial" w:hAnsi="Arial" w:cs="Arial"/>
          <w:i/>
          <w:iCs/>
          <w:noProof/>
          <w:sz w:val="20"/>
          <w:szCs w:val="24"/>
        </w:rPr>
        <w:t>Br. J. Clin. Pharmacol.</w:t>
      </w:r>
      <w:r w:rsidRPr="00516D49">
        <w:rPr>
          <w:rFonts w:ascii="Arial" w:hAnsi="Arial" w:cs="Arial"/>
          <w:noProof/>
          <w:sz w:val="20"/>
          <w:szCs w:val="24"/>
        </w:rPr>
        <w:t xml:space="preserve"> </w:t>
      </w:r>
      <w:r w:rsidRPr="00516D49">
        <w:rPr>
          <w:rFonts w:ascii="Arial" w:hAnsi="Arial" w:cs="Arial"/>
          <w:b/>
          <w:bCs/>
          <w:noProof/>
          <w:sz w:val="20"/>
          <w:szCs w:val="24"/>
        </w:rPr>
        <w:t>79</w:t>
      </w:r>
      <w:r w:rsidRPr="00516D49">
        <w:rPr>
          <w:rFonts w:ascii="Arial" w:hAnsi="Arial" w:cs="Arial"/>
          <w:noProof/>
          <w:sz w:val="20"/>
          <w:szCs w:val="24"/>
        </w:rPr>
        <w:t>, 241–253 (2015).</w:t>
      </w:r>
    </w:p>
    <w:p w14:paraId="2F96D6F4"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14.</w:t>
      </w:r>
      <w:r w:rsidRPr="00516D49">
        <w:rPr>
          <w:rFonts w:ascii="Arial" w:hAnsi="Arial" w:cs="Arial"/>
          <w:noProof/>
          <w:sz w:val="20"/>
          <w:szCs w:val="24"/>
        </w:rPr>
        <w:tab/>
        <w:t xml:space="preserve">Haouala, A. </w:t>
      </w:r>
      <w:r w:rsidRPr="00516D49">
        <w:rPr>
          <w:rFonts w:ascii="Arial" w:hAnsi="Arial" w:cs="Arial"/>
          <w:i/>
          <w:iCs/>
          <w:noProof/>
          <w:sz w:val="20"/>
          <w:szCs w:val="24"/>
        </w:rPr>
        <w:t>et al.</w:t>
      </w:r>
      <w:r w:rsidRPr="00516D49">
        <w:rPr>
          <w:rFonts w:ascii="Arial" w:hAnsi="Arial" w:cs="Arial"/>
          <w:noProof/>
          <w:sz w:val="20"/>
          <w:szCs w:val="24"/>
        </w:rPr>
        <w:t xml:space="preserve"> Drug interactions with the tyrosine kinase inhibitors imatinib, dasatinib, and nilotinib. </w:t>
      </w:r>
      <w:r w:rsidRPr="00516D49">
        <w:rPr>
          <w:rFonts w:ascii="Arial" w:hAnsi="Arial" w:cs="Arial"/>
          <w:i/>
          <w:iCs/>
          <w:noProof/>
          <w:sz w:val="20"/>
          <w:szCs w:val="24"/>
        </w:rPr>
        <w:t>Blood</w:t>
      </w:r>
      <w:r w:rsidRPr="00516D49">
        <w:rPr>
          <w:rFonts w:ascii="Arial" w:hAnsi="Arial" w:cs="Arial"/>
          <w:noProof/>
          <w:sz w:val="20"/>
          <w:szCs w:val="24"/>
        </w:rPr>
        <w:t xml:space="preserve"> </w:t>
      </w:r>
      <w:r w:rsidRPr="00516D49">
        <w:rPr>
          <w:rFonts w:ascii="Arial" w:hAnsi="Arial" w:cs="Arial"/>
          <w:b/>
          <w:bCs/>
          <w:noProof/>
          <w:sz w:val="20"/>
          <w:szCs w:val="24"/>
        </w:rPr>
        <w:t>117</w:t>
      </w:r>
      <w:r w:rsidRPr="00516D49">
        <w:rPr>
          <w:rFonts w:ascii="Arial" w:hAnsi="Arial" w:cs="Arial"/>
          <w:noProof/>
          <w:sz w:val="20"/>
          <w:szCs w:val="24"/>
        </w:rPr>
        <w:t>, 75–87 (2011).</w:t>
      </w:r>
    </w:p>
    <w:p w14:paraId="48C11932"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15.</w:t>
      </w:r>
      <w:r w:rsidRPr="00516D49">
        <w:rPr>
          <w:rFonts w:ascii="Arial" w:hAnsi="Arial" w:cs="Arial"/>
          <w:noProof/>
          <w:sz w:val="20"/>
          <w:szCs w:val="24"/>
        </w:rPr>
        <w:tab/>
        <w:t xml:space="preserve">Filppula, A. M., Neuvonen, P. J. &amp; Backman, J. T. In vitro assessment of time-dependent inhibitory effects on CYP2C8 and CYP3A activity by fourteen protein kinase inhibitors. </w:t>
      </w:r>
      <w:r w:rsidRPr="00516D49">
        <w:rPr>
          <w:rFonts w:ascii="Arial" w:hAnsi="Arial" w:cs="Arial"/>
          <w:i/>
          <w:iCs/>
          <w:noProof/>
          <w:sz w:val="20"/>
          <w:szCs w:val="24"/>
        </w:rPr>
        <w:t>Drug Metab. Dispos.</w:t>
      </w:r>
      <w:r w:rsidRPr="00516D49">
        <w:rPr>
          <w:rFonts w:ascii="Arial" w:hAnsi="Arial" w:cs="Arial"/>
          <w:noProof/>
          <w:sz w:val="20"/>
          <w:szCs w:val="24"/>
        </w:rPr>
        <w:t xml:space="preserve"> </w:t>
      </w:r>
      <w:r w:rsidRPr="00516D49">
        <w:rPr>
          <w:rFonts w:ascii="Arial" w:hAnsi="Arial" w:cs="Arial"/>
          <w:b/>
          <w:bCs/>
          <w:noProof/>
          <w:sz w:val="20"/>
          <w:szCs w:val="24"/>
        </w:rPr>
        <w:t>42</w:t>
      </w:r>
      <w:r w:rsidRPr="00516D49">
        <w:rPr>
          <w:rFonts w:ascii="Arial" w:hAnsi="Arial" w:cs="Arial"/>
          <w:noProof/>
          <w:sz w:val="20"/>
          <w:szCs w:val="24"/>
        </w:rPr>
        <w:t>, 1202–1209 (2014).</w:t>
      </w:r>
    </w:p>
    <w:p w14:paraId="32F062BD"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16.</w:t>
      </w:r>
      <w:r w:rsidRPr="00516D49">
        <w:rPr>
          <w:rFonts w:ascii="Arial" w:hAnsi="Arial" w:cs="Arial"/>
          <w:noProof/>
          <w:sz w:val="20"/>
          <w:szCs w:val="24"/>
        </w:rPr>
        <w:tab/>
        <w:t xml:space="preserve">Dong, P. P. </w:t>
      </w:r>
      <w:r w:rsidRPr="00516D49">
        <w:rPr>
          <w:rFonts w:ascii="Arial" w:hAnsi="Arial" w:cs="Arial"/>
          <w:i/>
          <w:iCs/>
          <w:noProof/>
          <w:sz w:val="20"/>
          <w:szCs w:val="24"/>
        </w:rPr>
        <w:t>et al.</w:t>
      </w:r>
      <w:r w:rsidRPr="00516D49">
        <w:rPr>
          <w:rFonts w:ascii="Arial" w:hAnsi="Arial" w:cs="Arial"/>
          <w:noProof/>
          <w:sz w:val="20"/>
          <w:szCs w:val="24"/>
        </w:rPr>
        <w:t xml:space="preserve"> Substrate-dependent modulation of the catalytic activity of CYP3A by erlotinib. </w:t>
      </w:r>
      <w:r w:rsidRPr="00516D49">
        <w:rPr>
          <w:rFonts w:ascii="Arial" w:hAnsi="Arial" w:cs="Arial"/>
          <w:i/>
          <w:iCs/>
          <w:noProof/>
          <w:sz w:val="20"/>
          <w:szCs w:val="24"/>
        </w:rPr>
        <w:t>Acta Pharmacol. Sin.</w:t>
      </w:r>
      <w:r w:rsidRPr="00516D49">
        <w:rPr>
          <w:rFonts w:ascii="Arial" w:hAnsi="Arial" w:cs="Arial"/>
          <w:noProof/>
          <w:sz w:val="20"/>
          <w:szCs w:val="24"/>
        </w:rPr>
        <w:t xml:space="preserve"> </w:t>
      </w:r>
      <w:r w:rsidRPr="00516D49">
        <w:rPr>
          <w:rFonts w:ascii="Arial" w:hAnsi="Arial" w:cs="Arial"/>
          <w:b/>
          <w:bCs/>
          <w:noProof/>
          <w:sz w:val="20"/>
          <w:szCs w:val="24"/>
        </w:rPr>
        <w:t>32</w:t>
      </w:r>
      <w:r w:rsidRPr="00516D49">
        <w:rPr>
          <w:rFonts w:ascii="Arial" w:hAnsi="Arial" w:cs="Arial"/>
          <w:noProof/>
          <w:sz w:val="20"/>
          <w:szCs w:val="24"/>
        </w:rPr>
        <w:t>, 399–407 (2011).</w:t>
      </w:r>
    </w:p>
    <w:p w14:paraId="4B08C2C1"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17.</w:t>
      </w:r>
      <w:r w:rsidRPr="00516D49">
        <w:rPr>
          <w:rFonts w:ascii="Arial" w:hAnsi="Arial" w:cs="Arial"/>
          <w:noProof/>
          <w:sz w:val="20"/>
          <w:szCs w:val="24"/>
        </w:rPr>
        <w:tab/>
        <w:t xml:space="preserve">Johnston, R. A., Rawling, T., Chan, T., Zhou, F. &amp; Murray, M. Selective inhibition of human solute carrier transporters by multikinase inhibitors. </w:t>
      </w:r>
      <w:r w:rsidRPr="00516D49">
        <w:rPr>
          <w:rFonts w:ascii="Arial" w:hAnsi="Arial" w:cs="Arial"/>
          <w:i/>
          <w:iCs/>
          <w:noProof/>
          <w:sz w:val="20"/>
          <w:szCs w:val="24"/>
        </w:rPr>
        <w:t>Drug Metab. Dispos.</w:t>
      </w:r>
      <w:r w:rsidRPr="00516D49">
        <w:rPr>
          <w:rFonts w:ascii="Arial" w:hAnsi="Arial" w:cs="Arial"/>
          <w:noProof/>
          <w:sz w:val="20"/>
          <w:szCs w:val="24"/>
        </w:rPr>
        <w:t xml:space="preserve"> </w:t>
      </w:r>
      <w:r w:rsidRPr="00516D49">
        <w:rPr>
          <w:rFonts w:ascii="Arial" w:hAnsi="Arial" w:cs="Arial"/>
          <w:b/>
          <w:bCs/>
          <w:noProof/>
          <w:sz w:val="20"/>
          <w:szCs w:val="24"/>
        </w:rPr>
        <w:t>42</w:t>
      </w:r>
      <w:r w:rsidRPr="00516D49">
        <w:rPr>
          <w:rFonts w:ascii="Arial" w:hAnsi="Arial" w:cs="Arial"/>
          <w:noProof/>
          <w:sz w:val="20"/>
          <w:szCs w:val="24"/>
        </w:rPr>
        <w:t>, 1851–1857 (2014).</w:t>
      </w:r>
    </w:p>
    <w:p w14:paraId="2A2434A4"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18.</w:t>
      </w:r>
      <w:r w:rsidRPr="00516D49">
        <w:rPr>
          <w:rFonts w:ascii="Arial" w:hAnsi="Arial" w:cs="Arial"/>
          <w:noProof/>
          <w:sz w:val="20"/>
          <w:szCs w:val="24"/>
        </w:rPr>
        <w:tab/>
        <w:t xml:space="preserve">Kubitza, D. </w:t>
      </w:r>
      <w:r w:rsidRPr="00516D49">
        <w:rPr>
          <w:rFonts w:ascii="Arial" w:hAnsi="Arial" w:cs="Arial"/>
          <w:i/>
          <w:iCs/>
          <w:noProof/>
          <w:sz w:val="20"/>
          <w:szCs w:val="24"/>
        </w:rPr>
        <w:t>et al.</w:t>
      </w:r>
      <w:r w:rsidRPr="00516D49">
        <w:rPr>
          <w:rFonts w:ascii="Arial" w:hAnsi="Arial" w:cs="Arial"/>
          <w:noProof/>
          <w:sz w:val="20"/>
          <w:szCs w:val="24"/>
        </w:rPr>
        <w:t xml:space="preserve"> Effects of renal impairment on the pharmacokinetics, pharmacodynamics and safety of rivaroxaban, an oral, direct Factor Xa inhibitor. </w:t>
      </w:r>
      <w:r w:rsidRPr="00516D49">
        <w:rPr>
          <w:rFonts w:ascii="Arial" w:hAnsi="Arial" w:cs="Arial"/>
          <w:i/>
          <w:iCs/>
          <w:noProof/>
          <w:sz w:val="20"/>
          <w:szCs w:val="24"/>
        </w:rPr>
        <w:t>Br. J. Clin. Pharmacol.</w:t>
      </w:r>
      <w:r w:rsidRPr="00516D49">
        <w:rPr>
          <w:rFonts w:ascii="Arial" w:hAnsi="Arial" w:cs="Arial"/>
          <w:noProof/>
          <w:sz w:val="20"/>
          <w:szCs w:val="24"/>
        </w:rPr>
        <w:t xml:space="preserve"> </w:t>
      </w:r>
      <w:r w:rsidRPr="00516D49">
        <w:rPr>
          <w:rFonts w:ascii="Arial" w:hAnsi="Arial" w:cs="Arial"/>
          <w:b/>
          <w:bCs/>
          <w:noProof/>
          <w:sz w:val="20"/>
          <w:szCs w:val="24"/>
        </w:rPr>
        <w:t>70</w:t>
      </w:r>
      <w:r w:rsidRPr="00516D49">
        <w:rPr>
          <w:rFonts w:ascii="Arial" w:hAnsi="Arial" w:cs="Arial"/>
          <w:noProof/>
          <w:sz w:val="20"/>
          <w:szCs w:val="24"/>
        </w:rPr>
        <w:t>, 703–712 (2010).</w:t>
      </w:r>
    </w:p>
    <w:p w14:paraId="4A0438D7"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19.</w:t>
      </w:r>
      <w:r w:rsidRPr="00516D49">
        <w:rPr>
          <w:rFonts w:ascii="Arial" w:hAnsi="Arial" w:cs="Arial"/>
          <w:noProof/>
          <w:sz w:val="20"/>
          <w:szCs w:val="24"/>
        </w:rPr>
        <w:tab/>
        <w:t xml:space="preserve">Peters, S. A. &amp; Dolgos, H. Requirements to Establishing Confidence in Physiologically Based Pharmacokinetic (PBPK) Models and Overcoming Some of the Challenges to Meeting Them. </w:t>
      </w:r>
      <w:r w:rsidRPr="00516D49">
        <w:rPr>
          <w:rFonts w:ascii="Arial" w:hAnsi="Arial" w:cs="Arial"/>
          <w:i/>
          <w:iCs/>
          <w:noProof/>
          <w:sz w:val="20"/>
          <w:szCs w:val="24"/>
        </w:rPr>
        <w:t>Clin. Pharmacokinet.</w:t>
      </w:r>
      <w:r w:rsidRPr="00516D49">
        <w:rPr>
          <w:rFonts w:ascii="Arial" w:hAnsi="Arial" w:cs="Arial"/>
          <w:noProof/>
          <w:sz w:val="20"/>
          <w:szCs w:val="24"/>
        </w:rPr>
        <w:t xml:space="preserve"> </w:t>
      </w:r>
      <w:r w:rsidRPr="00516D49">
        <w:rPr>
          <w:rFonts w:ascii="Arial" w:hAnsi="Arial" w:cs="Arial"/>
          <w:b/>
          <w:bCs/>
          <w:noProof/>
          <w:sz w:val="20"/>
          <w:szCs w:val="24"/>
        </w:rPr>
        <w:t>58</w:t>
      </w:r>
      <w:r w:rsidRPr="00516D49">
        <w:rPr>
          <w:rFonts w:ascii="Arial" w:hAnsi="Arial" w:cs="Arial"/>
          <w:noProof/>
          <w:sz w:val="20"/>
          <w:szCs w:val="24"/>
        </w:rPr>
        <w:t>, 1355–1371 (2019).</w:t>
      </w:r>
    </w:p>
    <w:p w14:paraId="1F0571F7"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20.</w:t>
      </w:r>
      <w:r w:rsidRPr="00516D49">
        <w:rPr>
          <w:rFonts w:ascii="Arial" w:hAnsi="Arial" w:cs="Arial"/>
          <w:noProof/>
          <w:sz w:val="20"/>
          <w:szCs w:val="24"/>
        </w:rPr>
        <w:tab/>
        <w:t xml:space="preserve">Hsu, V. </w:t>
      </w:r>
      <w:r w:rsidRPr="00516D49">
        <w:rPr>
          <w:rFonts w:ascii="Arial" w:hAnsi="Arial" w:cs="Arial"/>
          <w:i/>
          <w:iCs/>
          <w:noProof/>
          <w:sz w:val="20"/>
          <w:szCs w:val="24"/>
        </w:rPr>
        <w:t>et al.</w:t>
      </w:r>
      <w:r w:rsidRPr="00516D49">
        <w:rPr>
          <w:rFonts w:ascii="Arial" w:hAnsi="Arial" w:cs="Arial"/>
          <w:noProof/>
          <w:sz w:val="20"/>
          <w:szCs w:val="24"/>
        </w:rPr>
        <w:t xml:space="preserve"> Towards quantitation of the effects of renal impairment and probenecid inhibition on kidney uptake and efflux transporters, using physiologically based pharmacokinetic modelling and simulations. </w:t>
      </w:r>
      <w:r w:rsidRPr="00516D49">
        <w:rPr>
          <w:rFonts w:ascii="Arial" w:hAnsi="Arial" w:cs="Arial"/>
          <w:i/>
          <w:iCs/>
          <w:noProof/>
          <w:sz w:val="20"/>
          <w:szCs w:val="24"/>
        </w:rPr>
        <w:t>Clin. Pharmacokinet.</w:t>
      </w:r>
      <w:r w:rsidRPr="00516D49">
        <w:rPr>
          <w:rFonts w:ascii="Arial" w:hAnsi="Arial" w:cs="Arial"/>
          <w:noProof/>
          <w:sz w:val="20"/>
          <w:szCs w:val="24"/>
        </w:rPr>
        <w:t xml:space="preserve"> </w:t>
      </w:r>
      <w:r w:rsidRPr="00516D49">
        <w:rPr>
          <w:rFonts w:ascii="Arial" w:hAnsi="Arial" w:cs="Arial"/>
          <w:b/>
          <w:bCs/>
          <w:noProof/>
          <w:sz w:val="20"/>
          <w:szCs w:val="24"/>
        </w:rPr>
        <w:t>53</w:t>
      </w:r>
      <w:r w:rsidRPr="00516D49">
        <w:rPr>
          <w:rFonts w:ascii="Arial" w:hAnsi="Arial" w:cs="Arial"/>
          <w:noProof/>
          <w:sz w:val="20"/>
          <w:szCs w:val="24"/>
        </w:rPr>
        <w:t>, 283–293 (2014).</w:t>
      </w:r>
    </w:p>
    <w:p w14:paraId="2EF1CCC0"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21.</w:t>
      </w:r>
      <w:r w:rsidRPr="00516D49">
        <w:rPr>
          <w:rFonts w:ascii="Arial" w:hAnsi="Arial" w:cs="Arial"/>
          <w:noProof/>
          <w:sz w:val="20"/>
          <w:szCs w:val="24"/>
        </w:rPr>
        <w:tab/>
        <w:t xml:space="preserve">Burt, H. J. </w:t>
      </w:r>
      <w:r w:rsidRPr="00516D49">
        <w:rPr>
          <w:rFonts w:ascii="Arial" w:hAnsi="Arial" w:cs="Arial"/>
          <w:i/>
          <w:iCs/>
          <w:noProof/>
          <w:sz w:val="20"/>
          <w:szCs w:val="24"/>
        </w:rPr>
        <w:t>et al.</w:t>
      </w:r>
      <w:r w:rsidRPr="00516D49">
        <w:rPr>
          <w:rFonts w:ascii="Arial" w:hAnsi="Arial" w:cs="Arial"/>
          <w:noProof/>
          <w:sz w:val="20"/>
          <w:szCs w:val="24"/>
        </w:rPr>
        <w:t xml:space="preserve"> Metformin and cimetidine: Physiologically based pharmacokinetic modelling to investigate transporter mediated drug-drug interactions. </w:t>
      </w:r>
      <w:r w:rsidRPr="00516D49">
        <w:rPr>
          <w:rFonts w:ascii="Arial" w:hAnsi="Arial" w:cs="Arial"/>
          <w:i/>
          <w:iCs/>
          <w:noProof/>
          <w:sz w:val="20"/>
          <w:szCs w:val="24"/>
        </w:rPr>
        <w:t>Eur. J. Pharm. Sci.</w:t>
      </w:r>
      <w:r w:rsidRPr="00516D49">
        <w:rPr>
          <w:rFonts w:ascii="Arial" w:hAnsi="Arial" w:cs="Arial"/>
          <w:noProof/>
          <w:sz w:val="20"/>
          <w:szCs w:val="24"/>
        </w:rPr>
        <w:t xml:space="preserve"> </w:t>
      </w:r>
      <w:r w:rsidRPr="00516D49">
        <w:rPr>
          <w:rFonts w:ascii="Arial" w:hAnsi="Arial" w:cs="Arial"/>
          <w:b/>
          <w:bCs/>
          <w:noProof/>
          <w:sz w:val="20"/>
          <w:szCs w:val="24"/>
        </w:rPr>
        <w:t>88</w:t>
      </w:r>
      <w:r w:rsidRPr="00516D49">
        <w:rPr>
          <w:rFonts w:ascii="Arial" w:hAnsi="Arial" w:cs="Arial"/>
          <w:noProof/>
          <w:sz w:val="20"/>
          <w:szCs w:val="24"/>
        </w:rPr>
        <w:t>, 70–82 (2016).</w:t>
      </w:r>
    </w:p>
    <w:p w14:paraId="0D48A830"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22.</w:t>
      </w:r>
      <w:r w:rsidRPr="00516D49">
        <w:rPr>
          <w:rFonts w:ascii="Arial" w:hAnsi="Arial" w:cs="Arial"/>
          <w:noProof/>
          <w:sz w:val="20"/>
          <w:szCs w:val="24"/>
        </w:rPr>
        <w:tab/>
        <w:t xml:space="preserve">Izumi, S. </w:t>
      </w:r>
      <w:r w:rsidRPr="00516D49">
        <w:rPr>
          <w:rFonts w:ascii="Arial" w:hAnsi="Arial" w:cs="Arial"/>
          <w:i/>
          <w:iCs/>
          <w:noProof/>
          <w:sz w:val="20"/>
          <w:szCs w:val="24"/>
        </w:rPr>
        <w:t>et al.</w:t>
      </w:r>
      <w:r w:rsidRPr="00516D49">
        <w:rPr>
          <w:rFonts w:ascii="Arial" w:hAnsi="Arial" w:cs="Arial"/>
          <w:noProof/>
          <w:sz w:val="20"/>
          <w:szCs w:val="24"/>
        </w:rPr>
        <w:t xml:space="preserve"> Investigation of the impact of substrate selection on in vitro organic anion transporting polypeptide 1B1 inhibition profiles for the prediction of drug-drug interactions. </w:t>
      </w:r>
      <w:r w:rsidRPr="00516D49">
        <w:rPr>
          <w:rFonts w:ascii="Arial" w:hAnsi="Arial" w:cs="Arial"/>
          <w:i/>
          <w:iCs/>
          <w:noProof/>
          <w:sz w:val="20"/>
          <w:szCs w:val="24"/>
        </w:rPr>
        <w:t>Drug Metab. Dispos.</w:t>
      </w:r>
      <w:r w:rsidRPr="00516D49">
        <w:rPr>
          <w:rFonts w:ascii="Arial" w:hAnsi="Arial" w:cs="Arial"/>
          <w:noProof/>
          <w:sz w:val="20"/>
          <w:szCs w:val="24"/>
        </w:rPr>
        <w:t xml:space="preserve"> </w:t>
      </w:r>
      <w:r w:rsidRPr="00516D49">
        <w:rPr>
          <w:rFonts w:ascii="Arial" w:hAnsi="Arial" w:cs="Arial"/>
          <w:b/>
          <w:bCs/>
          <w:noProof/>
          <w:sz w:val="20"/>
          <w:szCs w:val="24"/>
        </w:rPr>
        <w:t>43</w:t>
      </w:r>
      <w:r w:rsidRPr="00516D49">
        <w:rPr>
          <w:rFonts w:ascii="Arial" w:hAnsi="Arial" w:cs="Arial"/>
          <w:noProof/>
          <w:sz w:val="20"/>
          <w:szCs w:val="24"/>
        </w:rPr>
        <w:t>, 235–247 (2015).</w:t>
      </w:r>
    </w:p>
    <w:p w14:paraId="3768E306"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23.</w:t>
      </w:r>
      <w:r w:rsidRPr="00516D49">
        <w:rPr>
          <w:rFonts w:ascii="Arial" w:hAnsi="Arial" w:cs="Arial"/>
          <w:noProof/>
          <w:sz w:val="20"/>
          <w:szCs w:val="24"/>
        </w:rPr>
        <w:tab/>
        <w:t xml:space="preserve">Belzer, M., Morales, M., Jagadish, B., Mash, E. A. &amp; Wright, S. H. Substrate-dependent ligand inhibition of the human organic cation transporter OCT2. </w:t>
      </w:r>
      <w:r w:rsidRPr="00516D49">
        <w:rPr>
          <w:rFonts w:ascii="Arial" w:hAnsi="Arial" w:cs="Arial"/>
          <w:i/>
          <w:iCs/>
          <w:noProof/>
          <w:sz w:val="20"/>
          <w:szCs w:val="24"/>
        </w:rPr>
        <w:t>J. Pharmacol. Exp. Ther.</w:t>
      </w:r>
      <w:r w:rsidRPr="00516D49">
        <w:rPr>
          <w:rFonts w:ascii="Arial" w:hAnsi="Arial" w:cs="Arial"/>
          <w:noProof/>
          <w:sz w:val="20"/>
          <w:szCs w:val="24"/>
        </w:rPr>
        <w:t xml:space="preserve"> </w:t>
      </w:r>
      <w:r w:rsidRPr="00516D49">
        <w:rPr>
          <w:rFonts w:ascii="Arial" w:hAnsi="Arial" w:cs="Arial"/>
          <w:b/>
          <w:bCs/>
          <w:noProof/>
          <w:sz w:val="20"/>
          <w:szCs w:val="24"/>
        </w:rPr>
        <w:t>346</w:t>
      </w:r>
      <w:r w:rsidRPr="00516D49">
        <w:rPr>
          <w:rFonts w:ascii="Arial" w:hAnsi="Arial" w:cs="Arial"/>
          <w:noProof/>
          <w:sz w:val="20"/>
          <w:szCs w:val="24"/>
        </w:rPr>
        <w:t>, 300–310 (2013).</w:t>
      </w:r>
    </w:p>
    <w:p w14:paraId="4DDA2FC0"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24.</w:t>
      </w:r>
      <w:r w:rsidRPr="00516D49">
        <w:rPr>
          <w:rFonts w:ascii="Arial" w:hAnsi="Arial" w:cs="Arial"/>
          <w:noProof/>
          <w:sz w:val="20"/>
          <w:szCs w:val="24"/>
        </w:rPr>
        <w:tab/>
        <w:t xml:space="preserve">Kikuchi, R., Peterkin, V. C., Chiou, W. J., Morais, S. M. de &amp; Bow, D. A. J. Validation of a total IC50 method which enables in vitro assessment of transporter inhibition under semi-physiological conditions. </w:t>
      </w:r>
      <w:r w:rsidRPr="00516D49">
        <w:rPr>
          <w:rFonts w:ascii="Arial" w:hAnsi="Arial" w:cs="Arial"/>
          <w:i/>
          <w:iCs/>
          <w:noProof/>
          <w:sz w:val="20"/>
          <w:szCs w:val="24"/>
        </w:rPr>
        <w:t>Xenobiotica</w:t>
      </w:r>
      <w:r w:rsidRPr="00516D49">
        <w:rPr>
          <w:rFonts w:ascii="Arial" w:hAnsi="Arial" w:cs="Arial"/>
          <w:noProof/>
          <w:sz w:val="20"/>
          <w:szCs w:val="24"/>
        </w:rPr>
        <w:t xml:space="preserve"> </w:t>
      </w:r>
      <w:r w:rsidRPr="00516D49">
        <w:rPr>
          <w:rFonts w:ascii="Arial" w:hAnsi="Arial" w:cs="Arial"/>
          <w:b/>
          <w:bCs/>
          <w:noProof/>
          <w:sz w:val="20"/>
          <w:szCs w:val="24"/>
        </w:rPr>
        <w:t>47</w:t>
      </w:r>
      <w:r w:rsidRPr="00516D49">
        <w:rPr>
          <w:rFonts w:ascii="Arial" w:hAnsi="Arial" w:cs="Arial"/>
          <w:noProof/>
          <w:sz w:val="20"/>
          <w:szCs w:val="24"/>
        </w:rPr>
        <w:t>, 825–832 (2017).</w:t>
      </w:r>
    </w:p>
    <w:p w14:paraId="4666B908"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lastRenderedPageBreak/>
        <w:t>25.</w:t>
      </w:r>
      <w:r w:rsidRPr="00516D49">
        <w:rPr>
          <w:rFonts w:ascii="Arial" w:hAnsi="Arial" w:cs="Arial"/>
          <w:noProof/>
          <w:sz w:val="20"/>
          <w:szCs w:val="24"/>
        </w:rPr>
        <w:tab/>
        <w:t xml:space="preserve">Tátrai, P. </w:t>
      </w:r>
      <w:r w:rsidRPr="00516D49">
        <w:rPr>
          <w:rFonts w:ascii="Arial" w:hAnsi="Arial" w:cs="Arial"/>
          <w:i/>
          <w:iCs/>
          <w:noProof/>
          <w:sz w:val="20"/>
          <w:szCs w:val="24"/>
        </w:rPr>
        <w:t>et al.</w:t>
      </w:r>
      <w:r w:rsidRPr="00516D49">
        <w:rPr>
          <w:rFonts w:ascii="Arial" w:hAnsi="Arial" w:cs="Arial"/>
          <w:noProof/>
          <w:sz w:val="20"/>
          <w:szCs w:val="24"/>
        </w:rPr>
        <w:t xml:space="preserve"> A Sys Clatematic In Vitro Investigation of the Inhibitor Preincubation Effect on Multiplesses of Clinically Relevant Transporters. </w:t>
      </w:r>
      <w:r w:rsidRPr="00516D49">
        <w:rPr>
          <w:rFonts w:ascii="Arial" w:hAnsi="Arial" w:cs="Arial"/>
          <w:i/>
          <w:iCs/>
          <w:noProof/>
          <w:sz w:val="20"/>
          <w:szCs w:val="24"/>
        </w:rPr>
        <w:t>Drug Metab. Dispos.</w:t>
      </w:r>
      <w:r w:rsidRPr="00516D49">
        <w:rPr>
          <w:rFonts w:ascii="Arial" w:hAnsi="Arial" w:cs="Arial"/>
          <w:noProof/>
          <w:sz w:val="20"/>
          <w:szCs w:val="24"/>
        </w:rPr>
        <w:t xml:space="preserve"> </w:t>
      </w:r>
      <w:r w:rsidRPr="00516D49">
        <w:rPr>
          <w:rFonts w:ascii="Arial" w:hAnsi="Arial" w:cs="Arial"/>
          <w:b/>
          <w:bCs/>
          <w:noProof/>
          <w:sz w:val="20"/>
          <w:szCs w:val="24"/>
        </w:rPr>
        <w:t>47</w:t>
      </w:r>
      <w:r w:rsidRPr="00516D49">
        <w:rPr>
          <w:rFonts w:ascii="Arial" w:hAnsi="Arial" w:cs="Arial"/>
          <w:noProof/>
          <w:sz w:val="20"/>
          <w:szCs w:val="24"/>
        </w:rPr>
        <w:t>, 768–778 (2019).</w:t>
      </w:r>
    </w:p>
    <w:p w14:paraId="6DD55167"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26.</w:t>
      </w:r>
      <w:r w:rsidRPr="00516D49">
        <w:rPr>
          <w:rFonts w:ascii="Arial" w:hAnsi="Arial" w:cs="Arial"/>
          <w:noProof/>
          <w:sz w:val="20"/>
          <w:szCs w:val="24"/>
        </w:rPr>
        <w:tab/>
        <w:t xml:space="preserve">Scotcher, D., Jones, C. R., Galetin, A. &amp; Rostami-Hodjegan, A. Delineating the Role of Various Factors in Renal Disposition of Digoxin through Application of Physiologically Based Kidney Model to Renal Impairment Populations. </w:t>
      </w:r>
      <w:r w:rsidRPr="00516D49">
        <w:rPr>
          <w:rFonts w:ascii="Arial" w:hAnsi="Arial" w:cs="Arial"/>
          <w:i/>
          <w:iCs/>
          <w:noProof/>
          <w:sz w:val="20"/>
          <w:szCs w:val="24"/>
        </w:rPr>
        <w:t>J. Pharmacol. Exp. Ther.</w:t>
      </w:r>
      <w:r w:rsidRPr="00516D49">
        <w:rPr>
          <w:rFonts w:ascii="Arial" w:hAnsi="Arial" w:cs="Arial"/>
          <w:noProof/>
          <w:sz w:val="20"/>
          <w:szCs w:val="24"/>
        </w:rPr>
        <w:t xml:space="preserve"> </w:t>
      </w:r>
      <w:r w:rsidRPr="00516D49">
        <w:rPr>
          <w:rFonts w:ascii="Arial" w:hAnsi="Arial" w:cs="Arial"/>
          <w:b/>
          <w:bCs/>
          <w:noProof/>
          <w:sz w:val="20"/>
          <w:szCs w:val="24"/>
        </w:rPr>
        <w:t>360</w:t>
      </w:r>
      <w:r w:rsidRPr="00516D49">
        <w:rPr>
          <w:rFonts w:ascii="Arial" w:hAnsi="Arial" w:cs="Arial"/>
          <w:noProof/>
          <w:sz w:val="20"/>
          <w:szCs w:val="24"/>
        </w:rPr>
        <w:t>, 484–495 (2017).</w:t>
      </w:r>
    </w:p>
    <w:p w14:paraId="2BA0D308"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27.</w:t>
      </w:r>
      <w:r w:rsidRPr="00516D49">
        <w:rPr>
          <w:rFonts w:ascii="Arial" w:hAnsi="Arial" w:cs="Arial"/>
          <w:noProof/>
          <w:sz w:val="20"/>
          <w:szCs w:val="24"/>
        </w:rPr>
        <w:tab/>
        <w:t xml:space="preserve">Hsueh, C. H. </w:t>
      </w:r>
      <w:r w:rsidRPr="00516D49">
        <w:rPr>
          <w:rFonts w:ascii="Arial" w:hAnsi="Arial" w:cs="Arial"/>
          <w:i/>
          <w:iCs/>
          <w:noProof/>
          <w:sz w:val="20"/>
          <w:szCs w:val="24"/>
        </w:rPr>
        <w:t>et al.</w:t>
      </w:r>
      <w:r w:rsidRPr="00516D49">
        <w:rPr>
          <w:rFonts w:ascii="Arial" w:hAnsi="Arial" w:cs="Arial"/>
          <w:noProof/>
          <w:sz w:val="20"/>
          <w:szCs w:val="24"/>
        </w:rPr>
        <w:t xml:space="preserve"> PBPK Modeling of the Effect of Reduced Kidney Function on the Pharmacokinetics of Drugs Excreted Renally by Organic Anion Transporters. </w:t>
      </w:r>
      <w:r w:rsidRPr="00516D49">
        <w:rPr>
          <w:rFonts w:ascii="Arial" w:hAnsi="Arial" w:cs="Arial"/>
          <w:i/>
          <w:iCs/>
          <w:noProof/>
          <w:sz w:val="20"/>
          <w:szCs w:val="24"/>
        </w:rPr>
        <w:t>Clin. Pharmacol. Ther.</w:t>
      </w:r>
      <w:r w:rsidRPr="00516D49">
        <w:rPr>
          <w:rFonts w:ascii="Arial" w:hAnsi="Arial" w:cs="Arial"/>
          <w:noProof/>
          <w:sz w:val="20"/>
          <w:szCs w:val="24"/>
        </w:rPr>
        <w:t xml:space="preserve"> </w:t>
      </w:r>
      <w:r w:rsidRPr="00516D49">
        <w:rPr>
          <w:rFonts w:ascii="Arial" w:hAnsi="Arial" w:cs="Arial"/>
          <w:b/>
          <w:bCs/>
          <w:noProof/>
          <w:sz w:val="20"/>
          <w:szCs w:val="24"/>
        </w:rPr>
        <w:t>103</w:t>
      </w:r>
      <w:r w:rsidRPr="00516D49">
        <w:rPr>
          <w:rFonts w:ascii="Arial" w:hAnsi="Arial" w:cs="Arial"/>
          <w:noProof/>
          <w:sz w:val="20"/>
          <w:szCs w:val="24"/>
        </w:rPr>
        <w:t>, 485–492 (2018).</w:t>
      </w:r>
    </w:p>
    <w:p w14:paraId="53CCA210"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28.</w:t>
      </w:r>
      <w:r w:rsidRPr="00516D49">
        <w:rPr>
          <w:rFonts w:ascii="Arial" w:hAnsi="Arial" w:cs="Arial"/>
          <w:noProof/>
          <w:sz w:val="20"/>
          <w:szCs w:val="24"/>
        </w:rPr>
        <w:tab/>
        <w:t xml:space="preserve">Vermeer, L. M. M., Isringhausen, C. D., Ogilvie, B. W. &amp; Buckley, D. B. Evaluation of Ketoconazole and Its Alternative Clinical CYP3A4/5 Inhibitors as Inhibitors of Drug Transporters: The In Vitro Effects of Ketoconazole, Ritonavir, Clarithromycin, and Itraconazole on 13 Clinically-Relevant Drug Transporters. </w:t>
      </w:r>
      <w:r w:rsidRPr="00516D49">
        <w:rPr>
          <w:rFonts w:ascii="Arial" w:hAnsi="Arial" w:cs="Arial"/>
          <w:i/>
          <w:iCs/>
          <w:noProof/>
          <w:sz w:val="20"/>
          <w:szCs w:val="24"/>
        </w:rPr>
        <w:t>Drug Metab. Dispos.</w:t>
      </w:r>
      <w:r w:rsidRPr="00516D49">
        <w:rPr>
          <w:rFonts w:ascii="Arial" w:hAnsi="Arial" w:cs="Arial"/>
          <w:noProof/>
          <w:sz w:val="20"/>
          <w:szCs w:val="24"/>
        </w:rPr>
        <w:t xml:space="preserve"> </w:t>
      </w:r>
      <w:r w:rsidRPr="00516D49">
        <w:rPr>
          <w:rFonts w:ascii="Arial" w:hAnsi="Arial" w:cs="Arial"/>
          <w:b/>
          <w:bCs/>
          <w:noProof/>
          <w:sz w:val="20"/>
          <w:szCs w:val="24"/>
        </w:rPr>
        <w:t>44</w:t>
      </w:r>
      <w:r w:rsidRPr="00516D49">
        <w:rPr>
          <w:rFonts w:ascii="Arial" w:hAnsi="Arial" w:cs="Arial"/>
          <w:noProof/>
          <w:sz w:val="20"/>
          <w:szCs w:val="24"/>
        </w:rPr>
        <w:t>, 453–459 (2016).</w:t>
      </w:r>
    </w:p>
    <w:p w14:paraId="6C721694"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29.</w:t>
      </w:r>
      <w:r w:rsidRPr="00516D49">
        <w:rPr>
          <w:rFonts w:ascii="Arial" w:hAnsi="Arial" w:cs="Arial"/>
          <w:noProof/>
          <w:sz w:val="20"/>
          <w:szCs w:val="24"/>
        </w:rPr>
        <w:tab/>
        <w:t xml:space="preserve">Kimura, N. </w:t>
      </w:r>
      <w:r w:rsidRPr="00516D49">
        <w:rPr>
          <w:rFonts w:ascii="Arial" w:hAnsi="Arial" w:cs="Arial"/>
          <w:i/>
          <w:iCs/>
          <w:noProof/>
          <w:sz w:val="20"/>
          <w:szCs w:val="24"/>
        </w:rPr>
        <w:t>et al.</w:t>
      </w:r>
      <w:r w:rsidRPr="00516D49">
        <w:rPr>
          <w:rFonts w:ascii="Arial" w:hAnsi="Arial" w:cs="Arial"/>
          <w:noProof/>
          <w:sz w:val="20"/>
          <w:szCs w:val="24"/>
        </w:rPr>
        <w:t xml:space="preserve"> Metformin is a superior substrate for renal organic cation transporter OCT2 rather than hepatic OCT1. </w:t>
      </w:r>
      <w:r w:rsidRPr="00516D49">
        <w:rPr>
          <w:rFonts w:ascii="Arial" w:hAnsi="Arial" w:cs="Arial"/>
          <w:i/>
          <w:iCs/>
          <w:noProof/>
          <w:sz w:val="20"/>
          <w:szCs w:val="24"/>
        </w:rPr>
        <w:t>Drug Metab. Pharmacokinet.</w:t>
      </w:r>
      <w:r w:rsidRPr="00516D49">
        <w:rPr>
          <w:rFonts w:ascii="Arial" w:hAnsi="Arial" w:cs="Arial"/>
          <w:noProof/>
          <w:sz w:val="20"/>
          <w:szCs w:val="24"/>
        </w:rPr>
        <w:t xml:space="preserve"> </w:t>
      </w:r>
      <w:r w:rsidRPr="00516D49">
        <w:rPr>
          <w:rFonts w:ascii="Arial" w:hAnsi="Arial" w:cs="Arial"/>
          <w:b/>
          <w:bCs/>
          <w:noProof/>
          <w:sz w:val="20"/>
          <w:szCs w:val="24"/>
        </w:rPr>
        <w:t>20</w:t>
      </w:r>
      <w:r w:rsidRPr="00516D49">
        <w:rPr>
          <w:rFonts w:ascii="Arial" w:hAnsi="Arial" w:cs="Arial"/>
          <w:noProof/>
          <w:sz w:val="20"/>
          <w:szCs w:val="24"/>
        </w:rPr>
        <w:t>, 379–386 (2005).</w:t>
      </w:r>
    </w:p>
    <w:p w14:paraId="6FD912A4"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30.</w:t>
      </w:r>
      <w:r w:rsidRPr="00516D49">
        <w:rPr>
          <w:rFonts w:ascii="Arial" w:hAnsi="Arial" w:cs="Arial"/>
          <w:noProof/>
          <w:sz w:val="20"/>
          <w:szCs w:val="24"/>
        </w:rPr>
        <w:tab/>
        <w:t xml:space="preserve">Dixon, M. The graphical determination of Km and Ki. </w:t>
      </w:r>
      <w:r w:rsidRPr="00516D49">
        <w:rPr>
          <w:rFonts w:ascii="Arial" w:hAnsi="Arial" w:cs="Arial"/>
          <w:i/>
          <w:iCs/>
          <w:noProof/>
          <w:sz w:val="20"/>
          <w:szCs w:val="24"/>
        </w:rPr>
        <w:t>Biochem. J.</w:t>
      </w:r>
      <w:r w:rsidRPr="00516D49">
        <w:rPr>
          <w:rFonts w:ascii="Arial" w:hAnsi="Arial" w:cs="Arial"/>
          <w:noProof/>
          <w:sz w:val="20"/>
          <w:szCs w:val="24"/>
        </w:rPr>
        <w:t xml:space="preserve"> </w:t>
      </w:r>
      <w:r w:rsidRPr="00516D49">
        <w:rPr>
          <w:rFonts w:ascii="Arial" w:hAnsi="Arial" w:cs="Arial"/>
          <w:b/>
          <w:bCs/>
          <w:noProof/>
          <w:sz w:val="20"/>
          <w:szCs w:val="24"/>
        </w:rPr>
        <w:t>129</w:t>
      </w:r>
      <w:r w:rsidRPr="00516D49">
        <w:rPr>
          <w:rFonts w:ascii="Arial" w:hAnsi="Arial" w:cs="Arial"/>
          <w:noProof/>
          <w:sz w:val="20"/>
          <w:szCs w:val="24"/>
        </w:rPr>
        <w:t>, 197–202 (1972).</w:t>
      </w:r>
    </w:p>
    <w:p w14:paraId="75AD068D"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31.</w:t>
      </w:r>
      <w:r w:rsidRPr="00516D49">
        <w:rPr>
          <w:rFonts w:ascii="Arial" w:hAnsi="Arial" w:cs="Arial"/>
          <w:noProof/>
          <w:sz w:val="20"/>
          <w:szCs w:val="24"/>
        </w:rPr>
        <w:tab/>
        <w:t xml:space="preserve"> Appendix I - Enzyme Kinetics. In </w:t>
      </w:r>
      <w:r w:rsidRPr="00516D49">
        <w:rPr>
          <w:rFonts w:ascii="Arial" w:hAnsi="Arial" w:cs="Arial"/>
          <w:i/>
          <w:iCs/>
          <w:noProof/>
          <w:sz w:val="20"/>
          <w:szCs w:val="24"/>
        </w:rPr>
        <w:t>Org. Chem. Enzym. React. (Second Ed.</w:t>
      </w:r>
      <w:r w:rsidRPr="00516D49">
        <w:rPr>
          <w:rFonts w:ascii="Arial" w:hAnsi="Arial" w:cs="Arial"/>
          <w:noProof/>
          <w:sz w:val="20"/>
          <w:szCs w:val="24"/>
        </w:rPr>
        <w:t xml:space="preserve"> (Silverman, R.) 563–596 (Academic Press, San Diego, 2002).</w:t>
      </w:r>
    </w:p>
    <w:p w14:paraId="09E13B7F"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32.</w:t>
      </w:r>
      <w:r w:rsidRPr="00516D49">
        <w:rPr>
          <w:rFonts w:ascii="Arial" w:hAnsi="Arial" w:cs="Arial"/>
          <w:noProof/>
          <w:sz w:val="20"/>
          <w:szCs w:val="24"/>
        </w:rPr>
        <w:tab/>
        <w:t xml:space="preserve">Gruber, A. </w:t>
      </w:r>
      <w:r w:rsidRPr="00516D49">
        <w:rPr>
          <w:rFonts w:ascii="Arial" w:hAnsi="Arial" w:cs="Arial"/>
          <w:i/>
          <w:iCs/>
          <w:noProof/>
          <w:sz w:val="20"/>
          <w:szCs w:val="24"/>
        </w:rPr>
        <w:t>et al.</w:t>
      </w:r>
      <w:r w:rsidRPr="00516D49">
        <w:rPr>
          <w:rFonts w:ascii="Arial" w:hAnsi="Arial" w:cs="Arial"/>
          <w:noProof/>
          <w:sz w:val="20"/>
          <w:szCs w:val="24"/>
        </w:rPr>
        <w:t xml:space="preserve"> Monitoring of erlotinib in pancreatic cancer patients during long-time administration and comparison to a physiologically based pharmacokinetic model. </w:t>
      </w:r>
      <w:r w:rsidRPr="00516D49">
        <w:rPr>
          <w:rFonts w:ascii="Arial" w:hAnsi="Arial" w:cs="Arial"/>
          <w:i/>
          <w:iCs/>
          <w:noProof/>
          <w:sz w:val="20"/>
          <w:szCs w:val="24"/>
        </w:rPr>
        <w:t>Cancer Chemother. Pharmacol.</w:t>
      </w:r>
      <w:r w:rsidRPr="00516D49">
        <w:rPr>
          <w:rFonts w:ascii="Arial" w:hAnsi="Arial" w:cs="Arial"/>
          <w:noProof/>
          <w:sz w:val="20"/>
          <w:szCs w:val="24"/>
        </w:rPr>
        <w:t xml:space="preserve"> </w:t>
      </w:r>
      <w:r w:rsidRPr="00516D49">
        <w:rPr>
          <w:rFonts w:ascii="Arial" w:hAnsi="Arial" w:cs="Arial"/>
          <w:b/>
          <w:bCs/>
          <w:noProof/>
          <w:sz w:val="20"/>
          <w:szCs w:val="24"/>
        </w:rPr>
        <w:t>81</w:t>
      </w:r>
      <w:r w:rsidRPr="00516D49">
        <w:rPr>
          <w:rFonts w:ascii="Arial" w:hAnsi="Arial" w:cs="Arial"/>
          <w:noProof/>
          <w:sz w:val="20"/>
          <w:szCs w:val="24"/>
        </w:rPr>
        <w:t>, 763–771 (2018).</w:t>
      </w:r>
    </w:p>
    <w:p w14:paraId="20B43CBF"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33.</w:t>
      </w:r>
      <w:r w:rsidRPr="00516D49">
        <w:rPr>
          <w:rFonts w:ascii="Arial" w:hAnsi="Arial" w:cs="Arial"/>
          <w:noProof/>
          <w:sz w:val="20"/>
          <w:szCs w:val="24"/>
        </w:rPr>
        <w:tab/>
        <w:t xml:space="preserve">Schwenger, E. </w:t>
      </w:r>
      <w:r w:rsidRPr="00516D49">
        <w:rPr>
          <w:rFonts w:ascii="Arial" w:hAnsi="Arial" w:cs="Arial"/>
          <w:i/>
          <w:iCs/>
          <w:noProof/>
          <w:sz w:val="20"/>
          <w:szCs w:val="24"/>
        </w:rPr>
        <w:t>et al.</w:t>
      </w:r>
      <w:r w:rsidRPr="00516D49">
        <w:rPr>
          <w:rFonts w:ascii="Arial" w:hAnsi="Arial" w:cs="Arial"/>
          <w:noProof/>
          <w:sz w:val="20"/>
          <w:szCs w:val="24"/>
        </w:rPr>
        <w:t xml:space="preserve"> Harnessing Meta-analysis to Refine an Oncology Patient Population for Physiology-Based Pharmacokinetic Modeling of Drugs. </w:t>
      </w:r>
      <w:r w:rsidRPr="00516D49">
        <w:rPr>
          <w:rFonts w:ascii="Arial" w:hAnsi="Arial" w:cs="Arial"/>
          <w:i/>
          <w:iCs/>
          <w:noProof/>
          <w:sz w:val="20"/>
          <w:szCs w:val="24"/>
        </w:rPr>
        <w:t>Clin. Pharmacol. Ther.</w:t>
      </w:r>
      <w:r w:rsidRPr="00516D49">
        <w:rPr>
          <w:rFonts w:ascii="Arial" w:hAnsi="Arial" w:cs="Arial"/>
          <w:noProof/>
          <w:sz w:val="20"/>
          <w:szCs w:val="24"/>
        </w:rPr>
        <w:t xml:space="preserve"> </w:t>
      </w:r>
      <w:r w:rsidRPr="00516D49">
        <w:rPr>
          <w:rFonts w:ascii="Arial" w:hAnsi="Arial" w:cs="Arial"/>
          <w:b/>
          <w:bCs/>
          <w:noProof/>
          <w:sz w:val="20"/>
          <w:szCs w:val="24"/>
        </w:rPr>
        <w:t>103</w:t>
      </w:r>
      <w:r w:rsidRPr="00516D49">
        <w:rPr>
          <w:rFonts w:ascii="Arial" w:hAnsi="Arial" w:cs="Arial"/>
          <w:noProof/>
          <w:sz w:val="20"/>
          <w:szCs w:val="24"/>
        </w:rPr>
        <w:t>, 271–280 (2018).</w:t>
      </w:r>
    </w:p>
    <w:p w14:paraId="3D8B3B69"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34.</w:t>
      </w:r>
      <w:r w:rsidRPr="00516D49">
        <w:rPr>
          <w:rFonts w:ascii="Arial" w:hAnsi="Arial" w:cs="Arial"/>
          <w:noProof/>
          <w:sz w:val="20"/>
          <w:szCs w:val="24"/>
        </w:rPr>
        <w:tab/>
        <w:t xml:space="preserve">Heimbach, T. </w:t>
      </w:r>
      <w:r w:rsidRPr="00516D49">
        <w:rPr>
          <w:rFonts w:ascii="Arial" w:hAnsi="Arial" w:cs="Arial"/>
          <w:i/>
          <w:iCs/>
          <w:noProof/>
          <w:sz w:val="20"/>
          <w:szCs w:val="24"/>
        </w:rPr>
        <w:t>et al.</w:t>
      </w:r>
      <w:r w:rsidRPr="00516D49">
        <w:rPr>
          <w:rFonts w:ascii="Arial" w:hAnsi="Arial" w:cs="Arial"/>
          <w:noProof/>
          <w:sz w:val="20"/>
          <w:szCs w:val="24"/>
        </w:rPr>
        <w:t xml:space="preserve"> Physiologically Based Pharmacokinetic Modeling to Supplement Nilotinib Pharmacokinetics and Confirm Dose Selection in Pediatric Patients. </w:t>
      </w:r>
      <w:r w:rsidRPr="00516D49">
        <w:rPr>
          <w:rFonts w:ascii="Arial" w:hAnsi="Arial" w:cs="Arial"/>
          <w:i/>
          <w:iCs/>
          <w:noProof/>
          <w:sz w:val="20"/>
          <w:szCs w:val="24"/>
        </w:rPr>
        <w:t>J. Pharm. Sci.</w:t>
      </w:r>
      <w:r w:rsidRPr="00516D49">
        <w:rPr>
          <w:rFonts w:ascii="Arial" w:hAnsi="Arial" w:cs="Arial"/>
          <w:noProof/>
          <w:sz w:val="20"/>
          <w:szCs w:val="24"/>
        </w:rPr>
        <w:t xml:space="preserve"> </w:t>
      </w:r>
      <w:r w:rsidRPr="00516D49">
        <w:rPr>
          <w:rFonts w:ascii="Arial" w:hAnsi="Arial" w:cs="Arial"/>
          <w:b/>
          <w:bCs/>
          <w:noProof/>
          <w:sz w:val="20"/>
          <w:szCs w:val="24"/>
        </w:rPr>
        <w:t>108</w:t>
      </w:r>
      <w:r w:rsidRPr="00516D49">
        <w:rPr>
          <w:rFonts w:ascii="Arial" w:hAnsi="Arial" w:cs="Arial"/>
          <w:noProof/>
          <w:sz w:val="20"/>
          <w:szCs w:val="24"/>
        </w:rPr>
        <w:t>, 2191–2198 (2019).</w:t>
      </w:r>
    </w:p>
    <w:p w14:paraId="217304B0"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35.</w:t>
      </w:r>
      <w:r w:rsidRPr="00516D49">
        <w:rPr>
          <w:rFonts w:ascii="Arial" w:hAnsi="Arial" w:cs="Arial"/>
          <w:noProof/>
          <w:sz w:val="20"/>
          <w:szCs w:val="24"/>
        </w:rPr>
        <w:tab/>
        <w:t xml:space="preserve">Hidalgo, M. &amp; Bloedow, D. Pharmacokinetics and pharmacodynamics: Maximizing the clinical potential of erlotinib (Tarceva). </w:t>
      </w:r>
      <w:r w:rsidRPr="00516D49">
        <w:rPr>
          <w:rFonts w:ascii="Arial" w:hAnsi="Arial" w:cs="Arial"/>
          <w:i/>
          <w:iCs/>
          <w:noProof/>
          <w:sz w:val="20"/>
          <w:szCs w:val="24"/>
        </w:rPr>
        <w:t>Semin. Oncol.</w:t>
      </w:r>
      <w:r w:rsidRPr="00516D49">
        <w:rPr>
          <w:rFonts w:ascii="Arial" w:hAnsi="Arial" w:cs="Arial"/>
          <w:noProof/>
          <w:sz w:val="20"/>
          <w:szCs w:val="24"/>
        </w:rPr>
        <w:t xml:space="preserve"> </w:t>
      </w:r>
      <w:r w:rsidRPr="00516D49">
        <w:rPr>
          <w:rFonts w:ascii="Arial" w:hAnsi="Arial" w:cs="Arial"/>
          <w:b/>
          <w:bCs/>
          <w:noProof/>
          <w:sz w:val="20"/>
          <w:szCs w:val="24"/>
        </w:rPr>
        <w:t>30</w:t>
      </w:r>
      <w:r w:rsidRPr="00516D49">
        <w:rPr>
          <w:rFonts w:ascii="Arial" w:hAnsi="Arial" w:cs="Arial"/>
          <w:noProof/>
          <w:sz w:val="20"/>
          <w:szCs w:val="24"/>
        </w:rPr>
        <w:t>, 25–33 (2003).</w:t>
      </w:r>
    </w:p>
    <w:p w14:paraId="548789BC"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36.</w:t>
      </w:r>
      <w:r w:rsidRPr="00516D49">
        <w:rPr>
          <w:rFonts w:ascii="Arial" w:hAnsi="Arial" w:cs="Arial"/>
          <w:noProof/>
          <w:sz w:val="20"/>
          <w:szCs w:val="24"/>
        </w:rPr>
        <w:tab/>
        <w:t xml:space="preserve">Tanaka, C. </w:t>
      </w:r>
      <w:r w:rsidRPr="00516D49">
        <w:rPr>
          <w:rFonts w:ascii="Arial" w:hAnsi="Arial" w:cs="Arial"/>
          <w:i/>
          <w:iCs/>
          <w:noProof/>
          <w:sz w:val="20"/>
          <w:szCs w:val="24"/>
        </w:rPr>
        <w:t>et al.</w:t>
      </w:r>
      <w:r w:rsidRPr="00516D49">
        <w:rPr>
          <w:rFonts w:ascii="Arial" w:hAnsi="Arial" w:cs="Arial"/>
          <w:noProof/>
          <w:sz w:val="20"/>
          <w:szCs w:val="24"/>
        </w:rPr>
        <w:t xml:space="preserve"> Clinical Pharmacokinetics of the BCR–ABL Tyrosine Kinase Inhibitor Nilotinib. </w:t>
      </w:r>
      <w:r w:rsidRPr="00516D49">
        <w:rPr>
          <w:rFonts w:ascii="Arial" w:hAnsi="Arial" w:cs="Arial"/>
          <w:i/>
          <w:iCs/>
          <w:noProof/>
          <w:sz w:val="20"/>
          <w:szCs w:val="24"/>
        </w:rPr>
        <w:t>Clin. Pharmacol. Ther.</w:t>
      </w:r>
      <w:r w:rsidRPr="00516D49">
        <w:rPr>
          <w:rFonts w:ascii="Arial" w:hAnsi="Arial" w:cs="Arial"/>
          <w:noProof/>
          <w:sz w:val="20"/>
          <w:szCs w:val="24"/>
        </w:rPr>
        <w:t xml:space="preserve"> </w:t>
      </w:r>
      <w:r w:rsidRPr="00516D49">
        <w:rPr>
          <w:rFonts w:ascii="Arial" w:hAnsi="Arial" w:cs="Arial"/>
          <w:b/>
          <w:bCs/>
          <w:noProof/>
          <w:sz w:val="20"/>
          <w:szCs w:val="24"/>
        </w:rPr>
        <w:t>87</w:t>
      </w:r>
      <w:r w:rsidRPr="00516D49">
        <w:rPr>
          <w:rFonts w:ascii="Arial" w:hAnsi="Arial" w:cs="Arial"/>
          <w:noProof/>
          <w:sz w:val="20"/>
          <w:szCs w:val="24"/>
        </w:rPr>
        <w:t>, 197–203 (2010).</w:t>
      </w:r>
    </w:p>
    <w:p w14:paraId="6EBBDB2B"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37.</w:t>
      </w:r>
      <w:r w:rsidRPr="00516D49">
        <w:rPr>
          <w:rFonts w:ascii="Arial" w:hAnsi="Arial" w:cs="Arial"/>
          <w:noProof/>
          <w:sz w:val="20"/>
          <w:szCs w:val="24"/>
        </w:rPr>
        <w:tab/>
        <w:t xml:space="preserve">Togashi, Y. </w:t>
      </w:r>
      <w:r w:rsidRPr="00516D49">
        <w:rPr>
          <w:rFonts w:ascii="Arial" w:hAnsi="Arial" w:cs="Arial"/>
          <w:i/>
          <w:iCs/>
          <w:noProof/>
          <w:sz w:val="20"/>
          <w:szCs w:val="24"/>
        </w:rPr>
        <w:t>et al.</w:t>
      </w:r>
      <w:r w:rsidRPr="00516D49">
        <w:rPr>
          <w:rFonts w:ascii="Arial" w:hAnsi="Arial" w:cs="Arial"/>
          <w:noProof/>
          <w:sz w:val="20"/>
          <w:szCs w:val="24"/>
        </w:rPr>
        <w:t xml:space="preserve"> Pharmacokinetics of erlotinib and its active metabolite OSI-420 in patients with non-small cell lung cancer and chronic renal failure who are undergoing hemodialysis. </w:t>
      </w:r>
      <w:r w:rsidRPr="00516D49">
        <w:rPr>
          <w:rFonts w:ascii="Arial" w:hAnsi="Arial" w:cs="Arial"/>
          <w:i/>
          <w:iCs/>
          <w:noProof/>
          <w:sz w:val="20"/>
          <w:szCs w:val="24"/>
        </w:rPr>
        <w:t>J. Thorac. Oncol.</w:t>
      </w:r>
      <w:r w:rsidRPr="00516D49">
        <w:rPr>
          <w:rFonts w:ascii="Arial" w:hAnsi="Arial" w:cs="Arial"/>
          <w:noProof/>
          <w:sz w:val="20"/>
          <w:szCs w:val="24"/>
        </w:rPr>
        <w:t xml:space="preserve"> </w:t>
      </w:r>
      <w:r w:rsidRPr="00516D49">
        <w:rPr>
          <w:rFonts w:ascii="Arial" w:hAnsi="Arial" w:cs="Arial"/>
          <w:b/>
          <w:bCs/>
          <w:noProof/>
          <w:sz w:val="20"/>
          <w:szCs w:val="24"/>
        </w:rPr>
        <w:t>5</w:t>
      </w:r>
      <w:r w:rsidRPr="00516D49">
        <w:rPr>
          <w:rFonts w:ascii="Arial" w:hAnsi="Arial" w:cs="Arial"/>
          <w:noProof/>
          <w:sz w:val="20"/>
          <w:szCs w:val="24"/>
        </w:rPr>
        <w:t>, 601–605 (2010).</w:t>
      </w:r>
    </w:p>
    <w:p w14:paraId="37D3F3B6"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lastRenderedPageBreak/>
        <w:t>38.</w:t>
      </w:r>
      <w:r w:rsidRPr="00516D49">
        <w:rPr>
          <w:rFonts w:ascii="Arial" w:hAnsi="Arial" w:cs="Arial"/>
          <w:noProof/>
          <w:sz w:val="20"/>
          <w:szCs w:val="24"/>
        </w:rPr>
        <w:tab/>
        <w:t>US FDA Tasigna® (nilotinib) capsules. Highlights of Prescribing Information. (2007).</w:t>
      </w:r>
    </w:p>
    <w:p w14:paraId="593966F4"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39.</w:t>
      </w:r>
      <w:r w:rsidRPr="00516D49">
        <w:rPr>
          <w:rFonts w:ascii="Arial" w:hAnsi="Arial" w:cs="Arial"/>
          <w:noProof/>
          <w:sz w:val="20"/>
          <w:szCs w:val="24"/>
        </w:rPr>
        <w:tab/>
        <w:t>US FDA TARCEVA® (erlotinib) tablets. Highlights of Prescribing Information. (2004).</w:t>
      </w:r>
    </w:p>
    <w:p w14:paraId="0A2F96AE"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40.</w:t>
      </w:r>
      <w:r w:rsidRPr="00516D49">
        <w:rPr>
          <w:rFonts w:ascii="Arial" w:hAnsi="Arial" w:cs="Arial"/>
          <w:noProof/>
          <w:sz w:val="20"/>
          <w:szCs w:val="24"/>
        </w:rPr>
        <w:tab/>
        <w:t xml:space="preserve">Guest, E. J., Aarons, L., Houston, J. B., Rostami-Hodjegan, A. &amp; Galetin, A. Critique of the two-fold measure of prediction success for ratios: application for the assessment of drug-drug interactions. </w:t>
      </w:r>
      <w:r w:rsidRPr="00516D49">
        <w:rPr>
          <w:rFonts w:ascii="Arial" w:hAnsi="Arial" w:cs="Arial"/>
          <w:i/>
          <w:iCs/>
          <w:noProof/>
          <w:sz w:val="20"/>
          <w:szCs w:val="24"/>
        </w:rPr>
        <w:t>Drug Metab. Dispos.</w:t>
      </w:r>
      <w:r w:rsidRPr="00516D49">
        <w:rPr>
          <w:rFonts w:ascii="Arial" w:hAnsi="Arial" w:cs="Arial"/>
          <w:noProof/>
          <w:sz w:val="20"/>
          <w:szCs w:val="24"/>
        </w:rPr>
        <w:t xml:space="preserve"> </w:t>
      </w:r>
      <w:r w:rsidRPr="00516D49">
        <w:rPr>
          <w:rFonts w:ascii="Arial" w:hAnsi="Arial" w:cs="Arial"/>
          <w:b/>
          <w:bCs/>
          <w:noProof/>
          <w:sz w:val="20"/>
          <w:szCs w:val="24"/>
        </w:rPr>
        <w:t>39</w:t>
      </w:r>
      <w:r w:rsidRPr="00516D49">
        <w:rPr>
          <w:rFonts w:ascii="Arial" w:hAnsi="Arial" w:cs="Arial"/>
          <w:noProof/>
          <w:sz w:val="20"/>
          <w:szCs w:val="24"/>
        </w:rPr>
        <w:t>, 170–3 (2011).</w:t>
      </w:r>
    </w:p>
    <w:p w14:paraId="5EB4443C"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41.</w:t>
      </w:r>
      <w:r w:rsidRPr="00516D49">
        <w:rPr>
          <w:rFonts w:ascii="Arial" w:hAnsi="Arial" w:cs="Arial"/>
          <w:noProof/>
          <w:sz w:val="20"/>
          <w:szCs w:val="24"/>
        </w:rPr>
        <w:tab/>
        <w:t xml:space="preserve">Girgis, I. G. </w:t>
      </w:r>
      <w:r w:rsidRPr="00516D49">
        <w:rPr>
          <w:rFonts w:ascii="Arial" w:hAnsi="Arial" w:cs="Arial"/>
          <w:i/>
          <w:iCs/>
          <w:noProof/>
          <w:sz w:val="20"/>
          <w:szCs w:val="24"/>
        </w:rPr>
        <w:t>et al.</w:t>
      </w:r>
      <w:r w:rsidRPr="00516D49">
        <w:rPr>
          <w:rFonts w:ascii="Arial" w:hAnsi="Arial" w:cs="Arial"/>
          <w:noProof/>
          <w:sz w:val="20"/>
          <w:szCs w:val="24"/>
        </w:rPr>
        <w:t xml:space="preserve"> Population pharmacokinetics and pharmacodynamics of rivaroxaban in patients with non-valvular atrial fibrillation: Results from ROCKET AF. </w:t>
      </w:r>
      <w:r w:rsidRPr="00516D49">
        <w:rPr>
          <w:rFonts w:ascii="Arial" w:hAnsi="Arial" w:cs="Arial"/>
          <w:i/>
          <w:iCs/>
          <w:noProof/>
          <w:sz w:val="20"/>
          <w:szCs w:val="24"/>
        </w:rPr>
        <w:t>J. Clin. Pharmacol.</w:t>
      </w:r>
      <w:r w:rsidRPr="00516D49">
        <w:rPr>
          <w:rFonts w:ascii="Arial" w:hAnsi="Arial" w:cs="Arial"/>
          <w:noProof/>
          <w:sz w:val="20"/>
          <w:szCs w:val="24"/>
        </w:rPr>
        <w:t xml:space="preserve"> </w:t>
      </w:r>
      <w:r w:rsidRPr="00516D49">
        <w:rPr>
          <w:rFonts w:ascii="Arial" w:hAnsi="Arial" w:cs="Arial"/>
          <w:b/>
          <w:bCs/>
          <w:noProof/>
          <w:sz w:val="20"/>
          <w:szCs w:val="24"/>
        </w:rPr>
        <w:t>54</w:t>
      </w:r>
      <w:r w:rsidRPr="00516D49">
        <w:rPr>
          <w:rFonts w:ascii="Arial" w:hAnsi="Arial" w:cs="Arial"/>
          <w:noProof/>
          <w:sz w:val="20"/>
          <w:szCs w:val="24"/>
        </w:rPr>
        <w:t>, 917–927 (2014).</w:t>
      </w:r>
    </w:p>
    <w:p w14:paraId="44AAA663"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42.</w:t>
      </w:r>
      <w:r w:rsidRPr="00516D49">
        <w:rPr>
          <w:rFonts w:ascii="Arial" w:hAnsi="Arial" w:cs="Arial"/>
          <w:noProof/>
          <w:sz w:val="20"/>
          <w:szCs w:val="24"/>
        </w:rPr>
        <w:tab/>
        <w:t xml:space="preserve">Shah, R. &amp; Patel, M. R. Primary and key secondary results from the ROCKET AF trial, and their implications on clinical practice. </w:t>
      </w:r>
      <w:r w:rsidRPr="00516D49">
        <w:rPr>
          <w:rFonts w:ascii="Arial" w:hAnsi="Arial" w:cs="Arial"/>
          <w:i/>
          <w:iCs/>
          <w:noProof/>
          <w:sz w:val="20"/>
          <w:szCs w:val="24"/>
        </w:rPr>
        <w:t>Ther. Adv. Cardiovasc. Dis.</w:t>
      </w:r>
      <w:r w:rsidRPr="00516D49">
        <w:rPr>
          <w:rFonts w:ascii="Arial" w:hAnsi="Arial" w:cs="Arial"/>
          <w:noProof/>
          <w:sz w:val="20"/>
          <w:szCs w:val="24"/>
        </w:rPr>
        <w:t xml:space="preserve"> </w:t>
      </w:r>
      <w:r w:rsidRPr="00516D49">
        <w:rPr>
          <w:rFonts w:ascii="Arial" w:hAnsi="Arial" w:cs="Arial"/>
          <w:b/>
          <w:bCs/>
          <w:noProof/>
          <w:sz w:val="20"/>
          <w:szCs w:val="24"/>
        </w:rPr>
        <w:t>11</w:t>
      </w:r>
      <w:r w:rsidRPr="00516D49">
        <w:rPr>
          <w:rFonts w:ascii="Arial" w:hAnsi="Arial" w:cs="Arial"/>
          <w:noProof/>
          <w:sz w:val="20"/>
          <w:szCs w:val="24"/>
        </w:rPr>
        <w:t>, 105–120 (2017).</w:t>
      </w:r>
    </w:p>
    <w:p w14:paraId="61BDEFB7"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43.</w:t>
      </w:r>
      <w:r w:rsidRPr="00516D49">
        <w:rPr>
          <w:rFonts w:ascii="Arial" w:hAnsi="Arial" w:cs="Arial"/>
          <w:noProof/>
          <w:sz w:val="20"/>
          <w:szCs w:val="24"/>
        </w:rPr>
        <w:tab/>
        <w:t>US FDA XARELTO (rivaroxaban). Clinical Pharmacology and Biopharmaceutics Review. (2011).</w:t>
      </w:r>
    </w:p>
    <w:p w14:paraId="4EA231D2"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44.</w:t>
      </w:r>
      <w:r w:rsidRPr="00516D49">
        <w:rPr>
          <w:rFonts w:ascii="Arial" w:hAnsi="Arial" w:cs="Arial"/>
          <w:noProof/>
          <w:sz w:val="20"/>
          <w:szCs w:val="24"/>
        </w:rPr>
        <w:tab/>
        <w:t xml:space="preserve">Mueck, W., Kubitza, D. &amp; Becka, M. Co-administration of rivaroxaban with drugs that share its elimination pathways: pharmacokinetic effects in healthy subjects. </w:t>
      </w:r>
      <w:r w:rsidRPr="00516D49">
        <w:rPr>
          <w:rFonts w:ascii="Arial" w:hAnsi="Arial" w:cs="Arial"/>
          <w:i/>
          <w:iCs/>
          <w:noProof/>
          <w:sz w:val="20"/>
          <w:szCs w:val="24"/>
        </w:rPr>
        <w:t>Br. J. Clin. Pharmacol.</w:t>
      </w:r>
      <w:r w:rsidRPr="00516D49">
        <w:rPr>
          <w:rFonts w:ascii="Arial" w:hAnsi="Arial" w:cs="Arial"/>
          <w:noProof/>
          <w:sz w:val="20"/>
          <w:szCs w:val="24"/>
        </w:rPr>
        <w:t xml:space="preserve"> </w:t>
      </w:r>
      <w:r w:rsidRPr="00516D49">
        <w:rPr>
          <w:rFonts w:ascii="Arial" w:hAnsi="Arial" w:cs="Arial"/>
          <w:b/>
          <w:bCs/>
          <w:noProof/>
          <w:sz w:val="20"/>
          <w:szCs w:val="24"/>
        </w:rPr>
        <w:t>76</w:t>
      </w:r>
      <w:r w:rsidRPr="00516D49">
        <w:rPr>
          <w:rFonts w:ascii="Arial" w:hAnsi="Arial" w:cs="Arial"/>
          <w:noProof/>
          <w:sz w:val="20"/>
          <w:szCs w:val="24"/>
        </w:rPr>
        <w:t>, 455–466 (2013).</w:t>
      </w:r>
    </w:p>
    <w:p w14:paraId="3F5E262C"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45.</w:t>
      </w:r>
      <w:r w:rsidRPr="00516D49">
        <w:rPr>
          <w:rFonts w:ascii="Arial" w:hAnsi="Arial" w:cs="Arial"/>
          <w:noProof/>
          <w:sz w:val="20"/>
          <w:szCs w:val="24"/>
        </w:rPr>
        <w:tab/>
        <w:t xml:space="preserve">Kim, S. J., Lee, K. R., Miyauchi, S. &amp; Sugiyama, Y. Extrapolation of in vivo hepatic clearance from in vitro uptake clearance by suspended human hepatocytes for anionic drugs with high binding to human albumin: Improvement of in vitro-to-in vivo extrapolation by considering the “albumin-mediated” hepatic u. </w:t>
      </w:r>
      <w:r w:rsidRPr="00516D49">
        <w:rPr>
          <w:rFonts w:ascii="Arial" w:hAnsi="Arial" w:cs="Arial"/>
          <w:i/>
          <w:iCs/>
          <w:noProof/>
          <w:sz w:val="20"/>
          <w:szCs w:val="24"/>
        </w:rPr>
        <w:t>Drug Metab. Dispos.</w:t>
      </w:r>
      <w:r w:rsidRPr="00516D49">
        <w:rPr>
          <w:rFonts w:ascii="Arial" w:hAnsi="Arial" w:cs="Arial"/>
          <w:noProof/>
          <w:sz w:val="20"/>
          <w:szCs w:val="24"/>
        </w:rPr>
        <w:t xml:space="preserve"> </w:t>
      </w:r>
      <w:r w:rsidRPr="00516D49">
        <w:rPr>
          <w:rFonts w:ascii="Arial" w:hAnsi="Arial" w:cs="Arial"/>
          <w:b/>
          <w:bCs/>
          <w:noProof/>
          <w:sz w:val="20"/>
          <w:szCs w:val="24"/>
        </w:rPr>
        <w:t>47</w:t>
      </w:r>
      <w:r w:rsidRPr="00516D49">
        <w:rPr>
          <w:rFonts w:ascii="Arial" w:hAnsi="Arial" w:cs="Arial"/>
          <w:noProof/>
          <w:sz w:val="20"/>
          <w:szCs w:val="24"/>
        </w:rPr>
        <w:t>, 94–103 (2019).</w:t>
      </w:r>
    </w:p>
    <w:p w14:paraId="19EB3A82"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46.</w:t>
      </w:r>
      <w:r w:rsidRPr="00516D49">
        <w:rPr>
          <w:rFonts w:ascii="Arial" w:hAnsi="Arial" w:cs="Arial"/>
          <w:noProof/>
          <w:sz w:val="20"/>
          <w:szCs w:val="24"/>
        </w:rPr>
        <w:tab/>
        <w:t xml:space="preserve">Miyauchi, S. </w:t>
      </w:r>
      <w:r w:rsidRPr="00516D49">
        <w:rPr>
          <w:rFonts w:ascii="Arial" w:hAnsi="Arial" w:cs="Arial"/>
          <w:i/>
          <w:iCs/>
          <w:noProof/>
          <w:sz w:val="20"/>
          <w:szCs w:val="24"/>
        </w:rPr>
        <w:t>et al.</w:t>
      </w:r>
      <w:r w:rsidRPr="00516D49">
        <w:rPr>
          <w:rFonts w:ascii="Arial" w:hAnsi="Arial" w:cs="Arial"/>
          <w:noProof/>
          <w:sz w:val="20"/>
          <w:szCs w:val="24"/>
        </w:rPr>
        <w:t xml:space="preserve"> The phenomenon of albumin-mediated hepatic uptake of organic anion transport polypeptide substrates: Prediction of the in vivo uptake clearance from the in vitro uptake by isolated hepatocytes using a facilitated-dissociation model. </w:t>
      </w:r>
      <w:r w:rsidRPr="00516D49">
        <w:rPr>
          <w:rFonts w:ascii="Arial" w:hAnsi="Arial" w:cs="Arial"/>
          <w:i/>
          <w:iCs/>
          <w:noProof/>
          <w:sz w:val="20"/>
          <w:szCs w:val="24"/>
        </w:rPr>
        <w:t>Drug Metab. Dispos.</w:t>
      </w:r>
      <w:r w:rsidRPr="00516D49">
        <w:rPr>
          <w:rFonts w:ascii="Arial" w:hAnsi="Arial" w:cs="Arial"/>
          <w:noProof/>
          <w:sz w:val="20"/>
          <w:szCs w:val="24"/>
        </w:rPr>
        <w:t xml:space="preserve"> </w:t>
      </w:r>
      <w:r w:rsidRPr="00516D49">
        <w:rPr>
          <w:rFonts w:ascii="Arial" w:hAnsi="Arial" w:cs="Arial"/>
          <w:b/>
          <w:bCs/>
          <w:noProof/>
          <w:sz w:val="20"/>
          <w:szCs w:val="24"/>
        </w:rPr>
        <w:t>46</w:t>
      </w:r>
      <w:r w:rsidRPr="00516D49">
        <w:rPr>
          <w:rFonts w:ascii="Arial" w:hAnsi="Arial" w:cs="Arial"/>
          <w:noProof/>
          <w:sz w:val="20"/>
          <w:szCs w:val="24"/>
        </w:rPr>
        <w:t>, 259–267 (2018).</w:t>
      </w:r>
    </w:p>
    <w:p w14:paraId="70303C81"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47.</w:t>
      </w:r>
      <w:r w:rsidRPr="00516D49">
        <w:rPr>
          <w:rFonts w:ascii="Arial" w:hAnsi="Arial" w:cs="Arial"/>
          <w:noProof/>
          <w:sz w:val="20"/>
          <w:szCs w:val="24"/>
        </w:rPr>
        <w:tab/>
        <w:t xml:space="preserve">Zhang, Z.-Y. &amp; Wong, Y. N. Enzyme kinetics for clinically relevant CYP inhibition. </w:t>
      </w:r>
      <w:r w:rsidRPr="00516D49">
        <w:rPr>
          <w:rFonts w:ascii="Arial" w:hAnsi="Arial" w:cs="Arial"/>
          <w:i/>
          <w:iCs/>
          <w:noProof/>
          <w:sz w:val="20"/>
          <w:szCs w:val="24"/>
        </w:rPr>
        <w:t>Curr. Drug Metab.</w:t>
      </w:r>
      <w:r w:rsidRPr="00516D49">
        <w:rPr>
          <w:rFonts w:ascii="Arial" w:hAnsi="Arial" w:cs="Arial"/>
          <w:noProof/>
          <w:sz w:val="20"/>
          <w:szCs w:val="24"/>
        </w:rPr>
        <w:t xml:space="preserve"> </w:t>
      </w:r>
      <w:r w:rsidRPr="00516D49">
        <w:rPr>
          <w:rFonts w:ascii="Arial" w:hAnsi="Arial" w:cs="Arial"/>
          <w:b/>
          <w:bCs/>
          <w:noProof/>
          <w:sz w:val="20"/>
          <w:szCs w:val="24"/>
        </w:rPr>
        <w:t>6</w:t>
      </w:r>
      <w:r w:rsidRPr="00516D49">
        <w:rPr>
          <w:rFonts w:ascii="Arial" w:hAnsi="Arial" w:cs="Arial"/>
          <w:noProof/>
          <w:sz w:val="20"/>
          <w:szCs w:val="24"/>
        </w:rPr>
        <w:t>, 241–257 (2005).</w:t>
      </w:r>
    </w:p>
    <w:p w14:paraId="058E124F"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48.</w:t>
      </w:r>
      <w:r w:rsidRPr="00516D49">
        <w:rPr>
          <w:rFonts w:ascii="Arial" w:hAnsi="Arial" w:cs="Arial"/>
          <w:noProof/>
          <w:sz w:val="20"/>
          <w:szCs w:val="24"/>
        </w:rPr>
        <w:tab/>
        <w:t xml:space="preserve">U.S. Department of Health and Human Services Food and Drug Administration Center for Drug Evaluation and Research (CDER) </w:t>
      </w:r>
      <w:r w:rsidRPr="00516D49">
        <w:rPr>
          <w:rFonts w:ascii="Arial" w:hAnsi="Arial" w:cs="Arial"/>
          <w:i/>
          <w:iCs/>
          <w:noProof/>
          <w:sz w:val="20"/>
          <w:szCs w:val="24"/>
        </w:rPr>
        <w:t>In Vitro Drug Interaction Studies-Cytochrome P450 Enzyme-and Transporter-Mediated Drug Interactions Guidance for Industry</w:t>
      </w:r>
      <w:r w:rsidRPr="00516D49">
        <w:rPr>
          <w:rFonts w:ascii="Arial" w:hAnsi="Arial" w:cs="Arial"/>
          <w:noProof/>
          <w:sz w:val="20"/>
          <w:szCs w:val="24"/>
        </w:rPr>
        <w:t>. (2020).</w:t>
      </w:r>
    </w:p>
    <w:p w14:paraId="3661147A"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49.</w:t>
      </w:r>
      <w:r w:rsidRPr="00516D49">
        <w:rPr>
          <w:rFonts w:ascii="Arial" w:hAnsi="Arial" w:cs="Arial"/>
          <w:noProof/>
          <w:sz w:val="20"/>
          <w:szCs w:val="24"/>
        </w:rPr>
        <w:tab/>
        <w:t xml:space="preserve">Yamamoto, N. </w:t>
      </w:r>
      <w:r w:rsidRPr="00516D49">
        <w:rPr>
          <w:rFonts w:ascii="Arial" w:hAnsi="Arial" w:cs="Arial"/>
          <w:i/>
          <w:iCs/>
          <w:noProof/>
          <w:sz w:val="20"/>
          <w:szCs w:val="24"/>
        </w:rPr>
        <w:t>et al.</w:t>
      </w:r>
      <w:r w:rsidRPr="00516D49">
        <w:rPr>
          <w:rFonts w:ascii="Arial" w:hAnsi="Arial" w:cs="Arial"/>
          <w:noProof/>
          <w:sz w:val="20"/>
          <w:szCs w:val="24"/>
        </w:rPr>
        <w:t xml:space="preserve"> Phase I dose-finding and pharmacokinetic study of the oral epidermal growth factor receptor tyrosine kinase inhibitor Ro50-8231 (erlotinib) in Japanese patients with solid tumors. </w:t>
      </w:r>
      <w:r w:rsidRPr="00516D49">
        <w:rPr>
          <w:rFonts w:ascii="Arial" w:hAnsi="Arial" w:cs="Arial"/>
          <w:i/>
          <w:iCs/>
          <w:noProof/>
          <w:sz w:val="20"/>
          <w:szCs w:val="24"/>
        </w:rPr>
        <w:t>Cancer Chemother Pharmacol</w:t>
      </w:r>
      <w:r w:rsidRPr="00516D49">
        <w:rPr>
          <w:rFonts w:ascii="Arial" w:hAnsi="Arial" w:cs="Arial"/>
          <w:noProof/>
          <w:sz w:val="20"/>
          <w:szCs w:val="24"/>
        </w:rPr>
        <w:t xml:space="preserve"> </w:t>
      </w:r>
      <w:r w:rsidRPr="00516D49">
        <w:rPr>
          <w:rFonts w:ascii="Arial" w:hAnsi="Arial" w:cs="Arial"/>
          <w:b/>
          <w:bCs/>
          <w:noProof/>
          <w:sz w:val="20"/>
          <w:szCs w:val="24"/>
        </w:rPr>
        <w:t>61</w:t>
      </w:r>
      <w:r w:rsidRPr="00516D49">
        <w:rPr>
          <w:rFonts w:ascii="Arial" w:hAnsi="Arial" w:cs="Arial"/>
          <w:noProof/>
          <w:sz w:val="20"/>
          <w:szCs w:val="24"/>
        </w:rPr>
        <w:t>, 489–496 (2008).</w:t>
      </w:r>
    </w:p>
    <w:p w14:paraId="455B5381"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50.</w:t>
      </w:r>
      <w:r w:rsidRPr="00516D49">
        <w:rPr>
          <w:rFonts w:ascii="Arial" w:hAnsi="Arial" w:cs="Arial"/>
          <w:noProof/>
          <w:sz w:val="20"/>
          <w:szCs w:val="24"/>
        </w:rPr>
        <w:tab/>
        <w:t xml:space="preserve">Rakhit, A. </w:t>
      </w:r>
      <w:r w:rsidRPr="00516D49">
        <w:rPr>
          <w:rFonts w:ascii="Arial" w:hAnsi="Arial" w:cs="Arial"/>
          <w:i/>
          <w:iCs/>
          <w:noProof/>
          <w:sz w:val="20"/>
          <w:szCs w:val="24"/>
        </w:rPr>
        <w:t>et al.</w:t>
      </w:r>
      <w:r w:rsidRPr="00516D49">
        <w:rPr>
          <w:rFonts w:ascii="Arial" w:hAnsi="Arial" w:cs="Arial"/>
          <w:noProof/>
          <w:sz w:val="20"/>
          <w:szCs w:val="24"/>
        </w:rPr>
        <w:t xml:space="preserve"> The effects of CYP3A4 inhibition on erlotinib pharmacokinetics: Computer-based simulation (SimCYP</w:t>
      </w:r>
      <w:r w:rsidRPr="00516D49">
        <w:rPr>
          <w:rFonts w:ascii="Arial" w:hAnsi="Arial" w:cs="Arial"/>
          <w:noProof/>
          <w:sz w:val="20"/>
          <w:szCs w:val="24"/>
          <w:vertAlign w:val="superscript"/>
        </w:rPr>
        <w:t>TM</w:t>
      </w:r>
      <w:r w:rsidRPr="00516D49">
        <w:rPr>
          <w:rFonts w:ascii="Arial" w:hAnsi="Arial" w:cs="Arial"/>
          <w:noProof/>
          <w:sz w:val="20"/>
          <w:szCs w:val="24"/>
        </w:rPr>
        <w:t xml:space="preserve">) predicts in vivo metabolic inhibition. </w:t>
      </w:r>
      <w:r w:rsidRPr="00516D49">
        <w:rPr>
          <w:rFonts w:ascii="Arial" w:hAnsi="Arial" w:cs="Arial"/>
          <w:i/>
          <w:iCs/>
          <w:noProof/>
          <w:sz w:val="20"/>
          <w:szCs w:val="24"/>
        </w:rPr>
        <w:t>Eur. J. Clin. Pharmacol.</w:t>
      </w:r>
      <w:r w:rsidRPr="00516D49">
        <w:rPr>
          <w:rFonts w:ascii="Arial" w:hAnsi="Arial" w:cs="Arial"/>
          <w:noProof/>
          <w:sz w:val="20"/>
          <w:szCs w:val="24"/>
        </w:rPr>
        <w:t xml:space="preserve"> </w:t>
      </w:r>
      <w:r w:rsidRPr="00516D49">
        <w:rPr>
          <w:rFonts w:ascii="Arial" w:hAnsi="Arial" w:cs="Arial"/>
          <w:b/>
          <w:bCs/>
          <w:noProof/>
          <w:sz w:val="20"/>
          <w:szCs w:val="24"/>
        </w:rPr>
        <w:t>64</w:t>
      </w:r>
      <w:r w:rsidRPr="00516D49">
        <w:rPr>
          <w:rFonts w:ascii="Arial" w:hAnsi="Arial" w:cs="Arial"/>
          <w:noProof/>
          <w:sz w:val="20"/>
          <w:szCs w:val="24"/>
        </w:rPr>
        <w:t xml:space="preserve">, </w:t>
      </w:r>
      <w:r w:rsidRPr="00516D49">
        <w:rPr>
          <w:rFonts w:ascii="Arial" w:hAnsi="Arial" w:cs="Arial"/>
          <w:noProof/>
          <w:sz w:val="20"/>
          <w:szCs w:val="24"/>
        </w:rPr>
        <w:lastRenderedPageBreak/>
        <w:t>31–41 (2008).</w:t>
      </w:r>
    </w:p>
    <w:p w14:paraId="5B9F44C4"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51.</w:t>
      </w:r>
      <w:r w:rsidRPr="00516D49">
        <w:rPr>
          <w:rFonts w:ascii="Arial" w:hAnsi="Arial" w:cs="Arial"/>
          <w:noProof/>
          <w:sz w:val="20"/>
          <w:szCs w:val="24"/>
        </w:rPr>
        <w:tab/>
        <w:t xml:space="preserve">Burns, K. </w:t>
      </w:r>
      <w:r w:rsidRPr="00516D49">
        <w:rPr>
          <w:rFonts w:ascii="Arial" w:hAnsi="Arial" w:cs="Arial"/>
          <w:i/>
          <w:iCs/>
          <w:noProof/>
          <w:sz w:val="20"/>
          <w:szCs w:val="24"/>
        </w:rPr>
        <w:t>et al.</w:t>
      </w:r>
      <w:r w:rsidRPr="00516D49">
        <w:rPr>
          <w:rFonts w:ascii="Arial" w:hAnsi="Arial" w:cs="Arial"/>
          <w:noProof/>
          <w:sz w:val="20"/>
          <w:szCs w:val="24"/>
        </w:rPr>
        <w:t xml:space="preserve"> The nonspecific binding of tyrosine kinase inhibitors to human liver microsomes. </w:t>
      </w:r>
      <w:r w:rsidRPr="00516D49">
        <w:rPr>
          <w:rFonts w:ascii="Arial" w:hAnsi="Arial" w:cs="Arial"/>
          <w:i/>
          <w:iCs/>
          <w:noProof/>
          <w:sz w:val="20"/>
          <w:szCs w:val="24"/>
        </w:rPr>
        <w:t>Drug Metab. Dispos.</w:t>
      </w:r>
      <w:r w:rsidRPr="00516D49">
        <w:rPr>
          <w:rFonts w:ascii="Arial" w:hAnsi="Arial" w:cs="Arial"/>
          <w:noProof/>
          <w:sz w:val="20"/>
          <w:szCs w:val="24"/>
        </w:rPr>
        <w:t xml:space="preserve"> </w:t>
      </w:r>
      <w:r w:rsidRPr="00516D49">
        <w:rPr>
          <w:rFonts w:ascii="Arial" w:hAnsi="Arial" w:cs="Arial"/>
          <w:b/>
          <w:bCs/>
          <w:noProof/>
          <w:sz w:val="20"/>
          <w:szCs w:val="24"/>
        </w:rPr>
        <w:t>43</w:t>
      </w:r>
      <w:r w:rsidRPr="00516D49">
        <w:rPr>
          <w:rFonts w:ascii="Arial" w:hAnsi="Arial" w:cs="Arial"/>
          <w:noProof/>
          <w:sz w:val="20"/>
          <w:szCs w:val="24"/>
        </w:rPr>
        <w:t>, 1934–1937 (2015).</w:t>
      </w:r>
    </w:p>
    <w:p w14:paraId="081E094B"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52.</w:t>
      </w:r>
      <w:r w:rsidRPr="00516D49">
        <w:rPr>
          <w:rFonts w:ascii="Arial" w:hAnsi="Arial" w:cs="Arial"/>
          <w:noProof/>
          <w:sz w:val="20"/>
          <w:szCs w:val="24"/>
        </w:rPr>
        <w:tab/>
        <w:t xml:space="preserve">Larson, R. A. </w:t>
      </w:r>
      <w:r w:rsidRPr="00516D49">
        <w:rPr>
          <w:rFonts w:ascii="Arial" w:hAnsi="Arial" w:cs="Arial"/>
          <w:i/>
          <w:iCs/>
          <w:noProof/>
          <w:sz w:val="20"/>
          <w:szCs w:val="24"/>
        </w:rPr>
        <w:t>et al.</w:t>
      </w:r>
      <w:r w:rsidRPr="00516D49">
        <w:rPr>
          <w:rFonts w:ascii="Arial" w:hAnsi="Arial" w:cs="Arial"/>
          <w:noProof/>
          <w:sz w:val="20"/>
          <w:szCs w:val="24"/>
        </w:rPr>
        <w:t xml:space="preserve"> Population pharmacokinetic and exposure-response analysis of nilotinib in patients with newly diagnosed Ph+ chronic myeloid leukemia in chronic phase. </w:t>
      </w:r>
      <w:r w:rsidRPr="00516D49">
        <w:rPr>
          <w:rFonts w:ascii="Arial" w:hAnsi="Arial" w:cs="Arial"/>
          <w:i/>
          <w:iCs/>
          <w:noProof/>
          <w:sz w:val="20"/>
          <w:szCs w:val="24"/>
        </w:rPr>
        <w:t>Eur J Clin Pharmacol</w:t>
      </w:r>
      <w:r w:rsidRPr="00516D49">
        <w:rPr>
          <w:rFonts w:ascii="Arial" w:hAnsi="Arial" w:cs="Arial"/>
          <w:noProof/>
          <w:sz w:val="20"/>
          <w:szCs w:val="24"/>
        </w:rPr>
        <w:t xml:space="preserve"> </w:t>
      </w:r>
      <w:r w:rsidRPr="00516D49">
        <w:rPr>
          <w:rFonts w:ascii="Arial" w:hAnsi="Arial" w:cs="Arial"/>
          <w:b/>
          <w:bCs/>
          <w:noProof/>
          <w:sz w:val="20"/>
          <w:szCs w:val="24"/>
        </w:rPr>
        <w:t>68</w:t>
      </w:r>
      <w:r w:rsidRPr="00516D49">
        <w:rPr>
          <w:rFonts w:ascii="Arial" w:hAnsi="Arial" w:cs="Arial"/>
          <w:noProof/>
          <w:sz w:val="20"/>
          <w:szCs w:val="24"/>
        </w:rPr>
        <w:t>, 723–733 (2012).</w:t>
      </w:r>
    </w:p>
    <w:p w14:paraId="03573FEB"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53.</w:t>
      </w:r>
      <w:r w:rsidRPr="00516D49">
        <w:rPr>
          <w:rFonts w:ascii="Arial" w:hAnsi="Arial" w:cs="Arial"/>
          <w:noProof/>
          <w:sz w:val="20"/>
          <w:szCs w:val="24"/>
        </w:rPr>
        <w:tab/>
        <w:t xml:space="preserve">Onaka, T. </w:t>
      </w:r>
      <w:r w:rsidRPr="00516D49">
        <w:rPr>
          <w:rFonts w:ascii="Arial" w:hAnsi="Arial" w:cs="Arial"/>
          <w:i/>
          <w:iCs/>
          <w:noProof/>
          <w:sz w:val="20"/>
          <w:szCs w:val="24"/>
        </w:rPr>
        <w:t>et al.</w:t>
      </w:r>
      <w:r w:rsidRPr="00516D49">
        <w:rPr>
          <w:rFonts w:ascii="Arial" w:hAnsi="Arial" w:cs="Arial"/>
          <w:noProof/>
          <w:sz w:val="20"/>
          <w:szCs w:val="24"/>
        </w:rPr>
        <w:t xml:space="preserve"> Pharmacokinetics of nilotinib in imatinib-resistant/intolerant chronic myeloid leukemia patients on hemodialysis for chronic renal failure. </w:t>
      </w:r>
      <w:r w:rsidRPr="00516D49">
        <w:rPr>
          <w:rFonts w:ascii="Arial" w:hAnsi="Arial" w:cs="Arial"/>
          <w:i/>
          <w:iCs/>
          <w:noProof/>
          <w:sz w:val="20"/>
          <w:szCs w:val="24"/>
        </w:rPr>
        <w:t>Am. J. Hematol.</w:t>
      </w:r>
      <w:r w:rsidRPr="00516D49">
        <w:rPr>
          <w:rFonts w:ascii="Arial" w:hAnsi="Arial" w:cs="Arial"/>
          <w:noProof/>
          <w:sz w:val="20"/>
          <w:szCs w:val="24"/>
        </w:rPr>
        <w:t xml:space="preserve"> </w:t>
      </w:r>
      <w:r w:rsidRPr="00516D49">
        <w:rPr>
          <w:rFonts w:ascii="Arial" w:hAnsi="Arial" w:cs="Arial"/>
          <w:b/>
          <w:bCs/>
          <w:noProof/>
          <w:sz w:val="20"/>
          <w:szCs w:val="24"/>
        </w:rPr>
        <w:t>87</w:t>
      </w:r>
      <w:r w:rsidRPr="00516D49">
        <w:rPr>
          <w:rFonts w:ascii="Arial" w:hAnsi="Arial" w:cs="Arial"/>
          <w:noProof/>
          <w:sz w:val="20"/>
          <w:szCs w:val="24"/>
        </w:rPr>
        <w:t>, 451–451 (2012).</w:t>
      </w:r>
    </w:p>
    <w:p w14:paraId="453BBA4A"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54.</w:t>
      </w:r>
      <w:r w:rsidRPr="00516D49">
        <w:rPr>
          <w:rFonts w:ascii="Arial" w:hAnsi="Arial" w:cs="Arial"/>
          <w:noProof/>
          <w:sz w:val="20"/>
          <w:szCs w:val="24"/>
        </w:rPr>
        <w:tab/>
        <w:t xml:space="preserve">Wysokinski, W. E. </w:t>
      </w:r>
      <w:r w:rsidRPr="00516D49">
        <w:rPr>
          <w:rFonts w:ascii="Arial" w:hAnsi="Arial" w:cs="Arial"/>
          <w:i/>
          <w:iCs/>
          <w:noProof/>
          <w:sz w:val="20"/>
          <w:szCs w:val="24"/>
        </w:rPr>
        <w:t>et al.</w:t>
      </w:r>
      <w:r w:rsidRPr="00516D49">
        <w:rPr>
          <w:rFonts w:ascii="Arial" w:hAnsi="Arial" w:cs="Arial"/>
          <w:noProof/>
          <w:sz w:val="20"/>
          <w:szCs w:val="24"/>
        </w:rPr>
        <w:t xml:space="preserve"> Comparison of apixaban to rivaroxaban and enoxaparin in acute cancer-associated venous thromboembolism. (2019).doi:10.1002/ajh.25604</w:t>
      </w:r>
    </w:p>
    <w:p w14:paraId="1F669143"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55.</w:t>
      </w:r>
      <w:r w:rsidRPr="00516D49">
        <w:rPr>
          <w:rFonts w:ascii="Arial" w:hAnsi="Arial" w:cs="Arial"/>
          <w:noProof/>
          <w:sz w:val="20"/>
          <w:szCs w:val="24"/>
        </w:rPr>
        <w:tab/>
        <w:t xml:space="preserve">Xu, Z. Y. &amp; Li, J. L. Comparative review of drug–drug interactions with epidermal growth factor receptor tyrosine kinase inhibitors for the treatment of non-small-cell lung cancer. </w:t>
      </w:r>
      <w:r w:rsidRPr="00516D49">
        <w:rPr>
          <w:rFonts w:ascii="Arial" w:hAnsi="Arial" w:cs="Arial"/>
          <w:i/>
          <w:iCs/>
          <w:noProof/>
          <w:sz w:val="20"/>
          <w:szCs w:val="24"/>
        </w:rPr>
        <w:t>Onco. Targets. Ther.</w:t>
      </w:r>
      <w:r w:rsidRPr="00516D49">
        <w:rPr>
          <w:rFonts w:ascii="Arial" w:hAnsi="Arial" w:cs="Arial"/>
          <w:noProof/>
          <w:sz w:val="20"/>
          <w:szCs w:val="24"/>
        </w:rPr>
        <w:t xml:space="preserve"> </w:t>
      </w:r>
      <w:r w:rsidRPr="00516D49">
        <w:rPr>
          <w:rFonts w:ascii="Arial" w:hAnsi="Arial" w:cs="Arial"/>
          <w:b/>
          <w:bCs/>
          <w:noProof/>
          <w:sz w:val="20"/>
          <w:szCs w:val="24"/>
        </w:rPr>
        <w:t>12</w:t>
      </w:r>
      <w:r w:rsidRPr="00516D49">
        <w:rPr>
          <w:rFonts w:ascii="Arial" w:hAnsi="Arial" w:cs="Arial"/>
          <w:noProof/>
          <w:sz w:val="20"/>
          <w:szCs w:val="24"/>
        </w:rPr>
        <w:t>, 5467–5484 (2019).</w:t>
      </w:r>
    </w:p>
    <w:p w14:paraId="3CDF6BCA"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56.</w:t>
      </w:r>
      <w:r w:rsidRPr="00516D49">
        <w:rPr>
          <w:rFonts w:ascii="Arial" w:hAnsi="Arial" w:cs="Arial"/>
          <w:noProof/>
          <w:sz w:val="20"/>
          <w:szCs w:val="24"/>
        </w:rPr>
        <w:tab/>
        <w:t xml:space="preserve">Gay, C., Toulet, D. &amp; Corre, P. Le Pharmacokinetic drug-drug interactions of tyrosine kinase inhibitors: A focus on cytochrome P450, transporters, and acid suppression therapy. </w:t>
      </w:r>
      <w:r w:rsidRPr="00516D49">
        <w:rPr>
          <w:rFonts w:ascii="Arial" w:hAnsi="Arial" w:cs="Arial"/>
          <w:i/>
          <w:iCs/>
          <w:noProof/>
          <w:sz w:val="20"/>
          <w:szCs w:val="24"/>
        </w:rPr>
        <w:t>Hematol. Oncol.</w:t>
      </w:r>
      <w:r w:rsidRPr="00516D49">
        <w:rPr>
          <w:rFonts w:ascii="Arial" w:hAnsi="Arial" w:cs="Arial"/>
          <w:noProof/>
          <w:sz w:val="20"/>
          <w:szCs w:val="24"/>
        </w:rPr>
        <w:t xml:space="preserve"> </w:t>
      </w:r>
      <w:r w:rsidRPr="00516D49">
        <w:rPr>
          <w:rFonts w:ascii="Arial" w:hAnsi="Arial" w:cs="Arial"/>
          <w:b/>
          <w:bCs/>
          <w:noProof/>
          <w:sz w:val="20"/>
          <w:szCs w:val="24"/>
        </w:rPr>
        <w:t>35</w:t>
      </w:r>
      <w:r w:rsidRPr="00516D49">
        <w:rPr>
          <w:rFonts w:ascii="Arial" w:hAnsi="Arial" w:cs="Arial"/>
          <w:noProof/>
          <w:sz w:val="20"/>
          <w:szCs w:val="24"/>
        </w:rPr>
        <w:t>, 259–280 (2017).</w:t>
      </w:r>
    </w:p>
    <w:p w14:paraId="623703EA"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57.</w:t>
      </w:r>
      <w:r w:rsidRPr="00516D49">
        <w:rPr>
          <w:rFonts w:ascii="Arial" w:hAnsi="Arial" w:cs="Arial"/>
          <w:noProof/>
          <w:sz w:val="20"/>
          <w:szCs w:val="24"/>
        </w:rPr>
        <w:tab/>
        <w:t xml:space="preserve">Shebley, M. </w:t>
      </w:r>
      <w:r w:rsidRPr="00516D49">
        <w:rPr>
          <w:rFonts w:ascii="Arial" w:hAnsi="Arial" w:cs="Arial"/>
          <w:i/>
          <w:iCs/>
          <w:noProof/>
          <w:sz w:val="20"/>
          <w:szCs w:val="24"/>
        </w:rPr>
        <w:t>et al.</w:t>
      </w:r>
      <w:r w:rsidRPr="00516D49">
        <w:rPr>
          <w:rFonts w:ascii="Arial" w:hAnsi="Arial" w:cs="Arial"/>
          <w:noProof/>
          <w:sz w:val="20"/>
          <w:szCs w:val="24"/>
        </w:rPr>
        <w:t xml:space="preserve"> Physiologically Based Pharmacokinetic Model Qualification and Reporting Procedures for Regulatory Submissions: A Consortium Perspective. </w:t>
      </w:r>
      <w:r w:rsidRPr="00516D49">
        <w:rPr>
          <w:rFonts w:ascii="Arial" w:hAnsi="Arial" w:cs="Arial"/>
          <w:i/>
          <w:iCs/>
          <w:noProof/>
          <w:sz w:val="20"/>
          <w:szCs w:val="24"/>
        </w:rPr>
        <w:t>Clin. Pharmacol. Ther.</w:t>
      </w:r>
      <w:r w:rsidRPr="00516D49">
        <w:rPr>
          <w:rFonts w:ascii="Arial" w:hAnsi="Arial" w:cs="Arial"/>
          <w:noProof/>
          <w:sz w:val="20"/>
          <w:szCs w:val="24"/>
        </w:rPr>
        <w:t xml:space="preserve"> </w:t>
      </w:r>
      <w:r w:rsidRPr="00516D49">
        <w:rPr>
          <w:rFonts w:ascii="Arial" w:hAnsi="Arial" w:cs="Arial"/>
          <w:b/>
          <w:bCs/>
          <w:noProof/>
          <w:sz w:val="20"/>
          <w:szCs w:val="24"/>
        </w:rPr>
        <w:t>104</w:t>
      </w:r>
      <w:r w:rsidRPr="00516D49">
        <w:rPr>
          <w:rFonts w:ascii="Arial" w:hAnsi="Arial" w:cs="Arial"/>
          <w:noProof/>
          <w:sz w:val="20"/>
          <w:szCs w:val="24"/>
        </w:rPr>
        <w:t>, 88–110 (2018).</w:t>
      </w:r>
    </w:p>
    <w:p w14:paraId="739E188C"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58.</w:t>
      </w:r>
      <w:r w:rsidRPr="00516D49">
        <w:rPr>
          <w:rFonts w:ascii="Arial" w:hAnsi="Arial" w:cs="Arial"/>
          <w:noProof/>
          <w:sz w:val="20"/>
          <w:szCs w:val="24"/>
        </w:rPr>
        <w:tab/>
        <w:t xml:space="preserve">Otsuka, Y., Choules, M. P., Bonate, P. L. &amp; Komatsu, K. Physiologically-Based Pharmacokinetic Modeling for the Prediction of a Drug–Drug Interaction of Combined Effects on P-glycoprotein and Cytochrome P450 3A. </w:t>
      </w:r>
      <w:r w:rsidRPr="00516D49">
        <w:rPr>
          <w:rFonts w:ascii="Arial" w:hAnsi="Arial" w:cs="Arial"/>
          <w:i/>
          <w:iCs/>
          <w:noProof/>
          <w:sz w:val="20"/>
          <w:szCs w:val="24"/>
        </w:rPr>
        <w:t>CPT Pharmacometrics Syst. Pharmacol.</w:t>
      </w:r>
      <w:r w:rsidRPr="00516D49">
        <w:rPr>
          <w:rFonts w:ascii="Arial" w:hAnsi="Arial" w:cs="Arial"/>
          <w:noProof/>
          <w:sz w:val="20"/>
          <w:szCs w:val="24"/>
        </w:rPr>
        <w:t xml:space="preserve"> </w:t>
      </w:r>
      <w:r w:rsidRPr="00516D49">
        <w:rPr>
          <w:rFonts w:ascii="Arial" w:hAnsi="Arial" w:cs="Arial"/>
          <w:b/>
          <w:bCs/>
          <w:noProof/>
          <w:sz w:val="20"/>
          <w:szCs w:val="24"/>
        </w:rPr>
        <w:t>9</w:t>
      </w:r>
      <w:r w:rsidRPr="00516D49">
        <w:rPr>
          <w:rFonts w:ascii="Arial" w:hAnsi="Arial" w:cs="Arial"/>
          <w:noProof/>
          <w:sz w:val="20"/>
          <w:szCs w:val="24"/>
        </w:rPr>
        <w:t>, 659–669 (2020).</w:t>
      </w:r>
    </w:p>
    <w:p w14:paraId="1320AC52"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59.</w:t>
      </w:r>
      <w:r w:rsidRPr="00516D49">
        <w:rPr>
          <w:rFonts w:ascii="Arial" w:hAnsi="Arial" w:cs="Arial"/>
          <w:noProof/>
          <w:sz w:val="20"/>
          <w:szCs w:val="24"/>
        </w:rPr>
        <w:tab/>
        <w:t xml:space="preserve">Cheung, K. W. K. </w:t>
      </w:r>
      <w:r w:rsidRPr="00516D49">
        <w:rPr>
          <w:rFonts w:ascii="Arial" w:hAnsi="Arial" w:cs="Arial"/>
          <w:i/>
          <w:iCs/>
          <w:noProof/>
          <w:sz w:val="20"/>
          <w:szCs w:val="24"/>
        </w:rPr>
        <w:t>et al.</w:t>
      </w:r>
      <w:r w:rsidRPr="00516D49">
        <w:rPr>
          <w:rFonts w:ascii="Arial" w:hAnsi="Arial" w:cs="Arial"/>
          <w:noProof/>
          <w:sz w:val="20"/>
          <w:szCs w:val="24"/>
        </w:rPr>
        <w:t xml:space="preserve"> A Comprehensive Analysis of Ontogeny of Renal Drug Transporters: mRNA Analyses, Quantitative Proteomics, and Localization. </w:t>
      </w:r>
      <w:r w:rsidRPr="00516D49">
        <w:rPr>
          <w:rFonts w:ascii="Arial" w:hAnsi="Arial" w:cs="Arial"/>
          <w:i/>
          <w:iCs/>
          <w:noProof/>
          <w:sz w:val="20"/>
          <w:szCs w:val="24"/>
        </w:rPr>
        <w:t>Clin. Pharmacol. Ther.</w:t>
      </w:r>
      <w:r w:rsidRPr="00516D49">
        <w:rPr>
          <w:rFonts w:ascii="Arial" w:hAnsi="Arial" w:cs="Arial"/>
          <w:noProof/>
          <w:sz w:val="20"/>
          <w:szCs w:val="24"/>
        </w:rPr>
        <w:t xml:space="preserve"> </w:t>
      </w:r>
      <w:r w:rsidRPr="00516D49">
        <w:rPr>
          <w:rFonts w:ascii="Arial" w:hAnsi="Arial" w:cs="Arial"/>
          <w:b/>
          <w:bCs/>
          <w:noProof/>
          <w:sz w:val="20"/>
          <w:szCs w:val="24"/>
        </w:rPr>
        <w:t>106</w:t>
      </w:r>
      <w:r w:rsidRPr="00516D49">
        <w:rPr>
          <w:rFonts w:ascii="Arial" w:hAnsi="Arial" w:cs="Arial"/>
          <w:noProof/>
          <w:sz w:val="20"/>
          <w:szCs w:val="24"/>
        </w:rPr>
        <w:t>, 1083–1092 (2019).</w:t>
      </w:r>
    </w:p>
    <w:p w14:paraId="677F8A32"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60.</w:t>
      </w:r>
      <w:r w:rsidRPr="00516D49">
        <w:rPr>
          <w:rFonts w:ascii="Arial" w:hAnsi="Arial" w:cs="Arial"/>
          <w:noProof/>
          <w:sz w:val="20"/>
          <w:szCs w:val="24"/>
        </w:rPr>
        <w:tab/>
        <w:t xml:space="preserve">Feng, B., Varma, M. V, Costales, C., Zhang, H. &amp; Tremaine, L. In vitro and in vivo approaches to characterize transporter-mediated disposition in drug discovery. </w:t>
      </w:r>
      <w:r w:rsidRPr="00516D49">
        <w:rPr>
          <w:rFonts w:ascii="Arial" w:hAnsi="Arial" w:cs="Arial"/>
          <w:i/>
          <w:iCs/>
          <w:noProof/>
          <w:sz w:val="20"/>
          <w:szCs w:val="24"/>
        </w:rPr>
        <w:t>Expert Opin. Drug Discov.</w:t>
      </w:r>
      <w:r w:rsidRPr="00516D49">
        <w:rPr>
          <w:rFonts w:ascii="Arial" w:hAnsi="Arial" w:cs="Arial"/>
          <w:noProof/>
          <w:sz w:val="20"/>
          <w:szCs w:val="24"/>
        </w:rPr>
        <w:t xml:space="preserve"> </w:t>
      </w:r>
      <w:r w:rsidRPr="00516D49">
        <w:rPr>
          <w:rFonts w:ascii="Arial" w:hAnsi="Arial" w:cs="Arial"/>
          <w:b/>
          <w:bCs/>
          <w:noProof/>
          <w:sz w:val="20"/>
          <w:szCs w:val="24"/>
        </w:rPr>
        <w:t>9</w:t>
      </w:r>
      <w:r w:rsidRPr="00516D49">
        <w:rPr>
          <w:rFonts w:ascii="Arial" w:hAnsi="Arial" w:cs="Arial"/>
          <w:noProof/>
          <w:sz w:val="20"/>
          <w:szCs w:val="24"/>
        </w:rPr>
        <w:t>, 873–890 (2014).</w:t>
      </w:r>
    </w:p>
    <w:p w14:paraId="22E59A26"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61.</w:t>
      </w:r>
      <w:r w:rsidRPr="00516D49">
        <w:rPr>
          <w:rFonts w:ascii="Arial" w:hAnsi="Arial" w:cs="Arial"/>
          <w:noProof/>
          <w:sz w:val="20"/>
          <w:szCs w:val="24"/>
        </w:rPr>
        <w:tab/>
        <w:t xml:space="preserve">Barton, H. A. </w:t>
      </w:r>
      <w:r w:rsidRPr="00516D49">
        <w:rPr>
          <w:rFonts w:ascii="Arial" w:hAnsi="Arial" w:cs="Arial"/>
          <w:i/>
          <w:iCs/>
          <w:noProof/>
          <w:sz w:val="20"/>
          <w:szCs w:val="24"/>
        </w:rPr>
        <w:t>et al.</w:t>
      </w:r>
      <w:r w:rsidRPr="00516D49">
        <w:rPr>
          <w:rFonts w:ascii="Arial" w:hAnsi="Arial" w:cs="Arial"/>
          <w:noProof/>
          <w:sz w:val="20"/>
          <w:szCs w:val="24"/>
        </w:rPr>
        <w:t xml:space="preserve"> Model-based approaches to predict drug–drug interactions associated with hepatic uptake transporters: preclinical, clinical and beyond. </w:t>
      </w:r>
      <w:r w:rsidRPr="00516D49">
        <w:rPr>
          <w:rFonts w:ascii="Arial" w:hAnsi="Arial" w:cs="Arial"/>
          <w:i/>
          <w:iCs/>
          <w:noProof/>
          <w:sz w:val="20"/>
          <w:szCs w:val="24"/>
        </w:rPr>
        <w:t>Expert Opin. Drug Metab. Toxicol.</w:t>
      </w:r>
      <w:r w:rsidRPr="00516D49">
        <w:rPr>
          <w:rFonts w:ascii="Arial" w:hAnsi="Arial" w:cs="Arial"/>
          <w:noProof/>
          <w:sz w:val="20"/>
          <w:szCs w:val="24"/>
        </w:rPr>
        <w:t xml:space="preserve"> </w:t>
      </w:r>
      <w:r w:rsidRPr="00516D49">
        <w:rPr>
          <w:rFonts w:ascii="Arial" w:hAnsi="Arial" w:cs="Arial"/>
          <w:b/>
          <w:bCs/>
          <w:noProof/>
          <w:sz w:val="20"/>
          <w:szCs w:val="24"/>
        </w:rPr>
        <w:t>9</w:t>
      </w:r>
      <w:r w:rsidRPr="00516D49">
        <w:rPr>
          <w:rFonts w:ascii="Arial" w:hAnsi="Arial" w:cs="Arial"/>
          <w:noProof/>
          <w:sz w:val="20"/>
          <w:szCs w:val="24"/>
        </w:rPr>
        <w:t>, 459–472 (2013).</w:t>
      </w:r>
    </w:p>
    <w:p w14:paraId="5D57728E"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lastRenderedPageBreak/>
        <w:t>62.</w:t>
      </w:r>
      <w:r w:rsidRPr="00516D49">
        <w:rPr>
          <w:rFonts w:ascii="Arial" w:hAnsi="Arial" w:cs="Arial"/>
          <w:noProof/>
          <w:sz w:val="20"/>
          <w:szCs w:val="24"/>
        </w:rPr>
        <w:tab/>
        <w:t xml:space="preserve">Liu, H. C. </w:t>
      </w:r>
      <w:r w:rsidRPr="00516D49">
        <w:rPr>
          <w:rFonts w:ascii="Arial" w:hAnsi="Arial" w:cs="Arial"/>
          <w:i/>
          <w:iCs/>
          <w:noProof/>
          <w:sz w:val="20"/>
          <w:szCs w:val="24"/>
        </w:rPr>
        <w:t>et al.</w:t>
      </w:r>
      <w:r w:rsidRPr="00516D49">
        <w:rPr>
          <w:rFonts w:ascii="Arial" w:hAnsi="Arial" w:cs="Arial"/>
          <w:noProof/>
          <w:sz w:val="20"/>
          <w:szCs w:val="24"/>
        </w:rPr>
        <w:t xml:space="preserve"> Molecular Properties of Drugs Interacting with SLC22 Transporters OAT1, OAT3, OCT1, and OCT2: A Machine-Learning Approach s. </w:t>
      </w:r>
      <w:r w:rsidRPr="00516D49">
        <w:rPr>
          <w:rFonts w:ascii="Arial" w:hAnsi="Arial" w:cs="Arial"/>
          <w:i/>
          <w:iCs/>
          <w:noProof/>
          <w:sz w:val="20"/>
          <w:szCs w:val="24"/>
        </w:rPr>
        <w:t>J Pharmacol Exp Ther</w:t>
      </w:r>
      <w:r w:rsidRPr="00516D49">
        <w:rPr>
          <w:rFonts w:ascii="Arial" w:hAnsi="Arial" w:cs="Arial"/>
          <w:noProof/>
          <w:sz w:val="20"/>
          <w:szCs w:val="24"/>
        </w:rPr>
        <w:t xml:space="preserve"> </w:t>
      </w:r>
      <w:r w:rsidRPr="00516D49">
        <w:rPr>
          <w:rFonts w:ascii="Arial" w:hAnsi="Arial" w:cs="Arial"/>
          <w:b/>
          <w:bCs/>
          <w:noProof/>
          <w:sz w:val="20"/>
          <w:szCs w:val="24"/>
        </w:rPr>
        <w:t>359</w:t>
      </w:r>
      <w:r w:rsidRPr="00516D49">
        <w:rPr>
          <w:rFonts w:ascii="Arial" w:hAnsi="Arial" w:cs="Arial"/>
          <w:noProof/>
          <w:sz w:val="20"/>
          <w:szCs w:val="24"/>
        </w:rPr>
        <w:t>, 215–229 (2016).</w:t>
      </w:r>
    </w:p>
    <w:p w14:paraId="7ED287C0"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63.</w:t>
      </w:r>
      <w:r w:rsidRPr="00516D49">
        <w:rPr>
          <w:rFonts w:ascii="Arial" w:hAnsi="Arial" w:cs="Arial"/>
          <w:noProof/>
          <w:sz w:val="20"/>
          <w:szCs w:val="24"/>
        </w:rPr>
        <w:tab/>
        <w:t xml:space="preserve">Taskar, K. S. </w:t>
      </w:r>
      <w:r w:rsidRPr="00516D49">
        <w:rPr>
          <w:rFonts w:ascii="Arial" w:hAnsi="Arial" w:cs="Arial"/>
          <w:i/>
          <w:iCs/>
          <w:noProof/>
          <w:sz w:val="20"/>
          <w:szCs w:val="24"/>
        </w:rPr>
        <w:t>et al.</w:t>
      </w:r>
      <w:r w:rsidRPr="00516D49">
        <w:rPr>
          <w:rFonts w:ascii="Arial" w:hAnsi="Arial" w:cs="Arial"/>
          <w:noProof/>
          <w:sz w:val="20"/>
          <w:szCs w:val="24"/>
        </w:rPr>
        <w:t xml:space="preserve"> Physiologically-Based Pharmacokinetic Models for Evaluating Membrane Transporter Mediated Drug–Drug Interactions: Current Capabilities, Case Studies, Future Opportunities, and Recommendations. </w:t>
      </w:r>
      <w:r w:rsidRPr="00516D49">
        <w:rPr>
          <w:rFonts w:ascii="Arial" w:hAnsi="Arial" w:cs="Arial"/>
          <w:i/>
          <w:iCs/>
          <w:noProof/>
          <w:sz w:val="20"/>
          <w:szCs w:val="24"/>
        </w:rPr>
        <w:t>Clin. Pharmacol. Ther.</w:t>
      </w:r>
      <w:r w:rsidRPr="00516D49">
        <w:rPr>
          <w:rFonts w:ascii="Arial" w:hAnsi="Arial" w:cs="Arial"/>
          <w:noProof/>
          <w:sz w:val="20"/>
          <w:szCs w:val="24"/>
        </w:rPr>
        <w:t xml:space="preserve"> </w:t>
      </w:r>
      <w:r w:rsidRPr="00516D49">
        <w:rPr>
          <w:rFonts w:ascii="Arial" w:hAnsi="Arial" w:cs="Arial"/>
          <w:b/>
          <w:bCs/>
          <w:noProof/>
          <w:sz w:val="20"/>
          <w:szCs w:val="24"/>
        </w:rPr>
        <w:t>0</w:t>
      </w:r>
      <w:r w:rsidRPr="00516D49">
        <w:rPr>
          <w:rFonts w:ascii="Arial" w:hAnsi="Arial" w:cs="Arial"/>
          <w:noProof/>
          <w:sz w:val="20"/>
          <w:szCs w:val="24"/>
        </w:rPr>
        <w:t>, 1–34 (2019).</w:t>
      </w:r>
    </w:p>
    <w:p w14:paraId="6DAECC9B"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64.</w:t>
      </w:r>
      <w:r w:rsidRPr="00516D49">
        <w:rPr>
          <w:rFonts w:ascii="Arial" w:hAnsi="Arial" w:cs="Arial"/>
          <w:noProof/>
          <w:sz w:val="20"/>
          <w:szCs w:val="24"/>
        </w:rPr>
        <w:tab/>
        <w:t xml:space="preserve">Jahic, M. </w:t>
      </w:r>
      <w:r w:rsidRPr="00516D49">
        <w:rPr>
          <w:rFonts w:ascii="Arial" w:hAnsi="Arial" w:cs="Arial"/>
          <w:i/>
          <w:iCs/>
          <w:noProof/>
          <w:sz w:val="20"/>
          <w:szCs w:val="24"/>
        </w:rPr>
        <w:t>et al.</w:t>
      </w:r>
      <w:r w:rsidRPr="00516D49">
        <w:rPr>
          <w:rFonts w:ascii="Arial" w:hAnsi="Arial" w:cs="Arial"/>
          <w:noProof/>
          <w:sz w:val="20"/>
          <w:szCs w:val="24"/>
        </w:rPr>
        <w:t xml:space="preserve"> Should Total Plasma Drug Concentration Be Used to Predict Transporter Mediated Drug-Drug Interactions for Highly Protein Bound Drugs? </w:t>
      </w:r>
      <w:r w:rsidRPr="00516D49">
        <w:rPr>
          <w:rFonts w:ascii="Arial" w:hAnsi="Arial" w:cs="Arial"/>
          <w:i/>
          <w:iCs/>
          <w:noProof/>
          <w:sz w:val="20"/>
          <w:szCs w:val="24"/>
        </w:rPr>
        <w:t>13th Eur. ISSX Meet.</w:t>
      </w:r>
      <w:r w:rsidRPr="00516D49">
        <w:rPr>
          <w:rFonts w:ascii="Arial" w:hAnsi="Arial" w:cs="Arial"/>
          <w:noProof/>
          <w:sz w:val="20"/>
          <w:szCs w:val="24"/>
        </w:rPr>
        <w:t xml:space="preserve"> (2015).</w:t>
      </w:r>
    </w:p>
    <w:p w14:paraId="65EC39E3"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65.</w:t>
      </w:r>
      <w:r w:rsidRPr="00516D49">
        <w:rPr>
          <w:rFonts w:ascii="Arial" w:hAnsi="Arial" w:cs="Arial"/>
          <w:noProof/>
          <w:sz w:val="20"/>
          <w:szCs w:val="24"/>
        </w:rPr>
        <w:tab/>
        <w:t xml:space="preserve">Baik, J. &amp; Huang, Y. Transporter-Induced Protein Binding Shift (TIPBS): Hypothesis and Modeling. </w:t>
      </w:r>
      <w:r w:rsidRPr="00516D49">
        <w:rPr>
          <w:rFonts w:ascii="Arial" w:hAnsi="Arial" w:cs="Arial"/>
          <w:i/>
          <w:iCs/>
          <w:noProof/>
          <w:sz w:val="20"/>
          <w:szCs w:val="24"/>
        </w:rPr>
        <w:t>20th North Am. ISSX Meet.</w:t>
      </w:r>
      <w:r w:rsidRPr="00516D49">
        <w:rPr>
          <w:rFonts w:ascii="Arial" w:hAnsi="Arial" w:cs="Arial"/>
          <w:noProof/>
          <w:sz w:val="20"/>
          <w:szCs w:val="24"/>
        </w:rPr>
        <w:t xml:space="preserve"> (2015).</w:t>
      </w:r>
    </w:p>
    <w:p w14:paraId="3275A2BE"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66.</w:t>
      </w:r>
      <w:r w:rsidRPr="00516D49">
        <w:rPr>
          <w:rFonts w:ascii="Arial" w:hAnsi="Arial" w:cs="Arial"/>
          <w:noProof/>
          <w:sz w:val="20"/>
          <w:szCs w:val="24"/>
        </w:rPr>
        <w:tab/>
        <w:t xml:space="preserve">Hsueh, C.-H. </w:t>
      </w:r>
      <w:r w:rsidRPr="00516D49">
        <w:rPr>
          <w:rFonts w:ascii="Arial" w:hAnsi="Arial" w:cs="Arial"/>
          <w:i/>
          <w:iCs/>
          <w:noProof/>
          <w:sz w:val="20"/>
          <w:szCs w:val="24"/>
        </w:rPr>
        <w:t>et al.</w:t>
      </w:r>
      <w:r w:rsidRPr="00516D49">
        <w:rPr>
          <w:rFonts w:ascii="Arial" w:hAnsi="Arial" w:cs="Arial"/>
          <w:noProof/>
          <w:sz w:val="20"/>
          <w:szCs w:val="24"/>
        </w:rPr>
        <w:t xml:space="preserve"> Identification and Quantitative Assessment of Uremic Solutes as Inhibitors of Renal Organic Anion Transporters, OAT1 and OAT3. </w:t>
      </w:r>
      <w:r w:rsidRPr="00516D49">
        <w:rPr>
          <w:rFonts w:ascii="Arial" w:hAnsi="Arial" w:cs="Arial"/>
          <w:i/>
          <w:iCs/>
          <w:noProof/>
          <w:sz w:val="20"/>
          <w:szCs w:val="24"/>
        </w:rPr>
        <w:t>Mol. Pharm.</w:t>
      </w:r>
      <w:r w:rsidRPr="00516D49">
        <w:rPr>
          <w:rFonts w:ascii="Arial" w:hAnsi="Arial" w:cs="Arial"/>
          <w:noProof/>
          <w:sz w:val="20"/>
          <w:szCs w:val="24"/>
        </w:rPr>
        <w:t xml:space="preserve"> </w:t>
      </w:r>
      <w:r w:rsidRPr="00516D49">
        <w:rPr>
          <w:rFonts w:ascii="Arial" w:hAnsi="Arial" w:cs="Arial"/>
          <w:b/>
          <w:bCs/>
          <w:noProof/>
          <w:sz w:val="20"/>
          <w:szCs w:val="24"/>
        </w:rPr>
        <w:t>13</w:t>
      </w:r>
      <w:r w:rsidRPr="00516D49">
        <w:rPr>
          <w:rFonts w:ascii="Arial" w:hAnsi="Arial" w:cs="Arial"/>
          <w:noProof/>
          <w:sz w:val="20"/>
          <w:szCs w:val="24"/>
        </w:rPr>
        <w:t>, 3130–3140 (2016).</w:t>
      </w:r>
    </w:p>
    <w:p w14:paraId="65F10E5D"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szCs w:val="24"/>
        </w:rPr>
      </w:pPr>
      <w:r w:rsidRPr="00516D49">
        <w:rPr>
          <w:rFonts w:ascii="Arial" w:hAnsi="Arial" w:cs="Arial"/>
          <w:noProof/>
          <w:sz w:val="20"/>
          <w:szCs w:val="24"/>
        </w:rPr>
        <w:t>67.</w:t>
      </w:r>
      <w:r w:rsidRPr="00516D49">
        <w:rPr>
          <w:rFonts w:ascii="Arial" w:hAnsi="Arial" w:cs="Arial"/>
          <w:noProof/>
          <w:sz w:val="20"/>
          <w:szCs w:val="24"/>
        </w:rPr>
        <w:tab/>
        <w:t xml:space="preserve">Greenblatt, D. J. </w:t>
      </w:r>
      <w:r w:rsidRPr="00516D49">
        <w:rPr>
          <w:rFonts w:ascii="Arial" w:hAnsi="Arial" w:cs="Arial"/>
          <w:i/>
          <w:iCs/>
          <w:noProof/>
          <w:sz w:val="20"/>
          <w:szCs w:val="24"/>
        </w:rPr>
        <w:t>et al.</w:t>
      </w:r>
      <w:r w:rsidRPr="00516D49">
        <w:rPr>
          <w:rFonts w:ascii="Arial" w:hAnsi="Arial" w:cs="Arial"/>
          <w:noProof/>
          <w:sz w:val="20"/>
          <w:szCs w:val="24"/>
        </w:rPr>
        <w:t xml:space="preserve"> Impaired Rivaroxaban Clearance in Mild Renal Insufficiency With Verapamil Coadministration: Potential Implications for Bleeding Risk and Dose Selection. </w:t>
      </w:r>
      <w:r w:rsidRPr="00516D49">
        <w:rPr>
          <w:rFonts w:ascii="Arial" w:hAnsi="Arial" w:cs="Arial"/>
          <w:i/>
          <w:iCs/>
          <w:noProof/>
          <w:sz w:val="20"/>
          <w:szCs w:val="24"/>
        </w:rPr>
        <w:t>J. Clin. Pharmacol.</w:t>
      </w:r>
      <w:r w:rsidRPr="00516D49">
        <w:rPr>
          <w:rFonts w:ascii="Arial" w:hAnsi="Arial" w:cs="Arial"/>
          <w:noProof/>
          <w:sz w:val="20"/>
          <w:szCs w:val="24"/>
        </w:rPr>
        <w:t xml:space="preserve"> </w:t>
      </w:r>
      <w:r w:rsidRPr="00516D49">
        <w:rPr>
          <w:rFonts w:ascii="Arial" w:hAnsi="Arial" w:cs="Arial"/>
          <w:b/>
          <w:bCs/>
          <w:noProof/>
          <w:sz w:val="20"/>
          <w:szCs w:val="24"/>
        </w:rPr>
        <w:t>58</w:t>
      </w:r>
      <w:r w:rsidRPr="00516D49">
        <w:rPr>
          <w:rFonts w:ascii="Arial" w:hAnsi="Arial" w:cs="Arial"/>
          <w:noProof/>
          <w:sz w:val="20"/>
          <w:szCs w:val="24"/>
        </w:rPr>
        <w:t>, 533–540 (2018).</w:t>
      </w:r>
    </w:p>
    <w:p w14:paraId="6BC10097" w14:textId="77777777" w:rsidR="00516D49" w:rsidRPr="00516D49" w:rsidRDefault="00516D49" w:rsidP="00516D49">
      <w:pPr>
        <w:widowControl w:val="0"/>
        <w:autoSpaceDE w:val="0"/>
        <w:autoSpaceDN w:val="0"/>
        <w:adjustRightInd w:val="0"/>
        <w:spacing w:line="360" w:lineRule="auto"/>
        <w:ind w:left="640" w:hanging="640"/>
        <w:rPr>
          <w:rFonts w:ascii="Arial" w:hAnsi="Arial" w:cs="Arial"/>
          <w:noProof/>
          <w:sz w:val="20"/>
        </w:rPr>
      </w:pPr>
      <w:r w:rsidRPr="00516D49">
        <w:rPr>
          <w:rFonts w:ascii="Arial" w:hAnsi="Arial" w:cs="Arial"/>
          <w:noProof/>
          <w:sz w:val="20"/>
          <w:szCs w:val="24"/>
        </w:rPr>
        <w:t>68.</w:t>
      </w:r>
      <w:r w:rsidRPr="00516D49">
        <w:rPr>
          <w:rFonts w:ascii="Arial" w:hAnsi="Arial" w:cs="Arial"/>
          <w:noProof/>
          <w:sz w:val="20"/>
          <w:szCs w:val="24"/>
        </w:rPr>
        <w:tab/>
        <w:t xml:space="preserve">Isoherranen, N. </w:t>
      </w:r>
      <w:r w:rsidRPr="00516D49">
        <w:rPr>
          <w:rFonts w:ascii="Arial" w:hAnsi="Arial" w:cs="Arial"/>
          <w:i/>
          <w:iCs/>
          <w:noProof/>
          <w:sz w:val="20"/>
          <w:szCs w:val="24"/>
        </w:rPr>
        <w:t>et al.</w:t>
      </w:r>
      <w:r w:rsidRPr="00516D49">
        <w:rPr>
          <w:rFonts w:ascii="Arial" w:hAnsi="Arial" w:cs="Arial"/>
          <w:noProof/>
          <w:sz w:val="20"/>
          <w:szCs w:val="24"/>
        </w:rPr>
        <w:t xml:space="preserve"> Importance of multi-p450 inhibition in drug-drug interactions: evaluation of incidence, inhibition magnitude, and prediction from in vitro data. </w:t>
      </w:r>
      <w:r w:rsidRPr="00516D49">
        <w:rPr>
          <w:rFonts w:ascii="Arial" w:hAnsi="Arial" w:cs="Arial"/>
          <w:i/>
          <w:iCs/>
          <w:noProof/>
          <w:sz w:val="20"/>
          <w:szCs w:val="24"/>
        </w:rPr>
        <w:t>Chem. Res. Toxicol.</w:t>
      </w:r>
      <w:r w:rsidRPr="00516D49">
        <w:rPr>
          <w:rFonts w:ascii="Arial" w:hAnsi="Arial" w:cs="Arial"/>
          <w:noProof/>
          <w:sz w:val="20"/>
          <w:szCs w:val="24"/>
        </w:rPr>
        <w:t xml:space="preserve"> </w:t>
      </w:r>
      <w:r w:rsidRPr="00516D49">
        <w:rPr>
          <w:rFonts w:ascii="Arial" w:hAnsi="Arial" w:cs="Arial"/>
          <w:b/>
          <w:bCs/>
          <w:noProof/>
          <w:sz w:val="20"/>
          <w:szCs w:val="24"/>
        </w:rPr>
        <w:t>25</w:t>
      </w:r>
      <w:r w:rsidRPr="00516D49">
        <w:rPr>
          <w:rFonts w:ascii="Arial" w:hAnsi="Arial" w:cs="Arial"/>
          <w:noProof/>
          <w:sz w:val="20"/>
          <w:szCs w:val="24"/>
        </w:rPr>
        <w:t>, 2285–300 (2012).</w:t>
      </w:r>
    </w:p>
    <w:p w14:paraId="3278AE73" w14:textId="10DB45F3" w:rsidR="004245C7" w:rsidRPr="00C016DD" w:rsidRDefault="004245C7" w:rsidP="005B6CF6">
      <w:pPr>
        <w:spacing w:line="360" w:lineRule="auto"/>
        <w:jc w:val="both"/>
        <w:rPr>
          <w:rFonts w:ascii="Arial" w:hAnsi="Arial" w:cs="Arial"/>
          <w:b/>
          <w:sz w:val="20"/>
          <w:szCs w:val="20"/>
        </w:rPr>
      </w:pPr>
      <w:r w:rsidRPr="00C016DD">
        <w:rPr>
          <w:rFonts w:ascii="Arial" w:hAnsi="Arial" w:cs="Arial"/>
          <w:b/>
          <w:sz w:val="20"/>
          <w:szCs w:val="20"/>
        </w:rPr>
        <w:fldChar w:fldCharType="end"/>
      </w:r>
    </w:p>
    <w:p w14:paraId="52DFB161" w14:textId="77777777" w:rsidR="00370E1B" w:rsidRPr="00C016DD" w:rsidRDefault="00370E1B" w:rsidP="00FE58DA">
      <w:pPr>
        <w:spacing w:line="360" w:lineRule="auto"/>
        <w:jc w:val="both"/>
        <w:rPr>
          <w:rFonts w:ascii="Arial" w:hAnsi="Arial" w:cs="Arial"/>
          <w:b/>
          <w:sz w:val="20"/>
          <w:szCs w:val="20"/>
        </w:rPr>
      </w:pPr>
    </w:p>
    <w:p w14:paraId="0A43576C" w14:textId="77777777" w:rsidR="00370E1B" w:rsidRPr="00C016DD" w:rsidRDefault="00370E1B" w:rsidP="00FE58DA">
      <w:pPr>
        <w:spacing w:line="360" w:lineRule="auto"/>
        <w:jc w:val="both"/>
        <w:rPr>
          <w:rFonts w:ascii="Arial" w:hAnsi="Arial" w:cs="Arial"/>
          <w:b/>
          <w:sz w:val="20"/>
          <w:szCs w:val="20"/>
        </w:rPr>
      </w:pPr>
    </w:p>
    <w:p w14:paraId="6F8AA24C" w14:textId="77777777" w:rsidR="00370E1B" w:rsidRPr="00C016DD" w:rsidRDefault="00370E1B" w:rsidP="00FE58DA">
      <w:pPr>
        <w:spacing w:line="360" w:lineRule="auto"/>
        <w:jc w:val="both"/>
        <w:rPr>
          <w:rFonts w:ascii="Arial" w:hAnsi="Arial" w:cs="Arial"/>
          <w:b/>
          <w:sz w:val="20"/>
          <w:szCs w:val="20"/>
        </w:rPr>
      </w:pPr>
    </w:p>
    <w:p w14:paraId="3F01ADC6" w14:textId="77777777" w:rsidR="00370E1B" w:rsidRPr="00C016DD" w:rsidRDefault="00370E1B" w:rsidP="00494B46">
      <w:pPr>
        <w:spacing w:line="360" w:lineRule="auto"/>
        <w:jc w:val="both"/>
        <w:rPr>
          <w:rFonts w:ascii="Arial" w:hAnsi="Arial" w:cs="Arial"/>
          <w:b/>
          <w:sz w:val="20"/>
          <w:szCs w:val="20"/>
        </w:rPr>
      </w:pPr>
    </w:p>
    <w:p w14:paraId="22F6A205" w14:textId="77777777" w:rsidR="00370E1B" w:rsidRPr="00C016DD" w:rsidRDefault="00370E1B" w:rsidP="00366AD2">
      <w:pPr>
        <w:spacing w:line="360" w:lineRule="auto"/>
        <w:jc w:val="both"/>
        <w:rPr>
          <w:rFonts w:ascii="Arial" w:hAnsi="Arial" w:cs="Arial"/>
          <w:b/>
          <w:sz w:val="20"/>
          <w:szCs w:val="20"/>
        </w:rPr>
        <w:sectPr w:rsidR="00370E1B" w:rsidRPr="00C016DD" w:rsidSect="003E4C0D">
          <w:pgSz w:w="11906" w:h="16838"/>
          <w:pgMar w:top="1440" w:right="1440" w:bottom="1440" w:left="1440" w:header="708" w:footer="708" w:gutter="0"/>
          <w:cols w:space="708"/>
          <w:docGrid w:linePitch="360"/>
        </w:sectPr>
      </w:pPr>
    </w:p>
    <w:p w14:paraId="67E783AD" w14:textId="45B19F58" w:rsidR="00565784" w:rsidRDefault="005941C4" w:rsidP="00366AD2">
      <w:pPr>
        <w:pStyle w:val="ListParagraph"/>
        <w:spacing w:after="100" w:afterAutospacing="1" w:line="360" w:lineRule="auto"/>
        <w:ind w:left="0"/>
        <w:jc w:val="both"/>
        <w:rPr>
          <w:rFonts w:ascii="Arial" w:hAnsi="Arial" w:cs="Arial"/>
          <w:b/>
          <w:bCs/>
          <w:color w:val="000000"/>
          <w:sz w:val="20"/>
          <w:szCs w:val="20"/>
        </w:rPr>
      </w:pPr>
      <w:r>
        <w:rPr>
          <w:rFonts w:ascii="Arial" w:hAnsi="Arial" w:cs="Arial"/>
          <w:b/>
          <w:bCs/>
          <w:color w:val="000000"/>
          <w:sz w:val="20"/>
          <w:szCs w:val="20"/>
        </w:rPr>
        <w:lastRenderedPageBreak/>
        <w:t>Figure Legends</w:t>
      </w:r>
    </w:p>
    <w:p w14:paraId="38F0E85D" w14:textId="2821AD53" w:rsidR="00D3097F" w:rsidRPr="00CB028C" w:rsidRDefault="00D3097F" w:rsidP="00A27D58">
      <w:pPr>
        <w:pStyle w:val="Caption"/>
        <w:spacing w:line="480" w:lineRule="auto"/>
        <w:rPr>
          <w:rFonts w:ascii="Arial" w:hAnsi="Arial" w:cs="Arial"/>
        </w:rPr>
      </w:pPr>
      <w:bookmarkStart w:id="13" w:name="_Toc48787611"/>
      <w:r>
        <w:rPr>
          <w:rFonts w:ascii="Arial" w:hAnsi="Arial" w:cs="Arial"/>
          <w:b/>
          <w:bCs w:val="0"/>
        </w:rPr>
        <w:t xml:space="preserve">Figure 1. </w:t>
      </w:r>
      <w:r w:rsidR="000433DB">
        <w:rPr>
          <w:rFonts w:ascii="Arial" w:hAnsi="Arial" w:cs="Arial"/>
        </w:rPr>
        <w:t>P</w:t>
      </w:r>
      <w:r w:rsidR="00D91EB3">
        <w:rPr>
          <w:rFonts w:ascii="Arial" w:hAnsi="Arial" w:cs="Arial"/>
        </w:rPr>
        <w:t>hysiologically-based pharmacokinetic (P</w:t>
      </w:r>
      <w:r w:rsidR="000433DB">
        <w:rPr>
          <w:rFonts w:ascii="Arial" w:hAnsi="Arial" w:cs="Arial"/>
        </w:rPr>
        <w:t>BPK</w:t>
      </w:r>
      <w:r w:rsidR="00D91EB3">
        <w:rPr>
          <w:rFonts w:ascii="Arial" w:hAnsi="Arial" w:cs="Arial"/>
        </w:rPr>
        <w:t>)</w:t>
      </w:r>
      <w:r w:rsidR="00CB028C" w:rsidRPr="00CB028C">
        <w:rPr>
          <w:rFonts w:ascii="Arial" w:hAnsi="Arial" w:cs="Arial"/>
        </w:rPr>
        <w:t xml:space="preserve"> modelling workflow detailing the iterative processes involved in the development, verification and </w:t>
      </w:r>
      <w:r w:rsidR="00CB028C">
        <w:rPr>
          <w:rFonts w:ascii="Arial" w:hAnsi="Arial" w:cs="Arial"/>
        </w:rPr>
        <w:t xml:space="preserve">prospective </w:t>
      </w:r>
      <w:r w:rsidR="00CB028C" w:rsidRPr="00CB028C">
        <w:rPr>
          <w:rFonts w:ascii="Arial" w:hAnsi="Arial" w:cs="Arial"/>
        </w:rPr>
        <w:t>application of PBPK-</w:t>
      </w:r>
      <w:r w:rsidR="00D91EB3">
        <w:rPr>
          <w:rFonts w:ascii="Arial" w:hAnsi="Arial" w:cs="Arial"/>
        </w:rPr>
        <w:t>drug-drug-disease interaction</w:t>
      </w:r>
      <w:r w:rsidR="00CB028C" w:rsidRPr="00CB028C">
        <w:rPr>
          <w:rFonts w:ascii="Arial" w:hAnsi="Arial" w:cs="Arial"/>
        </w:rPr>
        <w:t xml:space="preserve"> </w:t>
      </w:r>
      <w:r w:rsidR="002C271E">
        <w:rPr>
          <w:rFonts w:ascii="Arial" w:hAnsi="Arial" w:cs="Arial"/>
        </w:rPr>
        <w:t xml:space="preserve">(PBPK-DDDI) </w:t>
      </w:r>
      <w:r w:rsidR="00CB028C">
        <w:rPr>
          <w:rFonts w:ascii="Arial" w:hAnsi="Arial" w:cs="Arial"/>
        </w:rPr>
        <w:t>platforms</w:t>
      </w:r>
      <w:r w:rsidR="00CB028C" w:rsidRPr="00CB028C">
        <w:rPr>
          <w:rFonts w:ascii="Arial" w:hAnsi="Arial" w:cs="Arial"/>
        </w:rPr>
        <w:t>.</w:t>
      </w:r>
      <w:r w:rsidR="0018109E">
        <w:rPr>
          <w:rFonts w:ascii="Arial" w:hAnsi="Arial" w:cs="Arial"/>
        </w:rPr>
        <w:t xml:space="preserve"> Previous i</w:t>
      </w:r>
      <w:r w:rsidR="00A27D58">
        <w:rPr>
          <w:rFonts w:ascii="Arial" w:hAnsi="Arial" w:cs="Arial"/>
        </w:rPr>
        <w:t xml:space="preserve">ncongruencies between the </w:t>
      </w:r>
      <w:r w:rsidR="0018109E">
        <w:rPr>
          <w:rFonts w:ascii="Arial" w:hAnsi="Arial" w:cs="Arial"/>
        </w:rPr>
        <w:t xml:space="preserve">simulated and observed </w:t>
      </w:r>
      <w:r w:rsidR="00CB028C" w:rsidRPr="0018109E">
        <w:rPr>
          <w:rFonts w:ascii="Arial" w:hAnsi="Arial" w:cs="Arial"/>
          <w:i/>
          <w:iCs/>
        </w:rPr>
        <w:t>in vivo</w:t>
      </w:r>
      <w:r w:rsidR="00CB028C" w:rsidRPr="00CB028C">
        <w:rPr>
          <w:rFonts w:ascii="Arial" w:hAnsi="Arial" w:cs="Arial"/>
        </w:rPr>
        <w:t xml:space="preserve"> transporter</w:t>
      </w:r>
      <w:r w:rsidR="00645B44">
        <w:rPr>
          <w:rFonts w:ascii="Arial" w:hAnsi="Arial" w:cs="Arial"/>
        </w:rPr>
        <w:t>-</w:t>
      </w:r>
      <w:r w:rsidR="00CB028C" w:rsidRPr="00CB028C">
        <w:rPr>
          <w:rFonts w:ascii="Arial" w:hAnsi="Arial" w:cs="Arial"/>
        </w:rPr>
        <w:t>mediated DDI between ketoconazole</w:t>
      </w:r>
      <w:r w:rsidR="00243666">
        <w:rPr>
          <w:rFonts w:ascii="Arial" w:hAnsi="Arial" w:cs="Arial"/>
        </w:rPr>
        <w:t xml:space="preserve"> (inhibitor)</w:t>
      </w:r>
      <w:r w:rsidR="00CB028C" w:rsidRPr="00CB028C">
        <w:rPr>
          <w:rFonts w:ascii="Arial" w:hAnsi="Arial" w:cs="Arial"/>
        </w:rPr>
        <w:t xml:space="preserve"> and rivaroxaban</w:t>
      </w:r>
      <w:r w:rsidR="00CD359B">
        <w:rPr>
          <w:rFonts w:ascii="Arial" w:hAnsi="Arial" w:cs="Arial"/>
        </w:rPr>
        <w:t xml:space="preserve"> (victim substrate)</w:t>
      </w:r>
      <w:r w:rsidR="00CB028C" w:rsidRPr="00CB028C">
        <w:rPr>
          <w:rFonts w:ascii="Arial" w:hAnsi="Arial" w:cs="Arial"/>
        </w:rPr>
        <w:t xml:space="preserve"> </w:t>
      </w:r>
      <w:r w:rsidR="0018109E">
        <w:rPr>
          <w:rFonts w:ascii="Arial" w:hAnsi="Arial" w:cs="Arial"/>
        </w:rPr>
        <w:t>prompted modification of</w:t>
      </w:r>
      <w:r w:rsidR="00CB028C" w:rsidRPr="00CB028C">
        <w:rPr>
          <w:rFonts w:ascii="Arial" w:hAnsi="Arial" w:cs="Arial"/>
        </w:rPr>
        <w:t xml:space="preserve"> </w:t>
      </w:r>
      <w:r w:rsidR="00130271">
        <w:rPr>
          <w:rFonts w:ascii="Arial" w:hAnsi="Arial" w:cs="Arial"/>
          <w:i/>
          <w:iCs/>
        </w:rPr>
        <w:t xml:space="preserve">in vitro </w:t>
      </w:r>
      <w:r w:rsidR="00CB028C" w:rsidRPr="00CB028C">
        <w:rPr>
          <w:rFonts w:ascii="Arial" w:hAnsi="Arial" w:cs="Arial"/>
        </w:rPr>
        <w:t xml:space="preserve">transporter inhibition experimental protocols </w:t>
      </w:r>
      <w:r w:rsidR="00130271">
        <w:rPr>
          <w:rFonts w:ascii="Arial" w:hAnsi="Arial" w:cs="Arial"/>
        </w:rPr>
        <w:t xml:space="preserve">in attempts to bridge the </w:t>
      </w:r>
      <w:r w:rsidR="00130271">
        <w:rPr>
          <w:rFonts w:ascii="Arial" w:hAnsi="Arial" w:cs="Arial"/>
          <w:i/>
          <w:iCs/>
        </w:rPr>
        <w:t xml:space="preserve">in vitro in vivo </w:t>
      </w:r>
      <w:r w:rsidR="00130271">
        <w:rPr>
          <w:rFonts w:ascii="Arial" w:hAnsi="Arial" w:cs="Arial"/>
        </w:rPr>
        <w:t xml:space="preserve">disconnect. Successful </w:t>
      </w:r>
      <w:r w:rsidR="009D5F5E">
        <w:rPr>
          <w:rFonts w:ascii="Arial" w:hAnsi="Arial" w:cs="Arial"/>
        </w:rPr>
        <w:t xml:space="preserve">recapitulation of </w:t>
      </w:r>
      <w:r w:rsidR="00BA433C">
        <w:rPr>
          <w:rFonts w:ascii="Arial" w:hAnsi="Arial" w:cs="Arial"/>
        </w:rPr>
        <w:t xml:space="preserve">the </w:t>
      </w:r>
      <w:r w:rsidR="009D5F5E">
        <w:rPr>
          <w:rFonts w:ascii="Arial" w:hAnsi="Arial" w:cs="Arial"/>
        </w:rPr>
        <w:t>reported</w:t>
      </w:r>
      <w:r w:rsidR="00BA433C">
        <w:rPr>
          <w:rFonts w:ascii="Arial" w:hAnsi="Arial" w:cs="Arial"/>
        </w:rPr>
        <w:t xml:space="preserve"> enzyme- and</w:t>
      </w:r>
      <w:r w:rsidR="009D5F5E">
        <w:rPr>
          <w:rFonts w:ascii="Arial" w:hAnsi="Arial" w:cs="Arial"/>
        </w:rPr>
        <w:t xml:space="preserve"> transporter-mediated DDI between rivaroxaban and ketoconazole</w:t>
      </w:r>
      <w:r w:rsidR="00CD359B">
        <w:rPr>
          <w:rFonts w:ascii="Arial" w:hAnsi="Arial" w:cs="Arial"/>
        </w:rPr>
        <w:t xml:space="preserve"> would i</w:t>
      </w:r>
      <w:r w:rsidR="009D5F5E">
        <w:rPr>
          <w:rFonts w:ascii="Arial" w:hAnsi="Arial" w:cs="Arial"/>
        </w:rPr>
        <w:t>nstil</w:t>
      </w:r>
      <w:r w:rsidR="00CD359B">
        <w:rPr>
          <w:rFonts w:ascii="Arial" w:hAnsi="Arial" w:cs="Arial"/>
        </w:rPr>
        <w:t>l</w:t>
      </w:r>
      <w:r w:rsidR="009D5F5E">
        <w:rPr>
          <w:rFonts w:ascii="Arial" w:hAnsi="Arial" w:cs="Arial"/>
        </w:rPr>
        <w:t xml:space="preserve"> confidence in the </w:t>
      </w:r>
      <w:r w:rsidR="009E1AF0">
        <w:rPr>
          <w:rFonts w:ascii="Arial" w:hAnsi="Arial" w:cs="Arial"/>
        </w:rPr>
        <w:t xml:space="preserve">accuracy and relevance of </w:t>
      </w:r>
      <w:r w:rsidR="009E1AF0">
        <w:rPr>
          <w:rFonts w:ascii="Arial" w:hAnsi="Arial" w:cs="Arial"/>
          <w:i/>
          <w:iCs/>
        </w:rPr>
        <w:t>in vitro</w:t>
      </w:r>
      <w:r w:rsidR="009E1AF0">
        <w:rPr>
          <w:rFonts w:ascii="Arial" w:hAnsi="Arial" w:cs="Arial"/>
        </w:rPr>
        <w:t xml:space="preserve"> </w:t>
      </w:r>
      <w:r w:rsidR="00CB028C" w:rsidRPr="00CB028C">
        <w:rPr>
          <w:rFonts w:ascii="Arial" w:hAnsi="Arial" w:cs="Arial"/>
        </w:rPr>
        <w:t>inhibitory parameters</w:t>
      </w:r>
      <w:r w:rsidR="00AA1D90">
        <w:rPr>
          <w:rFonts w:ascii="Arial" w:hAnsi="Arial" w:cs="Arial"/>
        </w:rPr>
        <w:t xml:space="preserve"> subsequently</w:t>
      </w:r>
      <w:r w:rsidR="00CB028C" w:rsidRPr="00CB028C">
        <w:rPr>
          <w:rFonts w:ascii="Arial" w:hAnsi="Arial" w:cs="Arial"/>
        </w:rPr>
        <w:t xml:space="preserve"> </w:t>
      </w:r>
      <w:r w:rsidR="009E1AF0">
        <w:rPr>
          <w:rFonts w:ascii="Arial" w:hAnsi="Arial" w:cs="Arial"/>
        </w:rPr>
        <w:t xml:space="preserve">derived for </w:t>
      </w:r>
      <w:r w:rsidR="00A54D27">
        <w:rPr>
          <w:rFonts w:ascii="Arial" w:hAnsi="Arial" w:cs="Arial"/>
        </w:rPr>
        <w:t>prospective DDI simulation</w:t>
      </w:r>
      <w:r w:rsidR="000F2A52">
        <w:rPr>
          <w:rFonts w:ascii="Arial" w:hAnsi="Arial" w:cs="Arial"/>
        </w:rPr>
        <w:t xml:space="preserve">s </w:t>
      </w:r>
      <w:r w:rsidR="00CB028C" w:rsidRPr="00CB028C">
        <w:rPr>
          <w:rFonts w:ascii="Arial" w:hAnsi="Arial" w:cs="Arial"/>
        </w:rPr>
        <w:t xml:space="preserve">with erlotinib and nilotinib as </w:t>
      </w:r>
      <w:r w:rsidR="000F2A52">
        <w:rPr>
          <w:rFonts w:ascii="Arial" w:hAnsi="Arial" w:cs="Arial"/>
        </w:rPr>
        <w:t xml:space="preserve">clinically relevant </w:t>
      </w:r>
      <w:r w:rsidR="00CB028C" w:rsidRPr="00CB028C">
        <w:rPr>
          <w:rFonts w:ascii="Arial" w:hAnsi="Arial" w:cs="Arial"/>
        </w:rPr>
        <w:t>perpetrator drugs</w:t>
      </w:r>
      <w:r w:rsidR="000F2A52">
        <w:rPr>
          <w:rFonts w:ascii="Arial" w:hAnsi="Arial" w:cs="Arial"/>
        </w:rPr>
        <w:t xml:space="preserve"> in cancer-associated venous thromboembolism</w:t>
      </w:r>
      <w:r w:rsidR="00CB028C" w:rsidRPr="00CB028C">
        <w:rPr>
          <w:rFonts w:ascii="Arial" w:hAnsi="Arial" w:cs="Arial"/>
        </w:rPr>
        <w:t>.</w:t>
      </w:r>
      <w:r w:rsidR="000433DB">
        <w:rPr>
          <w:rFonts w:ascii="Arial" w:hAnsi="Arial" w:cs="Arial"/>
        </w:rPr>
        <w:t xml:space="preserve"> </w:t>
      </w:r>
    </w:p>
    <w:p w14:paraId="4CB8F3E8" w14:textId="0392217F" w:rsidR="005941C4" w:rsidRPr="00C016DD" w:rsidRDefault="005941C4" w:rsidP="00A27D58">
      <w:pPr>
        <w:pStyle w:val="Caption"/>
        <w:spacing w:line="480" w:lineRule="auto"/>
        <w:rPr>
          <w:rFonts w:ascii="Arial" w:hAnsi="Arial" w:cs="Arial"/>
          <w:vanish/>
          <w:specVanish/>
        </w:rPr>
      </w:pPr>
      <w:r w:rsidRPr="00C016DD">
        <w:rPr>
          <w:rFonts w:ascii="Arial" w:hAnsi="Arial" w:cs="Arial"/>
          <w:b/>
          <w:bCs w:val="0"/>
        </w:rPr>
        <w:t xml:space="preserve">Figure </w:t>
      </w:r>
      <w:r w:rsidRPr="00C016DD">
        <w:rPr>
          <w:rFonts w:ascii="Arial" w:hAnsi="Arial" w:cs="Arial"/>
          <w:b/>
          <w:bCs w:val="0"/>
        </w:rPr>
        <w:fldChar w:fldCharType="begin"/>
      </w:r>
      <w:r w:rsidRPr="00C016DD">
        <w:rPr>
          <w:rFonts w:ascii="Arial" w:hAnsi="Arial" w:cs="Arial"/>
          <w:b/>
          <w:bCs w:val="0"/>
        </w:rPr>
        <w:instrText xml:space="preserve"> STYLEREF 1 \s </w:instrText>
      </w:r>
      <w:r w:rsidRPr="00C016DD">
        <w:rPr>
          <w:rFonts w:ascii="Arial" w:hAnsi="Arial" w:cs="Arial"/>
          <w:b/>
          <w:bCs w:val="0"/>
        </w:rPr>
        <w:fldChar w:fldCharType="separate"/>
      </w:r>
      <w:r w:rsidRPr="00C016DD">
        <w:rPr>
          <w:rFonts w:ascii="Arial" w:hAnsi="Arial" w:cs="Arial"/>
          <w:b/>
          <w:bCs w:val="0"/>
          <w:noProof/>
        </w:rPr>
        <w:t>2</w:t>
      </w:r>
      <w:r w:rsidRPr="00C016DD">
        <w:rPr>
          <w:rFonts w:ascii="Arial" w:hAnsi="Arial" w:cs="Arial"/>
          <w:b/>
          <w:bCs w:val="0"/>
        </w:rPr>
        <w:fldChar w:fldCharType="end"/>
      </w:r>
      <w:r w:rsidRPr="00C016DD">
        <w:rPr>
          <w:rFonts w:ascii="Arial" w:hAnsi="Arial" w:cs="Arial"/>
          <w:b/>
          <w:bCs w:val="0"/>
        </w:rPr>
        <w:t>.</w:t>
      </w:r>
      <w:r w:rsidRPr="00C016DD">
        <w:rPr>
          <w:rFonts w:ascii="Arial" w:hAnsi="Arial" w:cs="Arial"/>
        </w:rPr>
        <w:t xml:space="preserve"> Examining the</w:t>
      </w:r>
      <w:r w:rsidR="00D75295">
        <w:rPr>
          <w:rFonts w:ascii="Arial" w:hAnsi="Arial" w:cs="Arial"/>
        </w:rPr>
        <w:t xml:space="preserve"> implications of experimental design on the</w:t>
      </w:r>
      <w:r w:rsidRPr="00C016DD">
        <w:rPr>
          <w:rFonts w:ascii="Arial" w:hAnsi="Arial" w:cs="Arial"/>
        </w:rPr>
        <w:t xml:space="preserve"> inhibitory potential of ketoconazole on </w:t>
      </w:r>
      <w:r w:rsidR="003C13A1">
        <w:rPr>
          <w:rFonts w:ascii="Arial" w:hAnsi="Arial" w:cs="Arial"/>
        </w:rPr>
        <w:t xml:space="preserve">the </w:t>
      </w:r>
      <w:r w:rsidR="00625514">
        <w:rPr>
          <w:rFonts w:ascii="Arial" w:hAnsi="Arial" w:cs="Arial"/>
        </w:rPr>
        <w:t>organic anion transporter (OAT)</w:t>
      </w:r>
      <w:r w:rsidRPr="00C016DD">
        <w:rPr>
          <w:rFonts w:ascii="Arial" w:hAnsi="Arial" w:cs="Arial"/>
        </w:rPr>
        <w:t>3-mediated basolateral uptake</w:t>
      </w:r>
      <w:r w:rsidR="003C13A1">
        <w:rPr>
          <w:rFonts w:ascii="Arial" w:hAnsi="Arial" w:cs="Arial"/>
        </w:rPr>
        <w:t xml:space="preserve"> of rivaroxaban</w:t>
      </w:r>
      <w:r w:rsidR="00DB2571">
        <w:rPr>
          <w:rFonts w:ascii="Arial" w:hAnsi="Arial" w:cs="Arial"/>
        </w:rPr>
        <w:t xml:space="preserve"> an</w:t>
      </w:r>
      <w:r w:rsidR="00235E26">
        <w:rPr>
          <w:rFonts w:ascii="Arial" w:hAnsi="Arial" w:cs="Arial"/>
        </w:rPr>
        <w:t xml:space="preserve">d the eventual </w:t>
      </w:r>
      <w:r w:rsidR="00945467">
        <w:rPr>
          <w:rFonts w:ascii="Arial" w:hAnsi="Arial" w:cs="Arial"/>
        </w:rPr>
        <w:t xml:space="preserve">magnitude of DDI between ketoconazole and </w:t>
      </w:r>
      <w:r w:rsidR="00FC2EE3">
        <w:rPr>
          <w:rFonts w:ascii="Arial" w:hAnsi="Arial" w:cs="Arial"/>
        </w:rPr>
        <w:t>rivaroxaban</w:t>
      </w:r>
      <w:r w:rsidRPr="00C016DD">
        <w:rPr>
          <w:rFonts w:ascii="Arial" w:hAnsi="Arial" w:cs="Arial"/>
        </w:rPr>
        <w:t>.</w:t>
      </w:r>
      <w:bookmarkEnd w:id="13"/>
      <w:r w:rsidR="00DF07BE">
        <w:rPr>
          <w:rFonts w:ascii="Arial" w:hAnsi="Arial" w:cs="Arial"/>
        </w:rPr>
        <w:t xml:space="preserve"> </w:t>
      </w:r>
    </w:p>
    <w:p w14:paraId="25BDD533" w14:textId="4B2409CA" w:rsidR="005941C4" w:rsidRDefault="00235E26" w:rsidP="00F50B86">
      <w:pPr>
        <w:pStyle w:val="Caption"/>
        <w:numPr>
          <w:ilvl w:val="0"/>
          <w:numId w:val="1"/>
        </w:numPr>
        <w:spacing w:line="480" w:lineRule="auto"/>
        <w:rPr>
          <w:rFonts w:ascii="Arial" w:hAnsi="Arial" w:cs="Arial"/>
        </w:rPr>
      </w:pPr>
      <w:r w:rsidRPr="009E2EA8">
        <w:rPr>
          <w:rFonts w:ascii="Arial" w:hAnsi="Arial" w:cs="Arial"/>
          <w:bCs w:val="0"/>
        </w:rPr>
        <w:t xml:space="preserve">Consideration of the inhibitory </w:t>
      </w:r>
      <w:r w:rsidR="00D16CC3">
        <w:rPr>
          <w:rFonts w:ascii="Arial" w:hAnsi="Arial" w:cs="Arial"/>
          <w:bCs w:val="0"/>
        </w:rPr>
        <w:t>effects of</w:t>
      </w:r>
      <w:r w:rsidRPr="009E2EA8">
        <w:rPr>
          <w:rFonts w:ascii="Arial" w:hAnsi="Arial" w:cs="Arial"/>
          <w:bCs w:val="0"/>
        </w:rPr>
        <w:t xml:space="preserve"> ketoconazole on CYP3A4/2J2-mediated metabolism and P-g</w:t>
      </w:r>
      <w:r w:rsidR="00FD6C68">
        <w:rPr>
          <w:rFonts w:ascii="Arial" w:hAnsi="Arial" w:cs="Arial"/>
          <w:bCs w:val="0"/>
        </w:rPr>
        <w:t>lycoprotein</w:t>
      </w:r>
      <w:r w:rsidRPr="009E2EA8">
        <w:rPr>
          <w:rFonts w:ascii="Arial" w:hAnsi="Arial" w:cs="Arial"/>
          <w:bCs w:val="0"/>
        </w:rPr>
        <w:t>-mediated efflux of rivaroxaban</w:t>
      </w:r>
      <w:r w:rsidR="0073187A">
        <w:rPr>
          <w:rFonts w:ascii="Arial" w:hAnsi="Arial" w:cs="Arial"/>
          <w:bCs w:val="0"/>
        </w:rPr>
        <w:t xml:space="preserve"> (blue solid line)</w:t>
      </w:r>
      <w:r w:rsidRPr="009E2EA8">
        <w:rPr>
          <w:rFonts w:ascii="Arial" w:hAnsi="Arial" w:cs="Arial"/>
          <w:bCs w:val="0"/>
        </w:rPr>
        <w:t xml:space="preserve"> underestimated the observed DDI magnitude (</w:t>
      </w:r>
      <w:r w:rsidR="0073187A">
        <w:rPr>
          <w:rFonts w:ascii="Arial" w:hAnsi="Arial" w:cs="Arial"/>
          <w:bCs w:val="0"/>
        </w:rPr>
        <w:t>open symbols</w:t>
      </w:r>
      <w:r w:rsidRPr="009E2EA8">
        <w:rPr>
          <w:rFonts w:ascii="Arial" w:hAnsi="Arial" w:cs="Arial"/>
          <w:bCs w:val="0"/>
        </w:rPr>
        <w:t>)</w:t>
      </w:r>
      <w:r w:rsidR="0015268D">
        <w:rPr>
          <w:rFonts w:ascii="Arial" w:hAnsi="Arial" w:cs="Arial"/>
          <w:bCs w:val="0"/>
        </w:rPr>
        <w:t xml:space="preserve">, </w:t>
      </w:r>
      <w:r w:rsidR="0015268D" w:rsidRPr="0015268D">
        <w:rPr>
          <w:rFonts w:ascii="Arial" w:hAnsi="Arial" w:cs="Arial"/>
          <w:bCs w:val="0"/>
        </w:rPr>
        <w:t xml:space="preserve">suggesting that the nature and potency of transporter-mediated interactions between rivaroxaban and ketoconazole have not been adequately elucidated. </w:t>
      </w:r>
      <w:r w:rsidR="0073187A" w:rsidRPr="0073187A">
        <w:rPr>
          <w:rFonts w:ascii="Arial" w:hAnsi="Arial" w:cs="Arial"/>
          <w:bCs w:val="0"/>
        </w:rPr>
        <w:t>(</w:t>
      </w:r>
      <w:r w:rsidR="0073187A">
        <w:rPr>
          <w:rFonts w:ascii="Arial" w:hAnsi="Arial" w:cs="Arial"/>
          <w:b/>
        </w:rPr>
        <w:t>B</w:t>
      </w:r>
      <w:r w:rsidR="0073187A" w:rsidRPr="0073187A">
        <w:rPr>
          <w:rFonts w:ascii="Arial" w:hAnsi="Arial" w:cs="Arial"/>
          <w:bCs w:val="0"/>
        </w:rPr>
        <w:t>)</w:t>
      </w:r>
      <w:r w:rsidR="0073187A">
        <w:rPr>
          <w:rFonts w:ascii="Arial" w:hAnsi="Arial" w:cs="Arial"/>
          <w:b/>
        </w:rPr>
        <w:t xml:space="preserve"> </w:t>
      </w:r>
      <w:r w:rsidR="005941C4" w:rsidRPr="00C016DD">
        <w:rPr>
          <w:rFonts w:ascii="Arial" w:hAnsi="Arial" w:cs="Arial"/>
        </w:rPr>
        <w:t>represents concentration-dependent diminutions of total E3S or rivaroxaban uptake into OAT3-transfected</w:t>
      </w:r>
      <w:r w:rsidR="00A573D7">
        <w:rPr>
          <w:rFonts w:ascii="Arial" w:hAnsi="Arial" w:cs="Arial"/>
        </w:rPr>
        <w:t xml:space="preserve"> HEK </w:t>
      </w:r>
      <w:r w:rsidR="005941C4" w:rsidRPr="00C016DD">
        <w:rPr>
          <w:rFonts w:ascii="Arial" w:hAnsi="Arial" w:cs="Arial"/>
        </w:rPr>
        <w:t xml:space="preserve">cells in the presence of ketoconazole, measured in protein-free </w:t>
      </w:r>
      <w:r w:rsidR="0027403A">
        <w:rPr>
          <w:rFonts w:ascii="Arial" w:hAnsi="Arial" w:cs="Arial"/>
        </w:rPr>
        <w:t>transport buffer</w:t>
      </w:r>
      <w:r w:rsidR="005941C4" w:rsidRPr="00C016DD">
        <w:rPr>
          <w:rFonts w:ascii="Arial" w:hAnsi="Arial" w:cs="Arial"/>
        </w:rPr>
        <w:t xml:space="preserve">. Reversible inhibition experiments were </w:t>
      </w:r>
      <w:r w:rsidR="000E475A">
        <w:rPr>
          <w:rFonts w:ascii="Arial" w:hAnsi="Arial" w:cs="Arial"/>
        </w:rPr>
        <w:t>subsequently</w:t>
      </w:r>
      <w:r w:rsidR="005941C4" w:rsidRPr="00C016DD">
        <w:rPr>
          <w:rFonts w:ascii="Arial" w:hAnsi="Arial" w:cs="Arial"/>
        </w:rPr>
        <w:t xml:space="preserve"> performed in the presence of multiple substrate and inhibitor (ketoconazole) concentrations</w:t>
      </w:r>
      <w:r w:rsidR="000E475A">
        <w:rPr>
          <w:rFonts w:ascii="Arial" w:hAnsi="Arial" w:cs="Arial"/>
        </w:rPr>
        <w:t xml:space="preserve">, with </w:t>
      </w:r>
      <w:r w:rsidR="005941C4" w:rsidRPr="00C016DD">
        <w:rPr>
          <w:rFonts w:ascii="Arial" w:hAnsi="Arial" w:cs="Arial"/>
        </w:rPr>
        <w:t xml:space="preserve">Dixon plots </w:t>
      </w:r>
      <w:r w:rsidR="000E475A">
        <w:rPr>
          <w:rFonts w:ascii="Arial" w:hAnsi="Arial" w:cs="Arial"/>
        </w:rPr>
        <w:t>utilized</w:t>
      </w:r>
      <w:r w:rsidR="005941C4" w:rsidRPr="00C016DD">
        <w:rPr>
          <w:rFonts w:ascii="Arial" w:hAnsi="Arial" w:cs="Arial"/>
        </w:rPr>
        <w:t xml:space="preserve"> to discern the mode of inhibition when (</w:t>
      </w:r>
      <w:r w:rsidR="00AF26F9">
        <w:rPr>
          <w:rFonts w:ascii="Arial" w:hAnsi="Arial" w:cs="Arial"/>
          <w:b/>
          <w:bCs w:val="0"/>
        </w:rPr>
        <w:t>C</w:t>
      </w:r>
      <w:r w:rsidR="005941C4" w:rsidRPr="00C016DD">
        <w:rPr>
          <w:rFonts w:ascii="Arial" w:hAnsi="Arial" w:cs="Arial"/>
        </w:rPr>
        <w:t>) E3S or (</w:t>
      </w:r>
      <w:r w:rsidR="00AF26F9">
        <w:rPr>
          <w:rFonts w:ascii="Arial" w:hAnsi="Arial" w:cs="Arial"/>
          <w:b/>
          <w:bCs w:val="0"/>
        </w:rPr>
        <w:t>E</w:t>
      </w:r>
      <w:r w:rsidR="005941C4" w:rsidRPr="00C016DD">
        <w:rPr>
          <w:rFonts w:ascii="Arial" w:hAnsi="Arial" w:cs="Arial"/>
        </w:rPr>
        <w:t>) rivaroxaban was utilized as the probe substrate</w:t>
      </w:r>
      <w:r w:rsidR="00D23330">
        <w:rPr>
          <w:rFonts w:ascii="Arial" w:hAnsi="Arial" w:cs="Arial"/>
        </w:rPr>
        <w:t>. The intersection of lines on the x-axis was diagnostic of non-competitive inhibition and guided application of</w:t>
      </w:r>
      <w:r w:rsidR="005941C4" w:rsidRPr="00C016DD">
        <w:rPr>
          <w:rFonts w:ascii="Arial" w:hAnsi="Arial" w:cs="Arial"/>
        </w:rPr>
        <w:t xml:space="preserve"> the appropriate </w:t>
      </w:r>
      <w:r w:rsidR="002028BB">
        <w:rPr>
          <w:rFonts w:ascii="Arial" w:hAnsi="Arial" w:cs="Arial"/>
        </w:rPr>
        <w:t>non-linear regression model</w:t>
      </w:r>
      <w:r w:rsidR="005941C4" w:rsidRPr="00C016DD">
        <w:rPr>
          <w:rFonts w:ascii="Arial" w:hAnsi="Arial" w:cs="Arial"/>
        </w:rPr>
        <w:t xml:space="preserve"> (</w:t>
      </w:r>
      <w:r w:rsidR="005941C4" w:rsidRPr="00C016DD">
        <w:rPr>
          <w:rFonts w:ascii="Arial" w:hAnsi="Arial" w:cs="Arial"/>
          <w:b/>
          <w:bCs w:val="0"/>
        </w:rPr>
        <w:t xml:space="preserve">Equation </w:t>
      </w:r>
      <w:r w:rsidR="00D23330">
        <w:rPr>
          <w:rFonts w:ascii="Arial" w:hAnsi="Arial" w:cs="Arial"/>
          <w:b/>
          <w:bCs w:val="0"/>
        </w:rPr>
        <w:t>3b</w:t>
      </w:r>
      <w:r w:rsidR="005941C4" w:rsidRPr="00C016DD">
        <w:rPr>
          <w:rFonts w:ascii="Arial" w:hAnsi="Arial" w:cs="Arial"/>
        </w:rPr>
        <w:t>) to obtain the inhibitory constant</w:t>
      </w:r>
      <w:r w:rsidR="00AA35A7">
        <w:rPr>
          <w:rFonts w:ascii="Arial" w:hAnsi="Arial" w:cs="Arial"/>
        </w:rPr>
        <w:t>s</w:t>
      </w:r>
      <w:r w:rsidR="00E8619D">
        <w:rPr>
          <w:rFonts w:ascii="Arial" w:hAnsi="Arial" w:cs="Arial"/>
        </w:rPr>
        <w:t xml:space="preserve"> </w:t>
      </w:r>
      <w:r w:rsidR="005941C4" w:rsidRPr="00C016DD">
        <w:rPr>
          <w:rFonts w:ascii="Arial" w:hAnsi="Arial" w:cs="Arial"/>
        </w:rPr>
        <w:t>(</w:t>
      </w:r>
      <w:r w:rsidR="005941C4" w:rsidRPr="00C016DD">
        <w:rPr>
          <w:rFonts w:ascii="Arial" w:hAnsi="Arial" w:cs="Arial"/>
          <w:i/>
          <w:iCs/>
        </w:rPr>
        <w:t>K</w:t>
      </w:r>
      <w:r w:rsidR="005941C4" w:rsidRPr="00C016DD">
        <w:rPr>
          <w:rFonts w:ascii="Arial" w:hAnsi="Arial" w:cs="Arial"/>
          <w:i/>
          <w:iCs/>
          <w:vertAlign w:val="subscript"/>
        </w:rPr>
        <w:t>i</w:t>
      </w:r>
      <w:r w:rsidR="005941C4" w:rsidRPr="00C016DD">
        <w:rPr>
          <w:rFonts w:ascii="Arial" w:hAnsi="Arial" w:cs="Arial"/>
        </w:rPr>
        <w:t>)</w:t>
      </w:r>
      <w:r w:rsidR="005F6AA3">
        <w:rPr>
          <w:rFonts w:ascii="Arial" w:hAnsi="Arial" w:cs="Arial"/>
        </w:rPr>
        <w:t xml:space="preserve"> for </w:t>
      </w:r>
      <w:r w:rsidR="00B04E22">
        <w:rPr>
          <w:rFonts w:ascii="Arial" w:hAnsi="Arial" w:cs="Arial"/>
        </w:rPr>
        <w:t xml:space="preserve">ketoconazole on </w:t>
      </w:r>
      <w:r w:rsidR="005F6AA3">
        <w:rPr>
          <w:rFonts w:ascii="Arial" w:hAnsi="Arial" w:cs="Arial"/>
        </w:rPr>
        <w:t>(</w:t>
      </w:r>
      <w:r w:rsidR="005F6AA3" w:rsidRPr="00B04E22">
        <w:rPr>
          <w:rFonts w:ascii="Arial" w:hAnsi="Arial" w:cs="Arial"/>
          <w:b/>
          <w:bCs w:val="0"/>
        </w:rPr>
        <w:t>D</w:t>
      </w:r>
      <w:r w:rsidR="005F6AA3">
        <w:rPr>
          <w:rFonts w:ascii="Arial" w:hAnsi="Arial" w:cs="Arial"/>
        </w:rPr>
        <w:t>) E3S and</w:t>
      </w:r>
      <w:r w:rsidR="00B04E22">
        <w:rPr>
          <w:rFonts w:ascii="Arial" w:hAnsi="Arial" w:cs="Arial"/>
        </w:rPr>
        <w:t xml:space="preserve"> (</w:t>
      </w:r>
      <w:r w:rsidR="00B04E22" w:rsidRPr="00B04E22">
        <w:rPr>
          <w:rFonts w:ascii="Arial" w:hAnsi="Arial" w:cs="Arial"/>
          <w:b/>
          <w:bCs w:val="0"/>
        </w:rPr>
        <w:t>F</w:t>
      </w:r>
      <w:r w:rsidR="00B04E22">
        <w:rPr>
          <w:rFonts w:ascii="Arial" w:hAnsi="Arial" w:cs="Arial"/>
        </w:rPr>
        <w:t>) rivaroxaban</w:t>
      </w:r>
      <w:r w:rsidR="005941C4" w:rsidRPr="00C016DD">
        <w:rPr>
          <w:rFonts w:ascii="Arial" w:hAnsi="Arial" w:cs="Arial"/>
        </w:rPr>
        <w:t xml:space="preserve">. </w:t>
      </w:r>
      <w:r w:rsidR="005941C4" w:rsidRPr="00C016DD">
        <w:rPr>
          <w:rFonts w:ascii="Arial" w:hAnsi="Arial" w:cs="Arial"/>
          <w:bCs w:val="0"/>
        </w:rPr>
        <w:t>(</w:t>
      </w:r>
      <w:r w:rsidR="004A45A6" w:rsidRPr="004A45A6">
        <w:rPr>
          <w:rFonts w:ascii="Arial" w:hAnsi="Arial" w:cs="Arial"/>
          <w:b/>
        </w:rPr>
        <w:t>G</w:t>
      </w:r>
      <w:r w:rsidR="005941C4" w:rsidRPr="00C016DD">
        <w:rPr>
          <w:rFonts w:ascii="Arial" w:hAnsi="Arial" w:cs="Arial"/>
          <w:bCs w:val="0"/>
        </w:rPr>
        <w:t>)</w:t>
      </w:r>
      <w:r w:rsidR="005941C4" w:rsidRPr="00C016DD">
        <w:rPr>
          <w:rFonts w:ascii="Arial" w:hAnsi="Arial" w:cs="Arial"/>
        </w:rPr>
        <w:t xml:space="preserve"> shows the apparent IC</w:t>
      </w:r>
      <w:r w:rsidR="005941C4" w:rsidRPr="00C016DD">
        <w:rPr>
          <w:rFonts w:ascii="Arial" w:hAnsi="Arial" w:cs="Arial"/>
          <w:vertAlign w:val="subscript"/>
        </w:rPr>
        <w:t xml:space="preserve">50 </w:t>
      </w:r>
      <w:r w:rsidR="005941C4" w:rsidRPr="00C016DD">
        <w:rPr>
          <w:rFonts w:ascii="Arial" w:hAnsi="Arial" w:cs="Arial"/>
        </w:rPr>
        <w:t>value of ketoconazole on OAT3-mediated transport of rivaroxaban determined in the presence of 5% w/v human serum albumin</w:t>
      </w:r>
      <w:r w:rsidR="00B04E22">
        <w:rPr>
          <w:rFonts w:ascii="Arial" w:hAnsi="Arial" w:cs="Arial"/>
        </w:rPr>
        <w:t xml:space="preserve">, which will be corrected for </w:t>
      </w:r>
      <w:r w:rsidR="00C16534">
        <w:rPr>
          <w:rFonts w:ascii="Arial" w:hAnsi="Arial" w:cs="Arial"/>
        </w:rPr>
        <w:t xml:space="preserve">the fraction unbound </w:t>
      </w:r>
      <w:r w:rsidR="009A5E1B">
        <w:rPr>
          <w:rFonts w:ascii="Arial" w:hAnsi="Arial" w:cs="Arial"/>
        </w:rPr>
        <w:t>in plasma to obtain</w:t>
      </w:r>
      <w:r w:rsidR="009F2DE4">
        <w:rPr>
          <w:rFonts w:ascii="Arial" w:hAnsi="Arial" w:cs="Arial"/>
        </w:rPr>
        <w:t xml:space="preserve"> IC</w:t>
      </w:r>
      <w:proofErr w:type="gramStart"/>
      <w:r w:rsidR="009F2DE4" w:rsidRPr="00AB49A4">
        <w:rPr>
          <w:rFonts w:ascii="Arial" w:hAnsi="Arial" w:cs="Arial"/>
          <w:vertAlign w:val="subscript"/>
        </w:rPr>
        <w:t>50,u</w:t>
      </w:r>
      <w:r w:rsidR="005941C4" w:rsidRPr="00C016DD">
        <w:rPr>
          <w:rFonts w:ascii="Arial" w:hAnsi="Arial" w:cs="Arial"/>
        </w:rPr>
        <w:t>.</w:t>
      </w:r>
      <w:proofErr w:type="gramEnd"/>
      <w:r w:rsidR="00530A0D">
        <w:rPr>
          <w:rFonts w:ascii="Arial" w:hAnsi="Arial" w:cs="Arial"/>
        </w:rPr>
        <w:t xml:space="preserve"> </w:t>
      </w:r>
      <w:r w:rsidR="00322360">
        <w:rPr>
          <w:rFonts w:ascii="Arial" w:hAnsi="Arial" w:cs="Arial"/>
        </w:rPr>
        <w:t>(</w:t>
      </w:r>
      <w:r w:rsidR="007D56D1" w:rsidRPr="005313BF">
        <w:rPr>
          <w:rFonts w:ascii="Arial" w:hAnsi="Arial" w:cs="Arial"/>
          <w:b/>
          <w:bCs w:val="0"/>
        </w:rPr>
        <w:t>H</w:t>
      </w:r>
      <w:r w:rsidR="007D56D1">
        <w:rPr>
          <w:rFonts w:ascii="Arial" w:hAnsi="Arial" w:cs="Arial"/>
        </w:rPr>
        <w:t xml:space="preserve">) </w:t>
      </w:r>
      <w:r w:rsidR="002637C8">
        <w:rPr>
          <w:rFonts w:ascii="Arial" w:hAnsi="Arial" w:cs="Arial"/>
        </w:rPr>
        <w:t>As demonstrated by the blue dashed line, i</w:t>
      </w:r>
      <w:r w:rsidR="007D56D1">
        <w:rPr>
          <w:rFonts w:ascii="Arial" w:hAnsi="Arial" w:cs="Arial"/>
        </w:rPr>
        <w:t>ncorporation of the</w:t>
      </w:r>
      <w:r w:rsidR="00AE15AF">
        <w:rPr>
          <w:rFonts w:ascii="Arial" w:hAnsi="Arial" w:cs="Arial"/>
        </w:rPr>
        <w:t xml:space="preserve"> </w:t>
      </w:r>
      <w:r w:rsidR="00225D98">
        <w:rPr>
          <w:rFonts w:ascii="Arial" w:hAnsi="Arial" w:cs="Arial"/>
        </w:rPr>
        <w:t>IC</w:t>
      </w:r>
      <w:r w:rsidR="00225D98" w:rsidRPr="00593DAF">
        <w:rPr>
          <w:rFonts w:ascii="Arial" w:hAnsi="Arial" w:cs="Arial"/>
          <w:vertAlign w:val="subscript"/>
        </w:rPr>
        <w:t>50,u</w:t>
      </w:r>
      <w:r w:rsidR="00225D98">
        <w:rPr>
          <w:rFonts w:ascii="Arial" w:hAnsi="Arial" w:cs="Arial"/>
        </w:rPr>
        <w:t xml:space="preserve"> value (corrected to </w:t>
      </w:r>
      <w:proofErr w:type="spellStart"/>
      <w:r w:rsidR="00225D98" w:rsidRPr="00593DAF">
        <w:rPr>
          <w:rFonts w:ascii="Arial" w:hAnsi="Arial" w:cs="Arial"/>
          <w:i/>
          <w:iCs/>
        </w:rPr>
        <w:t>K</w:t>
      </w:r>
      <w:r w:rsidR="00225D98" w:rsidRPr="00593DAF">
        <w:rPr>
          <w:rFonts w:ascii="Arial" w:hAnsi="Arial" w:cs="Arial"/>
          <w:i/>
          <w:iCs/>
          <w:vertAlign w:val="subscript"/>
        </w:rPr>
        <w:t>i,u</w:t>
      </w:r>
      <w:proofErr w:type="spellEnd"/>
      <w:r w:rsidR="00225D98">
        <w:rPr>
          <w:rFonts w:ascii="Arial" w:hAnsi="Arial" w:cs="Arial"/>
        </w:rPr>
        <w:t xml:space="preserve"> via the Cheng </w:t>
      </w:r>
      <w:proofErr w:type="spellStart"/>
      <w:r w:rsidR="00225D98">
        <w:rPr>
          <w:rFonts w:ascii="Arial" w:hAnsi="Arial" w:cs="Arial"/>
        </w:rPr>
        <w:t>Prusoff</w:t>
      </w:r>
      <w:proofErr w:type="spellEnd"/>
      <w:r w:rsidR="00225D98">
        <w:rPr>
          <w:rFonts w:ascii="Arial" w:hAnsi="Arial" w:cs="Arial"/>
        </w:rPr>
        <w:t xml:space="preserve"> equation) </w:t>
      </w:r>
      <w:r w:rsidR="002637C8">
        <w:rPr>
          <w:rFonts w:ascii="Arial" w:hAnsi="Arial" w:cs="Arial"/>
        </w:rPr>
        <w:t xml:space="preserve">enabled </w:t>
      </w:r>
      <w:r w:rsidR="002637C8" w:rsidRPr="002637C8">
        <w:rPr>
          <w:rFonts w:ascii="Arial" w:hAnsi="Arial" w:cs="Arial"/>
        </w:rPr>
        <w:t xml:space="preserve">accurate </w:t>
      </w:r>
      <w:r w:rsidR="002637C8">
        <w:rPr>
          <w:rFonts w:ascii="Arial" w:hAnsi="Arial" w:cs="Arial"/>
        </w:rPr>
        <w:t>recapitulation of the</w:t>
      </w:r>
      <w:r w:rsidR="002637C8" w:rsidRPr="002637C8">
        <w:rPr>
          <w:rFonts w:ascii="Arial" w:hAnsi="Arial" w:cs="Arial"/>
        </w:rPr>
        <w:t xml:space="preserve"> clinically observed DDI (</w:t>
      </w:r>
      <w:r w:rsidR="002637C8">
        <w:rPr>
          <w:rFonts w:ascii="Arial" w:hAnsi="Arial" w:cs="Arial"/>
        </w:rPr>
        <w:t>open symbols</w:t>
      </w:r>
      <w:r w:rsidR="002637C8" w:rsidRPr="002637C8">
        <w:rPr>
          <w:rFonts w:ascii="Arial" w:hAnsi="Arial" w:cs="Arial"/>
        </w:rPr>
        <w:t xml:space="preserve">). </w:t>
      </w:r>
      <w:r w:rsidR="005941C4" w:rsidRPr="00C016DD">
        <w:rPr>
          <w:rFonts w:ascii="Arial" w:hAnsi="Arial" w:cs="Arial"/>
          <w:b/>
        </w:rPr>
        <w:t xml:space="preserve"> </w:t>
      </w:r>
      <w:r w:rsidR="005941C4" w:rsidRPr="00C016DD">
        <w:rPr>
          <w:rFonts w:ascii="Arial" w:hAnsi="Arial" w:cs="Arial"/>
        </w:rPr>
        <w:t>Each point</w:t>
      </w:r>
      <w:r w:rsidR="00530A0D">
        <w:rPr>
          <w:rFonts w:ascii="Arial" w:hAnsi="Arial" w:cs="Arial"/>
        </w:rPr>
        <w:t xml:space="preserve"> in (</w:t>
      </w:r>
      <w:r w:rsidR="00530A0D" w:rsidRPr="00530A0D">
        <w:rPr>
          <w:rFonts w:ascii="Arial" w:hAnsi="Arial" w:cs="Arial"/>
          <w:b/>
          <w:bCs w:val="0"/>
        </w:rPr>
        <w:t>B-G</w:t>
      </w:r>
      <w:r w:rsidR="00530A0D">
        <w:rPr>
          <w:rFonts w:ascii="Arial" w:hAnsi="Arial" w:cs="Arial"/>
        </w:rPr>
        <w:t>)</w:t>
      </w:r>
      <w:r w:rsidR="005941C4" w:rsidRPr="00C016DD">
        <w:rPr>
          <w:rFonts w:ascii="Arial" w:hAnsi="Arial" w:cs="Arial"/>
        </w:rPr>
        <w:t xml:space="preserve"> </w:t>
      </w:r>
      <w:r w:rsidR="005941C4" w:rsidRPr="00C016DD">
        <w:rPr>
          <w:rFonts w:ascii="Arial" w:hAnsi="Arial" w:cs="Arial"/>
        </w:rPr>
        <w:lastRenderedPageBreak/>
        <w:t>represents the mean ± S.D. of three independent experiments. Abbreviations: E3S – estrone 3-sulfat</w:t>
      </w:r>
      <w:r w:rsidR="005941C4">
        <w:rPr>
          <w:rFonts w:ascii="Arial" w:hAnsi="Arial" w:cs="Arial"/>
        </w:rPr>
        <w:t>e</w:t>
      </w:r>
      <w:r w:rsidR="009A5E1B">
        <w:rPr>
          <w:rFonts w:ascii="Arial" w:hAnsi="Arial" w:cs="Arial"/>
        </w:rPr>
        <w:t>; HEK – human embryonic kidney</w:t>
      </w:r>
    </w:p>
    <w:p w14:paraId="61A25FE3" w14:textId="5DA4EC12" w:rsidR="00232420" w:rsidRDefault="00232420" w:rsidP="00232420">
      <w:pPr>
        <w:spacing w:after="0" w:line="480" w:lineRule="auto"/>
        <w:ind w:left="53"/>
        <w:rPr>
          <w:rFonts w:ascii="Arial" w:hAnsi="Arial" w:cs="Arial"/>
          <w:sz w:val="20"/>
          <w:szCs w:val="20"/>
        </w:rPr>
      </w:pPr>
    </w:p>
    <w:p w14:paraId="1B014A54" w14:textId="66ED2E09" w:rsidR="00232420" w:rsidRDefault="00232420" w:rsidP="005B7287">
      <w:pPr>
        <w:spacing w:after="0" w:line="480" w:lineRule="auto"/>
        <w:ind w:left="53"/>
        <w:jc w:val="both"/>
        <w:rPr>
          <w:rFonts w:ascii="Arial" w:hAnsi="Arial" w:cs="Arial"/>
          <w:sz w:val="20"/>
          <w:szCs w:val="20"/>
        </w:rPr>
      </w:pPr>
      <w:r w:rsidRPr="00AB7B6D">
        <w:rPr>
          <w:rFonts w:ascii="Arial" w:hAnsi="Arial" w:cs="Arial"/>
          <w:b/>
          <w:bCs/>
          <w:sz w:val="20"/>
          <w:szCs w:val="20"/>
        </w:rPr>
        <w:t xml:space="preserve">Figure </w:t>
      </w:r>
      <w:r w:rsidR="002E64DE">
        <w:rPr>
          <w:rFonts w:ascii="Arial" w:hAnsi="Arial" w:cs="Arial"/>
          <w:b/>
          <w:bCs/>
          <w:sz w:val="20"/>
          <w:szCs w:val="20"/>
        </w:rPr>
        <w:t>3.</w:t>
      </w:r>
      <w:r>
        <w:rPr>
          <w:rFonts w:ascii="Arial" w:hAnsi="Arial" w:cs="Arial"/>
          <w:sz w:val="20"/>
          <w:szCs w:val="20"/>
        </w:rPr>
        <w:t xml:space="preserve"> </w:t>
      </w:r>
      <w:r w:rsidR="005B7287" w:rsidRPr="005B7287">
        <w:rPr>
          <w:rFonts w:ascii="Arial" w:hAnsi="Arial" w:cs="Arial"/>
          <w:sz w:val="20"/>
          <w:szCs w:val="20"/>
        </w:rPr>
        <w:t>Simulated PK profiles of erlotinib and nilotinib. Simulated mean (solid line) plasma concentration-time profiles of (</w:t>
      </w:r>
      <w:r w:rsidR="005B7287" w:rsidRPr="00330CCC">
        <w:rPr>
          <w:rFonts w:ascii="Arial" w:hAnsi="Arial" w:cs="Arial"/>
          <w:b/>
          <w:bCs/>
          <w:sz w:val="20"/>
          <w:szCs w:val="20"/>
        </w:rPr>
        <w:t>A-B</w:t>
      </w:r>
      <w:r w:rsidR="005B7287" w:rsidRPr="005B7287">
        <w:rPr>
          <w:rFonts w:ascii="Arial" w:hAnsi="Arial" w:cs="Arial"/>
          <w:sz w:val="20"/>
          <w:szCs w:val="20"/>
        </w:rPr>
        <w:t>) erlotinib and (</w:t>
      </w:r>
      <w:r w:rsidR="005B7287" w:rsidRPr="00330CCC">
        <w:rPr>
          <w:rFonts w:ascii="Arial" w:hAnsi="Arial" w:cs="Arial"/>
          <w:b/>
          <w:bCs/>
          <w:sz w:val="20"/>
          <w:szCs w:val="20"/>
        </w:rPr>
        <w:t>C-D</w:t>
      </w:r>
      <w:r w:rsidR="005B7287" w:rsidRPr="005B7287">
        <w:rPr>
          <w:rFonts w:ascii="Arial" w:hAnsi="Arial" w:cs="Arial"/>
          <w:sz w:val="20"/>
          <w:szCs w:val="20"/>
        </w:rPr>
        <w:t>) nilotinib after single and/or multiple oral dosing. Incorporation of enzyme inactivation parameters for erlotinib and nilotinib against CYP3A4 (</w:t>
      </w:r>
      <w:r w:rsidR="001A16FD" w:rsidRPr="001A16FD">
        <w:rPr>
          <w:rFonts w:ascii="Arial" w:hAnsi="Arial" w:cs="Arial"/>
          <w:b/>
          <w:bCs/>
          <w:sz w:val="20"/>
          <w:szCs w:val="20"/>
        </w:rPr>
        <w:t>Table 2</w:t>
      </w:r>
      <w:r w:rsidR="005B7287" w:rsidRPr="005B7287">
        <w:rPr>
          <w:rFonts w:ascii="Arial" w:hAnsi="Arial" w:cs="Arial"/>
          <w:sz w:val="20"/>
          <w:szCs w:val="20"/>
        </w:rPr>
        <w:t>) was essential to recapitulate observed accumulation upon multiple dosing. Dashed lines in (</w:t>
      </w:r>
      <w:r w:rsidR="005B7287" w:rsidRPr="000318D5">
        <w:rPr>
          <w:rFonts w:ascii="Arial" w:hAnsi="Arial" w:cs="Arial"/>
          <w:b/>
          <w:bCs/>
          <w:sz w:val="20"/>
          <w:szCs w:val="20"/>
        </w:rPr>
        <w:t>C-D</w:t>
      </w:r>
      <w:r w:rsidR="005B7287" w:rsidRPr="005B7287">
        <w:rPr>
          <w:rFonts w:ascii="Arial" w:hAnsi="Arial" w:cs="Arial"/>
          <w:sz w:val="20"/>
          <w:szCs w:val="20"/>
        </w:rPr>
        <w:t xml:space="preserve">) represent overestimations of the systemic exposure of nilotinib when potential non-specific binding in the </w:t>
      </w:r>
      <w:r w:rsidR="005B7287" w:rsidRPr="000318D5">
        <w:rPr>
          <w:rFonts w:ascii="Arial" w:hAnsi="Arial" w:cs="Arial"/>
          <w:i/>
          <w:iCs/>
          <w:sz w:val="20"/>
          <w:szCs w:val="20"/>
        </w:rPr>
        <w:t>in vitro</w:t>
      </w:r>
      <w:r w:rsidR="005B7287" w:rsidRPr="005B7287">
        <w:rPr>
          <w:rFonts w:ascii="Arial" w:hAnsi="Arial" w:cs="Arial"/>
          <w:sz w:val="20"/>
          <w:szCs w:val="20"/>
        </w:rPr>
        <w:t xml:space="preserve"> incubation was considered. Open symbols represent the mean or mean ± SD of observed clinical data.</w:t>
      </w:r>
    </w:p>
    <w:p w14:paraId="340C0D26" w14:textId="4D614AA3" w:rsidR="002E64DE" w:rsidRDefault="002E64DE" w:rsidP="005B7287">
      <w:pPr>
        <w:spacing w:after="0" w:line="480" w:lineRule="auto"/>
        <w:ind w:left="53"/>
        <w:jc w:val="both"/>
        <w:rPr>
          <w:rFonts w:ascii="Arial" w:hAnsi="Arial" w:cs="Arial"/>
          <w:sz w:val="20"/>
          <w:szCs w:val="20"/>
        </w:rPr>
      </w:pPr>
    </w:p>
    <w:p w14:paraId="4CFD5AAD" w14:textId="0447840A" w:rsidR="002E64DE" w:rsidRPr="00C016DD" w:rsidRDefault="002E64DE" w:rsidP="002E64DE">
      <w:pPr>
        <w:pStyle w:val="Caption"/>
        <w:spacing w:line="480" w:lineRule="auto"/>
        <w:ind w:left="53"/>
        <w:rPr>
          <w:rFonts w:ascii="Arial" w:hAnsi="Arial" w:cs="Arial"/>
          <w:vanish/>
          <w:specVanish/>
        </w:rPr>
      </w:pPr>
      <w:bookmarkStart w:id="14" w:name="_Toc48787615"/>
      <w:r w:rsidRPr="00C016DD">
        <w:rPr>
          <w:rFonts w:ascii="Arial" w:hAnsi="Arial" w:cs="Arial"/>
          <w:b/>
          <w:bCs w:val="0"/>
        </w:rPr>
        <w:t xml:space="preserve">Figure </w:t>
      </w:r>
      <w:r w:rsidR="00A76AAE">
        <w:rPr>
          <w:rFonts w:ascii="Arial" w:hAnsi="Arial" w:cs="Arial"/>
          <w:b/>
          <w:bCs w:val="0"/>
        </w:rPr>
        <w:t>4</w:t>
      </w:r>
      <w:r w:rsidRPr="00C016DD">
        <w:rPr>
          <w:rFonts w:ascii="Arial" w:hAnsi="Arial" w:cs="Arial"/>
          <w:b/>
          <w:bCs w:val="0"/>
        </w:rPr>
        <w:t>.</w:t>
      </w:r>
      <w:r w:rsidRPr="00C016DD">
        <w:rPr>
          <w:rFonts w:ascii="Arial" w:hAnsi="Arial" w:cs="Arial"/>
        </w:rPr>
        <w:t xml:space="preserve"> Systematic characterization of </w:t>
      </w:r>
      <w:r w:rsidRPr="00C016DD">
        <w:rPr>
          <w:rFonts w:ascii="Arial" w:hAnsi="Arial" w:cs="Arial"/>
          <w:i/>
          <w:iCs/>
        </w:rPr>
        <w:t>in vitro</w:t>
      </w:r>
      <w:r w:rsidRPr="00C016DD">
        <w:rPr>
          <w:rFonts w:ascii="Arial" w:hAnsi="Arial" w:cs="Arial"/>
        </w:rPr>
        <w:t xml:space="preserve"> inhibitory parameters describing inhibition of OAT3-mediated transport of E3S and rivaroxaban by nilotinib.</w:t>
      </w:r>
      <w:bookmarkEnd w:id="14"/>
      <w:r w:rsidRPr="00C016DD">
        <w:rPr>
          <w:rFonts w:ascii="Arial" w:hAnsi="Arial" w:cs="Arial"/>
        </w:rPr>
        <w:t xml:space="preserve"> </w:t>
      </w:r>
    </w:p>
    <w:p w14:paraId="28793545" w14:textId="38B067D5" w:rsidR="002E64DE" w:rsidRPr="002E64DE" w:rsidRDefault="002E64DE" w:rsidP="00F50B86">
      <w:pPr>
        <w:pStyle w:val="ListParagraph"/>
        <w:numPr>
          <w:ilvl w:val="0"/>
          <w:numId w:val="1"/>
        </w:numPr>
        <w:spacing w:after="0" w:line="480" w:lineRule="auto"/>
        <w:rPr>
          <w:rFonts w:ascii="Arial" w:hAnsi="Arial" w:cs="Arial"/>
          <w:sz w:val="20"/>
          <w:szCs w:val="20"/>
        </w:rPr>
      </w:pPr>
      <w:r w:rsidRPr="00B15542">
        <w:rPr>
          <w:rFonts w:ascii="Arial" w:hAnsi="Arial" w:cs="Arial"/>
          <w:sz w:val="20"/>
          <w:szCs w:val="20"/>
        </w:rPr>
        <w:t>IC</w:t>
      </w:r>
      <w:r w:rsidRPr="00B15542">
        <w:rPr>
          <w:rFonts w:ascii="Arial" w:hAnsi="Arial" w:cs="Arial"/>
          <w:sz w:val="20"/>
          <w:szCs w:val="20"/>
          <w:vertAlign w:val="subscript"/>
        </w:rPr>
        <w:t xml:space="preserve">50 </w:t>
      </w:r>
      <w:r w:rsidRPr="00B15542">
        <w:rPr>
          <w:rFonts w:ascii="Arial" w:hAnsi="Arial" w:cs="Arial"/>
          <w:sz w:val="20"/>
          <w:szCs w:val="20"/>
        </w:rPr>
        <w:t>curves in (</w:t>
      </w:r>
      <w:r w:rsidRPr="00B15542">
        <w:rPr>
          <w:rFonts w:ascii="Arial" w:hAnsi="Arial" w:cs="Arial"/>
          <w:b/>
          <w:bCs/>
          <w:sz w:val="20"/>
          <w:szCs w:val="20"/>
        </w:rPr>
        <w:t>A</w:t>
      </w:r>
      <w:r w:rsidRPr="00B15542">
        <w:rPr>
          <w:rFonts w:ascii="Arial" w:hAnsi="Arial" w:cs="Arial"/>
          <w:sz w:val="20"/>
          <w:szCs w:val="20"/>
        </w:rPr>
        <w:t xml:space="preserve">) illustrate the differential inhibitory potencies of nilotinib on OAT3-mediated uptake of E3S and rivaroxaban. Subsequent </w:t>
      </w:r>
      <w:r w:rsidR="009B1314">
        <w:rPr>
          <w:rFonts w:ascii="Arial" w:hAnsi="Arial" w:cs="Arial"/>
          <w:sz w:val="20"/>
          <w:szCs w:val="20"/>
        </w:rPr>
        <w:t xml:space="preserve">reversible </w:t>
      </w:r>
      <w:r w:rsidRPr="00B15542">
        <w:rPr>
          <w:rFonts w:ascii="Arial" w:hAnsi="Arial" w:cs="Arial"/>
          <w:sz w:val="20"/>
          <w:szCs w:val="20"/>
        </w:rPr>
        <w:t xml:space="preserve">inhibition experiments performed at </w:t>
      </w:r>
      <w:r w:rsidR="00CB3728">
        <w:rPr>
          <w:rFonts w:ascii="Arial" w:hAnsi="Arial" w:cs="Arial"/>
          <w:sz w:val="20"/>
          <w:szCs w:val="20"/>
        </w:rPr>
        <w:t>multiple</w:t>
      </w:r>
      <w:r w:rsidR="00810A63">
        <w:rPr>
          <w:rFonts w:ascii="Arial" w:hAnsi="Arial" w:cs="Arial"/>
          <w:sz w:val="20"/>
          <w:szCs w:val="20"/>
        </w:rPr>
        <w:t xml:space="preserve"> substrate </w:t>
      </w:r>
      <w:r w:rsidRPr="00B15542">
        <w:rPr>
          <w:rFonts w:ascii="Arial" w:hAnsi="Arial" w:cs="Arial"/>
          <w:sz w:val="20"/>
          <w:szCs w:val="20"/>
        </w:rPr>
        <w:t>and nilotinib concentrations yielded Dixon plot</w:t>
      </w:r>
      <w:r w:rsidR="002E11FA">
        <w:rPr>
          <w:rFonts w:ascii="Arial" w:hAnsi="Arial" w:cs="Arial"/>
          <w:sz w:val="20"/>
          <w:szCs w:val="20"/>
        </w:rPr>
        <w:t>s</w:t>
      </w:r>
      <w:r w:rsidRPr="00B15542">
        <w:rPr>
          <w:rFonts w:ascii="Arial" w:hAnsi="Arial" w:cs="Arial"/>
          <w:sz w:val="20"/>
          <w:szCs w:val="20"/>
        </w:rPr>
        <w:t xml:space="preserve"> characteristic of </w:t>
      </w:r>
      <w:r w:rsidR="008A030A">
        <w:rPr>
          <w:rFonts w:ascii="Arial" w:hAnsi="Arial" w:cs="Arial"/>
          <w:b/>
          <w:bCs/>
          <w:sz w:val="20"/>
          <w:szCs w:val="20"/>
        </w:rPr>
        <w:t xml:space="preserve">(B) </w:t>
      </w:r>
      <w:r w:rsidR="008A030A">
        <w:rPr>
          <w:rFonts w:ascii="Arial" w:hAnsi="Arial" w:cs="Arial"/>
          <w:sz w:val="20"/>
          <w:szCs w:val="20"/>
        </w:rPr>
        <w:t xml:space="preserve">non-competitive inhibition and </w:t>
      </w:r>
      <w:r w:rsidR="00882C24">
        <w:rPr>
          <w:rFonts w:ascii="Arial" w:hAnsi="Arial" w:cs="Arial"/>
          <w:sz w:val="20"/>
          <w:szCs w:val="20"/>
        </w:rPr>
        <w:t>(</w:t>
      </w:r>
      <w:r w:rsidR="00882C24" w:rsidRPr="002F5E96">
        <w:rPr>
          <w:rFonts w:ascii="Arial" w:hAnsi="Arial" w:cs="Arial"/>
          <w:b/>
          <w:bCs/>
          <w:sz w:val="20"/>
          <w:szCs w:val="20"/>
        </w:rPr>
        <w:t>D</w:t>
      </w:r>
      <w:r w:rsidR="00882C24">
        <w:rPr>
          <w:rFonts w:ascii="Arial" w:hAnsi="Arial" w:cs="Arial"/>
          <w:sz w:val="20"/>
          <w:szCs w:val="20"/>
        </w:rPr>
        <w:t xml:space="preserve">) competitive inhibition when </w:t>
      </w:r>
      <w:r w:rsidR="006C224D">
        <w:rPr>
          <w:rFonts w:ascii="Arial" w:hAnsi="Arial" w:cs="Arial"/>
          <w:sz w:val="20"/>
          <w:szCs w:val="20"/>
        </w:rPr>
        <w:t xml:space="preserve">E3S and </w:t>
      </w:r>
      <w:r w:rsidR="00882C24">
        <w:rPr>
          <w:rFonts w:ascii="Arial" w:hAnsi="Arial" w:cs="Arial"/>
          <w:sz w:val="20"/>
          <w:szCs w:val="20"/>
        </w:rPr>
        <w:t>rivaroxaban w</w:t>
      </w:r>
      <w:r w:rsidR="006C224D">
        <w:rPr>
          <w:rFonts w:ascii="Arial" w:hAnsi="Arial" w:cs="Arial"/>
          <w:sz w:val="20"/>
          <w:szCs w:val="20"/>
        </w:rPr>
        <w:t>ere</w:t>
      </w:r>
      <w:r w:rsidR="00882C24">
        <w:rPr>
          <w:rFonts w:ascii="Arial" w:hAnsi="Arial" w:cs="Arial"/>
          <w:sz w:val="20"/>
          <w:szCs w:val="20"/>
        </w:rPr>
        <w:t xml:space="preserve"> used as probe substrate</w:t>
      </w:r>
      <w:r w:rsidR="006C224D">
        <w:rPr>
          <w:rFonts w:ascii="Arial" w:hAnsi="Arial" w:cs="Arial"/>
          <w:sz w:val="20"/>
          <w:szCs w:val="20"/>
        </w:rPr>
        <w:t>s respectively</w:t>
      </w:r>
      <w:r w:rsidRPr="00B15542">
        <w:rPr>
          <w:rFonts w:ascii="Arial" w:hAnsi="Arial" w:cs="Arial"/>
          <w:sz w:val="20"/>
          <w:szCs w:val="20"/>
        </w:rPr>
        <w:t>.</w:t>
      </w:r>
      <w:r w:rsidR="002F5E96">
        <w:rPr>
          <w:rFonts w:ascii="Arial" w:hAnsi="Arial" w:cs="Arial"/>
          <w:sz w:val="20"/>
          <w:szCs w:val="20"/>
        </w:rPr>
        <w:t xml:space="preserve"> </w:t>
      </w:r>
      <w:r w:rsidR="00F97AD8" w:rsidRPr="00784998">
        <w:rPr>
          <w:rFonts w:ascii="Arial" w:hAnsi="Arial" w:cs="Arial"/>
          <w:i/>
          <w:iCs/>
          <w:sz w:val="20"/>
          <w:szCs w:val="20"/>
        </w:rPr>
        <w:t>K</w:t>
      </w:r>
      <w:r w:rsidR="00F97AD8" w:rsidRPr="00784998">
        <w:rPr>
          <w:rFonts w:ascii="Arial" w:hAnsi="Arial" w:cs="Arial"/>
          <w:i/>
          <w:iCs/>
          <w:sz w:val="20"/>
          <w:szCs w:val="20"/>
          <w:vertAlign w:val="subscript"/>
        </w:rPr>
        <w:t>i</w:t>
      </w:r>
      <w:r w:rsidR="00F97AD8" w:rsidRPr="00784998">
        <w:rPr>
          <w:rFonts w:ascii="Arial" w:hAnsi="Arial" w:cs="Arial"/>
          <w:sz w:val="20"/>
          <w:szCs w:val="20"/>
          <w:vertAlign w:val="subscript"/>
        </w:rPr>
        <w:t xml:space="preserve"> </w:t>
      </w:r>
      <w:r w:rsidR="00F97AD8" w:rsidRPr="00F97AD8">
        <w:rPr>
          <w:rFonts w:ascii="Arial" w:hAnsi="Arial" w:cs="Arial"/>
          <w:sz w:val="20"/>
          <w:szCs w:val="20"/>
        </w:rPr>
        <w:t xml:space="preserve">values obtained based on non-linear regression analyses </w:t>
      </w:r>
      <w:r w:rsidR="00F97AD8">
        <w:rPr>
          <w:rFonts w:ascii="Arial" w:hAnsi="Arial" w:cs="Arial"/>
          <w:sz w:val="20"/>
          <w:szCs w:val="20"/>
        </w:rPr>
        <w:t xml:space="preserve">was applied to further verify the relative inhibitory potencies of </w:t>
      </w:r>
      <w:r w:rsidR="00F97AD8" w:rsidRPr="00F97AD8">
        <w:rPr>
          <w:rFonts w:ascii="Arial" w:hAnsi="Arial" w:cs="Arial"/>
          <w:sz w:val="20"/>
          <w:szCs w:val="20"/>
        </w:rPr>
        <w:t xml:space="preserve">ketoconazole </w:t>
      </w:r>
      <w:r w:rsidR="00784998">
        <w:rPr>
          <w:rFonts w:ascii="Arial" w:hAnsi="Arial" w:cs="Arial"/>
          <w:sz w:val="20"/>
          <w:szCs w:val="20"/>
        </w:rPr>
        <w:t>against OAT3-mediated</w:t>
      </w:r>
      <w:r w:rsidR="00F97AD8" w:rsidRPr="00F97AD8">
        <w:rPr>
          <w:rFonts w:ascii="Arial" w:hAnsi="Arial" w:cs="Arial"/>
          <w:sz w:val="20"/>
          <w:szCs w:val="20"/>
        </w:rPr>
        <w:t xml:space="preserve"> </w:t>
      </w:r>
      <w:r w:rsidR="00784998">
        <w:rPr>
          <w:rFonts w:ascii="Arial" w:hAnsi="Arial" w:cs="Arial"/>
          <w:sz w:val="20"/>
          <w:szCs w:val="20"/>
        </w:rPr>
        <w:t>(</w:t>
      </w:r>
      <w:r w:rsidR="00101BD6" w:rsidRPr="00101BD6">
        <w:rPr>
          <w:rFonts w:ascii="Arial" w:hAnsi="Arial" w:cs="Arial"/>
          <w:b/>
          <w:bCs/>
          <w:sz w:val="20"/>
          <w:szCs w:val="20"/>
        </w:rPr>
        <w:t>C</w:t>
      </w:r>
      <w:r w:rsidR="00101BD6">
        <w:rPr>
          <w:rFonts w:ascii="Arial" w:hAnsi="Arial" w:cs="Arial"/>
          <w:sz w:val="20"/>
          <w:szCs w:val="20"/>
        </w:rPr>
        <w:t xml:space="preserve">) </w:t>
      </w:r>
      <w:r w:rsidR="00F97AD8" w:rsidRPr="00F97AD8">
        <w:rPr>
          <w:rFonts w:ascii="Arial" w:hAnsi="Arial" w:cs="Arial"/>
          <w:sz w:val="20"/>
          <w:szCs w:val="20"/>
        </w:rPr>
        <w:t>E3S</w:t>
      </w:r>
      <w:r w:rsidR="00101BD6">
        <w:rPr>
          <w:rFonts w:ascii="Arial" w:hAnsi="Arial" w:cs="Arial"/>
          <w:sz w:val="20"/>
          <w:szCs w:val="20"/>
        </w:rPr>
        <w:t xml:space="preserve"> versus (</w:t>
      </w:r>
      <w:r w:rsidR="00101BD6" w:rsidRPr="00101BD6">
        <w:rPr>
          <w:rFonts w:ascii="Arial" w:hAnsi="Arial" w:cs="Arial"/>
          <w:b/>
          <w:bCs/>
          <w:sz w:val="20"/>
          <w:szCs w:val="20"/>
        </w:rPr>
        <w:t>E</w:t>
      </w:r>
      <w:r w:rsidR="00101BD6">
        <w:rPr>
          <w:rFonts w:ascii="Arial" w:hAnsi="Arial" w:cs="Arial"/>
          <w:sz w:val="20"/>
          <w:szCs w:val="20"/>
        </w:rPr>
        <w:t>) rivaroxaban uptake</w:t>
      </w:r>
      <w:r w:rsidR="00F97AD8" w:rsidRPr="00F97AD8">
        <w:rPr>
          <w:rFonts w:ascii="Arial" w:hAnsi="Arial" w:cs="Arial"/>
          <w:sz w:val="20"/>
          <w:szCs w:val="20"/>
        </w:rPr>
        <w:t xml:space="preserve">. </w:t>
      </w:r>
      <w:r w:rsidR="00372CD7">
        <w:rPr>
          <w:rFonts w:ascii="Arial" w:hAnsi="Arial" w:cs="Arial"/>
          <w:sz w:val="20"/>
          <w:szCs w:val="20"/>
        </w:rPr>
        <w:t>T</w:t>
      </w:r>
      <w:r w:rsidRPr="00B15542">
        <w:rPr>
          <w:rFonts w:ascii="Arial" w:hAnsi="Arial" w:cs="Arial"/>
          <w:sz w:val="20"/>
          <w:szCs w:val="20"/>
        </w:rPr>
        <w:t>he apparent IC</w:t>
      </w:r>
      <w:r w:rsidRPr="00B15542">
        <w:rPr>
          <w:rFonts w:ascii="Arial" w:hAnsi="Arial" w:cs="Arial"/>
          <w:sz w:val="20"/>
          <w:szCs w:val="20"/>
          <w:vertAlign w:val="subscript"/>
        </w:rPr>
        <w:t xml:space="preserve">50 </w:t>
      </w:r>
      <w:r w:rsidRPr="00B15542">
        <w:rPr>
          <w:rFonts w:ascii="Arial" w:hAnsi="Arial" w:cs="Arial"/>
          <w:sz w:val="20"/>
          <w:szCs w:val="20"/>
        </w:rPr>
        <w:t xml:space="preserve">value describing inhibition of OAT3-mediated uptake of rivaroxaban by nilotinib in the presence 5% w/v human serum albumin </w:t>
      </w:r>
      <w:r w:rsidR="00372CD7">
        <w:rPr>
          <w:rFonts w:ascii="Arial" w:hAnsi="Arial" w:cs="Arial"/>
          <w:sz w:val="20"/>
          <w:szCs w:val="20"/>
        </w:rPr>
        <w:t>obtained in (</w:t>
      </w:r>
      <w:r w:rsidR="00372CD7" w:rsidRPr="00372CD7">
        <w:rPr>
          <w:rFonts w:ascii="Arial" w:hAnsi="Arial" w:cs="Arial"/>
          <w:b/>
          <w:bCs/>
          <w:sz w:val="20"/>
          <w:szCs w:val="20"/>
        </w:rPr>
        <w:t>F</w:t>
      </w:r>
      <w:r w:rsidR="00372CD7">
        <w:rPr>
          <w:rFonts w:ascii="Arial" w:hAnsi="Arial" w:cs="Arial"/>
          <w:sz w:val="20"/>
          <w:szCs w:val="20"/>
        </w:rPr>
        <w:t xml:space="preserve">) </w:t>
      </w:r>
      <w:r w:rsidRPr="00B15542">
        <w:rPr>
          <w:rFonts w:ascii="Arial" w:hAnsi="Arial" w:cs="Arial"/>
          <w:sz w:val="20"/>
          <w:szCs w:val="20"/>
        </w:rPr>
        <w:t xml:space="preserve">was corrected to </w:t>
      </w:r>
      <w:proofErr w:type="spellStart"/>
      <w:proofErr w:type="gramStart"/>
      <w:r w:rsidRPr="00B15542">
        <w:rPr>
          <w:rFonts w:ascii="Arial" w:hAnsi="Arial" w:cs="Arial"/>
          <w:i/>
          <w:iCs/>
          <w:sz w:val="20"/>
          <w:szCs w:val="20"/>
        </w:rPr>
        <w:t>K</w:t>
      </w:r>
      <w:r w:rsidRPr="00B15542">
        <w:rPr>
          <w:rFonts w:ascii="Arial" w:hAnsi="Arial" w:cs="Arial"/>
          <w:i/>
          <w:iCs/>
          <w:sz w:val="20"/>
          <w:szCs w:val="20"/>
          <w:vertAlign w:val="subscript"/>
        </w:rPr>
        <w:t>i,u</w:t>
      </w:r>
      <w:proofErr w:type="spellEnd"/>
      <w:proofErr w:type="gramEnd"/>
      <w:r w:rsidRPr="00B15542">
        <w:rPr>
          <w:rFonts w:ascii="Arial" w:hAnsi="Arial" w:cs="Arial"/>
          <w:sz w:val="20"/>
          <w:szCs w:val="20"/>
        </w:rPr>
        <w:t xml:space="preserve"> by considering the</w:t>
      </w:r>
      <w:r w:rsidR="002F5E96">
        <w:rPr>
          <w:rFonts w:ascii="Arial" w:hAnsi="Arial" w:cs="Arial"/>
          <w:sz w:val="20"/>
          <w:szCs w:val="20"/>
        </w:rPr>
        <w:t xml:space="preserve"> competitive mode of inhibition and the</w:t>
      </w:r>
      <w:r w:rsidRPr="00B15542">
        <w:rPr>
          <w:rFonts w:ascii="Arial" w:hAnsi="Arial" w:cs="Arial"/>
          <w:sz w:val="20"/>
          <w:szCs w:val="20"/>
        </w:rPr>
        <w:t xml:space="preserve"> plasma fraction unbound of nilotinib. Each point represents the mean ± S.D. of biological triplicates.</w:t>
      </w:r>
    </w:p>
    <w:p w14:paraId="00D15DF6" w14:textId="7B0E665A" w:rsidR="00AB7B6D" w:rsidRDefault="00AB7B6D" w:rsidP="005B7287">
      <w:pPr>
        <w:spacing w:after="0" w:line="480" w:lineRule="auto"/>
        <w:ind w:left="53"/>
        <w:jc w:val="both"/>
        <w:rPr>
          <w:rFonts w:ascii="Arial" w:hAnsi="Arial" w:cs="Arial"/>
          <w:sz w:val="20"/>
          <w:szCs w:val="20"/>
        </w:rPr>
      </w:pPr>
    </w:p>
    <w:p w14:paraId="72798F8B" w14:textId="55D5CE93" w:rsidR="00AB7B6D" w:rsidRPr="00232420" w:rsidRDefault="00AB7B6D" w:rsidP="005B7287">
      <w:pPr>
        <w:spacing w:after="0" w:line="480" w:lineRule="auto"/>
        <w:ind w:left="53"/>
        <w:jc w:val="both"/>
        <w:rPr>
          <w:rFonts w:ascii="Arial" w:hAnsi="Arial" w:cs="Arial"/>
          <w:sz w:val="20"/>
          <w:szCs w:val="20"/>
        </w:rPr>
      </w:pPr>
      <w:r w:rsidRPr="006B36B0">
        <w:rPr>
          <w:rFonts w:ascii="Arial" w:hAnsi="Arial" w:cs="Arial"/>
          <w:b/>
          <w:bCs/>
          <w:sz w:val="20"/>
          <w:szCs w:val="20"/>
        </w:rPr>
        <w:t>Figure 5.</w:t>
      </w:r>
      <w:r>
        <w:rPr>
          <w:rFonts w:ascii="Arial" w:hAnsi="Arial" w:cs="Arial"/>
          <w:sz w:val="20"/>
          <w:szCs w:val="20"/>
        </w:rPr>
        <w:t xml:space="preserve"> </w:t>
      </w:r>
      <w:r w:rsidR="006B36B0" w:rsidRPr="006B36B0">
        <w:rPr>
          <w:rFonts w:ascii="Arial" w:hAnsi="Arial" w:cs="Arial"/>
          <w:sz w:val="20"/>
          <w:szCs w:val="20"/>
        </w:rPr>
        <w:t>Quantitative assessment of the influence of potential drug-drug-disease interactions (DDDIs) with erlotinib or nilotinib on rivaroxaban’s pharmacokinetics and systemic exposure as well as associated major bleeding risks.  (</w:t>
      </w:r>
      <w:r w:rsidR="006B36B0" w:rsidRPr="006C224D">
        <w:rPr>
          <w:rFonts w:ascii="Arial" w:hAnsi="Arial" w:cs="Arial"/>
          <w:b/>
          <w:bCs/>
          <w:sz w:val="20"/>
          <w:szCs w:val="20"/>
        </w:rPr>
        <w:t>A</w:t>
      </w:r>
      <w:r w:rsidR="006B36B0" w:rsidRPr="006B36B0">
        <w:rPr>
          <w:rFonts w:ascii="Arial" w:hAnsi="Arial" w:cs="Arial"/>
          <w:sz w:val="20"/>
          <w:szCs w:val="20"/>
        </w:rPr>
        <w:t>) Geometric mean (90% confidence interval) AUC</w:t>
      </w:r>
      <w:r w:rsidR="006B36B0" w:rsidRPr="000318D5">
        <w:rPr>
          <w:rFonts w:ascii="Arial" w:hAnsi="Arial" w:cs="Arial"/>
          <w:sz w:val="20"/>
          <w:szCs w:val="20"/>
          <w:vertAlign w:val="subscript"/>
        </w:rPr>
        <w:t>0-INF</w:t>
      </w:r>
      <w:r w:rsidR="006B36B0" w:rsidRPr="006B36B0">
        <w:rPr>
          <w:rFonts w:ascii="Arial" w:hAnsi="Arial" w:cs="Arial"/>
          <w:sz w:val="20"/>
          <w:szCs w:val="20"/>
        </w:rPr>
        <w:t xml:space="preserve"> fold changes of rivaroxaban when co-administered with erlotinib or nilotinib across the spectrum of renal function were simulated and compared with clinically observed AUC ratio thresholds corresponding to either a recommendation for dose reduction (blue dotted line) or avoidance of therapy (red dotted line). Rational dose adjustments were designed to fall within the pre-defined range of dose exposure equivalence </w:t>
      </w:r>
      <w:r w:rsidR="006B36B0" w:rsidRPr="006B36B0">
        <w:rPr>
          <w:rFonts w:ascii="Arial" w:hAnsi="Arial" w:cs="Arial"/>
          <w:sz w:val="20"/>
          <w:szCs w:val="20"/>
        </w:rPr>
        <w:lastRenderedPageBreak/>
        <w:t>(gray region). Additionally, an exponential regression model depicting the relationship between major bleeding risks and AUC</w:t>
      </w:r>
      <w:r w:rsidR="006B36B0" w:rsidRPr="000318D5">
        <w:rPr>
          <w:rFonts w:ascii="Arial" w:hAnsi="Arial" w:cs="Arial"/>
          <w:sz w:val="20"/>
          <w:szCs w:val="20"/>
          <w:vertAlign w:val="subscript"/>
        </w:rPr>
        <w:t>0-24h</w:t>
      </w:r>
      <w:r w:rsidR="006B36B0" w:rsidRPr="006B36B0">
        <w:rPr>
          <w:rFonts w:ascii="Arial" w:hAnsi="Arial" w:cs="Arial"/>
          <w:sz w:val="20"/>
          <w:szCs w:val="20"/>
        </w:rPr>
        <w:t xml:space="preserve"> was also applied to evaluate the predicted systemic exposures of rivaroxaban arising from various DDDI scenarios with (</w:t>
      </w:r>
      <w:r w:rsidR="006B36B0" w:rsidRPr="006C224D">
        <w:rPr>
          <w:rFonts w:ascii="Arial" w:hAnsi="Arial" w:cs="Arial"/>
          <w:b/>
          <w:bCs/>
          <w:sz w:val="20"/>
          <w:szCs w:val="20"/>
        </w:rPr>
        <w:t>B</w:t>
      </w:r>
      <w:r w:rsidR="006B36B0" w:rsidRPr="006B36B0">
        <w:rPr>
          <w:rFonts w:ascii="Arial" w:hAnsi="Arial" w:cs="Arial"/>
          <w:sz w:val="20"/>
          <w:szCs w:val="20"/>
        </w:rPr>
        <w:t>) erlotinib and (</w:t>
      </w:r>
      <w:r w:rsidR="006B36B0" w:rsidRPr="006C224D">
        <w:rPr>
          <w:rFonts w:ascii="Arial" w:hAnsi="Arial" w:cs="Arial"/>
          <w:b/>
          <w:bCs/>
          <w:sz w:val="20"/>
          <w:szCs w:val="20"/>
        </w:rPr>
        <w:t>C</w:t>
      </w:r>
      <w:r w:rsidR="006B36B0" w:rsidRPr="006B36B0">
        <w:rPr>
          <w:rFonts w:ascii="Arial" w:hAnsi="Arial" w:cs="Arial"/>
          <w:sz w:val="20"/>
          <w:szCs w:val="20"/>
        </w:rPr>
        <w:t>) nilotinib. The 4.5% boundary (red solid line) indicates the major bleeding risk attributed to concomitant ketoconazole and rivaroxaban therapy, a clinically contraindicated combination. Abbreviation: AUC – area under the plasma concentration-time curve</w:t>
      </w:r>
    </w:p>
    <w:p w14:paraId="0609963A" w14:textId="40DD6907" w:rsidR="00B15542" w:rsidRDefault="00B15542" w:rsidP="00B15542">
      <w:pPr>
        <w:rPr>
          <w:lang w:eastAsia="en-US"/>
        </w:rPr>
      </w:pPr>
    </w:p>
    <w:p w14:paraId="09131A72" w14:textId="3CEA4648" w:rsidR="00B15542" w:rsidRDefault="00B15542" w:rsidP="00B15542">
      <w:pPr>
        <w:rPr>
          <w:lang w:eastAsia="en-US"/>
        </w:rPr>
      </w:pPr>
    </w:p>
    <w:p w14:paraId="0296FAD9" w14:textId="37401601" w:rsidR="00B15542" w:rsidRDefault="00B15542" w:rsidP="00B15542">
      <w:pPr>
        <w:rPr>
          <w:lang w:eastAsia="en-US"/>
        </w:rPr>
      </w:pPr>
    </w:p>
    <w:p w14:paraId="3098FC08" w14:textId="64F9BCBC" w:rsidR="00B15542" w:rsidRDefault="00B15542" w:rsidP="00B15542">
      <w:pPr>
        <w:rPr>
          <w:lang w:eastAsia="en-US"/>
        </w:rPr>
      </w:pPr>
    </w:p>
    <w:p w14:paraId="5BCA5D73" w14:textId="7A287CE6" w:rsidR="00B15542" w:rsidRDefault="00B15542" w:rsidP="00B15542">
      <w:pPr>
        <w:rPr>
          <w:lang w:eastAsia="en-US"/>
        </w:rPr>
      </w:pPr>
    </w:p>
    <w:p w14:paraId="7E4C7AFD" w14:textId="20306A52" w:rsidR="00B15542" w:rsidRDefault="00B15542" w:rsidP="00B15542">
      <w:pPr>
        <w:rPr>
          <w:lang w:eastAsia="en-US"/>
        </w:rPr>
      </w:pPr>
    </w:p>
    <w:p w14:paraId="7C6B8A33" w14:textId="36459588" w:rsidR="00B15542" w:rsidRDefault="00B15542" w:rsidP="00B15542">
      <w:pPr>
        <w:rPr>
          <w:lang w:eastAsia="en-US"/>
        </w:rPr>
      </w:pPr>
    </w:p>
    <w:p w14:paraId="26866517" w14:textId="0FF838C3" w:rsidR="00B15542" w:rsidRDefault="00B15542" w:rsidP="00B15542">
      <w:pPr>
        <w:rPr>
          <w:lang w:eastAsia="en-US"/>
        </w:rPr>
      </w:pPr>
    </w:p>
    <w:p w14:paraId="40A63CAC" w14:textId="4926E480" w:rsidR="00B15542" w:rsidRDefault="00B15542" w:rsidP="00B15542">
      <w:pPr>
        <w:rPr>
          <w:lang w:eastAsia="en-US"/>
        </w:rPr>
      </w:pPr>
    </w:p>
    <w:p w14:paraId="7418DC56" w14:textId="3688411E" w:rsidR="00B15542" w:rsidRDefault="00B15542" w:rsidP="00B15542">
      <w:pPr>
        <w:rPr>
          <w:lang w:eastAsia="en-US"/>
        </w:rPr>
      </w:pPr>
    </w:p>
    <w:p w14:paraId="2436E674" w14:textId="4132C6ED" w:rsidR="00B15542" w:rsidRDefault="00B15542" w:rsidP="00B15542">
      <w:pPr>
        <w:rPr>
          <w:lang w:eastAsia="en-US"/>
        </w:rPr>
      </w:pPr>
    </w:p>
    <w:p w14:paraId="540659B9" w14:textId="035F25DF" w:rsidR="00B15542" w:rsidRDefault="00B15542" w:rsidP="00B15542">
      <w:pPr>
        <w:rPr>
          <w:lang w:eastAsia="en-US"/>
        </w:rPr>
      </w:pPr>
    </w:p>
    <w:p w14:paraId="743C988D" w14:textId="1A917973" w:rsidR="00B15542" w:rsidRDefault="00B15542" w:rsidP="00B15542">
      <w:pPr>
        <w:rPr>
          <w:lang w:eastAsia="en-US"/>
        </w:rPr>
      </w:pPr>
    </w:p>
    <w:p w14:paraId="59ECF470" w14:textId="18A57808" w:rsidR="00B15542" w:rsidRDefault="00B15542" w:rsidP="00B15542">
      <w:pPr>
        <w:rPr>
          <w:lang w:eastAsia="en-US"/>
        </w:rPr>
      </w:pPr>
    </w:p>
    <w:p w14:paraId="1EFA9AA2" w14:textId="0F0AF685" w:rsidR="00953675" w:rsidRDefault="00953675" w:rsidP="00B15542">
      <w:pPr>
        <w:rPr>
          <w:lang w:eastAsia="en-US"/>
        </w:rPr>
      </w:pPr>
    </w:p>
    <w:p w14:paraId="32A0129A" w14:textId="41F65FF5" w:rsidR="00953675" w:rsidRDefault="00953675" w:rsidP="00B15542">
      <w:pPr>
        <w:rPr>
          <w:lang w:eastAsia="en-US"/>
        </w:rPr>
      </w:pPr>
    </w:p>
    <w:p w14:paraId="23CC14D2" w14:textId="67477575" w:rsidR="00953675" w:rsidRDefault="00953675" w:rsidP="00B15542">
      <w:pPr>
        <w:rPr>
          <w:lang w:eastAsia="en-US"/>
        </w:rPr>
      </w:pPr>
    </w:p>
    <w:p w14:paraId="3B71FA0C" w14:textId="1E927175" w:rsidR="00953675" w:rsidRDefault="00953675" w:rsidP="00B15542">
      <w:pPr>
        <w:rPr>
          <w:lang w:eastAsia="en-US"/>
        </w:rPr>
      </w:pPr>
    </w:p>
    <w:p w14:paraId="731759D6" w14:textId="61DE59C1" w:rsidR="00953675" w:rsidRDefault="00953675" w:rsidP="00B15542">
      <w:pPr>
        <w:rPr>
          <w:lang w:eastAsia="en-US"/>
        </w:rPr>
      </w:pPr>
    </w:p>
    <w:p w14:paraId="2A263A6D" w14:textId="179C1E00" w:rsidR="00953675" w:rsidRDefault="00953675" w:rsidP="00B15542">
      <w:pPr>
        <w:rPr>
          <w:lang w:eastAsia="en-US"/>
        </w:rPr>
      </w:pPr>
    </w:p>
    <w:p w14:paraId="5B379487" w14:textId="7E49F786" w:rsidR="00953675" w:rsidRDefault="00953675" w:rsidP="00B15542">
      <w:pPr>
        <w:rPr>
          <w:lang w:eastAsia="en-US"/>
        </w:rPr>
      </w:pPr>
    </w:p>
    <w:p w14:paraId="76A9D2E0" w14:textId="6C0BDDAC" w:rsidR="00953675" w:rsidRDefault="00953675" w:rsidP="00B15542">
      <w:pPr>
        <w:rPr>
          <w:lang w:eastAsia="en-US"/>
        </w:rPr>
      </w:pPr>
    </w:p>
    <w:p w14:paraId="3765CFC7" w14:textId="0B840A37" w:rsidR="00B15542" w:rsidRPr="00B15542" w:rsidRDefault="00B15542" w:rsidP="00B15542">
      <w:pPr>
        <w:rPr>
          <w:rFonts w:ascii="Arial" w:hAnsi="Arial" w:cs="Arial"/>
          <w:b/>
          <w:bCs/>
          <w:sz w:val="20"/>
          <w:szCs w:val="20"/>
          <w:lang w:eastAsia="en-US"/>
        </w:rPr>
      </w:pPr>
      <w:r w:rsidRPr="00B15542">
        <w:rPr>
          <w:rFonts w:ascii="Arial" w:hAnsi="Arial" w:cs="Arial"/>
          <w:b/>
          <w:bCs/>
          <w:sz w:val="20"/>
          <w:szCs w:val="20"/>
          <w:lang w:eastAsia="en-US"/>
        </w:rPr>
        <w:lastRenderedPageBreak/>
        <w:t xml:space="preserve">Supplemental </w:t>
      </w:r>
      <w:r w:rsidR="00294944">
        <w:rPr>
          <w:rFonts w:ascii="Arial" w:hAnsi="Arial" w:cs="Arial"/>
          <w:b/>
          <w:bCs/>
          <w:sz w:val="20"/>
          <w:szCs w:val="20"/>
          <w:lang w:eastAsia="en-US"/>
        </w:rPr>
        <w:t>Figure Legends</w:t>
      </w:r>
    </w:p>
    <w:p w14:paraId="2D9E20B3" w14:textId="77777777" w:rsidR="00B15542" w:rsidRPr="00B15542" w:rsidRDefault="00B15542" w:rsidP="00B15542">
      <w:pPr>
        <w:rPr>
          <w:rFonts w:ascii="Arial" w:hAnsi="Arial" w:cs="Arial"/>
          <w:sz w:val="20"/>
          <w:szCs w:val="20"/>
          <w:lang w:eastAsia="en-US"/>
        </w:rPr>
      </w:pPr>
    </w:p>
    <w:p w14:paraId="597E84A2" w14:textId="6529FD68" w:rsidR="0073038B" w:rsidRPr="00C016DD" w:rsidRDefault="0073038B" w:rsidP="00A27D58">
      <w:pPr>
        <w:pStyle w:val="Caption"/>
        <w:spacing w:line="480" w:lineRule="auto"/>
        <w:rPr>
          <w:rFonts w:ascii="Arial" w:hAnsi="Arial" w:cs="Arial"/>
          <w:vanish/>
          <w:specVanish/>
        </w:rPr>
      </w:pPr>
      <w:bookmarkStart w:id="15" w:name="_Toc48787612"/>
      <w:r w:rsidRPr="00C016DD">
        <w:rPr>
          <w:rFonts w:ascii="Arial" w:hAnsi="Arial" w:cs="Arial"/>
          <w:b/>
          <w:bCs w:val="0"/>
        </w:rPr>
        <w:t xml:space="preserve">Figure </w:t>
      </w:r>
      <w:r w:rsidR="00241B51">
        <w:rPr>
          <w:rFonts w:ascii="Arial" w:hAnsi="Arial" w:cs="Arial"/>
          <w:b/>
          <w:bCs w:val="0"/>
        </w:rPr>
        <w:t>S1</w:t>
      </w:r>
      <w:r w:rsidRPr="00C016DD">
        <w:rPr>
          <w:rFonts w:ascii="Arial" w:hAnsi="Arial" w:cs="Arial"/>
          <w:b/>
          <w:bCs w:val="0"/>
        </w:rPr>
        <w:t>.</w:t>
      </w:r>
      <w:r w:rsidRPr="00C016DD">
        <w:rPr>
          <w:rFonts w:ascii="Arial" w:hAnsi="Arial" w:cs="Arial"/>
        </w:rPr>
        <w:t xml:space="preserve"> M</w:t>
      </w:r>
      <w:r w:rsidR="009F4780">
        <w:rPr>
          <w:rFonts w:ascii="Arial" w:hAnsi="Arial" w:cs="Arial"/>
        </w:rPr>
        <w:t>echanism-based inactivation</w:t>
      </w:r>
      <w:r w:rsidRPr="00C016DD">
        <w:rPr>
          <w:rFonts w:ascii="Arial" w:hAnsi="Arial" w:cs="Arial"/>
        </w:rPr>
        <w:t xml:space="preserve"> of CYP3A4 and CYP2J2-mediated metabolism of rivaroxaban by erlotinib and nilotinib.</w:t>
      </w:r>
      <w:bookmarkEnd w:id="15"/>
    </w:p>
    <w:p w14:paraId="323D8438" w14:textId="16EB72BC" w:rsidR="0073038B" w:rsidRPr="00C016DD" w:rsidRDefault="0073038B" w:rsidP="00A27D58">
      <w:pPr>
        <w:pStyle w:val="Caption"/>
        <w:spacing w:line="480" w:lineRule="auto"/>
        <w:rPr>
          <w:rFonts w:ascii="Arial" w:hAnsi="Arial" w:cs="Arial"/>
        </w:rPr>
      </w:pPr>
      <w:r w:rsidRPr="00C016DD">
        <w:rPr>
          <w:rFonts w:ascii="Arial" w:hAnsi="Arial" w:cs="Arial"/>
        </w:rPr>
        <w:t xml:space="preserve"> Semi-logarithmic plots demonstrate time- and concentration-dependent inactivation of CYP3A4 by (</w:t>
      </w:r>
      <w:r w:rsidRPr="00C016DD">
        <w:rPr>
          <w:rFonts w:ascii="Arial" w:hAnsi="Arial" w:cs="Arial"/>
          <w:b/>
        </w:rPr>
        <w:t>A</w:t>
      </w:r>
      <w:r w:rsidRPr="00C016DD">
        <w:rPr>
          <w:rFonts w:ascii="Arial" w:hAnsi="Arial" w:cs="Arial"/>
        </w:rPr>
        <w:t>)</w:t>
      </w:r>
      <w:r w:rsidRPr="00C016DD">
        <w:rPr>
          <w:rFonts w:ascii="Arial" w:hAnsi="Arial" w:cs="Arial"/>
          <w:b/>
        </w:rPr>
        <w:t xml:space="preserve"> </w:t>
      </w:r>
      <w:r w:rsidRPr="00C016DD">
        <w:rPr>
          <w:rFonts w:ascii="Arial" w:hAnsi="Arial" w:cs="Arial"/>
        </w:rPr>
        <w:t>erlotinib and (</w:t>
      </w:r>
      <w:r w:rsidRPr="00C016DD">
        <w:rPr>
          <w:rFonts w:ascii="Arial" w:hAnsi="Arial" w:cs="Arial"/>
          <w:b/>
        </w:rPr>
        <w:t>C</w:t>
      </w:r>
      <w:r w:rsidRPr="00C016DD">
        <w:rPr>
          <w:rFonts w:ascii="Arial" w:hAnsi="Arial" w:cs="Arial"/>
        </w:rPr>
        <w:t>) nilotinib. In (</w:t>
      </w:r>
      <w:r w:rsidRPr="00C016DD">
        <w:rPr>
          <w:rFonts w:ascii="Arial" w:hAnsi="Arial" w:cs="Arial"/>
          <w:b/>
        </w:rPr>
        <w:t>B</w:t>
      </w:r>
      <w:r w:rsidRPr="00C016DD">
        <w:rPr>
          <w:rFonts w:ascii="Arial" w:hAnsi="Arial" w:cs="Arial"/>
        </w:rPr>
        <w:t>)</w:t>
      </w:r>
      <w:r w:rsidRPr="00C016DD">
        <w:rPr>
          <w:rFonts w:ascii="Arial" w:hAnsi="Arial" w:cs="Arial"/>
          <w:b/>
        </w:rPr>
        <w:t xml:space="preserve"> </w:t>
      </w:r>
      <w:r w:rsidRPr="00C016DD">
        <w:rPr>
          <w:rFonts w:ascii="Arial" w:hAnsi="Arial" w:cs="Arial"/>
        </w:rPr>
        <w:t>and</w:t>
      </w:r>
      <w:r w:rsidRPr="00C016DD">
        <w:rPr>
          <w:rFonts w:ascii="Arial" w:hAnsi="Arial" w:cs="Arial"/>
          <w:b/>
        </w:rPr>
        <w:t xml:space="preserve"> </w:t>
      </w:r>
      <w:r w:rsidRPr="00C016DD">
        <w:rPr>
          <w:rFonts w:ascii="Arial" w:hAnsi="Arial" w:cs="Arial"/>
        </w:rPr>
        <w:t>(</w:t>
      </w:r>
      <w:r w:rsidRPr="00C016DD">
        <w:rPr>
          <w:rFonts w:ascii="Arial" w:hAnsi="Arial" w:cs="Arial"/>
          <w:b/>
        </w:rPr>
        <w:t>D</w:t>
      </w:r>
      <w:r w:rsidRPr="00C016DD">
        <w:rPr>
          <w:rFonts w:ascii="Arial" w:hAnsi="Arial" w:cs="Arial"/>
        </w:rPr>
        <w:t xml:space="preserve">), the relationship between </w:t>
      </w:r>
      <w:r w:rsidRPr="00C016DD">
        <w:rPr>
          <w:rFonts w:ascii="Arial" w:hAnsi="Arial" w:cs="Arial"/>
          <w:i/>
          <w:iCs/>
        </w:rPr>
        <w:t>k</w:t>
      </w:r>
      <w:r w:rsidRPr="00C016DD">
        <w:rPr>
          <w:rFonts w:ascii="Arial" w:hAnsi="Arial" w:cs="Arial"/>
          <w:i/>
          <w:iCs/>
          <w:vertAlign w:val="subscript"/>
        </w:rPr>
        <w:t>obs</w:t>
      </w:r>
      <w:r w:rsidRPr="00C016DD">
        <w:rPr>
          <w:rFonts w:ascii="Arial" w:hAnsi="Arial" w:cs="Arial"/>
        </w:rPr>
        <w:t xml:space="preserve"> values determined from (</w:t>
      </w:r>
      <w:r w:rsidRPr="00C016DD">
        <w:rPr>
          <w:rFonts w:ascii="Arial" w:hAnsi="Arial" w:cs="Arial"/>
          <w:b/>
        </w:rPr>
        <w:t>A</w:t>
      </w:r>
      <w:r w:rsidRPr="00C016DD">
        <w:rPr>
          <w:rFonts w:ascii="Arial" w:hAnsi="Arial" w:cs="Arial"/>
        </w:rPr>
        <w:t>) and (</w:t>
      </w:r>
      <w:r w:rsidRPr="00C016DD">
        <w:rPr>
          <w:rFonts w:ascii="Arial" w:hAnsi="Arial" w:cs="Arial"/>
          <w:b/>
        </w:rPr>
        <w:t>C</w:t>
      </w:r>
      <w:r w:rsidRPr="00C016DD">
        <w:rPr>
          <w:rFonts w:ascii="Arial" w:hAnsi="Arial" w:cs="Arial"/>
        </w:rPr>
        <w:t>) and inactivator concentrations were further investigated via nonlinear regression analysis. In (</w:t>
      </w:r>
      <w:r w:rsidRPr="00C016DD">
        <w:rPr>
          <w:rFonts w:ascii="Arial" w:hAnsi="Arial" w:cs="Arial"/>
          <w:b/>
        </w:rPr>
        <w:t>E</w:t>
      </w:r>
      <w:r w:rsidRPr="00C016DD">
        <w:rPr>
          <w:rFonts w:ascii="Arial" w:hAnsi="Arial" w:cs="Arial"/>
        </w:rPr>
        <w:t>) and (</w:t>
      </w:r>
      <w:r w:rsidRPr="00C016DD">
        <w:rPr>
          <w:rFonts w:ascii="Arial" w:hAnsi="Arial" w:cs="Arial"/>
          <w:b/>
        </w:rPr>
        <w:t>F</w:t>
      </w:r>
      <w:r w:rsidRPr="00C016DD">
        <w:rPr>
          <w:rFonts w:ascii="Arial" w:hAnsi="Arial" w:cs="Arial"/>
        </w:rPr>
        <w:t>), potential time-dependent inactivation of CYP2J2-mediated metabolism of rivaroxaban by erlotinib and nilotinib was also investigated. Attenuated CYP2J2 activity across pre-incubation times was observed with erlotinib and dronedarone (positive control), but not with nilotinib. (</w:t>
      </w:r>
      <w:r w:rsidRPr="00C016DD">
        <w:rPr>
          <w:rFonts w:ascii="Arial" w:hAnsi="Arial" w:cs="Arial"/>
          <w:b/>
        </w:rPr>
        <w:t>G</w:t>
      </w:r>
      <w:r w:rsidRPr="00C016DD">
        <w:rPr>
          <w:rFonts w:ascii="Arial" w:hAnsi="Arial" w:cs="Arial"/>
        </w:rPr>
        <w:t>) and (</w:t>
      </w:r>
      <w:r w:rsidRPr="00C016DD">
        <w:rPr>
          <w:rFonts w:ascii="Arial" w:hAnsi="Arial" w:cs="Arial"/>
          <w:b/>
        </w:rPr>
        <w:t>H</w:t>
      </w:r>
      <w:r w:rsidRPr="00C016DD">
        <w:rPr>
          <w:rFonts w:ascii="Arial" w:hAnsi="Arial" w:cs="Arial"/>
        </w:rPr>
        <w:t>) presents the subsequent MBI characterization of erlotinib against the CYP2J2-mediated metabolism of rivaroxaban. Each point in (</w:t>
      </w:r>
      <w:r w:rsidRPr="00C016DD">
        <w:rPr>
          <w:rFonts w:ascii="Arial" w:hAnsi="Arial" w:cs="Arial"/>
          <w:b/>
        </w:rPr>
        <w:t>A-H</w:t>
      </w:r>
      <w:r w:rsidRPr="00C016DD">
        <w:rPr>
          <w:rFonts w:ascii="Arial" w:hAnsi="Arial" w:cs="Arial"/>
        </w:rPr>
        <w:t xml:space="preserve">) represents the mean ± S.D. of triplicate determinations. </w:t>
      </w:r>
    </w:p>
    <w:p w14:paraId="7D06321B" w14:textId="5FDE2B71" w:rsidR="0073038B" w:rsidRPr="00C016DD" w:rsidRDefault="0073038B" w:rsidP="00A27D58">
      <w:pPr>
        <w:pStyle w:val="Caption"/>
        <w:spacing w:line="480" w:lineRule="auto"/>
        <w:rPr>
          <w:rFonts w:ascii="Arial" w:hAnsi="Arial" w:cs="Arial"/>
          <w:vanish/>
          <w:specVanish/>
        </w:rPr>
      </w:pPr>
      <w:bookmarkStart w:id="16" w:name="_Toc48787613"/>
      <w:r w:rsidRPr="00C016DD">
        <w:rPr>
          <w:rFonts w:ascii="Arial" w:hAnsi="Arial" w:cs="Arial"/>
          <w:b/>
          <w:bCs w:val="0"/>
        </w:rPr>
        <w:t xml:space="preserve">Figure </w:t>
      </w:r>
      <w:r w:rsidR="008D6415">
        <w:rPr>
          <w:rFonts w:ascii="Arial" w:hAnsi="Arial" w:cs="Arial"/>
          <w:b/>
          <w:bCs w:val="0"/>
        </w:rPr>
        <w:t>S2</w:t>
      </w:r>
      <w:r w:rsidRPr="00C016DD">
        <w:rPr>
          <w:rFonts w:ascii="Arial" w:hAnsi="Arial" w:cs="Arial"/>
          <w:b/>
          <w:bCs w:val="0"/>
        </w:rPr>
        <w:t xml:space="preserve">. </w:t>
      </w:r>
      <w:r w:rsidRPr="00C016DD">
        <w:rPr>
          <w:rFonts w:ascii="Arial" w:hAnsi="Arial" w:cs="Arial"/>
        </w:rPr>
        <w:t>Reversible inhibition of CYP3A4 and CYP2J2-mediated metabolism of rivaroxaban by erlotinib and nilotinib.</w:t>
      </w:r>
      <w:bookmarkEnd w:id="16"/>
    </w:p>
    <w:p w14:paraId="2BC25689" w14:textId="14D61B23" w:rsidR="0073038B" w:rsidRDefault="0073038B" w:rsidP="009013C0">
      <w:pPr>
        <w:pStyle w:val="Caption"/>
        <w:spacing w:line="480" w:lineRule="auto"/>
        <w:rPr>
          <w:rFonts w:ascii="Arial" w:hAnsi="Arial" w:cs="Arial"/>
        </w:rPr>
      </w:pPr>
      <w:r w:rsidRPr="00C016DD">
        <w:rPr>
          <w:rFonts w:ascii="Arial" w:hAnsi="Arial" w:cs="Arial"/>
        </w:rPr>
        <w:t xml:space="preserve"> IC</w:t>
      </w:r>
      <w:r w:rsidRPr="00C016DD">
        <w:rPr>
          <w:rFonts w:ascii="Arial" w:hAnsi="Arial" w:cs="Arial"/>
          <w:vertAlign w:val="subscript"/>
        </w:rPr>
        <w:t>50</w:t>
      </w:r>
      <w:r w:rsidRPr="00C016DD">
        <w:rPr>
          <w:rFonts w:ascii="Arial" w:hAnsi="Arial" w:cs="Arial"/>
        </w:rPr>
        <w:t xml:space="preserve"> curves illustrate the concentration-dependent reversible inhibition of CYP3A4 and CYP2J2 by (</w:t>
      </w:r>
      <w:r w:rsidRPr="00C016DD">
        <w:rPr>
          <w:rFonts w:ascii="Arial" w:hAnsi="Arial" w:cs="Arial"/>
          <w:b/>
          <w:bCs w:val="0"/>
        </w:rPr>
        <w:t>A-B</w:t>
      </w:r>
      <w:r w:rsidRPr="00C016DD">
        <w:rPr>
          <w:rFonts w:ascii="Arial" w:hAnsi="Arial" w:cs="Arial"/>
        </w:rPr>
        <w:t>) erlotinib and (</w:t>
      </w:r>
      <w:r w:rsidRPr="00C016DD">
        <w:rPr>
          <w:rFonts w:ascii="Arial" w:hAnsi="Arial" w:cs="Arial"/>
          <w:b/>
          <w:bCs w:val="0"/>
        </w:rPr>
        <w:t>C-D</w:t>
      </w:r>
      <w:r w:rsidRPr="00C016DD">
        <w:rPr>
          <w:rFonts w:ascii="Arial" w:hAnsi="Arial" w:cs="Arial"/>
        </w:rPr>
        <w:t>) nilotinib respectively. Further enzyme kinetic</w:t>
      </w:r>
      <w:r w:rsidRPr="00C016DD">
        <w:rPr>
          <w:rFonts w:ascii="Arial" w:hAnsi="Arial" w:cs="Arial"/>
          <w:vertAlign w:val="subscript"/>
        </w:rPr>
        <w:t xml:space="preserve"> </w:t>
      </w:r>
      <w:r w:rsidRPr="00C016DD">
        <w:rPr>
          <w:rFonts w:ascii="Arial" w:hAnsi="Arial" w:cs="Arial"/>
        </w:rPr>
        <w:t>experiments were conducted to determine inhibitory potencies (</w:t>
      </w:r>
      <w:r w:rsidRPr="00C016DD">
        <w:rPr>
          <w:rFonts w:ascii="Arial" w:hAnsi="Arial" w:cs="Arial"/>
          <w:i/>
          <w:iCs/>
        </w:rPr>
        <w:t>K</w:t>
      </w:r>
      <w:r w:rsidRPr="00C016DD">
        <w:rPr>
          <w:rFonts w:ascii="Arial" w:hAnsi="Arial" w:cs="Arial"/>
          <w:i/>
          <w:iCs/>
          <w:vertAlign w:val="subscript"/>
        </w:rPr>
        <w:t>i</w:t>
      </w:r>
      <w:r w:rsidRPr="00C016DD">
        <w:rPr>
          <w:rFonts w:ascii="Arial" w:hAnsi="Arial" w:cs="Arial"/>
        </w:rPr>
        <w:t>) of (</w:t>
      </w:r>
      <w:r w:rsidRPr="00C016DD">
        <w:rPr>
          <w:rFonts w:ascii="Arial" w:hAnsi="Arial" w:cs="Arial"/>
          <w:b/>
          <w:bCs w:val="0"/>
        </w:rPr>
        <w:t>E</w:t>
      </w:r>
      <w:r w:rsidRPr="00C016DD">
        <w:rPr>
          <w:rFonts w:ascii="Arial" w:hAnsi="Arial" w:cs="Arial"/>
        </w:rPr>
        <w:t>) erlotinib and (</w:t>
      </w:r>
      <w:r w:rsidRPr="00C016DD">
        <w:rPr>
          <w:rFonts w:ascii="Arial" w:hAnsi="Arial" w:cs="Arial"/>
          <w:b/>
          <w:bCs w:val="0"/>
        </w:rPr>
        <w:t>G</w:t>
      </w:r>
      <w:r w:rsidRPr="00C016DD">
        <w:rPr>
          <w:rFonts w:ascii="Arial" w:hAnsi="Arial" w:cs="Arial"/>
        </w:rPr>
        <w:t xml:space="preserve">) nilotinib on CYP2J2-mediated rivaroxaban metabolism. Data were transformed to Lineweaver-Burk plots in </w:t>
      </w:r>
      <w:r w:rsidRPr="00C016DD">
        <w:rPr>
          <w:rFonts w:ascii="Arial" w:hAnsi="Arial" w:cs="Arial"/>
          <w:bCs w:val="0"/>
        </w:rPr>
        <w:t>(</w:t>
      </w:r>
      <w:r w:rsidRPr="00C016DD">
        <w:rPr>
          <w:rFonts w:ascii="Arial" w:hAnsi="Arial" w:cs="Arial"/>
          <w:b/>
        </w:rPr>
        <w:t>F</w:t>
      </w:r>
      <w:r w:rsidRPr="00C016DD">
        <w:rPr>
          <w:rFonts w:ascii="Arial" w:hAnsi="Arial" w:cs="Arial"/>
          <w:bCs w:val="0"/>
        </w:rPr>
        <w:t>)</w:t>
      </w:r>
      <w:r w:rsidRPr="00C016DD">
        <w:rPr>
          <w:rFonts w:ascii="Arial" w:hAnsi="Arial" w:cs="Arial"/>
        </w:rPr>
        <w:t xml:space="preserve"> and </w:t>
      </w:r>
      <w:r w:rsidRPr="00C016DD">
        <w:rPr>
          <w:rFonts w:ascii="Arial" w:hAnsi="Arial" w:cs="Arial"/>
          <w:b/>
        </w:rPr>
        <w:t>(H)</w:t>
      </w:r>
      <w:r w:rsidRPr="00C016DD">
        <w:rPr>
          <w:rFonts w:ascii="Arial" w:hAnsi="Arial" w:cs="Arial"/>
        </w:rPr>
        <w:t xml:space="preserve"> to discern the mode of inhibition. Each point in (</w:t>
      </w:r>
      <w:r w:rsidRPr="00C016DD">
        <w:rPr>
          <w:rFonts w:ascii="Arial" w:hAnsi="Arial" w:cs="Arial"/>
          <w:b/>
        </w:rPr>
        <w:t>A-D, E and G</w:t>
      </w:r>
      <w:r w:rsidRPr="00C016DD">
        <w:rPr>
          <w:rFonts w:ascii="Arial" w:hAnsi="Arial" w:cs="Arial"/>
        </w:rPr>
        <w:t>) represents the mean ± S.D. of triplicate determinations.</w:t>
      </w:r>
    </w:p>
    <w:p w14:paraId="6E71DF46" w14:textId="61B7029C" w:rsidR="0073038B" w:rsidRPr="004B2563" w:rsidRDefault="009013C0" w:rsidP="00D861F6">
      <w:pPr>
        <w:spacing w:after="0" w:line="480" w:lineRule="auto"/>
        <w:jc w:val="both"/>
        <w:rPr>
          <w:rFonts w:ascii="Arial" w:hAnsi="Arial" w:cs="Arial"/>
          <w:sz w:val="20"/>
          <w:szCs w:val="20"/>
          <w:lang w:eastAsia="en-US"/>
        </w:rPr>
        <w:sectPr w:rsidR="0073038B" w:rsidRPr="004B2563" w:rsidSect="003E4C0D">
          <w:headerReference w:type="default" r:id="rId18"/>
          <w:footerReference w:type="default" r:id="rId19"/>
          <w:pgSz w:w="11906" w:h="16838"/>
          <w:pgMar w:top="1440" w:right="1440" w:bottom="1440" w:left="1440" w:header="709" w:footer="709" w:gutter="0"/>
          <w:cols w:space="708"/>
          <w:docGrid w:linePitch="360"/>
        </w:sectPr>
      </w:pPr>
      <w:r w:rsidRPr="004B2563">
        <w:rPr>
          <w:rFonts w:ascii="Arial" w:hAnsi="Arial" w:cs="Arial"/>
          <w:b/>
          <w:bCs/>
          <w:sz w:val="20"/>
          <w:szCs w:val="20"/>
          <w:lang w:eastAsia="en-US"/>
        </w:rPr>
        <w:t>Figure S3.</w:t>
      </w:r>
      <w:r w:rsidRPr="004B2563">
        <w:rPr>
          <w:rFonts w:ascii="Arial" w:hAnsi="Arial" w:cs="Arial"/>
          <w:sz w:val="20"/>
          <w:szCs w:val="20"/>
          <w:lang w:eastAsia="en-US"/>
        </w:rPr>
        <w:t xml:space="preserve"> </w:t>
      </w:r>
      <w:r w:rsidR="004B2563" w:rsidRPr="004B2563">
        <w:rPr>
          <w:rFonts w:ascii="Arial" w:hAnsi="Arial" w:cs="Arial"/>
          <w:sz w:val="20"/>
          <w:szCs w:val="20"/>
          <w:lang w:eastAsia="en-US"/>
        </w:rPr>
        <w:t>Examining the influence of virtual population changes on the plasma concentration-time profiles of rivaroxaban, erlotinib and nilotinib. Given that prospective DDI simulations were to be performed using the “Sim-Cancer” population in patients with normal renal function, potential differences in the pharmacokinetics of rivaroxaban between the “Sim-Cancer” and “NEurCaucasian” populations were first investigated in (</w:t>
      </w:r>
      <w:r w:rsidR="004B2563" w:rsidRPr="004B2563">
        <w:rPr>
          <w:rFonts w:ascii="Arial" w:hAnsi="Arial" w:cs="Arial"/>
          <w:b/>
          <w:bCs/>
          <w:sz w:val="20"/>
          <w:szCs w:val="20"/>
          <w:lang w:eastAsia="en-US"/>
        </w:rPr>
        <w:t>A</w:t>
      </w:r>
      <w:r w:rsidR="004B2563" w:rsidRPr="004B2563">
        <w:rPr>
          <w:rFonts w:ascii="Arial" w:hAnsi="Arial" w:cs="Arial"/>
          <w:sz w:val="20"/>
          <w:szCs w:val="20"/>
          <w:lang w:eastAsia="en-US"/>
        </w:rPr>
        <w:t>). The effects of renal impairment on the magnitude of DDIs observed between rivaroxaban and erlotinib or nilotinib would subsequently be investigated and we established how the steady-state exposures of the perpetrator drugs, (</w:t>
      </w:r>
      <w:r w:rsidR="004B2563" w:rsidRPr="00D861F6">
        <w:rPr>
          <w:rFonts w:ascii="Arial" w:hAnsi="Arial" w:cs="Arial"/>
          <w:b/>
          <w:bCs/>
          <w:sz w:val="20"/>
          <w:szCs w:val="20"/>
          <w:lang w:eastAsia="en-US"/>
        </w:rPr>
        <w:t>B</w:t>
      </w:r>
      <w:r w:rsidR="004B2563" w:rsidRPr="004B2563">
        <w:rPr>
          <w:rFonts w:ascii="Arial" w:hAnsi="Arial" w:cs="Arial"/>
          <w:sz w:val="20"/>
          <w:szCs w:val="20"/>
          <w:lang w:eastAsia="en-US"/>
        </w:rPr>
        <w:t>) erlotinib and (</w:t>
      </w:r>
      <w:r w:rsidR="004B2563" w:rsidRPr="00D861F6">
        <w:rPr>
          <w:rFonts w:ascii="Arial" w:hAnsi="Arial" w:cs="Arial"/>
          <w:b/>
          <w:bCs/>
          <w:sz w:val="20"/>
          <w:szCs w:val="20"/>
          <w:lang w:eastAsia="en-US"/>
        </w:rPr>
        <w:t>C</w:t>
      </w:r>
      <w:r w:rsidR="004B2563" w:rsidRPr="004B2563">
        <w:rPr>
          <w:rFonts w:ascii="Arial" w:hAnsi="Arial" w:cs="Arial"/>
          <w:sz w:val="20"/>
          <w:szCs w:val="20"/>
          <w:lang w:eastAsia="en-US"/>
        </w:rPr>
        <w:t>) nilotinib were not significantly affected when the developed “mild renal impairment” population was utilized (red solid line) but were significantly augmented when the “moderate renal impairment” population was adopted (blue solid line)</w:t>
      </w:r>
      <w:r w:rsidR="00D861F6">
        <w:rPr>
          <w:rFonts w:ascii="Arial" w:hAnsi="Arial" w:cs="Arial"/>
          <w:sz w:val="20"/>
          <w:szCs w:val="20"/>
          <w:lang w:eastAsia="en-US"/>
        </w:rPr>
        <w:t>.</w:t>
      </w:r>
    </w:p>
    <w:p w14:paraId="27012085" w14:textId="4F359D78" w:rsidR="000B2F60" w:rsidRDefault="004E48DC" w:rsidP="000B2F60">
      <w:pPr>
        <w:pStyle w:val="Caption"/>
        <w:spacing w:line="480" w:lineRule="auto"/>
        <w:rPr>
          <w:rFonts w:ascii="Arial" w:hAnsi="Arial" w:cs="Arial"/>
        </w:rPr>
      </w:pPr>
      <w:r w:rsidRPr="000B2F60">
        <w:rPr>
          <w:rFonts w:ascii="Arial" w:hAnsi="Arial" w:cs="Arial"/>
          <w:b/>
          <w:bCs w:val="0"/>
        </w:rPr>
        <w:lastRenderedPageBreak/>
        <w:t>Figure S4.</w:t>
      </w:r>
      <w:r w:rsidRPr="004E48DC">
        <w:rPr>
          <w:rFonts w:ascii="Arial" w:hAnsi="Arial" w:cs="Arial"/>
        </w:rPr>
        <w:t xml:space="preserve"> </w:t>
      </w:r>
      <w:r w:rsidR="0035321F">
        <w:rPr>
          <w:rFonts w:ascii="Arial" w:hAnsi="Arial" w:cs="Arial"/>
        </w:rPr>
        <w:t>C</w:t>
      </w:r>
      <w:r w:rsidR="0035321F" w:rsidRPr="0035321F">
        <w:rPr>
          <w:rFonts w:ascii="Arial" w:hAnsi="Arial" w:cs="Arial"/>
        </w:rPr>
        <w:t>oncentration-dependent diminutions of total</w:t>
      </w:r>
      <w:r w:rsidR="0035321F">
        <w:rPr>
          <w:rFonts w:ascii="Arial" w:hAnsi="Arial" w:cs="Arial"/>
        </w:rPr>
        <w:t xml:space="preserve"> </w:t>
      </w:r>
      <w:r w:rsidR="0035321F" w:rsidRPr="0035321F">
        <w:rPr>
          <w:rFonts w:ascii="Arial" w:hAnsi="Arial" w:cs="Arial"/>
        </w:rPr>
        <w:t xml:space="preserve">rivaroxaban uptake into OAT3-transfected HEK cells in the presence of </w:t>
      </w:r>
      <w:r w:rsidR="0035321F">
        <w:rPr>
          <w:rFonts w:ascii="Arial" w:hAnsi="Arial" w:cs="Arial"/>
        </w:rPr>
        <w:t>flu</w:t>
      </w:r>
      <w:r w:rsidR="0035321F" w:rsidRPr="0035321F">
        <w:rPr>
          <w:rFonts w:ascii="Arial" w:hAnsi="Arial" w:cs="Arial"/>
        </w:rPr>
        <w:t>conazole, measured in protein-free transport buffer</w:t>
      </w:r>
      <w:r w:rsidR="0035321F">
        <w:rPr>
          <w:rFonts w:ascii="Arial" w:hAnsi="Arial" w:cs="Arial"/>
        </w:rPr>
        <w:t xml:space="preserve"> and </w:t>
      </w:r>
      <w:r w:rsidR="0035321F" w:rsidRPr="00C016DD">
        <w:rPr>
          <w:rFonts w:ascii="Arial" w:hAnsi="Arial" w:cs="Arial"/>
        </w:rPr>
        <w:t>in the presence of 5% w/v human serum albumin</w:t>
      </w:r>
      <w:r w:rsidR="0035321F" w:rsidRPr="0035321F">
        <w:rPr>
          <w:rFonts w:ascii="Arial" w:hAnsi="Arial" w:cs="Arial"/>
        </w:rPr>
        <w:t>.</w:t>
      </w:r>
    </w:p>
    <w:p w14:paraId="28BA67DB" w14:textId="739B525B" w:rsidR="000B2F60" w:rsidRPr="000B2F60" w:rsidRDefault="000B2F60" w:rsidP="000B2F60">
      <w:pPr>
        <w:pStyle w:val="Caption"/>
        <w:spacing w:line="480" w:lineRule="auto"/>
        <w:rPr>
          <w:rFonts w:ascii="Arial" w:hAnsi="Arial" w:cs="Arial"/>
          <w:vanish/>
          <w:specVanish/>
        </w:rPr>
      </w:pPr>
      <w:r w:rsidRPr="000B2F60">
        <w:rPr>
          <w:rFonts w:ascii="Arial" w:hAnsi="Arial" w:cs="Arial"/>
          <w:b/>
          <w:bCs w:val="0"/>
        </w:rPr>
        <w:t>Figure S</w:t>
      </w:r>
      <w:r w:rsidR="004E48DC">
        <w:rPr>
          <w:rFonts w:ascii="Arial" w:hAnsi="Arial" w:cs="Arial"/>
          <w:b/>
          <w:bCs w:val="0"/>
        </w:rPr>
        <w:t>5</w:t>
      </w:r>
      <w:r w:rsidRPr="000B2F60">
        <w:rPr>
          <w:rFonts w:ascii="Arial" w:hAnsi="Arial" w:cs="Arial"/>
          <w:b/>
          <w:bCs w:val="0"/>
        </w:rPr>
        <w:t>.</w:t>
      </w:r>
      <w:r w:rsidRPr="000B2F60">
        <w:rPr>
          <w:rFonts w:ascii="Arial" w:hAnsi="Arial" w:cs="Arial"/>
        </w:rPr>
        <w:t xml:space="preserve"> Development of the mechanistic kidney model (</w:t>
      </w:r>
      <w:proofErr w:type="spellStart"/>
      <w:r w:rsidRPr="000B2F60">
        <w:rPr>
          <w:rFonts w:ascii="Arial" w:hAnsi="Arial" w:cs="Arial"/>
        </w:rPr>
        <w:t>MechKiM</w:t>
      </w:r>
      <w:proofErr w:type="spellEnd"/>
      <w:r w:rsidRPr="000B2F60">
        <w:rPr>
          <w:rFonts w:ascii="Arial" w:hAnsi="Arial" w:cs="Arial"/>
        </w:rPr>
        <w:t>) for simulation of rivaroxaban PK in healthy and renal impaired patients.</w:t>
      </w:r>
    </w:p>
    <w:p w14:paraId="122EF8F4" w14:textId="3740F245" w:rsidR="000B2F60" w:rsidRDefault="000B2F60" w:rsidP="000B2F60">
      <w:pPr>
        <w:pStyle w:val="ListParagraph"/>
        <w:spacing w:after="100" w:afterAutospacing="1" w:line="480" w:lineRule="auto"/>
        <w:ind w:left="0"/>
        <w:jc w:val="both"/>
        <w:rPr>
          <w:rFonts w:ascii="Arial" w:hAnsi="Arial" w:cs="Arial"/>
          <w:bCs/>
          <w:color w:val="000000"/>
          <w:sz w:val="20"/>
          <w:szCs w:val="20"/>
        </w:rPr>
      </w:pPr>
      <w:r w:rsidRPr="000B2F60">
        <w:rPr>
          <w:rFonts w:ascii="Arial" w:hAnsi="Arial" w:cs="Arial"/>
          <w:bCs/>
        </w:rPr>
        <w:t xml:space="preserve"> </w:t>
      </w:r>
      <w:r>
        <w:rPr>
          <w:rFonts w:ascii="Arial" w:hAnsi="Arial" w:cs="Arial"/>
          <w:bCs/>
        </w:rPr>
        <w:t>(</w:t>
      </w:r>
      <w:r w:rsidRPr="00F3758C">
        <w:rPr>
          <w:rFonts w:ascii="Arial" w:hAnsi="Arial" w:cs="Arial"/>
          <w:b/>
        </w:rPr>
        <w:t>A</w:t>
      </w:r>
      <w:r>
        <w:rPr>
          <w:rFonts w:ascii="Arial" w:hAnsi="Arial" w:cs="Arial"/>
          <w:bCs/>
        </w:rPr>
        <w:t xml:space="preserve">) </w:t>
      </w:r>
      <w:r w:rsidRPr="000B2F60">
        <w:rPr>
          <w:rFonts w:ascii="Arial" w:hAnsi="Arial" w:cs="Arial"/>
          <w:bCs/>
          <w:color w:val="000000"/>
          <w:sz w:val="20"/>
          <w:szCs w:val="20"/>
        </w:rPr>
        <w:t xml:space="preserve">Estimates of the </w:t>
      </w:r>
      <w:r w:rsidRPr="00F3758C">
        <w:rPr>
          <w:rFonts w:ascii="Arial" w:hAnsi="Arial" w:cs="Arial"/>
          <w:bCs/>
          <w:i/>
          <w:iCs/>
          <w:color w:val="000000"/>
          <w:sz w:val="20"/>
          <w:szCs w:val="20"/>
        </w:rPr>
        <w:t>in vitro</w:t>
      </w:r>
      <w:r w:rsidRPr="000B2F60">
        <w:rPr>
          <w:rFonts w:ascii="Arial" w:hAnsi="Arial" w:cs="Arial"/>
          <w:bCs/>
          <w:color w:val="000000"/>
          <w:sz w:val="20"/>
          <w:szCs w:val="20"/>
        </w:rPr>
        <w:t xml:space="preserve"> OAT3-mediated </w:t>
      </w:r>
      <w:proofErr w:type="gramStart"/>
      <w:r w:rsidRPr="000B2F60">
        <w:rPr>
          <w:rFonts w:ascii="Arial" w:hAnsi="Arial" w:cs="Arial"/>
          <w:bCs/>
          <w:color w:val="000000"/>
          <w:sz w:val="20"/>
          <w:szCs w:val="20"/>
        </w:rPr>
        <w:t>CLu</w:t>
      </w:r>
      <w:r w:rsidRPr="00341C39">
        <w:rPr>
          <w:rFonts w:ascii="Arial" w:hAnsi="Arial" w:cs="Arial"/>
          <w:bCs/>
          <w:color w:val="000000"/>
          <w:sz w:val="20"/>
          <w:szCs w:val="20"/>
          <w:vertAlign w:val="subscript"/>
        </w:rPr>
        <w:t>int,T</w:t>
      </w:r>
      <w:proofErr w:type="gramEnd"/>
      <w:r w:rsidRPr="000B2F60">
        <w:rPr>
          <w:rFonts w:ascii="Arial" w:hAnsi="Arial" w:cs="Arial"/>
          <w:bCs/>
          <w:color w:val="000000"/>
          <w:sz w:val="20"/>
          <w:szCs w:val="20"/>
        </w:rPr>
        <w:t xml:space="preserve"> were obtained via a bottom-up approach where concentration-dependent rivaroxaban uptake was investigated in wild type and OAT3-transfected HEK cells</w:t>
      </w:r>
      <w:r w:rsidR="00341C39">
        <w:rPr>
          <w:rFonts w:ascii="Arial" w:hAnsi="Arial" w:cs="Arial"/>
          <w:bCs/>
          <w:color w:val="000000"/>
          <w:sz w:val="20"/>
          <w:szCs w:val="20"/>
        </w:rPr>
        <w:t xml:space="preserve"> over </w:t>
      </w:r>
      <w:r w:rsidRPr="000B2F60">
        <w:rPr>
          <w:rFonts w:ascii="Arial" w:hAnsi="Arial" w:cs="Arial"/>
          <w:bCs/>
          <w:color w:val="000000"/>
          <w:sz w:val="20"/>
          <w:szCs w:val="20"/>
        </w:rPr>
        <w:t>.</w:t>
      </w:r>
      <w:r w:rsidR="00623B8E">
        <w:rPr>
          <w:rFonts w:ascii="Arial" w:hAnsi="Arial" w:cs="Arial"/>
          <w:bCs/>
          <w:color w:val="000000"/>
          <w:sz w:val="20"/>
          <w:szCs w:val="20"/>
        </w:rPr>
        <w:t xml:space="preserve"> </w:t>
      </w:r>
      <w:r w:rsidR="00623B8E" w:rsidRPr="000B2F60">
        <w:rPr>
          <w:rFonts w:ascii="Arial" w:hAnsi="Arial" w:cs="Arial"/>
          <w:bCs/>
          <w:color w:val="000000"/>
          <w:sz w:val="20"/>
          <w:szCs w:val="20"/>
        </w:rPr>
        <w:t xml:space="preserve">Each point in represents the mean ± SD of at least </w:t>
      </w:r>
      <w:r w:rsidR="00623B8E">
        <w:rPr>
          <w:rFonts w:ascii="Arial" w:hAnsi="Arial" w:cs="Arial"/>
          <w:bCs/>
          <w:color w:val="000000"/>
          <w:sz w:val="20"/>
          <w:szCs w:val="20"/>
        </w:rPr>
        <w:t>t</w:t>
      </w:r>
      <w:r w:rsidR="00FE58DA">
        <w:rPr>
          <w:rFonts w:ascii="Arial" w:hAnsi="Arial" w:cs="Arial"/>
          <w:bCs/>
          <w:color w:val="000000"/>
          <w:sz w:val="20"/>
          <w:szCs w:val="20"/>
        </w:rPr>
        <w:t>wo</w:t>
      </w:r>
      <w:r w:rsidR="00623B8E">
        <w:rPr>
          <w:rFonts w:ascii="Arial" w:hAnsi="Arial" w:cs="Arial"/>
          <w:bCs/>
          <w:color w:val="000000"/>
          <w:sz w:val="20"/>
          <w:szCs w:val="20"/>
        </w:rPr>
        <w:t xml:space="preserve"> independent</w:t>
      </w:r>
      <w:r w:rsidR="00623B8E" w:rsidRPr="000B2F60">
        <w:rPr>
          <w:rFonts w:ascii="Arial" w:hAnsi="Arial" w:cs="Arial"/>
          <w:bCs/>
          <w:color w:val="000000"/>
          <w:sz w:val="20"/>
          <w:szCs w:val="20"/>
        </w:rPr>
        <w:t xml:space="preserve"> experiments with triplicate determinations.</w:t>
      </w:r>
      <w:r w:rsidRPr="000B2F60">
        <w:rPr>
          <w:rFonts w:ascii="Arial" w:hAnsi="Arial" w:cs="Arial"/>
          <w:bCs/>
          <w:color w:val="000000"/>
          <w:sz w:val="20"/>
          <w:szCs w:val="20"/>
        </w:rPr>
        <w:t xml:space="preserve"> In (</w:t>
      </w:r>
      <w:r w:rsidR="00341C39" w:rsidRPr="00341C39">
        <w:rPr>
          <w:rFonts w:ascii="Arial" w:hAnsi="Arial" w:cs="Arial"/>
          <w:b/>
          <w:color w:val="000000"/>
          <w:sz w:val="20"/>
          <w:szCs w:val="20"/>
        </w:rPr>
        <w:t>B</w:t>
      </w:r>
      <w:r w:rsidRPr="000B2F60">
        <w:rPr>
          <w:rFonts w:ascii="Arial" w:hAnsi="Arial" w:cs="Arial"/>
          <w:bCs/>
          <w:color w:val="000000"/>
          <w:sz w:val="20"/>
          <w:szCs w:val="20"/>
        </w:rPr>
        <w:t xml:space="preserve">) severe renal impairment, sensitivity analysis was performed to gain insights into the magnitude of deterioration in OAT3-mediated </w:t>
      </w:r>
      <w:proofErr w:type="gramStart"/>
      <w:r w:rsidRPr="000B2F60">
        <w:rPr>
          <w:rFonts w:ascii="Arial" w:hAnsi="Arial" w:cs="Arial"/>
          <w:bCs/>
          <w:color w:val="000000"/>
          <w:sz w:val="20"/>
          <w:szCs w:val="20"/>
        </w:rPr>
        <w:t>CLu</w:t>
      </w:r>
      <w:r w:rsidRPr="005C27A4">
        <w:rPr>
          <w:rFonts w:ascii="Arial" w:hAnsi="Arial" w:cs="Arial"/>
          <w:bCs/>
          <w:color w:val="000000"/>
          <w:sz w:val="20"/>
          <w:szCs w:val="20"/>
          <w:vertAlign w:val="subscript"/>
        </w:rPr>
        <w:t>int</w:t>
      </w:r>
      <w:r w:rsidR="005C27A4" w:rsidRPr="005C27A4">
        <w:rPr>
          <w:rFonts w:ascii="Arial" w:hAnsi="Arial" w:cs="Arial"/>
          <w:bCs/>
          <w:color w:val="000000"/>
          <w:sz w:val="20"/>
          <w:szCs w:val="20"/>
          <w:vertAlign w:val="subscript"/>
        </w:rPr>
        <w:t>,T</w:t>
      </w:r>
      <w:proofErr w:type="gramEnd"/>
      <w:r w:rsidRPr="000B2F60">
        <w:rPr>
          <w:rFonts w:ascii="Arial" w:hAnsi="Arial" w:cs="Arial"/>
          <w:bCs/>
          <w:color w:val="000000"/>
          <w:sz w:val="20"/>
          <w:szCs w:val="20"/>
        </w:rPr>
        <w:t xml:space="preserve"> (REF) required for the predicted/observed CL</w:t>
      </w:r>
      <w:r w:rsidRPr="00341C39">
        <w:rPr>
          <w:rFonts w:ascii="Arial" w:hAnsi="Arial" w:cs="Arial"/>
          <w:bCs/>
          <w:color w:val="000000"/>
          <w:sz w:val="20"/>
          <w:szCs w:val="20"/>
          <w:vertAlign w:val="subscript"/>
        </w:rPr>
        <w:t>R</w:t>
      </w:r>
      <w:r w:rsidRPr="000B2F60">
        <w:rPr>
          <w:rFonts w:ascii="Arial" w:hAnsi="Arial" w:cs="Arial"/>
          <w:bCs/>
          <w:color w:val="000000"/>
          <w:sz w:val="20"/>
          <w:szCs w:val="20"/>
        </w:rPr>
        <w:t xml:space="preserve"> to fall within the predefined success criteria defined in </w:t>
      </w:r>
      <w:r w:rsidRPr="00F3758C">
        <w:rPr>
          <w:rFonts w:ascii="Arial" w:hAnsi="Arial" w:cs="Arial"/>
          <w:b/>
          <w:color w:val="000000"/>
          <w:sz w:val="20"/>
          <w:szCs w:val="20"/>
        </w:rPr>
        <w:t xml:space="preserve">Table </w:t>
      </w:r>
      <w:r w:rsidR="00623B8E" w:rsidRPr="00F3758C">
        <w:rPr>
          <w:rFonts w:ascii="Arial" w:hAnsi="Arial" w:cs="Arial"/>
          <w:b/>
          <w:color w:val="000000"/>
          <w:sz w:val="20"/>
          <w:szCs w:val="20"/>
        </w:rPr>
        <w:t>S4</w:t>
      </w:r>
      <w:r w:rsidRPr="000B2F60">
        <w:rPr>
          <w:rFonts w:ascii="Arial" w:hAnsi="Arial" w:cs="Arial"/>
          <w:bCs/>
          <w:color w:val="000000"/>
          <w:sz w:val="20"/>
          <w:szCs w:val="20"/>
        </w:rPr>
        <w:t xml:space="preserve"> (denoted by the grey shaded area). </w:t>
      </w:r>
    </w:p>
    <w:p w14:paraId="5BC172C5" w14:textId="16BF273D" w:rsidR="00F3758C" w:rsidRDefault="00F3758C" w:rsidP="000B2F60">
      <w:pPr>
        <w:pStyle w:val="ListParagraph"/>
        <w:spacing w:after="100" w:afterAutospacing="1" w:line="480" w:lineRule="auto"/>
        <w:ind w:left="0"/>
        <w:jc w:val="both"/>
        <w:rPr>
          <w:rFonts w:ascii="Arial" w:hAnsi="Arial" w:cs="Arial"/>
          <w:bCs/>
          <w:color w:val="000000"/>
          <w:sz w:val="20"/>
          <w:szCs w:val="20"/>
        </w:rPr>
      </w:pPr>
    </w:p>
    <w:p w14:paraId="07A4FF1A" w14:textId="0EDFF581" w:rsidR="00565784" w:rsidRPr="00C016DD" w:rsidRDefault="00F3758C" w:rsidP="00C2342B">
      <w:pPr>
        <w:pStyle w:val="ListParagraph"/>
        <w:spacing w:after="100" w:afterAutospacing="1" w:line="480" w:lineRule="auto"/>
        <w:ind w:left="0"/>
        <w:jc w:val="both"/>
        <w:rPr>
          <w:rFonts w:ascii="Arial" w:hAnsi="Arial" w:cs="Arial"/>
          <w:b/>
          <w:bCs/>
          <w:color w:val="000000"/>
          <w:sz w:val="20"/>
          <w:szCs w:val="20"/>
        </w:rPr>
      </w:pPr>
      <w:r w:rsidRPr="00BD77B3">
        <w:rPr>
          <w:rFonts w:ascii="Arial" w:hAnsi="Arial" w:cs="Arial"/>
          <w:b/>
          <w:color w:val="000000"/>
          <w:sz w:val="20"/>
          <w:szCs w:val="20"/>
        </w:rPr>
        <w:t>Figure S</w:t>
      </w:r>
      <w:r w:rsidR="004E48DC">
        <w:rPr>
          <w:rFonts w:ascii="Arial" w:hAnsi="Arial" w:cs="Arial"/>
          <w:b/>
          <w:color w:val="000000"/>
          <w:sz w:val="20"/>
          <w:szCs w:val="20"/>
        </w:rPr>
        <w:t>6</w:t>
      </w:r>
      <w:r w:rsidRPr="00BD77B3">
        <w:rPr>
          <w:rFonts w:ascii="Arial" w:hAnsi="Arial" w:cs="Arial"/>
          <w:b/>
          <w:color w:val="000000"/>
          <w:sz w:val="20"/>
          <w:szCs w:val="20"/>
        </w:rPr>
        <w:t xml:space="preserve">. </w:t>
      </w:r>
      <w:r w:rsidR="00BD77B3" w:rsidRPr="00BD77B3">
        <w:rPr>
          <w:rFonts w:ascii="Arial" w:hAnsi="Arial" w:cs="Arial"/>
          <w:bCs/>
          <w:color w:val="000000"/>
          <w:sz w:val="20"/>
          <w:szCs w:val="20"/>
        </w:rPr>
        <w:t xml:space="preserve">Evaluating the effects of dose adjustments on </w:t>
      </w:r>
      <w:r w:rsidR="00BD77B3">
        <w:rPr>
          <w:rFonts w:ascii="Arial" w:hAnsi="Arial" w:cs="Arial"/>
          <w:bCs/>
          <w:color w:val="000000"/>
          <w:sz w:val="20"/>
          <w:szCs w:val="20"/>
        </w:rPr>
        <w:t>the</w:t>
      </w:r>
      <w:r w:rsidR="00BD77B3" w:rsidRPr="00BD77B3">
        <w:rPr>
          <w:rFonts w:ascii="Arial" w:hAnsi="Arial" w:cs="Arial"/>
          <w:bCs/>
          <w:color w:val="000000"/>
          <w:sz w:val="20"/>
          <w:szCs w:val="20"/>
        </w:rPr>
        <w:t xml:space="preserve"> simulated AUC fold changes of rivaroxaban in the presence of verapamil and underlying renal impairment.</w:t>
      </w:r>
    </w:p>
    <w:p w14:paraId="04874526" w14:textId="6D557F40" w:rsidR="00565784" w:rsidRPr="00C016DD" w:rsidRDefault="00565784" w:rsidP="00C2342B">
      <w:pPr>
        <w:rPr>
          <w:rFonts w:ascii="Arial" w:hAnsi="Arial" w:cs="Arial"/>
          <w:b/>
          <w:bCs/>
          <w:color w:val="000000"/>
          <w:sz w:val="20"/>
          <w:szCs w:val="20"/>
        </w:rPr>
      </w:pPr>
    </w:p>
    <w:sectPr w:rsidR="00565784" w:rsidRPr="00C016DD" w:rsidSect="003E4C0D">
      <w:headerReference w:type="defaul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3EF0B" w14:textId="77777777" w:rsidR="008B7C45" w:rsidRDefault="008B7C45" w:rsidP="0091526A">
      <w:pPr>
        <w:spacing w:after="0" w:line="240" w:lineRule="auto"/>
      </w:pPr>
      <w:r>
        <w:separator/>
      </w:r>
    </w:p>
  </w:endnote>
  <w:endnote w:type="continuationSeparator" w:id="0">
    <w:p w14:paraId="7F6D0CB5" w14:textId="77777777" w:rsidR="008B7C45" w:rsidRDefault="008B7C45" w:rsidP="009152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al-GreekwithMathPi">
    <w:altName w:val="Cambria"/>
    <w:panose1 w:val="00000000000000000000"/>
    <w:charset w:val="00"/>
    <w:family w:val="roman"/>
    <w:notTrueType/>
    <w:pitch w:val="default"/>
  </w:font>
  <w:font w:name="Arial-ItalicMT">
    <w:altName w:val="Arial"/>
    <w:charset w:val="00"/>
    <w:family w:val="auto"/>
    <w:pitch w:val="default"/>
  </w:font>
  <w:font w:name="DengXian">
    <w:altName w:val="等线"/>
    <w:panose1 w:val="02010600030101010101"/>
    <w:charset w:val="86"/>
    <w:family w:val="auto"/>
    <w:pitch w:val="variable"/>
    <w:sig w:usb0="A00002BF" w:usb1="38CF7CFA" w:usb2="00000016" w:usb3="00000000" w:csb0="0004000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F5416" w14:textId="77777777" w:rsidR="00F8794C" w:rsidRDefault="00F879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5734A" w14:textId="26124834" w:rsidR="00F8794C" w:rsidRPr="00F41FA8" w:rsidRDefault="00F8794C" w:rsidP="00F41FA8">
    <w:pPr>
      <w:pStyle w:val="Footer"/>
      <w:tabs>
        <w:tab w:val="left" w:pos="5594"/>
      </w:tabs>
      <w:rPr>
        <w:rFonts w:ascii="Arial" w:hAnsi="Arial" w:cs="Arial"/>
        <w:sz w:val="20"/>
        <w:szCs w:val="20"/>
      </w:rPr>
    </w:pPr>
    <w:r>
      <w:tab/>
    </w:r>
    <w:sdt>
      <w:sdtPr>
        <w:id w:val="1045499676"/>
        <w:docPartObj>
          <w:docPartGallery w:val="Page Numbers (Bottom of Page)"/>
          <w:docPartUnique/>
        </w:docPartObj>
      </w:sdtPr>
      <w:sdtEndPr>
        <w:rPr>
          <w:rFonts w:ascii="Arial" w:hAnsi="Arial" w:cs="Arial"/>
          <w:noProof/>
          <w:sz w:val="20"/>
          <w:szCs w:val="20"/>
        </w:rPr>
      </w:sdtEndPr>
      <w:sdtContent>
        <w:r w:rsidRPr="00F41FA8">
          <w:rPr>
            <w:rFonts w:ascii="Arial" w:hAnsi="Arial" w:cs="Arial"/>
            <w:sz w:val="20"/>
            <w:szCs w:val="20"/>
          </w:rPr>
          <w:fldChar w:fldCharType="begin"/>
        </w:r>
        <w:r w:rsidRPr="00F41FA8">
          <w:rPr>
            <w:rFonts w:ascii="Arial" w:hAnsi="Arial" w:cs="Arial"/>
            <w:sz w:val="20"/>
            <w:szCs w:val="20"/>
          </w:rPr>
          <w:instrText xml:space="preserve"> PAGE   \* MERGEFORMAT </w:instrText>
        </w:r>
        <w:r w:rsidRPr="00F41FA8">
          <w:rPr>
            <w:rFonts w:ascii="Arial" w:hAnsi="Arial" w:cs="Arial"/>
            <w:sz w:val="20"/>
            <w:szCs w:val="20"/>
          </w:rPr>
          <w:fldChar w:fldCharType="separate"/>
        </w:r>
        <w:r w:rsidR="00C2342B">
          <w:rPr>
            <w:rFonts w:ascii="Arial" w:hAnsi="Arial" w:cs="Arial"/>
            <w:noProof/>
            <w:sz w:val="20"/>
            <w:szCs w:val="20"/>
          </w:rPr>
          <w:t>2</w:t>
        </w:r>
        <w:r w:rsidRPr="00F41FA8">
          <w:rPr>
            <w:rFonts w:ascii="Arial" w:hAnsi="Arial" w:cs="Arial"/>
            <w:noProof/>
            <w:sz w:val="20"/>
            <w:szCs w:val="20"/>
          </w:rPr>
          <w:fldChar w:fldCharType="end"/>
        </w:r>
      </w:sdtContent>
    </w:sdt>
    <w:r>
      <w:rPr>
        <w:rFonts w:ascii="Arial" w:hAnsi="Arial" w:cs="Arial"/>
        <w:noProof/>
        <w:sz w:val="20"/>
        <w:szCs w:val="20"/>
      </w:rPr>
      <w:tab/>
    </w:r>
  </w:p>
  <w:p w14:paraId="00693D29" w14:textId="77777777" w:rsidR="00F8794C" w:rsidRDefault="00F879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1D1E7" w14:textId="77777777" w:rsidR="00F8794C" w:rsidRDefault="00F8794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6586835"/>
      <w:docPartObj>
        <w:docPartGallery w:val="Page Numbers (Bottom of Page)"/>
        <w:docPartUnique/>
      </w:docPartObj>
    </w:sdtPr>
    <w:sdtEndPr>
      <w:rPr>
        <w:rFonts w:ascii="Arial" w:hAnsi="Arial" w:cs="Arial"/>
        <w:noProof/>
        <w:sz w:val="20"/>
        <w:szCs w:val="20"/>
      </w:rPr>
    </w:sdtEndPr>
    <w:sdtContent>
      <w:p w14:paraId="7E0A693D" w14:textId="32698716" w:rsidR="00F8794C" w:rsidRPr="00F41FA8" w:rsidRDefault="00F8794C">
        <w:pPr>
          <w:pStyle w:val="Footer"/>
          <w:jc w:val="center"/>
          <w:rPr>
            <w:rFonts w:ascii="Arial" w:hAnsi="Arial" w:cs="Arial"/>
            <w:sz w:val="20"/>
            <w:szCs w:val="20"/>
          </w:rPr>
        </w:pPr>
        <w:r w:rsidRPr="00F41FA8">
          <w:rPr>
            <w:rFonts w:ascii="Arial" w:hAnsi="Arial" w:cs="Arial"/>
            <w:sz w:val="20"/>
            <w:szCs w:val="20"/>
          </w:rPr>
          <w:fldChar w:fldCharType="begin"/>
        </w:r>
        <w:r w:rsidRPr="00F41FA8">
          <w:rPr>
            <w:rFonts w:ascii="Arial" w:hAnsi="Arial" w:cs="Arial"/>
            <w:sz w:val="20"/>
            <w:szCs w:val="20"/>
          </w:rPr>
          <w:instrText xml:space="preserve"> PAGE   \* MERGEFORMAT </w:instrText>
        </w:r>
        <w:r w:rsidRPr="00F41FA8">
          <w:rPr>
            <w:rFonts w:ascii="Arial" w:hAnsi="Arial" w:cs="Arial"/>
            <w:sz w:val="20"/>
            <w:szCs w:val="20"/>
          </w:rPr>
          <w:fldChar w:fldCharType="separate"/>
        </w:r>
        <w:r w:rsidR="00C2342B">
          <w:rPr>
            <w:rFonts w:ascii="Arial" w:hAnsi="Arial" w:cs="Arial"/>
            <w:noProof/>
            <w:sz w:val="20"/>
            <w:szCs w:val="20"/>
          </w:rPr>
          <w:t>4</w:t>
        </w:r>
        <w:r w:rsidRPr="00F41FA8">
          <w:rPr>
            <w:rFonts w:ascii="Arial" w:hAnsi="Arial" w:cs="Arial"/>
            <w:noProof/>
            <w:sz w:val="20"/>
            <w:szCs w:val="20"/>
          </w:rPr>
          <w:fldChar w:fldCharType="end"/>
        </w:r>
      </w:p>
    </w:sdtContent>
  </w:sdt>
  <w:p w14:paraId="5D2C8147" w14:textId="77777777" w:rsidR="00F8794C" w:rsidRDefault="00F8794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6543580"/>
      <w:docPartObj>
        <w:docPartGallery w:val="Page Numbers (Bottom of Page)"/>
        <w:docPartUnique/>
      </w:docPartObj>
    </w:sdtPr>
    <w:sdtEndPr>
      <w:rPr>
        <w:noProof/>
      </w:rPr>
    </w:sdtEndPr>
    <w:sdtContent>
      <w:p w14:paraId="2E1DBF69" w14:textId="6838E7BF" w:rsidR="00F8794C" w:rsidRDefault="00F8794C">
        <w:pPr>
          <w:pStyle w:val="Footer"/>
          <w:jc w:val="center"/>
        </w:pPr>
        <w:r w:rsidRPr="00CB3B28">
          <w:rPr>
            <w:rFonts w:ascii="Arial" w:hAnsi="Arial" w:cs="Arial"/>
            <w:sz w:val="20"/>
            <w:szCs w:val="20"/>
          </w:rPr>
          <w:fldChar w:fldCharType="begin"/>
        </w:r>
        <w:r w:rsidRPr="00CB3B28">
          <w:rPr>
            <w:rFonts w:ascii="Arial" w:hAnsi="Arial" w:cs="Arial"/>
            <w:sz w:val="20"/>
            <w:szCs w:val="20"/>
          </w:rPr>
          <w:instrText xml:space="preserve"> PAGE   \* MERGEFORMAT </w:instrText>
        </w:r>
        <w:r w:rsidRPr="00CB3B28">
          <w:rPr>
            <w:rFonts w:ascii="Arial" w:hAnsi="Arial" w:cs="Arial"/>
            <w:sz w:val="20"/>
            <w:szCs w:val="20"/>
          </w:rPr>
          <w:fldChar w:fldCharType="separate"/>
        </w:r>
        <w:r w:rsidR="00C2342B">
          <w:rPr>
            <w:rFonts w:ascii="Arial" w:hAnsi="Arial" w:cs="Arial"/>
            <w:noProof/>
            <w:sz w:val="20"/>
            <w:szCs w:val="20"/>
          </w:rPr>
          <w:t>32</w:t>
        </w:r>
        <w:r w:rsidRPr="00CB3B28">
          <w:rPr>
            <w:rFonts w:ascii="Arial" w:hAnsi="Arial" w:cs="Arial"/>
            <w:noProof/>
            <w:sz w:val="20"/>
            <w:szCs w:val="20"/>
          </w:rPr>
          <w:fldChar w:fldCharType="end"/>
        </w:r>
      </w:p>
    </w:sdtContent>
  </w:sdt>
  <w:p w14:paraId="5A795C9F" w14:textId="77777777" w:rsidR="00F8794C" w:rsidRDefault="00F8794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6051371"/>
      <w:docPartObj>
        <w:docPartGallery w:val="Page Numbers (Bottom of Page)"/>
        <w:docPartUnique/>
      </w:docPartObj>
    </w:sdtPr>
    <w:sdtEndPr>
      <w:rPr>
        <w:rFonts w:ascii="Arial" w:hAnsi="Arial" w:cs="Arial"/>
        <w:sz w:val="20"/>
        <w:szCs w:val="20"/>
      </w:rPr>
    </w:sdtEndPr>
    <w:sdtContent>
      <w:p w14:paraId="4BF97400" w14:textId="3CBC7E33" w:rsidR="00F8794C" w:rsidRPr="00F41FA8" w:rsidRDefault="00F8794C" w:rsidP="00A563E5">
        <w:pPr>
          <w:pStyle w:val="Footer"/>
          <w:jc w:val="center"/>
          <w:rPr>
            <w:rFonts w:ascii="Arial" w:hAnsi="Arial" w:cs="Arial"/>
            <w:sz w:val="20"/>
            <w:szCs w:val="20"/>
          </w:rPr>
        </w:pPr>
        <w:r w:rsidRPr="00F41FA8">
          <w:rPr>
            <w:rFonts w:ascii="Arial" w:hAnsi="Arial" w:cs="Arial"/>
            <w:sz w:val="20"/>
            <w:szCs w:val="20"/>
          </w:rPr>
          <w:fldChar w:fldCharType="begin"/>
        </w:r>
        <w:r w:rsidRPr="00F41FA8">
          <w:rPr>
            <w:rFonts w:ascii="Arial" w:hAnsi="Arial" w:cs="Arial"/>
            <w:sz w:val="20"/>
            <w:szCs w:val="20"/>
          </w:rPr>
          <w:instrText xml:space="preserve"> PAGE   \* MERGEFORMAT </w:instrText>
        </w:r>
        <w:r w:rsidRPr="00F41FA8">
          <w:rPr>
            <w:rFonts w:ascii="Arial" w:hAnsi="Arial" w:cs="Arial"/>
            <w:sz w:val="20"/>
            <w:szCs w:val="20"/>
          </w:rPr>
          <w:fldChar w:fldCharType="separate"/>
        </w:r>
        <w:r w:rsidR="00C2342B">
          <w:rPr>
            <w:rFonts w:ascii="Arial" w:hAnsi="Arial" w:cs="Arial"/>
            <w:noProof/>
            <w:sz w:val="20"/>
            <w:szCs w:val="20"/>
          </w:rPr>
          <w:t>35</w:t>
        </w:r>
        <w:r w:rsidRPr="00F41FA8">
          <w:rPr>
            <w:rFonts w:ascii="Arial" w:hAnsi="Arial" w:cs="Arial"/>
            <w:noProof/>
            <w:sz w:val="20"/>
            <w:szCs w:val="20"/>
          </w:rPr>
          <w:fldChar w:fldCharType="end"/>
        </w:r>
      </w:p>
    </w:sdtContent>
  </w:sdt>
  <w:p w14:paraId="3BE40C3A" w14:textId="77777777" w:rsidR="00F8794C" w:rsidRDefault="00F879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D8F61" w14:textId="77777777" w:rsidR="008B7C45" w:rsidRDefault="008B7C45" w:rsidP="0091526A">
      <w:pPr>
        <w:spacing w:after="0" w:line="240" w:lineRule="auto"/>
      </w:pPr>
      <w:r>
        <w:separator/>
      </w:r>
    </w:p>
  </w:footnote>
  <w:footnote w:type="continuationSeparator" w:id="0">
    <w:p w14:paraId="49BDF724" w14:textId="77777777" w:rsidR="008B7C45" w:rsidRDefault="008B7C45" w:rsidP="009152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F389" w14:textId="77777777" w:rsidR="00F8794C" w:rsidRDefault="00F879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63328" w14:textId="77777777" w:rsidR="00F8794C" w:rsidRDefault="00F879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9CE15" w14:textId="77777777" w:rsidR="00F8794C" w:rsidRDefault="00F8794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9B336" w14:textId="2EA2F5A2" w:rsidR="00F8794C" w:rsidRPr="008F751C" w:rsidRDefault="00F8794C">
    <w:pPr>
      <w:pStyle w:val="Header"/>
      <w:rPr>
        <w:rFonts w:cs="Times New Roman"/>
        <w:lang w:val="en-SG"/>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37D64" w14:textId="77777777" w:rsidR="00F8794C" w:rsidRPr="008F751C" w:rsidRDefault="00F8794C">
    <w:pPr>
      <w:pStyle w:val="Header"/>
      <w:rPr>
        <w:rFonts w:cs="Times New Roman"/>
        <w:lang w:val="en-SG"/>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C881C" w14:textId="77777777" w:rsidR="00F8794C" w:rsidRPr="00C120CD" w:rsidRDefault="00F8794C">
    <w:pPr>
      <w:pStyle w:val="Header"/>
      <w:rPr>
        <w:lang w:val="en-SG"/>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E2622A"/>
    <w:multiLevelType w:val="hybridMultilevel"/>
    <w:tmpl w:val="580A0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A7452F"/>
    <w:multiLevelType w:val="hybridMultilevel"/>
    <w:tmpl w:val="D008408C"/>
    <w:lvl w:ilvl="0" w:tplc="A31605CC">
      <w:start w:val="1"/>
      <w:numFmt w:val="upperLetter"/>
      <w:lvlText w:val="(%1)"/>
      <w:lvlJc w:val="left"/>
      <w:pPr>
        <w:ind w:left="413" w:hanging="360"/>
      </w:pPr>
      <w:rPr>
        <w:rFonts w:hint="default"/>
        <w:b/>
      </w:rPr>
    </w:lvl>
    <w:lvl w:ilvl="1" w:tplc="48090019" w:tentative="1">
      <w:start w:val="1"/>
      <w:numFmt w:val="lowerLetter"/>
      <w:lvlText w:val="%2."/>
      <w:lvlJc w:val="left"/>
      <w:pPr>
        <w:ind w:left="1133" w:hanging="360"/>
      </w:pPr>
    </w:lvl>
    <w:lvl w:ilvl="2" w:tplc="4809001B" w:tentative="1">
      <w:start w:val="1"/>
      <w:numFmt w:val="lowerRoman"/>
      <w:lvlText w:val="%3."/>
      <w:lvlJc w:val="right"/>
      <w:pPr>
        <w:ind w:left="1853" w:hanging="180"/>
      </w:pPr>
    </w:lvl>
    <w:lvl w:ilvl="3" w:tplc="4809000F" w:tentative="1">
      <w:start w:val="1"/>
      <w:numFmt w:val="decimal"/>
      <w:lvlText w:val="%4."/>
      <w:lvlJc w:val="left"/>
      <w:pPr>
        <w:ind w:left="2573" w:hanging="360"/>
      </w:pPr>
    </w:lvl>
    <w:lvl w:ilvl="4" w:tplc="48090019" w:tentative="1">
      <w:start w:val="1"/>
      <w:numFmt w:val="lowerLetter"/>
      <w:lvlText w:val="%5."/>
      <w:lvlJc w:val="left"/>
      <w:pPr>
        <w:ind w:left="3293" w:hanging="360"/>
      </w:pPr>
    </w:lvl>
    <w:lvl w:ilvl="5" w:tplc="4809001B" w:tentative="1">
      <w:start w:val="1"/>
      <w:numFmt w:val="lowerRoman"/>
      <w:lvlText w:val="%6."/>
      <w:lvlJc w:val="right"/>
      <w:pPr>
        <w:ind w:left="4013" w:hanging="180"/>
      </w:pPr>
    </w:lvl>
    <w:lvl w:ilvl="6" w:tplc="4809000F" w:tentative="1">
      <w:start w:val="1"/>
      <w:numFmt w:val="decimal"/>
      <w:lvlText w:val="%7."/>
      <w:lvlJc w:val="left"/>
      <w:pPr>
        <w:ind w:left="4733" w:hanging="360"/>
      </w:pPr>
    </w:lvl>
    <w:lvl w:ilvl="7" w:tplc="48090019" w:tentative="1">
      <w:start w:val="1"/>
      <w:numFmt w:val="lowerLetter"/>
      <w:lvlText w:val="%8."/>
      <w:lvlJc w:val="left"/>
      <w:pPr>
        <w:ind w:left="5453" w:hanging="360"/>
      </w:pPr>
    </w:lvl>
    <w:lvl w:ilvl="8" w:tplc="4809001B" w:tentative="1">
      <w:start w:val="1"/>
      <w:numFmt w:val="lowerRoman"/>
      <w:lvlText w:val="%9."/>
      <w:lvlJc w:val="right"/>
      <w:pPr>
        <w:ind w:left="6173" w:hanging="180"/>
      </w:pPr>
    </w:lvl>
  </w:abstractNum>
  <w:abstractNum w:abstractNumId="2" w15:restartNumberingAfterBreak="0">
    <w:nsid w:val="5A3C7298"/>
    <w:multiLevelType w:val="hybridMultilevel"/>
    <w:tmpl w:val="14100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FCC771F"/>
    <w:multiLevelType w:val="hybridMultilevel"/>
    <w:tmpl w:val="419ED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755"/>
    <w:rsid w:val="0000094A"/>
    <w:rsid w:val="0000184F"/>
    <w:rsid w:val="00001A5E"/>
    <w:rsid w:val="00001C56"/>
    <w:rsid w:val="00001DE3"/>
    <w:rsid w:val="00002325"/>
    <w:rsid w:val="000023F4"/>
    <w:rsid w:val="00003CA1"/>
    <w:rsid w:val="00004231"/>
    <w:rsid w:val="0000457E"/>
    <w:rsid w:val="00005427"/>
    <w:rsid w:val="00006B74"/>
    <w:rsid w:val="00006F26"/>
    <w:rsid w:val="000072D4"/>
    <w:rsid w:val="000111BE"/>
    <w:rsid w:val="0001169F"/>
    <w:rsid w:val="00011797"/>
    <w:rsid w:val="00011D80"/>
    <w:rsid w:val="00012FC7"/>
    <w:rsid w:val="00013C0D"/>
    <w:rsid w:val="00014A07"/>
    <w:rsid w:val="00014CFD"/>
    <w:rsid w:val="000150A6"/>
    <w:rsid w:val="00015343"/>
    <w:rsid w:val="00015AF9"/>
    <w:rsid w:val="000161F9"/>
    <w:rsid w:val="00016289"/>
    <w:rsid w:val="0001678D"/>
    <w:rsid w:val="00016898"/>
    <w:rsid w:val="00017A6B"/>
    <w:rsid w:val="00017D2E"/>
    <w:rsid w:val="00020D37"/>
    <w:rsid w:val="00021106"/>
    <w:rsid w:val="000217BB"/>
    <w:rsid w:val="00021B05"/>
    <w:rsid w:val="00022186"/>
    <w:rsid w:val="000226E0"/>
    <w:rsid w:val="00023128"/>
    <w:rsid w:val="00023BD6"/>
    <w:rsid w:val="00023D29"/>
    <w:rsid w:val="000241B9"/>
    <w:rsid w:val="0002604A"/>
    <w:rsid w:val="00026660"/>
    <w:rsid w:val="000269C0"/>
    <w:rsid w:val="000269F6"/>
    <w:rsid w:val="000270CA"/>
    <w:rsid w:val="000274ED"/>
    <w:rsid w:val="000305CA"/>
    <w:rsid w:val="000305CF"/>
    <w:rsid w:val="00030CA8"/>
    <w:rsid w:val="00030DC7"/>
    <w:rsid w:val="0003174A"/>
    <w:rsid w:val="000318D5"/>
    <w:rsid w:val="000320E9"/>
    <w:rsid w:val="00032964"/>
    <w:rsid w:val="000331A6"/>
    <w:rsid w:val="000338A8"/>
    <w:rsid w:val="00034A3B"/>
    <w:rsid w:val="00034EBF"/>
    <w:rsid w:val="00035044"/>
    <w:rsid w:val="000356F8"/>
    <w:rsid w:val="000361EA"/>
    <w:rsid w:val="00036478"/>
    <w:rsid w:val="000365BE"/>
    <w:rsid w:val="00037726"/>
    <w:rsid w:val="00037C1E"/>
    <w:rsid w:val="00037C8D"/>
    <w:rsid w:val="000412D4"/>
    <w:rsid w:val="00041A56"/>
    <w:rsid w:val="00041BB2"/>
    <w:rsid w:val="00042EB4"/>
    <w:rsid w:val="000433DB"/>
    <w:rsid w:val="0004385C"/>
    <w:rsid w:val="0004393D"/>
    <w:rsid w:val="0004489E"/>
    <w:rsid w:val="00044C90"/>
    <w:rsid w:val="00045180"/>
    <w:rsid w:val="000459C9"/>
    <w:rsid w:val="00046A9D"/>
    <w:rsid w:val="0004730F"/>
    <w:rsid w:val="00047607"/>
    <w:rsid w:val="00047A5D"/>
    <w:rsid w:val="00047F31"/>
    <w:rsid w:val="00047F94"/>
    <w:rsid w:val="0005014C"/>
    <w:rsid w:val="00051193"/>
    <w:rsid w:val="0005189D"/>
    <w:rsid w:val="00051C1F"/>
    <w:rsid w:val="00052113"/>
    <w:rsid w:val="0005224E"/>
    <w:rsid w:val="00052FE8"/>
    <w:rsid w:val="0005351C"/>
    <w:rsid w:val="000535F6"/>
    <w:rsid w:val="00053846"/>
    <w:rsid w:val="00054679"/>
    <w:rsid w:val="00055834"/>
    <w:rsid w:val="00055F9D"/>
    <w:rsid w:val="00057369"/>
    <w:rsid w:val="00057476"/>
    <w:rsid w:val="00057683"/>
    <w:rsid w:val="000576AB"/>
    <w:rsid w:val="00057B6D"/>
    <w:rsid w:val="0006007D"/>
    <w:rsid w:val="00060385"/>
    <w:rsid w:val="00061287"/>
    <w:rsid w:val="00062B7A"/>
    <w:rsid w:val="00063096"/>
    <w:rsid w:val="00063684"/>
    <w:rsid w:val="000638C2"/>
    <w:rsid w:val="00063B49"/>
    <w:rsid w:val="00063F3C"/>
    <w:rsid w:val="00064D88"/>
    <w:rsid w:val="000664CD"/>
    <w:rsid w:val="00067F42"/>
    <w:rsid w:val="0007048D"/>
    <w:rsid w:val="0007054F"/>
    <w:rsid w:val="000709C3"/>
    <w:rsid w:val="00072D89"/>
    <w:rsid w:val="000732C7"/>
    <w:rsid w:val="00074E3E"/>
    <w:rsid w:val="0008018C"/>
    <w:rsid w:val="00080891"/>
    <w:rsid w:val="00080D17"/>
    <w:rsid w:val="00081034"/>
    <w:rsid w:val="0008200B"/>
    <w:rsid w:val="00082F02"/>
    <w:rsid w:val="000833CD"/>
    <w:rsid w:val="000837FF"/>
    <w:rsid w:val="00083BC3"/>
    <w:rsid w:val="000842E9"/>
    <w:rsid w:val="000844E9"/>
    <w:rsid w:val="00084615"/>
    <w:rsid w:val="0008476F"/>
    <w:rsid w:val="00085093"/>
    <w:rsid w:val="00085359"/>
    <w:rsid w:val="000862BF"/>
    <w:rsid w:val="00086833"/>
    <w:rsid w:val="00086E58"/>
    <w:rsid w:val="00087255"/>
    <w:rsid w:val="000874A3"/>
    <w:rsid w:val="00090BB8"/>
    <w:rsid w:val="0009290E"/>
    <w:rsid w:val="00092C2C"/>
    <w:rsid w:val="00093266"/>
    <w:rsid w:val="000935C0"/>
    <w:rsid w:val="000936FC"/>
    <w:rsid w:val="000937C2"/>
    <w:rsid w:val="000939AE"/>
    <w:rsid w:val="00093B42"/>
    <w:rsid w:val="00093C4C"/>
    <w:rsid w:val="00094819"/>
    <w:rsid w:val="00094AA6"/>
    <w:rsid w:val="0009511A"/>
    <w:rsid w:val="00095287"/>
    <w:rsid w:val="00095A3A"/>
    <w:rsid w:val="00096A37"/>
    <w:rsid w:val="00096E3A"/>
    <w:rsid w:val="000972B4"/>
    <w:rsid w:val="00097809"/>
    <w:rsid w:val="000A0249"/>
    <w:rsid w:val="000A0884"/>
    <w:rsid w:val="000A139D"/>
    <w:rsid w:val="000A233E"/>
    <w:rsid w:val="000A3184"/>
    <w:rsid w:val="000A428E"/>
    <w:rsid w:val="000A4A23"/>
    <w:rsid w:val="000A5F2E"/>
    <w:rsid w:val="000A5FDE"/>
    <w:rsid w:val="000A606B"/>
    <w:rsid w:val="000A771D"/>
    <w:rsid w:val="000A7976"/>
    <w:rsid w:val="000A79F4"/>
    <w:rsid w:val="000A7CC4"/>
    <w:rsid w:val="000B0533"/>
    <w:rsid w:val="000B06D9"/>
    <w:rsid w:val="000B098B"/>
    <w:rsid w:val="000B0F1B"/>
    <w:rsid w:val="000B1326"/>
    <w:rsid w:val="000B2C7D"/>
    <w:rsid w:val="000B2F0B"/>
    <w:rsid w:val="000B2F60"/>
    <w:rsid w:val="000B2FD3"/>
    <w:rsid w:val="000B3208"/>
    <w:rsid w:val="000B329D"/>
    <w:rsid w:val="000B345D"/>
    <w:rsid w:val="000B3489"/>
    <w:rsid w:val="000B365F"/>
    <w:rsid w:val="000B3953"/>
    <w:rsid w:val="000B3F76"/>
    <w:rsid w:val="000B4F45"/>
    <w:rsid w:val="000B68BC"/>
    <w:rsid w:val="000B6B1D"/>
    <w:rsid w:val="000B6BEB"/>
    <w:rsid w:val="000B77DC"/>
    <w:rsid w:val="000C1087"/>
    <w:rsid w:val="000C1369"/>
    <w:rsid w:val="000C1535"/>
    <w:rsid w:val="000C16A1"/>
    <w:rsid w:val="000C1705"/>
    <w:rsid w:val="000C1C3D"/>
    <w:rsid w:val="000C2FCE"/>
    <w:rsid w:val="000C2FFB"/>
    <w:rsid w:val="000C332E"/>
    <w:rsid w:val="000C4A51"/>
    <w:rsid w:val="000C4B97"/>
    <w:rsid w:val="000C52E9"/>
    <w:rsid w:val="000C57C0"/>
    <w:rsid w:val="000C6477"/>
    <w:rsid w:val="000C6549"/>
    <w:rsid w:val="000C66E0"/>
    <w:rsid w:val="000C72CC"/>
    <w:rsid w:val="000C7B0F"/>
    <w:rsid w:val="000C7BA8"/>
    <w:rsid w:val="000C7DD0"/>
    <w:rsid w:val="000D1282"/>
    <w:rsid w:val="000D1428"/>
    <w:rsid w:val="000D175A"/>
    <w:rsid w:val="000D33E0"/>
    <w:rsid w:val="000D4B3D"/>
    <w:rsid w:val="000D51B2"/>
    <w:rsid w:val="000D6999"/>
    <w:rsid w:val="000D6EE4"/>
    <w:rsid w:val="000D7878"/>
    <w:rsid w:val="000E001C"/>
    <w:rsid w:val="000E3112"/>
    <w:rsid w:val="000E33E4"/>
    <w:rsid w:val="000E3E09"/>
    <w:rsid w:val="000E41BF"/>
    <w:rsid w:val="000E4755"/>
    <w:rsid w:val="000E475A"/>
    <w:rsid w:val="000E4BBC"/>
    <w:rsid w:val="000E52D6"/>
    <w:rsid w:val="000E5764"/>
    <w:rsid w:val="000E5C83"/>
    <w:rsid w:val="000E7553"/>
    <w:rsid w:val="000E78CF"/>
    <w:rsid w:val="000F0526"/>
    <w:rsid w:val="000F1538"/>
    <w:rsid w:val="000F1935"/>
    <w:rsid w:val="000F1DF3"/>
    <w:rsid w:val="000F288F"/>
    <w:rsid w:val="000F28A7"/>
    <w:rsid w:val="000F2933"/>
    <w:rsid w:val="000F2A52"/>
    <w:rsid w:val="000F2C0A"/>
    <w:rsid w:val="000F2D48"/>
    <w:rsid w:val="000F32A7"/>
    <w:rsid w:val="000F3D92"/>
    <w:rsid w:val="000F56EF"/>
    <w:rsid w:val="000F5E53"/>
    <w:rsid w:val="000F6749"/>
    <w:rsid w:val="000F7258"/>
    <w:rsid w:val="00100382"/>
    <w:rsid w:val="001010B2"/>
    <w:rsid w:val="00101BD6"/>
    <w:rsid w:val="00102388"/>
    <w:rsid w:val="00102430"/>
    <w:rsid w:val="00102C0F"/>
    <w:rsid w:val="00102D92"/>
    <w:rsid w:val="00102F07"/>
    <w:rsid w:val="0010467A"/>
    <w:rsid w:val="00105998"/>
    <w:rsid w:val="00105A52"/>
    <w:rsid w:val="00107645"/>
    <w:rsid w:val="00107EA4"/>
    <w:rsid w:val="0011091D"/>
    <w:rsid w:val="0011092A"/>
    <w:rsid w:val="00110F12"/>
    <w:rsid w:val="0011137D"/>
    <w:rsid w:val="0011179C"/>
    <w:rsid w:val="00111D7A"/>
    <w:rsid w:val="00112AC2"/>
    <w:rsid w:val="001141A1"/>
    <w:rsid w:val="001153E5"/>
    <w:rsid w:val="001156AE"/>
    <w:rsid w:val="0011586E"/>
    <w:rsid w:val="00115C8C"/>
    <w:rsid w:val="00116BF2"/>
    <w:rsid w:val="00117044"/>
    <w:rsid w:val="00117161"/>
    <w:rsid w:val="001173C7"/>
    <w:rsid w:val="001176AB"/>
    <w:rsid w:val="001205BF"/>
    <w:rsid w:val="00121545"/>
    <w:rsid w:val="00121546"/>
    <w:rsid w:val="00121E6D"/>
    <w:rsid w:val="001227CC"/>
    <w:rsid w:val="00123619"/>
    <w:rsid w:val="00123A49"/>
    <w:rsid w:val="00124429"/>
    <w:rsid w:val="001258BE"/>
    <w:rsid w:val="001261FA"/>
    <w:rsid w:val="00126742"/>
    <w:rsid w:val="00126A71"/>
    <w:rsid w:val="0012703B"/>
    <w:rsid w:val="001271E0"/>
    <w:rsid w:val="00127ADC"/>
    <w:rsid w:val="00130271"/>
    <w:rsid w:val="00130478"/>
    <w:rsid w:val="001308CC"/>
    <w:rsid w:val="00131553"/>
    <w:rsid w:val="00131CE9"/>
    <w:rsid w:val="00132AB9"/>
    <w:rsid w:val="00133459"/>
    <w:rsid w:val="00134012"/>
    <w:rsid w:val="0013494D"/>
    <w:rsid w:val="00134DDE"/>
    <w:rsid w:val="001350CB"/>
    <w:rsid w:val="00135AD4"/>
    <w:rsid w:val="00135D85"/>
    <w:rsid w:val="00137D90"/>
    <w:rsid w:val="00137EAB"/>
    <w:rsid w:val="00140428"/>
    <w:rsid w:val="00141C02"/>
    <w:rsid w:val="00141C56"/>
    <w:rsid w:val="0014299F"/>
    <w:rsid w:val="00142AA2"/>
    <w:rsid w:val="001430D9"/>
    <w:rsid w:val="001432EE"/>
    <w:rsid w:val="001435C1"/>
    <w:rsid w:val="0014426D"/>
    <w:rsid w:val="00144551"/>
    <w:rsid w:val="0014497C"/>
    <w:rsid w:val="00144B5E"/>
    <w:rsid w:val="00146EA1"/>
    <w:rsid w:val="00146EEF"/>
    <w:rsid w:val="0014717C"/>
    <w:rsid w:val="001475E2"/>
    <w:rsid w:val="00147674"/>
    <w:rsid w:val="00147ED7"/>
    <w:rsid w:val="001506D1"/>
    <w:rsid w:val="00151502"/>
    <w:rsid w:val="00152297"/>
    <w:rsid w:val="0015268D"/>
    <w:rsid w:val="0015287E"/>
    <w:rsid w:val="0015355A"/>
    <w:rsid w:val="001540B2"/>
    <w:rsid w:val="00154127"/>
    <w:rsid w:val="00156ECB"/>
    <w:rsid w:val="001572B6"/>
    <w:rsid w:val="00160EC7"/>
    <w:rsid w:val="00161B62"/>
    <w:rsid w:val="001626C3"/>
    <w:rsid w:val="001655C8"/>
    <w:rsid w:val="001669F3"/>
    <w:rsid w:val="00166E72"/>
    <w:rsid w:val="00171268"/>
    <w:rsid w:val="001714C5"/>
    <w:rsid w:val="0017215F"/>
    <w:rsid w:val="00172DE5"/>
    <w:rsid w:val="001733B1"/>
    <w:rsid w:val="0017417F"/>
    <w:rsid w:val="00174733"/>
    <w:rsid w:val="00174937"/>
    <w:rsid w:val="001751EA"/>
    <w:rsid w:val="00175965"/>
    <w:rsid w:val="00175EA6"/>
    <w:rsid w:val="00176460"/>
    <w:rsid w:val="00176816"/>
    <w:rsid w:val="00176A79"/>
    <w:rsid w:val="00176E1E"/>
    <w:rsid w:val="00176E9B"/>
    <w:rsid w:val="00176FF4"/>
    <w:rsid w:val="00177476"/>
    <w:rsid w:val="0018102B"/>
    <w:rsid w:val="0018109E"/>
    <w:rsid w:val="00182128"/>
    <w:rsid w:val="00182481"/>
    <w:rsid w:val="001838E4"/>
    <w:rsid w:val="00185635"/>
    <w:rsid w:val="001858E8"/>
    <w:rsid w:val="00185C38"/>
    <w:rsid w:val="00185E41"/>
    <w:rsid w:val="00187FBA"/>
    <w:rsid w:val="00191547"/>
    <w:rsid w:val="00191E9B"/>
    <w:rsid w:val="00192955"/>
    <w:rsid w:val="001931C4"/>
    <w:rsid w:val="001938A9"/>
    <w:rsid w:val="001942F8"/>
    <w:rsid w:val="001947D9"/>
    <w:rsid w:val="00194CD8"/>
    <w:rsid w:val="00194EDC"/>
    <w:rsid w:val="0019504D"/>
    <w:rsid w:val="00195102"/>
    <w:rsid w:val="001951AA"/>
    <w:rsid w:val="0019542D"/>
    <w:rsid w:val="00195602"/>
    <w:rsid w:val="00195991"/>
    <w:rsid w:val="001968FE"/>
    <w:rsid w:val="001A02A8"/>
    <w:rsid w:val="001A03E6"/>
    <w:rsid w:val="001A06E0"/>
    <w:rsid w:val="001A0B0B"/>
    <w:rsid w:val="001A16FD"/>
    <w:rsid w:val="001A23A1"/>
    <w:rsid w:val="001A2CBD"/>
    <w:rsid w:val="001A2CD4"/>
    <w:rsid w:val="001A31A9"/>
    <w:rsid w:val="001A3B43"/>
    <w:rsid w:val="001A41C4"/>
    <w:rsid w:val="001A456D"/>
    <w:rsid w:val="001A4BD0"/>
    <w:rsid w:val="001A5345"/>
    <w:rsid w:val="001A5555"/>
    <w:rsid w:val="001A5BCE"/>
    <w:rsid w:val="001A5E56"/>
    <w:rsid w:val="001A6014"/>
    <w:rsid w:val="001A6129"/>
    <w:rsid w:val="001A6275"/>
    <w:rsid w:val="001A7512"/>
    <w:rsid w:val="001B0C18"/>
    <w:rsid w:val="001B0E27"/>
    <w:rsid w:val="001B1FAA"/>
    <w:rsid w:val="001B34CE"/>
    <w:rsid w:val="001B4521"/>
    <w:rsid w:val="001B642E"/>
    <w:rsid w:val="001B6AAD"/>
    <w:rsid w:val="001B70D2"/>
    <w:rsid w:val="001B7FE2"/>
    <w:rsid w:val="001C0004"/>
    <w:rsid w:val="001C0AB9"/>
    <w:rsid w:val="001C11FA"/>
    <w:rsid w:val="001C13F3"/>
    <w:rsid w:val="001C1979"/>
    <w:rsid w:val="001C22CE"/>
    <w:rsid w:val="001C2D35"/>
    <w:rsid w:val="001C3674"/>
    <w:rsid w:val="001C391A"/>
    <w:rsid w:val="001C3927"/>
    <w:rsid w:val="001C3D9E"/>
    <w:rsid w:val="001C44BF"/>
    <w:rsid w:val="001C55D6"/>
    <w:rsid w:val="001C5AB3"/>
    <w:rsid w:val="001C5F46"/>
    <w:rsid w:val="001C6CC4"/>
    <w:rsid w:val="001C72C2"/>
    <w:rsid w:val="001C7B54"/>
    <w:rsid w:val="001D0C91"/>
    <w:rsid w:val="001D0EA9"/>
    <w:rsid w:val="001D12A2"/>
    <w:rsid w:val="001D29A7"/>
    <w:rsid w:val="001D3070"/>
    <w:rsid w:val="001D340B"/>
    <w:rsid w:val="001D3F05"/>
    <w:rsid w:val="001D4060"/>
    <w:rsid w:val="001D468E"/>
    <w:rsid w:val="001D4EC9"/>
    <w:rsid w:val="001D5265"/>
    <w:rsid w:val="001D54F8"/>
    <w:rsid w:val="001D5B1E"/>
    <w:rsid w:val="001D5C07"/>
    <w:rsid w:val="001D6B2A"/>
    <w:rsid w:val="001D6BA1"/>
    <w:rsid w:val="001D6D61"/>
    <w:rsid w:val="001D74A6"/>
    <w:rsid w:val="001E008B"/>
    <w:rsid w:val="001E093C"/>
    <w:rsid w:val="001E0C4C"/>
    <w:rsid w:val="001E2218"/>
    <w:rsid w:val="001E2652"/>
    <w:rsid w:val="001E2F8D"/>
    <w:rsid w:val="001E368E"/>
    <w:rsid w:val="001E3C0A"/>
    <w:rsid w:val="001E4382"/>
    <w:rsid w:val="001E44DC"/>
    <w:rsid w:val="001E50CB"/>
    <w:rsid w:val="001E51A5"/>
    <w:rsid w:val="001E545F"/>
    <w:rsid w:val="001E59CA"/>
    <w:rsid w:val="001E5BFD"/>
    <w:rsid w:val="001E5C88"/>
    <w:rsid w:val="001E605B"/>
    <w:rsid w:val="001E60FC"/>
    <w:rsid w:val="001E7483"/>
    <w:rsid w:val="001E7A16"/>
    <w:rsid w:val="001E7B9E"/>
    <w:rsid w:val="001F0268"/>
    <w:rsid w:val="001F0B44"/>
    <w:rsid w:val="001F10A2"/>
    <w:rsid w:val="001F1EB0"/>
    <w:rsid w:val="001F34EB"/>
    <w:rsid w:val="001F4529"/>
    <w:rsid w:val="001F50E2"/>
    <w:rsid w:val="001F5562"/>
    <w:rsid w:val="001F56C1"/>
    <w:rsid w:val="001F59D4"/>
    <w:rsid w:val="001F7556"/>
    <w:rsid w:val="001F7B6B"/>
    <w:rsid w:val="00200A1B"/>
    <w:rsid w:val="0020147E"/>
    <w:rsid w:val="00201F69"/>
    <w:rsid w:val="002022F2"/>
    <w:rsid w:val="0020280A"/>
    <w:rsid w:val="00202870"/>
    <w:rsid w:val="002028BB"/>
    <w:rsid w:val="002034C4"/>
    <w:rsid w:val="0020378C"/>
    <w:rsid w:val="00203FDD"/>
    <w:rsid w:val="0020444C"/>
    <w:rsid w:val="00204654"/>
    <w:rsid w:val="00204A77"/>
    <w:rsid w:val="00205878"/>
    <w:rsid w:val="00206025"/>
    <w:rsid w:val="002068C9"/>
    <w:rsid w:val="00206E8E"/>
    <w:rsid w:val="00207242"/>
    <w:rsid w:val="00207797"/>
    <w:rsid w:val="00211A88"/>
    <w:rsid w:val="00211DD1"/>
    <w:rsid w:val="00212174"/>
    <w:rsid w:val="0021224B"/>
    <w:rsid w:val="002128B9"/>
    <w:rsid w:val="00213153"/>
    <w:rsid w:val="00213659"/>
    <w:rsid w:val="00214067"/>
    <w:rsid w:val="002143AC"/>
    <w:rsid w:val="0021452B"/>
    <w:rsid w:val="002152B4"/>
    <w:rsid w:val="002160C5"/>
    <w:rsid w:val="00216A96"/>
    <w:rsid w:val="0021719B"/>
    <w:rsid w:val="00217D6D"/>
    <w:rsid w:val="00220480"/>
    <w:rsid w:val="0022075B"/>
    <w:rsid w:val="002207A8"/>
    <w:rsid w:val="002209DF"/>
    <w:rsid w:val="00220A05"/>
    <w:rsid w:val="00222BC7"/>
    <w:rsid w:val="00223730"/>
    <w:rsid w:val="00223B1D"/>
    <w:rsid w:val="00223F39"/>
    <w:rsid w:val="00223F98"/>
    <w:rsid w:val="00224093"/>
    <w:rsid w:val="002242FF"/>
    <w:rsid w:val="00225D98"/>
    <w:rsid w:val="002260E5"/>
    <w:rsid w:val="00226857"/>
    <w:rsid w:val="00226BD8"/>
    <w:rsid w:val="00226E37"/>
    <w:rsid w:val="00227175"/>
    <w:rsid w:val="00227F22"/>
    <w:rsid w:val="002300D7"/>
    <w:rsid w:val="0023065F"/>
    <w:rsid w:val="00232420"/>
    <w:rsid w:val="00232AA5"/>
    <w:rsid w:val="00232DC4"/>
    <w:rsid w:val="00232EB2"/>
    <w:rsid w:val="0023338E"/>
    <w:rsid w:val="00233777"/>
    <w:rsid w:val="00233CBA"/>
    <w:rsid w:val="00234E47"/>
    <w:rsid w:val="00235656"/>
    <w:rsid w:val="00235669"/>
    <w:rsid w:val="002356D5"/>
    <w:rsid w:val="00235C2C"/>
    <w:rsid w:val="00235E26"/>
    <w:rsid w:val="002378B4"/>
    <w:rsid w:val="00237CBF"/>
    <w:rsid w:val="00237D09"/>
    <w:rsid w:val="00237DBA"/>
    <w:rsid w:val="00240229"/>
    <w:rsid w:val="00241875"/>
    <w:rsid w:val="0024197B"/>
    <w:rsid w:val="00241B51"/>
    <w:rsid w:val="00242032"/>
    <w:rsid w:val="00242259"/>
    <w:rsid w:val="002422E6"/>
    <w:rsid w:val="00242B61"/>
    <w:rsid w:val="00242BE1"/>
    <w:rsid w:val="00243666"/>
    <w:rsid w:val="00244679"/>
    <w:rsid w:val="00244CE5"/>
    <w:rsid w:val="00245748"/>
    <w:rsid w:val="00245BAE"/>
    <w:rsid w:val="00246029"/>
    <w:rsid w:val="002465AF"/>
    <w:rsid w:val="00250313"/>
    <w:rsid w:val="002505F8"/>
    <w:rsid w:val="002513AA"/>
    <w:rsid w:val="0025161D"/>
    <w:rsid w:val="00251DFD"/>
    <w:rsid w:val="00252CD1"/>
    <w:rsid w:val="002538FF"/>
    <w:rsid w:val="00255972"/>
    <w:rsid w:val="00255A86"/>
    <w:rsid w:val="00255EAE"/>
    <w:rsid w:val="00256831"/>
    <w:rsid w:val="00256D71"/>
    <w:rsid w:val="002572E9"/>
    <w:rsid w:val="0025785A"/>
    <w:rsid w:val="00257D9E"/>
    <w:rsid w:val="00261EEF"/>
    <w:rsid w:val="00263062"/>
    <w:rsid w:val="0026329C"/>
    <w:rsid w:val="002637C8"/>
    <w:rsid w:val="00263C36"/>
    <w:rsid w:val="00263F72"/>
    <w:rsid w:val="00264C0E"/>
    <w:rsid w:val="002658E4"/>
    <w:rsid w:val="00265A25"/>
    <w:rsid w:val="00266119"/>
    <w:rsid w:val="00266607"/>
    <w:rsid w:val="00266FCE"/>
    <w:rsid w:val="00267635"/>
    <w:rsid w:val="0026765F"/>
    <w:rsid w:val="002701BB"/>
    <w:rsid w:val="002704C9"/>
    <w:rsid w:val="002708A1"/>
    <w:rsid w:val="00271080"/>
    <w:rsid w:val="002718DF"/>
    <w:rsid w:val="00272352"/>
    <w:rsid w:val="0027267C"/>
    <w:rsid w:val="00272A7E"/>
    <w:rsid w:val="00272E74"/>
    <w:rsid w:val="002730B7"/>
    <w:rsid w:val="00273394"/>
    <w:rsid w:val="00273E0F"/>
    <w:rsid w:val="0027403A"/>
    <w:rsid w:val="00274354"/>
    <w:rsid w:val="00274DAE"/>
    <w:rsid w:val="00275609"/>
    <w:rsid w:val="0027588A"/>
    <w:rsid w:val="002767C8"/>
    <w:rsid w:val="00276C49"/>
    <w:rsid w:val="00277299"/>
    <w:rsid w:val="002778CB"/>
    <w:rsid w:val="00277DA5"/>
    <w:rsid w:val="0028040C"/>
    <w:rsid w:val="0028069E"/>
    <w:rsid w:val="00280CDB"/>
    <w:rsid w:val="00280D8F"/>
    <w:rsid w:val="002812E0"/>
    <w:rsid w:val="00281DCB"/>
    <w:rsid w:val="002829D3"/>
    <w:rsid w:val="00282EAE"/>
    <w:rsid w:val="00283029"/>
    <w:rsid w:val="0028303B"/>
    <w:rsid w:val="0028333B"/>
    <w:rsid w:val="00283DA1"/>
    <w:rsid w:val="00283DAD"/>
    <w:rsid w:val="00283FB5"/>
    <w:rsid w:val="00284385"/>
    <w:rsid w:val="00284526"/>
    <w:rsid w:val="002847A9"/>
    <w:rsid w:val="00286C68"/>
    <w:rsid w:val="00287943"/>
    <w:rsid w:val="0029007F"/>
    <w:rsid w:val="002902E5"/>
    <w:rsid w:val="00290651"/>
    <w:rsid w:val="0029069C"/>
    <w:rsid w:val="00291304"/>
    <w:rsid w:val="002913CE"/>
    <w:rsid w:val="002913E9"/>
    <w:rsid w:val="0029148A"/>
    <w:rsid w:val="00291F6B"/>
    <w:rsid w:val="00291FEB"/>
    <w:rsid w:val="00294944"/>
    <w:rsid w:val="00294E88"/>
    <w:rsid w:val="00294EC0"/>
    <w:rsid w:val="00295D29"/>
    <w:rsid w:val="002962FA"/>
    <w:rsid w:val="002966D9"/>
    <w:rsid w:val="0029762A"/>
    <w:rsid w:val="00297D56"/>
    <w:rsid w:val="002A01D5"/>
    <w:rsid w:val="002A0437"/>
    <w:rsid w:val="002A0D7F"/>
    <w:rsid w:val="002A18FA"/>
    <w:rsid w:val="002A1AC8"/>
    <w:rsid w:val="002A2315"/>
    <w:rsid w:val="002A2334"/>
    <w:rsid w:val="002A269C"/>
    <w:rsid w:val="002A33C3"/>
    <w:rsid w:val="002A3AF5"/>
    <w:rsid w:val="002A569D"/>
    <w:rsid w:val="002A5CE6"/>
    <w:rsid w:val="002A5F47"/>
    <w:rsid w:val="002A6294"/>
    <w:rsid w:val="002A66F4"/>
    <w:rsid w:val="002A6D67"/>
    <w:rsid w:val="002A71EA"/>
    <w:rsid w:val="002B0523"/>
    <w:rsid w:val="002B068E"/>
    <w:rsid w:val="002B1E0D"/>
    <w:rsid w:val="002B23A2"/>
    <w:rsid w:val="002B2969"/>
    <w:rsid w:val="002B2A4F"/>
    <w:rsid w:val="002B3AEA"/>
    <w:rsid w:val="002B402E"/>
    <w:rsid w:val="002B433F"/>
    <w:rsid w:val="002B439E"/>
    <w:rsid w:val="002B4E6C"/>
    <w:rsid w:val="002B5BCF"/>
    <w:rsid w:val="002B626D"/>
    <w:rsid w:val="002B7151"/>
    <w:rsid w:val="002B7756"/>
    <w:rsid w:val="002B7A24"/>
    <w:rsid w:val="002B7CBB"/>
    <w:rsid w:val="002B7F49"/>
    <w:rsid w:val="002C00B1"/>
    <w:rsid w:val="002C0148"/>
    <w:rsid w:val="002C0C3A"/>
    <w:rsid w:val="002C16B0"/>
    <w:rsid w:val="002C1C44"/>
    <w:rsid w:val="002C21B1"/>
    <w:rsid w:val="002C271E"/>
    <w:rsid w:val="002C27B1"/>
    <w:rsid w:val="002C2FA4"/>
    <w:rsid w:val="002C334C"/>
    <w:rsid w:val="002C3AE8"/>
    <w:rsid w:val="002C3BFF"/>
    <w:rsid w:val="002C7E60"/>
    <w:rsid w:val="002D0604"/>
    <w:rsid w:val="002D0FCE"/>
    <w:rsid w:val="002D16AD"/>
    <w:rsid w:val="002D20E0"/>
    <w:rsid w:val="002D2113"/>
    <w:rsid w:val="002D237C"/>
    <w:rsid w:val="002D359C"/>
    <w:rsid w:val="002D4839"/>
    <w:rsid w:val="002D4D51"/>
    <w:rsid w:val="002D61D1"/>
    <w:rsid w:val="002D6428"/>
    <w:rsid w:val="002D7062"/>
    <w:rsid w:val="002D756B"/>
    <w:rsid w:val="002E041B"/>
    <w:rsid w:val="002E0435"/>
    <w:rsid w:val="002E09E1"/>
    <w:rsid w:val="002E0B9C"/>
    <w:rsid w:val="002E10AD"/>
    <w:rsid w:val="002E11FA"/>
    <w:rsid w:val="002E27F2"/>
    <w:rsid w:val="002E2FE6"/>
    <w:rsid w:val="002E3135"/>
    <w:rsid w:val="002E36D2"/>
    <w:rsid w:val="002E3B51"/>
    <w:rsid w:val="002E3FE1"/>
    <w:rsid w:val="002E40F3"/>
    <w:rsid w:val="002E512D"/>
    <w:rsid w:val="002E5303"/>
    <w:rsid w:val="002E5431"/>
    <w:rsid w:val="002E5963"/>
    <w:rsid w:val="002E64DE"/>
    <w:rsid w:val="002E677D"/>
    <w:rsid w:val="002E6CFE"/>
    <w:rsid w:val="002E717B"/>
    <w:rsid w:val="002E7433"/>
    <w:rsid w:val="002E7A96"/>
    <w:rsid w:val="002E7AAB"/>
    <w:rsid w:val="002E7DDE"/>
    <w:rsid w:val="002F0BF3"/>
    <w:rsid w:val="002F18AF"/>
    <w:rsid w:val="002F1900"/>
    <w:rsid w:val="002F1B7B"/>
    <w:rsid w:val="002F2381"/>
    <w:rsid w:val="002F244C"/>
    <w:rsid w:val="002F464D"/>
    <w:rsid w:val="002F5E96"/>
    <w:rsid w:val="002F6C37"/>
    <w:rsid w:val="002F6F1C"/>
    <w:rsid w:val="002F7791"/>
    <w:rsid w:val="002F7C9C"/>
    <w:rsid w:val="00300068"/>
    <w:rsid w:val="00300432"/>
    <w:rsid w:val="00301166"/>
    <w:rsid w:val="00301306"/>
    <w:rsid w:val="00301389"/>
    <w:rsid w:val="00302082"/>
    <w:rsid w:val="003025AC"/>
    <w:rsid w:val="003026BC"/>
    <w:rsid w:val="003033B8"/>
    <w:rsid w:val="00303439"/>
    <w:rsid w:val="003039C8"/>
    <w:rsid w:val="00303CA2"/>
    <w:rsid w:val="00303EC4"/>
    <w:rsid w:val="00303FAD"/>
    <w:rsid w:val="003048FD"/>
    <w:rsid w:val="0030619A"/>
    <w:rsid w:val="003062F7"/>
    <w:rsid w:val="00306522"/>
    <w:rsid w:val="00306995"/>
    <w:rsid w:val="003069D0"/>
    <w:rsid w:val="00306B8C"/>
    <w:rsid w:val="00307542"/>
    <w:rsid w:val="00307EBD"/>
    <w:rsid w:val="0031113B"/>
    <w:rsid w:val="0031136A"/>
    <w:rsid w:val="00311F24"/>
    <w:rsid w:val="003120FA"/>
    <w:rsid w:val="00312732"/>
    <w:rsid w:val="00312A29"/>
    <w:rsid w:val="00312A81"/>
    <w:rsid w:val="00312DCD"/>
    <w:rsid w:val="003138EB"/>
    <w:rsid w:val="00313D54"/>
    <w:rsid w:val="0031487A"/>
    <w:rsid w:val="003154D5"/>
    <w:rsid w:val="00316513"/>
    <w:rsid w:val="00317A06"/>
    <w:rsid w:val="00320EE1"/>
    <w:rsid w:val="003219F3"/>
    <w:rsid w:val="00321EE2"/>
    <w:rsid w:val="00322171"/>
    <w:rsid w:val="00322360"/>
    <w:rsid w:val="00322EA3"/>
    <w:rsid w:val="00324523"/>
    <w:rsid w:val="00324C11"/>
    <w:rsid w:val="0032502D"/>
    <w:rsid w:val="003253B6"/>
    <w:rsid w:val="00325999"/>
    <w:rsid w:val="00326A3A"/>
    <w:rsid w:val="003271D0"/>
    <w:rsid w:val="00330493"/>
    <w:rsid w:val="00330800"/>
    <w:rsid w:val="00330822"/>
    <w:rsid w:val="00330CCC"/>
    <w:rsid w:val="00331519"/>
    <w:rsid w:val="00331856"/>
    <w:rsid w:val="00332A3C"/>
    <w:rsid w:val="00332E8F"/>
    <w:rsid w:val="0033300A"/>
    <w:rsid w:val="003333A7"/>
    <w:rsid w:val="0033411F"/>
    <w:rsid w:val="0033433E"/>
    <w:rsid w:val="0033578F"/>
    <w:rsid w:val="0033594D"/>
    <w:rsid w:val="00336391"/>
    <w:rsid w:val="00336B25"/>
    <w:rsid w:val="00337250"/>
    <w:rsid w:val="00337361"/>
    <w:rsid w:val="00337766"/>
    <w:rsid w:val="003401E5"/>
    <w:rsid w:val="0034191F"/>
    <w:rsid w:val="00341C39"/>
    <w:rsid w:val="003428A4"/>
    <w:rsid w:val="00344075"/>
    <w:rsid w:val="003452F8"/>
    <w:rsid w:val="00345BA6"/>
    <w:rsid w:val="00347592"/>
    <w:rsid w:val="0034782E"/>
    <w:rsid w:val="00350667"/>
    <w:rsid w:val="00350D5A"/>
    <w:rsid w:val="003511F1"/>
    <w:rsid w:val="00351331"/>
    <w:rsid w:val="0035148A"/>
    <w:rsid w:val="003529E2"/>
    <w:rsid w:val="00352A5E"/>
    <w:rsid w:val="0035321F"/>
    <w:rsid w:val="0035360B"/>
    <w:rsid w:val="00353FAF"/>
    <w:rsid w:val="00354315"/>
    <w:rsid w:val="00354CDD"/>
    <w:rsid w:val="003550C8"/>
    <w:rsid w:val="003555C5"/>
    <w:rsid w:val="00355B0F"/>
    <w:rsid w:val="00355C1D"/>
    <w:rsid w:val="00355DFB"/>
    <w:rsid w:val="00356E32"/>
    <w:rsid w:val="00356FB8"/>
    <w:rsid w:val="0035748B"/>
    <w:rsid w:val="00360367"/>
    <w:rsid w:val="00361B5A"/>
    <w:rsid w:val="00361CDA"/>
    <w:rsid w:val="00361D1B"/>
    <w:rsid w:val="00363147"/>
    <w:rsid w:val="0036317C"/>
    <w:rsid w:val="003631AD"/>
    <w:rsid w:val="00363D81"/>
    <w:rsid w:val="0036401B"/>
    <w:rsid w:val="00364246"/>
    <w:rsid w:val="003643D9"/>
    <w:rsid w:val="00364BC6"/>
    <w:rsid w:val="00364EC9"/>
    <w:rsid w:val="00365059"/>
    <w:rsid w:val="00365F82"/>
    <w:rsid w:val="003664FC"/>
    <w:rsid w:val="003665CF"/>
    <w:rsid w:val="00366AD2"/>
    <w:rsid w:val="00367051"/>
    <w:rsid w:val="003675BA"/>
    <w:rsid w:val="00370DDB"/>
    <w:rsid w:val="00370E1B"/>
    <w:rsid w:val="0037261D"/>
    <w:rsid w:val="00372CD7"/>
    <w:rsid w:val="003732C6"/>
    <w:rsid w:val="0037357B"/>
    <w:rsid w:val="00373B38"/>
    <w:rsid w:val="003759C4"/>
    <w:rsid w:val="00376E55"/>
    <w:rsid w:val="00377B52"/>
    <w:rsid w:val="003812D3"/>
    <w:rsid w:val="00381988"/>
    <w:rsid w:val="003828CF"/>
    <w:rsid w:val="00383C47"/>
    <w:rsid w:val="0038405C"/>
    <w:rsid w:val="00384DB0"/>
    <w:rsid w:val="0038568D"/>
    <w:rsid w:val="00385A07"/>
    <w:rsid w:val="00386C02"/>
    <w:rsid w:val="00386DA7"/>
    <w:rsid w:val="003873B0"/>
    <w:rsid w:val="00387B71"/>
    <w:rsid w:val="00387DB8"/>
    <w:rsid w:val="003903B2"/>
    <w:rsid w:val="00390687"/>
    <w:rsid w:val="003915C2"/>
    <w:rsid w:val="00391AA0"/>
    <w:rsid w:val="00391D0E"/>
    <w:rsid w:val="00391E5E"/>
    <w:rsid w:val="00392407"/>
    <w:rsid w:val="003925DD"/>
    <w:rsid w:val="003928CB"/>
    <w:rsid w:val="00393868"/>
    <w:rsid w:val="003944DD"/>
    <w:rsid w:val="00394AD8"/>
    <w:rsid w:val="003953B3"/>
    <w:rsid w:val="0039606B"/>
    <w:rsid w:val="003964A3"/>
    <w:rsid w:val="00396BF8"/>
    <w:rsid w:val="00397816"/>
    <w:rsid w:val="00397AC3"/>
    <w:rsid w:val="003A02E1"/>
    <w:rsid w:val="003A0B7C"/>
    <w:rsid w:val="003A226B"/>
    <w:rsid w:val="003A2507"/>
    <w:rsid w:val="003A33C6"/>
    <w:rsid w:val="003A3534"/>
    <w:rsid w:val="003A555E"/>
    <w:rsid w:val="003A5D4F"/>
    <w:rsid w:val="003A6AF2"/>
    <w:rsid w:val="003A70B2"/>
    <w:rsid w:val="003A72A6"/>
    <w:rsid w:val="003A7C15"/>
    <w:rsid w:val="003A7CBE"/>
    <w:rsid w:val="003B0146"/>
    <w:rsid w:val="003B0E51"/>
    <w:rsid w:val="003B1768"/>
    <w:rsid w:val="003B20EA"/>
    <w:rsid w:val="003B21FA"/>
    <w:rsid w:val="003B345F"/>
    <w:rsid w:val="003B380C"/>
    <w:rsid w:val="003B3FDD"/>
    <w:rsid w:val="003B41CF"/>
    <w:rsid w:val="003B49BE"/>
    <w:rsid w:val="003B4D81"/>
    <w:rsid w:val="003B5E4A"/>
    <w:rsid w:val="003B66DD"/>
    <w:rsid w:val="003C04EE"/>
    <w:rsid w:val="003C0E2D"/>
    <w:rsid w:val="003C13A1"/>
    <w:rsid w:val="003C152F"/>
    <w:rsid w:val="003C1554"/>
    <w:rsid w:val="003C1814"/>
    <w:rsid w:val="003C258E"/>
    <w:rsid w:val="003C427A"/>
    <w:rsid w:val="003C4504"/>
    <w:rsid w:val="003C586E"/>
    <w:rsid w:val="003C5DD1"/>
    <w:rsid w:val="003C5FAE"/>
    <w:rsid w:val="003C692A"/>
    <w:rsid w:val="003C76E1"/>
    <w:rsid w:val="003C7845"/>
    <w:rsid w:val="003C7B9A"/>
    <w:rsid w:val="003C7E04"/>
    <w:rsid w:val="003D0E1C"/>
    <w:rsid w:val="003D1102"/>
    <w:rsid w:val="003D21CE"/>
    <w:rsid w:val="003D2795"/>
    <w:rsid w:val="003D3B2A"/>
    <w:rsid w:val="003D4177"/>
    <w:rsid w:val="003D47EF"/>
    <w:rsid w:val="003D65DB"/>
    <w:rsid w:val="003D6C15"/>
    <w:rsid w:val="003D6DEA"/>
    <w:rsid w:val="003E013F"/>
    <w:rsid w:val="003E0C76"/>
    <w:rsid w:val="003E109E"/>
    <w:rsid w:val="003E18D5"/>
    <w:rsid w:val="003E1BAE"/>
    <w:rsid w:val="003E2160"/>
    <w:rsid w:val="003E299D"/>
    <w:rsid w:val="003E2FD3"/>
    <w:rsid w:val="003E3AF4"/>
    <w:rsid w:val="003E3FCB"/>
    <w:rsid w:val="003E41AB"/>
    <w:rsid w:val="003E44F4"/>
    <w:rsid w:val="003E4820"/>
    <w:rsid w:val="003E4941"/>
    <w:rsid w:val="003E499D"/>
    <w:rsid w:val="003E4BA2"/>
    <w:rsid w:val="003E4C0D"/>
    <w:rsid w:val="003E61E4"/>
    <w:rsid w:val="003E6BFA"/>
    <w:rsid w:val="003E70BD"/>
    <w:rsid w:val="003F027B"/>
    <w:rsid w:val="003F0ECA"/>
    <w:rsid w:val="003F2167"/>
    <w:rsid w:val="003F26B9"/>
    <w:rsid w:val="003F2C0E"/>
    <w:rsid w:val="003F402A"/>
    <w:rsid w:val="003F446C"/>
    <w:rsid w:val="003F4528"/>
    <w:rsid w:val="003F4BF6"/>
    <w:rsid w:val="003F598D"/>
    <w:rsid w:val="003F5ACC"/>
    <w:rsid w:val="003F6B00"/>
    <w:rsid w:val="003F764B"/>
    <w:rsid w:val="003F7937"/>
    <w:rsid w:val="003F7CA9"/>
    <w:rsid w:val="003F7E8B"/>
    <w:rsid w:val="00404B61"/>
    <w:rsid w:val="0040525B"/>
    <w:rsid w:val="00405EEB"/>
    <w:rsid w:val="004066C7"/>
    <w:rsid w:val="00407F20"/>
    <w:rsid w:val="004105C5"/>
    <w:rsid w:val="00410859"/>
    <w:rsid w:val="004115AB"/>
    <w:rsid w:val="0041193C"/>
    <w:rsid w:val="00411AAA"/>
    <w:rsid w:val="00412592"/>
    <w:rsid w:val="004126A2"/>
    <w:rsid w:val="004132FA"/>
    <w:rsid w:val="00413629"/>
    <w:rsid w:val="00413B58"/>
    <w:rsid w:val="004148C8"/>
    <w:rsid w:val="0041500C"/>
    <w:rsid w:val="00415A48"/>
    <w:rsid w:val="00415F36"/>
    <w:rsid w:val="004162D3"/>
    <w:rsid w:val="00416A70"/>
    <w:rsid w:val="00416FF4"/>
    <w:rsid w:val="00417060"/>
    <w:rsid w:val="004201CA"/>
    <w:rsid w:val="004208AB"/>
    <w:rsid w:val="00420970"/>
    <w:rsid w:val="0042099E"/>
    <w:rsid w:val="00421923"/>
    <w:rsid w:val="00421C8F"/>
    <w:rsid w:val="00421D9D"/>
    <w:rsid w:val="004233D6"/>
    <w:rsid w:val="00423AB0"/>
    <w:rsid w:val="00423C7A"/>
    <w:rsid w:val="00424156"/>
    <w:rsid w:val="004245C7"/>
    <w:rsid w:val="00424E5F"/>
    <w:rsid w:val="004251BD"/>
    <w:rsid w:val="004257D3"/>
    <w:rsid w:val="004263B1"/>
    <w:rsid w:val="004267DA"/>
    <w:rsid w:val="00426804"/>
    <w:rsid w:val="00426EAE"/>
    <w:rsid w:val="00430337"/>
    <w:rsid w:val="00430484"/>
    <w:rsid w:val="004307A3"/>
    <w:rsid w:val="00430D08"/>
    <w:rsid w:val="00431233"/>
    <w:rsid w:val="00431395"/>
    <w:rsid w:val="0043270D"/>
    <w:rsid w:val="00432872"/>
    <w:rsid w:val="00432CB1"/>
    <w:rsid w:val="0043331C"/>
    <w:rsid w:val="004348FB"/>
    <w:rsid w:val="0043520C"/>
    <w:rsid w:val="00436AFF"/>
    <w:rsid w:val="00436C6C"/>
    <w:rsid w:val="00437457"/>
    <w:rsid w:val="00437C2D"/>
    <w:rsid w:val="00440B8E"/>
    <w:rsid w:val="00441160"/>
    <w:rsid w:val="004412C1"/>
    <w:rsid w:val="00442950"/>
    <w:rsid w:val="00442B81"/>
    <w:rsid w:val="004434A0"/>
    <w:rsid w:val="00443594"/>
    <w:rsid w:val="004440A0"/>
    <w:rsid w:val="0044457E"/>
    <w:rsid w:val="00444CAE"/>
    <w:rsid w:val="00445FE9"/>
    <w:rsid w:val="00446094"/>
    <w:rsid w:val="004460A6"/>
    <w:rsid w:val="004462DC"/>
    <w:rsid w:val="00446847"/>
    <w:rsid w:val="0044700F"/>
    <w:rsid w:val="00450648"/>
    <w:rsid w:val="00450C40"/>
    <w:rsid w:val="00450DD7"/>
    <w:rsid w:val="00450E76"/>
    <w:rsid w:val="004516B7"/>
    <w:rsid w:val="00451B05"/>
    <w:rsid w:val="004520F3"/>
    <w:rsid w:val="004522E2"/>
    <w:rsid w:val="0045232A"/>
    <w:rsid w:val="0045305E"/>
    <w:rsid w:val="004533FF"/>
    <w:rsid w:val="00453B76"/>
    <w:rsid w:val="00453FA5"/>
    <w:rsid w:val="00454FEF"/>
    <w:rsid w:val="00456AA4"/>
    <w:rsid w:val="00457081"/>
    <w:rsid w:val="00457114"/>
    <w:rsid w:val="0046299F"/>
    <w:rsid w:val="00462E3C"/>
    <w:rsid w:val="00462F66"/>
    <w:rsid w:val="0046315C"/>
    <w:rsid w:val="00464352"/>
    <w:rsid w:val="00464988"/>
    <w:rsid w:val="00465581"/>
    <w:rsid w:val="0046645A"/>
    <w:rsid w:val="004708D4"/>
    <w:rsid w:val="0047208F"/>
    <w:rsid w:val="00472B58"/>
    <w:rsid w:val="0047322F"/>
    <w:rsid w:val="004739F5"/>
    <w:rsid w:val="004743C0"/>
    <w:rsid w:val="00474C91"/>
    <w:rsid w:val="004753B8"/>
    <w:rsid w:val="004758B5"/>
    <w:rsid w:val="004769B3"/>
    <w:rsid w:val="00476E20"/>
    <w:rsid w:val="00477DE6"/>
    <w:rsid w:val="00480253"/>
    <w:rsid w:val="004809E1"/>
    <w:rsid w:val="00480CDC"/>
    <w:rsid w:val="0048342F"/>
    <w:rsid w:val="0048365B"/>
    <w:rsid w:val="00483A2F"/>
    <w:rsid w:val="00483A61"/>
    <w:rsid w:val="004848ED"/>
    <w:rsid w:val="00484D06"/>
    <w:rsid w:val="00484DCA"/>
    <w:rsid w:val="0048581C"/>
    <w:rsid w:val="00485BB2"/>
    <w:rsid w:val="00486C84"/>
    <w:rsid w:val="00486DB1"/>
    <w:rsid w:val="00487C0C"/>
    <w:rsid w:val="00487DC8"/>
    <w:rsid w:val="00490AC5"/>
    <w:rsid w:val="004911D5"/>
    <w:rsid w:val="004912D0"/>
    <w:rsid w:val="004912F7"/>
    <w:rsid w:val="00491DE7"/>
    <w:rsid w:val="00491EF2"/>
    <w:rsid w:val="00492451"/>
    <w:rsid w:val="004948F9"/>
    <w:rsid w:val="00494B46"/>
    <w:rsid w:val="00495533"/>
    <w:rsid w:val="004959F2"/>
    <w:rsid w:val="004962A6"/>
    <w:rsid w:val="00496586"/>
    <w:rsid w:val="004966FA"/>
    <w:rsid w:val="00496B82"/>
    <w:rsid w:val="004977EA"/>
    <w:rsid w:val="004A0D56"/>
    <w:rsid w:val="004A13C0"/>
    <w:rsid w:val="004A14BB"/>
    <w:rsid w:val="004A1BBC"/>
    <w:rsid w:val="004A2705"/>
    <w:rsid w:val="004A2FE0"/>
    <w:rsid w:val="004A32F4"/>
    <w:rsid w:val="004A3895"/>
    <w:rsid w:val="004A3CA8"/>
    <w:rsid w:val="004A3EF9"/>
    <w:rsid w:val="004A45A6"/>
    <w:rsid w:val="004A4845"/>
    <w:rsid w:val="004A4D06"/>
    <w:rsid w:val="004A62D1"/>
    <w:rsid w:val="004A65F9"/>
    <w:rsid w:val="004A6784"/>
    <w:rsid w:val="004A6B88"/>
    <w:rsid w:val="004A7687"/>
    <w:rsid w:val="004A7E74"/>
    <w:rsid w:val="004B0B3B"/>
    <w:rsid w:val="004B1375"/>
    <w:rsid w:val="004B1AD4"/>
    <w:rsid w:val="004B1E75"/>
    <w:rsid w:val="004B2563"/>
    <w:rsid w:val="004B2D5E"/>
    <w:rsid w:val="004B302F"/>
    <w:rsid w:val="004B4285"/>
    <w:rsid w:val="004B4537"/>
    <w:rsid w:val="004B4ABB"/>
    <w:rsid w:val="004B4B13"/>
    <w:rsid w:val="004B4B9C"/>
    <w:rsid w:val="004B5849"/>
    <w:rsid w:val="004B5921"/>
    <w:rsid w:val="004B5F9C"/>
    <w:rsid w:val="004B5FB1"/>
    <w:rsid w:val="004B633F"/>
    <w:rsid w:val="004B6585"/>
    <w:rsid w:val="004B6C6B"/>
    <w:rsid w:val="004C001D"/>
    <w:rsid w:val="004C04FB"/>
    <w:rsid w:val="004C0D31"/>
    <w:rsid w:val="004C0D69"/>
    <w:rsid w:val="004C168D"/>
    <w:rsid w:val="004C16B8"/>
    <w:rsid w:val="004C2731"/>
    <w:rsid w:val="004C29D3"/>
    <w:rsid w:val="004C324C"/>
    <w:rsid w:val="004C43D0"/>
    <w:rsid w:val="004C4DF8"/>
    <w:rsid w:val="004C602F"/>
    <w:rsid w:val="004C62D8"/>
    <w:rsid w:val="004C6E6A"/>
    <w:rsid w:val="004C7374"/>
    <w:rsid w:val="004D1658"/>
    <w:rsid w:val="004D2785"/>
    <w:rsid w:val="004D2EA4"/>
    <w:rsid w:val="004D4120"/>
    <w:rsid w:val="004D46D5"/>
    <w:rsid w:val="004D4EBD"/>
    <w:rsid w:val="004D602D"/>
    <w:rsid w:val="004D654C"/>
    <w:rsid w:val="004D6619"/>
    <w:rsid w:val="004D6C1A"/>
    <w:rsid w:val="004D7582"/>
    <w:rsid w:val="004D792B"/>
    <w:rsid w:val="004D7A20"/>
    <w:rsid w:val="004D7D36"/>
    <w:rsid w:val="004E09E4"/>
    <w:rsid w:val="004E1895"/>
    <w:rsid w:val="004E1A64"/>
    <w:rsid w:val="004E25AA"/>
    <w:rsid w:val="004E2DED"/>
    <w:rsid w:val="004E3E6C"/>
    <w:rsid w:val="004E447A"/>
    <w:rsid w:val="004E4666"/>
    <w:rsid w:val="004E47F8"/>
    <w:rsid w:val="004E48DC"/>
    <w:rsid w:val="004E4DB3"/>
    <w:rsid w:val="004E4DF4"/>
    <w:rsid w:val="004E54DF"/>
    <w:rsid w:val="004E54FD"/>
    <w:rsid w:val="004E555C"/>
    <w:rsid w:val="004E56AF"/>
    <w:rsid w:val="004E58E6"/>
    <w:rsid w:val="004E72AC"/>
    <w:rsid w:val="004E7B23"/>
    <w:rsid w:val="004E7C86"/>
    <w:rsid w:val="004F0B36"/>
    <w:rsid w:val="004F107E"/>
    <w:rsid w:val="004F23A5"/>
    <w:rsid w:val="004F32B8"/>
    <w:rsid w:val="004F34EB"/>
    <w:rsid w:val="004F365B"/>
    <w:rsid w:val="004F4498"/>
    <w:rsid w:val="004F491A"/>
    <w:rsid w:val="004F4E5E"/>
    <w:rsid w:val="004F56E1"/>
    <w:rsid w:val="004F5BF9"/>
    <w:rsid w:val="004F6684"/>
    <w:rsid w:val="004F6800"/>
    <w:rsid w:val="004F6DBD"/>
    <w:rsid w:val="004F7311"/>
    <w:rsid w:val="00500965"/>
    <w:rsid w:val="00500B60"/>
    <w:rsid w:val="00500F32"/>
    <w:rsid w:val="0050116F"/>
    <w:rsid w:val="00501B47"/>
    <w:rsid w:val="00502B33"/>
    <w:rsid w:val="005036D1"/>
    <w:rsid w:val="00504276"/>
    <w:rsid w:val="00504673"/>
    <w:rsid w:val="00504860"/>
    <w:rsid w:val="0050526E"/>
    <w:rsid w:val="00505CEF"/>
    <w:rsid w:val="00505FCB"/>
    <w:rsid w:val="005060D5"/>
    <w:rsid w:val="00506875"/>
    <w:rsid w:val="0050691C"/>
    <w:rsid w:val="00506A78"/>
    <w:rsid w:val="00507CC2"/>
    <w:rsid w:val="00510016"/>
    <w:rsid w:val="00510048"/>
    <w:rsid w:val="00510426"/>
    <w:rsid w:val="005114F1"/>
    <w:rsid w:val="00511B7B"/>
    <w:rsid w:val="005126C3"/>
    <w:rsid w:val="00512D15"/>
    <w:rsid w:val="0051376B"/>
    <w:rsid w:val="005139AD"/>
    <w:rsid w:val="00513EBF"/>
    <w:rsid w:val="00514290"/>
    <w:rsid w:val="00514F89"/>
    <w:rsid w:val="00515109"/>
    <w:rsid w:val="00515FF4"/>
    <w:rsid w:val="00516022"/>
    <w:rsid w:val="00516D49"/>
    <w:rsid w:val="00517491"/>
    <w:rsid w:val="0051799B"/>
    <w:rsid w:val="005179ED"/>
    <w:rsid w:val="00520AD6"/>
    <w:rsid w:val="00521A6F"/>
    <w:rsid w:val="005224E0"/>
    <w:rsid w:val="00522D7A"/>
    <w:rsid w:val="00523A3F"/>
    <w:rsid w:val="00524410"/>
    <w:rsid w:val="00524F1B"/>
    <w:rsid w:val="00524FE1"/>
    <w:rsid w:val="00525635"/>
    <w:rsid w:val="00525C59"/>
    <w:rsid w:val="00525ECD"/>
    <w:rsid w:val="00526355"/>
    <w:rsid w:val="00526406"/>
    <w:rsid w:val="005273B8"/>
    <w:rsid w:val="005276A3"/>
    <w:rsid w:val="00530A0D"/>
    <w:rsid w:val="005313BF"/>
    <w:rsid w:val="0053159B"/>
    <w:rsid w:val="005320BD"/>
    <w:rsid w:val="005336EF"/>
    <w:rsid w:val="005341B8"/>
    <w:rsid w:val="005349F3"/>
    <w:rsid w:val="005358E8"/>
    <w:rsid w:val="00535C41"/>
    <w:rsid w:val="00536DAA"/>
    <w:rsid w:val="00540BB9"/>
    <w:rsid w:val="00540E03"/>
    <w:rsid w:val="00541905"/>
    <w:rsid w:val="00541B3D"/>
    <w:rsid w:val="00541BC3"/>
    <w:rsid w:val="00542363"/>
    <w:rsid w:val="0054272E"/>
    <w:rsid w:val="00543225"/>
    <w:rsid w:val="00544A97"/>
    <w:rsid w:val="0054511C"/>
    <w:rsid w:val="00545AA8"/>
    <w:rsid w:val="00546C41"/>
    <w:rsid w:val="0054755B"/>
    <w:rsid w:val="00550034"/>
    <w:rsid w:val="005500B4"/>
    <w:rsid w:val="005501C6"/>
    <w:rsid w:val="00550314"/>
    <w:rsid w:val="005509B6"/>
    <w:rsid w:val="00550C8C"/>
    <w:rsid w:val="00551078"/>
    <w:rsid w:val="00551BFE"/>
    <w:rsid w:val="005520B2"/>
    <w:rsid w:val="00552723"/>
    <w:rsid w:val="00553E34"/>
    <w:rsid w:val="00554119"/>
    <w:rsid w:val="0055458C"/>
    <w:rsid w:val="00555091"/>
    <w:rsid w:val="005565E2"/>
    <w:rsid w:val="0055674C"/>
    <w:rsid w:val="00556DB1"/>
    <w:rsid w:val="00557176"/>
    <w:rsid w:val="00557248"/>
    <w:rsid w:val="00557782"/>
    <w:rsid w:val="00557787"/>
    <w:rsid w:val="00560181"/>
    <w:rsid w:val="00561B54"/>
    <w:rsid w:val="00562140"/>
    <w:rsid w:val="00562DF3"/>
    <w:rsid w:val="00563705"/>
    <w:rsid w:val="00564680"/>
    <w:rsid w:val="00565018"/>
    <w:rsid w:val="005650A4"/>
    <w:rsid w:val="00565703"/>
    <w:rsid w:val="00565784"/>
    <w:rsid w:val="00565904"/>
    <w:rsid w:val="00565AC8"/>
    <w:rsid w:val="00565C53"/>
    <w:rsid w:val="00566336"/>
    <w:rsid w:val="0056667A"/>
    <w:rsid w:val="0056688F"/>
    <w:rsid w:val="00566C1F"/>
    <w:rsid w:val="005674AA"/>
    <w:rsid w:val="00567916"/>
    <w:rsid w:val="0056799A"/>
    <w:rsid w:val="00567C0F"/>
    <w:rsid w:val="00570CBC"/>
    <w:rsid w:val="00570EB2"/>
    <w:rsid w:val="00571EC0"/>
    <w:rsid w:val="0057241E"/>
    <w:rsid w:val="00572849"/>
    <w:rsid w:val="00572AB8"/>
    <w:rsid w:val="00574B06"/>
    <w:rsid w:val="00574C73"/>
    <w:rsid w:val="00575799"/>
    <w:rsid w:val="00575A05"/>
    <w:rsid w:val="00576425"/>
    <w:rsid w:val="005767AE"/>
    <w:rsid w:val="0057723B"/>
    <w:rsid w:val="0057745D"/>
    <w:rsid w:val="00580615"/>
    <w:rsid w:val="00580856"/>
    <w:rsid w:val="00580ABE"/>
    <w:rsid w:val="00580DF2"/>
    <w:rsid w:val="00580FDD"/>
    <w:rsid w:val="0058171B"/>
    <w:rsid w:val="00581755"/>
    <w:rsid w:val="00582F83"/>
    <w:rsid w:val="005830AB"/>
    <w:rsid w:val="0058348C"/>
    <w:rsid w:val="00583CA2"/>
    <w:rsid w:val="00583D2F"/>
    <w:rsid w:val="005847BB"/>
    <w:rsid w:val="00585162"/>
    <w:rsid w:val="00585CDE"/>
    <w:rsid w:val="0058602B"/>
    <w:rsid w:val="005869EE"/>
    <w:rsid w:val="00587021"/>
    <w:rsid w:val="00587535"/>
    <w:rsid w:val="00587AC6"/>
    <w:rsid w:val="00590170"/>
    <w:rsid w:val="0059078D"/>
    <w:rsid w:val="00590A76"/>
    <w:rsid w:val="00590EC7"/>
    <w:rsid w:val="005919A7"/>
    <w:rsid w:val="00591AF1"/>
    <w:rsid w:val="00591B62"/>
    <w:rsid w:val="0059241C"/>
    <w:rsid w:val="005932F8"/>
    <w:rsid w:val="005938B7"/>
    <w:rsid w:val="00593DAF"/>
    <w:rsid w:val="005941C4"/>
    <w:rsid w:val="005943E1"/>
    <w:rsid w:val="005971AA"/>
    <w:rsid w:val="005A02F8"/>
    <w:rsid w:val="005A1164"/>
    <w:rsid w:val="005A1525"/>
    <w:rsid w:val="005A2857"/>
    <w:rsid w:val="005A29DA"/>
    <w:rsid w:val="005A34AF"/>
    <w:rsid w:val="005A39A9"/>
    <w:rsid w:val="005A3D01"/>
    <w:rsid w:val="005A4020"/>
    <w:rsid w:val="005A4089"/>
    <w:rsid w:val="005A5C20"/>
    <w:rsid w:val="005A5EC1"/>
    <w:rsid w:val="005A60DF"/>
    <w:rsid w:val="005A7922"/>
    <w:rsid w:val="005A7EBC"/>
    <w:rsid w:val="005A7F4A"/>
    <w:rsid w:val="005B0084"/>
    <w:rsid w:val="005B07BC"/>
    <w:rsid w:val="005B0AB8"/>
    <w:rsid w:val="005B1554"/>
    <w:rsid w:val="005B1F3D"/>
    <w:rsid w:val="005B29C4"/>
    <w:rsid w:val="005B2FE8"/>
    <w:rsid w:val="005B3456"/>
    <w:rsid w:val="005B38DC"/>
    <w:rsid w:val="005B431B"/>
    <w:rsid w:val="005B45C6"/>
    <w:rsid w:val="005B63BA"/>
    <w:rsid w:val="005B6CF6"/>
    <w:rsid w:val="005B7280"/>
    <w:rsid w:val="005B7287"/>
    <w:rsid w:val="005B73F8"/>
    <w:rsid w:val="005C002B"/>
    <w:rsid w:val="005C0B99"/>
    <w:rsid w:val="005C0C05"/>
    <w:rsid w:val="005C126C"/>
    <w:rsid w:val="005C1991"/>
    <w:rsid w:val="005C1B6A"/>
    <w:rsid w:val="005C27A4"/>
    <w:rsid w:val="005C43A5"/>
    <w:rsid w:val="005C4712"/>
    <w:rsid w:val="005C49A6"/>
    <w:rsid w:val="005C4B8D"/>
    <w:rsid w:val="005C667A"/>
    <w:rsid w:val="005C678F"/>
    <w:rsid w:val="005C6DDF"/>
    <w:rsid w:val="005C76D5"/>
    <w:rsid w:val="005C7833"/>
    <w:rsid w:val="005C7E8A"/>
    <w:rsid w:val="005D0EC3"/>
    <w:rsid w:val="005D2273"/>
    <w:rsid w:val="005D267E"/>
    <w:rsid w:val="005D2C09"/>
    <w:rsid w:val="005D3E12"/>
    <w:rsid w:val="005D585A"/>
    <w:rsid w:val="005D58B9"/>
    <w:rsid w:val="005D6A9B"/>
    <w:rsid w:val="005D75C1"/>
    <w:rsid w:val="005D7666"/>
    <w:rsid w:val="005D7BC3"/>
    <w:rsid w:val="005E0231"/>
    <w:rsid w:val="005E1F04"/>
    <w:rsid w:val="005E286F"/>
    <w:rsid w:val="005E3334"/>
    <w:rsid w:val="005E38C2"/>
    <w:rsid w:val="005E5112"/>
    <w:rsid w:val="005E571A"/>
    <w:rsid w:val="005E6935"/>
    <w:rsid w:val="005E69D8"/>
    <w:rsid w:val="005E71CF"/>
    <w:rsid w:val="005E7603"/>
    <w:rsid w:val="005E77CB"/>
    <w:rsid w:val="005E79CB"/>
    <w:rsid w:val="005F07E4"/>
    <w:rsid w:val="005F10B7"/>
    <w:rsid w:val="005F124D"/>
    <w:rsid w:val="005F1BAE"/>
    <w:rsid w:val="005F21AE"/>
    <w:rsid w:val="005F26F4"/>
    <w:rsid w:val="005F317F"/>
    <w:rsid w:val="005F53C8"/>
    <w:rsid w:val="005F639D"/>
    <w:rsid w:val="005F6AA3"/>
    <w:rsid w:val="005F6B1B"/>
    <w:rsid w:val="006005D2"/>
    <w:rsid w:val="0060111C"/>
    <w:rsid w:val="0060136B"/>
    <w:rsid w:val="00601E61"/>
    <w:rsid w:val="00602003"/>
    <w:rsid w:val="00602010"/>
    <w:rsid w:val="00602E75"/>
    <w:rsid w:val="0060386E"/>
    <w:rsid w:val="00611211"/>
    <w:rsid w:val="00611E33"/>
    <w:rsid w:val="00613406"/>
    <w:rsid w:val="00613F28"/>
    <w:rsid w:val="00614061"/>
    <w:rsid w:val="006153A1"/>
    <w:rsid w:val="00615515"/>
    <w:rsid w:val="0061582B"/>
    <w:rsid w:val="00616CB4"/>
    <w:rsid w:val="00620464"/>
    <w:rsid w:val="00620A0F"/>
    <w:rsid w:val="00620A47"/>
    <w:rsid w:val="00620B55"/>
    <w:rsid w:val="00621999"/>
    <w:rsid w:val="00621CA3"/>
    <w:rsid w:val="00621CE0"/>
    <w:rsid w:val="0062240F"/>
    <w:rsid w:val="00622572"/>
    <w:rsid w:val="006225EB"/>
    <w:rsid w:val="0062291C"/>
    <w:rsid w:val="00623467"/>
    <w:rsid w:val="00623A5B"/>
    <w:rsid w:val="00623B8E"/>
    <w:rsid w:val="00624A47"/>
    <w:rsid w:val="00624B11"/>
    <w:rsid w:val="00624D60"/>
    <w:rsid w:val="00624F3B"/>
    <w:rsid w:val="00625514"/>
    <w:rsid w:val="00625585"/>
    <w:rsid w:val="00626931"/>
    <w:rsid w:val="00626DF9"/>
    <w:rsid w:val="0062732E"/>
    <w:rsid w:val="006275CA"/>
    <w:rsid w:val="00627B74"/>
    <w:rsid w:val="00627C4B"/>
    <w:rsid w:val="00627EF0"/>
    <w:rsid w:val="0063072D"/>
    <w:rsid w:val="00632B65"/>
    <w:rsid w:val="0063754A"/>
    <w:rsid w:val="006407C5"/>
    <w:rsid w:val="006411FF"/>
    <w:rsid w:val="006416B9"/>
    <w:rsid w:val="00642229"/>
    <w:rsid w:val="00642279"/>
    <w:rsid w:val="006438AF"/>
    <w:rsid w:val="006439E2"/>
    <w:rsid w:val="00643CD0"/>
    <w:rsid w:val="00643E84"/>
    <w:rsid w:val="00644CF1"/>
    <w:rsid w:val="00645B44"/>
    <w:rsid w:val="00646C04"/>
    <w:rsid w:val="00646DD1"/>
    <w:rsid w:val="00646F2D"/>
    <w:rsid w:val="00647002"/>
    <w:rsid w:val="0064707D"/>
    <w:rsid w:val="006471DB"/>
    <w:rsid w:val="00647E29"/>
    <w:rsid w:val="00647EE9"/>
    <w:rsid w:val="00647FBF"/>
    <w:rsid w:val="00650BEB"/>
    <w:rsid w:val="006513E8"/>
    <w:rsid w:val="00651552"/>
    <w:rsid w:val="00651672"/>
    <w:rsid w:val="00651BBD"/>
    <w:rsid w:val="00651C76"/>
    <w:rsid w:val="00653016"/>
    <w:rsid w:val="00653826"/>
    <w:rsid w:val="00653D1F"/>
    <w:rsid w:val="00654295"/>
    <w:rsid w:val="0065488C"/>
    <w:rsid w:val="006558F3"/>
    <w:rsid w:val="006566E6"/>
    <w:rsid w:val="006576F4"/>
    <w:rsid w:val="00660D08"/>
    <w:rsid w:val="00660E7C"/>
    <w:rsid w:val="00663901"/>
    <w:rsid w:val="00664BB9"/>
    <w:rsid w:val="00664D4A"/>
    <w:rsid w:val="006655CD"/>
    <w:rsid w:val="00667503"/>
    <w:rsid w:val="00667584"/>
    <w:rsid w:val="00667701"/>
    <w:rsid w:val="00667B8F"/>
    <w:rsid w:val="00667E9B"/>
    <w:rsid w:val="00670489"/>
    <w:rsid w:val="00670544"/>
    <w:rsid w:val="00670CEB"/>
    <w:rsid w:val="00670DDE"/>
    <w:rsid w:val="006712B1"/>
    <w:rsid w:val="00671423"/>
    <w:rsid w:val="006716D4"/>
    <w:rsid w:val="006718E7"/>
    <w:rsid w:val="00671BA5"/>
    <w:rsid w:val="00672809"/>
    <w:rsid w:val="00675877"/>
    <w:rsid w:val="006758CB"/>
    <w:rsid w:val="00675D70"/>
    <w:rsid w:val="006761D0"/>
    <w:rsid w:val="00676820"/>
    <w:rsid w:val="00677A98"/>
    <w:rsid w:val="00680B8E"/>
    <w:rsid w:val="00681655"/>
    <w:rsid w:val="006817FD"/>
    <w:rsid w:val="00682595"/>
    <w:rsid w:val="0068297E"/>
    <w:rsid w:val="00682AE1"/>
    <w:rsid w:val="00682E6B"/>
    <w:rsid w:val="0068337C"/>
    <w:rsid w:val="006838FE"/>
    <w:rsid w:val="00683F83"/>
    <w:rsid w:val="0068419D"/>
    <w:rsid w:val="0068507C"/>
    <w:rsid w:val="00685880"/>
    <w:rsid w:val="00686972"/>
    <w:rsid w:val="00686AB7"/>
    <w:rsid w:val="00686D50"/>
    <w:rsid w:val="006870D2"/>
    <w:rsid w:val="00687E3C"/>
    <w:rsid w:val="00690589"/>
    <w:rsid w:val="00691859"/>
    <w:rsid w:val="0069217A"/>
    <w:rsid w:val="006924C1"/>
    <w:rsid w:val="00692968"/>
    <w:rsid w:val="00693A36"/>
    <w:rsid w:val="00693D27"/>
    <w:rsid w:val="006964D3"/>
    <w:rsid w:val="00697D35"/>
    <w:rsid w:val="006A07C0"/>
    <w:rsid w:val="006A12BF"/>
    <w:rsid w:val="006A1915"/>
    <w:rsid w:val="006A28BF"/>
    <w:rsid w:val="006A38BB"/>
    <w:rsid w:val="006A39D3"/>
    <w:rsid w:val="006A46F6"/>
    <w:rsid w:val="006A618A"/>
    <w:rsid w:val="006A6582"/>
    <w:rsid w:val="006B0295"/>
    <w:rsid w:val="006B02AE"/>
    <w:rsid w:val="006B0D60"/>
    <w:rsid w:val="006B1075"/>
    <w:rsid w:val="006B1D30"/>
    <w:rsid w:val="006B1E7F"/>
    <w:rsid w:val="006B2182"/>
    <w:rsid w:val="006B2A96"/>
    <w:rsid w:val="006B33BD"/>
    <w:rsid w:val="006B3545"/>
    <w:rsid w:val="006B3636"/>
    <w:rsid w:val="006B36B0"/>
    <w:rsid w:val="006B40B2"/>
    <w:rsid w:val="006B55EC"/>
    <w:rsid w:val="006B5EA6"/>
    <w:rsid w:val="006B6787"/>
    <w:rsid w:val="006B707D"/>
    <w:rsid w:val="006B7128"/>
    <w:rsid w:val="006C08C3"/>
    <w:rsid w:val="006C0990"/>
    <w:rsid w:val="006C155F"/>
    <w:rsid w:val="006C224D"/>
    <w:rsid w:val="006C27A8"/>
    <w:rsid w:val="006C3D8E"/>
    <w:rsid w:val="006C44D0"/>
    <w:rsid w:val="006C5706"/>
    <w:rsid w:val="006C5971"/>
    <w:rsid w:val="006C64ED"/>
    <w:rsid w:val="006C6892"/>
    <w:rsid w:val="006C6945"/>
    <w:rsid w:val="006C726E"/>
    <w:rsid w:val="006C799D"/>
    <w:rsid w:val="006D17B5"/>
    <w:rsid w:val="006D1D88"/>
    <w:rsid w:val="006D1DEB"/>
    <w:rsid w:val="006D1E6E"/>
    <w:rsid w:val="006D276C"/>
    <w:rsid w:val="006D2F90"/>
    <w:rsid w:val="006D422B"/>
    <w:rsid w:val="006D44DE"/>
    <w:rsid w:val="006D4D06"/>
    <w:rsid w:val="006D4EE1"/>
    <w:rsid w:val="006D5CD2"/>
    <w:rsid w:val="006D613B"/>
    <w:rsid w:val="006D6E6F"/>
    <w:rsid w:val="006E111B"/>
    <w:rsid w:val="006E187F"/>
    <w:rsid w:val="006E21A4"/>
    <w:rsid w:val="006E2950"/>
    <w:rsid w:val="006E2DF4"/>
    <w:rsid w:val="006E2F41"/>
    <w:rsid w:val="006E347A"/>
    <w:rsid w:val="006E4C65"/>
    <w:rsid w:val="006E5269"/>
    <w:rsid w:val="006E52CC"/>
    <w:rsid w:val="006E56C6"/>
    <w:rsid w:val="006E5CE1"/>
    <w:rsid w:val="006E68C5"/>
    <w:rsid w:val="006E69CF"/>
    <w:rsid w:val="006E7B46"/>
    <w:rsid w:val="006E7D14"/>
    <w:rsid w:val="006F08D3"/>
    <w:rsid w:val="006F1108"/>
    <w:rsid w:val="006F165B"/>
    <w:rsid w:val="006F1EAC"/>
    <w:rsid w:val="006F2048"/>
    <w:rsid w:val="006F2457"/>
    <w:rsid w:val="006F2726"/>
    <w:rsid w:val="006F2852"/>
    <w:rsid w:val="006F28FD"/>
    <w:rsid w:val="006F2D01"/>
    <w:rsid w:val="006F33F9"/>
    <w:rsid w:val="006F39F3"/>
    <w:rsid w:val="006F41CD"/>
    <w:rsid w:val="006F4D98"/>
    <w:rsid w:val="006F5B23"/>
    <w:rsid w:val="006F62BC"/>
    <w:rsid w:val="006F67DD"/>
    <w:rsid w:val="006F6F99"/>
    <w:rsid w:val="006F7202"/>
    <w:rsid w:val="006F7E63"/>
    <w:rsid w:val="0070067E"/>
    <w:rsid w:val="00701247"/>
    <w:rsid w:val="007014B7"/>
    <w:rsid w:val="00702422"/>
    <w:rsid w:val="00702584"/>
    <w:rsid w:val="00702DFF"/>
    <w:rsid w:val="00703874"/>
    <w:rsid w:val="00703DCF"/>
    <w:rsid w:val="00704BA3"/>
    <w:rsid w:val="00704BBC"/>
    <w:rsid w:val="007066E9"/>
    <w:rsid w:val="00707C3C"/>
    <w:rsid w:val="00707D69"/>
    <w:rsid w:val="007100C5"/>
    <w:rsid w:val="0071030E"/>
    <w:rsid w:val="007112EB"/>
    <w:rsid w:val="00711E95"/>
    <w:rsid w:val="0071290D"/>
    <w:rsid w:val="0071298A"/>
    <w:rsid w:val="00713D02"/>
    <w:rsid w:val="00714BB3"/>
    <w:rsid w:val="00716318"/>
    <w:rsid w:val="00717F7A"/>
    <w:rsid w:val="00717FBE"/>
    <w:rsid w:val="00720E77"/>
    <w:rsid w:val="0072158F"/>
    <w:rsid w:val="00721B99"/>
    <w:rsid w:val="00722A5E"/>
    <w:rsid w:val="00723AC2"/>
    <w:rsid w:val="00725492"/>
    <w:rsid w:val="007256A0"/>
    <w:rsid w:val="007257D3"/>
    <w:rsid w:val="00725CA5"/>
    <w:rsid w:val="00725D16"/>
    <w:rsid w:val="007268E7"/>
    <w:rsid w:val="0072698D"/>
    <w:rsid w:val="0072713A"/>
    <w:rsid w:val="0072765F"/>
    <w:rsid w:val="00727CA1"/>
    <w:rsid w:val="0073038B"/>
    <w:rsid w:val="007311E1"/>
    <w:rsid w:val="0073187A"/>
    <w:rsid w:val="00731A21"/>
    <w:rsid w:val="007331B2"/>
    <w:rsid w:val="00733A4D"/>
    <w:rsid w:val="00733B77"/>
    <w:rsid w:val="00736488"/>
    <w:rsid w:val="00736CEF"/>
    <w:rsid w:val="00736F53"/>
    <w:rsid w:val="00737D33"/>
    <w:rsid w:val="007414CA"/>
    <w:rsid w:val="0074157F"/>
    <w:rsid w:val="007417D4"/>
    <w:rsid w:val="00742355"/>
    <w:rsid w:val="00742364"/>
    <w:rsid w:val="00743310"/>
    <w:rsid w:val="007438AE"/>
    <w:rsid w:val="0074467B"/>
    <w:rsid w:val="00746E00"/>
    <w:rsid w:val="00747C42"/>
    <w:rsid w:val="00747CD4"/>
    <w:rsid w:val="007508D6"/>
    <w:rsid w:val="00751509"/>
    <w:rsid w:val="007523FC"/>
    <w:rsid w:val="007527CA"/>
    <w:rsid w:val="00752DDB"/>
    <w:rsid w:val="007530A9"/>
    <w:rsid w:val="00754156"/>
    <w:rsid w:val="00755300"/>
    <w:rsid w:val="00755FDA"/>
    <w:rsid w:val="00756395"/>
    <w:rsid w:val="0075687D"/>
    <w:rsid w:val="00756ABE"/>
    <w:rsid w:val="0076066C"/>
    <w:rsid w:val="00761029"/>
    <w:rsid w:val="007613DD"/>
    <w:rsid w:val="00761F5D"/>
    <w:rsid w:val="00762306"/>
    <w:rsid w:val="00762446"/>
    <w:rsid w:val="0076244D"/>
    <w:rsid w:val="00762DE7"/>
    <w:rsid w:val="00763412"/>
    <w:rsid w:val="007638CC"/>
    <w:rsid w:val="00763DA6"/>
    <w:rsid w:val="00764209"/>
    <w:rsid w:val="00764324"/>
    <w:rsid w:val="00765CD9"/>
    <w:rsid w:val="00766F99"/>
    <w:rsid w:val="00767F4C"/>
    <w:rsid w:val="007702F6"/>
    <w:rsid w:val="00770A16"/>
    <w:rsid w:val="007715EA"/>
    <w:rsid w:val="00772C1F"/>
    <w:rsid w:val="00772F20"/>
    <w:rsid w:val="007732F3"/>
    <w:rsid w:val="00773352"/>
    <w:rsid w:val="007740CE"/>
    <w:rsid w:val="00774687"/>
    <w:rsid w:val="0077469F"/>
    <w:rsid w:val="007752A7"/>
    <w:rsid w:val="00775D55"/>
    <w:rsid w:val="00776585"/>
    <w:rsid w:val="007769DA"/>
    <w:rsid w:val="00777DA7"/>
    <w:rsid w:val="00780E94"/>
    <w:rsid w:val="007811EF"/>
    <w:rsid w:val="00783851"/>
    <w:rsid w:val="00783B1F"/>
    <w:rsid w:val="00783C14"/>
    <w:rsid w:val="00784998"/>
    <w:rsid w:val="00785099"/>
    <w:rsid w:val="00785449"/>
    <w:rsid w:val="00785543"/>
    <w:rsid w:val="00785B05"/>
    <w:rsid w:val="00786D2F"/>
    <w:rsid w:val="007879D3"/>
    <w:rsid w:val="00790ABA"/>
    <w:rsid w:val="00790B0E"/>
    <w:rsid w:val="00790BA4"/>
    <w:rsid w:val="00790C4A"/>
    <w:rsid w:val="00790D2A"/>
    <w:rsid w:val="00790F9E"/>
    <w:rsid w:val="007910E5"/>
    <w:rsid w:val="00791D25"/>
    <w:rsid w:val="00791FFD"/>
    <w:rsid w:val="00792865"/>
    <w:rsid w:val="00792B43"/>
    <w:rsid w:val="00792EEF"/>
    <w:rsid w:val="00793252"/>
    <w:rsid w:val="00793B04"/>
    <w:rsid w:val="007946C9"/>
    <w:rsid w:val="007948B6"/>
    <w:rsid w:val="007948C5"/>
    <w:rsid w:val="00795F01"/>
    <w:rsid w:val="00795F04"/>
    <w:rsid w:val="007960A7"/>
    <w:rsid w:val="00796AE8"/>
    <w:rsid w:val="0079716C"/>
    <w:rsid w:val="0079736B"/>
    <w:rsid w:val="00797449"/>
    <w:rsid w:val="007A0BC7"/>
    <w:rsid w:val="007A0EBC"/>
    <w:rsid w:val="007A1462"/>
    <w:rsid w:val="007A1845"/>
    <w:rsid w:val="007A2C2A"/>
    <w:rsid w:val="007A2CED"/>
    <w:rsid w:val="007A34AF"/>
    <w:rsid w:val="007A3AE0"/>
    <w:rsid w:val="007A3BE1"/>
    <w:rsid w:val="007A3E4C"/>
    <w:rsid w:val="007A41CB"/>
    <w:rsid w:val="007A4880"/>
    <w:rsid w:val="007A4B4B"/>
    <w:rsid w:val="007A4FBC"/>
    <w:rsid w:val="007A5079"/>
    <w:rsid w:val="007A5905"/>
    <w:rsid w:val="007A5E34"/>
    <w:rsid w:val="007A6502"/>
    <w:rsid w:val="007A6A61"/>
    <w:rsid w:val="007A7092"/>
    <w:rsid w:val="007A75F1"/>
    <w:rsid w:val="007A7F96"/>
    <w:rsid w:val="007B0145"/>
    <w:rsid w:val="007B0533"/>
    <w:rsid w:val="007B0AA2"/>
    <w:rsid w:val="007B0ABF"/>
    <w:rsid w:val="007B0C44"/>
    <w:rsid w:val="007B2441"/>
    <w:rsid w:val="007B260C"/>
    <w:rsid w:val="007B2954"/>
    <w:rsid w:val="007B3A37"/>
    <w:rsid w:val="007B3A9A"/>
    <w:rsid w:val="007B3F0C"/>
    <w:rsid w:val="007B4E8D"/>
    <w:rsid w:val="007B4ED8"/>
    <w:rsid w:val="007B50FE"/>
    <w:rsid w:val="007B6530"/>
    <w:rsid w:val="007B686E"/>
    <w:rsid w:val="007B6AB0"/>
    <w:rsid w:val="007B6EE7"/>
    <w:rsid w:val="007B7493"/>
    <w:rsid w:val="007C04CE"/>
    <w:rsid w:val="007C0B0D"/>
    <w:rsid w:val="007C1C39"/>
    <w:rsid w:val="007C2613"/>
    <w:rsid w:val="007C323A"/>
    <w:rsid w:val="007C3F6F"/>
    <w:rsid w:val="007C484F"/>
    <w:rsid w:val="007C5125"/>
    <w:rsid w:val="007C5592"/>
    <w:rsid w:val="007C5723"/>
    <w:rsid w:val="007C5892"/>
    <w:rsid w:val="007C5BBB"/>
    <w:rsid w:val="007C632E"/>
    <w:rsid w:val="007C6DD8"/>
    <w:rsid w:val="007C7503"/>
    <w:rsid w:val="007C7582"/>
    <w:rsid w:val="007C7B04"/>
    <w:rsid w:val="007D0808"/>
    <w:rsid w:val="007D08A3"/>
    <w:rsid w:val="007D0ADA"/>
    <w:rsid w:val="007D1571"/>
    <w:rsid w:val="007D1D0C"/>
    <w:rsid w:val="007D2AA7"/>
    <w:rsid w:val="007D2B10"/>
    <w:rsid w:val="007D30CA"/>
    <w:rsid w:val="007D37F3"/>
    <w:rsid w:val="007D4344"/>
    <w:rsid w:val="007D4464"/>
    <w:rsid w:val="007D523D"/>
    <w:rsid w:val="007D56D1"/>
    <w:rsid w:val="007D6A99"/>
    <w:rsid w:val="007D6EAB"/>
    <w:rsid w:val="007D72CA"/>
    <w:rsid w:val="007D75BB"/>
    <w:rsid w:val="007E04F0"/>
    <w:rsid w:val="007E0CE2"/>
    <w:rsid w:val="007E1826"/>
    <w:rsid w:val="007E18A7"/>
    <w:rsid w:val="007E1E3E"/>
    <w:rsid w:val="007E3D3B"/>
    <w:rsid w:val="007E5022"/>
    <w:rsid w:val="007E58F5"/>
    <w:rsid w:val="007E5BF6"/>
    <w:rsid w:val="007E60B2"/>
    <w:rsid w:val="007E61D2"/>
    <w:rsid w:val="007E690F"/>
    <w:rsid w:val="007E7812"/>
    <w:rsid w:val="007F137D"/>
    <w:rsid w:val="007F25FF"/>
    <w:rsid w:val="007F2882"/>
    <w:rsid w:val="007F2C87"/>
    <w:rsid w:val="007F2E10"/>
    <w:rsid w:val="007F335D"/>
    <w:rsid w:val="007F34C1"/>
    <w:rsid w:val="007F3F37"/>
    <w:rsid w:val="007F4366"/>
    <w:rsid w:val="007F652F"/>
    <w:rsid w:val="007F6D6B"/>
    <w:rsid w:val="007F6FE4"/>
    <w:rsid w:val="00800034"/>
    <w:rsid w:val="00800414"/>
    <w:rsid w:val="00800F81"/>
    <w:rsid w:val="00800FDB"/>
    <w:rsid w:val="008025F4"/>
    <w:rsid w:val="008027FF"/>
    <w:rsid w:val="008030C9"/>
    <w:rsid w:val="00803D45"/>
    <w:rsid w:val="00803E03"/>
    <w:rsid w:val="0080411F"/>
    <w:rsid w:val="00804189"/>
    <w:rsid w:val="00804BB4"/>
    <w:rsid w:val="00804C08"/>
    <w:rsid w:val="00805CA2"/>
    <w:rsid w:val="00805EDD"/>
    <w:rsid w:val="00806DFE"/>
    <w:rsid w:val="0080731E"/>
    <w:rsid w:val="00807CB3"/>
    <w:rsid w:val="0081016C"/>
    <w:rsid w:val="00810555"/>
    <w:rsid w:val="00810A63"/>
    <w:rsid w:val="00810CB4"/>
    <w:rsid w:val="008116C4"/>
    <w:rsid w:val="00812D50"/>
    <w:rsid w:val="00813086"/>
    <w:rsid w:val="00813E24"/>
    <w:rsid w:val="008155A9"/>
    <w:rsid w:val="00815D01"/>
    <w:rsid w:val="00815F3F"/>
    <w:rsid w:val="008163CE"/>
    <w:rsid w:val="00816CDB"/>
    <w:rsid w:val="00817EA9"/>
    <w:rsid w:val="00820541"/>
    <w:rsid w:val="0082098C"/>
    <w:rsid w:val="00820F1C"/>
    <w:rsid w:val="00821420"/>
    <w:rsid w:val="00823356"/>
    <w:rsid w:val="00824820"/>
    <w:rsid w:val="008250B6"/>
    <w:rsid w:val="00825639"/>
    <w:rsid w:val="00825CC7"/>
    <w:rsid w:val="00825FE3"/>
    <w:rsid w:val="008269A8"/>
    <w:rsid w:val="0083001C"/>
    <w:rsid w:val="008300BC"/>
    <w:rsid w:val="0083032E"/>
    <w:rsid w:val="0083068A"/>
    <w:rsid w:val="00830883"/>
    <w:rsid w:val="00830A90"/>
    <w:rsid w:val="00830D6F"/>
    <w:rsid w:val="0083346C"/>
    <w:rsid w:val="0083384E"/>
    <w:rsid w:val="008338F9"/>
    <w:rsid w:val="00833E6D"/>
    <w:rsid w:val="0083418A"/>
    <w:rsid w:val="0083663B"/>
    <w:rsid w:val="00836D8A"/>
    <w:rsid w:val="00837B3D"/>
    <w:rsid w:val="00841640"/>
    <w:rsid w:val="00842E85"/>
    <w:rsid w:val="008431D7"/>
    <w:rsid w:val="0084324F"/>
    <w:rsid w:val="00843582"/>
    <w:rsid w:val="00843F20"/>
    <w:rsid w:val="008440F5"/>
    <w:rsid w:val="00844108"/>
    <w:rsid w:val="00844283"/>
    <w:rsid w:val="00844316"/>
    <w:rsid w:val="0084484D"/>
    <w:rsid w:val="00846803"/>
    <w:rsid w:val="008472E9"/>
    <w:rsid w:val="00847A8A"/>
    <w:rsid w:val="00847E4E"/>
    <w:rsid w:val="00851EA6"/>
    <w:rsid w:val="00852874"/>
    <w:rsid w:val="00852E69"/>
    <w:rsid w:val="008530DA"/>
    <w:rsid w:val="0085380F"/>
    <w:rsid w:val="00853909"/>
    <w:rsid w:val="00853C7B"/>
    <w:rsid w:val="008549AC"/>
    <w:rsid w:val="00854B21"/>
    <w:rsid w:val="008553F0"/>
    <w:rsid w:val="00855BC0"/>
    <w:rsid w:val="00856156"/>
    <w:rsid w:val="00856165"/>
    <w:rsid w:val="0085690D"/>
    <w:rsid w:val="00857463"/>
    <w:rsid w:val="00857FE0"/>
    <w:rsid w:val="0086059E"/>
    <w:rsid w:val="008613BF"/>
    <w:rsid w:val="00862379"/>
    <w:rsid w:val="00862C5B"/>
    <w:rsid w:val="0086301A"/>
    <w:rsid w:val="00865300"/>
    <w:rsid w:val="0086558B"/>
    <w:rsid w:val="008656A6"/>
    <w:rsid w:val="0086652C"/>
    <w:rsid w:val="00866730"/>
    <w:rsid w:val="008672A7"/>
    <w:rsid w:val="00867C7B"/>
    <w:rsid w:val="00867CD4"/>
    <w:rsid w:val="00867F80"/>
    <w:rsid w:val="0087073D"/>
    <w:rsid w:val="00870C6D"/>
    <w:rsid w:val="00870FDE"/>
    <w:rsid w:val="00871451"/>
    <w:rsid w:val="008720A1"/>
    <w:rsid w:val="008728E3"/>
    <w:rsid w:val="00872E49"/>
    <w:rsid w:val="0087366A"/>
    <w:rsid w:val="00873AFC"/>
    <w:rsid w:val="00874800"/>
    <w:rsid w:val="008749E5"/>
    <w:rsid w:val="00875268"/>
    <w:rsid w:val="00876177"/>
    <w:rsid w:val="0087663E"/>
    <w:rsid w:val="0087787B"/>
    <w:rsid w:val="00877C3F"/>
    <w:rsid w:val="008806C4"/>
    <w:rsid w:val="008806C5"/>
    <w:rsid w:val="00880B68"/>
    <w:rsid w:val="00880CD4"/>
    <w:rsid w:val="00880D3A"/>
    <w:rsid w:val="008812CC"/>
    <w:rsid w:val="008815FD"/>
    <w:rsid w:val="0088161C"/>
    <w:rsid w:val="00881856"/>
    <w:rsid w:val="00881997"/>
    <w:rsid w:val="008823BD"/>
    <w:rsid w:val="00882C24"/>
    <w:rsid w:val="00882E37"/>
    <w:rsid w:val="00882F4E"/>
    <w:rsid w:val="008831DA"/>
    <w:rsid w:val="00883210"/>
    <w:rsid w:val="008833B2"/>
    <w:rsid w:val="008841E8"/>
    <w:rsid w:val="00884494"/>
    <w:rsid w:val="00884FFF"/>
    <w:rsid w:val="00885154"/>
    <w:rsid w:val="00885165"/>
    <w:rsid w:val="00885522"/>
    <w:rsid w:val="00885CE4"/>
    <w:rsid w:val="00887088"/>
    <w:rsid w:val="00890999"/>
    <w:rsid w:val="00890D65"/>
    <w:rsid w:val="00890EE9"/>
    <w:rsid w:val="00890F6D"/>
    <w:rsid w:val="008917B3"/>
    <w:rsid w:val="00891A3E"/>
    <w:rsid w:val="00892036"/>
    <w:rsid w:val="0089252D"/>
    <w:rsid w:val="00892598"/>
    <w:rsid w:val="00892894"/>
    <w:rsid w:val="00893C48"/>
    <w:rsid w:val="008941AA"/>
    <w:rsid w:val="0089464B"/>
    <w:rsid w:val="00894766"/>
    <w:rsid w:val="00894F25"/>
    <w:rsid w:val="00895FE0"/>
    <w:rsid w:val="00896877"/>
    <w:rsid w:val="00897184"/>
    <w:rsid w:val="00897771"/>
    <w:rsid w:val="008A030A"/>
    <w:rsid w:val="008A042D"/>
    <w:rsid w:val="008A1B82"/>
    <w:rsid w:val="008A1E37"/>
    <w:rsid w:val="008A2AC0"/>
    <w:rsid w:val="008A2D07"/>
    <w:rsid w:val="008A37F2"/>
    <w:rsid w:val="008A3904"/>
    <w:rsid w:val="008A3C3E"/>
    <w:rsid w:val="008A3F8C"/>
    <w:rsid w:val="008A5B51"/>
    <w:rsid w:val="008A5F70"/>
    <w:rsid w:val="008A6495"/>
    <w:rsid w:val="008A651D"/>
    <w:rsid w:val="008A67D8"/>
    <w:rsid w:val="008B038A"/>
    <w:rsid w:val="008B2390"/>
    <w:rsid w:val="008B2D93"/>
    <w:rsid w:val="008B3513"/>
    <w:rsid w:val="008B4778"/>
    <w:rsid w:val="008B4FDC"/>
    <w:rsid w:val="008B5460"/>
    <w:rsid w:val="008B5587"/>
    <w:rsid w:val="008B570A"/>
    <w:rsid w:val="008B58F5"/>
    <w:rsid w:val="008B5A68"/>
    <w:rsid w:val="008B5B31"/>
    <w:rsid w:val="008B5DDB"/>
    <w:rsid w:val="008B5E4A"/>
    <w:rsid w:val="008B62D2"/>
    <w:rsid w:val="008B650B"/>
    <w:rsid w:val="008B65F6"/>
    <w:rsid w:val="008B724D"/>
    <w:rsid w:val="008B7C45"/>
    <w:rsid w:val="008B7CA3"/>
    <w:rsid w:val="008C1280"/>
    <w:rsid w:val="008C1F0C"/>
    <w:rsid w:val="008C1F4B"/>
    <w:rsid w:val="008C26C2"/>
    <w:rsid w:val="008C34FE"/>
    <w:rsid w:val="008C3626"/>
    <w:rsid w:val="008C36BA"/>
    <w:rsid w:val="008C3B72"/>
    <w:rsid w:val="008C4B3D"/>
    <w:rsid w:val="008C4F85"/>
    <w:rsid w:val="008C5A8F"/>
    <w:rsid w:val="008C5F1F"/>
    <w:rsid w:val="008C67F4"/>
    <w:rsid w:val="008C6E0E"/>
    <w:rsid w:val="008C7CC8"/>
    <w:rsid w:val="008D01BD"/>
    <w:rsid w:val="008D01F2"/>
    <w:rsid w:val="008D0DED"/>
    <w:rsid w:val="008D1221"/>
    <w:rsid w:val="008D1BF3"/>
    <w:rsid w:val="008D2019"/>
    <w:rsid w:val="008D2E15"/>
    <w:rsid w:val="008D2E4A"/>
    <w:rsid w:val="008D32EA"/>
    <w:rsid w:val="008D3E19"/>
    <w:rsid w:val="008D532F"/>
    <w:rsid w:val="008D57B6"/>
    <w:rsid w:val="008D6415"/>
    <w:rsid w:val="008D707B"/>
    <w:rsid w:val="008D73CD"/>
    <w:rsid w:val="008D77AA"/>
    <w:rsid w:val="008D78E7"/>
    <w:rsid w:val="008D7969"/>
    <w:rsid w:val="008E04AE"/>
    <w:rsid w:val="008E06E0"/>
    <w:rsid w:val="008E220F"/>
    <w:rsid w:val="008E266D"/>
    <w:rsid w:val="008E2810"/>
    <w:rsid w:val="008E361B"/>
    <w:rsid w:val="008E520F"/>
    <w:rsid w:val="008E53D3"/>
    <w:rsid w:val="008E5933"/>
    <w:rsid w:val="008E5EF5"/>
    <w:rsid w:val="008E6110"/>
    <w:rsid w:val="008E770A"/>
    <w:rsid w:val="008F023A"/>
    <w:rsid w:val="008F0867"/>
    <w:rsid w:val="008F0A3A"/>
    <w:rsid w:val="008F0EFF"/>
    <w:rsid w:val="008F10DB"/>
    <w:rsid w:val="008F15A0"/>
    <w:rsid w:val="008F1C76"/>
    <w:rsid w:val="008F2376"/>
    <w:rsid w:val="008F2492"/>
    <w:rsid w:val="008F35DD"/>
    <w:rsid w:val="008F37BA"/>
    <w:rsid w:val="008F39BE"/>
    <w:rsid w:val="008F5226"/>
    <w:rsid w:val="008F579E"/>
    <w:rsid w:val="008F63EF"/>
    <w:rsid w:val="008F7AAB"/>
    <w:rsid w:val="008F7C9C"/>
    <w:rsid w:val="00900E7C"/>
    <w:rsid w:val="00900FA2"/>
    <w:rsid w:val="009011A5"/>
    <w:rsid w:val="009013C0"/>
    <w:rsid w:val="00901459"/>
    <w:rsid w:val="00902589"/>
    <w:rsid w:val="00902E4F"/>
    <w:rsid w:val="00903116"/>
    <w:rsid w:val="00903194"/>
    <w:rsid w:val="00903294"/>
    <w:rsid w:val="009042E2"/>
    <w:rsid w:val="009059F1"/>
    <w:rsid w:val="009064BD"/>
    <w:rsid w:val="00906AE0"/>
    <w:rsid w:val="00906DD7"/>
    <w:rsid w:val="009076DC"/>
    <w:rsid w:val="00907B08"/>
    <w:rsid w:val="00907EEB"/>
    <w:rsid w:val="00910B91"/>
    <w:rsid w:val="00911917"/>
    <w:rsid w:val="00912167"/>
    <w:rsid w:val="0091256A"/>
    <w:rsid w:val="009126C2"/>
    <w:rsid w:val="00912E40"/>
    <w:rsid w:val="009138A3"/>
    <w:rsid w:val="0091407B"/>
    <w:rsid w:val="00914E0B"/>
    <w:rsid w:val="00914FEB"/>
    <w:rsid w:val="0091526A"/>
    <w:rsid w:val="009169B5"/>
    <w:rsid w:val="0091782B"/>
    <w:rsid w:val="00920DA4"/>
    <w:rsid w:val="00921C14"/>
    <w:rsid w:val="0092226A"/>
    <w:rsid w:val="009222CF"/>
    <w:rsid w:val="00923E00"/>
    <w:rsid w:val="009249DE"/>
    <w:rsid w:val="00924D5A"/>
    <w:rsid w:val="009251C5"/>
    <w:rsid w:val="00925509"/>
    <w:rsid w:val="00925BFB"/>
    <w:rsid w:val="00926203"/>
    <w:rsid w:val="00927A35"/>
    <w:rsid w:val="00927BB2"/>
    <w:rsid w:val="00930719"/>
    <w:rsid w:val="00930997"/>
    <w:rsid w:val="00930B65"/>
    <w:rsid w:val="00930CDC"/>
    <w:rsid w:val="00931913"/>
    <w:rsid w:val="00931AE9"/>
    <w:rsid w:val="00931CE1"/>
    <w:rsid w:val="009322AC"/>
    <w:rsid w:val="00932FCF"/>
    <w:rsid w:val="009333EB"/>
    <w:rsid w:val="00934C4E"/>
    <w:rsid w:val="00936087"/>
    <w:rsid w:val="00936DA4"/>
    <w:rsid w:val="00937AAB"/>
    <w:rsid w:val="00937B5D"/>
    <w:rsid w:val="00937D06"/>
    <w:rsid w:val="009403D9"/>
    <w:rsid w:val="00940D2A"/>
    <w:rsid w:val="0094297E"/>
    <w:rsid w:val="009430D0"/>
    <w:rsid w:val="00943F95"/>
    <w:rsid w:val="00944581"/>
    <w:rsid w:val="00945467"/>
    <w:rsid w:val="009454A2"/>
    <w:rsid w:val="00945754"/>
    <w:rsid w:val="00947476"/>
    <w:rsid w:val="00947540"/>
    <w:rsid w:val="00947809"/>
    <w:rsid w:val="00947E84"/>
    <w:rsid w:val="00950446"/>
    <w:rsid w:val="00950731"/>
    <w:rsid w:val="00950922"/>
    <w:rsid w:val="00950C73"/>
    <w:rsid w:val="009516CA"/>
    <w:rsid w:val="00951C6B"/>
    <w:rsid w:val="0095207A"/>
    <w:rsid w:val="00952210"/>
    <w:rsid w:val="009523DF"/>
    <w:rsid w:val="00953658"/>
    <w:rsid w:val="00953675"/>
    <w:rsid w:val="00954039"/>
    <w:rsid w:val="009548F7"/>
    <w:rsid w:val="00954975"/>
    <w:rsid w:val="009556B5"/>
    <w:rsid w:val="00955B31"/>
    <w:rsid w:val="0095628D"/>
    <w:rsid w:val="00956562"/>
    <w:rsid w:val="00956A06"/>
    <w:rsid w:val="00956B83"/>
    <w:rsid w:val="0095726B"/>
    <w:rsid w:val="00960662"/>
    <w:rsid w:val="009608C4"/>
    <w:rsid w:val="00961057"/>
    <w:rsid w:val="0096142A"/>
    <w:rsid w:val="00961675"/>
    <w:rsid w:val="00961918"/>
    <w:rsid w:val="00961C33"/>
    <w:rsid w:val="00962616"/>
    <w:rsid w:val="00962CA1"/>
    <w:rsid w:val="0096520C"/>
    <w:rsid w:val="0096547F"/>
    <w:rsid w:val="00966391"/>
    <w:rsid w:val="009664E7"/>
    <w:rsid w:val="009668A6"/>
    <w:rsid w:val="00966A1A"/>
    <w:rsid w:val="00966E54"/>
    <w:rsid w:val="009717F9"/>
    <w:rsid w:val="00971C5F"/>
    <w:rsid w:val="00972025"/>
    <w:rsid w:val="0097262D"/>
    <w:rsid w:val="00972825"/>
    <w:rsid w:val="00973351"/>
    <w:rsid w:val="00973D49"/>
    <w:rsid w:val="009745F7"/>
    <w:rsid w:val="00974AFD"/>
    <w:rsid w:val="009751D8"/>
    <w:rsid w:val="00975E19"/>
    <w:rsid w:val="0097737B"/>
    <w:rsid w:val="0098090E"/>
    <w:rsid w:val="0098098E"/>
    <w:rsid w:val="00982B76"/>
    <w:rsid w:val="00983DDD"/>
    <w:rsid w:val="00984E91"/>
    <w:rsid w:val="00987EA2"/>
    <w:rsid w:val="00987FCD"/>
    <w:rsid w:val="00992E67"/>
    <w:rsid w:val="0099402C"/>
    <w:rsid w:val="0099421C"/>
    <w:rsid w:val="00995841"/>
    <w:rsid w:val="00995AD9"/>
    <w:rsid w:val="0099624D"/>
    <w:rsid w:val="009969E0"/>
    <w:rsid w:val="00996D92"/>
    <w:rsid w:val="0099776E"/>
    <w:rsid w:val="00997820"/>
    <w:rsid w:val="00997DC5"/>
    <w:rsid w:val="009A0CF2"/>
    <w:rsid w:val="009A1799"/>
    <w:rsid w:val="009A2AA3"/>
    <w:rsid w:val="009A2E38"/>
    <w:rsid w:val="009A38FB"/>
    <w:rsid w:val="009A46C0"/>
    <w:rsid w:val="009A4BA2"/>
    <w:rsid w:val="009A5E1B"/>
    <w:rsid w:val="009A5F30"/>
    <w:rsid w:val="009A6157"/>
    <w:rsid w:val="009A709E"/>
    <w:rsid w:val="009A7D84"/>
    <w:rsid w:val="009B0222"/>
    <w:rsid w:val="009B1314"/>
    <w:rsid w:val="009B18DA"/>
    <w:rsid w:val="009B2810"/>
    <w:rsid w:val="009B3048"/>
    <w:rsid w:val="009B3C14"/>
    <w:rsid w:val="009B48B7"/>
    <w:rsid w:val="009B4F00"/>
    <w:rsid w:val="009B5A6E"/>
    <w:rsid w:val="009B5B6A"/>
    <w:rsid w:val="009B6165"/>
    <w:rsid w:val="009B66EA"/>
    <w:rsid w:val="009B66FB"/>
    <w:rsid w:val="009B6C07"/>
    <w:rsid w:val="009B6EB5"/>
    <w:rsid w:val="009B72B9"/>
    <w:rsid w:val="009B7710"/>
    <w:rsid w:val="009B796B"/>
    <w:rsid w:val="009B7A3A"/>
    <w:rsid w:val="009C16F9"/>
    <w:rsid w:val="009C2B73"/>
    <w:rsid w:val="009C3946"/>
    <w:rsid w:val="009C4795"/>
    <w:rsid w:val="009C54BD"/>
    <w:rsid w:val="009C5BF8"/>
    <w:rsid w:val="009C6976"/>
    <w:rsid w:val="009C6A8D"/>
    <w:rsid w:val="009C750C"/>
    <w:rsid w:val="009D026E"/>
    <w:rsid w:val="009D0659"/>
    <w:rsid w:val="009D0702"/>
    <w:rsid w:val="009D0E2F"/>
    <w:rsid w:val="009D0E6B"/>
    <w:rsid w:val="009D1CF7"/>
    <w:rsid w:val="009D3144"/>
    <w:rsid w:val="009D3A89"/>
    <w:rsid w:val="009D4ADD"/>
    <w:rsid w:val="009D5F5E"/>
    <w:rsid w:val="009D65D1"/>
    <w:rsid w:val="009D7514"/>
    <w:rsid w:val="009D7544"/>
    <w:rsid w:val="009D756C"/>
    <w:rsid w:val="009D75D1"/>
    <w:rsid w:val="009D7BA2"/>
    <w:rsid w:val="009D7C70"/>
    <w:rsid w:val="009D7CF8"/>
    <w:rsid w:val="009E0568"/>
    <w:rsid w:val="009E0618"/>
    <w:rsid w:val="009E1AF0"/>
    <w:rsid w:val="009E2A07"/>
    <w:rsid w:val="009E2EA8"/>
    <w:rsid w:val="009E30F8"/>
    <w:rsid w:val="009E3267"/>
    <w:rsid w:val="009E3494"/>
    <w:rsid w:val="009E3710"/>
    <w:rsid w:val="009E3F6A"/>
    <w:rsid w:val="009E4D4A"/>
    <w:rsid w:val="009E6CDA"/>
    <w:rsid w:val="009E7581"/>
    <w:rsid w:val="009E7AAD"/>
    <w:rsid w:val="009E7B8C"/>
    <w:rsid w:val="009F1A0D"/>
    <w:rsid w:val="009F1E83"/>
    <w:rsid w:val="009F20E2"/>
    <w:rsid w:val="009F21F2"/>
    <w:rsid w:val="009F2DE4"/>
    <w:rsid w:val="009F4780"/>
    <w:rsid w:val="009F498A"/>
    <w:rsid w:val="009F5903"/>
    <w:rsid w:val="009F5AEC"/>
    <w:rsid w:val="009F6593"/>
    <w:rsid w:val="009F7000"/>
    <w:rsid w:val="009F73C2"/>
    <w:rsid w:val="009F77A6"/>
    <w:rsid w:val="009F7988"/>
    <w:rsid w:val="009F7AD7"/>
    <w:rsid w:val="00A000E7"/>
    <w:rsid w:val="00A006E6"/>
    <w:rsid w:val="00A010C1"/>
    <w:rsid w:val="00A012FD"/>
    <w:rsid w:val="00A01625"/>
    <w:rsid w:val="00A0244C"/>
    <w:rsid w:val="00A035EA"/>
    <w:rsid w:val="00A03770"/>
    <w:rsid w:val="00A037F6"/>
    <w:rsid w:val="00A0399B"/>
    <w:rsid w:val="00A03AAB"/>
    <w:rsid w:val="00A0409B"/>
    <w:rsid w:val="00A04F65"/>
    <w:rsid w:val="00A05111"/>
    <w:rsid w:val="00A05330"/>
    <w:rsid w:val="00A07318"/>
    <w:rsid w:val="00A07B85"/>
    <w:rsid w:val="00A1059E"/>
    <w:rsid w:val="00A10663"/>
    <w:rsid w:val="00A1095E"/>
    <w:rsid w:val="00A10F36"/>
    <w:rsid w:val="00A11B51"/>
    <w:rsid w:val="00A125DD"/>
    <w:rsid w:val="00A12E73"/>
    <w:rsid w:val="00A135D3"/>
    <w:rsid w:val="00A13C59"/>
    <w:rsid w:val="00A146BE"/>
    <w:rsid w:val="00A14922"/>
    <w:rsid w:val="00A150A8"/>
    <w:rsid w:val="00A15D62"/>
    <w:rsid w:val="00A16118"/>
    <w:rsid w:val="00A16B13"/>
    <w:rsid w:val="00A170D0"/>
    <w:rsid w:val="00A1760E"/>
    <w:rsid w:val="00A20165"/>
    <w:rsid w:val="00A20FFF"/>
    <w:rsid w:val="00A2154D"/>
    <w:rsid w:val="00A224EE"/>
    <w:rsid w:val="00A2294D"/>
    <w:rsid w:val="00A22D12"/>
    <w:rsid w:val="00A2301D"/>
    <w:rsid w:val="00A236C1"/>
    <w:rsid w:val="00A23792"/>
    <w:rsid w:val="00A246EE"/>
    <w:rsid w:val="00A24E57"/>
    <w:rsid w:val="00A256B8"/>
    <w:rsid w:val="00A2602A"/>
    <w:rsid w:val="00A266EE"/>
    <w:rsid w:val="00A27C31"/>
    <w:rsid w:val="00A27D58"/>
    <w:rsid w:val="00A30122"/>
    <w:rsid w:val="00A30A20"/>
    <w:rsid w:val="00A317DE"/>
    <w:rsid w:val="00A31B0B"/>
    <w:rsid w:val="00A32EBF"/>
    <w:rsid w:val="00A3348A"/>
    <w:rsid w:val="00A34330"/>
    <w:rsid w:val="00A3490D"/>
    <w:rsid w:val="00A35A06"/>
    <w:rsid w:val="00A36258"/>
    <w:rsid w:val="00A3671C"/>
    <w:rsid w:val="00A37C7E"/>
    <w:rsid w:val="00A40F92"/>
    <w:rsid w:val="00A41C4E"/>
    <w:rsid w:val="00A42531"/>
    <w:rsid w:val="00A425A8"/>
    <w:rsid w:val="00A4264F"/>
    <w:rsid w:val="00A4345B"/>
    <w:rsid w:val="00A439EA"/>
    <w:rsid w:val="00A4406B"/>
    <w:rsid w:val="00A44D64"/>
    <w:rsid w:val="00A45A84"/>
    <w:rsid w:val="00A475FD"/>
    <w:rsid w:val="00A5002B"/>
    <w:rsid w:val="00A51CB8"/>
    <w:rsid w:val="00A527AF"/>
    <w:rsid w:val="00A5293A"/>
    <w:rsid w:val="00A52E61"/>
    <w:rsid w:val="00A52F38"/>
    <w:rsid w:val="00A5305A"/>
    <w:rsid w:val="00A544BD"/>
    <w:rsid w:val="00A54708"/>
    <w:rsid w:val="00A54D27"/>
    <w:rsid w:val="00A54FD9"/>
    <w:rsid w:val="00A55D48"/>
    <w:rsid w:val="00A563E5"/>
    <w:rsid w:val="00A573D7"/>
    <w:rsid w:val="00A5767A"/>
    <w:rsid w:val="00A5770D"/>
    <w:rsid w:val="00A57888"/>
    <w:rsid w:val="00A57D58"/>
    <w:rsid w:val="00A60285"/>
    <w:rsid w:val="00A60E9A"/>
    <w:rsid w:val="00A6254C"/>
    <w:rsid w:val="00A63F1A"/>
    <w:rsid w:val="00A6465C"/>
    <w:rsid w:val="00A6466B"/>
    <w:rsid w:val="00A64C66"/>
    <w:rsid w:val="00A65100"/>
    <w:rsid w:val="00A65180"/>
    <w:rsid w:val="00A65A29"/>
    <w:rsid w:val="00A6638D"/>
    <w:rsid w:val="00A6727D"/>
    <w:rsid w:val="00A6770C"/>
    <w:rsid w:val="00A67B52"/>
    <w:rsid w:val="00A700C6"/>
    <w:rsid w:val="00A70698"/>
    <w:rsid w:val="00A706B1"/>
    <w:rsid w:val="00A72468"/>
    <w:rsid w:val="00A72AA3"/>
    <w:rsid w:val="00A731EF"/>
    <w:rsid w:val="00A73F5D"/>
    <w:rsid w:val="00A74050"/>
    <w:rsid w:val="00A746C4"/>
    <w:rsid w:val="00A749D0"/>
    <w:rsid w:val="00A7513D"/>
    <w:rsid w:val="00A75277"/>
    <w:rsid w:val="00A7669A"/>
    <w:rsid w:val="00A76AAE"/>
    <w:rsid w:val="00A772D0"/>
    <w:rsid w:val="00A7776B"/>
    <w:rsid w:val="00A77BE7"/>
    <w:rsid w:val="00A8042A"/>
    <w:rsid w:val="00A835A9"/>
    <w:rsid w:val="00A8373E"/>
    <w:rsid w:val="00A839EA"/>
    <w:rsid w:val="00A84365"/>
    <w:rsid w:val="00A855FE"/>
    <w:rsid w:val="00A85B54"/>
    <w:rsid w:val="00A85EE8"/>
    <w:rsid w:val="00A86E57"/>
    <w:rsid w:val="00A87206"/>
    <w:rsid w:val="00A904F6"/>
    <w:rsid w:val="00A90F0D"/>
    <w:rsid w:val="00A91F6B"/>
    <w:rsid w:val="00A91FC9"/>
    <w:rsid w:val="00A925B7"/>
    <w:rsid w:val="00A93B99"/>
    <w:rsid w:val="00A9585C"/>
    <w:rsid w:val="00A95E49"/>
    <w:rsid w:val="00A97801"/>
    <w:rsid w:val="00A97EF3"/>
    <w:rsid w:val="00AA0088"/>
    <w:rsid w:val="00AA059E"/>
    <w:rsid w:val="00AA0600"/>
    <w:rsid w:val="00AA0DB8"/>
    <w:rsid w:val="00AA1457"/>
    <w:rsid w:val="00AA1D90"/>
    <w:rsid w:val="00AA1DB6"/>
    <w:rsid w:val="00AA2C48"/>
    <w:rsid w:val="00AA2D5A"/>
    <w:rsid w:val="00AA3128"/>
    <w:rsid w:val="00AA34A8"/>
    <w:rsid w:val="00AA35A7"/>
    <w:rsid w:val="00AA35E3"/>
    <w:rsid w:val="00AA37F1"/>
    <w:rsid w:val="00AA4136"/>
    <w:rsid w:val="00AA4680"/>
    <w:rsid w:val="00AA4A9A"/>
    <w:rsid w:val="00AA5618"/>
    <w:rsid w:val="00AA62B1"/>
    <w:rsid w:val="00AA6C67"/>
    <w:rsid w:val="00AA7201"/>
    <w:rsid w:val="00AA7300"/>
    <w:rsid w:val="00AA75BA"/>
    <w:rsid w:val="00AA76A7"/>
    <w:rsid w:val="00AA7C6B"/>
    <w:rsid w:val="00AA7F5A"/>
    <w:rsid w:val="00AB0843"/>
    <w:rsid w:val="00AB107C"/>
    <w:rsid w:val="00AB1AD3"/>
    <w:rsid w:val="00AB1B7B"/>
    <w:rsid w:val="00AB286B"/>
    <w:rsid w:val="00AB4161"/>
    <w:rsid w:val="00AB49A4"/>
    <w:rsid w:val="00AB4B0B"/>
    <w:rsid w:val="00AB4FEA"/>
    <w:rsid w:val="00AB5519"/>
    <w:rsid w:val="00AB62BF"/>
    <w:rsid w:val="00AB6697"/>
    <w:rsid w:val="00AB6BDA"/>
    <w:rsid w:val="00AB6DCB"/>
    <w:rsid w:val="00AB7376"/>
    <w:rsid w:val="00AB7B6D"/>
    <w:rsid w:val="00AB7C76"/>
    <w:rsid w:val="00AC016D"/>
    <w:rsid w:val="00AC04A9"/>
    <w:rsid w:val="00AC0A29"/>
    <w:rsid w:val="00AC0B4F"/>
    <w:rsid w:val="00AC153F"/>
    <w:rsid w:val="00AC1777"/>
    <w:rsid w:val="00AC1E10"/>
    <w:rsid w:val="00AC23D9"/>
    <w:rsid w:val="00AC2507"/>
    <w:rsid w:val="00AC3095"/>
    <w:rsid w:val="00AC30C6"/>
    <w:rsid w:val="00AC3B7D"/>
    <w:rsid w:val="00AC4E7E"/>
    <w:rsid w:val="00AC5294"/>
    <w:rsid w:val="00AC5534"/>
    <w:rsid w:val="00AC5843"/>
    <w:rsid w:val="00AC5970"/>
    <w:rsid w:val="00AC602F"/>
    <w:rsid w:val="00AC6575"/>
    <w:rsid w:val="00AC7255"/>
    <w:rsid w:val="00AC73ED"/>
    <w:rsid w:val="00AC74DF"/>
    <w:rsid w:val="00AC75CE"/>
    <w:rsid w:val="00AC7976"/>
    <w:rsid w:val="00AC7C50"/>
    <w:rsid w:val="00AD011B"/>
    <w:rsid w:val="00AD03BD"/>
    <w:rsid w:val="00AD0846"/>
    <w:rsid w:val="00AD0952"/>
    <w:rsid w:val="00AD1405"/>
    <w:rsid w:val="00AD1460"/>
    <w:rsid w:val="00AD16CB"/>
    <w:rsid w:val="00AD1BB2"/>
    <w:rsid w:val="00AD1D2B"/>
    <w:rsid w:val="00AD1F30"/>
    <w:rsid w:val="00AD2B7F"/>
    <w:rsid w:val="00AD31E5"/>
    <w:rsid w:val="00AD3EC5"/>
    <w:rsid w:val="00AD40C0"/>
    <w:rsid w:val="00AD7569"/>
    <w:rsid w:val="00AD7D6F"/>
    <w:rsid w:val="00AE0A83"/>
    <w:rsid w:val="00AE0B79"/>
    <w:rsid w:val="00AE0BBF"/>
    <w:rsid w:val="00AE15AF"/>
    <w:rsid w:val="00AE2454"/>
    <w:rsid w:val="00AE2921"/>
    <w:rsid w:val="00AE2C06"/>
    <w:rsid w:val="00AE2FAF"/>
    <w:rsid w:val="00AE382E"/>
    <w:rsid w:val="00AE44A5"/>
    <w:rsid w:val="00AE4C8C"/>
    <w:rsid w:val="00AE50CC"/>
    <w:rsid w:val="00AE5526"/>
    <w:rsid w:val="00AE608B"/>
    <w:rsid w:val="00AE6C68"/>
    <w:rsid w:val="00AE6DDE"/>
    <w:rsid w:val="00AE74A0"/>
    <w:rsid w:val="00AE7EFB"/>
    <w:rsid w:val="00AE7F01"/>
    <w:rsid w:val="00AE7FDE"/>
    <w:rsid w:val="00AF018E"/>
    <w:rsid w:val="00AF0DCF"/>
    <w:rsid w:val="00AF1145"/>
    <w:rsid w:val="00AF1160"/>
    <w:rsid w:val="00AF26F9"/>
    <w:rsid w:val="00AF2908"/>
    <w:rsid w:val="00AF37C3"/>
    <w:rsid w:val="00AF52CC"/>
    <w:rsid w:val="00AF5B17"/>
    <w:rsid w:val="00AF6696"/>
    <w:rsid w:val="00AF7332"/>
    <w:rsid w:val="00AF796E"/>
    <w:rsid w:val="00AF7DE6"/>
    <w:rsid w:val="00B00A5B"/>
    <w:rsid w:val="00B00E00"/>
    <w:rsid w:val="00B00FA7"/>
    <w:rsid w:val="00B01599"/>
    <w:rsid w:val="00B01BF3"/>
    <w:rsid w:val="00B01F2A"/>
    <w:rsid w:val="00B022A8"/>
    <w:rsid w:val="00B027F4"/>
    <w:rsid w:val="00B0281C"/>
    <w:rsid w:val="00B02F45"/>
    <w:rsid w:val="00B0321A"/>
    <w:rsid w:val="00B03A3D"/>
    <w:rsid w:val="00B04302"/>
    <w:rsid w:val="00B045C6"/>
    <w:rsid w:val="00B047C9"/>
    <w:rsid w:val="00B04B20"/>
    <w:rsid w:val="00B04E22"/>
    <w:rsid w:val="00B0596B"/>
    <w:rsid w:val="00B06099"/>
    <w:rsid w:val="00B06136"/>
    <w:rsid w:val="00B06DAF"/>
    <w:rsid w:val="00B06EC8"/>
    <w:rsid w:val="00B101C4"/>
    <w:rsid w:val="00B10E0D"/>
    <w:rsid w:val="00B11876"/>
    <w:rsid w:val="00B12586"/>
    <w:rsid w:val="00B13227"/>
    <w:rsid w:val="00B13656"/>
    <w:rsid w:val="00B138A7"/>
    <w:rsid w:val="00B13BDB"/>
    <w:rsid w:val="00B1406C"/>
    <w:rsid w:val="00B15542"/>
    <w:rsid w:val="00B165F6"/>
    <w:rsid w:val="00B168D4"/>
    <w:rsid w:val="00B17368"/>
    <w:rsid w:val="00B17393"/>
    <w:rsid w:val="00B20CFB"/>
    <w:rsid w:val="00B21057"/>
    <w:rsid w:val="00B211B3"/>
    <w:rsid w:val="00B218F9"/>
    <w:rsid w:val="00B220E6"/>
    <w:rsid w:val="00B239EC"/>
    <w:rsid w:val="00B248D3"/>
    <w:rsid w:val="00B249B2"/>
    <w:rsid w:val="00B25402"/>
    <w:rsid w:val="00B25905"/>
    <w:rsid w:val="00B25BCB"/>
    <w:rsid w:val="00B26A02"/>
    <w:rsid w:val="00B27690"/>
    <w:rsid w:val="00B304D2"/>
    <w:rsid w:val="00B313B3"/>
    <w:rsid w:val="00B313EA"/>
    <w:rsid w:val="00B31472"/>
    <w:rsid w:val="00B322E0"/>
    <w:rsid w:val="00B327ED"/>
    <w:rsid w:val="00B33857"/>
    <w:rsid w:val="00B3394E"/>
    <w:rsid w:val="00B34A6A"/>
    <w:rsid w:val="00B35313"/>
    <w:rsid w:val="00B35B3A"/>
    <w:rsid w:val="00B35B8D"/>
    <w:rsid w:val="00B360F6"/>
    <w:rsid w:val="00B36EED"/>
    <w:rsid w:val="00B36F10"/>
    <w:rsid w:val="00B373E3"/>
    <w:rsid w:val="00B37803"/>
    <w:rsid w:val="00B37C4B"/>
    <w:rsid w:val="00B37E10"/>
    <w:rsid w:val="00B37F01"/>
    <w:rsid w:val="00B40ECA"/>
    <w:rsid w:val="00B4169F"/>
    <w:rsid w:val="00B43FE2"/>
    <w:rsid w:val="00B440AB"/>
    <w:rsid w:val="00B447B0"/>
    <w:rsid w:val="00B45141"/>
    <w:rsid w:val="00B45A6C"/>
    <w:rsid w:val="00B46BEB"/>
    <w:rsid w:val="00B4788C"/>
    <w:rsid w:val="00B50A02"/>
    <w:rsid w:val="00B51077"/>
    <w:rsid w:val="00B5114A"/>
    <w:rsid w:val="00B521D7"/>
    <w:rsid w:val="00B528C4"/>
    <w:rsid w:val="00B52BC6"/>
    <w:rsid w:val="00B54539"/>
    <w:rsid w:val="00B54979"/>
    <w:rsid w:val="00B54DB1"/>
    <w:rsid w:val="00B55F74"/>
    <w:rsid w:val="00B5678A"/>
    <w:rsid w:val="00B60759"/>
    <w:rsid w:val="00B609D4"/>
    <w:rsid w:val="00B609F1"/>
    <w:rsid w:val="00B60E5F"/>
    <w:rsid w:val="00B61046"/>
    <w:rsid w:val="00B618FF"/>
    <w:rsid w:val="00B61D08"/>
    <w:rsid w:val="00B62524"/>
    <w:rsid w:val="00B6272F"/>
    <w:rsid w:val="00B63B1A"/>
    <w:rsid w:val="00B6497B"/>
    <w:rsid w:val="00B66BE0"/>
    <w:rsid w:val="00B676D5"/>
    <w:rsid w:val="00B7488B"/>
    <w:rsid w:val="00B74B8A"/>
    <w:rsid w:val="00B74E41"/>
    <w:rsid w:val="00B750F7"/>
    <w:rsid w:val="00B758B3"/>
    <w:rsid w:val="00B76459"/>
    <w:rsid w:val="00B76713"/>
    <w:rsid w:val="00B76FC6"/>
    <w:rsid w:val="00B77415"/>
    <w:rsid w:val="00B80197"/>
    <w:rsid w:val="00B807B2"/>
    <w:rsid w:val="00B824B5"/>
    <w:rsid w:val="00B824D3"/>
    <w:rsid w:val="00B826AF"/>
    <w:rsid w:val="00B83021"/>
    <w:rsid w:val="00B83844"/>
    <w:rsid w:val="00B8423C"/>
    <w:rsid w:val="00B848A2"/>
    <w:rsid w:val="00B84998"/>
    <w:rsid w:val="00B86AAD"/>
    <w:rsid w:val="00B8747A"/>
    <w:rsid w:val="00B876A5"/>
    <w:rsid w:val="00B9069E"/>
    <w:rsid w:val="00B93AFC"/>
    <w:rsid w:val="00B946FB"/>
    <w:rsid w:val="00B94762"/>
    <w:rsid w:val="00B94840"/>
    <w:rsid w:val="00B963B8"/>
    <w:rsid w:val="00B96BB5"/>
    <w:rsid w:val="00B97019"/>
    <w:rsid w:val="00B97095"/>
    <w:rsid w:val="00B973DB"/>
    <w:rsid w:val="00BA1316"/>
    <w:rsid w:val="00BA1E75"/>
    <w:rsid w:val="00BA2683"/>
    <w:rsid w:val="00BA275A"/>
    <w:rsid w:val="00BA2A08"/>
    <w:rsid w:val="00BA32BC"/>
    <w:rsid w:val="00BA33AC"/>
    <w:rsid w:val="00BA3AA4"/>
    <w:rsid w:val="00BA433C"/>
    <w:rsid w:val="00BA44BA"/>
    <w:rsid w:val="00BA4E3E"/>
    <w:rsid w:val="00BA5746"/>
    <w:rsid w:val="00BA5752"/>
    <w:rsid w:val="00BA6273"/>
    <w:rsid w:val="00BA6B3D"/>
    <w:rsid w:val="00BA773F"/>
    <w:rsid w:val="00BB08EE"/>
    <w:rsid w:val="00BB2E57"/>
    <w:rsid w:val="00BB340A"/>
    <w:rsid w:val="00BB3A92"/>
    <w:rsid w:val="00BB40B9"/>
    <w:rsid w:val="00BB41A6"/>
    <w:rsid w:val="00BB6126"/>
    <w:rsid w:val="00BB7363"/>
    <w:rsid w:val="00BC0137"/>
    <w:rsid w:val="00BC039D"/>
    <w:rsid w:val="00BC061D"/>
    <w:rsid w:val="00BC0815"/>
    <w:rsid w:val="00BC0DA7"/>
    <w:rsid w:val="00BC13EE"/>
    <w:rsid w:val="00BC17EF"/>
    <w:rsid w:val="00BC1E34"/>
    <w:rsid w:val="00BC1EBB"/>
    <w:rsid w:val="00BC22AF"/>
    <w:rsid w:val="00BC2DFC"/>
    <w:rsid w:val="00BC2EFF"/>
    <w:rsid w:val="00BC5436"/>
    <w:rsid w:val="00BC5CB2"/>
    <w:rsid w:val="00BC5D29"/>
    <w:rsid w:val="00BC67AC"/>
    <w:rsid w:val="00BD0E35"/>
    <w:rsid w:val="00BD1899"/>
    <w:rsid w:val="00BD1B5D"/>
    <w:rsid w:val="00BD1DF4"/>
    <w:rsid w:val="00BD1F17"/>
    <w:rsid w:val="00BD271E"/>
    <w:rsid w:val="00BD2B4B"/>
    <w:rsid w:val="00BD3303"/>
    <w:rsid w:val="00BD403F"/>
    <w:rsid w:val="00BD45C4"/>
    <w:rsid w:val="00BD4894"/>
    <w:rsid w:val="00BD5223"/>
    <w:rsid w:val="00BD555A"/>
    <w:rsid w:val="00BD55F8"/>
    <w:rsid w:val="00BD73C7"/>
    <w:rsid w:val="00BD77B3"/>
    <w:rsid w:val="00BE1115"/>
    <w:rsid w:val="00BE118F"/>
    <w:rsid w:val="00BE144B"/>
    <w:rsid w:val="00BE16C2"/>
    <w:rsid w:val="00BE25DF"/>
    <w:rsid w:val="00BE263F"/>
    <w:rsid w:val="00BE2E1F"/>
    <w:rsid w:val="00BE2F71"/>
    <w:rsid w:val="00BE3BBA"/>
    <w:rsid w:val="00BE517A"/>
    <w:rsid w:val="00BE5C5B"/>
    <w:rsid w:val="00BE5D27"/>
    <w:rsid w:val="00BE7189"/>
    <w:rsid w:val="00BE7A95"/>
    <w:rsid w:val="00BF1B49"/>
    <w:rsid w:val="00BF1F47"/>
    <w:rsid w:val="00BF2590"/>
    <w:rsid w:val="00BF31F5"/>
    <w:rsid w:val="00BF4139"/>
    <w:rsid w:val="00BF4BB9"/>
    <w:rsid w:val="00BF50A5"/>
    <w:rsid w:val="00BF56F7"/>
    <w:rsid w:val="00BF5A06"/>
    <w:rsid w:val="00BF6848"/>
    <w:rsid w:val="00BF68F1"/>
    <w:rsid w:val="00BF6E12"/>
    <w:rsid w:val="00C005B1"/>
    <w:rsid w:val="00C00932"/>
    <w:rsid w:val="00C00AA8"/>
    <w:rsid w:val="00C01121"/>
    <w:rsid w:val="00C016DD"/>
    <w:rsid w:val="00C01E62"/>
    <w:rsid w:val="00C033AC"/>
    <w:rsid w:val="00C06CA5"/>
    <w:rsid w:val="00C07D20"/>
    <w:rsid w:val="00C10419"/>
    <w:rsid w:val="00C10A55"/>
    <w:rsid w:val="00C10A5B"/>
    <w:rsid w:val="00C10ACC"/>
    <w:rsid w:val="00C11C9F"/>
    <w:rsid w:val="00C120CD"/>
    <w:rsid w:val="00C126FB"/>
    <w:rsid w:val="00C1356D"/>
    <w:rsid w:val="00C139F1"/>
    <w:rsid w:val="00C13A31"/>
    <w:rsid w:val="00C13DAB"/>
    <w:rsid w:val="00C142EC"/>
    <w:rsid w:val="00C1446E"/>
    <w:rsid w:val="00C1453D"/>
    <w:rsid w:val="00C15A36"/>
    <w:rsid w:val="00C16534"/>
    <w:rsid w:val="00C1655D"/>
    <w:rsid w:val="00C167CF"/>
    <w:rsid w:val="00C16CA7"/>
    <w:rsid w:val="00C20FD6"/>
    <w:rsid w:val="00C212B5"/>
    <w:rsid w:val="00C2165F"/>
    <w:rsid w:val="00C21D92"/>
    <w:rsid w:val="00C22ED0"/>
    <w:rsid w:val="00C22F56"/>
    <w:rsid w:val="00C2342B"/>
    <w:rsid w:val="00C24A8C"/>
    <w:rsid w:val="00C24DA5"/>
    <w:rsid w:val="00C25B45"/>
    <w:rsid w:val="00C25D26"/>
    <w:rsid w:val="00C261E2"/>
    <w:rsid w:val="00C279BE"/>
    <w:rsid w:val="00C27D0B"/>
    <w:rsid w:val="00C30842"/>
    <w:rsid w:val="00C319EE"/>
    <w:rsid w:val="00C32790"/>
    <w:rsid w:val="00C32FA6"/>
    <w:rsid w:val="00C33383"/>
    <w:rsid w:val="00C33426"/>
    <w:rsid w:val="00C33A83"/>
    <w:rsid w:val="00C33B35"/>
    <w:rsid w:val="00C33D82"/>
    <w:rsid w:val="00C36376"/>
    <w:rsid w:val="00C36504"/>
    <w:rsid w:val="00C3669A"/>
    <w:rsid w:val="00C36BF9"/>
    <w:rsid w:val="00C36C72"/>
    <w:rsid w:val="00C402AE"/>
    <w:rsid w:val="00C4043D"/>
    <w:rsid w:val="00C42569"/>
    <w:rsid w:val="00C4300B"/>
    <w:rsid w:val="00C44934"/>
    <w:rsid w:val="00C44D7B"/>
    <w:rsid w:val="00C461D8"/>
    <w:rsid w:val="00C469DD"/>
    <w:rsid w:val="00C47EFA"/>
    <w:rsid w:val="00C5031E"/>
    <w:rsid w:val="00C514CA"/>
    <w:rsid w:val="00C515AA"/>
    <w:rsid w:val="00C51E1A"/>
    <w:rsid w:val="00C51EF2"/>
    <w:rsid w:val="00C525D9"/>
    <w:rsid w:val="00C52FB6"/>
    <w:rsid w:val="00C533FA"/>
    <w:rsid w:val="00C53D52"/>
    <w:rsid w:val="00C54242"/>
    <w:rsid w:val="00C54D6D"/>
    <w:rsid w:val="00C55CD4"/>
    <w:rsid w:val="00C56118"/>
    <w:rsid w:val="00C56937"/>
    <w:rsid w:val="00C56F22"/>
    <w:rsid w:val="00C57379"/>
    <w:rsid w:val="00C57475"/>
    <w:rsid w:val="00C6187D"/>
    <w:rsid w:val="00C62B57"/>
    <w:rsid w:val="00C62D58"/>
    <w:rsid w:val="00C634AE"/>
    <w:rsid w:val="00C63C12"/>
    <w:rsid w:val="00C643FD"/>
    <w:rsid w:val="00C64DD4"/>
    <w:rsid w:val="00C65174"/>
    <w:rsid w:val="00C653BF"/>
    <w:rsid w:val="00C655E4"/>
    <w:rsid w:val="00C707DC"/>
    <w:rsid w:val="00C70912"/>
    <w:rsid w:val="00C70B56"/>
    <w:rsid w:val="00C70C80"/>
    <w:rsid w:val="00C71147"/>
    <w:rsid w:val="00C71580"/>
    <w:rsid w:val="00C71C19"/>
    <w:rsid w:val="00C71CDA"/>
    <w:rsid w:val="00C71EBE"/>
    <w:rsid w:val="00C72C1A"/>
    <w:rsid w:val="00C7341C"/>
    <w:rsid w:val="00C748DF"/>
    <w:rsid w:val="00C74A95"/>
    <w:rsid w:val="00C74DC9"/>
    <w:rsid w:val="00C74FEB"/>
    <w:rsid w:val="00C753D0"/>
    <w:rsid w:val="00C75CBE"/>
    <w:rsid w:val="00C75F29"/>
    <w:rsid w:val="00C7679C"/>
    <w:rsid w:val="00C7772D"/>
    <w:rsid w:val="00C77D12"/>
    <w:rsid w:val="00C80E36"/>
    <w:rsid w:val="00C80F2E"/>
    <w:rsid w:val="00C81172"/>
    <w:rsid w:val="00C8270F"/>
    <w:rsid w:val="00C834BD"/>
    <w:rsid w:val="00C83F9F"/>
    <w:rsid w:val="00C8483B"/>
    <w:rsid w:val="00C84A18"/>
    <w:rsid w:val="00C85193"/>
    <w:rsid w:val="00C8575D"/>
    <w:rsid w:val="00C8613C"/>
    <w:rsid w:val="00C8621E"/>
    <w:rsid w:val="00C8667E"/>
    <w:rsid w:val="00C86CAC"/>
    <w:rsid w:val="00C8714B"/>
    <w:rsid w:val="00C878FC"/>
    <w:rsid w:val="00C91A50"/>
    <w:rsid w:val="00C91DEC"/>
    <w:rsid w:val="00C922BE"/>
    <w:rsid w:val="00C92468"/>
    <w:rsid w:val="00C93528"/>
    <w:rsid w:val="00C946EA"/>
    <w:rsid w:val="00C95969"/>
    <w:rsid w:val="00C95EB9"/>
    <w:rsid w:val="00C960F6"/>
    <w:rsid w:val="00C961C1"/>
    <w:rsid w:val="00C96217"/>
    <w:rsid w:val="00C967DB"/>
    <w:rsid w:val="00C968BB"/>
    <w:rsid w:val="00C97B5F"/>
    <w:rsid w:val="00CA0264"/>
    <w:rsid w:val="00CA041B"/>
    <w:rsid w:val="00CA0B72"/>
    <w:rsid w:val="00CA1CF1"/>
    <w:rsid w:val="00CA1E93"/>
    <w:rsid w:val="00CA1F82"/>
    <w:rsid w:val="00CA203D"/>
    <w:rsid w:val="00CA285A"/>
    <w:rsid w:val="00CA2A59"/>
    <w:rsid w:val="00CA2ADB"/>
    <w:rsid w:val="00CA2E36"/>
    <w:rsid w:val="00CA3394"/>
    <w:rsid w:val="00CA3E13"/>
    <w:rsid w:val="00CA4610"/>
    <w:rsid w:val="00CA5091"/>
    <w:rsid w:val="00CA5596"/>
    <w:rsid w:val="00CA5BF2"/>
    <w:rsid w:val="00CA6BA8"/>
    <w:rsid w:val="00CA762C"/>
    <w:rsid w:val="00CA76A9"/>
    <w:rsid w:val="00CB0016"/>
    <w:rsid w:val="00CB01DF"/>
    <w:rsid w:val="00CB028C"/>
    <w:rsid w:val="00CB0E32"/>
    <w:rsid w:val="00CB14FA"/>
    <w:rsid w:val="00CB2E37"/>
    <w:rsid w:val="00CB366B"/>
    <w:rsid w:val="00CB36CF"/>
    <w:rsid w:val="00CB3728"/>
    <w:rsid w:val="00CB3B28"/>
    <w:rsid w:val="00CB438B"/>
    <w:rsid w:val="00CB4772"/>
    <w:rsid w:val="00CB4F47"/>
    <w:rsid w:val="00CB64CF"/>
    <w:rsid w:val="00CB665B"/>
    <w:rsid w:val="00CB66F8"/>
    <w:rsid w:val="00CB6A45"/>
    <w:rsid w:val="00CB7EED"/>
    <w:rsid w:val="00CC00FD"/>
    <w:rsid w:val="00CC15EF"/>
    <w:rsid w:val="00CC2536"/>
    <w:rsid w:val="00CC2802"/>
    <w:rsid w:val="00CC2F9F"/>
    <w:rsid w:val="00CC3212"/>
    <w:rsid w:val="00CC39A1"/>
    <w:rsid w:val="00CC39A5"/>
    <w:rsid w:val="00CC3E79"/>
    <w:rsid w:val="00CC3F2E"/>
    <w:rsid w:val="00CC47EA"/>
    <w:rsid w:val="00CC59A0"/>
    <w:rsid w:val="00CC679A"/>
    <w:rsid w:val="00CC6CF5"/>
    <w:rsid w:val="00CC7719"/>
    <w:rsid w:val="00CD0205"/>
    <w:rsid w:val="00CD13B4"/>
    <w:rsid w:val="00CD1839"/>
    <w:rsid w:val="00CD1F59"/>
    <w:rsid w:val="00CD216D"/>
    <w:rsid w:val="00CD2243"/>
    <w:rsid w:val="00CD33E4"/>
    <w:rsid w:val="00CD359B"/>
    <w:rsid w:val="00CD4A74"/>
    <w:rsid w:val="00CD4DDA"/>
    <w:rsid w:val="00CD5057"/>
    <w:rsid w:val="00CD5C6D"/>
    <w:rsid w:val="00CD60D6"/>
    <w:rsid w:val="00CD719D"/>
    <w:rsid w:val="00CD7637"/>
    <w:rsid w:val="00CD78E6"/>
    <w:rsid w:val="00CD7CCC"/>
    <w:rsid w:val="00CD7FA0"/>
    <w:rsid w:val="00CE03DB"/>
    <w:rsid w:val="00CE130A"/>
    <w:rsid w:val="00CE165C"/>
    <w:rsid w:val="00CE1BDE"/>
    <w:rsid w:val="00CE1C71"/>
    <w:rsid w:val="00CE1CEA"/>
    <w:rsid w:val="00CE2C87"/>
    <w:rsid w:val="00CE2DAF"/>
    <w:rsid w:val="00CE2F48"/>
    <w:rsid w:val="00CE2F55"/>
    <w:rsid w:val="00CE34A2"/>
    <w:rsid w:val="00CE3B06"/>
    <w:rsid w:val="00CE4329"/>
    <w:rsid w:val="00CE4A2D"/>
    <w:rsid w:val="00CE53F2"/>
    <w:rsid w:val="00CE5A05"/>
    <w:rsid w:val="00CE5D25"/>
    <w:rsid w:val="00CE5EE9"/>
    <w:rsid w:val="00CE7301"/>
    <w:rsid w:val="00CE757B"/>
    <w:rsid w:val="00CF045E"/>
    <w:rsid w:val="00CF0901"/>
    <w:rsid w:val="00CF2A59"/>
    <w:rsid w:val="00CF2FD9"/>
    <w:rsid w:val="00CF3345"/>
    <w:rsid w:val="00CF496C"/>
    <w:rsid w:val="00CF66FB"/>
    <w:rsid w:val="00CF6C24"/>
    <w:rsid w:val="00CF71D5"/>
    <w:rsid w:val="00CF7658"/>
    <w:rsid w:val="00D00E8F"/>
    <w:rsid w:val="00D01120"/>
    <w:rsid w:val="00D0161D"/>
    <w:rsid w:val="00D01B26"/>
    <w:rsid w:val="00D02D34"/>
    <w:rsid w:val="00D03089"/>
    <w:rsid w:val="00D030B6"/>
    <w:rsid w:val="00D039C6"/>
    <w:rsid w:val="00D03A0E"/>
    <w:rsid w:val="00D045B5"/>
    <w:rsid w:val="00D048BC"/>
    <w:rsid w:val="00D054E7"/>
    <w:rsid w:val="00D06014"/>
    <w:rsid w:val="00D06221"/>
    <w:rsid w:val="00D0671A"/>
    <w:rsid w:val="00D06B26"/>
    <w:rsid w:val="00D07501"/>
    <w:rsid w:val="00D101BA"/>
    <w:rsid w:val="00D10449"/>
    <w:rsid w:val="00D10D33"/>
    <w:rsid w:val="00D11911"/>
    <w:rsid w:val="00D119B1"/>
    <w:rsid w:val="00D125D6"/>
    <w:rsid w:val="00D126B3"/>
    <w:rsid w:val="00D12B9B"/>
    <w:rsid w:val="00D12D60"/>
    <w:rsid w:val="00D153CD"/>
    <w:rsid w:val="00D1545F"/>
    <w:rsid w:val="00D15E41"/>
    <w:rsid w:val="00D1668A"/>
    <w:rsid w:val="00D16CC3"/>
    <w:rsid w:val="00D2070C"/>
    <w:rsid w:val="00D20BDE"/>
    <w:rsid w:val="00D20F53"/>
    <w:rsid w:val="00D21953"/>
    <w:rsid w:val="00D21C6A"/>
    <w:rsid w:val="00D22B62"/>
    <w:rsid w:val="00D23330"/>
    <w:rsid w:val="00D247AF"/>
    <w:rsid w:val="00D25687"/>
    <w:rsid w:val="00D25EE1"/>
    <w:rsid w:val="00D304FD"/>
    <w:rsid w:val="00D30712"/>
    <w:rsid w:val="00D3097F"/>
    <w:rsid w:val="00D31039"/>
    <w:rsid w:val="00D3138C"/>
    <w:rsid w:val="00D31474"/>
    <w:rsid w:val="00D31AA5"/>
    <w:rsid w:val="00D32226"/>
    <w:rsid w:val="00D32868"/>
    <w:rsid w:val="00D32B15"/>
    <w:rsid w:val="00D32B4F"/>
    <w:rsid w:val="00D34494"/>
    <w:rsid w:val="00D34534"/>
    <w:rsid w:val="00D34780"/>
    <w:rsid w:val="00D35139"/>
    <w:rsid w:val="00D3578D"/>
    <w:rsid w:val="00D358B9"/>
    <w:rsid w:val="00D3713E"/>
    <w:rsid w:val="00D40BBF"/>
    <w:rsid w:val="00D41874"/>
    <w:rsid w:val="00D433AF"/>
    <w:rsid w:val="00D43759"/>
    <w:rsid w:val="00D439D9"/>
    <w:rsid w:val="00D43E41"/>
    <w:rsid w:val="00D45102"/>
    <w:rsid w:val="00D45450"/>
    <w:rsid w:val="00D454EE"/>
    <w:rsid w:val="00D45D1A"/>
    <w:rsid w:val="00D4648D"/>
    <w:rsid w:val="00D5092A"/>
    <w:rsid w:val="00D51689"/>
    <w:rsid w:val="00D518CC"/>
    <w:rsid w:val="00D51D7B"/>
    <w:rsid w:val="00D521F8"/>
    <w:rsid w:val="00D52A3F"/>
    <w:rsid w:val="00D52CE0"/>
    <w:rsid w:val="00D52E76"/>
    <w:rsid w:val="00D53B40"/>
    <w:rsid w:val="00D53B81"/>
    <w:rsid w:val="00D55410"/>
    <w:rsid w:val="00D556DD"/>
    <w:rsid w:val="00D55B6C"/>
    <w:rsid w:val="00D55BCD"/>
    <w:rsid w:val="00D55C8E"/>
    <w:rsid w:val="00D569A7"/>
    <w:rsid w:val="00D56C41"/>
    <w:rsid w:val="00D57686"/>
    <w:rsid w:val="00D5776A"/>
    <w:rsid w:val="00D57C84"/>
    <w:rsid w:val="00D6037E"/>
    <w:rsid w:val="00D60CD2"/>
    <w:rsid w:val="00D60D0A"/>
    <w:rsid w:val="00D615F3"/>
    <w:rsid w:val="00D61B21"/>
    <w:rsid w:val="00D62347"/>
    <w:rsid w:val="00D6299C"/>
    <w:rsid w:val="00D6337D"/>
    <w:rsid w:val="00D6350C"/>
    <w:rsid w:val="00D64003"/>
    <w:rsid w:val="00D64C85"/>
    <w:rsid w:val="00D6534B"/>
    <w:rsid w:val="00D671D1"/>
    <w:rsid w:val="00D67980"/>
    <w:rsid w:val="00D67F90"/>
    <w:rsid w:val="00D7019F"/>
    <w:rsid w:val="00D701DD"/>
    <w:rsid w:val="00D7023A"/>
    <w:rsid w:val="00D70309"/>
    <w:rsid w:val="00D70CD5"/>
    <w:rsid w:val="00D716C8"/>
    <w:rsid w:val="00D7176D"/>
    <w:rsid w:val="00D722BB"/>
    <w:rsid w:val="00D7299C"/>
    <w:rsid w:val="00D72CFC"/>
    <w:rsid w:val="00D72F90"/>
    <w:rsid w:val="00D73A7C"/>
    <w:rsid w:val="00D73F03"/>
    <w:rsid w:val="00D743B0"/>
    <w:rsid w:val="00D749CD"/>
    <w:rsid w:val="00D74B58"/>
    <w:rsid w:val="00D74C1E"/>
    <w:rsid w:val="00D75295"/>
    <w:rsid w:val="00D75737"/>
    <w:rsid w:val="00D76E51"/>
    <w:rsid w:val="00D77F01"/>
    <w:rsid w:val="00D801D2"/>
    <w:rsid w:val="00D8067D"/>
    <w:rsid w:val="00D808E7"/>
    <w:rsid w:val="00D80F18"/>
    <w:rsid w:val="00D812D2"/>
    <w:rsid w:val="00D81598"/>
    <w:rsid w:val="00D81721"/>
    <w:rsid w:val="00D81DCF"/>
    <w:rsid w:val="00D82A94"/>
    <w:rsid w:val="00D83664"/>
    <w:rsid w:val="00D83BF9"/>
    <w:rsid w:val="00D83DB8"/>
    <w:rsid w:val="00D84034"/>
    <w:rsid w:val="00D85324"/>
    <w:rsid w:val="00D85818"/>
    <w:rsid w:val="00D861F6"/>
    <w:rsid w:val="00D866B6"/>
    <w:rsid w:val="00D86EA4"/>
    <w:rsid w:val="00D873EA"/>
    <w:rsid w:val="00D875DE"/>
    <w:rsid w:val="00D87FA8"/>
    <w:rsid w:val="00D90DAC"/>
    <w:rsid w:val="00D90DAF"/>
    <w:rsid w:val="00D91EB3"/>
    <w:rsid w:val="00D92179"/>
    <w:rsid w:val="00D931E6"/>
    <w:rsid w:val="00D93553"/>
    <w:rsid w:val="00D95766"/>
    <w:rsid w:val="00D96F4D"/>
    <w:rsid w:val="00D9789A"/>
    <w:rsid w:val="00DA0386"/>
    <w:rsid w:val="00DA0CC9"/>
    <w:rsid w:val="00DA0EC8"/>
    <w:rsid w:val="00DA16B0"/>
    <w:rsid w:val="00DA32A6"/>
    <w:rsid w:val="00DA37BC"/>
    <w:rsid w:val="00DA548C"/>
    <w:rsid w:val="00DA5561"/>
    <w:rsid w:val="00DA65F3"/>
    <w:rsid w:val="00DA698B"/>
    <w:rsid w:val="00DA76DE"/>
    <w:rsid w:val="00DA7B1A"/>
    <w:rsid w:val="00DB0909"/>
    <w:rsid w:val="00DB0B34"/>
    <w:rsid w:val="00DB1058"/>
    <w:rsid w:val="00DB15C9"/>
    <w:rsid w:val="00DB2571"/>
    <w:rsid w:val="00DB2870"/>
    <w:rsid w:val="00DB2BE5"/>
    <w:rsid w:val="00DB2D85"/>
    <w:rsid w:val="00DB4247"/>
    <w:rsid w:val="00DB441F"/>
    <w:rsid w:val="00DB5056"/>
    <w:rsid w:val="00DB6935"/>
    <w:rsid w:val="00DB6974"/>
    <w:rsid w:val="00DB6CD8"/>
    <w:rsid w:val="00DB6E7E"/>
    <w:rsid w:val="00DB7856"/>
    <w:rsid w:val="00DC1299"/>
    <w:rsid w:val="00DC1859"/>
    <w:rsid w:val="00DC1BE7"/>
    <w:rsid w:val="00DC22BA"/>
    <w:rsid w:val="00DC25C2"/>
    <w:rsid w:val="00DC28D2"/>
    <w:rsid w:val="00DC30E2"/>
    <w:rsid w:val="00DC3107"/>
    <w:rsid w:val="00DC32E5"/>
    <w:rsid w:val="00DC4668"/>
    <w:rsid w:val="00DC57C2"/>
    <w:rsid w:val="00DC606F"/>
    <w:rsid w:val="00DC6291"/>
    <w:rsid w:val="00DC659C"/>
    <w:rsid w:val="00DC74CA"/>
    <w:rsid w:val="00DD1186"/>
    <w:rsid w:val="00DD1953"/>
    <w:rsid w:val="00DD28A7"/>
    <w:rsid w:val="00DD2D06"/>
    <w:rsid w:val="00DD3CFA"/>
    <w:rsid w:val="00DD452C"/>
    <w:rsid w:val="00DD4BA6"/>
    <w:rsid w:val="00DD5A85"/>
    <w:rsid w:val="00DD5F1B"/>
    <w:rsid w:val="00DD648D"/>
    <w:rsid w:val="00DE0FE8"/>
    <w:rsid w:val="00DE12EE"/>
    <w:rsid w:val="00DE14A0"/>
    <w:rsid w:val="00DE1D2F"/>
    <w:rsid w:val="00DE1F72"/>
    <w:rsid w:val="00DE3211"/>
    <w:rsid w:val="00DE35C1"/>
    <w:rsid w:val="00DE3718"/>
    <w:rsid w:val="00DE3AE3"/>
    <w:rsid w:val="00DE4D70"/>
    <w:rsid w:val="00DE4EF4"/>
    <w:rsid w:val="00DE5318"/>
    <w:rsid w:val="00DE5A31"/>
    <w:rsid w:val="00DE6107"/>
    <w:rsid w:val="00DE6928"/>
    <w:rsid w:val="00DE7B09"/>
    <w:rsid w:val="00DE7D9D"/>
    <w:rsid w:val="00DF0221"/>
    <w:rsid w:val="00DF07BE"/>
    <w:rsid w:val="00DF0BB4"/>
    <w:rsid w:val="00DF1303"/>
    <w:rsid w:val="00DF18DE"/>
    <w:rsid w:val="00DF2415"/>
    <w:rsid w:val="00DF25C9"/>
    <w:rsid w:val="00DF2D84"/>
    <w:rsid w:val="00DF3DFA"/>
    <w:rsid w:val="00DF3E14"/>
    <w:rsid w:val="00DF4058"/>
    <w:rsid w:val="00DF4B95"/>
    <w:rsid w:val="00DF4F82"/>
    <w:rsid w:val="00DF51C4"/>
    <w:rsid w:val="00DF6973"/>
    <w:rsid w:val="00DF6D59"/>
    <w:rsid w:val="00DF710B"/>
    <w:rsid w:val="00E001FB"/>
    <w:rsid w:val="00E00341"/>
    <w:rsid w:val="00E01DC2"/>
    <w:rsid w:val="00E03057"/>
    <w:rsid w:val="00E03C32"/>
    <w:rsid w:val="00E03D63"/>
    <w:rsid w:val="00E04544"/>
    <w:rsid w:val="00E047CD"/>
    <w:rsid w:val="00E04F9B"/>
    <w:rsid w:val="00E04FD2"/>
    <w:rsid w:val="00E07208"/>
    <w:rsid w:val="00E07EA9"/>
    <w:rsid w:val="00E100AD"/>
    <w:rsid w:val="00E1012C"/>
    <w:rsid w:val="00E106E4"/>
    <w:rsid w:val="00E1094B"/>
    <w:rsid w:val="00E11778"/>
    <w:rsid w:val="00E12B42"/>
    <w:rsid w:val="00E12BA3"/>
    <w:rsid w:val="00E139AF"/>
    <w:rsid w:val="00E13B69"/>
    <w:rsid w:val="00E13F13"/>
    <w:rsid w:val="00E13F19"/>
    <w:rsid w:val="00E14D82"/>
    <w:rsid w:val="00E14E88"/>
    <w:rsid w:val="00E153AA"/>
    <w:rsid w:val="00E1634D"/>
    <w:rsid w:val="00E16640"/>
    <w:rsid w:val="00E168DC"/>
    <w:rsid w:val="00E16DE8"/>
    <w:rsid w:val="00E17655"/>
    <w:rsid w:val="00E20C61"/>
    <w:rsid w:val="00E21AE5"/>
    <w:rsid w:val="00E21BA8"/>
    <w:rsid w:val="00E223AF"/>
    <w:rsid w:val="00E23507"/>
    <w:rsid w:val="00E23FD2"/>
    <w:rsid w:val="00E24AC6"/>
    <w:rsid w:val="00E24B63"/>
    <w:rsid w:val="00E26611"/>
    <w:rsid w:val="00E26E2A"/>
    <w:rsid w:val="00E273B6"/>
    <w:rsid w:val="00E275A8"/>
    <w:rsid w:val="00E27D1E"/>
    <w:rsid w:val="00E306D2"/>
    <w:rsid w:val="00E31418"/>
    <w:rsid w:val="00E31715"/>
    <w:rsid w:val="00E31758"/>
    <w:rsid w:val="00E31922"/>
    <w:rsid w:val="00E32DFB"/>
    <w:rsid w:val="00E32EDD"/>
    <w:rsid w:val="00E339C9"/>
    <w:rsid w:val="00E33AA5"/>
    <w:rsid w:val="00E33C8E"/>
    <w:rsid w:val="00E34375"/>
    <w:rsid w:val="00E344C6"/>
    <w:rsid w:val="00E34F6C"/>
    <w:rsid w:val="00E351AC"/>
    <w:rsid w:val="00E371EE"/>
    <w:rsid w:val="00E377AC"/>
    <w:rsid w:val="00E4008D"/>
    <w:rsid w:val="00E40B4C"/>
    <w:rsid w:val="00E40C3E"/>
    <w:rsid w:val="00E41295"/>
    <w:rsid w:val="00E412B5"/>
    <w:rsid w:val="00E4143C"/>
    <w:rsid w:val="00E4211E"/>
    <w:rsid w:val="00E43917"/>
    <w:rsid w:val="00E43B12"/>
    <w:rsid w:val="00E441B0"/>
    <w:rsid w:val="00E4444F"/>
    <w:rsid w:val="00E4461F"/>
    <w:rsid w:val="00E4602F"/>
    <w:rsid w:val="00E4631C"/>
    <w:rsid w:val="00E46537"/>
    <w:rsid w:val="00E46800"/>
    <w:rsid w:val="00E46F54"/>
    <w:rsid w:val="00E476C3"/>
    <w:rsid w:val="00E47F0C"/>
    <w:rsid w:val="00E47F35"/>
    <w:rsid w:val="00E509B1"/>
    <w:rsid w:val="00E5128C"/>
    <w:rsid w:val="00E513C8"/>
    <w:rsid w:val="00E51D7A"/>
    <w:rsid w:val="00E527CF"/>
    <w:rsid w:val="00E5390F"/>
    <w:rsid w:val="00E53B2F"/>
    <w:rsid w:val="00E54927"/>
    <w:rsid w:val="00E55BD8"/>
    <w:rsid w:val="00E56413"/>
    <w:rsid w:val="00E5688D"/>
    <w:rsid w:val="00E56EA4"/>
    <w:rsid w:val="00E57553"/>
    <w:rsid w:val="00E57D90"/>
    <w:rsid w:val="00E57EC3"/>
    <w:rsid w:val="00E60700"/>
    <w:rsid w:val="00E60797"/>
    <w:rsid w:val="00E60923"/>
    <w:rsid w:val="00E60B8C"/>
    <w:rsid w:val="00E61C09"/>
    <w:rsid w:val="00E620C0"/>
    <w:rsid w:val="00E6407D"/>
    <w:rsid w:val="00E6409B"/>
    <w:rsid w:val="00E64E38"/>
    <w:rsid w:val="00E65E0C"/>
    <w:rsid w:val="00E6728F"/>
    <w:rsid w:val="00E676F5"/>
    <w:rsid w:val="00E67A6B"/>
    <w:rsid w:val="00E702E1"/>
    <w:rsid w:val="00E70480"/>
    <w:rsid w:val="00E72050"/>
    <w:rsid w:val="00E724BD"/>
    <w:rsid w:val="00E7347E"/>
    <w:rsid w:val="00E73693"/>
    <w:rsid w:val="00E74A63"/>
    <w:rsid w:val="00E74BA5"/>
    <w:rsid w:val="00E75127"/>
    <w:rsid w:val="00E7513D"/>
    <w:rsid w:val="00E76A0C"/>
    <w:rsid w:val="00E7725D"/>
    <w:rsid w:val="00E777AD"/>
    <w:rsid w:val="00E77F78"/>
    <w:rsid w:val="00E80286"/>
    <w:rsid w:val="00E813DB"/>
    <w:rsid w:val="00E81A73"/>
    <w:rsid w:val="00E81BD7"/>
    <w:rsid w:val="00E81DEF"/>
    <w:rsid w:val="00E82306"/>
    <w:rsid w:val="00E82BA7"/>
    <w:rsid w:val="00E82D19"/>
    <w:rsid w:val="00E83424"/>
    <w:rsid w:val="00E841D1"/>
    <w:rsid w:val="00E84C5B"/>
    <w:rsid w:val="00E84F61"/>
    <w:rsid w:val="00E856B6"/>
    <w:rsid w:val="00E85792"/>
    <w:rsid w:val="00E8619D"/>
    <w:rsid w:val="00E875E0"/>
    <w:rsid w:val="00E87608"/>
    <w:rsid w:val="00E879E3"/>
    <w:rsid w:val="00E87A8C"/>
    <w:rsid w:val="00E87E9C"/>
    <w:rsid w:val="00E9076E"/>
    <w:rsid w:val="00E91261"/>
    <w:rsid w:val="00E912E8"/>
    <w:rsid w:val="00E9143C"/>
    <w:rsid w:val="00E915C1"/>
    <w:rsid w:val="00E91E05"/>
    <w:rsid w:val="00E91EC0"/>
    <w:rsid w:val="00E91F77"/>
    <w:rsid w:val="00E9273A"/>
    <w:rsid w:val="00E92B07"/>
    <w:rsid w:val="00E92F88"/>
    <w:rsid w:val="00E9378B"/>
    <w:rsid w:val="00E9395C"/>
    <w:rsid w:val="00E93ADD"/>
    <w:rsid w:val="00E93C0E"/>
    <w:rsid w:val="00E93D66"/>
    <w:rsid w:val="00E93D87"/>
    <w:rsid w:val="00E9425B"/>
    <w:rsid w:val="00E94C0A"/>
    <w:rsid w:val="00E9565E"/>
    <w:rsid w:val="00E95D36"/>
    <w:rsid w:val="00E95D80"/>
    <w:rsid w:val="00E95F22"/>
    <w:rsid w:val="00E963F8"/>
    <w:rsid w:val="00E9672B"/>
    <w:rsid w:val="00E969CD"/>
    <w:rsid w:val="00E96A56"/>
    <w:rsid w:val="00E96C01"/>
    <w:rsid w:val="00E97180"/>
    <w:rsid w:val="00EA10C0"/>
    <w:rsid w:val="00EA1DE5"/>
    <w:rsid w:val="00EA2755"/>
    <w:rsid w:val="00EA2BA7"/>
    <w:rsid w:val="00EA58BB"/>
    <w:rsid w:val="00EA5B56"/>
    <w:rsid w:val="00EA66BA"/>
    <w:rsid w:val="00EA69A9"/>
    <w:rsid w:val="00EA6B9A"/>
    <w:rsid w:val="00EA7BF4"/>
    <w:rsid w:val="00EB02AE"/>
    <w:rsid w:val="00EB0A9D"/>
    <w:rsid w:val="00EB0FAD"/>
    <w:rsid w:val="00EB12EA"/>
    <w:rsid w:val="00EB1F81"/>
    <w:rsid w:val="00EB20AB"/>
    <w:rsid w:val="00EB375E"/>
    <w:rsid w:val="00EB3AC6"/>
    <w:rsid w:val="00EB4119"/>
    <w:rsid w:val="00EB476A"/>
    <w:rsid w:val="00EB4BD1"/>
    <w:rsid w:val="00EB5780"/>
    <w:rsid w:val="00EB5C34"/>
    <w:rsid w:val="00EB5DBB"/>
    <w:rsid w:val="00EB616E"/>
    <w:rsid w:val="00EB654D"/>
    <w:rsid w:val="00EB6D55"/>
    <w:rsid w:val="00EB6EC8"/>
    <w:rsid w:val="00EB7055"/>
    <w:rsid w:val="00EB74C2"/>
    <w:rsid w:val="00EB78B6"/>
    <w:rsid w:val="00EB790F"/>
    <w:rsid w:val="00EC01ED"/>
    <w:rsid w:val="00EC0399"/>
    <w:rsid w:val="00EC03AE"/>
    <w:rsid w:val="00EC0930"/>
    <w:rsid w:val="00EC09CD"/>
    <w:rsid w:val="00EC0F06"/>
    <w:rsid w:val="00EC2752"/>
    <w:rsid w:val="00EC2C49"/>
    <w:rsid w:val="00EC2D5C"/>
    <w:rsid w:val="00EC32F4"/>
    <w:rsid w:val="00EC382F"/>
    <w:rsid w:val="00EC38BE"/>
    <w:rsid w:val="00EC43A2"/>
    <w:rsid w:val="00EC446B"/>
    <w:rsid w:val="00EC5458"/>
    <w:rsid w:val="00EC5BF0"/>
    <w:rsid w:val="00EC5C45"/>
    <w:rsid w:val="00EC6150"/>
    <w:rsid w:val="00EC6D3B"/>
    <w:rsid w:val="00EC6DD4"/>
    <w:rsid w:val="00EC76AD"/>
    <w:rsid w:val="00ED053C"/>
    <w:rsid w:val="00ED1181"/>
    <w:rsid w:val="00ED12B2"/>
    <w:rsid w:val="00ED14B3"/>
    <w:rsid w:val="00ED162B"/>
    <w:rsid w:val="00ED24CE"/>
    <w:rsid w:val="00ED2E93"/>
    <w:rsid w:val="00ED2FD2"/>
    <w:rsid w:val="00ED3F81"/>
    <w:rsid w:val="00ED5CD5"/>
    <w:rsid w:val="00ED666A"/>
    <w:rsid w:val="00ED672A"/>
    <w:rsid w:val="00ED69F0"/>
    <w:rsid w:val="00ED6C0A"/>
    <w:rsid w:val="00ED70A1"/>
    <w:rsid w:val="00ED76C8"/>
    <w:rsid w:val="00ED7B02"/>
    <w:rsid w:val="00EE0784"/>
    <w:rsid w:val="00EE0982"/>
    <w:rsid w:val="00EE13AF"/>
    <w:rsid w:val="00EE18D6"/>
    <w:rsid w:val="00EE1A49"/>
    <w:rsid w:val="00EE1D04"/>
    <w:rsid w:val="00EE2100"/>
    <w:rsid w:val="00EE2968"/>
    <w:rsid w:val="00EE4012"/>
    <w:rsid w:val="00EE4430"/>
    <w:rsid w:val="00EE4707"/>
    <w:rsid w:val="00EE4E49"/>
    <w:rsid w:val="00EE50D6"/>
    <w:rsid w:val="00EE5580"/>
    <w:rsid w:val="00EE5693"/>
    <w:rsid w:val="00EE5CB7"/>
    <w:rsid w:val="00EE60EA"/>
    <w:rsid w:val="00EE6785"/>
    <w:rsid w:val="00EE7B66"/>
    <w:rsid w:val="00EF082A"/>
    <w:rsid w:val="00EF091C"/>
    <w:rsid w:val="00EF1FBC"/>
    <w:rsid w:val="00EF2E49"/>
    <w:rsid w:val="00EF2F88"/>
    <w:rsid w:val="00EF3695"/>
    <w:rsid w:val="00EF37E8"/>
    <w:rsid w:val="00EF40D1"/>
    <w:rsid w:val="00EF42D1"/>
    <w:rsid w:val="00EF5110"/>
    <w:rsid w:val="00EF5E67"/>
    <w:rsid w:val="00EF6318"/>
    <w:rsid w:val="00EF6B0C"/>
    <w:rsid w:val="00EF6C88"/>
    <w:rsid w:val="00EF705B"/>
    <w:rsid w:val="00EF71DC"/>
    <w:rsid w:val="00EF739B"/>
    <w:rsid w:val="00EF7C7D"/>
    <w:rsid w:val="00F013FD"/>
    <w:rsid w:val="00F01417"/>
    <w:rsid w:val="00F018F4"/>
    <w:rsid w:val="00F0233F"/>
    <w:rsid w:val="00F02C7C"/>
    <w:rsid w:val="00F0399C"/>
    <w:rsid w:val="00F03C2E"/>
    <w:rsid w:val="00F0441A"/>
    <w:rsid w:val="00F04B16"/>
    <w:rsid w:val="00F04ECE"/>
    <w:rsid w:val="00F04EDC"/>
    <w:rsid w:val="00F05046"/>
    <w:rsid w:val="00F07E5A"/>
    <w:rsid w:val="00F1019C"/>
    <w:rsid w:val="00F11230"/>
    <w:rsid w:val="00F116FD"/>
    <w:rsid w:val="00F12CBC"/>
    <w:rsid w:val="00F1326C"/>
    <w:rsid w:val="00F141D9"/>
    <w:rsid w:val="00F14854"/>
    <w:rsid w:val="00F14932"/>
    <w:rsid w:val="00F16E53"/>
    <w:rsid w:val="00F16FF7"/>
    <w:rsid w:val="00F17686"/>
    <w:rsid w:val="00F202AB"/>
    <w:rsid w:val="00F2042B"/>
    <w:rsid w:val="00F217A4"/>
    <w:rsid w:val="00F219C8"/>
    <w:rsid w:val="00F21CF8"/>
    <w:rsid w:val="00F221C2"/>
    <w:rsid w:val="00F23643"/>
    <w:rsid w:val="00F23D65"/>
    <w:rsid w:val="00F24CE3"/>
    <w:rsid w:val="00F257A1"/>
    <w:rsid w:val="00F25B9A"/>
    <w:rsid w:val="00F26B3B"/>
    <w:rsid w:val="00F26D8C"/>
    <w:rsid w:val="00F2788F"/>
    <w:rsid w:val="00F30474"/>
    <w:rsid w:val="00F30AB8"/>
    <w:rsid w:val="00F30E95"/>
    <w:rsid w:val="00F3275A"/>
    <w:rsid w:val="00F32D3A"/>
    <w:rsid w:val="00F33F58"/>
    <w:rsid w:val="00F3450C"/>
    <w:rsid w:val="00F34591"/>
    <w:rsid w:val="00F34896"/>
    <w:rsid w:val="00F35236"/>
    <w:rsid w:val="00F35CA0"/>
    <w:rsid w:val="00F35F0E"/>
    <w:rsid w:val="00F37220"/>
    <w:rsid w:val="00F3758C"/>
    <w:rsid w:val="00F41FA8"/>
    <w:rsid w:val="00F4268E"/>
    <w:rsid w:val="00F42891"/>
    <w:rsid w:val="00F42B10"/>
    <w:rsid w:val="00F42F24"/>
    <w:rsid w:val="00F43284"/>
    <w:rsid w:val="00F43979"/>
    <w:rsid w:val="00F43AD1"/>
    <w:rsid w:val="00F43B80"/>
    <w:rsid w:val="00F43B81"/>
    <w:rsid w:val="00F43C2C"/>
    <w:rsid w:val="00F44190"/>
    <w:rsid w:val="00F44A21"/>
    <w:rsid w:val="00F4612D"/>
    <w:rsid w:val="00F46308"/>
    <w:rsid w:val="00F465C2"/>
    <w:rsid w:val="00F46919"/>
    <w:rsid w:val="00F46B3E"/>
    <w:rsid w:val="00F46CCF"/>
    <w:rsid w:val="00F46D1F"/>
    <w:rsid w:val="00F47105"/>
    <w:rsid w:val="00F474FA"/>
    <w:rsid w:val="00F47AD7"/>
    <w:rsid w:val="00F5014A"/>
    <w:rsid w:val="00F50914"/>
    <w:rsid w:val="00F50B86"/>
    <w:rsid w:val="00F50C6D"/>
    <w:rsid w:val="00F514E0"/>
    <w:rsid w:val="00F51915"/>
    <w:rsid w:val="00F51A2F"/>
    <w:rsid w:val="00F52C0E"/>
    <w:rsid w:val="00F537C8"/>
    <w:rsid w:val="00F53C48"/>
    <w:rsid w:val="00F53EF8"/>
    <w:rsid w:val="00F5491C"/>
    <w:rsid w:val="00F54B2B"/>
    <w:rsid w:val="00F54E15"/>
    <w:rsid w:val="00F54F4D"/>
    <w:rsid w:val="00F55100"/>
    <w:rsid w:val="00F55D17"/>
    <w:rsid w:val="00F55FED"/>
    <w:rsid w:val="00F57563"/>
    <w:rsid w:val="00F57799"/>
    <w:rsid w:val="00F60531"/>
    <w:rsid w:val="00F60BAA"/>
    <w:rsid w:val="00F622F5"/>
    <w:rsid w:val="00F625E1"/>
    <w:rsid w:val="00F62B0E"/>
    <w:rsid w:val="00F63750"/>
    <w:rsid w:val="00F64701"/>
    <w:rsid w:val="00F649F6"/>
    <w:rsid w:val="00F64B6D"/>
    <w:rsid w:val="00F64E46"/>
    <w:rsid w:val="00F65434"/>
    <w:rsid w:val="00F65832"/>
    <w:rsid w:val="00F66288"/>
    <w:rsid w:val="00F666B7"/>
    <w:rsid w:val="00F66B5B"/>
    <w:rsid w:val="00F67681"/>
    <w:rsid w:val="00F6768A"/>
    <w:rsid w:val="00F67876"/>
    <w:rsid w:val="00F67915"/>
    <w:rsid w:val="00F67E2B"/>
    <w:rsid w:val="00F709BB"/>
    <w:rsid w:val="00F70FD1"/>
    <w:rsid w:val="00F712AC"/>
    <w:rsid w:val="00F731A6"/>
    <w:rsid w:val="00F7349B"/>
    <w:rsid w:val="00F740E3"/>
    <w:rsid w:val="00F743C4"/>
    <w:rsid w:val="00F74F2F"/>
    <w:rsid w:val="00F75334"/>
    <w:rsid w:val="00F755AA"/>
    <w:rsid w:val="00F75D3B"/>
    <w:rsid w:val="00F767C0"/>
    <w:rsid w:val="00F76A27"/>
    <w:rsid w:val="00F76C21"/>
    <w:rsid w:val="00F76DE0"/>
    <w:rsid w:val="00F76EBF"/>
    <w:rsid w:val="00F775AF"/>
    <w:rsid w:val="00F7773A"/>
    <w:rsid w:val="00F77F3E"/>
    <w:rsid w:val="00F80AE0"/>
    <w:rsid w:val="00F80E58"/>
    <w:rsid w:val="00F814F2"/>
    <w:rsid w:val="00F82A9C"/>
    <w:rsid w:val="00F83287"/>
    <w:rsid w:val="00F832E3"/>
    <w:rsid w:val="00F83907"/>
    <w:rsid w:val="00F843A7"/>
    <w:rsid w:val="00F84825"/>
    <w:rsid w:val="00F84B6A"/>
    <w:rsid w:val="00F85063"/>
    <w:rsid w:val="00F860C1"/>
    <w:rsid w:val="00F870AE"/>
    <w:rsid w:val="00F874CC"/>
    <w:rsid w:val="00F8794C"/>
    <w:rsid w:val="00F87D28"/>
    <w:rsid w:val="00F87EF4"/>
    <w:rsid w:val="00F9063E"/>
    <w:rsid w:val="00F90CEE"/>
    <w:rsid w:val="00F914AB"/>
    <w:rsid w:val="00F91CA9"/>
    <w:rsid w:val="00F9214F"/>
    <w:rsid w:val="00F92FEB"/>
    <w:rsid w:val="00F93D8A"/>
    <w:rsid w:val="00F94152"/>
    <w:rsid w:val="00F94940"/>
    <w:rsid w:val="00F94F59"/>
    <w:rsid w:val="00F94FDB"/>
    <w:rsid w:val="00F9570F"/>
    <w:rsid w:val="00F95AA1"/>
    <w:rsid w:val="00F9612D"/>
    <w:rsid w:val="00F965AF"/>
    <w:rsid w:val="00F97AD8"/>
    <w:rsid w:val="00FA1BB4"/>
    <w:rsid w:val="00FA28C0"/>
    <w:rsid w:val="00FA2B6F"/>
    <w:rsid w:val="00FA43EF"/>
    <w:rsid w:val="00FA45E3"/>
    <w:rsid w:val="00FA6D8E"/>
    <w:rsid w:val="00FA70EC"/>
    <w:rsid w:val="00FA7651"/>
    <w:rsid w:val="00FA7725"/>
    <w:rsid w:val="00FB0940"/>
    <w:rsid w:val="00FB1970"/>
    <w:rsid w:val="00FB2260"/>
    <w:rsid w:val="00FB282B"/>
    <w:rsid w:val="00FB2DCB"/>
    <w:rsid w:val="00FB2ED8"/>
    <w:rsid w:val="00FB4436"/>
    <w:rsid w:val="00FB4AA9"/>
    <w:rsid w:val="00FB50B5"/>
    <w:rsid w:val="00FB6489"/>
    <w:rsid w:val="00FB6C95"/>
    <w:rsid w:val="00FB6D99"/>
    <w:rsid w:val="00FB7518"/>
    <w:rsid w:val="00FC09A0"/>
    <w:rsid w:val="00FC0CC0"/>
    <w:rsid w:val="00FC2EE3"/>
    <w:rsid w:val="00FC4304"/>
    <w:rsid w:val="00FC6BBB"/>
    <w:rsid w:val="00FC6FEA"/>
    <w:rsid w:val="00FC7CA9"/>
    <w:rsid w:val="00FD0D99"/>
    <w:rsid w:val="00FD0DA8"/>
    <w:rsid w:val="00FD102A"/>
    <w:rsid w:val="00FD127A"/>
    <w:rsid w:val="00FD1294"/>
    <w:rsid w:val="00FD27E8"/>
    <w:rsid w:val="00FD3144"/>
    <w:rsid w:val="00FD4162"/>
    <w:rsid w:val="00FD5EBE"/>
    <w:rsid w:val="00FD5F46"/>
    <w:rsid w:val="00FD608E"/>
    <w:rsid w:val="00FD6C68"/>
    <w:rsid w:val="00FD6C8E"/>
    <w:rsid w:val="00FD7771"/>
    <w:rsid w:val="00FD7F9D"/>
    <w:rsid w:val="00FE00D4"/>
    <w:rsid w:val="00FE0771"/>
    <w:rsid w:val="00FE158B"/>
    <w:rsid w:val="00FE17C3"/>
    <w:rsid w:val="00FE1E3A"/>
    <w:rsid w:val="00FE21DD"/>
    <w:rsid w:val="00FE2CA1"/>
    <w:rsid w:val="00FE2DD1"/>
    <w:rsid w:val="00FE2E25"/>
    <w:rsid w:val="00FE3008"/>
    <w:rsid w:val="00FE378C"/>
    <w:rsid w:val="00FE3F42"/>
    <w:rsid w:val="00FE415E"/>
    <w:rsid w:val="00FE42C1"/>
    <w:rsid w:val="00FE565E"/>
    <w:rsid w:val="00FE58DA"/>
    <w:rsid w:val="00FE6185"/>
    <w:rsid w:val="00FE640C"/>
    <w:rsid w:val="00FE7A41"/>
    <w:rsid w:val="00FF00F6"/>
    <w:rsid w:val="00FF014C"/>
    <w:rsid w:val="00FF0536"/>
    <w:rsid w:val="00FF0EDC"/>
    <w:rsid w:val="00FF1A8D"/>
    <w:rsid w:val="00FF1D89"/>
    <w:rsid w:val="00FF308A"/>
    <w:rsid w:val="00FF3201"/>
    <w:rsid w:val="00FF35B5"/>
    <w:rsid w:val="00FF3E5F"/>
    <w:rsid w:val="00FF41F3"/>
    <w:rsid w:val="00FF65E0"/>
    <w:rsid w:val="00FF67CF"/>
    <w:rsid w:val="00FF7504"/>
    <w:rsid w:val="00FF78DC"/>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EC68F1"/>
  <w15:docId w15:val="{3779BA30-943B-4C86-8603-735F1D400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3901"/>
    <w:rPr>
      <w:lang w:val="en-US"/>
    </w:rPr>
  </w:style>
  <w:style w:type="paragraph" w:styleId="Heading1">
    <w:name w:val="heading 1"/>
    <w:basedOn w:val="Normal"/>
    <w:next w:val="Normal"/>
    <w:link w:val="Heading1Char"/>
    <w:uiPriority w:val="9"/>
    <w:qFormat/>
    <w:rsid w:val="00EC2C49"/>
    <w:pPr>
      <w:keepNext/>
      <w:keepLines/>
      <w:spacing w:after="120" w:line="480" w:lineRule="auto"/>
      <w:jc w:val="both"/>
      <w:outlineLvl w:val="0"/>
    </w:pPr>
    <w:rPr>
      <w:rFonts w:ascii="Times New Roman" w:eastAsiaTheme="majorEastAsia" w:hAnsi="Times New Roman" w:cstheme="majorBidi"/>
      <w:b/>
      <w:bCs/>
      <w:sz w:val="26"/>
      <w:szCs w:val="28"/>
      <w:lang w:val="en-SG" w:eastAsia="en-US"/>
    </w:rPr>
  </w:style>
  <w:style w:type="paragraph" w:styleId="Heading2">
    <w:name w:val="heading 2"/>
    <w:basedOn w:val="Normal"/>
    <w:next w:val="Normal"/>
    <w:link w:val="Heading2Char"/>
    <w:uiPriority w:val="9"/>
    <w:unhideWhenUsed/>
    <w:qFormat/>
    <w:rsid w:val="00D3147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D3147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DC1BE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A563E5"/>
    <w:pPr>
      <w:keepNext/>
      <w:keepLines/>
      <w:spacing w:before="200" w:line="360" w:lineRule="auto"/>
      <w:ind w:left="1008" w:hanging="1008"/>
      <w:jc w:val="both"/>
      <w:outlineLvl w:val="4"/>
    </w:pPr>
    <w:rPr>
      <w:rFonts w:ascii="Helvetica" w:eastAsiaTheme="majorEastAsia" w:hAnsi="Helvetica" w:cstheme="majorBidi"/>
      <w:i/>
      <w:sz w:val="24"/>
      <w:lang w:eastAsia="en-US"/>
    </w:rPr>
  </w:style>
  <w:style w:type="paragraph" w:styleId="Heading6">
    <w:name w:val="heading 6"/>
    <w:basedOn w:val="Normal"/>
    <w:next w:val="Normal"/>
    <w:link w:val="Heading6Char"/>
    <w:uiPriority w:val="9"/>
    <w:semiHidden/>
    <w:unhideWhenUsed/>
    <w:qFormat/>
    <w:rsid w:val="00A563E5"/>
    <w:pPr>
      <w:keepNext/>
      <w:keepLines/>
      <w:spacing w:before="200" w:after="0" w:line="360" w:lineRule="auto"/>
      <w:ind w:left="1152" w:hanging="1152"/>
      <w:jc w:val="both"/>
      <w:outlineLvl w:val="5"/>
    </w:pPr>
    <w:rPr>
      <w:rFonts w:asciiTheme="majorHAnsi" w:eastAsiaTheme="majorEastAsia" w:hAnsiTheme="majorHAnsi" w:cstheme="majorBidi"/>
      <w:i/>
      <w:iCs/>
      <w:color w:val="243F60" w:themeColor="accent1" w:themeShade="7F"/>
      <w:sz w:val="24"/>
      <w:lang w:eastAsia="en-US"/>
    </w:rPr>
  </w:style>
  <w:style w:type="paragraph" w:styleId="Heading7">
    <w:name w:val="heading 7"/>
    <w:basedOn w:val="Normal"/>
    <w:next w:val="Normal"/>
    <w:link w:val="Heading7Char"/>
    <w:uiPriority w:val="9"/>
    <w:semiHidden/>
    <w:unhideWhenUsed/>
    <w:qFormat/>
    <w:rsid w:val="00A563E5"/>
    <w:pPr>
      <w:keepNext/>
      <w:keepLines/>
      <w:spacing w:before="200" w:after="0" w:line="360" w:lineRule="auto"/>
      <w:ind w:left="1296" w:hanging="1296"/>
      <w:jc w:val="both"/>
      <w:outlineLvl w:val="6"/>
    </w:pPr>
    <w:rPr>
      <w:rFonts w:asciiTheme="majorHAnsi" w:eastAsiaTheme="majorEastAsia" w:hAnsiTheme="majorHAnsi" w:cstheme="majorBidi"/>
      <w:i/>
      <w:iCs/>
      <w:color w:val="404040" w:themeColor="text1" w:themeTint="BF"/>
      <w:sz w:val="24"/>
      <w:lang w:eastAsia="en-US"/>
    </w:rPr>
  </w:style>
  <w:style w:type="paragraph" w:styleId="Heading8">
    <w:name w:val="heading 8"/>
    <w:basedOn w:val="Normal"/>
    <w:next w:val="Normal"/>
    <w:link w:val="Heading8Char"/>
    <w:uiPriority w:val="9"/>
    <w:semiHidden/>
    <w:unhideWhenUsed/>
    <w:qFormat/>
    <w:rsid w:val="00A563E5"/>
    <w:pPr>
      <w:keepNext/>
      <w:keepLines/>
      <w:spacing w:before="200" w:after="0" w:line="360" w:lineRule="auto"/>
      <w:ind w:left="1440" w:hanging="1440"/>
      <w:jc w:val="both"/>
      <w:outlineLvl w:val="7"/>
    </w:pPr>
    <w:rPr>
      <w:rFonts w:asciiTheme="majorHAnsi" w:eastAsiaTheme="majorEastAsia" w:hAnsiTheme="majorHAnsi" w:cstheme="majorBidi"/>
      <w:color w:val="404040" w:themeColor="text1" w:themeTint="BF"/>
      <w:sz w:val="20"/>
      <w:szCs w:val="20"/>
      <w:lang w:eastAsia="en-US"/>
    </w:rPr>
  </w:style>
  <w:style w:type="paragraph" w:styleId="Heading9">
    <w:name w:val="heading 9"/>
    <w:basedOn w:val="Normal"/>
    <w:next w:val="Normal"/>
    <w:link w:val="Heading9Char"/>
    <w:uiPriority w:val="9"/>
    <w:semiHidden/>
    <w:unhideWhenUsed/>
    <w:qFormat/>
    <w:rsid w:val="00A563E5"/>
    <w:pPr>
      <w:keepNext/>
      <w:keepLines/>
      <w:spacing w:before="200" w:after="0" w:line="360" w:lineRule="auto"/>
      <w:ind w:left="1584" w:hanging="1584"/>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2C49"/>
    <w:rPr>
      <w:rFonts w:ascii="Times New Roman" w:eastAsiaTheme="majorEastAsia" w:hAnsi="Times New Roman" w:cstheme="majorBidi"/>
      <w:b/>
      <w:bCs/>
      <w:sz w:val="26"/>
      <w:szCs w:val="28"/>
      <w:lang w:eastAsia="en-US"/>
    </w:rPr>
  </w:style>
  <w:style w:type="table" w:styleId="LightShading">
    <w:name w:val="Light Shading"/>
    <w:basedOn w:val="TableNormal"/>
    <w:uiPriority w:val="60"/>
    <w:rsid w:val="00660D0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alloonText">
    <w:name w:val="Balloon Text"/>
    <w:basedOn w:val="Normal"/>
    <w:link w:val="BalloonTextChar"/>
    <w:uiPriority w:val="99"/>
    <w:semiHidden/>
    <w:unhideWhenUsed/>
    <w:rsid w:val="00660D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0D08"/>
    <w:rPr>
      <w:rFonts w:ascii="Tahoma" w:hAnsi="Tahoma" w:cs="Tahoma"/>
      <w:sz w:val="16"/>
      <w:szCs w:val="16"/>
      <w:lang w:val="en-US"/>
    </w:rPr>
  </w:style>
  <w:style w:type="character" w:customStyle="1" w:styleId="fontstyle01">
    <w:name w:val="fontstyle01"/>
    <w:basedOn w:val="DefaultParagraphFont"/>
    <w:rsid w:val="00660D08"/>
    <w:rPr>
      <w:rFonts w:ascii="Arial" w:hAnsi="Arial" w:cs="Arial" w:hint="default"/>
      <w:b w:val="0"/>
      <w:bCs w:val="0"/>
      <w:i w:val="0"/>
      <w:iCs w:val="0"/>
      <w:color w:val="000000"/>
      <w:sz w:val="20"/>
      <w:szCs w:val="20"/>
    </w:rPr>
  </w:style>
  <w:style w:type="character" w:customStyle="1" w:styleId="fontstyle21">
    <w:name w:val="fontstyle21"/>
    <w:basedOn w:val="DefaultParagraphFont"/>
    <w:rsid w:val="00660D08"/>
    <w:rPr>
      <w:rFonts w:ascii="Arial" w:hAnsi="Arial" w:cs="Arial" w:hint="default"/>
      <w:b w:val="0"/>
      <w:bCs w:val="0"/>
      <w:i/>
      <w:iCs/>
      <w:color w:val="000000"/>
      <w:sz w:val="20"/>
      <w:szCs w:val="20"/>
    </w:rPr>
  </w:style>
  <w:style w:type="paragraph" w:styleId="ListParagraph">
    <w:name w:val="List Paragraph"/>
    <w:basedOn w:val="Normal"/>
    <w:uiPriority w:val="34"/>
    <w:qFormat/>
    <w:rsid w:val="007F335D"/>
    <w:pPr>
      <w:ind w:left="720"/>
      <w:contextualSpacing/>
    </w:pPr>
  </w:style>
  <w:style w:type="character" w:styleId="PlaceholderText">
    <w:name w:val="Placeholder Text"/>
    <w:basedOn w:val="DefaultParagraphFont"/>
    <w:uiPriority w:val="99"/>
    <w:semiHidden/>
    <w:rsid w:val="00885522"/>
    <w:rPr>
      <w:color w:val="808080"/>
    </w:rPr>
  </w:style>
  <w:style w:type="table" w:styleId="MediumShading2">
    <w:name w:val="Medium Shading 2"/>
    <w:basedOn w:val="TableNormal"/>
    <w:uiPriority w:val="64"/>
    <w:rsid w:val="00CD505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st">
    <w:name w:val="st"/>
    <w:basedOn w:val="DefaultParagraphFont"/>
    <w:rsid w:val="00CD2243"/>
  </w:style>
  <w:style w:type="character" w:styleId="CommentReference">
    <w:name w:val="annotation reference"/>
    <w:basedOn w:val="DefaultParagraphFont"/>
    <w:uiPriority w:val="99"/>
    <w:semiHidden/>
    <w:unhideWhenUsed/>
    <w:rsid w:val="00246029"/>
    <w:rPr>
      <w:sz w:val="16"/>
      <w:szCs w:val="16"/>
    </w:rPr>
  </w:style>
  <w:style w:type="paragraph" w:styleId="CommentText">
    <w:name w:val="annotation text"/>
    <w:basedOn w:val="Normal"/>
    <w:link w:val="CommentTextChar"/>
    <w:uiPriority w:val="99"/>
    <w:unhideWhenUsed/>
    <w:rsid w:val="00246029"/>
    <w:pPr>
      <w:spacing w:line="240" w:lineRule="auto"/>
    </w:pPr>
    <w:rPr>
      <w:sz w:val="20"/>
      <w:szCs w:val="20"/>
    </w:rPr>
  </w:style>
  <w:style w:type="character" w:customStyle="1" w:styleId="CommentTextChar">
    <w:name w:val="Comment Text Char"/>
    <w:basedOn w:val="DefaultParagraphFont"/>
    <w:link w:val="CommentText"/>
    <w:uiPriority w:val="99"/>
    <w:rsid w:val="00246029"/>
    <w:rPr>
      <w:sz w:val="20"/>
      <w:szCs w:val="20"/>
      <w:lang w:val="en-US"/>
    </w:rPr>
  </w:style>
  <w:style w:type="paragraph" w:styleId="CommentSubject">
    <w:name w:val="annotation subject"/>
    <w:basedOn w:val="CommentText"/>
    <w:next w:val="CommentText"/>
    <w:link w:val="CommentSubjectChar"/>
    <w:uiPriority w:val="99"/>
    <w:semiHidden/>
    <w:unhideWhenUsed/>
    <w:rsid w:val="00246029"/>
    <w:rPr>
      <w:b/>
      <w:bCs/>
    </w:rPr>
  </w:style>
  <w:style w:type="character" w:customStyle="1" w:styleId="CommentSubjectChar">
    <w:name w:val="Comment Subject Char"/>
    <w:basedOn w:val="CommentTextChar"/>
    <w:link w:val="CommentSubject"/>
    <w:uiPriority w:val="99"/>
    <w:semiHidden/>
    <w:rsid w:val="00246029"/>
    <w:rPr>
      <w:b/>
      <w:bCs/>
      <w:sz w:val="20"/>
      <w:szCs w:val="20"/>
      <w:lang w:val="en-US"/>
    </w:rPr>
  </w:style>
  <w:style w:type="table" w:styleId="TableGrid">
    <w:name w:val="Table Grid"/>
    <w:basedOn w:val="TableNormal"/>
    <w:uiPriority w:val="39"/>
    <w:rsid w:val="002268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152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526A"/>
    <w:rPr>
      <w:lang w:val="en-US"/>
    </w:rPr>
  </w:style>
  <w:style w:type="paragraph" w:styleId="Footer">
    <w:name w:val="footer"/>
    <w:basedOn w:val="Normal"/>
    <w:link w:val="FooterChar"/>
    <w:uiPriority w:val="99"/>
    <w:unhideWhenUsed/>
    <w:rsid w:val="009152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1526A"/>
    <w:rPr>
      <w:lang w:val="en-US"/>
    </w:rPr>
  </w:style>
  <w:style w:type="character" w:styleId="Hyperlink">
    <w:name w:val="Hyperlink"/>
    <w:basedOn w:val="DefaultParagraphFont"/>
    <w:uiPriority w:val="99"/>
    <w:unhideWhenUsed/>
    <w:rsid w:val="00EC2C49"/>
    <w:rPr>
      <w:color w:val="0000FF" w:themeColor="hyperlink"/>
      <w:u w:val="single"/>
    </w:rPr>
  </w:style>
  <w:style w:type="paragraph" w:styleId="NoSpacing">
    <w:name w:val="No Spacing"/>
    <w:link w:val="NoSpacingChar"/>
    <w:uiPriority w:val="1"/>
    <w:qFormat/>
    <w:rsid w:val="00651552"/>
    <w:pPr>
      <w:spacing w:after="120" w:line="240" w:lineRule="auto"/>
    </w:pPr>
    <w:rPr>
      <w:rFonts w:ascii="Times New Roman" w:eastAsiaTheme="minorHAnsi" w:hAnsi="Times New Roman" w:cs="Times New Roman"/>
      <w:sz w:val="24"/>
      <w:szCs w:val="18"/>
      <w:lang w:eastAsia="en-US"/>
    </w:rPr>
  </w:style>
  <w:style w:type="character" w:customStyle="1" w:styleId="NoSpacingChar">
    <w:name w:val="No Spacing Char"/>
    <w:basedOn w:val="DefaultParagraphFont"/>
    <w:link w:val="NoSpacing"/>
    <w:uiPriority w:val="1"/>
    <w:rsid w:val="00651552"/>
    <w:rPr>
      <w:rFonts w:ascii="Times New Roman" w:eastAsiaTheme="minorHAnsi" w:hAnsi="Times New Roman" w:cs="Times New Roman"/>
      <w:sz w:val="24"/>
      <w:szCs w:val="18"/>
      <w:lang w:eastAsia="en-US"/>
    </w:rPr>
  </w:style>
  <w:style w:type="paragraph" w:styleId="FootnoteText">
    <w:name w:val="footnote text"/>
    <w:basedOn w:val="Normal"/>
    <w:link w:val="FootnoteTextChar"/>
    <w:uiPriority w:val="99"/>
    <w:semiHidden/>
    <w:unhideWhenUsed/>
    <w:rsid w:val="00D358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358B9"/>
    <w:rPr>
      <w:sz w:val="20"/>
      <w:szCs w:val="20"/>
      <w:lang w:val="en-US"/>
    </w:rPr>
  </w:style>
  <w:style w:type="character" w:styleId="FootnoteReference">
    <w:name w:val="footnote reference"/>
    <w:basedOn w:val="DefaultParagraphFont"/>
    <w:uiPriority w:val="99"/>
    <w:semiHidden/>
    <w:unhideWhenUsed/>
    <w:rsid w:val="00D358B9"/>
    <w:rPr>
      <w:vertAlign w:val="superscript"/>
    </w:rPr>
  </w:style>
  <w:style w:type="paragraph" w:styleId="HTMLAddress">
    <w:name w:val="HTML Address"/>
    <w:basedOn w:val="Normal"/>
    <w:link w:val="HTMLAddressChar"/>
    <w:uiPriority w:val="99"/>
    <w:semiHidden/>
    <w:unhideWhenUsed/>
    <w:rsid w:val="00887088"/>
    <w:pPr>
      <w:spacing w:after="0" w:line="240" w:lineRule="auto"/>
    </w:pPr>
    <w:rPr>
      <w:i/>
      <w:iCs/>
    </w:rPr>
  </w:style>
  <w:style w:type="character" w:customStyle="1" w:styleId="HTMLAddressChar">
    <w:name w:val="HTML Address Char"/>
    <w:basedOn w:val="DefaultParagraphFont"/>
    <w:link w:val="HTMLAddress"/>
    <w:uiPriority w:val="99"/>
    <w:semiHidden/>
    <w:rsid w:val="00887088"/>
    <w:rPr>
      <w:i/>
      <w:iCs/>
      <w:lang w:val="en-US"/>
    </w:rPr>
  </w:style>
  <w:style w:type="paragraph" w:styleId="Revision">
    <w:name w:val="Revision"/>
    <w:hidden/>
    <w:uiPriority w:val="99"/>
    <w:semiHidden/>
    <w:rsid w:val="00BD5223"/>
    <w:pPr>
      <w:spacing w:after="0" w:line="240" w:lineRule="auto"/>
    </w:pPr>
    <w:rPr>
      <w:lang w:val="en-US"/>
    </w:rPr>
  </w:style>
  <w:style w:type="table" w:customStyle="1" w:styleId="TableGrid1">
    <w:name w:val="Table Grid1"/>
    <w:basedOn w:val="TableNormal"/>
    <w:next w:val="TableGrid"/>
    <w:uiPriority w:val="59"/>
    <w:rsid w:val="00ED2E93"/>
    <w:pPr>
      <w:spacing w:after="0" w:line="240" w:lineRule="auto"/>
    </w:pPr>
    <w:rPr>
      <w:rFonts w:eastAsia="Calibri" w:cs="Times New Roman"/>
      <w:sz w:val="24"/>
      <w:szCs w:val="1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D22B62"/>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8C1F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SG"/>
    </w:rPr>
  </w:style>
  <w:style w:type="character" w:customStyle="1" w:styleId="HTMLPreformattedChar">
    <w:name w:val="HTML Preformatted Char"/>
    <w:basedOn w:val="DefaultParagraphFont"/>
    <w:link w:val="HTMLPreformatted"/>
    <w:uiPriority w:val="99"/>
    <w:semiHidden/>
    <w:rsid w:val="008C1F4B"/>
    <w:rPr>
      <w:rFonts w:ascii="Courier New" w:eastAsia="Times New Roman" w:hAnsi="Courier New" w:cs="Courier New"/>
      <w:sz w:val="20"/>
      <w:szCs w:val="20"/>
    </w:rPr>
  </w:style>
  <w:style w:type="character" w:customStyle="1" w:styleId="gnkrckgcgsb">
    <w:name w:val="gnkrckgcgsb"/>
    <w:basedOn w:val="DefaultParagraphFont"/>
    <w:rsid w:val="008C1F4B"/>
  </w:style>
  <w:style w:type="character" w:customStyle="1" w:styleId="gnkrckgcmsb">
    <w:name w:val="gnkrckgcmsb"/>
    <w:basedOn w:val="DefaultParagraphFont"/>
    <w:rsid w:val="008C1F4B"/>
  </w:style>
  <w:style w:type="character" w:customStyle="1" w:styleId="gnkrckgcmrb">
    <w:name w:val="gnkrckgcmrb"/>
    <w:basedOn w:val="DefaultParagraphFont"/>
    <w:rsid w:val="008C1F4B"/>
  </w:style>
  <w:style w:type="paragraph" w:styleId="NormalWeb">
    <w:name w:val="Normal (Web)"/>
    <w:basedOn w:val="Normal"/>
    <w:link w:val="NormalWebChar"/>
    <w:uiPriority w:val="99"/>
    <w:unhideWhenUsed/>
    <w:rsid w:val="00AB1AD3"/>
    <w:pPr>
      <w:spacing w:before="100" w:beforeAutospacing="1" w:after="100" w:afterAutospacing="1" w:line="240" w:lineRule="auto"/>
    </w:pPr>
    <w:rPr>
      <w:rFonts w:ascii="Times New Roman" w:hAnsi="Times New Roman" w:cs="Times New Roman"/>
      <w:sz w:val="24"/>
      <w:szCs w:val="24"/>
      <w:lang w:val="en-SG" w:eastAsia="en-SG"/>
    </w:rPr>
  </w:style>
  <w:style w:type="character" w:customStyle="1" w:styleId="fontstyle31">
    <w:name w:val="fontstyle31"/>
    <w:basedOn w:val="DefaultParagraphFont"/>
    <w:rsid w:val="00F04B16"/>
    <w:rPr>
      <w:rFonts w:ascii="Universal-GreekwithMathPi" w:hAnsi="Universal-GreekwithMathPi" w:hint="default"/>
      <w:b w:val="0"/>
      <w:bCs w:val="0"/>
      <w:i w:val="0"/>
      <w:iCs w:val="0"/>
      <w:color w:val="231F20"/>
      <w:sz w:val="12"/>
      <w:szCs w:val="12"/>
    </w:rPr>
  </w:style>
  <w:style w:type="table" w:customStyle="1" w:styleId="TableGridLight1">
    <w:name w:val="Table Grid Light1"/>
    <w:basedOn w:val="TableNormal"/>
    <w:uiPriority w:val="40"/>
    <w:rsid w:val="00D25EE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2Char">
    <w:name w:val="Heading 2 Char"/>
    <w:basedOn w:val="DefaultParagraphFont"/>
    <w:link w:val="Heading2"/>
    <w:uiPriority w:val="9"/>
    <w:rsid w:val="00D31474"/>
    <w:rPr>
      <w:rFonts w:asciiTheme="majorHAnsi" w:eastAsiaTheme="majorEastAsia" w:hAnsiTheme="majorHAnsi" w:cstheme="majorBidi"/>
      <w:color w:val="365F91" w:themeColor="accent1" w:themeShade="BF"/>
      <w:sz w:val="26"/>
      <w:szCs w:val="26"/>
      <w:lang w:val="en-US"/>
    </w:rPr>
  </w:style>
  <w:style w:type="character" w:customStyle="1" w:styleId="Heading3Char">
    <w:name w:val="Heading 3 Char"/>
    <w:basedOn w:val="DefaultParagraphFont"/>
    <w:link w:val="Heading3"/>
    <w:uiPriority w:val="9"/>
    <w:rsid w:val="00D31474"/>
    <w:rPr>
      <w:rFonts w:asciiTheme="majorHAnsi" w:eastAsiaTheme="majorEastAsia" w:hAnsiTheme="majorHAnsi" w:cstheme="majorBidi"/>
      <w:color w:val="243F60" w:themeColor="accent1" w:themeShade="7F"/>
      <w:sz w:val="24"/>
      <w:szCs w:val="24"/>
      <w:lang w:val="en-US"/>
    </w:rPr>
  </w:style>
  <w:style w:type="character" w:customStyle="1" w:styleId="normaltextrun">
    <w:name w:val="normaltextrun"/>
    <w:basedOn w:val="DefaultParagraphFont"/>
    <w:rsid w:val="00D31474"/>
  </w:style>
  <w:style w:type="character" w:customStyle="1" w:styleId="Heading4Char">
    <w:name w:val="Heading 4 Char"/>
    <w:basedOn w:val="DefaultParagraphFont"/>
    <w:link w:val="Heading4"/>
    <w:uiPriority w:val="9"/>
    <w:rsid w:val="00DC1BE7"/>
    <w:rPr>
      <w:rFonts w:asciiTheme="majorHAnsi" w:eastAsiaTheme="majorEastAsia" w:hAnsiTheme="majorHAnsi" w:cstheme="majorBidi"/>
      <w:i/>
      <w:iCs/>
      <w:color w:val="365F91" w:themeColor="accent1" w:themeShade="BF"/>
      <w:lang w:val="en-US"/>
    </w:rPr>
  </w:style>
  <w:style w:type="character" w:customStyle="1" w:styleId="Heading5Char">
    <w:name w:val="Heading 5 Char"/>
    <w:basedOn w:val="DefaultParagraphFont"/>
    <w:link w:val="Heading5"/>
    <w:uiPriority w:val="9"/>
    <w:rsid w:val="00A563E5"/>
    <w:rPr>
      <w:rFonts w:ascii="Helvetica" w:eastAsiaTheme="majorEastAsia" w:hAnsi="Helvetica" w:cstheme="majorBidi"/>
      <w:i/>
      <w:sz w:val="24"/>
      <w:lang w:val="en-US" w:eastAsia="en-US"/>
    </w:rPr>
  </w:style>
  <w:style w:type="character" w:customStyle="1" w:styleId="Heading6Char">
    <w:name w:val="Heading 6 Char"/>
    <w:basedOn w:val="DefaultParagraphFont"/>
    <w:link w:val="Heading6"/>
    <w:uiPriority w:val="9"/>
    <w:semiHidden/>
    <w:rsid w:val="00A563E5"/>
    <w:rPr>
      <w:rFonts w:asciiTheme="majorHAnsi" w:eastAsiaTheme="majorEastAsia" w:hAnsiTheme="majorHAnsi" w:cstheme="majorBidi"/>
      <w:i/>
      <w:iCs/>
      <w:color w:val="243F60" w:themeColor="accent1" w:themeShade="7F"/>
      <w:sz w:val="24"/>
      <w:lang w:val="en-US" w:eastAsia="en-US"/>
    </w:rPr>
  </w:style>
  <w:style w:type="character" w:customStyle="1" w:styleId="Heading7Char">
    <w:name w:val="Heading 7 Char"/>
    <w:basedOn w:val="DefaultParagraphFont"/>
    <w:link w:val="Heading7"/>
    <w:uiPriority w:val="9"/>
    <w:semiHidden/>
    <w:rsid w:val="00A563E5"/>
    <w:rPr>
      <w:rFonts w:asciiTheme="majorHAnsi" w:eastAsiaTheme="majorEastAsia" w:hAnsiTheme="majorHAnsi" w:cstheme="majorBidi"/>
      <w:i/>
      <w:iCs/>
      <w:color w:val="404040" w:themeColor="text1" w:themeTint="BF"/>
      <w:sz w:val="24"/>
      <w:lang w:val="en-US" w:eastAsia="en-US"/>
    </w:rPr>
  </w:style>
  <w:style w:type="character" w:customStyle="1" w:styleId="Heading8Char">
    <w:name w:val="Heading 8 Char"/>
    <w:basedOn w:val="DefaultParagraphFont"/>
    <w:link w:val="Heading8"/>
    <w:uiPriority w:val="9"/>
    <w:semiHidden/>
    <w:rsid w:val="00A563E5"/>
    <w:rPr>
      <w:rFonts w:asciiTheme="majorHAnsi" w:eastAsiaTheme="majorEastAsia" w:hAnsiTheme="majorHAnsi" w:cstheme="majorBidi"/>
      <w:color w:val="404040" w:themeColor="text1" w:themeTint="BF"/>
      <w:sz w:val="20"/>
      <w:szCs w:val="20"/>
      <w:lang w:val="en-US" w:eastAsia="en-US"/>
    </w:rPr>
  </w:style>
  <w:style w:type="character" w:customStyle="1" w:styleId="Heading9Char">
    <w:name w:val="Heading 9 Char"/>
    <w:basedOn w:val="DefaultParagraphFont"/>
    <w:link w:val="Heading9"/>
    <w:uiPriority w:val="9"/>
    <w:semiHidden/>
    <w:rsid w:val="00A563E5"/>
    <w:rPr>
      <w:rFonts w:asciiTheme="majorHAnsi" w:eastAsiaTheme="majorEastAsia" w:hAnsiTheme="majorHAnsi" w:cstheme="majorBidi"/>
      <w:i/>
      <w:iCs/>
      <w:color w:val="404040" w:themeColor="text1" w:themeTint="BF"/>
      <w:sz w:val="20"/>
      <w:szCs w:val="20"/>
      <w:lang w:val="en-US" w:eastAsia="en-US"/>
    </w:rPr>
  </w:style>
  <w:style w:type="paragraph" w:styleId="Title">
    <w:name w:val="Title"/>
    <w:basedOn w:val="Normal"/>
    <w:next w:val="Normal"/>
    <w:link w:val="TitleChar"/>
    <w:uiPriority w:val="10"/>
    <w:qFormat/>
    <w:rsid w:val="00A563E5"/>
    <w:pPr>
      <w:spacing w:after="180" w:line="360" w:lineRule="auto"/>
      <w:contextualSpacing/>
      <w:jc w:val="center"/>
    </w:pPr>
    <w:rPr>
      <w:rFonts w:ascii="Times New Roman" w:eastAsiaTheme="majorEastAsia" w:hAnsi="Times New Roman" w:cstheme="majorBidi"/>
      <w:b/>
      <w:spacing w:val="5"/>
      <w:kern w:val="28"/>
      <w:sz w:val="32"/>
      <w:szCs w:val="52"/>
      <w:lang w:eastAsia="en-US"/>
    </w:rPr>
  </w:style>
  <w:style w:type="character" w:customStyle="1" w:styleId="TitleChar">
    <w:name w:val="Title Char"/>
    <w:basedOn w:val="DefaultParagraphFont"/>
    <w:link w:val="Title"/>
    <w:uiPriority w:val="10"/>
    <w:rsid w:val="00A563E5"/>
    <w:rPr>
      <w:rFonts w:ascii="Times New Roman" w:eastAsiaTheme="majorEastAsia" w:hAnsi="Times New Roman" w:cstheme="majorBidi"/>
      <w:b/>
      <w:spacing w:val="5"/>
      <w:kern w:val="28"/>
      <w:sz w:val="32"/>
      <w:szCs w:val="52"/>
      <w:lang w:val="en-US" w:eastAsia="en-US"/>
    </w:rPr>
  </w:style>
  <w:style w:type="paragraph" w:styleId="TOC1">
    <w:name w:val="toc 1"/>
    <w:basedOn w:val="Default"/>
    <w:next w:val="Normal"/>
    <w:autoRedefine/>
    <w:uiPriority w:val="39"/>
    <w:unhideWhenUsed/>
    <w:qFormat/>
    <w:rsid w:val="00A563E5"/>
    <w:pPr>
      <w:tabs>
        <w:tab w:val="left" w:pos="440"/>
        <w:tab w:val="left" w:pos="1540"/>
        <w:tab w:val="right" w:leader="dot" w:pos="9017"/>
      </w:tabs>
      <w:spacing w:after="200"/>
      <w:jc w:val="both"/>
    </w:pPr>
    <w:rPr>
      <w:rFonts w:ascii="Helvetica" w:hAnsi="Helvetica"/>
      <w:b/>
    </w:rPr>
  </w:style>
  <w:style w:type="paragraph" w:styleId="TOCHeading">
    <w:name w:val="TOC Heading"/>
    <w:basedOn w:val="Heading1"/>
    <w:next w:val="Normal"/>
    <w:uiPriority w:val="39"/>
    <w:unhideWhenUsed/>
    <w:qFormat/>
    <w:rsid w:val="00A563E5"/>
    <w:pPr>
      <w:spacing w:before="480" w:after="0" w:line="276" w:lineRule="auto"/>
      <w:ind w:left="432" w:hanging="432"/>
      <w:outlineLvl w:val="9"/>
    </w:pPr>
    <w:rPr>
      <w:rFonts w:asciiTheme="majorHAnsi" w:hAnsiTheme="majorHAnsi" w:cs="Helvetica"/>
      <w:color w:val="365F91" w:themeColor="accent1" w:themeShade="BF"/>
      <w:sz w:val="28"/>
      <w:lang w:val="en-US"/>
    </w:rPr>
  </w:style>
  <w:style w:type="paragraph" w:styleId="TOC2">
    <w:name w:val="toc 2"/>
    <w:next w:val="Normal"/>
    <w:autoRedefine/>
    <w:uiPriority w:val="39"/>
    <w:unhideWhenUsed/>
    <w:rsid w:val="00A563E5"/>
    <w:pPr>
      <w:tabs>
        <w:tab w:val="left" w:pos="880"/>
        <w:tab w:val="right" w:leader="dot" w:pos="7576"/>
      </w:tabs>
      <w:spacing w:after="100" w:line="259" w:lineRule="auto"/>
      <w:ind w:left="220"/>
    </w:pPr>
    <w:rPr>
      <w:rFonts w:ascii="Helvetica" w:eastAsia="SimSun" w:hAnsi="Helvetica"/>
      <w:sz w:val="24"/>
      <w:lang w:val="en-US" w:eastAsia="en-US"/>
    </w:rPr>
  </w:style>
  <w:style w:type="paragraph" w:styleId="TOC3">
    <w:name w:val="toc 3"/>
    <w:next w:val="Normal"/>
    <w:autoRedefine/>
    <w:uiPriority w:val="39"/>
    <w:unhideWhenUsed/>
    <w:rsid w:val="00A563E5"/>
    <w:pPr>
      <w:spacing w:after="100" w:line="259" w:lineRule="auto"/>
      <w:ind w:left="440"/>
      <w:jc w:val="both"/>
    </w:pPr>
    <w:rPr>
      <w:rFonts w:ascii="Helvetica" w:eastAsia="SimSun" w:hAnsi="Helvetica"/>
      <w:sz w:val="24"/>
      <w:lang w:val="en-US" w:eastAsia="en-US"/>
    </w:rPr>
  </w:style>
  <w:style w:type="paragraph" w:styleId="TOC4">
    <w:name w:val="toc 4"/>
    <w:basedOn w:val="Normal"/>
    <w:next w:val="Normal"/>
    <w:autoRedefine/>
    <w:uiPriority w:val="39"/>
    <w:unhideWhenUsed/>
    <w:rsid w:val="00A563E5"/>
    <w:pPr>
      <w:spacing w:after="100" w:line="360" w:lineRule="auto"/>
      <w:ind w:left="660"/>
      <w:jc w:val="both"/>
    </w:pPr>
    <w:rPr>
      <w:rFonts w:ascii="Times New Roman" w:eastAsia="SimSun" w:hAnsi="Times New Roman"/>
      <w:sz w:val="24"/>
      <w:lang w:eastAsia="en-US"/>
    </w:rPr>
  </w:style>
  <w:style w:type="paragraph" w:styleId="TOC5">
    <w:name w:val="toc 5"/>
    <w:basedOn w:val="Normal"/>
    <w:next w:val="Normal"/>
    <w:autoRedefine/>
    <w:uiPriority w:val="39"/>
    <w:unhideWhenUsed/>
    <w:rsid w:val="00A563E5"/>
    <w:pPr>
      <w:spacing w:after="100" w:line="360" w:lineRule="auto"/>
      <w:ind w:left="880"/>
      <w:jc w:val="both"/>
    </w:pPr>
    <w:rPr>
      <w:rFonts w:ascii="Times New Roman" w:eastAsia="SimSun" w:hAnsi="Times New Roman"/>
      <w:sz w:val="24"/>
      <w:lang w:eastAsia="en-US"/>
    </w:rPr>
  </w:style>
  <w:style w:type="paragraph" w:styleId="NormalIndent">
    <w:name w:val="Normal Indent"/>
    <w:basedOn w:val="Normal"/>
    <w:rsid w:val="00A563E5"/>
    <w:pPr>
      <w:spacing w:after="0" w:line="240" w:lineRule="auto"/>
      <w:ind w:left="720"/>
    </w:pPr>
    <w:rPr>
      <w:rFonts w:ascii="Times New Roman" w:eastAsia="Times New Roman" w:hAnsi="Times New Roman" w:cs="Times New Roman"/>
      <w:sz w:val="24"/>
      <w:szCs w:val="24"/>
      <w:lang w:eastAsia="en-US"/>
    </w:rPr>
  </w:style>
  <w:style w:type="table" w:customStyle="1" w:styleId="MediumList21">
    <w:name w:val="Medium List 21"/>
    <w:basedOn w:val="TableNormal"/>
    <w:uiPriority w:val="66"/>
    <w:rsid w:val="00A563E5"/>
    <w:pPr>
      <w:spacing w:after="0"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Caption">
    <w:name w:val="caption"/>
    <w:basedOn w:val="Normal"/>
    <w:next w:val="Normal"/>
    <w:uiPriority w:val="35"/>
    <w:unhideWhenUsed/>
    <w:qFormat/>
    <w:rsid w:val="00A563E5"/>
    <w:pPr>
      <w:spacing w:line="240" w:lineRule="auto"/>
      <w:jc w:val="both"/>
    </w:pPr>
    <w:rPr>
      <w:rFonts w:ascii="Helvetica" w:eastAsia="SimSun" w:hAnsi="Helvetica"/>
      <w:bCs/>
      <w:sz w:val="20"/>
      <w:szCs w:val="20"/>
      <w:lang w:eastAsia="en-US"/>
    </w:rPr>
  </w:style>
  <w:style w:type="character" w:styleId="Strong">
    <w:name w:val="Strong"/>
    <w:basedOn w:val="DefaultParagraphFont"/>
    <w:uiPriority w:val="22"/>
    <w:qFormat/>
    <w:rsid w:val="00A563E5"/>
    <w:rPr>
      <w:b/>
      <w:bCs/>
    </w:rPr>
  </w:style>
  <w:style w:type="table" w:customStyle="1" w:styleId="LightShading1">
    <w:name w:val="Light Shading1"/>
    <w:basedOn w:val="TableNormal"/>
    <w:uiPriority w:val="60"/>
    <w:rsid w:val="00A563E5"/>
    <w:pPr>
      <w:spacing w:after="0" w:line="240" w:lineRule="auto"/>
    </w:pPr>
    <w:rPr>
      <w:rFonts w:eastAsia="SimSun"/>
      <w:color w:val="000000" w:themeColor="text1" w:themeShade="BF"/>
      <w:lang w:val="en-US"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ableofFigures">
    <w:name w:val="table of figures"/>
    <w:basedOn w:val="Normal"/>
    <w:next w:val="Normal"/>
    <w:uiPriority w:val="99"/>
    <w:unhideWhenUsed/>
    <w:rsid w:val="00A563E5"/>
    <w:pPr>
      <w:spacing w:after="480" w:line="240" w:lineRule="auto"/>
      <w:jc w:val="both"/>
    </w:pPr>
    <w:rPr>
      <w:rFonts w:ascii="Helvetica" w:eastAsia="SimSun" w:hAnsi="Helvetica"/>
      <w:sz w:val="24"/>
      <w:lang w:eastAsia="en-US"/>
    </w:rPr>
  </w:style>
  <w:style w:type="character" w:styleId="FollowedHyperlink">
    <w:name w:val="FollowedHyperlink"/>
    <w:basedOn w:val="DefaultParagraphFont"/>
    <w:uiPriority w:val="99"/>
    <w:semiHidden/>
    <w:unhideWhenUsed/>
    <w:rsid w:val="00A563E5"/>
    <w:rPr>
      <w:color w:val="800080" w:themeColor="followedHyperlink"/>
      <w:u w:val="single"/>
    </w:rPr>
  </w:style>
  <w:style w:type="paragraph" w:styleId="DocumentMap">
    <w:name w:val="Document Map"/>
    <w:basedOn w:val="Normal"/>
    <w:link w:val="DocumentMapChar"/>
    <w:uiPriority w:val="99"/>
    <w:semiHidden/>
    <w:unhideWhenUsed/>
    <w:rsid w:val="00A563E5"/>
    <w:pPr>
      <w:spacing w:after="0" w:line="240" w:lineRule="auto"/>
      <w:jc w:val="both"/>
    </w:pPr>
    <w:rPr>
      <w:rFonts w:ascii="Tahoma" w:eastAsia="SimSun" w:hAnsi="Tahoma" w:cs="Tahoma"/>
      <w:sz w:val="16"/>
      <w:szCs w:val="16"/>
      <w:lang w:eastAsia="en-US"/>
    </w:rPr>
  </w:style>
  <w:style w:type="character" w:customStyle="1" w:styleId="DocumentMapChar">
    <w:name w:val="Document Map Char"/>
    <w:basedOn w:val="DefaultParagraphFont"/>
    <w:link w:val="DocumentMap"/>
    <w:uiPriority w:val="99"/>
    <w:semiHidden/>
    <w:rsid w:val="00A563E5"/>
    <w:rPr>
      <w:rFonts w:ascii="Tahoma" w:eastAsia="SimSun" w:hAnsi="Tahoma" w:cs="Tahoma"/>
      <w:sz w:val="16"/>
      <w:szCs w:val="16"/>
      <w:lang w:val="en-US" w:eastAsia="en-US"/>
    </w:rPr>
  </w:style>
  <w:style w:type="character" w:styleId="Emphasis">
    <w:name w:val="Emphasis"/>
    <w:basedOn w:val="DefaultParagraphFont"/>
    <w:uiPriority w:val="20"/>
    <w:qFormat/>
    <w:rsid w:val="00A563E5"/>
    <w:rPr>
      <w:i/>
      <w:iCs/>
    </w:rPr>
  </w:style>
  <w:style w:type="paragraph" w:customStyle="1" w:styleId="title1">
    <w:name w:val="title1"/>
    <w:basedOn w:val="Normal"/>
    <w:rsid w:val="00A563E5"/>
    <w:pPr>
      <w:spacing w:after="0" w:line="240" w:lineRule="auto"/>
    </w:pPr>
    <w:rPr>
      <w:rFonts w:ascii="Times New Roman" w:eastAsia="Times New Roman" w:hAnsi="Times New Roman" w:cs="Times New Roman"/>
      <w:sz w:val="29"/>
      <w:szCs w:val="29"/>
      <w:lang w:eastAsia="en-US"/>
    </w:rPr>
  </w:style>
  <w:style w:type="paragraph" w:customStyle="1" w:styleId="Style2">
    <w:name w:val="Style2"/>
    <w:basedOn w:val="Normal"/>
    <w:link w:val="Style2Char"/>
    <w:qFormat/>
    <w:rsid w:val="00A563E5"/>
    <w:pPr>
      <w:autoSpaceDE w:val="0"/>
      <w:autoSpaceDN w:val="0"/>
      <w:adjustRightInd w:val="0"/>
      <w:spacing w:after="0" w:line="480" w:lineRule="auto"/>
      <w:jc w:val="both"/>
    </w:pPr>
    <w:rPr>
      <w:rFonts w:ascii="Arial" w:eastAsia="SimSun" w:hAnsi="Arial" w:cs="Arial"/>
      <w:sz w:val="24"/>
      <w:szCs w:val="24"/>
      <w:lang w:val="en-SG" w:eastAsia="en-US"/>
    </w:rPr>
  </w:style>
  <w:style w:type="character" w:customStyle="1" w:styleId="Style2Char">
    <w:name w:val="Style2 Char"/>
    <w:basedOn w:val="DefaultParagraphFont"/>
    <w:link w:val="Style2"/>
    <w:rsid w:val="00A563E5"/>
    <w:rPr>
      <w:rFonts w:ascii="Arial" w:eastAsia="SimSun" w:hAnsi="Arial" w:cs="Arial"/>
      <w:sz w:val="24"/>
      <w:szCs w:val="24"/>
      <w:lang w:eastAsia="en-US"/>
    </w:rPr>
  </w:style>
  <w:style w:type="paragraph" w:styleId="Subtitle">
    <w:name w:val="Subtitle"/>
    <w:basedOn w:val="Caption"/>
    <w:next w:val="Normal"/>
    <w:link w:val="SubtitleChar"/>
    <w:uiPriority w:val="11"/>
    <w:qFormat/>
    <w:rsid w:val="00A563E5"/>
  </w:style>
  <w:style w:type="character" w:customStyle="1" w:styleId="SubtitleChar">
    <w:name w:val="Subtitle Char"/>
    <w:basedOn w:val="DefaultParagraphFont"/>
    <w:link w:val="Subtitle"/>
    <w:uiPriority w:val="11"/>
    <w:rsid w:val="00A563E5"/>
    <w:rPr>
      <w:rFonts w:ascii="Helvetica" w:eastAsia="SimSun" w:hAnsi="Helvetica"/>
      <w:bCs/>
      <w:sz w:val="20"/>
      <w:szCs w:val="20"/>
      <w:lang w:val="en-US" w:eastAsia="en-US"/>
    </w:rPr>
  </w:style>
  <w:style w:type="table" w:styleId="PlainTable5">
    <w:name w:val="Plain Table 5"/>
    <w:basedOn w:val="TableNormal"/>
    <w:uiPriority w:val="45"/>
    <w:rsid w:val="00A563E5"/>
    <w:pPr>
      <w:spacing w:after="0" w:line="240" w:lineRule="auto"/>
    </w:pPr>
    <w:rPr>
      <w:rFonts w:eastAsia="SimSun"/>
      <w:lang w:val="en-US"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Style1">
    <w:name w:val="Style1"/>
    <w:basedOn w:val="Normal"/>
    <w:link w:val="Style1Char"/>
    <w:qFormat/>
    <w:rsid w:val="00A563E5"/>
    <w:pPr>
      <w:spacing w:before="120" w:line="480" w:lineRule="auto"/>
    </w:pPr>
    <w:rPr>
      <w:rFonts w:ascii="Helvetica" w:eastAsia="SimSun" w:hAnsi="Helvetica" w:cs="Helvetica"/>
      <w:b/>
      <w:sz w:val="24"/>
      <w:szCs w:val="24"/>
      <w:lang w:val="en-SG" w:eastAsia="en-US"/>
    </w:rPr>
  </w:style>
  <w:style w:type="character" w:customStyle="1" w:styleId="Style1Char">
    <w:name w:val="Style1 Char"/>
    <w:basedOn w:val="DefaultParagraphFont"/>
    <w:link w:val="Style1"/>
    <w:rsid w:val="00A563E5"/>
    <w:rPr>
      <w:rFonts w:ascii="Helvetica" w:eastAsia="SimSun" w:hAnsi="Helvetica" w:cs="Helvetica"/>
      <w:b/>
      <w:sz w:val="24"/>
      <w:szCs w:val="24"/>
      <w:lang w:eastAsia="en-US"/>
    </w:rPr>
  </w:style>
  <w:style w:type="character" w:customStyle="1" w:styleId="fontstyle41">
    <w:name w:val="fontstyle41"/>
    <w:basedOn w:val="DefaultParagraphFont"/>
    <w:rsid w:val="00A563E5"/>
    <w:rPr>
      <w:rFonts w:ascii="Arial-ItalicMT" w:hAnsi="Arial-ItalicMT" w:hint="default"/>
      <w:b w:val="0"/>
      <w:bCs w:val="0"/>
      <w:i/>
      <w:iCs/>
      <w:color w:val="000000"/>
      <w:sz w:val="22"/>
      <w:szCs w:val="22"/>
    </w:rPr>
  </w:style>
  <w:style w:type="table" w:styleId="GridTable6Colorful">
    <w:name w:val="Grid Table 6 Colorful"/>
    <w:basedOn w:val="TableNormal"/>
    <w:uiPriority w:val="51"/>
    <w:rsid w:val="00A563E5"/>
    <w:pPr>
      <w:spacing w:after="0" w:line="240" w:lineRule="auto"/>
    </w:pPr>
    <w:rPr>
      <w:rFonts w:eastAsia="SimSun"/>
      <w:color w:val="000000" w:themeColor="text1"/>
      <w:lang w:val="en-US"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
    <w:name w:val="List Table 6 Colorful"/>
    <w:basedOn w:val="TableNormal"/>
    <w:uiPriority w:val="51"/>
    <w:rsid w:val="00A563E5"/>
    <w:pPr>
      <w:spacing w:after="0" w:line="240" w:lineRule="auto"/>
    </w:pPr>
    <w:rPr>
      <w:rFonts w:eastAsia="SimSun"/>
      <w:color w:val="000000" w:themeColor="text1"/>
      <w:lang w:val="en-US" w:eastAsia="en-US"/>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PlainTable2">
    <w:name w:val="Plain Table 2"/>
    <w:basedOn w:val="TableNormal"/>
    <w:uiPriority w:val="42"/>
    <w:rsid w:val="00A563E5"/>
    <w:pPr>
      <w:spacing w:after="0" w:line="240" w:lineRule="auto"/>
    </w:pPr>
    <w:rPr>
      <w:rFonts w:eastAsia="SimSun"/>
      <w:lang w:val="en-US"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LightList1">
    <w:name w:val="Light List1"/>
    <w:basedOn w:val="TableNormal"/>
    <w:uiPriority w:val="61"/>
    <w:rsid w:val="00A563E5"/>
    <w:pPr>
      <w:spacing w:after="0"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Table6Colorful-Accent3">
    <w:name w:val="List Table 6 Colorful Accent 3"/>
    <w:basedOn w:val="TableNormal"/>
    <w:uiPriority w:val="51"/>
    <w:rsid w:val="00A563E5"/>
    <w:pPr>
      <w:spacing w:after="0" w:line="240" w:lineRule="auto"/>
    </w:pPr>
    <w:rPr>
      <w:rFonts w:hAnsi="Times New Roman" w:cs="Times New Roman"/>
      <w:color w:val="76923C" w:themeColor="accent3" w:themeShade="BF"/>
      <w:lang w:val="en-US"/>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PlainTable4">
    <w:name w:val="Plain Table 4"/>
    <w:basedOn w:val="TableNormal"/>
    <w:uiPriority w:val="44"/>
    <w:rsid w:val="00A563E5"/>
    <w:pPr>
      <w:spacing w:after="0" w:line="240" w:lineRule="auto"/>
    </w:pPr>
    <w:rPr>
      <w:rFonts w:eastAsia="SimSun"/>
      <w:lang w:val="en-US"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spellingerror">
    <w:name w:val="spellingerror"/>
    <w:basedOn w:val="DefaultParagraphFont"/>
    <w:rsid w:val="00A563E5"/>
  </w:style>
  <w:style w:type="character" w:customStyle="1" w:styleId="UnresolvedMention1">
    <w:name w:val="Unresolved Mention1"/>
    <w:basedOn w:val="DefaultParagraphFont"/>
    <w:uiPriority w:val="99"/>
    <w:semiHidden/>
    <w:unhideWhenUsed/>
    <w:rsid w:val="00A563E5"/>
    <w:rPr>
      <w:color w:val="605E5C"/>
      <w:shd w:val="clear" w:color="auto" w:fill="E1DFDD"/>
    </w:rPr>
  </w:style>
  <w:style w:type="paragraph" w:styleId="BodyText">
    <w:name w:val="Body Text"/>
    <w:basedOn w:val="Normal"/>
    <w:link w:val="BodyTextChar"/>
    <w:uiPriority w:val="99"/>
    <w:unhideWhenUsed/>
    <w:rsid w:val="00A563E5"/>
    <w:pPr>
      <w:spacing w:after="120" w:line="259" w:lineRule="auto"/>
    </w:pPr>
    <w:rPr>
      <w:rFonts w:eastAsiaTheme="minorHAnsi"/>
      <w:lang w:val="en-SG" w:eastAsia="en-US"/>
    </w:rPr>
  </w:style>
  <w:style w:type="character" w:customStyle="1" w:styleId="BodyTextChar">
    <w:name w:val="Body Text Char"/>
    <w:basedOn w:val="DefaultParagraphFont"/>
    <w:link w:val="BodyText"/>
    <w:uiPriority w:val="99"/>
    <w:rsid w:val="00A563E5"/>
    <w:rPr>
      <w:rFonts w:eastAsiaTheme="minorHAnsi"/>
      <w:lang w:eastAsia="en-US"/>
    </w:rPr>
  </w:style>
  <w:style w:type="table" w:styleId="ListTable2-Accent3">
    <w:name w:val="List Table 2 Accent 3"/>
    <w:basedOn w:val="TableNormal"/>
    <w:uiPriority w:val="47"/>
    <w:rsid w:val="00A563E5"/>
    <w:pPr>
      <w:spacing w:after="0" w:line="240" w:lineRule="auto"/>
    </w:pPr>
    <w:rPr>
      <w:sz w:val="24"/>
      <w:szCs w:val="24"/>
      <w:lang w:eastAsia="ko-KR"/>
    </w:r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Default">
    <w:name w:val="Default"/>
    <w:rsid w:val="00A563E5"/>
    <w:pPr>
      <w:autoSpaceDE w:val="0"/>
      <w:autoSpaceDN w:val="0"/>
      <w:adjustRightInd w:val="0"/>
      <w:spacing w:after="0" w:line="240" w:lineRule="auto"/>
    </w:pPr>
    <w:rPr>
      <w:rFonts w:ascii="Times New Roman" w:hAnsi="Times New Roman" w:cs="Times New Roman"/>
      <w:color w:val="000000"/>
      <w:sz w:val="24"/>
      <w:szCs w:val="24"/>
      <w:lang w:val="en-US" w:eastAsia="ko-KR"/>
    </w:rPr>
  </w:style>
  <w:style w:type="character" w:customStyle="1" w:styleId="NormalWebChar">
    <w:name w:val="Normal (Web) Char"/>
    <w:basedOn w:val="DefaultParagraphFont"/>
    <w:link w:val="NormalWeb"/>
    <w:uiPriority w:val="99"/>
    <w:rsid w:val="00A563E5"/>
    <w:rPr>
      <w:rFonts w:ascii="Times New Roman" w:hAnsi="Times New Roman" w:cs="Times New Roman"/>
      <w:sz w:val="24"/>
      <w:szCs w:val="24"/>
      <w:lang w:eastAsia="en-SG"/>
    </w:rPr>
  </w:style>
  <w:style w:type="table" w:customStyle="1" w:styleId="PlainTable21">
    <w:name w:val="Plain Table 21"/>
    <w:basedOn w:val="TableNormal"/>
    <w:next w:val="PlainTable2"/>
    <w:uiPriority w:val="42"/>
    <w:rsid w:val="00A563E5"/>
    <w:pPr>
      <w:spacing w:after="0" w:line="240" w:lineRule="auto"/>
    </w:pPr>
    <w:rPr>
      <w:rFonts w:eastAsia="DengXian"/>
      <w:sz w:val="24"/>
      <w:szCs w:val="24"/>
      <w:lang w:eastAsia="ko-KR"/>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PlainTable1">
    <w:name w:val="Plain Table 1"/>
    <w:basedOn w:val="TableNormal"/>
    <w:uiPriority w:val="41"/>
    <w:rsid w:val="00A563E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A563E5"/>
    <w:pPr>
      <w:spacing w:after="0" w:line="240" w:lineRule="auto"/>
    </w:pPr>
    <w:rPr>
      <w:sz w:val="24"/>
      <w:szCs w:val="24"/>
      <w:lang w:eastAsia="ko-K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7Colorful-Accent3">
    <w:name w:val="List Table 7 Colorful Accent 3"/>
    <w:basedOn w:val="TableNormal"/>
    <w:uiPriority w:val="52"/>
    <w:rsid w:val="00A563E5"/>
    <w:pPr>
      <w:spacing w:after="0" w:line="240" w:lineRule="auto"/>
    </w:pPr>
    <w:rPr>
      <w:color w:val="76923C" w:themeColor="accent3" w:themeShade="BF"/>
      <w:sz w:val="24"/>
      <w:szCs w:val="24"/>
      <w:lang w:eastAsia="ko-KR"/>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3">
    <w:name w:val="Plain Table 3"/>
    <w:basedOn w:val="TableNormal"/>
    <w:uiPriority w:val="43"/>
    <w:rsid w:val="00A563E5"/>
    <w:pPr>
      <w:spacing w:after="0" w:line="240" w:lineRule="auto"/>
    </w:pPr>
    <w:rPr>
      <w:sz w:val="24"/>
      <w:szCs w:val="24"/>
      <w:lang w:eastAsia="ko-KR"/>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7Colorful-Accent5">
    <w:name w:val="Grid Table 7 Colorful Accent 5"/>
    <w:basedOn w:val="TableNormal"/>
    <w:uiPriority w:val="52"/>
    <w:rsid w:val="00A563E5"/>
    <w:pPr>
      <w:spacing w:after="0" w:line="240" w:lineRule="auto"/>
    </w:pPr>
    <w:rPr>
      <w:color w:val="31849B" w:themeColor="accent5" w:themeShade="BF"/>
      <w:sz w:val="24"/>
      <w:szCs w:val="24"/>
      <w:lang w:eastAsia="ko-KR"/>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ListTable7Colorful-Accent1">
    <w:name w:val="List Table 7 Colorful Accent 1"/>
    <w:basedOn w:val="TableNormal"/>
    <w:uiPriority w:val="52"/>
    <w:rsid w:val="00A563E5"/>
    <w:pPr>
      <w:spacing w:after="0" w:line="240" w:lineRule="auto"/>
    </w:pPr>
    <w:rPr>
      <w:color w:val="365F91" w:themeColor="accent1" w:themeShade="BF"/>
      <w:sz w:val="24"/>
      <w:szCs w:val="24"/>
      <w:lang w:eastAsia="ko-KR"/>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A563E5"/>
    <w:pPr>
      <w:spacing w:after="0" w:line="240" w:lineRule="auto"/>
    </w:pPr>
    <w:rPr>
      <w:color w:val="31849B" w:themeColor="accent5" w:themeShade="BF"/>
      <w:sz w:val="24"/>
      <w:szCs w:val="24"/>
      <w:lang w:eastAsia="ko-KR"/>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A563E5"/>
    <w:pPr>
      <w:spacing w:after="0" w:line="240" w:lineRule="auto"/>
    </w:pPr>
    <w:rPr>
      <w:color w:val="943634" w:themeColor="accent2" w:themeShade="BF"/>
      <w:sz w:val="24"/>
      <w:szCs w:val="24"/>
      <w:lang w:eastAsia="ko-KR"/>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6Colorful-Accent1">
    <w:name w:val="List Table 6 Colorful Accent 1"/>
    <w:basedOn w:val="TableNormal"/>
    <w:uiPriority w:val="51"/>
    <w:rsid w:val="00A563E5"/>
    <w:pPr>
      <w:spacing w:after="0" w:line="240" w:lineRule="auto"/>
    </w:pPr>
    <w:rPr>
      <w:color w:val="365F91" w:themeColor="accent1" w:themeShade="BF"/>
      <w:sz w:val="24"/>
      <w:szCs w:val="24"/>
      <w:lang w:eastAsia="ko-KR"/>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PageNumber">
    <w:name w:val="page number"/>
    <w:basedOn w:val="DefaultParagraphFont"/>
    <w:uiPriority w:val="99"/>
    <w:semiHidden/>
    <w:unhideWhenUsed/>
    <w:rsid w:val="00A563E5"/>
  </w:style>
  <w:style w:type="table" w:styleId="GridTable1Light">
    <w:name w:val="Grid Table 1 Light"/>
    <w:basedOn w:val="TableNormal"/>
    <w:uiPriority w:val="46"/>
    <w:rsid w:val="00A563E5"/>
    <w:pPr>
      <w:spacing w:after="0" w:line="240" w:lineRule="auto"/>
    </w:pPr>
    <w:rPr>
      <w:sz w:val="24"/>
      <w:szCs w:val="24"/>
      <w:lang w:eastAsia="ko-KR"/>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2">
    <w:name w:val="Grid Table 2"/>
    <w:basedOn w:val="TableNormal"/>
    <w:uiPriority w:val="47"/>
    <w:rsid w:val="00A563E5"/>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NotesSectionHeader">
    <w:name w:val="Notes Section Header"/>
    <w:basedOn w:val="Normal"/>
    <w:next w:val="Heading1"/>
    <w:link w:val="NotesSectionHeaderChar"/>
    <w:qFormat/>
    <w:rsid w:val="00A563E5"/>
    <w:pPr>
      <w:spacing w:after="160" w:line="360" w:lineRule="auto"/>
      <w:jc w:val="right"/>
    </w:pPr>
    <w:rPr>
      <w:rFonts w:ascii="Segoe UI Semibold" w:hAnsi="Segoe UI Semibold" w:cs="Segoe UI Semibold"/>
      <w:sz w:val="28"/>
      <w:szCs w:val="24"/>
      <w:lang w:val="en-GB"/>
    </w:rPr>
  </w:style>
  <w:style w:type="character" w:customStyle="1" w:styleId="NotesSectionHeaderChar">
    <w:name w:val="Notes Section Header Char"/>
    <w:basedOn w:val="DefaultParagraphFont"/>
    <w:link w:val="NotesSectionHeader"/>
    <w:rsid w:val="00A563E5"/>
    <w:rPr>
      <w:rFonts w:ascii="Segoe UI Semibold" w:hAnsi="Segoe UI Semibold" w:cs="Segoe UI Semibold"/>
      <w:sz w:val="28"/>
      <w:szCs w:val="24"/>
      <w:lang w:val="en-GB"/>
    </w:rPr>
  </w:style>
  <w:style w:type="paragraph" w:customStyle="1" w:styleId="NotesHeading">
    <w:name w:val="Notes Heading"/>
    <w:basedOn w:val="Normal"/>
    <w:next w:val="Heading2"/>
    <w:link w:val="NotesHeadingChar"/>
    <w:qFormat/>
    <w:rsid w:val="00A563E5"/>
    <w:pPr>
      <w:spacing w:after="160" w:line="360" w:lineRule="auto"/>
    </w:pPr>
    <w:rPr>
      <w:rFonts w:ascii="Segoe UI Semibold" w:hAnsi="Segoe UI Semibold" w:cs="Segoe UI Semibold"/>
      <w:sz w:val="24"/>
      <w:szCs w:val="24"/>
      <w:lang w:val="en-GB"/>
    </w:rPr>
  </w:style>
  <w:style w:type="character" w:customStyle="1" w:styleId="NotesHeadingChar">
    <w:name w:val="Notes Heading Char"/>
    <w:basedOn w:val="DefaultParagraphFont"/>
    <w:link w:val="NotesHeading"/>
    <w:rsid w:val="00A563E5"/>
    <w:rPr>
      <w:rFonts w:ascii="Segoe UI Semibold" w:hAnsi="Segoe UI Semibold" w:cs="Segoe UI Semibold"/>
      <w:sz w:val="24"/>
      <w:szCs w:val="24"/>
      <w:lang w:val="en-GB"/>
    </w:rPr>
  </w:style>
  <w:style w:type="paragraph" w:customStyle="1" w:styleId="FYPReportHeader1">
    <w:name w:val="FYP Report Header 1"/>
    <w:basedOn w:val="Normal"/>
    <w:link w:val="FYPReportHeader1Char"/>
    <w:qFormat/>
    <w:rsid w:val="00A563E5"/>
    <w:pPr>
      <w:spacing w:after="160" w:line="360" w:lineRule="auto"/>
    </w:pPr>
    <w:rPr>
      <w:rFonts w:ascii="Arial" w:hAnsi="Arial" w:cs="Arial"/>
      <w:b/>
      <w:bCs/>
      <w:sz w:val="24"/>
      <w:szCs w:val="28"/>
      <w:lang w:val="en-GB"/>
    </w:rPr>
  </w:style>
  <w:style w:type="character" w:customStyle="1" w:styleId="FYPReportHeader1Char">
    <w:name w:val="FYP Report Header 1 Char"/>
    <w:basedOn w:val="DefaultParagraphFont"/>
    <w:link w:val="FYPReportHeader1"/>
    <w:rsid w:val="00A563E5"/>
    <w:rPr>
      <w:rFonts w:ascii="Arial" w:hAnsi="Arial" w:cs="Arial"/>
      <w:b/>
      <w:bCs/>
      <w:sz w:val="24"/>
      <w:szCs w:val="28"/>
      <w:lang w:val="en-GB"/>
    </w:rPr>
  </w:style>
  <w:style w:type="paragraph" w:customStyle="1" w:styleId="SMHeading">
    <w:name w:val="SM Heading"/>
    <w:basedOn w:val="Heading1"/>
    <w:qFormat/>
    <w:rsid w:val="00A563E5"/>
    <w:pPr>
      <w:keepLines w:val="0"/>
      <w:spacing w:before="240" w:after="60" w:line="240" w:lineRule="auto"/>
      <w:jc w:val="left"/>
    </w:pPr>
    <w:rPr>
      <w:rFonts w:eastAsia="Times New Roman" w:cs="Times New Roman"/>
      <w:kern w:val="32"/>
      <w:sz w:val="24"/>
      <w:szCs w:val="24"/>
      <w:lang w:val="en-US"/>
    </w:rPr>
  </w:style>
  <w:style w:type="paragraph" w:customStyle="1" w:styleId="SMSubheading">
    <w:name w:val="SM Subheading"/>
    <w:basedOn w:val="Normal"/>
    <w:qFormat/>
    <w:rsid w:val="00A563E5"/>
    <w:pPr>
      <w:spacing w:after="0" w:line="240" w:lineRule="auto"/>
    </w:pPr>
    <w:rPr>
      <w:rFonts w:ascii="Times New Roman" w:eastAsia="Times New Roman" w:hAnsi="Times New Roman" w:cs="Times New Roman"/>
      <w:sz w:val="24"/>
      <w:szCs w:val="20"/>
      <w:u w:val="words"/>
      <w:lang w:eastAsia="en-US"/>
    </w:rPr>
  </w:style>
  <w:style w:type="character" w:customStyle="1" w:styleId="hvr">
    <w:name w:val="hvr"/>
    <w:basedOn w:val="DefaultParagraphFont"/>
    <w:rsid w:val="00A563E5"/>
  </w:style>
  <w:style w:type="table" w:customStyle="1" w:styleId="TableGrid2">
    <w:name w:val="Table Grid2"/>
    <w:basedOn w:val="TableNormal"/>
    <w:next w:val="TableGrid"/>
    <w:uiPriority w:val="39"/>
    <w:rsid w:val="00A563E5"/>
    <w:pPr>
      <w:spacing w:after="0" w:line="240" w:lineRule="auto"/>
    </w:pPr>
    <w:rPr>
      <w:rFonts w:eastAsia="DengXi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6">
    <w:name w:val="toc 6"/>
    <w:basedOn w:val="Normal"/>
    <w:next w:val="Normal"/>
    <w:autoRedefine/>
    <w:uiPriority w:val="39"/>
    <w:unhideWhenUsed/>
    <w:rsid w:val="00A563E5"/>
    <w:pPr>
      <w:spacing w:after="100" w:line="259" w:lineRule="auto"/>
      <w:ind w:left="1100"/>
    </w:pPr>
    <w:rPr>
      <w:lang w:val="en-SG"/>
    </w:rPr>
  </w:style>
  <w:style w:type="paragraph" w:styleId="TOC7">
    <w:name w:val="toc 7"/>
    <w:basedOn w:val="Normal"/>
    <w:next w:val="Normal"/>
    <w:autoRedefine/>
    <w:uiPriority w:val="39"/>
    <w:unhideWhenUsed/>
    <w:rsid w:val="00A563E5"/>
    <w:pPr>
      <w:spacing w:after="100" w:line="259" w:lineRule="auto"/>
      <w:ind w:left="1320"/>
    </w:pPr>
    <w:rPr>
      <w:lang w:val="en-SG"/>
    </w:rPr>
  </w:style>
  <w:style w:type="paragraph" w:styleId="TOC8">
    <w:name w:val="toc 8"/>
    <w:basedOn w:val="Normal"/>
    <w:next w:val="Normal"/>
    <w:autoRedefine/>
    <w:uiPriority w:val="39"/>
    <w:unhideWhenUsed/>
    <w:rsid w:val="00A563E5"/>
    <w:pPr>
      <w:spacing w:after="100" w:line="259" w:lineRule="auto"/>
      <w:ind w:left="1540"/>
    </w:pPr>
    <w:rPr>
      <w:lang w:val="en-SG"/>
    </w:rPr>
  </w:style>
  <w:style w:type="paragraph" w:styleId="TOC9">
    <w:name w:val="toc 9"/>
    <w:basedOn w:val="Normal"/>
    <w:next w:val="Normal"/>
    <w:autoRedefine/>
    <w:uiPriority w:val="39"/>
    <w:unhideWhenUsed/>
    <w:rsid w:val="00A563E5"/>
    <w:pPr>
      <w:spacing w:after="100" w:line="259" w:lineRule="auto"/>
      <w:ind w:left="1760"/>
    </w:pPr>
    <w:rPr>
      <w:lang w:val="en-SG"/>
    </w:rPr>
  </w:style>
  <w:style w:type="character" w:customStyle="1" w:styleId="UnresolvedMention2">
    <w:name w:val="Unresolved Mention2"/>
    <w:basedOn w:val="DefaultParagraphFont"/>
    <w:uiPriority w:val="99"/>
    <w:semiHidden/>
    <w:unhideWhenUsed/>
    <w:rsid w:val="00A563E5"/>
    <w:rPr>
      <w:color w:val="605E5C"/>
      <w:shd w:val="clear" w:color="auto" w:fill="E1DFDD"/>
    </w:rPr>
  </w:style>
  <w:style w:type="paragraph" w:customStyle="1" w:styleId="Heading11">
    <w:name w:val="Heading 11"/>
    <w:basedOn w:val="Normal"/>
    <w:next w:val="Normal"/>
    <w:uiPriority w:val="9"/>
    <w:qFormat/>
    <w:rsid w:val="00A563E5"/>
    <w:pPr>
      <w:keepNext/>
      <w:keepLines/>
      <w:pageBreakBefore/>
      <w:spacing w:before="120" w:after="120" w:line="480" w:lineRule="auto"/>
      <w:ind w:left="432" w:hanging="432"/>
      <w:jc w:val="both"/>
      <w:outlineLvl w:val="0"/>
    </w:pPr>
    <w:rPr>
      <w:rFonts w:ascii="Helvetica" w:eastAsia="SimSun" w:hAnsi="Helvetica" w:cs="Helvetica"/>
      <w:b/>
      <w:bCs/>
      <w:sz w:val="24"/>
      <w:szCs w:val="28"/>
      <w:lang w:eastAsia="en-US"/>
    </w:rPr>
  </w:style>
  <w:style w:type="paragraph" w:customStyle="1" w:styleId="Heading21">
    <w:name w:val="Heading 21"/>
    <w:basedOn w:val="Normal"/>
    <w:next w:val="Normal"/>
    <w:autoRedefine/>
    <w:uiPriority w:val="9"/>
    <w:unhideWhenUsed/>
    <w:qFormat/>
    <w:rsid w:val="00A563E5"/>
    <w:pPr>
      <w:keepNext/>
      <w:keepLines/>
      <w:spacing w:before="200" w:line="480" w:lineRule="auto"/>
      <w:ind w:left="578" w:hanging="578"/>
      <w:jc w:val="both"/>
      <w:outlineLvl w:val="1"/>
    </w:pPr>
    <w:rPr>
      <w:rFonts w:ascii="Helvetica" w:eastAsia="SimSun" w:hAnsi="Helvetica" w:cs="Helvetica"/>
      <w:b/>
      <w:bCs/>
      <w:sz w:val="24"/>
      <w:szCs w:val="26"/>
      <w:lang w:eastAsia="en-US"/>
    </w:rPr>
  </w:style>
  <w:style w:type="paragraph" w:customStyle="1" w:styleId="Heading31">
    <w:name w:val="Heading 31"/>
    <w:basedOn w:val="Normal"/>
    <w:next w:val="Normal"/>
    <w:uiPriority w:val="9"/>
    <w:unhideWhenUsed/>
    <w:qFormat/>
    <w:rsid w:val="00A563E5"/>
    <w:pPr>
      <w:keepNext/>
      <w:keepLines/>
      <w:spacing w:before="200" w:line="480" w:lineRule="auto"/>
      <w:ind w:left="720" w:hanging="720"/>
      <w:jc w:val="both"/>
      <w:outlineLvl w:val="2"/>
    </w:pPr>
    <w:rPr>
      <w:rFonts w:ascii="Helvetica" w:eastAsia="SimSun" w:hAnsi="Helvetica" w:cs="Helvetica"/>
      <w:b/>
      <w:bCs/>
      <w:sz w:val="24"/>
      <w:lang w:eastAsia="en-US"/>
    </w:rPr>
  </w:style>
  <w:style w:type="paragraph" w:customStyle="1" w:styleId="Heading41">
    <w:name w:val="Heading 41"/>
    <w:basedOn w:val="Normal"/>
    <w:next w:val="Normal"/>
    <w:uiPriority w:val="9"/>
    <w:unhideWhenUsed/>
    <w:qFormat/>
    <w:rsid w:val="00A563E5"/>
    <w:pPr>
      <w:keepNext/>
      <w:keepLines/>
      <w:spacing w:before="200" w:line="480" w:lineRule="auto"/>
      <w:ind w:left="862" w:hanging="862"/>
      <w:jc w:val="both"/>
      <w:outlineLvl w:val="3"/>
    </w:pPr>
    <w:rPr>
      <w:rFonts w:ascii="Helvetica" w:eastAsia="SimSun" w:hAnsi="Helvetica" w:cs="Helvetica"/>
      <w:bCs/>
      <w:i/>
      <w:iCs/>
      <w:sz w:val="24"/>
      <w:lang w:eastAsia="en-US"/>
    </w:rPr>
  </w:style>
  <w:style w:type="paragraph" w:customStyle="1" w:styleId="Heading51">
    <w:name w:val="Heading 51"/>
    <w:basedOn w:val="Normal"/>
    <w:next w:val="Normal"/>
    <w:uiPriority w:val="9"/>
    <w:unhideWhenUsed/>
    <w:qFormat/>
    <w:rsid w:val="00A563E5"/>
    <w:pPr>
      <w:keepNext/>
      <w:keepLines/>
      <w:spacing w:before="200" w:line="360" w:lineRule="auto"/>
      <w:ind w:left="1008" w:hanging="1008"/>
      <w:jc w:val="both"/>
      <w:outlineLvl w:val="4"/>
    </w:pPr>
    <w:rPr>
      <w:rFonts w:ascii="Helvetica" w:eastAsia="SimSun" w:hAnsi="Helvetica" w:cs="Times New Roman"/>
      <w:i/>
      <w:sz w:val="24"/>
      <w:lang w:eastAsia="en-US"/>
    </w:rPr>
  </w:style>
  <w:style w:type="paragraph" w:customStyle="1" w:styleId="Heading61">
    <w:name w:val="Heading 61"/>
    <w:basedOn w:val="Normal"/>
    <w:next w:val="Normal"/>
    <w:uiPriority w:val="9"/>
    <w:semiHidden/>
    <w:unhideWhenUsed/>
    <w:qFormat/>
    <w:rsid w:val="00A563E5"/>
    <w:pPr>
      <w:keepNext/>
      <w:keepLines/>
      <w:spacing w:before="200" w:after="0" w:line="360" w:lineRule="auto"/>
      <w:ind w:left="1152" w:hanging="1152"/>
      <w:jc w:val="both"/>
      <w:outlineLvl w:val="5"/>
    </w:pPr>
    <w:rPr>
      <w:rFonts w:ascii="Calibri Light" w:eastAsia="SimSun" w:hAnsi="Calibri Light" w:cs="Times New Roman"/>
      <w:i/>
      <w:iCs/>
      <w:color w:val="1F4D78"/>
      <w:sz w:val="24"/>
      <w:lang w:eastAsia="en-US"/>
    </w:rPr>
  </w:style>
  <w:style w:type="paragraph" w:customStyle="1" w:styleId="Heading71">
    <w:name w:val="Heading 71"/>
    <w:basedOn w:val="Normal"/>
    <w:next w:val="Normal"/>
    <w:uiPriority w:val="9"/>
    <w:semiHidden/>
    <w:unhideWhenUsed/>
    <w:qFormat/>
    <w:rsid w:val="00A563E5"/>
    <w:pPr>
      <w:keepNext/>
      <w:keepLines/>
      <w:spacing w:before="200" w:after="0" w:line="360" w:lineRule="auto"/>
      <w:ind w:left="1296" w:hanging="1296"/>
      <w:jc w:val="both"/>
      <w:outlineLvl w:val="6"/>
    </w:pPr>
    <w:rPr>
      <w:rFonts w:ascii="Calibri Light" w:eastAsia="SimSun" w:hAnsi="Calibri Light" w:cs="Times New Roman"/>
      <w:i/>
      <w:iCs/>
      <w:color w:val="404040"/>
      <w:sz w:val="24"/>
      <w:lang w:eastAsia="en-US"/>
    </w:rPr>
  </w:style>
  <w:style w:type="paragraph" w:customStyle="1" w:styleId="Heading81">
    <w:name w:val="Heading 81"/>
    <w:basedOn w:val="Normal"/>
    <w:next w:val="Normal"/>
    <w:uiPriority w:val="9"/>
    <w:semiHidden/>
    <w:unhideWhenUsed/>
    <w:qFormat/>
    <w:rsid w:val="00A563E5"/>
    <w:pPr>
      <w:keepNext/>
      <w:keepLines/>
      <w:spacing w:before="200" w:after="0" w:line="360" w:lineRule="auto"/>
      <w:ind w:left="1440" w:hanging="1440"/>
      <w:jc w:val="both"/>
      <w:outlineLvl w:val="7"/>
    </w:pPr>
    <w:rPr>
      <w:rFonts w:ascii="Calibri Light" w:eastAsia="SimSun" w:hAnsi="Calibri Light" w:cs="Times New Roman"/>
      <w:color w:val="404040"/>
      <w:sz w:val="20"/>
      <w:szCs w:val="20"/>
      <w:lang w:eastAsia="en-US"/>
    </w:rPr>
  </w:style>
  <w:style w:type="paragraph" w:customStyle="1" w:styleId="Heading91">
    <w:name w:val="Heading 91"/>
    <w:basedOn w:val="Normal"/>
    <w:next w:val="Normal"/>
    <w:uiPriority w:val="9"/>
    <w:semiHidden/>
    <w:unhideWhenUsed/>
    <w:qFormat/>
    <w:rsid w:val="00A563E5"/>
    <w:pPr>
      <w:keepNext/>
      <w:keepLines/>
      <w:spacing w:before="200" w:after="0" w:line="360" w:lineRule="auto"/>
      <w:ind w:left="1584" w:hanging="1584"/>
      <w:jc w:val="both"/>
      <w:outlineLvl w:val="8"/>
    </w:pPr>
    <w:rPr>
      <w:rFonts w:ascii="Calibri Light" w:eastAsia="SimSun" w:hAnsi="Calibri Light" w:cs="Times New Roman"/>
      <w:i/>
      <w:iCs/>
      <w:color w:val="404040"/>
      <w:sz w:val="20"/>
      <w:szCs w:val="20"/>
      <w:lang w:eastAsia="en-US"/>
    </w:rPr>
  </w:style>
  <w:style w:type="numbering" w:customStyle="1" w:styleId="NoList1">
    <w:name w:val="No List1"/>
    <w:next w:val="NoList"/>
    <w:uiPriority w:val="99"/>
    <w:semiHidden/>
    <w:unhideWhenUsed/>
    <w:rsid w:val="00A563E5"/>
  </w:style>
  <w:style w:type="paragraph" w:customStyle="1" w:styleId="Title10">
    <w:name w:val="Title1"/>
    <w:basedOn w:val="Normal"/>
    <w:next w:val="Normal"/>
    <w:uiPriority w:val="10"/>
    <w:qFormat/>
    <w:rsid w:val="00A563E5"/>
    <w:pPr>
      <w:spacing w:after="180" w:line="360" w:lineRule="auto"/>
      <w:contextualSpacing/>
      <w:jc w:val="center"/>
    </w:pPr>
    <w:rPr>
      <w:rFonts w:ascii="Times New Roman" w:eastAsia="SimSun" w:hAnsi="Times New Roman" w:cs="Times New Roman"/>
      <w:b/>
      <w:spacing w:val="5"/>
      <w:kern w:val="28"/>
      <w:sz w:val="32"/>
      <w:szCs w:val="52"/>
      <w:lang w:eastAsia="en-US"/>
    </w:rPr>
  </w:style>
  <w:style w:type="character" w:customStyle="1" w:styleId="Hyperlink1">
    <w:name w:val="Hyperlink1"/>
    <w:basedOn w:val="DefaultParagraphFont"/>
    <w:uiPriority w:val="99"/>
    <w:unhideWhenUsed/>
    <w:rsid w:val="00A563E5"/>
    <w:rPr>
      <w:color w:val="0563C1"/>
      <w:u w:val="single"/>
    </w:rPr>
  </w:style>
  <w:style w:type="paragraph" w:customStyle="1" w:styleId="TOCHeading1">
    <w:name w:val="TOC Heading1"/>
    <w:basedOn w:val="Heading1"/>
    <w:next w:val="Normal"/>
    <w:uiPriority w:val="39"/>
    <w:unhideWhenUsed/>
    <w:qFormat/>
    <w:rsid w:val="00A563E5"/>
    <w:pPr>
      <w:spacing w:before="240" w:after="0" w:line="259" w:lineRule="auto"/>
      <w:jc w:val="left"/>
    </w:pPr>
    <w:rPr>
      <w:rFonts w:ascii="Helvetica" w:eastAsia="SimSun" w:hAnsi="Helvetica" w:cs="Helvetica"/>
      <w:sz w:val="24"/>
      <w:lang w:eastAsia="zh-CN"/>
    </w:rPr>
  </w:style>
  <w:style w:type="character" w:customStyle="1" w:styleId="FollowedHyperlink1">
    <w:name w:val="FollowedHyperlink1"/>
    <w:basedOn w:val="DefaultParagraphFont"/>
    <w:uiPriority w:val="99"/>
    <w:semiHidden/>
    <w:unhideWhenUsed/>
    <w:rsid w:val="00A563E5"/>
    <w:rPr>
      <w:color w:val="954F72"/>
      <w:u w:val="single"/>
    </w:rPr>
  </w:style>
  <w:style w:type="table" w:customStyle="1" w:styleId="PlainTable51">
    <w:name w:val="Plain Table 51"/>
    <w:basedOn w:val="TableNormal"/>
    <w:next w:val="PlainTable5"/>
    <w:uiPriority w:val="45"/>
    <w:rsid w:val="00A563E5"/>
    <w:pPr>
      <w:spacing w:after="0" w:line="240" w:lineRule="auto"/>
    </w:pPr>
    <w:rPr>
      <w:rFonts w:eastAsia="SimSun"/>
      <w:lang w:val="en-US" w:eastAsia="en-US"/>
    </w:rPr>
    <w:tblPr>
      <w:tblStyleRowBandSize w:val="1"/>
      <w:tblStyleColBandSize w:val="1"/>
    </w:tblPr>
    <w:tblStylePr w:type="firstRow">
      <w:rPr>
        <w:rFonts w:ascii="Calibri Light" w:eastAsia="SimSun" w:hAnsi="Calibri Light" w:cs="Times New Roman"/>
        <w:i/>
        <w:iCs/>
        <w:sz w:val="26"/>
      </w:rPr>
      <w:tblPr/>
      <w:tcPr>
        <w:tcBorders>
          <w:bottom w:val="single" w:sz="4" w:space="0" w:color="7F7F7F"/>
        </w:tcBorders>
        <w:shd w:val="clear" w:color="auto" w:fill="FFFFFF"/>
      </w:tcPr>
    </w:tblStylePr>
    <w:tblStylePr w:type="lastRow">
      <w:rPr>
        <w:rFonts w:ascii="Calibri Light" w:eastAsia="SimSu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SimSun" w:hAnsi="Calibri Light" w:cs="Times New Roman"/>
        <w:i/>
        <w:iCs/>
        <w:sz w:val="26"/>
      </w:rPr>
      <w:tblPr/>
      <w:tcPr>
        <w:tcBorders>
          <w:right w:val="single" w:sz="4" w:space="0" w:color="7F7F7F"/>
        </w:tcBorders>
        <w:shd w:val="clear" w:color="auto" w:fill="FFFFFF"/>
      </w:tcPr>
    </w:tblStylePr>
    <w:tblStylePr w:type="lastCol">
      <w:rPr>
        <w:rFonts w:ascii="Calibri Light" w:eastAsia="SimSu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6Colorful1">
    <w:name w:val="Grid Table 6 Colorful1"/>
    <w:basedOn w:val="TableNormal"/>
    <w:next w:val="GridTable6Colorful"/>
    <w:uiPriority w:val="51"/>
    <w:rsid w:val="00A563E5"/>
    <w:pPr>
      <w:spacing w:after="0" w:line="240" w:lineRule="auto"/>
    </w:pPr>
    <w:rPr>
      <w:rFonts w:eastAsia="SimSun"/>
      <w:color w:val="000000"/>
      <w:lang w:val="en-US"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6Colorful1">
    <w:name w:val="List Table 6 Colorful1"/>
    <w:basedOn w:val="TableNormal"/>
    <w:next w:val="ListTable6Colorful"/>
    <w:uiPriority w:val="51"/>
    <w:rsid w:val="00A563E5"/>
    <w:pPr>
      <w:spacing w:after="0" w:line="240" w:lineRule="auto"/>
    </w:pPr>
    <w:rPr>
      <w:rFonts w:eastAsia="SimSun"/>
      <w:color w:val="000000"/>
      <w:lang w:val="en-US" w:eastAsia="en-US"/>
    </w:rPr>
    <w:tblPr>
      <w:tblStyleRowBandSize w:val="1"/>
      <w:tblStyleColBandSize w:val="1"/>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6Colorful-Accent31">
    <w:name w:val="List Table 6 Colorful - Accent 31"/>
    <w:basedOn w:val="TableNormal"/>
    <w:next w:val="ListTable6Colorful-Accent3"/>
    <w:uiPriority w:val="51"/>
    <w:rsid w:val="00A563E5"/>
    <w:pPr>
      <w:spacing w:after="0" w:line="240" w:lineRule="auto"/>
    </w:pPr>
    <w:rPr>
      <w:rFonts w:hAnsi="Times New Roman" w:cs="Times New Roman"/>
      <w:color w:val="7B7B7B"/>
      <w:lang w:val="en-US"/>
    </w:rPr>
    <w:tblPr>
      <w:tblStyleRowBandSize w:val="1"/>
      <w:tblStyleColBandSize w:val="1"/>
      <w:tblBorders>
        <w:top w:val="single" w:sz="4" w:space="0" w:color="A5A5A5"/>
        <w:bottom w:val="single" w:sz="4" w:space="0" w:color="A5A5A5"/>
      </w:tblBorders>
    </w:tblPr>
    <w:tblStylePr w:type="firstRow">
      <w:rPr>
        <w:b/>
        <w:bCs/>
      </w:rPr>
      <w:tblPr/>
      <w:tcPr>
        <w:tcBorders>
          <w:bottom w:val="single" w:sz="4" w:space="0" w:color="A5A5A5"/>
        </w:tcBorders>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PlainTable41">
    <w:name w:val="Plain Table 41"/>
    <w:basedOn w:val="TableNormal"/>
    <w:next w:val="PlainTable4"/>
    <w:uiPriority w:val="44"/>
    <w:rsid w:val="00A563E5"/>
    <w:pPr>
      <w:spacing w:after="0" w:line="240" w:lineRule="auto"/>
    </w:pPr>
    <w:rPr>
      <w:rFonts w:eastAsia="SimSun"/>
      <w:lang w:val="en-US"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BodyText1">
    <w:name w:val="Body Text1"/>
    <w:basedOn w:val="Normal"/>
    <w:next w:val="BodyText"/>
    <w:uiPriority w:val="99"/>
    <w:unhideWhenUsed/>
    <w:rsid w:val="00A563E5"/>
    <w:pPr>
      <w:spacing w:after="120" w:line="259" w:lineRule="auto"/>
    </w:pPr>
    <w:rPr>
      <w:rFonts w:eastAsia="Calibri"/>
      <w:lang w:val="en-SG"/>
    </w:rPr>
  </w:style>
  <w:style w:type="table" w:customStyle="1" w:styleId="ListTable2-Accent31">
    <w:name w:val="List Table 2 - Accent 31"/>
    <w:basedOn w:val="TableNormal"/>
    <w:next w:val="ListTable2-Accent3"/>
    <w:uiPriority w:val="47"/>
    <w:rsid w:val="00A563E5"/>
    <w:pPr>
      <w:spacing w:after="0" w:line="240" w:lineRule="auto"/>
    </w:pPr>
    <w:rPr>
      <w:sz w:val="24"/>
      <w:szCs w:val="24"/>
      <w:lang w:eastAsia="ko-KR"/>
    </w:rPr>
    <w:tblPr>
      <w:tblStyleRowBandSize w:val="1"/>
      <w:tblStyleColBandSize w:val="1"/>
      <w:tblBorders>
        <w:top w:val="single" w:sz="4" w:space="0" w:color="C9C9C9"/>
        <w:bottom w:val="single" w:sz="4" w:space="0" w:color="C9C9C9"/>
        <w:insideH w:val="single" w:sz="4" w:space="0" w:color="C9C9C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PlainTable211">
    <w:name w:val="Plain Table 211"/>
    <w:basedOn w:val="TableNormal"/>
    <w:next w:val="PlainTable2"/>
    <w:uiPriority w:val="42"/>
    <w:rsid w:val="00A563E5"/>
    <w:pPr>
      <w:spacing w:after="0" w:line="240" w:lineRule="auto"/>
    </w:pPr>
    <w:rPr>
      <w:rFonts w:eastAsia="DengXian"/>
      <w:sz w:val="24"/>
      <w:szCs w:val="24"/>
      <w:lang w:eastAsia="ko-KR"/>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11">
    <w:name w:val="Plain Table 11"/>
    <w:basedOn w:val="TableNormal"/>
    <w:next w:val="PlainTable1"/>
    <w:uiPriority w:val="41"/>
    <w:rsid w:val="00A563E5"/>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LightShading2">
    <w:name w:val="Light Shading2"/>
    <w:basedOn w:val="TableNormal"/>
    <w:next w:val="LightShading"/>
    <w:uiPriority w:val="60"/>
    <w:rsid w:val="00A563E5"/>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stTable7Colorful-Accent31">
    <w:name w:val="List Table 7 Colorful - Accent 31"/>
    <w:basedOn w:val="TableNormal"/>
    <w:next w:val="ListTable7Colorful-Accent3"/>
    <w:uiPriority w:val="52"/>
    <w:rsid w:val="00A563E5"/>
    <w:pPr>
      <w:spacing w:after="0" w:line="240" w:lineRule="auto"/>
    </w:pPr>
    <w:rPr>
      <w:color w:val="7B7B7B"/>
      <w:sz w:val="24"/>
      <w:szCs w:val="24"/>
      <w:lang w:eastAsia="ko-KR"/>
    </w:rPr>
    <w:tblPr>
      <w:tblStyleRowBandSize w:val="1"/>
      <w:tblStyleColBandSize w:val="1"/>
    </w:tblPr>
    <w:tblStylePr w:type="firstRow">
      <w:rPr>
        <w:rFonts w:ascii="Calibri Light" w:eastAsia="SimSun" w:hAnsi="Calibri Light" w:cs="Times New Roman"/>
        <w:i/>
        <w:iCs/>
        <w:sz w:val="26"/>
      </w:rPr>
      <w:tblPr/>
      <w:tcPr>
        <w:tcBorders>
          <w:bottom w:val="single" w:sz="4" w:space="0" w:color="A5A5A5"/>
        </w:tcBorders>
        <w:shd w:val="clear" w:color="auto" w:fill="FFFFFF"/>
      </w:tcPr>
    </w:tblStylePr>
    <w:tblStylePr w:type="lastRow">
      <w:rPr>
        <w:rFonts w:ascii="Calibri Light" w:eastAsia="SimSun" w:hAnsi="Calibri Light" w:cs="Times New Roman"/>
        <w:i/>
        <w:iCs/>
        <w:sz w:val="26"/>
      </w:rPr>
      <w:tblPr/>
      <w:tcPr>
        <w:tcBorders>
          <w:top w:val="single" w:sz="4" w:space="0" w:color="A5A5A5"/>
        </w:tcBorders>
        <w:shd w:val="clear" w:color="auto" w:fill="FFFFFF"/>
      </w:tcPr>
    </w:tblStylePr>
    <w:tblStylePr w:type="firstCol">
      <w:pPr>
        <w:jc w:val="right"/>
      </w:pPr>
      <w:rPr>
        <w:rFonts w:ascii="Calibri Light" w:eastAsia="SimSun" w:hAnsi="Calibri Light" w:cs="Times New Roman"/>
        <w:i/>
        <w:iCs/>
        <w:sz w:val="26"/>
      </w:rPr>
      <w:tblPr/>
      <w:tcPr>
        <w:tcBorders>
          <w:right w:val="single" w:sz="4" w:space="0" w:color="A5A5A5"/>
        </w:tcBorders>
        <w:shd w:val="clear" w:color="auto" w:fill="FFFFFF"/>
      </w:tcPr>
    </w:tblStylePr>
    <w:tblStylePr w:type="lastCol">
      <w:rPr>
        <w:rFonts w:ascii="Calibri Light" w:eastAsia="SimSun" w:hAnsi="Calibri Light" w:cs="Times New Roman"/>
        <w:i/>
        <w:iCs/>
        <w:sz w:val="26"/>
      </w:rPr>
      <w:tblPr/>
      <w:tcPr>
        <w:tcBorders>
          <w:left w:val="single" w:sz="4" w:space="0" w:color="A5A5A5"/>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31">
    <w:name w:val="Plain Table 31"/>
    <w:basedOn w:val="TableNormal"/>
    <w:next w:val="PlainTable3"/>
    <w:uiPriority w:val="43"/>
    <w:rsid w:val="00A563E5"/>
    <w:pPr>
      <w:spacing w:after="0" w:line="240" w:lineRule="auto"/>
    </w:pPr>
    <w:rPr>
      <w:sz w:val="24"/>
      <w:szCs w:val="24"/>
      <w:lang w:eastAsia="ko-KR"/>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GridTable7Colorful-Accent51">
    <w:name w:val="Grid Table 7 Colorful - Accent 51"/>
    <w:basedOn w:val="TableNormal"/>
    <w:next w:val="GridTable7Colorful-Accent5"/>
    <w:uiPriority w:val="52"/>
    <w:rsid w:val="00A563E5"/>
    <w:pPr>
      <w:spacing w:after="0" w:line="240" w:lineRule="auto"/>
    </w:pPr>
    <w:rPr>
      <w:color w:val="2F5496"/>
      <w:sz w:val="24"/>
      <w:szCs w:val="24"/>
      <w:lang w:eastAsia="ko-KR"/>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ListTable7Colorful-Accent11">
    <w:name w:val="List Table 7 Colorful - Accent 11"/>
    <w:basedOn w:val="TableNormal"/>
    <w:next w:val="ListTable7Colorful-Accent1"/>
    <w:uiPriority w:val="52"/>
    <w:rsid w:val="00A563E5"/>
    <w:pPr>
      <w:spacing w:after="0" w:line="240" w:lineRule="auto"/>
    </w:pPr>
    <w:rPr>
      <w:color w:val="2E74B5"/>
      <w:sz w:val="24"/>
      <w:szCs w:val="24"/>
      <w:lang w:eastAsia="ko-KR"/>
    </w:rPr>
    <w:tblPr>
      <w:tblStyleRowBandSize w:val="1"/>
      <w:tblStyleColBandSize w:val="1"/>
    </w:tblPr>
    <w:tblStylePr w:type="firstRow">
      <w:rPr>
        <w:rFonts w:ascii="Calibri Light" w:eastAsia="SimSun" w:hAnsi="Calibri Light" w:cs="Times New Roman"/>
        <w:i/>
        <w:iCs/>
        <w:sz w:val="26"/>
      </w:rPr>
      <w:tblPr/>
      <w:tcPr>
        <w:tcBorders>
          <w:bottom w:val="single" w:sz="4" w:space="0" w:color="5B9BD5"/>
        </w:tcBorders>
        <w:shd w:val="clear" w:color="auto" w:fill="FFFFFF"/>
      </w:tcPr>
    </w:tblStylePr>
    <w:tblStylePr w:type="lastRow">
      <w:rPr>
        <w:rFonts w:ascii="Calibri Light" w:eastAsia="SimSun" w:hAnsi="Calibri Light" w:cs="Times New Roman"/>
        <w:i/>
        <w:iCs/>
        <w:sz w:val="26"/>
      </w:rPr>
      <w:tblPr/>
      <w:tcPr>
        <w:tcBorders>
          <w:top w:val="single" w:sz="4" w:space="0" w:color="5B9BD5"/>
        </w:tcBorders>
        <w:shd w:val="clear" w:color="auto" w:fill="FFFFFF"/>
      </w:tcPr>
    </w:tblStylePr>
    <w:tblStylePr w:type="firstCol">
      <w:pPr>
        <w:jc w:val="right"/>
      </w:pPr>
      <w:rPr>
        <w:rFonts w:ascii="Calibri Light" w:eastAsia="SimSun" w:hAnsi="Calibri Light" w:cs="Times New Roman"/>
        <w:i/>
        <w:iCs/>
        <w:sz w:val="26"/>
      </w:rPr>
      <w:tblPr/>
      <w:tcPr>
        <w:tcBorders>
          <w:right w:val="single" w:sz="4" w:space="0" w:color="5B9BD5"/>
        </w:tcBorders>
        <w:shd w:val="clear" w:color="auto" w:fill="FFFFFF"/>
      </w:tcPr>
    </w:tblStylePr>
    <w:tblStylePr w:type="lastCol">
      <w:rPr>
        <w:rFonts w:ascii="Calibri Light" w:eastAsia="SimSun" w:hAnsi="Calibri Light" w:cs="Times New Roman"/>
        <w:i/>
        <w:iCs/>
        <w:sz w:val="26"/>
      </w:rPr>
      <w:tblPr/>
      <w:tcPr>
        <w:tcBorders>
          <w:left w:val="single" w:sz="4" w:space="0" w:color="5B9BD5"/>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next w:val="ListTable7Colorful-Accent5"/>
    <w:uiPriority w:val="52"/>
    <w:rsid w:val="00A563E5"/>
    <w:pPr>
      <w:spacing w:after="0" w:line="240" w:lineRule="auto"/>
    </w:pPr>
    <w:rPr>
      <w:color w:val="2F5496"/>
      <w:sz w:val="24"/>
      <w:szCs w:val="24"/>
      <w:lang w:eastAsia="ko-KR"/>
    </w:rPr>
    <w:tblPr>
      <w:tblStyleRowBandSize w:val="1"/>
      <w:tblStyleColBandSize w:val="1"/>
    </w:tblPr>
    <w:tblStylePr w:type="firstRow">
      <w:rPr>
        <w:rFonts w:ascii="Calibri Light" w:eastAsia="SimSun" w:hAnsi="Calibri Light" w:cs="Times New Roman"/>
        <w:i/>
        <w:iCs/>
        <w:sz w:val="26"/>
      </w:rPr>
      <w:tblPr/>
      <w:tcPr>
        <w:tcBorders>
          <w:bottom w:val="single" w:sz="4" w:space="0" w:color="4472C4"/>
        </w:tcBorders>
        <w:shd w:val="clear" w:color="auto" w:fill="FFFFFF"/>
      </w:tcPr>
    </w:tblStylePr>
    <w:tblStylePr w:type="lastRow">
      <w:rPr>
        <w:rFonts w:ascii="Calibri Light" w:eastAsia="SimSun" w:hAnsi="Calibri Light" w:cs="Times New Roman"/>
        <w:i/>
        <w:iCs/>
        <w:sz w:val="26"/>
      </w:rPr>
      <w:tblPr/>
      <w:tcPr>
        <w:tcBorders>
          <w:top w:val="single" w:sz="4" w:space="0" w:color="4472C4"/>
        </w:tcBorders>
        <w:shd w:val="clear" w:color="auto" w:fill="FFFFFF"/>
      </w:tcPr>
    </w:tblStylePr>
    <w:tblStylePr w:type="firstCol">
      <w:pPr>
        <w:jc w:val="right"/>
      </w:pPr>
      <w:rPr>
        <w:rFonts w:ascii="Calibri Light" w:eastAsia="SimSun" w:hAnsi="Calibri Light" w:cs="Times New Roman"/>
        <w:i/>
        <w:iCs/>
        <w:sz w:val="26"/>
      </w:rPr>
      <w:tblPr/>
      <w:tcPr>
        <w:tcBorders>
          <w:right w:val="single" w:sz="4" w:space="0" w:color="4472C4"/>
        </w:tcBorders>
        <w:shd w:val="clear" w:color="auto" w:fill="FFFFFF"/>
      </w:tcPr>
    </w:tblStylePr>
    <w:tblStylePr w:type="lastCol">
      <w:rPr>
        <w:rFonts w:ascii="Calibri Light" w:eastAsia="SimSun" w:hAnsi="Calibri Light" w:cs="Times New Roman"/>
        <w:i/>
        <w:iCs/>
        <w:sz w:val="26"/>
      </w:rPr>
      <w:tblPr/>
      <w:tcPr>
        <w:tcBorders>
          <w:left w:val="single" w:sz="4" w:space="0" w:color="4472C4"/>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leNormal"/>
    <w:next w:val="ListTable7Colorful-Accent2"/>
    <w:uiPriority w:val="52"/>
    <w:rsid w:val="00A563E5"/>
    <w:pPr>
      <w:spacing w:after="0" w:line="240" w:lineRule="auto"/>
    </w:pPr>
    <w:rPr>
      <w:color w:val="C45911"/>
      <w:sz w:val="24"/>
      <w:szCs w:val="24"/>
      <w:lang w:eastAsia="ko-KR"/>
    </w:rPr>
    <w:tblPr>
      <w:tblStyleRowBandSize w:val="1"/>
      <w:tblStyleColBandSize w:val="1"/>
    </w:tblPr>
    <w:tblStylePr w:type="firstRow">
      <w:rPr>
        <w:rFonts w:ascii="Calibri Light" w:eastAsia="SimSun" w:hAnsi="Calibri Light" w:cs="Times New Roman"/>
        <w:i/>
        <w:iCs/>
        <w:sz w:val="26"/>
      </w:rPr>
      <w:tblPr/>
      <w:tcPr>
        <w:tcBorders>
          <w:bottom w:val="single" w:sz="4" w:space="0" w:color="ED7D31"/>
        </w:tcBorders>
        <w:shd w:val="clear" w:color="auto" w:fill="FFFFFF"/>
      </w:tcPr>
    </w:tblStylePr>
    <w:tblStylePr w:type="lastRow">
      <w:rPr>
        <w:rFonts w:ascii="Calibri Light" w:eastAsia="SimSun" w:hAnsi="Calibri Light" w:cs="Times New Roman"/>
        <w:i/>
        <w:iCs/>
        <w:sz w:val="26"/>
      </w:rPr>
      <w:tblPr/>
      <w:tcPr>
        <w:tcBorders>
          <w:top w:val="single" w:sz="4" w:space="0" w:color="ED7D31"/>
        </w:tcBorders>
        <w:shd w:val="clear" w:color="auto" w:fill="FFFFFF"/>
      </w:tcPr>
    </w:tblStylePr>
    <w:tblStylePr w:type="firstCol">
      <w:pPr>
        <w:jc w:val="right"/>
      </w:pPr>
      <w:rPr>
        <w:rFonts w:ascii="Calibri Light" w:eastAsia="SimSun" w:hAnsi="Calibri Light" w:cs="Times New Roman"/>
        <w:i/>
        <w:iCs/>
        <w:sz w:val="26"/>
      </w:rPr>
      <w:tblPr/>
      <w:tcPr>
        <w:tcBorders>
          <w:right w:val="single" w:sz="4" w:space="0" w:color="ED7D31"/>
        </w:tcBorders>
        <w:shd w:val="clear" w:color="auto" w:fill="FFFFFF"/>
      </w:tcPr>
    </w:tblStylePr>
    <w:tblStylePr w:type="lastCol">
      <w:rPr>
        <w:rFonts w:ascii="Calibri Light" w:eastAsia="SimSun" w:hAnsi="Calibri Light" w:cs="Times New Roman"/>
        <w:i/>
        <w:iCs/>
        <w:sz w:val="26"/>
      </w:rPr>
      <w:tblPr/>
      <w:tcPr>
        <w:tcBorders>
          <w:left w:val="single" w:sz="4" w:space="0" w:color="ED7D31"/>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6Colorful-Accent11">
    <w:name w:val="List Table 6 Colorful - Accent 11"/>
    <w:basedOn w:val="TableNormal"/>
    <w:next w:val="ListTable6Colorful-Accent1"/>
    <w:uiPriority w:val="51"/>
    <w:rsid w:val="00A563E5"/>
    <w:pPr>
      <w:spacing w:after="0" w:line="240" w:lineRule="auto"/>
    </w:pPr>
    <w:rPr>
      <w:color w:val="2E74B5"/>
      <w:sz w:val="24"/>
      <w:szCs w:val="24"/>
      <w:lang w:eastAsia="ko-KR"/>
    </w:rPr>
    <w:tblPr>
      <w:tblStyleRowBandSize w:val="1"/>
      <w:tblStyleColBandSize w:val="1"/>
      <w:tblBorders>
        <w:top w:val="single" w:sz="4" w:space="0" w:color="5B9BD5"/>
        <w:bottom w:val="single" w:sz="4" w:space="0" w:color="5B9BD5"/>
      </w:tblBorders>
    </w:tblPr>
    <w:tblStylePr w:type="firstRow">
      <w:rPr>
        <w:b/>
        <w:bCs/>
      </w:rPr>
      <w:tblPr/>
      <w:tcPr>
        <w:tcBorders>
          <w:bottom w:val="single" w:sz="4" w:space="0" w:color="5B9BD5"/>
        </w:tcBorders>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1Light1">
    <w:name w:val="Grid Table 1 Light1"/>
    <w:basedOn w:val="TableNormal"/>
    <w:next w:val="GridTable1Light"/>
    <w:uiPriority w:val="46"/>
    <w:rsid w:val="00A563E5"/>
    <w:pPr>
      <w:spacing w:after="0" w:line="240" w:lineRule="auto"/>
    </w:pPr>
    <w:rPr>
      <w:sz w:val="24"/>
      <w:szCs w:val="24"/>
      <w:lang w:eastAsia="ko-KR"/>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21">
    <w:name w:val="Grid Table 21"/>
    <w:basedOn w:val="TableNormal"/>
    <w:next w:val="GridTable2"/>
    <w:uiPriority w:val="47"/>
    <w:rsid w:val="00A563E5"/>
    <w:pPr>
      <w:spacing w:after="0" w:line="240" w:lineRule="auto"/>
    </w:p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MediumShading21">
    <w:name w:val="Medium Shading 21"/>
    <w:basedOn w:val="TableNormal"/>
    <w:next w:val="MediumShading2"/>
    <w:uiPriority w:val="64"/>
    <w:rsid w:val="00A563E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HTMLAddress1">
    <w:name w:val="HTML Address1"/>
    <w:basedOn w:val="Normal"/>
    <w:next w:val="HTMLAddress"/>
    <w:uiPriority w:val="99"/>
    <w:semiHidden/>
    <w:unhideWhenUsed/>
    <w:rsid w:val="00A563E5"/>
    <w:pPr>
      <w:spacing w:after="0" w:line="240" w:lineRule="auto"/>
    </w:pPr>
    <w:rPr>
      <w:rFonts w:eastAsia="SimSun"/>
      <w:i/>
      <w:iCs/>
      <w:lang w:val="en-SG"/>
    </w:rPr>
  </w:style>
  <w:style w:type="table" w:customStyle="1" w:styleId="TableGridLight11">
    <w:name w:val="Table Grid Light11"/>
    <w:basedOn w:val="TableNormal"/>
    <w:uiPriority w:val="40"/>
    <w:rsid w:val="00A563E5"/>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ing1Char1">
    <w:name w:val="Heading 1 Char1"/>
    <w:basedOn w:val="DefaultParagraphFont"/>
    <w:uiPriority w:val="9"/>
    <w:rsid w:val="00A563E5"/>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A563E5"/>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A563E5"/>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A563E5"/>
    <w:rPr>
      <w:rFonts w:asciiTheme="majorHAnsi" w:eastAsiaTheme="majorEastAsia" w:hAnsiTheme="majorHAnsi" w:cstheme="majorBidi"/>
      <w:i/>
      <w:iCs/>
      <w:color w:val="365F91" w:themeColor="accent1" w:themeShade="BF"/>
    </w:rPr>
  </w:style>
  <w:style w:type="character" w:customStyle="1" w:styleId="Heading5Char1">
    <w:name w:val="Heading 5 Char1"/>
    <w:basedOn w:val="DefaultParagraphFont"/>
    <w:uiPriority w:val="9"/>
    <w:semiHidden/>
    <w:rsid w:val="00A563E5"/>
    <w:rPr>
      <w:rFonts w:asciiTheme="majorHAnsi" w:eastAsiaTheme="majorEastAsia" w:hAnsiTheme="majorHAnsi" w:cstheme="majorBidi"/>
      <w:color w:val="365F91" w:themeColor="accent1" w:themeShade="BF"/>
    </w:rPr>
  </w:style>
  <w:style w:type="character" w:customStyle="1" w:styleId="Heading6Char1">
    <w:name w:val="Heading 6 Char1"/>
    <w:basedOn w:val="DefaultParagraphFont"/>
    <w:uiPriority w:val="9"/>
    <w:semiHidden/>
    <w:rsid w:val="00A563E5"/>
    <w:rPr>
      <w:rFonts w:asciiTheme="majorHAnsi" w:eastAsiaTheme="majorEastAsia" w:hAnsiTheme="majorHAnsi" w:cstheme="majorBidi"/>
      <w:color w:val="243F60" w:themeColor="accent1" w:themeShade="7F"/>
    </w:rPr>
  </w:style>
  <w:style w:type="character" w:customStyle="1" w:styleId="Heading7Char1">
    <w:name w:val="Heading 7 Char1"/>
    <w:basedOn w:val="DefaultParagraphFont"/>
    <w:uiPriority w:val="9"/>
    <w:semiHidden/>
    <w:rsid w:val="00A563E5"/>
    <w:rPr>
      <w:rFonts w:asciiTheme="majorHAnsi" w:eastAsiaTheme="majorEastAsia" w:hAnsiTheme="majorHAnsi" w:cstheme="majorBidi"/>
      <w:i/>
      <w:iCs/>
      <w:color w:val="243F60" w:themeColor="accent1" w:themeShade="7F"/>
    </w:rPr>
  </w:style>
  <w:style w:type="character" w:customStyle="1" w:styleId="Heading8Char1">
    <w:name w:val="Heading 8 Char1"/>
    <w:basedOn w:val="DefaultParagraphFont"/>
    <w:uiPriority w:val="9"/>
    <w:semiHidden/>
    <w:rsid w:val="00A563E5"/>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A563E5"/>
    <w:rPr>
      <w:rFonts w:asciiTheme="majorHAnsi" w:eastAsiaTheme="majorEastAsia" w:hAnsiTheme="majorHAnsi" w:cstheme="majorBidi"/>
      <w:i/>
      <w:iCs/>
      <w:color w:val="272727" w:themeColor="text1" w:themeTint="D8"/>
      <w:sz w:val="21"/>
      <w:szCs w:val="21"/>
    </w:rPr>
  </w:style>
  <w:style w:type="character" w:customStyle="1" w:styleId="TitleChar1">
    <w:name w:val="Title Char1"/>
    <w:basedOn w:val="DefaultParagraphFont"/>
    <w:uiPriority w:val="10"/>
    <w:rsid w:val="00A563E5"/>
    <w:rPr>
      <w:rFonts w:asciiTheme="majorHAnsi" w:eastAsiaTheme="majorEastAsia" w:hAnsiTheme="majorHAnsi" w:cstheme="majorBidi"/>
      <w:spacing w:val="-10"/>
      <w:kern w:val="28"/>
      <w:sz w:val="56"/>
      <w:szCs w:val="56"/>
    </w:rPr>
  </w:style>
  <w:style w:type="character" w:customStyle="1" w:styleId="BodyTextChar1">
    <w:name w:val="Body Text Char1"/>
    <w:basedOn w:val="DefaultParagraphFont"/>
    <w:uiPriority w:val="99"/>
    <w:semiHidden/>
    <w:rsid w:val="00A563E5"/>
  </w:style>
  <w:style w:type="character" w:customStyle="1" w:styleId="HTMLAddressChar1">
    <w:name w:val="HTML Address Char1"/>
    <w:basedOn w:val="DefaultParagraphFont"/>
    <w:uiPriority w:val="99"/>
    <w:semiHidden/>
    <w:rsid w:val="00A563E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43423">
      <w:bodyDiv w:val="1"/>
      <w:marLeft w:val="0"/>
      <w:marRight w:val="0"/>
      <w:marTop w:val="0"/>
      <w:marBottom w:val="0"/>
      <w:divBdr>
        <w:top w:val="none" w:sz="0" w:space="0" w:color="auto"/>
        <w:left w:val="none" w:sz="0" w:space="0" w:color="auto"/>
        <w:bottom w:val="none" w:sz="0" w:space="0" w:color="auto"/>
        <w:right w:val="none" w:sz="0" w:space="0" w:color="auto"/>
      </w:divBdr>
    </w:div>
    <w:div w:id="208809332">
      <w:bodyDiv w:val="1"/>
      <w:marLeft w:val="0"/>
      <w:marRight w:val="0"/>
      <w:marTop w:val="0"/>
      <w:marBottom w:val="0"/>
      <w:divBdr>
        <w:top w:val="none" w:sz="0" w:space="0" w:color="auto"/>
        <w:left w:val="none" w:sz="0" w:space="0" w:color="auto"/>
        <w:bottom w:val="none" w:sz="0" w:space="0" w:color="auto"/>
        <w:right w:val="none" w:sz="0" w:space="0" w:color="auto"/>
      </w:divBdr>
    </w:div>
    <w:div w:id="622928801">
      <w:bodyDiv w:val="1"/>
      <w:marLeft w:val="0"/>
      <w:marRight w:val="0"/>
      <w:marTop w:val="0"/>
      <w:marBottom w:val="0"/>
      <w:divBdr>
        <w:top w:val="none" w:sz="0" w:space="0" w:color="auto"/>
        <w:left w:val="none" w:sz="0" w:space="0" w:color="auto"/>
        <w:bottom w:val="none" w:sz="0" w:space="0" w:color="auto"/>
        <w:right w:val="none" w:sz="0" w:space="0" w:color="auto"/>
      </w:divBdr>
    </w:div>
    <w:div w:id="792944954">
      <w:bodyDiv w:val="1"/>
      <w:marLeft w:val="0"/>
      <w:marRight w:val="0"/>
      <w:marTop w:val="0"/>
      <w:marBottom w:val="0"/>
      <w:divBdr>
        <w:top w:val="none" w:sz="0" w:space="0" w:color="auto"/>
        <w:left w:val="none" w:sz="0" w:space="0" w:color="auto"/>
        <w:bottom w:val="none" w:sz="0" w:space="0" w:color="auto"/>
        <w:right w:val="none" w:sz="0" w:space="0" w:color="auto"/>
      </w:divBdr>
      <w:divsChild>
        <w:div w:id="56125582">
          <w:marLeft w:val="0"/>
          <w:marRight w:val="0"/>
          <w:marTop w:val="0"/>
          <w:marBottom w:val="0"/>
          <w:divBdr>
            <w:top w:val="none" w:sz="0" w:space="0" w:color="auto"/>
            <w:left w:val="none" w:sz="0" w:space="0" w:color="auto"/>
            <w:bottom w:val="none" w:sz="0" w:space="0" w:color="auto"/>
            <w:right w:val="none" w:sz="0" w:space="0" w:color="auto"/>
          </w:divBdr>
        </w:div>
        <w:div w:id="419642722">
          <w:marLeft w:val="0"/>
          <w:marRight w:val="0"/>
          <w:marTop w:val="0"/>
          <w:marBottom w:val="0"/>
          <w:divBdr>
            <w:top w:val="none" w:sz="0" w:space="0" w:color="auto"/>
            <w:left w:val="none" w:sz="0" w:space="0" w:color="auto"/>
            <w:bottom w:val="none" w:sz="0" w:space="0" w:color="auto"/>
            <w:right w:val="none" w:sz="0" w:space="0" w:color="auto"/>
          </w:divBdr>
        </w:div>
      </w:divsChild>
    </w:div>
    <w:div w:id="894664423">
      <w:bodyDiv w:val="1"/>
      <w:marLeft w:val="0"/>
      <w:marRight w:val="0"/>
      <w:marTop w:val="0"/>
      <w:marBottom w:val="0"/>
      <w:divBdr>
        <w:top w:val="none" w:sz="0" w:space="0" w:color="auto"/>
        <w:left w:val="none" w:sz="0" w:space="0" w:color="auto"/>
        <w:bottom w:val="none" w:sz="0" w:space="0" w:color="auto"/>
        <w:right w:val="none" w:sz="0" w:space="0" w:color="auto"/>
      </w:divBdr>
    </w:div>
    <w:div w:id="1521435283">
      <w:bodyDiv w:val="1"/>
      <w:marLeft w:val="0"/>
      <w:marRight w:val="0"/>
      <w:marTop w:val="0"/>
      <w:marBottom w:val="0"/>
      <w:divBdr>
        <w:top w:val="none" w:sz="0" w:space="0" w:color="auto"/>
        <w:left w:val="none" w:sz="0" w:space="0" w:color="auto"/>
        <w:bottom w:val="none" w:sz="0" w:space="0" w:color="auto"/>
        <w:right w:val="none" w:sz="0" w:space="0" w:color="auto"/>
      </w:divBdr>
    </w:div>
    <w:div w:id="1713846780">
      <w:bodyDiv w:val="1"/>
      <w:marLeft w:val="0"/>
      <w:marRight w:val="0"/>
      <w:marTop w:val="0"/>
      <w:marBottom w:val="0"/>
      <w:divBdr>
        <w:top w:val="none" w:sz="0" w:space="0" w:color="auto"/>
        <w:left w:val="none" w:sz="0" w:space="0" w:color="auto"/>
        <w:bottom w:val="none" w:sz="0" w:space="0" w:color="auto"/>
        <w:right w:val="none" w:sz="0" w:space="0" w:color="auto"/>
      </w:divBdr>
    </w:div>
    <w:div w:id="1817406559">
      <w:bodyDiv w:val="1"/>
      <w:marLeft w:val="0"/>
      <w:marRight w:val="0"/>
      <w:marTop w:val="0"/>
      <w:marBottom w:val="0"/>
      <w:divBdr>
        <w:top w:val="none" w:sz="0" w:space="0" w:color="auto"/>
        <w:left w:val="none" w:sz="0" w:space="0" w:color="auto"/>
        <w:bottom w:val="none" w:sz="0" w:space="0" w:color="auto"/>
        <w:right w:val="none" w:sz="0" w:space="0" w:color="auto"/>
      </w:divBdr>
    </w:div>
    <w:div w:id="1940209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phaccye@nus.edu.s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332B21-90A0-42F5-9DF0-13C272C0D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822</TotalTime>
  <Pages>37</Pages>
  <Words>54542</Words>
  <Characters>310893</Characters>
  <Application>Microsoft Office Word</Application>
  <DocSecurity>0</DocSecurity>
  <Lines>2590</Lines>
  <Paragraphs>729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364706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 Cheong JY</dc:creator>
  <cp:keywords/>
  <dc:description/>
  <cp:lastModifiedBy>Dorinda</cp:lastModifiedBy>
  <cp:revision>24</cp:revision>
  <cp:lastPrinted>2020-05-11T15:54:00Z</cp:lastPrinted>
  <dcterms:created xsi:type="dcterms:W3CDTF">2021-06-02T02:53:00Z</dcterms:created>
  <dcterms:modified xsi:type="dcterms:W3CDTF">2021-06-07T00:03:00Z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Recent Style Id 0_1">
    <vt:lpwstr>http://www.zotero.org/styles/american-sociological-association</vt:lpwstr>
  </property>
  <property fmtid="{D5CDD505-2E9C-101B-9397-08002B2CF9AE}" pid="4" name="Mendeley Recent Style Name 0_1">
    <vt:lpwstr>American Sociological Association</vt:lpwstr>
  </property>
  <property fmtid="{D5CDD505-2E9C-101B-9397-08002B2CF9AE}" pid="5" name="Mendeley Recent Style Id 1_1">
    <vt:lpwstr>http://www.zotero.org/styles/archives-of-toxicology</vt:lpwstr>
  </property>
  <property fmtid="{D5CDD505-2E9C-101B-9397-08002B2CF9AE}" pid="6" name="Mendeley Recent Style Name 1_1">
    <vt:lpwstr>Archives of Toxicology</vt:lpwstr>
  </property>
  <property fmtid="{D5CDD505-2E9C-101B-9397-08002B2CF9AE}" pid="7" name="Mendeley Recent Style Id 2_1">
    <vt:lpwstr>http://www.zotero.org/styles/chicago-author-date</vt:lpwstr>
  </property>
  <property fmtid="{D5CDD505-2E9C-101B-9397-08002B2CF9AE}" pid="8" name="Mendeley Recent Style Name 2_1">
    <vt:lpwstr>Chicago Manual of Style 17th edition (author-date)</vt:lpwstr>
  </property>
  <property fmtid="{D5CDD505-2E9C-101B-9397-08002B2CF9AE}" pid="9" name="Mendeley Recent Style Id 3_1">
    <vt:lpwstr>http://www.zotero.org/styles/harvard-cite-them-right</vt:lpwstr>
  </property>
  <property fmtid="{D5CDD505-2E9C-101B-9397-08002B2CF9AE}" pid="10" name="Mendeley Recent Style Name 3_1">
    <vt:lpwstr>Cite Them Right 10th edition - Harvard</vt:lpwstr>
  </property>
  <property fmtid="{D5CDD505-2E9C-101B-9397-08002B2CF9AE}" pid="11" name="Mendeley Recent Style Id 4_1">
    <vt:lpwstr>http://www.zotero.org/styles/clinical-pharmacology-and-therapeutics</vt:lpwstr>
  </property>
  <property fmtid="{D5CDD505-2E9C-101B-9397-08002B2CF9AE}" pid="12" name="Mendeley Recent Style Name 4_1">
    <vt:lpwstr>Clinical Pharmacology &amp; Therapeutics</vt:lpwstr>
  </property>
  <property fmtid="{D5CDD505-2E9C-101B-9397-08002B2CF9AE}" pid="13" name="Mendeley Recent Style Id 5_1">
    <vt:lpwstr>http://www.zotero.org/styles/drug-testing-and-analysis</vt:lpwstr>
  </property>
  <property fmtid="{D5CDD505-2E9C-101B-9397-08002B2CF9AE}" pid="14" name="Mendeley Recent Style Name 5_1">
    <vt:lpwstr>Drug Testing and Analysis</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http://www.zotero.org/styles/nature</vt:lpwstr>
  </property>
  <property fmtid="{D5CDD505-2E9C-101B-9397-08002B2CF9AE}" pid="20" name="Mendeley Recent Style Name 8_1">
    <vt:lpwstr>Nature</vt:lpwstr>
  </property>
  <property fmtid="{D5CDD505-2E9C-101B-9397-08002B2CF9AE}" pid="21" name="Mendeley Recent Style Id 9_1">
    <vt:lpwstr>http://www.zotero.org/styles/the-journal-of-pharmacology-and-experimental-therapeutics</vt:lpwstr>
  </property>
  <property fmtid="{D5CDD505-2E9C-101B-9397-08002B2CF9AE}" pid="22" name="Mendeley Recent Style Name 9_1">
    <vt:lpwstr>The Journal of Pharmacology and Experimental Therapeutics</vt:lpwstr>
  </property>
  <property fmtid="{D5CDD505-2E9C-101B-9397-08002B2CF9AE}" pid="23" name="Mendeley Unique User Id_1">
    <vt:lpwstr>4d7b50db-5c43-38a4-a1f6-1befd9e54280</vt:lpwstr>
  </property>
  <property fmtid="{D5CDD505-2E9C-101B-9397-08002B2CF9AE}" pid="24" name="Mendeley Citation Style_1">
    <vt:lpwstr>http://www.zotero.org/styles/clinical-pharmacology-and-therapeutics</vt:lpwstr>
  </property>
</Properties>
</file>