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FA0" w:rsidRDefault="009D7FA0" w:rsidP="009D7FA0">
      <w:pPr>
        <w:spacing w:before="0" w:after="200" w:line="276" w:lineRule="auto"/>
        <w:rPr>
          <w:rFonts w:eastAsia="Times New Roman"/>
          <w:szCs w:val="24"/>
          <w:lang w:val="en-GB"/>
        </w:rPr>
      </w:pPr>
    </w:p>
    <w:p w:rsidR="009D7FA0" w:rsidRPr="006765F3" w:rsidRDefault="009D7FA0" w:rsidP="009D7FA0">
      <w:pPr>
        <w:spacing w:after="160" w:line="259" w:lineRule="auto"/>
      </w:pPr>
      <w:r w:rsidRPr="00400548">
        <w:rPr>
          <w:b/>
        </w:rPr>
        <w:t xml:space="preserve">Table 1: </w:t>
      </w:r>
      <w:r w:rsidR="006765F3" w:rsidRPr="006765F3">
        <w:t>Identification of the ASFV isolates and d</w:t>
      </w:r>
      <w:r w:rsidRPr="00400548">
        <w:t>esign of the animal experiment.</w:t>
      </w:r>
    </w:p>
    <w:tbl>
      <w:tblPr>
        <w:tblW w:w="92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5"/>
        <w:gridCol w:w="1250"/>
        <w:gridCol w:w="1231"/>
        <w:gridCol w:w="1052"/>
        <w:gridCol w:w="1276"/>
        <w:gridCol w:w="974"/>
        <w:gridCol w:w="613"/>
        <w:gridCol w:w="1269"/>
      </w:tblGrid>
      <w:tr w:rsidR="006765F3" w:rsidRPr="006765F3" w:rsidTr="002C444D">
        <w:trPr>
          <w:trHeight w:val="20"/>
          <w:jc w:val="center"/>
        </w:trPr>
        <w:tc>
          <w:tcPr>
            <w:tcW w:w="511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65F3" w:rsidRPr="006765F3" w:rsidRDefault="006765F3" w:rsidP="002C444D">
            <w:pPr>
              <w:spacing w:before="0" w:after="0"/>
              <w:rPr>
                <w:b/>
                <w:sz w:val="20"/>
                <w:szCs w:val="20"/>
              </w:rPr>
            </w:pPr>
            <w:r w:rsidRPr="006765F3"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  <w:t>ASFV  isolates</w:t>
            </w:r>
            <w:r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  <w:t xml:space="preserve"> origin</w:t>
            </w:r>
          </w:p>
        </w:tc>
        <w:tc>
          <w:tcPr>
            <w:tcW w:w="4132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2C444D">
            <w:pPr>
              <w:spacing w:before="0" w:after="0"/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b/>
                <w:sz w:val="20"/>
                <w:szCs w:val="20"/>
              </w:rPr>
              <w:t>Design of the animal experiment</w:t>
            </w:r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  <w:t>ID</w:t>
            </w:r>
          </w:p>
        </w:tc>
        <w:tc>
          <w:tcPr>
            <w:tcW w:w="1250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  <w:t>HOST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  <w:t>Location</w:t>
            </w:r>
          </w:p>
        </w:tc>
        <w:tc>
          <w:tcPr>
            <w:tcW w:w="100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  <w:t>Collection date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  <w:t>Status</w:t>
            </w:r>
          </w:p>
        </w:tc>
        <w:tc>
          <w:tcPr>
            <w:tcW w:w="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  <w:t>ID animal</w:t>
            </w:r>
          </w:p>
        </w:tc>
        <w:tc>
          <w:tcPr>
            <w:tcW w:w="188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  <w:t>Day of death (‡) or slaughtered (†)</w:t>
            </w:r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Es16/WB/Viru8</w:t>
            </w:r>
          </w:p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(HAD)</w:t>
            </w:r>
          </w:p>
        </w:tc>
        <w:tc>
          <w:tcPr>
            <w:tcW w:w="1250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Wild boar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6765F3">
              <w:rPr>
                <w:sz w:val="20"/>
                <w:szCs w:val="20"/>
                <w:lang w:val="en-GB"/>
              </w:rPr>
              <w:t>Lääne-Viru</w:t>
            </w:r>
            <w:proofErr w:type="spellEnd"/>
            <w:r w:rsidRPr="006765F3">
              <w:rPr>
                <w:sz w:val="20"/>
                <w:szCs w:val="20"/>
                <w:lang w:val="en-GB"/>
              </w:rPr>
              <w:t xml:space="preserve"> county, Estonia 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6765F3" w:rsidRPr="006765F3" w:rsidRDefault="002C444D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sz w:val="20"/>
                <w:szCs w:val="20"/>
                <w:lang w:val="en-GB"/>
              </w:rPr>
              <w:t>30/11/2016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Inoculated</w:t>
            </w:r>
          </w:p>
        </w:tc>
        <w:tc>
          <w:tcPr>
            <w:tcW w:w="97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  <w:t>E1</w:t>
            </w:r>
          </w:p>
        </w:tc>
        <w:tc>
          <w:tcPr>
            <w:tcW w:w="61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† </w:t>
            </w:r>
          </w:p>
        </w:tc>
        <w:tc>
          <w:tcPr>
            <w:tcW w:w="12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10 dpi</w:t>
            </w:r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007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  <w:t>E5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‡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10 dpi</w:t>
            </w:r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07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In contact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E2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†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76 </w:t>
            </w:r>
            <w:proofErr w:type="spellStart"/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dpe</w:t>
            </w:r>
            <w:proofErr w:type="spellEnd"/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007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E3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‡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15 </w:t>
            </w:r>
            <w:proofErr w:type="spellStart"/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dpe</w:t>
            </w:r>
            <w:proofErr w:type="spellEnd"/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007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E4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†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20 </w:t>
            </w:r>
            <w:proofErr w:type="spellStart"/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dpe</w:t>
            </w:r>
            <w:proofErr w:type="spellEnd"/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007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E6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76 </w:t>
            </w:r>
            <w:proofErr w:type="spellStart"/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dpe</w:t>
            </w:r>
            <w:proofErr w:type="spellEnd"/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Pol16/DP/OUT21 (HAD)</w:t>
            </w:r>
          </w:p>
        </w:tc>
        <w:tc>
          <w:tcPr>
            <w:tcW w:w="1250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Domestic pig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:rsidR="006765F3" w:rsidRPr="006765F3" w:rsidRDefault="002C444D" w:rsidP="002C444D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2C444D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Leśna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2C444D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Lubań</w:t>
            </w:r>
            <w:proofErr w:type="spellEnd"/>
            <w:r w:rsidRPr="002C444D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c</w:t>
            </w:r>
            <w:r w:rsidRPr="002C444D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ounty </w:t>
            </w:r>
            <w:r w:rsidR="006765F3"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Poland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:rsidR="006765F3" w:rsidRPr="006765F3" w:rsidRDefault="002C444D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25/09/2016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Inoculated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  <w:t>P7</w:t>
            </w:r>
          </w:p>
        </w:tc>
        <w:tc>
          <w:tcPr>
            <w:tcW w:w="6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‡ 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8 dpi</w:t>
            </w:r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/>
            <w:tcBorders>
              <w:left w:val="nil"/>
              <w:right w:val="nil"/>
            </w:tcBorders>
            <w:shd w:val="clear" w:color="auto" w:fill="auto"/>
            <w:noWrap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007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  <w:t>P12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‡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8 dpi</w:t>
            </w:r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/>
            <w:tcBorders>
              <w:left w:val="nil"/>
              <w:right w:val="nil"/>
            </w:tcBorders>
            <w:shd w:val="clear" w:color="auto" w:fill="auto"/>
            <w:noWrap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07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In contact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P8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†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14 </w:t>
            </w:r>
            <w:proofErr w:type="spellStart"/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dpe</w:t>
            </w:r>
            <w:proofErr w:type="spellEnd"/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/>
            <w:tcBorders>
              <w:left w:val="nil"/>
              <w:right w:val="nil"/>
            </w:tcBorders>
            <w:shd w:val="clear" w:color="auto" w:fill="auto"/>
            <w:noWrap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007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P9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†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20 </w:t>
            </w:r>
            <w:proofErr w:type="spellStart"/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dpe</w:t>
            </w:r>
            <w:proofErr w:type="spellEnd"/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/>
            <w:tcBorders>
              <w:left w:val="nil"/>
              <w:right w:val="nil"/>
            </w:tcBorders>
            <w:shd w:val="clear" w:color="auto" w:fill="auto"/>
            <w:noWrap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007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P10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†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13 </w:t>
            </w:r>
            <w:proofErr w:type="spellStart"/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dpe</w:t>
            </w:r>
            <w:proofErr w:type="spellEnd"/>
          </w:p>
        </w:tc>
      </w:tr>
      <w:tr w:rsidR="006765F3" w:rsidRPr="006765F3" w:rsidTr="002C444D">
        <w:trPr>
          <w:trHeight w:val="64"/>
          <w:jc w:val="center"/>
        </w:trPr>
        <w:tc>
          <w:tcPr>
            <w:tcW w:w="1585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007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P11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13 </w:t>
            </w:r>
            <w:proofErr w:type="spellStart"/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dpe</w:t>
            </w:r>
            <w:proofErr w:type="spellEnd"/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Lv17/WB/Rie1* (non-HAD)</w:t>
            </w:r>
          </w:p>
        </w:tc>
        <w:tc>
          <w:tcPr>
            <w:tcW w:w="1250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Wild boar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:rsidR="006765F3" w:rsidRPr="006765F3" w:rsidRDefault="002C444D" w:rsidP="002C444D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Engures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, </w:t>
            </w:r>
            <w:proofErr w:type="spellStart"/>
            <w:r w:rsidRPr="002C444D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Smardesu</w:t>
            </w:r>
            <w:proofErr w:type="spellEnd"/>
            <w:r w:rsidRPr="002C444D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 parish</w:t>
            </w:r>
            <w:r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, </w:t>
            </w:r>
            <w:r w:rsidR="006765F3"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Latvia</w:t>
            </w:r>
            <w:r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right w:val="nil"/>
            </w:tcBorders>
          </w:tcPr>
          <w:p w:rsidR="006765F3" w:rsidRPr="006765F3" w:rsidRDefault="002C444D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01/02/2017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Inoculated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  <w:t>PW13</w:t>
            </w:r>
          </w:p>
        </w:tc>
        <w:tc>
          <w:tcPr>
            <w:tcW w:w="61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†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126 dpi</w:t>
            </w:r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007" w:type="dxa"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b/>
                <w:color w:val="000000"/>
                <w:sz w:val="20"/>
                <w:szCs w:val="20"/>
                <w:lang w:eastAsia="es-ES"/>
              </w:rPr>
              <w:t>PW17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†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45 dpi</w:t>
            </w:r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07" w:type="dxa"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In contact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PW14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†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126 </w:t>
            </w:r>
            <w:proofErr w:type="spellStart"/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dpe</w:t>
            </w:r>
            <w:proofErr w:type="spellEnd"/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007" w:type="dxa"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PW15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†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101 </w:t>
            </w:r>
            <w:proofErr w:type="spellStart"/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dpe</w:t>
            </w:r>
            <w:proofErr w:type="spellEnd"/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007" w:type="dxa"/>
            <w:tcBorders>
              <w:left w:val="nil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PW16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†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25 </w:t>
            </w:r>
            <w:proofErr w:type="spellStart"/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dpe</w:t>
            </w:r>
            <w:proofErr w:type="spellEnd"/>
          </w:p>
        </w:tc>
      </w:tr>
      <w:tr w:rsidR="006765F3" w:rsidRPr="006765F3" w:rsidTr="002C444D">
        <w:trPr>
          <w:trHeight w:val="20"/>
          <w:jc w:val="center"/>
        </w:trPr>
        <w:tc>
          <w:tcPr>
            <w:tcW w:w="1585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5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007" w:type="dxa"/>
            <w:tcBorders>
              <w:left w:val="nil"/>
              <w:bottom w:val="single" w:sz="12" w:space="0" w:color="auto"/>
              <w:right w:val="nil"/>
            </w:tcBorders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PW18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†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6765F3" w:rsidRPr="006765F3" w:rsidRDefault="006765F3" w:rsidP="006765F3">
            <w:pPr>
              <w:spacing w:before="0" w:after="0"/>
              <w:rPr>
                <w:rFonts w:eastAsia="Times New Roman"/>
                <w:color w:val="000000"/>
                <w:sz w:val="20"/>
                <w:szCs w:val="20"/>
                <w:lang w:eastAsia="es-ES"/>
              </w:rPr>
            </w:pPr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 xml:space="preserve">101 </w:t>
            </w:r>
            <w:proofErr w:type="spellStart"/>
            <w:r w:rsidRPr="006765F3">
              <w:rPr>
                <w:rFonts w:eastAsia="Times New Roman"/>
                <w:color w:val="000000"/>
                <w:sz w:val="20"/>
                <w:szCs w:val="20"/>
                <w:lang w:eastAsia="es-ES"/>
              </w:rPr>
              <w:t>dpe</w:t>
            </w:r>
            <w:proofErr w:type="spellEnd"/>
          </w:p>
        </w:tc>
      </w:tr>
    </w:tbl>
    <w:p w:rsidR="009D7FA0" w:rsidRPr="001C5277" w:rsidRDefault="009D7FA0" w:rsidP="002C444D">
      <w:pPr>
        <w:spacing w:before="0" w:after="0" w:line="259" w:lineRule="auto"/>
        <w:ind w:firstLine="426"/>
        <w:rPr>
          <w:sz w:val="20"/>
        </w:rPr>
      </w:pPr>
      <w:r w:rsidRPr="001C5277">
        <w:rPr>
          <w:sz w:val="20"/>
        </w:rPr>
        <w:t xml:space="preserve">Dpi (days post infection); </w:t>
      </w:r>
      <w:proofErr w:type="spellStart"/>
      <w:r w:rsidRPr="001C5277">
        <w:rPr>
          <w:sz w:val="20"/>
        </w:rPr>
        <w:t>dpe</w:t>
      </w:r>
      <w:proofErr w:type="spellEnd"/>
      <w:r w:rsidRPr="001C5277">
        <w:rPr>
          <w:sz w:val="20"/>
        </w:rPr>
        <w:t xml:space="preserve"> (days post exposure)</w:t>
      </w:r>
    </w:p>
    <w:p w:rsidR="009D7FA0" w:rsidRPr="001C5277" w:rsidRDefault="009D7FA0" w:rsidP="002C444D">
      <w:pPr>
        <w:spacing w:before="0" w:after="0" w:line="259" w:lineRule="auto"/>
        <w:ind w:firstLine="426"/>
        <w:rPr>
          <w:sz w:val="20"/>
        </w:rPr>
      </w:pPr>
      <w:r w:rsidRPr="001C5277">
        <w:rPr>
          <w:sz w:val="20"/>
        </w:rPr>
        <w:t>*Experiment previously described by Gallardo et al 2019</w:t>
      </w:r>
      <w:r w:rsidR="004C12CA">
        <w:rPr>
          <w:sz w:val="20"/>
        </w:rPr>
        <w:t>a</w:t>
      </w:r>
      <w:r w:rsidRPr="001C5277">
        <w:rPr>
          <w:sz w:val="20"/>
        </w:rPr>
        <w:t xml:space="preserve">. </w:t>
      </w:r>
    </w:p>
    <w:p w:rsidR="009D7FA0" w:rsidRDefault="009D7FA0" w:rsidP="009D7FA0">
      <w:pPr>
        <w:ind w:firstLine="360"/>
        <w:rPr>
          <w:b/>
        </w:rPr>
      </w:pPr>
    </w:p>
    <w:p w:rsidR="009D7FA0" w:rsidRPr="00EE14ED" w:rsidRDefault="009D7FA0" w:rsidP="009D7FA0">
      <w:pPr>
        <w:spacing w:line="360" w:lineRule="auto"/>
        <w:ind w:firstLine="360"/>
      </w:pPr>
      <w:r w:rsidRPr="00EE14ED">
        <w:rPr>
          <w:b/>
        </w:rPr>
        <w:t>Table 2:</w:t>
      </w:r>
      <w:r w:rsidRPr="00EE14ED">
        <w:t xml:space="preserve"> Comparative results of the onset of the disease indicating the incubation period and survival rate in the domestic pigs infected with the </w:t>
      </w:r>
      <w:r>
        <w:t>HAD-</w:t>
      </w:r>
      <w:r w:rsidRPr="00EE14ED">
        <w:t xml:space="preserve">Polish (Pol16/DP/OUT21), </w:t>
      </w:r>
      <w:r>
        <w:t>HAD-</w:t>
      </w:r>
      <w:r w:rsidRPr="00EE14ED">
        <w:t>Estonia (Est16/WB/Viru8) or</w:t>
      </w:r>
      <w:r>
        <w:t xml:space="preserve"> the non-HAD</w:t>
      </w:r>
      <w:r w:rsidRPr="00EE14ED">
        <w:t xml:space="preserve"> Latvian (Lv17/WB/Rie1) </w:t>
      </w:r>
      <w:r>
        <w:t>ASFVs</w:t>
      </w:r>
      <w:r w:rsidRPr="00EE14ED">
        <w:t xml:space="preserve">. </w:t>
      </w:r>
    </w:p>
    <w:tbl>
      <w:tblPr>
        <w:tblStyle w:val="Tablaconcuadrcula"/>
        <w:tblW w:w="85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4"/>
        <w:gridCol w:w="1708"/>
        <w:gridCol w:w="1317"/>
        <w:gridCol w:w="1708"/>
        <w:gridCol w:w="1818"/>
      </w:tblGrid>
      <w:tr w:rsidR="009D7FA0" w:rsidRPr="00EE14ED" w:rsidTr="002C444D">
        <w:trPr>
          <w:trHeight w:val="227"/>
          <w:jc w:val="center"/>
        </w:trPr>
        <w:tc>
          <w:tcPr>
            <w:tcW w:w="1954" w:type="dxa"/>
            <w:vMerge w:val="restart"/>
            <w:vAlign w:val="center"/>
          </w:tcPr>
          <w:p w:rsidR="009D7FA0" w:rsidRPr="00EE14ED" w:rsidRDefault="009D7FA0" w:rsidP="002C444D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val="es-ES" w:eastAsia="es-ES"/>
              </w:rPr>
            </w:pPr>
            <w:r w:rsidRPr="00EE14ED"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val="es-ES" w:eastAsia="es-ES"/>
              </w:rPr>
              <w:t xml:space="preserve">ASFV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val="es-ES" w:eastAsia="es-ES"/>
              </w:rPr>
              <w:t>isolate</w:t>
            </w:r>
            <w:proofErr w:type="spellEnd"/>
          </w:p>
        </w:tc>
        <w:tc>
          <w:tcPr>
            <w:tcW w:w="3025" w:type="dxa"/>
            <w:gridSpan w:val="2"/>
            <w:tcBorders>
              <w:bottom w:val="single" w:sz="12" w:space="0" w:color="auto"/>
            </w:tcBorders>
            <w:vAlign w:val="center"/>
          </w:tcPr>
          <w:p w:rsidR="009D7FA0" w:rsidRPr="00EE14ED" w:rsidRDefault="009D7FA0" w:rsidP="002C444D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es-E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es-ES"/>
              </w:rPr>
              <w:t>Incubation period</w:t>
            </w:r>
            <w:r w:rsidRPr="00EE14ED"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es-ES"/>
              </w:rPr>
              <w:t>* (±SD)</w:t>
            </w:r>
          </w:p>
        </w:tc>
        <w:tc>
          <w:tcPr>
            <w:tcW w:w="3526" w:type="dxa"/>
            <w:gridSpan w:val="2"/>
            <w:tcBorders>
              <w:bottom w:val="single" w:sz="12" w:space="0" w:color="auto"/>
            </w:tcBorders>
            <w:vAlign w:val="center"/>
          </w:tcPr>
          <w:p w:rsidR="009D7FA0" w:rsidRPr="00EE14ED" w:rsidRDefault="009D7FA0" w:rsidP="002C444D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es-ES"/>
              </w:rPr>
            </w:pPr>
            <w:r w:rsidRPr="00EE14ED"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eastAsia="es-ES"/>
              </w:rPr>
              <w:t>SURVIVAL [Mean time to death days (±SD)]</w:t>
            </w:r>
          </w:p>
        </w:tc>
      </w:tr>
      <w:tr w:rsidR="009D7FA0" w:rsidRPr="00EE14ED" w:rsidTr="002C444D">
        <w:trPr>
          <w:trHeight w:val="227"/>
          <w:jc w:val="center"/>
        </w:trPr>
        <w:tc>
          <w:tcPr>
            <w:tcW w:w="1954" w:type="dxa"/>
            <w:vMerge/>
            <w:tcBorders>
              <w:bottom w:val="single" w:sz="4" w:space="0" w:color="auto"/>
            </w:tcBorders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</w:p>
        </w:tc>
        <w:tc>
          <w:tcPr>
            <w:tcW w:w="17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D7FA0" w:rsidRPr="00EE14ED" w:rsidRDefault="009D7FA0" w:rsidP="002C444D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val="es-ES" w:eastAsia="es-ES"/>
              </w:rPr>
            </w:pPr>
            <w:r w:rsidRPr="00EE14ED"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val="es-ES" w:eastAsia="es-ES"/>
              </w:rPr>
              <w:t>INOCULATED</w:t>
            </w:r>
          </w:p>
        </w:tc>
        <w:tc>
          <w:tcPr>
            <w:tcW w:w="131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D7FA0" w:rsidRPr="00EE14ED" w:rsidRDefault="009D7FA0" w:rsidP="002C444D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val="es-ES" w:eastAsia="es-ES"/>
              </w:rPr>
            </w:pPr>
            <w:r w:rsidRPr="00EE14ED"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val="es-ES" w:eastAsia="es-ES"/>
              </w:rPr>
              <w:t xml:space="preserve">CONTACT </w:t>
            </w:r>
          </w:p>
        </w:tc>
        <w:tc>
          <w:tcPr>
            <w:tcW w:w="17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EE14ED"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val="es-ES" w:eastAsia="es-ES"/>
              </w:rPr>
              <w:t>INOCULATED</w:t>
            </w:r>
          </w:p>
        </w:tc>
        <w:tc>
          <w:tcPr>
            <w:tcW w:w="18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EE14ED">
              <w:rPr>
                <w:rFonts w:eastAsia="Times New Roman" w:cs="Times New Roman"/>
                <w:b/>
                <w:bCs/>
                <w:color w:val="000000"/>
                <w:sz w:val="22"/>
                <w:szCs w:val="24"/>
                <w:lang w:val="es-ES" w:eastAsia="es-ES"/>
              </w:rPr>
              <w:t xml:space="preserve">CONTACT </w:t>
            </w:r>
          </w:p>
        </w:tc>
      </w:tr>
      <w:tr w:rsidR="009D7FA0" w:rsidRPr="00EE14ED" w:rsidTr="002C444D">
        <w:trPr>
          <w:trHeight w:val="227"/>
          <w:jc w:val="center"/>
        </w:trPr>
        <w:tc>
          <w:tcPr>
            <w:tcW w:w="1954" w:type="dxa"/>
            <w:tcBorders>
              <w:top w:val="single" w:sz="4" w:space="0" w:color="auto"/>
            </w:tcBorders>
            <w:vAlign w:val="center"/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EE14ED">
              <w:rPr>
                <w:rFonts w:eastAsia="Times New Roman" w:cs="Times New Roman"/>
                <w:color w:val="000000"/>
                <w:sz w:val="22"/>
                <w:szCs w:val="24"/>
                <w:lang w:val="es-ES" w:eastAsia="es-ES"/>
              </w:rPr>
              <w:t>Pol16/DP/OUT21</w:t>
            </w:r>
          </w:p>
        </w:tc>
        <w:tc>
          <w:tcPr>
            <w:tcW w:w="1708" w:type="dxa"/>
            <w:tcBorders>
              <w:top w:val="single" w:sz="4" w:space="0" w:color="auto"/>
            </w:tcBorders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>
              <w:rPr>
                <w:rFonts w:eastAsia="Times New Roman" w:cs="Times New Roman"/>
                <w:color w:val="000000"/>
                <w:sz w:val="22"/>
                <w:szCs w:val="24"/>
                <w:lang w:val="es-ES" w:eastAsia="es-ES"/>
              </w:rPr>
              <w:t>4.</w:t>
            </w:r>
            <w:r w:rsidRPr="00EE14ED">
              <w:rPr>
                <w:rFonts w:eastAsia="Times New Roman" w:cs="Times New Roman"/>
                <w:color w:val="000000"/>
                <w:sz w:val="22"/>
                <w:szCs w:val="24"/>
                <w:lang w:val="es-ES" w:eastAsia="es-ES"/>
              </w:rPr>
              <w:t>5±</w:t>
            </w:r>
            <w:r>
              <w:rPr>
                <w:rFonts w:eastAsia="Times New Roman" w:cs="Times New Roman"/>
                <w:color w:val="000000"/>
                <w:sz w:val="22"/>
                <w:szCs w:val="24"/>
                <w:lang w:val="es-ES" w:eastAsia="es-ES"/>
              </w:rPr>
              <w:t>0.7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EE14ED">
              <w:rPr>
                <w:rFonts w:eastAsia="Times New Roman" w:cs="Times New Roman"/>
                <w:color w:val="000000"/>
                <w:sz w:val="22"/>
                <w:szCs w:val="24"/>
                <w:lang w:val="es-ES" w:eastAsia="es-ES"/>
              </w:rPr>
              <w:t>9±1</w:t>
            </w:r>
          </w:p>
        </w:tc>
        <w:tc>
          <w:tcPr>
            <w:tcW w:w="1708" w:type="dxa"/>
            <w:tcBorders>
              <w:top w:val="single" w:sz="4" w:space="0" w:color="auto"/>
            </w:tcBorders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EE14ED">
              <w:rPr>
                <w:rFonts w:eastAsia="Times New Roman" w:cs="Times New Roman"/>
                <w:color w:val="000000"/>
                <w:sz w:val="22"/>
                <w:szCs w:val="24"/>
                <w:lang w:val="es-ES" w:eastAsia="es-ES"/>
              </w:rPr>
              <w:t>0% [8±0]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vAlign w:val="center"/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871B0A"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>0%  [16.</w:t>
            </w:r>
            <w:r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>5</w:t>
            </w:r>
            <w:r w:rsidRPr="00871B0A"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>± 2,4]</w:t>
            </w:r>
          </w:p>
        </w:tc>
      </w:tr>
      <w:tr w:rsidR="009D7FA0" w:rsidRPr="00EE14ED" w:rsidTr="002C444D">
        <w:trPr>
          <w:trHeight w:val="227"/>
          <w:jc w:val="center"/>
        </w:trPr>
        <w:tc>
          <w:tcPr>
            <w:tcW w:w="1954" w:type="dxa"/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871B0A"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>Es16/WB/Viru8</w:t>
            </w:r>
          </w:p>
        </w:tc>
        <w:tc>
          <w:tcPr>
            <w:tcW w:w="1708" w:type="dxa"/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>5.5±0.7</w:t>
            </w:r>
          </w:p>
        </w:tc>
        <w:tc>
          <w:tcPr>
            <w:tcW w:w="1317" w:type="dxa"/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>13</w:t>
            </w:r>
            <w:r w:rsidRPr="00EE14ED"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>± 0</w:t>
            </w:r>
          </w:p>
        </w:tc>
        <w:tc>
          <w:tcPr>
            <w:tcW w:w="1708" w:type="dxa"/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EE14ED"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>0% [10±0]</w:t>
            </w:r>
          </w:p>
        </w:tc>
        <w:tc>
          <w:tcPr>
            <w:tcW w:w="1818" w:type="dxa"/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EE14ED"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>50%  [18± 1,4]</w:t>
            </w:r>
          </w:p>
        </w:tc>
      </w:tr>
      <w:tr w:rsidR="009D7FA0" w:rsidRPr="00EE14ED" w:rsidTr="002C444D">
        <w:trPr>
          <w:trHeight w:val="227"/>
          <w:jc w:val="center"/>
        </w:trPr>
        <w:tc>
          <w:tcPr>
            <w:tcW w:w="1954" w:type="dxa"/>
            <w:tcBorders>
              <w:bottom w:val="single" w:sz="12" w:space="0" w:color="auto"/>
            </w:tcBorders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EE14ED"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>Lv17/WB/Rie1</w:t>
            </w:r>
          </w:p>
        </w:tc>
        <w:tc>
          <w:tcPr>
            <w:tcW w:w="1708" w:type="dxa"/>
            <w:tcBorders>
              <w:bottom w:val="single" w:sz="12" w:space="0" w:color="auto"/>
            </w:tcBorders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EE14ED"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 xml:space="preserve">8± 0 </w:t>
            </w:r>
          </w:p>
        </w:tc>
        <w:tc>
          <w:tcPr>
            <w:tcW w:w="1317" w:type="dxa"/>
            <w:tcBorders>
              <w:bottom w:val="single" w:sz="12" w:space="0" w:color="auto"/>
            </w:tcBorders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EE14ED"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 xml:space="preserve">11,5± 0 </w:t>
            </w:r>
          </w:p>
        </w:tc>
        <w:tc>
          <w:tcPr>
            <w:tcW w:w="1708" w:type="dxa"/>
            <w:tcBorders>
              <w:bottom w:val="single" w:sz="12" w:space="0" w:color="auto"/>
            </w:tcBorders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EE14ED">
              <w:rPr>
                <w:sz w:val="22"/>
                <w:szCs w:val="24"/>
              </w:rPr>
              <w:t>100%</w:t>
            </w:r>
          </w:p>
        </w:tc>
        <w:tc>
          <w:tcPr>
            <w:tcW w:w="1818" w:type="dxa"/>
            <w:tcBorders>
              <w:bottom w:val="single" w:sz="12" w:space="0" w:color="auto"/>
            </w:tcBorders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EE14ED"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 xml:space="preserve">100%  </w:t>
            </w:r>
          </w:p>
        </w:tc>
      </w:tr>
    </w:tbl>
    <w:p w:rsidR="009D7FA0" w:rsidRPr="00EE14ED" w:rsidRDefault="009D7FA0" w:rsidP="009D7FA0">
      <w:pPr>
        <w:pStyle w:val="Prrafodelista"/>
        <w:numPr>
          <w:ilvl w:val="0"/>
          <w:numId w:val="0"/>
        </w:numPr>
        <w:spacing w:line="480" w:lineRule="auto"/>
        <w:ind w:left="786" w:hanging="66"/>
        <w:rPr>
          <w:b/>
          <w:sz w:val="40"/>
        </w:rPr>
      </w:pPr>
      <w:r w:rsidRPr="00EE14ED">
        <w:rPr>
          <w:rFonts w:eastAsia="Times New Roman"/>
          <w:color w:val="000000"/>
          <w:lang w:eastAsia="es-ES"/>
        </w:rPr>
        <w:t>*</w:t>
      </w:r>
      <w:r>
        <w:rPr>
          <w:rFonts w:eastAsia="Times New Roman"/>
          <w:color w:val="000000"/>
          <w:lang w:eastAsia="es-ES"/>
        </w:rPr>
        <w:t>days from i</w:t>
      </w:r>
      <w:r w:rsidRPr="00EE14ED">
        <w:rPr>
          <w:rFonts w:eastAsia="Times New Roman"/>
          <w:color w:val="000000"/>
          <w:lang w:eastAsia="es-ES"/>
        </w:rPr>
        <w:t>nfection to onset of clinical signs</w:t>
      </w:r>
      <w:r>
        <w:rPr>
          <w:rFonts w:eastAsia="Times New Roman"/>
          <w:color w:val="000000"/>
          <w:lang w:eastAsia="es-ES"/>
        </w:rPr>
        <w:t>; SD = standard deviation</w:t>
      </w:r>
    </w:p>
    <w:p w:rsidR="009D7FA0" w:rsidRDefault="009D7FA0" w:rsidP="009D7FA0">
      <w:pPr>
        <w:spacing w:line="360" w:lineRule="auto"/>
        <w:ind w:firstLine="360"/>
      </w:pPr>
    </w:p>
    <w:p w:rsidR="009D7FA0" w:rsidRDefault="009D7FA0" w:rsidP="009D7FA0">
      <w:pPr>
        <w:spacing w:line="360" w:lineRule="auto"/>
        <w:ind w:firstLine="360"/>
      </w:pPr>
    </w:p>
    <w:p w:rsidR="009D7FA0" w:rsidRDefault="009D7FA0" w:rsidP="009D7FA0">
      <w:pPr>
        <w:spacing w:line="360" w:lineRule="auto"/>
        <w:ind w:firstLine="360"/>
      </w:pPr>
    </w:p>
    <w:p w:rsidR="009D7FA0" w:rsidRDefault="009D7FA0" w:rsidP="009D7FA0">
      <w:pPr>
        <w:spacing w:line="360" w:lineRule="auto"/>
        <w:ind w:firstLine="360"/>
      </w:pPr>
    </w:p>
    <w:p w:rsidR="009D7FA0" w:rsidRDefault="009D7FA0" w:rsidP="009D7FA0">
      <w:pPr>
        <w:spacing w:line="360" w:lineRule="auto"/>
        <w:ind w:firstLine="360"/>
      </w:pPr>
    </w:p>
    <w:p w:rsidR="009D7FA0" w:rsidRDefault="009D7FA0" w:rsidP="009D7FA0">
      <w:pPr>
        <w:spacing w:line="360" w:lineRule="auto"/>
        <w:ind w:firstLine="360"/>
      </w:pPr>
    </w:p>
    <w:p w:rsidR="009D7FA0" w:rsidRDefault="009D7FA0" w:rsidP="009D7FA0">
      <w:pPr>
        <w:spacing w:line="360" w:lineRule="auto"/>
        <w:ind w:firstLine="360"/>
      </w:pPr>
    </w:p>
    <w:p w:rsidR="009D7FA0" w:rsidRDefault="009D7FA0" w:rsidP="009D7FA0">
      <w:pPr>
        <w:spacing w:line="360" w:lineRule="auto"/>
        <w:ind w:firstLine="360"/>
      </w:pPr>
      <w:r w:rsidRPr="00EE14ED">
        <w:rPr>
          <w:b/>
        </w:rPr>
        <w:t xml:space="preserve">Table </w:t>
      </w:r>
      <w:r>
        <w:rPr>
          <w:b/>
        </w:rPr>
        <w:t>3</w:t>
      </w:r>
      <w:r w:rsidRPr="00EE14ED">
        <w:rPr>
          <w:b/>
        </w:rPr>
        <w:t>:</w:t>
      </w:r>
      <w:r w:rsidRPr="00EE14ED">
        <w:t xml:space="preserve"> </w:t>
      </w:r>
      <w:r>
        <w:t xml:space="preserve">Comparative results of the onset of ASFV DNA (PCR) detection and virus isolation (VI) </w:t>
      </w:r>
      <w:r w:rsidRPr="002D65CE">
        <w:t>in the</w:t>
      </w:r>
      <w:r w:rsidR="00814A87">
        <w:t xml:space="preserve"> inoculated (A) and in the in contact (B) domestic pigs infected </w:t>
      </w:r>
      <w:r w:rsidRPr="002D65CE">
        <w:t>with</w:t>
      </w:r>
      <w:r w:rsidRPr="00EE14ED">
        <w:t xml:space="preserve"> the </w:t>
      </w:r>
      <w:r>
        <w:t>HAD-</w:t>
      </w:r>
      <w:r w:rsidRPr="00EE14ED">
        <w:t xml:space="preserve">Polish (Pol16/DP/OUT21), </w:t>
      </w:r>
      <w:r>
        <w:t>HAD-</w:t>
      </w:r>
      <w:r w:rsidRPr="00EE14ED">
        <w:t>Estonia (Est16/WB/Viru8) or</w:t>
      </w:r>
      <w:r>
        <w:t xml:space="preserve"> the non-HAD</w:t>
      </w:r>
      <w:r w:rsidRPr="00EE14ED">
        <w:t xml:space="preserve"> Latvian (Lv17/WB/Rie1) </w:t>
      </w:r>
      <w:r>
        <w:t>ASFVs</w:t>
      </w:r>
      <w:r w:rsidRPr="00EE14ED">
        <w:t xml:space="preserve">. </w:t>
      </w:r>
      <w:r>
        <w:t xml:space="preserve">Number in brackets indicates the percentages of positive animals at the end of the observation period.  </w:t>
      </w:r>
    </w:p>
    <w:tbl>
      <w:tblPr>
        <w:tblW w:w="106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276"/>
        <w:gridCol w:w="1417"/>
        <w:gridCol w:w="1417"/>
        <w:gridCol w:w="1418"/>
        <w:gridCol w:w="1418"/>
        <w:gridCol w:w="1275"/>
      </w:tblGrid>
      <w:tr w:rsidR="00814A87" w:rsidRPr="00612701" w:rsidTr="002B1353">
        <w:trPr>
          <w:trHeight w:val="20"/>
          <w:jc w:val="center"/>
        </w:trPr>
        <w:tc>
          <w:tcPr>
            <w:tcW w:w="10631" w:type="dxa"/>
            <w:gridSpan w:val="7"/>
            <w:shd w:val="clear" w:color="auto" w:fill="auto"/>
            <w:vAlign w:val="center"/>
          </w:tcPr>
          <w:p w:rsidR="00814A87" w:rsidRPr="00612701" w:rsidRDefault="00814A87" w:rsidP="00814A87">
            <w:pPr>
              <w:pStyle w:val="Prrafodelista"/>
              <w:numPr>
                <w:ilvl w:val="0"/>
                <w:numId w:val="6"/>
              </w:numPr>
              <w:spacing w:before="0" w:after="0"/>
              <w:ind w:left="356" w:hanging="356"/>
              <w:rPr>
                <w:rFonts w:eastAsia="Times New Roman"/>
                <w:b/>
                <w:bCs/>
                <w:color w:val="000000"/>
                <w:sz w:val="22"/>
                <w:szCs w:val="20"/>
                <w:lang w:val="en-GB" w:eastAsia="es-ES"/>
              </w:rPr>
            </w:pPr>
            <w:r w:rsidRPr="00612701">
              <w:rPr>
                <w:rFonts w:eastAsia="Times New Roman"/>
                <w:b/>
                <w:bCs/>
                <w:color w:val="000000"/>
                <w:sz w:val="22"/>
                <w:szCs w:val="20"/>
                <w:lang w:val="en-GB" w:eastAsia="es-ES"/>
              </w:rPr>
              <w:t>Inoculated pigs</w:t>
            </w:r>
          </w:p>
        </w:tc>
      </w:tr>
      <w:tr w:rsidR="00814A87" w:rsidRPr="002C444D" w:rsidTr="002B1353">
        <w:trPr>
          <w:trHeight w:val="20"/>
          <w:jc w:val="center"/>
        </w:trPr>
        <w:tc>
          <w:tcPr>
            <w:tcW w:w="241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814A87" w:rsidRPr="00612701" w:rsidRDefault="00612701" w:rsidP="00124F15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s-ES" w:eastAsia="es-ES"/>
              </w:rPr>
            </w:pPr>
            <w:r w:rsidRPr="0061270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 xml:space="preserve">ASFV </w:t>
            </w:r>
            <w:proofErr w:type="spellStart"/>
            <w:r w:rsidRPr="0061270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s-ES" w:eastAsia="es-ES"/>
              </w:rPr>
              <w:t>isolate</w:t>
            </w:r>
            <w:proofErr w:type="spellEnd"/>
          </w:p>
        </w:tc>
        <w:tc>
          <w:tcPr>
            <w:tcW w:w="4110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14A87" w:rsidRPr="00612701" w:rsidRDefault="00814A87" w:rsidP="00CC696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61270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 w:eastAsia="es-ES"/>
              </w:rPr>
              <w:t>ASFV genome detection</w:t>
            </w:r>
            <w:r w:rsidR="00CC6963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es-ES"/>
              </w:rPr>
              <w:t>1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14A87" w:rsidRPr="00612701" w:rsidRDefault="00814A87" w:rsidP="00CC6963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 w:eastAsia="es-ES"/>
              </w:rPr>
            </w:pPr>
            <w:r w:rsidRPr="0061270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 w:eastAsia="es-ES"/>
              </w:rPr>
              <w:t>ASFV virus isolation</w:t>
            </w:r>
            <w:r w:rsidR="00CC696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GB" w:eastAsia="es-ES"/>
              </w:rPr>
              <w:t>2</w:t>
            </w:r>
          </w:p>
        </w:tc>
      </w:tr>
      <w:tr w:rsidR="00814A87" w:rsidRPr="002C444D" w:rsidTr="002B1353">
        <w:trPr>
          <w:trHeight w:val="20"/>
          <w:jc w:val="center"/>
        </w:trPr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14A87" w:rsidRPr="00612701" w:rsidRDefault="00814A87" w:rsidP="00124F15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GB"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4A87" w:rsidRPr="00612701" w:rsidRDefault="00814A87" w:rsidP="00124F15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612701">
              <w:rPr>
                <w:rFonts w:eastAsia="Times New Roman" w:cs="Times New Roman"/>
                <w:b/>
                <w:color w:val="000000"/>
                <w:sz w:val="20"/>
                <w:szCs w:val="20"/>
                <w:lang w:eastAsia="es-ES"/>
              </w:rPr>
              <w:t>Blood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4A87" w:rsidRPr="00612701" w:rsidRDefault="00814A87" w:rsidP="00124F15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s-ES" w:eastAsia="es-ES"/>
              </w:rPr>
            </w:pPr>
            <w:r w:rsidRPr="00612701">
              <w:rPr>
                <w:rFonts w:eastAsia="Times New Roman" w:cs="Times New Roman"/>
                <w:b/>
                <w:color w:val="000000"/>
                <w:sz w:val="20"/>
                <w:szCs w:val="20"/>
                <w:lang w:val="es-ES" w:eastAsia="es-ES"/>
              </w:rPr>
              <w:t>OPS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4A87" w:rsidRPr="00612701" w:rsidRDefault="00814A87" w:rsidP="00124F15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s-ES" w:eastAsia="es-ES"/>
              </w:rPr>
            </w:pPr>
            <w:r w:rsidRPr="00612701">
              <w:rPr>
                <w:rFonts w:eastAsia="Times New Roman" w:cs="Times New Roman"/>
                <w:b/>
                <w:color w:val="000000"/>
                <w:sz w:val="20"/>
                <w:szCs w:val="20"/>
                <w:lang w:val="es-ES" w:eastAsia="es-ES"/>
              </w:rPr>
              <w:t>FCS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14A87" w:rsidRPr="00612701" w:rsidRDefault="00814A87" w:rsidP="00124F15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612701">
              <w:rPr>
                <w:rFonts w:eastAsia="Times New Roman" w:cs="Times New Roman"/>
                <w:b/>
                <w:color w:val="000000"/>
                <w:sz w:val="20"/>
                <w:szCs w:val="20"/>
                <w:lang w:eastAsia="es-ES"/>
              </w:rPr>
              <w:t>Blood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14A87" w:rsidRPr="00612701" w:rsidRDefault="00814A87" w:rsidP="00124F15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s-ES" w:eastAsia="es-ES"/>
              </w:rPr>
            </w:pPr>
            <w:r w:rsidRPr="00612701">
              <w:rPr>
                <w:rFonts w:eastAsia="Times New Roman" w:cs="Times New Roman"/>
                <w:b/>
                <w:color w:val="000000"/>
                <w:sz w:val="20"/>
                <w:szCs w:val="20"/>
                <w:lang w:val="es-ES" w:eastAsia="es-ES"/>
              </w:rPr>
              <w:t>OPS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14A87" w:rsidRPr="00612701" w:rsidRDefault="00814A87" w:rsidP="00124F15">
            <w:pPr>
              <w:spacing w:before="0" w:after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s-ES" w:eastAsia="es-ES"/>
              </w:rPr>
            </w:pPr>
            <w:r w:rsidRPr="00612701">
              <w:rPr>
                <w:rFonts w:eastAsia="Times New Roman" w:cs="Times New Roman"/>
                <w:b/>
                <w:color w:val="000000"/>
                <w:sz w:val="20"/>
                <w:szCs w:val="20"/>
                <w:lang w:val="es-ES" w:eastAsia="es-ES"/>
              </w:rPr>
              <w:t>FCS</w:t>
            </w:r>
          </w:p>
        </w:tc>
      </w:tr>
      <w:tr w:rsidR="00814A87" w:rsidRPr="002C444D" w:rsidTr="002B1353">
        <w:trPr>
          <w:trHeight w:val="20"/>
          <w:jc w:val="center"/>
        </w:trPr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4A87" w:rsidRPr="00814A87" w:rsidRDefault="00814A87" w:rsidP="00124F15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Pol16/DP-OUT21 (</w:t>
            </w:r>
            <w:proofErr w:type="spellStart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Vir</w:t>
            </w:r>
            <w:proofErr w:type="spellEnd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.)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814A87" w:rsidRPr="00814A87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3±0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814A87" w:rsidRPr="00814A87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5±1.6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814A87" w:rsidRPr="00814A87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5±1.6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814A87" w:rsidRPr="00814A87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 xml:space="preserve">3±0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(100%)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814A87" w:rsidRPr="00612701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7±0</w:t>
            </w:r>
            <w:r w:rsidR="002B1353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814A87" w:rsidRPr="00612701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7±0</w:t>
            </w:r>
            <w:r w:rsidR="002B1353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100%)</w:t>
            </w:r>
          </w:p>
        </w:tc>
      </w:tr>
      <w:tr w:rsidR="00814A87" w:rsidRPr="00814A87" w:rsidTr="002B1353">
        <w:trPr>
          <w:trHeight w:val="20"/>
          <w:jc w:val="center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814A87" w:rsidRPr="00814A87" w:rsidRDefault="00814A87" w:rsidP="00124F15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Es16/WB-Viru8 (</w:t>
            </w:r>
            <w:proofErr w:type="spellStart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Mod</w:t>
            </w:r>
            <w:proofErr w:type="spellEnd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. </w:t>
            </w:r>
            <w:proofErr w:type="spellStart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Vir</w:t>
            </w:r>
            <w:proofErr w:type="spellEnd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4A87" w:rsidRPr="00814A87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3±0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4A87" w:rsidRPr="00612701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7±0</w:t>
            </w:r>
            <w:r w:rsidR="00612701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4A87" w:rsidRPr="00612701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7±0</w:t>
            </w:r>
            <w:r w:rsidR="00612701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418" w:type="dxa"/>
            <w:vAlign w:val="center"/>
          </w:tcPr>
          <w:p w:rsidR="00814A87" w:rsidRPr="00612701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7±0</w:t>
            </w:r>
            <w:r w:rsidR="002B1353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418" w:type="dxa"/>
            <w:vAlign w:val="center"/>
          </w:tcPr>
          <w:p w:rsidR="00814A87" w:rsidRPr="00612701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7±0</w:t>
            </w:r>
            <w:r w:rsidR="002B1353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275" w:type="dxa"/>
            <w:vAlign w:val="center"/>
          </w:tcPr>
          <w:p w:rsidR="00814A87" w:rsidRPr="00612701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7±0</w:t>
            </w:r>
            <w:r w:rsidR="002B1353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(50%)</w:t>
            </w:r>
          </w:p>
        </w:tc>
      </w:tr>
      <w:tr w:rsidR="00814A87" w:rsidRPr="002C444D" w:rsidTr="002B1353">
        <w:trPr>
          <w:trHeight w:val="20"/>
          <w:jc w:val="center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814A87" w:rsidRPr="00814A87" w:rsidRDefault="00814A87" w:rsidP="00124F15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Lv17/WB/Rie1 (</w:t>
            </w:r>
            <w:proofErr w:type="spellStart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Att</w:t>
            </w:r>
            <w:proofErr w:type="spellEnd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.)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4A87" w:rsidRPr="00612701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5±1.6</w:t>
            </w:r>
            <w:r w:rsidR="00612701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4A87" w:rsidRPr="00612701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5±1.6</w:t>
            </w:r>
            <w:r w:rsidR="00612701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4A87" w:rsidRPr="00814A87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Sporadic</w:t>
            </w:r>
            <w:r w:rsidR="00612701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418" w:type="dxa"/>
            <w:vAlign w:val="center"/>
          </w:tcPr>
          <w:p w:rsidR="00814A87" w:rsidRPr="00612701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5±1.6</w:t>
            </w:r>
            <w:r w:rsidR="002B1353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418" w:type="dxa"/>
            <w:vAlign w:val="center"/>
          </w:tcPr>
          <w:p w:rsidR="00814A87" w:rsidRPr="00814A87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Neg</w:t>
            </w:r>
            <w:proofErr w:type="spellEnd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1275" w:type="dxa"/>
            <w:vAlign w:val="center"/>
          </w:tcPr>
          <w:p w:rsidR="00814A87" w:rsidRPr="00814A87" w:rsidRDefault="00814A87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Neg</w:t>
            </w:r>
            <w:proofErr w:type="spellEnd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.</w:t>
            </w:r>
          </w:p>
        </w:tc>
      </w:tr>
      <w:tr w:rsidR="002B1353" w:rsidRPr="002C444D" w:rsidTr="002B1353">
        <w:trPr>
          <w:trHeight w:val="20"/>
          <w:jc w:val="center"/>
        </w:trPr>
        <w:tc>
          <w:tcPr>
            <w:tcW w:w="2410" w:type="dxa"/>
            <w:shd w:val="clear" w:color="auto" w:fill="auto"/>
            <w:noWrap/>
            <w:vAlign w:val="center"/>
          </w:tcPr>
          <w:p w:rsidR="002B1353" w:rsidRPr="00814A87" w:rsidRDefault="002B1353" w:rsidP="00124F15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B1353" w:rsidRPr="00814A87" w:rsidRDefault="002B1353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B1353" w:rsidRPr="00814A87" w:rsidRDefault="002B1353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B1353" w:rsidRPr="00814A87" w:rsidRDefault="002B1353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vAlign w:val="center"/>
          </w:tcPr>
          <w:p w:rsidR="002B1353" w:rsidRPr="00814A87" w:rsidRDefault="002B1353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418" w:type="dxa"/>
            <w:vAlign w:val="center"/>
          </w:tcPr>
          <w:p w:rsidR="002B1353" w:rsidRPr="00814A87" w:rsidRDefault="002B1353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75" w:type="dxa"/>
            <w:vAlign w:val="center"/>
          </w:tcPr>
          <w:p w:rsidR="002B1353" w:rsidRPr="00814A87" w:rsidRDefault="002B1353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814A87" w:rsidRPr="00612701" w:rsidTr="002B1353">
        <w:trPr>
          <w:trHeight w:val="20"/>
          <w:jc w:val="center"/>
        </w:trPr>
        <w:tc>
          <w:tcPr>
            <w:tcW w:w="10631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14A87" w:rsidRPr="00612701" w:rsidRDefault="00814A87" w:rsidP="00814A87">
            <w:pPr>
              <w:pStyle w:val="Prrafodelista"/>
              <w:numPr>
                <w:ilvl w:val="0"/>
                <w:numId w:val="6"/>
              </w:numPr>
              <w:spacing w:before="0" w:after="0"/>
              <w:ind w:left="356" w:hanging="356"/>
              <w:rPr>
                <w:rFonts w:eastAsia="Times New Roman"/>
                <w:b/>
                <w:bCs/>
                <w:color w:val="000000"/>
                <w:sz w:val="22"/>
                <w:szCs w:val="20"/>
                <w:lang w:val="en-GB" w:eastAsia="es-ES"/>
              </w:rPr>
            </w:pPr>
            <w:r w:rsidRPr="00612701">
              <w:rPr>
                <w:rFonts w:eastAsia="Times New Roman"/>
                <w:b/>
                <w:bCs/>
                <w:color w:val="000000"/>
                <w:sz w:val="22"/>
                <w:szCs w:val="20"/>
                <w:lang w:val="en-GB" w:eastAsia="es-ES"/>
              </w:rPr>
              <w:t>In contact pigs</w:t>
            </w:r>
          </w:p>
        </w:tc>
      </w:tr>
      <w:tr w:rsidR="00814A87" w:rsidRPr="002C444D" w:rsidTr="002B1353">
        <w:trPr>
          <w:trHeight w:val="20"/>
          <w:jc w:val="center"/>
        </w:trPr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4A87" w:rsidRPr="00814A87" w:rsidRDefault="00814A87" w:rsidP="001E14E7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Pol16/DP-OUT21 (</w:t>
            </w:r>
            <w:proofErr w:type="spellStart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Vir</w:t>
            </w:r>
            <w:proofErr w:type="spellEnd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.)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814A87" w:rsidRPr="00814A87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470D15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 xml:space="preserve">10±2.1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(100%)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14A87" w:rsidRPr="00814A87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470D15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7±0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14A87" w:rsidRPr="00814A87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470D15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8.5±1.3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14A87" w:rsidRPr="00814A87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10</w:t>
            </w:r>
            <w:r w:rsidRPr="00F46D2D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±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2.1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14A87" w:rsidRPr="002B1353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13</w:t>
            </w:r>
            <w:r w:rsidRPr="00F46D2D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±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2.1</w:t>
            </w:r>
            <w:r w:rsidR="002B1353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2B1353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12701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13</w:t>
            </w:r>
            <w:r w:rsidRPr="00F46D2D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±0</w:t>
            </w:r>
          </w:p>
          <w:p w:rsidR="00814A87" w:rsidRPr="002B1353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 w:rsidRPr="002B1353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(25%)</w:t>
            </w:r>
          </w:p>
        </w:tc>
      </w:tr>
      <w:tr w:rsidR="00814A87" w:rsidRPr="00814A87" w:rsidTr="002B1353">
        <w:trPr>
          <w:trHeight w:val="20"/>
          <w:jc w:val="center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814A87" w:rsidRPr="00814A87" w:rsidRDefault="00814A87" w:rsidP="001E14E7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Es16/WB-Viru8 (</w:t>
            </w:r>
            <w:proofErr w:type="spellStart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Mod</w:t>
            </w:r>
            <w:proofErr w:type="spellEnd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. </w:t>
            </w:r>
            <w:proofErr w:type="spellStart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Vir</w:t>
            </w:r>
            <w:proofErr w:type="spellEnd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14A87" w:rsidRPr="00814A87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470D15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 xml:space="preserve">10±2.1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(100%)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4A87" w:rsidRPr="00814A87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470D15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8.5±1.2</w:t>
            </w:r>
            <w:r w:rsidR="002B1353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  <w:t>(100%)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4A87" w:rsidRPr="00612701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 w:rsidRPr="00470D15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14.5±1.2</w:t>
            </w:r>
            <w:r w:rsidR="002B1353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(75%)</w:t>
            </w:r>
          </w:p>
        </w:tc>
        <w:tc>
          <w:tcPr>
            <w:tcW w:w="1418" w:type="dxa"/>
            <w:vAlign w:val="center"/>
          </w:tcPr>
          <w:p w:rsidR="00814A87" w:rsidRPr="00612701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13</w:t>
            </w:r>
            <w:r w:rsidRPr="00B65E5D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±0</w:t>
            </w:r>
            <w:r w:rsidR="002B1353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(100%)</w:t>
            </w:r>
          </w:p>
        </w:tc>
        <w:tc>
          <w:tcPr>
            <w:tcW w:w="1418" w:type="dxa"/>
            <w:vAlign w:val="center"/>
          </w:tcPr>
          <w:p w:rsidR="00814A87" w:rsidRPr="00612701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  <w:r w:rsidRPr="00B65E5D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±0</w:t>
            </w:r>
            <w:r w:rsidR="002B1353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(75%)</w:t>
            </w:r>
          </w:p>
        </w:tc>
        <w:tc>
          <w:tcPr>
            <w:tcW w:w="1275" w:type="dxa"/>
            <w:vAlign w:val="center"/>
          </w:tcPr>
          <w:p w:rsidR="00814A87" w:rsidRPr="00814A87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503297">
              <w:rPr>
                <w:rFonts w:eastAsia="Times New Roman" w:cs="Times New Roman"/>
                <w:color w:val="000000"/>
                <w:sz w:val="18"/>
                <w:szCs w:val="20"/>
                <w:lang w:eastAsia="es-ES"/>
              </w:rPr>
              <w:t>Sporadic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(25%)</w:t>
            </w:r>
          </w:p>
        </w:tc>
      </w:tr>
      <w:tr w:rsidR="00814A87" w:rsidRPr="002C444D" w:rsidTr="002B1353">
        <w:trPr>
          <w:trHeight w:val="20"/>
          <w:jc w:val="center"/>
        </w:trPr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14A87" w:rsidRPr="00814A87" w:rsidRDefault="00814A87" w:rsidP="001E14E7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Lv17/WB/Rie1 (</w:t>
            </w:r>
            <w:proofErr w:type="spellStart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Att</w:t>
            </w:r>
            <w:proofErr w:type="spellEnd"/>
            <w:r w:rsidRPr="00814A87"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.)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14A87" w:rsidRPr="00612701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 w:rsidRPr="00470D15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18±2.7</w:t>
            </w:r>
            <w:r w:rsidR="002B1353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(75%)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14A87" w:rsidRPr="00612701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 w:rsidRPr="00470D15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14.5±4.7</w:t>
            </w:r>
            <w:r w:rsidR="002B1353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(100%)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14A87" w:rsidRPr="00612701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 w:rsidRPr="00503297">
              <w:rPr>
                <w:rFonts w:eastAsia="Times New Roman" w:cs="Times New Roman"/>
                <w:color w:val="000000"/>
                <w:sz w:val="18"/>
                <w:szCs w:val="20"/>
                <w:lang w:eastAsia="es-ES"/>
              </w:rPr>
              <w:t>Sporadic</w:t>
            </w:r>
            <w:r w:rsidR="002B1353">
              <w:rPr>
                <w:rFonts w:eastAsia="Times New Roman" w:cs="Times New Roman"/>
                <w:color w:val="000000"/>
                <w:sz w:val="18"/>
                <w:szCs w:val="20"/>
                <w:lang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(75%)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814A87" w:rsidRPr="00612701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17.6</w:t>
            </w:r>
            <w:r w:rsidRPr="00B65E5D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±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  <w:r w:rsidR="002B1353"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(50%)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814A87" w:rsidRPr="00814A87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r w:rsidRPr="00503297">
              <w:rPr>
                <w:rFonts w:eastAsia="Times New Roman" w:cs="Times New Roman"/>
                <w:color w:val="000000"/>
                <w:sz w:val="18"/>
                <w:szCs w:val="20"/>
                <w:lang w:eastAsia="es-ES"/>
              </w:rPr>
              <w:t>Sporadic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612701">
              <w:rPr>
                <w:rFonts w:eastAsia="Times New Roman" w:cs="Times New Roman"/>
                <w:color w:val="000000"/>
                <w:sz w:val="20"/>
                <w:szCs w:val="20"/>
                <w:vertAlign w:val="subscript"/>
                <w:lang w:eastAsia="es-ES"/>
              </w:rPr>
              <w:t>(25%)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814A87" w:rsidRPr="00814A87" w:rsidRDefault="00612701" w:rsidP="002B1353">
            <w:pPr>
              <w:spacing w:before="0" w:after="0"/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Neg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s-ES" w:eastAsia="es-ES"/>
              </w:rPr>
              <w:t>.</w:t>
            </w:r>
          </w:p>
        </w:tc>
      </w:tr>
    </w:tbl>
    <w:p w:rsidR="00814A87" w:rsidRPr="00814A87" w:rsidRDefault="00814A87" w:rsidP="00CC6963">
      <w:pPr>
        <w:pStyle w:val="Prrafodelista"/>
        <w:numPr>
          <w:ilvl w:val="0"/>
          <w:numId w:val="0"/>
        </w:numPr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eastAsia="Times New Roman"/>
          <w:color w:val="000000"/>
          <w:sz w:val="20"/>
          <w:lang w:eastAsia="es-ES"/>
        </w:rPr>
      </w:pPr>
      <w:r w:rsidRPr="00814A87">
        <w:rPr>
          <w:rFonts w:eastAsia="Times New Roman"/>
          <w:color w:val="000000"/>
          <w:sz w:val="20"/>
          <w:lang w:eastAsia="es-ES"/>
        </w:rPr>
        <w:t>(</w:t>
      </w:r>
      <w:r w:rsidR="00612701">
        <w:rPr>
          <w:rFonts w:eastAsia="Times New Roman"/>
          <w:color w:val="000000"/>
          <w:sz w:val="20"/>
          <w:lang w:eastAsia="es-ES"/>
        </w:rPr>
        <w:t>1</w:t>
      </w:r>
      <w:r w:rsidRPr="00814A87">
        <w:rPr>
          <w:rFonts w:eastAsia="Times New Roman"/>
          <w:color w:val="000000"/>
          <w:sz w:val="20"/>
          <w:lang w:eastAsia="es-ES"/>
        </w:rPr>
        <w:t xml:space="preserve">) ASFV </w:t>
      </w:r>
      <w:r w:rsidR="00612701" w:rsidRPr="00814A87">
        <w:rPr>
          <w:rFonts w:eastAsia="Times New Roman"/>
          <w:color w:val="000000"/>
          <w:sz w:val="20"/>
          <w:lang w:eastAsia="es-ES"/>
        </w:rPr>
        <w:t>genome detection</w:t>
      </w:r>
      <w:r w:rsidRPr="00814A87">
        <w:rPr>
          <w:rFonts w:eastAsia="Times New Roman"/>
          <w:color w:val="000000"/>
          <w:sz w:val="20"/>
          <w:lang w:eastAsia="es-ES"/>
        </w:rPr>
        <w:t xml:space="preserve"> indicating first positive finding in </w:t>
      </w:r>
      <w:proofErr w:type="gramStart"/>
      <w:r w:rsidRPr="00814A87">
        <w:rPr>
          <w:rFonts w:eastAsia="Times New Roman"/>
          <w:color w:val="000000"/>
          <w:sz w:val="20"/>
          <w:lang w:eastAsia="es-ES"/>
        </w:rPr>
        <w:t>days</w:t>
      </w:r>
      <w:proofErr w:type="gramEnd"/>
      <w:r w:rsidRPr="00814A87">
        <w:rPr>
          <w:rFonts w:eastAsia="Times New Roman"/>
          <w:color w:val="000000"/>
          <w:sz w:val="20"/>
          <w:lang w:eastAsia="es-ES"/>
        </w:rPr>
        <w:t xml:space="preserve"> ±standard deviation (SD) versus (% positive animals); (</w:t>
      </w:r>
      <w:r w:rsidR="00612701">
        <w:rPr>
          <w:rFonts w:eastAsia="Times New Roman"/>
          <w:color w:val="000000"/>
          <w:sz w:val="20"/>
          <w:lang w:eastAsia="es-ES"/>
        </w:rPr>
        <w:t>2</w:t>
      </w:r>
      <w:r w:rsidRPr="00814A87">
        <w:rPr>
          <w:rFonts w:eastAsia="Times New Roman"/>
          <w:color w:val="000000"/>
          <w:sz w:val="20"/>
          <w:lang w:eastAsia="es-ES"/>
        </w:rPr>
        <w:t>) ASFV virus isolation detection indicating first positive isolation in days ±standard deviation (SD) versus (% positive animals)</w:t>
      </w:r>
    </w:p>
    <w:p w:rsidR="00276442" w:rsidRDefault="00276442" w:rsidP="009D7FA0">
      <w:pPr>
        <w:spacing w:line="360" w:lineRule="auto"/>
        <w:ind w:firstLine="360"/>
        <w:rPr>
          <w:b/>
        </w:rPr>
      </w:pPr>
    </w:p>
    <w:p w:rsidR="009D7FA0" w:rsidRDefault="009D7FA0" w:rsidP="009D7FA0">
      <w:pPr>
        <w:spacing w:line="360" w:lineRule="auto"/>
        <w:ind w:firstLine="360"/>
      </w:pPr>
      <w:r>
        <w:rPr>
          <w:b/>
        </w:rPr>
        <w:t>Table 4</w:t>
      </w:r>
      <w:r w:rsidRPr="000F19E6">
        <w:rPr>
          <w:b/>
        </w:rPr>
        <w:t>.</w:t>
      </w:r>
      <w:r w:rsidRPr="000F19E6">
        <w:t xml:space="preserve"> Percentage of </w:t>
      </w:r>
      <w:r>
        <w:t>PCR-</w:t>
      </w:r>
      <w:r w:rsidRPr="009D7FA0">
        <w:t>positive samples and virus isolation (VI</w:t>
      </w:r>
      <w:r w:rsidRPr="000F19E6">
        <w:t xml:space="preserve">) regarding </w:t>
      </w:r>
      <w:r>
        <w:t xml:space="preserve">to </w:t>
      </w:r>
      <w:r w:rsidRPr="000F19E6">
        <w:t>ASFV detection in blood, or</w:t>
      </w:r>
      <w:r>
        <w:t>opharyngeal swabs</w:t>
      </w:r>
      <w:r w:rsidRPr="000F19E6">
        <w:t xml:space="preserve"> (OPS), and f</w:t>
      </w:r>
      <w:r>
        <w:t xml:space="preserve">ecal </w:t>
      </w:r>
      <w:r w:rsidRPr="000F19E6">
        <w:t>s</w:t>
      </w:r>
      <w:r>
        <w:t>wabs</w:t>
      </w:r>
      <w:r w:rsidRPr="000F19E6">
        <w:t xml:space="preserve"> (FCS) in the </w:t>
      </w:r>
      <w:r w:rsidR="00C616D9">
        <w:t xml:space="preserve">three groups of infected animals </w:t>
      </w:r>
      <w:r w:rsidRPr="000F19E6">
        <w:t xml:space="preserve">with the </w:t>
      </w:r>
      <w:r>
        <w:t xml:space="preserve">virulent </w:t>
      </w:r>
      <w:r w:rsidRPr="009D7FA0">
        <w:rPr>
          <w:b/>
          <w:i/>
        </w:rPr>
        <w:t>(</w:t>
      </w:r>
      <w:proofErr w:type="spellStart"/>
      <w:r w:rsidRPr="009D7FA0">
        <w:rPr>
          <w:b/>
          <w:i/>
        </w:rPr>
        <w:t>Vir</w:t>
      </w:r>
      <w:proofErr w:type="spellEnd"/>
      <w:r w:rsidRPr="009D7FA0">
        <w:rPr>
          <w:b/>
          <w:i/>
        </w:rPr>
        <w:t>.)</w:t>
      </w:r>
      <w:r w:rsidRPr="000F19E6">
        <w:t xml:space="preserve">, </w:t>
      </w:r>
      <w:r>
        <w:t xml:space="preserve">moderately virulent </w:t>
      </w:r>
      <w:r w:rsidRPr="009D7FA0">
        <w:rPr>
          <w:b/>
          <w:i/>
        </w:rPr>
        <w:t>(Mod.</w:t>
      </w:r>
      <w:r w:rsidR="005236BE">
        <w:rPr>
          <w:b/>
          <w:i/>
        </w:rPr>
        <w:t xml:space="preserve"> </w:t>
      </w:r>
      <w:proofErr w:type="spellStart"/>
      <w:r w:rsidRPr="009D7FA0">
        <w:rPr>
          <w:b/>
          <w:i/>
        </w:rPr>
        <w:t>Vir</w:t>
      </w:r>
      <w:proofErr w:type="spellEnd"/>
      <w:r w:rsidRPr="009D7FA0">
        <w:rPr>
          <w:b/>
          <w:i/>
        </w:rPr>
        <w:t>.)</w:t>
      </w:r>
      <w:r>
        <w:t xml:space="preserve"> </w:t>
      </w:r>
      <w:r w:rsidRPr="000F19E6">
        <w:t xml:space="preserve">or </w:t>
      </w:r>
      <w:r>
        <w:t xml:space="preserve">attenuated </w:t>
      </w:r>
      <w:r w:rsidRPr="009D7FA0">
        <w:rPr>
          <w:b/>
          <w:i/>
        </w:rPr>
        <w:t>(Att.)</w:t>
      </w:r>
      <w:r>
        <w:t xml:space="preserve"> </w:t>
      </w:r>
      <w:r w:rsidRPr="000F19E6">
        <w:t>ASFV</w:t>
      </w:r>
      <w:r>
        <w:t xml:space="preserve">s at different </w:t>
      </w:r>
      <w:r w:rsidR="00C616D9">
        <w:t>days-period.</w:t>
      </w:r>
      <w:r>
        <w:t xml:space="preserve"> </w:t>
      </w:r>
    </w:p>
    <w:tbl>
      <w:tblPr>
        <w:tblStyle w:val="Tablaconcuadrcula"/>
        <w:tblW w:w="994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6"/>
        <w:gridCol w:w="669"/>
        <w:gridCol w:w="939"/>
        <w:gridCol w:w="785"/>
        <w:gridCol w:w="785"/>
        <w:gridCol w:w="939"/>
        <w:gridCol w:w="620"/>
        <w:gridCol w:w="594"/>
        <w:gridCol w:w="939"/>
        <w:gridCol w:w="933"/>
        <w:gridCol w:w="933"/>
      </w:tblGrid>
      <w:tr w:rsidR="006341EB" w:rsidRPr="0067176A" w:rsidTr="006341EB">
        <w:trPr>
          <w:trHeight w:val="227"/>
          <w:jc w:val="center"/>
        </w:trPr>
        <w:tc>
          <w:tcPr>
            <w:tcW w:w="1806" w:type="dxa"/>
            <w:vMerge w:val="restart"/>
            <w:vAlign w:val="center"/>
          </w:tcPr>
          <w:p w:rsidR="006341EB" w:rsidRPr="009D7F78" w:rsidRDefault="006341EB" w:rsidP="009D7F78">
            <w:pPr>
              <w:spacing w:before="0" w:after="0"/>
              <w:ind w:right="34"/>
              <w:rPr>
                <w:rFonts w:cs="Times New Roman"/>
                <w:b/>
              </w:rPr>
            </w:pPr>
            <w:r w:rsidRPr="009D7F78">
              <w:rPr>
                <w:rFonts w:cs="Times New Roman"/>
                <w:b/>
              </w:rPr>
              <w:t>Group</w:t>
            </w:r>
            <w:r>
              <w:rPr>
                <w:rFonts w:cs="Times New Roman"/>
                <w:b/>
              </w:rPr>
              <w:t>/ASFV</w:t>
            </w:r>
          </w:p>
        </w:tc>
        <w:tc>
          <w:tcPr>
            <w:tcW w:w="669" w:type="dxa"/>
            <w:vMerge w:val="restart"/>
            <w:vAlign w:val="center"/>
          </w:tcPr>
          <w:p w:rsidR="006341EB" w:rsidRPr="009D7F78" w:rsidRDefault="006341EB" w:rsidP="009D7F78">
            <w:pPr>
              <w:spacing w:before="0" w:after="0"/>
              <w:rPr>
                <w:rFonts w:cs="Times New Roman"/>
                <w:b/>
              </w:rPr>
            </w:pPr>
            <w:r w:rsidRPr="009D7F78">
              <w:rPr>
                <w:rFonts w:cs="Times New Roman"/>
                <w:b/>
              </w:rPr>
              <w:t>Test</w:t>
            </w:r>
          </w:p>
        </w:tc>
        <w:tc>
          <w:tcPr>
            <w:tcW w:w="2509" w:type="dxa"/>
            <w:gridSpan w:val="3"/>
            <w:tcBorders>
              <w:bottom w:val="single" w:sz="8" w:space="0" w:color="auto"/>
            </w:tcBorders>
            <w:vAlign w:val="center"/>
          </w:tcPr>
          <w:p w:rsidR="006341EB" w:rsidRPr="009D7F78" w:rsidRDefault="006341EB" w:rsidP="0067176A">
            <w:pPr>
              <w:spacing w:before="0" w:after="0"/>
              <w:jc w:val="center"/>
              <w:rPr>
                <w:rFonts w:cs="Times New Roman"/>
                <w:b/>
              </w:rPr>
            </w:pPr>
            <w:r w:rsidRPr="009D7F78">
              <w:rPr>
                <w:rFonts w:cs="Times New Roman"/>
                <w:b/>
              </w:rPr>
              <w:t>1-20 days</w:t>
            </w:r>
          </w:p>
        </w:tc>
        <w:tc>
          <w:tcPr>
            <w:tcW w:w="2153" w:type="dxa"/>
            <w:gridSpan w:val="3"/>
            <w:tcBorders>
              <w:bottom w:val="single" w:sz="8" w:space="0" w:color="auto"/>
            </w:tcBorders>
            <w:vAlign w:val="center"/>
          </w:tcPr>
          <w:p w:rsidR="006341EB" w:rsidRPr="009D7F78" w:rsidRDefault="006341EB" w:rsidP="0067176A">
            <w:pPr>
              <w:spacing w:before="0" w:after="0"/>
              <w:jc w:val="center"/>
              <w:rPr>
                <w:rFonts w:cs="Times New Roman"/>
                <w:b/>
              </w:rPr>
            </w:pPr>
            <w:r w:rsidRPr="009D7F78">
              <w:rPr>
                <w:rFonts w:cs="Times New Roman"/>
                <w:b/>
              </w:rPr>
              <w:t>&gt;21 days</w:t>
            </w:r>
          </w:p>
        </w:tc>
        <w:tc>
          <w:tcPr>
            <w:tcW w:w="2805" w:type="dxa"/>
            <w:gridSpan w:val="3"/>
            <w:tcBorders>
              <w:bottom w:val="single" w:sz="8" w:space="0" w:color="auto"/>
            </w:tcBorders>
          </w:tcPr>
          <w:p w:rsidR="006341EB" w:rsidRDefault="006341EB" w:rsidP="005236BE">
            <w:pPr>
              <w:spacing w:before="0" w:after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</w:t>
            </w:r>
          </w:p>
        </w:tc>
      </w:tr>
      <w:tr w:rsidR="006341EB" w:rsidRPr="0067176A" w:rsidTr="006341EB">
        <w:trPr>
          <w:trHeight w:val="227"/>
          <w:jc w:val="center"/>
        </w:trPr>
        <w:tc>
          <w:tcPr>
            <w:tcW w:w="1806" w:type="dxa"/>
            <w:vMerge/>
            <w:tcBorders>
              <w:bottom w:val="single" w:sz="8" w:space="0" w:color="auto"/>
            </w:tcBorders>
          </w:tcPr>
          <w:p w:rsidR="006341EB" w:rsidRPr="0067176A" w:rsidRDefault="006341EB" w:rsidP="006341EB">
            <w:pPr>
              <w:spacing w:before="0" w:after="0"/>
              <w:rPr>
                <w:rFonts w:cs="Times New Roman"/>
              </w:rPr>
            </w:pPr>
          </w:p>
        </w:tc>
        <w:tc>
          <w:tcPr>
            <w:tcW w:w="669" w:type="dxa"/>
            <w:vMerge/>
            <w:tcBorders>
              <w:bottom w:val="single" w:sz="8" w:space="0" w:color="auto"/>
            </w:tcBorders>
          </w:tcPr>
          <w:p w:rsidR="006341EB" w:rsidRPr="0067176A" w:rsidRDefault="006341EB" w:rsidP="006341EB">
            <w:pPr>
              <w:spacing w:before="0" w:after="0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</w:p>
        </w:tc>
        <w:tc>
          <w:tcPr>
            <w:tcW w:w="939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341EB" w:rsidRPr="0067176A" w:rsidRDefault="006341EB" w:rsidP="006341EB">
            <w:pPr>
              <w:spacing w:before="0" w:after="0"/>
              <w:rPr>
                <w:rFonts w:eastAsia="Times New Roman" w:cs="Times New Roman"/>
                <w:b/>
                <w:color w:val="000000"/>
                <w:sz w:val="20"/>
                <w:szCs w:val="20"/>
                <w:lang w:val="es-ES" w:eastAsia="es-ES"/>
              </w:rPr>
            </w:pPr>
            <w:r w:rsidRPr="0067176A">
              <w:rPr>
                <w:rFonts w:eastAsia="Times New Roman" w:cs="Times New Roman"/>
                <w:b/>
                <w:color w:val="000000"/>
                <w:sz w:val="20"/>
                <w:szCs w:val="20"/>
                <w:lang w:val="es-ES" w:eastAsia="es-ES"/>
              </w:rPr>
              <w:t>BLOOD</w:t>
            </w:r>
          </w:p>
        </w:tc>
        <w:tc>
          <w:tcPr>
            <w:tcW w:w="785" w:type="dxa"/>
            <w:tcBorders>
              <w:top w:val="single" w:sz="8" w:space="0" w:color="auto"/>
              <w:bottom w:val="single" w:sz="8" w:space="0" w:color="auto"/>
            </w:tcBorders>
          </w:tcPr>
          <w:p w:rsidR="006341EB" w:rsidRPr="009D7F78" w:rsidRDefault="006341EB" w:rsidP="006341EB">
            <w:pPr>
              <w:spacing w:before="0" w:after="0"/>
              <w:rPr>
                <w:rFonts w:cs="Times New Roman"/>
                <w:b/>
                <w:sz w:val="20"/>
                <w:szCs w:val="20"/>
              </w:rPr>
            </w:pPr>
            <w:r w:rsidRPr="009D7F78">
              <w:rPr>
                <w:rFonts w:cs="Times New Roman"/>
                <w:b/>
                <w:sz w:val="20"/>
                <w:szCs w:val="20"/>
              </w:rPr>
              <w:t>OPS</w:t>
            </w:r>
          </w:p>
        </w:tc>
        <w:tc>
          <w:tcPr>
            <w:tcW w:w="785" w:type="dxa"/>
            <w:tcBorders>
              <w:top w:val="single" w:sz="8" w:space="0" w:color="auto"/>
              <w:bottom w:val="single" w:sz="8" w:space="0" w:color="auto"/>
            </w:tcBorders>
          </w:tcPr>
          <w:p w:rsidR="006341EB" w:rsidRPr="009D7F78" w:rsidRDefault="006341EB" w:rsidP="006341EB">
            <w:pPr>
              <w:spacing w:before="0" w:after="0"/>
              <w:rPr>
                <w:rFonts w:cs="Times New Roman"/>
                <w:b/>
                <w:sz w:val="20"/>
                <w:szCs w:val="20"/>
              </w:rPr>
            </w:pPr>
            <w:r w:rsidRPr="009D7F78">
              <w:rPr>
                <w:rFonts w:cs="Times New Roman"/>
                <w:b/>
                <w:sz w:val="20"/>
                <w:szCs w:val="20"/>
              </w:rPr>
              <w:t>FCS</w:t>
            </w:r>
          </w:p>
        </w:tc>
        <w:tc>
          <w:tcPr>
            <w:tcW w:w="939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341EB" w:rsidRPr="0067176A" w:rsidRDefault="006341EB" w:rsidP="006341EB">
            <w:pPr>
              <w:spacing w:before="0" w:after="0"/>
              <w:rPr>
                <w:rFonts w:eastAsia="Times New Roman" w:cs="Times New Roman"/>
                <w:b/>
                <w:color w:val="000000"/>
                <w:sz w:val="20"/>
                <w:szCs w:val="20"/>
                <w:lang w:val="es-ES" w:eastAsia="es-ES"/>
              </w:rPr>
            </w:pPr>
            <w:r w:rsidRPr="0067176A">
              <w:rPr>
                <w:rFonts w:eastAsia="Times New Roman" w:cs="Times New Roman"/>
                <w:b/>
                <w:color w:val="000000"/>
                <w:sz w:val="20"/>
                <w:szCs w:val="20"/>
                <w:lang w:val="es-ES" w:eastAsia="es-ES"/>
              </w:rPr>
              <w:t>BLOOD</w:t>
            </w:r>
          </w:p>
        </w:tc>
        <w:tc>
          <w:tcPr>
            <w:tcW w:w="620" w:type="dxa"/>
            <w:tcBorders>
              <w:top w:val="single" w:sz="8" w:space="0" w:color="auto"/>
              <w:bottom w:val="single" w:sz="8" w:space="0" w:color="auto"/>
            </w:tcBorders>
          </w:tcPr>
          <w:p w:rsidR="006341EB" w:rsidRPr="009D7F78" w:rsidRDefault="006341EB" w:rsidP="006341EB">
            <w:pPr>
              <w:spacing w:before="0" w:after="0"/>
              <w:rPr>
                <w:rFonts w:cs="Times New Roman"/>
                <w:b/>
                <w:sz w:val="20"/>
                <w:szCs w:val="20"/>
              </w:rPr>
            </w:pPr>
            <w:r w:rsidRPr="009D7F78">
              <w:rPr>
                <w:rFonts w:cs="Times New Roman"/>
                <w:b/>
                <w:sz w:val="20"/>
                <w:szCs w:val="20"/>
              </w:rPr>
              <w:t>OPS</w:t>
            </w:r>
          </w:p>
        </w:tc>
        <w:tc>
          <w:tcPr>
            <w:tcW w:w="594" w:type="dxa"/>
            <w:tcBorders>
              <w:top w:val="single" w:sz="8" w:space="0" w:color="auto"/>
              <w:bottom w:val="single" w:sz="8" w:space="0" w:color="auto"/>
            </w:tcBorders>
          </w:tcPr>
          <w:p w:rsidR="006341EB" w:rsidRPr="009D7F78" w:rsidRDefault="006341EB" w:rsidP="006341EB">
            <w:pPr>
              <w:spacing w:before="0" w:after="0"/>
              <w:rPr>
                <w:rFonts w:cs="Times New Roman"/>
                <w:b/>
                <w:sz w:val="20"/>
                <w:szCs w:val="20"/>
              </w:rPr>
            </w:pPr>
            <w:r w:rsidRPr="009D7F78">
              <w:rPr>
                <w:rFonts w:cs="Times New Roman"/>
                <w:b/>
                <w:sz w:val="20"/>
                <w:szCs w:val="20"/>
              </w:rPr>
              <w:t>FCS</w:t>
            </w:r>
          </w:p>
        </w:tc>
        <w:tc>
          <w:tcPr>
            <w:tcW w:w="939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6341EB" w:rsidRPr="0067176A" w:rsidRDefault="006341EB" w:rsidP="006341EB">
            <w:pPr>
              <w:spacing w:before="0" w:after="0"/>
              <w:rPr>
                <w:rFonts w:eastAsia="Times New Roman" w:cs="Times New Roman"/>
                <w:b/>
                <w:color w:val="000000"/>
                <w:sz w:val="20"/>
                <w:szCs w:val="20"/>
                <w:lang w:val="es-ES" w:eastAsia="es-ES"/>
              </w:rPr>
            </w:pPr>
            <w:r w:rsidRPr="0067176A">
              <w:rPr>
                <w:rFonts w:eastAsia="Times New Roman" w:cs="Times New Roman"/>
                <w:b/>
                <w:color w:val="000000"/>
                <w:sz w:val="20"/>
                <w:szCs w:val="20"/>
                <w:lang w:val="es-ES" w:eastAsia="es-ES"/>
              </w:rPr>
              <w:t>BLOOD</w:t>
            </w:r>
          </w:p>
        </w:tc>
        <w:tc>
          <w:tcPr>
            <w:tcW w:w="933" w:type="dxa"/>
            <w:tcBorders>
              <w:top w:val="single" w:sz="8" w:space="0" w:color="auto"/>
              <w:bottom w:val="single" w:sz="8" w:space="0" w:color="auto"/>
            </w:tcBorders>
          </w:tcPr>
          <w:p w:rsidR="006341EB" w:rsidRPr="009D7F78" w:rsidRDefault="006341EB" w:rsidP="006341EB">
            <w:pPr>
              <w:spacing w:before="0" w:after="0"/>
              <w:rPr>
                <w:rFonts w:cs="Times New Roman"/>
                <w:b/>
                <w:sz w:val="20"/>
                <w:szCs w:val="20"/>
              </w:rPr>
            </w:pPr>
            <w:r w:rsidRPr="009D7F78">
              <w:rPr>
                <w:rFonts w:cs="Times New Roman"/>
                <w:b/>
                <w:sz w:val="20"/>
                <w:szCs w:val="20"/>
              </w:rPr>
              <w:t>OPS</w:t>
            </w:r>
          </w:p>
        </w:tc>
        <w:tc>
          <w:tcPr>
            <w:tcW w:w="933" w:type="dxa"/>
            <w:tcBorders>
              <w:top w:val="single" w:sz="8" w:space="0" w:color="auto"/>
              <w:bottom w:val="single" w:sz="8" w:space="0" w:color="auto"/>
            </w:tcBorders>
          </w:tcPr>
          <w:p w:rsidR="006341EB" w:rsidRPr="009D7F78" w:rsidRDefault="006341EB" w:rsidP="006341EB">
            <w:pPr>
              <w:spacing w:before="0" w:after="0"/>
              <w:rPr>
                <w:rFonts w:cs="Times New Roman"/>
                <w:b/>
                <w:sz w:val="20"/>
                <w:szCs w:val="20"/>
              </w:rPr>
            </w:pPr>
            <w:r w:rsidRPr="009D7F78">
              <w:rPr>
                <w:rFonts w:cs="Times New Roman"/>
                <w:b/>
                <w:sz w:val="20"/>
                <w:szCs w:val="20"/>
              </w:rPr>
              <w:t>FCS</w:t>
            </w:r>
          </w:p>
        </w:tc>
      </w:tr>
      <w:tr w:rsidR="006341EB" w:rsidRPr="0067176A" w:rsidTr="006341EB">
        <w:trPr>
          <w:trHeight w:val="227"/>
          <w:jc w:val="center"/>
        </w:trPr>
        <w:tc>
          <w:tcPr>
            <w:tcW w:w="1806" w:type="dxa"/>
            <w:vMerge w:val="restart"/>
            <w:tcBorders>
              <w:top w:val="single" w:sz="8" w:space="0" w:color="auto"/>
            </w:tcBorders>
          </w:tcPr>
          <w:p w:rsidR="006341EB" w:rsidRPr="00C616D9" w:rsidRDefault="006341EB" w:rsidP="006341EB">
            <w:pPr>
              <w:spacing w:before="0" w:after="0"/>
              <w:rPr>
                <w:rFonts w:cs="Times New Roman"/>
                <w:b/>
                <w:sz w:val="22"/>
                <w:szCs w:val="20"/>
              </w:rPr>
            </w:pPr>
            <w:proofErr w:type="spellStart"/>
            <w:r w:rsidRPr="0067176A">
              <w:rPr>
                <w:rFonts w:eastAsia="Times New Roman" w:cs="Times New Roman"/>
                <w:b/>
                <w:color w:val="000000"/>
                <w:sz w:val="22"/>
                <w:szCs w:val="20"/>
                <w:lang w:val="es-ES" w:eastAsia="es-ES"/>
              </w:rPr>
              <w:t>Vir</w:t>
            </w:r>
            <w:proofErr w:type="spellEnd"/>
            <w:r w:rsidRPr="00C616D9">
              <w:rPr>
                <w:rFonts w:eastAsia="Times New Roman" w:cs="Times New Roman"/>
                <w:b/>
                <w:color w:val="000000"/>
                <w:sz w:val="22"/>
                <w:szCs w:val="20"/>
                <w:lang w:val="es-ES" w:eastAsia="es-ES"/>
              </w:rPr>
              <w:t xml:space="preserve">. </w:t>
            </w:r>
            <w:r w:rsidRPr="00C616D9">
              <w:rPr>
                <w:sz w:val="22"/>
                <w:szCs w:val="20"/>
              </w:rPr>
              <w:t>Pol16/DP/OUT21</w:t>
            </w:r>
          </w:p>
        </w:tc>
        <w:tc>
          <w:tcPr>
            <w:tcW w:w="669" w:type="dxa"/>
            <w:tcBorders>
              <w:top w:val="single" w:sz="8" w:space="0" w:color="auto"/>
            </w:tcBorders>
            <w:vAlign w:val="center"/>
          </w:tcPr>
          <w:p w:rsidR="006341EB" w:rsidRPr="009D7F78" w:rsidRDefault="006341EB" w:rsidP="006341EB">
            <w:pPr>
              <w:spacing w:before="0" w:after="0"/>
              <w:rPr>
                <w:rFonts w:eastAsia="Times New Roman" w:cs="Times New Roman"/>
                <w:b/>
                <w:color w:val="000000"/>
                <w:sz w:val="22"/>
                <w:lang w:val="es-ES" w:eastAsia="es-ES"/>
              </w:rPr>
            </w:pPr>
            <w:r w:rsidRPr="009D7F78">
              <w:rPr>
                <w:rFonts w:eastAsia="Times New Roman" w:cs="Times New Roman"/>
                <w:b/>
                <w:color w:val="000000"/>
                <w:sz w:val="22"/>
                <w:lang w:val="es-ES" w:eastAsia="es-ES"/>
              </w:rPr>
              <w:t>PCR</w:t>
            </w:r>
          </w:p>
        </w:tc>
        <w:tc>
          <w:tcPr>
            <w:tcW w:w="939" w:type="dxa"/>
            <w:tcBorders>
              <w:top w:val="single" w:sz="8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cs="Times New Roman"/>
              </w:rPr>
            </w:pP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68</w:t>
            </w: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.2</w:t>
            </w: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%</w:t>
            </w:r>
          </w:p>
        </w:tc>
        <w:tc>
          <w:tcPr>
            <w:tcW w:w="785" w:type="dxa"/>
            <w:tcBorders>
              <w:top w:val="single" w:sz="8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cs="Times New Roman"/>
              </w:rPr>
            </w:pP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77</w:t>
            </w: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.3</w:t>
            </w: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%</w:t>
            </w:r>
          </w:p>
        </w:tc>
        <w:tc>
          <w:tcPr>
            <w:tcW w:w="785" w:type="dxa"/>
            <w:tcBorders>
              <w:top w:val="single" w:sz="8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54.5</w:t>
            </w: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%</w:t>
            </w:r>
          </w:p>
        </w:tc>
        <w:tc>
          <w:tcPr>
            <w:tcW w:w="939" w:type="dxa"/>
            <w:tcBorders>
              <w:top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cs="Times New Roman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cs="Times New Roman"/>
              </w:rPr>
            </w:pPr>
          </w:p>
        </w:tc>
        <w:tc>
          <w:tcPr>
            <w:tcW w:w="594" w:type="dxa"/>
            <w:tcBorders>
              <w:top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cs="Times New Roman"/>
              </w:rPr>
            </w:pPr>
          </w:p>
        </w:tc>
        <w:tc>
          <w:tcPr>
            <w:tcW w:w="93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cs="Times New Roman"/>
              </w:rPr>
            </w:pP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68</w:t>
            </w: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.2</w:t>
            </w: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%</w:t>
            </w:r>
          </w:p>
        </w:tc>
        <w:tc>
          <w:tcPr>
            <w:tcW w:w="933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cs="Times New Roman"/>
              </w:rPr>
            </w:pP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77</w:t>
            </w: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.3</w:t>
            </w: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%</w:t>
            </w:r>
          </w:p>
        </w:tc>
        <w:tc>
          <w:tcPr>
            <w:tcW w:w="933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54.5</w:t>
            </w: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%</w:t>
            </w:r>
          </w:p>
        </w:tc>
      </w:tr>
      <w:tr w:rsidR="00B2213E" w:rsidRPr="0067176A" w:rsidTr="006341EB">
        <w:trPr>
          <w:trHeight w:val="227"/>
          <w:jc w:val="center"/>
        </w:trPr>
        <w:tc>
          <w:tcPr>
            <w:tcW w:w="1806" w:type="dxa"/>
            <w:vMerge/>
            <w:tcBorders>
              <w:bottom w:val="single" w:sz="6" w:space="0" w:color="auto"/>
            </w:tcBorders>
          </w:tcPr>
          <w:p w:rsidR="00B2213E" w:rsidRPr="00C616D9" w:rsidRDefault="00B2213E" w:rsidP="00B2213E">
            <w:pPr>
              <w:spacing w:before="0" w:after="0"/>
              <w:rPr>
                <w:rFonts w:eastAsia="Times New Roman" w:cs="Times New Roman"/>
                <w:b/>
                <w:color w:val="000000"/>
                <w:sz w:val="22"/>
                <w:szCs w:val="20"/>
                <w:lang w:val="es-ES" w:eastAsia="es-ES"/>
              </w:rPr>
            </w:pPr>
          </w:p>
        </w:tc>
        <w:tc>
          <w:tcPr>
            <w:tcW w:w="669" w:type="dxa"/>
            <w:tcBorders>
              <w:bottom w:val="single" w:sz="6" w:space="0" w:color="auto"/>
            </w:tcBorders>
            <w:vAlign w:val="center"/>
          </w:tcPr>
          <w:p w:rsidR="00B2213E" w:rsidRPr="009D7F78" w:rsidRDefault="00B2213E" w:rsidP="00B2213E">
            <w:pPr>
              <w:spacing w:before="0" w:after="0"/>
              <w:rPr>
                <w:rFonts w:eastAsia="Times New Roman" w:cs="Times New Roman"/>
                <w:b/>
                <w:color w:val="000000"/>
                <w:sz w:val="22"/>
                <w:lang w:val="es-ES" w:eastAsia="es-ES"/>
              </w:rPr>
            </w:pPr>
            <w:r w:rsidRPr="009D7F78">
              <w:rPr>
                <w:rFonts w:eastAsia="Times New Roman" w:cs="Times New Roman"/>
                <w:b/>
                <w:color w:val="000000"/>
                <w:sz w:val="22"/>
                <w:lang w:val="es-ES" w:eastAsia="es-ES"/>
              </w:rPr>
              <w:t>VI</w:t>
            </w:r>
          </w:p>
        </w:tc>
        <w:tc>
          <w:tcPr>
            <w:tcW w:w="939" w:type="dxa"/>
            <w:tcBorders>
              <w:bottom w:val="single" w:sz="6" w:space="0" w:color="auto"/>
            </w:tcBorders>
            <w:vAlign w:val="center"/>
          </w:tcPr>
          <w:p w:rsidR="00B2213E" w:rsidRPr="0067176A" w:rsidRDefault="00B2213E" w:rsidP="00B2213E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86.7%</w:t>
            </w:r>
          </w:p>
        </w:tc>
        <w:tc>
          <w:tcPr>
            <w:tcW w:w="785" w:type="dxa"/>
            <w:tcBorders>
              <w:bottom w:val="single" w:sz="6" w:space="0" w:color="auto"/>
            </w:tcBorders>
            <w:vAlign w:val="center"/>
          </w:tcPr>
          <w:p w:rsidR="00B2213E" w:rsidRPr="0067176A" w:rsidRDefault="00B2213E" w:rsidP="00B2213E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53%</w:t>
            </w:r>
          </w:p>
        </w:tc>
        <w:tc>
          <w:tcPr>
            <w:tcW w:w="785" w:type="dxa"/>
            <w:tcBorders>
              <w:bottom w:val="single" w:sz="6" w:space="0" w:color="auto"/>
            </w:tcBorders>
            <w:vAlign w:val="center"/>
          </w:tcPr>
          <w:p w:rsidR="00B2213E" w:rsidRPr="0067176A" w:rsidRDefault="00B2213E" w:rsidP="00B2213E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25%</w:t>
            </w:r>
          </w:p>
        </w:tc>
        <w:tc>
          <w:tcPr>
            <w:tcW w:w="939" w:type="dxa"/>
            <w:tcBorders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2213E" w:rsidRPr="0067176A" w:rsidRDefault="00B2213E" w:rsidP="00B2213E">
            <w:pPr>
              <w:spacing w:before="0" w:after="0"/>
              <w:jc w:val="center"/>
              <w:rPr>
                <w:rFonts w:cs="Times New Roman"/>
              </w:rPr>
            </w:pPr>
          </w:p>
        </w:tc>
        <w:tc>
          <w:tcPr>
            <w:tcW w:w="620" w:type="dxa"/>
            <w:tcBorders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2213E" w:rsidRPr="0067176A" w:rsidRDefault="00B2213E" w:rsidP="00B2213E">
            <w:pPr>
              <w:spacing w:before="0" w:after="0"/>
              <w:jc w:val="center"/>
              <w:rPr>
                <w:rFonts w:cs="Times New Roman"/>
              </w:rPr>
            </w:pPr>
          </w:p>
        </w:tc>
        <w:tc>
          <w:tcPr>
            <w:tcW w:w="594" w:type="dxa"/>
            <w:tcBorders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2213E" w:rsidRPr="0067176A" w:rsidRDefault="00B2213E" w:rsidP="00B2213E">
            <w:pPr>
              <w:spacing w:before="0" w:after="0"/>
              <w:jc w:val="center"/>
              <w:rPr>
                <w:rFonts w:cs="Times New Roman"/>
              </w:rPr>
            </w:pPr>
          </w:p>
        </w:tc>
        <w:tc>
          <w:tcPr>
            <w:tcW w:w="93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2213E" w:rsidRPr="0067176A" w:rsidRDefault="00B2213E" w:rsidP="00B2213E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86.7%</w:t>
            </w:r>
          </w:p>
        </w:tc>
        <w:tc>
          <w:tcPr>
            <w:tcW w:w="93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2213E" w:rsidRPr="0067176A" w:rsidRDefault="00B2213E" w:rsidP="00B2213E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53%</w:t>
            </w:r>
          </w:p>
        </w:tc>
        <w:tc>
          <w:tcPr>
            <w:tcW w:w="93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B2213E" w:rsidRPr="0067176A" w:rsidRDefault="00B2213E" w:rsidP="00B2213E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25%</w:t>
            </w:r>
          </w:p>
        </w:tc>
      </w:tr>
      <w:tr w:rsidR="006341EB" w:rsidRPr="0067176A" w:rsidTr="006341EB">
        <w:trPr>
          <w:trHeight w:val="227"/>
          <w:jc w:val="center"/>
        </w:trPr>
        <w:tc>
          <w:tcPr>
            <w:tcW w:w="1806" w:type="dxa"/>
            <w:vMerge w:val="restart"/>
            <w:tcBorders>
              <w:top w:val="single" w:sz="6" w:space="0" w:color="auto"/>
            </w:tcBorders>
          </w:tcPr>
          <w:p w:rsidR="006341EB" w:rsidRPr="00C616D9" w:rsidRDefault="006341EB" w:rsidP="006341EB">
            <w:pPr>
              <w:spacing w:before="0" w:after="0"/>
              <w:rPr>
                <w:rFonts w:cs="Times New Roman"/>
                <w:b/>
                <w:sz w:val="22"/>
                <w:szCs w:val="20"/>
              </w:rPr>
            </w:pPr>
            <w:proofErr w:type="spellStart"/>
            <w:r w:rsidRPr="0067176A">
              <w:rPr>
                <w:rFonts w:eastAsia="Times New Roman" w:cs="Times New Roman"/>
                <w:b/>
                <w:color w:val="000000"/>
                <w:sz w:val="22"/>
                <w:szCs w:val="20"/>
                <w:lang w:val="es-ES" w:eastAsia="es-ES"/>
              </w:rPr>
              <w:t>Mod</w:t>
            </w:r>
            <w:proofErr w:type="spellEnd"/>
            <w:r w:rsidRPr="0067176A">
              <w:rPr>
                <w:rFonts w:eastAsia="Times New Roman" w:cs="Times New Roman"/>
                <w:b/>
                <w:color w:val="000000"/>
                <w:sz w:val="22"/>
                <w:szCs w:val="20"/>
                <w:lang w:val="es-ES" w:eastAsia="es-ES"/>
              </w:rPr>
              <w:t xml:space="preserve">. </w:t>
            </w:r>
            <w:proofErr w:type="spellStart"/>
            <w:r w:rsidRPr="0067176A">
              <w:rPr>
                <w:rFonts w:eastAsia="Times New Roman" w:cs="Times New Roman"/>
                <w:b/>
                <w:color w:val="000000"/>
                <w:sz w:val="22"/>
                <w:szCs w:val="20"/>
                <w:lang w:val="es-ES" w:eastAsia="es-ES"/>
              </w:rPr>
              <w:t>Vir</w:t>
            </w:r>
            <w:proofErr w:type="spellEnd"/>
            <w:r w:rsidRPr="0067176A">
              <w:rPr>
                <w:rFonts w:eastAsia="Times New Roman" w:cs="Times New Roman"/>
                <w:b/>
                <w:color w:val="000000"/>
                <w:sz w:val="22"/>
                <w:szCs w:val="20"/>
                <w:lang w:val="es-ES" w:eastAsia="es-ES"/>
              </w:rPr>
              <w:t>.</w:t>
            </w:r>
            <w:r w:rsidRPr="00C616D9">
              <w:rPr>
                <w:sz w:val="22"/>
                <w:szCs w:val="20"/>
              </w:rPr>
              <w:t xml:space="preserve"> Est16/WB/Viru8</w:t>
            </w:r>
          </w:p>
        </w:tc>
        <w:tc>
          <w:tcPr>
            <w:tcW w:w="669" w:type="dxa"/>
            <w:tcBorders>
              <w:top w:val="single" w:sz="6" w:space="0" w:color="auto"/>
            </w:tcBorders>
            <w:vAlign w:val="center"/>
          </w:tcPr>
          <w:p w:rsidR="006341EB" w:rsidRPr="009D7F78" w:rsidRDefault="006341EB" w:rsidP="006341EB">
            <w:pPr>
              <w:spacing w:before="0" w:after="0"/>
              <w:rPr>
                <w:rFonts w:eastAsia="Times New Roman" w:cs="Times New Roman"/>
                <w:b/>
                <w:color w:val="000000"/>
                <w:sz w:val="22"/>
                <w:lang w:val="es-ES" w:eastAsia="es-ES"/>
              </w:rPr>
            </w:pPr>
            <w:r w:rsidRPr="009D7F78">
              <w:rPr>
                <w:rFonts w:eastAsia="Times New Roman" w:cs="Times New Roman"/>
                <w:b/>
                <w:color w:val="000000"/>
                <w:sz w:val="22"/>
                <w:lang w:val="es-ES" w:eastAsia="es-ES"/>
              </w:rPr>
              <w:t>PCR</w:t>
            </w:r>
          </w:p>
        </w:tc>
        <w:tc>
          <w:tcPr>
            <w:tcW w:w="939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61.5</w:t>
            </w: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%</w:t>
            </w:r>
          </w:p>
        </w:tc>
        <w:tc>
          <w:tcPr>
            <w:tcW w:w="785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cs="Times New Roman"/>
              </w:rPr>
            </w:pP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69</w:t>
            </w: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.2</w:t>
            </w: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%</w:t>
            </w:r>
          </w:p>
        </w:tc>
        <w:tc>
          <w:tcPr>
            <w:tcW w:w="785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26.9</w:t>
            </w: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%</w:t>
            </w:r>
          </w:p>
        </w:tc>
        <w:tc>
          <w:tcPr>
            <w:tcW w:w="939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97%</w:t>
            </w:r>
          </w:p>
        </w:tc>
        <w:tc>
          <w:tcPr>
            <w:tcW w:w="620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30%</w:t>
            </w:r>
          </w:p>
        </w:tc>
        <w:tc>
          <w:tcPr>
            <w:tcW w:w="594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0%</w:t>
            </w:r>
          </w:p>
        </w:tc>
        <w:tc>
          <w:tcPr>
            <w:tcW w:w="939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80.4%</w:t>
            </w:r>
          </w:p>
        </w:tc>
        <w:tc>
          <w:tcPr>
            <w:tcW w:w="933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48.2%</w:t>
            </w:r>
          </w:p>
        </w:tc>
        <w:tc>
          <w:tcPr>
            <w:tcW w:w="933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12.5%</w:t>
            </w:r>
          </w:p>
        </w:tc>
      </w:tr>
      <w:tr w:rsidR="006341EB" w:rsidRPr="0067176A" w:rsidTr="006341EB">
        <w:trPr>
          <w:trHeight w:val="227"/>
          <w:jc w:val="center"/>
        </w:trPr>
        <w:tc>
          <w:tcPr>
            <w:tcW w:w="1806" w:type="dxa"/>
            <w:vMerge/>
            <w:tcBorders>
              <w:bottom w:val="single" w:sz="6" w:space="0" w:color="auto"/>
            </w:tcBorders>
          </w:tcPr>
          <w:p w:rsidR="006341EB" w:rsidRPr="00C616D9" w:rsidRDefault="006341EB" w:rsidP="006341EB">
            <w:pPr>
              <w:spacing w:before="0" w:after="0"/>
              <w:rPr>
                <w:rFonts w:eastAsia="Times New Roman" w:cs="Times New Roman"/>
                <w:b/>
                <w:color w:val="000000"/>
                <w:sz w:val="22"/>
                <w:szCs w:val="20"/>
                <w:lang w:val="es-ES" w:eastAsia="es-ES"/>
              </w:rPr>
            </w:pPr>
          </w:p>
        </w:tc>
        <w:tc>
          <w:tcPr>
            <w:tcW w:w="669" w:type="dxa"/>
            <w:tcBorders>
              <w:bottom w:val="single" w:sz="6" w:space="0" w:color="auto"/>
            </w:tcBorders>
            <w:vAlign w:val="center"/>
          </w:tcPr>
          <w:p w:rsidR="006341EB" w:rsidRPr="009D7F78" w:rsidRDefault="006341EB" w:rsidP="006341EB">
            <w:pPr>
              <w:spacing w:before="0" w:after="0"/>
              <w:rPr>
                <w:rFonts w:eastAsia="Times New Roman" w:cs="Times New Roman"/>
                <w:b/>
                <w:color w:val="000000"/>
                <w:sz w:val="22"/>
                <w:lang w:val="es-ES" w:eastAsia="es-ES"/>
              </w:rPr>
            </w:pPr>
            <w:r w:rsidRPr="009D7F78">
              <w:rPr>
                <w:rFonts w:eastAsia="Times New Roman" w:cs="Times New Roman"/>
                <w:b/>
                <w:color w:val="000000"/>
                <w:sz w:val="22"/>
                <w:lang w:val="es-ES" w:eastAsia="es-ES"/>
              </w:rPr>
              <w:t>VI</w:t>
            </w:r>
          </w:p>
        </w:tc>
        <w:tc>
          <w:tcPr>
            <w:tcW w:w="939" w:type="dxa"/>
            <w:tcBorders>
              <w:bottom w:val="single" w:sz="6" w:space="0" w:color="auto"/>
            </w:tcBorders>
            <w:vAlign w:val="center"/>
          </w:tcPr>
          <w:p w:rsidR="006341EB" w:rsidRPr="0067176A" w:rsidRDefault="00B2213E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81</w:t>
            </w:r>
            <w:r w:rsidR="006341EB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%</w:t>
            </w:r>
          </w:p>
        </w:tc>
        <w:tc>
          <w:tcPr>
            <w:tcW w:w="785" w:type="dxa"/>
            <w:tcBorders>
              <w:bottom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67%</w:t>
            </w:r>
          </w:p>
        </w:tc>
        <w:tc>
          <w:tcPr>
            <w:tcW w:w="785" w:type="dxa"/>
            <w:tcBorders>
              <w:bottom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57%</w:t>
            </w:r>
          </w:p>
        </w:tc>
        <w:tc>
          <w:tcPr>
            <w:tcW w:w="939" w:type="dxa"/>
            <w:tcBorders>
              <w:bottom w:val="single" w:sz="6" w:space="0" w:color="auto"/>
            </w:tcBorders>
            <w:vAlign w:val="center"/>
          </w:tcPr>
          <w:p w:rsidR="006341EB" w:rsidRPr="0067176A" w:rsidRDefault="00B2213E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31</w:t>
            </w:r>
            <w:r w:rsidR="006341EB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%</w:t>
            </w:r>
          </w:p>
        </w:tc>
        <w:tc>
          <w:tcPr>
            <w:tcW w:w="620" w:type="dxa"/>
            <w:tcBorders>
              <w:bottom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0%</w:t>
            </w:r>
          </w:p>
        </w:tc>
        <w:tc>
          <w:tcPr>
            <w:tcW w:w="594" w:type="dxa"/>
            <w:tcBorders>
              <w:bottom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0%</w:t>
            </w:r>
          </w:p>
        </w:tc>
        <w:tc>
          <w:tcPr>
            <w:tcW w:w="939" w:type="dxa"/>
            <w:tcBorders>
              <w:bottom w:val="single" w:sz="6" w:space="0" w:color="auto"/>
            </w:tcBorders>
          </w:tcPr>
          <w:p w:rsidR="006341EB" w:rsidRDefault="00B2213E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48.9%</w:t>
            </w:r>
          </w:p>
        </w:tc>
        <w:tc>
          <w:tcPr>
            <w:tcW w:w="933" w:type="dxa"/>
            <w:tcBorders>
              <w:bottom w:val="single" w:sz="6" w:space="0" w:color="auto"/>
            </w:tcBorders>
          </w:tcPr>
          <w:p w:rsidR="006341EB" w:rsidRDefault="00B2213E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44.4%</w:t>
            </w:r>
          </w:p>
        </w:tc>
        <w:tc>
          <w:tcPr>
            <w:tcW w:w="933" w:type="dxa"/>
            <w:tcBorders>
              <w:bottom w:val="single" w:sz="6" w:space="0" w:color="auto"/>
            </w:tcBorders>
          </w:tcPr>
          <w:p w:rsidR="006341EB" w:rsidRDefault="00B2213E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57.1%</w:t>
            </w:r>
          </w:p>
        </w:tc>
      </w:tr>
      <w:tr w:rsidR="006341EB" w:rsidRPr="0067176A" w:rsidTr="006341EB">
        <w:trPr>
          <w:trHeight w:val="227"/>
          <w:jc w:val="center"/>
        </w:trPr>
        <w:tc>
          <w:tcPr>
            <w:tcW w:w="1806" w:type="dxa"/>
            <w:vMerge w:val="restart"/>
            <w:tcBorders>
              <w:top w:val="single" w:sz="6" w:space="0" w:color="auto"/>
            </w:tcBorders>
          </w:tcPr>
          <w:p w:rsidR="006341EB" w:rsidRPr="00C616D9" w:rsidRDefault="006341EB" w:rsidP="006341EB">
            <w:pPr>
              <w:spacing w:before="0" w:after="0"/>
              <w:rPr>
                <w:rFonts w:eastAsia="Times New Roman" w:cs="Times New Roman"/>
                <w:b/>
                <w:color w:val="000000"/>
                <w:sz w:val="22"/>
                <w:szCs w:val="20"/>
                <w:lang w:val="es-ES" w:eastAsia="es-ES"/>
              </w:rPr>
            </w:pPr>
            <w:proofErr w:type="spellStart"/>
            <w:r w:rsidRPr="00C616D9">
              <w:rPr>
                <w:rFonts w:eastAsia="Times New Roman" w:cs="Times New Roman"/>
                <w:b/>
                <w:color w:val="000000"/>
                <w:sz w:val="22"/>
                <w:szCs w:val="20"/>
                <w:lang w:val="es-ES" w:eastAsia="es-ES"/>
              </w:rPr>
              <w:t>Att</w:t>
            </w:r>
            <w:proofErr w:type="spellEnd"/>
            <w:r w:rsidRPr="00C616D9">
              <w:rPr>
                <w:rFonts w:eastAsia="Times New Roman" w:cs="Times New Roman"/>
                <w:b/>
                <w:color w:val="000000"/>
                <w:sz w:val="22"/>
                <w:szCs w:val="20"/>
                <w:lang w:val="es-ES" w:eastAsia="es-ES"/>
              </w:rPr>
              <w:t>.</w:t>
            </w:r>
            <w:r w:rsidRPr="00C616D9">
              <w:rPr>
                <w:sz w:val="22"/>
                <w:szCs w:val="20"/>
              </w:rPr>
              <w:t xml:space="preserve"> Lv17/WB/Rie1</w:t>
            </w:r>
          </w:p>
        </w:tc>
        <w:tc>
          <w:tcPr>
            <w:tcW w:w="669" w:type="dxa"/>
            <w:tcBorders>
              <w:top w:val="single" w:sz="6" w:space="0" w:color="auto"/>
            </w:tcBorders>
            <w:vAlign w:val="center"/>
          </w:tcPr>
          <w:p w:rsidR="006341EB" w:rsidRPr="009D7F78" w:rsidRDefault="006341EB" w:rsidP="006341EB">
            <w:pPr>
              <w:spacing w:before="0" w:after="0"/>
              <w:rPr>
                <w:rFonts w:eastAsia="Times New Roman" w:cs="Times New Roman"/>
                <w:b/>
                <w:color w:val="000000"/>
                <w:sz w:val="22"/>
                <w:lang w:val="es-ES" w:eastAsia="es-ES"/>
              </w:rPr>
            </w:pPr>
            <w:r w:rsidRPr="009D7F78">
              <w:rPr>
                <w:rFonts w:eastAsia="Times New Roman" w:cs="Times New Roman"/>
                <w:b/>
                <w:color w:val="000000"/>
                <w:sz w:val="22"/>
                <w:lang w:val="es-ES" w:eastAsia="es-ES"/>
              </w:rPr>
              <w:t>PCR</w:t>
            </w:r>
          </w:p>
        </w:tc>
        <w:tc>
          <w:tcPr>
            <w:tcW w:w="939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cs="Times New Roman"/>
              </w:rPr>
            </w:pP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37</w:t>
            </w: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.7</w:t>
            </w: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%</w:t>
            </w:r>
          </w:p>
        </w:tc>
        <w:tc>
          <w:tcPr>
            <w:tcW w:w="785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cs="Times New Roman"/>
              </w:rPr>
            </w:pP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50%</w:t>
            </w:r>
          </w:p>
        </w:tc>
        <w:tc>
          <w:tcPr>
            <w:tcW w:w="785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cs="Times New Roman"/>
              </w:rPr>
            </w:pP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10%</w:t>
            </w:r>
          </w:p>
        </w:tc>
        <w:tc>
          <w:tcPr>
            <w:tcW w:w="939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29%</w:t>
            </w:r>
          </w:p>
        </w:tc>
        <w:tc>
          <w:tcPr>
            <w:tcW w:w="620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32%</w:t>
            </w:r>
          </w:p>
        </w:tc>
        <w:tc>
          <w:tcPr>
            <w:tcW w:w="594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 w:rsidRPr="0067176A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8%</w:t>
            </w:r>
          </w:p>
        </w:tc>
        <w:tc>
          <w:tcPr>
            <w:tcW w:w="939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31.1%</w:t>
            </w:r>
          </w:p>
        </w:tc>
        <w:tc>
          <w:tcPr>
            <w:tcW w:w="933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36.9%</w:t>
            </w:r>
          </w:p>
        </w:tc>
        <w:tc>
          <w:tcPr>
            <w:tcW w:w="933" w:type="dxa"/>
            <w:tcBorders>
              <w:top w:val="single" w:sz="6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8.7%</w:t>
            </w:r>
          </w:p>
        </w:tc>
      </w:tr>
      <w:tr w:rsidR="006341EB" w:rsidRPr="0067176A" w:rsidTr="006341EB">
        <w:trPr>
          <w:trHeight w:val="227"/>
          <w:jc w:val="center"/>
        </w:trPr>
        <w:tc>
          <w:tcPr>
            <w:tcW w:w="1806" w:type="dxa"/>
            <w:vMerge/>
            <w:tcBorders>
              <w:bottom w:val="single" w:sz="8" w:space="0" w:color="auto"/>
            </w:tcBorders>
          </w:tcPr>
          <w:p w:rsidR="006341EB" w:rsidRPr="00C616D9" w:rsidRDefault="006341EB" w:rsidP="006341EB">
            <w:pPr>
              <w:spacing w:before="0" w:after="0"/>
              <w:rPr>
                <w:rFonts w:eastAsia="Times New Roman" w:cs="Times New Roman"/>
                <w:b/>
                <w:color w:val="000000"/>
                <w:sz w:val="22"/>
                <w:szCs w:val="20"/>
                <w:lang w:val="es-ES" w:eastAsia="es-ES"/>
              </w:rPr>
            </w:pPr>
          </w:p>
        </w:tc>
        <w:tc>
          <w:tcPr>
            <w:tcW w:w="669" w:type="dxa"/>
            <w:tcBorders>
              <w:bottom w:val="single" w:sz="8" w:space="0" w:color="auto"/>
            </w:tcBorders>
            <w:vAlign w:val="center"/>
          </w:tcPr>
          <w:p w:rsidR="006341EB" w:rsidRPr="009D7F78" w:rsidRDefault="006341EB" w:rsidP="006341EB">
            <w:pPr>
              <w:spacing w:before="0" w:after="0"/>
              <w:rPr>
                <w:rFonts w:eastAsia="Times New Roman" w:cs="Times New Roman"/>
                <w:b/>
                <w:color w:val="000000"/>
                <w:sz w:val="22"/>
                <w:lang w:val="es-ES" w:eastAsia="es-ES"/>
              </w:rPr>
            </w:pPr>
            <w:r w:rsidRPr="009D7F78">
              <w:rPr>
                <w:rFonts w:eastAsia="Times New Roman" w:cs="Times New Roman"/>
                <w:b/>
                <w:color w:val="000000"/>
                <w:sz w:val="22"/>
                <w:lang w:val="es-ES" w:eastAsia="es-ES"/>
              </w:rPr>
              <w:t>VI</w:t>
            </w:r>
          </w:p>
        </w:tc>
        <w:tc>
          <w:tcPr>
            <w:tcW w:w="939" w:type="dxa"/>
            <w:tcBorders>
              <w:bottom w:val="single" w:sz="8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100%</w:t>
            </w:r>
          </w:p>
        </w:tc>
        <w:tc>
          <w:tcPr>
            <w:tcW w:w="785" w:type="dxa"/>
            <w:tcBorders>
              <w:bottom w:val="single" w:sz="8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7%</w:t>
            </w:r>
          </w:p>
        </w:tc>
        <w:tc>
          <w:tcPr>
            <w:tcW w:w="785" w:type="dxa"/>
            <w:tcBorders>
              <w:bottom w:val="single" w:sz="8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0%</w:t>
            </w:r>
          </w:p>
        </w:tc>
        <w:tc>
          <w:tcPr>
            <w:tcW w:w="939" w:type="dxa"/>
            <w:tcBorders>
              <w:bottom w:val="single" w:sz="8" w:space="0" w:color="auto"/>
            </w:tcBorders>
            <w:vAlign w:val="center"/>
          </w:tcPr>
          <w:p w:rsidR="006341EB" w:rsidRPr="0067176A" w:rsidRDefault="006341EB" w:rsidP="00B2213E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1</w:t>
            </w:r>
            <w:r w:rsidR="00B2213E"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0</w:t>
            </w: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%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0%</w:t>
            </w:r>
          </w:p>
        </w:tc>
        <w:tc>
          <w:tcPr>
            <w:tcW w:w="594" w:type="dxa"/>
            <w:tcBorders>
              <w:bottom w:val="single" w:sz="8" w:space="0" w:color="auto"/>
            </w:tcBorders>
            <w:vAlign w:val="center"/>
          </w:tcPr>
          <w:p w:rsidR="006341EB" w:rsidRPr="0067176A" w:rsidRDefault="006341EB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0%</w:t>
            </w:r>
          </w:p>
        </w:tc>
        <w:tc>
          <w:tcPr>
            <w:tcW w:w="939" w:type="dxa"/>
            <w:tcBorders>
              <w:bottom w:val="single" w:sz="8" w:space="0" w:color="auto"/>
            </w:tcBorders>
          </w:tcPr>
          <w:p w:rsidR="006341EB" w:rsidRDefault="00B2213E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40.6%</w:t>
            </w:r>
          </w:p>
        </w:tc>
        <w:tc>
          <w:tcPr>
            <w:tcW w:w="933" w:type="dxa"/>
            <w:tcBorders>
              <w:bottom w:val="single" w:sz="8" w:space="0" w:color="auto"/>
            </w:tcBorders>
          </w:tcPr>
          <w:p w:rsidR="006341EB" w:rsidRDefault="00B2213E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2.6%</w:t>
            </w:r>
          </w:p>
        </w:tc>
        <w:tc>
          <w:tcPr>
            <w:tcW w:w="933" w:type="dxa"/>
            <w:tcBorders>
              <w:bottom w:val="single" w:sz="8" w:space="0" w:color="auto"/>
            </w:tcBorders>
          </w:tcPr>
          <w:p w:rsidR="006341EB" w:rsidRDefault="00B2213E" w:rsidP="006341EB">
            <w:pPr>
              <w:spacing w:before="0" w:after="0"/>
              <w:jc w:val="center"/>
              <w:rPr>
                <w:rFonts w:eastAsia="Times New Roman" w:cs="Times New Roman"/>
                <w:color w:val="000000"/>
                <w:sz w:val="22"/>
                <w:lang w:val="es-ES" w:eastAsia="es-ES"/>
              </w:rPr>
            </w:pPr>
            <w:r>
              <w:rPr>
                <w:rFonts w:eastAsia="Times New Roman" w:cs="Times New Roman"/>
                <w:color w:val="000000"/>
                <w:sz w:val="22"/>
                <w:lang w:val="es-ES" w:eastAsia="es-ES"/>
              </w:rPr>
              <w:t>0%</w:t>
            </w:r>
          </w:p>
        </w:tc>
      </w:tr>
    </w:tbl>
    <w:p w:rsidR="009D7FA0" w:rsidRDefault="009D7FA0" w:rsidP="009D7FA0">
      <w:pPr>
        <w:spacing w:line="360" w:lineRule="auto"/>
        <w:ind w:firstLine="360"/>
      </w:pPr>
    </w:p>
    <w:p w:rsidR="009D7FA0" w:rsidRDefault="009D7FA0" w:rsidP="009D7FA0">
      <w:pPr>
        <w:spacing w:after="0" w:line="480" w:lineRule="auto"/>
        <w:ind w:firstLine="360"/>
        <w:contextualSpacing/>
        <w:rPr>
          <w:rFonts w:eastAsia="Times New Roman" w:cs="Times New Roman"/>
          <w:b/>
          <w:bCs/>
          <w:color w:val="000000"/>
          <w:sz w:val="20"/>
          <w:szCs w:val="20"/>
          <w:lang w:eastAsia="es-ES"/>
        </w:rPr>
      </w:pPr>
      <w:r w:rsidRPr="0047398F">
        <w:rPr>
          <w:b/>
          <w:sz w:val="22"/>
        </w:rPr>
        <w:t>Table</w:t>
      </w:r>
      <w:r>
        <w:rPr>
          <w:b/>
          <w:sz w:val="22"/>
        </w:rPr>
        <w:t xml:space="preserve"> 5</w:t>
      </w:r>
      <w:r w:rsidRPr="0047398F">
        <w:rPr>
          <w:b/>
          <w:sz w:val="22"/>
        </w:rPr>
        <w:t>.</w:t>
      </w:r>
      <w:r w:rsidRPr="0047398F">
        <w:rPr>
          <w:sz w:val="22"/>
        </w:rPr>
        <w:t xml:space="preserve"> </w:t>
      </w:r>
      <w:r w:rsidRPr="005E2A91">
        <w:rPr>
          <w:sz w:val="22"/>
        </w:rPr>
        <w:t xml:space="preserve">African swine fever virus (ASFV) comparative antibody detection in serum samples by ELISA and IPT indicated the first positive finding in </w:t>
      </w:r>
      <w:proofErr w:type="gramStart"/>
      <w:r w:rsidRPr="005E2A91">
        <w:rPr>
          <w:sz w:val="22"/>
        </w:rPr>
        <w:t>days</w:t>
      </w:r>
      <w:proofErr w:type="gramEnd"/>
      <w:r w:rsidRPr="005E2A91">
        <w:rPr>
          <w:sz w:val="22"/>
        </w:rPr>
        <w:t xml:space="preserve"> </w:t>
      </w:r>
      <w:r w:rsidRPr="009D7FA0">
        <w:rPr>
          <w:sz w:val="22"/>
        </w:rPr>
        <w:t>±standard deviation (SD)</w:t>
      </w:r>
      <w:r>
        <w:rPr>
          <w:sz w:val="22"/>
        </w:rPr>
        <w:t xml:space="preserve"> </w:t>
      </w:r>
      <w:r w:rsidRPr="005E2A91">
        <w:rPr>
          <w:sz w:val="22"/>
        </w:rPr>
        <w:t>and the percentage of positives</w:t>
      </w:r>
      <w:r>
        <w:rPr>
          <w:sz w:val="22"/>
        </w:rPr>
        <w:t xml:space="preserve"> </w:t>
      </w:r>
      <w:r w:rsidRPr="005E2A91">
        <w:rPr>
          <w:sz w:val="22"/>
        </w:rPr>
        <w:t>domestic pigs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70"/>
        <w:gridCol w:w="1418"/>
        <w:gridCol w:w="1806"/>
        <w:gridCol w:w="1559"/>
      </w:tblGrid>
      <w:tr w:rsidR="009D7FA0" w:rsidRPr="00533E9E" w:rsidTr="002C444D">
        <w:trPr>
          <w:trHeight w:val="153"/>
          <w:jc w:val="center"/>
        </w:trPr>
        <w:tc>
          <w:tcPr>
            <w:tcW w:w="1985" w:type="dxa"/>
            <w:vMerge w:val="restart"/>
            <w:vAlign w:val="center"/>
          </w:tcPr>
          <w:p w:rsidR="009D7FA0" w:rsidRPr="00253EC8" w:rsidRDefault="009D7FA0" w:rsidP="002C444D">
            <w:pPr>
              <w:spacing w:before="0" w:after="0"/>
              <w:contextualSpacing/>
              <w:rPr>
                <w:b/>
                <w:sz w:val="22"/>
                <w:lang w:val="en-GB"/>
              </w:rPr>
            </w:pPr>
            <w:r w:rsidRPr="00253EC8">
              <w:rPr>
                <w:b/>
                <w:sz w:val="22"/>
                <w:lang w:val="en-GB"/>
              </w:rPr>
              <w:t>ASFV</w:t>
            </w:r>
            <w:r>
              <w:rPr>
                <w:b/>
                <w:sz w:val="22"/>
                <w:lang w:val="en-GB"/>
              </w:rPr>
              <w:t xml:space="preserve"> isolate</w:t>
            </w:r>
          </w:p>
        </w:tc>
        <w:tc>
          <w:tcPr>
            <w:tcW w:w="2588" w:type="dxa"/>
            <w:gridSpan w:val="2"/>
            <w:tcBorders>
              <w:bottom w:val="single" w:sz="12" w:space="0" w:color="auto"/>
            </w:tcBorders>
            <w:vAlign w:val="center"/>
          </w:tcPr>
          <w:p w:rsidR="009D7FA0" w:rsidRPr="00DD47B3" w:rsidRDefault="009D7FA0" w:rsidP="002C444D">
            <w:pPr>
              <w:spacing w:before="0" w:after="0"/>
              <w:contextualSpacing/>
              <w:jc w:val="center"/>
              <w:rPr>
                <w:rFonts w:eastAsia="Times New Roman" w:cs="Times New Roman"/>
                <w:b/>
                <w:color w:val="000000"/>
                <w:sz w:val="22"/>
                <w:lang w:eastAsia="es-ES"/>
              </w:rPr>
            </w:pPr>
            <w:r w:rsidRPr="00DD47B3">
              <w:rPr>
                <w:rFonts w:eastAsia="Times New Roman" w:cs="Times New Roman"/>
                <w:b/>
                <w:color w:val="000000"/>
                <w:sz w:val="22"/>
                <w:lang w:eastAsia="es-ES"/>
              </w:rPr>
              <w:t>Inoculated pigs (IP)</w:t>
            </w:r>
          </w:p>
        </w:tc>
        <w:tc>
          <w:tcPr>
            <w:tcW w:w="3365" w:type="dxa"/>
            <w:gridSpan w:val="2"/>
            <w:tcBorders>
              <w:bottom w:val="single" w:sz="12" w:space="0" w:color="auto"/>
            </w:tcBorders>
            <w:vAlign w:val="center"/>
          </w:tcPr>
          <w:p w:rsidR="009D7FA0" w:rsidRPr="00DD47B3" w:rsidRDefault="009D7FA0" w:rsidP="002C444D">
            <w:pPr>
              <w:spacing w:before="0" w:after="0"/>
              <w:contextualSpacing/>
              <w:jc w:val="center"/>
              <w:rPr>
                <w:rFonts w:eastAsia="Times New Roman" w:cs="Times New Roman"/>
                <w:b/>
                <w:color w:val="000000"/>
                <w:sz w:val="22"/>
                <w:lang w:eastAsia="es-ES"/>
              </w:rPr>
            </w:pPr>
            <w:r w:rsidRPr="00DD47B3">
              <w:rPr>
                <w:rFonts w:eastAsia="Times New Roman" w:cs="Times New Roman"/>
                <w:b/>
                <w:color w:val="000000"/>
                <w:sz w:val="22"/>
                <w:lang w:eastAsia="es-ES"/>
              </w:rPr>
              <w:t>In contact pigs (CP)</w:t>
            </w:r>
          </w:p>
        </w:tc>
      </w:tr>
      <w:tr w:rsidR="009D7FA0" w:rsidRPr="00533E9E" w:rsidTr="002C444D">
        <w:trPr>
          <w:trHeight w:val="153"/>
          <w:jc w:val="center"/>
        </w:trPr>
        <w:tc>
          <w:tcPr>
            <w:tcW w:w="1985" w:type="dxa"/>
            <w:vMerge/>
            <w:tcBorders>
              <w:bottom w:val="single" w:sz="12" w:space="0" w:color="auto"/>
            </w:tcBorders>
          </w:tcPr>
          <w:p w:rsidR="009D7FA0" w:rsidRPr="00533E9E" w:rsidRDefault="009D7FA0" w:rsidP="002C444D">
            <w:pPr>
              <w:spacing w:before="0" w:after="0"/>
              <w:contextualSpacing/>
              <w:rPr>
                <w:sz w:val="22"/>
                <w:lang w:val="en-GB"/>
              </w:rPr>
            </w:pP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9D7FA0" w:rsidRPr="00533E9E" w:rsidRDefault="009D7FA0" w:rsidP="002C444D">
            <w:pPr>
              <w:spacing w:before="0" w:after="0"/>
              <w:contextualSpacing/>
              <w:jc w:val="center"/>
              <w:rPr>
                <w:b/>
                <w:sz w:val="22"/>
                <w:lang w:val="en-GB"/>
              </w:rPr>
            </w:pPr>
            <w:r w:rsidRPr="00DD47B3">
              <w:rPr>
                <w:rFonts w:eastAsia="Times New Roman" w:cs="Times New Roman"/>
                <w:b/>
                <w:color w:val="000000"/>
                <w:sz w:val="22"/>
                <w:lang w:eastAsia="es-ES"/>
              </w:rPr>
              <w:t>ELISA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9D7FA0" w:rsidRPr="00533E9E" w:rsidRDefault="009D7FA0" w:rsidP="002C444D">
            <w:pPr>
              <w:spacing w:before="0" w:after="0"/>
              <w:contextualSpacing/>
              <w:jc w:val="center"/>
              <w:rPr>
                <w:b/>
                <w:sz w:val="22"/>
                <w:lang w:val="en-GB"/>
              </w:rPr>
            </w:pPr>
            <w:r w:rsidRPr="00DD47B3">
              <w:rPr>
                <w:rFonts w:eastAsia="Times New Roman" w:cs="Times New Roman"/>
                <w:b/>
                <w:color w:val="000000"/>
                <w:sz w:val="22"/>
                <w:lang w:eastAsia="es-ES"/>
              </w:rPr>
              <w:t>IPT</w:t>
            </w:r>
          </w:p>
        </w:tc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9D7FA0" w:rsidRPr="00533E9E" w:rsidRDefault="009D7FA0" w:rsidP="002C444D">
            <w:pPr>
              <w:spacing w:before="0" w:after="0"/>
              <w:contextualSpacing/>
              <w:jc w:val="center"/>
              <w:rPr>
                <w:b/>
                <w:sz w:val="22"/>
                <w:lang w:val="en-GB"/>
              </w:rPr>
            </w:pPr>
            <w:r w:rsidRPr="00DD47B3">
              <w:rPr>
                <w:rFonts w:eastAsia="Times New Roman" w:cs="Times New Roman"/>
                <w:b/>
                <w:color w:val="000000"/>
                <w:sz w:val="22"/>
                <w:lang w:eastAsia="es-ES"/>
              </w:rPr>
              <w:t>ELISA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9D7FA0" w:rsidRPr="00533E9E" w:rsidRDefault="009D7FA0" w:rsidP="002C444D">
            <w:pPr>
              <w:spacing w:before="0" w:after="0"/>
              <w:contextualSpacing/>
              <w:jc w:val="center"/>
              <w:rPr>
                <w:b/>
                <w:sz w:val="22"/>
                <w:lang w:val="en-GB"/>
              </w:rPr>
            </w:pPr>
            <w:r w:rsidRPr="00DD47B3">
              <w:rPr>
                <w:rFonts w:eastAsia="Times New Roman" w:cs="Times New Roman"/>
                <w:b/>
                <w:color w:val="000000"/>
                <w:sz w:val="22"/>
                <w:lang w:eastAsia="es-ES"/>
              </w:rPr>
              <w:t>IPT</w:t>
            </w:r>
          </w:p>
        </w:tc>
      </w:tr>
      <w:tr w:rsidR="009D7FA0" w:rsidRPr="00EF3C1C" w:rsidTr="002C444D">
        <w:trPr>
          <w:trHeight w:val="227"/>
          <w:jc w:val="center"/>
        </w:trPr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DD47B3"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>Pol16/DP/OUT21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:rsidR="009D7FA0" w:rsidRPr="00EF3C1C" w:rsidRDefault="009D7FA0" w:rsidP="002C444D">
            <w:pPr>
              <w:spacing w:before="0" w:after="0"/>
              <w:contextualSpacing/>
              <w:jc w:val="center"/>
              <w:rPr>
                <w:sz w:val="20"/>
                <w:lang w:val="en-GB"/>
              </w:rPr>
            </w:pPr>
            <w:r w:rsidRPr="00DD47B3">
              <w:rPr>
                <w:rFonts w:eastAsia="Times New Roman" w:cs="Times New Roman"/>
                <w:color w:val="000000"/>
                <w:sz w:val="20"/>
                <w:lang w:eastAsia="es-ES"/>
              </w:rPr>
              <w:t>NEG.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9D7FA0" w:rsidRPr="00EF3C1C" w:rsidRDefault="009D7FA0" w:rsidP="002C444D">
            <w:pPr>
              <w:spacing w:before="0" w:after="0"/>
              <w:contextualSpacing/>
              <w:jc w:val="center"/>
              <w:rPr>
                <w:sz w:val="20"/>
                <w:lang w:val="en-GB"/>
              </w:rPr>
            </w:pPr>
            <w:r w:rsidRPr="00DD47B3">
              <w:rPr>
                <w:rFonts w:eastAsia="Times New Roman" w:cs="Times New Roman"/>
                <w:color w:val="000000"/>
                <w:sz w:val="20"/>
                <w:lang w:eastAsia="es-ES"/>
              </w:rPr>
              <w:t>7±</w:t>
            </w:r>
            <w:proofErr w:type="gramStart"/>
            <w:r w:rsidRPr="00DD47B3">
              <w:rPr>
                <w:rFonts w:eastAsia="Times New Roman" w:cs="Times New Roman"/>
                <w:color w:val="000000"/>
                <w:sz w:val="20"/>
                <w:lang w:eastAsia="es-ES"/>
              </w:rPr>
              <w:t>0  (</w:t>
            </w:r>
            <w:proofErr w:type="gramEnd"/>
            <w:r w:rsidRPr="00DD47B3">
              <w:rPr>
                <w:rFonts w:eastAsia="Times New Roman" w:cs="Times New Roman"/>
                <w:color w:val="000000"/>
                <w:sz w:val="20"/>
                <w:lang w:eastAsia="es-ES"/>
              </w:rPr>
              <w:t>100%)</w:t>
            </w:r>
          </w:p>
        </w:tc>
        <w:tc>
          <w:tcPr>
            <w:tcW w:w="1806" w:type="dxa"/>
            <w:tcBorders>
              <w:top w:val="single" w:sz="12" w:space="0" w:color="auto"/>
            </w:tcBorders>
            <w:vAlign w:val="center"/>
          </w:tcPr>
          <w:p w:rsidR="009D7FA0" w:rsidRPr="00EF3C1C" w:rsidRDefault="009D7FA0" w:rsidP="002C444D">
            <w:pPr>
              <w:spacing w:before="0" w:after="0"/>
              <w:contextualSpacing/>
              <w:jc w:val="center"/>
              <w:rPr>
                <w:sz w:val="20"/>
                <w:lang w:val="en-GB"/>
              </w:rPr>
            </w:pPr>
            <w:r w:rsidRPr="00DD47B3">
              <w:rPr>
                <w:rFonts w:eastAsia="Times New Roman" w:cs="Times New Roman"/>
                <w:color w:val="000000"/>
                <w:sz w:val="20"/>
                <w:lang w:eastAsia="es-ES"/>
              </w:rPr>
              <w:t>16±</w:t>
            </w:r>
            <w:proofErr w:type="gramStart"/>
            <w:r w:rsidRPr="00DD47B3">
              <w:rPr>
                <w:rFonts w:eastAsia="Times New Roman" w:cs="Times New Roman"/>
                <w:color w:val="000000"/>
                <w:sz w:val="20"/>
                <w:lang w:eastAsia="es-ES"/>
              </w:rPr>
              <w:t>0  (</w:t>
            </w:r>
            <w:proofErr w:type="gramEnd"/>
            <w:r w:rsidRPr="00DD47B3">
              <w:rPr>
                <w:rFonts w:eastAsia="Times New Roman" w:cs="Times New Roman"/>
                <w:color w:val="000000"/>
                <w:sz w:val="20"/>
                <w:lang w:eastAsia="es-ES"/>
              </w:rPr>
              <w:t>25%)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9D7FA0" w:rsidRPr="00EF3C1C" w:rsidRDefault="009D7FA0" w:rsidP="002C444D">
            <w:pPr>
              <w:spacing w:before="0" w:after="0"/>
              <w:contextualSpacing/>
              <w:jc w:val="center"/>
              <w:rPr>
                <w:sz w:val="20"/>
                <w:lang w:val="en-GB"/>
              </w:rPr>
            </w:pPr>
            <w:r w:rsidRPr="00DD47B3">
              <w:rPr>
                <w:rFonts w:eastAsia="Times New Roman" w:cs="Times New Roman"/>
                <w:color w:val="000000"/>
                <w:sz w:val="20"/>
                <w:lang w:eastAsia="es-ES"/>
              </w:rPr>
              <w:t>11.5 ±1.2 (7</w:t>
            </w:r>
            <w:r w:rsidRPr="00EF3C1C">
              <w:rPr>
                <w:rFonts w:eastAsia="Times New Roman" w:cs="Times New Roman"/>
                <w:color w:val="000000"/>
                <w:sz w:val="20"/>
                <w:lang w:val="es-ES" w:eastAsia="es-ES"/>
              </w:rPr>
              <w:t>5%)</w:t>
            </w:r>
          </w:p>
        </w:tc>
      </w:tr>
      <w:tr w:rsidR="009D7FA0" w:rsidRPr="00EF3C1C" w:rsidTr="002C444D">
        <w:trPr>
          <w:trHeight w:val="227"/>
          <w:jc w:val="center"/>
        </w:trPr>
        <w:tc>
          <w:tcPr>
            <w:tcW w:w="1985" w:type="dxa"/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871B0A"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>Es16/WB/Viru8</w:t>
            </w:r>
          </w:p>
        </w:tc>
        <w:tc>
          <w:tcPr>
            <w:tcW w:w="1170" w:type="dxa"/>
            <w:vAlign w:val="center"/>
          </w:tcPr>
          <w:p w:rsidR="009D7FA0" w:rsidRPr="00EF3C1C" w:rsidRDefault="009D7FA0" w:rsidP="002C444D">
            <w:pPr>
              <w:spacing w:before="0" w:after="0"/>
              <w:contextualSpacing/>
              <w:jc w:val="center"/>
              <w:rPr>
                <w:sz w:val="20"/>
                <w:lang w:val="en-GB"/>
              </w:rPr>
            </w:pPr>
            <w:r w:rsidRPr="00EF3C1C">
              <w:rPr>
                <w:rFonts w:eastAsia="Times New Roman" w:cs="Times New Roman"/>
                <w:color w:val="000000"/>
                <w:sz w:val="20"/>
                <w:lang w:val="es-ES" w:eastAsia="es-ES"/>
              </w:rPr>
              <w:t>NEG.</w:t>
            </w:r>
          </w:p>
        </w:tc>
        <w:tc>
          <w:tcPr>
            <w:tcW w:w="1418" w:type="dxa"/>
            <w:vAlign w:val="center"/>
          </w:tcPr>
          <w:p w:rsidR="009D7FA0" w:rsidRPr="00EF3C1C" w:rsidRDefault="009D7FA0" w:rsidP="002C444D">
            <w:pPr>
              <w:spacing w:before="0" w:after="0"/>
              <w:contextualSpacing/>
              <w:jc w:val="center"/>
              <w:rPr>
                <w:sz w:val="20"/>
                <w:lang w:val="en-GB"/>
              </w:rPr>
            </w:pPr>
            <w:r w:rsidRPr="00EF3C1C">
              <w:rPr>
                <w:rFonts w:eastAsia="Times New Roman" w:cs="Times New Roman"/>
                <w:color w:val="000000"/>
                <w:sz w:val="20"/>
                <w:lang w:val="es-ES" w:eastAsia="es-ES"/>
              </w:rPr>
              <w:t>7±0  (50%)</w:t>
            </w:r>
          </w:p>
        </w:tc>
        <w:tc>
          <w:tcPr>
            <w:tcW w:w="1806" w:type="dxa"/>
            <w:vAlign w:val="center"/>
          </w:tcPr>
          <w:p w:rsidR="009D7FA0" w:rsidRPr="00EF3C1C" w:rsidRDefault="009D7FA0" w:rsidP="002C444D">
            <w:pPr>
              <w:spacing w:before="0" w:after="0"/>
              <w:contextualSpacing/>
              <w:jc w:val="center"/>
              <w:rPr>
                <w:sz w:val="20"/>
                <w:lang w:val="en-GB"/>
              </w:rPr>
            </w:pPr>
            <w:r w:rsidRPr="00EF3C1C">
              <w:rPr>
                <w:rFonts w:eastAsia="Times New Roman" w:cs="Times New Roman"/>
                <w:color w:val="000000"/>
                <w:sz w:val="20"/>
                <w:lang w:val="es-ES" w:eastAsia="es-ES"/>
              </w:rPr>
              <w:t>16±0  (50%)</w:t>
            </w:r>
          </w:p>
        </w:tc>
        <w:tc>
          <w:tcPr>
            <w:tcW w:w="1559" w:type="dxa"/>
            <w:vAlign w:val="center"/>
          </w:tcPr>
          <w:p w:rsidR="009D7FA0" w:rsidRPr="00EF3C1C" w:rsidRDefault="009D7FA0" w:rsidP="002C444D">
            <w:pPr>
              <w:spacing w:before="0" w:after="0"/>
              <w:contextualSpacing/>
              <w:jc w:val="center"/>
              <w:rPr>
                <w:sz w:val="20"/>
                <w:lang w:val="en-GB"/>
              </w:rPr>
            </w:pPr>
            <w:r w:rsidRPr="00EF3C1C">
              <w:rPr>
                <w:rFonts w:eastAsia="Times New Roman" w:cs="Times New Roman"/>
                <w:color w:val="000000"/>
                <w:sz w:val="20"/>
                <w:lang w:val="es-ES" w:eastAsia="es-ES"/>
              </w:rPr>
              <w:t>16±0 (75%)</w:t>
            </w:r>
          </w:p>
        </w:tc>
      </w:tr>
      <w:tr w:rsidR="009D7FA0" w:rsidRPr="00EF3C1C" w:rsidTr="002C444D">
        <w:trPr>
          <w:trHeight w:val="227"/>
          <w:jc w:val="center"/>
        </w:trPr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9D7FA0" w:rsidRPr="00EE14ED" w:rsidRDefault="009D7FA0" w:rsidP="002C444D">
            <w:pPr>
              <w:spacing w:before="0" w:after="0"/>
              <w:rPr>
                <w:sz w:val="22"/>
                <w:szCs w:val="24"/>
              </w:rPr>
            </w:pPr>
            <w:r w:rsidRPr="00EE14ED">
              <w:rPr>
                <w:rFonts w:eastAsia="Times New Roman" w:cs="Times New Roman"/>
                <w:color w:val="000000"/>
                <w:sz w:val="22"/>
                <w:szCs w:val="24"/>
                <w:lang w:eastAsia="es-ES"/>
              </w:rPr>
              <w:t>Lv17/WB/Rie1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:rsidR="009D7FA0" w:rsidRPr="00EF3C1C" w:rsidRDefault="009D7FA0" w:rsidP="002C444D">
            <w:pPr>
              <w:spacing w:before="0" w:after="0"/>
              <w:contextualSpacing/>
              <w:jc w:val="center"/>
              <w:rPr>
                <w:sz w:val="20"/>
                <w:lang w:val="en-GB"/>
              </w:rPr>
            </w:pPr>
            <w:r w:rsidRPr="00EF3C1C">
              <w:rPr>
                <w:rFonts w:eastAsia="Times New Roman" w:cs="Times New Roman"/>
                <w:color w:val="000000"/>
                <w:sz w:val="20"/>
                <w:lang w:val="es-ES" w:eastAsia="es-ES"/>
              </w:rPr>
              <w:t>10 (100%)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9D7FA0" w:rsidRPr="00EF3C1C" w:rsidRDefault="009D7FA0" w:rsidP="002C444D">
            <w:pPr>
              <w:spacing w:before="0" w:after="0"/>
              <w:contextualSpacing/>
              <w:jc w:val="center"/>
              <w:rPr>
                <w:sz w:val="20"/>
                <w:lang w:val="en-GB"/>
              </w:rPr>
            </w:pPr>
            <w:r w:rsidRPr="00EF3C1C">
              <w:rPr>
                <w:rFonts w:eastAsia="Times New Roman" w:cs="Times New Roman"/>
                <w:color w:val="000000"/>
                <w:sz w:val="20"/>
                <w:lang w:val="es-ES" w:eastAsia="es-ES"/>
              </w:rPr>
              <w:t>7±0  (100%)</w:t>
            </w:r>
          </w:p>
        </w:tc>
        <w:tc>
          <w:tcPr>
            <w:tcW w:w="1806" w:type="dxa"/>
            <w:tcBorders>
              <w:bottom w:val="single" w:sz="12" w:space="0" w:color="auto"/>
            </w:tcBorders>
            <w:vAlign w:val="center"/>
          </w:tcPr>
          <w:p w:rsidR="009D7FA0" w:rsidRPr="00EF3C1C" w:rsidRDefault="009D7FA0" w:rsidP="002C444D">
            <w:pPr>
              <w:spacing w:before="0" w:after="0"/>
              <w:contextualSpacing/>
              <w:jc w:val="center"/>
              <w:rPr>
                <w:sz w:val="20"/>
                <w:lang w:val="en-GB"/>
              </w:rPr>
            </w:pPr>
            <w:r w:rsidRPr="00EF3C1C">
              <w:rPr>
                <w:rFonts w:eastAsia="Times New Roman" w:cs="Times New Roman"/>
                <w:color w:val="000000"/>
                <w:sz w:val="20"/>
                <w:lang w:val="es-ES" w:eastAsia="es-ES"/>
              </w:rPr>
              <w:t>19.5±3.6 (100%)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D7FA0" w:rsidRPr="00EF3C1C" w:rsidRDefault="009D7FA0" w:rsidP="002C444D">
            <w:pPr>
              <w:spacing w:before="0" w:after="0"/>
              <w:contextualSpacing/>
              <w:jc w:val="center"/>
              <w:rPr>
                <w:sz w:val="20"/>
                <w:lang w:val="en-GB"/>
              </w:rPr>
            </w:pPr>
            <w:r w:rsidRPr="00EF3C1C">
              <w:rPr>
                <w:rFonts w:eastAsia="Times New Roman" w:cs="Times New Roman"/>
                <w:color w:val="000000"/>
                <w:sz w:val="20"/>
                <w:lang w:val="es-ES" w:eastAsia="es-ES"/>
              </w:rPr>
              <w:t>19.5±3.6 (100%)</w:t>
            </w:r>
          </w:p>
        </w:tc>
      </w:tr>
    </w:tbl>
    <w:p w:rsidR="00871B0A" w:rsidRPr="009D7FA0" w:rsidRDefault="00871B0A" w:rsidP="009D7FA0"/>
    <w:sectPr w:rsidR="00871B0A" w:rsidRPr="009D7FA0" w:rsidSect="00503297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5087D"/>
    <w:multiLevelType w:val="hybridMultilevel"/>
    <w:tmpl w:val="8128519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57F49"/>
    <w:multiLevelType w:val="hybridMultilevel"/>
    <w:tmpl w:val="6B8E9766"/>
    <w:lvl w:ilvl="0" w:tplc="8142488A">
      <w:start w:val="1"/>
      <w:numFmt w:val="decimal"/>
      <w:lvlText w:val="%1."/>
      <w:lvlJc w:val="left"/>
      <w:pPr>
        <w:ind w:left="-12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-480" w:hanging="360"/>
      </w:pPr>
    </w:lvl>
    <w:lvl w:ilvl="2" w:tplc="0C0A001B" w:tentative="1">
      <w:start w:val="1"/>
      <w:numFmt w:val="lowerRoman"/>
      <w:lvlText w:val="%3."/>
      <w:lvlJc w:val="right"/>
      <w:pPr>
        <w:ind w:left="240" w:hanging="180"/>
      </w:pPr>
    </w:lvl>
    <w:lvl w:ilvl="3" w:tplc="0C0A000F" w:tentative="1">
      <w:start w:val="1"/>
      <w:numFmt w:val="decimal"/>
      <w:lvlText w:val="%4."/>
      <w:lvlJc w:val="left"/>
      <w:pPr>
        <w:ind w:left="960" w:hanging="360"/>
      </w:pPr>
    </w:lvl>
    <w:lvl w:ilvl="4" w:tplc="0C0A0019" w:tentative="1">
      <w:start w:val="1"/>
      <w:numFmt w:val="lowerLetter"/>
      <w:lvlText w:val="%5."/>
      <w:lvlJc w:val="left"/>
      <w:pPr>
        <w:ind w:left="1680" w:hanging="360"/>
      </w:pPr>
    </w:lvl>
    <w:lvl w:ilvl="5" w:tplc="0C0A001B" w:tentative="1">
      <w:start w:val="1"/>
      <w:numFmt w:val="lowerRoman"/>
      <w:lvlText w:val="%6."/>
      <w:lvlJc w:val="right"/>
      <w:pPr>
        <w:ind w:left="2400" w:hanging="180"/>
      </w:pPr>
    </w:lvl>
    <w:lvl w:ilvl="6" w:tplc="0C0A000F" w:tentative="1">
      <w:start w:val="1"/>
      <w:numFmt w:val="decimal"/>
      <w:lvlText w:val="%7."/>
      <w:lvlJc w:val="left"/>
      <w:pPr>
        <w:ind w:left="3120" w:hanging="360"/>
      </w:pPr>
    </w:lvl>
    <w:lvl w:ilvl="7" w:tplc="0C0A0019" w:tentative="1">
      <w:start w:val="1"/>
      <w:numFmt w:val="lowerLetter"/>
      <w:lvlText w:val="%8."/>
      <w:lvlJc w:val="left"/>
      <w:pPr>
        <w:ind w:left="3840" w:hanging="360"/>
      </w:pPr>
    </w:lvl>
    <w:lvl w:ilvl="8" w:tplc="0C0A001B" w:tentative="1">
      <w:start w:val="1"/>
      <w:numFmt w:val="lowerRoman"/>
      <w:lvlText w:val="%9."/>
      <w:lvlJc w:val="right"/>
      <w:pPr>
        <w:ind w:left="4560" w:hanging="180"/>
      </w:pPr>
    </w:lvl>
  </w:abstractNum>
  <w:abstractNum w:abstractNumId="2" w15:restartNumberingAfterBreak="0">
    <w:nsid w:val="225305B5"/>
    <w:multiLevelType w:val="hybridMultilevel"/>
    <w:tmpl w:val="4F8C24FA"/>
    <w:lvl w:ilvl="0" w:tplc="A9DCD718">
      <w:start w:val="1"/>
      <w:numFmt w:val="bullet"/>
      <w:pStyle w:val="Prrafodelist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3764F4"/>
    <w:multiLevelType w:val="multilevel"/>
    <w:tmpl w:val="2320CB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29B5C63"/>
    <w:multiLevelType w:val="hybridMultilevel"/>
    <w:tmpl w:val="67FEE20C"/>
    <w:lvl w:ilvl="0" w:tplc="D9BCA0C0">
      <w:start w:val="1"/>
      <w:numFmt w:val="decimal"/>
      <w:lvlText w:val="(%1)"/>
      <w:lvlJc w:val="left"/>
      <w:pPr>
        <w:ind w:left="1440" w:hanging="720"/>
      </w:pPr>
      <w:rPr>
        <w:rFonts w:eastAsia="Times New Roman" w:hint="default"/>
        <w:b w:val="0"/>
        <w:color w:val="000000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4ED"/>
    <w:rsid w:val="00045B1F"/>
    <w:rsid w:val="00067923"/>
    <w:rsid w:val="0008339D"/>
    <w:rsid w:val="000A5FE6"/>
    <w:rsid w:val="000F19E6"/>
    <w:rsid w:val="00124F15"/>
    <w:rsid w:val="00172281"/>
    <w:rsid w:val="001C5277"/>
    <w:rsid w:val="0021098F"/>
    <w:rsid w:val="00246A56"/>
    <w:rsid w:val="00276442"/>
    <w:rsid w:val="002B1353"/>
    <w:rsid w:val="002C444D"/>
    <w:rsid w:val="002D65CE"/>
    <w:rsid w:val="002E6AA1"/>
    <w:rsid w:val="003861EC"/>
    <w:rsid w:val="00470D15"/>
    <w:rsid w:val="004C12CA"/>
    <w:rsid w:val="00503297"/>
    <w:rsid w:val="00511B48"/>
    <w:rsid w:val="005236BE"/>
    <w:rsid w:val="005357C4"/>
    <w:rsid w:val="00612701"/>
    <w:rsid w:val="006341EB"/>
    <w:rsid w:val="0067176A"/>
    <w:rsid w:val="006765F3"/>
    <w:rsid w:val="0078521D"/>
    <w:rsid w:val="00814A87"/>
    <w:rsid w:val="00871B0A"/>
    <w:rsid w:val="009A4BBD"/>
    <w:rsid w:val="009D7F78"/>
    <w:rsid w:val="009D7FA0"/>
    <w:rsid w:val="00A82AA5"/>
    <w:rsid w:val="00B16A25"/>
    <w:rsid w:val="00B2213E"/>
    <w:rsid w:val="00B42370"/>
    <w:rsid w:val="00B71397"/>
    <w:rsid w:val="00B806DF"/>
    <w:rsid w:val="00BA09A8"/>
    <w:rsid w:val="00C52F94"/>
    <w:rsid w:val="00C616D9"/>
    <w:rsid w:val="00CC6963"/>
    <w:rsid w:val="00D020B1"/>
    <w:rsid w:val="00DC758B"/>
    <w:rsid w:val="00DD47B3"/>
    <w:rsid w:val="00ED249D"/>
    <w:rsid w:val="00EE14ED"/>
    <w:rsid w:val="00EF3C1C"/>
    <w:rsid w:val="00F27BB6"/>
    <w:rsid w:val="00F31DBA"/>
    <w:rsid w:val="00F7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D3E75-696D-43CA-83E4-BA0BC978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4ED"/>
    <w:pPr>
      <w:spacing w:before="120" w:after="240" w:line="240" w:lineRule="auto"/>
    </w:pPr>
    <w:rPr>
      <w:rFonts w:ascii="Times New Roman" w:hAnsi="Times New Roman"/>
      <w:sz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14ED"/>
    <w:pPr>
      <w:numPr>
        <w:numId w:val="1"/>
      </w:numPr>
      <w:contextualSpacing/>
    </w:pPr>
    <w:rPr>
      <w:rFonts w:eastAsia="Cambria" w:cs="Times New Roman"/>
      <w:szCs w:val="24"/>
    </w:rPr>
  </w:style>
  <w:style w:type="table" w:styleId="Tablaconcuadrcula">
    <w:name w:val="Table Grid"/>
    <w:basedOn w:val="Tablanormal"/>
    <w:uiPriority w:val="59"/>
    <w:rsid w:val="00EE14ED"/>
    <w:pPr>
      <w:spacing w:after="0" w:line="240" w:lineRule="auto"/>
    </w:pPr>
    <w:rPr>
      <w:rFonts w:asciiTheme="majorHAnsi" w:hAnsiTheme="maj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7E0A8-4CD4-49FD-8A60-C68588D16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Carmina</dc:creator>
  <cp:keywords/>
  <dc:description/>
  <cp:lastModifiedBy>Carmina Gallardo Frontaura</cp:lastModifiedBy>
  <cp:revision>2</cp:revision>
  <dcterms:created xsi:type="dcterms:W3CDTF">2021-06-16T11:39:00Z</dcterms:created>
  <dcterms:modified xsi:type="dcterms:W3CDTF">2021-06-16T11:39:00Z</dcterms:modified>
</cp:coreProperties>
</file>