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902AB" w:rsidRPr="00926AF4" w:rsidRDefault="00A26DCE" w:rsidP="00A26DCE">
      <w:pPr>
        <w:pStyle w:val="Title"/>
        <w:spacing w:before="120" w:after="120" w:line="360" w:lineRule="auto"/>
      </w:pPr>
      <w:r>
        <w:t>O</w:t>
      </w:r>
      <w:r w:rsidR="009902AB">
        <w:t xml:space="preserve">n the evaluation of </w:t>
      </w:r>
      <w:r w:rsidR="00B26347">
        <w:t>both</w:t>
      </w:r>
      <w:r w:rsidR="009902AB">
        <w:t xml:space="preserve"> spatial and temporal performance</w:t>
      </w:r>
      <w:r w:rsidR="00E9656B">
        <w:t xml:space="preserve"> </w:t>
      </w:r>
      <w:r w:rsidR="009902AB">
        <w:t>of distributed hydrological models</w:t>
      </w:r>
    </w:p>
    <w:p w:rsidR="000B7420" w:rsidRPr="000B7420" w:rsidRDefault="009902AB" w:rsidP="000B7420">
      <w:pPr>
        <w:pStyle w:val="Authors"/>
        <w:spacing w:after="120" w:line="360" w:lineRule="auto"/>
        <w:jc w:val="center"/>
      </w:pPr>
      <w:r w:rsidRPr="000B7420">
        <w:t>Tam V</w:t>
      </w:r>
      <w:r w:rsidR="004B369E">
        <w:t>an</w:t>
      </w:r>
      <w:r w:rsidRPr="000B7420">
        <w:t xml:space="preserve"> Nguyen</w:t>
      </w:r>
      <w:r w:rsidRPr="000B7420">
        <w:rPr>
          <w:vertAlign w:val="superscript"/>
        </w:rPr>
        <w:t>1</w:t>
      </w:r>
      <w:r w:rsidR="000B7420" w:rsidRPr="000B7420">
        <w:t xml:space="preserve">, Dang </w:t>
      </w:r>
      <w:proofErr w:type="gramStart"/>
      <w:r w:rsidR="000B7420" w:rsidRPr="000B7420">
        <w:t>A</w:t>
      </w:r>
      <w:r w:rsidR="004B369E">
        <w:t>n</w:t>
      </w:r>
      <w:proofErr w:type="gramEnd"/>
      <w:r w:rsidR="000B7420" w:rsidRPr="000B7420">
        <w:t xml:space="preserve"> Tran</w:t>
      </w:r>
      <w:r w:rsidR="000B7420" w:rsidRPr="000B7420">
        <w:rPr>
          <w:vertAlign w:val="superscript"/>
        </w:rPr>
        <w:t>2</w:t>
      </w:r>
      <w:r w:rsidR="000B7420" w:rsidRPr="000B7420">
        <w:t xml:space="preserve">, </w:t>
      </w:r>
      <w:proofErr w:type="spellStart"/>
      <w:r w:rsidR="000B7420" w:rsidRPr="000B7420">
        <w:t>Bhumika</w:t>
      </w:r>
      <w:proofErr w:type="spellEnd"/>
      <w:r w:rsidR="000B7420" w:rsidRPr="000B7420">
        <w:t xml:space="preserve"> Uniyal</w:t>
      </w:r>
      <w:r w:rsidR="000B7420" w:rsidRPr="000B7420">
        <w:rPr>
          <w:vertAlign w:val="superscript"/>
        </w:rPr>
        <w:t>3</w:t>
      </w:r>
      <w:r w:rsidR="000B7420" w:rsidRPr="000B7420">
        <w:t xml:space="preserve">, </w:t>
      </w:r>
      <w:proofErr w:type="spellStart"/>
      <w:r w:rsidR="000B7420">
        <w:rPr>
          <w:rStyle w:val="tojvnm2t"/>
        </w:rPr>
        <w:t>Thi</w:t>
      </w:r>
      <w:proofErr w:type="spellEnd"/>
      <w:r w:rsidR="000B7420">
        <w:rPr>
          <w:rStyle w:val="tojvnm2t"/>
        </w:rPr>
        <w:t xml:space="preserve"> </w:t>
      </w:r>
      <w:proofErr w:type="spellStart"/>
      <w:r w:rsidR="000B7420">
        <w:rPr>
          <w:rStyle w:val="tojvnm2t"/>
        </w:rPr>
        <w:t>Bich</w:t>
      </w:r>
      <w:proofErr w:type="spellEnd"/>
      <w:r w:rsidR="000B7420">
        <w:rPr>
          <w:rStyle w:val="tojvnm2t"/>
        </w:rPr>
        <w:t xml:space="preserve"> </w:t>
      </w:r>
      <w:proofErr w:type="spellStart"/>
      <w:r w:rsidR="000B7420">
        <w:rPr>
          <w:rStyle w:val="tojvnm2t"/>
        </w:rPr>
        <w:t>Thuc</w:t>
      </w:r>
      <w:proofErr w:type="spellEnd"/>
      <w:r w:rsidR="000B7420">
        <w:rPr>
          <w:rStyle w:val="tojvnm2t"/>
        </w:rPr>
        <w:t xml:space="preserve"> Phan</w:t>
      </w:r>
      <w:r w:rsidR="000B7420">
        <w:rPr>
          <w:vertAlign w:val="superscript"/>
        </w:rPr>
        <w:t>4</w:t>
      </w:r>
    </w:p>
    <w:p w:rsidR="009902AB" w:rsidRPr="000B7420" w:rsidRDefault="009902AB" w:rsidP="009902AB">
      <w:pPr>
        <w:pStyle w:val="Authors"/>
        <w:spacing w:after="120" w:line="360" w:lineRule="auto"/>
        <w:jc w:val="center"/>
      </w:pPr>
    </w:p>
    <w:p w:rsidR="001201ED" w:rsidRDefault="009902AB" w:rsidP="00533DE7">
      <w:pPr>
        <w:pStyle w:val="Affiliation"/>
        <w:spacing w:after="120" w:line="360" w:lineRule="auto"/>
      </w:pPr>
      <w:r w:rsidRPr="00B43FDE">
        <w:rPr>
          <w:vertAlign w:val="superscript"/>
        </w:rPr>
        <w:t>1</w:t>
      </w:r>
      <w:r w:rsidRPr="004C4563">
        <w:t>Department of Hydrogeology, Helmholtz Centre for Environmental Research - UFZ, Leipzig, Germany</w:t>
      </w:r>
      <w:r w:rsidR="005B0AB5">
        <w:t>.</w:t>
      </w:r>
    </w:p>
    <w:p w:rsidR="001201ED" w:rsidRDefault="001201ED" w:rsidP="00533DE7">
      <w:pPr>
        <w:pStyle w:val="Affiliation"/>
        <w:spacing w:after="120" w:line="360" w:lineRule="auto"/>
      </w:pPr>
      <w:r w:rsidRPr="001201ED">
        <w:rPr>
          <w:vertAlign w:val="superscript"/>
        </w:rPr>
        <w:t>2</w:t>
      </w:r>
      <w:r>
        <w:t xml:space="preserve">Faculty of Water Resources Engineering, </w:t>
      </w:r>
      <w:proofErr w:type="spellStart"/>
      <w:r>
        <w:t>Thuyloi</w:t>
      </w:r>
      <w:proofErr w:type="spellEnd"/>
      <w:r>
        <w:t xml:space="preserve"> University, 175 </w:t>
      </w:r>
      <w:proofErr w:type="spellStart"/>
      <w:r>
        <w:t>Tay</w:t>
      </w:r>
      <w:proofErr w:type="spellEnd"/>
      <w:r>
        <w:t xml:space="preserve"> Son, Dong Da, Hanoi, Viet Nam.</w:t>
      </w:r>
    </w:p>
    <w:p w:rsidR="001201ED" w:rsidRDefault="001201ED" w:rsidP="00533DE7">
      <w:pPr>
        <w:pStyle w:val="Affiliation"/>
        <w:spacing w:after="120" w:line="360" w:lineRule="auto"/>
      </w:pPr>
      <w:r w:rsidRPr="001201ED">
        <w:rPr>
          <w:vertAlign w:val="superscript"/>
        </w:rPr>
        <w:t>3</w:t>
      </w:r>
      <w:r w:rsidRPr="001201ED">
        <w:t xml:space="preserve">Professorship of Ecological Services, Bayreuth Center of Ecology and Environmental Research, Bayreuth </w:t>
      </w:r>
      <w:r>
        <w:t xml:space="preserve">University, </w:t>
      </w:r>
      <w:r w:rsidRPr="001201ED">
        <w:t>95447 Bayreuth, Germany</w:t>
      </w:r>
      <w:r>
        <w:t>.</w:t>
      </w:r>
    </w:p>
    <w:p w:rsidR="001201ED" w:rsidRDefault="001201ED" w:rsidP="00533DE7">
      <w:pPr>
        <w:pStyle w:val="Affiliation"/>
        <w:spacing w:after="120" w:line="360" w:lineRule="auto"/>
      </w:pPr>
      <w:r w:rsidRPr="001201ED">
        <w:rPr>
          <w:rStyle w:val="tojvnm2t"/>
          <w:vertAlign w:val="superscript"/>
        </w:rPr>
        <w:t>4</w:t>
      </w:r>
      <w:r>
        <w:rPr>
          <w:rStyle w:val="tojvnm2t"/>
        </w:rPr>
        <w:t xml:space="preserve">Institute of Applied Mechanics and Informatics-Vietnam Academy of Science and Technology, 291 </w:t>
      </w:r>
      <w:proofErr w:type="spellStart"/>
      <w:r>
        <w:rPr>
          <w:rStyle w:val="tojvnm2t"/>
        </w:rPr>
        <w:t>Dien</w:t>
      </w:r>
      <w:proofErr w:type="spellEnd"/>
      <w:r>
        <w:rPr>
          <w:rStyle w:val="tojvnm2t"/>
        </w:rPr>
        <w:t xml:space="preserve"> Bien </w:t>
      </w:r>
      <w:proofErr w:type="spellStart"/>
      <w:r>
        <w:rPr>
          <w:rStyle w:val="tojvnm2t"/>
        </w:rPr>
        <w:t>Phu</w:t>
      </w:r>
      <w:proofErr w:type="spellEnd"/>
      <w:r>
        <w:rPr>
          <w:rStyle w:val="tojvnm2t"/>
        </w:rPr>
        <w:t xml:space="preserve"> Street, Ward 7, District 3, Ho Chi Minh City, Vietnam.</w:t>
      </w:r>
    </w:p>
    <w:p w:rsidR="00610208" w:rsidRPr="0004325A" w:rsidRDefault="003D2F28" w:rsidP="00533DE7">
      <w:pPr>
        <w:pStyle w:val="Affiliation"/>
        <w:spacing w:after="120" w:line="360" w:lineRule="auto"/>
      </w:pPr>
      <w:r>
        <w:br w:type="page"/>
      </w:r>
      <w:r w:rsidR="00610208" w:rsidRPr="0004325A">
        <w:lastRenderedPageBreak/>
        <w:t>ABSTRACT</w:t>
      </w:r>
    </w:p>
    <w:p w:rsidR="00FC2747" w:rsidRDefault="0038537A" w:rsidP="00147340">
      <w:pPr>
        <w:spacing w:before="120" w:after="120" w:line="360" w:lineRule="auto"/>
        <w:ind w:firstLine="720"/>
        <w:jc w:val="both"/>
      </w:pPr>
      <w:r>
        <w:t>Evaluating the s</w:t>
      </w:r>
      <w:r w:rsidR="00FC2747">
        <w:t xml:space="preserve">patial and temporal </w:t>
      </w:r>
      <w:r>
        <w:t xml:space="preserve">model performance of distributed hydrological models is necessary to ensure that </w:t>
      </w:r>
      <w:r w:rsidR="00FC2747">
        <w:t>the simulated spati</w:t>
      </w:r>
      <w:r w:rsidR="00555859">
        <w:t xml:space="preserve">al and </w:t>
      </w:r>
      <w:r w:rsidR="00FC2747">
        <w:t xml:space="preserve">temporal </w:t>
      </w:r>
      <w:r w:rsidR="00555859">
        <w:t xml:space="preserve">patterns are </w:t>
      </w:r>
      <w:r w:rsidR="00D307FB" w:rsidRPr="00D307FB">
        <w:t>meaningful</w:t>
      </w:r>
      <w:r w:rsidR="00FC2747">
        <w:t xml:space="preserve">. </w:t>
      </w:r>
      <w:r w:rsidR="00C05B54">
        <w:t xml:space="preserve">In recent years, spatial and temporal </w:t>
      </w:r>
      <w:r w:rsidR="0054242F">
        <w:t xml:space="preserve">remote </w:t>
      </w:r>
      <w:r w:rsidR="000D4ABA">
        <w:t>sensing</w:t>
      </w:r>
      <w:r w:rsidR="00485A62">
        <w:t xml:space="preserve"> data</w:t>
      </w:r>
      <w:r w:rsidR="000D4ABA">
        <w:t xml:space="preserve"> </w:t>
      </w:r>
      <w:r w:rsidR="00C05B54">
        <w:t xml:space="preserve">have been increasingly used for model </w:t>
      </w:r>
      <w:r w:rsidR="005F7D70">
        <w:t xml:space="preserve">performance </w:t>
      </w:r>
      <w:r w:rsidR="00C05B54">
        <w:t xml:space="preserve">evaluation. </w:t>
      </w:r>
      <w:r>
        <w:t>Previous</w:t>
      </w:r>
      <w:r w:rsidR="00FC2747">
        <w:t xml:space="preserve"> studies</w:t>
      </w:r>
      <w:r w:rsidR="00C05B54">
        <w:t>, however,</w:t>
      </w:r>
      <w:r w:rsidR="00FC2747">
        <w:t xml:space="preserve"> have focused on </w:t>
      </w:r>
      <w:r w:rsidR="005F7D70">
        <w:t xml:space="preserve">either </w:t>
      </w:r>
      <w:r w:rsidR="007675E9">
        <w:t xml:space="preserve">the </w:t>
      </w:r>
      <w:r w:rsidR="00FC2747">
        <w:t xml:space="preserve">temporal or spatial model </w:t>
      </w:r>
      <w:r w:rsidR="005F7D70">
        <w:t xml:space="preserve">performance </w:t>
      </w:r>
      <w:r w:rsidR="00FC2747">
        <w:t xml:space="preserve">evaluation. In addition, temporal (or spatial) model </w:t>
      </w:r>
      <w:r w:rsidR="005F7D70">
        <w:t xml:space="preserve">performance </w:t>
      </w:r>
      <w:r w:rsidR="00FC2747">
        <w:t xml:space="preserve">evaluation is often done in a spatially (or temporally) lumped approach. </w:t>
      </w:r>
      <w:r w:rsidR="008F07F0">
        <w:t xml:space="preserve">Here, we </w:t>
      </w:r>
      <w:r w:rsidR="005F7D70">
        <w:t>evaluated (1) the</w:t>
      </w:r>
      <w:r w:rsidR="00FC2747">
        <w:t xml:space="preserve"> </w:t>
      </w:r>
      <w:r w:rsidR="005038B4">
        <w:t>temporal model performance evaluation in a spatially distributed approach</w:t>
      </w:r>
      <w:r w:rsidR="005F7D70">
        <w:t xml:space="preserve"> (spatiotemporal</w:t>
      </w:r>
      <w:r w:rsidR="005038B4">
        <w:t xml:space="preserve">) and </w:t>
      </w:r>
      <w:r w:rsidR="005F7D70">
        <w:t xml:space="preserve">(2) the </w:t>
      </w:r>
      <w:r w:rsidR="005038B4">
        <w:t>spatial</w:t>
      </w:r>
      <w:r w:rsidR="00E43C12">
        <w:t xml:space="preserve"> model performance in a </w:t>
      </w:r>
      <w:r w:rsidR="005038B4">
        <w:t>temporally</w:t>
      </w:r>
      <w:r w:rsidR="00E43C12">
        <w:t xml:space="preserve"> distributed approach</w:t>
      </w:r>
      <w:r w:rsidR="005F7D70">
        <w:t xml:space="preserve"> (temporospatial</w:t>
      </w:r>
      <w:r w:rsidR="00E43C12">
        <w:t>)</w:t>
      </w:r>
      <w:r w:rsidR="00FC2747">
        <w:t xml:space="preserve"> </w:t>
      </w:r>
      <w:r w:rsidR="005038B4">
        <w:t xml:space="preserve">model </w:t>
      </w:r>
      <w:r w:rsidR="00FC2747">
        <w:t xml:space="preserve">performance evaluation. </w:t>
      </w:r>
      <w:r w:rsidR="00F406A3">
        <w:t>This study</w:t>
      </w:r>
      <w:r w:rsidR="00FC2747">
        <w:t xml:space="preserve"> demonstrated that </w:t>
      </w:r>
      <w:r w:rsidR="00F406A3">
        <w:t xml:space="preserve">both </w:t>
      </w:r>
      <w:r w:rsidR="005038B4">
        <w:t xml:space="preserve">spatiotemporal and </w:t>
      </w:r>
      <w:r w:rsidR="00FC2747">
        <w:t xml:space="preserve">temporospatial model </w:t>
      </w:r>
      <w:r w:rsidR="005038B4">
        <w:t xml:space="preserve">performance </w:t>
      </w:r>
      <w:r w:rsidR="00FC2747">
        <w:t xml:space="preserve">evaluations are </w:t>
      </w:r>
      <w:r w:rsidR="00F406A3">
        <w:t xml:space="preserve">necessary since they provide </w:t>
      </w:r>
      <w:r w:rsidR="00FC2747">
        <w:t xml:space="preserve">different aspects of the model </w:t>
      </w:r>
      <w:r w:rsidR="00F406A3">
        <w:t>performance</w:t>
      </w:r>
      <w:r w:rsidR="00FC2747">
        <w:t xml:space="preserve">. </w:t>
      </w:r>
      <w:r w:rsidR="00F406A3">
        <w:t xml:space="preserve">For example, </w:t>
      </w:r>
      <w:r w:rsidR="005038B4">
        <w:t xml:space="preserve">spatiotemporal model performance evaluation helps </w:t>
      </w:r>
      <w:r w:rsidR="005F7D70">
        <w:t>in</w:t>
      </w:r>
      <w:r w:rsidR="005038B4">
        <w:t xml:space="preserve"> detect</w:t>
      </w:r>
      <w:r w:rsidR="005F7D70">
        <w:t>ing</w:t>
      </w:r>
      <w:r w:rsidR="005038B4">
        <w:t xml:space="preserve"> the area</w:t>
      </w:r>
      <w:r w:rsidR="00DE0E14">
        <w:t>s</w:t>
      </w:r>
      <w:r w:rsidR="005038B4">
        <w:t xml:space="preserve"> </w:t>
      </w:r>
      <w:r w:rsidR="00BA4FD5">
        <w:t xml:space="preserve">with </w:t>
      </w:r>
      <w:r w:rsidR="00B503AF">
        <w:t xml:space="preserve">an </w:t>
      </w:r>
      <w:r w:rsidR="00BA4FD5">
        <w:t>issue in the simulated temporal patterns</w:t>
      </w:r>
      <w:r w:rsidR="005038B4">
        <w:t xml:space="preserve">. However, </w:t>
      </w:r>
      <w:r w:rsidR="00E0022E">
        <w:t xml:space="preserve">temporospatial </w:t>
      </w:r>
      <w:r w:rsidR="00FC2747">
        <w:t xml:space="preserve">model </w:t>
      </w:r>
      <w:r w:rsidR="005038B4">
        <w:t xml:space="preserve">performance </w:t>
      </w:r>
      <w:r w:rsidR="00FC2747">
        <w:t>evaluation help</w:t>
      </w:r>
      <w:r w:rsidR="00F406A3">
        <w:t>s</w:t>
      </w:r>
      <w:r w:rsidR="00FC2747">
        <w:t xml:space="preserve"> </w:t>
      </w:r>
      <w:r w:rsidR="005F7D70">
        <w:t>in</w:t>
      </w:r>
      <w:r w:rsidR="00E43C12">
        <w:t xml:space="preserve"> detect</w:t>
      </w:r>
      <w:r w:rsidR="005F7D70">
        <w:t>ing</w:t>
      </w:r>
      <w:r w:rsidR="005038B4">
        <w:t xml:space="preserve"> </w:t>
      </w:r>
      <w:r w:rsidR="00FC2747">
        <w:t xml:space="preserve">the </w:t>
      </w:r>
      <w:r w:rsidR="005038B4">
        <w:t xml:space="preserve">time </w:t>
      </w:r>
      <w:r w:rsidR="00BA4FD5">
        <w:t xml:space="preserve">with </w:t>
      </w:r>
      <w:r w:rsidR="00B503AF">
        <w:t xml:space="preserve">an </w:t>
      </w:r>
      <w:r w:rsidR="00BA4FD5">
        <w:t xml:space="preserve">issue in the </w:t>
      </w:r>
      <w:r w:rsidR="005038B4">
        <w:t>simulated spatial pattern</w:t>
      </w:r>
      <w:r w:rsidR="00DE0E14">
        <w:t>s</w:t>
      </w:r>
      <w:r w:rsidR="00105D01">
        <w:t xml:space="preserve">. </w:t>
      </w:r>
      <w:r w:rsidR="00FC2747">
        <w:t xml:space="preserve">The results </w:t>
      </w:r>
      <w:r w:rsidR="00147340">
        <w:t xml:space="preserve">also </w:t>
      </w:r>
      <w:r w:rsidR="00FC2747">
        <w:t xml:space="preserve">show </w:t>
      </w:r>
      <w:r w:rsidR="00E43C12">
        <w:t>th</w:t>
      </w:r>
      <w:r w:rsidR="004E5DBD">
        <w:t>at</w:t>
      </w:r>
      <w:r w:rsidR="00E43C12">
        <w:t xml:space="preserve"> </w:t>
      </w:r>
      <w:r w:rsidR="006029FD">
        <w:t xml:space="preserve">an increase in the </w:t>
      </w:r>
      <w:r w:rsidR="00EE1107">
        <w:t xml:space="preserve">spatiotemporal </w:t>
      </w:r>
      <w:r w:rsidR="006029FD">
        <w:t xml:space="preserve">model performance will not necessarily lead to an increase in the </w:t>
      </w:r>
      <w:r w:rsidR="00F95110">
        <w:t>temporospatial</w:t>
      </w:r>
      <w:r w:rsidR="006029FD">
        <w:t xml:space="preserve"> model performance and vice versa, depending on the evaluation statistics</w:t>
      </w:r>
      <w:r w:rsidR="00FE7DAA">
        <w:t xml:space="preserve">. </w:t>
      </w:r>
      <w:r w:rsidR="003B7AEA">
        <w:t>Overall, th</w:t>
      </w:r>
      <w:r w:rsidR="007264E8">
        <w:t>is study</w:t>
      </w:r>
      <w:r w:rsidR="00A47C55">
        <w:t xml:space="preserve"> </w:t>
      </w:r>
      <w:r w:rsidR="007264E8">
        <w:t>ha</w:t>
      </w:r>
      <w:r w:rsidR="00C73044">
        <w:t>s</w:t>
      </w:r>
      <w:r w:rsidR="007264E8">
        <w:t xml:space="preserve"> </w:t>
      </w:r>
      <w:r w:rsidR="00A47C55">
        <w:t>highlight</w:t>
      </w:r>
      <w:r w:rsidR="007264E8">
        <w:t>ed</w:t>
      </w:r>
      <w:r w:rsidR="00A47C55">
        <w:t xml:space="preserve"> the necessity of a joint </w:t>
      </w:r>
      <w:r w:rsidR="00E0022E">
        <w:t>spatiotemporal</w:t>
      </w:r>
      <w:r w:rsidR="00A47C55">
        <w:t xml:space="preserve"> and </w:t>
      </w:r>
      <w:r w:rsidR="00E0022E">
        <w:t xml:space="preserve">temporospatial </w:t>
      </w:r>
      <w:r w:rsidR="00A47C55">
        <w:t xml:space="preserve">model performance evaluation </w:t>
      </w:r>
      <w:r w:rsidR="003B7AEA">
        <w:t>to understand</w:t>
      </w:r>
      <w:r w:rsidR="00A47C55">
        <w:t>/</w:t>
      </w:r>
      <w:r w:rsidR="003B7AEA">
        <w:t xml:space="preserve">improve spatial and temporal model </w:t>
      </w:r>
      <w:r w:rsidR="005738C7">
        <w:t>behavior/</w:t>
      </w:r>
      <w:r w:rsidR="003B7AEA">
        <w:t>performance</w:t>
      </w:r>
      <w:r w:rsidR="00E34337">
        <w:t>.</w:t>
      </w:r>
    </w:p>
    <w:p w:rsidR="00252DFB" w:rsidRPr="0004325A" w:rsidRDefault="00610208" w:rsidP="009902AB">
      <w:pPr>
        <w:spacing w:before="120" w:after="120" w:line="360" w:lineRule="auto"/>
        <w:jc w:val="both"/>
        <w:rPr>
          <w:szCs w:val="24"/>
        </w:rPr>
      </w:pPr>
      <w:r w:rsidRPr="0004325A">
        <w:rPr>
          <w:b/>
          <w:bCs/>
          <w:i/>
          <w:iCs/>
          <w:sz w:val="22"/>
        </w:rPr>
        <w:t>Keywords:</w:t>
      </w:r>
      <w:r w:rsidR="00F91E1E">
        <w:rPr>
          <w:i/>
          <w:iCs/>
          <w:sz w:val="22"/>
        </w:rPr>
        <w:t xml:space="preserve"> distributed hydrological models, model performance evaluation, </w:t>
      </w:r>
      <w:r w:rsidR="00E0022E">
        <w:rPr>
          <w:i/>
          <w:iCs/>
          <w:noProof/>
          <w:sz w:val="22"/>
        </w:rPr>
        <w:t>spatiotemporal; temporo</w:t>
      </w:r>
      <w:r w:rsidR="00F91E1E">
        <w:rPr>
          <w:i/>
          <w:iCs/>
          <w:noProof/>
          <w:sz w:val="22"/>
        </w:rPr>
        <w:t>spatial</w:t>
      </w:r>
      <w:r w:rsidR="00400824">
        <w:rPr>
          <w:i/>
          <w:iCs/>
          <w:sz w:val="22"/>
        </w:rPr>
        <w:t>,</w:t>
      </w:r>
      <w:r w:rsidR="009F36A9">
        <w:rPr>
          <w:i/>
          <w:iCs/>
          <w:sz w:val="22"/>
        </w:rPr>
        <w:t xml:space="preserve"> remote-sensing data</w:t>
      </w:r>
    </w:p>
    <w:p w:rsidR="00D05035" w:rsidRPr="009902AB" w:rsidRDefault="005E15F9" w:rsidP="009902AB">
      <w:pPr>
        <w:pStyle w:val="Heading1"/>
        <w:spacing w:before="120" w:after="120"/>
        <w:rPr>
          <w:lang w:val="en-US"/>
        </w:rPr>
      </w:pPr>
      <w:r>
        <w:br w:type="page"/>
      </w:r>
      <w:r w:rsidR="001B5FFD" w:rsidRPr="0004325A">
        <w:lastRenderedPageBreak/>
        <w:t xml:space="preserve">1. </w:t>
      </w:r>
      <w:r w:rsidR="009902AB">
        <w:rPr>
          <w:lang w:val="en-US"/>
        </w:rPr>
        <w:t>Introduction</w:t>
      </w:r>
    </w:p>
    <w:p w:rsidR="00086334" w:rsidRDefault="001B2C8C" w:rsidP="009902AB">
      <w:pPr>
        <w:spacing w:before="120" w:after="120" w:line="360" w:lineRule="auto"/>
        <w:jc w:val="both"/>
      </w:pPr>
      <w:r w:rsidRPr="0004325A">
        <w:tab/>
      </w:r>
      <w:r w:rsidR="009902AB">
        <w:t>Spatial heterogeneity in catchment characteristics (land use, soil type, and slope) and spati</w:t>
      </w:r>
      <w:r w:rsidR="00856DDC">
        <w:t>al and temporal</w:t>
      </w:r>
      <w:r w:rsidR="009902AB">
        <w:t xml:space="preserve"> variation</w:t>
      </w:r>
      <w:r w:rsidR="009822A5">
        <w:t>s</w:t>
      </w:r>
      <w:r w:rsidR="009902AB">
        <w:t xml:space="preserve"> of hydrological forcing (rainfall, wind speed, and solar radiation) are often observed in nature</w:t>
      </w:r>
      <w:r w:rsidR="007659AB">
        <w:t xml:space="preserve"> </w:t>
      </w:r>
      <w:r w:rsidR="007659AB">
        <w:fldChar w:fldCharType="begin" w:fldLock="1"/>
      </w:r>
      <w:r w:rsidR="007659AB">
        <w:instrText>ADDIN CSL_CITATION {"citationItems":[{"id":"ITEM-1","itemData":{"abstract":"Very large and comprehensive datasets are increasingly used in the field of hydrology. Large-sample studies provide insights into the hydrological cycle that might not be available with small-scale studies. LamaH (Large-Sample Data for Hydrology) is a new dataset for large-sample studies and comparative hydrology in Central Europe. It covers the entire upper Danube to the state border Austria / Slovakia, as well as all other Austrian catchments including their foreign upstream areas. LamaH covers an area of 170 000 km² in 9 different countries, ranging from lowland regions characterized by a continental climate to high alpine zones dominated by snow and ice. Consequently, a wide diversity of properties is present in the individual catchments. We represent this variability in 859 observed catchments with over 60 catchment attributes, covering topography, climatology, hydrology, land cover, vegetation, soil and geological properties. LamaH further contains a collection of runoff time series as well as meteorological time series. These time series are provided with daily and also hourly resolution. All meteorological and the majority of runoff time series cover a span of over 35 years, which enables long-term analyses, also with a high temporal resolution. The runoff time series are classified by over different attributes including information about human impacts and indicators for data quality and completeness. The structure of LamaH is based on the well-known CAMELS datasets. In contrast, however, LamaH does not only consider headwater basins. Intermediate catchments are also covered, allowing, for the first time within a hydrological large sample dataset, to consider the hydrological network and river topology in applications. We discuss not only the data basis and the methodology of data preparation, but also focus on possible limitations and uncertainties. Potential applications of LamaH are also outlined, since it is intended to serve as a uniform basis for further research. LamaH is available at https://doi.org/10.5281/zenodo.4525244 (Klingler","author":[{"dropping-particle":"","family":"Klingler","given":"Christoph","non-dropping-particle":"","parse-names":false,"suffix":""},{"dropping-particle":"","family":"Schulz","given":"Karsten","non-dropping-particle":"","parse-names":false,"suffix":""},{"dropping-particle":"","family":"Herrnegger","given":"Mathew","non-dropping-particle":"","parse-names":false,"suffix":""}],"container-title":"Earth Science Data","id":"ITEM-1","issue":"March","issued":{"date-parts":[["2021"]]},"title":"Large-Sample Data for Hydrology and Environmental Sciences for Central Europe","type":"article-journal"},"uris":["http://www.mendeley.com/documents/?uuid=c194eeee-3c43-34a0-8d51-8417bd0fa410"]}],"mendeley":{"formattedCitation":"(Klingler et al., 2021)","plainTextFormattedCitation":"(Klingler et al., 2021)","previouslyFormattedCitation":"(Klingler et al., 2021)"},"properties":{"noteIndex":0},"schema":"https://github.com/citation-style-language/schema/raw/master/csl-citation.json"}</w:instrText>
      </w:r>
      <w:r w:rsidR="007659AB">
        <w:fldChar w:fldCharType="separate"/>
      </w:r>
      <w:r w:rsidR="007659AB" w:rsidRPr="007659AB">
        <w:rPr>
          <w:noProof/>
        </w:rPr>
        <w:t>(Klingler et al., 2021)</w:t>
      </w:r>
      <w:r w:rsidR="007659AB">
        <w:fldChar w:fldCharType="end"/>
      </w:r>
      <w:r w:rsidR="009902AB">
        <w:t xml:space="preserve">. These factors cause spatial and temporal variations of hydrological processes/responses, </w:t>
      </w:r>
      <w:proofErr w:type="spellStart"/>
      <w:r w:rsidR="009902AB">
        <w:t>e.g</w:t>
      </w:r>
      <w:proofErr w:type="spellEnd"/>
      <w:r w:rsidR="009902AB">
        <w:t>, soil moisture</w:t>
      </w:r>
      <w:r w:rsidR="007659AB">
        <w:t xml:space="preserve"> </w:t>
      </w:r>
      <w:r w:rsidR="007659AB">
        <w:fldChar w:fldCharType="begin" w:fldLock="1"/>
      </w:r>
      <w:r w:rsidR="007659AB">
        <w:instrText>ADDIN CSL_CITATION {"citationItems":[{"id":"ITEM-1","itemData":{"DOI":"10.1016/j.jhydrol.2011.12.039","ISSN":"00221694","abstract":"The characterization of the spatial-temporal variability of soil moisture is of paramount importance in many scientific fields and operational applications. However, due to the high variability of soil moisture, its monitoring over large areas and for extended periods through in situ point measurements is not straightforward. Usually, in the scientific literature, soil moisture variability has been investigated over short periods and in large areas or over long periods but in small areas. In this study, an effort to understanding soil moisture variability at catchment scale (&gt;100km 2), which is the size needed for some hydrological applications and for remote sensing validation analysis, is done. Specifically, measurements were carried out in two adjacent areas located in central Italy with extension of 178 and 242km 2 and over a period of 1year (35 sampling days) with almost weekly frequency except for the summer period because of soil hardness. For each area, 46 sites were monitored and, for each site, 3 measurements were performed to obtain reliable soil moisture estimates. Soil moisture was measured with a portable Time Domain Reflectometer for a layer depth of 0-15cm. A statistical and temporal stability analysis is employed to assess the space-time variability of soil moisture at local and catchment scale. Moreover, by comparing the results with those obtained in previous studies conducted in the same study area, a synthesis of soil moisture variability for a range of spatial scales, from few square meters to several square kilometers, is attempted. For the investigated area, the two main findings inferred are: (1) the spatial variability of soil moisture increases with the area up to ~10km 2 and then remains quite constant with an average coefficient of variation equal to ~0.20; (2) regardless of the areal extension, the soil moisture exhibits temporal stability features and, hence, few measurements can be used to infer areal mean values with a good accuracy (determination coefficient higher than 0.88). These insights based on in situ soil moisture observations corroborate the opportunity to use point information for the validation of coarse resolution satellite images. Moreover, the feasibility to use coarse resolution data for hydrological applications in small to medium sized catchments is confirmed. © 2012 Elsevier B.V.","author":[{"dropping-particle":"","family":"Brocca","given":"L.","non-dropping-particle":"","parse-names":false,"suffix":""},{"dropping-particle":"","family":"Tullo","given":"T.","non-dropping-particle":"","parse-names":false,"suffix":""},{"dropping-particle":"","family":"Melone","given":"F.","non-dropping-particle":"","parse-names":false,"suffix":""},{"dropping-particle":"","family":"Moramarco","given":"T.","non-dropping-particle":"","parse-names":false,"suffix":""},{"dropping-particle":"","family":"Morbidelli","given":"R.","non-dropping-particle":"","parse-names":false,"suffix":""}],"container-title":"Journal of Hydrology","id":"ITEM-1","issued":{"date-parts":[["2012"]]},"title":"Catchment scale soil moisture spatial-temporal variability","type":"article-journal","volume":"422-423"},"uris":["http://www.mendeley.com/documents/?uuid=920d9f79-ad3e-367e-b3eb-6bb6efee7157"]},{"id":"ITEM-2","itemData":{"DOI":"10.1029/2003WR002306","ISSN":"00431397","abstract":"Soil moisture is an important component of the hydrological cycle. It is a control in the partitioning of energy and water related to evapotranspiration and runoff and thereby influences the hydrological response of an area. Characterizing the temporal and spatial distribution of soil moisture has important hydrologic applications, yet soil moisture varies in response to many processes acting over a variety of scales; the relative importance of different temporal and spatial controls on soil moisture is still poorly understood. In this paper we analyze both temporal and spatial soil moisture data empirically for two catchments in Australia and a further three in New Zealand. Hydrological conditions at these field sites covered a wide range over a 2 year period. The ground-based soil moisture data set is unique in its temporal and, in particular, its spatial coverage. Analyses attempt to isolate and quantify different deterministic sources of variability, measurement error, and a remaining unexplained component of variability. Because of limited data (especially relating to soils) we take a pragmatic approach of removing patterns that we can define in time and space (namely, seasonality and terrain) and then analyzing the unexplained variation. We then look for consistent patterns in this unexplained variability and argue that these are related to meteorological conditions, especially precipitation events, in the temporal case, and a combination of soils and vegetation in the spatial case. We were able to explain most of the observed variance in time and space, and the temporal variance was typically 5 times larger than spatial variance. Seasonality is the dominant source of temporal variability at our sites, although this conclusion obviously depends on climate and does not hold where soil water storage is limited. Most importantly, in controlling the distribution of soil moisture in space, the spatial distribution of soils and vegetation seems to be of similar importance to that of topography, a fact often ignored in hydrological modeling, or else surrogate soils patterns are used, but these are often not well correlated to the actual patterns [Grayson and Blöschl, 2000]. Better methods for defining the spatial properties of soils and vegetation as they affect soil moisture patterns are a key challenge.","author":[{"dropping-particle":"","family":"Wilson","given":"David J.","non-dropping-particle":"","parse-names":false,"suffix":""},{"dropping-particle":"","family":"Western","given":"Andrew W.","non-dropping-particle":"","parse-names":false,"suffix":""},{"dropping-particle":"","family":"Grayson","given":"Rodger B.","non-dropping-particle":"","parse-names":false,"suffix":""}],"container-title":"Water Resources Research","id":"ITEM-2","issue":"2","issued":{"date-parts":[["2004"]]},"title":"Identifying and quantifying sources of variability in temporal and spatial soil moisture observations","type":"article-journal","volume":"40"},"uris":["http://www.mendeley.com/documents/?uuid=ef0bb86e-a3db-3b6b-9e9a-b2a83f487c60"]}],"mendeley":{"formattedCitation":"(Brocca et al., 2012; Wilson et al., 2004)","plainTextFormattedCitation":"(Brocca et al., 2012; Wilson et al., 2004)","previouslyFormattedCitation":"(Brocca et al., 2012; Wilson et al., 2004)"},"properties":{"noteIndex":0},"schema":"https://github.com/citation-style-language/schema/raw/master/csl-citation.json"}</w:instrText>
      </w:r>
      <w:r w:rsidR="007659AB">
        <w:fldChar w:fldCharType="separate"/>
      </w:r>
      <w:r w:rsidR="007659AB" w:rsidRPr="007659AB">
        <w:rPr>
          <w:noProof/>
        </w:rPr>
        <w:t>(Brocca et al., 2012; Wilson et al., 2004)</w:t>
      </w:r>
      <w:r w:rsidR="007659AB">
        <w:fldChar w:fldCharType="end"/>
      </w:r>
      <w:r w:rsidR="009902AB">
        <w:t xml:space="preserve">, evapotranspiration </w:t>
      </w:r>
      <w:r w:rsidR="007659AB">
        <w:fldChar w:fldCharType="begin" w:fldLock="1"/>
      </w:r>
      <w:r w:rsidR="007659AB">
        <w:instrText>ADDIN CSL_CITATION {"citationItems":[{"id":"ITEM-1","itemData":{"DOI":"10.1002/(SICI)1097-0088(20000330)20:4&lt;381::AID-JOC477&gt;3.0.CO;2-K","ISSN":"08998418","abstract":"This paper analyses the time series (1954-1993) of Penman-Monteith evapotranspiration estimates for 65 stations in mainland China and Tibet, for the country as a whole and for individual stations. The analysis shows that for China as a whole, the potential evapotranspiration (PET) has decreased in all seasons. On a regional basis, northeast and southwest China have experienced moderate evapotranspiration increases, while in northwest and southeast China evapotranspiration has decreased to a much higher extent. South of 35°N, sunshine appears to be most strongly associated with evapotranspiration changes while wind, relative humidity and maximum temperature are the primary factors in northwest, central and northeast China, respectively. In the mountains of southwest China, a positive relation between evapotranspiration change and station altitude has been observed. If observed precipitation and PET trends remain unchanged future agricultural production, particularly in south and southwest China, will have to cope with decreasing water availability in the growing season. Copyright (C) 2000 Royal Meteorological Society.","author":[{"dropping-particle":"","family":"Thomas","given":"Axel","non-dropping-particle":"","parse-names":false,"suffix":""}],"container-title":"International Journal of Climatology","id":"ITEM-1","issue":"4","issued":{"date-parts":[["2000"]]},"title":"Spatial and temporal characteristics of potential evapotranspiration trends over China","type":"article-journal","volume":"20"},"uris":["http://www.mendeley.com/documents/?uuid=d447fd02-873a-3a35-84ae-251c7dfede9e"]}],"mendeley":{"formattedCitation":"(Thomas, 2000)","plainTextFormattedCitation":"(Thomas, 2000)","previouslyFormattedCitation":"(Thomas, 2000)"},"properties":{"noteIndex":0},"schema":"https://github.com/citation-style-language/schema/raw/master/csl-citation.json"}</w:instrText>
      </w:r>
      <w:r w:rsidR="007659AB">
        <w:fldChar w:fldCharType="separate"/>
      </w:r>
      <w:r w:rsidR="007659AB" w:rsidRPr="007659AB">
        <w:rPr>
          <w:noProof/>
        </w:rPr>
        <w:t>(Thomas, 2000)</w:t>
      </w:r>
      <w:r w:rsidR="007659AB">
        <w:fldChar w:fldCharType="end"/>
      </w:r>
      <w:r w:rsidR="009902AB">
        <w:t xml:space="preserve">, and groundwater recharge </w:t>
      </w:r>
      <w:r w:rsidR="007659AB">
        <w:fldChar w:fldCharType="begin" w:fldLock="1"/>
      </w:r>
      <w:r w:rsidR="007659AB">
        <w:instrText>ADDIN CSL_CITATION {"citationItems":[{"id":"ITEM-1","itemData":{"DOI":"10.1007/s10040-001-0179-z","ISSN":"14312174","abstract":"Moisture samples obtained from unsaturated-zone profiles in sands from northern Nigeria were used to obtain recharge estimates using the chloride (CI) mass-balance method and to produce records of past recharge and climatic events. Recharge rates range from 14-49 mm/year, on the basis of unsaturated-zone Cl values and rainfall chemistry measured over eight years at three local stations. The unsaturated-zone results also provide a record of the changing recharge and climatic events of the past 80 years; this record compares quite well with modelling results using precipitation data from Maiduguri, especially for the late 20th-century period of drought. The best fit for the model is made, however, by using a lower mean rainfall Cl (0.65 mg/l) than that obtained from the mean of the field results (1.77 mg/1 Cl). This result implies that the measured rainfall Cl probably overestimates the depositional flux of Cl, although the lower value is comparable to the minimum of the measured rainfall Cl values (0.6 mg/l Cl). Recharge estimates made using these lower Cl values range from 16-30 mm/year. The spatial variability was then determined using results from 360 regional shallow wells over 18,000 km2. Using the revised rainfall estimate, the Cl balance indicates a value of 43 mm for the regional recharge, suggesting that either additional preferential flow is taking place over and above that from the vadose one, or that the regional recharge represents inputs from earlier wetter periods. These recharge estimates compare favourably with those from hydraulic modelling in the same area and suggest that the recharge rates are much higher than values previously published for this area. High nitrate (NO3) concentrations (NO3-N&gt;Cl) preserved under aerobic conditions in the vadose zone reflect secondary enrichment from N-fixing vegetation, as occurs elsewhere in the Sahel.","author":[{"dropping-particle":"","family":"Edmunds","given":"W. M.","non-dropping-particle":"","parse-names":false,"suffix":""},{"dropping-particle":"","family":"Fellman","given":"E.","non-dropping-particle":"","parse-names":false,"suffix":""},{"dropping-particle":"","family":"Goni","given":"I. B.","non-dropping-particle":"","parse-names":false,"suffix":""},{"dropping-particle":"","family":"Prudhomme","given":"C.","non-dropping-particle":"","parse-names":false,"suffix":""}],"container-title":"Hydrogeology Journal","id":"ITEM-1","issue":"1","issued":{"date-parts":[["2002"]]},"title":"Spatial and temporal distribution of groundwater recharge in northern Nigeria","type":"article-journal","volume":"10"},"uris":["http://www.mendeley.com/documents/?uuid=b2dba18e-2cca-33fc-a6dc-9fc66c175ad7"]}],"mendeley":{"formattedCitation":"(Edmunds et al., 2002)","plainTextFormattedCitation":"(Edmunds et al., 2002)","previouslyFormattedCitation":"(Edmunds et al., 2002)"},"properties":{"noteIndex":0},"schema":"https://github.com/citation-style-language/schema/raw/master/csl-citation.json"}</w:instrText>
      </w:r>
      <w:r w:rsidR="007659AB">
        <w:fldChar w:fldCharType="separate"/>
      </w:r>
      <w:r w:rsidR="007659AB" w:rsidRPr="007659AB">
        <w:rPr>
          <w:noProof/>
        </w:rPr>
        <w:t>(Edmunds et al., 2002)</w:t>
      </w:r>
      <w:r w:rsidR="007659AB">
        <w:fldChar w:fldCharType="end"/>
      </w:r>
      <w:r w:rsidR="009902AB">
        <w:t>. Spatial</w:t>
      </w:r>
      <w:r w:rsidR="009822A5">
        <w:t>ly</w:t>
      </w:r>
      <w:r w:rsidR="009902AB">
        <w:t xml:space="preserve"> and temporal</w:t>
      </w:r>
      <w:r w:rsidR="009822A5">
        <w:t>ly</w:t>
      </w:r>
      <w:r w:rsidR="009902AB">
        <w:t xml:space="preserve"> distributed hydrological models (herein referred to as distributed models) have been proven as effective tool</w:t>
      </w:r>
      <w:r w:rsidR="009822A5">
        <w:t>s</w:t>
      </w:r>
      <w:r w:rsidR="009902AB">
        <w:t xml:space="preserve"> for modeling spatial and temporal hydrological processes, e.g., the Soil and Water Assessment Tool </w:t>
      </w:r>
      <w:r w:rsidR="007659AB">
        <w:fldChar w:fldCharType="begin" w:fldLock="1"/>
      </w:r>
      <w:r w:rsidR="007659AB">
        <w:instrText>ADDIN CSL_CITATION {"citationItems":[{"id":"ITEM-1","itemData":{"DOI":"10.1016/j.scitotenv.2015.11.063","ISBN":"Technical Report No. 406","ISSN":"2151-0040","PMID":"26615482","abstract":"SWAT is the acronym for Soil and Water Assessment Tool, a river basin, or watershed, scale model developed by Dr. Jeff Arnold for the USDA Agricultural Research Service (ARS). SWAT was developed to predict the impact of land management practices on water, sediment and agricultural chemical yields in large complex watersheds with varying soils, land use and management conditions over long periods of time. To","author":[{"dropping-particle":"","family":"Neitsch","given":"S.L","non-dropping-particle":"","parse-names":false,"suffix":""},{"dropping-particle":"","family":"Arnold","given":"J.G","non-dropping-particle":"","parse-names":false,"suffix":""},{"dropping-particle":"","family":"Kiniry","given":"J.R","non-dropping-particle":"","parse-names":false,"suffix":""},{"dropping-particle":"","family":"Williams","given":"J.R","non-dropping-particle":"","parse-names":false,"suffix":""}],"container-title":"Texas Water Resources Institute","id":"ITEM-1","issued":{"date-parts":[["2011"]]},"title":"Soil &amp; Water Assessment Tool Theoretical Documentation Version 2009","type":"article-journal"},"uris":["http://www.mendeley.com/documents/?uuid=eb90cb1d-e72b-417e-bc7b-ca3a776beb6c"]},{"id":"ITEM-2","itemData":{"ISSN":"21510032","abstract":"The Soil and Water Assessment Tool (SWAT) model is a continuation of nearly 30 years of modeling efforts conducted by the USDA Agricultural Research Service (ARS). SWAT has gained international acceptance as a robust interdisciplinary watershed modeling tool as evidenced by international SWAT conferences, hundreds of SWAT-related papers presented at numerous other scientific meetings, and dozens of articles published in peer-reviewed journals. The model has also been adopted as part of the U.S. Environmental Protection Agency (USEPA) Better Assessment Science Integrating Point and Nonpoint Sources (BASINS) software package and is being used by many U.S. federal and state agencies, including the USDA within the Conservation Effects Assessment Project (CEAP). At present, over 250 peer-reviewed published articles have been identified that report SWAT applications, reviews of SWAT components, or other research that includes SWAT. Many of these peer-reviewed articles are summarized here according to relevant application categories such as streamflow calibration and related hydrologic analyses, climate change impacts on hydrology, pollutant load assessments, comparisons with other models, and sensitivity analyses and calibration techniques. Strengths and weaknesses of the model are presented, and recommended research needs for SWAT are also provided.","author":[{"dropping-particle":"","family":"Gassman","given":"Philip W.","non-dropping-particle":"","parse-names":false,"suffix":""},{"dropping-particle":"","family":"Reyes","given":"Manuel R.","non-dropping-particle":"","parse-names":false,"suffix":""},{"dropping-particle":"","family":"Green","given":"Colleen H.","non-dropping-particle":"","parse-names":false,"suffix":""},{"dropping-particle":"","family":"Arnold","given":"Jeffrey G.","non-dropping-particle":"","parse-names":false,"suffix":""}],"container-title":"Transactions of the ASABE","id":"ITEM-2","issue":"4","issued":{"date-parts":[["2007"]]},"title":"The soil and water assessment tool: Historical development, applications, and future research directions","type":"article","volume":"50"},"uris":["http://www.mendeley.com/documents/?uuid=6d4465a2-bfaf-3164-bac3-87069c2eab73"]}],"mendeley":{"formattedCitation":"(Gassman et al., 2007; Neitsch et al., 2011)","manualFormatting":"(SWAT; Gassman et al., 2007; Neitsch et al., 2011)","plainTextFormattedCitation":"(Gassman et al., 2007; Neitsch et al., 2011)","previouslyFormattedCitation":"(Gassman et al., 2007; Neitsch et al., 2011)"},"properties":{"noteIndex":0},"schema":"https://github.com/citation-style-language/schema/raw/master/csl-citation.json"}</w:instrText>
      </w:r>
      <w:r w:rsidR="007659AB">
        <w:fldChar w:fldCharType="separate"/>
      </w:r>
      <w:r w:rsidR="007659AB" w:rsidRPr="007659AB">
        <w:rPr>
          <w:noProof/>
        </w:rPr>
        <w:t>(</w:t>
      </w:r>
      <w:r w:rsidR="007659AB">
        <w:rPr>
          <w:noProof/>
        </w:rPr>
        <w:t xml:space="preserve">SWAT; </w:t>
      </w:r>
      <w:r w:rsidR="007659AB" w:rsidRPr="007659AB">
        <w:rPr>
          <w:noProof/>
        </w:rPr>
        <w:t>Gassman et al., 2007; Neitsch et al., 2011)</w:t>
      </w:r>
      <w:r w:rsidR="007659AB">
        <w:fldChar w:fldCharType="end"/>
      </w:r>
      <w:r w:rsidR="009902AB">
        <w:t xml:space="preserve">, the </w:t>
      </w:r>
      <w:proofErr w:type="spellStart"/>
      <w:r w:rsidR="009902AB">
        <w:t>TOPography</w:t>
      </w:r>
      <w:proofErr w:type="spellEnd"/>
      <w:r w:rsidR="009902AB">
        <w:t xml:space="preserve"> based hydrological MODEL </w:t>
      </w:r>
      <w:r w:rsidR="007659AB">
        <w:fldChar w:fldCharType="begin" w:fldLock="1"/>
      </w:r>
      <w:r w:rsidR="00B7190B">
        <w:instrText>ADDIN CSL_CITATION {"citationItems":[{"id":"ITEM-1","itemData":{"DOI":"10.1080/02626667909491834","ISSN":"03036936","abstract":"A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 1979 Taylor &amp; Francis Group, LLC.","author":[{"dropping-particle":"","family":"Beven","given":"K. J.","non-dropping-particle":"","parse-names":false,"suffix":""},{"dropping-particle":"","family":"Kirkby","given":"M. J.","non-dropping-particle":"","parse-names":false,"suffix":""}],"container-title":"Hydrological Sciences Bulletin","id":"ITEM-1","issue":"1","issued":{"date-parts":[["1979"]]},"title":"A physically based, variable contributing area model of basin hydrology","type":"article-journal","volume":"24"},"uris":["http://www.mendeley.com/documents/?uuid=5434c98d-0afb-333e-96cc-e9136804a074"]}],"mendeley":{"formattedCitation":"(Beven &amp; Kirkby, 1979)","manualFormatting":"(TOPMODEL; Beven &amp; Kirkby, 1979)","plainTextFormattedCitation":"(Beven &amp; Kirkby, 1979)","previouslyFormattedCitation":"(Beven &amp; Kirkby, 1979)"},"properties":{"noteIndex":0},"schema":"https://github.com/citation-style-language/schema/raw/master/csl-citation.json"}</w:instrText>
      </w:r>
      <w:r w:rsidR="007659AB">
        <w:fldChar w:fldCharType="separate"/>
      </w:r>
      <w:r w:rsidR="007659AB" w:rsidRPr="007659AB">
        <w:rPr>
          <w:noProof/>
        </w:rPr>
        <w:t>(</w:t>
      </w:r>
      <w:r w:rsidR="007659AB">
        <w:rPr>
          <w:noProof/>
        </w:rPr>
        <w:t xml:space="preserve">TOPMODEL; </w:t>
      </w:r>
      <w:r w:rsidR="007659AB" w:rsidRPr="007659AB">
        <w:rPr>
          <w:noProof/>
        </w:rPr>
        <w:t>Beven &amp; Kirkby, 1979)</w:t>
      </w:r>
      <w:r w:rsidR="007659AB">
        <w:fldChar w:fldCharType="end"/>
      </w:r>
      <w:r w:rsidR="009902AB">
        <w:t xml:space="preserve">, and the Variable </w:t>
      </w:r>
      <w:proofErr w:type="spellStart"/>
      <w:r w:rsidR="009902AB">
        <w:t>Infitration</w:t>
      </w:r>
      <w:proofErr w:type="spellEnd"/>
      <w:r w:rsidR="009902AB">
        <w:t xml:space="preserve"> Capacity </w:t>
      </w:r>
      <w:r w:rsidR="007659AB">
        <w:fldChar w:fldCharType="begin" w:fldLock="1"/>
      </w:r>
      <w:r w:rsidR="007659AB">
        <w:instrText>ADDIN CSL_CITATION {"citationItems":[{"id":"ITEM-1","itemData":{"DOI":"10.1029/94jd00483","ISSN":"01480227","abstract":"A generalization of the single soil layer variable infiltration capacity (VIC) land surface hydrological model previously implemented in the G.F.D.L. GCM is described. The new model is comprised of a two-layer characterization of the soil column, and uses an aerodynamic representation of the latent and sensible heat fluxes at the land surface. The infiltration algorithm for the upper layer is essentially the same as for the single layer VIC model. The model partitions the area of interest (e.g., grid cell) into multiple land surface cover types; for each land cover type the fraction of roots in the upper and lower zone is specified. Once the latent heat flux has been computed, the surface energy balance is iterated to solve for the land surface temperature at each time step. -from Authors","author":[{"dropping-particle":"","family":"Liang","given":"Xu","non-dropping-particle":"","parse-names":false,"suffix":""},{"dropping-particle":"","family":"Lettenmaier","given":"D. P.","non-dropping-particle":"","parse-names":false,"suffix":""},{"dropping-particle":"","family":"Wood","given":"E. F.","non-dropping-particle":"","parse-names":false,"suffix":""},{"dropping-particle":"","family":"Burges","given":"S. J.","non-dropping-particle":"","parse-names":false,"suffix":""}],"container-title":"Journal of Geophysical Research","id":"ITEM-1","issue":"D7","issued":{"date-parts":[["1994"]]},"title":"A simple hydrologically based model of land surface water and energy fluxes for general circulation models","type":"article-journal","volume":"99"},"uris":["http://www.mendeley.com/documents/?uuid=303fe749-2a62-3982-8618-8d8524dbbc05"]}],"mendeley":{"formattedCitation":"(Liang et al., 1994)","manualFormatting":"(VIC; Liang et al., 1994)","plainTextFormattedCitation":"(Liang et al., 1994)","previouslyFormattedCitation":"(Liang et al., 1994)"},"properties":{"noteIndex":0},"schema":"https://github.com/citation-style-language/schema/raw/master/csl-citation.json"}</w:instrText>
      </w:r>
      <w:r w:rsidR="007659AB">
        <w:fldChar w:fldCharType="separate"/>
      </w:r>
      <w:r w:rsidR="007659AB" w:rsidRPr="007659AB">
        <w:rPr>
          <w:noProof/>
        </w:rPr>
        <w:t>(</w:t>
      </w:r>
      <w:r w:rsidR="007659AB">
        <w:rPr>
          <w:noProof/>
        </w:rPr>
        <w:t xml:space="preserve">VIC; </w:t>
      </w:r>
      <w:r w:rsidR="007659AB" w:rsidRPr="007659AB">
        <w:rPr>
          <w:noProof/>
        </w:rPr>
        <w:t>Liang et al., 1994)</w:t>
      </w:r>
      <w:r w:rsidR="007659AB">
        <w:fldChar w:fldCharType="end"/>
      </w:r>
      <w:r w:rsidR="009902AB">
        <w:t xml:space="preserve"> model, the mesoscale Hydrologic Model</w:t>
      </w:r>
      <w:r w:rsidR="007659AB">
        <w:t xml:space="preserve"> </w:t>
      </w:r>
      <w:r w:rsidR="007659AB">
        <w:fldChar w:fldCharType="begin" w:fldLock="1"/>
      </w:r>
      <w:r w:rsidR="00121032">
        <w:instrText>ADDIN CSL_CITATION {"citationItems":[{"id":"ITEM-1","itemData":{"DOI":"10.1029/2008WR007327","ISSN":"00431397","abstract":"The requirements for hydrological models have increased considerably during the previous decades to cope with the resolution of extensive remotely sensed data sets and a number of demanding applications. Existing models exhibit deficiencies such as overparameterization, the lack of an effective technique to integrate the spatial heterogeneity of physiographic characteristics, and the nontransferability of parameters across scales and locations. A multiscale parameter regionalization (MPR) technique is proposed as a way to address these issues simultaneously. Using this technique, parameters at a coarser scale, in which the dominant hydrological processes are represented, are linked with their corresponding ones at a finer resolution in which input data sets are available. The linkage is done with upscaling operators such as the harmonic mean, among others. Parameters at the finer scale are regionalized through nonlinear transfer functions which link basin predictors with global parameters to be determined through calibration. MPR was compared with a standard regionalization (SR) method in which basin predictors instead of model parameters are first aggregated. Both methods were tested in a basin located in Germany using a distributed hydrologic model. Results indicate that MPR is superior to SR in many respects, especially if global parameters are transferred from coarser to finer scales. Furthermore, MPR, as opposed to SR, preserves the spatial variability of state variables and conserves the mass balance with respect to a control scale. Cross-validation tests indicate that the transferability of the global parameters to ungauged locations is possible. Copyright 2010 by the American Geophysical Union.","author":[{"dropping-particle":"","family":"Samaniego","given":"Luis","non-dropping-particle":"","parse-names":false,"suffix":""},{"dropping-particle":"","family":"Kumar","given":"Rohini","non-dropping-particle":"","parse-names":false,"suffix":""},{"dropping-particle":"","family":"Attinger","given":"Sabine","non-dropping-particle":"","parse-names":false,"suffix":""}],"container-title":"Water Resources Research","id":"ITEM-1","issue":"5","issued":{"date-parts":[["2010"]]},"page":"1-25","title":"Multiscale parameter regionalization of a grid-based hydrologic model at the mesoscale","type":"article-journal","volume":"46"},"uris":["http://www.mendeley.com/documents/?uuid=bb861014-0801-4712-b361-7dc4bfc07934"]},{"id":"ITEM-2","itemData":{"DOI":"10.1029/2012WR012195","ISSN":"00431397","abstract":"Distributed hydrologic models are increasingly used to describe the spatiotemporal dynamics of water fluxes and state variables occurring within a basin. Reliable model simulations at multiple scales and locations, however, can be obtained only if a robust parameterization method is employed. In this study, we evaluated the performance of three parameterization methods: two based on the hydrological response units (HRUs) and one on the multiscale parameter regionalization (MPR) technique. They were implemented into the distributed mesoscale hydrologic model and then applied to 45 southern German basins. A set of numerical experiments were conducted to assess the effectiveness of the transferability of free parameters to scales and locations other than those used during calibration. The performance of all three methods was comparable for daily discharge simulations when their free parameters were calibrated independently in each basin at a given scale. A significant deterioration in performance of HRU was, however, noticed when free parameters calibrated at coarser scales were shifted to finer ones (up to 60%), whereas MPR exhibited quasi scale-invariant performance with losses in modeling efficiency of less than 2%. Moreover, the latter preserves the spatiotemporal pattern of the simulated variables at a given scale, when transferred from other scales. Evaluation of the transferability of free parameters to ungauged locations further indicated the higher effectiveness and reliability of MPR compared with those of HRU. This study emphasizes the importance of a robust parameterization method in distributed hydrologic modeling. © 2013. American Geophysical Union. All Rights Reserved.","author":[{"dropping-particle":"","family":"Kumar","given":"R.","non-dropping-particle":"","parse-names":false,"suffix":""},{"dropping-particle":"","family":"Samaniego","given":"Luis","non-dropping-particle":"","parse-names":false,"suffix":""},{"dropping-particle":"","family":"Attinger","given":"Sabine","non-dropping-particle":"","parse-names":false,"suffix":""}],"container-title":"Water Resources Research","id":"ITEM-2","issued":{"date-parts":[["2013"]]},"title":"Implications of distributed hydrologic model parameterization on water fluxes at multiple scales and locations","type":"article-journal"},"uris":["http://www.mendeley.com/documents/?uuid=010672e3-587c-4e30-8a76-539b49024677"]}],"mendeley":{"formattedCitation":"(Kumar et al., 2013; Samaniego et al., 2010)","manualFormatting":"(mHM; Kumar et al., 2013; Samaniego et al., 2010)","plainTextFormattedCitation":"(Kumar et al., 2013; Samaniego et al., 2010)","previouslyFormattedCitation":"(Kumar et al., 2013; Samaniego et al., 2010)"},"properties":{"noteIndex":0},"schema":"https://github.com/citation-style-language/schema/raw/master/csl-citation.json"}</w:instrText>
      </w:r>
      <w:r w:rsidR="007659AB">
        <w:fldChar w:fldCharType="separate"/>
      </w:r>
      <w:r w:rsidR="007659AB" w:rsidRPr="007659AB">
        <w:rPr>
          <w:noProof/>
        </w:rPr>
        <w:t>(</w:t>
      </w:r>
      <w:r w:rsidR="007659AB">
        <w:rPr>
          <w:noProof/>
        </w:rPr>
        <w:t xml:space="preserve">mHM; </w:t>
      </w:r>
      <w:r w:rsidR="007659AB" w:rsidRPr="007659AB">
        <w:rPr>
          <w:noProof/>
        </w:rPr>
        <w:t>Kumar et al., 2013; Samaniego et al., 2010)</w:t>
      </w:r>
      <w:r w:rsidR="007659AB">
        <w:fldChar w:fldCharType="end"/>
      </w:r>
      <w:r w:rsidR="00DE3D3C">
        <w:t xml:space="preserve">. </w:t>
      </w:r>
    </w:p>
    <w:p w:rsidR="009902AB" w:rsidRDefault="009902AB" w:rsidP="009902AB">
      <w:pPr>
        <w:spacing w:before="120" w:after="120" w:line="360" w:lineRule="auto"/>
        <w:jc w:val="both"/>
      </w:pPr>
      <w:r>
        <w:tab/>
        <w:t xml:space="preserve">To ensure that </w:t>
      </w:r>
      <w:r w:rsidR="00292F65">
        <w:t>these</w:t>
      </w:r>
      <w:r>
        <w:t xml:space="preserve"> model</w:t>
      </w:r>
      <w:r w:rsidR="00E51812">
        <w:t>s provide</w:t>
      </w:r>
      <w:r>
        <w:t xml:space="preserve"> meaningful spatial and temporal </w:t>
      </w:r>
      <w:r w:rsidR="00FD67B8">
        <w:t>patterns of the interested processes</w:t>
      </w:r>
      <w:r>
        <w:t xml:space="preserve">, </w:t>
      </w:r>
      <w:r w:rsidR="00114127">
        <w:t>these spatial and temporal patterns</w:t>
      </w:r>
      <w:r>
        <w:t xml:space="preserve"> should be evaluated against </w:t>
      </w:r>
      <w:r w:rsidR="00114127">
        <w:t xml:space="preserve">the </w:t>
      </w:r>
      <w:r>
        <w:t xml:space="preserve">reference </w:t>
      </w:r>
      <w:r w:rsidR="00E0022E">
        <w:t>spatiotemporal</w:t>
      </w:r>
      <w:r>
        <w:t xml:space="preserve"> data. In recent years, remote-sensing </w:t>
      </w:r>
      <w:r w:rsidR="00C27822">
        <w:t>data</w:t>
      </w:r>
      <w:r>
        <w:t xml:space="preserve"> </w:t>
      </w:r>
      <w:r w:rsidR="00CE7D12">
        <w:t>of</w:t>
      </w:r>
      <w:r>
        <w:t xml:space="preserve"> high </w:t>
      </w:r>
      <w:r w:rsidR="00E0022E">
        <w:t>spati</w:t>
      </w:r>
      <w:r w:rsidR="006513D5">
        <w:t xml:space="preserve">al and </w:t>
      </w:r>
      <w:r w:rsidR="00E0022E">
        <w:t>temporal</w:t>
      </w:r>
      <w:r>
        <w:t xml:space="preserve"> resolution have been </w:t>
      </w:r>
      <w:r w:rsidR="00D87720">
        <w:t>increasingly used</w:t>
      </w:r>
      <w:r>
        <w:t xml:space="preserve"> for model evaluation, especially in </w:t>
      </w:r>
      <w:r w:rsidR="00423D4D">
        <w:t>data-</w:t>
      </w:r>
      <w:r w:rsidR="00C27822" w:rsidRPr="00C27822">
        <w:t>scarce</w:t>
      </w:r>
      <w:r>
        <w:t xml:space="preserve"> regions</w:t>
      </w:r>
      <w:r w:rsidR="00121032">
        <w:t xml:space="preserve"> </w:t>
      </w:r>
      <w:r w:rsidR="00121032">
        <w:fldChar w:fldCharType="begin" w:fldLock="1"/>
      </w:r>
      <w:r w:rsidR="00C260C5">
        <w:instrText>ADDIN CSL_CITATION {"citationItems":[{"id":"ITEM-1","itemData":{"DOI":"10.1002/hyp.6061","ISSN":"08856087","abstract":"Images from satellite platforms are a valid aid in order to obtain distributed information about hydrological surface states and parameters needed in calibration and validation of the water balance and flood forecasting. Remotely sensed data are easily available on large areas and with a frequency compatible with land cover changes. In this paper, remotely sensed images from different types of sensor have been utilized as a support to the calibration of the distributed hydrological model MOBIDIC, currently used in the experimental system of flood forecasting of the Arno River Basin Authority. Six radar images from ERS-2 synthetic aperture radar (SAR) sensors (three for summer 2002 and three for spring-summer 2003) have been utilized and a relationship between soil saturation indexes and backscatter coefficient from SAR images has been investigated. Analysis has been performed only on pixels with meagre or no vegetation cover, in order to legitimize the assumption that water content of the soil is the main variable that influences the backscatter coefficient. Such pixels have been obtained by considering vegetation indexes (NDVI) and land cover maps produced by optical sensors (Landsat-ETM). In order to calibrate the soil moisture model based on information provided by SAR images, an optimization algorithm has been utilized to minimize the regression error between saturation indexes from model and SAR data and error between measured and modelled discharge flows. Utilizing this procedure, model parameters that rule soil moisture fluxes have been calibrated, obtaining not only a good match with remotely sensed data, but also an enhancement of model performance in flow prediction with respect to a previous calibration with river discharge data only. Copyright © 2006 John Wiley &amp; Sons, Ltd.","author":[{"dropping-particle":"","family":"Campo","given":"Lorenzo","non-dropping-particle":"","parse-names":false,"suffix":""},{"dropping-particle":"","family":"Caparrini","given":"Francesca","non-dropping-particle":"","parse-names":false,"suffix":""},{"dropping-particle":"","family":"Castelli","given":"Fabio","non-dropping-particle":"","parse-names":false,"suffix":""}],"container-title":"Hydrological Processes","id":"ITEM-1","issue":"13","issued":{"date-parts":[["2006"]]},"title":"Use of multi-platform, multi-temporal remote-sensing data for calibration of a distributed hydrological model: An application in the Arno basin, Italy","type":"article-journal","volume":"20"},"uris":["http://www.mendeley.com/documents/?uuid=b13d6c37-6487-38b1-b860-e9a9a0c3ec66"]},{"id":"ITEM-2","itemData":{"DOI":"10.1016/j.jhydrol.2007.11.017","ISSN":"00221694","abstract":"Calibrating spatially distributed hydrological models is complex due to the lack of reliable data, uncertainty in representing the physical features of a river catchment, and the implementation of hydrological processes in a simulation model. In this paper, an innovative approach is presented which incorporates remote sensing derived evapotranspiration in the calibration of the Soil and Water Assessment Tool (SWAT) in a catchment of the Krishna basin in southern India. The Gauss-Marquardt-Levenberg algorithm is implemented to optimise different combination of land use, soil, groundwater, and meteorological model parameters. In the best performing optimisation, the r2 between monthly sub-basin simulated and measured actual evapotranspiration (ETact) was increased from 0.40 to 0.81. ETact was more sensitive to the groundwater and meteorological parameters than the soil and land use parameters. Traditional calibration on a limited number of discharge stations lumps all hydrological processes together and chances on the equifinality problem are larger. In this study we have shown this problem can be constrained by using spatially distributed observations with a monthly temporal resolution. At a spatial resolution below the sub-basin level further study is required to fine-tune the calibration procedure. © 2007 Elsevier B.V. All rights reserved.","author":[{"dropping-particle":"","family":"Immerzeel","given":"W. W.","non-dropping-particle":"","parse-names":false,"suffix":""},{"dropping-particle":"","family":"Droogers","given":"P.","non-dropping-particle":"","parse-names":false,"suffix":""}],"container-title":"Journal of Hydrology","id":"ITEM-2","issue":"3-4","issued":{"date-parts":[["2008"]]},"title":"Calibration of a distributed hydrological model based on satellite evapotranspiration","type":"article-journal","volume":"349"},"uris":["http://www.mendeley.com/documents/?uuid=9c04fd0d-5f96-3f25-87d6-5063a962600e"]},{"id":"ITEM-3","itemData":{"DOI":"10.1016/j.jhydrol.2013.10.006","ISSN":"00221694","abstract":"In this study, streamflow (Qs) and satellite-based actual evapotranspiration (ETa) are used in a multi-variable calibration framework to reproduce the catchment water balance. The application is for the HBV rainfall-runoff model at daily time-step for the Karkheh River Basin (51,000km2) in Iran. Monte Carlo Simulation serves to estimate parameter values and to assess uncertainty for three calibration cases. In case one streamflow is used as the calibration target. In case two satellite-based ETa is used as calibration target. For both cases model performance is evaluated for the second variable that closes the water balance. In case three a preference-based multi-variable objective function is applied which is weighted for Qs and satellite-based ETa. For cloudy days a procedure is developed to complete the daily time series of satellite-based ETa that cover 4years.Results on multi-variable calibration indicated satisfying results for both water balance terms. Results are compared against field observations and results of single-variable calibration. For cases one and two the second variable only is poorly simulated and resulted in poor reproduction of the water balance. The most important contribution of this work is that the catchment water balance is best reproduced when both Qs and satellite-based ETa serve as calibration target. © 2013 Elsevier B.V.","author":[{"dropping-particle":"","family":"Rientjes","given":"T. H.M.","non-dropping-particle":"","parse-names":false,"suffix":""},{"dropping-particle":"","family":"Muthuwatta","given":"L. P.","non-dropping-particle":"","parse-names":false,"suffix":""},{"dropping-particle":"","family":"Bos","given":"M. G.","non-dropping-particle":"","parse-names":false,"suffix":""},{"dropping-particle":"","family":"Booij","given":"M. J.","non-dropping-particle":"","parse-names":false,"suffix":""},{"dropping-particle":"","family":"Bhatti","given":"H. A.","non-dropping-particle":"","parse-names":false,"suffix":""}],"container-title":"Journal of Hydrology","id":"ITEM-3","issued":{"date-parts":[["2013"]]},"title":"Multi-variable calibration of a semi-distributed hydrological model using streamflow data and satellite-based evapotranspiration","type":"article-journal","volume":"505"},"uris":["http://www.mendeley.com/documents/?uuid=53d01a6a-7aa6-34d7-83e3-4eb2e540794e"]},{"id":"ITEM-4","itemData":{"DOI":"10.5194/hess-21-5987-2017","ISSN":"16077938","abstract":"Distributed hydrological models are traditionally evaluated against discharge stations, emphasizing the temporal and neglecting the spatial component of a model. The present study widens the traditional paradigm by highlighting spatial patterns of evapotranspiration (ET), a key variable at the land-atmosphere interface, obtained from two different approaches at the national scale of Denmark. The first approach is based on a national water resources model (DK-model), using the MIKE-SHE model code, and the second approach utilizes a two-source energy balance model (TSEB) driven mainly by satellite remote sensing data. Ideally, the hydrological model simulation and remote-sensing-based approach should present similar spatial patterns and driving mechanisms of ET. However, the spatial comparison showed that the differences are significant and indicate insufficient spatial pattern performance of the hydrological model.&lt;br&gt;&lt;br&gt;The differences in spatial patterns can partly be explained by the fact that the hydrological model is configured to run in six domains that are calibrated independently from each other, as it is often the case for large-scale multi-basin calibrations. Furthermore, the model incorporates predefined temporal dynamics of leaf area index (LAI), root depth (RD) and crop coefficient (Kc) for each land cover type. This zonal approach of model parameterization ignores the spatiotemporal complexity of the natural system. To overcome this limitation, this study features a modified version of the DK-model in which LAI, RD and Kc are empirically derived using remote sensing data and detailed soil property maps in order to generate a higher degree of spatiotemporal variability and spatial consistency between the six domains. The effects of these changes are analyzed by using empirical orthogonal function (EOF) analysis to evaluate spatial patterns. The EOF analysis shows that including remote-sensing-derived LAI, RD and Kc in the distributed hydrological model adds spatial features found in the spatial pattern of remote-sensing-based ET.","author":[{"dropping-particle":"","family":"Mendiguren","given":"Gorka","non-dropping-particle":"","parse-names":false,"suffix":""},{"dropping-particle":"","family":"Koch","given":"Julian","non-dropping-particle":"","parse-names":false,"suffix":""},{"dropping-particle":"","family":"Stisen","given":"Simon","non-dropping-particle":"","parse-names":false,"suffix":""}],"container-title":"Hydrology and Earth System Sciences","id":"ITEM-4","issue":"12","issued":{"date-parts":[["2017"]]},"title":"Spatial pattern evaluation of a calibrated national hydrological model - A remote-sensing-based diagnostic approach","type":"article-journal","volume":"21"},"uris":["http://www.mendeley.com/documents/?uuid=e9263e4d-e6f0-36c3-8484-76364b6da39f"]},{"id":"ITEM-5","itemData":{"DOI":"10.5194/gmd-11-1873-2018","ISSN":"19919603","abstract":"The process of model evaluation is not only an integral part of model development and calibration but also of paramount importance when communicating modelling results to the scientific community and stakeholders. The modelling community has a large and well-tested toolbox of metrics to evaluate temporal model performance. In contrast, spatial performance evaluation does not correspond to the grand availability of spatial observations readily available and to the sophisticate model codes simulating the spatial variability of complex hydrological processes. This study makes a contribution towards advancing spatial-pattern-oriented model calibration by rigorously testing a multiple-component performance metric. The promoted SPAtial EFficiency (SPAEF) metric reflects three equally weighted components: correlation, coefficient of variation and histogram overlap. This multiple-component approach is found to be advantageous in order to achieve the complex task of comparing spatial patterns. SPAEF, its three components individually and two alternative spatial performance metrics, i.e. connectivity analysis and fractions skill score, are applied in a spatial-pattern-oriented model calibration of a catchment model in Denmark. Results suggest the importance of multiple-component metrics because stand-alone metrics tend to fail to provide holistic pattern information. The three SPAEF components are found to be independent, which allows them to complement each other in a meaningful way. In order to optimally exploit spatial observations made available by remote sensing platforms, this study suggests applying bias insensitive metrics which further allow for a comparison of variables which are related but may differ in unit. This study applies SPAEF in the hydrological context using the mesoscale Hydrologic Model (mHM; version 5.8), but we see great potential across disciplines related to spatially distributed earth system modelling.","author":[{"dropping-particle":"","family":"Koch","given":"Julian","non-dropping-particle":"","parse-names":false,"suffix":""},{"dropping-particle":"","family":"Demirel","given":"Mehmet Cüneyd","non-dropping-particle":"","parse-names":false,"suffix":""},{"dropping-particle":"","family":"Stisen","given":"Simon","non-dropping-particle":"","parse-names":false,"suffix":""}],"container-title":"Geoscientific Model Development","id":"ITEM-5","issue":"5","issued":{"date-parts":[["2018"]]},"title":"The SPAtial EFficiency metric (SPAEF): Multiple-component evaluation of spatial patterns for optimization of hydrological models","type":"article-journal","volume":"11"},"uris":["http://www.mendeley.com/documents/?uuid=c7019537-760f-3f34-844f-3cd2fce6b85d"]},{"id":"ITEM-6","itemData":{"DOI":"10.1002/hyp.13177","ISSN":"10991085","abstract":"Spatially distributed hydrological models are traditionally calibrated and evaluated against few spatially aggregated observations such as river discharge. This model evaluation approach does not enable an assessment of the model predictive capabilities of other hydrological states and fluxes nor does it give any insight into the model ability to mimic the spatial patterns within a catchment. The current study explores a multivariable optimization of a complex coupled surface–subsurface–atmosphere model at the catchment scale in an attempt to move beyond simple run-off calibration. The model is evaluated against five independent observational data sets of discharge (Q), hydraulic head (h), actual evapotranspiration (ET), soil moisture (SM), and remotely sensed land surface temperature (LST). It is shown that a balanced optimization can be achieved where errors on objective functions for all five observation data sets can be reduced simultaneously. Additionally, the multivariable calibration proved more robust, compared with calibration against Q and h only, during the validation period, even for Q and h. The current parameterization and calibration framework was mainly suitable for reducing model biases and allowed only limited improvements in the spatio-temporal patterns of the model simulations. This points towards development of better parametrization schemes that will allow simulated spatial patterns to adjust during calibration. Additionally, analysis showed that systematic spatial patterns in the errors of the LST maps could be a very valuable diagnostic tool for assessing deficiencies in the model structure, spatial parameterization, or process description.","author":[{"dropping-particle":"","family":"Stisen","given":"Simon","non-dropping-particle":"","parse-names":false,"suffix":""},{"dropping-particle":"","family":"Koch","given":"Julian","non-dropping-particle":"","parse-names":false,"suffix":""},{"dropping-particle":"","family":"Sonnenborg","given":"Torben O.","non-dropping-particle":"","parse-names":false,"suffix":""},{"dropping-particle":"","family":"Refsgaard","given":"Jens Christian","non-dropping-particle":"","parse-names":false,"suffix":""},{"dropping-particle":"","family":"Bircher","given":"Simone","non-dropping-particle":"","parse-names":false,"suffix":""},{"dropping-particle":"","family":"Ringgaard","given":"Rasmus","non-dropping-particle":"","parse-names":false,"suffix":""},{"dropping-particle":"","family":"Jensen","given":"Karsten H.","non-dropping-particle":"","parse-names":false,"suffix":""}],"container-title":"Hydrological Processes","id":"ITEM-6","issue":"17","issued":{"date-parts":[["2018"]]},"title":"Moving beyond run-off calibration—Multivariable optimization of a surface–subsurface–atmosphere model","type":"article-journal","volume":"32"},"uris":["http://www.mendeley.com/documents/?uuid=7416c999-8609-39da-8c54-e50d6378b798"]},{"id":"ITEM-7","itemData":{"DOI":"10.1016/j.jhydrol.2017.11.009","ISSN":"00221694","abstract":"As the global demands for the use of freshwater resources continues to rise, it has become increasingly important to insure the sustainability of this resources. This is accomplished through the use of management strategies that often utilize monitoring and the use of hydrological models. However, monitoring at large scales is not feasible and therefore model applications are becoming challenging, especially when spatially distributed datasets, such as evapotranspiration, are needed to understand the model performances. Due to these limitations, most of the hydrological models are only calibrated for data obtained from site/point observations, such as streamflow. Therefore, the main focus of this paper is to examine whether the incorporation of remotely sensed and spatially distributed datasets can improve the overall performance of the model. In this study, actual evapotranspiration (ETa) data was obtained from the two different sets of satellite based remote sensing data. One dataset estimates ETa based on the Simplified Surface Energy Balance (SSEBop) model while the other one estimates ETa based on the Atmosphere-Land Exchange Inverse (ALEXI) model. The hydrological model used in this study is the Soil and Water Assessment Tool (SWAT), which was calibrated against spatially distributed ETa and single point streamflow records for the Honeyoey Creek-Pine Creek Watershed, located in Michigan, USA. Two different techniques, multi-variable and genetic algorithm, were used to calibrate the SWAT model. Using the aforementioned datasets, the performance of the hydrological model in estimating ETa was improved using both calibration techniques by achieving Nash-Sutcliffe efficiency (NSE) values &gt;0.5 (0.73–0.85), percent bias (PBIAS) values within ±25% (±21.73%), and root mean squared error – observations standard deviation ratio (RSR) values &lt;0.7 (0.39–0.52). However, the genetic algorithm technique was more effective with the ETa calibration while significantly reducing the model performance for estimating the streamflow (NSE: 0.32–0.52, PBIAS: ±32.73%, and RSR: 0.63–0.82). Meanwhile, using the multi-variable technique, the model performance for estimating the streamflow was maintained with a high level of accuracy (NSE: 0.59–0.61, PBIAS: ±13.70%, and RSR: 0.63–0.64) while the evapotranspiration estimations were improved. Results from this assessment shows that incorporation of remotely sensed and spatially distributed data can improve the hydrological mode…","author":[{"dropping-particle":"","family":"Herman","given":"Matthew R.","non-dropping-particle":"","parse-names":false,"suffix":""},{"dropping-particle":"","family":"Nejadhashemi","given":"A. Pouyan","non-dropping-particle":"","parse-names":false,"suffix":""},{"dropping-particle":"","family":"Abouali","given":"Mohammad","non-dropping-particle":"","parse-names":false,"suffix":""},{"dropping-particle":"","family":"Hernandez-Suarez","given":"Juan Sebastian","non-dropping-particle":"","parse-names":false,"suffix":""},{"dropping-particle":"","family":"Daneshvar","given":"Fariborz","non-dropping-particle":"","parse-names":false,"suffix":""},{"dropping-particle":"","family":"Zhang","given":"Zhen","non-dropping-particle":"","parse-names":false,"suffix":""},{"dropping-particle":"","family":"Anderson","given":"Martha C.","non-dropping-particle":"","parse-names":false,"suffix":""},{"dropping-particle":"","family":"Sadeghi","given":"Ali M.","non-dropping-particle":"","parse-names":false,"suffix":""},{"dropping-particle":"","family":"Hain","given":"Christopher R.","non-dropping-particle":"","parse-names":false,"suffix":""},{"dropping-particle":"","family":"Sharifi","given":"Amirreza","non-dropping-particle":"","parse-names":false,"suffix":""}],"container-title":"Journal of Hydrology","id":"ITEM-7","issued":{"date-parts":[["2018"]]},"title":"Evaluating the role of evapotranspiration remote sensing data in improving hydrological modeling predictability","type":"article-journal","volume":"556"},"uris":["http://www.mendeley.com/documents/?uuid=56daf0ca-1725-311c-9f91-d90648b77b59"]},{"id":"ITEM-8","itemData":{"DOI":"10.1016/j.jhydrol.2018.10.024","ISSN":"00221694","abstract":"A hydrologic model, calibrated using only streamflow data, can produce acceptable streamflow simulation at the watershed outlet yet unrealistic representations of water balance across the landscape. Recent studies have demonstrated the potential of multi-objective calibration using remotely sensed evapotranspiration (ET) and gaged streamflow data to spatially improve the water balance. However, methodological clarity on how to “best” integrate ET data and model parameters in multi-objective model calibration to improve simulations is lacking. To address these limitations, we assessed how a spatially explicit, distributed calibration approach that uses (1) remotely sensed ET data from the Moderate Resolution Imaging Spectroradiometer (MODIS) and (2) frequently overlooked biophysical parameters can improve the overall predictability of two key components of the water balance: streamflow and ET at different locations throughout the watershed. We used the Soil and Water Assessment Tool (SWAT), previously modified to represent hydrologic transport and filling-spilling of landscape depressions, in a large watershed of the Prairie Pothole Region, United States. We employed a novel stepwise series of calibration experiments to isolate the effects (on streamflow and simulated ET) of integrating biophysical parameters and spatially explicit remotely sensed ET data into model calibration. Results suggest that the inclusion of biophysical parameters involving vegetation dynamics and energy utilization mechanisms tend to increase model accuracy. Furthermore, we found that using a lumped, versus a spatially explicit, approach for integrating ET into model calibration produces a sub-optimal model state with no potential improvement in model performance across large spatial scales. However, when we utilized the same MODIS ET datasets but calibrated each sub-basin in the spatially explicit approach, water yield prediction uncertainty decreased, including a distinct improvement in the temporal and spatial accuracy of simulated ET and streamflow. This further resulted in a more realistic simulation of vegetation growth when compared to MODIS Leaf-Area Index data. These findings afford critical insights into the efficient integration of remotely sensed “big data” into hydrologic modeling and associated watershed management decisions. Our approach can be generalized and potentially replicated using other hydrologic models and remotely sensed data resources – and in differen…","author":[{"dropping-particle":"","family":"Rajib","given":"Adnan","non-dropping-particle":"","parse-names":false,"suffix":""},{"dropping-particle":"","family":"Evenson","given":"Grey R.","non-dropping-particle":"","parse-names":false,"suffix":""},{"dropping-particle":"","family":"Golden","given":"Heather E.","non-dropping-particle":"","parse-names":false,"suffix":""},{"dropping-particle":"","family":"Lane","given":"Charles R.","non-dropping-particle":"","parse-names":false,"suffix":""}],"container-title":"Journal of Hydrology","id":"ITEM-8","issued":{"date-parts":[["2018"]]},"title":"Hydrologic model predictability improves with spatially explicit calibration using remotely sensed evapotranspiration and biophysical parameters","type":"article-journal","volume":"567"},"uris":["http://www.mendeley.com/documents/?uuid=57942210-c496-3c1a-9a1f-23a5a7ea7f47"]},{"id":"ITEM-9","itemData":{"DOI":"10.5194/hess-23-1113-2019","ISSN":"16077938","abstract":"The main objective of this study was to calibrate and validate the eco-hydrological model Soil and Water Assessment Tool (SWAT) with satellite-based actual evapotranspiration (AET) data from the Global Land Evaporation Amsterdam Model (GLEAM-v3.0a) and from the Moderate Resolution Imaging Spectroradiometer Global Evaporation (MOD16) for the Ogun River Basin (20 292 km 2 ) located in southwestern Nigeria. Three potential evapotranspiration (PET) equations (Hargreaves, Priestley-Taylor and Penman-Monteith) were used for the SWAT simulation of AET. The reference simulations were the three AET variables simulated with SWAT before model calibration took place. The sequential uncertainty fitting technique (SUFI-2) was used for the SWAT model sensitivity analysis, calibration, validation and uncertainty analysis. The GLEAM-v3.0a and MOD16 products were subsequently used to calibrate the three SWAT-simulated AET variables, thereby obtaining six calibrations-validations at a monthly timescale. The model performance for the three SWAT model runs was evaluated for each of the 53 subbasins against the GLEAM-v3.0a and MOD16 products, which enabled the best model run with the highest-performing satellite-based AET product to be chosen. A verification of the simulated AET variable was carried out by (i) comparing the simulated AET of the calibrated model to GLEAM-v3.0b AET, which is a product that has different forcing data than the version of GLEAM used for the calibration, and (ii) assessing the long-term average annual and average monthly water balances at the outlet of the watershed. Overall, the SWAT model, composed of the Hargreaves PET equation and calibrated using the GLEAM-v3.0a data (GS1), performed well for the simulation of AET and provided a good level of confidence for using the SWAT model as a decision support tool. The 95% uncertainty of the SWAT-simulated variable bracketed most of the satellite-based AET data in each subbasin. A validation of the simulated soil moisture dynamics for GS1 was carried out using satellite-retrieved soil moisture data, which revealed good agreement. The SWAT model (GS1) also captured the seasonal variability of the water balance components at the outlet of the watershed. This study demonstrated the potential to use remotely sensed evapotranspiration data for hydrological model calibration and validation in a sparsely gauged large river basin with reasonable accuracy. The novelty of the study is the use of these freely ava…","author":[{"dropping-particle":"","family":"Odusanya","given":"Abolanle E.","non-dropping-particle":"","parse-names":false,"suffix":""},{"dropping-particle":"","family":"Mehdi","given":"Bano","non-dropping-particle":"","parse-names":false,"suffix":""},{"dropping-particle":"","family":"Schürz","given":"Christoph","non-dropping-particle":"","parse-names":false,"suffix":""},{"dropping-particle":"","family":"Oke","given":"Adebayo O.","non-dropping-particle":"","parse-names":false,"suffix":""},{"dropping-particle":"","family":"Awokola","given":"Olufiropo S.","non-dropping-particle":"","parse-names":false,"suffix":""},{"dropping-particle":"","family":"Awomeso","given":"Julius A.","non-dropping-particle":"","parse-names":false,"suffix":""},{"dropping-particle":"","family":"Adejuwon","given":"Joseph O.","non-dropping-particle":"","parse-names":false,"suffix":""},{"dropping-particle":"","family":"Schulz","given":"Karsten","non-dropping-particle":"","parse-names":false,"suffix":""}],"container-title":"Hydrology and Earth System Sciences","id":"ITEM-9","issue":"2","issued":{"date-parts":[["2019"]]},"title":"Multi-site calibration and validation of SWAT with satellite-based evapotranspiration in a data-sparse catchment in southwestern Nigeria","type":"article-journal","volume":"23"},"uris":["http://www.mendeley.com/documents/?uuid=57d56180-8fd0-37cb-9c58-7c22c709d9ff"]},{"id":"ITEM-10","itemData":{"DOI":"10.1016/j.advwatres.2020.103667","ISSN":"03091708","abstract":"Twelve actual evaporation datasets are evaluated for their ability to improve the performance of the fully distributed mesoscale Hydrologic Model (mHM). The datasets consist of satellite-based diagnostic models (MOD16A2, SSEBop, ALEXI, CMRSET, SEBS), satellite-based prognostic models (GLEAM v3.2a, GLEAM v3.3a, GLEAM v3.2b, GLEAM v3.3b), and reanalysis (ERA5, MERRA-2, JRA-55). Four distinct multivariate calibration strategies (basin-average, pixel-wise, spatial bias-accounting and spatial bias-insensitive) using actual evaporation and streamflow are implemented, resulting in 48 scenarios whose results are compared with a benchmark model calibrated solely with streamflow data. A process-diagnostic approach is adopted to evaluate the model responses with in-situ data of streamflow and independent remotely sensed data of soil moisture from ESA-CCI and terrestrial water storage from GRACE. The method is implemented in the Volta River basin, which is a data scarce region in West Africa, for the period from 2003 to 2012. Results show that the evaporation datasets have a good potential for improving model calibration, but this is dependent on the calibration strategy. All the multivariate calibration strategies outperform the streamflow-only calibration. The highest improvement in the overall model performance is obtained with the spatial bias-accounting strategy (+29%), followed by the spatial bias-insensitive strategy (+26%) and the pixel-wise strategy (+24%), while the basin-average strategy (+20%) gives the lowest improvement. On average, using evaporation data in addition to streamflow for model calibration decreases the model performance for streamflow (-7%), which is counterbalance by the increase in the performance of the terrestrial water storage (+11%), temporal dynamics of soil moisture (+6%) and spatial patterns of soil moisture (+89%). In general, the top three best performing evaporation datasets are MERRA-2, GLEAM v3.3a and SSEBop, while the bottom three datasets are MOD16A2, SEBS and ERA5. However, performances of the evaporation products diverge according to model responses and across climatic zones. These findings open up avenues for improving process representation of hydrological models and advancing the spatiotemporal prediction of floods and droughts under climate and land use changes.","author":[{"dropping-particle":"","family":"Dembélé","given":"Moctar","non-dropping-particle":"","parse-names":false,"suffix":""},{"dropping-particle":"","family":"Ceperley","given":"Natalie","non-dropping-particle":"","parse-names":false,"suffix":""},{"dropping-particle":"","family":"Zwart","given":"Sander J.","non-dropping-particle":"","parse-names":false,"suffix":""},{"dropping-particle":"","family":"Salvadore","given":"Elga","non-dropping-particle":"","parse-names":false,"suffix":""},{"dropping-particle":"","family":"Mariethoz","given":"Gregoire","non-dropping-particle":"","parse-names":false,"suffix":""},{"dropping-particle":"","family":"Schaefli","given":"Bettina","non-dropping-particle":"","parse-names":false,"suffix":""}],"container-title":"Advances in Water Resources","id":"ITEM-10","issued":{"date-parts":[["2020"]]},"title":"Potential of satellite and reanalysis evaporation datasets for hydrological modelling under various model calibration strategies","type":"article-journal","volume":"143"},"uris":["http://www.mendeley.com/documents/?uuid=58e75993-9a53-306d-925d-7a11d96db7f6"]},{"id":"ITEM-11","itemData":{"DOI":"10.3390/rs12030428","ISSN":"20724292","abstract":"Hydrological models are usually calibrated against observed streamflow (Qobs), which is not applicable for ungauged river basins. Afew studies have exploited remotely sensed evapotranspiration (ETRS) for model calibration but their effectiveness on streamflow simulation remains uncertain. This paper investigates the use of ETRS in the hydrological calibration of a widely used land surface model coupled with a source-sink routing scheme and global optimization algorithm for 28 natural river basins. A baseline simulation is a setup based on the latest model developments and inputs. Sensitive parameters are determined for Qobs and ETRS-based model calibrations, respectively, through comprehensive sensitivity tests. The ETRS-based model calibration results in a mean Kling-Gupta Efficiency (KGE) value of 0.54 for streamflow simulation; 61% of the river basins have KGE &gt; 0.5 in the validation period, which is consistent with the calibration period and provides a significant improvement over the baseline. Compared to Qobs, the ETRS calibration produces better or similar streamflow simulations in 29% of the basins, while further significant improvements are achieved when either better ET or precipitation observations are used. Furthermore, the model results show better or similar performance in 68% of the basins and outperform the baseline simulations in 90% of the river basins using model parameters from the best ETRS calibration runs. This study confirms that with reasonable precipitation input, the ETRS-based spatially distributed calibration can efficiently tune parameters for better ET and streamflow simulations. The application of ETRS for global scale hydrological model calibration promises even better streamflow accuracy as the satellite-based ETRS observations continue to improve.","author":[{"dropping-particle":"","family":"Jiang","given":"Lulu","non-dropping-particle":"","parse-names":false,"suffix":""},{"dropping-particle":"","family":"Wu","given":"Huan","non-dropping-particle":"","parse-names":false,"suffix":""},{"dropping-particle":"","family":"Tao","given":"Jing","non-dropping-particle":"","parse-names":false,"suffix":""},{"dropping-particle":"","family":"Kimball","given":"John S.","non-dropping-particle":"","parse-names":false,"suffix":""},{"dropping-particle":"","family":"Alfieri","given":"Lorenzo","non-dropping-particle":"","parse-names":false,"suffix":""},{"dropping-particle":"","family":"Chen","given":"Xiuwan","non-dropping-particle":"","parse-names":false,"suffix":""}],"container-title":"Remote Sensing","id":"ITEM-11","issue":"3","issued":{"date-parts":[["2020"]]},"title":"Satellite-based evapotranspiration in hydrological model calibration","type":"article-journal","volume":"12"},"uris":["http://www.mendeley.com/documents/?uuid=2c012890-ee7d-3468-8b47-f7293158c416"]},{"id":"ITEM-12","itemData":{"DOI":"10.1016/j.envsoft.2019.104606","ISSN":"13648152","abstract":"Karstification is considered as one of the most common reasons for interbasin groundwater flow (IGF). IGF in some karst areas could be significant such that it must be accounted for in hydrologic modeling. In this study, the Soil and Water Assessment Tool (SWAT) was modified to explicitly account for IGF in karst areas. The modified model uses two conceptual models to simulate hydrologic processes in karst and non-karst regions. The modified model was applied in the karst-dominated region in the southwest Harz Mountains, Germany. Multisite streamflow data and satellite-derived actual evapotranspiration (ETa) were used for model calibration. Results show that (1) the modified model can be satisfactorily calibrated and validated for streamflow and ETa (2) the model performance for ETa and streamflow at some gauging stations are highly correlated, and (3) the use of satellite-derived ETa does not affect the model performance.","author":[{"dropping-particle":"","family":"Nguyen","given":"Tam","non-dropping-particle":"","parse-names":false,"suffix":""},{"dropping-particle":"","family":"Dietrich","given":"Jörg","non-dropping-particle":"","parse-names":false,"suffix":""},{"dropping-particle":"","family":"Uniyal","given":"Bhumika","non-dropping-particle":"","parse-names":false,"suffix":""}],"container-title":"Environmental Modelling and Software","id":"ITEM-12","issued":{"date-parts":[["2020"]]},"title":"Modeling interbasin groundwater flow in karst areas: Model development, application, and calibration strategy","type":"article-journal","volume":"124"},"uris":["http://www.mendeley.com/documents/?uuid=40d1aa49-b353-38e6-ad3b-ac0449a8f910"]}],"mendeley":{"formattedCitation":"(Campo et al., 2006; Dembélé et al., 2020; Herman et al., 2018; Immerzeel &amp; Droogers, 2008; Jiang et al., 2020; Koch et al., 2018; Mendiguren et al., 2017; Nguyen et al., 2020; Odusanya et al., 2019; Rajib et al., 2018; Rientjes et al., 2013; Stisen et al., 2018)","plainTextFormattedCitation":"(Campo et al., 2006; Dembélé et al., 2020; Herman et al., 2018; Immerzeel &amp; Droogers, 2008; Jiang et al., 2020; Koch et al., 2018; Mendiguren et al., 2017; Nguyen et al., 2020; Odusanya et al., 2019; Rajib et al., 2018; Rientjes et al., 2013; Stisen et al., 2018)","previouslyFormattedCitation":"(Campo et al., 2006; Dembélé et al., 2020; Herman et al., 2018; Immerzeel &amp; Droogers, 2008; Jiang et al., 2020; Koch et al., 2018; Mendiguren et al., 2017; Odusanya et al., 2019; Rajib et al., 2018; Rientjes et al., 2013; Stisen et al., 2018; Van Tam et al., 2020)"},"properties":{"noteIndex":0},"schema":"https://github.com/citation-style-language/schema/raw/master/csl-citation.json"}</w:instrText>
      </w:r>
      <w:r w:rsidR="00121032">
        <w:fldChar w:fldCharType="separate"/>
      </w:r>
      <w:r w:rsidR="00C260C5" w:rsidRPr="00C260C5">
        <w:rPr>
          <w:noProof/>
        </w:rPr>
        <w:t>(Campo et al., 2006; Dembélé et al., 2020; Herman et al., 2018; Immerzeel &amp; Droogers, 2008; Jiang et al., 2020; Koch et al., 2018; Mendiguren et al., 2017; Nguyen et al., 2020; Odusanya et al., 2019; Rajib et al., 2018; Rientjes et al., 2013; Stisen et al., 2018)</w:t>
      </w:r>
      <w:r w:rsidR="00121032">
        <w:fldChar w:fldCharType="end"/>
      </w:r>
      <w:r>
        <w:t xml:space="preserve">. However, evaluating both spatial and temporal model performance of distributed models has not been properly addressed. The aforementioned studies have focused on evaluating </w:t>
      </w:r>
      <w:r w:rsidR="00423D4D">
        <w:t xml:space="preserve">either the </w:t>
      </w:r>
      <w:r>
        <w:t xml:space="preserve">temporal or spatial model performance. In addition, while temporal model performance is evaluated, the evaluation is often done a spatially lumped approach, e.g., at the basin or </w:t>
      </w:r>
      <w:proofErr w:type="spellStart"/>
      <w:r>
        <w:t>subbasin</w:t>
      </w:r>
      <w:proofErr w:type="spellEnd"/>
      <w:r>
        <w:t xml:space="preserve"> level </w:t>
      </w:r>
      <w:r w:rsidR="00121032">
        <w:fldChar w:fldCharType="begin" w:fldLock="1"/>
      </w:r>
      <w:r w:rsidR="00C260C5">
        <w:instrText>ADDIN CSL_CITATION {"citationItems":[{"id":"ITEM-1","itemData":{"DOI":"10.1016/j.jhydrol.2013.10.006","ISSN":"00221694","abstract":"In this study, streamflow (Qs) and satellite-based actual evapotranspiration (ETa) are used in a multi-variable calibration framework to reproduce the catchment water balance. The application is for the HBV rainfall-runoff model at daily time-step for the Karkheh River Basin (51,000km2) in Iran. Monte Carlo Simulation serves to estimate parameter values and to assess uncertainty for three calibration cases. In case one streamflow is used as the calibration target. In case two satellite-based ETa is used as calibration target. For both cases model performance is evaluated for the second variable that closes the water balance. In case three a preference-based multi-variable objective function is applied which is weighted for Qs and satellite-based ETa. For cloudy days a procedure is developed to complete the daily time series of satellite-based ETa that cover 4years.Results on multi-variable calibration indicated satisfying results for both water balance terms. Results are compared against field observations and results of single-variable calibration. For cases one and two the second variable only is poorly simulated and resulted in poor reproduction of the water balance. The most important contribution of this work is that the catchment water balance is best reproduced when both Qs and satellite-based ETa serve as calibration target. © 2013 Elsevier B.V.","author":[{"dropping-particle":"","family":"Rientjes","given":"T. H.M.","non-dropping-particle":"","parse-names":false,"suffix":""},{"dropping-particle":"","family":"Muthuwatta","given":"L. P.","non-dropping-particle":"","parse-names":false,"suffix":""},{"dropping-particle":"","family":"Bos","given":"M. G.","non-dropping-particle":"","parse-names":false,"suffix":""},{"dropping-particle":"","family":"Booij","given":"M. J.","non-dropping-particle":"","parse-names":false,"suffix":""},{"dropping-particle":"","family":"Bhatti","given":"H. A.","non-dropping-particle":"","parse-names":false,"suffix":""}],"container-title":"Journal of Hydrology","id":"ITEM-1","issued":{"date-parts":[["2013"]]},"title":"Multi-variable calibration of a semi-distributed hydrological model using streamflow data and satellite-based evapotranspiration","type":"article-journal","volume":"505"},"uris":["http://www.mendeley.com/documents/?uuid=53d01a6a-7aa6-34d7-83e3-4eb2e540794e"]},{"id":"ITEM-2","itemData":{"DOI":"10.1016/j.jhydrol.2018.10.024","ISSN":"00221694","abstract":"A hydrologic model, calibrated using only streamflow data, can produce acceptable streamflow simulation at the watershed outlet yet unrealistic representations of water balance across the landscape. Recent studies have demonstrated the potential of multi-objective calibration using remotely sensed evapotranspiration (ET) and gaged streamflow data to spatially improve the water balance. However, methodological clarity on how to “best” integrate ET data and model parameters in multi-objective model calibration to improve simulations is lacking. To address these limitations, we assessed how a spatially explicit, distributed calibration approach that uses (1) remotely sensed ET data from the Moderate Resolution Imaging Spectroradiometer (MODIS) and (2) frequently overlooked biophysical parameters can improve the overall predictability of two key components of the water balance: streamflow and ET at different locations throughout the watershed. We used the Soil and Water Assessment Tool (SWAT), previously modified to represent hydrologic transport and filling-spilling of landscape depressions, in a large watershed of the Prairie Pothole Region, United States. We employed a novel stepwise series of calibration experiments to isolate the effects (on streamflow and simulated ET) of integrating biophysical parameters and spatially explicit remotely sensed ET data into model calibration. Results suggest that the inclusion of biophysical parameters involving vegetation dynamics and energy utilization mechanisms tend to increase model accuracy. Furthermore, we found that using a lumped, versus a spatially explicit, approach for integrating ET into model calibration produces a sub-optimal model state with no potential improvement in model performance across large spatial scales. However, when we utilized the same MODIS ET datasets but calibrated each sub-basin in the spatially explicit approach, water yield prediction uncertainty decreased, including a distinct improvement in the temporal and spatial accuracy of simulated ET and streamflow. This further resulted in a more realistic simulation of vegetation growth when compared to MODIS Leaf-Area Index data. These findings afford critical insights into the efficient integration of remotely sensed “big data” into hydrologic modeling and associated watershed management decisions. Our approach can be generalized and potentially replicated using other hydrologic models and remotely sensed data resources – and in differen…","author":[{"dropping-particle":"","family":"Rajib","given":"Adnan","non-dropping-particle":"","parse-names":false,"suffix":""},{"dropping-particle":"","family":"Evenson","given":"Grey R.","non-dropping-particle":"","parse-names":false,"suffix":""},{"dropping-particle":"","family":"Golden","given":"Heather E.","non-dropping-particle":"","parse-names":false,"suffix":""},{"dropping-particle":"","family":"Lane","given":"Charles R.","non-dropping-particle":"","parse-names":false,"suffix":""}],"container-title":"Journal of Hydrology","id":"ITEM-2","issued":{"date-parts":[["2018"]]},"title":"Hydrologic model predictability improves with spatially explicit calibration using remotely sensed evapotranspiration and biophysical parameters","type":"article-journal","volume":"567"},"uris":["http://www.mendeley.com/documents/?uuid=57942210-c496-3c1a-9a1f-23a5a7ea7f47"]},{"id":"ITEM-3","itemData":{"DOI":"10.1016/j.envsoft.2019.104606","ISSN":"13648152","abstract":"Karstification is considered as one of the most common reasons for interbasin groundwater flow (IGF). IGF in some karst areas could be significant such that it must be accounted for in hydrologic modeling. In this study, the Soil and Water Assessment Tool (SWAT) was modified to explicitly account for IGF in karst areas. The modified model uses two conceptual models to simulate hydrologic processes in karst and non-karst regions. The modified model was applied in the karst-dominated region in the southwest Harz Mountains, Germany. Multisite streamflow data and satellite-derived actual evapotranspiration (ETa) were used for model calibration. Results show that (1) the modified model can be satisfactorily calibrated and validated for streamflow and ETa (2) the model performance for ETa and streamflow at some gauging stations are highly correlated, and (3) the use of satellite-derived ETa does not affect the model performance.","author":[{"dropping-particle":"","family":"Nguyen","given":"Tam","non-dropping-particle":"","parse-names":false,"suffix":""},{"dropping-particle":"","family":"Dietrich","given":"Jörg","non-dropping-particle":"","parse-names":false,"suffix":""},{"dropping-particle":"","family":"Uniyal","given":"Bhumika","non-dropping-particle":"","parse-names":false,"suffix":""}],"container-title":"Environmental Modelling and Software","id":"ITEM-3","issued":{"date-parts":[["2020"]]},"title":"Modeling interbasin groundwater flow in karst areas: Model development, application, and calibration strategy","type":"article-journal","volume":"124"},"uris":["http://www.mendeley.com/documents/?uuid=40d1aa49-b353-38e6-ad3b-ac0449a8f910"]}],"mendeley":{"formattedCitation":"(Nguyen et al., 2020; Rajib et al., 2018; Rientjes et al., 2013)","plainTextFormattedCitation":"(Nguyen et al., 2020; Rajib et al., 2018; Rientjes et al., 2013)","previouslyFormattedCitation":"(Rajib et al., 2018; Rientjes et al., 2013; Van Tam et al., 2020)"},"properties":{"noteIndex":0},"schema":"https://github.com/citation-style-language/schema/raw/master/csl-citation.json"}</w:instrText>
      </w:r>
      <w:r w:rsidR="00121032">
        <w:fldChar w:fldCharType="separate"/>
      </w:r>
      <w:r w:rsidR="00C260C5" w:rsidRPr="00C260C5">
        <w:rPr>
          <w:noProof/>
        </w:rPr>
        <w:t>(Nguyen et al., 2020; Rajib et al., 2018; Rientjes et al., 2013)</w:t>
      </w:r>
      <w:r w:rsidR="00121032">
        <w:fldChar w:fldCharType="end"/>
      </w:r>
      <w:r w:rsidRPr="004622A1">
        <w:t xml:space="preserve">. </w:t>
      </w:r>
      <w:r>
        <w:t>Similarly, while the spatial model performance is evaluated</w:t>
      </w:r>
      <w:r w:rsidR="00FD67B8">
        <w:t>, the evaluation is often done in a</w:t>
      </w:r>
      <w:r>
        <w:t xml:space="preserve"> temporally lumped approach, e.g., at monthly, yearly, or the entire simulation time</w:t>
      </w:r>
      <w:r w:rsidR="00121032">
        <w:t xml:space="preserve"> </w:t>
      </w:r>
      <w:r w:rsidR="00121032">
        <w:fldChar w:fldCharType="begin" w:fldLock="1"/>
      </w:r>
      <w:r w:rsidR="00121032">
        <w:instrText>ADDIN CSL_CITATION {"citationItems":[{"id":"ITEM-1","itemData":{"DOI":"10.5194/gmd-11-1873-2018","ISSN":"19919603","abstract":"The process of model evaluation is not only an integral part of model development and calibration but also of paramount importance when communicating modelling results to the scientific community and stakeholders. The modelling community has a large and well-tested toolbox of metrics to evaluate temporal model performance. In contrast, spatial performance evaluation does not correspond to the grand availability of spatial observations readily available and to the sophisticate model codes simulating the spatial variability of complex hydrological processes. This study makes a contribution towards advancing spatial-pattern-oriented model calibration by rigorously testing a multiple-component performance metric. The promoted SPAtial EFficiency (SPAEF) metric reflects three equally weighted components: correlation, coefficient of variation and histogram overlap. This multiple-component approach is found to be advantageous in order to achieve the complex task of comparing spatial patterns. SPAEF, its three components individually and two alternative spatial performance metrics, i.e. connectivity analysis and fractions skill score, are applied in a spatial-pattern-oriented model calibration of a catchment model in Denmark. Results suggest the importance of multiple-component metrics because stand-alone metrics tend to fail to provide holistic pattern information. The three SPAEF components are found to be independent, which allows them to complement each other in a meaningful way. In order to optimally exploit spatial observations made available by remote sensing platforms, this study suggests applying bias insensitive metrics which further allow for a comparison of variables which are related but may differ in unit. This study applies SPAEF in the hydrological context using the mesoscale Hydrologic Model (mHM; version 5.8), but we see great potential across disciplines related to spatially distributed earth system modelling.","author":[{"dropping-particle":"","family":"Koch","given":"Julian","non-dropping-particle":"","parse-names":false,"suffix":""},{"dropping-particle":"","family":"Demirel","given":"Mehmet Cüneyd","non-dropping-particle":"","parse-names":false,"suffix":""},{"dropping-particle":"","family":"Stisen","given":"Simon","non-dropping-particle":"","parse-names":false,"suffix":""}],"container-title":"Geoscientific Model Development","id":"ITEM-1","issue":"5","issued":{"date-parts":[["2018"]]},"title":"The SPAtial EFficiency metric (SPAEF): Multiple-component evaluation of spatial patterns for optimization of hydrological models","type":"article-journal","volume":"11"},"uris":["http://www.mendeley.com/documents/?uuid=c7019537-760f-3f34-844f-3cd2fce6b85d"]}],"mendeley":{"formattedCitation":"(Koch et al., 2018)","manualFormatting":"(e.g., Koch et al., 2018)","plainTextFormattedCitation":"(Koch et al., 2018)","previouslyFormattedCitation":"(Koch et al., 2018)"},"properties":{"noteIndex":0},"schema":"https://github.com/citation-style-language/schema/raw/master/csl-citation.json"}</w:instrText>
      </w:r>
      <w:r w:rsidR="00121032">
        <w:fldChar w:fldCharType="separate"/>
      </w:r>
      <w:r w:rsidR="00121032" w:rsidRPr="00121032">
        <w:rPr>
          <w:noProof/>
        </w:rPr>
        <w:t>(</w:t>
      </w:r>
      <w:r w:rsidR="00121032">
        <w:rPr>
          <w:noProof/>
        </w:rPr>
        <w:t xml:space="preserve">e.g., </w:t>
      </w:r>
      <w:r w:rsidR="00121032" w:rsidRPr="00121032">
        <w:rPr>
          <w:noProof/>
        </w:rPr>
        <w:t>Koch et al., 2018)</w:t>
      </w:r>
      <w:r w:rsidR="00121032">
        <w:fldChar w:fldCharType="end"/>
      </w:r>
      <w:r>
        <w:t xml:space="preserve">. Up to now, no study has evaluated (1) the temporal model performance in a spatially distributed approach (hereinafter referred to as </w:t>
      </w:r>
      <w:r w:rsidR="00423D4D">
        <w:t xml:space="preserve">the </w:t>
      </w:r>
      <w:r w:rsidR="00BC43D1">
        <w:t>spatiotemporal</w:t>
      </w:r>
      <w:r w:rsidR="00E0022E">
        <w:t xml:space="preserve"> </w:t>
      </w:r>
      <w:r>
        <w:t>model performance evaluation) and (2) spatial model performance in both temporally distributed approach</w:t>
      </w:r>
      <w:r w:rsidR="00FD67B8">
        <w:t>es</w:t>
      </w:r>
      <w:r>
        <w:t xml:space="preserve"> (hereinafter referred to as </w:t>
      </w:r>
      <w:r w:rsidR="00423D4D">
        <w:t xml:space="preserve">the </w:t>
      </w:r>
      <w:r w:rsidR="00BC43D1">
        <w:t>temporospatial</w:t>
      </w:r>
      <w:r>
        <w:t xml:space="preserve"> model performance evaluation). </w:t>
      </w:r>
    </w:p>
    <w:p w:rsidR="009902AB" w:rsidRDefault="009902AB" w:rsidP="009902AB">
      <w:pPr>
        <w:spacing w:before="120" w:after="120" w:line="360" w:lineRule="auto"/>
        <w:jc w:val="both"/>
      </w:pPr>
      <w:r>
        <w:tab/>
        <w:t xml:space="preserve">Evaluating the </w:t>
      </w:r>
      <w:r w:rsidR="005704F8">
        <w:t xml:space="preserve">spatiotemporal and </w:t>
      </w:r>
      <w:r w:rsidR="00E0022E">
        <w:t xml:space="preserve">temporospatial </w:t>
      </w:r>
      <w:r>
        <w:t xml:space="preserve">model performance are the two different aspects of the model evaluation. </w:t>
      </w:r>
      <w:r w:rsidR="005704F8">
        <w:t>Spatiotemporal</w:t>
      </w:r>
      <w:r w:rsidR="00E0022E">
        <w:t xml:space="preserve"> </w:t>
      </w:r>
      <w:r>
        <w:t xml:space="preserve">model performance evaluation quantifies the temporal pattern matching between the simulated and reference time-series data </w:t>
      </w:r>
      <w:r>
        <w:lastRenderedPageBreak/>
        <w:t xml:space="preserve">at </w:t>
      </w:r>
      <w:r w:rsidR="00D86BAD">
        <w:t>each</w:t>
      </w:r>
      <w:r>
        <w:t xml:space="preserve"> </w:t>
      </w:r>
      <w:r w:rsidR="006A17FE">
        <w:t xml:space="preserve">spatial unit (e.g., </w:t>
      </w:r>
      <w:r>
        <w:t>pixel</w:t>
      </w:r>
      <w:r w:rsidR="006A17FE">
        <w:t>)</w:t>
      </w:r>
      <w:r>
        <w:t xml:space="preserve"> of the model domain. This can be done by using different temporal performance indices, e.g., the Nash-Sutcliffe efficiency </w:t>
      </w:r>
      <w:r w:rsidR="00121032">
        <w:fldChar w:fldCharType="begin" w:fldLock="1"/>
      </w:r>
      <w:r w:rsidR="00121032">
        <w:instrText>ADDIN CSL_CITATION {"citationItems":[{"id":"ITEM-1","itemData":{"DOI":"10.1016/0022-1694(70)90255-6","ISSN":"00221694","abstract":"The principles governing the application of the conceptual model technique to river flow forecasting are discussed. The necessity for a systematic approach to the development and testing of the model is explained and some preliminary ideas suggested. © 1970.","author":[{"dropping-particle":"","family":"Nash","given":"J. E.","non-dropping-particle":"","parse-names":false,"suffix":""},{"dropping-particle":"V.","family":"Sutcliffe","given":"J.","non-dropping-particle":"","parse-names":false,"suffix":""}],"container-title":"Journal of Hydrology","id":"ITEM-1","issue":"3","issued":{"date-parts":[["1970"]]},"title":"River flow forecasting through conceptual models part I - A discussion of principles","type":"article-journal","volume":"10"},"uris":["http://www.mendeley.com/documents/?uuid=6fc9e7a4-8efe-3e0f-b387-a0596d104bd0"]}],"mendeley":{"formattedCitation":"(Nash &amp; Sutcliffe, 1970)","manualFormatting":"(NSE; Nash &amp; Sutcliffe, 1970)","plainTextFormattedCitation":"(Nash &amp; Sutcliffe, 1970)","previouslyFormattedCitation":"(Nash &amp; Sutcliffe, 1970)"},"properties":{"noteIndex":0},"schema":"https://github.com/citation-style-language/schema/raw/master/csl-citation.json"}</w:instrText>
      </w:r>
      <w:r w:rsidR="00121032">
        <w:fldChar w:fldCharType="separate"/>
      </w:r>
      <w:r w:rsidR="00121032" w:rsidRPr="00121032">
        <w:rPr>
          <w:noProof/>
        </w:rPr>
        <w:t>(</w:t>
      </w:r>
      <w:r w:rsidR="00121032">
        <w:rPr>
          <w:noProof/>
        </w:rPr>
        <w:t xml:space="preserve">NSE; </w:t>
      </w:r>
      <w:r w:rsidR="00121032" w:rsidRPr="00121032">
        <w:rPr>
          <w:noProof/>
        </w:rPr>
        <w:t>Nash &amp; Sutcliffe, 1970)</w:t>
      </w:r>
      <w:r w:rsidR="00121032">
        <w:fldChar w:fldCharType="end"/>
      </w:r>
      <w:r>
        <w:t xml:space="preserve">, the Kling-Gupta efficiency </w:t>
      </w:r>
      <w:r w:rsidR="00121032">
        <w:fldChar w:fldCharType="begin" w:fldLock="1"/>
      </w:r>
      <w:r w:rsidR="00121032">
        <w:instrText>ADDIN CSL_CITATION {"citationItems":[{"id":"ITEM-1","itemData":{"DOI":"10.1016/j.jhydrol.2009.08.003","ISSN":"00221694","abstract":"The mean squared error (MSE) and the related normalization, the Nash-Sutcliffe efficiency (NSE), are the two criteria most widely used for calibration and evaluation of hydrological models with observed data. Here, we present a diagnostically interesting decomposition of NSE (and hence MSE), which facilitates analysis of the relative importance of its different components in the context of hydrological modelling, and show how model calibration problems can arise due to interactions among these components. The analysis is illustrated by calibrating a simple conceptual precipitation-runoff model to daily data for a number of Austrian basins having a broad range of hydro-meteorological characteristics. Evaluation of the results clearly demonstrates the problems that can be associated with any calibration based on the NSE (or MSE) criterion. While we propose and test an alternative criterion that can help to reduce model calibration problems, the primary purpose of this study is not to present an improved measure of model performance. Instead, we seek to show that there are systematic problems inherent with any optimization based on formulations related to the MSE. The analysis and results have implications to the manner in which we calibrate and evaluate environmental models; we discuss these and suggest possible ways forward that may move us towards an improved and diagnostically meaningful approach to model performance evaluation and identification. © 2009 Elsevier B.V. All rights reserved.","author":[{"dropping-particle":"V.","family":"Gupta","given":"Hoshin","non-dropping-particle":"","parse-names":false,"suffix":""},{"dropping-particle":"","family":"Kling","given":"Harald","non-dropping-particle":"","parse-names":false,"suffix":""},{"dropping-particle":"","family":"Yilmaz","given":"Koray K.","non-dropping-particle":"","parse-names":false,"suffix":""},{"dropping-particle":"","family":"Martinez","given":"Guillermo F.","non-dropping-particle":"","parse-names":false,"suffix":""}],"container-title":"Journal of Hydrology","id":"ITEM-1","issue":"1-2","issued":{"date-parts":[["2009"]]},"title":"Decomposition of the mean squared error and NSE performance criteria: Implications for improving hydrological modelling","type":"article-journal","volume":"377"},"uris":["http://www.mendeley.com/documents/?uuid=6266b8ef-6a6b-3820-a2c4-d1be0f5f04e6"]}],"mendeley":{"formattedCitation":"(Gupta et al., 2009)","manualFormatting":"(KGE; Gupta et al., 2009)","plainTextFormattedCitation":"(Gupta et al., 2009)","previouslyFormattedCitation":"(Gupta et al., 2009)"},"properties":{"noteIndex":0},"schema":"https://github.com/citation-style-language/schema/raw/master/csl-citation.json"}</w:instrText>
      </w:r>
      <w:r w:rsidR="00121032">
        <w:fldChar w:fldCharType="separate"/>
      </w:r>
      <w:r w:rsidR="00121032" w:rsidRPr="00121032">
        <w:rPr>
          <w:noProof/>
        </w:rPr>
        <w:t>(</w:t>
      </w:r>
      <w:r w:rsidR="00121032">
        <w:rPr>
          <w:noProof/>
        </w:rPr>
        <w:t xml:space="preserve">KGE; </w:t>
      </w:r>
      <w:r w:rsidR="00121032" w:rsidRPr="00121032">
        <w:rPr>
          <w:noProof/>
        </w:rPr>
        <w:t>Gupta et al., 2009)</w:t>
      </w:r>
      <w:r w:rsidR="00121032">
        <w:fldChar w:fldCharType="end"/>
      </w:r>
      <w:r>
        <w:t xml:space="preserve">, percentage bias (PBIAS), </w:t>
      </w:r>
      <w:r w:rsidR="003C69A8">
        <w:t xml:space="preserve">the root mean square error (RMSE), </w:t>
      </w:r>
      <w:r>
        <w:t xml:space="preserve">and the ratio of the </w:t>
      </w:r>
      <w:r w:rsidR="003C69A8">
        <w:t>RMSE</w:t>
      </w:r>
      <w:r>
        <w:t xml:space="preserve"> to the standard deviation of measured data (RSR). </w:t>
      </w:r>
      <w:r w:rsidR="00F75878">
        <w:t>Spatiotemporal</w:t>
      </w:r>
      <w:r w:rsidR="00E0022E">
        <w:t xml:space="preserve"> </w:t>
      </w:r>
      <w:r>
        <w:t xml:space="preserve">model performance evaluation, therefore, provides information about </w:t>
      </w:r>
      <w:r w:rsidR="005704F8">
        <w:t xml:space="preserve">the </w:t>
      </w:r>
      <w:r>
        <w:t>locations where the temporal model performance is not good (</w:t>
      </w:r>
      <w:r w:rsidR="00FD1E11">
        <w:t>spatial</w:t>
      </w:r>
      <w:r>
        <w:t xml:space="preserve"> model issue). </w:t>
      </w:r>
    </w:p>
    <w:p w:rsidR="00562E11" w:rsidRDefault="009902AB" w:rsidP="00B70FE8">
      <w:pPr>
        <w:spacing w:before="120" w:after="120" w:line="360" w:lineRule="auto"/>
        <w:jc w:val="both"/>
      </w:pPr>
      <w:r>
        <w:tab/>
        <w:t xml:space="preserve">In contrast, </w:t>
      </w:r>
      <w:r w:rsidR="000B0DC1">
        <w:t>temporospatial</w:t>
      </w:r>
      <w:r>
        <w:t xml:space="preserve"> model performance evaluation quantifies the matching between</w:t>
      </w:r>
      <w:r w:rsidR="00521828">
        <w:t xml:space="preserve"> the</w:t>
      </w:r>
      <w:r>
        <w:t xml:space="preserve"> simulated and reference </w:t>
      </w:r>
      <w:r w:rsidR="00521828">
        <w:t>spatial patterns</w:t>
      </w:r>
      <w:r>
        <w:t xml:space="preserve"> at </w:t>
      </w:r>
      <w:r w:rsidR="007479E2">
        <w:t>each</w:t>
      </w:r>
      <w:r>
        <w:t xml:space="preserve"> </w:t>
      </w:r>
      <w:r w:rsidR="00CE2587">
        <w:t xml:space="preserve">model </w:t>
      </w:r>
      <w:r>
        <w:t>time</w:t>
      </w:r>
      <w:r w:rsidR="00407930">
        <w:t xml:space="preserve"> </w:t>
      </w:r>
      <w:r>
        <w:t>step. This can be done by using different spatial performance indices. Some of the aforementioned temporal performance metr</w:t>
      </w:r>
      <w:r w:rsidR="00511B84">
        <w:t xml:space="preserve">ics could be used (e.g., RSR, </w:t>
      </w:r>
      <w:r>
        <w:t>BIAS). Some performance metrics were specially developed for evaluating the spatial pattern matching</w:t>
      </w:r>
      <w:r w:rsidR="00DA7291">
        <w:t>,</w:t>
      </w:r>
      <w:r>
        <w:t xml:space="preserve"> </w:t>
      </w:r>
      <w:r w:rsidR="00DA7291">
        <w:t>e.g.,</w:t>
      </w:r>
      <w:r>
        <w:t xml:space="preserve"> the </w:t>
      </w:r>
      <w:proofErr w:type="spellStart"/>
      <w:r>
        <w:t>SPAtial</w:t>
      </w:r>
      <w:proofErr w:type="spellEnd"/>
      <w:r>
        <w:t xml:space="preserve"> </w:t>
      </w:r>
      <w:proofErr w:type="spellStart"/>
      <w:r>
        <w:t>EFficiency</w:t>
      </w:r>
      <w:proofErr w:type="spellEnd"/>
      <w:r>
        <w:t xml:space="preserve"> metric</w:t>
      </w:r>
      <w:r w:rsidR="00121032">
        <w:t xml:space="preserve"> </w:t>
      </w:r>
      <w:r w:rsidR="00121032">
        <w:fldChar w:fldCharType="begin" w:fldLock="1"/>
      </w:r>
      <w:r w:rsidR="00DA7291">
        <w:instrText>ADDIN CSL_CITATION {"citationItems":[{"id":"ITEM-1","itemData":{"DOI":"10.5194/gmd-11-1873-2018","ISSN":"19919603","abstract":"The process of model evaluation is not only an integral part of model development and calibration but also of paramount importance when communicating modelling results to the scientific community and stakeholders. The modelling community has a large and well-tested toolbox of metrics to evaluate temporal model performance. In contrast, spatial performance evaluation does not correspond to the grand availability of spatial observations readily available and to the sophisticate model codes simulating the spatial variability of complex hydrological processes. This study makes a contribution towards advancing spatial-pattern-oriented model calibration by rigorously testing a multiple-component performance metric. The promoted SPAtial EFficiency (SPAEF) metric reflects three equally weighted components: correlation, coefficient of variation and histogram overlap. This multiple-component approach is found to be advantageous in order to achieve the complex task of comparing spatial patterns. SPAEF, its three components individually and two alternative spatial performance metrics, i.e. connectivity analysis and fractions skill score, are applied in a spatial-pattern-oriented model calibration of a catchment model in Denmark. Results suggest the importance of multiple-component metrics because stand-alone metrics tend to fail to provide holistic pattern information. The three SPAEF components are found to be independent, which allows them to complement each other in a meaningful way. In order to optimally exploit spatial observations made available by remote sensing platforms, this study suggests applying bias insensitive metrics which further allow for a comparison of variables which are related but may differ in unit. This study applies SPAEF in the hydrological context using the mesoscale Hydrologic Model (mHM; version 5.8), but we see great potential across disciplines related to spatially distributed earth system modelling.","author":[{"dropping-particle":"","family":"Koch","given":"Julian","non-dropping-particle":"","parse-names":false,"suffix":""},{"dropping-particle":"","family":"Demirel","given":"Mehmet Cüneyd","non-dropping-particle":"","parse-names":false,"suffix":""},{"dropping-particle":"","family":"Stisen","given":"Simon","non-dropping-particle":"","parse-names":false,"suffix":""}],"container-title":"Geoscientific Model Development","id":"ITEM-1","issue":"5","issued":{"date-parts":[["2018"]]},"title":"The SPAtial EFficiency metric (SPAEF): Multiple-component evaluation of spatial patterns for optimization of hydrological models","type":"article-journal","volume":"11"},"uris":["http://www.mendeley.com/documents/?uuid=c7019537-760f-3f34-844f-3cd2fce6b85d"]}],"mendeley":{"formattedCitation":"(Koch et al., 2018)","manualFormatting":"(SPAEF; Koch et al., 2018)","plainTextFormattedCitation":"(Koch et al., 2018)","previouslyFormattedCitation":"(Koch et al., 2018)"},"properties":{"noteIndex":0},"schema":"https://github.com/citation-style-language/schema/raw/master/csl-citation.json"}</w:instrText>
      </w:r>
      <w:r w:rsidR="00121032">
        <w:fldChar w:fldCharType="separate"/>
      </w:r>
      <w:r w:rsidR="00121032" w:rsidRPr="00121032">
        <w:rPr>
          <w:noProof/>
        </w:rPr>
        <w:t>(</w:t>
      </w:r>
      <w:r w:rsidR="00121032">
        <w:rPr>
          <w:noProof/>
        </w:rPr>
        <w:t xml:space="preserve">SPAEF; </w:t>
      </w:r>
      <w:r w:rsidR="00121032" w:rsidRPr="00121032">
        <w:rPr>
          <w:noProof/>
        </w:rPr>
        <w:t>Koch et al., 2018)</w:t>
      </w:r>
      <w:r w:rsidR="00121032">
        <w:fldChar w:fldCharType="end"/>
      </w:r>
      <w:r>
        <w:t xml:space="preserve">, fractions skill score </w:t>
      </w:r>
      <w:r w:rsidR="00DA7291">
        <w:fldChar w:fldCharType="begin" w:fldLock="1"/>
      </w:r>
      <w:r w:rsidR="00DA7291">
        <w:instrText xml:space="preserve">ADDIN CSL_CITATION {"citationItems":[{"id":"ITEM-1","itemData":{"DOI":"10.1175/2007MWR2123.1","ISSN":"00270644","abstract":"The development of NWP models with grid spacing down to </w:instrText>
      </w:r>
      <w:r w:rsidR="00DA7291">
        <w:rPr>
          <w:rFonts w:ascii="Cambria Math" w:hAnsi="Cambria Math" w:cs="Cambria Math"/>
        </w:rPr>
        <w:instrText>∼</w:instrText>
      </w:r>
      <w:r w:rsidR="00DA7291">
        <w:instrText>1 km should produce more realistic forecasts of convective storms. However, greater realism does not necessarily mean more accurate precipitation forecasts. The rapid growth of errors on small scales in conjunction with preexisting errors on larger scales may limit the usefulness of such models. The purpose of this paper is to examine whether improved model resolution alone is able to produce more skillful precipitation forecasts on useful scales, and how the skill varies with spatial scale. A verification method will be described in which skill is determined from a comparison of rainfall forecasts with radar using fractional coverage over different sized areas. The Met Office Unified Model was run with grid spacings of 12, 4, and 1 km for 10 days in which convection occurred during the summers of 2003 and 2004. All forecasts were run from 12-km initial states for a clean comparison. The results show that the 1-km model was the most skillful over all but the smallest scales (approximately &lt;10-15 km). A measure of acceptable skill was defined; this was attained by the 1-km model at scales around 40-70 km, some 10-20 km less than that of the 12-km model. The biggest improvement occurred for heavier, more localized rain, despite it being more difficult to predict. The 4-km model did not improve much on the 12-km model because of the difficulties of representing convection at that resolution, which was accentuated by the spinup from 12-km fields.","author":[{"dropping-particle":"","family":"Roberts","given":"Nigel M.","non-dropping-particle":"","parse-names":false,"suffix":""},{"dropping-particle":"","family":"Lean","given":"Humphrey W.","non-dropping-particle":"","parse-names":false,"suffix":""}],"container-title":"Monthly Weather Review","id":"ITEM-1","issue":"1","issued":{"date-parts":[["2008"]]},"title":"Scale-selective verification of rainfall accumulations from high-resolution forecasts of convective events","type":"article-journal","volume":"136"},"uris":["http://www.mendeley.com/documents/?uuid=54883d74-1b68-3311-b34f-3f5640db8c22"]}],"mendeley":{"formattedCitation":"(Roberts &amp; Lean, 2008)","plainTextFormattedCitation":"(Roberts &amp; Lean, 2008)","previouslyFormattedCitation":"(Roberts &amp; Lean, 2008)"},"properties":{"noteIndex":0},"schema":"https://github.com/citation-style-language/schema/raw/master/csl-citation.json"}</w:instrText>
      </w:r>
      <w:r w:rsidR="00DA7291">
        <w:fldChar w:fldCharType="separate"/>
      </w:r>
      <w:r w:rsidR="00DA7291" w:rsidRPr="00DA7291">
        <w:rPr>
          <w:noProof/>
        </w:rPr>
        <w:t>(Roberts &amp; Lean, 2008)</w:t>
      </w:r>
      <w:r w:rsidR="00DA7291">
        <w:fldChar w:fldCharType="end"/>
      </w:r>
      <w:r>
        <w:t xml:space="preserve">, and </w:t>
      </w:r>
      <w:r w:rsidR="00DA7291">
        <w:t xml:space="preserve">others </w:t>
      </w:r>
      <w:r w:rsidR="00DA7291">
        <w:fldChar w:fldCharType="begin" w:fldLock="1"/>
      </w:r>
      <w:r w:rsidR="00DA7291">
        <w:instrText>ADDIN CSL_CITATION {"citationItems":[{"id":"ITEM-1","itemData":{"DOI":"10.1002/2014WR016607","ISSN":"19447973","abstract":"The hydrological modeling community is aware that the validation of distributed hydrological models has to move beyond aggregated performance measures, like hydrograph assessment by means of Nash-Suitcliffe efficiency toward a true spatial model validation. Remote sensing facilitates continuous data and can be measured on a similar spatial scale as the predictive scale of the hydrological model thereby it can serve as suitable data for the spatial validation. The human perception is often described as a very reliable and well-trained source for pattern comparison, which this study wants to exploit. A web-based survey that is interpreted based on approximately 200 replies reflects the consensus of the human perception on map comparisons of a reference map and 12 synthetic perturbations. The resulting similarity ranking can be used as a reference to benchmark various spatial performance metrics. This study promotes Fuzzy theory as a suitable approach because it considers uncertainties related to both location and value in the simulated map. Additionally, an EOF-analysis (Empirical Orthogonal Function) is conducted to decompose the map comparison into its similarities and dissimilarities. A modeling case study serves to further examine the metrics capability to assess the goodness of fit between simulated and observed land surface temperature maps. The EOF-analysis unambiguously identifies a systematic depth to groundwater table-related model deficiency. Kappa statistic extended by Fuzziness is a suitable and commonly applied measure for map comparison. However, its apparent bias sensitivity limits it's capability as a diagnostic tool to detect the distinct deficiency. Key Points: Quantifying the human perception in respect to pattern comparisons Performance metrics for spatial evaluation of distributed hydrological models Identifying complex spatial model defects by including new data in the model evaluation","author":[{"dropping-particle":"","family":"Koch","given":"Julian","non-dropping-particle":"","parse-names":false,"suffix":""},{"dropping-particle":"","family":"Jensen","given":"Karsten Høgh","non-dropping-particle":"","parse-names":false,"suffix":""},{"dropping-particle":"","family":"Stisen","given":"Simon","non-dropping-particle":"","parse-names":false,"suffix":""}],"container-title":"Water Resources Research","id":"ITEM-1","issue":"2","issued":{"date-parts":[["2015"]]},"title":"Toward a true spatial model evaluation in distributed hydrological modeling: Kappa statistics, Fuzzy theory, and EOF-analysis benchmarked by the human perception and evaluated against a modeling case study","type":"article-journal","volume":"51"},"uris":["http://www.mendeley.com/documents/?uuid=f4962e60-219b-3c5a-a9ba-faa27e37b5a8"]}],"mendeley":{"formattedCitation":"(Koch et al., 2015)","plainTextFormattedCitation":"(Koch et al., 2015)","previouslyFormattedCitation":"(Koch et al., 2015)"},"properties":{"noteIndex":0},"schema":"https://github.com/citation-style-language/schema/raw/master/csl-citation.json"}</w:instrText>
      </w:r>
      <w:r w:rsidR="00DA7291">
        <w:fldChar w:fldCharType="separate"/>
      </w:r>
      <w:r w:rsidR="00DA7291" w:rsidRPr="00DA7291">
        <w:rPr>
          <w:noProof/>
        </w:rPr>
        <w:t>(Koch et al., 2015)</w:t>
      </w:r>
      <w:r w:rsidR="00DA7291">
        <w:fldChar w:fldCharType="end"/>
      </w:r>
      <w:r>
        <w:t>. Among these spatial performance matrices, the SPAEF metric, which consists of three equally weighted components (correlation, coefficient of variation, and histogram overlap) was demonstrated as a robust statistical index for evaluating the spatial pattern matching</w:t>
      </w:r>
      <w:r w:rsidR="00DA7291">
        <w:t xml:space="preserve"> </w:t>
      </w:r>
      <w:r w:rsidR="00DA7291">
        <w:fldChar w:fldCharType="begin" w:fldLock="1"/>
      </w:r>
      <w:r w:rsidR="00DA7291">
        <w:instrText>ADDIN CSL_CITATION {"citationItems":[{"id":"ITEM-1","itemData":{"DOI":"10.5194/gmd-11-1873-2018","ISSN":"19919603","abstract":"The process of model evaluation is not only an integral part of model development and calibration but also of paramount importance when communicating modelling results to the scientific community and stakeholders. The modelling community has a large and well-tested toolbox of metrics to evaluate temporal model performance. In contrast, spatial performance evaluation does not correspond to the grand availability of spatial observations readily available and to the sophisticate model codes simulating the spatial variability of complex hydrological processes. This study makes a contribution towards advancing spatial-pattern-oriented model calibration by rigorously testing a multiple-component performance metric. The promoted SPAtial EFficiency (SPAEF) metric reflects three equally weighted components: correlation, coefficient of variation and histogram overlap. This multiple-component approach is found to be advantageous in order to achieve the complex task of comparing spatial patterns. SPAEF, its three components individually and two alternative spatial performance metrics, i.e. connectivity analysis and fractions skill score, are applied in a spatial-pattern-oriented model calibration of a catchment model in Denmark. Results suggest the importance of multiple-component metrics because stand-alone metrics tend to fail to provide holistic pattern information. The three SPAEF components are found to be independent, which allows them to complement each other in a meaningful way. In order to optimally exploit spatial observations made available by remote sensing platforms, this study suggests applying bias insensitive metrics which further allow for a comparison of variables which are related but may differ in unit. This study applies SPAEF in the hydrological context using the mesoscale Hydrologic Model (mHM; version 5.8), but we see great potential across disciplines related to spatially distributed earth system modelling.","author":[{"dropping-particle":"","family":"Koch","given":"Julian","non-dropping-particle":"","parse-names":false,"suffix":""},{"dropping-particle":"","family":"Demirel","given":"Mehmet Cüneyd","non-dropping-particle":"","parse-names":false,"suffix":""},{"dropping-particle":"","family":"Stisen","given":"Simon","non-dropping-particle":"","parse-names":false,"suffix":""}],"container-title":"Geoscientific Model Development","id":"ITEM-1","issue":"5","issued":{"date-parts":[["2018"]]},"title":"The SPAtial EFficiency metric (SPAEF): Multiple-component evaluation of spatial patterns for optimization of hydrological models","type":"article-journal","volume":"11"},"uris":["http://www.mendeley.com/documents/?uuid=c7019537-760f-3f34-844f-3cd2fce6b85d"]}],"mendeley":{"formattedCitation":"(Koch et al., 2018)","plainTextFormattedCitation":"(Koch et al., 2018)","previouslyFormattedCitation":"(Koch et al., 2018)"},"properties":{"noteIndex":0},"schema":"https://github.com/citation-style-language/schema/raw/master/csl-citation.json"}</w:instrText>
      </w:r>
      <w:r w:rsidR="00DA7291">
        <w:fldChar w:fldCharType="separate"/>
      </w:r>
      <w:r w:rsidR="00DA7291" w:rsidRPr="00DA7291">
        <w:rPr>
          <w:noProof/>
        </w:rPr>
        <w:t>(Koch et al., 2018)</w:t>
      </w:r>
      <w:r w:rsidR="00DA7291">
        <w:fldChar w:fldCharType="end"/>
      </w:r>
      <w:r>
        <w:t xml:space="preserve">. </w:t>
      </w:r>
      <w:r w:rsidR="00630084">
        <w:t>Temporospatial</w:t>
      </w:r>
      <w:r>
        <w:t xml:space="preserve"> model performance evaluation provides information about </w:t>
      </w:r>
      <w:r w:rsidR="004929FB">
        <w:t xml:space="preserve">the </w:t>
      </w:r>
      <w:r>
        <w:t>timing when the spatial model performance is not good</w:t>
      </w:r>
      <w:r w:rsidR="00ED4477">
        <w:t xml:space="preserve"> (</w:t>
      </w:r>
      <w:r w:rsidR="00E0022E">
        <w:t>tempor</w:t>
      </w:r>
      <w:r w:rsidR="00FD1E11">
        <w:t>al</w:t>
      </w:r>
      <w:r w:rsidR="00E0022E">
        <w:t xml:space="preserve"> </w:t>
      </w:r>
      <w:r w:rsidR="00ED4477">
        <w:t xml:space="preserve">model issue). </w:t>
      </w:r>
    </w:p>
    <w:p w:rsidR="004933FE" w:rsidRPr="0004325A" w:rsidRDefault="00562E11" w:rsidP="000974DD">
      <w:pPr>
        <w:spacing w:before="120" w:after="120" w:line="360" w:lineRule="auto"/>
        <w:jc w:val="both"/>
      </w:pPr>
      <w:r>
        <w:tab/>
      </w:r>
      <w:r w:rsidR="007F1E53">
        <w:t xml:space="preserve">From the above discussion, it can be said that </w:t>
      </w:r>
      <w:r w:rsidR="00E0022E">
        <w:t>spatiotemporal</w:t>
      </w:r>
      <w:r w:rsidR="007F1E53">
        <w:t xml:space="preserve"> and </w:t>
      </w:r>
      <w:r w:rsidR="00E0022E">
        <w:t xml:space="preserve">temporospatial </w:t>
      </w:r>
      <w:r w:rsidR="007F1E53">
        <w:t xml:space="preserve">model evaluation </w:t>
      </w:r>
      <w:r w:rsidR="00900F1E">
        <w:t xml:space="preserve">(1) </w:t>
      </w:r>
      <w:r w:rsidR="00E35061">
        <w:t xml:space="preserve">should be used together to detect </w:t>
      </w:r>
      <w:r w:rsidR="00AA076F">
        <w:t>both spatial and temporal</w:t>
      </w:r>
      <w:r w:rsidR="00E0022E">
        <w:t xml:space="preserve"> </w:t>
      </w:r>
      <w:r w:rsidR="00E35061">
        <w:t>model issues</w:t>
      </w:r>
      <w:r w:rsidR="00900F1E">
        <w:t>,</w:t>
      </w:r>
      <w:r w:rsidR="007F1E53">
        <w:t xml:space="preserve"> and </w:t>
      </w:r>
      <w:r w:rsidR="00900F1E">
        <w:t>(2)</w:t>
      </w:r>
      <w:r w:rsidR="00E35061">
        <w:t xml:space="preserve"> are the two different aspects of model evaluation</w:t>
      </w:r>
      <w:r w:rsidR="007F1E53">
        <w:t>.</w:t>
      </w:r>
      <w:r w:rsidR="00AB6980">
        <w:t xml:space="preserve"> This statement, however, has not been validated.</w:t>
      </w:r>
      <w:r>
        <w:t xml:space="preserve"> </w:t>
      </w:r>
      <w:r w:rsidR="003B6983" w:rsidRPr="003B6983">
        <w:t>The main objective</w:t>
      </w:r>
      <w:r w:rsidR="00511B84">
        <w:t xml:space="preserve"> </w:t>
      </w:r>
      <w:r w:rsidR="003B6983" w:rsidRPr="003B6983">
        <w:t xml:space="preserve">of this study </w:t>
      </w:r>
      <w:r w:rsidR="00511B84">
        <w:t>is</w:t>
      </w:r>
      <w:r>
        <w:t xml:space="preserve"> </w:t>
      </w:r>
      <w:r w:rsidR="003B6983" w:rsidRPr="003B6983">
        <w:t xml:space="preserve">to </w:t>
      </w:r>
      <w:r w:rsidR="00AF1E08">
        <w:t xml:space="preserve">validate </w:t>
      </w:r>
      <w:r>
        <w:t xml:space="preserve">the two aforementioned arguments. </w:t>
      </w:r>
      <w:r w:rsidR="00A9642C">
        <w:t>For th</w:t>
      </w:r>
      <w:r w:rsidR="00AF6688">
        <w:t>ese</w:t>
      </w:r>
      <w:r w:rsidR="00A9642C">
        <w:t xml:space="preserve"> objective</w:t>
      </w:r>
      <w:r w:rsidR="00AF6688">
        <w:t>s</w:t>
      </w:r>
      <w:r w:rsidR="00A9642C">
        <w:t xml:space="preserve">, the Soil and Water Assessment Tool </w:t>
      </w:r>
      <w:r w:rsidR="00DA7291">
        <w:fldChar w:fldCharType="begin" w:fldLock="1"/>
      </w:r>
      <w:r w:rsidR="00C608B4">
        <w:instrText>ADDIN CSL_CITATION {"citationItems":[{"id":"ITEM-1","itemData":{"DOI":"10.1016/j.scitotenv.2015.11.063","ISBN":"Technical Report No. 406","ISSN":"2151-0040","PMID":"26615482","abstract":"SWAT is the acronym for Soil and Water Assessment Tool, a river basin, or watershed, scale model developed by Dr. Jeff Arnold for the USDA Agricultural Research Service (ARS). SWAT was developed to predict the impact of land management practices on water, sediment and agricultural chemical yields in large complex watersheds with varying soils, land use and management conditions over long periods of time. To","author":[{"dropping-particle":"","family":"Neitsch","given":"S.L","non-dropping-particle":"","parse-names":false,"suffix":""},{"dropping-particle":"","family":"Arnold","given":"J.G","non-dropping-particle":"","parse-names":false,"suffix":""},{"dropping-particle":"","family":"Kiniry","given":"J.R","non-dropping-particle":"","parse-names":false,"suffix":""},{"dropping-particle":"","family":"Williams","given":"J.R","non-dropping-particle":"","parse-names":false,"suffix":""}],"container-title":"Texas Water Resources Institute","id":"ITEM-1","issued":{"date-parts":[["2011"]]},"title":"Soil &amp; Water Assessment Tool Theoretical Documentation Version 2009","type":"article-journal"},"uris":["http://www.mendeley.com/documents/?uuid=eb90cb1d-e72b-417e-bc7b-ca3a776beb6c"]}],"mendeley":{"formattedCitation":"(Neitsch et al., 2011)","manualFormatting":"(SWAT; Neitsch et al., 2011)","plainTextFormattedCitation":"(Neitsch et al., 2011)","previouslyFormattedCitation":"(Neitsch et al., 2011)"},"properties":{"noteIndex":0},"schema":"https://github.com/citation-style-language/schema/raw/master/csl-citation.json"}</w:instrText>
      </w:r>
      <w:r w:rsidR="00DA7291">
        <w:fldChar w:fldCharType="separate"/>
      </w:r>
      <w:r w:rsidR="00DA7291" w:rsidRPr="00DA7291">
        <w:rPr>
          <w:noProof/>
        </w:rPr>
        <w:t>(</w:t>
      </w:r>
      <w:r w:rsidR="00DA7291">
        <w:rPr>
          <w:noProof/>
        </w:rPr>
        <w:t xml:space="preserve">SWAT; </w:t>
      </w:r>
      <w:r w:rsidR="00DA7291" w:rsidRPr="00DA7291">
        <w:rPr>
          <w:noProof/>
        </w:rPr>
        <w:t>Neitsch et al., 2011)</w:t>
      </w:r>
      <w:r w:rsidR="00DA7291">
        <w:fldChar w:fldCharType="end"/>
      </w:r>
      <w:r w:rsidR="00A9642C">
        <w:t xml:space="preserve"> was set up for </w:t>
      </w:r>
      <w:r w:rsidR="00A9642C" w:rsidRPr="00717AF0">
        <w:t xml:space="preserve">the </w:t>
      </w:r>
      <w:r w:rsidR="00717AF0" w:rsidRPr="00717AF0">
        <w:t xml:space="preserve">Upper </w:t>
      </w:r>
      <w:r w:rsidR="00CD6AB8">
        <w:t>Baitarani</w:t>
      </w:r>
      <w:r w:rsidR="00717AF0" w:rsidRPr="00717AF0">
        <w:t xml:space="preserve"> </w:t>
      </w:r>
      <w:r w:rsidR="00A9642C" w:rsidRPr="00717AF0">
        <w:t>ca</w:t>
      </w:r>
      <w:r w:rsidR="00A9642C">
        <w:t>t</w:t>
      </w:r>
      <w:r w:rsidR="00CC1642">
        <w:t>c</w:t>
      </w:r>
      <w:r w:rsidR="00A9642C">
        <w:t>h</w:t>
      </w:r>
      <w:r w:rsidR="00CC1642">
        <w:t>ment</w:t>
      </w:r>
      <w:r w:rsidR="003D44EA">
        <w:t xml:space="preserve"> located </w:t>
      </w:r>
      <w:r w:rsidR="00307730" w:rsidRPr="00307730">
        <w:t>in</w:t>
      </w:r>
      <w:r w:rsidR="00D00FAB">
        <w:t xml:space="preserve"> a data-scare region in</w:t>
      </w:r>
      <w:r w:rsidR="00A9642C">
        <w:t xml:space="preserve"> India. </w:t>
      </w:r>
      <w:r w:rsidR="00F85FA8">
        <w:t>S</w:t>
      </w:r>
      <w:r w:rsidR="00573B91">
        <w:t xml:space="preserve">atellite-derived ETa </w:t>
      </w:r>
      <w:r w:rsidR="00DA7291">
        <w:t xml:space="preserve">data </w:t>
      </w:r>
      <w:r w:rsidR="002F0A84">
        <w:t xml:space="preserve">from </w:t>
      </w:r>
      <w:r>
        <w:t>multiple</w:t>
      </w:r>
      <w:r w:rsidR="002F0A84">
        <w:t xml:space="preserve"> sources</w:t>
      </w:r>
      <w:r w:rsidR="00F85FA8">
        <w:t xml:space="preserve"> </w:t>
      </w:r>
      <w:r>
        <w:t xml:space="preserve">were used </w:t>
      </w:r>
      <w:r w:rsidR="00E0395E">
        <w:t>for model evaluation</w:t>
      </w:r>
      <w:r w:rsidR="00911239">
        <w:t>.</w:t>
      </w:r>
    </w:p>
    <w:p w:rsidR="00984F28" w:rsidRDefault="00984F28" w:rsidP="009902AB">
      <w:pPr>
        <w:pStyle w:val="Heading1"/>
        <w:spacing w:before="120" w:after="120"/>
        <w:rPr>
          <w:lang w:val="en-US"/>
        </w:rPr>
      </w:pPr>
      <w:r w:rsidRPr="0004325A">
        <w:t xml:space="preserve">2. </w:t>
      </w:r>
      <w:r w:rsidR="009902AB">
        <w:rPr>
          <w:lang w:val="en-US"/>
        </w:rPr>
        <w:t>Methodology</w:t>
      </w:r>
    </w:p>
    <w:p w:rsidR="000B65DE" w:rsidRDefault="00E72FB0" w:rsidP="0042487B">
      <w:pPr>
        <w:pStyle w:val="Heading2"/>
        <w:rPr>
          <w:lang w:val="en-US"/>
        </w:rPr>
      </w:pPr>
      <w:r>
        <w:rPr>
          <w:lang w:val="en-US"/>
        </w:rPr>
        <w:t>2</w:t>
      </w:r>
      <w:r w:rsidR="009D072F">
        <w:rPr>
          <w:lang w:val="en-US"/>
        </w:rPr>
        <w:t>.</w:t>
      </w:r>
      <w:r w:rsidR="00B665C4">
        <w:rPr>
          <w:lang w:val="en-US"/>
        </w:rPr>
        <w:t>1</w:t>
      </w:r>
      <w:r w:rsidR="008F33DE">
        <w:rPr>
          <w:lang w:val="en-US"/>
        </w:rPr>
        <w:t>.</w:t>
      </w:r>
      <w:r w:rsidR="000B65DE" w:rsidRPr="0004325A">
        <w:t xml:space="preserve"> </w:t>
      </w:r>
      <w:r w:rsidR="003A2AA3">
        <w:rPr>
          <w:lang w:val="en-US"/>
        </w:rPr>
        <w:t>S</w:t>
      </w:r>
      <w:r w:rsidR="004B4915">
        <w:rPr>
          <w:lang w:val="en-US"/>
        </w:rPr>
        <w:t>tudy area and data</w:t>
      </w:r>
    </w:p>
    <w:p w:rsidR="00A47BF1" w:rsidRDefault="004A1275" w:rsidP="00EE2898">
      <w:pPr>
        <w:spacing w:before="120" w:after="120" w:line="360" w:lineRule="auto"/>
        <w:jc w:val="both"/>
      </w:pPr>
      <w:r>
        <w:tab/>
      </w:r>
      <w:r w:rsidR="00EE2898">
        <w:t xml:space="preserve">The Upper </w:t>
      </w:r>
      <w:r w:rsidR="00CD6AB8">
        <w:t>Baitarani</w:t>
      </w:r>
      <w:r w:rsidR="00EE2898">
        <w:t xml:space="preserve"> catchment</w:t>
      </w:r>
      <w:r w:rsidR="00DB4A8E">
        <w:t xml:space="preserve"> </w:t>
      </w:r>
      <w:r w:rsidR="00FF4CC4">
        <w:t xml:space="preserve">is </w:t>
      </w:r>
      <w:r w:rsidR="00A416E9">
        <w:t>located in India with</w:t>
      </w:r>
      <w:r w:rsidR="00EE2898">
        <w:t xml:space="preserve"> an area of about 1711 km</w:t>
      </w:r>
      <w:r w:rsidR="00EE2898" w:rsidRPr="007A0288">
        <w:rPr>
          <w:vertAlign w:val="superscript"/>
        </w:rPr>
        <w:t>2</w:t>
      </w:r>
      <w:r w:rsidR="00A416E9">
        <w:t xml:space="preserve"> (Figure 1). </w:t>
      </w:r>
      <w:r w:rsidR="0072023C">
        <w:t xml:space="preserve">The digital </w:t>
      </w:r>
      <w:r w:rsidR="00825BDE">
        <w:t>elevation</w:t>
      </w:r>
      <w:r w:rsidR="0072023C">
        <w:t xml:space="preserve"> model (DEM) from the </w:t>
      </w:r>
      <w:r w:rsidR="0072023C" w:rsidRPr="0072023C">
        <w:rPr>
          <w:rStyle w:val="Emphasis"/>
          <w:i w:val="0"/>
        </w:rPr>
        <w:t>Shuttle Radar Topography Mission</w:t>
      </w:r>
      <w:r w:rsidR="0072023C" w:rsidRPr="0072023C">
        <w:rPr>
          <w:rStyle w:val="acopre"/>
          <w:i/>
        </w:rPr>
        <w:t xml:space="preserve"> </w:t>
      </w:r>
      <w:r w:rsidR="0072023C">
        <w:rPr>
          <w:rStyle w:val="acopre"/>
        </w:rPr>
        <w:t>show</w:t>
      </w:r>
      <w:r w:rsidR="00FF4CC4">
        <w:rPr>
          <w:rStyle w:val="acopre"/>
        </w:rPr>
        <w:t>s</w:t>
      </w:r>
      <w:r w:rsidR="0072023C">
        <w:rPr>
          <w:rStyle w:val="acopre"/>
        </w:rPr>
        <w:t xml:space="preserve"> that</w:t>
      </w:r>
      <w:r w:rsidR="003A4EB7">
        <w:t xml:space="preserve"> </w:t>
      </w:r>
      <w:r w:rsidR="00F37534">
        <w:t>elevation</w:t>
      </w:r>
      <w:r w:rsidR="00A416E9">
        <w:t xml:space="preserve"> of the </w:t>
      </w:r>
      <w:r w:rsidR="00F37534">
        <w:t>catchment</w:t>
      </w:r>
      <w:r w:rsidR="00A416E9">
        <w:t xml:space="preserve"> varies in a wide range, </w:t>
      </w:r>
      <w:r w:rsidR="003A4EB7">
        <w:t>f</w:t>
      </w:r>
      <w:r w:rsidR="00EE2898">
        <w:t>rom 330 to 1120 m above mean sea level (</w:t>
      </w:r>
      <w:proofErr w:type="spellStart"/>
      <w:r w:rsidR="00EE2898">
        <w:t>a.m.s.l</w:t>
      </w:r>
      <w:proofErr w:type="spellEnd"/>
      <w:r w:rsidR="00EE2898">
        <w:t xml:space="preserve">). </w:t>
      </w:r>
      <w:r w:rsidR="003F59AF">
        <w:t xml:space="preserve">Despite the area of the study area covers a relatively large area with high </w:t>
      </w:r>
      <w:r w:rsidR="003F59AF">
        <w:lastRenderedPageBreak/>
        <w:t>variation in topography, there is only one weather station located in the area. Observed rainfall shows that the</w:t>
      </w:r>
      <w:r w:rsidR="00EE2898">
        <w:t xml:space="preserve"> average annual rainfall of 1165 mm with </w:t>
      </w:r>
      <w:r w:rsidR="003F59AF">
        <w:t xml:space="preserve">high temporal variation, </w:t>
      </w:r>
      <w:r w:rsidR="00EE2898">
        <w:t>more than 80% of the rainfall occurs between June and October</w:t>
      </w:r>
      <w:r w:rsidR="00C608B4">
        <w:t xml:space="preserve"> </w:t>
      </w:r>
      <w:r w:rsidR="00C608B4">
        <w:fldChar w:fldCharType="begin" w:fldLock="1"/>
      </w:r>
      <w:r w:rsidR="00D801E7">
        <w:instrText>ADDIN CSL_CITATION {"citationItems":[{"id":"ITEM-1","itemData":{"DOI":"10.1016/j.scitotenv.2018.08.248","ISSN":"18791026","abstract":"Irrigation water is one of the most substantial water uses worldwide. Thus, global simulation studies about water availability and demand typically include irrigation. Nowadays, regional scale is of major interest for water resources management but irrigation lacks attention in many catchment modelling studies. This study evaluated the performance of the agro-hydrological model SWAT (Soil and Water Assessment Tool) for simulating streamflow, evapotranspiration and irrigation in four catchments of different agro-climatic zones at meso-scale (Baitarani/India: Subtropical monsoon; Ilmenau/Germany: Humid; Itata/Chile: Mediterranean; Thubon/Vietnam: Tropical). The models were calibrated well with Kling-Gupta Efficiency (KGE) varying from 0.74–0.89 and percentage bias (PBIAS) from 5.66–6.43%. The simulated irrigation is higher when irrigation is triggered by soil-water deficit compared to plant-water stress. The simulated irrigation scheduling scenarios showed that a significant amount of water can be saved by applying deficit irrigation (25–48%) with a small reduction in annual average crop yield (0–3.3%) in all climatic zones. Many catchments with a high share of irrigated agriculture are located in developing countries with a low availability of input data. For that reason, the application of uncorrected and bias-corrected National Centers for Environmental Prediction (NCEP) and ERA-interim (ERA) reanalysis data was evaluated for all model scenarios. The simulated streamflow under bias-corrected climate variables is close to the observed streamflow with ERA performing better than NCEP. However, the deviation in simulated irrigation between observed and reanalysis climate varies from −25.5–45.3%, whereas the relative irrigation water savings by deficit irrigation could be shown by all climate input data. The overall variability in simulated irrigation requirement depends mainly on the climate input data. Studies about irrigation requirement in data scarce areas must address this in particular when using reanalysis data.","author":[{"dropping-particle":"","family":"Uniyal","given":"Bhumika","non-dropping-particle":"","parse-names":false,"suffix":""},{"dropping-particle":"","family":"Dietrich","given":"Jörg","non-dropping-particle":"","parse-names":false,"suffix":""},{"dropping-particle":"","family":"Vu","given":"Ngoc Quynh","non-dropping-particle":"","parse-names":false,"suffix":""},{"dropping-particle":"","family":"Jha","given":"Madan K.","non-dropping-particle":"","parse-names":false,"suffix":""},{"dropping-particle":"","family":"Arumí","given":"José Luis","non-dropping-particle":"","parse-names":false,"suffix":""}],"container-title":"Science of the Total Environment","id":"ITEM-1","issued":{"date-parts":[["2019"]]},"title":"Simulation of regional irrigation requirement with SWAT in different agro-climatic zones driven by observed climate and two reanalysis datasets","type":"article-journal","volume":"649"},"uris":["http://www.mendeley.com/documents/?uuid=4c36ab0d-14a9-31b2-914a-329b8d461885"]}],"mendeley":{"formattedCitation":"(Uniyal et al., 2019)","plainTextFormattedCitation":"(Uniyal et al., 2019)","previouslyFormattedCitation":"(Uniyal et al., 2019)"},"properties":{"noteIndex":0},"schema":"https://github.com/citation-style-language/schema/raw/master/csl-citation.json"}</w:instrText>
      </w:r>
      <w:r w:rsidR="00C608B4">
        <w:fldChar w:fldCharType="separate"/>
      </w:r>
      <w:r w:rsidR="00C608B4" w:rsidRPr="00C608B4">
        <w:rPr>
          <w:noProof/>
        </w:rPr>
        <w:t>(Uniyal et al., 2019)</w:t>
      </w:r>
      <w:r w:rsidR="00C608B4">
        <w:fldChar w:fldCharType="end"/>
      </w:r>
      <w:r w:rsidR="00EE2898">
        <w:t xml:space="preserve">. The average monthly minimum and maximum temperature in the area are 11℃ and 34℃, respectively. The dominant land uses/land covers in the area are agricultural, </w:t>
      </w:r>
      <w:r w:rsidR="00EB5A76">
        <w:t xml:space="preserve">forest, </w:t>
      </w:r>
      <w:r w:rsidR="00EE2898">
        <w:t xml:space="preserve">and </w:t>
      </w:r>
      <w:r w:rsidR="00DE035A">
        <w:t>range g</w:t>
      </w:r>
      <w:r w:rsidR="00DE035A" w:rsidRPr="00DE035A">
        <w:t>rass</w:t>
      </w:r>
      <w:r w:rsidR="00EE2898">
        <w:t>, accounting for about 3</w:t>
      </w:r>
      <w:r w:rsidR="00EB5A76">
        <w:t>6</w:t>
      </w:r>
      <w:r w:rsidR="00EE2898">
        <w:t>%, 3</w:t>
      </w:r>
      <w:r w:rsidR="00EB5A76">
        <w:t>2</w:t>
      </w:r>
      <w:r w:rsidR="00EE2898">
        <w:t xml:space="preserve">%, and 25% of the study area, respectively. </w:t>
      </w:r>
      <w:r w:rsidR="00FF4CC4">
        <w:t>The main s</w:t>
      </w:r>
      <w:r w:rsidR="00EE2898">
        <w:t xml:space="preserve">oil type in the area is sandy clay loam with low water holding capacity </w:t>
      </w:r>
      <w:r w:rsidR="00C608B4">
        <w:fldChar w:fldCharType="begin" w:fldLock="1"/>
      </w:r>
      <w:r w:rsidR="00D801E7">
        <w:instrText>ADDIN CSL_CITATION {"citationItems":[{"id":"ITEM-1","itemData":{"DOI":"10.1016/j.scitotenv.2018.08.248","ISSN":"18791026","abstract":"Irrigation water is one of the most substantial water uses worldwide. Thus, global simulation studies about water availability and demand typically include irrigation. Nowadays, regional scale is of major interest for water resources management but irrigation lacks attention in many catchment modelling studies. This study evaluated the performance of the agro-hydrological model SWAT (Soil and Water Assessment Tool) for simulating streamflow, evapotranspiration and irrigation in four catchments of different agro-climatic zones at meso-scale (Baitarani/India: Subtropical monsoon; Ilmenau/Germany: Humid; Itata/Chile: Mediterranean; Thubon/Vietnam: Tropical). The models were calibrated well with Kling-Gupta Efficiency (KGE) varying from 0.74–0.89 and percentage bias (PBIAS) from 5.66–6.43%. The simulated irrigation is higher when irrigation is triggered by soil-water deficit compared to plant-water stress. The simulated irrigation scheduling scenarios showed that a significant amount of water can be saved by applying deficit irrigation (25–48%) with a small reduction in annual average crop yield (0–3.3%) in all climatic zones. Many catchments with a high share of irrigated agriculture are located in developing countries with a low availability of input data. For that reason, the application of uncorrected and bias-corrected National Centers for Environmental Prediction (NCEP) and ERA-interim (ERA) reanalysis data was evaluated for all model scenarios. The simulated streamflow under bias-corrected climate variables is close to the observed streamflow with ERA performing better than NCEP. However, the deviation in simulated irrigation between observed and reanalysis climate varies from −25.5–45.3%, whereas the relative irrigation water savings by deficit irrigation could be shown by all climate input data. The overall variability in simulated irrigation requirement depends mainly on the climate input data. Studies about irrigation requirement in data scarce areas must address this in particular when using reanalysis data.","author":[{"dropping-particle":"","family":"Uniyal","given":"Bhumika","non-dropping-particle":"","parse-names":false,"suffix":""},{"dropping-particle":"","family":"Dietrich","given":"Jörg","non-dropping-particle":"","parse-names":false,"suffix":""},{"dropping-particle":"","family":"Vu","given":"Ngoc Quynh","non-dropping-particle":"","parse-names":false,"suffix":""},{"dropping-particle":"","family":"Jha","given":"Madan K.","non-dropping-particle":"","parse-names":false,"suffix":""},{"dropping-particle":"","family":"Arumí","given":"José Luis","non-dropping-particle":"","parse-names":false,"suffix":""}],"container-title":"Science of the Total Environment","id":"ITEM-1","issued":{"date-parts":[["2019"]]},"title":"Simulation of regional irrigation requirement with SWAT in different agro-climatic zones driven by observed climate and two reanalysis datasets","type":"article-journal","volume":"649"},"uris":["http://www.mendeley.com/documents/?uuid=4c36ab0d-14a9-31b2-914a-329b8d461885"]}],"mendeley":{"formattedCitation":"(Uniyal et al., 2019)","plainTextFormattedCitation":"(Uniyal et al., 2019)","previouslyFormattedCitation":"(Uniyal et al., 2019)"},"properties":{"noteIndex":0},"schema":"https://github.com/citation-style-language/schema/raw/master/csl-citation.json"}</w:instrText>
      </w:r>
      <w:r w:rsidR="00C608B4">
        <w:fldChar w:fldCharType="separate"/>
      </w:r>
      <w:r w:rsidR="00C608B4" w:rsidRPr="00C608B4">
        <w:rPr>
          <w:noProof/>
        </w:rPr>
        <w:t>(Uniyal et al., 2019)</w:t>
      </w:r>
      <w:r w:rsidR="00C608B4">
        <w:fldChar w:fldCharType="end"/>
      </w:r>
      <w:r w:rsidR="00EE2898">
        <w:t xml:space="preserve">. </w:t>
      </w:r>
    </w:p>
    <w:p w:rsidR="00EE2898" w:rsidRDefault="000044C0" w:rsidP="00EE2898">
      <w:pPr>
        <w:spacing w:before="120" w:after="120" w:line="360" w:lineRule="auto"/>
        <w:jc w:val="center"/>
      </w:pPr>
      <w:r w:rsidRPr="008100E7">
        <w:rPr>
          <w:noProof/>
        </w:rPr>
        <w:drawing>
          <wp:inline distT="0" distB="0" distL="0" distR="0">
            <wp:extent cx="3477895" cy="4299585"/>
            <wp:effectExtent l="0" t="0" r="8255"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77895" cy="4299585"/>
                    </a:xfrm>
                    <a:prstGeom prst="rect">
                      <a:avLst/>
                    </a:prstGeom>
                    <a:noFill/>
                    <a:ln>
                      <a:noFill/>
                    </a:ln>
                  </pic:spPr>
                </pic:pic>
              </a:graphicData>
            </a:graphic>
          </wp:inline>
        </w:drawing>
      </w:r>
    </w:p>
    <w:p w:rsidR="004933FE" w:rsidRDefault="00EE2898" w:rsidP="00EE2898">
      <w:pPr>
        <w:spacing w:before="120" w:after="120" w:line="360" w:lineRule="auto"/>
        <w:jc w:val="both"/>
      </w:pPr>
      <w:r w:rsidRPr="00DB63B4">
        <w:rPr>
          <w:b/>
        </w:rPr>
        <w:t xml:space="preserve">Figure </w:t>
      </w:r>
      <w:r w:rsidR="00F5673A">
        <w:rPr>
          <w:b/>
        </w:rPr>
        <w:t>1</w:t>
      </w:r>
      <w:r>
        <w:t xml:space="preserve">. Location of the Upper </w:t>
      </w:r>
      <w:r w:rsidR="00CD6AB8">
        <w:t>Baitarani</w:t>
      </w:r>
      <w:r>
        <w:t xml:space="preserve"> catchment and the Digital Elevation Model (DEM).</w:t>
      </w:r>
    </w:p>
    <w:p w:rsidR="005952ED" w:rsidRPr="001007F0" w:rsidRDefault="005952ED" w:rsidP="0042487B">
      <w:pPr>
        <w:pStyle w:val="Heading2"/>
      </w:pPr>
      <w:r>
        <w:rPr>
          <w:lang w:val="en-US"/>
        </w:rPr>
        <w:t>2.</w:t>
      </w:r>
      <w:r w:rsidR="00B665C4">
        <w:rPr>
          <w:lang w:val="en-US"/>
        </w:rPr>
        <w:t>2</w:t>
      </w:r>
      <w:r w:rsidRPr="0004325A">
        <w:t xml:space="preserve">. </w:t>
      </w:r>
      <w:r w:rsidR="00E0022E">
        <w:t>Spatiotemporal</w:t>
      </w:r>
      <w:r>
        <w:t xml:space="preserve"> and </w:t>
      </w:r>
      <w:r w:rsidR="00E0022E">
        <w:t xml:space="preserve">temporospatial </w:t>
      </w:r>
      <w:r>
        <w:t>model performance evaluation</w:t>
      </w:r>
    </w:p>
    <w:p w:rsidR="005952ED" w:rsidRDefault="005952ED" w:rsidP="005952ED">
      <w:pPr>
        <w:spacing w:before="120" w:after="120" w:line="360" w:lineRule="auto"/>
        <w:jc w:val="both"/>
      </w:pPr>
      <w:r>
        <w:tab/>
      </w:r>
      <w:r w:rsidRPr="009902AB">
        <w:t xml:space="preserve">Evaluation of the spatial and temporal performance is the evaluation of the </w:t>
      </w:r>
      <w:r w:rsidR="00D00FAB" w:rsidRPr="009902AB">
        <w:t xml:space="preserve">simulated </w:t>
      </w:r>
      <w:r w:rsidR="00E0022E">
        <w:t>spatiotemporal</w:t>
      </w:r>
      <w:r w:rsidRPr="009902AB">
        <w:t xml:space="preserve"> data against the reference (or observed) </w:t>
      </w:r>
      <w:r w:rsidR="00E0022E">
        <w:t>spatiotemporal</w:t>
      </w:r>
      <w:r w:rsidRPr="009902AB">
        <w:t xml:space="preserve"> data. Here, we </w:t>
      </w:r>
      <w:r w:rsidR="00361772">
        <w:t>consider</w:t>
      </w:r>
      <w:r w:rsidRPr="009902AB">
        <w:t xml:space="preserve"> </w:t>
      </w:r>
      <w:r w:rsidR="005E56B2">
        <w:t>the models with</w:t>
      </w:r>
      <w:r w:rsidR="00CA6020">
        <w:t xml:space="preserve"> output</w:t>
      </w:r>
      <w:r w:rsidRPr="009902AB">
        <w:t xml:space="preserve"> </w:t>
      </w:r>
      <w:r w:rsidR="00CA6020">
        <w:t>data that need to be evaluated are</w:t>
      </w:r>
      <w:r w:rsidRPr="009902AB">
        <w:t xml:space="preserve"> time-seri</w:t>
      </w:r>
      <w:r w:rsidR="005E56B2">
        <w:t>es</w:t>
      </w:r>
      <w:r w:rsidRPr="009902AB">
        <w:t xml:space="preserve"> data at every pixel (with an equal area) of the modeling domain (Figure </w:t>
      </w:r>
      <w:r w:rsidR="00935CEE">
        <w:t>2</w:t>
      </w:r>
      <w:r w:rsidRPr="009902AB">
        <w:t>).</w:t>
      </w:r>
    </w:p>
    <w:p w:rsidR="005952ED" w:rsidRDefault="00860DE2" w:rsidP="005952ED">
      <w:pPr>
        <w:spacing w:before="120" w:after="120" w:line="360" w:lineRule="auto"/>
        <w:jc w:val="both"/>
        <w:rPr>
          <w:noProof/>
        </w:rPr>
      </w:pPr>
      <w:r>
        <w:rPr>
          <w:noProof/>
        </w:rPr>
        <w:lastRenderedPageBreak/>
        <w:drawing>
          <wp:inline distT="0" distB="0" distL="0" distR="0" wp14:anchorId="3064F8E4" wp14:editId="266D1514">
            <wp:extent cx="5732145" cy="3736975"/>
            <wp:effectExtent l="0" t="0" r="190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2145" cy="3736975"/>
                    </a:xfrm>
                    <a:prstGeom prst="rect">
                      <a:avLst/>
                    </a:prstGeom>
                  </pic:spPr>
                </pic:pic>
              </a:graphicData>
            </a:graphic>
          </wp:inline>
        </w:drawing>
      </w:r>
    </w:p>
    <w:p w:rsidR="005952ED" w:rsidRDefault="005952ED" w:rsidP="005952ED">
      <w:pPr>
        <w:spacing w:before="120" w:after="120" w:line="360" w:lineRule="auto"/>
        <w:jc w:val="both"/>
      </w:pPr>
      <w:r w:rsidRPr="009902AB">
        <w:rPr>
          <w:b/>
        </w:rPr>
        <w:t xml:space="preserve">Figure </w:t>
      </w:r>
      <w:r w:rsidR="00000743">
        <w:rPr>
          <w:b/>
        </w:rPr>
        <w:t>2</w:t>
      </w:r>
      <w:r>
        <w:t xml:space="preserve">. Approaches for evaluating </w:t>
      </w:r>
      <w:r w:rsidR="00E0022E">
        <w:t>spatiotemporal</w:t>
      </w:r>
      <w:r>
        <w:t xml:space="preserve"> and </w:t>
      </w:r>
      <w:r w:rsidR="00E0022E">
        <w:t xml:space="preserve">temporospatial </w:t>
      </w:r>
      <w:r>
        <w:t>model performance.</w:t>
      </w:r>
    </w:p>
    <w:p w:rsidR="005952ED" w:rsidRDefault="005952ED" w:rsidP="00B806BE">
      <w:pPr>
        <w:spacing w:before="120" w:after="120" w:line="360" w:lineRule="auto"/>
        <w:jc w:val="both"/>
      </w:pPr>
      <w:r>
        <w:tab/>
      </w:r>
      <w:r w:rsidRPr="00B81078">
        <w:t xml:space="preserve">In the </w:t>
      </w:r>
      <w:r w:rsidR="00A0683A">
        <w:t>spatiotemporal</w:t>
      </w:r>
      <w:r w:rsidR="00E0022E" w:rsidRPr="00B81078">
        <w:t xml:space="preserve"> </w:t>
      </w:r>
      <w:r w:rsidRPr="00B81078">
        <w:t>approach</w:t>
      </w:r>
      <w:r w:rsidR="00860DE2">
        <w:t xml:space="preserve"> (Figure 2)</w:t>
      </w:r>
      <w:r w:rsidRPr="00B81078">
        <w:t>, the simulated time-series data at every pixel is first</w:t>
      </w:r>
      <w:r>
        <w:t xml:space="preserve"> evaluated against the reference time-series data at the corresponding pixel using a temporal performance index T (</w:t>
      </w:r>
      <w:r w:rsidR="003C69A8">
        <w:t xml:space="preserve">e.g., NSE, KGE, PBIAS, </w:t>
      </w:r>
      <w:r w:rsidR="00B806BE">
        <w:t>RMSE</w:t>
      </w:r>
      <w:r>
        <w:t xml:space="preserve">). </w:t>
      </w:r>
      <w:r w:rsidR="00B81078">
        <w:t>The spatial variation of the temporal index T provides i</w:t>
      </w:r>
      <w:r>
        <w:t xml:space="preserve">nformation </w:t>
      </w:r>
      <w:r w:rsidR="00B81078">
        <w:t>on</w:t>
      </w:r>
      <w:r>
        <w:t xml:space="preserve"> the </w:t>
      </w:r>
      <w:r w:rsidR="00680CC0">
        <w:t>spatiotemporal</w:t>
      </w:r>
      <w:r w:rsidR="00E0022E">
        <w:t xml:space="preserve"> </w:t>
      </w:r>
      <w:r>
        <w:t xml:space="preserve">model performance. In the </w:t>
      </w:r>
      <w:r w:rsidR="00EC6E6C">
        <w:t>temporospatial</w:t>
      </w:r>
      <w:r>
        <w:t xml:space="preserve"> approach</w:t>
      </w:r>
      <w:r w:rsidR="00F743F7">
        <w:t xml:space="preserve"> </w:t>
      </w:r>
      <w:r w:rsidR="00F743F7">
        <w:t>(Figure 2)</w:t>
      </w:r>
      <w:bookmarkStart w:id="0" w:name="_GoBack"/>
      <w:bookmarkEnd w:id="0"/>
      <w:r>
        <w:t>, the simulated spatial pattern</w:t>
      </w:r>
      <w:r w:rsidR="005763DB">
        <w:t>s</w:t>
      </w:r>
      <w:r>
        <w:t xml:space="preserve"> </w:t>
      </w:r>
      <w:r w:rsidR="005763DB">
        <w:t>are</w:t>
      </w:r>
      <w:r>
        <w:t xml:space="preserve"> evaluated against the reference spatial pattern</w:t>
      </w:r>
      <w:r w:rsidR="005763DB">
        <w:t>s</w:t>
      </w:r>
      <w:r>
        <w:t xml:space="preserve"> at every time</w:t>
      </w:r>
      <w:r w:rsidR="005763DB">
        <w:t xml:space="preserve"> </w:t>
      </w:r>
      <w:r>
        <w:t>step using the spatial index S (</w:t>
      </w:r>
      <w:r w:rsidR="00B806BE">
        <w:t>e.g</w:t>
      </w:r>
      <w:r w:rsidR="008538E9">
        <w:t>.</w:t>
      </w:r>
      <w:r w:rsidR="00B806BE">
        <w:t>, SPAEF, RMSE</w:t>
      </w:r>
      <w:r>
        <w:t xml:space="preserve">). Information about the </w:t>
      </w:r>
      <w:r w:rsidR="00E0022E">
        <w:t xml:space="preserve">temporospatial </w:t>
      </w:r>
      <w:r>
        <w:t xml:space="preserve">model performance could be obtained </w:t>
      </w:r>
      <w:r w:rsidR="009A01F9">
        <w:t>from</w:t>
      </w:r>
      <w:r>
        <w:t xml:space="preserve"> the temporal v</w:t>
      </w:r>
      <w:r w:rsidR="00B81078">
        <w:t>ariation of the spatial index S</w:t>
      </w:r>
      <w:r>
        <w:t xml:space="preserve">. </w:t>
      </w:r>
    </w:p>
    <w:p w:rsidR="00A47BF1" w:rsidRPr="009D072F" w:rsidRDefault="00A47BF1" w:rsidP="0042487B">
      <w:pPr>
        <w:pStyle w:val="Heading2"/>
        <w:rPr>
          <w:lang w:val="en-US"/>
        </w:rPr>
      </w:pPr>
      <w:r>
        <w:rPr>
          <w:lang w:val="en-US"/>
        </w:rPr>
        <w:t>2.</w:t>
      </w:r>
      <w:r w:rsidR="00B665C4">
        <w:rPr>
          <w:lang w:val="en-US"/>
        </w:rPr>
        <w:t>3</w:t>
      </w:r>
      <w:r w:rsidRPr="0004325A">
        <w:t xml:space="preserve">. </w:t>
      </w:r>
      <w:r w:rsidR="00031EB6">
        <w:rPr>
          <w:lang w:val="en-US"/>
        </w:rPr>
        <w:t xml:space="preserve">Reference </w:t>
      </w:r>
      <w:r w:rsidR="00E0022E">
        <w:rPr>
          <w:lang w:val="en-US"/>
        </w:rPr>
        <w:t>spatiotemporal</w:t>
      </w:r>
      <w:r w:rsidR="00031EB6">
        <w:rPr>
          <w:lang w:val="en-US"/>
        </w:rPr>
        <w:t xml:space="preserve"> ETa</w:t>
      </w:r>
    </w:p>
    <w:p w:rsidR="006C2C26" w:rsidRDefault="00812272" w:rsidP="00E46D8B">
      <w:pPr>
        <w:spacing w:beforeLines="120" w:before="288" w:afterLines="120" w:after="288" w:line="360" w:lineRule="auto"/>
      </w:pPr>
      <w:r>
        <w:tab/>
      </w:r>
      <w:r w:rsidR="00FA37A8">
        <w:t xml:space="preserve">In this study, </w:t>
      </w:r>
      <w:r w:rsidR="00766DCB">
        <w:t>global</w:t>
      </w:r>
      <w:r w:rsidR="00C4122D">
        <w:t xml:space="preserve"> satellite-based</w:t>
      </w:r>
      <w:r w:rsidR="00A47BF1">
        <w:t xml:space="preserve"> ETa </w:t>
      </w:r>
      <w:r w:rsidR="00FA37A8">
        <w:t>products</w:t>
      </w:r>
      <w:r w:rsidR="0054615B">
        <w:t xml:space="preserve"> from the Moderate Resolution Imaging </w:t>
      </w:r>
      <w:proofErr w:type="spellStart"/>
      <w:r w:rsidR="0054615B">
        <w:t>Spectroradiometer</w:t>
      </w:r>
      <w:proofErr w:type="spellEnd"/>
      <w:r w:rsidR="0054615B">
        <w:t xml:space="preserve"> </w:t>
      </w:r>
      <w:r w:rsidR="00D801E7">
        <w:fldChar w:fldCharType="begin" w:fldLock="1"/>
      </w:r>
      <w:r w:rsidR="00DE035A">
        <w:instrText>ADDIN CSL_CITATION {"citationItems":[{"id":"ITEM-1","itemData":{"abstract":"This Algorithm Theoretical Basis Document (ATBD) describes a level 4 MODIS land data product, MOD16, the global 8-day (MOD16A2) and annual (MOD16A3) terrestrial ecosystem Evapotranspiration (ET) dataset at 1-km spatial resolution over the 109.03 Million km2 global vegetated land areas. The MOD16 algorithm is based on the logic of the Penman-Monteith equation which uses daily meteorological reanalysis data and 8-day remotely sensed vegetation property dynamics from MODIS as inputs. The MOD16 ET algorithm runs at daily basis and temporally, daily ET is the sum of ET from daytime and night. Vertically, ET is the sum of water vapor fluxes from soil evaporation, wet canopy evaporation and plant transpiration at dry canopy surface. MODIS 8-day FPAR is used as vegetation cover faction to quantify how much surface net radiation is allocated between soil and vegetation; MODIS 8-day albedo and daily surface downward solar radiation and air temperature from daily meteorological reanalysis data are used to calculate surface net radiation and soil heat flux; daily air temperature, vapor pressure deficit (VPD) and relative humidity data, and 8-day MODIS LAI are used to estimate surface stomatal conductance, aerodynamic resistance, wet canopy, soil heat flux and other key environmental variables. MODIS land cover is used to specify the biome type for each pixel, and the biome-dependent constant parameters for the algorithm are saved in a Biome-Property-Lookup-Table (BPLUT). Except for minimum daily air temperature and VPD, which are directly adopted from the existing algorithm of the MODIS global terrestrial gross and net primary production (MODIS GPP/NPP), the BPLUT is tuned largely based on a set of targeted annual ET for each biome derived from MODIS GPP and water use efficiency calculated from eddy flux towers. The MOD16 ET has been validated with ET measured at eddy flux towers and ET estimated from 232 watersheds. Averaged over 2000-2010, the total global annual ET over the vegetated land surface is 63.4?103 km3, with an average of 569 ± 358 mm yr-1, comparable to the recent global estimates. Similar to other MODIS level 3 or level 4 MODIS land data products, 8-day and monthly MOD16A2 and annual MOD16A3 datasets are saved in 10-degree Sinusoidal HDFEOS tiles. Thanks to the powerful internal compression of HDFEOS, for each year, the size of the MOD16A2 and MOD16A3 together takes about 39GB. Since 2006, there have been 193 users from 30 countries requesting MODIS …","author":[{"dropping-particle":"","family":"Mu","given":"Qiaozhen","non-dropping-particle":"","parse-names":false,"suffix":""},{"dropping-particle":"","family":"Zhao","given":"Maosheng","non-dropping-particle":"","parse-names":false,"suffix":""},{"dropping-particle":"","family":"Running","given":"Steven W.","non-dropping-particle":"","parse-names":false,"suffix":""}],"container-title":"Algorithm Theoretical Basis Document","id":"ITEM-1","issued":{"date-parts":[["2013"]]},"title":"MODIS Global Terrestrial Evapotranspiration (ET) Product (MOD16A2/A3)","type":"article-journal","volume":"Collection"},"uris":["http://www.mendeley.com/documents/?uuid=e93a4300-3c0a-3479-ad25-6ddb436f8719"]}],"mendeley":{"formattedCitation":"(Mu et al., 2013)","manualFormatting":"(MOD16 A2; Mu et al., 2013)","plainTextFormattedCitation":"(Mu et al., 2013)","previouslyFormattedCitation":"(Mu et al., 2013)"},"properties":{"noteIndex":0},"schema":"https://github.com/citation-style-language/schema/raw/master/csl-citation.json"}</w:instrText>
      </w:r>
      <w:r w:rsidR="00D801E7">
        <w:fldChar w:fldCharType="separate"/>
      </w:r>
      <w:r w:rsidR="00D801E7" w:rsidRPr="00D801E7">
        <w:rPr>
          <w:noProof/>
        </w:rPr>
        <w:t>(</w:t>
      </w:r>
      <w:r w:rsidR="00D801E7">
        <w:rPr>
          <w:noProof/>
        </w:rPr>
        <w:t>MOD16</w:t>
      </w:r>
      <w:r w:rsidR="00D44414">
        <w:rPr>
          <w:noProof/>
        </w:rPr>
        <w:t xml:space="preserve"> </w:t>
      </w:r>
      <w:r w:rsidR="00D801E7">
        <w:rPr>
          <w:noProof/>
        </w:rPr>
        <w:t xml:space="preserve">A2; </w:t>
      </w:r>
      <w:r w:rsidR="00D801E7" w:rsidRPr="00D801E7">
        <w:rPr>
          <w:noProof/>
        </w:rPr>
        <w:t>Mu et al., 2013)</w:t>
      </w:r>
      <w:r w:rsidR="00D801E7">
        <w:fldChar w:fldCharType="end"/>
      </w:r>
      <w:r w:rsidR="0054615B">
        <w:t xml:space="preserve">, </w:t>
      </w:r>
      <w:r w:rsidR="0054615B" w:rsidRPr="00F85FA8">
        <w:t xml:space="preserve">the operational Simplified Surface Energy Balance </w:t>
      </w:r>
      <w:r w:rsidR="0054615B">
        <w:t xml:space="preserve">model </w:t>
      </w:r>
      <w:r w:rsidR="00D801E7">
        <w:fldChar w:fldCharType="begin" w:fldLock="1"/>
      </w:r>
      <w:r w:rsidR="00D801E7">
        <w:instrText>ADDIN CSL_CITATION {"citationItems":[{"id":"ITEM-1","itemData":{"DOI":"10.1111/jawr.12057","ISSN":"1093474X","abstract":"The increasing availability of multi-scale remotely sensed data and global weather datasets is allowing the estimation of evapotranspiration (ET) at multiple scales. We present a simple but robust method that uses remotely sensed thermal data and model-assimilated weather fields to produce ET for the contiguous United States (CONUS) at monthly and seasonal time scales. The method is based on the Simplified Surface Energy Balance (SSEB) model, which is now parameterized for operational applications, renamed as SSEBop. The innovative aspect of the SSEBop is that it uses predefined boundary conditions that are unique to each pixel for the \"hot\" and \"cold\" reference conditions. The SSEBop model was used for computing ET for 12 years (2000-2011) using the MODIS and Global Data Assimilation System (GDAS) data streams. SSEBop ET results compared reasonably well with monthly eddy covariance ET data explaining 64% of the observed variability across diverse ecosystems in the CONUS during 2005. Twelve annual ET anomalies (2000-2011) depicted the spatial extent and severity of the commonly known drought years in the CONUS. More research is required to improve the representation of the predefined boundary conditions in complex terrain at small spatial scales. SSEBop model was found to be a promising approach to conduct water use studies in the CONUS, with a similar opportunity in other parts of the world. The approach can also be applied with other thermal sensors such as Landsat. © 2013 American Water Resources Association.","author":[{"dropping-particle":"","family":"Senay","given":"Gabriel B.","non-dropping-particle":"","parse-names":false,"suffix":""},{"dropping-particle":"","family":"Bohms","given":"Stefanie","non-dropping-particle":"","parse-names":false,"suffix":""},{"dropping-particle":"","family":"Singh","given":"Ramesh K.","non-dropping-particle":"","parse-names":false,"suffix":""},{"dropping-particle":"","family":"Gowda","given":"Prasanna H.","non-dropping-particle":"","parse-names":false,"suffix":""},{"dropping-particle":"","family":"Velpuri","given":"Naga M.","non-dropping-particle":"","parse-names":false,"suffix":""},{"dropping-particle":"","family":"Alemu","given":"Henok","non-dropping-particle":"","parse-names":false,"suffix":""},{"dropping-particle":"","family":"Verdin","given":"James P.","non-dropping-particle":"","parse-names":false,"suffix":""}],"container-title":"Journal of the American Water Resources Association","id":"ITEM-1","issue":"3","issued":{"date-parts":[["2013"]]},"title":"Operational Evapotranspiration Mapping Using Remote Sensing and Weather Datasets: A New Parameterization for the SSEB Approach","type":"article-journal","volume":"49"},"uris":["http://www.mendeley.com/documents/?uuid=1e6f066e-19c6-3ea9-887d-8ee60710a3da"]}],"mendeley":{"formattedCitation":"(Senay et al., 2013)","manualFormatting":"(SSEBop; Senay et al., 2013)","plainTextFormattedCitation":"(Senay et al., 2013)","previouslyFormattedCitation":"(Senay et al., 2013)"},"properties":{"noteIndex":0},"schema":"https://github.com/citation-style-language/schema/raw/master/csl-citation.json"}</w:instrText>
      </w:r>
      <w:r w:rsidR="00D801E7">
        <w:fldChar w:fldCharType="separate"/>
      </w:r>
      <w:r w:rsidR="00D801E7" w:rsidRPr="00D801E7">
        <w:rPr>
          <w:noProof/>
        </w:rPr>
        <w:t>(</w:t>
      </w:r>
      <w:r w:rsidR="00D801E7" w:rsidRPr="00F85FA8">
        <w:rPr>
          <w:noProof/>
        </w:rPr>
        <w:t>SSEBop</w:t>
      </w:r>
      <w:r w:rsidR="00D801E7">
        <w:rPr>
          <w:noProof/>
        </w:rPr>
        <w:t xml:space="preserve">; </w:t>
      </w:r>
      <w:r w:rsidR="00D801E7" w:rsidRPr="00D801E7">
        <w:rPr>
          <w:noProof/>
        </w:rPr>
        <w:t>Senay et al., 2013)</w:t>
      </w:r>
      <w:r w:rsidR="00D801E7">
        <w:fldChar w:fldCharType="end"/>
      </w:r>
      <w:r w:rsidR="0054615B">
        <w:t xml:space="preserve">, and the TerraClimate </w:t>
      </w:r>
      <w:r w:rsidR="00FA37A8">
        <w:t>were use</w:t>
      </w:r>
      <w:r w:rsidR="000877F3">
        <w:t>d</w:t>
      </w:r>
      <w:r w:rsidR="00CB0790">
        <w:t xml:space="preserve">. ETa from these products </w:t>
      </w:r>
      <w:r w:rsidR="00AF42FE">
        <w:t>w</w:t>
      </w:r>
      <w:r w:rsidR="00D801E7">
        <w:t>as</w:t>
      </w:r>
      <w:r w:rsidR="00F009A9">
        <w:t xml:space="preserve"> estimated based on different </w:t>
      </w:r>
      <w:r w:rsidR="00AF42FE">
        <w:t>techniques</w:t>
      </w:r>
      <w:r w:rsidR="00F009A9">
        <w:t xml:space="preserve"> and are available at different spatial and temporal resolutions.  </w:t>
      </w:r>
      <w:r w:rsidR="00AF42FE">
        <w:t xml:space="preserve">For example, </w:t>
      </w:r>
      <w:r w:rsidR="00CA7CF7">
        <w:t>MOD16</w:t>
      </w:r>
      <w:r w:rsidR="00D44414">
        <w:t xml:space="preserve"> </w:t>
      </w:r>
      <w:r w:rsidR="00CA7CF7">
        <w:t xml:space="preserve">A2 </w:t>
      </w:r>
      <w:r w:rsidR="00514609">
        <w:t xml:space="preserve">ETa </w:t>
      </w:r>
      <w:r w:rsidR="00A40ACC">
        <w:t xml:space="preserve">was </w:t>
      </w:r>
      <w:r w:rsidR="00534302">
        <w:t>derived</w:t>
      </w:r>
      <w:r w:rsidR="003D79E2">
        <w:t xml:space="preserve"> </w:t>
      </w:r>
      <w:r w:rsidR="00534302">
        <w:t>using</w:t>
      </w:r>
      <w:r w:rsidR="00660DA9">
        <w:t xml:space="preserve"> </w:t>
      </w:r>
      <w:r w:rsidR="00AF42FE">
        <w:t xml:space="preserve">the </w:t>
      </w:r>
      <w:r w:rsidR="006257A5" w:rsidRPr="006257A5">
        <w:rPr>
          <w:rStyle w:val="Emphasis"/>
          <w:i w:val="0"/>
        </w:rPr>
        <w:t>Penman</w:t>
      </w:r>
      <w:r w:rsidR="006257A5" w:rsidRPr="006257A5">
        <w:rPr>
          <w:rStyle w:val="acopre"/>
          <w:i/>
        </w:rPr>
        <w:t>–</w:t>
      </w:r>
      <w:proofErr w:type="spellStart"/>
      <w:r w:rsidR="006257A5" w:rsidRPr="006257A5">
        <w:rPr>
          <w:rStyle w:val="Emphasis"/>
          <w:i w:val="0"/>
        </w:rPr>
        <w:t>Monteith</w:t>
      </w:r>
      <w:proofErr w:type="spellEnd"/>
      <w:r w:rsidR="008045AD">
        <w:t xml:space="preserve"> </w:t>
      </w:r>
      <w:r w:rsidR="00154A4C">
        <w:t>approach with daily</w:t>
      </w:r>
      <w:r w:rsidR="00571018">
        <w:t xml:space="preserve"> meteorological reanalysis data</w:t>
      </w:r>
      <w:r w:rsidR="00154A4C">
        <w:t xml:space="preserve"> (air pressure, temperature, humidity, solar radiation) and 8-day</w:t>
      </w:r>
      <w:r w:rsidR="00571018">
        <w:t xml:space="preserve"> </w:t>
      </w:r>
      <w:r w:rsidR="00CA7CF7">
        <w:t>remote-sensing vegetation indices</w:t>
      </w:r>
      <w:r w:rsidR="00154A4C">
        <w:t xml:space="preserve"> (leaf area </w:t>
      </w:r>
      <w:r w:rsidR="00154A4C">
        <w:lastRenderedPageBreak/>
        <w:t xml:space="preserve">index, albedo, </w:t>
      </w:r>
      <w:r w:rsidR="00165C70">
        <w:t>and fraction</w:t>
      </w:r>
      <w:r w:rsidR="00154A4C">
        <w:t xml:space="preserve"> of photosynthetically active radiation). </w:t>
      </w:r>
      <w:r w:rsidR="00FD7994">
        <w:t>MOD16</w:t>
      </w:r>
      <w:r w:rsidR="00000743">
        <w:t xml:space="preserve"> </w:t>
      </w:r>
      <w:r w:rsidR="00FD7994">
        <w:t xml:space="preserve">A2 </w:t>
      </w:r>
      <w:r w:rsidR="00B334C5">
        <w:t xml:space="preserve">ETa </w:t>
      </w:r>
      <w:r w:rsidR="007A46C1">
        <w:t>is available at 0.5-</w:t>
      </w:r>
      <w:r w:rsidR="008045AD">
        <w:t>km spatial resolution and 8-day interval.</w:t>
      </w:r>
      <w:r w:rsidR="006257A5">
        <w:t xml:space="preserve"> </w:t>
      </w:r>
      <w:r w:rsidR="00651C7F">
        <w:t xml:space="preserve">SSEBop ETa </w:t>
      </w:r>
      <w:r w:rsidR="003D79E2">
        <w:t>was</w:t>
      </w:r>
      <w:r w:rsidR="00514609">
        <w:t xml:space="preserve"> </w:t>
      </w:r>
      <w:r w:rsidR="00534302">
        <w:t xml:space="preserve">calculated with the </w:t>
      </w:r>
      <w:r w:rsidR="00155555">
        <w:t>simplified energy balance</w:t>
      </w:r>
      <w:r w:rsidR="00651C7F" w:rsidRPr="00F85FA8">
        <w:t xml:space="preserve"> </w:t>
      </w:r>
      <w:r w:rsidR="00651C7F">
        <w:t xml:space="preserve">model </w:t>
      </w:r>
      <w:r w:rsidR="00803FAC">
        <w:t>(</w:t>
      </w:r>
      <w:proofErr w:type="spellStart"/>
      <w:r w:rsidR="00803FAC">
        <w:t>Senay</w:t>
      </w:r>
      <w:proofErr w:type="spellEnd"/>
      <w:r w:rsidR="00803FAC">
        <w:t xml:space="preserve"> et al., 2013)</w:t>
      </w:r>
      <w:r w:rsidR="00514609">
        <w:t xml:space="preserve">. This model </w:t>
      </w:r>
      <w:r w:rsidR="009B68CC">
        <w:t xml:space="preserve">combines </w:t>
      </w:r>
      <w:r w:rsidR="00C65ECD">
        <w:t xml:space="preserve">the estimated </w:t>
      </w:r>
      <w:r w:rsidR="009B68CC">
        <w:t>ET</w:t>
      </w:r>
      <w:r w:rsidR="00C65ECD">
        <w:t xml:space="preserve"> fraction</w:t>
      </w:r>
      <w:r w:rsidR="009B68CC">
        <w:t xml:space="preserve"> </w:t>
      </w:r>
      <w:r w:rsidR="00660DA9">
        <w:t xml:space="preserve">based on </w:t>
      </w:r>
      <w:r w:rsidR="00C65ECD">
        <w:t>MODIS thermal imagery</w:t>
      </w:r>
      <w:r w:rsidR="009B68CC">
        <w:t xml:space="preserve"> </w:t>
      </w:r>
      <w:r w:rsidR="00660DA9">
        <w:t>and</w:t>
      </w:r>
      <w:r w:rsidR="009B68CC">
        <w:t xml:space="preserve"> </w:t>
      </w:r>
      <w:r w:rsidR="00C65ECD">
        <w:t>grass-reference potential ET</w:t>
      </w:r>
      <w:r w:rsidR="007A46C1">
        <w:t>. SSEBop ETa is available at 1-</w:t>
      </w:r>
      <w:r w:rsidR="00660DA9">
        <w:t xml:space="preserve">km resolution and monthly </w:t>
      </w:r>
      <w:proofErr w:type="spellStart"/>
      <w:r w:rsidR="00514609">
        <w:t>timestep</w:t>
      </w:r>
      <w:proofErr w:type="spellEnd"/>
      <w:r w:rsidR="00AF7F95">
        <w:t xml:space="preserve">. </w:t>
      </w:r>
      <w:r w:rsidR="00A23BB5">
        <w:t xml:space="preserve">TerraClimate ETa </w:t>
      </w:r>
      <w:r w:rsidR="003D79E2">
        <w:t>was estimated</w:t>
      </w:r>
      <w:r w:rsidR="00A23BB5">
        <w:t xml:space="preserve"> based on the </w:t>
      </w:r>
      <w:r w:rsidR="00EC0067">
        <w:t xml:space="preserve">one-dimensional modified </w:t>
      </w:r>
      <w:proofErr w:type="spellStart"/>
      <w:r w:rsidR="00EC0067" w:rsidRPr="00EC0067">
        <w:t>Thornthwaite</w:t>
      </w:r>
      <w:proofErr w:type="spellEnd"/>
      <w:r w:rsidR="00EC0067" w:rsidRPr="00EC0067">
        <w:t>-Mather climatic water-balance mode</w:t>
      </w:r>
      <w:r w:rsidR="00165C70">
        <w:t xml:space="preserve">l </w:t>
      </w:r>
      <w:r w:rsidR="00F26576">
        <w:t>with (1)</w:t>
      </w:r>
      <w:r w:rsidR="00EC0067">
        <w:t xml:space="preserve"> monthly climate data from</w:t>
      </w:r>
      <w:r w:rsidR="00F26576">
        <w:t xml:space="preserve"> </w:t>
      </w:r>
      <w:r w:rsidR="00E6717F">
        <w:t xml:space="preserve">the </w:t>
      </w:r>
      <w:proofErr w:type="spellStart"/>
      <w:r w:rsidR="00EC0067">
        <w:t>WorldClim</w:t>
      </w:r>
      <w:proofErr w:type="spellEnd"/>
      <w:r w:rsidR="00EC0067">
        <w:t xml:space="preserve"> </w:t>
      </w:r>
      <w:r w:rsidR="00C26E1D">
        <w:fldChar w:fldCharType="begin" w:fldLock="1"/>
      </w:r>
      <w:r w:rsidR="00C26E1D">
        <w:instrText>ADDIN CSL_CITATION {"citationItems":[{"id":"ITEM-1","itemData":{"DOI":"10.1002/joc.5086","ISSN":"10970088","abstract":"We created a new dataset of spatially interpolated monthly climate data for global land areas at a very high spatial resolution (approximately 1 km2). We included monthly temperature (minimum, maximum and average), precipitation, solar radiation, vapour pressure and wind speed, aggregated across a target temporal range of 1970–2000, using data from between 9000 and 60 000 weather stations. Weather station data were interpolated using thin-plate splines with covariates including elevation, distance to the coast and three satellite-derived covariates: maximum and minimum land surface temperature as well as cloud cover, obtained with the MODIS satellite platform. Interpolation was done for 23 regions of varying size depending on station density. Satellite data improved prediction accuracy for temperature variables 5–15% (0.07–0.17 °C), particularly for areas with a low station density, although prediction error remained high in such regions for all climate variables. Contributions of satellite covariates were mostly negligible for the other variables, although their importance varied by region. In contrast to the common approach to use a single model formulation for the entire world, we constructed the final product by selecting the best performing model for each region and variable. Global cross-validation correlations were ≥ 0.99 for temperature and humidity, 0.86 for precipitation and 0.76 for wind speed. The fact that most of our climate surface estimates were only marginally improved by use of satellite covariates highlights the importance having a dense, high-quality network of climate station data.","author":[{"dropping-particle":"","family":"Fick","given":"Stephen E.","non-dropping-particle":"","parse-names":false,"suffix":""},{"dropping-particle":"","family":"Hijmans","given":"Robert J.","non-dropping-particle":"","parse-names":false,"suffix":""}],"container-title":"International Journal of Climatology","id":"ITEM-1","issue":"12","issued":{"date-parts":[["2017"]]},"title":"WorldClim 2: new 1-km spatial resolution climate surfaces for global land areas","type":"article-journal","volume":"37"},"uris":["http://www.mendeley.com/documents/?uuid=37dd5dfc-bdc2-3807-93ef-39a5d09a6b17"]},{"id":"ITEM-2","itemData":{"DOI":"10.1002/joc.1276","ISSN":"08998418","abstract":"We developed interpolated climate surfaces for global land areas (excluding Antarctica) at a spatial resolution of 30 arc s (often referred to as 1-km spatial resolution). The climate elements considered were monthly precipitation and mean, minimum, and maximum temperature. Input data were gathered from a variety of sources and, where possible, were restricted to records from the 1950-2000 period. We used the thin-plate smoothing spline algorithm implemented in the ANUSPLIN package for interpolation, using latitude, longitude, and elevation as independent variables. We quantified uncertainty arising from the input data and the interpolation by mapping weather station density, elevation bias in the weather stations, and elevation variation within grid cells and through data partitioning and cross validation. Elevation bias tended to be negative (stations lower than expected) at high latitudes but positive in the tropics. Uncertainty is highest in mountainous and in poorly sampled areas. Data partitioning showed high uncertainty of the surfaces on isolated islands, e.g. in the Pacific. Aggregating the elevation and climate data to 10 arc min resolution showed an enormous variation within grid cells, illustrating the value of high-resolution surfaces. A comparison with an existing data set at 10 arc min resolution showed overall agreement, but with significant variation in some regions. A comparison with two high-resolution data sets for the United States also identified areas with large local differences, particularly in mountainous areas. Compared to previous global climatologies, ours has the following advantages: the data are at a higher spatial resolution (400 times greater or more); more weather station records were used; improved elevation data were used; and more information about spatial patterns of uncertainty in the data is available. Owing to the overall low density of available climate stations, our surfaces do not capture of all variation that may occur at a resolution of 1 km, particularly of precipitation in mountainous areas. In future work, such variation might be captured through knowledge-based methods and inclusion of additional co-variates, particularly layers obtained through remote sensing. Copyright © 2005 Royal Meteorological Society.","author":[{"dropping-particle":"","family":"Hijmans","given":"Robert J.","non-dropping-particle":"","parse-names":false,"suffix":""},{"dropping-particle":"","family":"Cameron","given":"Susan E.","non-dropping-particle":"","parse-names":false,"suffix":""},{"dropping-particle":"","family":"Parra","given":"Juan L.","non-dropping-particle":"","parse-names":false,"suffix":""},{"dropping-particle":"","family":"Jones","given":"Peter G.","non-dropping-particle":"","parse-names":false,"suffix":""},{"dropping-particle":"","family":"Jarvis","given":"Andy","non-dropping-particle":"","parse-names":false,"suffix":""}],"container-title":"International Journal of Climatology","id":"ITEM-2","issue":"15","issued":{"date-parts":[["2005"]]},"title":"Very high resolution interpolated climate surfaces for global land areas","type":"article-journal","volume":"25"},"uris":["http://www.mendeley.com/documents/?uuid=7623bb1e-bb0c-3cc2-a7ad-fc6cbe16321d"]}],"mendeley":{"formattedCitation":"(Fick &amp; Hijmans, 2017; Hijmans et al., 2005)","plainTextFormattedCitation":"(Fick &amp; Hijmans, 2017; Hijmans et al., 2005)","previouslyFormattedCitation":"(Fick &amp; Hijmans, 2017; Hijmans et al., 2005)"},"properties":{"noteIndex":0},"schema":"https://github.com/citation-style-language/schema/raw/master/csl-citation.json"}</w:instrText>
      </w:r>
      <w:r w:rsidR="00C26E1D">
        <w:fldChar w:fldCharType="separate"/>
      </w:r>
      <w:r w:rsidR="00C26E1D" w:rsidRPr="00C26E1D">
        <w:rPr>
          <w:noProof/>
        </w:rPr>
        <w:t>(Fick &amp; Hijmans, 2017; Hijmans et al., 2005)</w:t>
      </w:r>
      <w:r w:rsidR="00C26E1D">
        <w:fldChar w:fldCharType="end"/>
      </w:r>
      <w:r w:rsidR="00EC0067">
        <w:t>,</w:t>
      </w:r>
      <w:r w:rsidR="00165C70">
        <w:t xml:space="preserve"> </w:t>
      </w:r>
      <w:r w:rsidR="00E6717F">
        <w:t>the Climate Research Unit</w:t>
      </w:r>
      <w:r w:rsidR="00165C70">
        <w:t xml:space="preserve"> </w:t>
      </w:r>
      <w:r w:rsidR="00C26E1D">
        <w:fldChar w:fldCharType="begin" w:fldLock="1"/>
      </w:r>
      <w:r w:rsidR="00C26E1D">
        <w:instrText>ADDIN CSL_CITATION {"citationItems":[{"id":"ITEM-1","itemData":{"DOI":"10.1002/joc.3711","ISSN":"08998418","abstract":"This paper describes the construction of an updated gridded climate dataset (referred to as CRU TS3.10) from monthly observations at meteorological stations across the world's land areas. Station anomalies (from 1961 to 1990 means) were interpolated into 0.5° latitude/longitude grid cells covering the global land surface (excluding Antarctica), and combined with an existing climatology to obtain absolute monthly values. The dataset includes six mostly independent climate variables (mean temperature, diurnal temperature range, precipitation, wet-day frequency, vapour pressure and cloud cover). Maximum and minimum temperatures have been arithmetically derived from these. Secondary variables (frost day frequency and potential evapotranspiration) have been estimated from the six primary variables using well-known formulae. Time series for hemispheric averages and 20 large sub-continental scale regions were calculated (for mean, maximum and minimum temperature and precipitation totals) and compared to a number of similar gridded products. The new dataset compares very favourably, with the major deviations mostly in regions and/or time periods with sparser observational data. CRU TS3.10 includes diagnostics associated with each interpolated value that indicates the number of stations used in the interpolation, allowing determination of the reliability of values in an objective way. This gridded product will be publicly available, including the input station series (http://www.cru.uea.ac.uk/ and http://badc.nerc.ac.uk/data/cru/). © 2013 Royal Meteorological Society.","author":[{"dropping-particle":"","family":"Harris","given":"I.","non-dropping-particle":"","parse-names":false,"suffix":""},{"dropping-particle":"","family":"Jones","given":"P. D.","non-dropping-particle":"","parse-names":false,"suffix":""},{"dropping-particle":"","family":"Osborn","given":"T. J.","non-dropping-particle":"","parse-names":false,"suffix":""},{"dropping-particle":"","family":"Lister","given":"D. H.","non-dropping-particle":"","parse-names":false,"suffix":""}],"container-title":"International Journal of Climatology","id":"ITEM-1","issue":"3","issued":{"date-parts":[["2014"]]},"title":"Updated high-resolution grids of monthly climatic observations - the CRU TS3.10 Dataset","type":"article-journal","volume":"34"},"uris":["http://www.mendeley.com/documents/?uuid=2dfd353d-0f37-3c90-a32d-2c76b11d592b"]}],"mendeley":{"formattedCitation":"(Harris et al., 2014)","plainTextFormattedCitation":"(Harris et al., 2014)","previouslyFormattedCitation":"(Harris et al., 2014)"},"properties":{"noteIndex":0},"schema":"https://github.com/citation-style-language/schema/raw/master/csl-citation.json"}</w:instrText>
      </w:r>
      <w:r w:rsidR="00C26E1D">
        <w:fldChar w:fldCharType="separate"/>
      </w:r>
      <w:r w:rsidR="00C26E1D" w:rsidRPr="00C26E1D">
        <w:rPr>
          <w:noProof/>
        </w:rPr>
        <w:t>(Harris et al., 2014)</w:t>
      </w:r>
      <w:r w:rsidR="00C26E1D">
        <w:fldChar w:fldCharType="end"/>
      </w:r>
      <w:r w:rsidR="00B31403">
        <w:t>,</w:t>
      </w:r>
      <w:r w:rsidR="00F26576">
        <w:t xml:space="preserve"> and </w:t>
      </w:r>
      <w:r w:rsidR="00E6717F">
        <w:t>the Japanese 55-year Reanalysis</w:t>
      </w:r>
      <w:r w:rsidR="00165C70">
        <w:t xml:space="preserve"> </w:t>
      </w:r>
      <w:r w:rsidR="00C26E1D">
        <w:fldChar w:fldCharType="begin" w:fldLock="1"/>
      </w:r>
      <w:r w:rsidR="00C26E1D">
        <w:instrText>ADDIN CSL_CITATION {"citationItems":[{"id":"ITEM-1","itemData":{"DOI":"10.2151/jmsj.2015-001","ISSN":"00261165","abstract":"The Japan Meteorological Agency (JMA) conducted the second Japanese global atmospheric reanalysis, called the Japanese 55-year Reanalysis or JRA-55. It covers the period from 1958, when regular radiosonde observations began on a global basis. JRA-55 is the first comprehensive reanalysis that has covered the last half-century since the European Centre for Medium-Range Weather Forecasts 45-year Reanalysis (ERA-40), and is the first one to apply four-dimensional variational analysis to this period. The main objectives of JRA-55 were to address issues found in previous reanalyses and to produce a comprehensive atmospheric dataset suitable for studying multidecadal variability and climate change. This paper describes the observations, data assimilation system, and forecast model used to produce JRA-55 as well as the basic characteristics of the JRA-55 product. JRA-55 has been produced with the TL319 version of JMA’s operational data assimilation system as of December 2009, which was extensively improved since the Japanese 25-year Reanalysis (JRA-25). It also uses several newly available and improved past observations. The resulting reanalysis products are considerably better than the JRA-25 product. Two major problems of JRA-25 were a cold bias in the lower stratosphere, which has been diminished, and a dry bias in the Amazon basin, which has been mitigated. The temporal consistency of temperature analysis has also been considerably improved compared to previous reanalysis products. Our initial quality evaluation revealed problems such as a warm bias in the upper troposphere, large upward imbalance in the global mean net energy fluxes at the top of the atmosphere and at the surface, excessive precipitation over the tropics, and unrealistic trends in analyzed tropical cyclone strength. This paper also assesses the impacts of model biases and changes in the observing system, and mentions efforts to further investigate the representation of low-frequency variability and trends in JRA-55.","author":[{"dropping-particle":"","family":"Kobayashi","given":"Shinya","non-dropping-particle":"","parse-names":false,"suffix":""},{"dropping-particle":"","family":"Ota","given":"Yukinari","non-dropping-particle":"","parse-names":false,"suffix":""},{"dropping-particle":"","family":"Harada","given":"Yayoi","non-dropping-particle":"","parse-names":false,"suffix":""},{"dropping-particle":"","family":"Ebita","given":"Ayataka","non-dropping-particle":"","parse-names":false,"suffix":""},{"dropping-particle":"","family":"Moriya","given":"Masami","non-dropping-particle":"","parse-names":false,"suffix":""},{"dropping-particle":"","family":"Onoda","given":"Hirokatsu","non-dropping-particle":"","parse-names":false,"suffix":""},{"dropping-particle":"","family":"Onogi","given":"Kazutoshi","non-dropping-particle":"","parse-names":false,"suffix":""},{"dropping-particle":"","family":"Kamahori","given":"Hirotaka","non-dropping-particle":"","parse-names":false,"suffix":""},{"dropping-particle":"","family":"Kobayashi","given":"Chiaki","non-dropping-particle":"","parse-names":false,"suffix":""},{"dropping-particle":"","family":"Endo","given":"Hirokazu","non-dropping-particle":"","parse-names":false,"suffix":""},{"dropping-particle":"","family":"Miyaoka","given":"Kengo","non-dropping-particle":"","parse-names":false,"suffix":""},{"dropping-particle":"","family":"Kiyotoshi","given":"Takahashi","non-dropping-particle":"","parse-names":false,"suffix":""}],"container-title":"Journal of the Meteorological Society of Japan","id":"ITEM-1","issue":"1","issued":{"date-parts":[["2015"]]},"title":"The JRA-55 reanalysis: General specifications and basic characteristics","type":"article-journal","volume":"93"},"uris":["http://www.mendeley.com/documents/?uuid=461040a1-053c-3dd2-a53a-666faf79b894"]}],"mendeley":{"formattedCitation":"(Kobayashi et al., 2015)","plainTextFormattedCitation":"(Kobayashi et al., 2015)","previouslyFormattedCitation":"(Kobayashi et al., 2015)"},"properties":{"noteIndex":0},"schema":"https://github.com/citation-style-language/schema/raw/master/csl-citation.json"}</w:instrText>
      </w:r>
      <w:r w:rsidR="00C26E1D">
        <w:fldChar w:fldCharType="separate"/>
      </w:r>
      <w:r w:rsidR="00C26E1D" w:rsidRPr="00C26E1D">
        <w:rPr>
          <w:noProof/>
        </w:rPr>
        <w:t>(Kobayashi et al., 2015)</w:t>
      </w:r>
      <w:r w:rsidR="00C26E1D">
        <w:fldChar w:fldCharType="end"/>
      </w:r>
      <w:r w:rsidR="00B31403">
        <w:t xml:space="preserve">, and </w:t>
      </w:r>
      <w:r w:rsidR="00F26576">
        <w:t xml:space="preserve">(2) </w:t>
      </w:r>
      <w:r w:rsidR="00143B35">
        <w:t>water storage capacity from the r</w:t>
      </w:r>
      <w:r w:rsidR="00B31403">
        <w:t xml:space="preserve">oot zone storage capacity </w:t>
      </w:r>
      <w:r w:rsidR="00C26E1D">
        <w:fldChar w:fldCharType="begin" w:fldLock="1"/>
      </w:r>
      <w:r w:rsidR="00C26E1D">
        <w:instrText>ADDIN CSL_CITATION {"citationItems":[{"id":"ITEM-1","itemData":{"DOI":"10.5194/hess-20-1459-2016","ISSN":"16077938","abstract":"This study presents an \"Earth observation-based\" method for estimating root zone storage capacity-a critical, yet uncertain parameter in hydrological and land surface modelling. By assuming that vegetation optimises its root zone storage capacity to bridge critical dry periods, we were able to use state-of-the-art satellite-based evaporation data computed with independent energy balance equations to derive gridded root zone storage capacity at global scale. This approach does not require soil or vegetation information, is model independent, and is in principle scale independent. In contrast to a traditional look-up table approach, our method captures the variability in root zone storage capacity within land cover types, including in rainforests where direct measurements of root depths otherwise are scarce. Implementing the estimated root zone storage capacity in the global hydrological model STEAM (Simple Terrestrial Evaporation to Atmosphere Model) improved evaporation simulation overall, and in particular during the least evaporating months in sub-humid to humid regions with moderate to high seasonality. Our results suggest that several forest types are able to create a large storage to buffer for severe droughts (with a very long return period), in contrast to, for example, savannahs and woody savannahs (medium length return period), as well as grasslands, shrublands, and croplands (very short return period). The presented method to estimate root zone storage capacity eliminates the need for poor resolution soil and rooting depth data that form a limitation for achieving progress in the global land surface modelling community.","author":[{"dropping-particle":"","family":"Wang-Erlandsson","given":"Lan","non-dropping-particle":"","parse-names":false,"suffix":""},{"dropping-particle":"","family":"Bastiaanssen","given":"Wim G.M.","non-dropping-particle":"","parse-names":false,"suffix":""},{"dropping-particle":"","family":"Gao","given":"Hongkai","non-dropping-particle":"","parse-names":false,"suffix":""},{"dropping-particle":"","family":"Jägermeyr","given":"Jonas","non-dropping-particle":"","parse-names":false,"suffix":""},{"dropping-particle":"","family":"Senay","given":"Gabriel B.","non-dropping-particle":"","parse-names":false,"suffix":""},{"dropping-particle":"","family":"Dijk","given":"Albert I.J.M.","non-dropping-particle":"Van","parse-names":false,"suffix":""},{"dropping-particle":"","family":"Guerschman","given":"Juan P.","non-dropping-particle":"","parse-names":false,"suffix":""},{"dropping-particle":"","family":"Keys","given":"Patrick W.","non-dropping-particle":"","parse-names":false,"suffix":""},{"dropping-particle":"","family":"Gordon","given":"Line J.","non-dropping-particle":"","parse-names":false,"suffix":""},{"dropping-particle":"","family":"Savenije","given":"Hubert H.G.","non-dropping-particle":"","parse-names":false,"suffix":""}],"container-title":"Hydrology and Earth System Sciences","id":"ITEM-1","issue":"4","issued":{"date-parts":[["2016"]]},"title":"Global root zone storage capacity from satellite-based evaporation","type":"article-journal","volume":"20"},"uris":["http://www.mendeley.com/documents/?uuid=be496f54-6fe5-3d75-a3e2-04f43bb36d8a"]}],"mendeley":{"formattedCitation":"(Wang-Erlandsson et al., 2016)","plainTextFormattedCitation":"(Wang-Erlandsson et al., 2016)","previouslyFormattedCitation":"(Wang-Erlandsson et al., 2016)"},"properties":{"noteIndex":0},"schema":"https://github.com/citation-style-language/schema/raw/master/csl-citation.json"}</w:instrText>
      </w:r>
      <w:r w:rsidR="00C26E1D">
        <w:fldChar w:fldCharType="separate"/>
      </w:r>
      <w:r w:rsidR="00C26E1D" w:rsidRPr="00C26E1D">
        <w:rPr>
          <w:noProof/>
        </w:rPr>
        <w:t>(Wang-Erlandsson et al., 2016)</w:t>
      </w:r>
      <w:r w:rsidR="00C26E1D">
        <w:fldChar w:fldCharType="end"/>
      </w:r>
      <w:r w:rsidR="00876D3E">
        <w:t>.</w:t>
      </w:r>
      <w:r w:rsidR="0075769D">
        <w:t xml:space="preserve"> Global TerraClimate ETa is available at </w:t>
      </w:r>
      <w:r w:rsidR="007A46C1">
        <w:t>4-</w:t>
      </w:r>
      <w:r w:rsidR="0075769D">
        <w:t xml:space="preserve">km spatial resolution and monthly time step. </w:t>
      </w:r>
    </w:p>
    <w:p w:rsidR="003977EC" w:rsidRDefault="00000743" w:rsidP="00E46D8B">
      <w:pPr>
        <w:spacing w:beforeLines="120" w:before="288" w:afterLines="120" w:after="288" w:line="360" w:lineRule="auto"/>
      </w:pPr>
      <w:r>
        <w:rPr>
          <w:noProof/>
        </w:rPr>
        <w:drawing>
          <wp:inline distT="0" distB="0" distL="0" distR="0" wp14:anchorId="7D44919A" wp14:editId="65397C8F">
            <wp:extent cx="5732145" cy="4236085"/>
            <wp:effectExtent l="0" t="0" r="190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2145" cy="4236085"/>
                    </a:xfrm>
                    <a:prstGeom prst="rect">
                      <a:avLst/>
                    </a:prstGeom>
                  </pic:spPr>
                </pic:pic>
              </a:graphicData>
            </a:graphic>
          </wp:inline>
        </w:drawing>
      </w:r>
    </w:p>
    <w:p w:rsidR="00F56DE8" w:rsidRDefault="00000743" w:rsidP="00E46D8B">
      <w:pPr>
        <w:spacing w:beforeLines="120" w:before="288" w:afterLines="120" w:after="288" w:line="360" w:lineRule="auto"/>
      </w:pPr>
      <w:r>
        <w:t>Figure 3: (</w:t>
      </w:r>
      <w:proofErr w:type="spellStart"/>
      <w:r>
        <w:t>a</w:t>
      </w:r>
      <w:proofErr w:type="gramStart"/>
      <w:r>
        <w:t>,b,c</w:t>
      </w:r>
      <w:proofErr w:type="spellEnd"/>
      <w:proofErr w:type="gramEnd"/>
      <w:r>
        <w:t xml:space="preserve">) Spatial and (d) temporal variations of ETa </w:t>
      </w:r>
      <w:r w:rsidR="002F4EC5">
        <w:t xml:space="preserve">from MOD16 A2, SSEBop, and </w:t>
      </w:r>
      <w:r w:rsidR="00F36FB8">
        <w:t>TerraClimate</w:t>
      </w:r>
      <w:r w:rsidR="002F4EC5">
        <w:t xml:space="preserve"> </w:t>
      </w:r>
      <w:r>
        <w:t>in the study area</w:t>
      </w:r>
      <w:r w:rsidR="003F5EAE">
        <w:t xml:space="preserve"> during </w:t>
      </w:r>
      <w:r w:rsidR="00DD1010">
        <w:t xml:space="preserve">the period from </w:t>
      </w:r>
      <w:r w:rsidR="003F5EAE">
        <w:t>2003</w:t>
      </w:r>
      <w:r w:rsidR="00374C5E">
        <w:t xml:space="preserve"> to </w:t>
      </w:r>
      <w:r w:rsidR="003F5EAE">
        <w:t>2010</w:t>
      </w:r>
      <w:r w:rsidR="002F4EC5">
        <w:t>.</w:t>
      </w:r>
    </w:p>
    <w:p w:rsidR="008D2955" w:rsidRDefault="006C2C26" w:rsidP="00186E6C">
      <w:pPr>
        <w:spacing w:beforeLines="120" w:before="288" w:afterLines="120" w:after="288" w:line="360" w:lineRule="auto"/>
      </w:pPr>
      <w:r>
        <w:tab/>
      </w:r>
      <w:r w:rsidR="00876D3E">
        <w:t xml:space="preserve"> </w:t>
      </w:r>
      <w:r w:rsidR="00EC0067">
        <w:t xml:space="preserve">  </w:t>
      </w:r>
      <w:r w:rsidR="003A7C7C">
        <w:t xml:space="preserve">Due to different techniques as well as data used </w:t>
      </w:r>
      <w:r w:rsidR="0017588A">
        <w:t>for the</w:t>
      </w:r>
      <w:r w:rsidR="003A7C7C">
        <w:t xml:space="preserve"> estimation of ETa as aforementioned, </w:t>
      </w:r>
      <w:r w:rsidR="008C5113">
        <w:t>differences in the absolute ETa between these products are expected</w:t>
      </w:r>
      <w:r w:rsidR="003A7C7C">
        <w:t xml:space="preserve">. </w:t>
      </w:r>
      <w:r w:rsidR="00105D79">
        <w:t>T</w:t>
      </w:r>
      <w:r w:rsidR="003F5EAE">
        <w:t xml:space="preserve">he </w:t>
      </w:r>
      <w:r w:rsidR="003F5EAE">
        <w:lastRenderedPageBreak/>
        <w:t>annual average</w:t>
      </w:r>
      <w:r w:rsidR="00E521C9">
        <w:t xml:space="preserve"> ETa </w:t>
      </w:r>
      <w:r w:rsidR="00B3407A">
        <w:t>during the period</w:t>
      </w:r>
      <w:r w:rsidR="00E521C9">
        <w:t xml:space="preserve"> 2003</w:t>
      </w:r>
      <w:r w:rsidR="00B3407A">
        <w:t>-</w:t>
      </w:r>
      <w:r w:rsidR="00E521C9">
        <w:t>2010 in the study area</w:t>
      </w:r>
      <w:r w:rsidR="00B3407A">
        <w:t xml:space="preserve"> is 606 mm (MOD16</w:t>
      </w:r>
      <w:r w:rsidR="006A2C8D">
        <w:t xml:space="preserve"> A2</w:t>
      </w:r>
      <w:r w:rsidR="00B3407A">
        <w:t xml:space="preserve">), </w:t>
      </w:r>
      <w:r w:rsidR="006B1D7A">
        <w:t>9</w:t>
      </w:r>
      <w:r w:rsidR="00B3407A">
        <w:t xml:space="preserve">70 mm (SSEBop), and </w:t>
      </w:r>
      <w:r w:rsidR="006B1D7A">
        <w:t>8</w:t>
      </w:r>
      <w:r w:rsidR="00B3407A">
        <w:t>45 mm (TerraClimate)</w:t>
      </w:r>
      <w:r w:rsidR="00105D79">
        <w:t>. The spatial and monthly ETa patterns also</w:t>
      </w:r>
      <w:r w:rsidR="00B17981">
        <w:t xml:space="preserve"> show</w:t>
      </w:r>
      <w:r w:rsidR="00105D79">
        <w:t xml:space="preserve"> their dissimilarities (Figure 3). However, th</w:t>
      </w:r>
      <w:r w:rsidR="00796941">
        <w:t>e</w:t>
      </w:r>
      <w:r w:rsidR="00500B86">
        <w:t>re</w:t>
      </w:r>
      <w:r w:rsidR="00796941">
        <w:t xml:space="preserve"> </w:t>
      </w:r>
      <w:r w:rsidR="00105D79">
        <w:t xml:space="preserve">are some common </w:t>
      </w:r>
      <w:r w:rsidR="00796941">
        <w:t xml:space="preserve">spatial and temporal </w:t>
      </w:r>
      <w:r w:rsidR="00BC31CB">
        <w:t xml:space="preserve">ETa </w:t>
      </w:r>
      <w:r w:rsidR="00105D79">
        <w:t>pattern</w:t>
      </w:r>
      <w:r w:rsidR="0017588A">
        <w:t>s</w:t>
      </w:r>
      <w:r w:rsidR="00796941">
        <w:t xml:space="preserve"> </w:t>
      </w:r>
      <w:r w:rsidR="00105D79">
        <w:t xml:space="preserve">among these products, </w:t>
      </w:r>
      <w:r w:rsidR="003543A1">
        <w:t xml:space="preserve">e.g., low ETa </w:t>
      </w:r>
      <w:r w:rsidR="00105D79">
        <w:t>near</w:t>
      </w:r>
      <w:r w:rsidR="003543A1">
        <w:t xml:space="preserve"> the catchment outlet</w:t>
      </w:r>
      <w:r w:rsidR="0017588A">
        <w:t>,</w:t>
      </w:r>
      <w:r w:rsidR="003543A1">
        <w:t xml:space="preserve"> high ETa in the </w:t>
      </w:r>
      <w:r w:rsidR="00021751">
        <w:t>western part of the study area</w:t>
      </w:r>
      <w:r w:rsidR="00FC237B">
        <w:t>,</w:t>
      </w:r>
      <w:r w:rsidR="0017588A">
        <w:t xml:space="preserve"> and high </w:t>
      </w:r>
      <w:r w:rsidR="00105D79">
        <w:t xml:space="preserve">seasonal </w:t>
      </w:r>
      <w:r w:rsidR="00021751">
        <w:t>variation</w:t>
      </w:r>
      <w:r w:rsidR="00105D79">
        <w:t>.</w:t>
      </w:r>
      <w:r w:rsidR="003543A1">
        <w:t xml:space="preserve"> </w:t>
      </w:r>
      <w:r w:rsidR="00796941">
        <w:t xml:space="preserve"> </w:t>
      </w:r>
      <w:r w:rsidR="00457390">
        <w:t>T</w:t>
      </w:r>
      <w:r w:rsidR="002D56A8">
        <w:t>he accuracy of these product</w:t>
      </w:r>
      <w:r w:rsidR="00C02D58">
        <w:t>s</w:t>
      </w:r>
      <w:r w:rsidR="00497D89">
        <w:t xml:space="preserve"> in the study area is not</w:t>
      </w:r>
      <w:r w:rsidR="00AD595E">
        <w:t xml:space="preserve"> </w:t>
      </w:r>
      <w:r w:rsidR="002D56A8">
        <w:t>verified</w:t>
      </w:r>
      <w:r w:rsidR="00AD595E">
        <w:t xml:space="preserve"> due to the lack of observed data</w:t>
      </w:r>
      <w:r w:rsidR="00957C87">
        <w:t>. In this study, a</w:t>
      </w:r>
      <w:r w:rsidR="00457390">
        <w:t xml:space="preserve">ll of </w:t>
      </w:r>
      <w:r w:rsidR="00957C87">
        <w:t>these ETa products</w:t>
      </w:r>
      <w:r w:rsidR="00457390">
        <w:t xml:space="preserve"> were used for model evaluation</w:t>
      </w:r>
      <w:r w:rsidR="00983B42">
        <w:t xml:space="preserve"> to (1) explore the model performance compared with different ETa products, and (</w:t>
      </w:r>
      <w:r w:rsidR="00495179">
        <w:t>2</w:t>
      </w:r>
      <w:r w:rsidR="00983B42">
        <w:t>) account for the uncertainty in the estimated ETa from different ETa products.</w:t>
      </w:r>
    </w:p>
    <w:p w:rsidR="00A47BF1" w:rsidRPr="009D072F" w:rsidRDefault="00A47BF1" w:rsidP="0042487B">
      <w:pPr>
        <w:pStyle w:val="Heading2"/>
        <w:rPr>
          <w:lang w:val="en-US"/>
        </w:rPr>
      </w:pPr>
      <w:r>
        <w:rPr>
          <w:lang w:val="en-US"/>
        </w:rPr>
        <w:t>2.</w:t>
      </w:r>
      <w:r w:rsidR="00B665C4">
        <w:rPr>
          <w:lang w:val="en-US"/>
        </w:rPr>
        <w:t>4</w:t>
      </w:r>
      <w:r w:rsidRPr="0004325A">
        <w:t xml:space="preserve">. </w:t>
      </w:r>
      <w:r>
        <w:rPr>
          <w:lang w:val="en-US"/>
        </w:rPr>
        <w:t xml:space="preserve">The SWAT model </w:t>
      </w:r>
    </w:p>
    <w:p w:rsidR="00A47BF1" w:rsidRPr="002323C6" w:rsidRDefault="00A47BF1" w:rsidP="00B325DD">
      <w:pPr>
        <w:spacing w:before="120" w:after="120" w:line="360" w:lineRule="auto"/>
        <w:jc w:val="both"/>
      </w:pPr>
      <w:r>
        <w:tab/>
        <w:t xml:space="preserve">SWAT is a distributed hydrological used for evaluating the impacts of land use </w:t>
      </w:r>
      <w:r w:rsidR="00B82570">
        <w:t>management</w:t>
      </w:r>
      <w:r>
        <w:t xml:space="preserve"> practices on water, sediment, and </w:t>
      </w:r>
      <w:r w:rsidR="00B82570">
        <w:t>nutrients</w:t>
      </w:r>
      <w:r>
        <w:t xml:space="preserve"> yields </w:t>
      </w:r>
      <w:r w:rsidR="00C26E1D">
        <w:fldChar w:fldCharType="begin" w:fldLock="1"/>
      </w:r>
      <w:r w:rsidR="00C26E1D">
        <w:instrText>ADDIN CSL_CITATION {"citationItems":[{"id":"ITEM-1","itemData":{"DOI":"10.1016/j.scitotenv.2015.11.063","ISBN":"Technical Report No. 406","ISSN":"2151-0040","PMID":"26615482","abstract":"SWAT is the acronym for Soil and Water Assessment Tool, a river basin, or watershed, scale model developed by Dr. Jeff Arnold for the USDA Agricultural Research Service (ARS). SWAT was developed to predict the impact of land management practices on water, sediment and agricultural chemical yields in large complex watersheds with varying soils, land use and management conditions over long periods of time. To","author":[{"dropping-particle":"","family":"Neitsch","given":"S.L","non-dropping-particle":"","parse-names":false,"suffix":""},{"dropping-particle":"","family":"Arnold","given":"J.G","non-dropping-particle":"","parse-names":false,"suffix":""},{"dropping-particle":"","family":"Kiniry","given":"J.R","non-dropping-particle":"","parse-names":false,"suffix":""},{"dropping-particle":"","family":"Williams","given":"J.R","non-dropping-particle":"","parse-names":false,"suffix":""}],"container-title":"Texas Water Resources Institute","id":"ITEM-1","issued":{"date-parts":[["2011"]]},"title":"Soil &amp; Water Assessment Tool Theoretical Documentation Version 2009","type":"article-journal"},"uris":["http://www.mendeley.com/documents/?uuid=eb90cb1d-e72b-417e-bc7b-ca3a776beb6c"]}],"mendeley":{"formattedCitation":"(Neitsch et al., 2011)","plainTextFormattedCitation":"(Neitsch et al., 2011)","previouslyFormattedCitation":"(Neitsch et al., 2011)"},"properties":{"noteIndex":0},"schema":"https://github.com/citation-style-language/schema/raw/master/csl-citation.json"}</w:instrText>
      </w:r>
      <w:r w:rsidR="00C26E1D">
        <w:fldChar w:fldCharType="separate"/>
      </w:r>
      <w:r w:rsidR="00C26E1D" w:rsidRPr="00C26E1D">
        <w:rPr>
          <w:noProof/>
        </w:rPr>
        <w:t>(Neitsch et al., 2011)</w:t>
      </w:r>
      <w:r w:rsidR="00C26E1D">
        <w:fldChar w:fldCharType="end"/>
      </w:r>
      <w:r>
        <w:t>. SWAT ha</w:t>
      </w:r>
      <w:r w:rsidR="00B7190B">
        <w:t>s</w:t>
      </w:r>
      <w:r>
        <w:t xml:space="preserve"> been widely used and tested in various catchments worldwide </w:t>
      </w:r>
      <w:r w:rsidR="00B7190B">
        <w:fldChar w:fldCharType="begin" w:fldLock="1"/>
      </w:r>
      <w:r w:rsidR="00B947A1">
        <w:instrText>ADDIN CSL_CITATION {"citationItems":[{"id":"ITEM-1","itemData":{"DOI":"10.1002/hyp.5611","ISSN":"08856087","abstract":"SWAT (Soil and Water Assessment Tool) is a conceptual, continuous time model that was developed in the early 1990s to assist water resource managers in assessing the impact of management and climate on water supplies and non-point source pollution in watersheds and large river basins. SWAT is the continuation of over 30 years of model development within the US Department of Agriculture's Agricultural Research Service and was developed to 'scale up' past field-scale models to large river basins. Model components include weather, hydrology, erosion/ sedimentation, plant growth, nutrients, pesticides, agricultural management, stream routing and pond/reservoir routing. The latest version, SWAT2000, has several significant enhancements that include: bacteria transport routines; urban routines; Green and Ampt infiltration equation; improved weather generator; ability to read in daily solar radiation, relative humidity, wind speed and potential ET; Muskingum channel routing; and modified dormancy calculations for tropical areas. A complete set of model documentation for equations and algorithms, a user manual describing model inputs and outputs, and an ArcView interface manual are now complete for SWAT2000. The model has been recoded into Fortran 90 with a complete data dictionary, dynamic allocation of arrays and modular subroutines. Current research is focusing on bacteria, riparian zones, pothole topography, forest growth, channel downcutting and widening, and input uncertainty analysis. The model SWAT is meanwhile used in many countries all over the world. Recent developments in European Environmental Policy, such as the adoption of the European Water Framework directive in December 2000, demand tools for integrative river basin management. The model SWAT is applicable for this purpose. It is a flexible model that can be used under a wide range of different environmental conditions, as this special issue will show. The papers compiled here are the result of the first International SWAT Conference held in August 2001 in Rauischholzhausen, Germany. More than 50 participants from 14 countries discussed their modelling experiences with the model development team from the USA. Nineteen selected papers with issues reaching from the newest developments, the evaluation of river basin management, interdisciplinary approaches for river basin management, the impact of land use change, methodical aspects and models derived from SWAT are published in this special issue…","author":[{"dropping-particle":"","family":"Arnold","given":"J. G.","non-dropping-particle":"","parse-names":false,"suffix":""},{"dropping-particle":"","family":"Fohrer","given":"N.","non-dropping-particle":"","parse-names":false,"suffix":""}],"container-title":"Hydrological Processes","id":"ITEM-1","issue":"3","issued":{"date-parts":[["2005"]]},"title":"SWAT2000: Current capabilities and research opportunities in applied watershed modelling","type":"article-journal","volume":"19"},"uris":["http://www.mendeley.com/documents/?uuid=4ea03b24-1f71-36c8-9363-c594c7b44474"]}],"mendeley":{"formattedCitation":"(Arnold &amp; Fohrer, 2005)","plainTextFormattedCitation":"(Arnold &amp; Fohrer, 2005)","previouslyFormattedCitation":"(Arnold &amp; Fohrer, 2005)"},"properties":{"noteIndex":0},"schema":"https://github.com/citation-style-language/schema/raw/master/csl-citation.json"}</w:instrText>
      </w:r>
      <w:r w:rsidR="00B7190B">
        <w:fldChar w:fldCharType="separate"/>
      </w:r>
      <w:r w:rsidR="00B7190B" w:rsidRPr="00B7190B">
        <w:rPr>
          <w:noProof/>
        </w:rPr>
        <w:t>(Arnold &amp; Fohrer, 2005)</w:t>
      </w:r>
      <w:r w:rsidR="00B7190B">
        <w:fldChar w:fldCharType="end"/>
      </w:r>
      <w:r>
        <w:t xml:space="preserve">. In SWAT, a </w:t>
      </w:r>
      <w:r w:rsidR="00FA093B">
        <w:t>catchment</w:t>
      </w:r>
      <w:r>
        <w:t xml:space="preserve"> is divided into </w:t>
      </w:r>
      <w:r w:rsidR="00C02D58">
        <w:t>sub</w:t>
      </w:r>
      <w:r w:rsidR="00FA093B">
        <w:t>catchments</w:t>
      </w:r>
      <w:r>
        <w:t xml:space="preserve"> which are further divided into hydrologic response units (HRUs). HRU is a </w:t>
      </w:r>
      <w:r w:rsidR="00C02D58">
        <w:t>fraction of land with a unique combination of land use, soil type, and slope within a subcatchment</w:t>
      </w:r>
      <w:r w:rsidR="000D62BB">
        <w:t>. SWAT simulates two phases of the hydrological cycle, the land phase</w:t>
      </w:r>
      <w:r w:rsidR="00B7190B">
        <w:t>,</w:t>
      </w:r>
      <w:r w:rsidR="000D62BB">
        <w:t xml:space="preserve"> and the routing phase. The land phase includes HRU-related processes </w:t>
      </w:r>
      <w:r w:rsidR="00FC0087">
        <w:t xml:space="preserve">(e.g., </w:t>
      </w:r>
      <w:r w:rsidR="000D62BB">
        <w:t>evapotranspiration, surface runoff, infiltration, lateral flow, groundwater recharge, and based flow</w:t>
      </w:r>
      <w:r w:rsidR="00FC0087">
        <w:t>)</w:t>
      </w:r>
      <w:r w:rsidR="000D62BB">
        <w:t>. The routing phase simulates flow</w:t>
      </w:r>
      <w:r w:rsidR="00FC0087">
        <w:t xml:space="preserve"> in</w:t>
      </w:r>
      <w:r w:rsidR="000D62BB">
        <w:t xml:space="preserve"> water bodies (</w:t>
      </w:r>
      <w:r w:rsidR="00FC0087">
        <w:t xml:space="preserve">e.g., </w:t>
      </w:r>
      <w:r w:rsidR="000D62BB">
        <w:t>river, reservoir,</w:t>
      </w:r>
      <w:r w:rsidR="00FC0087">
        <w:t xml:space="preserve"> and pond</w:t>
      </w:r>
      <w:r w:rsidR="000D62BB">
        <w:t>)</w:t>
      </w:r>
      <w:r w:rsidR="00453B02">
        <w:t>.</w:t>
      </w:r>
      <w:r w:rsidR="008379AA">
        <w:t xml:space="preserve"> </w:t>
      </w:r>
      <w:r w:rsidR="00945B9C">
        <w:t xml:space="preserve">SWAT provides outputs at different spatial </w:t>
      </w:r>
      <w:r w:rsidR="003904F8">
        <w:t>levels</w:t>
      </w:r>
      <w:r w:rsidR="00945B9C">
        <w:t xml:space="preserve">, e.g., HRU, subcatchment, or catchment. </w:t>
      </w:r>
      <w:r w:rsidR="003904F8">
        <w:t xml:space="preserve">Outputs at the HRU levels could be </w:t>
      </w:r>
      <w:r w:rsidR="004A79A0">
        <w:t>mapped to the HRU raster file</w:t>
      </w:r>
      <w:r w:rsidR="00B07D38">
        <w:t xml:space="preserve">, which contains spatial information about HRU, </w:t>
      </w:r>
      <w:r w:rsidR="003904F8">
        <w:t xml:space="preserve">created during </w:t>
      </w:r>
      <w:r w:rsidR="000541AA">
        <w:t>model setup</w:t>
      </w:r>
      <w:r w:rsidR="00C26E1D">
        <w:t xml:space="preserve"> </w:t>
      </w:r>
      <w:r w:rsidR="00C26E1D">
        <w:fldChar w:fldCharType="begin" w:fldLock="1"/>
      </w:r>
      <w:r w:rsidR="00C260C5">
        <w:instrText>ADDIN CSL_CITATION {"citationItems":[{"id":"ITEM-1","itemData":{"DOI":"10.1002/hyp.11466","ISSN":"10991085","abstract":"The soil and water assessment tool (SWAT) has been widely used and thoroughly tested in many places in the world. The application of the SWAT model has pointed out that 2 of the major weaknesses of SWAT are related to the nonspatial reference of the hydrologic response unit concept and to the simplified groundwater concept, which contribute to its low performance in baseflow simulation and its inability to simulate regional groundwater flow. This study modified the groundwater module of SWAT to overcome the above limitations. The modified groundwater module has 2 aquifers. The local aquifer, which is the shallow aquifer in the original SWAT, represents a local groundwater flow system. The regional aquifer, which replaces the deep aquifer of the original SWAT, represents intermediate and regional groundwater flow systems. Groundwater recharge is partitioned into local and regional aquifer recharges. The regional aquifer is represented by a multicell aquifer (MCA) model. The regional aquifer is discretized into cells using the Thiessen polygon method, where centres of the cells are locations of groundwater observation wells. Groundwater flow between cells is modelled using Darcy's law. Return flow from cell to stream is conceptualized using a non-linear storage–discharge relationship. The SWAT model with the modified aquifer module, the so-called SWAT-MCA, was tested in 2 basins (Wipperau and Neetze) with porous aquifers in a lowland area in Lower Saxony, Germany. Results from the Wipperau basin show that the SWAT-MCA model is able (a) to simulate baseflow in a lowland area (where baseflow is a dominant source of streamflow) better than the original model and (b) to simulate regional groundwater flow, shown by the simulated groundwater levels in cells, quite well.","author":[{"dropping-particle":"","family":"Nguyen","given":"Tam","non-dropping-particle":"","parse-names":false,"suffix":""},{"dropping-particle":"","family":"Dietrich","given":"Jörg","non-dropping-particle":"","parse-names":false,"suffix":""}],"container-title":"Hydrological Processes","id":"ITEM-1","issue":"7","issued":{"date-parts":[["2018"]]},"title":"Modification of the SWAT model to simulate regional groundwater flow using a multicell aquifer","type":"article-journal","volume":"32"},"uris":["http://www.mendeley.com/documents/?uuid=8fe82b39-9b2a-393f-b7fd-c08e8ed7795c"]}],"mendeley":{"formattedCitation":"(Nguyen &amp; Dietrich, 2018)","manualFormatting":"(e.g., Nguyen &amp; Dietrich, 2018)","plainTextFormattedCitation":"(Nguyen &amp; Dietrich, 2018)","previouslyFormattedCitation":"(V. T. Nguyen &amp; Dietrich, 2018)"},"properties":{"noteIndex":0},"schema":"https://github.com/citation-style-language/schema/raw/master/csl-citation.json"}</w:instrText>
      </w:r>
      <w:r w:rsidR="00C26E1D">
        <w:fldChar w:fldCharType="separate"/>
      </w:r>
      <w:r w:rsidR="00C26E1D" w:rsidRPr="00C26E1D">
        <w:rPr>
          <w:noProof/>
        </w:rPr>
        <w:t>(</w:t>
      </w:r>
      <w:r w:rsidR="00C26E1D">
        <w:rPr>
          <w:noProof/>
        </w:rPr>
        <w:t xml:space="preserve">e.g., </w:t>
      </w:r>
      <w:r w:rsidR="00C26E1D" w:rsidRPr="00C26E1D">
        <w:rPr>
          <w:noProof/>
        </w:rPr>
        <w:t>Nguyen &amp; Dietrich, 2018)</w:t>
      </w:r>
      <w:r w:rsidR="00C26E1D">
        <w:fldChar w:fldCharType="end"/>
      </w:r>
      <w:r w:rsidR="003904F8">
        <w:t xml:space="preserve">. </w:t>
      </w:r>
    </w:p>
    <w:p w:rsidR="000B65DE" w:rsidRDefault="00E72FB0" w:rsidP="0042487B">
      <w:pPr>
        <w:pStyle w:val="Heading2"/>
        <w:rPr>
          <w:lang w:val="en-US"/>
        </w:rPr>
      </w:pPr>
      <w:r>
        <w:rPr>
          <w:lang w:val="en-US"/>
        </w:rPr>
        <w:t xml:space="preserve">2.5 </w:t>
      </w:r>
      <w:r w:rsidR="00E548D7">
        <w:rPr>
          <w:lang w:val="en-US"/>
        </w:rPr>
        <w:t xml:space="preserve">Model </w:t>
      </w:r>
      <w:r w:rsidR="00286CE3">
        <w:rPr>
          <w:lang w:val="en-US"/>
        </w:rPr>
        <w:t>setup</w:t>
      </w:r>
      <w:r w:rsidR="00AE4545">
        <w:rPr>
          <w:lang w:val="en-US"/>
        </w:rPr>
        <w:t>, parameter variation,</w:t>
      </w:r>
      <w:r w:rsidR="00B410D0">
        <w:rPr>
          <w:lang w:val="en-US"/>
        </w:rPr>
        <w:t xml:space="preserve"> and </w:t>
      </w:r>
      <w:r w:rsidR="00AE4545">
        <w:rPr>
          <w:lang w:val="en-US"/>
        </w:rPr>
        <w:t xml:space="preserve">model </w:t>
      </w:r>
      <w:r w:rsidR="00EB34A8">
        <w:rPr>
          <w:lang w:val="en-US"/>
        </w:rPr>
        <w:t>evaluation</w:t>
      </w:r>
      <w:r w:rsidR="005C6606">
        <w:rPr>
          <w:lang w:val="en-US"/>
        </w:rPr>
        <w:t xml:space="preserve"> for ETa</w:t>
      </w:r>
    </w:p>
    <w:p w:rsidR="00B3258C" w:rsidRPr="00FE6D36" w:rsidRDefault="00B3258C" w:rsidP="00FE6D36">
      <w:pPr>
        <w:pStyle w:val="Heading3"/>
        <w:rPr>
          <w:rFonts w:ascii="Times New Roman" w:hAnsi="Times New Roman"/>
          <w:b/>
          <w:color w:val="auto"/>
        </w:rPr>
      </w:pPr>
      <w:r w:rsidRPr="00FE6D36">
        <w:rPr>
          <w:rFonts w:ascii="Times New Roman" w:hAnsi="Times New Roman"/>
          <w:b/>
          <w:color w:val="auto"/>
        </w:rPr>
        <w:t>2.5.1. Model setup</w:t>
      </w:r>
    </w:p>
    <w:p w:rsidR="00B3258C" w:rsidRDefault="005F2BE7" w:rsidP="005F2BE7">
      <w:pPr>
        <w:spacing w:before="120" w:after="120" w:line="360" w:lineRule="auto"/>
        <w:rPr>
          <w:lang w:eastAsia="x-none"/>
        </w:rPr>
      </w:pPr>
      <w:r>
        <w:tab/>
        <w:t xml:space="preserve">Based on land use, soil type, and slope, the study area is divided into 45 catchments, which </w:t>
      </w:r>
      <w:r w:rsidR="00593B30">
        <w:t>are</w:t>
      </w:r>
      <w:r>
        <w:t xml:space="preserve"> further divided into 875 hydrologic response units (HRUs). The model was set up to </w:t>
      </w:r>
      <w:r w:rsidR="00C84426">
        <w:t>simulate</w:t>
      </w:r>
      <w:r>
        <w:t xml:space="preserve"> for </w:t>
      </w:r>
      <w:r w:rsidR="00500B86">
        <w:t>ten years</w:t>
      </w:r>
      <w:r>
        <w:t xml:space="preserve"> with </w:t>
      </w:r>
      <w:r w:rsidR="00500B86">
        <w:t>two years of</w:t>
      </w:r>
      <w:r>
        <w:t xml:space="preserve"> warm-up (2001-2002) and </w:t>
      </w:r>
      <w:r w:rsidR="00500B86">
        <w:t>eight years of</w:t>
      </w:r>
      <w:r>
        <w:t xml:space="preserve"> model evaluation (2003-2010). </w:t>
      </w:r>
      <w:r w:rsidRPr="004E2903">
        <w:t>Daily simulated ETa</w:t>
      </w:r>
      <w:r>
        <w:t xml:space="preserve"> </w:t>
      </w:r>
      <w:r w:rsidRPr="004E2903">
        <w:t>is ma</w:t>
      </w:r>
      <w:r>
        <w:t>p</w:t>
      </w:r>
      <w:r w:rsidRPr="004E2903">
        <w:t xml:space="preserve">ped to the HRU raster </w:t>
      </w:r>
      <w:r>
        <w:t xml:space="preserve">map of 90 m resolution </w:t>
      </w:r>
      <w:r w:rsidRPr="004E2903">
        <w:t xml:space="preserve">that </w:t>
      </w:r>
      <w:r>
        <w:t xml:space="preserve">was </w:t>
      </w:r>
      <w:r w:rsidRPr="004E2903">
        <w:t xml:space="preserve">created during the model setup </w:t>
      </w:r>
      <w:r>
        <w:t xml:space="preserve">with </w:t>
      </w:r>
      <w:proofErr w:type="spellStart"/>
      <w:r>
        <w:t>ArcSWAT</w:t>
      </w:r>
      <w:proofErr w:type="spellEnd"/>
      <w:r>
        <w:t xml:space="preserve"> </w:t>
      </w:r>
      <w:r w:rsidR="00C26E1D">
        <w:fldChar w:fldCharType="begin" w:fldLock="1"/>
      </w:r>
      <w:r w:rsidR="00C260C5">
        <w:instrText>ADDIN CSL_CITATION {"citationItems":[{"id":"ITEM-1","itemData":{"DOI":"10.1002/hyp.11466","ISSN":"10991085","abstract":"The soil and water assessment tool (SWAT) has been widely used and thoroughly tested in many places in the world. The application of the SWAT model has pointed out that 2 of the major weaknesses of SWAT are related to the nonspatial reference of the hydrologic response unit concept and to the simplified groundwater concept, which contribute to its low performance in baseflow simulation and its inability to simulate regional groundwater flow. This study modified the groundwater module of SWAT to overcome the above limitations. The modified groundwater module has 2 aquifers. The local aquifer, which is the shallow aquifer in the original SWAT, represents a local groundwater flow system. The regional aquifer, which replaces the deep aquifer of the original SWAT, represents intermediate and regional groundwater flow systems. Groundwater recharge is partitioned into local and regional aquifer recharges. The regional aquifer is represented by a multicell aquifer (MCA) model. The regional aquifer is discretized into cells using the Thiessen polygon method, where centres of the cells are locations of groundwater observation wells. Groundwater flow between cells is modelled using Darcy's law. Return flow from cell to stream is conceptualized using a non-linear storage–discharge relationship. The SWAT model with the modified aquifer module, the so-called SWAT-MCA, was tested in 2 basins (Wipperau and Neetze) with porous aquifers in a lowland area in Lower Saxony, Germany. Results from the Wipperau basin show that the SWAT-MCA model is able (a) to simulate baseflow in a lowland area (where baseflow is a dominant source of streamflow) better than the original model and (b) to simulate regional groundwater flow, shown by the simulated groundwater levels in cells, quite well.","author":[{"dropping-particle":"","family":"Nguyen","given":"Tam","non-dropping-particle":"","parse-names":false,"suffix":""},{"dropping-particle":"","family":"Dietrich","given":"Jörg","non-dropping-particle":"","parse-names":false,"suffix":""}],"container-title":"Hydrological Processes","id":"ITEM-1","issue":"7","issued":{"date-parts":[["2018"]]},"title":"Modification of the SWAT model to simulate regional groundwater flow using a multicell aquifer","type":"article-journal","volume":"32"},"uris":["http://www.mendeley.com/documents/?uuid=8fe82b39-9b2a-393f-b7fd-c08e8ed7795c"]},{"id":"ITEM-2","itemData":{"DOI":"10.1016/j.jhydrol.2008.02.024","ISSN":"00221694","abstract":"This paper suggests a new approach for integrating the quasi-distributed watershed model, SWAT, with the fully-distributed ground-water model, MODFLOW. Since the SWAT model has semi-distributed features, its groundwater component does not consider distributed parameters such as hydraulic conductivity and storage coefficient. In generating a detailed representation of groundwater recharge, it is equally difficult to calculate the head distribution and the distributed pumping rate. In order to solve this problem a method is proposed whereby the characteristics of the hydrologic response units (HRUs) in the SWAT model are exchanged with cells in the MODFLOW model. By using this HRU-cell conversion interface, the distributed groundwater recharge rate and the groundwater evapotranspiration can be effectively simulated. By considering the interaction between the stream network and the aquifer to reflect boundary flow, the linkage is completed. For this purpose, the RIVER package in the MODFLOW model is used for river-aquifer interaction. This combined modeling is applied to the Musimcheon Basin in Korea. The application demonstrates that an integrated SWAT-MODFLOW is capable of simulating a spatio-temporal distribution of groundwater recharge rates, aquifer evapotranspiration and groundwater levels. It also enables an interaction between the saturated aquifer and channel reaches. This interaction played an important role in the generation of groundwater discharge in the basin, especially during the low flow period. The advanced water transfer method in SWAT-MODFLOW was successfully tested, and reproduced the distributed drawdown and reduced stream flow by pumping with multiple wells. Therefore, when considering discharge to streams, springs or marshes, the use of this model would be beneficial in planning for the sustainable development of groundwater. © 2008 Elsevier B.V. All rights reserved.","author":[{"dropping-particle":"","family":"Kim","given":"Nam Won","non-dropping-particle":"","parse-names":false,"suffix":""},{"dropping-particle":"","family":"Chung","given":"Il Moon","non-dropping-particle":"","parse-names":false,"suffix":""},{"dropping-particle":"","family":"Won","given":"Yoo Seung","non-dropping-particle":"","parse-names":false,"suffix":""},{"dropping-particle":"","family":"Arnold","given":"Jeffrey G.","non-dropping-particle":"","parse-names":false,"suffix":""}],"container-title":"Journal of Hydrology","id":"ITEM-2","issue":"1-2","issued":{"date-parts":[["2008"]]},"title":"Development and application of the integrated SWAT-MODFLOW model","type":"article-journal","volume":"356"},"uris":["http://www.mendeley.com/documents/?uuid=9928c943-32d3-396b-a560-126624fde2e8"]}],"mendeley":{"formattedCitation":"(Kim et al., 2008; Nguyen &amp; Dietrich, 2018)","manualFormatting":"(e.g., Kim et al., 2008; Nguyen &amp; Dietrich, 2018)","plainTextFormattedCitation":"(Kim et al., 2008; Nguyen &amp; Dietrich, 2018)","previouslyFormattedCitation":"(Kim et al., 2008; V. T. Nguyen &amp; Dietrich, 2018)"},"properties":{"noteIndex":0},"schema":"https://github.com/citation-style-language/schema/raw/master/csl-citation.json"}</w:instrText>
      </w:r>
      <w:r w:rsidR="00C26E1D">
        <w:fldChar w:fldCharType="separate"/>
      </w:r>
      <w:r w:rsidR="00C26E1D" w:rsidRPr="00C26E1D">
        <w:rPr>
          <w:noProof/>
        </w:rPr>
        <w:t>(</w:t>
      </w:r>
      <w:r w:rsidR="00C26E1D">
        <w:rPr>
          <w:noProof/>
        </w:rPr>
        <w:t xml:space="preserve">e.g., </w:t>
      </w:r>
      <w:r w:rsidR="00C26E1D" w:rsidRPr="00C26E1D">
        <w:rPr>
          <w:noProof/>
        </w:rPr>
        <w:t>Kim et al., 2008; Nguyen &amp; Dietrich, 2018)</w:t>
      </w:r>
      <w:r w:rsidR="00C26E1D">
        <w:fldChar w:fldCharType="end"/>
      </w:r>
      <w:r>
        <w:t>.</w:t>
      </w:r>
    </w:p>
    <w:p w:rsidR="00C36999" w:rsidRPr="001F0D1B" w:rsidRDefault="00B3258C" w:rsidP="00FE6D36">
      <w:pPr>
        <w:pStyle w:val="Heading3"/>
        <w:rPr>
          <w:rFonts w:ascii="Times New Roman" w:hAnsi="Times New Roman"/>
          <w:b/>
          <w:color w:val="auto"/>
          <w:lang w:val="en-US"/>
        </w:rPr>
      </w:pPr>
      <w:r w:rsidRPr="00FE6D36">
        <w:rPr>
          <w:rFonts w:ascii="Times New Roman" w:hAnsi="Times New Roman"/>
          <w:b/>
          <w:color w:val="auto"/>
        </w:rPr>
        <w:lastRenderedPageBreak/>
        <w:t xml:space="preserve">2.5.2. </w:t>
      </w:r>
      <w:r w:rsidR="0050585F" w:rsidRPr="00FE6D36">
        <w:rPr>
          <w:rFonts w:ascii="Times New Roman" w:hAnsi="Times New Roman"/>
          <w:b/>
          <w:color w:val="auto"/>
        </w:rPr>
        <w:t>P</w:t>
      </w:r>
      <w:r w:rsidR="005F2BE7" w:rsidRPr="00FE6D36">
        <w:rPr>
          <w:rFonts w:ascii="Times New Roman" w:hAnsi="Times New Roman"/>
          <w:b/>
          <w:color w:val="auto"/>
        </w:rPr>
        <w:t xml:space="preserve">arameter </w:t>
      </w:r>
      <w:r w:rsidR="00E06064" w:rsidRPr="001F0D1B">
        <w:rPr>
          <w:rFonts w:ascii="Times New Roman" w:hAnsi="Times New Roman"/>
          <w:b/>
          <w:color w:val="auto"/>
          <w:lang w:val="en-US"/>
        </w:rPr>
        <w:t>variation</w:t>
      </w:r>
      <w:r w:rsidR="001F0D1B" w:rsidRPr="001F0D1B">
        <w:rPr>
          <w:rFonts w:ascii="Times New Roman" w:hAnsi="Times New Roman"/>
          <w:b/>
          <w:color w:val="auto"/>
          <w:lang w:val="en-US"/>
        </w:rPr>
        <w:t xml:space="preserve"> </w:t>
      </w:r>
      <w:r w:rsidR="001F0D1B">
        <w:rPr>
          <w:rFonts w:ascii="Times New Roman" w:hAnsi="Times New Roman"/>
          <w:b/>
          <w:color w:val="auto"/>
          <w:lang w:val="en-US"/>
        </w:rPr>
        <w:t xml:space="preserve">and </w:t>
      </w:r>
      <w:r w:rsidR="00B774F2">
        <w:rPr>
          <w:rFonts w:ascii="Times New Roman" w:hAnsi="Times New Roman"/>
          <w:b/>
          <w:color w:val="auto"/>
          <w:lang w:val="en-US"/>
        </w:rPr>
        <w:t xml:space="preserve">model performance </w:t>
      </w:r>
      <w:r w:rsidR="001F0D1B">
        <w:rPr>
          <w:rFonts w:ascii="Times New Roman" w:hAnsi="Times New Roman"/>
          <w:b/>
          <w:color w:val="auto"/>
          <w:lang w:val="en-US"/>
        </w:rPr>
        <w:t>evaluation scenarios</w:t>
      </w:r>
    </w:p>
    <w:p w:rsidR="00A07641" w:rsidRDefault="00DC6EC7" w:rsidP="00687128">
      <w:pPr>
        <w:spacing w:before="120" w:after="120" w:line="360" w:lineRule="auto"/>
        <w:jc w:val="both"/>
      </w:pPr>
      <w:r>
        <w:tab/>
      </w:r>
      <w:r w:rsidR="00A07641">
        <w:t>T</w:t>
      </w:r>
      <w:r w:rsidR="00E06064">
        <w:t>he o</w:t>
      </w:r>
      <w:r w:rsidR="001521B0">
        <w:t>bjective</w:t>
      </w:r>
      <w:r w:rsidR="00A86497">
        <w:t>s</w:t>
      </w:r>
      <w:r w:rsidR="001521B0">
        <w:t xml:space="preserve"> of parameter variation</w:t>
      </w:r>
      <w:r w:rsidR="00E06064">
        <w:t xml:space="preserve"> are to 1) search for a global optimal solution, 2) find a relationship between </w:t>
      </w:r>
      <w:r w:rsidR="000858BB">
        <w:t xml:space="preserve">spatiotemporal and </w:t>
      </w:r>
      <w:r w:rsidR="00E0022E">
        <w:t xml:space="preserve">temporospatial </w:t>
      </w:r>
      <w:r w:rsidR="00E06064">
        <w:t>model performance</w:t>
      </w:r>
      <w:r w:rsidR="00867433">
        <w:t xml:space="preserve"> </w:t>
      </w:r>
      <w:r w:rsidR="00E54B8B">
        <w:t>in</w:t>
      </w:r>
      <w:r w:rsidR="00867433">
        <w:t xml:space="preserve"> different simulations</w:t>
      </w:r>
      <w:r w:rsidR="00680459">
        <w:t xml:space="preserve">. </w:t>
      </w:r>
      <w:r w:rsidR="00062DC7">
        <w:t xml:space="preserve">The parameters selected for </w:t>
      </w:r>
      <w:r w:rsidR="00876B90">
        <w:t>variation</w:t>
      </w:r>
      <w:r w:rsidR="005F4BD6">
        <w:t xml:space="preserve"> </w:t>
      </w:r>
      <w:r w:rsidR="00656F67">
        <w:t xml:space="preserve">(Table 1) </w:t>
      </w:r>
      <w:r w:rsidR="00062DC7">
        <w:t xml:space="preserve">were based on </w:t>
      </w:r>
      <w:r w:rsidR="00A86497">
        <w:t xml:space="preserve">a </w:t>
      </w:r>
      <w:r w:rsidR="00062DC7">
        <w:t xml:space="preserve">literature review of the most common parameters for </w:t>
      </w:r>
      <w:r w:rsidR="00996B28">
        <w:t xml:space="preserve">ETa </w:t>
      </w:r>
      <w:r w:rsidR="00676339">
        <w:t xml:space="preserve">calibration </w:t>
      </w:r>
      <w:r w:rsidR="00C26E1D">
        <w:fldChar w:fldCharType="begin" w:fldLock="1"/>
      </w:r>
      <w:r w:rsidR="00C260C5">
        <w:instrText>ADDIN CSL_CITATION {"citationItems":[{"id":"ITEM-1","itemData":{"DOI":"10.1016/j.envsoft.2019.104606","ISSN":"13648152","abstract":"Karstification is considered as one of the most common reasons for interbasin groundwater flow (IGF). IGF in some karst areas could be significant such that it must be accounted for in hydrologic modeling. In this study, the Soil and Water Assessment Tool (SWAT) was modified to explicitly account for IGF in karst areas. The modified model uses two conceptual models to simulate hydrologic processes in karst and non-karst regions. The modified model was applied in the karst-dominated region in the southwest Harz Mountains, Germany. Multisite streamflow data and satellite-derived actual evapotranspiration (ETa) were used for model calibration. Results show that (1) the modified model can be satisfactorily calibrated and validated for streamflow and ETa (2) the model performance for ETa and streamflow at some gauging stations are highly correlated, and (3) the use of satellite-derived ETa does not affect the model performance.","author":[{"dropping-particle":"","family":"Nguyen","given":"Tam","non-dropping-particle":"","parse-names":false,"suffix":""},{"dropping-particle":"","family":"Dietrich","given":"Jörg","non-dropping-particle":"","parse-names":false,"suffix":""},{"dropping-particle":"","family":"Uniyal","given":"Bhumika","non-dropping-particle":"","parse-names":false,"suffix":""}],"container-title":"Environmental Modelling and Software","id":"ITEM-1","issued":{"date-parts":[["2020"]]},"title":"Modeling interbasin groundwater flow in karst areas: Model development, application, and calibration strategy","type":"article-journal","volume":"124"},"uris":["http://www.mendeley.com/documents/?uuid=40d1aa49-b353-38e6-ad3b-ac0449a8f910"]},{"id":"ITEM-2","itemData":{"DOI":"10.1016/j.jhydrol.2006.08.001","ISSN":"00221694","abstract":"Distributed models used in hydrological modelling, have many parameters. To get useful results from the model, every parameter is required to have a sensible value. Usually a calibration is undertaken to reduce the uncertainties associated with the estimation of model parameters. To ensure efficient calibration, a sensitivity analysis is conducted to identify the most sensitive parameters. This paper describes simple and efficient approaches for sensitivity analysis, calibration and identification of the best methodology within a modelling framework. For this study, the SWAT-2000 model was used on a small catchment of 141.5 ha in the Unilever Colworth estate, in Bedfordshire, England. Acceptable performance in hydrological modelling, and correct simulation of the processes driving the water balance were essential requirements for subsequent pesticide modelling. SWAT gives various options for both evapotranspiration and runoff modelling. Identification of the best modelling option for these processes is a pre-requisite to achieve these requirements. As a first step, a sensitivity analysis was conducted to identify the sensitive parameters affecting stream flow for subsequent application in stream flow calibration. Hydrological modelling has been carried out for the catchment for the period September 1999 to May 2002 inclusive using both daily and sub-daily rainfall data. The Hargreaves and Penman-Montieth methods of evapotranspiration estimation and the NRCS curve number (CN) and Green and Ampt infiltration methods for runoff estimation techniques were used, in four different combinations, to identify the combination of methodologies that best reproduced the observed data. In addition, as the initial calibration period, starting in September 1999, was substantially wetter than the following corresponding validation period, the calibration and validation periods are interchanged to test the impact of calibration using wet or dry periods. © 2006 Elsevier B.V. All rights reserved.","author":[{"dropping-particle":"","family":"Kannan","given":"N.","non-dropping-particle":"","parse-names":false,"suffix":""},{"dropping-particle":"","family":"White","given":"S. M.","non-dropping-particle":"","parse-names":false,"suffix":""},{"dropping-particle":"","family":"Worrall","given":"F.","non-dropping-particle":"","parse-names":false,"suffix":""},{"dropping-particle":"","family":"Whelan","given":"M. J.","non-dropping-particle":"","parse-names":false,"suffix":""}],"container-title":"Journal of Hydrology","id":"ITEM-2","issue":"3-4","issued":{"date-parts":[["2007"]]},"title":"Sensitivity analysis and identification of the best evapotranspiration and runoff options for hydrological modelling in SWAT-2000","type":"article-journal","volume":"332"},"uris":["http://www.mendeley.com/documents/?uuid=84ecefe9-318e-38dd-b310-ee35851ff1ce"]},{"id":"ITEM-3","itemData":{"DOI":"10.5194/hess-23-1113-2019","ISSN":"16077938","abstract":"The main objective of this study was to calibrate and validate the eco-hydrological model Soil and Water Assessment Tool (SWAT) with satellite-based actual evapotranspiration (AET) data from the Global Land Evaporation Amsterdam Model (GLEAM-v3.0a) and from the Moderate Resolution Imaging Spectroradiometer Global Evaporation (MOD16) for the Ogun River Basin (20 292 km 2 ) located in southwestern Nigeria. Three potential evapotranspiration (PET) equations (Hargreaves, Priestley-Taylor and Penman-Monteith) were used for the SWAT simulation of AET. The reference simulations were the three AET variables simulated with SWAT before model calibration took place. The sequential uncertainty fitting technique (SUFI-2) was used for the SWAT model sensitivity analysis, calibration, validation and uncertainty analysis. The GLEAM-v3.0a and MOD16 products were subsequently used to calibrate the three SWAT-simulated AET variables, thereby obtaining six calibrations-validations at a monthly timescale. The model performance for the three SWAT model runs was evaluated for each of the 53 subbasins against the GLEAM-v3.0a and MOD16 products, which enabled the best model run with the highest-performing satellite-based AET product to be chosen. A verification of the simulated AET variable was carried out by (i) comparing the simulated AET of the calibrated model to GLEAM-v3.0b AET, which is a product that has different forcing data than the version of GLEAM used for the calibration, and (ii) assessing the long-term average annual and average monthly water balances at the outlet of the watershed. Overall, the SWAT model, composed of the Hargreaves PET equation and calibrated using the GLEAM-v3.0a data (GS1), performed well for the simulation of AET and provided a good level of confidence for using the SWAT model as a decision support tool. The 95% uncertainty of the SWAT-simulated variable bracketed most of the satellite-based AET data in each subbasin. A validation of the simulated soil moisture dynamics for GS1 was carried out using satellite-retrieved soil moisture data, which revealed good agreement. The SWAT model (GS1) also captured the seasonal variability of the water balance components at the outlet of the watershed. This study demonstrated the potential to use remotely sensed evapotranspiration data for hydrological model calibration and validation in a sparsely gauged large river basin with reasonable accuracy. The novelty of the study is the use of these freely ava…","author":[{"dropping-particle":"","family":"Odusanya","given":"Abolanle E.","non-dropping-particle":"","parse-names":false,"suffix":""},{"dropping-particle":"","family":"Mehdi","given":"Bano","non-dropping-particle":"","parse-names":false,"suffix":""},{"dropping-particle":"","family":"Schürz","given":"Christoph","non-dropping-particle":"","parse-names":false,"suffix":""},{"dropping-particle":"","family":"Oke","given":"Adebayo O.","non-dropping-particle":"","parse-names":false,"suffix":""},{"dropping-particle":"","family":"Awokola","given":"Olufiropo S.","non-dropping-particle":"","parse-names":false,"suffix":""},{"dropping-particle":"","family":"Awomeso","given":"Julius A.","non-dropping-particle":"","parse-names":false,"suffix":""},{"dropping-particle":"","family":"Adejuwon","given":"Joseph O.","non-dropping-particle":"","parse-names":false,"suffix":""},{"dropping-particle":"","family":"Schulz","given":"Karsten","non-dropping-particle":"","parse-names":false,"suffix":""}],"container-title":"Hydrology and Earth System Sciences","id":"ITEM-3","issue":"2","issued":{"date-parts":[["2019"]]},"title":"Multi-site calibration and validation of SWAT with satellite-based evapotranspiration in a data-sparse catchment in southwestern Nigeria","type":"article-journal","volume":"23"},"uris":["http://www.mendeley.com/documents/?uuid=57d56180-8fd0-37cb-9c58-7c22c709d9ff"]},{"id":"ITEM-4","itemData":{"DOI":"10.1016/j.jhydrol.2018.10.024","ISSN":"00221694","abstract":"A hydrologic model, calibrated using only streamflow data, can produce acceptable streamflow simulation at the watershed outlet yet unrealistic representations of water balance across the landscape. Recent studies have demonstrated the potential of multi-objective calibration using remotely sensed evapotranspiration (ET) and gaged streamflow data to spatially improve the water balance. However, methodological clarity on how to “best” integrate ET data and model parameters in multi-objective model calibration to improve simulations is lacking. To address these limitations, we assessed how a spatially explicit, distributed calibration approach that uses (1) remotely sensed ET data from the Moderate Resolution Imaging Spectroradiometer (MODIS) and (2) frequently overlooked biophysical parameters can improve the overall predictability of two key components of the water balance: streamflow and ET at different locations throughout the watershed. We used the Soil and Water Assessment Tool (SWAT), previously modified to represent hydrologic transport and filling-spilling of landscape depressions, in a large watershed of the Prairie Pothole Region, United States. We employed a novel stepwise series of calibration experiments to isolate the effects (on streamflow and simulated ET) of integrating biophysical parameters and spatially explicit remotely sensed ET data into model calibration. Results suggest that the inclusion of biophysical parameters involving vegetation dynamics and energy utilization mechanisms tend to increase model accuracy. Furthermore, we found that using a lumped, versus a spatially explicit, approach for integrating ET into model calibration produces a sub-optimal model state with no potential improvement in model performance across large spatial scales. However, when we utilized the same MODIS ET datasets but calibrated each sub-basin in the spatially explicit approach, water yield prediction uncertainty decreased, including a distinct improvement in the temporal and spatial accuracy of simulated ET and streamflow. This further resulted in a more realistic simulation of vegetation growth when compared to MODIS Leaf-Area Index data. These findings afford critical insights into the efficient integration of remotely sensed “big data” into hydrologic modeling and associated watershed management decisions. Our approach can be generalized and potentially replicated using other hydrologic models and remotely sensed data resources – and in differen…","author":[{"dropping-particle":"","family":"Rajib","given":"Adnan","non-dropping-particle":"","parse-names":false,"suffix":""},{"dropping-particle":"","family":"Evenson","given":"Grey R.","non-dropping-particle":"","parse-names":false,"suffix":""},{"dropping-particle":"","family":"Golden","given":"Heather E.","non-dropping-particle":"","parse-names":false,"suffix":""},{"dropping-particle":"","family":"Lane","given":"Charles R.","non-dropping-particle":"","parse-names":false,"suffix":""}],"container-title":"Journal of Hydrology","id":"ITEM-4","issued":{"date-parts":[["2018"]]},"title":"Hydrologic model predictability improves with spatially explicit calibration using remotely sensed evapotranspiration and biophysical parameters","type":"article-journal","volume":"567"},"uris":["http://www.mendeley.com/documents/?uuid=57942210-c496-3c1a-9a1f-23a5a7ea7f47"]},{"id":"ITEM-5","itemData":{"DOI":"10.5194/hess-22-2775-2018","ISSN":"16077938","abstract":"In most hydrological systems, evapotranspiration (ET) and precipitation are the largest components of the water balance, which are difficult to estimate, particularly over complex terrain. In recent decades, the advent of remotely sensed data based ET algorithms and distributed hydrological models has provided improved spatially upscaled ET estimates. However, information on the performance of these methods at various spatial scales is limited. This study compares the ET from the MODIS remotely sensed ET dataset (MOD16) with the ET estimates from a SWAT hydrological model on graduated spatial scales for the complex terrain of the Sixth Creek Catchment of the Western Mount Lofty Ranges, South Australia. ET from both models was further compared with the coarser-resolution AWRA-L model at catchment scale. The SWAT model analyses are performed on daily timescales with a 6-year calibration period (2000- 2005) and 7-year validation period (2007-2013). Differences in ET estimation between the SWAT and MOD16 methods of up to 31, 19, 15, 11 and 9% were observed at respectively 1, 4, 9, 16 and 25 km2 spatial resolutions. Based on the results of the study, a spatial scale of confidence of 4 km2 for catchment-scale evapotranspiration is suggested in complex terrain. Land cover differences, HRU parameterisation in AWRA-L and catchment-scale averaging of input climate data in the SWAT semi-distributed model were identified as the principal sources of weaker correlations at higher spatial resolution.","author":[{"dropping-par</w:instrText>
      </w:r>
      <w:r w:rsidR="00C260C5" w:rsidRPr="00C260C5">
        <w:rPr>
          <w:lang w:val="de-DE"/>
        </w:rPr>
        <w:instrText>ticle":"","family":"Abiodun","given":"Olanrewaju O.","non-dropping-particle":"","parse-names":false,"suffix":""},{"dropping-particle":"","family":"Guan","given":"Huade","non-dropping-particle":"","parse-names":false,"suffix":""},{"dropping-particle":"","family":"Post","given":"Vincent E.A.","non-dropping-particle":"","parse-names":false,"suffix":""},{"dropping-particle":"","family":"Batelaan","given":"Okke","non-dropping-particle":"","parse-names":false,"suffix":""}],"container-title":"Hydrology and Earth System Sciences","id":"ITEM-5","issue":"5","issued":{"date-parts":[["2018"]]},"title":"Comparison of MODIS and SWAT evapotranspiration over a complex terrain at different spatial scales","type":"article-journal","volume":"22"},"uris":["http://www.mendeley.com/documents/?uuid=b3f3779c-a360-307c-8e44-6b53b9862d37"]}],"mendeley":{"formattedCitation":"(Abiodun et al., 2018; Kannan et al., 2007; Nguyen et al., 2020; Odusanya et al., 2019; Rajib et al., 2018)","manualFormatting":"(Abiodun et al., 2018; Kannan et al., 2007; Nguyen et al., 2020; Odusanya et al., 2019; Rajib et al., 2018)","plainTextFormattedCitation":"(Abiodun et al., 2018; Kannan et al., 2007; Nguyen et al., 2020; Odusanya et al., 2019; Rajib et al., 2018)","previouslyFormattedCitation":"(Abiodun et al., 2018; Kannan et al., 2007; Odusanya et al., 2019; Rajib et al., 2018; Van Tam et al., 2020)"},"properties":{"noteIndex":0},"schema":"https://github.com/citation-style-language/schema/raw/master/csl-citation.json"}</w:instrText>
      </w:r>
      <w:r w:rsidR="00C26E1D">
        <w:fldChar w:fldCharType="separate"/>
      </w:r>
      <w:r w:rsidR="00B947A1" w:rsidRPr="00B947A1">
        <w:rPr>
          <w:noProof/>
          <w:lang w:val="de-DE"/>
        </w:rPr>
        <w:t>(Abiodun et al., 2018; Kannan et al., 2007; Nguyen et al., 2020; Odusanya et al., 2019; Rajib et al., 2018)</w:t>
      </w:r>
      <w:r w:rsidR="00C26E1D">
        <w:fldChar w:fldCharType="end"/>
      </w:r>
      <w:r w:rsidR="00676339" w:rsidRPr="00B81078">
        <w:rPr>
          <w:lang w:val="de-DE"/>
        </w:rPr>
        <w:t>.</w:t>
      </w:r>
      <w:r w:rsidR="00E66441" w:rsidRPr="00B81078">
        <w:rPr>
          <w:lang w:val="de-DE"/>
        </w:rPr>
        <w:t xml:space="preserve"> </w:t>
      </w:r>
      <w:r w:rsidR="00FB75E1">
        <w:t xml:space="preserve">In this study, </w:t>
      </w:r>
      <w:r w:rsidR="00332E4F">
        <w:t xml:space="preserve">some of </w:t>
      </w:r>
      <w:r w:rsidR="00FB75E1">
        <w:t>the parameters were changed in a spatial approach</w:t>
      </w:r>
      <w:r w:rsidR="00332E4F">
        <w:t xml:space="preserve"> according to land use and soil type (Table 1)</w:t>
      </w:r>
      <w:r w:rsidR="00B6034E">
        <w:t xml:space="preserve">. </w:t>
      </w:r>
      <w:r w:rsidR="00590D71">
        <w:t xml:space="preserve">Latin Hypercube Sampling (LHS) </w:t>
      </w:r>
      <w:r w:rsidR="00561CDD">
        <w:t>was used</w:t>
      </w:r>
      <w:r w:rsidR="006D7AA7">
        <w:t xml:space="preserve"> </w:t>
      </w:r>
      <w:r w:rsidR="00590D71">
        <w:t>to generate 2000 parameter sets</w:t>
      </w:r>
      <w:r w:rsidR="00561CDD">
        <w:t xml:space="preserve"> in a search for a global optimum solution</w:t>
      </w:r>
      <w:r w:rsidR="00590D71">
        <w:t>. LHS ha</w:t>
      </w:r>
      <w:r w:rsidR="00A86497">
        <w:t>s</w:t>
      </w:r>
      <w:r w:rsidR="00590D71">
        <w:t xml:space="preserve"> been demonstrated as an efficient sampling approach for searching global optimal solution for high dimensional problem</w:t>
      </w:r>
      <w:r w:rsidR="00B947A1">
        <w:t xml:space="preserve">s </w:t>
      </w:r>
      <w:r w:rsidR="00B947A1">
        <w:fldChar w:fldCharType="begin" w:fldLock="1"/>
      </w:r>
      <w:r w:rsidR="00C260C5">
        <w:instrText>ADDIN CSL_CITATION {"citationItems":[{"id":"ITEM-1","itemData":{"DOI":"10.1029/2020wr028490","ISSN":"0043-1397","abstract":"AbstractStorAge Selection (SAS) functions describe how catchments selectively remove water of different ages in storage via discharge, thus controlling the transit time distribution (TTD) and solute composition of discharge. SAS-based models have been emerging as promising tools for quantifying catchment-scale solute export, providing a coherent framework for describing both velocity and celerity driven transport. Due to their application in headwaters only, the spatial heterogeneity of catchment physiographic characteristics, land-use management practices, and large-scale validation have not been adequately addressed with SAS-based models. Here we integrated SAS functions into the grid-based mHM-Nitrate model (mesoscale Hydrological Model) at both grid scale (distributed model) and catchment scale (lumped model). The proposed model provides a spatially distributed representation of nitrogen dynamics within the soil zone and a unified approach for representing both velocity and celerity driven subsurface transport below the soil zone. The model was tested in a heterogeneous mesoscale catchment. Simulated results show a strong spatial heterogeneity in nitrogen dynamics within the soil zone, highlighting the necessity of a spatially explicit approach for describing near-surface nitrogen processing. The lumped model could well capture instream nitrate concentration dynamics and the concentration-discharge relationship at the catchment outlet. In addition, the model could provide insights into the relations between subsurface storage, mixing scheme, solute export, and the TTDs of discharge. The distributed model shows results that are comparable to the lumped model. Overall, the results reveal the potential for large-scale applications of SAS-based transport models, contributing to the understanding of water quality-related issues in agricultural landscapes.This article is protected by copyright. All rights reserved.","author":[{"dropping-particle":"V.","family":"Nguyen","given":"Tam","non-dropping-particle":"","parse-names":false,"suffix":""},{"dropping-particle":"","family":"Kumar","given":"Rohini","non-dropping-particle":"","parse-names":false,"suffix":""},{"dropping-particle":"","family":"Lutz","given":"Stefanie R.","non-dropping-particle":"","parse-names":false,"suffix":""},{"dropping-particle":"","family":"Musolff","given":"Andreas","non-dropping-particle":"","parse-names":false,"suffix":""},{"dropping-particle":"","family":"Yang","given":"Jie","non-dropping-particle":"","parse-names":false,"suffix":""},{"dropping-particle":"","family":"Fleckenstein","given":"Jan H.","non-dropping-particle":"","parse-names":false,"suffix":""}],"container-title":"Water Resources Research","id":"ITEM-1","issued":{"date-parts":[["2021"]]},"title":"Modeling Nitrate Export From a Mesoscale Catchment Using StorAge Selection Functions","type":"article-journal"},"uris":["http://www.mendeley.com/documents/?uuid=a829d0ab-7474-441c-b665-852e112ceb4f"]}],"mendeley":{"formattedCitation":"(Nguyen et al., 2021)","manualFormatting":"(e.g., Nguyen et al., 2021)","plainTextFormattedCitation":"(Nguyen et al., 2021)","previouslyFormattedCitation":"(T. V. Nguyen et al., 2021)"},"properties":{"noteIndex":0},"schema":"https://github.com/citation-style-language/schema/raw/master/csl-citation.json"}</w:instrText>
      </w:r>
      <w:r w:rsidR="00B947A1">
        <w:fldChar w:fldCharType="separate"/>
      </w:r>
      <w:r w:rsidR="00B947A1" w:rsidRPr="00B947A1">
        <w:rPr>
          <w:noProof/>
        </w:rPr>
        <w:t>(</w:t>
      </w:r>
      <w:r w:rsidR="00680322">
        <w:rPr>
          <w:noProof/>
        </w:rPr>
        <w:t xml:space="preserve">e.g., </w:t>
      </w:r>
      <w:r w:rsidR="00B947A1" w:rsidRPr="00B947A1">
        <w:rPr>
          <w:noProof/>
        </w:rPr>
        <w:t>Nguyen et al., 2021)</w:t>
      </w:r>
      <w:r w:rsidR="00B947A1">
        <w:fldChar w:fldCharType="end"/>
      </w:r>
      <w:r w:rsidR="007E73C9">
        <w:t xml:space="preserve">. </w:t>
      </w:r>
    </w:p>
    <w:p w:rsidR="00075F4E" w:rsidRDefault="00075F4E" w:rsidP="00687128">
      <w:pPr>
        <w:spacing w:before="120" w:after="120" w:line="360" w:lineRule="auto"/>
        <w:jc w:val="both"/>
      </w:pPr>
      <w:r w:rsidRPr="00E87EF4">
        <w:rPr>
          <w:b/>
        </w:rPr>
        <w:t>Table 1</w:t>
      </w:r>
      <w:r>
        <w:t>. List of model parameter</w:t>
      </w:r>
      <w:r w:rsidR="001C1FDF">
        <w:t>s</w:t>
      </w:r>
      <w:r>
        <w:t xml:space="preserve"> and their ranges for parameter optimization</w:t>
      </w:r>
      <w:r w:rsidR="00ED278C">
        <w:t xml:space="preserve">. The prefixes “v” and “r” indicate </w:t>
      </w:r>
      <w:r w:rsidR="005D1832">
        <w:t>“</w:t>
      </w:r>
      <w:r w:rsidR="00ED278C">
        <w:t>replace</w:t>
      </w:r>
      <w:r w:rsidR="005D1832">
        <w:t>”</w:t>
      </w:r>
      <w:r w:rsidR="00ED278C">
        <w:t xml:space="preserve"> and </w:t>
      </w:r>
      <w:r w:rsidR="005D1832">
        <w:t>“</w:t>
      </w:r>
      <w:r w:rsidR="00ED278C">
        <w:t>relative</w:t>
      </w:r>
      <w:r w:rsidR="005D1832">
        <w:t>”</w:t>
      </w:r>
      <w:r w:rsidR="00ED278C">
        <w:t xml:space="preserve"> change</w:t>
      </w:r>
      <w:r w:rsidR="005D1832">
        <w:t xml:space="preserve"> compared to the original values</w:t>
      </w:r>
      <w:r w:rsidR="0096197D">
        <w:t xml:space="preserve">. </w:t>
      </w:r>
    </w:p>
    <w:tbl>
      <w:tblPr>
        <w:tblStyle w:val="TableGrid"/>
        <w:tblW w:w="909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
        <w:gridCol w:w="1975"/>
        <w:gridCol w:w="4235"/>
        <w:gridCol w:w="1260"/>
        <w:gridCol w:w="1081"/>
      </w:tblGrid>
      <w:tr w:rsidR="00517E4E" w:rsidRPr="009920B6" w:rsidTr="009920B6">
        <w:tc>
          <w:tcPr>
            <w:tcW w:w="540" w:type="dxa"/>
            <w:tcBorders>
              <w:top w:val="single" w:sz="4" w:space="0" w:color="auto"/>
            </w:tcBorders>
          </w:tcPr>
          <w:p w:rsidR="00517E4E" w:rsidRPr="009920B6" w:rsidRDefault="00517E4E" w:rsidP="005858EE">
            <w:pPr>
              <w:ind w:hanging="18"/>
              <w:rPr>
                <w:sz w:val="20"/>
                <w:szCs w:val="20"/>
                <w:lang w:eastAsia="x-none"/>
              </w:rPr>
            </w:pPr>
            <w:proofErr w:type="spellStart"/>
            <w:r w:rsidRPr="009920B6">
              <w:rPr>
                <w:sz w:val="20"/>
                <w:szCs w:val="20"/>
                <w:lang w:eastAsia="x-none"/>
              </w:rPr>
              <w:t>Nr</w:t>
            </w:r>
            <w:proofErr w:type="spellEnd"/>
            <w:r w:rsidRPr="009920B6">
              <w:rPr>
                <w:sz w:val="20"/>
                <w:szCs w:val="20"/>
                <w:lang w:eastAsia="x-none"/>
              </w:rPr>
              <w:t>.</w:t>
            </w:r>
          </w:p>
        </w:tc>
        <w:tc>
          <w:tcPr>
            <w:tcW w:w="1975" w:type="dxa"/>
            <w:tcBorders>
              <w:top w:val="single" w:sz="4" w:space="0" w:color="auto"/>
            </w:tcBorders>
          </w:tcPr>
          <w:p w:rsidR="00517E4E" w:rsidRPr="009920B6" w:rsidRDefault="00517E4E" w:rsidP="005858EE">
            <w:pPr>
              <w:ind w:hanging="18"/>
              <w:rPr>
                <w:sz w:val="20"/>
                <w:szCs w:val="20"/>
                <w:lang w:eastAsia="x-none"/>
              </w:rPr>
            </w:pPr>
            <w:r w:rsidRPr="009920B6">
              <w:rPr>
                <w:sz w:val="20"/>
                <w:szCs w:val="20"/>
                <w:lang w:eastAsia="x-none"/>
              </w:rPr>
              <w:t>Parameters</w:t>
            </w:r>
          </w:p>
        </w:tc>
        <w:tc>
          <w:tcPr>
            <w:tcW w:w="4235" w:type="dxa"/>
            <w:tcBorders>
              <w:top w:val="single" w:sz="4" w:space="0" w:color="auto"/>
            </w:tcBorders>
          </w:tcPr>
          <w:p w:rsidR="00517E4E" w:rsidRPr="009920B6" w:rsidRDefault="00517E4E" w:rsidP="001B05D8">
            <w:pPr>
              <w:ind w:left="-108"/>
              <w:jc w:val="center"/>
              <w:rPr>
                <w:sz w:val="20"/>
                <w:szCs w:val="20"/>
                <w:lang w:eastAsia="x-none"/>
              </w:rPr>
            </w:pPr>
            <w:r w:rsidRPr="009920B6">
              <w:rPr>
                <w:sz w:val="20"/>
                <w:szCs w:val="20"/>
                <w:lang w:eastAsia="x-none"/>
              </w:rPr>
              <w:t>Description</w:t>
            </w:r>
          </w:p>
        </w:tc>
        <w:tc>
          <w:tcPr>
            <w:tcW w:w="2341" w:type="dxa"/>
            <w:gridSpan w:val="2"/>
            <w:tcBorders>
              <w:top w:val="single" w:sz="4" w:space="0" w:color="auto"/>
            </w:tcBorders>
          </w:tcPr>
          <w:p w:rsidR="00517E4E" w:rsidRPr="009920B6" w:rsidRDefault="00517E4E" w:rsidP="001B05D8">
            <w:pPr>
              <w:ind w:left="-108"/>
              <w:jc w:val="center"/>
              <w:rPr>
                <w:sz w:val="20"/>
                <w:szCs w:val="20"/>
                <w:lang w:eastAsia="x-none"/>
              </w:rPr>
            </w:pPr>
            <w:r w:rsidRPr="009920B6">
              <w:rPr>
                <w:sz w:val="20"/>
                <w:szCs w:val="20"/>
                <w:lang w:eastAsia="x-none"/>
              </w:rPr>
              <w:t>Parameter Range</w:t>
            </w:r>
          </w:p>
        </w:tc>
      </w:tr>
      <w:tr w:rsidR="00517E4E" w:rsidRPr="009920B6" w:rsidTr="009920B6">
        <w:tc>
          <w:tcPr>
            <w:tcW w:w="540" w:type="dxa"/>
            <w:tcBorders>
              <w:bottom w:val="single" w:sz="4" w:space="0" w:color="auto"/>
            </w:tcBorders>
          </w:tcPr>
          <w:p w:rsidR="00517E4E" w:rsidRPr="009920B6" w:rsidRDefault="00517E4E" w:rsidP="005858EE">
            <w:pPr>
              <w:ind w:hanging="18"/>
              <w:rPr>
                <w:sz w:val="20"/>
                <w:szCs w:val="20"/>
                <w:lang w:eastAsia="x-none"/>
              </w:rPr>
            </w:pPr>
          </w:p>
        </w:tc>
        <w:tc>
          <w:tcPr>
            <w:tcW w:w="1975" w:type="dxa"/>
            <w:tcBorders>
              <w:bottom w:val="single" w:sz="4" w:space="0" w:color="auto"/>
            </w:tcBorders>
          </w:tcPr>
          <w:p w:rsidR="00517E4E" w:rsidRPr="009920B6" w:rsidRDefault="00517E4E" w:rsidP="005858EE">
            <w:pPr>
              <w:ind w:hanging="18"/>
              <w:rPr>
                <w:sz w:val="20"/>
                <w:szCs w:val="20"/>
                <w:lang w:eastAsia="x-none"/>
              </w:rPr>
            </w:pPr>
          </w:p>
        </w:tc>
        <w:tc>
          <w:tcPr>
            <w:tcW w:w="4235" w:type="dxa"/>
            <w:tcBorders>
              <w:bottom w:val="single" w:sz="4" w:space="0" w:color="auto"/>
            </w:tcBorders>
          </w:tcPr>
          <w:p w:rsidR="00517E4E" w:rsidRPr="009920B6" w:rsidRDefault="00517E4E" w:rsidP="001B05D8">
            <w:pPr>
              <w:ind w:left="-108"/>
              <w:jc w:val="center"/>
              <w:rPr>
                <w:sz w:val="20"/>
                <w:szCs w:val="20"/>
                <w:lang w:eastAsia="x-none"/>
              </w:rPr>
            </w:pPr>
          </w:p>
        </w:tc>
        <w:tc>
          <w:tcPr>
            <w:tcW w:w="1260" w:type="dxa"/>
            <w:tcBorders>
              <w:bottom w:val="single" w:sz="4" w:space="0" w:color="auto"/>
            </w:tcBorders>
          </w:tcPr>
          <w:p w:rsidR="00517E4E" w:rsidRPr="009920B6" w:rsidRDefault="00517E4E" w:rsidP="001B05D8">
            <w:pPr>
              <w:ind w:left="-108"/>
              <w:jc w:val="center"/>
              <w:rPr>
                <w:sz w:val="20"/>
                <w:szCs w:val="20"/>
                <w:lang w:eastAsia="x-none"/>
              </w:rPr>
            </w:pPr>
            <w:r w:rsidRPr="009920B6">
              <w:rPr>
                <w:sz w:val="20"/>
                <w:szCs w:val="20"/>
                <w:lang w:eastAsia="x-none"/>
              </w:rPr>
              <w:t>Min</w:t>
            </w:r>
          </w:p>
        </w:tc>
        <w:tc>
          <w:tcPr>
            <w:tcW w:w="1081" w:type="dxa"/>
            <w:tcBorders>
              <w:bottom w:val="single" w:sz="4" w:space="0" w:color="auto"/>
            </w:tcBorders>
          </w:tcPr>
          <w:p w:rsidR="00517E4E" w:rsidRPr="009920B6" w:rsidRDefault="00517E4E" w:rsidP="001B05D8">
            <w:pPr>
              <w:ind w:left="-108"/>
              <w:jc w:val="center"/>
              <w:rPr>
                <w:sz w:val="20"/>
                <w:szCs w:val="20"/>
                <w:lang w:eastAsia="x-none"/>
              </w:rPr>
            </w:pPr>
            <w:r w:rsidRPr="009920B6">
              <w:rPr>
                <w:sz w:val="20"/>
                <w:szCs w:val="20"/>
                <w:lang w:eastAsia="x-none"/>
              </w:rPr>
              <w:t>Max</w:t>
            </w:r>
          </w:p>
        </w:tc>
      </w:tr>
      <w:tr w:rsidR="00A225E5" w:rsidRPr="009920B6" w:rsidTr="009920B6">
        <w:tc>
          <w:tcPr>
            <w:tcW w:w="540" w:type="dxa"/>
            <w:tcBorders>
              <w:top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1</w:t>
            </w:r>
          </w:p>
        </w:tc>
        <w:tc>
          <w:tcPr>
            <w:tcW w:w="1975" w:type="dxa"/>
            <w:tcBorders>
              <w:top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r_CN2</w:t>
            </w:r>
            <w:r w:rsidRPr="009920B6">
              <w:rPr>
                <w:sz w:val="20"/>
                <w:szCs w:val="20"/>
                <w:vertAlign w:val="superscript"/>
                <w:lang w:eastAsia="x-none"/>
              </w:rPr>
              <w:t>FRSD</w:t>
            </w:r>
          </w:p>
        </w:tc>
        <w:tc>
          <w:tcPr>
            <w:tcW w:w="4235" w:type="dxa"/>
            <w:vMerge w:val="restart"/>
            <w:tcBorders>
              <w:top w:val="single" w:sz="4" w:space="0" w:color="auto"/>
            </w:tcBorders>
            <w:vAlign w:val="center"/>
          </w:tcPr>
          <w:p w:rsidR="00A225E5" w:rsidRPr="009920B6" w:rsidRDefault="00A225E5" w:rsidP="00EB5A76">
            <w:pPr>
              <w:jc w:val="both"/>
              <w:rPr>
                <w:sz w:val="20"/>
                <w:szCs w:val="20"/>
                <w:lang w:eastAsia="x-none"/>
              </w:rPr>
            </w:pPr>
            <w:r w:rsidRPr="009920B6">
              <w:rPr>
                <w:sz w:val="20"/>
                <w:szCs w:val="20"/>
                <w:lang w:eastAsia="x-none"/>
              </w:rPr>
              <w:t xml:space="preserve">SCS runoff curve number of forest (FRSD), agriculture (AGRL), and </w:t>
            </w:r>
            <w:r w:rsidR="00DE035A">
              <w:rPr>
                <w:sz w:val="20"/>
                <w:szCs w:val="20"/>
                <w:lang w:eastAsia="x-none"/>
              </w:rPr>
              <w:t xml:space="preserve">range </w:t>
            </w:r>
            <w:r w:rsidR="00EB5A76">
              <w:rPr>
                <w:sz w:val="20"/>
                <w:szCs w:val="20"/>
                <w:lang w:eastAsia="x-none"/>
              </w:rPr>
              <w:t>grass</w:t>
            </w:r>
            <w:r w:rsidRPr="009920B6">
              <w:rPr>
                <w:sz w:val="20"/>
                <w:szCs w:val="20"/>
                <w:lang w:eastAsia="x-none"/>
              </w:rPr>
              <w:t xml:space="preserve"> (RNGE) lands</w:t>
            </w:r>
          </w:p>
        </w:tc>
        <w:tc>
          <w:tcPr>
            <w:tcW w:w="1260" w:type="dxa"/>
            <w:tcBorders>
              <w:top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-0.2</w:t>
            </w:r>
          </w:p>
        </w:tc>
        <w:tc>
          <w:tcPr>
            <w:tcW w:w="1081" w:type="dxa"/>
            <w:tcBorders>
              <w:top w:val="single" w:sz="4" w:space="0" w:color="auto"/>
            </w:tcBorders>
          </w:tcPr>
          <w:p w:rsidR="00A225E5" w:rsidRPr="009920B6" w:rsidRDefault="00A225E5" w:rsidP="001B05D8">
            <w:pPr>
              <w:jc w:val="center"/>
              <w:rPr>
                <w:sz w:val="20"/>
                <w:szCs w:val="20"/>
                <w:lang w:eastAsia="x-none"/>
              </w:rPr>
            </w:pPr>
            <w:r w:rsidRPr="009920B6">
              <w:rPr>
                <w:sz w:val="20"/>
                <w:szCs w:val="20"/>
                <w:lang w:eastAsia="x-none"/>
              </w:rPr>
              <w:t>0.2</w:t>
            </w:r>
          </w:p>
        </w:tc>
      </w:tr>
      <w:tr w:rsidR="00A225E5" w:rsidRPr="009920B6" w:rsidTr="009920B6">
        <w:tc>
          <w:tcPr>
            <w:tcW w:w="540" w:type="dxa"/>
          </w:tcPr>
          <w:p w:rsidR="00A225E5" w:rsidRPr="009920B6" w:rsidRDefault="00A225E5" w:rsidP="005858EE">
            <w:pPr>
              <w:ind w:hanging="18"/>
              <w:rPr>
                <w:sz w:val="20"/>
                <w:szCs w:val="20"/>
                <w:lang w:eastAsia="x-none"/>
              </w:rPr>
            </w:pPr>
            <w:r w:rsidRPr="009920B6">
              <w:rPr>
                <w:sz w:val="20"/>
                <w:szCs w:val="20"/>
                <w:lang w:eastAsia="x-none"/>
              </w:rPr>
              <w:t>2</w:t>
            </w:r>
          </w:p>
        </w:tc>
        <w:tc>
          <w:tcPr>
            <w:tcW w:w="1975" w:type="dxa"/>
          </w:tcPr>
          <w:p w:rsidR="00A225E5" w:rsidRPr="009920B6" w:rsidRDefault="00A225E5" w:rsidP="005858EE">
            <w:pPr>
              <w:ind w:hanging="18"/>
              <w:rPr>
                <w:sz w:val="20"/>
                <w:szCs w:val="20"/>
                <w:lang w:eastAsia="x-none"/>
              </w:rPr>
            </w:pPr>
            <w:r w:rsidRPr="009920B6">
              <w:rPr>
                <w:sz w:val="20"/>
                <w:szCs w:val="20"/>
                <w:lang w:eastAsia="x-none"/>
              </w:rPr>
              <w:t>r_CN2</w:t>
            </w:r>
            <w:r w:rsidRPr="009920B6">
              <w:rPr>
                <w:sz w:val="20"/>
                <w:szCs w:val="20"/>
                <w:vertAlign w:val="superscript"/>
                <w:lang w:eastAsia="x-none"/>
              </w:rPr>
              <w:t>AGRL</w:t>
            </w:r>
          </w:p>
        </w:tc>
        <w:tc>
          <w:tcPr>
            <w:tcW w:w="4235" w:type="dxa"/>
            <w:vMerge/>
            <w:vAlign w:val="center"/>
          </w:tcPr>
          <w:p w:rsidR="00A225E5" w:rsidRPr="009920B6" w:rsidRDefault="00A225E5" w:rsidP="00C33D6F">
            <w:pPr>
              <w:ind w:left="-108" w:firstLine="108"/>
              <w:rPr>
                <w:sz w:val="20"/>
                <w:szCs w:val="20"/>
                <w:lang w:eastAsia="x-none"/>
              </w:rPr>
            </w:pPr>
          </w:p>
        </w:tc>
        <w:tc>
          <w:tcPr>
            <w:tcW w:w="1260" w:type="dxa"/>
          </w:tcPr>
          <w:p w:rsidR="00A225E5" w:rsidRPr="009920B6" w:rsidRDefault="00A225E5" w:rsidP="001B05D8">
            <w:pPr>
              <w:ind w:left="-108"/>
              <w:jc w:val="center"/>
              <w:rPr>
                <w:sz w:val="20"/>
                <w:szCs w:val="20"/>
                <w:lang w:eastAsia="x-none"/>
              </w:rPr>
            </w:pPr>
            <w:r w:rsidRPr="009920B6">
              <w:rPr>
                <w:sz w:val="20"/>
                <w:szCs w:val="20"/>
                <w:lang w:eastAsia="x-none"/>
              </w:rPr>
              <w:t>-0.2</w:t>
            </w:r>
          </w:p>
        </w:tc>
        <w:tc>
          <w:tcPr>
            <w:tcW w:w="1081" w:type="dxa"/>
          </w:tcPr>
          <w:p w:rsidR="00A225E5" w:rsidRPr="009920B6" w:rsidRDefault="00A225E5" w:rsidP="001B05D8">
            <w:pPr>
              <w:jc w:val="center"/>
              <w:rPr>
                <w:sz w:val="20"/>
                <w:szCs w:val="20"/>
                <w:lang w:eastAsia="x-none"/>
              </w:rPr>
            </w:pPr>
            <w:r w:rsidRPr="009920B6">
              <w:rPr>
                <w:sz w:val="20"/>
                <w:szCs w:val="20"/>
                <w:lang w:eastAsia="x-none"/>
              </w:rPr>
              <w:t>0.2</w:t>
            </w:r>
          </w:p>
        </w:tc>
      </w:tr>
      <w:tr w:rsidR="00A225E5" w:rsidRPr="009920B6" w:rsidTr="009920B6">
        <w:tc>
          <w:tcPr>
            <w:tcW w:w="540" w:type="dxa"/>
            <w:tcBorders>
              <w:bottom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3</w:t>
            </w:r>
          </w:p>
        </w:tc>
        <w:tc>
          <w:tcPr>
            <w:tcW w:w="1975" w:type="dxa"/>
            <w:tcBorders>
              <w:bottom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r_CN2</w:t>
            </w:r>
            <w:r w:rsidRPr="009920B6">
              <w:rPr>
                <w:sz w:val="20"/>
                <w:szCs w:val="20"/>
                <w:vertAlign w:val="superscript"/>
                <w:lang w:eastAsia="x-none"/>
              </w:rPr>
              <w:t>RNGE</w:t>
            </w:r>
          </w:p>
        </w:tc>
        <w:tc>
          <w:tcPr>
            <w:tcW w:w="4235" w:type="dxa"/>
            <w:vMerge/>
            <w:tcBorders>
              <w:bottom w:val="single" w:sz="4" w:space="0" w:color="auto"/>
            </w:tcBorders>
            <w:vAlign w:val="center"/>
          </w:tcPr>
          <w:p w:rsidR="00A225E5" w:rsidRPr="009920B6" w:rsidRDefault="00A225E5" w:rsidP="00C33D6F">
            <w:pPr>
              <w:ind w:left="-108" w:firstLine="108"/>
              <w:rPr>
                <w:sz w:val="20"/>
                <w:szCs w:val="20"/>
                <w:lang w:eastAsia="x-none"/>
              </w:rPr>
            </w:pPr>
          </w:p>
        </w:tc>
        <w:tc>
          <w:tcPr>
            <w:tcW w:w="1260" w:type="dxa"/>
            <w:tcBorders>
              <w:bottom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-0.2</w:t>
            </w:r>
          </w:p>
        </w:tc>
        <w:tc>
          <w:tcPr>
            <w:tcW w:w="1081" w:type="dxa"/>
            <w:tcBorders>
              <w:bottom w:val="single" w:sz="4" w:space="0" w:color="auto"/>
            </w:tcBorders>
          </w:tcPr>
          <w:p w:rsidR="00A225E5" w:rsidRPr="009920B6" w:rsidRDefault="00A225E5" w:rsidP="001B05D8">
            <w:pPr>
              <w:jc w:val="center"/>
              <w:rPr>
                <w:sz w:val="20"/>
                <w:szCs w:val="20"/>
                <w:lang w:eastAsia="x-none"/>
              </w:rPr>
            </w:pPr>
            <w:r w:rsidRPr="009920B6">
              <w:rPr>
                <w:sz w:val="20"/>
                <w:szCs w:val="20"/>
                <w:lang w:eastAsia="x-none"/>
              </w:rPr>
              <w:t>0.2</w:t>
            </w:r>
          </w:p>
        </w:tc>
      </w:tr>
      <w:tr w:rsidR="00A225E5" w:rsidRPr="009920B6" w:rsidTr="009920B6">
        <w:tc>
          <w:tcPr>
            <w:tcW w:w="540" w:type="dxa"/>
            <w:tcBorders>
              <w:top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4</w:t>
            </w:r>
          </w:p>
        </w:tc>
        <w:tc>
          <w:tcPr>
            <w:tcW w:w="1975" w:type="dxa"/>
            <w:tcBorders>
              <w:top w:val="single" w:sz="4" w:space="0" w:color="auto"/>
            </w:tcBorders>
          </w:tcPr>
          <w:p w:rsidR="00A225E5" w:rsidRPr="009920B6" w:rsidRDefault="00A225E5" w:rsidP="005858EE">
            <w:pPr>
              <w:ind w:hanging="18"/>
              <w:rPr>
                <w:sz w:val="20"/>
                <w:szCs w:val="20"/>
                <w:lang w:eastAsia="x-none"/>
              </w:rPr>
            </w:pPr>
            <w:proofErr w:type="spellStart"/>
            <w:r w:rsidRPr="009920B6">
              <w:rPr>
                <w:sz w:val="20"/>
                <w:szCs w:val="20"/>
                <w:lang w:eastAsia="x-none"/>
              </w:rPr>
              <w:t>v_ESCO</w:t>
            </w:r>
            <w:r w:rsidRPr="009920B6">
              <w:rPr>
                <w:sz w:val="20"/>
                <w:szCs w:val="20"/>
                <w:vertAlign w:val="superscript"/>
                <w:lang w:eastAsia="x-none"/>
              </w:rPr>
              <w:t>FRSD</w:t>
            </w:r>
            <w:proofErr w:type="spellEnd"/>
          </w:p>
        </w:tc>
        <w:tc>
          <w:tcPr>
            <w:tcW w:w="4235" w:type="dxa"/>
            <w:vMerge w:val="restart"/>
            <w:tcBorders>
              <w:top w:val="single" w:sz="4" w:space="0" w:color="auto"/>
            </w:tcBorders>
            <w:vAlign w:val="center"/>
          </w:tcPr>
          <w:p w:rsidR="00A225E5" w:rsidRPr="009920B6" w:rsidRDefault="00A225E5" w:rsidP="00A225E5">
            <w:pPr>
              <w:rPr>
                <w:sz w:val="20"/>
                <w:szCs w:val="20"/>
                <w:lang w:eastAsia="x-none"/>
              </w:rPr>
            </w:pPr>
            <w:r w:rsidRPr="009920B6">
              <w:rPr>
                <w:sz w:val="20"/>
                <w:szCs w:val="20"/>
                <w:lang w:eastAsia="x-none"/>
              </w:rPr>
              <w:t xml:space="preserve">Soil evaporation compensation factor of forest agriculture, and </w:t>
            </w:r>
            <w:r w:rsidR="00DE035A">
              <w:rPr>
                <w:sz w:val="20"/>
                <w:szCs w:val="20"/>
                <w:lang w:eastAsia="x-none"/>
              </w:rPr>
              <w:t xml:space="preserve">range </w:t>
            </w:r>
            <w:r w:rsidR="00EB5A76">
              <w:rPr>
                <w:sz w:val="20"/>
                <w:szCs w:val="20"/>
                <w:lang w:eastAsia="x-none"/>
              </w:rPr>
              <w:t>grass</w:t>
            </w:r>
            <w:r w:rsidR="00EB5A76" w:rsidRPr="009920B6">
              <w:rPr>
                <w:sz w:val="20"/>
                <w:szCs w:val="20"/>
                <w:lang w:eastAsia="x-none"/>
              </w:rPr>
              <w:t xml:space="preserve"> </w:t>
            </w:r>
            <w:r w:rsidRPr="009920B6">
              <w:rPr>
                <w:sz w:val="20"/>
                <w:szCs w:val="20"/>
                <w:lang w:eastAsia="x-none"/>
              </w:rPr>
              <w:t>lands</w:t>
            </w:r>
          </w:p>
        </w:tc>
        <w:tc>
          <w:tcPr>
            <w:tcW w:w="1260" w:type="dxa"/>
            <w:tcBorders>
              <w:top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0</w:t>
            </w:r>
          </w:p>
        </w:tc>
        <w:tc>
          <w:tcPr>
            <w:tcW w:w="1081" w:type="dxa"/>
            <w:tcBorders>
              <w:top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1</w:t>
            </w:r>
          </w:p>
        </w:tc>
      </w:tr>
      <w:tr w:rsidR="00A225E5" w:rsidRPr="009920B6" w:rsidTr="009920B6">
        <w:tc>
          <w:tcPr>
            <w:tcW w:w="540" w:type="dxa"/>
          </w:tcPr>
          <w:p w:rsidR="00A225E5" w:rsidRPr="009920B6" w:rsidRDefault="00A225E5" w:rsidP="005858EE">
            <w:pPr>
              <w:ind w:hanging="18"/>
              <w:rPr>
                <w:sz w:val="20"/>
                <w:szCs w:val="20"/>
                <w:lang w:eastAsia="x-none"/>
              </w:rPr>
            </w:pPr>
            <w:r w:rsidRPr="009920B6">
              <w:rPr>
                <w:sz w:val="20"/>
                <w:szCs w:val="20"/>
                <w:lang w:eastAsia="x-none"/>
              </w:rPr>
              <w:t>5</w:t>
            </w:r>
          </w:p>
        </w:tc>
        <w:tc>
          <w:tcPr>
            <w:tcW w:w="1975" w:type="dxa"/>
          </w:tcPr>
          <w:p w:rsidR="00A225E5" w:rsidRPr="009920B6" w:rsidRDefault="00A225E5" w:rsidP="005858EE">
            <w:pPr>
              <w:ind w:hanging="18"/>
              <w:rPr>
                <w:sz w:val="20"/>
                <w:szCs w:val="20"/>
                <w:lang w:eastAsia="x-none"/>
              </w:rPr>
            </w:pPr>
            <w:proofErr w:type="spellStart"/>
            <w:r w:rsidRPr="009920B6">
              <w:rPr>
                <w:sz w:val="20"/>
                <w:szCs w:val="20"/>
                <w:lang w:eastAsia="x-none"/>
              </w:rPr>
              <w:t>v_ESCO</w:t>
            </w:r>
            <w:r w:rsidRPr="009920B6">
              <w:rPr>
                <w:sz w:val="20"/>
                <w:szCs w:val="20"/>
                <w:vertAlign w:val="superscript"/>
                <w:lang w:eastAsia="x-none"/>
              </w:rPr>
              <w:t>AGRL</w:t>
            </w:r>
            <w:proofErr w:type="spellEnd"/>
          </w:p>
        </w:tc>
        <w:tc>
          <w:tcPr>
            <w:tcW w:w="4235" w:type="dxa"/>
            <w:vMerge/>
            <w:vAlign w:val="center"/>
          </w:tcPr>
          <w:p w:rsidR="00A225E5" w:rsidRPr="009920B6" w:rsidRDefault="00A225E5" w:rsidP="001B05D8">
            <w:pPr>
              <w:rPr>
                <w:sz w:val="20"/>
                <w:szCs w:val="20"/>
                <w:lang w:eastAsia="x-none"/>
              </w:rPr>
            </w:pPr>
          </w:p>
        </w:tc>
        <w:tc>
          <w:tcPr>
            <w:tcW w:w="1260" w:type="dxa"/>
          </w:tcPr>
          <w:p w:rsidR="00A225E5" w:rsidRPr="009920B6" w:rsidRDefault="00A225E5" w:rsidP="001B05D8">
            <w:pPr>
              <w:ind w:left="-108"/>
              <w:jc w:val="center"/>
              <w:rPr>
                <w:sz w:val="20"/>
                <w:szCs w:val="20"/>
                <w:lang w:eastAsia="x-none"/>
              </w:rPr>
            </w:pPr>
            <w:r w:rsidRPr="009920B6">
              <w:rPr>
                <w:sz w:val="20"/>
                <w:szCs w:val="20"/>
                <w:lang w:eastAsia="x-none"/>
              </w:rPr>
              <w:t>0</w:t>
            </w:r>
          </w:p>
        </w:tc>
        <w:tc>
          <w:tcPr>
            <w:tcW w:w="1081" w:type="dxa"/>
          </w:tcPr>
          <w:p w:rsidR="00A225E5" w:rsidRPr="009920B6" w:rsidRDefault="00A225E5" w:rsidP="001B05D8">
            <w:pPr>
              <w:ind w:left="-108"/>
              <w:jc w:val="center"/>
              <w:rPr>
                <w:sz w:val="20"/>
                <w:szCs w:val="20"/>
                <w:lang w:eastAsia="x-none"/>
              </w:rPr>
            </w:pPr>
            <w:r w:rsidRPr="009920B6">
              <w:rPr>
                <w:sz w:val="20"/>
                <w:szCs w:val="20"/>
                <w:lang w:eastAsia="x-none"/>
              </w:rPr>
              <w:t>1</w:t>
            </w:r>
          </w:p>
        </w:tc>
      </w:tr>
      <w:tr w:rsidR="00A225E5" w:rsidRPr="009920B6" w:rsidTr="009920B6">
        <w:tc>
          <w:tcPr>
            <w:tcW w:w="540" w:type="dxa"/>
            <w:tcBorders>
              <w:bottom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6</w:t>
            </w:r>
          </w:p>
        </w:tc>
        <w:tc>
          <w:tcPr>
            <w:tcW w:w="1975" w:type="dxa"/>
            <w:tcBorders>
              <w:bottom w:val="single" w:sz="4" w:space="0" w:color="auto"/>
            </w:tcBorders>
          </w:tcPr>
          <w:p w:rsidR="00A225E5" w:rsidRPr="009920B6" w:rsidRDefault="00A225E5" w:rsidP="005858EE">
            <w:pPr>
              <w:ind w:hanging="18"/>
              <w:rPr>
                <w:sz w:val="20"/>
                <w:szCs w:val="20"/>
                <w:lang w:eastAsia="x-none"/>
              </w:rPr>
            </w:pPr>
            <w:proofErr w:type="spellStart"/>
            <w:r w:rsidRPr="009920B6">
              <w:rPr>
                <w:sz w:val="20"/>
                <w:szCs w:val="20"/>
                <w:lang w:eastAsia="x-none"/>
              </w:rPr>
              <w:t>v_ESCO</w:t>
            </w:r>
            <w:r w:rsidRPr="009920B6">
              <w:rPr>
                <w:sz w:val="20"/>
                <w:szCs w:val="20"/>
                <w:vertAlign w:val="superscript"/>
                <w:lang w:eastAsia="x-none"/>
              </w:rPr>
              <w:t>RNGE</w:t>
            </w:r>
            <w:proofErr w:type="spellEnd"/>
          </w:p>
        </w:tc>
        <w:tc>
          <w:tcPr>
            <w:tcW w:w="4235" w:type="dxa"/>
            <w:vMerge/>
            <w:tcBorders>
              <w:bottom w:val="single" w:sz="4" w:space="0" w:color="auto"/>
            </w:tcBorders>
            <w:vAlign w:val="center"/>
          </w:tcPr>
          <w:p w:rsidR="00A225E5" w:rsidRPr="009920B6" w:rsidRDefault="00A225E5" w:rsidP="00A225E5">
            <w:pPr>
              <w:ind w:left="-108" w:firstLine="108"/>
              <w:rPr>
                <w:sz w:val="20"/>
                <w:szCs w:val="20"/>
                <w:lang w:eastAsia="x-none"/>
              </w:rPr>
            </w:pPr>
          </w:p>
        </w:tc>
        <w:tc>
          <w:tcPr>
            <w:tcW w:w="1260" w:type="dxa"/>
            <w:tcBorders>
              <w:bottom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0</w:t>
            </w:r>
          </w:p>
        </w:tc>
        <w:tc>
          <w:tcPr>
            <w:tcW w:w="1081" w:type="dxa"/>
            <w:tcBorders>
              <w:bottom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1</w:t>
            </w:r>
          </w:p>
        </w:tc>
      </w:tr>
      <w:tr w:rsidR="00A225E5" w:rsidRPr="009920B6" w:rsidTr="009920B6">
        <w:tc>
          <w:tcPr>
            <w:tcW w:w="540" w:type="dxa"/>
            <w:tcBorders>
              <w:top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7</w:t>
            </w:r>
          </w:p>
        </w:tc>
        <w:tc>
          <w:tcPr>
            <w:tcW w:w="1975" w:type="dxa"/>
            <w:tcBorders>
              <w:top w:val="single" w:sz="4" w:space="0" w:color="auto"/>
            </w:tcBorders>
          </w:tcPr>
          <w:p w:rsidR="00A225E5" w:rsidRPr="009920B6" w:rsidRDefault="00A225E5" w:rsidP="005858EE">
            <w:pPr>
              <w:ind w:hanging="18"/>
              <w:rPr>
                <w:sz w:val="20"/>
                <w:szCs w:val="20"/>
                <w:lang w:eastAsia="x-none"/>
              </w:rPr>
            </w:pPr>
            <w:proofErr w:type="spellStart"/>
            <w:r w:rsidRPr="009920B6">
              <w:rPr>
                <w:sz w:val="20"/>
                <w:szCs w:val="20"/>
                <w:lang w:eastAsia="x-none"/>
              </w:rPr>
              <w:t>v_EPCO</w:t>
            </w:r>
            <w:r w:rsidRPr="009920B6">
              <w:rPr>
                <w:sz w:val="20"/>
                <w:szCs w:val="20"/>
                <w:vertAlign w:val="superscript"/>
                <w:lang w:eastAsia="x-none"/>
              </w:rPr>
              <w:t>FRSD</w:t>
            </w:r>
            <w:proofErr w:type="spellEnd"/>
          </w:p>
        </w:tc>
        <w:tc>
          <w:tcPr>
            <w:tcW w:w="4235" w:type="dxa"/>
            <w:vMerge w:val="restart"/>
            <w:tcBorders>
              <w:top w:val="single" w:sz="4" w:space="0" w:color="auto"/>
            </w:tcBorders>
            <w:vAlign w:val="center"/>
          </w:tcPr>
          <w:p w:rsidR="00A225E5" w:rsidRPr="009920B6" w:rsidRDefault="00A225E5" w:rsidP="001B05D8">
            <w:pPr>
              <w:rPr>
                <w:sz w:val="20"/>
                <w:szCs w:val="20"/>
                <w:lang w:eastAsia="x-none"/>
              </w:rPr>
            </w:pPr>
            <w:r w:rsidRPr="009920B6">
              <w:rPr>
                <w:sz w:val="20"/>
                <w:szCs w:val="20"/>
                <w:lang w:eastAsia="x-none"/>
              </w:rPr>
              <w:t xml:space="preserve">Plant uptake compensation factor of forest agriculture, and </w:t>
            </w:r>
            <w:r w:rsidR="00DE035A">
              <w:rPr>
                <w:sz w:val="20"/>
                <w:szCs w:val="20"/>
                <w:lang w:eastAsia="x-none"/>
              </w:rPr>
              <w:t xml:space="preserve">range </w:t>
            </w:r>
            <w:r w:rsidR="00EB5A76">
              <w:rPr>
                <w:sz w:val="20"/>
                <w:szCs w:val="20"/>
                <w:lang w:eastAsia="x-none"/>
              </w:rPr>
              <w:t>grass</w:t>
            </w:r>
            <w:r w:rsidR="00EB5A76" w:rsidRPr="009920B6">
              <w:rPr>
                <w:sz w:val="20"/>
                <w:szCs w:val="20"/>
                <w:lang w:eastAsia="x-none"/>
              </w:rPr>
              <w:t xml:space="preserve"> </w:t>
            </w:r>
            <w:r w:rsidRPr="009920B6">
              <w:rPr>
                <w:sz w:val="20"/>
                <w:szCs w:val="20"/>
                <w:lang w:eastAsia="x-none"/>
              </w:rPr>
              <w:t>lands</w:t>
            </w:r>
          </w:p>
        </w:tc>
        <w:tc>
          <w:tcPr>
            <w:tcW w:w="1260" w:type="dxa"/>
            <w:tcBorders>
              <w:top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0</w:t>
            </w:r>
          </w:p>
        </w:tc>
        <w:tc>
          <w:tcPr>
            <w:tcW w:w="1081" w:type="dxa"/>
            <w:tcBorders>
              <w:top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1</w:t>
            </w:r>
          </w:p>
        </w:tc>
      </w:tr>
      <w:tr w:rsidR="00A225E5" w:rsidRPr="009920B6" w:rsidTr="009920B6">
        <w:tc>
          <w:tcPr>
            <w:tcW w:w="540" w:type="dxa"/>
          </w:tcPr>
          <w:p w:rsidR="00A225E5" w:rsidRPr="009920B6" w:rsidRDefault="00A225E5" w:rsidP="005858EE">
            <w:pPr>
              <w:ind w:hanging="18"/>
              <w:rPr>
                <w:sz w:val="20"/>
                <w:szCs w:val="20"/>
                <w:lang w:eastAsia="x-none"/>
              </w:rPr>
            </w:pPr>
            <w:r w:rsidRPr="009920B6">
              <w:rPr>
                <w:sz w:val="20"/>
                <w:szCs w:val="20"/>
                <w:lang w:eastAsia="x-none"/>
              </w:rPr>
              <w:t>8</w:t>
            </w:r>
          </w:p>
        </w:tc>
        <w:tc>
          <w:tcPr>
            <w:tcW w:w="1975" w:type="dxa"/>
          </w:tcPr>
          <w:p w:rsidR="00A225E5" w:rsidRPr="009920B6" w:rsidRDefault="00A225E5" w:rsidP="005858EE">
            <w:pPr>
              <w:ind w:hanging="18"/>
              <w:rPr>
                <w:sz w:val="20"/>
                <w:szCs w:val="20"/>
                <w:lang w:eastAsia="x-none"/>
              </w:rPr>
            </w:pPr>
            <w:proofErr w:type="spellStart"/>
            <w:r w:rsidRPr="009920B6">
              <w:rPr>
                <w:sz w:val="20"/>
                <w:szCs w:val="20"/>
                <w:lang w:eastAsia="x-none"/>
              </w:rPr>
              <w:t>v_EPCO</w:t>
            </w:r>
            <w:r w:rsidRPr="009920B6">
              <w:rPr>
                <w:sz w:val="20"/>
                <w:szCs w:val="20"/>
                <w:vertAlign w:val="superscript"/>
                <w:lang w:eastAsia="x-none"/>
              </w:rPr>
              <w:t>AGRL</w:t>
            </w:r>
            <w:proofErr w:type="spellEnd"/>
          </w:p>
        </w:tc>
        <w:tc>
          <w:tcPr>
            <w:tcW w:w="4235" w:type="dxa"/>
            <w:vMerge/>
          </w:tcPr>
          <w:p w:rsidR="00A225E5" w:rsidRPr="009920B6" w:rsidRDefault="00A225E5" w:rsidP="001B05D8">
            <w:pPr>
              <w:ind w:left="-108" w:firstLine="108"/>
              <w:rPr>
                <w:sz w:val="20"/>
                <w:szCs w:val="20"/>
                <w:lang w:eastAsia="x-none"/>
              </w:rPr>
            </w:pPr>
          </w:p>
        </w:tc>
        <w:tc>
          <w:tcPr>
            <w:tcW w:w="1260" w:type="dxa"/>
          </w:tcPr>
          <w:p w:rsidR="00A225E5" w:rsidRPr="009920B6" w:rsidRDefault="00A225E5" w:rsidP="001B05D8">
            <w:pPr>
              <w:ind w:left="-108"/>
              <w:jc w:val="center"/>
              <w:rPr>
                <w:sz w:val="20"/>
                <w:szCs w:val="20"/>
                <w:lang w:eastAsia="x-none"/>
              </w:rPr>
            </w:pPr>
            <w:r w:rsidRPr="009920B6">
              <w:rPr>
                <w:sz w:val="20"/>
                <w:szCs w:val="20"/>
                <w:lang w:eastAsia="x-none"/>
              </w:rPr>
              <w:t>0</w:t>
            </w:r>
          </w:p>
        </w:tc>
        <w:tc>
          <w:tcPr>
            <w:tcW w:w="1081" w:type="dxa"/>
          </w:tcPr>
          <w:p w:rsidR="00A225E5" w:rsidRPr="009920B6" w:rsidRDefault="00A225E5" w:rsidP="001B05D8">
            <w:pPr>
              <w:ind w:left="-108"/>
              <w:jc w:val="center"/>
              <w:rPr>
                <w:sz w:val="20"/>
                <w:szCs w:val="20"/>
                <w:lang w:eastAsia="x-none"/>
              </w:rPr>
            </w:pPr>
            <w:r w:rsidRPr="009920B6">
              <w:rPr>
                <w:sz w:val="20"/>
                <w:szCs w:val="20"/>
                <w:lang w:eastAsia="x-none"/>
              </w:rPr>
              <w:t>1</w:t>
            </w:r>
          </w:p>
        </w:tc>
      </w:tr>
      <w:tr w:rsidR="00A225E5" w:rsidRPr="009920B6" w:rsidTr="009920B6">
        <w:tc>
          <w:tcPr>
            <w:tcW w:w="540" w:type="dxa"/>
            <w:tcBorders>
              <w:bottom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9</w:t>
            </w:r>
          </w:p>
        </w:tc>
        <w:tc>
          <w:tcPr>
            <w:tcW w:w="1975" w:type="dxa"/>
            <w:tcBorders>
              <w:bottom w:val="single" w:sz="4" w:space="0" w:color="auto"/>
            </w:tcBorders>
          </w:tcPr>
          <w:p w:rsidR="00A225E5" w:rsidRPr="009920B6" w:rsidRDefault="00A225E5" w:rsidP="005858EE">
            <w:pPr>
              <w:ind w:hanging="18"/>
              <w:rPr>
                <w:sz w:val="20"/>
                <w:szCs w:val="20"/>
                <w:lang w:eastAsia="x-none"/>
              </w:rPr>
            </w:pPr>
            <w:proofErr w:type="spellStart"/>
            <w:r w:rsidRPr="009920B6">
              <w:rPr>
                <w:sz w:val="20"/>
                <w:szCs w:val="20"/>
                <w:lang w:eastAsia="x-none"/>
              </w:rPr>
              <w:t>v_EPCO</w:t>
            </w:r>
            <w:r w:rsidRPr="009920B6">
              <w:rPr>
                <w:sz w:val="20"/>
                <w:szCs w:val="20"/>
                <w:vertAlign w:val="superscript"/>
                <w:lang w:eastAsia="x-none"/>
              </w:rPr>
              <w:t>RNGE</w:t>
            </w:r>
            <w:proofErr w:type="spellEnd"/>
          </w:p>
        </w:tc>
        <w:tc>
          <w:tcPr>
            <w:tcW w:w="4235" w:type="dxa"/>
            <w:vMerge/>
            <w:tcBorders>
              <w:bottom w:val="single" w:sz="4" w:space="0" w:color="auto"/>
            </w:tcBorders>
          </w:tcPr>
          <w:p w:rsidR="00A225E5" w:rsidRPr="009920B6" w:rsidRDefault="00A225E5" w:rsidP="001B05D8">
            <w:pPr>
              <w:ind w:left="-108" w:firstLine="108"/>
              <w:rPr>
                <w:sz w:val="20"/>
                <w:szCs w:val="20"/>
                <w:lang w:eastAsia="x-none"/>
              </w:rPr>
            </w:pPr>
          </w:p>
        </w:tc>
        <w:tc>
          <w:tcPr>
            <w:tcW w:w="1260" w:type="dxa"/>
            <w:tcBorders>
              <w:bottom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0</w:t>
            </w:r>
          </w:p>
        </w:tc>
        <w:tc>
          <w:tcPr>
            <w:tcW w:w="1081" w:type="dxa"/>
            <w:tcBorders>
              <w:bottom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1</w:t>
            </w:r>
          </w:p>
        </w:tc>
      </w:tr>
      <w:tr w:rsidR="00517E4E" w:rsidRPr="009920B6" w:rsidTr="009920B6">
        <w:tc>
          <w:tcPr>
            <w:tcW w:w="540" w:type="dxa"/>
            <w:tcBorders>
              <w:top w:val="single" w:sz="4" w:space="0" w:color="auto"/>
            </w:tcBorders>
          </w:tcPr>
          <w:p w:rsidR="00517E4E" w:rsidRPr="009920B6" w:rsidRDefault="00517E4E" w:rsidP="005858EE">
            <w:pPr>
              <w:ind w:hanging="18"/>
              <w:rPr>
                <w:sz w:val="20"/>
                <w:szCs w:val="20"/>
                <w:lang w:eastAsia="x-none"/>
              </w:rPr>
            </w:pPr>
            <w:r w:rsidRPr="009920B6">
              <w:rPr>
                <w:sz w:val="20"/>
                <w:szCs w:val="20"/>
                <w:lang w:eastAsia="x-none"/>
              </w:rPr>
              <w:t>10</w:t>
            </w:r>
          </w:p>
        </w:tc>
        <w:tc>
          <w:tcPr>
            <w:tcW w:w="1975" w:type="dxa"/>
            <w:tcBorders>
              <w:top w:val="single" w:sz="4" w:space="0" w:color="auto"/>
            </w:tcBorders>
          </w:tcPr>
          <w:p w:rsidR="00517E4E" w:rsidRPr="009920B6" w:rsidRDefault="00517E4E" w:rsidP="005858EE">
            <w:pPr>
              <w:ind w:hanging="18"/>
              <w:rPr>
                <w:sz w:val="20"/>
                <w:szCs w:val="20"/>
                <w:lang w:eastAsia="x-none"/>
              </w:rPr>
            </w:pPr>
            <w:proofErr w:type="spellStart"/>
            <w:r w:rsidRPr="009920B6">
              <w:rPr>
                <w:sz w:val="20"/>
                <w:szCs w:val="20"/>
                <w:lang w:eastAsia="x-none"/>
              </w:rPr>
              <w:t>v_GWQMN</w:t>
            </w:r>
            <w:proofErr w:type="spellEnd"/>
          </w:p>
        </w:tc>
        <w:tc>
          <w:tcPr>
            <w:tcW w:w="4235" w:type="dxa"/>
            <w:tcBorders>
              <w:top w:val="single" w:sz="4" w:space="0" w:color="auto"/>
            </w:tcBorders>
          </w:tcPr>
          <w:p w:rsidR="00517E4E" w:rsidRPr="009920B6" w:rsidRDefault="00517E4E" w:rsidP="001B05D8">
            <w:pPr>
              <w:ind w:left="-108" w:firstLine="108"/>
              <w:rPr>
                <w:sz w:val="20"/>
                <w:szCs w:val="20"/>
                <w:lang w:eastAsia="x-none"/>
              </w:rPr>
            </w:pPr>
            <w:r w:rsidRPr="009920B6">
              <w:rPr>
                <w:sz w:val="20"/>
                <w:szCs w:val="20"/>
                <w:lang w:eastAsia="x-none"/>
              </w:rPr>
              <w:t xml:space="preserve">Groundwater baseflow </w:t>
            </w:r>
            <w:proofErr w:type="spellStart"/>
            <w:r w:rsidRPr="009920B6">
              <w:rPr>
                <w:sz w:val="20"/>
                <w:szCs w:val="20"/>
                <w:lang w:eastAsia="x-none"/>
              </w:rPr>
              <w:t>thereshold</w:t>
            </w:r>
            <w:proofErr w:type="spellEnd"/>
            <w:r w:rsidRPr="009920B6">
              <w:rPr>
                <w:sz w:val="20"/>
                <w:szCs w:val="20"/>
                <w:lang w:eastAsia="x-none"/>
              </w:rPr>
              <w:t xml:space="preserve"> (mm)</w:t>
            </w:r>
          </w:p>
        </w:tc>
        <w:tc>
          <w:tcPr>
            <w:tcW w:w="1260" w:type="dxa"/>
            <w:tcBorders>
              <w:top w:val="single" w:sz="4" w:space="0" w:color="auto"/>
            </w:tcBorders>
          </w:tcPr>
          <w:p w:rsidR="00517E4E" w:rsidRPr="009920B6" w:rsidRDefault="00C86C0B" w:rsidP="001B05D8">
            <w:pPr>
              <w:ind w:left="-108"/>
              <w:jc w:val="center"/>
              <w:rPr>
                <w:sz w:val="20"/>
                <w:szCs w:val="20"/>
                <w:lang w:eastAsia="x-none"/>
              </w:rPr>
            </w:pPr>
            <w:r w:rsidRPr="009920B6">
              <w:rPr>
                <w:sz w:val="20"/>
                <w:szCs w:val="20"/>
                <w:lang w:eastAsia="x-none"/>
              </w:rPr>
              <w:t>0</w:t>
            </w:r>
          </w:p>
        </w:tc>
        <w:tc>
          <w:tcPr>
            <w:tcW w:w="1081" w:type="dxa"/>
            <w:tcBorders>
              <w:top w:val="single" w:sz="4" w:space="0" w:color="auto"/>
            </w:tcBorders>
          </w:tcPr>
          <w:p w:rsidR="00517E4E" w:rsidRPr="009920B6" w:rsidRDefault="00517E4E" w:rsidP="001B05D8">
            <w:pPr>
              <w:ind w:left="-108"/>
              <w:jc w:val="center"/>
              <w:rPr>
                <w:sz w:val="20"/>
                <w:szCs w:val="20"/>
                <w:lang w:eastAsia="x-none"/>
              </w:rPr>
            </w:pPr>
            <w:r w:rsidRPr="009920B6">
              <w:rPr>
                <w:sz w:val="20"/>
                <w:szCs w:val="20"/>
                <w:lang w:eastAsia="x-none"/>
              </w:rPr>
              <w:t>2000</w:t>
            </w:r>
          </w:p>
        </w:tc>
      </w:tr>
      <w:tr w:rsidR="00517E4E" w:rsidRPr="009920B6" w:rsidTr="009920B6">
        <w:tc>
          <w:tcPr>
            <w:tcW w:w="540" w:type="dxa"/>
          </w:tcPr>
          <w:p w:rsidR="00517E4E" w:rsidRPr="009920B6" w:rsidRDefault="00517E4E" w:rsidP="005858EE">
            <w:pPr>
              <w:ind w:hanging="18"/>
              <w:rPr>
                <w:sz w:val="20"/>
                <w:szCs w:val="20"/>
                <w:lang w:eastAsia="x-none"/>
              </w:rPr>
            </w:pPr>
            <w:r w:rsidRPr="009920B6">
              <w:rPr>
                <w:sz w:val="20"/>
                <w:szCs w:val="20"/>
                <w:lang w:eastAsia="x-none"/>
              </w:rPr>
              <w:t>11</w:t>
            </w:r>
          </w:p>
        </w:tc>
        <w:tc>
          <w:tcPr>
            <w:tcW w:w="1975" w:type="dxa"/>
          </w:tcPr>
          <w:p w:rsidR="00517E4E" w:rsidRPr="009920B6" w:rsidRDefault="00517E4E" w:rsidP="005858EE">
            <w:pPr>
              <w:ind w:hanging="18"/>
              <w:rPr>
                <w:sz w:val="20"/>
                <w:szCs w:val="20"/>
                <w:lang w:eastAsia="x-none"/>
              </w:rPr>
            </w:pPr>
            <w:proofErr w:type="spellStart"/>
            <w:r w:rsidRPr="009920B6">
              <w:rPr>
                <w:sz w:val="20"/>
                <w:szCs w:val="20"/>
                <w:lang w:eastAsia="x-none"/>
              </w:rPr>
              <w:t>v_GW_REVAP</w:t>
            </w:r>
            <w:proofErr w:type="spellEnd"/>
          </w:p>
        </w:tc>
        <w:tc>
          <w:tcPr>
            <w:tcW w:w="4235" w:type="dxa"/>
          </w:tcPr>
          <w:p w:rsidR="00517E4E" w:rsidRPr="009920B6" w:rsidRDefault="00517E4E" w:rsidP="001B05D8">
            <w:pPr>
              <w:ind w:left="-108" w:firstLine="108"/>
              <w:rPr>
                <w:sz w:val="20"/>
                <w:szCs w:val="20"/>
                <w:lang w:eastAsia="x-none"/>
              </w:rPr>
            </w:pPr>
            <w:r w:rsidRPr="009920B6">
              <w:rPr>
                <w:sz w:val="20"/>
                <w:szCs w:val="20"/>
                <w:lang w:eastAsia="x-none"/>
              </w:rPr>
              <w:t>Groundwater "revap" coefficient</w:t>
            </w:r>
          </w:p>
        </w:tc>
        <w:tc>
          <w:tcPr>
            <w:tcW w:w="1260" w:type="dxa"/>
          </w:tcPr>
          <w:p w:rsidR="00517E4E" w:rsidRPr="009920B6" w:rsidRDefault="00517E4E" w:rsidP="001B05D8">
            <w:pPr>
              <w:ind w:left="-108"/>
              <w:jc w:val="center"/>
              <w:rPr>
                <w:sz w:val="20"/>
                <w:szCs w:val="20"/>
                <w:lang w:eastAsia="x-none"/>
              </w:rPr>
            </w:pPr>
            <w:r w:rsidRPr="009920B6">
              <w:rPr>
                <w:sz w:val="20"/>
                <w:szCs w:val="20"/>
                <w:lang w:eastAsia="x-none"/>
              </w:rPr>
              <w:t>0.02</w:t>
            </w:r>
          </w:p>
        </w:tc>
        <w:tc>
          <w:tcPr>
            <w:tcW w:w="1081" w:type="dxa"/>
          </w:tcPr>
          <w:p w:rsidR="00517E4E" w:rsidRPr="009920B6" w:rsidRDefault="00517E4E" w:rsidP="001B05D8">
            <w:pPr>
              <w:ind w:left="-108"/>
              <w:jc w:val="center"/>
              <w:rPr>
                <w:sz w:val="20"/>
                <w:szCs w:val="20"/>
                <w:lang w:eastAsia="x-none"/>
              </w:rPr>
            </w:pPr>
            <w:r w:rsidRPr="009920B6">
              <w:rPr>
                <w:sz w:val="20"/>
                <w:szCs w:val="20"/>
                <w:lang w:eastAsia="x-none"/>
              </w:rPr>
              <w:t>0.2</w:t>
            </w:r>
          </w:p>
        </w:tc>
      </w:tr>
      <w:tr w:rsidR="00517E4E" w:rsidRPr="009920B6" w:rsidTr="009920B6">
        <w:tc>
          <w:tcPr>
            <w:tcW w:w="540" w:type="dxa"/>
            <w:tcBorders>
              <w:bottom w:val="single" w:sz="4" w:space="0" w:color="auto"/>
            </w:tcBorders>
          </w:tcPr>
          <w:p w:rsidR="00517E4E" w:rsidRPr="009920B6" w:rsidRDefault="00517E4E" w:rsidP="005858EE">
            <w:pPr>
              <w:ind w:hanging="18"/>
              <w:jc w:val="both"/>
              <w:rPr>
                <w:sz w:val="20"/>
                <w:szCs w:val="20"/>
                <w:lang w:eastAsia="x-none"/>
              </w:rPr>
            </w:pPr>
            <w:r w:rsidRPr="009920B6">
              <w:rPr>
                <w:sz w:val="20"/>
                <w:szCs w:val="20"/>
                <w:lang w:eastAsia="x-none"/>
              </w:rPr>
              <w:t>12</w:t>
            </w:r>
          </w:p>
        </w:tc>
        <w:tc>
          <w:tcPr>
            <w:tcW w:w="1975" w:type="dxa"/>
            <w:tcBorders>
              <w:bottom w:val="single" w:sz="4" w:space="0" w:color="auto"/>
            </w:tcBorders>
          </w:tcPr>
          <w:p w:rsidR="00517E4E" w:rsidRPr="009920B6" w:rsidRDefault="00517E4E" w:rsidP="005858EE">
            <w:pPr>
              <w:ind w:hanging="18"/>
              <w:jc w:val="both"/>
              <w:rPr>
                <w:sz w:val="20"/>
                <w:szCs w:val="20"/>
                <w:lang w:eastAsia="x-none"/>
              </w:rPr>
            </w:pPr>
            <w:proofErr w:type="spellStart"/>
            <w:r w:rsidRPr="009920B6">
              <w:rPr>
                <w:sz w:val="20"/>
                <w:szCs w:val="20"/>
                <w:lang w:eastAsia="x-none"/>
              </w:rPr>
              <w:t>v_REVAPMN</w:t>
            </w:r>
            <w:proofErr w:type="spellEnd"/>
          </w:p>
        </w:tc>
        <w:tc>
          <w:tcPr>
            <w:tcW w:w="4235" w:type="dxa"/>
            <w:tcBorders>
              <w:bottom w:val="single" w:sz="4" w:space="0" w:color="auto"/>
            </w:tcBorders>
          </w:tcPr>
          <w:p w:rsidR="00517E4E" w:rsidRPr="009920B6" w:rsidRDefault="00517E4E" w:rsidP="001B05D8">
            <w:pPr>
              <w:ind w:left="-108" w:firstLine="108"/>
              <w:rPr>
                <w:sz w:val="20"/>
                <w:szCs w:val="20"/>
                <w:lang w:eastAsia="x-none"/>
              </w:rPr>
            </w:pPr>
            <w:r w:rsidRPr="009920B6">
              <w:rPr>
                <w:sz w:val="20"/>
                <w:szCs w:val="20"/>
                <w:lang w:eastAsia="x-none"/>
              </w:rPr>
              <w:t>Groundwater "revap" threshold (mm)</w:t>
            </w:r>
          </w:p>
        </w:tc>
        <w:tc>
          <w:tcPr>
            <w:tcW w:w="1260" w:type="dxa"/>
            <w:tcBorders>
              <w:bottom w:val="single" w:sz="4" w:space="0" w:color="auto"/>
            </w:tcBorders>
          </w:tcPr>
          <w:p w:rsidR="00517E4E" w:rsidRPr="009920B6" w:rsidRDefault="00517E4E" w:rsidP="001B05D8">
            <w:pPr>
              <w:ind w:left="-108"/>
              <w:jc w:val="center"/>
              <w:rPr>
                <w:sz w:val="20"/>
                <w:szCs w:val="20"/>
                <w:lang w:eastAsia="x-none"/>
              </w:rPr>
            </w:pPr>
            <w:r w:rsidRPr="009920B6">
              <w:rPr>
                <w:sz w:val="20"/>
                <w:szCs w:val="20"/>
                <w:lang w:eastAsia="x-none"/>
              </w:rPr>
              <w:t>0</w:t>
            </w:r>
          </w:p>
        </w:tc>
        <w:tc>
          <w:tcPr>
            <w:tcW w:w="1081" w:type="dxa"/>
            <w:tcBorders>
              <w:bottom w:val="single" w:sz="4" w:space="0" w:color="auto"/>
            </w:tcBorders>
          </w:tcPr>
          <w:p w:rsidR="00517E4E" w:rsidRPr="009920B6" w:rsidRDefault="00517E4E" w:rsidP="001B05D8">
            <w:pPr>
              <w:ind w:left="-108"/>
              <w:jc w:val="center"/>
              <w:rPr>
                <w:sz w:val="20"/>
                <w:szCs w:val="20"/>
                <w:lang w:eastAsia="x-none"/>
              </w:rPr>
            </w:pPr>
            <w:r w:rsidRPr="009920B6">
              <w:rPr>
                <w:sz w:val="20"/>
                <w:szCs w:val="20"/>
                <w:lang w:eastAsia="x-none"/>
              </w:rPr>
              <w:t>500</w:t>
            </w:r>
          </w:p>
        </w:tc>
      </w:tr>
      <w:tr w:rsidR="00A225E5" w:rsidRPr="009920B6" w:rsidTr="009920B6">
        <w:tc>
          <w:tcPr>
            <w:tcW w:w="540" w:type="dxa"/>
            <w:tcBorders>
              <w:top w:val="single" w:sz="4" w:space="0" w:color="auto"/>
            </w:tcBorders>
          </w:tcPr>
          <w:p w:rsidR="00A225E5" w:rsidRPr="009920B6" w:rsidRDefault="00A225E5" w:rsidP="005858EE">
            <w:pPr>
              <w:ind w:hanging="18"/>
              <w:jc w:val="both"/>
              <w:rPr>
                <w:sz w:val="20"/>
                <w:szCs w:val="20"/>
                <w:lang w:eastAsia="x-none"/>
              </w:rPr>
            </w:pPr>
            <w:r w:rsidRPr="009920B6">
              <w:rPr>
                <w:sz w:val="20"/>
                <w:szCs w:val="20"/>
                <w:lang w:eastAsia="x-none"/>
              </w:rPr>
              <w:t>13</w:t>
            </w:r>
          </w:p>
        </w:tc>
        <w:tc>
          <w:tcPr>
            <w:tcW w:w="1975" w:type="dxa"/>
            <w:tcBorders>
              <w:top w:val="single" w:sz="4" w:space="0" w:color="auto"/>
            </w:tcBorders>
          </w:tcPr>
          <w:p w:rsidR="00A225E5" w:rsidRPr="009920B6" w:rsidRDefault="00A225E5" w:rsidP="005858EE">
            <w:pPr>
              <w:ind w:hanging="18"/>
              <w:jc w:val="both"/>
              <w:rPr>
                <w:sz w:val="20"/>
                <w:szCs w:val="20"/>
                <w:lang w:eastAsia="x-none"/>
              </w:rPr>
            </w:pPr>
            <w:r w:rsidRPr="009920B6">
              <w:rPr>
                <w:sz w:val="20"/>
                <w:szCs w:val="20"/>
                <w:lang w:eastAsia="x-none"/>
              </w:rPr>
              <w:t>r_SOL_AWC</w:t>
            </w:r>
            <w:r w:rsidRPr="009920B6">
              <w:rPr>
                <w:sz w:val="20"/>
                <w:szCs w:val="20"/>
                <w:vertAlign w:val="superscript"/>
                <w:lang w:eastAsia="x-none"/>
              </w:rPr>
              <w:t>SOIL1</w:t>
            </w:r>
          </w:p>
        </w:tc>
        <w:tc>
          <w:tcPr>
            <w:tcW w:w="4235" w:type="dxa"/>
            <w:vMerge w:val="restart"/>
            <w:tcBorders>
              <w:top w:val="single" w:sz="4" w:space="0" w:color="auto"/>
            </w:tcBorders>
          </w:tcPr>
          <w:p w:rsidR="00A225E5" w:rsidRPr="009920B6" w:rsidRDefault="00A225E5" w:rsidP="003D6BCD">
            <w:pPr>
              <w:rPr>
                <w:sz w:val="20"/>
                <w:szCs w:val="20"/>
                <w:lang w:eastAsia="x-none"/>
              </w:rPr>
            </w:pPr>
            <w:r w:rsidRPr="009920B6">
              <w:rPr>
                <w:sz w:val="20"/>
                <w:szCs w:val="20"/>
                <w:lang w:eastAsia="x-none"/>
              </w:rPr>
              <w:t>Soil available water content of soil classe</w:t>
            </w:r>
            <w:r w:rsidR="003D6BCD" w:rsidRPr="009920B6">
              <w:rPr>
                <w:sz w:val="20"/>
                <w:szCs w:val="20"/>
                <w:lang w:eastAsia="x-none"/>
              </w:rPr>
              <w:t>s 1 and 2</w:t>
            </w:r>
          </w:p>
        </w:tc>
        <w:tc>
          <w:tcPr>
            <w:tcW w:w="1260" w:type="dxa"/>
            <w:tcBorders>
              <w:top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-0.2</w:t>
            </w:r>
          </w:p>
        </w:tc>
        <w:tc>
          <w:tcPr>
            <w:tcW w:w="1081" w:type="dxa"/>
            <w:tcBorders>
              <w:top w:val="single" w:sz="4" w:space="0" w:color="auto"/>
            </w:tcBorders>
          </w:tcPr>
          <w:p w:rsidR="00A225E5" w:rsidRPr="009920B6" w:rsidRDefault="00A225E5" w:rsidP="001B05D8">
            <w:pPr>
              <w:jc w:val="center"/>
              <w:rPr>
                <w:sz w:val="20"/>
                <w:szCs w:val="20"/>
                <w:lang w:eastAsia="x-none"/>
              </w:rPr>
            </w:pPr>
            <w:r w:rsidRPr="009920B6">
              <w:rPr>
                <w:sz w:val="20"/>
                <w:szCs w:val="20"/>
                <w:lang w:eastAsia="x-none"/>
              </w:rPr>
              <w:t>0.2</w:t>
            </w:r>
          </w:p>
        </w:tc>
      </w:tr>
      <w:tr w:rsidR="00A225E5" w:rsidRPr="009920B6" w:rsidTr="009920B6">
        <w:tc>
          <w:tcPr>
            <w:tcW w:w="540" w:type="dxa"/>
            <w:tcBorders>
              <w:bottom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14</w:t>
            </w:r>
          </w:p>
        </w:tc>
        <w:tc>
          <w:tcPr>
            <w:tcW w:w="1975" w:type="dxa"/>
            <w:tcBorders>
              <w:bottom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r_SOL_AWC</w:t>
            </w:r>
            <w:r w:rsidRPr="009920B6">
              <w:rPr>
                <w:sz w:val="20"/>
                <w:szCs w:val="20"/>
                <w:vertAlign w:val="superscript"/>
                <w:lang w:eastAsia="x-none"/>
              </w:rPr>
              <w:t>SOIL2</w:t>
            </w:r>
          </w:p>
        </w:tc>
        <w:tc>
          <w:tcPr>
            <w:tcW w:w="4235" w:type="dxa"/>
            <w:vMerge/>
            <w:tcBorders>
              <w:bottom w:val="single" w:sz="4" w:space="0" w:color="auto"/>
            </w:tcBorders>
          </w:tcPr>
          <w:p w:rsidR="00A225E5" w:rsidRPr="009920B6" w:rsidRDefault="00A225E5" w:rsidP="00A225E5">
            <w:pPr>
              <w:rPr>
                <w:sz w:val="20"/>
                <w:szCs w:val="20"/>
                <w:lang w:eastAsia="x-none"/>
              </w:rPr>
            </w:pPr>
          </w:p>
        </w:tc>
        <w:tc>
          <w:tcPr>
            <w:tcW w:w="1260" w:type="dxa"/>
            <w:tcBorders>
              <w:bottom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-0.2</w:t>
            </w:r>
          </w:p>
        </w:tc>
        <w:tc>
          <w:tcPr>
            <w:tcW w:w="1081" w:type="dxa"/>
            <w:tcBorders>
              <w:bottom w:val="single" w:sz="4" w:space="0" w:color="auto"/>
            </w:tcBorders>
          </w:tcPr>
          <w:p w:rsidR="00A225E5" w:rsidRPr="009920B6" w:rsidRDefault="00A225E5" w:rsidP="001B05D8">
            <w:pPr>
              <w:jc w:val="center"/>
              <w:rPr>
                <w:sz w:val="20"/>
                <w:szCs w:val="20"/>
                <w:lang w:eastAsia="x-none"/>
              </w:rPr>
            </w:pPr>
            <w:r w:rsidRPr="009920B6">
              <w:rPr>
                <w:sz w:val="20"/>
                <w:szCs w:val="20"/>
                <w:lang w:eastAsia="x-none"/>
              </w:rPr>
              <w:t>0.2</w:t>
            </w:r>
          </w:p>
        </w:tc>
      </w:tr>
      <w:tr w:rsidR="00A225E5" w:rsidRPr="009920B6" w:rsidTr="009920B6">
        <w:tc>
          <w:tcPr>
            <w:tcW w:w="540" w:type="dxa"/>
            <w:tcBorders>
              <w:top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15</w:t>
            </w:r>
          </w:p>
        </w:tc>
        <w:tc>
          <w:tcPr>
            <w:tcW w:w="1975" w:type="dxa"/>
            <w:tcBorders>
              <w:top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r_SOL_K</w:t>
            </w:r>
            <w:r w:rsidRPr="009920B6">
              <w:rPr>
                <w:sz w:val="20"/>
                <w:szCs w:val="20"/>
                <w:vertAlign w:val="superscript"/>
                <w:lang w:eastAsia="x-none"/>
              </w:rPr>
              <w:t>SOIL1</w:t>
            </w:r>
          </w:p>
        </w:tc>
        <w:tc>
          <w:tcPr>
            <w:tcW w:w="4235" w:type="dxa"/>
            <w:vMerge w:val="restart"/>
            <w:tcBorders>
              <w:top w:val="single" w:sz="4" w:space="0" w:color="auto"/>
            </w:tcBorders>
          </w:tcPr>
          <w:p w:rsidR="00A225E5" w:rsidRPr="009920B6" w:rsidRDefault="00A225E5" w:rsidP="003D6BCD">
            <w:pPr>
              <w:rPr>
                <w:sz w:val="20"/>
                <w:szCs w:val="20"/>
                <w:lang w:eastAsia="x-none"/>
              </w:rPr>
            </w:pPr>
            <w:r w:rsidRPr="009920B6">
              <w:rPr>
                <w:sz w:val="20"/>
                <w:szCs w:val="20"/>
                <w:lang w:eastAsia="x-none"/>
              </w:rPr>
              <w:t xml:space="preserve">Soil hydraulic conductivity of soil </w:t>
            </w:r>
            <w:r w:rsidR="003D6BCD" w:rsidRPr="009920B6">
              <w:rPr>
                <w:sz w:val="20"/>
                <w:szCs w:val="20"/>
                <w:lang w:eastAsia="x-none"/>
              </w:rPr>
              <w:t>classes 1 and 2</w:t>
            </w:r>
            <w:r w:rsidRPr="009920B6">
              <w:rPr>
                <w:sz w:val="20"/>
                <w:szCs w:val="20"/>
                <w:lang w:eastAsia="x-none"/>
              </w:rPr>
              <w:t xml:space="preserve"> (mm/h)</w:t>
            </w:r>
          </w:p>
        </w:tc>
        <w:tc>
          <w:tcPr>
            <w:tcW w:w="1260" w:type="dxa"/>
            <w:tcBorders>
              <w:top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-0.2</w:t>
            </w:r>
          </w:p>
        </w:tc>
        <w:tc>
          <w:tcPr>
            <w:tcW w:w="1081" w:type="dxa"/>
            <w:tcBorders>
              <w:top w:val="single" w:sz="4" w:space="0" w:color="auto"/>
            </w:tcBorders>
          </w:tcPr>
          <w:p w:rsidR="00A225E5" w:rsidRPr="009920B6" w:rsidRDefault="00A225E5" w:rsidP="001B05D8">
            <w:pPr>
              <w:jc w:val="center"/>
              <w:rPr>
                <w:sz w:val="20"/>
                <w:szCs w:val="20"/>
                <w:lang w:eastAsia="x-none"/>
              </w:rPr>
            </w:pPr>
            <w:r w:rsidRPr="009920B6">
              <w:rPr>
                <w:sz w:val="20"/>
                <w:szCs w:val="20"/>
                <w:lang w:eastAsia="x-none"/>
              </w:rPr>
              <w:t>0.2</w:t>
            </w:r>
          </w:p>
        </w:tc>
      </w:tr>
      <w:tr w:rsidR="00A225E5" w:rsidRPr="009920B6" w:rsidTr="009920B6">
        <w:tc>
          <w:tcPr>
            <w:tcW w:w="540" w:type="dxa"/>
            <w:tcBorders>
              <w:bottom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16</w:t>
            </w:r>
          </w:p>
        </w:tc>
        <w:tc>
          <w:tcPr>
            <w:tcW w:w="1975" w:type="dxa"/>
            <w:tcBorders>
              <w:bottom w:val="single" w:sz="4" w:space="0" w:color="auto"/>
            </w:tcBorders>
          </w:tcPr>
          <w:p w:rsidR="00A225E5" w:rsidRPr="009920B6" w:rsidRDefault="00A225E5" w:rsidP="005858EE">
            <w:pPr>
              <w:ind w:hanging="18"/>
              <w:rPr>
                <w:sz w:val="20"/>
                <w:szCs w:val="20"/>
                <w:lang w:eastAsia="x-none"/>
              </w:rPr>
            </w:pPr>
            <w:r w:rsidRPr="009920B6">
              <w:rPr>
                <w:sz w:val="20"/>
                <w:szCs w:val="20"/>
                <w:lang w:eastAsia="x-none"/>
              </w:rPr>
              <w:t>r_SOL_K</w:t>
            </w:r>
            <w:r w:rsidRPr="009920B6">
              <w:rPr>
                <w:sz w:val="20"/>
                <w:szCs w:val="20"/>
                <w:vertAlign w:val="superscript"/>
                <w:lang w:eastAsia="x-none"/>
              </w:rPr>
              <w:t>SOIL2</w:t>
            </w:r>
          </w:p>
        </w:tc>
        <w:tc>
          <w:tcPr>
            <w:tcW w:w="4235" w:type="dxa"/>
            <w:vMerge/>
            <w:tcBorders>
              <w:bottom w:val="single" w:sz="4" w:space="0" w:color="auto"/>
            </w:tcBorders>
          </w:tcPr>
          <w:p w:rsidR="00A225E5" w:rsidRPr="009920B6" w:rsidRDefault="00A225E5" w:rsidP="00C33D6F">
            <w:pPr>
              <w:ind w:left="-108" w:firstLine="108"/>
              <w:rPr>
                <w:sz w:val="20"/>
                <w:szCs w:val="20"/>
                <w:lang w:eastAsia="x-none"/>
              </w:rPr>
            </w:pPr>
          </w:p>
        </w:tc>
        <w:tc>
          <w:tcPr>
            <w:tcW w:w="1260" w:type="dxa"/>
            <w:tcBorders>
              <w:bottom w:val="single" w:sz="4" w:space="0" w:color="auto"/>
            </w:tcBorders>
          </w:tcPr>
          <w:p w:rsidR="00A225E5" w:rsidRPr="009920B6" w:rsidRDefault="00A225E5" w:rsidP="001B05D8">
            <w:pPr>
              <w:ind w:left="-108"/>
              <w:jc w:val="center"/>
              <w:rPr>
                <w:sz w:val="20"/>
                <w:szCs w:val="20"/>
                <w:lang w:eastAsia="x-none"/>
              </w:rPr>
            </w:pPr>
            <w:r w:rsidRPr="009920B6">
              <w:rPr>
                <w:sz w:val="20"/>
                <w:szCs w:val="20"/>
                <w:lang w:eastAsia="x-none"/>
              </w:rPr>
              <w:t>-0.2</w:t>
            </w:r>
          </w:p>
        </w:tc>
        <w:tc>
          <w:tcPr>
            <w:tcW w:w="1081" w:type="dxa"/>
            <w:tcBorders>
              <w:bottom w:val="single" w:sz="4" w:space="0" w:color="auto"/>
            </w:tcBorders>
          </w:tcPr>
          <w:p w:rsidR="00A225E5" w:rsidRPr="009920B6" w:rsidRDefault="00A225E5" w:rsidP="001B05D8">
            <w:pPr>
              <w:jc w:val="center"/>
              <w:rPr>
                <w:sz w:val="20"/>
                <w:szCs w:val="20"/>
                <w:lang w:eastAsia="x-none"/>
              </w:rPr>
            </w:pPr>
            <w:r w:rsidRPr="009920B6">
              <w:rPr>
                <w:sz w:val="20"/>
                <w:szCs w:val="20"/>
                <w:lang w:eastAsia="x-none"/>
              </w:rPr>
              <w:t>0.2</w:t>
            </w:r>
          </w:p>
        </w:tc>
      </w:tr>
      <w:tr w:rsidR="00517E4E" w:rsidRPr="009920B6" w:rsidTr="009920B6">
        <w:tc>
          <w:tcPr>
            <w:tcW w:w="540" w:type="dxa"/>
            <w:tcBorders>
              <w:top w:val="single" w:sz="4" w:space="0" w:color="auto"/>
              <w:bottom w:val="single" w:sz="4" w:space="0" w:color="auto"/>
            </w:tcBorders>
          </w:tcPr>
          <w:p w:rsidR="00517E4E" w:rsidRPr="009920B6" w:rsidRDefault="00517E4E" w:rsidP="005858EE">
            <w:pPr>
              <w:ind w:hanging="18"/>
              <w:rPr>
                <w:sz w:val="20"/>
                <w:szCs w:val="20"/>
                <w:lang w:eastAsia="x-none"/>
              </w:rPr>
            </w:pPr>
            <w:r w:rsidRPr="009920B6">
              <w:rPr>
                <w:sz w:val="20"/>
                <w:szCs w:val="20"/>
                <w:lang w:eastAsia="x-none"/>
              </w:rPr>
              <w:t>17</w:t>
            </w:r>
          </w:p>
        </w:tc>
        <w:tc>
          <w:tcPr>
            <w:tcW w:w="1975" w:type="dxa"/>
            <w:tcBorders>
              <w:top w:val="single" w:sz="4" w:space="0" w:color="auto"/>
              <w:bottom w:val="single" w:sz="4" w:space="0" w:color="auto"/>
            </w:tcBorders>
          </w:tcPr>
          <w:p w:rsidR="00517E4E" w:rsidRPr="009920B6" w:rsidRDefault="00517E4E" w:rsidP="005858EE">
            <w:pPr>
              <w:ind w:hanging="18"/>
              <w:rPr>
                <w:sz w:val="20"/>
                <w:szCs w:val="20"/>
                <w:lang w:eastAsia="x-none"/>
              </w:rPr>
            </w:pPr>
            <w:proofErr w:type="spellStart"/>
            <w:r w:rsidRPr="009920B6">
              <w:rPr>
                <w:sz w:val="20"/>
                <w:szCs w:val="20"/>
                <w:lang w:eastAsia="x-none"/>
              </w:rPr>
              <w:t>v_CANMX</w:t>
            </w:r>
            <w:proofErr w:type="spellEnd"/>
          </w:p>
        </w:tc>
        <w:tc>
          <w:tcPr>
            <w:tcW w:w="4235" w:type="dxa"/>
            <w:tcBorders>
              <w:top w:val="single" w:sz="4" w:space="0" w:color="auto"/>
              <w:bottom w:val="single" w:sz="4" w:space="0" w:color="auto"/>
            </w:tcBorders>
          </w:tcPr>
          <w:p w:rsidR="00517E4E" w:rsidRPr="009920B6" w:rsidRDefault="00517E4E" w:rsidP="001B05D8">
            <w:pPr>
              <w:ind w:left="-108" w:firstLine="108"/>
              <w:rPr>
                <w:sz w:val="20"/>
                <w:szCs w:val="20"/>
                <w:lang w:eastAsia="x-none"/>
              </w:rPr>
            </w:pPr>
            <w:r w:rsidRPr="009920B6">
              <w:rPr>
                <w:sz w:val="20"/>
                <w:szCs w:val="20"/>
                <w:lang w:eastAsia="x-none"/>
              </w:rPr>
              <w:t>Maximum canopy storage (mm)</w:t>
            </w:r>
          </w:p>
        </w:tc>
        <w:tc>
          <w:tcPr>
            <w:tcW w:w="1260" w:type="dxa"/>
            <w:tcBorders>
              <w:top w:val="single" w:sz="4" w:space="0" w:color="auto"/>
              <w:bottom w:val="single" w:sz="4" w:space="0" w:color="auto"/>
            </w:tcBorders>
          </w:tcPr>
          <w:p w:rsidR="00517E4E" w:rsidRPr="009920B6" w:rsidRDefault="00517E4E" w:rsidP="001B05D8">
            <w:pPr>
              <w:ind w:left="-108"/>
              <w:jc w:val="center"/>
              <w:rPr>
                <w:sz w:val="20"/>
                <w:szCs w:val="20"/>
                <w:lang w:eastAsia="x-none"/>
              </w:rPr>
            </w:pPr>
            <w:r w:rsidRPr="009920B6">
              <w:rPr>
                <w:sz w:val="20"/>
                <w:szCs w:val="20"/>
                <w:lang w:eastAsia="x-none"/>
              </w:rPr>
              <w:t>0</w:t>
            </w:r>
          </w:p>
        </w:tc>
        <w:tc>
          <w:tcPr>
            <w:tcW w:w="1081" w:type="dxa"/>
            <w:tcBorders>
              <w:top w:val="single" w:sz="4" w:space="0" w:color="auto"/>
              <w:bottom w:val="single" w:sz="4" w:space="0" w:color="auto"/>
            </w:tcBorders>
          </w:tcPr>
          <w:p w:rsidR="00517E4E" w:rsidRPr="009920B6" w:rsidRDefault="00517E4E" w:rsidP="001B05D8">
            <w:pPr>
              <w:ind w:left="-108"/>
              <w:jc w:val="center"/>
              <w:rPr>
                <w:sz w:val="20"/>
                <w:szCs w:val="20"/>
                <w:lang w:eastAsia="x-none"/>
              </w:rPr>
            </w:pPr>
            <w:r w:rsidRPr="009920B6">
              <w:rPr>
                <w:sz w:val="20"/>
                <w:szCs w:val="20"/>
                <w:lang w:eastAsia="x-none"/>
              </w:rPr>
              <w:t>5</w:t>
            </w:r>
          </w:p>
        </w:tc>
      </w:tr>
    </w:tbl>
    <w:p w:rsidR="00790C74" w:rsidRDefault="00A07641" w:rsidP="00687128">
      <w:pPr>
        <w:spacing w:before="120" w:after="120" w:line="360" w:lineRule="auto"/>
        <w:jc w:val="both"/>
      </w:pPr>
      <w:r>
        <w:tab/>
        <w:t xml:space="preserve">In this study, </w:t>
      </w:r>
      <w:r w:rsidR="00C6418B">
        <w:t xml:space="preserve">the </w:t>
      </w:r>
      <w:r>
        <w:t>optimal solution was used as an</w:t>
      </w:r>
      <w:r w:rsidR="00697BA7">
        <w:t xml:space="preserve"> example </w:t>
      </w:r>
      <w:r w:rsidR="002D374A">
        <w:t xml:space="preserve">for </w:t>
      </w:r>
      <w:r w:rsidR="00351DCF">
        <w:t xml:space="preserve">demonstrating </w:t>
      </w:r>
      <w:r w:rsidR="00367F2A">
        <w:t xml:space="preserve">(1) </w:t>
      </w:r>
      <w:r w:rsidR="00351DCF">
        <w:t xml:space="preserve">how </w:t>
      </w:r>
      <w:r w:rsidR="00E0022E">
        <w:t>spatiotemporal</w:t>
      </w:r>
      <w:r w:rsidR="00351DCF">
        <w:t xml:space="preserve"> and </w:t>
      </w:r>
      <w:r w:rsidR="00E0022E">
        <w:t xml:space="preserve">temporospatial </w:t>
      </w:r>
      <w:r w:rsidR="00351DCF">
        <w:t xml:space="preserve">model performance evaluation could be done, and (2) </w:t>
      </w:r>
      <w:r w:rsidR="009579C2">
        <w:t>the</w:t>
      </w:r>
      <w:r w:rsidR="002D374A">
        <w:t xml:space="preserve"> benefits of both </w:t>
      </w:r>
      <w:r w:rsidR="00E0022E">
        <w:t>spatiotemporal</w:t>
      </w:r>
      <w:r w:rsidR="002D374A">
        <w:t xml:space="preserve"> and </w:t>
      </w:r>
      <w:r w:rsidR="00E0022E">
        <w:t xml:space="preserve">temporospatial </w:t>
      </w:r>
      <w:r w:rsidR="002D374A">
        <w:t xml:space="preserve">model performance. </w:t>
      </w:r>
      <w:r w:rsidR="000D1708">
        <w:t xml:space="preserve">The </w:t>
      </w:r>
      <w:r w:rsidR="00D6347C">
        <w:t xml:space="preserve">following </w:t>
      </w:r>
      <w:r w:rsidR="000D1708">
        <w:t>multi-</w:t>
      </w:r>
      <w:r w:rsidR="007E73C9">
        <w:t xml:space="preserve">objective </w:t>
      </w:r>
      <w:r w:rsidR="000D1708">
        <w:t xml:space="preserve">function (OF) </w:t>
      </w:r>
      <w:r w:rsidR="00D6347C">
        <w:t xml:space="preserve">was used for selecting the </w:t>
      </w:r>
      <w:r w:rsidR="007F2CE9">
        <w:t>optimal</w:t>
      </w:r>
      <w:r w:rsidR="00D6347C">
        <w:t xml:space="preserve"> solution</w:t>
      </w:r>
      <w:r w:rsidR="000D1708">
        <w:t>:</w:t>
      </w:r>
    </w:p>
    <w:p w:rsidR="00687128" w:rsidRDefault="00687128" w:rsidP="00687128">
      <w:pPr>
        <w:spacing w:before="120" w:after="120" w:line="360" w:lineRule="auto"/>
        <w:jc w:val="both"/>
        <w:rPr>
          <w:rStyle w:val="acopre"/>
        </w:rPr>
      </w:pPr>
      <m:oMath>
        <m:r>
          <w:rPr>
            <w:rStyle w:val="acopre"/>
            <w:rFonts w:ascii="Cambria Math" w:hAnsi="Cambria Math"/>
          </w:rPr>
          <m:t xml:space="preserve">OF= </m:t>
        </m:r>
        <m:r>
          <m:rPr>
            <m:sty m:val="p"/>
          </m:rPr>
          <w:rPr>
            <w:rStyle w:val="acopre"/>
            <w:rFonts w:ascii="Cambria Math" w:hAnsi="Cambria Math"/>
          </w:rPr>
          <m:t>minimize</m:t>
        </m:r>
        <m:d>
          <m:dPr>
            <m:ctrlPr>
              <w:rPr>
                <w:rStyle w:val="acopre"/>
                <w:rFonts w:ascii="Cambria Math" w:hAnsi="Cambria Math"/>
                <w:i/>
              </w:rPr>
            </m:ctrlPr>
          </m:dPr>
          <m:e>
            <m:sSub>
              <m:sSubPr>
                <m:ctrlPr>
                  <w:rPr>
                    <w:rStyle w:val="acopre"/>
                    <w:rFonts w:ascii="Cambria Math" w:hAnsi="Cambria Math"/>
                    <w:i/>
                  </w:rPr>
                </m:ctrlPr>
              </m:sSubPr>
              <m:e>
                <m:r>
                  <w:rPr>
                    <w:rStyle w:val="acopre"/>
                    <w:rFonts w:ascii="Cambria Math" w:hAnsi="Cambria Math"/>
                  </w:rPr>
                  <m:t>T</m:t>
                </m:r>
              </m:e>
              <m:sub>
                <m:r>
                  <w:rPr>
                    <w:rStyle w:val="acopre"/>
                    <w:rFonts w:ascii="Cambria Math" w:hAnsi="Cambria Math"/>
                  </w:rPr>
                  <m:t>S</m:t>
                </m:r>
              </m:sub>
            </m:sSub>
            <m:r>
              <w:rPr>
                <w:rStyle w:val="acopre"/>
                <w:rFonts w:ascii="Cambria Math" w:hAnsi="Cambria Math"/>
              </w:rPr>
              <m:t>+</m:t>
            </m:r>
            <m:sSub>
              <m:sSubPr>
                <m:ctrlPr>
                  <w:rPr>
                    <w:rStyle w:val="acopre"/>
                    <w:rFonts w:ascii="Cambria Math" w:hAnsi="Cambria Math"/>
                    <w:i/>
                  </w:rPr>
                </m:ctrlPr>
              </m:sSubPr>
              <m:e>
                <m:r>
                  <w:rPr>
                    <w:rStyle w:val="acopre"/>
                    <w:rFonts w:ascii="Cambria Math" w:hAnsi="Cambria Math"/>
                  </w:rPr>
                  <m:t>S</m:t>
                </m:r>
              </m:e>
              <m:sub>
                <m:r>
                  <w:rPr>
                    <w:rStyle w:val="acopre"/>
                    <w:rFonts w:ascii="Cambria Math" w:hAnsi="Cambria Math"/>
                  </w:rPr>
                  <m:t>T</m:t>
                </m:r>
              </m:sub>
            </m:sSub>
          </m:e>
        </m:d>
      </m:oMath>
      <w:r w:rsidR="00AA5952">
        <w:rPr>
          <w:rStyle w:val="acopre"/>
        </w:rPr>
        <w:t xml:space="preserve"> </w:t>
      </w:r>
      <w:r w:rsidR="00AA5952">
        <w:rPr>
          <w:rStyle w:val="acopre"/>
        </w:rPr>
        <w:tab/>
      </w:r>
      <w:r w:rsidR="00AA5952">
        <w:rPr>
          <w:rStyle w:val="acopre"/>
        </w:rPr>
        <w:tab/>
      </w:r>
      <w:r w:rsidR="00AA5952">
        <w:rPr>
          <w:rStyle w:val="acopre"/>
        </w:rPr>
        <w:tab/>
      </w:r>
      <w:r w:rsidR="00AA5952">
        <w:rPr>
          <w:rStyle w:val="acopre"/>
        </w:rPr>
        <w:tab/>
      </w:r>
      <w:r w:rsidR="00AA5952">
        <w:rPr>
          <w:rStyle w:val="acopre"/>
        </w:rPr>
        <w:tab/>
      </w:r>
      <w:r w:rsidR="00117BB6">
        <w:rPr>
          <w:rStyle w:val="acopre"/>
        </w:rPr>
        <w:tab/>
      </w:r>
      <w:r w:rsidR="00AB0138">
        <w:rPr>
          <w:rStyle w:val="acopre"/>
        </w:rPr>
        <w:tab/>
      </w:r>
      <w:r w:rsidR="00AB0138">
        <w:rPr>
          <w:rStyle w:val="acopre"/>
        </w:rPr>
        <w:tab/>
      </w:r>
      <w:r w:rsidR="00AB0138">
        <w:rPr>
          <w:rStyle w:val="acopre"/>
        </w:rPr>
        <w:tab/>
      </w:r>
      <w:r w:rsidR="00AA5952">
        <w:rPr>
          <w:rStyle w:val="acopre"/>
        </w:rPr>
        <w:t xml:space="preserve">(1) </w:t>
      </w:r>
    </w:p>
    <w:p w:rsidR="00FA18A2" w:rsidRDefault="003623C3" w:rsidP="00687128">
      <w:pPr>
        <w:spacing w:before="120" w:after="120" w:line="360" w:lineRule="auto"/>
        <w:jc w:val="both"/>
        <w:rPr>
          <w:rStyle w:val="acopre"/>
        </w:rPr>
      </w:pPr>
      <m:oMath>
        <m:sSub>
          <m:sSubPr>
            <m:ctrlPr>
              <w:rPr>
                <w:rStyle w:val="acopre"/>
                <w:rFonts w:ascii="Cambria Math" w:hAnsi="Cambria Math"/>
                <w:i/>
              </w:rPr>
            </m:ctrlPr>
          </m:sSubPr>
          <m:e>
            <m:r>
              <w:rPr>
                <w:rStyle w:val="acopre"/>
                <w:rFonts w:ascii="Cambria Math" w:hAnsi="Cambria Math"/>
              </w:rPr>
              <m:t>S</m:t>
            </m:r>
          </m:e>
          <m:sub>
            <m:r>
              <w:rPr>
                <w:rStyle w:val="acopre"/>
                <w:rFonts w:ascii="Cambria Math" w:hAnsi="Cambria Math"/>
              </w:rPr>
              <m:t>T</m:t>
            </m:r>
          </m:sub>
        </m:sSub>
        <m:r>
          <w:rPr>
            <w:rStyle w:val="acopre"/>
            <w:rFonts w:ascii="Cambria Math" w:hAnsi="Cambria Math"/>
          </w:rPr>
          <m:t xml:space="preserve">= </m:t>
        </m:r>
        <m:f>
          <m:fPr>
            <m:ctrlPr>
              <w:rPr>
                <w:rStyle w:val="acopre"/>
                <w:rFonts w:ascii="Cambria Math" w:hAnsi="Cambria Math"/>
                <w:i/>
              </w:rPr>
            </m:ctrlPr>
          </m:fPr>
          <m:num>
            <m:nary>
              <m:naryPr>
                <m:chr m:val="∑"/>
                <m:limLoc m:val="undOvr"/>
                <m:ctrlPr>
                  <w:rPr>
                    <w:rStyle w:val="acopre"/>
                    <w:rFonts w:ascii="Cambria Math" w:hAnsi="Cambria Math"/>
                    <w:i/>
                  </w:rPr>
                </m:ctrlPr>
              </m:naryPr>
              <m:sub>
                <m:r>
                  <w:rPr>
                    <w:rStyle w:val="acopre"/>
                    <w:rFonts w:ascii="Cambria Math" w:hAnsi="Cambria Math"/>
                  </w:rPr>
                  <m:t>k=1</m:t>
                </m:r>
              </m:sub>
              <m:sup>
                <m:r>
                  <w:rPr>
                    <w:rStyle w:val="acopre"/>
                    <w:rFonts w:ascii="Cambria Math" w:hAnsi="Cambria Math"/>
                  </w:rPr>
                  <m:t>ntimesteps</m:t>
                </m:r>
              </m:sup>
              <m:e>
                <m:sSubSup>
                  <m:sSubSupPr>
                    <m:ctrlPr>
                      <w:rPr>
                        <w:rStyle w:val="acopre"/>
                        <w:rFonts w:ascii="Cambria Math" w:hAnsi="Cambria Math"/>
                        <w:i/>
                      </w:rPr>
                    </m:ctrlPr>
                  </m:sSubSupPr>
                  <m:e>
                    <m:r>
                      <w:rPr>
                        <w:rStyle w:val="acopre"/>
                        <w:rFonts w:ascii="Cambria Math" w:hAnsi="Cambria Math"/>
                      </w:rPr>
                      <m:t>T</m:t>
                    </m:r>
                  </m:e>
                  <m:sub>
                    <m:r>
                      <w:rPr>
                        <w:rStyle w:val="acopre"/>
                        <w:rFonts w:ascii="Cambria Math" w:hAnsi="Cambria Math"/>
                      </w:rPr>
                      <m:t>ETa</m:t>
                    </m:r>
                  </m:sub>
                  <m:sup>
                    <m:r>
                      <w:rPr>
                        <w:rStyle w:val="acopre"/>
                        <w:rFonts w:ascii="Cambria Math" w:hAnsi="Cambria Math"/>
                      </w:rPr>
                      <m:t>k</m:t>
                    </m:r>
                  </m:sup>
                </m:sSubSup>
              </m:e>
            </m:nary>
          </m:num>
          <m:den>
            <m:r>
              <w:rPr>
                <w:rStyle w:val="acopre"/>
                <w:rFonts w:ascii="Cambria Math" w:hAnsi="Cambria Math"/>
              </w:rPr>
              <m:t>ntimesteps</m:t>
            </m:r>
          </m:den>
        </m:f>
      </m:oMath>
      <w:r w:rsidR="007F2B31">
        <w:rPr>
          <w:rStyle w:val="acopre"/>
        </w:rPr>
        <w:tab/>
      </w:r>
      <w:r w:rsidR="007F2B31">
        <w:rPr>
          <w:rStyle w:val="acopre"/>
        </w:rPr>
        <w:tab/>
      </w:r>
      <w:r w:rsidR="007F2B31">
        <w:rPr>
          <w:rStyle w:val="acopre"/>
        </w:rPr>
        <w:tab/>
      </w:r>
      <w:r w:rsidR="007F2B31">
        <w:rPr>
          <w:rStyle w:val="acopre"/>
        </w:rPr>
        <w:tab/>
      </w:r>
      <w:r w:rsidR="007F2B31">
        <w:rPr>
          <w:rStyle w:val="acopre"/>
        </w:rPr>
        <w:tab/>
      </w:r>
      <w:r w:rsidR="007F2B31">
        <w:rPr>
          <w:rStyle w:val="acopre"/>
        </w:rPr>
        <w:tab/>
      </w:r>
      <w:r w:rsidR="007F2B31">
        <w:rPr>
          <w:rStyle w:val="acopre"/>
        </w:rPr>
        <w:tab/>
      </w:r>
      <w:r w:rsidR="007F2B31">
        <w:rPr>
          <w:rStyle w:val="acopre"/>
        </w:rPr>
        <w:tab/>
      </w:r>
      <w:r w:rsidR="007F2B31">
        <w:rPr>
          <w:rStyle w:val="acopre"/>
        </w:rPr>
        <w:tab/>
      </w:r>
      <w:r w:rsidR="007F2B31">
        <w:rPr>
          <w:rStyle w:val="acopre"/>
        </w:rPr>
        <w:tab/>
        <w:t>(2</w:t>
      </w:r>
      <w:r w:rsidR="00EE5A27">
        <w:rPr>
          <w:rStyle w:val="acopre"/>
        </w:rPr>
        <w:t>)</w:t>
      </w:r>
    </w:p>
    <w:p w:rsidR="00084FF2" w:rsidRPr="00084FF2" w:rsidRDefault="003623C3" w:rsidP="00687128">
      <w:pPr>
        <w:spacing w:before="120" w:after="120" w:line="360" w:lineRule="auto"/>
        <w:jc w:val="both"/>
        <w:rPr>
          <w:rStyle w:val="acopre"/>
        </w:rPr>
      </w:pPr>
      <m:oMath>
        <m:sSub>
          <m:sSubPr>
            <m:ctrlPr>
              <w:rPr>
                <w:rStyle w:val="acopre"/>
                <w:rFonts w:ascii="Cambria Math" w:hAnsi="Cambria Math"/>
                <w:i/>
              </w:rPr>
            </m:ctrlPr>
          </m:sSubPr>
          <m:e>
            <m:r>
              <w:rPr>
                <w:rStyle w:val="acopre"/>
                <w:rFonts w:ascii="Cambria Math" w:hAnsi="Cambria Math"/>
              </w:rPr>
              <m:t>T</m:t>
            </m:r>
          </m:e>
          <m:sub>
            <m:r>
              <w:rPr>
                <w:rStyle w:val="acopre"/>
                <w:rFonts w:ascii="Cambria Math" w:hAnsi="Cambria Math"/>
              </w:rPr>
              <m:t>S</m:t>
            </m:r>
          </m:sub>
        </m:sSub>
        <m:r>
          <w:rPr>
            <w:rStyle w:val="acopre"/>
            <w:rFonts w:ascii="Cambria Math" w:hAnsi="Cambria Math"/>
          </w:rPr>
          <m:t xml:space="preserve">= </m:t>
        </m:r>
        <m:f>
          <m:fPr>
            <m:ctrlPr>
              <w:rPr>
                <w:rStyle w:val="acopre"/>
                <w:rFonts w:ascii="Cambria Math" w:hAnsi="Cambria Math"/>
                <w:i/>
              </w:rPr>
            </m:ctrlPr>
          </m:fPr>
          <m:num>
            <m:nary>
              <m:naryPr>
                <m:chr m:val="∑"/>
                <m:limLoc m:val="undOvr"/>
                <m:ctrlPr>
                  <w:rPr>
                    <w:rStyle w:val="acopre"/>
                    <w:rFonts w:ascii="Cambria Math" w:hAnsi="Cambria Math"/>
                    <w:i/>
                  </w:rPr>
                </m:ctrlPr>
              </m:naryPr>
              <m:sub>
                <m:r>
                  <w:rPr>
                    <w:rStyle w:val="acopre"/>
                    <w:rFonts w:ascii="Cambria Math" w:hAnsi="Cambria Math"/>
                  </w:rPr>
                  <m:t>j=1</m:t>
                </m:r>
              </m:sub>
              <m:sup>
                <m:r>
                  <w:rPr>
                    <w:rStyle w:val="acopre"/>
                    <w:rFonts w:ascii="Cambria Math" w:hAnsi="Cambria Math"/>
                  </w:rPr>
                  <m:t>npixels</m:t>
                </m:r>
              </m:sup>
              <m:e>
                <m:sSubSup>
                  <m:sSubSupPr>
                    <m:ctrlPr>
                      <w:rPr>
                        <w:rStyle w:val="acopre"/>
                        <w:rFonts w:ascii="Cambria Math" w:hAnsi="Cambria Math"/>
                        <w:i/>
                      </w:rPr>
                    </m:ctrlPr>
                  </m:sSubSupPr>
                  <m:e>
                    <m:r>
                      <w:rPr>
                        <w:rStyle w:val="acopre"/>
                        <w:rFonts w:ascii="Cambria Math" w:hAnsi="Cambria Math"/>
                      </w:rPr>
                      <m:t>S</m:t>
                    </m:r>
                  </m:e>
                  <m:sub>
                    <m:r>
                      <w:rPr>
                        <w:rStyle w:val="acopre"/>
                        <w:rFonts w:ascii="Cambria Math" w:hAnsi="Cambria Math"/>
                      </w:rPr>
                      <m:t>ETa</m:t>
                    </m:r>
                  </m:sub>
                  <m:sup>
                    <m:r>
                      <w:rPr>
                        <w:rStyle w:val="acopre"/>
                        <w:rFonts w:ascii="Cambria Math" w:hAnsi="Cambria Math"/>
                      </w:rPr>
                      <m:t>j</m:t>
                    </m:r>
                  </m:sup>
                </m:sSubSup>
              </m:e>
            </m:nary>
          </m:num>
          <m:den>
            <m:r>
              <w:rPr>
                <w:rStyle w:val="acopre"/>
                <w:rFonts w:ascii="Cambria Math" w:hAnsi="Cambria Math"/>
              </w:rPr>
              <m:t>npixels</m:t>
            </m:r>
          </m:den>
        </m:f>
      </m:oMath>
      <w:r w:rsidR="00084FF2">
        <w:rPr>
          <w:rStyle w:val="acopre"/>
        </w:rPr>
        <w:t xml:space="preserve"> </w:t>
      </w:r>
      <w:r w:rsidR="00084FF2">
        <w:rPr>
          <w:rStyle w:val="acopre"/>
        </w:rPr>
        <w:tab/>
      </w:r>
      <w:r w:rsidR="00084FF2">
        <w:rPr>
          <w:rStyle w:val="acopre"/>
        </w:rPr>
        <w:tab/>
      </w:r>
      <w:r w:rsidR="00084FF2">
        <w:rPr>
          <w:rStyle w:val="acopre"/>
        </w:rPr>
        <w:tab/>
      </w:r>
      <w:r w:rsidR="00084FF2">
        <w:rPr>
          <w:rStyle w:val="acopre"/>
        </w:rPr>
        <w:tab/>
      </w:r>
      <w:r w:rsidR="00084FF2">
        <w:rPr>
          <w:rStyle w:val="acopre"/>
        </w:rPr>
        <w:tab/>
      </w:r>
      <w:r w:rsidR="00084FF2">
        <w:rPr>
          <w:rStyle w:val="acopre"/>
        </w:rPr>
        <w:tab/>
      </w:r>
      <w:r w:rsidR="00084FF2">
        <w:rPr>
          <w:rStyle w:val="acopre"/>
        </w:rPr>
        <w:tab/>
      </w:r>
      <w:r w:rsidR="00084FF2">
        <w:rPr>
          <w:rStyle w:val="acopre"/>
        </w:rPr>
        <w:tab/>
      </w:r>
      <w:r w:rsidR="00084FF2">
        <w:rPr>
          <w:rStyle w:val="acopre"/>
        </w:rPr>
        <w:tab/>
      </w:r>
      <w:r w:rsidR="00084FF2">
        <w:rPr>
          <w:rStyle w:val="acopre"/>
        </w:rPr>
        <w:tab/>
        <w:t>(</w:t>
      </w:r>
      <w:r w:rsidR="00FA18A2">
        <w:rPr>
          <w:rStyle w:val="acopre"/>
        </w:rPr>
        <w:t>3</w:t>
      </w:r>
      <w:r w:rsidR="00084FF2">
        <w:rPr>
          <w:rStyle w:val="acopre"/>
        </w:rPr>
        <w:t>)</w:t>
      </w:r>
    </w:p>
    <w:p w:rsidR="003F03A9" w:rsidRDefault="003759FD" w:rsidP="00EE2898">
      <w:pPr>
        <w:spacing w:before="120" w:after="120" w:line="360" w:lineRule="auto"/>
        <w:jc w:val="both"/>
        <w:rPr>
          <w:rStyle w:val="acopre"/>
        </w:rPr>
      </w:pPr>
      <w:proofErr w:type="gramStart"/>
      <w:r>
        <w:rPr>
          <w:rStyle w:val="acopre"/>
        </w:rPr>
        <w:t>where</w:t>
      </w:r>
      <w:proofErr w:type="gramEnd"/>
      <w:r w:rsidR="00286B1D">
        <w:rPr>
          <w:rStyle w:val="acopre"/>
        </w:rPr>
        <w:t xml:space="preserve"> </w:t>
      </w:r>
      <w:r w:rsidR="00286B1D" w:rsidRPr="00286B1D">
        <w:rPr>
          <w:rStyle w:val="acopre"/>
          <w:i/>
        </w:rPr>
        <w:t>T</w:t>
      </w:r>
      <w:r w:rsidR="00286B1D" w:rsidRPr="00286B1D">
        <w:rPr>
          <w:rStyle w:val="acopre"/>
          <w:i/>
          <w:vertAlign w:val="subscript"/>
        </w:rPr>
        <w:t>S</w:t>
      </w:r>
      <w:r w:rsidR="00286B1D">
        <w:rPr>
          <w:rStyle w:val="acopre"/>
        </w:rPr>
        <w:t xml:space="preserve"> and </w:t>
      </w:r>
      <w:r w:rsidR="00286B1D" w:rsidRPr="00286B1D">
        <w:rPr>
          <w:rStyle w:val="acopre"/>
          <w:i/>
        </w:rPr>
        <w:t>S</w:t>
      </w:r>
      <w:r w:rsidR="00286B1D" w:rsidRPr="00286B1D">
        <w:rPr>
          <w:rStyle w:val="acopre"/>
          <w:i/>
          <w:vertAlign w:val="subscript"/>
        </w:rPr>
        <w:t>T</w:t>
      </w:r>
      <w:r w:rsidR="00286B1D">
        <w:rPr>
          <w:rStyle w:val="acopre"/>
        </w:rPr>
        <w:t xml:space="preserve"> </w:t>
      </w:r>
      <w:r w:rsidR="007361F3">
        <w:rPr>
          <w:rStyle w:val="acopre"/>
        </w:rPr>
        <w:t xml:space="preserve">are the </w:t>
      </w:r>
      <w:r w:rsidR="00E0022E">
        <w:rPr>
          <w:rStyle w:val="acopre"/>
        </w:rPr>
        <w:t>spatiotemporal</w:t>
      </w:r>
      <w:r w:rsidR="007361F3">
        <w:rPr>
          <w:rStyle w:val="acopre"/>
        </w:rPr>
        <w:t xml:space="preserve"> and </w:t>
      </w:r>
      <w:r w:rsidR="00E0022E">
        <w:rPr>
          <w:rStyle w:val="acopre"/>
        </w:rPr>
        <w:t xml:space="preserve">temporospatial </w:t>
      </w:r>
      <w:r w:rsidR="007361F3">
        <w:rPr>
          <w:rStyle w:val="acopre"/>
        </w:rPr>
        <w:t>model performance indices, respectively,</w:t>
      </w:r>
      <w:r>
        <w:rPr>
          <w:rStyle w:val="acopre"/>
        </w:rPr>
        <w:t xml:space="preserve"> </w:t>
      </w:r>
      <m:oMath>
        <m:sSubSup>
          <m:sSubSupPr>
            <m:ctrlPr>
              <w:rPr>
                <w:rStyle w:val="acopre"/>
                <w:rFonts w:ascii="Cambria Math" w:hAnsi="Cambria Math"/>
                <w:i/>
              </w:rPr>
            </m:ctrlPr>
          </m:sSubSupPr>
          <m:e>
            <m:r>
              <w:rPr>
                <w:rStyle w:val="acopre"/>
                <w:rFonts w:ascii="Cambria Math" w:hAnsi="Cambria Math"/>
              </w:rPr>
              <m:t>T</m:t>
            </m:r>
          </m:e>
          <m:sub>
            <m:r>
              <w:rPr>
                <w:rStyle w:val="acopre"/>
                <w:rFonts w:ascii="Cambria Math" w:hAnsi="Cambria Math"/>
              </w:rPr>
              <m:t>ETa</m:t>
            </m:r>
          </m:sub>
          <m:sup>
            <m:r>
              <w:rPr>
                <w:rStyle w:val="acopre"/>
                <w:rFonts w:ascii="Cambria Math" w:hAnsi="Cambria Math"/>
              </w:rPr>
              <m:t>j</m:t>
            </m:r>
          </m:sup>
        </m:sSubSup>
      </m:oMath>
      <w:r w:rsidR="000D1708">
        <w:rPr>
          <w:rStyle w:val="acopre"/>
        </w:rPr>
        <w:t xml:space="preserve"> and </w:t>
      </w:r>
      <m:oMath>
        <m:sSubSup>
          <m:sSubSupPr>
            <m:ctrlPr>
              <w:rPr>
                <w:rStyle w:val="acopre"/>
                <w:rFonts w:ascii="Cambria Math" w:hAnsi="Cambria Math"/>
                <w:i/>
              </w:rPr>
            </m:ctrlPr>
          </m:sSubSupPr>
          <m:e>
            <m:r>
              <w:rPr>
                <w:rStyle w:val="acopre"/>
                <w:rFonts w:ascii="Cambria Math" w:hAnsi="Cambria Math"/>
              </w:rPr>
              <m:t>S</m:t>
            </m:r>
          </m:e>
          <m:sub>
            <m:r>
              <w:rPr>
                <w:rStyle w:val="acopre"/>
                <w:rFonts w:ascii="Cambria Math" w:hAnsi="Cambria Math"/>
              </w:rPr>
              <m:t>ETa</m:t>
            </m:r>
          </m:sub>
          <m:sup>
            <m:r>
              <w:rPr>
                <w:rStyle w:val="acopre"/>
                <w:rFonts w:ascii="Cambria Math" w:hAnsi="Cambria Math"/>
              </w:rPr>
              <m:t>k</m:t>
            </m:r>
          </m:sup>
        </m:sSubSup>
      </m:oMath>
      <w:r w:rsidR="000D1708">
        <w:rPr>
          <w:rStyle w:val="acopre"/>
        </w:rPr>
        <w:t xml:space="preserve"> are the statistical ind</w:t>
      </w:r>
      <w:r w:rsidR="001A2E40">
        <w:rPr>
          <w:rStyle w:val="acopre"/>
        </w:rPr>
        <w:t>ices</w:t>
      </w:r>
      <w:r w:rsidR="000D1708">
        <w:rPr>
          <w:rStyle w:val="acopre"/>
        </w:rPr>
        <w:t xml:space="preserve"> for temporal and spatial model performance</w:t>
      </w:r>
      <w:r w:rsidR="00F007B0">
        <w:rPr>
          <w:rStyle w:val="acopre"/>
        </w:rPr>
        <w:t>, respectively,</w:t>
      </w:r>
      <w:r w:rsidR="000D1708">
        <w:rPr>
          <w:rStyle w:val="acopre"/>
        </w:rPr>
        <w:t xml:space="preserve"> for actual evapotranspiration (ETa) at the pixel </w:t>
      </w:r>
      <w:r w:rsidR="000D1708" w:rsidRPr="00286B1D">
        <w:rPr>
          <w:rStyle w:val="acopre"/>
          <w:i/>
        </w:rPr>
        <w:t>j</w:t>
      </w:r>
      <w:r w:rsidR="000D1708">
        <w:rPr>
          <w:rStyle w:val="acopre"/>
        </w:rPr>
        <w:t xml:space="preserve"> and time step </w:t>
      </w:r>
      <w:r w:rsidR="000D1708" w:rsidRPr="00286B1D">
        <w:rPr>
          <w:rStyle w:val="acopre"/>
          <w:i/>
        </w:rPr>
        <w:t>k</w:t>
      </w:r>
      <w:r w:rsidR="000D1708">
        <w:rPr>
          <w:rStyle w:val="acopre"/>
        </w:rPr>
        <w:t xml:space="preserve">, </w:t>
      </w:r>
      <w:proofErr w:type="spellStart"/>
      <w:r w:rsidR="00286B1D" w:rsidRPr="00286B1D">
        <w:rPr>
          <w:rStyle w:val="acopre"/>
          <w:i/>
        </w:rPr>
        <w:t>npixels</w:t>
      </w:r>
      <w:proofErr w:type="spellEnd"/>
      <w:r w:rsidR="00286B1D">
        <w:rPr>
          <w:rStyle w:val="acopre"/>
        </w:rPr>
        <w:t xml:space="preserve"> </w:t>
      </w:r>
      <w:r w:rsidR="000D1708">
        <w:rPr>
          <w:rStyle w:val="acopre"/>
        </w:rPr>
        <w:t>is the number of pixels, and k is the number of evaluation time</w:t>
      </w:r>
      <w:r w:rsidR="00F30A9E">
        <w:rPr>
          <w:rStyle w:val="acopre"/>
        </w:rPr>
        <w:t xml:space="preserve"> </w:t>
      </w:r>
      <w:r w:rsidR="000D1708">
        <w:rPr>
          <w:rStyle w:val="acopre"/>
        </w:rPr>
        <w:t xml:space="preserve">steps. </w:t>
      </w:r>
      <w:r w:rsidR="003F03A9">
        <w:rPr>
          <w:rStyle w:val="acopre"/>
        </w:rPr>
        <w:t>For this analysis, we select MOD16</w:t>
      </w:r>
      <w:r w:rsidR="00D1060B">
        <w:rPr>
          <w:rStyle w:val="acopre"/>
        </w:rPr>
        <w:t xml:space="preserve"> </w:t>
      </w:r>
      <w:r w:rsidR="003F03A9">
        <w:rPr>
          <w:rStyle w:val="acopre"/>
        </w:rPr>
        <w:t xml:space="preserve">A2 ETa product with </w:t>
      </w:r>
      <w:r w:rsidR="00C857F8">
        <w:rPr>
          <w:rStyle w:val="acopre"/>
        </w:rPr>
        <w:t xml:space="preserve">spatial index </w:t>
      </w:r>
      <w:r w:rsidR="00C857F8" w:rsidRPr="003D6BF7">
        <w:rPr>
          <w:rStyle w:val="acopre"/>
          <w:i/>
        </w:rPr>
        <w:t>S</w:t>
      </w:r>
      <w:r w:rsidR="00C857F8">
        <w:rPr>
          <w:rStyle w:val="acopre"/>
        </w:rPr>
        <w:t xml:space="preserve"> is -</w:t>
      </w:r>
      <w:r w:rsidR="00C857F8" w:rsidRPr="003D6BF7">
        <w:rPr>
          <w:rStyle w:val="acopre"/>
          <w:i/>
        </w:rPr>
        <w:t>SPAEF</w:t>
      </w:r>
      <w:r w:rsidR="00C857F8">
        <w:rPr>
          <w:rStyle w:val="acopre"/>
        </w:rPr>
        <w:t xml:space="preserve"> (Equation 5) and </w:t>
      </w:r>
      <w:r w:rsidR="003F03A9">
        <w:rPr>
          <w:rStyle w:val="acopre"/>
        </w:rPr>
        <w:t>the temporal index</w:t>
      </w:r>
      <w:r w:rsidR="003D6BF7">
        <w:rPr>
          <w:rStyle w:val="acopre"/>
        </w:rPr>
        <w:t xml:space="preserve"> </w:t>
      </w:r>
      <w:r w:rsidR="003D6BF7" w:rsidRPr="003D6BF7">
        <w:rPr>
          <w:rStyle w:val="acopre"/>
          <w:i/>
        </w:rPr>
        <w:t>T</w:t>
      </w:r>
      <w:r w:rsidR="003F03A9">
        <w:rPr>
          <w:rStyle w:val="acopre"/>
        </w:rPr>
        <w:t xml:space="preserve"> is </w:t>
      </w:r>
      <w:r w:rsidR="00F27D17">
        <w:rPr>
          <w:rStyle w:val="acopre"/>
        </w:rPr>
        <w:t>–</w:t>
      </w:r>
      <w:r w:rsidR="003F03A9" w:rsidRPr="003D6BF7">
        <w:rPr>
          <w:rStyle w:val="acopre"/>
          <w:i/>
        </w:rPr>
        <w:t>NSE</w:t>
      </w:r>
      <w:r w:rsidR="00F27D17">
        <w:rPr>
          <w:rStyle w:val="acopre"/>
          <w:i/>
        </w:rPr>
        <w:t xml:space="preserve"> </w:t>
      </w:r>
      <w:r w:rsidR="00F27D17" w:rsidRPr="00F27D17">
        <w:rPr>
          <w:rStyle w:val="acopre"/>
        </w:rPr>
        <w:t>(Equation 6)</w:t>
      </w:r>
      <w:r w:rsidR="003F03A9" w:rsidRPr="00F27D17">
        <w:rPr>
          <w:rStyle w:val="acopre"/>
        </w:rPr>
        <w:t xml:space="preserve"> </w:t>
      </w:r>
      <w:r w:rsidR="003F03A9">
        <w:rPr>
          <w:rStyle w:val="acopre"/>
        </w:rPr>
        <w:t>as an example.</w:t>
      </w:r>
    </w:p>
    <w:p w:rsidR="004063A4" w:rsidRDefault="001F1CE7" w:rsidP="00221937">
      <w:pPr>
        <w:spacing w:before="120" w:after="120" w:line="360" w:lineRule="auto"/>
        <w:jc w:val="both"/>
        <w:rPr>
          <w:rStyle w:val="acopre"/>
        </w:rPr>
      </w:pPr>
      <w:r>
        <w:rPr>
          <w:rStyle w:val="acopre"/>
        </w:rPr>
        <w:tab/>
        <w:t xml:space="preserve">To evaluate the </w:t>
      </w:r>
      <w:r w:rsidR="007D1F4D">
        <w:rPr>
          <w:rStyle w:val="acopre"/>
        </w:rPr>
        <w:t>relation</w:t>
      </w:r>
      <w:r>
        <w:rPr>
          <w:rStyle w:val="acopre"/>
        </w:rPr>
        <w:t xml:space="preserve"> between </w:t>
      </w:r>
      <w:r w:rsidR="00E0022E">
        <w:rPr>
          <w:rStyle w:val="acopre"/>
        </w:rPr>
        <w:t>spatiotemporal</w:t>
      </w:r>
      <w:r w:rsidR="00831FB0">
        <w:rPr>
          <w:rStyle w:val="acopre"/>
        </w:rPr>
        <w:t xml:space="preserve"> </w:t>
      </w:r>
      <w:r>
        <w:rPr>
          <w:rStyle w:val="acopre"/>
        </w:rPr>
        <w:t xml:space="preserve">and </w:t>
      </w:r>
      <w:r w:rsidR="00E0022E">
        <w:rPr>
          <w:rStyle w:val="acopre"/>
        </w:rPr>
        <w:t xml:space="preserve">temporospatial </w:t>
      </w:r>
      <w:r>
        <w:rPr>
          <w:rStyle w:val="acopre"/>
        </w:rPr>
        <w:t>model performance</w:t>
      </w:r>
      <w:r w:rsidR="00351DCF">
        <w:rPr>
          <w:rStyle w:val="acopre"/>
        </w:rPr>
        <w:t xml:space="preserve">, we used different </w:t>
      </w:r>
      <w:r w:rsidR="00E0022E">
        <w:rPr>
          <w:rStyle w:val="acopre"/>
        </w:rPr>
        <w:t>spatiotemporal</w:t>
      </w:r>
      <w:r w:rsidR="00351DCF">
        <w:rPr>
          <w:rStyle w:val="acopre"/>
        </w:rPr>
        <w:t xml:space="preserve"> </w:t>
      </w:r>
      <w:r w:rsidR="00FB72C7">
        <w:rPr>
          <w:rStyle w:val="acopre"/>
        </w:rPr>
        <w:t>(</w:t>
      </w:r>
      <w:r w:rsidR="00FB72C7" w:rsidRPr="00286B1D">
        <w:rPr>
          <w:rStyle w:val="acopre"/>
          <w:i/>
        </w:rPr>
        <w:t>S</w:t>
      </w:r>
      <w:r w:rsidR="00FB72C7" w:rsidRPr="00286B1D">
        <w:rPr>
          <w:rStyle w:val="acopre"/>
          <w:i/>
          <w:vertAlign w:val="subscript"/>
        </w:rPr>
        <w:t>T</w:t>
      </w:r>
      <w:r w:rsidR="00F30A9E">
        <w:rPr>
          <w:rStyle w:val="acopre"/>
        </w:rPr>
        <w:t xml:space="preserve">) </w:t>
      </w:r>
      <w:r w:rsidR="00FB72C7">
        <w:rPr>
          <w:rStyle w:val="acopre"/>
        </w:rPr>
        <w:t xml:space="preserve">and </w:t>
      </w:r>
      <w:r w:rsidR="00E0022E">
        <w:rPr>
          <w:rStyle w:val="acopre"/>
        </w:rPr>
        <w:t xml:space="preserve">temporospatial </w:t>
      </w:r>
      <w:r w:rsidR="00FB72C7">
        <w:rPr>
          <w:rStyle w:val="acopre"/>
        </w:rPr>
        <w:t>(</w:t>
      </w:r>
      <w:r w:rsidR="00FB72C7" w:rsidRPr="00286B1D">
        <w:rPr>
          <w:rStyle w:val="acopre"/>
          <w:i/>
        </w:rPr>
        <w:t>T</w:t>
      </w:r>
      <w:r w:rsidR="00FB72C7" w:rsidRPr="00286B1D">
        <w:rPr>
          <w:rStyle w:val="acopre"/>
          <w:i/>
          <w:vertAlign w:val="subscript"/>
        </w:rPr>
        <w:t>S</w:t>
      </w:r>
      <w:r w:rsidR="00FB72C7">
        <w:rPr>
          <w:rStyle w:val="acopre"/>
        </w:rPr>
        <w:t xml:space="preserve">) </w:t>
      </w:r>
      <w:r w:rsidR="00AF750C">
        <w:rPr>
          <w:rStyle w:val="acopre"/>
        </w:rPr>
        <w:t>performance indices</w:t>
      </w:r>
      <w:r w:rsidR="00E61D97">
        <w:rPr>
          <w:rStyle w:val="acopre"/>
        </w:rPr>
        <w:t xml:space="preserve"> (Table 2)</w:t>
      </w:r>
      <w:r w:rsidR="00DF7B5C">
        <w:rPr>
          <w:rStyle w:val="acopre"/>
        </w:rPr>
        <w:t xml:space="preserve">. </w:t>
      </w:r>
      <w:r w:rsidR="00ED6825">
        <w:rPr>
          <w:rStyle w:val="acopre"/>
        </w:rPr>
        <w:t xml:space="preserve">For this evaluation, we used different ETa products </w:t>
      </w:r>
      <w:r w:rsidR="00BE2B56">
        <w:rPr>
          <w:rStyle w:val="acopre"/>
        </w:rPr>
        <w:t>(MOD16</w:t>
      </w:r>
      <w:r w:rsidR="006127B4">
        <w:rPr>
          <w:rStyle w:val="acopre"/>
        </w:rPr>
        <w:t xml:space="preserve"> </w:t>
      </w:r>
      <w:r w:rsidR="00BE2B56">
        <w:rPr>
          <w:rStyle w:val="acopre"/>
        </w:rPr>
        <w:t xml:space="preserve">A2, </w:t>
      </w:r>
      <w:proofErr w:type="spellStart"/>
      <w:r w:rsidR="00BE2B56">
        <w:rPr>
          <w:rStyle w:val="acopre"/>
        </w:rPr>
        <w:t>SEEBop</w:t>
      </w:r>
      <w:proofErr w:type="spellEnd"/>
      <w:r w:rsidR="00BE2B56">
        <w:rPr>
          <w:rStyle w:val="acopre"/>
        </w:rPr>
        <w:t xml:space="preserve">, and </w:t>
      </w:r>
      <w:r w:rsidR="00BE2B56">
        <w:t>TerraClimate</w:t>
      </w:r>
      <w:r w:rsidR="00BE2B56">
        <w:rPr>
          <w:rStyle w:val="acopre"/>
        </w:rPr>
        <w:t xml:space="preserve">) </w:t>
      </w:r>
      <w:r w:rsidR="00ED6825">
        <w:rPr>
          <w:rStyle w:val="acopre"/>
        </w:rPr>
        <w:t xml:space="preserve">to draw a more reliable conclusion. </w:t>
      </w:r>
      <w:r w:rsidR="004063A4">
        <w:t xml:space="preserve">The relation between </w:t>
      </w:r>
      <w:r w:rsidR="00E0022E">
        <w:t>spatiotemporal</w:t>
      </w:r>
      <w:r w:rsidR="004063A4">
        <w:t xml:space="preserve"> and </w:t>
      </w:r>
      <w:r w:rsidR="00E0022E">
        <w:t xml:space="preserve">temporospatial </w:t>
      </w:r>
      <w:r w:rsidR="004063A4">
        <w:t>model performance was ana</w:t>
      </w:r>
      <w:r w:rsidR="0058457A">
        <w:t>lyz</w:t>
      </w:r>
      <w:r w:rsidR="004063A4">
        <w:t xml:space="preserve">ed base on 2000 model runs. </w:t>
      </w:r>
    </w:p>
    <w:p w:rsidR="003C3D36" w:rsidRDefault="003C3D36" w:rsidP="00EE2898">
      <w:pPr>
        <w:spacing w:before="120" w:after="120" w:line="360" w:lineRule="auto"/>
        <w:jc w:val="both"/>
        <w:rPr>
          <w:rStyle w:val="acopre"/>
        </w:rPr>
      </w:pPr>
      <w:r>
        <w:rPr>
          <w:rStyle w:val="acopre"/>
        </w:rPr>
        <w:t>Table 2: List of spatial and temporal model performance statistics used in this study.</w:t>
      </w:r>
      <w:r w:rsidR="002E4C06">
        <w:rPr>
          <w:rStyle w:val="acopre"/>
        </w:rPr>
        <w:t xml:space="preserve"> Numbers in bold indicate the ideal values. </w:t>
      </w:r>
    </w:p>
    <w:tbl>
      <w:tblPr>
        <w:tblStyle w:val="TableGrid"/>
        <w:tblW w:w="84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5"/>
        <w:gridCol w:w="2520"/>
        <w:gridCol w:w="1710"/>
        <w:gridCol w:w="2520"/>
      </w:tblGrid>
      <w:tr w:rsidR="00C65C54" w:rsidRPr="00363220" w:rsidTr="00FC0264">
        <w:tc>
          <w:tcPr>
            <w:tcW w:w="4225" w:type="dxa"/>
            <w:gridSpan w:val="2"/>
            <w:tcBorders>
              <w:top w:val="single" w:sz="4" w:space="0" w:color="auto"/>
            </w:tcBorders>
          </w:tcPr>
          <w:p w:rsidR="00C65C54" w:rsidRPr="00363220" w:rsidRDefault="00E0022E" w:rsidP="007E1734">
            <w:pPr>
              <w:spacing w:before="40" w:after="40" w:line="240" w:lineRule="auto"/>
              <w:jc w:val="both"/>
              <w:rPr>
                <w:rStyle w:val="acopre"/>
                <w:szCs w:val="24"/>
              </w:rPr>
            </w:pPr>
            <w:r>
              <w:rPr>
                <w:rStyle w:val="acopre"/>
              </w:rPr>
              <w:t>Spatiotemporal</w:t>
            </w:r>
            <w:r w:rsidR="00854229" w:rsidRPr="00363220">
              <w:rPr>
                <w:rStyle w:val="acopre"/>
                <w:szCs w:val="24"/>
              </w:rPr>
              <w:t xml:space="preserve"> </w:t>
            </w:r>
            <w:r w:rsidR="00FA18A2">
              <w:rPr>
                <w:rStyle w:val="acopre"/>
                <w:szCs w:val="24"/>
              </w:rPr>
              <w:t>statistic S</w:t>
            </w:r>
            <w:r w:rsidR="00FA18A2" w:rsidRPr="00FA18A2">
              <w:rPr>
                <w:rStyle w:val="acopre"/>
                <w:szCs w:val="24"/>
                <w:vertAlign w:val="subscript"/>
              </w:rPr>
              <w:t>T</w:t>
            </w:r>
            <w:r w:rsidR="007E1734">
              <w:rPr>
                <w:rStyle w:val="acopre"/>
                <w:szCs w:val="24"/>
              </w:rPr>
              <w:t xml:space="preserve"> (Equation 2)</w:t>
            </w:r>
          </w:p>
        </w:tc>
        <w:tc>
          <w:tcPr>
            <w:tcW w:w="4230" w:type="dxa"/>
            <w:gridSpan w:val="2"/>
            <w:tcBorders>
              <w:top w:val="single" w:sz="4" w:space="0" w:color="auto"/>
            </w:tcBorders>
          </w:tcPr>
          <w:p w:rsidR="00C65C54" w:rsidRPr="00363220" w:rsidRDefault="00E0022E" w:rsidP="007E1734">
            <w:pPr>
              <w:spacing w:before="40" w:after="40" w:line="240" w:lineRule="auto"/>
              <w:jc w:val="both"/>
              <w:rPr>
                <w:rStyle w:val="acopre"/>
                <w:szCs w:val="24"/>
              </w:rPr>
            </w:pPr>
            <w:r>
              <w:rPr>
                <w:rStyle w:val="acopre"/>
              </w:rPr>
              <w:t xml:space="preserve">Temporospatial </w:t>
            </w:r>
            <w:r w:rsidR="00FA18A2">
              <w:rPr>
                <w:rStyle w:val="acopre"/>
                <w:szCs w:val="24"/>
              </w:rPr>
              <w:t>statistic T</w:t>
            </w:r>
            <w:r w:rsidR="00FA18A2" w:rsidRPr="00FA18A2">
              <w:rPr>
                <w:rStyle w:val="acopre"/>
                <w:szCs w:val="24"/>
                <w:vertAlign w:val="subscript"/>
              </w:rPr>
              <w:t>S</w:t>
            </w:r>
            <w:r w:rsidR="00FA18A2">
              <w:rPr>
                <w:rStyle w:val="acopre"/>
                <w:szCs w:val="24"/>
              </w:rPr>
              <w:t xml:space="preserve"> (Equation 3) </w:t>
            </w:r>
          </w:p>
        </w:tc>
      </w:tr>
      <w:tr w:rsidR="007E1734" w:rsidRPr="00363220" w:rsidTr="00FC0264">
        <w:tc>
          <w:tcPr>
            <w:tcW w:w="1705" w:type="dxa"/>
            <w:tcBorders>
              <w:bottom w:val="single" w:sz="4" w:space="0" w:color="auto"/>
            </w:tcBorders>
          </w:tcPr>
          <w:p w:rsidR="007E1734" w:rsidRDefault="002B0A58" w:rsidP="007E1734">
            <w:pPr>
              <w:spacing w:before="40" w:after="40" w:line="240" w:lineRule="auto"/>
              <w:jc w:val="center"/>
              <w:rPr>
                <w:rStyle w:val="acopre"/>
              </w:rPr>
            </w:pPr>
            <w:r>
              <w:rPr>
                <w:rStyle w:val="acopre"/>
              </w:rPr>
              <w:t>Notation</w:t>
            </w:r>
          </w:p>
        </w:tc>
        <w:tc>
          <w:tcPr>
            <w:tcW w:w="2520" w:type="dxa"/>
            <w:tcBorders>
              <w:bottom w:val="single" w:sz="4" w:space="0" w:color="auto"/>
            </w:tcBorders>
          </w:tcPr>
          <w:p w:rsidR="007E1734" w:rsidRDefault="007E1734" w:rsidP="007E1734">
            <w:pPr>
              <w:spacing w:before="40" w:after="40" w:line="240" w:lineRule="auto"/>
              <w:jc w:val="center"/>
              <w:rPr>
                <w:rStyle w:val="acopre"/>
              </w:rPr>
            </w:pPr>
            <w:r>
              <w:rPr>
                <w:rStyle w:val="acopre"/>
              </w:rPr>
              <w:t>Range and ideal value</w:t>
            </w:r>
          </w:p>
        </w:tc>
        <w:tc>
          <w:tcPr>
            <w:tcW w:w="1710" w:type="dxa"/>
            <w:tcBorders>
              <w:bottom w:val="single" w:sz="4" w:space="0" w:color="auto"/>
            </w:tcBorders>
          </w:tcPr>
          <w:p w:rsidR="007E1734" w:rsidRDefault="002B0A58" w:rsidP="007E1734">
            <w:pPr>
              <w:spacing w:before="40" w:after="40" w:line="240" w:lineRule="auto"/>
              <w:jc w:val="center"/>
              <w:rPr>
                <w:rStyle w:val="acopre"/>
              </w:rPr>
            </w:pPr>
            <w:r>
              <w:rPr>
                <w:rStyle w:val="acopre"/>
              </w:rPr>
              <w:t>Notation</w:t>
            </w:r>
          </w:p>
        </w:tc>
        <w:tc>
          <w:tcPr>
            <w:tcW w:w="2520" w:type="dxa"/>
            <w:tcBorders>
              <w:bottom w:val="single" w:sz="4" w:space="0" w:color="auto"/>
            </w:tcBorders>
          </w:tcPr>
          <w:p w:rsidR="007E1734" w:rsidRDefault="007E1734" w:rsidP="007E1734">
            <w:pPr>
              <w:spacing w:before="40" w:after="40" w:line="240" w:lineRule="auto"/>
              <w:jc w:val="center"/>
              <w:rPr>
                <w:rStyle w:val="acopre"/>
              </w:rPr>
            </w:pPr>
            <w:r>
              <w:rPr>
                <w:rStyle w:val="acopre"/>
              </w:rPr>
              <w:t>Range and ideal value</w:t>
            </w:r>
          </w:p>
        </w:tc>
      </w:tr>
      <w:tr w:rsidR="007E1734" w:rsidRPr="00363220" w:rsidTr="00FC0264">
        <w:tc>
          <w:tcPr>
            <w:tcW w:w="1705" w:type="dxa"/>
            <w:tcBorders>
              <w:top w:val="single" w:sz="4" w:space="0" w:color="auto"/>
            </w:tcBorders>
          </w:tcPr>
          <w:p w:rsidR="007E1734" w:rsidRPr="00F44041" w:rsidRDefault="002B0A58" w:rsidP="002861BF">
            <w:pPr>
              <w:spacing w:before="40" w:after="40" w:line="240" w:lineRule="auto"/>
              <w:jc w:val="center"/>
              <w:rPr>
                <w:rStyle w:val="acopre"/>
                <w:i/>
                <w:szCs w:val="24"/>
              </w:rPr>
            </w:pPr>
            <w:r w:rsidRPr="00F44041">
              <w:rPr>
                <w:rStyle w:val="acopre"/>
                <w:i/>
                <w:szCs w:val="24"/>
              </w:rPr>
              <w:t>S</w:t>
            </w:r>
            <w:r w:rsidRPr="00F44041">
              <w:rPr>
                <w:rStyle w:val="acopre"/>
                <w:i/>
                <w:szCs w:val="24"/>
                <w:vertAlign w:val="subscript"/>
              </w:rPr>
              <w:t>-</w:t>
            </w:r>
            <w:r w:rsidR="002861BF">
              <w:rPr>
                <w:rStyle w:val="acopre"/>
                <w:i/>
                <w:szCs w:val="24"/>
                <w:vertAlign w:val="subscript"/>
              </w:rPr>
              <w:t>NSE</w:t>
            </w:r>
          </w:p>
        </w:tc>
        <w:tc>
          <w:tcPr>
            <w:tcW w:w="2520" w:type="dxa"/>
            <w:tcBorders>
              <w:top w:val="single" w:sz="4" w:space="0" w:color="auto"/>
            </w:tcBorders>
          </w:tcPr>
          <w:p w:rsidR="007E1734" w:rsidRPr="00363220" w:rsidRDefault="007E1734" w:rsidP="007E1734">
            <w:pPr>
              <w:spacing w:before="40" w:after="40" w:line="240" w:lineRule="auto"/>
              <w:jc w:val="center"/>
              <w:rPr>
                <w:rStyle w:val="acopre"/>
                <w:szCs w:val="24"/>
              </w:rPr>
            </w:pPr>
            <w:r>
              <w:rPr>
                <w:rStyle w:val="acopre"/>
                <w:szCs w:val="24"/>
              </w:rPr>
              <w:t>[</w:t>
            </w:r>
            <w:r w:rsidR="007A7A61">
              <w:rPr>
                <w:rStyle w:val="acopre"/>
                <w:szCs w:val="24"/>
              </w:rPr>
              <w:t>-</w:t>
            </w:r>
            <w:r>
              <w:rPr>
                <w:rStyle w:val="acopre"/>
                <w:b/>
                <w:szCs w:val="24"/>
              </w:rPr>
              <w:t>1</w:t>
            </w:r>
            <w:r>
              <w:rPr>
                <w:rStyle w:val="acopre"/>
                <w:szCs w:val="24"/>
              </w:rPr>
              <w:t>, ∞)</w:t>
            </w:r>
          </w:p>
        </w:tc>
        <w:tc>
          <w:tcPr>
            <w:tcW w:w="1710" w:type="dxa"/>
            <w:tcBorders>
              <w:top w:val="single" w:sz="4" w:space="0" w:color="auto"/>
            </w:tcBorders>
          </w:tcPr>
          <w:p w:rsidR="007E1734" w:rsidRPr="00F44041" w:rsidRDefault="002B0A58" w:rsidP="002861BF">
            <w:pPr>
              <w:spacing w:before="40" w:after="40" w:line="240" w:lineRule="auto"/>
              <w:jc w:val="center"/>
              <w:rPr>
                <w:rStyle w:val="acopre"/>
                <w:i/>
                <w:szCs w:val="24"/>
              </w:rPr>
            </w:pPr>
            <w:r w:rsidRPr="00F44041">
              <w:rPr>
                <w:rStyle w:val="acopre"/>
                <w:i/>
                <w:szCs w:val="24"/>
              </w:rPr>
              <w:t>T</w:t>
            </w:r>
            <w:r w:rsidRPr="00F44041">
              <w:rPr>
                <w:rStyle w:val="acopre"/>
                <w:i/>
                <w:szCs w:val="24"/>
                <w:vertAlign w:val="subscript"/>
              </w:rPr>
              <w:t>-</w:t>
            </w:r>
            <w:r w:rsidR="002861BF">
              <w:rPr>
                <w:rStyle w:val="acopre"/>
                <w:i/>
                <w:szCs w:val="24"/>
                <w:vertAlign w:val="subscript"/>
              </w:rPr>
              <w:t>SPAEF</w:t>
            </w:r>
          </w:p>
        </w:tc>
        <w:tc>
          <w:tcPr>
            <w:tcW w:w="2520" w:type="dxa"/>
            <w:tcBorders>
              <w:top w:val="single" w:sz="4" w:space="0" w:color="auto"/>
            </w:tcBorders>
          </w:tcPr>
          <w:p w:rsidR="007E1734" w:rsidRPr="00363220" w:rsidRDefault="007E1734" w:rsidP="007E1734">
            <w:pPr>
              <w:spacing w:before="40" w:after="40" w:line="240" w:lineRule="auto"/>
              <w:jc w:val="center"/>
              <w:rPr>
                <w:rStyle w:val="acopre"/>
                <w:szCs w:val="24"/>
              </w:rPr>
            </w:pPr>
            <w:r>
              <w:rPr>
                <w:rStyle w:val="acopre"/>
                <w:szCs w:val="24"/>
              </w:rPr>
              <w:t>[</w:t>
            </w:r>
            <w:r w:rsidR="007A7A61">
              <w:rPr>
                <w:rStyle w:val="acopre"/>
                <w:szCs w:val="24"/>
              </w:rPr>
              <w:t>-</w:t>
            </w:r>
            <w:r>
              <w:rPr>
                <w:rStyle w:val="acopre"/>
                <w:b/>
                <w:szCs w:val="24"/>
              </w:rPr>
              <w:t>1</w:t>
            </w:r>
            <w:r>
              <w:rPr>
                <w:rStyle w:val="acopre"/>
                <w:szCs w:val="24"/>
              </w:rPr>
              <w:t>, ∞)</w:t>
            </w:r>
          </w:p>
        </w:tc>
      </w:tr>
      <w:tr w:rsidR="007E1734" w:rsidRPr="00363220" w:rsidTr="00FC0264">
        <w:tc>
          <w:tcPr>
            <w:tcW w:w="1705" w:type="dxa"/>
          </w:tcPr>
          <w:p w:rsidR="007E1734" w:rsidRPr="00F44041" w:rsidRDefault="002B0A58" w:rsidP="007E1734">
            <w:pPr>
              <w:spacing w:before="40" w:after="40" w:line="240" w:lineRule="auto"/>
              <w:jc w:val="center"/>
              <w:rPr>
                <w:rStyle w:val="acopre"/>
                <w:i/>
                <w:szCs w:val="24"/>
              </w:rPr>
            </w:pPr>
            <w:r w:rsidRPr="00F44041">
              <w:rPr>
                <w:rStyle w:val="acopre"/>
                <w:i/>
                <w:szCs w:val="24"/>
              </w:rPr>
              <w:t>S</w:t>
            </w:r>
            <w:r w:rsidRPr="00F44041">
              <w:rPr>
                <w:rStyle w:val="acopre"/>
                <w:i/>
                <w:szCs w:val="24"/>
                <w:vertAlign w:val="subscript"/>
              </w:rPr>
              <w:t>-</w:t>
            </w:r>
            <w:r w:rsidR="007E1734" w:rsidRPr="00F44041">
              <w:rPr>
                <w:rStyle w:val="acopre"/>
                <w:i/>
                <w:szCs w:val="24"/>
                <w:vertAlign w:val="subscript"/>
              </w:rPr>
              <w:t>NSE</w:t>
            </w:r>
          </w:p>
        </w:tc>
        <w:tc>
          <w:tcPr>
            <w:tcW w:w="2520" w:type="dxa"/>
          </w:tcPr>
          <w:p w:rsidR="007E1734" w:rsidRPr="00363220" w:rsidRDefault="007E1734" w:rsidP="007E1734">
            <w:pPr>
              <w:spacing w:before="40" w:after="40" w:line="240" w:lineRule="auto"/>
              <w:jc w:val="center"/>
              <w:rPr>
                <w:rStyle w:val="acopre"/>
                <w:szCs w:val="24"/>
              </w:rPr>
            </w:pPr>
            <w:r>
              <w:rPr>
                <w:rStyle w:val="acopre"/>
                <w:szCs w:val="24"/>
              </w:rPr>
              <w:t>[</w:t>
            </w:r>
            <w:r w:rsidR="007A7A61">
              <w:rPr>
                <w:rStyle w:val="acopre"/>
                <w:szCs w:val="24"/>
              </w:rPr>
              <w:t>-</w:t>
            </w:r>
            <w:r>
              <w:rPr>
                <w:rStyle w:val="acopre"/>
                <w:b/>
                <w:szCs w:val="24"/>
              </w:rPr>
              <w:t>1</w:t>
            </w:r>
            <w:r>
              <w:rPr>
                <w:rStyle w:val="acopre"/>
                <w:szCs w:val="24"/>
              </w:rPr>
              <w:t>, ∞)</w:t>
            </w:r>
          </w:p>
        </w:tc>
        <w:tc>
          <w:tcPr>
            <w:tcW w:w="1710" w:type="dxa"/>
          </w:tcPr>
          <w:p w:rsidR="007E1734" w:rsidRPr="00F44041" w:rsidRDefault="002B0A58" w:rsidP="007E1734">
            <w:pPr>
              <w:spacing w:before="40" w:after="40" w:line="240" w:lineRule="auto"/>
              <w:jc w:val="center"/>
              <w:rPr>
                <w:rStyle w:val="acopre"/>
                <w:i/>
                <w:szCs w:val="24"/>
              </w:rPr>
            </w:pPr>
            <w:r w:rsidRPr="00F44041">
              <w:rPr>
                <w:rStyle w:val="acopre"/>
                <w:i/>
                <w:szCs w:val="24"/>
              </w:rPr>
              <w:t>T</w:t>
            </w:r>
            <w:r w:rsidRPr="00F44041">
              <w:rPr>
                <w:rStyle w:val="acopre"/>
                <w:i/>
                <w:szCs w:val="24"/>
                <w:vertAlign w:val="subscript"/>
              </w:rPr>
              <w:t>-</w:t>
            </w:r>
            <w:r w:rsidR="007E1734" w:rsidRPr="00F44041">
              <w:rPr>
                <w:rStyle w:val="acopre"/>
                <w:i/>
                <w:szCs w:val="24"/>
                <w:vertAlign w:val="subscript"/>
              </w:rPr>
              <w:t>NSE</w:t>
            </w:r>
          </w:p>
        </w:tc>
        <w:tc>
          <w:tcPr>
            <w:tcW w:w="2520" w:type="dxa"/>
          </w:tcPr>
          <w:p w:rsidR="007E1734" w:rsidRPr="00363220" w:rsidRDefault="007E1734" w:rsidP="007E1734">
            <w:pPr>
              <w:spacing w:before="40" w:after="40" w:line="240" w:lineRule="auto"/>
              <w:jc w:val="center"/>
              <w:rPr>
                <w:rStyle w:val="acopre"/>
                <w:szCs w:val="24"/>
              </w:rPr>
            </w:pPr>
            <w:r>
              <w:rPr>
                <w:rStyle w:val="acopre"/>
                <w:szCs w:val="24"/>
              </w:rPr>
              <w:t>[</w:t>
            </w:r>
            <w:r w:rsidR="007A7A61">
              <w:rPr>
                <w:rStyle w:val="acopre"/>
                <w:szCs w:val="24"/>
              </w:rPr>
              <w:t>-</w:t>
            </w:r>
            <w:r>
              <w:rPr>
                <w:rStyle w:val="acopre"/>
                <w:b/>
                <w:szCs w:val="24"/>
              </w:rPr>
              <w:t>1</w:t>
            </w:r>
            <w:r>
              <w:rPr>
                <w:rStyle w:val="acopre"/>
                <w:szCs w:val="24"/>
              </w:rPr>
              <w:t>, ∞)</w:t>
            </w:r>
          </w:p>
        </w:tc>
      </w:tr>
      <w:tr w:rsidR="007E1734" w:rsidRPr="00363220" w:rsidTr="00FC0264">
        <w:tc>
          <w:tcPr>
            <w:tcW w:w="1705" w:type="dxa"/>
          </w:tcPr>
          <w:p w:rsidR="007E1734" w:rsidRPr="00F44041" w:rsidRDefault="002B0A58" w:rsidP="007E1734">
            <w:pPr>
              <w:spacing w:before="40" w:after="40" w:line="240" w:lineRule="auto"/>
              <w:jc w:val="center"/>
              <w:rPr>
                <w:rStyle w:val="acopre"/>
                <w:i/>
                <w:szCs w:val="24"/>
              </w:rPr>
            </w:pPr>
            <w:r w:rsidRPr="00F44041">
              <w:rPr>
                <w:rStyle w:val="acopre"/>
                <w:i/>
                <w:szCs w:val="24"/>
              </w:rPr>
              <w:t>S</w:t>
            </w:r>
            <w:r w:rsidR="007E1734" w:rsidRPr="00F44041">
              <w:rPr>
                <w:rStyle w:val="acopre"/>
                <w:i/>
                <w:szCs w:val="24"/>
                <w:vertAlign w:val="subscript"/>
              </w:rPr>
              <w:t>RMSE</w:t>
            </w:r>
          </w:p>
        </w:tc>
        <w:tc>
          <w:tcPr>
            <w:tcW w:w="2520" w:type="dxa"/>
          </w:tcPr>
          <w:p w:rsidR="007E1734" w:rsidRPr="00363220" w:rsidRDefault="007E1734" w:rsidP="007E1734">
            <w:pPr>
              <w:spacing w:before="40" w:after="40" w:line="240" w:lineRule="auto"/>
              <w:jc w:val="center"/>
              <w:rPr>
                <w:rStyle w:val="acopre"/>
                <w:szCs w:val="24"/>
              </w:rPr>
            </w:pPr>
            <w:r>
              <w:rPr>
                <w:rStyle w:val="acopre"/>
                <w:szCs w:val="24"/>
              </w:rPr>
              <w:t>[</w:t>
            </w:r>
            <w:r>
              <w:rPr>
                <w:rStyle w:val="acopre"/>
                <w:b/>
                <w:szCs w:val="24"/>
              </w:rPr>
              <w:t>0</w:t>
            </w:r>
            <w:r>
              <w:rPr>
                <w:rStyle w:val="acopre"/>
                <w:szCs w:val="24"/>
              </w:rPr>
              <w:t>, ∞)</w:t>
            </w:r>
          </w:p>
        </w:tc>
        <w:tc>
          <w:tcPr>
            <w:tcW w:w="1710" w:type="dxa"/>
          </w:tcPr>
          <w:p w:rsidR="007E1734" w:rsidRPr="00F44041" w:rsidRDefault="002B0A58" w:rsidP="007E1734">
            <w:pPr>
              <w:spacing w:before="40" w:after="40" w:line="240" w:lineRule="auto"/>
              <w:jc w:val="center"/>
              <w:rPr>
                <w:rStyle w:val="acopre"/>
                <w:i/>
                <w:szCs w:val="24"/>
              </w:rPr>
            </w:pPr>
            <w:r w:rsidRPr="00F44041">
              <w:rPr>
                <w:rStyle w:val="acopre"/>
                <w:i/>
                <w:szCs w:val="24"/>
              </w:rPr>
              <w:t>T</w:t>
            </w:r>
            <w:r w:rsidR="007E1734" w:rsidRPr="00F44041">
              <w:rPr>
                <w:rStyle w:val="acopre"/>
                <w:i/>
                <w:szCs w:val="24"/>
                <w:vertAlign w:val="subscript"/>
              </w:rPr>
              <w:t>RMSE</w:t>
            </w:r>
          </w:p>
        </w:tc>
        <w:tc>
          <w:tcPr>
            <w:tcW w:w="2520" w:type="dxa"/>
          </w:tcPr>
          <w:p w:rsidR="007E1734" w:rsidRPr="00363220" w:rsidRDefault="007E1734" w:rsidP="007E1734">
            <w:pPr>
              <w:spacing w:before="40" w:after="40" w:line="240" w:lineRule="auto"/>
              <w:jc w:val="center"/>
              <w:rPr>
                <w:rStyle w:val="acopre"/>
                <w:szCs w:val="24"/>
              </w:rPr>
            </w:pPr>
            <w:r>
              <w:rPr>
                <w:rStyle w:val="acopre"/>
                <w:szCs w:val="24"/>
              </w:rPr>
              <w:t>[</w:t>
            </w:r>
            <w:r>
              <w:rPr>
                <w:rStyle w:val="acopre"/>
                <w:b/>
                <w:szCs w:val="24"/>
              </w:rPr>
              <w:t>0</w:t>
            </w:r>
            <w:r>
              <w:rPr>
                <w:rStyle w:val="acopre"/>
                <w:szCs w:val="24"/>
              </w:rPr>
              <w:t>, ∞)</w:t>
            </w:r>
          </w:p>
        </w:tc>
      </w:tr>
      <w:tr w:rsidR="007E1734" w:rsidRPr="00363220" w:rsidTr="00FC0264">
        <w:tc>
          <w:tcPr>
            <w:tcW w:w="1705" w:type="dxa"/>
          </w:tcPr>
          <w:p w:rsidR="007E1734" w:rsidRPr="00F44041" w:rsidRDefault="002B0A58" w:rsidP="007E1734">
            <w:pPr>
              <w:spacing w:before="40" w:after="40" w:line="240" w:lineRule="auto"/>
              <w:jc w:val="center"/>
              <w:rPr>
                <w:rStyle w:val="acopre"/>
                <w:i/>
                <w:szCs w:val="24"/>
              </w:rPr>
            </w:pPr>
            <w:r w:rsidRPr="00F44041">
              <w:rPr>
                <w:i/>
                <w:szCs w:val="24"/>
              </w:rPr>
              <w:t>S</w:t>
            </w:r>
            <w:r w:rsidR="007E1734" w:rsidRPr="00F44041">
              <w:rPr>
                <w:i/>
                <w:szCs w:val="24"/>
                <w:vertAlign w:val="subscript"/>
              </w:rPr>
              <w:t>RSR</w:t>
            </w:r>
          </w:p>
        </w:tc>
        <w:tc>
          <w:tcPr>
            <w:tcW w:w="2520" w:type="dxa"/>
          </w:tcPr>
          <w:p w:rsidR="007E1734" w:rsidRPr="00363220" w:rsidRDefault="007E1734" w:rsidP="007E1734">
            <w:pPr>
              <w:spacing w:before="40" w:after="40" w:line="240" w:lineRule="auto"/>
              <w:jc w:val="center"/>
              <w:rPr>
                <w:rStyle w:val="acopre"/>
                <w:szCs w:val="24"/>
              </w:rPr>
            </w:pPr>
            <w:r>
              <w:rPr>
                <w:rStyle w:val="acopre"/>
                <w:szCs w:val="24"/>
              </w:rPr>
              <w:t>[</w:t>
            </w:r>
            <w:r>
              <w:rPr>
                <w:rStyle w:val="acopre"/>
                <w:b/>
                <w:szCs w:val="24"/>
              </w:rPr>
              <w:t>0</w:t>
            </w:r>
            <w:r>
              <w:rPr>
                <w:rStyle w:val="acopre"/>
                <w:szCs w:val="24"/>
              </w:rPr>
              <w:t>, ∞)</w:t>
            </w:r>
          </w:p>
        </w:tc>
        <w:tc>
          <w:tcPr>
            <w:tcW w:w="1710" w:type="dxa"/>
          </w:tcPr>
          <w:p w:rsidR="007E1734" w:rsidRPr="00F44041" w:rsidRDefault="002B0A58" w:rsidP="007E1734">
            <w:pPr>
              <w:spacing w:before="40" w:after="40" w:line="240" w:lineRule="auto"/>
              <w:jc w:val="center"/>
              <w:rPr>
                <w:rStyle w:val="acopre"/>
                <w:i/>
                <w:szCs w:val="24"/>
              </w:rPr>
            </w:pPr>
            <w:r w:rsidRPr="00F44041">
              <w:rPr>
                <w:i/>
                <w:szCs w:val="24"/>
              </w:rPr>
              <w:t>T</w:t>
            </w:r>
            <w:r w:rsidR="007E1734" w:rsidRPr="00F44041">
              <w:rPr>
                <w:i/>
                <w:szCs w:val="24"/>
                <w:vertAlign w:val="subscript"/>
              </w:rPr>
              <w:t>RSR</w:t>
            </w:r>
          </w:p>
        </w:tc>
        <w:tc>
          <w:tcPr>
            <w:tcW w:w="2520" w:type="dxa"/>
          </w:tcPr>
          <w:p w:rsidR="007E1734" w:rsidRPr="00363220" w:rsidRDefault="007E1734" w:rsidP="007E1734">
            <w:pPr>
              <w:spacing w:before="40" w:after="40" w:line="240" w:lineRule="auto"/>
              <w:jc w:val="center"/>
              <w:rPr>
                <w:rStyle w:val="acopre"/>
                <w:szCs w:val="24"/>
              </w:rPr>
            </w:pPr>
            <w:r>
              <w:rPr>
                <w:rStyle w:val="acopre"/>
                <w:szCs w:val="24"/>
              </w:rPr>
              <w:t>[</w:t>
            </w:r>
            <w:r>
              <w:rPr>
                <w:rStyle w:val="acopre"/>
                <w:b/>
                <w:szCs w:val="24"/>
              </w:rPr>
              <w:t>0</w:t>
            </w:r>
            <w:r>
              <w:rPr>
                <w:rStyle w:val="acopre"/>
                <w:szCs w:val="24"/>
              </w:rPr>
              <w:t>, ∞)</w:t>
            </w:r>
          </w:p>
        </w:tc>
      </w:tr>
      <w:tr w:rsidR="007E1734" w:rsidRPr="00363220" w:rsidTr="00FC0264">
        <w:tc>
          <w:tcPr>
            <w:tcW w:w="1705" w:type="dxa"/>
            <w:tcBorders>
              <w:bottom w:val="single" w:sz="4" w:space="0" w:color="auto"/>
            </w:tcBorders>
          </w:tcPr>
          <w:p w:rsidR="007E1734" w:rsidRPr="00F44041" w:rsidRDefault="002B0A58" w:rsidP="007E1734">
            <w:pPr>
              <w:spacing w:before="40" w:after="40" w:line="240" w:lineRule="auto"/>
              <w:jc w:val="center"/>
              <w:rPr>
                <w:i/>
                <w:szCs w:val="24"/>
              </w:rPr>
            </w:pPr>
            <w:proofErr w:type="spellStart"/>
            <w:r w:rsidRPr="00F44041">
              <w:rPr>
                <w:i/>
                <w:szCs w:val="24"/>
              </w:rPr>
              <w:t>S</w:t>
            </w:r>
            <w:r w:rsidR="007E1734" w:rsidRPr="00F44041">
              <w:rPr>
                <w:i/>
                <w:szCs w:val="24"/>
                <w:vertAlign w:val="subscript"/>
              </w:rPr>
              <w:t>aBIAS</w:t>
            </w:r>
            <w:proofErr w:type="spellEnd"/>
          </w:p>
        </w:tc>
        <w:tc>
          <w:tcPr>
            <w:tcW w:w="2520" w:type="dxa"/>
            <w:tcBorders>
              <w:bottom w:val="single" w:sz="4" w:space="0" w:color="auto"/>
            </w:tcBorders>
          </w:tcPr>
          <w:p w:rsidR="007E1734" w:rsidRPr="00363220" w:rsidRDefault="007E1734" w:rsidP="007E1734">
            <w:pPr>
              <w:spacing w:before="40" w:after="40" w:line="240" w:lineRule="auto"/>
              <w:jc w:val="center"/>
              <w:rPr>
                <w:szCs w:val="24"/>
              </w:rPr>
            </w:pPr>
            <w:r>
              <w:rPr>
                <w:rStyle w:val="acopre"/>
                <w:szCs w:val="24"/>
              </w:rPr>
              <w:t>[</w:t>
            </w:r>
            <w:r>
              <w:rPr>
                <w:rStyle w:val="acopre"/>
                <w:b/>
                <w:szCs w:val="24"/>
              </w:rPr>
              <w:t>0</w:t>
            </w:r>
            <w:r>
              <w:rPr>
                <w:rStyle w:val="acopre"/>
                <w:szCs w:val="24"/>
              </w:rPr>
              <w:t>, ∞)</w:t>
            </w:r>
          </w:p>
        </w:tc>
        <w:tc>
          <w:tcPr>
            <w:tcW w:w="1710" w:type="dxa"/>
            <w:tcBorders>
              <w:bottom w:val="single" w:sz="4" w:space="0" w:color="auto"/>
            </w:tcBorders>
          </w:tcPr>
          <w:p w:rsidR="007E1734" w:rsidRPr="00F44041" w:rsidRDefault="002B0A58" w:rsidP="007E1734">
            <w:pPr>
              <w:spacing w:before="40" w:after="40" w:line="240" w:lineRule="auto"/>
              <w:jc w:val="center"/>
              <w:rPr>
                <w:i/>
                <w:szCs w:val="24"/>
              </w:rPr>
            </w:pPr>
            <w:proofErr w:type="spellStart"/>
            <w:r w:rsidRPr="00F44041">
              <w:rPr>
                <w:i/>
                <w:szCs w:val="24"/>
              </w:rPr>
              <w:t>T</w:t>
            </w:r>
            <w:r w:rsidR="007E1734" w:rsidRPr="00F44041">
              <w:rPr>
                <w:i/>
                <w:szCs w:val="24"/>
                <w:vertAlign w:val="subscript"/>
              </w:rPr>
              <w:t>aBIAS</w:t>
            </w:r>
            <w:proofErr w:type="spellEnd"/>
          </w:p>
        </w:tc>
        <w:tc>
          <w:tcPr>
            <w:tcW w:w="2520" w:type="dxa"/>
            <w:tcBorders>
              <w:bottom w:val="single" w:sz="4" w:space="0" w:color="auto"/>
            </w:tcBorders>
          </w:tcPr>
          <w:p w:rsidR="007E1734" w:rsidRPr="00363220" w:rsidRDefault="007E1734" w:rsidP="007E1734">
            <w:pPr>
              <w:spacing w:before="40" w:after="40" w:line="240" w:lineRule="auto"/>
              <w:jc w:val="center"/>
              <w:rPr>
                <w:szCs w:val="24"/>
              </w:rPr>
            </w:pPr>
            <w:r>
              <w:rPr>
                <w:rStyle w:val="acopre"/>
                <w:szCs w:val="24"/>
              </w:rPr>
              <w:t>[</w:t>
            </w:r>
            <w:r>
              <w:rPr>
                <w:rStyle w:val="acopre"/>
                <w:b/>
                <w:szCs w:val="24"/>
              </w:rPr>
              <w:t>0</w:t>
            </w:r>
            <w:r>
              <w:rPr>
                <w:rStyle w:val="acopre"/>
                <w:szCs w:val="24"/>
              </w:rPr>
              <w:t>, ∞)</w:t>
            </w:r>
          </w:p>
        </w:tc>
      </w:tr>
    </w:tbl>
    <w:p w:rsidR="003C3D36" w:rsidRDefault="00A7126F" w:rsidP="00EE2898">
      <w:pPr>
        <w:spacing w:before="120" w:after="120" w:line="360" w:lineRule="auto"/>
        <w:jc w:val="both"/>
        <w:rPr>
          <w:rStyle w:val="acopre"/>
        </w:rPr>
      </w:pPr>
      <w:r>
        <w:rPr>
          <w:rStyle w:val="acopre"/>
        </w:rPr>
        <w:tab/>
      </w:r>
      <w:r w:rsidR="002762C4">
        <w:rPr>
          <w:rStyle w:val="acopre"/>
        </w:rPr>
        <w:t xml:space="preserve">The </w:t>
      </w:r>
      <w:r w:rsidR="0008131F">
        <w:rPr>
          <w:rStyle w:val="acopre"/>
        </w:rPr>
        <w:t>spatiotemporal (</w:t>
      </w:r>
      <w:r w:rsidR="0008131F" w:rsidRPr="0008131F">
        <w:rPr>
          <w:rStyle w:val="acopre"/>
          <w:i/>
        </w:rPr>
        <w:t>S</w:t>
      </w:r>
      <w:r w:rsidR="0008131F" w:rsidRPr="0008131F">
        <w:rPr>
          <w:rStyle w:val="acopre"/>
          <w:i/>
          <w:vertAlign w:val="subscript"/>
        </w:rPr>
        <w:t>T</w:t>
      </w:r>
      <w:r w:rsidR="0008131F">
        <w:rPr>
          <w:rStyle w:val="acopre"/>
        </w:rPr>
        <w:t>) and temporospatial (</w:t>
      </w:r>
      <w:r w:rsidR="0008131F" w:rsidRPr="0008131F">
        <w:rPr>
          <w:rStyle w:val="acopre"/>
          <w:i/>
        </w:rPr>
        <w:t>T</w:t>
      </w:r>
      <w:r w:rsidR="0008131F" w:rsidRPr="0008131F">
        <w:rPr>
          <w:rStyle w:val="acopre"/>
          <w:i/>
          <w:vertAlign w:val="subscript"/>
        </w:rPr>
        <w:t>S</w:t>
      </w:r>
      <w:r w:rsidR="0008131F">
        <w:rPr>
          <w:rStyle w:val="acopre"/>
        </w:rPr>
        <w:t xml:space="preserve">) performance statistics </w:t>
      </w:r>
      <w:r w:rsidR="00FD44B1">
        <w:rPr>
          <w:rStyle w:val="acopre"/>
        </w:rPr>
        <w:t xml:space="preserve">(Table 2) </w:t>
      </w:r>
      <w:r w:rsidR="0008131F">
        <w:rPr>
          <w:rStyle w:val="acopre"/>
        </w:rPr>
        <w:t>are calculated using equations (2) and (3), respectively</w:t>
      </w:r>
      <w:r w:rsidR="00FD44B1">
        <w:rPr>
          <w:rStyle w:val="acopre"/>
        </w:rPr>
        <w:t>, while</w:t>
      </w:r>
      <w:r w:rsidR="0008131F">
        <w:rPr>
          <w:rStyle w:val="acopre"/>
        </w:rPr>
        <w:t xml:space="preserve"> </w:t>
      </w:r>
      <w:r w:rsidR="002861BF">
        <w:rPr>
          <w:rStyle w:val="acopre"/>
        </w:rPr>
        <w:t xml:space="preserve">the </w:t>
      </w:r>
      <w:r w:rsidR="00D62762">
        <w:rPr>
          <w:rStyle w:val="acopre"/>
        </w:rPr>
        <w:t>temporal</w:t>
      </w:r>
      <w:r w:rsidR="0008131F">
        <w:rPr>
          <w:rStyle w:val="acopre"/>
        </w:rPr>
        <w:t xml:space="preserve"> </w:t>
      </w:r>
      <w:r w:rsidR="0008131F" w:rsidRPr="002861BF">
        <w:rPr>
          <w:rStyle w:val="acopre"/>
          <w:i/>
        </w:rPr>
        <w:t>T</w:t>
      </w:r>
      <w:r w:rsidR="0008131F">
        <w:rPr>
          <w:rStyle w:val="acopre"/>
        </w:rPr>
        <w:t xml:space="preserve"> </w:t>
      </w:r>
      <w:r w:rsidR="002861BF">
        <w:rPr>
          <w:rStyle w:val="acopre"/>
        </w:rPr>
        <w:t xml:space="preserve">(e.g., </w:t>
      </w:r>
      <w:r w:rsidR="002861BF" w:rsidRPr="002861BF">
        <w:rPr>
          <w:rStyle w:val="acopre"/>
          <w:i/>
        </w:rPr>
        <w:t xml:space="preserve">SPAEF, NSE, RMSE, RSE, </w:t>
      </w:r>
      <w:proofErr w:type="spellStart"/>
      <w:r w:rsidR="002861BF" w:rsidRPr="002861BF">
        <w:rPr>
          <w:rStyle w:val="acopre"/>
          <w:i/>
        </w:rPr>
        <w:t>aBIAS</w:t>
      </w:r>
      <w:proofErr w:type="spellEnd"/>
      <w:r w:rsidR="002861BF">
        <w:rPr>
          <w:rStyle w:val="acopre"/>
        </w:rPr>
        <w:t xml:space="preserve">) </w:t>
      </w:r>
      <w:r w:rsidR="0008131F">
        <w:rPr>
          <w:rStyle w:val="acopre"/>
        </w:rPr>
        <w:t xml:space="preserve">and spatial </w:t>
      </w:r>
      <w:r w:rsidR="0008131F" w:rsidRPr="002861BF">
        <w:rPr>
          <w:rStyle w:val="acopre"/>
          <w:i/>
        </w:rPr>
        <w:t>S</w:t>
      </w:r>
      <w:r w:rsidR="0008131F">
        <w:rPr>
          <w:rStyle w:val="acopre"/>
        </w:rPr>
        <w:t xml:space="preserve"> </w:t>
      </w:r>
      <w:r w:rsidR="002861BF">
        <w:rPr>
          <w:rStyle w:val="acopre"/>
        </w:rPr>
        <w:t xml:space="preserve">(e.g., </w:t>
      </w:r>
      <w:r w:rsidR="002861BF" w:rsidRPr="002861BF">
        <w:rPr>
          <w:rStyle w:val="acopre"/>
          <w:i/>
        </w:rPr>
        <w:t xml:space="preserve">KGE, NSE, RMSE, RSR, </w:t>
      </w:r>
      <w:proofErr w:type="spellStart"/>
      <w:r w:rsidR="002861BF" w:rsidRPr="002861BF">
        <w:rPr>
          <w:rStyle w:val="acopre"/>
          <w:i/>
        </w:rPr>
        <w:t>aBIAS</w:t>
      </w:r>
      <w:proofErr w:type="spellEnd"/>
      <w:r w:rsidR="002861BF">
        <w:rPr>
          <w:rStyle w:val="acopre"/>
        </w:rPr>
        <w:t xml:space="preserve">) </w:t>
      </w:r>
      <w:r w:rsidR="0008131F">
        <w:rPr>
          <w:rStyle w:val="acopre"/>
        </w:rPr>
        <w:t xml:space="preserve">performance </w:t>
      </w:r>
      <w:r w:rsidR="002762C4">
        <w:rPr>
          <w:rStyle w:val="acopre"/>
        </w:rPr>
        <w:t>are calculated as follows:</w:t>
      </w:r>
    </w:p>
    <w:p w:rsidR="00DE223A" w:rsidRDefault="00DE223A" w:rsidP="00EE2898">
      <w:pPr>
        <w:spacing w:before="120" w:after="120" w:line="360" w:lineRule="auto"/>
        <w:jc w:val="both"/>
        <w:rPr>
          <w:rStyle w:val="acopre"/>
        </w:rPr>
      </w:pPr>
      <m:oMath>
        <m:r>
          <w:rPr>
            <w:rStyle w:val="acopre"/>
            <w:rFonts w:ascii="Cambria Math" w:hAnsi="Cambria Math"/>
          </w:rPr>
          <m:t>KGE=1-</m:t>
        </m:r>
        <m:rad>
          <m:radPr>
            <m:degHide m:val="1"/>
            <m:ctrlPr>
              <w:rPr>
                <w:rStyle w:val="acopre"/>
                <w:rFonts w:ascii="Cambria Math" w:hAnsi="Cambria Math"/>
                <w:i/>
              </w:rPr>
            </m:ctrlPr>
          </m:radPr>
          <m:deg/>
          <m:e>
            <m:sSup>
              <m:sSupPr>
                <m:ctrlPr>
                  <w:rPr>
                    <w:rStyle w:val="acopre"/>
                    <w:rFonts w:ascii="Cambria Math" w:hAnsi="Cambria Math"/>
                    <w:i/>
                  </w:rPr>
                </m:ctrlPr>
              </m:sSupPr>
              <m:e>
                <m:d>
                  <m:dPr>
                    <m:ctrlPr>
                      <w:rPr>
                        <w:rStyle w:val="acopre"/>
                        <w:rFonts w:ascii="Cambria Math" w:hAnsi="Cambria Math"/>
                        <w:i/>
                      </w:rPr>
                    </m:ctrlPr>
                  </m:dPr>
                  <m:e>
                    <m:r>
                      <w:rPr>
                        <w:rStyle w:val="acopre"/>
                        <w:rFonts w:ascii="Cambria Math" w:hAnsi="Cambria Math"/>
                      </w:rPr>
                      <m:t>r-1</m:t>
                    </m:r>
                  </m:e>
                </m:d>
              </m:e>
              <m:sup>
                <m:r>
                  <w:rPr>
                    <w:rStyle w:val="acopre"/>
                    <w:rFonts w:ascii="Cambria Math" w:hAnsi="Cambria Math"/>
                  </w:rPr>
                  <m:t>2</m:t>
                </m:r>
              </m:sup>
            </m:sSup>
            <m:r>
              <w:rPr>
                <w:rStyle w:val="acopre"/>
                <w:rFonts w:ascii="Cambria Math" w:hAnsi="Cambria Math"/>
              </w:rPr>
              <m:t>+</m:t>
            </m:r>
            <m:sSup>
              <m:sSupPr>
                <m:ctrlPr>
                  <w:rPr>
                    <w:rStyle w:val="acopre"/>
                    <w:rFonts w:ascii="Cambria Math" w:hAnsi="Cambria Math"/>
                    <w:i/>
                  </w:rPr>
                </m:ctrlPr>
              </m:sSupPr>
              <m:e>
                <m:d>
                  <m:dPr>
                    <m:ctrlPr>
                      <w:rPr>
                        <w:rStyle w:val="acopre"/>
                        <w:rFonts w:ascii="Cambria Math" w:hAnsi="Cambria Math"/>
                        <w:i/>
                      </w:rPr>
                    </m:ctrlPr>
                  </m:dPr>
                  <m:e>
                    <m:r>
                      <w:rPr>
                        <w:rStyle w:val="acopre"/>
                        <w:rFonts w:ascii="Cambria Math" w:hAnsi="Cambria Math"/>
                      </w:rPr>
                      <m:t>α-1</m:t>
                    </m:r>
                  </m:e>
                </m:d>
              </m:e>
              <m:sup>
                <m:r>
                  <w:rPr>
                    <w:rStyle w:val="acopre"/>
                    <w:rFonts w:ascii="Cambria Math" w:hAnsi="Cambria Math"/>
                  </w:rPr>
                  <m:t>2</m:t>
                </m:r>
              </m:sup>
            </m:sSup>
            <m:r>
              <w:rPr>
                <w:rStyle w:val="acopre"/>
                <w:rFonts w:ascii="Cambria Math" w:hAnsi="Cambria Math"/>
              </w:rPr>
              <m:t>+</m:t>
            </m:r>
            <m:sSup>
              <m:sSupPr>
                <m:ctrlPr>
                  <w:rPr>
                    <w:rStyle w:val="acopre"/>
                    <w:rFonts w:ascii="Cambria Math" w:hAnsi="Cambria Math"/>
                    <w:i/>
                  </w:rPr>
                </m:ctrlPr>
              </m:sSupPr>
              <m:e>
                <m:d>
                  <m:dPr>
                    <m:ctrlPr>
                      <w:rPr>
                        <w:rStyle w:val="acopre"/>
                        <w:rFonts w:ascii="Cambria Math" w:hAnsi="Cambria Math"/>
                        <w:i/>
                      </w:rPr>
                    </m:ctrlPr>
                  </m:dPr>
                  <m:e>
                    <m:r>
                      <w:rPr>
                        <w:rStyle w:val="acopre"/>
                        <w:rFonts w:ascii="Cambria Math" w:hAnsi="Cambria Math"/>
                      </w:rPr>
                      <m:t>β-1</m:t>
                    </m:r>
                  </m:e>
                </m:d>
              </m:e>
              <m:sup>
                <m:r>
                  <w:rPr>
                    <w:rStyle w:val="acopre"/>
                    <w:rFonts w:ascii="Cambria Math" w:hAnsi="Cambria Math"/>
                  </w:rPr>
                  <m:t>2</m:t>
                </m:r>
              </m:sup>
            </m:sSup>
          </m:e>
        </m:rad>
      </m:oMath>
      <w:r w:rsidR="00396DEB">
        <w:rPr>
          <w:rStyle w:val="acopre"/>
        </w:rPr>
        <w:t xml:space="preserve"> </w:t>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Pr>
          <w:rStyle w:val="acopre"/>
        </w:rPr>
        <w:t>(</w:t>
      </w:r>
      <w:r w:rsidR="00380F25">
        <w:rPr>
          <w:rStyle w:val="acopre"/>
        </w:rPr>
        <w:t>4</w:t>
      </w:r>
      <w:r>
        <w:rPr>
          <w:rStyle w:val="acopre"/>
        </w:rPr>
        <w:t xml:space="preserve">) </w:t>
      </w:r>
    </w:p>
    <w:p w:rsidR="000D1708" w:rsidRDefault="00E1785A" w:rsidP="000D1708">
      <w:pPr>
        <w:spacing w:before="120" w:after="120" w:line="360" w:lineRule="auto"/>
        <w:jc w:val="both"/>
        <w:rPr>
          <w:rStyle w:val="acopre"/>
        </w:rPr>
      </w:pPr>
      <m:oMath>
        <m:r>
          <w:rPr>
            <w:rStyle w:val="acopre"/>
            <w:rFonts w:ascii="Cambria Math" w:hAnsi="Cambria Math"/>
          </w:rPr>
          <m:t>SPAEF=1-</m:t>
        </m:r>
        <m:rad>
          <m:radPr>
            <m:degHide m:val="1"/>
            <m:ctrlPr>
              <w:rPr>
                <w:rStyle w:val="acopre"/>
                <w:rFonts w:ascii="Cambria Math" w:hAnsi="Cambria Math"/>
                <w:i/>
              </w:rPr>
            </m:ctrlPr>
          </m:radPr>
          <m:deg/>
          <m:e>
            <m:sSup>
              <m:sSupPr>
                <m:ctrlPr>
                  <w:rPr>
                    <w:rStyle w:val="acopre"/>
                    <w:rFonts w:ascii="Cambria Math" w:hAnsi="Cambria Math"/>
                    <w:i/>
                  </w:rPr>
                </m:ctrlPr>
              </m:sSupPr>
              <m:e>
                <m:d>
                  <m:dPr>
                    <m:ctrlPr>
                      <w:rPr>
                        <w:rStyle w:val="acopre"/>
                        <w:rFonts w:ascii="Cambria Math" w:hAnsi="Cambria Math"/>
                        <w:i/>
                      </w:rPr>
                    </m:ctrlPr>
                  </m:dPr>
                  <m:e>
                    <m:r>
                      <w:rPr>
                        <w:rStyle w:val="acopre"/>
                        <w:rFonts w:ascii="Cambria Math" w:hAnsi="Cambria Math"/>
                      </w:rPr>
                      <m:t>r-1</m:t>
                    </m:r>
                  </m:e>
                </m:d>
              </m:e>
              <m:sup>
                <m:r>
                  <w:rPr>
                    <w:rStyle w:val="acopre"/>
                    <w:rFonts w:ascii="Cambria Math" w:hAnsi="Cambria Math"/>
                  </w:rPr>
                  <m:t>2</m:t>
                </m:r>
              </m:sup>
            </m:sSup>
            <m:r>
              <w:rPr>
                <w:rStyle w:val="acopre"/>
                <w:rFonts w:ascii="Cambria Math" w:hAnsi="Cambria Math"/>
              </w:rPr>
              <m:t>+</m:t>
            </m:r>
            <m:sSup>
              <m:sSupPr>
                <m:ctrlPr>
                  <w:rPr>
                    <w:rStyle w:val="acopre"/>
                    <w:rFonts w:ascii="Cambria Math" w:hAnsi="Cambria Math"/>
                    <w:i/>
                  </w:rPr>
                </m:ctrlPr>
              </m:sSupPr>
              <m:e>
                <m:d>
                  <m:dPr>
                    <m:ctrlPr>
                      <w:rPr>
                        <w:rStyle w:val="acopre"/>
                        <w:rFonts w:ascii="Cambria Math" w:hAnsi="Cambria Math"/>
                        <w:i/>
                      </w:rPr>
                    </m:ctrlPr>
                  </m:dPr>
                  <m:e>
                    <m:r>
                      <w:rPr>
                        <w:rStyle w:val="acopre"/>
                        <w:rFonts w:ascii="Cambria Math" w:hAnsi="Cambria Math"/>
                      </w:rPr>
                      <m:t>α/β-1</m:t>
                    </m:r>
                  </m:e>
                </m:d>
              </m:e>
              <m:sup>
                <m:r>
                  <w:rPr>
                    <w:rStyle w:val="acopre"/>
                    <w:rFonts w:ascii="Cambria Math" w:hAnsi="Cambria Math"/>
                  </w:rPr>
                  <m:t>2</m:t>
                </m:r>
              </m:sup>
            </m:sSup>
            <m:r>
              <w:rPr>
                <w:rStyle w:val="acopre"/>
                <w:rFonts w:ascii="Cambria Math" w:hAnsi="Cambria Math"/>
              </w:rPr>
              <m:t>+</m:t>
            </m:r>
            <m:sSup>
              <m:sSupPr>
                <m:ctrlPr>
                  <w:rPr>
                    <w:rStyle w:val="acopre"/>
                    <w:rFonts w:ascii="Cambria Math" w:hAnsi="Cambria Math"/>
                    <w:i/>
                  </w:rPr>
                </m:ctrlPr>
              </m:sSupPr>
              <m:e>
                <m:d>
                  <m:dPr>
                    <m:ctrlPr>
                      <w:rPr>
                        <w:rStyle w:val="acopre"/>
                        <w:rFonts w:ascii="Cambria Math" w:hAnsi="Cambria Math"/>
                        <w:i/>
                      </w:rPr>
                    </m:ctrlPr>
                  </m:dPr>
                  <m:e>
                    <m:r>
                      <w:rPr>
                        <w:rStyle w:val="acopre"/>
                        <w:rFonts w:ascii="Cambria Math" w:hAnsi="Cambria Math"/>
                      </w:rPr>
                      <m:t>γ-1</m:t>
                    </m:r>
                  </m:e>
                </m:d>
              </m:e>
              <m:sup>
                <m:r>
                  <w:rPr>
                    <w:rStyle w:val="acopre"/>
                    <w:rFonts w:ascii="Cambria Math" w:hAnsi="Cambria Math"/>
                  </w:rPr>
                  <m:t>2</m:t>
                </m:r>
              </m:sup>
            </m:sSup>
          </m:e>
        </m:rad>
      </m:oMath>
      <w:r w:rsidR="00396DEB">
        <w:rPr>
          <w:rStyle w:val="acopre"/>
        </w:rPr>
        <w:t xml:space="preserve"> </w:t>
      </w:r>
      <w:r w:rsidR="00396DEB">
        <w:rPr>
          <w:rStyle w:val="acopre"/>
        </w:rPr>
        <w:tab/>
      </w:r>
      <w:r w:rsidR="00396DEB">
        <w:rPr>
          <w:rStyle w:val="acopre"/>
        </w:rPr>
        <w:tab/>
      </w:r>
      <w:r w:rsidR="00396DEB">
        <w:rPr>
          <w:rStyle w:val="acopre"/>
        </w:rPr>
        <w:tab/>
      </w:r>
      <w:r w:rsidR="00396DEB">
        <w:rPr>
          <w:rStyle w:val="acopre"/>
        </w:rPr>
        <w:tab/>
      </w:r>
      <w:r w:rsidR="000D1708">
        <w:rPr>
          <w:rStyle w:val="acopre"/>
        </w:rPr>
        <w:t>(</w:t>
      </w:r>
      <w:r w:rsidR="00380F25">
        <w:rPr>
          <w:rStyle w:val="acopre"/>
        </w:rPr>
        <w:t>5</w:t>
      </w:r>
      <w:r w:rsidR="000D1708">
        <w:rPr>
          <w:rStyle w:val="acopre"/>
        </w:rPr>
        <w:t>)</w:t>
      </w:r>
    </w:p>
    <w:p w:rsidR="00DB2D63" w:rsidRPr="003759FD" w:rsidRDefault="00F85424" w:rsidP="00DB2D63">
      <w:pPr>
        <w:spacing w:before="120" w:after="120" w:line="360" w:lineRule="auto"/>
        <w:jc w:val="both"/>
        <w:rPr>
          <w:rStyle w:val="acopre"/>
        </w:rPr>
      </w:pPr>
      <m:oMath>
        <m:r>
          <w:rPr>
            <w:rStyle w:val="acopre"/>
            <w:rFonts w:ascii="Cambria Math" w:hAnsi="Cambria Math"/>
          </w:rPr>
          <m:t>NSE=1-</m:t>
        </m:r>
        <m:f>
          <m:fPr>
            <m:ctrlPr>
              <w:rPr>
                <w:rStyle w:val="acopre"/>
                <w:rFonts w:ascii="Cambria Math" w:hAnsi="Cambria Math"/>
                <w:i/>
              </w:rPr>
            </m:ctrlPr>
          </m:fPr>
          <m:num>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sSup>
                  <m:sSupPr>
                    <m:ctrlPr>
                      <w:rPr>
                        <w:rStyle w:val="acopre"/>
                        <w:rFonts w:ascii="Cambria Math" w:hAnsi="Cambria Math"/>
                        <w:i/>
                      </w:rPr>
                    </m:ctrlPr>
                  </m:sSupPr>
                  <m:e>
                    <m:d>
                      <m:dPr>
                        <m:ctrlPr>
                          <w:rPr>
                            <w:rStyle w:val="acopre"/>
                            <w:rFonts w:ascii="Cambria Math" w:hAnsi="Cambria Math"/>
                            <w:i/>
                          </w:rPr>
                        </m:ctrlPr>
                      </m:dPr>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sim</m:t>
                            </m:r>
                          </m:sup>
                        </m:sSubSup>
                        <m:r>
                          <w:rPr>
                            <w:rStyle w:val="acopre"/>
                            <w:rFonts w:ascii="Cambria Math" w:hAnsi="Cambria Math"/>
                          </w:rPr>
                          <m:t xml:space="preserve">- </m:t>
                        </m:r>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obs</m:t>
                            </m:r>
                          </m:sup>
                        </m:sSubSup>
                      </m:e>
                    </m:d>
                  </m:e>
                  <m:sup>
                    <m:r>
                      <w:rPr>
                        <w:rStyle w:val="acopre"/>
                        <w:rFonts w:ascii="Cambria Math" w:hAnsi="Cambria Math"/>
                      </w:rPr>
                      <m:t>2</m:t>
                    </m:r>
                  </m:sup>
                </m:sSup>
              </m:e>
            </m:nary>
          </m:num>
          <m:den>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sSup>
                  <m:sSupPr>
                    <m:ctrlPr>
                      <w:rPr>
                        <w:rStyle w:val="acopre"/>
                        <w:rFonts w:ascii="Cambria Math" w:hAnsi="Cambria Math"/>
                        <w:i/>
                      </w:rPr>
                    </m:ctrlPr>
                  </m:sSupPr>
                  <m:e>
                    <m:d>
                      <m:dPr>
                        <m:ctrlPr>
                          <w:rPr>
                            <w:rStyle w:val="acopre"/>
                            <w:rFonts w:ascii="Cambria Math" w:hAnsi="Cambria Math"/>
                            <w:i/>
                          </w:rPr>
                        </m:ctrlPr>
                      </m:dPr>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obs</m:t>
                            </m:r>
                          </m:sup>
                        </m:sSubSup>
                        <m:r>
                          <w:rPr>
                            <w:rStyle w:val="acopre"/>
                            <w:rFonts w:ascii="Cambria Math" w:hAnsi="Cambria Math"/>
                          </w:rPr>
                          <m:t>-</m:t>
                        </m:r>
                        <m:sSup>
                          <m:sSupPr>
                            <m:ctrlPr>
                              <w:rPr>
                                <w:rStyle w:val="acopre"/>
                                <w:rFonts w:ascii="Cambria Math" w:hAnsi="Cambria Math"/>
                                <w:i/>
                              </w:rPr>
                            </m:ctrlPr>
                          </m:sSupPr>
                          <m:e>
                            <m:acc>
                              <m:accPr>
                                <m:chr m:val="̅"/>
                                <m:ctrlPr>
                                  <w:rPr>
                                    <w:rStyle w:val="acopre"/>
                                    <w:rFonts w:ascii="Cambria Math" w:hAnsi="Cambria Math"/>
                                    <w:i/>
                                  </w:rPr>
                                </m:ctrlPr>
                              </m:accPr>
                              <m:e>
                                <m:r>
                                  <w:rPr>
                                    <w:rStyle w:val="acopre"/>
                                    <w:rFonts w:ascii="Cambria Math" w:hAnsi="Cambria Math"/>
                                  </w:rPr>
                                  <m:t>x</m:t>
                                </m:r>
                              </m:e>
                            </m:acc>
                          </m:e>
                          <m:sup>
                            <m:r>
                              <w:rPr>
                                <w:rStyle w:val="acopre"/>
                                <w:rFonts w:ascii="Cambria Math" w:hAnsi="Cambria Math"/>
                              </w:rPr>
                              <m:t>obs</m:t>
                            </m:r>
                          </m:sup>
                        </m:sSup>
                      </m:e>
                    </m:d>
                  </m:e>
                  <m:sup>
                    <m:r>
                      <w:rPr>
                        <w:rStyle w:val="acopre"/>
                        <w:rFonts w:ascii="Cambria Math" w:hAnsi="Cambria Math"/>
                      </w:rPr>
                      <m:t>2</m:t>
                    </m:r>
                  </m:sup>
                </m:sSup>
              </m:e>
            </m:nary>
          </m:den>
        </m:f>
      </m:oMath>
      <w:r w:rsidR="00396DEB">
        <w:rPr>
          <w:rStyle w:val="acopre"/>
        </w:rPr>
        <w:t xml:space="preserve"> </w:t>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DB2D63">
        <w:rPr>
          <w:rStyle w:val="acopre"/>
        </w:rPr>
        <w:t>(</w:t>
      </w:r>
      <w:r w:rsidR="00380F25">
        <w:rPr>
          <w:rStyle w:val="acopre"/>
        </w:rPr>
        <w:t>6</w:t>
      </w:r>
      <w:r w:rsidR="00DB2D63">
        <w:rPr>
          <w:rStyle w:val="acopre"/>
        </w:rPr>
        <w:t xml:space="preserve">) </w:t>
      </w:r>
    </w:p>
    <w:p w:rsidR="00DB2D63" w:rsidRPr="003759FD" w:rsidRDefault="00F85424" w:rsidP="00DB2D63">
      <w:pPr>
        <w:spacing w:before="120" w:after="120" w:line="360" w:lineRule="auto"/>
        <w:jc w:val="both"/>
        <w:rPr>
          <w:rStyle w:val="acopre"/>
        </w:rPr>
      </w:pPr>
      <m:oMath>
        <m:r>
          <w:rPr>
            <w:rStyle w:val="acopre"/>
            <w:rFonts w:ascii="Cambria Math" w:hAnsi="Cambria Math"/>
          </w:rPr>
          <m:t>RMSE=</m:t>
        </m:r>
        <m:rad>
          <m:radPr>
            <m:degHide m:val="1"/>
            <m:ctrlPr>
              <w:rPr>
                <w:rStyle w:val="acopre"/>
                <w:rFonts w:ascii="Cambria Math" w:hAnsi="Cambria Math"/>
                <w:i/>
              </w:rPr>
            </m:ctrlPr>
          </m:radPr>
          <m:deg/>
          <m:e>
            <m:f>
              <m:fPr>
                <m:ctrlPr>
                  <w:rPr>
                    <w:rStyle w:val="acopre"/>
                    <w:rFonts w:ascii="Cambria Math" w:hAnsi="Cambria Math"/>
                    <w:i/>
                  </w:rPr>
                </m:ctrlPr>
              </m:fPr>
              <m:num>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sSup>
                      <m:sSupPr>
                        <m:ctrlPr>
                          <w:rPr>
                            <w:rStyle w:val="acopre"/>
                            <w:rFonts w:ascii="Cambria Math" w:hAnsi="Cambria Math"/>
                            <w:i/>
                          </w:rPr>
                        </m:ctrlPr>
                      </m:sSupPr>
                      <m:e>
                        <m:d>
                          <m:dPr>
                            <m:ctrlPr>
                              <w:rPr>
                                <w:rStyle w:val="acopre"/>
                                <w:rFonts w:ascii="Cambria Math" w:hAnsi="Cambria Math"/>
                                <w:i/>
                              </w:rPr>
                            </m:ctrlPr>
                          </m:dPr>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sim</m:t>
                                </m:r>
                              </m:sup>
                            </m:sSubSup>
                            <m:r>
                              <w:rPr>
                                <w:rStyle w:val="acopre"/>
                                <w:rFonts w:ascii="Cambria Math" w:hAnsi="Cambria Math"/>
                              </w:rPr>
                              <m:t>-</m:t>
                            </m:r>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obs</m:t>
                                </m:r>
                              </m:sup>
                            </m:sSubSup>
                          </m:e>
                        </m:d>
                      </m:e>
                      <m:sup>
                        <m:r>
                          <w:rPr>
                            <w:rStyle w:val="acopre"/>
                            <w:rFonts w:ascii="Cambria Math" w:hAnsi="Cambria Math"/>
                          </w:rPr>
                          <m:t>2</m:t>
                        </m:r>
                      </m:sup>
                    </m:sSup>
                  </m:e>
                </m:nary>
              </m:num>
              <m:den>
                <m:r>
                  <w:rPr>
                    <w:rStyle w:val="acopre"/>
                    <w:rFonts w:ascii="Cambria Math" w:hAnsi="Cambria Math"/>
                  </w:rPr>
                  <m:t>n</m:t>
                </m:r>
              </m:den>
            </m:f>
          </m:e>
        </m:rad>
      </m:oMath>
      <w:r>
        <w:rPr>
          <w:rStyle w:val="acopre"/>
        </w:rPr>
        <w:t xml:space="preserve"> </w:t>
      </w:r>
      <w:r>
        <w:rPr>
          <w:rStyle w:val="acopre"/>
        </w:rPr>
        <w:tab/>
      </w:r>
      <w:r>
        <w:rPr>
          <w:rStyle w:val="acopre"/>
        </w:rPr>
        <w:tab/>
      </w:r>
      <w:r>
        <w:rPr>
          <w:rStyle w:val="acopre"/>
        </w:rPr>
        <w:tab/>
      </w:r>
      <w:r>
        <w:rPr>
          <w:rStyle w:val="acopre"/>
        </w:rPr>
        <w:tab/>
      </w:r>
      <w:r>
        <w:rPr>
          <w:rStyle w:val="acopre"/>
        </w:rPr>
        <w:tab/>
      </w:r>
      <w:r>
        <w:rPr>
          <w:rStyle w:val="acopre"/>
        </w:rPr>
        <w:tab/>
      </w:r>
      <w:r>
        <w:rPr>
          <w:rStyle w:val="acopre"/>
        </w:rPr>
        <w:tab/>
      </w:r>
      <w:r>
        <w:rPr>
          <w:rStyle w:val="acopre"/>
        </w:rPr>
        <w:tab/>
      </w:r>
      <w:r w:rsidR="00DB2D63">
        <w:rPr>
          <w:rStyle w:val="acopre"/>
        </w:rPr>
        <w:t>(</w:t>
      </w:r>
      <w:r w:rsidR="00380F25">
        <w:rPr>
          <w:rStyle w:val="acopre"/>
        </w:rPr>
        <w:t>7</w:t>
      </w:r>
      <w:r w:rsidR="00DB2D63">
        <w:rPr>
          <w:rStyle w:val="acopre"/>
        </w:rPr>
        <w:t xml:space="preserve">) </w:t>
      </w:r>
    </w:p>
    <w:p w:rsidR="00DB2D63" w:rsidRDefault="00F85424" w:rsidP="00DB2D63">
      <w:pPr>
        <w:spacing w:before="120" w:after="120" w:line="360" w:lineRule="auto"/>
        <w:jc w:val="both"/>
        <w:rPr>
          <w:rStyle w:val="acopre"/>
        </w:rPr>
      </w:pPr>
      <m:oMath>
        <m:r>
          <w:rPr>
            <w:rStyle w:val="acopre"/>
            <w:rFonts w:ascii="Cambria Math" w:hAnsi="Cambria Math"/>
          </w:rPr>
          <w:lastRenderedPageBreak/>
          <m:t>RSR=</m:t>
        </m:r>
        <m:f>
          <m:fPr>
            <m:ctrlPr>
              <w:rPr>
                <w:rStyle w:val="acopre"/>
                <w:rFonts w:ascii="Cambria Math" w:hAnsi="Cambria Math"/>
                <w:i/>
              </w:rPr>
            </m:ctrlPr>
          </m:fPr>
          <m:num>
            <m:rad>
              <m:radPr>
                <m:degHide m:val="1"/>
                <m:ctrlPr>
                  <w:rPr>
                    <w:rStyle w:val="acopre"/>
                    <w:rFonts w:ascii="Cambria Math" w:hAnsi="Cambria Math"/>
                    <w:i/>
                  </w:rPr>
                </m:ctrlPr>
              </m:radPr>
              <m:deg/>
              <m:e>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sSup>
                      <m:sSupPr>
                        <m:ctrlPr>
                          <w:rPr>
                            <w:rStyle w:val="acopre"/>
                            <w:rFonts w:ascii="Cambria Math" w:hAnsi="Cambria Math"/>
                            <w:i/>
                          </w:rPr>
                        </m:ctrlPr>
                      </m:sSupPr>
                      <m:e>
                        <m:d>
                          <m:dPr>
                            <m:ctrlPr>
                              <w:rPr>
                                <w:rStyle w:val="acopre"/>
                                <w:rFonts w:ascii="Cambria Math" w:hAnsi="Cambria Math"/>
                                <w:i/>
                              </w:rPr>
                            </m:ctrlPr>
                          </m:dPr>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sim</m:t>
                                </m:r>
                              </m:sup>
                            </m:sSubSup>
                            <m:r>
                              <w:rPr>
                                <w:rStyle w:val="acopre"/>
                                <w:rFonts w:ascii="Cambria Math" w:hAnsi="Cambria Math"/>
                              </w:rPr>
                              <m:t>-</m:t>
                            </m:r>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obs</m:t>
                                </m:r>
                              </m:sup>
                            </m:sSubSup>
                          </m:e>
                        </m:d>
                      </m:e>
                      <m:sup>
                        <m:r>
                          <w:rPr>
                            <w:rStyle w:val="acopre"/>
                            <w:rFonts w:ascii="Cambria Math" w:hAnsi="Cambria Math"/>
                          </w:rPr>
                          <m:t>2</m:t>
                        </m:r>
                      </m:sup>
                    </m:sSup>
                  </m:e>
                </m:nary>
              </m:e>
            </m:rad>
          </m:num>
          <m:den>
            <m:rad>
              <m:radPr>
                <m:degHide m:val="1"/>
                <m:ctrlPr>
                  <w:rPr>
                    <w:rStyle w:val="acopre"/>
                    <w:rFonts w:ascii="Cambria Math" w:hAnsi="Cambria Math"/>
                    <w:i/>
                  </w:rPr>
                </m:ctrlPr>
              </m:radPr>
              <m:deg/>
              <m:e>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sSup>
                      <m:sSupPr>
                        <m:ctrlPr>
                          <w:rPr>
                            <w:rStyle w:val="acopre"/>
                            <w:rFonts w:ascii="Cambria Math" w:hAnsi="Cambria Math"/>
                            <w:i/>
                          </w:rPr>
                        </m:ctrlPr>
                      </m:sSupPr>
                      <m:e>
                        <m:d>
                          <m:dPr>
                            <m:ctrlPr>
                              <w:rPr>
                                <w:rStyle w:val="acopre"/>
                                <w:rFonts w:ascii="Cambria Math" w:hAnsi="Cambria Math"/>
                                <w:i/>
                              </w:rPr>
                            </m:ctrlPr>
                          </m:dPr>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obs</m:t>
                                </m:r>
                              </m:sup>
                            </m:sSubSup>
                            <m:r>
                              <w:rPr>
                                <w:rStyle w:val="acopre"/>
                                <w:rFonts w:ascii="Cambria Math" w:hAnsi="Cambria Math"/>
                              </w:rPr>
                              <m:t>-</m:t>
                            </m:r>
                            <m:sSup>
                              <m:sSupPr>
                                <m:ctrlPr>
                                  <w:rPr>
                                    <w:rStyle w:val="acopre"/>
                                    <w:rFonts w:ascii="Cambria Math" w:hAnsi="Cambria Math"/>
                                    <w:i/>
                                  </w:rPr>
                                </m:ctrlPr>
                              </m:sSupPr>
                              <m:e>
                                <m:acc>
                                  <m:accPr>
                                    <m:chr m:val="̅"/>
                                    <m:ctrlPr>
                                      <w:rPr>
                                        <w:rStyle w:val="acopre"/>
                                        <w:rFonts w:ascii="Cambria Math" w:hAnsi="Cambria Math"/>
                                        <w:i/>
                                      </w:rPr>
                                    </m:ctrlPr>
                                  </m:accPr>
                                  <m:e>
                                    <m:r>
                                      <w:rPr>
                                        <w:rStyle w:val="acopre"/>
                                        <w:rFonts w:ascii="Cambria Math" w:hAnsi="Cambria Math"/>
                                      </w:rPr>
                                      <m:t>x</m:t>
                                    </m:r>
                                  </m:e>
                                </m:acc>
                              </m:e>
                              <m:sup>
                                <m:r>
                                  <w:rPr>
                                    <w:rStyle w:val="acopre"/>
                                    <w:rFonts w:ascii="Cambria Math" w:hAnsi="Cambria Math"/>
                                  </w:rPr>
                                  <m:t>obs</m:t>
                                </m:r>
                              </m:sup>
                            </m:sSup>
                          </m:e>
                        </m:d>
                      </m:e>
                      <m:sup>
                        <m:r>
                          <w:rPr>
                            <w:rStyle w:val="acopre"/>
                            <w:rFonts w:ascii="Cambria Math" w:hAnsi="Cambria Math"/>
                          </w:rPr>
                          <m:t>2</m:t>
                        </m:r>
                      </m:sup>
                    </m:sSup>
                  </m:e>
                </m:nary>
              </m:e>
            </m:rad>
          </m:den>
        </m:f>
      </m:oMath>
      <w:r w:rsidR="00396DEB">
        <w:rPr>
          <w:rStyle w:val="acopre"/>
        </w:rPr>
        <w:t xml:space="preserve"> </w:t>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DB2D63">
        <w:rPr>
          <w:rStyle w:val="acopre"/>
        </w:rPr>
        <w:t>(</w:t>
      </w:r>
      <w:r w:rsidR="00380F25">
        <w:rPr>
          <w:rStyle w:val="acopre"/>
        </w:rPr>
        <w:t>8</w:t>
      </w:r>
      <w:r w:rsidR="00DB2D63">
        <w:rPr>
          <w:rStyle w:val="acopre"/>
        </w:rPr>
        <w:t xml:space="preserve">) </w:t>
      </w:r>
    </w:p>
    <w:p w:rsidR="00506EFB" w:rsidRDefault="00A749DE" w:rsidP="00EE2898">
      <w:pPr>
        <w:spacing w:before="120" w:after="120" w:line="360" w:lineRule="auto"/>
        <w:jc w:val="both"/>
        <w:rPr>
          <w:rStyle w:val="acopre"/>
        </w:rPr>
      </w:pPr>
      <m:oMath>
        <m:r>
          <w:rPr>
            <w:rStyle w:val="acopre"/>
            <w:rFonts w:ascii="Cambria Math" w:hAnsi="Cambria Math"/>
          </w:rPr>
          <m:t>aBIAS=</m:t>
        </m:r>
        <m:d>
          <m:dPr>
            <m:begChr m:val="|"/>
            <m:endChr m:val="|"/>
            <m:ctrlPr>
              <w:rPr>
                <w:rStyle w:val="texhtml"/>
                <w:rFonts w:ascii="Cambria Math" w:hAnsi="Cambria Math"/>
              </w:rPr>
            </m:ctrlPr>
          </m:dPr>
          <m:e>
            <m:r>
              <w:rPr>
                <w:rStyle w:val="nowrap"/>
                <w:rFonts w:ascii="Cambria Math" w:hAnsi="Cambria Math"/>
              </w:rPr>
              <m:t>BIAS</m:t>
            </m:r>
          </m:e>
        </m:d>
        <m:r>
          <w:rPr>
            <w:rStyle w:val="acopre"/>
            <w:rFonts w:ascii="Cambria Math" w:hAnsi="Cambria Math"/>
          </w:rPr>
          <m:t>=</m:t>
        </m:r>
        <m:d>
          <m:dPr>
            <m:begChr m:val="|"/>
            <m:endChr m:val="|"/>
            <m:ctrlPr>
              <w:rPr>
                <w:rStyle w:val="texhtml"/>
                <w:rFonts w:ascii="Cambria Math" w:hAnsi="Cambria Math"/>
              </w:rPr>
            </m:ctrlPr>
          </m:dPr>
          <m:e>
            <m:r>
              <w:rPr>
                <w:rStyle w:val="acopre"/>
                <w:rFonts w:ascii="Cambria Math" w:hAnsi="Cambria Math"/>
              </w:rPr>
              <m:t>1-</m:t>
            </m:r>
            <m:f>
              <m:fPr>
                <m:ctrlPr>
                  <w:rPr>
                    <w:rStyle w:val="acopre"/>
                    <w:rFonts w:ascii="Cambria Math" w:hAnsi="Cambria Math"/>
                    <w:i/>
                  </w:rPr>
                </m:ctrlPr>
              </m:fPr>
              <m:num>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sim</m:t>
                        </m:r>
                      </m:sup>
                    </m:sSubSup>
                  </m:e>
                </m:nary>
              </m:num>
              <m:den>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obs</m:t>
                        </m:r>
                      </m:sup>
                    </m:sSubSup>
                  </m:e>
                </m:nary>
              </m:den>
            </m:f>
          </m:e>
        </m:d>
      </m:oMath>
      <w:r w:rsidR="00396DEB">
        <w:rPr>
          <w:rStyle w:val="acopre"/>
        </w:rPr>
        <w:t xml:space="preserve"> </w:t>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F85424">
        <w:rPr>
          <w:rStyle w:val="acopre"/>
        </w:rPr>
        <w:t>(</w:t>
      </w:r>
      <w:r w:rsidR="00380F25">
        <w:rPr>
          <w:rStyle w:val="acopre"/>
        </w:rPr>
        <w:t>9</w:t>
      </w:r>
      <w:r w:rsidR="005E77B6">
        <w:rPr>
          <w:rStyle w:val="acopre"/>
        </w:rPr>
        <w:t>)</w:t>
      </w:r>
      <w:r w:rsidR="00F85424">
        <w:rPr>
          <w:rStyle w:val="acopre"/>
        </w:rPr>
        <w:t xml:space="preserve"> </w:t>
      </w:r>
    </w:p>
    <w:p w:rsidR="00B23958" w:rsidRDefault="00B23958" w:rsidP="00EE2898">
      <w:pPr>
        <w:spacing w:before="120" w:after="120" w:line="360" w:lineRule="auto"/>
        <w:jc w:val="both"/>
        <w:rPr>
          <w:rStyle w:val="acopre"/>
        </w:rPr>
      </w:pPr>
      <w:proofErr w:type="gramStart"/>
      <w:r>
        <w:rPr>
          <w:rStyle w:val="acopre"/>
        </w:rPr>
        <w:t>with</w:t>
      </w:r>
      <w:proofErr w:type="gramEnd"/>
      <w:r w:rsidR="00D2278D">
        <w:rPr>
          <w:rStyle w:val="acopre"/>
        </w:rPr>
        <w:t>:</w:t>
      </w:r>
      <w:r>
        <w:rPr>
          <w:rStyle w:val="acopre"/>
        </w:rPr>
        <w:t xml:space="preserve"> </w:t>
      </w:r>
    </w:p>
    <w:p w:rsidR="00B23958" w:rsidRDefault="00B23958" w:rsidP="00B23958">
      <w:pPr>
        <w:spacing w:before="120" w:after="120" w:line="360" w:lineRule="auto"/>
        <w:jc w:val="both"/>
        <w:rPr>
          <w:rStyle w:val="acopre"/>
        </w:rPr>
      </w:pPr>
      <m:oMath>
        <m:r>
          <w:rPr>
            <w:rStyle w:val="acopre"/>
            <w:rFonts w:ascii="Cambria Math" w:hAnsi="Cambria Math"/>
          </w:rPr>
          <m:t>r=</m:t>
        </m:r>
        <m:f>
          <m:fPr>
            <m:ctrlPr>
              <w:rPr>
                <w:rStyle w:val="acopre"/>
                <w:rFonts w:ascii="Cambria Math" w:hAnsi="Cambria Math"/>
                <w:i/>
              </w:rPr>
            </m:ctrlPr>
          </m:fPr>
          <m:num>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d>
                  <m:dPr>
                    <m:ctrlPr>
                      <w:rPr>
                        <w:rStyle w:val="acopre"/>
                        <w:rFonts w:ascii="Cambria Math" w:hAnsi="Cambria Math"/>
                        <w:i/>
                      </w:rPr>
                    </m:ctrlPr>
                  </m:dPr>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obs</m:t>
                        </m:r>
                      </m:sup>
                    </m:sSubSup>
                    <m:r>
                      <w:rPr>
                        <w:rStyle w:val="acopre"/>
                        <w:rFonts w:ascii="Cambria Math" w:hAnsi="Cambria Math"/>
                      </w:rPr>
                      <m:t>-</m:t>
                    </m:r>
                    <m:sSup>
                      <m:sSupPr>
                        <m:ctrlPr>
                          <w:rPr>
                            <w:rStyle w:val="acopre"/>
                            <w:rFonts w:ascii="Cambria Math" w:hAnsi="Cambria Math"/>
                            <w:i/>
                          </w:rPr>
                        </m:ctrlPr>
                      </m:sSupPr>
                      <m:e>
                        <m:acc>
                          <m:accPr>
                            <m:chr m:val="̅"/>
                            <m:ctrlPr>
                              <w:rPr>
                                <w:rStyle w:val="acopre"/>
                                <w:rFonts w:ascii="Cambria Math" w:hAnsi="Cambria Math"/>
                                <w:i/>
                              </w:rPr>
                            </m:ctrlPr>
                          </m:accPr>
                          <m:e>
                            <m:r>
                              <w:rPr>
                                <w:rStyle w:val="acopre"/>
                                <w:rFonts w:ascii="Cambria Math" w:hAnsi="Cambria Math"/>
                              </w:rPr>
                              <m:t>x</m:t>
                            </m:r>
                          </m:e>
                        </m:acc>
                      </m:e>
                      <m:sup>
                        <m:r>
                          <w:rPr>
                            <w:rStyle w:val="acopre"/>
                            <w:rFonts w:ascii="Cambria Math" w:hAnsi="Cambria Math"/>
                          </w:rPr>
                          <m:t>obs</m:t>
                        </m:r>
                      </m:sup>
                    </m:sSup>
                  </m:e>
                </m:d>
                <m:r>
                  <w:rPr>
                    <w:rStyle w:val="acopre"/>
                    <w:rFonts w:ascii="Cambria Math" w:hAnsi="Cambria Math"/>
                  </w:rPr>
                  <m:t>⋅</m:t>
                </m:r>
                <m:d>
                  <m:dPr>
                    <m:ctrlPr>
                      <w:rPr>
                        <w:rStyle w:val="acopre"/>
                        <w:rFonts w:ascii="Cambria Math" w:hAnsi="Cambria Math"/>
                        <w:i/>
                      </w:rPr>
                    </m:ctrlPr>
                  </m:dPr>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sim</m:t>
                        </m:r>
                      </m:sup>
                    </m:sSubSup>
                    <m:r>
                      <w:rPr>
                        <w:rStyle w:val="acopre"/>
                        <w:rFonts w:ascii="Cambria Math" w:hAnsi="Cambria Math"/>
                      </w:rPr>
                      <m:t>-</m:t>
                    </m:r>
                    <m:sSup>
                      <m:sSupPr>
                        <m:ctrlPr>
                          <w:rPr>
                            <w:rStyle w:val="acopre"/>
                            <w:rFonts w:ascii="Cambria Math" w:hAnsi="Cambria Math"/>
                            <w:i/>
                          </w:rPr>
                        </m:ctrlPr>
                      </m:sSupPr>
                      <m:e>
                        <m:acc>
                          <m:accPr>
                            <m:chr m:val="̅"/>
                            <m:ctrlPr>
                              <w:rPr>
                                <w:rStyle w:val="acopre"/>
                                <w:rFonts w:ascii="Cambria Math" w:hAnsi="Cambria Math"/>
                                <w:i/>
                              </w:rPr>
                            </m:ctrlPr>
                          </m:accPr>
                          <m:e>
                            <m:r>
                              <w:rPr>
                                <w:rStyle w:val="acopre"/>
                                <w:rFonts w:ascii="Cambria Math" w:hAnsi="Cambria Math"/>
                              </w:rPr>
                              <m:t>x</m:t>
                            </m:r>
                          </m:e>
                        </m:acc>
                      </m:e>
                      <m:sup>
                        <m:r>
                          <w:rPr>
                            <w:rStyle w:val="acopre"/>
                            <w:rFonts w:ascii="Cambria Math" w:hAnsi="Cambria Math"/>
                          </w:rPr>
                          <m:t>sim</m:t>
                        </m:r>
                      </m:sup>
                    </m:sSup>
                  </m:e>
                </m:d>
              </m:e>
            </m:nary>
          </m:num>
          <m:den>
            <m:rad>
              <m:radPr>
                <m:degHide m:val="1"/>
                <m:ctrlPr>
                  <w:rPr>
                    <w:rStyle w:val="acopre"/>
                    <w:rFonts w:ascii="Cambria Math" w:hAnsi="Cambria Math"/>
                    <w:i/>
                  </w:rPr>
                </m:ctrlPr>
              </m:radPr>
              <m:deg/>
              <m:e>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sSup>
                      <m:sSupPr>
                        <m:ctrlPr>
                          <w:rPr>
                            <w:rStyle w:val="acopre"/>
                            <w:rFonts w:ascii="Cambria Math" w:hAnsi="Cambria Math"/>
                            <w:i/>
                          </w:rPr>
                        </m:ctrlPr>
                      </m:sSupPr>
                      <m:e>
                        <m:d>
                          <m:dPr>
                            <m:ctrlPr>
                              <w:rPr>
                                <w:rStyle w:val="acopre"/>
                                <w:rFonts w:ascii="Cambria Math" w:hAnsi="Cambria Math"/>
                                <w:i/>
                              </w:rPr>
                            </m:ctrlPr>
                          </m:dPr>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obs</m:t>
                                </m:r>
                              </m:sup>
                            </m:sSubSup>
                            <m:r>
                              <w:rPr>
                                <w:rStyle w:val="acopre"/>
                                <w:rFonts w:ascii="Cambria Math" w:hAnsi="Cambria Math"/>
                              </w:rPr>
                              <m:t>-</m:t>
                            </m:r>
                            <m:sSup>
                              <m:sSupPr>
                                <m:ctrlPr>
                                  <w:rPr>
                                    <w:rStyle w:val="acopre"/>
                                    <w:rFonts w:ascii="Cambria Math" w:hAnsi="Cambria Math"/>
                                    <w:i/>
                                  </w:rPr>
                                </m:ctrlPr>
                              </m:sSupPr>
                              <m:e>
                                <m:acc>
                                  <m:accPr>
                                    <m:chr m:val="̅"/>
                                    <m:ctrlPr>
                                      <w:rPr>
                                        <w:rStyle w:val="acopre"/>
                                        <w:rFonts w:ascii="Cambria Math" w:hAnsi="Cambria Math"/>
                                        <w:i/>
                                      </w:rPr>
                                    </m:ctrlPr>
                                  </m:accPr>
                                  <m:e>
                                    <m:r>
                                      <w:rPr>
                                        <w:rStyle w:val="acopre"/>
                                        <w:rFonts w:ascii="Cambria Math" w:hAnsi="Cambria Math"/>
                                      </w:rPr>
                                      <m:t>x</m:t>
                                    </m:r>
                                  </m:e>
                                </m:acc>
                              </m:e>
                              <m:sup>
                                <m:r>
                                  <w:rPr>
                                    <w:rStyle w:val="acopre"/>
                                    <w:rFonts w:ascii="Cambria Math" w:hAnsi="Cambria Math"/>
                                  </w:rPr>
                                  <m:t>obs</m:t>
                                </m:r>
                              </m:sup>
                            </m:sSup>
                          </m:e>
                        </m:d>
                      </m:e>
                      <m:sup>
                        <m:r>
                          <w:rPr>
                            <w:rStyle w:val="acopre"/>
                            <w:rFonts w:ascii="Cambria Math" w:hAnsi="Cambria Math"/>
                          </w:rPr>
                          <m:t>2</m:t>
                        </m:r>
                      </m:sup>
                    </m:sSup>
                  </m:e>
                </m:nary>
                <m:r>
                  <w:rPr>
                    <w:rStyle w:val="acopre"/>
                    <w:rFonts w:ascii="Cambria Math" w:hAnsi="Cambria Math"/>
                  </w:rPr>
                  <m:t>⋅</m:t>
                </m:r>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sSup>
                      <m:sSupPr>
                        <m:ctrlPr>
                          <w:rPr>
                            <w:rStyle w:val="acopre"/>
                            <w:rFonts w:ascii="Cambria Math" w:hAnsi="Cambria Math"/>
                            <w:i/>
                          </w:rPr>
                        </m:ctrlPr>
                      </m:sSupPr>
                      <m:e>
                        <m:d>
                          <m:dPr>
                            <m:ctrlPr>
                              <w:rPr>
                                <w:rStyle w:val="acopre"/>
                                <w:rFonts w:ascii="Cambria Math" w:hAnsi="Cambria Math"/>
                                <w:i/>
                              </w:rPr>
                            </m:ctrlPr>
                          </m:dPr>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sim</m:t>
                                </m:r>
                              </m:sup>
                            </m:sSubSup>
                            <m:r>
                              <w:rPr>
                                <w:rStyle w:val="acopre"/>
                                <w:rFonts w:ascii="Cambria Math" w:hAnsi="Cambria Math"/>
                              </w:rPr>
                              <m:t>-</m:t>
                            </m:r>
                            <m:sSup>
                              <m:sSupPr>
                                <m:ctrlPr>
                                  <w:rPr>
                                    <w:rStyle w:val="acopre"/>
                                    <w:rFonts w:ascii="Cambria Math" w:hAnsi="Cambria Math"/>
                                    <w:i/>
                                  </w:rPr>
                                </m:ctrlPr>
                              </m:sSupPr>
                              <m:e>
                                <m:acc>
                                  <m:accPr>
                                    <m:chr m:val="̅"/>
                                    <m:ctrlPr>
                                      <w:rPr>
                                        <w:rStyle w:val="acopre"/>
                                        <w:rFonts w:ascii="Cambria Math" w:hAnsi="Cambria Math"/>
                                        <w:i/>
                                      </w:rPr>
                                    </m:ctrlPr>
                                  </m:accPr>
                                  <m:e>
                                    <m:r>
                                      <w:rPr>
                                        <w:rStyle w:val="acopre"/>
                                        <w:rFonts w:ascii="Cambria Math" w:hAnsi="Cambria Math"/>
                                      </w:rPr>
                                      <m:t>x</m:t>
                                    </m:r>
                                  </m:e>
                                </m:acc>
                              </m:e>
                              <m:sup>
                                <m:r>
                                  <w:rPr>
                                    <w:rStyle w:val="acopre"/>
                                    <w:rFonts w:ascii="Cambria Math" w:hAnsi="Cambria Math"/>
                                  </w:rPr>
                                  <m:t>sim</m:t>
                                </m:r>
                              </m:sup>
                            </m:sSup>
                          </m:e>
                        </m:d>
                      </m:e>
                      <m:sup>
                        <m:r>
                          <w:rPr>
                            <w:rStyle w:val="acopre"/>
                            <w:rFonts w:ascii="Cambria Math" w:hAnsi="Cambria Math"/>
                          </w:rPr>
                          <m:t>2</m:t>
                        </m:r>
                      </m:sup>
                    </m:sSup>
                  </m:e>
                </m:nary>
              </m:e>
            </m:rad>
          </m:den>
        </m:f>
      </m:oMath>
      <w:r w:rsidR="00396DEB">
        <w:rPr>
          <w:rStyle w:val="acopre"/>
        </w:rPr>
        <w:t xml:space="preserve"> </w:t>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sidR="00396DEB">
        <w:rPr>
          <w:rStyle w:val="acopre"/>
        </w:rPr>
        <w:tab/>
      </w:r>
      <w:r>
        <w:rPr>
          <w:rStyle w:val="acopre"/>
        </w:rPr>
        <w:t>(</w:t>
      </w:r>
      <w:r w:rsidR="00380F25">
        <w:rPr>
          <w:rStyle w:val="acopre"/>
        </w:rPr>
        <w:t>10</w:t>
      </w:r>
      <w:r>
        <w:rPr>
          <w:rStyle w:val="acopre"/>
        </w:rPr>
        <w:t xml:space="preserve">) </w:t>
      </w:r>
    </w:p>
    <w:p w:rsidR="00BD6F9B" w:rsidRDefault="001D515E" w:rsidP="00396DEB">
      <w:pPr>
        <w:tabs>
          <w:tab w:val="left" w:pos="7920"/>
        </w:tabs>
        <w:spacing w:before="120" w:after="120" w:line="360" w:lineRule="auto"/>
        <w:jc w:val="both"/>
        <w:rPr>
          <w:rStyle w:val="acopre"/>
        </w:rPr>
      </w:pPr>
      <m:oMath>
        <m:r>
          <w:rPr>
            <w:rStyle w:val="acopre"/>
            <w:rFonts w:ascii="Cambria Math" w:hAnsi="Cambria Math"/>
          </w:rPr>
          <m:t>α=</m:t>
        </m:r>
        <m:f>
          <m:fPr>
            <m:ctrlPr>
              <w:rPr>
                <w:rStyle w:val="acopre"/>
                <w:rFonts w:ascii="Cambria Math" w:hAnsi="Cambria Math"/>
                <w:i/>
              </w:rPr>
            </m:ctrlPr>
          </m:fPr>
          <m:num>
            <m:rad>
              <m:radPr>
                <m:degHide m:val="1"/>
                <m:ctrlPr>
                  <w:rPr>
                    <w:rStyle w:val="acopre"/>
                    <w:rFonts w:ascii="Cambria Math" w:hAnsi="Cambria Math"/>
                    <w:i/>
                  </w:rPr>
                </m:ctrlPr>
              </m:radPr>
              <m:deg/>
              <m:e>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sSup>
                      <m:sSupPr>
                        <m:ctrlPr>
                          <w:rPr>
                            <w:rStyle w:val="acopre"/>
                            <w:rFonts w:ascii="Cambria Math" w:hAnsi="Cambria Math"/>
                            <w:i/>
                          </w:rPr>
                        </m:ctrlPr>
                      </m:sSupPr>
                      <m:e>
                        <m:d>
                          <m:dPr>
                            <m:ctrlPr>
                              <w:rPr>
                                <w:rStyle w:val="acopre"/>
                                <w:rFonts w:ascii="Cambria Math" w:hAnsi="Cambria Math"/>
                                <w:i/>
                              </w:rPr>
                            </m:ctrlPr>
                          </m:dPr>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sim</m:t>
                                </m:r>
                              </m:sup>
                            </m:sSubSup>
                            <m:r>
                              <w:rPr>
                                <w:rStyle w:val="acopre"/>
                                <w:rFonts w:ascii="Cambria Math" w:hAnsi="Cambria Math"/>
                              </w:rPr>
                              <m:t>-</m:t>
                            </m:r>
                            <m:sSup>
                              <m:sSupPr>
                                <m:ctrlPr>
                                  <w:rPr>
                                    <w:rStyle w:val="acopre"/>
                                    <w:rFonts w:ascii="Cambria Math" w:hAnsi="Cambria Math"/>
                                    <w:i/>
                                  </w:rPr>
                                </m:ctrlPr>
                              </m:sSupPr>
                              <m:e>
                                <m:acc>
                                  <m:accPr>
                                    <m:chr m:val="̅"/>
                                    <m:ctrlPr>
                                      <w:rPr>
                                        <w:rStyle w:val="acopre"/>
                                        <w:rFonts w:ascii="Cambria Math" w:hAnsi="Cambria Math"/>
                                        <w:i/>
                                      </w:rPr>
                                    </m:ctrlPr>
                                  </m:accPr>
                                  <m:e>
                                    <m:r>
                                      <w:rPr>
                                        <w:rStyle w:val="acopre"/>
                                        <w:rFonts w:ascii="Cambria Math" w:hAnsi="Cambria Math"/>
                                      </w:rPr>
                                      <m:t>x</m:t>
                                    </m:r>
                                  </m:e>
                                </m:acc>
                              </m:e>
                              <m:sup>
                                <m:r>
                                  <w:rPr>
                                    <w:rStyle w:val="acopre"/>
                                    <w:rFonts w:ascii="Cambria Math" w:hAnsi="Cambria Math"/>
                                  </w:rPr>
                                  <m:t>sim</m:t>
                                </m:r>
                              </m:sup>
                            </m:sSup>
                          </m:e>
                        </m:d>
                      </m:e>
                      <m:sup>
                        <m:r>
                          <w:rPr>
                            <w:rStyle w:val="acopre"/>
                            <w:rFonts w:ascii="Cambria Math" w:hAnsi="Cambria Math"/>
                          </w:rPr>
                          <m:t>2</m:t>
                        </m:r>
                      </m:sup>
                    </m:sSup>
                  </m:e>
                </m:nary>
              </m:e>
            </m:rad>
          </m:num>
          <m:den>
            <m:rad>
              <m:radPr>
                <m:degHide m:val="1"/>
                <m:ctrlPr>
                  <w:rPr>
                    <w:rStyle w:val="acopre"/>
                    <w:rFonts w:ascii="Cambria Math" w:hAnsi="Cambria Math"/>
                    <w:i/>
                  </w:rPr>
                </m:ctrlPr>
              </m:radPr>
              <m:deg/>
              <m:e>
                <m:nary>
                  <m:naryPr>
                    <m:chr m:val="∑"/>
                    <m:limLoc m:val="undOvr"/>
                    <m:ctrlPr>
                      <w:rPr>
                        <w:rStyle w:val="acopre"/>
                        <w:rFonts w:ascii="Cambria Math" w:hAnsi="Cambria Math"/>
                        <w:i/>
                      </w:rPr>
                    </m:ctrlPr>
                  </m:naryPr>
                  <m:sub>
                    <m:r>
                      <w:rPr>
                        <w:rStyle w:val="acopre"/>
                        <w:rFonts w:ascii="Cambria Math" w:hAnsi="Cambria Math"/>
                      </w:rPr>
                      <m:t>i=1</m:t>
                    </m:r>
                  </m:sub>
                  <m:sup>
                    <m:r>
                      <w:rPr>
                        <w:rStyle w:val="acopre"/>
                        <w:rFonts w:ascii="Cambria Math" w:hAnsi="Cambria Math"/>
                      </w:rPr>
                      <m:t>n</m:t>
                    </m:r>
                  </m:sup>
                  <m:e>
                    <m:sSup>
                      <m:sSupPr>
                        <m:ctrlPr>
                          <w:rPr>
                            <w:rStyle w:val="acopre"/>
                            <w:rFonts w:ascii="Cambria Math" w:hAnsi="Cambria Math"/>
                            <w:i/>
                          </w:rPr>
                        </m:ctrlPr>
                      </m:sSupPr>
                      <m:e>
                        <m:d>
                          <m:dPr>
                            <m:ctrlPr>
                              <w:rPr>
                                <w:rStyle w:val="acopre"/>
                                <w:rFonts w:ascii="Cambria Math" w:hAnsi="Cambria Math"/>
                                <w:i/>
                              </w:rPr>
                            </m:ctrlPr>
                          </m:dPr>
                          <m:e>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i</m:t>
                                </m:r>
                              </m:sub>
                              <m:sup>
                                <m:r>
                                  <w:rPr>
                                    <w:rStyle w:val="acopre"/>
                                    <w:rFonts w:ascii="Cambria Math" w:hAnsi="Cambria Math"/>
                                  </w:rPr>
                                  <m:t>obs</m:t>
                                </m:r>
                              </m:sup>
                            </m:sSubSup>
                            <m:r>
                              <w:rPr>
                                <w:rStyle w:val="acopre"/>
                                <w:rFonts w:ascii="Cambria Math" w:hAnsi="Cambria Math"/>
                              </w:rPr>
                              <m:t>-</m:t>
                            </m:r>
                            <m:sSup>
                              <m:sSupPr>
                                <m:ctrlPr>
                                  <w:rPr>
                                    <w:rStyle w:val="acopre"/>
                                    <w:rFonts w:ascii="Cambria Math" w:hAnsi="Cambria Math"/>
                                    <w:i/>
                                  </w:rPr>
                                </m:ctrlPr>
                              </m:sSupPr>
                              <m:e>
                                <m:acc>
                                  <m:accPr>
                                    <m:chr m:val="̅"/>
                                    <m:ctrlPr>
                                      <w:rPr>
                                        <w:rStyle w:val="acopre"/>
                                        <w:rFonts w:ascii="Cambria Math" w:hAnsi="Cambria Math"/>
                                        <w:i/>
                                      </w:rPr>
                                    </m:ctrlPr>
                                  </m:accPr>
                                  <m:e>
                                    <m:r>
                                      <w:rPr>
                                        <w:rStyle w:val="acopre"/>
                                        <w:rFonts w:ascii="Cambria Math" w:hAnsi="Cambria Math"/>
                                      </w:rPr>
                                      <m:t>x</m:t>
                                    </m:r>
                                  </m:e>
                                </m:acc>
                              </m:e>
                              <m:sup>
                                <m:r>
                                  <w:rPr>
                                    <w:rStyle w:val="acopre"/>
                                    <w:rFonts w:ascii="Cambria Math" w:hAnsi="Cambria Math"/>
                                  </w:rPr>
                                  <m:t>obs</m:t>
                                </m:r>
                              </m:sup>
                            </m:sSup>
                          </m:e>
                        </m:d>
                      </m:e>
                      <m:sup>
                        <m:r>
                          <w:rPr>
                            <w:rStyle w:val="acopre"/>
                            <w:rFonts w:ascii="Cambria Math" w:hAnsi="Cambria Math"/>
                          </w:rPr>
                          <m:t>2</m:t>
                        </m:r>
                      </m:sup>
                    </m:sSup>
                  </m:e>
                </m:nary>
              </m:e>
            </m:rad>
          </m:den>
        </m:f>
      </m:oMath>
      <w:r w:rsidR="00396DEB">
        <w:rPr>
          <w:rStyle w:val="acopre"/>
        </w:rPr>
        <w:t xml:space="preserve"> </w:t>
      </w:r>
      <w:r w:rsidR="00396DEB">
        <w:rPr>
          <w:rStyle w:val="acopre"/>
        </w:rPr>
        <w:tab/>
      </w:r>
      <w:r w:rsidR="00BD6F9B">
        <w:rPr>
          <w:rStyle w:val="acopre"/>
        </w:rPr>
        <w:t>(</w:t>
      </w:r>
      <w:r w:rsidR="00D23B51">
        <w:rPr>
          <w:rStyle w:val="acopre"/>
        </w:rPr>
        <w:t>1</w:t>
      </w:r>
      <w:r w:rsidR="00380F25">
        <w:rPr>
          <w:rStyle w:val="acopre"/>
        </w:rPr>
        <w:t>1</w:t>
      </w:r>
      <w:r w:rsidR="00BD6F9B">
        <w:rPr>
          <w:rStyle w:val="acopre"/>
        </w:rPr>
        <w:t xml:space="preserve">) </w:t>
      </w:r>
    </w:p>
    <w:p w:rsidR="00B23958" w:rsidRDefault="001D515E" w:rsidP="00396DEB">
      <w:pPr>
        <w:tabs>
          <w:tab w:val="left" w:pos="7830"/>
        </w:tabs>
        <w:spacing w:before="120" w:after="120" w:line="360" w:lineRule="auto"/>
        <w:jc w:val="both"/>
        <w:rPr>
          <w:rStyle w:val="acopre"/>
        </w:rPr>
      </w:pPr>
      <m:oMath>
        <m:r>
          <w:rPr>
            <w:rStyle w:val="acopre"/>
            <w:rFonts w:ascii="Cambria Math" w:hAnsi="Cambria Math"/>
          </w:rPr>
          <m:t>β=</m:t>
        </m:r>
        <m:f>
          <m:fPr>
            <m:ctrlPr>
              <w:rPr>
                <w:rStyle w:val="acopre"/>
                <w:rFonts w:ascii="Cambria Math" w:hAnsi="Cambria Math"/>
                <w:i/>
              </w:rPr>
            </m:ctrlPr>
          </m:fPr>
          <m:num>
            <m:sSup>
              <m:sSupPr>
                <m:ctrlPr>
                  <w:rPr>
                    <w:rStyle w:val="acopre"/>
                    <w:rFonts w:ascii="Cambria Math" w:hAnsi="Cambria Math"/>
                    <w:i/>
                  </w:rPr>
                </m:ctrlPr>
              </m:sSupPr>
              <m:e>
                <m:acc>
                  <m:accPr>
                    <m:chr m:val="̅"/>
                    <m:ctrlPr>
                      <w:rPr>
                        <w:rStyle w:val="acopre"/>
                        <w:rFonts w:ascii="Cambria Math" w:hAnsi="Cambria Math"/>
                        <w:i/>
                      </w:rPr>
                    </m:ctrlPr>
                  </m:accPr>
                  <m:e>
                    <m:r>
                      <w:rPr>
                        <w:rStyle w:val="acopre"/>
                        <w:rFonts w:ascii="Cambria Math" w:hAnsi="Cambria Math"/>
                      </w:rPr>
                      <m:t>x</m:t>
                    </m:r>
                  </m:e>
                </m:acc>
              </m:e>
              <m:sup>
                <m:r>
                  <w:rPr>
                    <w:rStyle w:val="acopre"/>
                    <w:rFonts w:ascii="Cambria Math" w:hAnsi="Cambria Math"/>
                  </w:rPr>
                  <m:t>sim</m:t>
                </m:r>
              </m:sup>
            </m:sSup>
          </m:num>
          <m:den>
            <m:sSup>
              <m:sSupPr>
                <m:ctrlPr>
                  <w:rPr>
                    <w:rStyle w:val="acopre"/>
                    <w:rFonts w:ascii="Cambria Math" w:hAnsi="Cambria Math"/>
                    <w:i/>
                  </w:rPr>
                </m:ctrlPr>
              </m:sSupPr>
              <m:e>
                <m:acc>
                  <m:accPr>
                    <m:chr m:val="̅"/>
                    <m:ctrlPr>
                      <w:rPr>
                        <w:rStyle w:val="acopre"/>
                        <w:rFonts w:ascii="Cambria Math" w:hAnsi="Cambria Math"/>
                        <w:i/>
                      </w:rPr>
                    </m:ctrlPr>
                  </m:accPr>
                  <m:e>
                    <m:r>
                      <w:rPr>
                        <w:rStyle w:val="acopre"/>
                        <w:rFonts w:ascii="Cambria Math" w:hAnsi="Cambria Math"/>
                      </w:rPr>
                      <m:t>x</m:t>
                    </m:r>
                  </m:e>
                </m:acc>
              </m:e>
              <m:sup>
                <m:r>
                  <w:rPr>
                    <w:rStyle w:val="acopre"/>
                    <w:rFonts w:ascii="Cambria Math" w:hAnsi="Cambria Math"/>
                  </w:rPr>
                  <m:t>obs</m:t>
                </m:r>
              </m:sup>
            </m:sSup>
          </m:den>
        </m:f>
      </m:oMath>
      <w:r w:rsidR="00396DEB">
        <w:rPr>
          <w:rStyle w:val="acopre"/>
        </w:rPr>
        <w:t xml:space="preserve"> </w:t>
      </w:r>
      <w:r w:rsidR="00396DEB">
        <w:rPr>
          <w:rStyle w:val="acopre"/>
        </w:rPr>
        <w:tab/>
        <w:t xml:space="preserve"> </w:t>
      </w:r>
      <w:r w:rsidR="003706EE">
        <w:rPr>
          <w:rStyle w:val="acopre"/>
        </w:rPr>
        <w:t>(</w:t>
      </w:r>
      <w:r w:rsidR="00D23B51">
        <w:rPr>
          <w:rStyle w:val="acopre"/>
        </w:rPr>
        <w:t>1</w:t>
      </w:r>
      <w:r w:rsidR="00380F25">
        <w:rPr>
          <w:rStyle w:val="acopre"/>
        </w:rPr>
        <w:t>2</w:t>
      </w:r>
      <w:r w:rsidR="003706EE">
        <w:rPr>
          <w:rStyle w:val="acopre"/>
        </w:rPr>
        <w:t xml:space="preserve">) </w:t>
      </w:r>
    </w:p>
    <w:p w:rsidR="00CC34A3" w:rsidRPr="00506EFB" w:rsidRDefault="00CC34A3" w:rsidP="00396DEB">
      <w:pPr>
        <w:tabs>
          <w:tab w:val="clear" w:pos="720"/>
          <w:tab w:val="left" w:pos="7830"/>
        </w:tabs>
        <w:spacing w:before="120" w:after="120" w:line="360" w:lineRule="auto"/>
        <w:jc w:val="both"/>
        <w:rPr>
          <w:rStyle w:val="acopre"/>
        </w:rPr>
      </w:pPr>
      <m:oMath>
        <m:r>
          <w:rPr>
            <w:rStyle w:val="acopre"/>
            <w:rFonts w:ascii="Cambria Math" w:hAnsi="Cambria Math"/>
          </w:rPr>
          <m:t>γ=</m:t>
        </m:r>
        <m:f>
          <m:fPr>
            <m:ctrlPr>
              <w:rPr>
                <w:rStyle w:val="acopre"/>
                <w:rFonts w:ascii="Cambria Math" w:hAnsi="Cambria Math"/>
                <w:i/>
              </w:rPr>
            </m:ctrlPr>
          </m:fPr>
          <m:num>
            <m:nary>
              <m:naryPr>
                <m:chr m:val="∑"/>
                <m:limLoc m:val="undOvr"/>
                <m:ctrlPr>
                  <w:rPr>
                    <w:rStyle w:val="acopre"/>
                    <w:rFonts w:ascii="Cambria Math" w:hAnsi="Cambria Math"/>
                    <w:i/>
                  </w:rPr>
                </m:ctrlPr>
              </m:naryPr>
              <m:sub>
                <m:r>
                  <w:rPr>
                    <w:rStyle w:val="acopre"/>
                    <w:rFonts w:ascii="Cambria Math" w:hAnsi="Cambria Math"/>
                  </w:rPr>
                  <m:t>j=1</m:t>
                </m:r>
              </m:sub>
              <m:sup>
                <m:r>
                  <w:rPr>
                    <w:rStyle w:val="acopre"/>
                    <w:rFonts w:ascii="Cambria Math" w:hAnsi="Cambria Math"/>
                  </w:rPr>
                  <m:t>m</m:t>
                </m:r>
              </m:sup>
              <m:e>
                <m:r>
                  <m:rPr>
                    <m:sty m:val="p"/>
                  </m:rPr>
                  <w:rPr>
                    <w:rStyle w:val="acopre"/>
                    <w:rFonts w:ascii="Cambria Math" w:hAnsi="Cambria Math"/>
                  </w:rPr>
                  <m:t>min⁡</m:t>
                </m:r>
                <m:r>
                  <w:rPr>
                    <w:rStyle w:val="acopre"/>
                    <w:rFonts w:ascii="Cambria Math" w:hAnsi="Cambria Math"/>
                  </w:rPr>
                  <m:t>(</m:t>
                </m:r>
                <m:sSub>
                  <m:sSubPr>
                    <m:ctrlPr>
                      <w:rPr>
                        <w:rStyle w:val="acopre"/>
                        <w:rFonts w:ascii="Cambria Math" w:hAnsi="Cambria Math"/>
                        <w:i/>
                      </w:rPr>
                    </m:ctrlPr>
                  </m:sSubPr>
                  <m:e>
                    <m:r>
                      <w:rPr>
                        <w:rStyle w:val="acopre"/>
                        <w:rFonts w:ascii="Cambria Math" w:hAnsi="Cambria Math"/>
                      </w:rPr>
                      <m:t>K</m:t>
                    </m:r>
                  </m:e>
                  <m:sub>
                    <m:r>
                      <w:rPr>
                        <w:rStyle w:val="acopre"/>
                        <w:rFonts w:ascii="Cambria Math" w:hAnsi="Cambria Math"/>
                      </w:rPr>
                      <m:t>j</m:t>
                    </m:r>
                  </m:sub>
                </m:sSub>
                <m:r>
                  <w:rPr>
                    <w:rStyle w:val="acopre"/>
                    <w:rFonts w:ascii="Cambria Math" w:hAnsi="Cambria Math"/>
                  </w:rPr>
                  <m:t xml:space="preserve">, </m:t>
                </m:r>
                <m:sSub>
                  <m:sSubPr>
                    <m:ctrlPr>
                      <w:rPr>
                        <w:rStyle w:val="acopre"/>
                        <w:rFonts w:ascii="Cambria Math" w:hAnsi="Cambria Math"/>
                        <w:i/>
                      </w:rPr>
                    </m:ctrlPr>
                  </m:sSubPr>
                  <m:e>
                    <m:r>
                      <w:rPr>
                        <w:rStyle w:val="acopre"/>
                        <w:rFonts w:ascii="Cambria Math" w:hAnsi="Cambria Math"/>
                      </w:rPr>
                      <m:t xml:space="preserve"> L</m:t>
                    </m:r>
                  </m:e>
                  <m:sub>
                    <m:r>
                      <w:rPr>
                        <w:rStyle w:val="acopre"/>
                        <w:rFonts w:ascii="Cambria Math" w:hAnsi="Cambria Math"/>
                      </w:rPr>
                      <m:t>j</m:t>
                    </m:r>
                  </m:sub>
                </m:sSub>
                <m:r>
                  <w:rPr>
                    <w:rStyle w:val="acopre"/>
                    <w:rFonts w:ascii="Cambria Math" w:hAnsi="Cambria Math"/>
                  </w:rPr>
                  <m:t>)</m:t>
                </m:r>
              </m:e>
            </m:nary>
          </m:num>
          <m:den>
            <m:nary>
              <m:naryPr>
                <m:chr m:val="∑"/>
                <m:limLoc m:val="undOvr"/>
                <m:ctrlPr>
                  <w:rPr>
                    <w:rStyle w:val="acopre"/>
                    <w:rFonts w:ascii="Cambria Math" w:hAnsi="Cambria Math"/>
                    <w:i/>
                  </w:rPr>
                </m:ctrlPr>
              </m:naryPr>
              <m:sub>
                <m:r>
                  <w:rPr>
                    <w:rStyle w:val="acopre"/>
                    <w:rFonts w:ascii="Cambria Math" w:hAnsi="Cambria Math"/>
                  </w:rPr>
                  <m:t>j=1</m:t>
                </m:r>
              </m:sub>
              <m:sup>
                <m:r>
                  <w:rPr>
                    <w:rStyle w:val="acopre"/>
                    <w:rFonts w:ascii="Cambria Math" w:hAnsi="Cambria Math"/>
                  </w:rPr>
                  <m:t>m</m:t>
                </m:r>
              </m:sup>
              <m:e>
                <m:sSub>
                  <m:sSubPr>
                    <m:ctrlPr>
                      <w:rPr>
                        <w:rStyle w:val="acopre"/>
                        <w:rFonts w:ascii="Cambria Math" w:hAnsi="Cambria Math"/>
                        <w:i/>
                      </w:rPr>
                    </m:ctrlPr>
                  </m:sSubPr>
                  <m:e>
                    <m:r>
                      <w:rPr>
                        <w:rStyle w:val="acopre"/>
                        <w:rFonts w:ascii="Cambria Math" w:hAnsi="Cambria Math"/>
                      </w:rPr>
                      <m:t>K</m:t>
                    </m:r>
                  </m:e>
                  <m:sub>
                    <m:r>
                      <w:rPr>
                        <w:rStyle w:val="acopre"/>
                        <w:rFonts w:ascii="Cambria Math" w:hAnsi="Cambria Math"/>
                      </w:rPr>
                      <m:t>j</m:t>
                    </m:r>
                  </m:sub>
                </m:sSub>
              </m:e>
            </m:nary>
          </m:den>
        </m:f>
      </m:oMath>
      <w:r w:rsidR="00396DEB">
        <w:rPr>
          <w:rStyle w:val="acopre"/>
        </w:rPr>
        <w:t xml:space="preserve"> </w:t>
      </w:r>
      <w:r w:rsidR="00396DEB">
        <w:rPr>
          <w:rStyle w:val="acopre"/>
        </w:rPr>
        <w:tab/>
      </w:r>
      <w:r>
        <w:rPr>
          <w:rStyle w:val="acopre"/>
        </w:rPr>
        <w:t xml:space="preserve"> (1</w:t>
      </w:r>
      <w:r w:rsidR="00380F25">
        <w:rPr>
          <w:rStyle w:val="acopre"/>
        </w:rPr>
        <w:t>3</w:t>
      </w:r>
      <w:r>
        <w:rPr>
          <w:rStyle w:val="acopre"/>
        </w:rPr>
        <w:t xml:space="preserve">) </w:t>
      </w:r>
    </w:p>
    <w:p w:rsidR="005F2BE7" w:rsidRPr="00506EFB" w:rsidRDefault="002762C4" w:rsidP="00EE2898">
      <w:pPr>
        <w:spacing w:before="120" w:after="120" w:line="360" w:lineRule="auto"/>
        <w:jc w:val="both"/>
        <w:rPr>
          <w:rStyle w:val="acopre"/>
        </w:rPr>
      </w:pPr>
      <w:proofErr w:type="gramStart"/>
      <w:r>
        <w:rPr>
          <w:rStyle w:val="acopre"/>
        </w:rPr>
        <w:t>where</w:t>
      </w:r>
      <w:proofErr w:type="gramEnd"/>
      <w:r>
        <w:t xml:space="preserve"> </w:t>
      </w:r>
      <m:oMath>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j</m:t>
            </m:r>
          </m:sub>
          <m:sup>
            <m:r>
              <w:rPr>
                <w:rStyle w:val="acopre"/>
                <w:rFonts w:ascii="Cambria Math" w:hAnsi="Cambria Math"/>
              </w:rPr>
              <m:t>sim</m:t>
            </m:r>
          </m:sup>
        </m:sSubSup>
      </m:oMath>
      <w:r>
        <w:rPr>
          <w:rStyle w:val="acopre"/>
        </w:rPr>
        <w:t xml:space="preserve"> and </w:t>
      </w:r>
      <m:oMath>
        <m:sSubSup>
          <m:sSubSupPr>
            <m:ctrlPr>
              <w:rPr>
                <w:rStyle w:val="acopre"/>
                <w:rFonts w:ascii="Cambria Math" w:hAnsi="Cambria Math"/>
                <w:i/>
              </w:rPr>
            </m:ctrlPr>
          </m:sSubSupPr>
          <m:e>
            <m:r>
              <w:rPr>
                <w:rStyle w:val="acopre"/>
                <w:rFonts w:ascii="Cambria Math" w:hAnsi="Cambria Math"/>
              </w:rPr>
              <m:t>x</m:t>
            </m:r>
          </m:e>
          <m:sub>
            <m:r>
              <w:rPr>
                <w:rStyle w:val="acopre"/>
                <w:rFonts w:ascii="Cambria Math" w:hAnsi="Cambria Math"/>
              </w:rPr>
              <m:t>j</m:t>
            </m:r>
          </m:sub>
          <m:sup>
            <m:r>
              <w:rPr>
                <w:rStyle w:val="acopre"/>
                <w:rFonts w:ascii="Cambria Math" w:hAnsi="Cambria Math"/>
              </w:rPr>
              <m:t>obs</m:t>
            </m:r>
          </m:sup>
        </m:sSubSup>
      </m:oMath>
      <w:r>
        <w:rPr>
          <w:rStyle w:val="acopre"/>
        </w:rPr>
        <w:t xml:space="preserve"> are the simulated and observed</w:t>
      </w:r>
      <w:r w:rsidR="003D3ACF">
        <w:rPr>
          <w:rStyle w:val="acopre"/>
        </w:rPr>
        <w:t xml:space="preserve"> values</w:t>
      </w:r>
      <w:r>
        <w:rPr>
          <w:rStyle w:val="acopre"/>
        </w:rPr>
        <w:t xml:space="preserve"> (in this study is the simulated ETa and from satellite-derived ETa), </w:t>
      </w:r>
      <m:oMath>
        <m:sSup>
          <m:sSupPr>
            <m:ctrlPr>
              <w:rPr>
                <w:rStyle w:val="acopre"/>
                <w:rFonts w:ascii="Cambria Math" w:hAnsi="Cambria Math"/>
                <w:i/>
              </w:rPr>
            </m:ctrlPr>
          </m:sSupPr>
          <m:e>
            <m:acc>
              <m:accPr>
                <m:chr m:val="̅"/>
                <m:ctrlPr>
                  <w:rPr>
                    <w:rStyle w:val="acopre"/>
                    <w:rFonts w:ascii="Cambria Math" w:hAnsi="Cambria Math"/>
                    <w:i/>
                  </w:rPr>
                </m:ctrlPr>
              </m:accPr>
              <m:e>
                <m:r>
                  <w:rPr>
                    <w:rStyle w:val="acopre"/>
                    <w:rFonts w:ascii="Cambria Math" w:hAnsi="Cambria Math"/>
                  </w:rPr>
                  <m:t>x</m:t>
                </m:r>
              </m:e>
            </m:acc>
          </m:e>
          <m:sup>
            <m:r>
              <w:rPr>
                <w:rStyle w:val="acopre"/>
                <w:rFonts w:ascii="Cambria Math" w:hAnsi="Cambria Math"/>
              </w:rPr>
              <m:t>obs</m:t>
            </m:r>
          </m:sup>
        </m:sSup>
      </m:oMath>
      <w:r>
        <w:rPr>
          <w:rStyle w:val="acopre"/>
        </w:rPr>
        <w:t xml:space="preserve"> is the mean of observed </w:t>
      </w:r>
      <m:oMath>
        <m:r>
          <w:rPr>
            <w:rStyle w:val="acopre"/>
            <w:rFonts w:ascii="Cambria Math" w:hAnsi="Cambria Math"/>
          </w:rPr>
          <m:t>x</m:t>
        </m:r>
      </m:oMath>
      <w:r>
        <w:rPr>
          <w:rStyle w:val="acopre"/>
        </w:rPr>
        <w:t xml:space="preserve">, </w:t>
      </w:r>
      <m:oMath>
        <m:r>
          <w:rPr>
            <w:rStyle w:val="acopre"/>
            <w:rFonts w:ascii="Cambria Math" w:hAnsi="Cambria Math"/>
          </w:rPr>
          <m:t>K</m:t>
        </m:r>
      </m:oMath>
      <w:r w:rsidR="003D3ACF">
        <w:rPr>
          <w:rStyle w:val="acopre"/>
        </w:rPr>
        <w:t xml:space="preserve"> and L are the histogram</w:t>
      </w:r>
      <w:r w:rsidR="005556E9">
        <w:rPr>
          <w:rStyle w:val="acopre"/>
        </w:rPr>
        <w:t>s</w:t>
      </w:r>
      <w:r w:rsidR="003D3ACF">
        <w:rPr>
          <w:rStyle w:val="acopre"/>
        </w:rPr>
        <w:t xml:space="preserve"> of observed and simulated variables, </w:t>
      </w:r>
      <w:r w:rsidR="00CC34A3">
        <w:rPr>
          <w:rStyle w:val="acopre"/>
        </w:rPr>
        <w:t>m</w:t>
      </w:r>
      <w:r w:rsidR="003D3ACF">
        <w:rPr>
          <w:rStyle w:val="acopre"/>
        </w:rPr>
        <w:t xml:space="preserve"> is the number of bins (Koch et al., 2018).</w:t>
      </w:r>
      <w:r w:rsidR="00A749DE">
        <w:rPr>
          <w:rStyle w:val="acopre"/>
        </w:rPr>
        <w:t xml:space="preserve"> </w:t>
      </w:r>
      <m:oMath>
        <m:d>
          <m:dPr>
            <m:begChr m:val="|"/>
            <m:endChr m:val="|"/>
            <m:ctrlPr>
              <w:rPr>
                <w:rStyle w:val="texhtml"/>
                <w:rFonts w:ascii="Cambria Math" w:hAnsi="Cambria Math"/>
              </w:rPr>
            </m:ctrlPr>
          </m:dPr>
          <m:e/>
        </m:d>
      </m:oMath>
      <w:r w:rsidR="00A749DE">
        <w:rPr>
          <w:rStyle w:val="texhtml"/>
        </w:rPr>
        <w:t xml:space="preserve"> </w:t>
      </w:r>
      <w:proofErr w:type="gramStart"/>
      <w:r w:rsidR="00A749DE">
        <w:rPr>
          <w:rStyle w:val="texhtml"/>
        </w:rPr>
        <w:t>is</w:t>
      </w:r>
      <w:proofErr w:type="gramEnd"/>
      <w:r w:rsidR="00A749DE">
        <w:rPr>
          <w:rStyle w:val="texhtml"/>
        </w:rPr>
        <w:t xml:space="preserve"> the absolute </w:t>
      </w:r>
      <w:r w:rsidR="00005E02">
        <w:rPr>
          <w:rStyle w:val="texhtml"/>
        </w:rPr>
        <w:t>sign.</w:t>
      </w:r>
    </w:p>
    <w:p w:rsidR="00D8131C" w:rsidRPr="00D8131C" w:rsidRDefault="00D8131C" w:rsidP="00D8131C">
      <w:pPr>
        <w:pStyle w:val="Heading1"/>
        <w:spacing w:before="120" w:after="120"/>
        <w:rPr>
          <w:lang w:val="en-US"/>
        </w:rPr>
      </w:pPr>
      <w:r>
        <w:rPr>
          <w:lang w:val="en-US"/>
        </w:rPr>
        <w:t>3.</w:t>
      </w:r>
      <w:r w:rsidRPr="0004325A">
        <w:t xml:space="preserve"> </w:t>
      </w:r>
      <w:r>
        <w:rPr>
          <w:lang w:val="en-US"/>
        </w:rPr>
        <w:t>Results and discussion</w:t>
      </w:r>
    </w:p>
    <w:p w:rsidR="006A7A58" w:rsidRDefault="006A7A58" w:rsidP="0042487B">
      <w:pPr>
        <w:pStyle w:val="Heading2"/>
        <w:rPr>
          <w:lang w:val="en-US"/>
        </w:rPr>
      </w:pPr>
      <w:r>
        <w:rPr>
          <w:lang w:val="en-US"/>
        </w:rPr>
        <w:t>3.1</w:t>
      </w:r>
      <w:r w:rsidRPr="0004325A">
        <w:t>.</w:t>
      </w:r>
      <w:r w:rsidR="00F16919">
        <w:rPr>
          <w:lang w:val="en-US"/>
        </w:rPr>
        <w:t xml:space="preserve"> </w:t>
      </w:r>
      <w:r w:rsidR="00E0022E">
        <w:rPr>
          <w:lang w:val="en-US"/>
        </w:rPr>
        <w:t>Spatiotemporal</w:t>
      </w:r>
      <w:r w:rsidR="00F16919">
        <w:rPr>
          <w:lang w:val="en-US"/>
        </w:rPr>
        <w:t xml:space="preserve"> and </w:t>
      </w:r>
      <w:r w:rsidR="00E0022E">
        <w:rPr>
          <w:lang w:val="en-US"/>
        </w:rPr>
        <w:t xml:space="preserve">temporospatial </w:t>
      </w:r>
      <w:r w:rsidR="00F16919">
        <w:rPr>
          <w:lang w:val="en-US"/>
        </w:rPr>
        <w:t>model performance</w:t>
      </w:r>
    </w:p>
    <w:p w:rsidR="0073625C" w:rsidRDefault="00551F4D" w:rsidP="00197DF2">
      <w:pPr>
        <w:spacing w:before="120" w:after="120" w:line="360" w:lineRule="auto"/>
        <w:jc w:val="both"/>
      </w:pPr>
      <w:r>
        <w:tab/>
        <w:t xml:space="preserve">Figure </w:t>
      </w:r>
      <w:r w:rsidR="00A225A2">
        <w:t xml:space="preserve">4 shows the best model </w:t>
      </w:r>
      <w:r w:rsidR="00E0022E">
        <w:t>spatiotemporal</w:t>
      </w:r>
      <w:r w:rsidR="00B24998">
        <w:t xml:space="preserve"> and </w:t>
      </w:r>
      <w:r w:rsidR="00E0022E">
        <w:t xml:space="preserve">temporospatial </w:t>
      </w:r>
      <w:r w:rsidR="00B24998">
        <w:t xml:space="preserve">model </w:t>
      </w:r>
      <w:r w:rsidR="00A225A2">
        <w:t xml:space="preserve">performance for ETa (with MOD16 </w:t>
      </w:r>
      <w:r w:rsidR="00883786">
        <w:t xml:space="preserve">A2 </w:t>
      </w:r>
      <w:r w:rsidR="00A225A2">
        <w:t xml:space="preserve">ETa as </w:t>
      </w:r>
      <w:r w:rsidR="006633F3">
        <w:t>the reference data</w:t>
      </w:r>
      <w:r w:rsidR="00A225A2">
        <w:t xml:space="preserve">set). </w:t>
      </w:r>
      <w:r w:rsidR="0073625C">
        <w:t>It is seen that the spatial distribution of the NSE is far from homogeneous</w:t>
      </w:r>
      <w:r w:rsidR="00575CB3">
        <w:t xml:space="preserve"> (Figure 4a)</w:t>
      </w:r>
      <w:r w:rsidR="0073625C">
        <w:t xml:space="preserve">, which could not be seen in a spatially lumped approach. From the spatial distribution of NSE, the areas with a relatively poor temporal model performance compared to others could be easily </w:t>
      </w:r>
      <w:r w:rsidR="000402D2">
        <w:t>identified</w:t>
      </w:r>
      <w:r w:rsidR="0073625C">
        <w:t xml:space="preserve">. </w:t>
      </w:r>
      <w:r w:rsidR="00B24998">
        <w:t xml:space="preserve">This </w:t>
      </w:r>
      <w:r w:rsidR="00B12C31">
        <w:t>information could be used to (1) help fu</w:t>
      </w:r>
      <w:r w:rsidR="00790699">
        <w:t>r</w:t>
      </w:r>
      <w:r w:rsidR="00B12C31">
        <w:t xml:space="preserve">ther improving model performance and (1) detecting the reason for a poor </w:t>
      </w:r>
      <w:r w:rsidR="00E3256A">
        <w:t xml:space="preserve">temporal </w:t>
      </w:r>
      <w:r w:rsidR="00B12C31">
        <w:t xml:space="preserve">model performance </w:t>
      </w:r>
      <w:r w:rsidR="00E3256A">
        <w:t>in these areas</w:t>
      </w:r>
      <w:r w:rsidR="00464E04">
        <w:t xml:space="preserve">. </w:t>
      </w:r>
      <w:r w:rsidR="0073625C">
        <w:t xml:space="preserve">The histogram and cumulative plots </w:t>
      </w:r>
      <w:r w:rsidR="00AE7EC9">
        <w:t xml:space="preserve">provide </w:t>
      </w:r>
      <w:r w:rsidR="00790699">
        <w:t>useful</w:t>
      </w:r>
      <w:r w:rsidR="00AE7EC9">
        <w:t xml:space="preserve"> statistical information about the </w:t>
      </w:r>
      <w:r w:rsidR="006633F3">
        <w:t>temporal</w:t>
      </w:r>
      <w:r w:rsidR="00E0022E">
        <w:t xml:space="preserve"> </w:t>
      </w:r>
      <w:r w:rsidR="00AE7EC9">
        <w:t>model performance</w:t>
      </w:r>
      <w:r w:rsidR="00575CB3">
        <w:t xml:space="preserve"> (Figure 4b-c)</w:t>
      </w:r>
      <w:r w:rsidR="00AE7EC9">
        <w:t xml:space="preserve">. </w:t>
      </w:r>
      <w:r w:rsidR="009A00A9">
        <w:t xml:space="preserve">The histogram (or cumulative) plot shows </w:t>
      </w:r>
      <w:r w:rsidR="00790699">
        <w:t xml:space="preserve">the </w:t>
      </w:r>
      <w:r w:rsidR="009A00A9">
        <w:t xml:space="preserve">fraction of the study area that has the NSE within a certain range (or below a certain value). </w:t>
      </w:r>
      <w:r w:rsidR="00AE7EC9">
        <w:t xml:space="preserve">The histogram plot is </w:t>
      </w:r>
      <w:r w:rsidR="00645A5D">
        <w:t xml:space="preserve">seen to be </w:t>
      </w:r>
      <w:r w:rsidR="00AE7EC9">
        <w:t>highly skew</w:t>
      </w:r>
      <w:r w:rsidR="00790699">
        <w:t>ed</w:t>
      </w:r>
      <w:r w:rsidR="00AE7EC9">
        <w:t xml:space="preserve"> </w:t>
      </w:r>
      <w:r w:rsidR="00236207">
        <w:t xml:space="preserve">toward </w:t>
      </w:r>
      <w:r w:rsidR="00AE7EC9">
        <w:t xml:space="preserve">the optimal </w:t>
      </w:r>
      <w:r w:rsidR="00A435CC">
        <w:t>NSE value</w:t>
      </w:r>
      <w:r w:rsidR="006633F3">
        <w:t xml:space="preserve"> (optimal NSE = 1)</w:t>
      </w:r>
      <w:r w:rsidR="00B72F93">
        <w:t xml:space="preserve">. This is </w:t>
      </w:r>
      <w:r w:rsidR="001F3FC5">
        <w:t>the</w:t>
      </w:r>
      <w:r w:rsidR="00B72F93">
        <w:t xml:space="preserve"> </w:t>
      </w:r>
      <w:r w:rsidR="00FA2BDC">
        <w:t>desired</w:t>
      </w:r>
      <w:r w:rsidR="00E0022E">
        <w:t xml:space="preserve"> </w:t>
      </w:r>
      <w:r w:rsidR="00FA2BDC">
        <w:t xml:space="preserve">model </w:t>
      </w:r>
      <w:r w:rsidR="006633F3">
        <w:t>performance</w:t>
      </w:r>
      <w:r w:rsidR="008E52E6">
        <w:t>,</w:t>
      </w:r>
      <w:r w:rsidR="006633F3">
        <w:t xml:space="preserve"> in other words,</w:t>
      </w:r>
      <w:r w:rsidR="008E52E6">
        <w:t xml:space="preserve"> </w:t>
      </w:r>
      <w:r w:rsidR="00E12367">
        <w:t>a</w:t>
      </w:r>
      <w:r w:rsidR="00A435CC">
        <w:t xml:space="preserve"> higher </w:t>
      </w:r>
      <w:r w:rsidR="00A435CC">
        <w:lastRenderedPageBreak/>
        <w:t xml:space="preserve">skewness of the NSE distribution </w:t>
      </w:r>
      <w:r w:rsidR="00236207">
        <w:t xml:space="preserve">toward </w:t>
      </w:r>
      <w:r w:rsidR="00A435CC">
        <w:t>the optimal point</w:t>
      </w:r>
      <w:r w:rsidR="00E12367">
        <w:t xml:space="preserve"> indicates a</w:t>
      </w:r>
      <w:r w:rsidR="00A435CC">
        <w:t xml:space="preserve"> better </w:t>
      </w:r>
      <w:r w:rsidR="006633F3">
        <w:t>the</w:t>
      </w:r>
      <w:r w:rsidR="00E0022E">
        <w:t xml:space="preserve"> </w:t>
      </w:r>
      <w:r w:rsidR="00A435CC">
        <w:t>mode</w:t>
      </w:r>
      <w:r w:rsidR="006633F3">
        <w:t>l</w:t>
      </w:r>
      <w:r w:rsidR="00A435CC">
        <w:t xml:space="preserve"> performance. </w:t>
      </w:r>
    </w:p>
    <w:p w:rsidR="0073625C" w:rsidRDefault="0073625C" w:rsidP="0073625C">
      <w:pPr>
        <w:spacing w:before="120" w:after="120" w:line="360" w:lineRule="auto"/>
        <w:jc w:val="both"/>
      </w:pPr>
      <w:r>
        <w:tab/>
        <w:t xml:space="preserve">Despite the NSE is a temporal performance index, it does not provide information about the time when the model poorly performs. </w:t>
      </w:r>
      <w:r w:rsidR="004171AD">
        <w:t>T</w:t>
      </w:r>
      <w:r>
        <w:t>his</w:t>
      </w:r>
      <w:r w:rsidR="004171AD">
        <w:t>, however, only</w:t>
      </w:r>
      <w:r>
        <w:t xml:space="preserve"> can be seen in the temporal variation of the SPAEF index (Figure </w:t>
      </w:r>
      <w:r w:rsidR="0054743F">
        <w:t>3</w:t>
      </w:r>
      <w:r w:rsidR="004171AD">
        <w:t>d</w:t>
      </w:r>
      <w:r w:rsidR="00DE1055">
        <w:t xml:space="preserve">). For example, </w:t>
      </w:r>
      <w:r w:rsidR="00D919C4">
        <w:t>during</w:t>
      </w:r>
      <w:r w:rsidR="00DE1055">
        <w:t xml:space="preserve"> April 2004 and April-May 2007</w:t>
      </w:r>
      <w:r w:rsidR="00D9229F">
        <w:t xml:space="preserve">, the simulated patterns are seen to be poorly matched with the reference data while in other periods the matching is much better. </w:t>
      </w:r>
      <w:r w:rsidR="00223072">
        <w:t xml:space="preserve">The distribution of SPAEF indices is </w:t>
      </w:r>
      <w:r w:rsidR="00B1329A">
        <w:t xml:space="preserve">also </w:t>
      </w:r>
      <w:r w:rsidR="00223072">
        <w:t>highly skew</w:t>
      </w:r>
      <w:r w:rsidR="00236207">
        <w:t>ed</w:t>
      </w:r>
      <w:r w:rsidR="00223072">
        <w:t xml:space="preserve"> to</w:t>
      </w:r>
      <w:r w:rsidR="00236207">
        <w:t>ward</w:t>
      </w:r>
      <w:r w:rsidR="00223072">
        <w:t xml:space="preserve"> the optimal value with about 40% of the time step</w:t>
      </w:r>
      <w:r w:rsidR="00236207">
        <w:t xml:space="preserve"> the</w:t>
      </w:r>
      <w:r w:rsidR="00223072">
        <w:t xml:space="preserve"> SPAEF </w:t>
      </w:r>
      <w:r w:rsidR="00C77104">
        <w:t xml:space="preserve">indices are </w:t>
      </w:r>
      <w:r w:rsidR="00223072">
        <w:t>less than -1</w:t>
      </w:r>
      <w:r w:rsidR="00282C04">
        <w:t xml:space="preserve"> (Figure 4e,f)</w:t>
      </w:r>
      <w:r w:rsidR="00223072">
        <w:t xml:space="preserve">. </w:t>
      </w:r>
    </w:p>
    <w:p w:rsidR="0073625C" w:rsidRDefault="003D4231" w:rsidP="0073625C">
      <w:pPr>
        <w:spacing w:before="120" w:after="120" w:line="360" w:lineRule="auto"/>
        <w:jc w:val="both"/>
        <w:rPr>
          <w:noProof/>
        </w:rPr>
      </w:pPr>
      <w:r>
        <w:rPr>
          <w:noProof/>
        </w:rPr>
        <w:drawing>
          <wp:inline distT="0" distB="0" distL="0" distR="0" wp14:anchorId="7BC86B1E" wp14:editId="4F7D9530">
            <wp:extent cx="5710687" cy="5740084"/>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6772"/>
                    <a:stretch/>
                  </pic:blipFill>
                  <pic:spPr bwMode="auto">
                    <a:xfrm>
                      <a:off x="0" y="0"/>
                      <a:ext cx="5715381" cy="5744802"/>
                    </a:xfrm>
                    <a:prstGeom prst="rect">
                      <a:avLst/>
                    </a:prstGeom>
                    <a:ln>
                      <a:noFill/>
                    </a:ln>
                    <a:extLst>
                      <a:ext uri="{53640926-AAD7-44D8-BBD7-CCE9431645EC}">
                        <a14:shadowObscured xmlns:a14="http://schemas.microsoft.com/office/drawing/2010/main"/>
                      </a:ext>
                    </a:extLst>
                  </pic:spPr>
                </pic:pic>
              </a:graphicData>
            </a:graphic>
          </wp:inline>
        </w:drawing>
      </w:r>
    </w:p>
    <w:p w:rsidR="0073625C" w:rsidRDefault="0073625C" w:rsidP="003878A2">
      <w:pPr>
        <w:spacing w:before="120" w:after="120" w:line="360" w:lineRule="auto"/>
        <w:jc w:val="both"/>
      </w:pPr>
      <w:r>
        <w:rPr>
          <w:b/>
        </w:rPr>
        <w:t xml:space="preserve">Figure </w:t>
      </w:r>
      <w:r w:rsidR="00A5601A">
        <w:rPr>
          <w:b/>
        </w:rPr>
        <w:t>4</w:t>
      </w:r>
      <w:r>
        <w:t xml:space="preserve">.  </w:t>
      </w:r>
      <w:r w:rsidR="00026FA2">
        <w:t>Spatiotemporal and t</w:t>
      </w:r>
      <w:r w:rsidR="00E0022E">
        <w:t xml:space="preserve">emporospatial </w:t>
      </w:r>
      <w:r w:rsidR="00026FA2">
        <w:t xml:space="preserve">and </w:t>
      </w:r>
      <w:r>
        <w:t xml:space="preserve">model performance represented by (a) the spatial distribution of the NSE and (b, c) </w:t>
      </w:r>
      <w:r w:rsidR="00026FA2">
        <w:t>the histogram and cumulative plots of NSE,</w:t>
      </w:r>
      <w:r>
        <w:t xml:space="preserve"> (d) </w:t>
      </w:r>
      <w:r w:rsidR="00026FA2">
        <w:t xml:space="preserve">the </w:t>
      </w:r>
      <w:r w:rsidR="00026FA2">
        <w:lastRenderedPageBreak/>
        <w:t>temporal variation of</w:t>
      </w:r>
      <w:r>
        <w:t xml:space="preserve"> SPAEF</w:t>
      </w:r>
      <w:r w:rsidR="005D4E47">
        <w:t xml:space="preserve">, (e, f) </w:t>
      </w:r>
      <w:r w:rsidR="00026FA2">
        <w:t>the histogram and cumulative plots of SPAEF</w:t>
      </w:r>
      <w:r>
        <w:t>. The ideal value of NSE and SPAEF is 1.</w:t>
      </w:r>
    </w:p>
    <w:p w:rsidR="00E9057C" w:rsidRDefault="009C6A3B" w:rsidP="0073625C">
      <w:pPr>
        <w:pStyle w:val="Heading2"/>
        <w:rPr>
          <w:lang w:val="en-US"/>
        </w:rPr>
      </w:pPr>
      <w:r>
        <w:rPr>
          <w:lang w:val="en-US"/>
        </w:rPr>
        <w:t>3.2</w:t>
      </w:r>
      <w:r w:rsidRPr="0004325A">
        <w:t xml:space="preserve">. </w:t>
      </w:r>
      <w:r>
        <w:rPr>
          <w:lang w:val="en-US"/>
        </w:rPr>
        <w:t xml:space="preserve">The relation between </w:t>
      </w:r>
      <w:r w:rsidR="00E0022E">
        <w:rPr>
          <w:lang w:val="en-US"/>
        </w:rPr>
        <w:t>spatiotemporal</w:t>
      </w:r>
      <w:r>
        <w:rPr>
          <w:lang w:val="en-US"/>
        </w:rPr>
        <w:t xml:space="preserve"> and </w:t>
      </w:r>
      <w:r w:rsidR="00E0022E">
        <w:rPr>
          <w:lang w:val="en-US"/>
        </w:rPr>
        <w:t xml:space="preserve">temporospatial </w:t>
      </w:r>
      <w:r>
        <w:rPr>
          <w:lang w:val="en-US"/>
        </w:rPr>
        <w:t>model performance</w:t>
      </w:r>
    </w:p>
    <w:p w:rsidR="009F0A3B" w:rsidRPr="00085769" w:rsidRDefault="004063A4" w:rsidP="00085769">
      <w:pPr>
        <w:spacing w:before="120" w:after="120" w:line="360" w:lineRule="auto"/>
      </w:pPr>
      <w:r>
        <w:tab/>
      </w:r>
      <w:r w:rsidR="00923C78">
        <w:t>Figure 5</w:t>
      </w:r>
      <w:r w:rsidR="009B779C">
        <w:t xml:space="preserve"> show</w:t>
      </w:r>
      <w:r w:rsidR="00D86152">
        <w:t>s</w:t>
      </w:r>
      <w:r w:rsidR="009B779C">
        <w:t xml:space="preserve"> that the relation between spatiotemporal </w:t>
      </w:r>
      <w:r w:rsidR="00346183">
        <w:t>(S</w:t>
      </w:r>
      <w:r w:rsidR="00346183" w:rsidRPr="00346183">
        <w:rPr>
          <w:vertAlign w:val="subscript"/>
        </w:rPr>
        <w:t>T</w:t>
      </w:r>
      <w:r w:rsidR="00346183">
        <w:t xml:space="preserve">) </w:t>
      </w:r>
      <w:r w:rsidR="009B779C">
        <w:t>and temporospatial</w:t>
      </w:r>
      <w:r w:rsidR="00346183">
        <w:t xml:space="preserve"> (T</w:t>
      </w:r>
      <w:r w:rsidR="00346183" w:rsidRPr="00346183">
        <w:rPr>
          <w:vertAlign w:val="subscript"/>
        </w:rPr>
        <w:t>S</w:t>
      </w:r>
      <w:r w:rsidR="00346183">
        <w:t>)</w:t>
      </w:r>
      <w:r w:rsidR="009B779C">
        <w:t xml:space="preserve"> model performance </w:t>
      </w:r>
      <w:r w:rsidR="00923C78">
        <w:t>varies depending on the reference ETa data and the statistical ind</w:t>
      </w:r>
      <w:r w:rsidR="0070180F">
        <w:t>ices</w:t>
      </w:r>
      <w:r w:rsidR="00923C78">
        <w:t xml:space="preserve"> used for evaluation. </w:t>
      </w:r>
      <w:r w:rsidR="00D86152">
        <w:t xml:space="preserve">For example, </w:t>
      </w:r>
      <w:r w:rsidR="00330AB6">
        <w:t xml:space="preserve">when </w:t>
      </w:r>
      <w:r w:rsidR="00CE02F6" w:rsidRPr="00224707">
        <w:rPr>
          <w:i/>
        </w:rPr>
        <w:t>KGE</w:t>
      </w:r>
      <w:r w:rsidR="00330AB6">
        <w:t xml:space="preserve"> and </w:t>
      </w:r>
      <w:r w:rsidR="00330AB6" w:rsidRPr="00224707">
        <w:rPr>
          <w:i/>
        </w:rPr>
        <w:t>SPAEF</w:t>
      </w:r>
      <w:r w:rsidR="00330AB6">
        <w:t xml:space="preserve"> were used to d</w:t>
      </w:r>
      <w:r w:rsidR="00C03DB1">
        <w:t>erive</w:t>
      </w:r>
      <w:r w:rsidR="00330AB6">
        <w:t xml:space="preserve"> the spatiotemporal (</w:t>
      </w:r>
      <w:r w:rsidR="00D86152" w:rsidRPr="00224707">
        <w:rPr>
          <w:i/>
        </w:rPr>
        <w:t>S</w:t>
      </w:r>
      <w:r w:rsidR="00330AB6" w:rsidRPr="00224707">
        <w:rPr>
          <w:i/>
          <w:vertAlign w:val="subscript"/>
        </w:rPr>
        <w:t>-</w:t>
      </w:r>
      <w:r w:rsidR="008D0E88" w:rsidRPr="00224707">
        <w:rPr>
          <w:i/>
          <w:vertAlign w:val="subscript"/>
        </w:rPr>
        <w:t>KGE</w:t>
      </w:r>
      <w:r w:rsidR="00236A9C">
        <w:t xml:space="preserve">) </w:t>
      </w:r>
      <w:r w:rsidR="00330AB6">
        <w:t>and temporospatial (</w:t>
      </w:r>
      <w:r w:rsidR="00D86152">
        <w:t>T</w:t>
      </w:r>
      <w:r w:rsidR="00330AB6">
        <w:rPr>
          <w:vertAlign w:val="subscript"/>
        </w:rPr>
        <w:t>-SPAEF</w:t>
      </w:r>
      <w:r w:rsidR="00236A9C">
        <w:t xml:space="preserve">) mode performance statistics, </w:t>
      </w:r>
      <w:r w:rsidR="00330AB6" w:rsidRPr="00224707">
        <w:rPr>
          <w:i/>
        </w:rPr>
        <w:t>S</w:t>
      </w:r>
      <w:r w:rsidR="00330AB6" w:rsidRPr="00224707">
        <w:rPr>
          <w:i/>
          <w:vertAlign w:val="subscript"/>
        </w:rPr>
        <w:t>-</w:t>
      </w:r>
      <w:r w:rsidR="008D0E88" w:rsidRPr="00224707">
        <w:rPr>
          <w:i/>
          <w:vertAlign w:val="subscript"/>
        </w:rPr>
        <w:t>KGE</w:t>
      </w:r>
      <w:r w:rsidR="00330AB6">
        <w:t xml:space="preserve"> and </w:t>
      </w:r>
      <w:r w:rsidR="00330AB6" w:rsidRPr="00224707">
        <w:rPr>
          <w:i/>
        </w:rPr>
        <w:t>T</w:t>
      </w:r>
      <w:r w:rsidR="00330AB6" w:rsidRPr="00224707">
        <w:rPr>
          <w:i/>
          <w:vertAlign w:val="subscript"/>
        </w:rPr>
        <w:t>-SPAEF</w:t>
      </w:r>
      <w:r w:rsidR="00330AB6">
        <w:t xml:space="preserve"> </w:t>
      </w:r>
      <w:r w:rsidR="00E51FC0">
        <w:t>could</w:t>
      </w:r>
      <w:r w:rsidR="00D86152">
        <w:t xml:space="preserve"> be hig</w:t>
      </w:r>
      <w:r w:rsidR="00607232">
        <w:t>h</w:t>
      </w:r>
      <w:r w:rsidR="00D86152">
        <w:t xml:space="preserve">ly positive correlated (Figure 5a), highly negative correlated (Figure 5b), or uncorrelated (Figure 5c). </w:t>
      </w:r>
      <w:r w:rsidR="00607232">
        <w:t xml:space="preserve">A high </w:t>
      </w:r>
      <w:r w:rsidR="00E15B68">
        <w:t xml:space="preserve">positive </w:t>
      </w:r>
      <w:r w:rsidR="00607232">
        <w:t xml:space="preserve">correlation between </w:t>
      </w:r>
      <w:r w:rsidR="00143731" w:rsidRPr="00224707">
        <w:rPr>
          <w:i/>
        </w:rPr>
        <w:t>S</w:t>
      </w:r>
      <w:r w:rsidR="00143731" w:rsidRPr="00224707">
        <w:rPr>
          <w:i/>
          <w:vertAlign w:val="subscript"/>
        </w:rPr>
        <w:t>-</w:t>
      </w:r>
      <w:r w:rsidR="008D0E88" w:rsidRPr="00224707">
        <w:rPr>
          <w:i/>
          <w:vertAlign w:val="subscript"/>
        </w:rPr>
        <w:t>KGE</w:t>
      </w:r>
      <w:r w:rsidR="00607232">
        <w:t xml:space="preserve"> and </w:t>
      </w:r>
      <w:r w:rsidR="00143731" w:rsidRPr="00224707">
        <w:rPr>
          <w:i/>
        </w:rPr>
        <w:t>T</w:t>
      </w:r>
      <w:r w:rsidR="00143731" w:rsidRPr="00224707">
        <w:rPr>
          <w:i/>
          <w:vertAlign w:val="subscript"/>
        </w:rPr>
        <w:t>-SPAEF</w:t>
      </w:r>
      <w:r w:rsidR="00607232">
        <w:t xml:space="preserve"> indicate</w:t>
      </w:r>
      <w:r w:rsidR="0070180F">
        <w:t>s</w:t>
      </w:r>
      <w:r w:rsidR="00607232">
        <w:t xml:space="preserve"> that an increase in the spatiotemporal model performance will </w:t>
      </w:r>
      <w:r w:rsidR="00236A9C">
        <w:t xml:space="preserve">likely </w:t>
      </w:r>
      <w:r w:rsidR="00607232">
        <w:t>lead to an increase in temporospatial model performance</w:t>
      </w:r>
      <w:r w:rsidR="00FC3597">
        <w:t>.</w:t>
      </w:r>
      <w:r w:rsidR="00E15B68">
        <w:t xml:space="preserve"> However, a high negative </w:t>
      </w:r>
      <w:r w:rsidR="00F5435B">
        <w:t>correlation</w:t>
      </w:r>
      <w:r w:rsidR="00143731">
        <w:t xml:space="preserve"> </w:t>
      </w:r>
      <w:r w:rsidR="00E15B68">
        <w:t xml:space="preserve">between </w:t>
      </w:r>
      <w:r w:rsidR="00143731">
        <w:t>S</w:t>
      </w:r>
      <w:r w:rsidR="00143731">
        <w:rPr>
          <w:vertAlign w:val="subscript"/>
        </w:rPr>
        <w:t>-</w:t>
      </w:r>
      <w:r w:rsidR="002547DA">
        <w:rPr>
          <w:vertAlign w:val="subscript"/>
        </w:rPr>
        <w:t>KGE</w:t>
      </w:r>
      <w:r w:rsidR="00E15B68">
        <w:t xml:space="preserve"> and </w:t>
      </w:r>
      <w:r w:rsidR="00143731">
        <w:t>T</w:t>
      </w:r>
      <w:r w:rsidR="00143731">
        <w:rPr>
          <w:vertAlign w:val="subscript"/>
        </w:rPr>
        <w:t>-SPAEF</w:t>
      </w:r>
      <w:r w:rsidR="00E15B68">
        <w:t xml:space="preserve"> means that an increase in sp</w:t>
      </w:r>
      <w:r w:rsidR="00143731">
        <w:t>atio</w:t>
      </w:r>
      <w:r w:rsidR="00E15B68">
        <w:t xml:space="preserve">temporal model performance will </w:t>
      </w:r>
      <w:r w:rsidR="009D7C03">
        <w:t xml:space="preserve">likely </w:t>
      </w:r>
      <w:r w:rsidR="00E15B68">
        <w:t>result in a decrease in temporospatial model performance and vice versa.</w:t>
      </w:r>
      <w:r w:rsidR="00143731">
        <w:t xml:space="preserve"> An uncorrelated between </w:t>
      </w:r>
      <w:r w:rsidR="00F5435B">
        <w:t>S</w:t>
      </w:r>
      <w:r w:rsidR="002547DA">
        <w:rPr>
          <w:vertAlign w:val="subscript"/>
        </w:rPr>
        <w:t>-KGE</w:t>
      </w:r>
      <w:r w:rsidR="00F5435B">
        <w:t xml:space="preserve"> and T</w:t>
      </w:r>
      <w:r w:rsidR="00F5435B">
        <w:rPr>
          <w:vertAlign w:val="subscript"/>
        </w:rPr>
        <w:t>-SPAEF</w:t>
      </w:r>
      <w:r w:rsidR="00F5435B">
        <w:t xml:space="preserve"> </w:t>
      </w:r>
      <w:r w:rsidR="00143731">
        <w:t>indicate</w:t>
      </w:r>
      <w:r w:rsidR="00F5435B">
        <w:t>s</w:t>
      </w:r>
      <w:r w:rsidR="00143731">
        <w:t xml:space="preserve"> </w:t>
      </w:r>
      <w:r w:rsidR="00335D75">
        <w:t>that the spatiotemporal model performa</w:t>
      </w:r>
      <w:r w:rsidR="0070180F">
        <w:t>n</w:t>
      </w:r>
      <w:r w:rsidR="00335D75">
        <w:t>ce cannot be inferred from the temporospatial model performance and vice versa</w:t>
      </w:r>
      <w:r w:rsidR="00F5435B">
        <w:t xml:space="preserve">. </w:t>
      </w:r>
      <w:r w:rsidR="00BE6A06">
        <w:t xml:space="preserve">The results </w:t>
      </w:r>
      <w:r w:rsidR="00C37BF9">
        <w:t>show</w:t>
      </w:r>
      <w:r w:rsidR="00BE6A06">
        <w:t xml:space="preserve"> that even the same statistical index was used for spatiotemporal and tempor</w:t>
      </w:r>
      <w:r w:rsidR="0070180F">
        <w:t>o</w:t>
      </w:r>
      <w:r w:rsidR="00BE6A06">
        <w:t xml:space="preserve">spatial model evaluation (e.g., </w:t>
      </w:r>
      <w:r w:rsidR="00BE6A06" w:rsidRPr="00204656">
        <w:rPr>
          <w:i/>
        </w:rPr>
        <w:t>S</w:t>
      </w:r>
      <w:r w:rsidR="00BE6A06" w:rsidRPr="00204656">
        <w:rPr>
          <w:i/>
          <w:vertAlign w:val="subscript"/>
        </w:rPr>
        <w:t>-NSE</w:t>
      </w:r>
      <w:r w:rsidR="00BE6A06" w:rsidRPr="00BE6A06">
        <w:t xml:space="preserve"> </w:t>
      </w:r>
      <w:r w:rsidR="00BE6A06">
        <w:t xml:space="preserve">and </w:t>
      </w:r>
      <w:r w:rsidR="00BE6A06" w:rsidRPr="00204656">
        <w:rPr>
          <w:i/>
        </w:rPr>
        <w:t>T</w:t>
      </w:r>
      <w:r w:rsidR="00BE6A06" w:rsidRPr="00204656">
        <w:rPr>
          <w:i/>
          <w:vertAlign w:val="subscript"/>
        </w:rPr>
        <w:t>-NSE</w:t>
      </w:r>
      <w:r w:rsidR="00BE6A06">
        <w:t xml:space="preserve">, Figure 5a) it does not </w:t>
      </w:r>
      <w:r w:rsidR="001C666B">
        <w:t xml:space="preserve">always </w:t>
      </w:r>
      <w:r w:rsidR="00BE6A06">
        <w:t xml:space="preserve">guarantee that an increase in the spatiotemporal model performance will </w:t>
      </w:r>
      <w:r w:rsidR="00C37BF9">
        <w:t xml:space="preserve">always </w:t>
      </w:r>
      <w:r w:rsidR="00BE6A06">
        <w:t xml:space="preserve">lead to an increase in </w:t>
      </w:r>
      <w:r w:rsidR="0070180F">
        <w:t xml:space="preserve">the </w:t>
      </w:r>
      <w:r w:rsidR="00BE6A06">
        <w:t>temporospatial model performance</w:t>
      </w:r>
      <w:r w:rsidR="00C37BF9">
        <w:t xml:space="preserve"> (Figure 5a-c)</w:t>
      </w:r>
      <w:r w:rsidR="00E84256">
        <w:t>.</w:t>
      </w:r>
      <w:r w:rsidR="00277286">
        <w:t xml:space="preserve"> Overall, the results show that </w:t>
      </w:r>
      <w:r w:rsidR="00F427F2">
        <w:t xml:space="preserve">both spatiotemporal and temporospatial model performance evaluation </w:t>
      </w:r>
      <w:r w:rsidR="00E03A41">
        <w:t>are</w:t>
      </w:r>
      <w:r w:rsidR="00F427F2">
        <w:t xml:space="preserve"> needed.</w:t>
      </w:r>
    </w:p>
    <w:p w:rsidR="00361202" w:rsidRDefault="00B337CE" w:rsidP="00E84256">
      <w:pPr>
        <w:spacing w:before="120" w:after="120" w:line="360" w:lineRule="auto"/>
      </w:pPr>
      <w:r>
        <w:rPr>
          <w:noProof/>
        </w:rPr>
        <w:lastRenderedPageBreak/>
        <w:drawing>
          <wp:inline distT="0" distB="0" distL="0" distR="0">
            <wp:extent cx="5758815" cy="55683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8815" cy="5568315"/>
                    </a:xfrm>
                    <a:prstGeom prst="rect">
                      <a:avLst/>
                    </a:prstGeom>
                    <a:noFill/>
                    <a:ln>
                      <a:noFill/>
                    </a:ln>
                  </pic:spPr>
                </pic:pic>
              </a:graphicData>
            </a:graphic>
          </wp:inline>
        </w:drawing>
      </w:r>
    </w:p>
    <w:p w:rsidR="00E60282" w:rsidRPr="00951879" w:rsidRDefault="00F36FB8" w:rsidP="00E84256">
      <w:pPr>
        <w:spacing w:before="120" w:after="120" w:line="360" w:lineRule="auto"/>
      </w:pPr>
      <w:r>
        <w:t xml:space="preserve">Figure 5: Spatiotemporal and temporospatial model performance evaluation against different ETa product </w:t>
      </w:r>
      <w:r w:rsidR="004B6095">
        <w:t>(</w:t>
      </w:r>
      <w:r>
        <w:t>a) MOD16</w:t>
      </w:r>
      <w:r w:rsidR="006A2C8D">
        <w:t xml:space="preserve"> A2 </w:t>
      </w:r>
      <w:r>
        <w:t xml:space="preserve">ETa, </w:t>
      </w:r>
      <w:r w:rsidR="004B6095">
        <w:t>(b) SSEBop, and (c) TerraClimate</w:t>
      </w:r>
      <w:r w:rsidR="00F81FCA">
        <w:t xml:space="preserve">. Results are from 2000 model </w:t>
      </w:r>
      <w:r w:rsidR="00D03AF3">
        <w:t>runs</w:t>
      </w:r>
      <w:r w:rsidR="00F81FCA">
        <w:t>, lines are the regression line</w:t>
      </w:r>
      <w:r w:rsidR="00361202">
        <w:t>s</w:t>
      </w:r>
      <w:r w:rsidR="00F81FCA">
        <w:t xml:space="preserve"> and numbers inside </w:t>
      </w:r>
      <w:r w:rsidR="009B270B">
        <w:t xml:space="preserve">the </w:t>
      </w:r>
      <w:r w:rsidR="00F81FCA">
        <w:t>plot are the correlation value</w:t>
      </w:r>
      <w:r w:rsidR="009D159C">
        <w:t>s</w:t>
      </w:r>
      <w:r w:rsidR="00E65BC4">
        <w:t>.</w:t>
      </w:r>
      <w:r w:rsidR="00F81FCA">
        <w:t xml:space="preserve"> </w:t>
      </w:r>
      <w:r w:rsidR="00207BE5">
        <w:t xml:space="preserve">In all correlation plots, the points </w:t>
      </w:r>
      <w:r w:rsidR="007E7EE3">
        <w:t xml:space="preserve">located </w:t>
      </w:r>
      <w:r w:rsidR="00207BE5">
        <w:t>closer to the lower</w:t>
      </w:r>
      <w:r w:rsidR="009B270B">
        <w:t>-</w:t>
      </w:r>
      <w:r w:rsidR="00515471">
        <w:t>left</w:t>
      </w:r>
      <w:r w:rsidR="00207BE5">
        <w:t xml:space="preserve"> corner indicate a better model performance.</w:t>
      </w:r>
    </w:p>
    <w:p w:rsidR="00186719" w:rsidRPr="00186719" w:rsidRDefault="00186719" w:rsidP="00186719">
      <w:pPr>
        <w:pStyle w:val="Heading1"/>
        <w:spacing w:before="120" w:after="120"/>
        <w:rPr>
          <w:lang w:val="en-US"/>
        </w:rPr>
      </w:pPr>
      <w:r>
        <w:rPr>
          <w:lang w:val="en-US"/>
        </w:rPr>
        <w:t>4</w:t>
      </w:r>
      <w:r w:rsidRPr="0004325A">
        <w:t xml:space="preserve">. </w:t>
      </w:r>
      <w:r>
        <w:rPr>
          <w:lang w:val="en-US"/>
        </w:rPr>
        <w:t>Conclusions</w:t>
      </w:r>
    </w:p>
    <w:p w:rsidR="00186719" w:rsidRDefault="000C1ED7" w:rsidP="002E1CF2">
      <w:pPr>
        <w:spacing w:before="120" w:after="120" w:line="360" w:lineRule="auto"/>
        <w:ind w:firstLine="720"/>
        <w:jc w:val="both"/>
      </w:pPr>
      <w:r>
        <w:t xml:space="preserve">Distributed hydrological </w:t>
      </w:r>
      <w:r w:rsidR="000415D1">
        <w:t>models have long been use</w:t>
      </w:r>
      <w:r w:rsidR="00BB6BE4">
        <w:t>d</w:t>
      </w:r>
      <w:r w:rsidR="000415D1">
        <w:t xml:space="preserve"> for understanding </w:t>
      </w:r>
      <w:r w:rsidR="00C84304">
        <w:t xml:space="preserve">the </w:t>
      </w:r>
      <w:r w:rsidR="000415D1">
        <w:t>spatial and temporal hydrological response</w:t>
      </w:r>
      <w:r w:rsidR="00C84304">
        <w:t>s</w:t>
      </w:r>
      <w:r w:rsidR="000415D1">
        <w:t xml:space="preserve"> of a catchment.</w:t>
      </w:r>
      <w:r w:rsidR="00BB6BE4">
        <w:t xml:space="preserve"> </w:t>
      </w:r>
      <w:r w:rsidR="00C84304">
        <w:t>T</w:t>
      </w:r>
      <w:r w:rsidR="00FD271F">
        <w:t>o ensure that</w:t>
      </w:r>
      <w:r w:rsidR="00A2373D">
        <w:t xml:space="preserve"> the</w:t>
      </w:r>
      <w:r w:rsidR="00FD271F">
        <w:t xml:space="preserve"> model can provide</w:t>
      </w:r>
      <w:r w:rsidR="00BB6BE4">
        <w:t xml:space="preserve"> </w:t>
      </w:r>
      <w:r w:rsidR="001417A4">
        <w:t>meaningful</w:t>
      </w:r>
      <w:r w:rsidR="00FD271F">
        <w:t xml:space="preserve"> spatial and temporal information, </w:t>
      </w:r>
      <w:r w:rsidR="00E83A6C">
        <w:t xml:space="preserve">the simulated </w:t>
      </w:r>
      <w:r w:rsidR="00E0022E">
        <w:t>spatiotemporal</w:t>
      </w:r>
      <w:r w:rsidR="00FD271F">
        <w:t xml:space="preserve"> </w:t>
      </w:r>
      <w:r w:rsidR="00E83A6C">
        <w:t xml:space="preserve">data </w:t>
      </w:r>
      <w:r w:rsidR="00FD271F">
        <w:t>from these models should be evaluated against the reference data.</w:t>
      </w:r>
      <w:r w:rsidR="001429E4">
        <w:t xml:space="preserve"> However, studies have either focused on temporal </w:t>
      </w:r>
      <w:r w:rsidR="007C1514">
        <w:t xml:space="preserve">or spatial </w:t>
      </w:r>
      <w:r w:rsidR="001429E4">
        <w:t>model evaluation</w:t>
      </w:r>
      <w:r w:rsidR="00E26CC1">
        <w:t>. In addition,</w:t>
      </w:r>
      <w:r w:rsidR="001429E4">
        <w:t xml:space="preserve"> </w:t>
      </w:r>
      <w:r w:rsidR="007C1514">
        <w:t>temporal</w:t>
      </w:r>
      <w:r w:rsidR="00E26CC1">
        <w:t xml:space="preserve"> (or </w:t>
      </w:r>
      <w:r w:rsidR="007C1514">
        <w:t>spatial</w:t>
      </w:r>
      <w:r w:rsidR="00E26CC1">
        <w:t>) model evaluation</w:t>
      </w:r>
      <w:r w:rsidR="001429E4">
        <w:t xml:space="preserve"> </w:t>
      </w:r>
      <w:r w:rsidR="00E26CC1">
        <w:t>is</w:t>
      </w:r>
      <w:r w:rsidR="001429E4">
        <w:t xml:space="preserve"> </w:t>
      </w:r>
      <w:r w:rsidR="001429E4">
        <w:lastRenderedPageBreak/>
        <w:t xml:space="preserve">often done in a </w:t>
      </w:r>
      <w:r w:rsidR="007C1514">
        <w:t>spatially (or temporally)</w:t>
      </w:r>
      <w:r w:rsidR="001429E4">
        <w:t xml:space="preserve"> lumped approach.</w:t>
      </w:r>
      <w:r w:rsidR="00E26CC1">
        <w:t xml:space="preserve"> </w:t>
      </w:r>
      <w:r w:rsidR="00ED0380">
        <w:t>The terms</w:t>
      </w:r>
      <w:r w:rsidR="00395D17">
        <w:t xml:space="preserve"> </w:t>
      </w:r>
      <w:r w:rsidR="00ED0380">
        <w:t>“</w:t>
      </w:r>
      <w:r w:rsidR="00C84304">
        <w:t>spatiotemporal</w:t>
      </w:r>
      <w:r w:rsidR="00ED0380">
        <w:t xml:space="preserve">” </w:t>
      </w:r>
      <w:r w:rsidR="0016614A">
        <w:t>and “</w:t>
      </w:r>
      <w:r w:rsidR="00C84304">
        <w:t>temporospatial</w:t>
      </w:r>
      <w:r w:rsidR="0016614A">
        <w:t xml:space="preserve">” </w:t>
      </w:r>
      <w:r w:rsidR="00395D17">
        <w:t>model performance evaluation</w:t>
      </w:r>
      <w:r w:rsidR="0016614A">
        <w:t>s</w:t>
      </w:r>
      <w:r w:rsidR="00ED0380">
        <w:t xml:space="preserve"> introduced in this study refer to the</w:t>
      </w:r>
      <w:r w:rsidR="00395D17">
        <w:t xml:space="preserve"> </w:t>
      </w:r>
      <w:r w:rsidR="00ED0380">
        <w:t xml:space="preserve">evaluation of </w:t>
      </w:r>
      <w:r w:rsidR="006C7A41">
        <w:t xml:space="preserve">(1) </w:t>
      </w:r>
      <w:r w:rsidR="00ED0380">
        <w:t>the temporal model performance in a spatially distributed approach</w:t>
      </w:r>
      <w:r w:rsidR="0016614A">
        <w:t xml:space="preserve"> and </w:t>
      </w:r>
      <w:r w:rsidR="006C7A41">
        <w:t xml:space="preserve">(2) the </w:t>
      </w:r>
      <w:r w:rsidR="0016614A">
        <w:t>spatial model performance in a temporally distributed approach</w:t>
      </w:r>
      <w:r w:rsidR="0065225C">
        <w:t>, respectively</w:t>
      </w:r>
      <w:r w:rsidR="00ED0380">
        <w:t xml:space="preserve">. </w:t>
      </w:r>
      <w:r w:rsidR="000C3BA8">
        <w:t xml:space="preserve">Here, we demonstrated that </w:t>
      </w:r>
      <w:r w:rsidR="006C7A41">
        <w:t xml:space="preserve">spatiotemporal and </w:t>
      </w:r>
      <w:r w:rsidR="00E0022E">
        <w:t xml:space="preserve">temporospatial </w:t>
      </w:r>
      <w:r w:rsidR="000C3BA8">
        <w:t xml:space="preserve">model </w:t>
      </w:r>
      <w:r w:rsidR="006C7A41">
        <w:t xml:space="preserve">performance </w:t>
      </w:r>
      <w:r w:rsidR="000C3BA8">
        <w:t>evaluation</w:t>
      </w:r>
      <w:r w:rsidR="00933AA5">
        <w:t>s</w:t>
      </w:r>
      <w:r w:rsidR="000C3BA8">
        <w:t xml:space="preserve"> are the two different aspects of model evaluation. </w:t>
      </w:r>
      <w:r w:rsidR="0016614A">
        <w:t xml:space="preserve">The </w:t>
      </w:r>
      <w:r w:rsidR="000C00B4">
        <w:t>spatiotemporal</w:t>
      </w:r>
      <w:r w:rsidR="00E0022E">
        <w:t xml:space="preserve"> </w:t>
      </w:r>
      <w:r w:rsidR="000C00B4">
        <w:t xml:space="preserve">(or temporospatial) </w:t>
      </w:r>
      <w:r w:rsidR="0016614A">
        <w:t>model</w:t>
      </w:r>
      <w:r w:rsidR="002B2813">
        <w:t xml:space="preserve"> performance</w:t>
      </w:r>
      <w:r w:rsidR="0016614A">
        <w:t xml:space="preserve"> evaluation could help in detecting the location</w:t>
      </w:r>
      <w:r w:rsidR="00557535">
        <w:t>s</w:t>
      </w:r>
      <w:r w:rsidR="000C00B4">
        <w:t xml:space="preserve"> (or the time)</w:t>
      </w:r>
      <w:r w:rsidR="0016614A">
        <w:t xml:space="preserve"> where</w:t>
      </w:r>
      <w:r w:rsidR="00253851">
        <w:t xml:space="preserve"> (or when)</w:t>
      </w:r>
      <w:r w:rsidR="0016614A">
        <w:t xml:space="preserve"> the </w:t>
      </w:r>
      <w:r w:rsidR="002B2813">
        <w:t>temporal</w:t>
      </w:r>
      <w:r w:rsidR="00557535">
        <w:t xml:space="preserve"> </w:t>
      </w:r>
      <w:r w:rsidR="000C00B4">
        <w:t xml:space="preserve">(or </w:t>
      </w:r>
      <w:r w:rsidR="002B2813">
        <w:t>spatial</w:t>
      </w:r>
      <w:r w:rsidR="000C00B4">
        <w:t xml:space="preserve">) </w:t>
      </w:r>
      <w:r w:rsidR="00557535">
        <w:t>patterns are poorly represented</w:t>
      </w:r>
      <w:r w:rsidR="00DE3F47">
        <w:t xml:space="preserve"> by the model</w:t>
      </w:r>
      <w:r w:rsidR="00BD218B">
        <w:t>.</w:t>
      </w:r>
      <w:r w:rsidR="00B52BB5">
        <w:t xml:space="preserve"> </w:t>
      </w:r>
      <w:r w:rsidR="000C3C36">
        <w:t>The results show that</w:t>
      </w:r>
      <w:r w:rsidR="009D66E9">
        <w:t xml:space="preserve"> </w:t>
      </w:r>
      <w:r w:rsidR="000C3C36">
        <w:t xml:space="preserve">an increase </w:t>
      </w:r>
      <w:r w:rsidR="003C665F">
        <w:t xml:space="preserve">in the </w:t>
      </w:r>
      <w:r w:rsidR="006962B7">
        <w:t xml:space="preserve">spatiotemporal </w:t>
      </w:r>
      <w:r w:rsidR="003C665F">
        <w:t>model performance will not necessarily lead to an increase in the temporospatial model performance and vice versa. This further suggesting that both spatiotemporal and temporospatial model performance evaluation are needed</w:t>
      </w:r>
      <w:r w:rsidR="00C07BA8">
        <w:t>.</w:t>
      </w:r>
      <w:r w:rsidR="001E1E1E">
        <w:t xml:space="preserve"> </w:t>
      </w:r>
      <w:r w:rsidR="00DB1E6B">
        <w:t xml:space="preserve"> </w:t>
      </w:r>
      <w:r w:rsidR="003C665F">
        <w:t>Overall, the approach pro</w:t>
      </w:r>
      <w:r w:rsidR="00D94BEE">
        <w:t xml:space="preserve">posed in this provides </w:t>
      </w:r>
      <w:r w:rsidR="003C665F">
        <w:t>graphical and statistical indicators for understanding spatiotemporal an</w:t>
      </w:r>
      <w:r w:rsidR="002E1CF2">
        <w:t>d temporospatial model behavior</w:t>
      </w:r>
      <w:r w:rsidR="001A3D34">
        <w:t xml:space="preserve">, therefore, helping </w:t>
      </w:r>
      <w:r w:rsidR="004E50D9">
        <w:t>in improving the</w:t>
      </w:r>
      <w:r w:rsidR="001A3D34">
        <w:t xml:space="preserve"> model performance</w:t>
      </w:r>
      <w:r w:rsidR="001E1E1E">
        <w:t xml:space="preserve">. </w:t>
      </w:r>
    </w:p>
    <w:p w:rsidR="00E7004D" w:rsidRDefault="00E7004D" w:rsidP="00E7004D">
      <w:pPr>
        <w:pStyle w:val="Heading1"/>
        <w:spacing w:before="120" w:after="120"/>
        <w:rPr>
          <w:lang w:val="en-US"/>
        </w:rPr>
      </w:pPr>
      <w:r>
        <w:rPr>
          <w:lang w:val="en-US"/>
        </w:rPr>
        <w:t>Data availability statement</w:t>
      </w:r>
    </w:p>
    <w:p w:rsidR="003A07F1" w:rsidRDefault="00F0088E" w:rsidP="00C10681">
      <w:pPr>
        <w:rPr>
          <w:lang w:eastAsia="x-none"/>
        </w:rPr>
      </w:pPr>
      <w:r>
        <w:rPr>
          <w:lang w:eastAsia="x-none"/>
        </w:rPr>
        <w:tab/>
      </w:r>
      <w:r w:rsidR="003F2EBB">
        <w:rPr>
          <w:lang w:eastAsia="x-none"/>
        </w:rPr>
        <w:t xml:space="preserve">The MOD16 A2, </w:t>
      </w:r>
      <w:proofErr w:type="spellStart"/>
      <w:r w:rsidR="003F2EBB">
        <w:rPr>
          <w:lang w:eastAsia="x-none"/>
        </w:rPr>
        <w:t>SSEbop</w:t>
      </w:r>
      <w:proofErr w:type="spellEnd"/>
      <w:r w:rsidR="003F2EBB">
        <w:rPr>
          <w:lang w:eastAsia="x-none"/>
        </w:rPr>
        <w:t xml:space="preserve">, TerraClimate data used for model evaluation are freely available at </w:t>
      </w:r>
      <w:hyperlink r:id="rId13" w:history="1">
        <w:r w:rsidR="003F2EBB" w:rsidRPr="00D45170">
          <w:rPr>
            <w:rStyle w:val="Hyperlink"/>
            <w:lang w:eastAsia="x-none"/>
          </w:rPr>
          <w:t>https://modis.gsfc.nasa.gov/data/dataprod/mod16.php</w:t>
        </w:r>
      </w:hyperlink>
      <w:r w:rsidR="003F2EBB">
        <w:rPr>
          <w:lang w:eastAsia="x-none"/>
        </w:rPr>
        <w:t xml:space="preserve">, and </w:t>
      </w:r>
      <w:hyperlink r:id="rId14" w:history="1">
        <w:r w:rsidR="007F4F95" w:rsidRPr="00F2471B">
          <w:rPr>
            <w:rStyle w:val="Hyperlink"/>
            <w:lang w:eastAsia="x-none"/>
          </w:rPr>
          <w:t>https://earlywarning.usgs.gov/fews/product/460</w:t>
        </w:r>
      </w:hyperlink>
      <w:r w:rsidR="007F4F95">
        <w:rPr>
          <w:lang w:eastAsia="x-none"/>
        </w:rPr>
        <w:t>, and</w:t>
      </w:r>
      <w:r w:rsidR="003F2EBB">
        <w:rPr>
          <w:lang w:eastAsia="x-none"/>
        </w:rPr>
        <w:t xml:space="preserve"> </w:t>
      </w:r>
      <w:hyperlink r:id="rId15" w:history="1">
        <w:r w:rsidR="003F2EBB" w:rsidRPr="00D45170">
          <w:rPr>
            <w:rStyle w:val="Hyperlink"/>
            <w:lang w:eastAsia="x-none"/>
          </w:rPr>
          <w:t>http://www.climatologylab.org/terraclimate.html</w:t>
        </w:r>
      </w:hyperlink>
      <w:r w:rsidR="003F2EBB">
        <w:rPr>
          <w:lang w:eastAsia="x-none"/>
        </w:rPr>
        <w:t>, respectively. The R</w:t>
      </w:r>
      <w:r w:rsidR="003C43C5">
        <w:rPr>
          <w:lang w:eastAsia="x-none"/>
        </w:rPr>
        <w:t xml:space="preserve"> code and </w:t>
      </w:r>
      <w:r w:rsidR="00324C80">
        <w:rPr>
          <w:lang w:eastAsia="x-none"/>
        </w:rPr>
        <w:t xml:space="preserve">SWAT model </w:t>
      </w:r>
      <w:r w:rsidR="003C43C5">
        <w:rPr>
          <w:lang w:eastAsia="x-none"/>
        </w:rPr>
        <w:t xml:space="preserve">used in this study </w:t>
      </w:r>
      <w:r w:rsidR="003C43C5" w:rsidRPr="003C43C5">
        <w:rPr>
          <w:lang w:eastAsia="x-none"/>
        </w:rPr>
        <w:t>are available fr</w:t>
      </w:r>
      <w:r w:rsidR="00EC4B0A">
        <w:rPr>
          <w:lang w:eastAsia="x-none"/>
        </w:rPr>
        <w:t>om the corresponding author on</w:t>
      </w:r>
      <w:r w:rsidR="003C43C5" w:rsidRPr="003C43C5">
        <w:rPr>
          <w:lang w:eastAsia="x-none"/>
        </w:rPr>
        <w:t xml:space="preserve"> request</w:t>
      </w:r>
      <w:r w:rsidR="0006214E">
        <w:rPr>
          <w:lang w:eastAsia="x-none"/>
        </w:rPr>
        <w:t>.</w:t>
      </w:r>
    </w:p>
    <w:p w:rsidR="006468DD" w:rsidRDefault="006468DD" w:rsidP="00C10681">
      <w:pPr>
        <w:rPr>
          <w:rStyle w:val="Hyperlink"/>
          <w:lang w:eastAsia="x-none"/>
        </w:rPr>
      </w:pPr>
    </w:p>
    <w:p w:rsidR="006E3912" w:rsidRDefault="006D3967" w:rsidP="00106977">
      <w:pPr>
        <w:pStyle w:val="Heading1"/>
        <w:spacing w:before="120" w:after="120"/>
        <w:rPr>
          <w:lang w:val="en-US"/>
        </w:rPr>
      </w:pPr>
      <w:r>
        <w:rPr>
          <w:lang w:val="en-US"/>
        </w:rPr>
        <w:t>Acknowledgments</w:t>
      </w:r>
    </w:p>
    <w:p w:rsidR="00C73922" w:rsidRPr="00C73922" w:rsidRDefault="00C73922" w:rsidP="00C73922">
      <w:pPr>
        <w:rPr>
          <w:lang w:eastAsia="x-none"/>
        </w:rPr>
      </w:pPr>
    </w:p>
    <w:p w:rsidR="00186719" w:rsidRDefault="00186719" w:rsidP="00186719">
      <w:pPr>
        <w:pStyle w:val="Heading1"/>
        <w:spacing w:before="120" w:after="120"/>
        <w:rPr>
          <w:lang w:val="en-US"/>
        </w:rPr>
      </w:pPr>
      <w:r>
        <w:rPr>
          <w:lang w:val="en-US"/>
        </w:rPr>
        <w:t>References</w:t>
      </w:r>
    </w:p>
    <w:p w:rsidR="00C260C5" w:rsidRPr="00C260C5" w:rsidRDefault="007659AB" w:rsidP="00C260C5">
      <w:pPr>
        <w:widowControl w:val="0"/>
        <w:autoSpaceDE w:val="0"/>
        <w:autoSpaceDN w:val="0"/>
        <w:adjustRightInd w:val="0"/>
        <w:spacing w:before="120" w:after="120" w:line="360" w:lineRule="auto"/>
        <w:ind w:left="480" w:hanging="480"/>
        <w:rPr>
          <w:noProof/>
          <w:szCs w:val="24"/>
        </w:rPr>
      </w:pPr>
      <w:r>
        <w:rPr>
          <w:lang w:eastAsia="x-none"/>
        </w:rPr>
        <w:fldChar w:fldCharType="begin" w:fldLock="1"/>
      </w:r>
      <w:r>
        <w:rPr>
          <w:lang w:eastAsia="x-none"/>
        </w:rPr>
        <w:instrText xml:space="preserve">ADDIN Mendeley Bibliography CSL_BIBLIOGRAPHY </w:instrText>
      </w:r>
      <w:r>
        <w:rPr>
          <w:lang w:eastAsia="x-none"/>
        </w:rPr>
        <w:fldChar w:fldCharType="separate"/>
      </w:r>
      <w:r w:rsidR="00C260C5" w:rsidRPr="00C260C5">
        <w:rPr>
          <w:noProof/>
          <w:szCs w:val="24"/>
        </w:rPr>
        <w:t xml:space="preserve">Abiodun, O. O., Guan, H., Post, V. E. A., &amp; Batelaan, O. (2018). Comparison of MODIS and SWAT evapotranspiration over a complex terrain at different spatial scales. </w:t>
      </w:r>
      <w:r w:rsidR="00C260C5" w:rsidRPr="00C260C5">
        <w:rPr>
          <w:i/>
          <w:iCs/>
          <w:noProof/>
          <w:szCs w:val="24"/>
        </w:rPr>
        <w:t>Hydrology and Earth System Sciences</w:t>
      </w:r>
      <w:r w:rsidR="00C260C5" w:rsidRPr="00C260C5">
        <w:rPr>
          <w:noProof/>
          <w:szCs w:val="24"/>
        </w:rPr>
        <w:t xml:space="preserve">, </w:t>
      </w:r>
      <w:r w:rsidR="00C260C5" w:rsidRPr="00C260C5">
        <w:rPr>
          <w:i/>
          <w:iCs/>
          <w:noProof/>
          <w:szCs w:val="24"/>
        </w:rPr>
        <w:t>22</w:t>
      </w:r>
      <w:r w:rsidR="00C260C5" w:rsidRPr="00C260C5">
        <w:rPr>
          <w:noProof/>
          <w:szCs w:val="24"/>
        </w:rPr>
        <w:t>(5). https://doi.org/10.5194/hess-22-2775-2018</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Arnold, J. G., &amp; Fohrer, N. (2005). SWAT2000: Current capabilities and research opportunities in applied watershed modelling. </w:t>
      </w:r>
      <w:r w:rsidRPr="00C260C5">
        <w:rPr>
          <w:i/>
          <w:iCs/>
          <w:noProof/>
          <w:szCs w:val="24"/>
        </w:rPr>
        <w:t>Hydrological Processes</w:t>
      </w:r>
      <w:r w:rsidRPr="00C260C5">
        <w:rPr>
          <w:noProof/>
          <w:szCs w:val="24"/>
        </w:rPr>
        <w:t xml:space="preserve">, </w:t>
      </w:r>
      <w:r w:rsidRPr="00C260C5">
        <w:rPr>
          <w:i/>
          <w:iCs/>
          <w:noProof/>
          <w:szCs w:val="24"/>
        </w:rPr>
        <w:t>19</w:t>
      </w:r>
      <w:r w:rsidRPr="00C260C5">
        <w:rPr>
          <w:noProof/>
          <w:szCs w:val="24"/>
        </w:rPr>
        <w:t>(3). https://doi.org/10.1002/hyp.5611</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Beven, K. J., &amp; Kirkby, M. J. (1979). A physically based, variable contributing area model of basin hydrology. </w:t>
      </w:r>
      <w:r w:rsidRPr="00C260C5">
        <w:rPr>
          <w:i/>
          <w:iCs/>
          <w:noProof/>
          <w:szCs w:val="24"/>
        </w:rPr>
        <w:t>Hydrological Sciences Bulletin</w:t>
      </w:r>
      <w:r w:rsidRPr="00C260C5">
        <w:rPr>
          <w:noProof/>
          <w:szCs w:val="24"/>
        </w:rPr>
        <w:t xml:space="preserve">, </w:t>
      </w:r>
      <w:r w:rsidRPr="00C260C5">
        <w:rPr>
          <w:i/>
          <w:iCs/>
          <w:noProof/>
          <w:szCs w:val="24"/>
        </w:rPr>
        <w:t>24</w:t>
      </w:r>
      <w:r w:rsidRPr="00C260C5">
        <w:rPr>
          <w:noProof/>
          <w:szCs w:val="24"/>
        </w:rPr>
        <w:t>(1). https://doi.org/10.1080/02626667909491834</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lastRenderedPageBreak/>
        <w:t xml:space="preserve">Brocca, L., Tullo, T., Melone, F., Moramarco, T., &amp; Morbidelli, R. (2012). Catchment scale soil moisture spatial-temporal variability. </w:t>
      </w:r>
      <w:r w:rsidRPr="00C260C5">
        <w:rPr>
          <w:i/>
          <w:iCs/>
          <w:noProof/>
          <w:szCs w:val="24"/>
        </w:rPr>
        <w:t>Journal of Hydrology</w:t>
      </w:r>
      <w:r w:rsidRPr="00C260C5">
        <w:rPr>
          <w:noProof/>
          <w:szCs w:val="24"/>
        </w:rPr>
        <w:t xml:space="preserve">, </w:t>
      </w:r>
      <w:r w:rsidRPr="00C260C5">
        <w:rPr>
          <w:i/>
          <w:iCs/>
          <w:noProof/>
          <w:szCs w:val="24"/>
        </w:rPr>
        <w:t>422</w:t>
      </w:r>
      <w:r w:rsidRPr="00C260C5">
        <w:rPr>
          <w:noProof/>
          <w:szCs w:val="24"/>
        </w:rPr>
        <w:t>–</w:t>
      </w:r>
      <w:r w:rsidRPr="00C260C5">
        <w:rPr>
          <w:i/>
          <w:iCs/>
          <w:noProof/>
          <w:szCs w:val="24"/>
        </w:rPr>
        <w:t>423</w:t>
      </w:r>
      <w:r w:rsidRPr="00C260C5">
        <w:rPr>
          <w:noProof/>
          <w:szCs w:val="24"/>
        </w:rPr>
        <w:t>. https://doi.org/10.1016/j.jhydrol.2011.12.039</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Campo, L., Caparrini, F., &amp; Castelli, F. (2006). Use of multi-platform, multi-temporal remote-sensing data for calibration of a distributed hydrological model: An application in the Arno basin, Italy. </w:t>
      </w:r>
      <w:r w:rsidRPr="00C260C5">
        <w:rPr>
          <w:i/>
          <w:iCs/>
          <w:noProof/>
          <w:szCs w:val="24"/>
        </w:rPr>
        <w:t>Hydrological Processes</w:t>
      </w:r>
      <w:r w:rsidRPr="00C260C5">
        <w:rPr>
          <w:noProof/>
          <w:szCs w:val="24"/>
        </w:rPr>
        <w:t xml:space="preserve">, </w:t>
      </w:r>
      <w:r w:rsidRPr="00C260C5">
        <w:rPr>
          <w:i/>
          <w:iCs/>
          <w:noProof/>
          <w:szCs w:val="24"/>
        </w:rPr>
        <w:t>20</w:t>
      </w:r>
      <w:r w:rsidRPr="00C260C5">
        <w:rPr>
          <w:noProof/>
          <w:szCs w:val="24"/>
        </w:rPr>
        <w:t>(13). https://doi.org/10.1002/hyp.6061</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Dembélé, M., Ceperley, N., Zwart, S. J., Salvadore, E., Mariethoz, G., &amp; Schaefli, B. (2020). Potential of satellite and reanalysis evaporation datasets for hydrological modelling under various model calibration strategies. </w:t>
      </w:r>
      <w:r w:rsidRPr="00C260C5">
        <w:rPr>
          <w:i/>
          <w:iCs/>
          <w:noProof/>
          <w:szCs w:val="24"/>
        </w:rPr>
        <w:t>Advances in Water Resources</w:t>
      </w:r>
      <w:r w:rsidRPr="00C260C5">
        <w:rPr>
          <w:noProof/>
          <w:szCs w:val="24"/>
        </w:rPr>
        <w:t xml:space="preserve">, </w:t>
      </w:r>
      <w:r w:rsidRPr="00C260C5">
        <w:rPr>
          <w:i/>
          <w:iCs/>
          <w:noProof/>
          <w:szCs w:val="24"/>
        </w:rPr>
        <w:t>143</w:t>
      </w:r>
      <w:r w:rsidRPr="00C260C5">
        <w:rPr>
          <w:noProof/>
          <w:szCs w:val="24"/>
        </w:rPr>
        <w:t>. https://doi.org/10.1016/j.advwatres.2020.103667</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Edmunds, W. M., Fellman, E., Goni, I. B., &amp; Prudhomme, C. (2002). Spatial and temporal distribution of groundwater recharge in northern Nigeria. </w:t>
      </w:r>
      <w:r w:rsidRPr="00C260C5">
        <w:rPr>
          <w:i/>
          <w:iCs/>
          <w:noProof/>
          <w:szCs w:val="24"/>
        </w:rPr>
        <w:t>Hydrogeology Journal</w:t>
      </w:r>
      <w:r w:rsidRPr="00C260C5">
        <w:rPr>
          <w:noProof/>
          <w:szCs w:val="24"/>
        </w:rPr>
        <w:t xml:space="preserve">, </w:t>
      </w:r>
      <w:r w:rsidRPr="00C260C5">
        <w:rPr>
          <w:i/>
          <w:iCs/>
          <w:noProof/>
          <w:szCs w:val="24"/>
        </w:rPr>
        <w:t>10</w:t>
      </w:r>
      <w:r w:rsidRPr="00C260C5">
        <w:rPr>
          <w:noProof/>
          <w:szCs w:val="24"/>
        </w:rPr>
        <w:t>(1). https://doi.org/10.1007/s10040-001-0179-z</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Fick, S. E., &amp; Hijmans, R. J. (2017). WorldClim 2: new 1-km spatial resolution climate surfaces for global land areas. </w:t>
      </w:r>
      <w:r w:rsidRPr="00C260C5">
        <w:rPr>
          <w:i/>
          <w:iCs/>
          <w:noProof/>
          <w:szCs w:val="24"/>
        </w:rPr>
        <w:t>International Journal of Climatology</w:t>
      </w:r>
      <w:r w:rsidRPr="00C260C5">
        <w:rPr>
          <w:noProof/>
          <w:szCs w:val="24"/>
        </w:rPr>
        <w:t xml:space="preserve">, </w:t>
      </w:r>
      <w:r w:rsidRPr="00C260C5">
        <w:rPr>
          <w:i/>
          <w:iCs/>
          <w:noProof/>
          <w:szCs w:val="24"/>
        </w:rPr>
        <w:t>37</w:t>
      </w:r>
      <w:r w:rsidRPr="00C260C5">
        <w:rPr>
          <w:noProof/>
          <w:szCs w:val="24"/>
        </w:rPr>
        <w:t>(12). https://doi.org/10.1002/joc.5086</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Gassman, P. W., Reyes, M. R., Green, C. H., &amp; Arnold, J. G. (2007). The soil and water assessment tool: Historical development, applications, and future research directions. In </w:t>
      </w:r>
      <w:r w:rsidRPr="00C260C5">
        <w:rPr>
          <w:i/>
          <w:iCs/>
          <w:noProof/>
          <w:szCs w:val="24"/>
        </w:rPr>
        <w:t>Transactions of the ASABE</w:t>
      </w:r>
      <w:r w:rsidRPr="00C260C5">
        <w:rPr>
          <w:noProof/>
          <w:szCs w:val="24"/>
        </w:rPr>
        <w:t xml:space="preserve"> (Vol. 50, Issue 4).</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Gupta, H. V., Kling, H., Yilmaz, K. K., &amp; Martinez, G. F. (2009). Decomposition of the mean squared error and NSE performance criteria: Implications for improving hydrological modelling. </w:t>
      </w:r>
      <w:r w:rsidRPr="00C260C5">
        <w:rPr>
          <w:i/>
          <w:iCs/>
          <w:noProof/>
          <w:szCs w:val="24"/>
        </w:rPr>
        <w:t>Journal of Hydrology</w:t>
      </w:r>
      <w:r w:rsidRPr="00C260C5">
        <w:rPr>
          <w:noProof/>
          <w:szCs w:val="24"/>
        </w:rPr>
        <w:t xml:space="preserve">, </w:t>
      </w:r>
      <w:r w:rsidRPr="00C260C5">
        <w:rPr>
          <w:i/>
          <w:iCs/>
          <w:noProof/>
          <w:szCs w:val="24"/>
        </w:rPr>
        <w:t>377</w:t>
      </w:r>
      <w:r w:rsidRPr="00C260C5">
        <w:rPr>
          <w:noProof/>
          <w:szCs w:val="24"/>
        </w:rPr>
        <w:t>(1–2). https://doi.org/10.1016/j.jhydrol.2009.08.003</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Harris, I., Jones, P. D., Osborn, T. J., &amp; Lister, D. H. (2014). Updated high-resolution grids of monthly climatic observations - the CRU TS3.10 Dataset. </w:t>
      </w:r>
      <w:r w:rsidRPr="00C260C5">
        <w:rPr>
          <w:i/>
          <w:iCs/>
          <w:noProof/>
          <w:szCs w:val="24"/>
        </w:rPr>
        <w:t>International Journal of Climatology</w:t>
      </w:r>
      <w:r w:rsidRPr="00C260C5">
        <w:rPr>
          <w:noProof/>
          <w:szCs w:val="24"/>
        </w:rPr>
        <w:t xml:space="preserve">, </w:t>
      </w:r>
      <w:r w:rsidRPr="00C260C5">
        <w:rPr>
          <w:i/>
          <w:iCs/>
          <w:noProof/>
          <w:szCs w:val="24"/>
        </w:rPr>
        <w:t>34</w:t>
      </w:r>
      <w:r w:rsidRPr="00C260C5">
        <w:rPr>
          <w:noProof/>
          <w:szCs w:val="24"/>
        </w:rPr>
        <w:t>(3). https://doi.org/10.1002/joc.3711</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Herman, M. R., Nejadhashemi, A. P., Abouali, M., Hernandez-Suarez, J. S., Daneshvar, F., Zhang, Z., Anderson, M. C., Sadeghi, A. M., Hain, C. R., &amp; Sharifi, A. (2018). Evaluating the role of evapotranspiration remote sensing data in improving hydrological modeling predictability. </w:t>
      </w:r>
      <w:r w:rsidRPr="00C260C5">
        <w:rPr>
          <w:i/>
          <w:iCs/>
          <w:noProof/>
          <w:szCs w:val="24"/>
        </w:rPr>
        <w:t>Journal of Hydrology</w:t>
      </w:r>
      <w:r w:rsidRPr="00C260C5">
        <w:rPr>
          <w:noProof/>
          <w:szCs w:val="24"/>
        </w:rPr>
        <w:t xml:space="preserve">, </w:t>
      </w:r>
      <w:r w:rsidRPr="00C260C5">
        <w:rPr>
          <w:i/>
          <w:iCs/>
          <w:noProof/>
          <w:szCs w:val="24"/>
        </w:rPr>
        <w:t>556</w:t>
      </w:r>
      <w:r w:rsidRPr="00C260C5">
        <w:rPr>
          <w:noProof/>
          <w:szCs w:val="24"/>
        </w:rPr>
        <w:t xml:space="preserve">. </w:t>
      </w:r>
      <w:r w:rsidRPr="00C260C5">
        <w:rPr>
          <w:noProof/>
          <w:szCs w:val="24"/>
        </w:rPr>
        <w:lastRenderedPageBreak/>
        <w:t>https://doi.org/10.1016/j.jhydrol.2017.11.009</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Hijmans, R. J., Cameron, S. E., Parra, J. L., Jones, P. G., &amp; Jarvis, A. (2005). Very high resolution interpolated climate surfaces for global land areas. </w:t>
      </w:r>
      <w:r w:rsidRPr="00C260C5">
        <w:rPr>
          <w:i/>
          <w:iCs/>
          <w:noProof/>
          <w:szCs w:val="24"/>
        </w:rPr>
        <w:t>International Journal of Climatology</w:t>
      </w:r>
      <w:r w:rsidRPr="00C260C5">
        <w:rPr>
          <w:noProof/>
          <w:szCs w:val="24"/>
        </w:rPr>
        <w:t xml:space="preserve">, </w:t>
      </w:r>
      <w:r w:rsidRPr="00C260C5">
        <w:rPr>
          <w:i/>
          <w:iCs/>
          <w:noProof/>
          <w:szCs w:val="24"/>
        </w:rPr>
        <w:t>25</w:t>
      </w:r>
      <w:r w:rsidRPr="00C260C5">
        <w:rPr>
          <w:noProof/>
          <w:szCs w:val="24"/>
        </w:rPr>
        <w:t>(15). https://doi.org/10.1002/joc.1276</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Immerzeel, W. W., &amp; Droogers, P. (2008). Calibration of a distributed hydrological model based on satellite evapotranspiration. </w:t>
      </w:r>
      <w:r w:rsidRPr="00C260C5">
        <w:rPr>
          <w:i/>
          <w:iCs/>
          <w:noProof/>
          <w:szCs w:val="24"/>
        </w:rPr>
        <w:t>Journal of Hydrology</w:t>
      </w:r>
      <w:r w:rsidRPr="00C260C5">
        <w:rPr>
          <w:noProof/>
          <w:szCs w:val="24"/>
        </w:rPr>
        <w:t xml:space="preserve">, </w:t>
      </w:r>
      <w:r w:rsidRPr="00C260C5">
        <w:rPr>
          <w:i/>
          <w:iCs/>
          <w:noProof/>
          <w:szCs w:val="24"/>
        </w:rPr>
        <w:t>349</w:t>
      </w:r>
      <w:r w:rsidRPr="00C260C5">
        <w:rPr>
          <w:noProof/>
          <w:szCs w:val="24"/>
        </w:rPr>
        <w:t>(3–4). https://doi.org/10.1016/j.jhydrol.2007.11.017</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Jiang, L., Wu, H., Tao, J., Kimball, J. S., Alfieri, L., &amp; Chen, X. (2020). Satellite-based evapotranspiration in hydrological model calibration. </w:t>
      </w:r>
      <w:r w:rsidRPr="00C260C5">
        <w:rPr>
          <w:i/>
          <w:iCs/>
          <w:noProof/>
          <w:szCs w:val="24"/>
        </w:rPr>
        <w:t>Remote Sensing</w:t>
      </w:r>
      <w:r w:rsidRPr="00C260C5">
        <w:rPr>
          <w:noProof/>
          <w:szCs w:val="24"/>
        </w:rPr>
        <w:t xml:space="preserve">, </w:t>
      </w:r>
      <w:r w:rsidRPr="00C260C5">
        <w:rPr>
          <w:i/>
          <w:iCs/>
          <w:noProof/>
          <w:szCs w:val="24"/>
        </w:rPr>
        <w:t>12</w:t>
      </w:r>
      <w:r w:rsidRPr="00C260C5">
        <w:rPr>
          <w:noProof/>
          <w:szCs w:val="24"/>
        </w:rPr>
        <w:t>(3). https://doi.org/10.3390/rs12030428</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Kannan, N., White, S. M., Worrall, F., &amp; Whelan, M. J. (2007). Sensitivity analysis and identification of the best evapotranspiration and runoff options for hydrological modelling in SWAT-2000. </w:t>
      </w:r>
      <w:r w:rsidRPr="00C260C5">
        <w:rPr>
          <w:i/>
          <w:iCs/>
          <w:noProof/>
          <w:szCs w:val="24"/>
        </w:rPr>
        <w:t>Journal of Hydrology</w:t>
      </w:r>
      <w:r w:rsidRPr="00C260C5">
        <w:rPr>
          <w:noProof/>
          <w:szCs w:val="24"/>
        </w:rPr>
        <w:t xml:space="preserve">, </w:t>
      </w:r>
      <w:r w:rsidRPr="00C260C5">
        <w:rPr>
          <w:i/>
          <w:iCs/>
          <w:noProof/>
          <w:szCs w:val="24"/>
        </w:rPr>
        <w:t>332</w:t>
      </w:r>
      <w:r w:rsidRPr="00C260C5">
        <w:rPr>
          <w:noProof/>
          <w:szCs w:val="24"/>
        </w:rPr>
        <w:t>(3–4). https://doi.org/10.1016/j.jhydrol.2006.08.001</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Kim, N. W., Chung, I. M., Won, Y. S., &amp; Arnold, J. G. (2008). Development and application of the integrated SWAT-MODFLOW model. </w:t>
      </w:r>
      <w:r w:rsidRPr="00C260C5">
        <w:rPr>
          <w:i/>
          <w:iCs/>
          <w:noProof/>
          <w:szCs w:val="24"/>
        </w:rPr>
        <w:t>Journal of Hydrology</w:t>
      </w:r>
      <w:r w:rsidRPr="00C260C5">
        <w:rPr>
          <w:noProof/>
          <w:szCs w:val="24"/>
        </w:rPr>
        <w:t xml:space="preserve">, </w:t>
      </w:r>
      <w:r w:rsidRPr="00C260C5">
        <w:rPr>
          <w:i/>
          <w:iCs/>
          <w:noProof/>
          <w:szCs w:val="24"/>
        </w:rPr>
        <w:t>356</w:t>
      </w:r>
      <w:r w:rsidRPr="00C260C5">
        <w:rPr>
          <w:noProof/>
          <w:szCs w:val="24"/>
        </w:rPr>
        <w:t>(1–2). https://doi.org/10.1016/j.jhydrol.2008.02.024</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Klingler, C., Schulz, K., &amp; Herrnegger, M. (2021). Large-Sample Data for Hydrology and Environmental Sciences for Central Europe. </w:t>
      </w:r>
      <w:r w:rsidRPr="00C260C5">
        <w:rPr>
          <w:i/>
          <w:iCs/>
          <w:noProof/>
          <w:szCs w:val="24"/>
        </w:rPr>
        <w:t>Earth Science Data</w:t>
      </w:r>
      <w:r w:rsidRPr="00C260C5">
        <w:rPr>
          <w:noProof/>
          <w:szCs w:val="24"/>
        </w:rPr>
        <w:t xml:space="preserve">, </w:t>
      </w:r>
      <w:r w:rsidRPr="00C260C5">
        <w:rPr>
          <w:i/>
          <w:iCs/>
          <w:noProof/>
          <w:szCs w:val="24"/>
        </w:rPr>
        <w:t>March</w:t>
      </w:r>
      <w:r w:rsidRPr="00C260C5">
        <w:rPr>
          <w:noProof/>
          <w:szCs w:val="24"/>
        </w:rPr>
        <w:t>.</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Kobayashi, S., Ota, Y., Harada, Y., Ebita, A., Moriya, M., Onoda, H., Onogi, K., Kamahori, H., Kobayashi, C., Endo, H., Miyaoka, K., &amp; Kiyotoshi, T. (2015). The JRA-55 reanalysis: General specifications and basic characteristics. </w:t>
      </w:r>
      <w:r w:rsidRPr="00C260C5">
        <w:rPr>
          <w:i/>
          <w:iCs/>
          <w:noProof/>
          <w:szCs w:val="24"/>
        </w:rPr>
        <w:t>Journal of the Meteorological Society of Japan</w:t>
      </w:r>
      <w:r w:rsidRPr="00C260C5">
        <w:rPr>
          <w:noProof/>
          <w:szCs w:val="24"/>
        </w:rPr>
        <w:t xml:space="preserve">, </w:t>
      </w:r>
      <w:r w:rsidRPr="00C260C5">
        <w:rPr>
          <w:i/>
          <w:iCs/>
          <w:noProof/>
          <w:szCs w:val="24"/>
        </w:rPr>
        <w:t>93</w:t>
      </w:r>
      <w:r w:rsidRPr="00C260C5">
        <w:rPr>
          <w:noProof/>
          <w:szCs w:val="24"/>
        </w:rPr>
        <w:t>(1). https://doi.org/10.2151/jmsj.2015-001</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083FD1">
        <w:rPr>
          <w:noProof/>
          <w:szCs w:val="24"/>
          <w:lang w:val="de-DE"/>
        </w:rPr>
        <w:t xml:space="preserve">Koch, J., Demirel, M. C., &amp; Stisen, S. (2018). </w:t>
      </w:r>
      <w:r w:rsidRPr="00C260C5">
        <w:rPr>
          <w:noProof/>
          <w:szCs w:val="24"/>
        </w:rPr>
        <w:t xml:space="preserve">The SPAtial EFficiency metric (SPAEF): Multiple-component evaluation of spatial patterns for optimization of hydrological models. </w:t>
      </w:r>
      <w:r w:rsidRPr="00C260C5">
        <w:rPr>
          <w:i/>
          <w:iCs/>
          <w:noProof/>
          <w:szCs w:val="24"/>
        </w:rPr>
        <w:t>Geoscientific Model Development</w:t>
      </w:r>
      <w:r w:rsidRPr="00C260C5">
        <w:rPr>
          <w:noProof/>
          <w:szCs w:val="24"/>
        </w:rPr>
        <w:t xml:space="preserve">, </w:t>
      </w:r>
      <w:r w:rsidRPr="00C260C5">
        <w:rPr>
          <w:i/>
          <w:iCs/>
          <w:noProof/>
          <w:szCs w:val="24"/>
        </w:rPr>
        <w:t>11</w:t>
      </w:r>
      <w:r w:rsidRPr="00C260C5">
        <w:rPr>
          <w:noProof/>
          <w:szCs w:val="24"/>
        </w:rPr>
        <w:t>(5). https://doi.org/10.5194/gmd-11-1873-2018</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Koch, J., Jensen, K. H., &amp; Stisen, S. (2015). Toward a true spatial model evaluation in distributed hydrological modeling: Kappa statistics, Fuzzy theory, and EOF-analysis benchmarked by the human perception and evaluated against a modeling case study. </w:t>
      </w:r>
      <w:r w:rsidRPr="00C260C5">
        <w:rPr>
          <w:i/>
          <w:iCs/>
          <w:noProof/>
          <w:szCs w:val="24"/>
        </w:rPr>
        <w:t>Water Resources Research</w:t>
      </w:r>
      <w:r w:rsidRPr="00C260C5">
        <w:rPr>
          <w:noProof/>
          <w:szCs w:val="24"/>
        </w:rPr>
        <w:t xml:space="preserve">, </w:t>
      </w:r>
      <w:r w:rsidRPr="00C260C5">
        <w:rPr>
          <w:i/>
          <w:iCs/>
          <w:noProof/>
          <w:szCs w:val="24"/>
        </w:rPr>
        <w:t>51</w:t>
      </w:r>
      <w:r w:rsidRPr="00C260C5">
        <w:rPr>
          <w:noProof/>
          <w:szCs w:val="24"/>
        </w:rPr>
        <w:t>(2). https://doi.org/10.1002/2014WR016607</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lastRenderedPageBreak/>
        <w:t xml:space="preserve">Kumar, R., Samaniego, L., &amp; Attinger, S. (2013). Implications of distributed hydrologic model parameterization on water fluxes at multiple scales and locations. </w:t>
      </w:r>
      <w:r w:rsidRPr="00C260C5">
        <w:rPr>
          <w:i/>
          <w:iCs/>
          <w:noProof/>
          <w:szCs w:val="24"/>
        </w:rPr>
        <w:t>Water Resources Research</w:t>
      </w:r>
      <w:r w:rsidRPr="00C260C5">
        <w:rPr>
          <w:noProof/>
          <w:szCs w:val="24"/>
        </w:rPr>
        <w:t>. https://doi.org/10.1029/2012WR012195</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Liang, X., Lettenmaier, D. P., Wood, E. F., &amp; Burges, S. J. (1994). A simple hydrologically based model of land surface water and energy fluxes for general circulation models. </w:t>
      </w:r>
      <w:r w:rsidRPr="00C260C5">
        <w:rPr>
          <w:i/>
          <w:iCs/>
          <w:noProof/>
          <w:szCs w:val="24"/>
        </w:rPr>
        <w:t>Journal of Geophysical Research</w:t>
      </w:r>
      <w:r w:rsidRPr="00C260C5">
        <w:rPr>
          <w:noProof/>
          <w:szCs w:val="24"/>
        </w:rPr>
        <w:t xml:space="preserve">, </w:t>
      </w:r>
      <w:r w:rsidRPr="00C260C5">
        <w:rPr>
          <w:i/>
          <w:iCs/>
          <w:noProof/>
          <w:szCs w:val="24"/>
        </w:rPr>
        <w:t>99</w:t>
      </w:r>
      <w:r w:rsidRPr="00C260C5">
        <w:rPr>
          <w:noProof/>
          <w:szCs w:val="24"/>
        </w:rPr>
        <w:t>(D7). https://doi.org/10.1029/94jd00483</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Mendiguren, G., Koch, J., &amp; Stisen, S. (2017). Spatial pattern evaluation of a calibrated national hydrological model - A remote-sensing-based diagnostic approach. </w:t>
      </w:r>
      <w:r w:rsidRPr="00C260C5">
        <w:rPr>
          <w:i/>
          <w:iCs/>
          <w:noProof/>
          <w:szCs w:val="24"/>
        </w:rPr>
        <w:t>Hydrology and Earth System Sciences</w:t>
      </w:r>
      <w:r w:rsidRPr="00C260C5">
        <w:rPr>
          <w:noProof/>
          <w:szCs w:val="24"/>
        </w:rPr>
        <w:t xml:space="preserve">, </w:t>
      </w:r>
      <w:r w:rsidRPr="00C260C5">
        <w:rPr>
          <w:i/>
          <w:iCs/>
          <w:noProof/>
          <w:szCs w:val="24"/>
        </w:rPr>
        <w:t>21</w:t>
      </w:r>
      <w:r w:rsidRPr="00C260C5">
        <w:rPr>
          <w:noProof/>
          <w:szCs w:val="24"/>
        </w:rPr>
        <w:t>(12). https://doi.org/10.5194/hess-21-5987-2017</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Mu, Q., Zhao, M., &amp; Running, S. W. (2013). MODIS Global Terrestrial Evapotranspiration (ET) Product (MOD16A2/A3). </w:t>
      </w:r>
      <w:r w:rsidRPr="00C260C5">
        <w:rPr>
          <w:i/>
          <w:iCs/>
          <w:noProof/>
          <w:szCs w:val="24"/>
        </w:rPr>
        <w:t>Algorithm Theoretical Basis Document</w:t>
      </w:r>
      <w:r w:rsidRPr="00C260C5">
        <w:rPr>
          <w:noProof/>
          <w:szCs w:val="24"/>
        </w:rPr>
        <w:t xml:space="preserve">, </w:t>
      </w:r>
      <w:r w:rsidRPr="00C260C5">
        <w:rPr>
          <w:i/>
          <w:iCs/>
          <w:noProof/>
          <w:szCs w:val="24"/>
        </w:rPr>
        <w:t>Collection</w:t>
      </w:r>
      <w:r w:rsidRPr="00C260C5">
        <w:rPr>
          <w:noProof/>
          <w:szCs w:val="24"/>
        </w:rPr>
        <w:t>.</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Nash, J. E., &amp; Sutcliffe, J. V. (1970). River flow forecasting through conceptual models part I - A discussion of principles. </w:t>
      </w:r>
      <w:r w:rsidRPr="00C260C5">
        <w:rPr>
          <w:i/>
          <w:iCs/>
          <w:noProof/>
          <w:szCs w:val="24"/>
        </w:rPr>
        <w:t>Journal of Hydrology</w:t>
      </w:r>
      <w:r w:rsidRPr="00C260C5">
        <w:rPr>
          <w:noProof/>
          <w:szCs w:val="24"/>
        </w:rPr>
        <w:t xml:space="preserve">, </w:t>
      </w:r>
      <w:r w:rsidRPr="00C260C5">
        <w:rPr>
          <w:i/>
          <w:iCs/>
          <w:noProof/>
          <w:szCs w:val="24"/>
        </w:rPr>
        <w:t>10</w:t>
      </w:r>
      <w:r w:rsidRPr="00C260C5">
        <w:rPr>
          <w:noProof/>
          <w:szCs w:val="24"/>
        </w:rPr>
        <w:t>(3). https://doi.org/10.1016/0022-1694(70)90255-6</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Neitsch, S. ., Arnold, J. ., Kiniry, J. ., &amp; Williams, J. . (2011). Soil &amp; Water Assessment Tool Theoretical Documentation Version 2009. </w:t>
      </w:r>
      <w:r w:rsidRPr="00C260C5">
        <w:rPr>
          <w:i/>
          <w:iCs/>
          <w:noProof/>
          <w:szCs w:val="24"/>
        </w:rPr>
        <w:t>Texas Water Resources Institute</w:t>
      </w:r>
      <w:r w:rsidRPr="00C260C5">
        <w:rPr>
          <w:noProof/>
          <w:szCs w:val="24"/>
        </w:rPr>
        <w:t>. https://doi.org/10.1016/j.scitotenv.2015.11.063</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860DE2">
        <w:rPr>
          <w:noProof/>
          <w:szCs w:val="24"/>
        </w:rPr>
        <w:t xml:space="preserve">Nguyen, </w:t>
      </w:r>
      <w:r w:rsidR="00DC599A" w:rsidRPr="00860DE2">
        <w:rPr>
          <w:noProof/>
          <w:szCs w:val="24"/>
        </w:rPr>
        <w:t>V.</w:t>
      </w:r>
      <w:r w:rsidRPr="00860DE2">
        <w:rPr>
          <w:noProof/>
          <w:szCs w:val="24"/>
        </w:rPr>
        <w:t xml:space="preserve">T., &amp; Dietrich, J. (2018). </w:t>
      </w:r>
      <w:r w:rsidRPr="00C260C5">
        <w:rPr>
          <w:noProof/>
          <w:szCs w:val="24"/>
        </w:rPr>
        <w:t xml:space="preserve">Modification of the SWAT model to simulate regional groundwater flow using a multicell aquifer. </w:t>
      </w:r>
      <w:r w:rsidRPr="00C260C5">
        <w:rPr>
          <w:i/>
          <w:iCs/>
          <w:noProof/>
          <w:szCs w:val="24"/>
        </w:rPr>
        <w:t>Hydrological Processes</w:t>
      </w:r>
      <w:r w:rsidRPr="00C260C5">
        <w:rPr>
          <w:noProof/>
          <w:szCs w:val="24"/>
        </w:rPr>
        <w:t xml:space="preserve">, </w:t>
      </w:r>
      <w:r w:rsidRPr="00C260C5">
        <w:rPr>
          <w:i/>
          <w:iCs/>
          <w:noProof/>
          <w:szCs w:val="24"/>
        </w:rPr>
        <w:t>32</w:t>
      </w:r>
      <w:r w:rsidRPr="00C260C5">
        <w:rPr>
          <w:noProof/>
          <w:szCs w:val="24"/>
        </w:rPr>
        <w:t>(7). https://doi.org/10.1002/hyp.11466</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860DE2">
        <w:rPr>
          <w:noProof/>
          <w:szCs w:val="24"/>
        </w:rPr>
        <w:t xml:space="preserve">Nguyen, </w:t>
      </w:r>
      <w:r w:rsidR="00DC599A" w:rsidRPr="00860DE2">
        <w:rPr>
          <w:noProof/>
          <w:szCs w:val="24"/>
        </w:rPr>
        <w:t>V.</w:t>
      </w:r>
      <w:r w:rsidRPr="00860DE2">
        <w:rPr>
          <w:noProof/>
          <w:szCs w:val="24"/>
        </w:rPr>
        <w:t xml:space="preserve">T., Dietrich, J., &amp; Uniyal, B. (2020). </w:t>
      </w:r>
      <w:r w:rsidRPr="00C260C5">
        <w:rPr>
          <w:noProof/>
          <w:szCs w:val="24"/>
        </w:rPr>
        <w:t xml:space="preserve">Modeling interbasin groundwater flow in karst areas: Model development, application, and calibration strategy. </w:t>
      </w:r>
      <w:r w:rsidRPr="00C260C5">
        <w:rPr>
          <w:i/>
          <w:iCs/>
          <w:noProof/>
          <w:szCs w:val="24"/>
        </w:rPr>
        <w:t>Environmental Modelling and Software</w:t>
      </w:r>
      <w:r w:rsidRPr="00C260C5">
        <w:rPr>
          <w:noProof/>
          <w:szCs w:val="24"/>
        </w:rPr>
        <w:t xml:space="preserve">, </w:t>
      </w:r>
      <w:r w:rsidRPr="00C260C5">
        <w:rPr>
          <w:i/>
          <w:iCs/>
          <w:noProof/>
          <w:szCs w:val="24"/>
        </w:rPr>
        <w:t>124</w:t>
      </w:r>
      <w:r w:rsidRPr="00C260C5">
        <w:rPr>
          <w:noProof/>
          <w:szCs w:val="24"/>
        </w:rPr>
        <w:t>. https://doi.org/10.1016/j.envsoft.2019.104606</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Nguyen, T. V., Kumar, R., Lutz, S. R., Musolff, A., Yang, J., &amp; Fleckenstein, J. H. (2021). Modeling Nitrate Export From a Mesoscale Catchment Using StorAge Selection Functions. </w:t>
      </w:r>
      <w:r w:rsidRPr="00C260C5">
        <w:rPr>
          <w:i/>
          <w:iCs/>
          <w:noProof/>
          <w:szCs w:val="24"/>
        </w:rPr>
        <w:t>Water Resources Research</w:t>
      </w:r>
      <w:r w:rsidRPr="00C260C5">
        <w:rPr>
          <w:noProof/>
          <w:szCs w:val="24"/>
        </w:rPr>
        <w:t>. https://doi.org/10.1029/2020wr028490</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Odusanya, A. E., Mehdi, B., Schürz, C., Oke, A. O., Awokola, O. S., Awomeso, J. A., Adejuwon, J. O., &amp; Schulz, K. (2019). Multi-site calibration and validation of SWAT with satellite-based evapotranspiration in a data-sparse catchment in southwestern Nigeria. </w:t>
      </w:r>
      <w:r w:rsidRPr="00C260C5">
        <w:rPr>
          <w:i/>
          <w:iCs/>
          <w:noProof/>
          <w:szCs w:val="24"/>
        </w:rPr>
        <w:t>Hydrology and Earth System Sciences</w:t>
      </w:r>
      <w:r w:rsidRPr="00C260C5">
        <w:rPr>
          <w:noProof/>
          <w:szCs w:val="24"/>
        </w:rPr>
        <w:t xml:space="preserve">, </w:t>
      </w:r>
      <w:r w:rsidRPr="00C260C5">
        <w:rPr>
          <w:i/>
          <w:iCs/>
          <w:noProof/>
          <w:szCs w:val="24"/>
        </w:rPr>
        <w:t>23</w:t>
      </w:r>
      <w:r w:rsidRPr="00C260C5">
        <w:rPr>
          <w:noProof/>
          <w:szCs w:val="24"/>
        </w:rPr>
        <w:t>(2). https://doi.org/10.5194/hess-23-1113-2019</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lastRenderedPageBreak/>
        <w:t xml:space="preserve">Rajib, A., Evenson, G. R., Golden, H. E., &amp; Lane, C. R. (2018). Hydrologic model predictability improves with spatially explicit calibration using remotely sensed evapotranspiration and biophysical parameters. </w:t>
      </w:r>
      <w:r w:rsidRPr="00C260C5">
        <w:rPr>
          <w:i/>
          <w:iCs/>
          <w:noProof/>
          <w:szCs w:val="24"/>
        </w:rPr>
        <w:t>Journal of Hydrology</w:t>
      </w:r>
      <w:r w:rsidRPr="00C260C5">
        <w:rPr>
          <w:noProof/>
          <w:szCs w:val="24"/>
        </w:rPr>
        <w:t xml:space="preserve">, </w:t>
      </w:r>
      <w:r w:rsidRPr="00C260C5">
        <w:rPr>
          <w:i/>
          <w:iCs/>
          <w:noProof/>
          <w:szCs w:val="24"/>
        </w:rPr>
        <w:t>567</w:t>
      </w:r>
      <w:r w:rsidRPr="00C260C5">
        <w:rPr>
          <w:noProof/>
          <w:szCs w:val="24"/>
        </w:rPr>
        <w:t>. https://doi.org/10.1016/j.jhydrol.2018.10.024</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Rientjes, T. H. M., Muthuwatta, L. P., Bos, M. G., Booij, M. J., &amp; Bhatti, H. A. (2013). Multi-variable calibration of a semi-distributed hydrological model using streamflow data and satellite-based evapotranspiration. </w:t>
      </w:r>
      <w:r w:rsidRPr="00C260C5">
        <w:rPr>
          <w:i/>
          <w:iCs/>
          <w:noProof/>
          <w:szCs w:val="24"/>
        </w:rPr>
        <w:t>Journal of Hydrology</w:t>
      </w:r>
      <w:r w:rsidRPr="00C260C5">
        <w:rPr>
          <w:noProof/>
          <w:szCs w:val="24"/>
        </w:rPr>
        <w:t xml:space="preserve">, </w:t>
      </w:r>
      <w:r w:rsidRPr="00C260C5">
        <w:rPr>
          <w:i/>
          <w:iCs/>
          <w:noProof/>
          <w:szCs w:val="24"/>
        </w:rPr>
        <w:t>505</w:t>
      </w:r>
      <w:r w:rsidRPr="00C260C5">
        <w:rPr>
          <w:noProof/>
          <w:szCs w:val="24"/>
        </w:rPr>
        <w:t>. https://doi.org/10.1016/j.jhydrol.2013.10.006</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Roberts, N. M., &amp; Lean, H. W. (2008). Scale-selective verification of rainfall accumulations from high-resolution forecasts of convective events. </w:t>
      </w:r>
      <w:r w:rsidRPr="00C260C5">
        <w:rPr>
          <w:i/>
          <w:iCs/>
          <w:noProof/>
          <w:szCs w:val="24"/>
        </w:rPr>
        <w:t>Monthly Weather Review</w:t>
      </w:r>
      <w:r w:rsidRPr="00C260C5">
        <w:rPr>
          <w:noProof/>
          <w:szCs w:val="24"/>
        </w:rPr>
        <w:t xml:space="preserve">, </w:t>
      </w:r>
      <w:r w:rsidRPr="00C260C5">
        <w:rPr>
          <w:i/>
          <w:iCs/>
          <w:noProof/>
          <w:szCs w:val="24"/>
        </w:rPr>
        <w:t>136</w:t>
      </w:r>
      <w:r w:rsidRPr="00C260C5">
        <w:rPr>
          <w:noProof/>
          <w:szCs w:val="24"/>
        </w:rPr>
        <w:t>(1). https://doi.org/10.1175/2007MWR2123.1</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Samaniego, L., Kumar, R., &amp; Attinger, S. (2010). Multiscale parameter regionalization of a grid-based hydrologic model at the mesoscale. </w:t>
      </w:r>
      <w:r w:rsidRPr="00C260C5">
        <w:rPr>
          <w:i/>
          <w:iCs/>
          <w:noProof/>
          <w:szCs w:val="24"/>
        </w:rPr>
        <w:t>Water Resources Research</w:t>
      </w:r>
      <w:r w:rsidRPr="00C260C5">
        <w:rPr>
          <w:noProof/>
          <w:szCs w:val="24"/>
        </w:rPr>
        <w:t xml:space="preserve">, </w:t>
      </w:r>
      <w:r w:rsidRPr="00C260C5">
        <w:rPr>
          <w:i/>
          <w:iCs/>
          <w:noProof/>
          <w:szCs w:val="24"/>
        </w:rPr>
        <w:t>46</w:t>
      </w:r>
      <w:r w:rsidRPr="00C260C5">
        <w:rPr>
          <w:noProof/>
          <w:szCs w:val="24"/>
        </w:rPr>
        <w:t>(5), 1–25. https://doi.org/10.1029/2008WR007327</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Senay, G. B., Bohms, S., Singh, R. K., Gowda, P. H., Velpuri, N. M., Alemu, H., &amp; Verdin, J. P. (2013). Operational Evapotranspiration Mapping Using Remote Sensing and Weather Datasets: A New Parameterization for the SSEB Approach. </w:t>
      </w:r>
      <w:r w:rsidRPr="00C260C5">
        <w:rPr>
          <w:i/>
          <w:iCs/>
          <w:noProof/>
          <w:szCs w:val="24"/>
        </w:rPr>
        <w:t>Journal of the American Water Resources Association</w:t>
      </w:r>
      <w:r w:rsidRPr="00C260C5">
        <w:rPr>
          <w:noProof/>
          <w:szCs w:val="24"/>
        </w:rPr>
        <w:t xml:space="preserve">, </w:t>
      </w:r>
      <w:r w:rsidRPr="00C260C5">
        <w:rPr>
          <w:i/>
          <w:iCs/>
          <w:noProof/>
          <w:szCs w:val="24"/>
        </w:rPr>
        <w:t>49</w:t>
      </w:r>
      <w:r w:rsidRPr="00C260C5">
        <w:rPr>
          <w:noProof/>
          <w:szCs w:val="24"/>
        </w:rPr>
        <w:t>(3). https://doi.org/10.1111/jawr.12057</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083FD1">
        <w:rPr>
          <w:noProof/>
          <w:szCs w:val="24"/>
          <w:lang w:val="de-DE"/>
        </w:rPr>
        <w:t xml:space="preserve">Stisen, S., Koch, J., Sonnenborg, T. O., Refsgaard, J. C., Bircher, S., Ringgaard, R., &amp; Jensen, K. H. (2018). </w:t>
      </w:r>
      <w:r w:rsidRPr="00C260C5">
        <w:rPr>
          <w:noProof/>
          <w:szCs w:val="24"/>
        </w:rPr>
        <w:t xml:space="preserve">Moving beyond run-off calibration—Multivariable optimization of a surface–subsurface–atmosphere model. </w:t>
      </w:r>
      <w:r w:rsidRPr="00C260C5">
        <w:rPr>
          <w:i/>
          <w:iCs/>
          <w:noProof/>
          <w:szCs w:val="24"/>
        </w:rPr>
        <w:t>Hydrological Processes</w:t>
      </w:r>
      <w:r w:rsidRPr="00C260C5">
        <w:rPr>
          <w:noProof/>
          <w:szCs w:val="24"/>
        </w:rPr>
        <w:t xml:space="preserve">, </w:t>
      </w:r>
      <w:r w:rsidRPr="00C260C5">
        <w:rPr>
          <w:i/>
          <w:iCs/>
          <w:noProof/>
          <w:szCs w:val="24"/>
        </w:rPr>
        <w:t>32</w:t>
      </w:r>
      <w:r w:rsidRPr="00C260C5">
        <w:rPr>
          <w:noProof/>
          <w:szCs w:val="24"/>
        </w:rPr>
        <w:t>(17). https://doi.org/10.1002/hyp.13177</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Thomas, A. (2000). Spatial and temporal characteristics of potential evapotranspiration trends over China. </w:t>
      </w:r>
      <w:r w:rsidRPr="00C260C5">
        <w:rPr>
          <w:i/>
          <w:iCs/>
          <w:noProof/>
          <w:szCs w:val="24"/>
        </w:rPr>
        <w:t>International Journal of Climatology</w:t>
      </w:r>
      <w:r w:rsidRPr="00C260C5">
        <w:rPr>
          <w:noProof/>
          <w:szCs w:val="24"/>
        </w:rPr>
        <w:t xml:space="preserve">, </w:t>
      </w:r>
      <w:r w:rsidRPr="00C260C5">
        <w:rPr>
          <w:i/>
          <w:iCs/>
          <w:noProof/>
          <w:szCs w:val="24"/>
        </w:rPr>
        <w:t>20</w:t>
      </w:r>
      <w:r w:rsidRPr="00C260C5">
        <w:rPr>
          <w:noProof/>
          <w:szCs w:val="24"/>
        </w:rPr>
        <w:t>(4). https://doi.org/10.1002/(SICI)1097-0088(20000330)20:4&lt;381::AID-JOC477&gt;3.0.CO;2-K</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083FD1">
        <w:rPr>
          <w:noProof/>
          <w:szCs w:val="24"/>
          <w:lang w:val="de-DE"/>
        </w:rPr>
        <w:t xml:space="preserve">Uniyal, B., Dietrich, J., Vu, N. Q., Jha, M. K., &amp; Arumí, J. L. (2019). </w:t>
      </w:r>
      <w:r w:rsidRPr="00C260C5">
        <w:rPr>
          <w:noProof/>
          <w:szCs w:val="24"/>
        </w:rPr>
        <w:t xml:space="preserve">Simulation of regional irrigation requirement with SWAT in different agro-climatic zones driven by observed climate and two reanalysis datasets. </w:t>
      </w:r>
      <w:r w:rsidRPr="00C260C5">
        <w:rPr>
          <w:i/>
          <w:iCs/>
          <w:noProof/>
          <w:szCs w:val="24"/>
        </w:rPr>
        <w:t>Science of the Total Environment</w:t>
      </w:r>
      <w:r w:rsidRPr="00C260C5">
        <w:rPr>
          <w:noProof/>
          <w:szCs w:val="24"/>
        </w:rPr>
        <w:t xml:space="preserve">, </w:t>
      </w:r>
      <w:r w:rsidRPr="00C260C5">
        <w:rPr>
          <w:i/>
          <w:iCs/>
          <w:noProof/>
          <w:szCs w:val="24"/>
        </w:rPr>
        <w:t>649</w:t>
      </w:r>
      <w:r w:rsidRPr="00C260C5">
        <w:rPr>
          <w:noProof/>
          <w:szCs w:val="24"/>
        </w:rPr>
        <w:t>. https://doi.org/10.1016/j.scitotenv.2018.08.248</w:t>
      </w:r>
    </w:p>
    <w:p w:rsidR="00C260C5" w:rsidRPr="00C260C5" w:rsidRDefault="00C260C5" w:rsidP="00C260C5">
      <w:pPr>
        <w:widowControl w:val="0"/>
        <w:autoSpaceDE w:val="0"/>
        <w:autoSpaceDN w:val="0"/>
        <w:adjustRightInd w:val="0"/>
        <w:spacing w:before="120" w:after="120" w:line="360" w:lineRule="auto"/>
        <w:ind w:left="480" w:hanging="480"/>
        <w:rPr>
          <w:noProof/>
          <w:szCs w:val="24"/>
        </w:rPr>
      </w:pPr>
      <w:r w:rsidRPr="00C260C5">
        <w:rPr>
          <w:noProof/>
          <w:szCs w:val="24"/>
        </w:rPr>
        <w:t xml:space="preserve">Wang-Erlandsson, L., Bastiaanssen, W. G. M., Gao, H., Jägermeyr, J., Senay, G. B., Van </w:t>
      </w:r>
      <w:r w:rsidRPr="00C260C5">
        <w:rPr>
          <w:noProof/>
          <w:szCs w:val="24"/>
        </w:rPr>
        <w:lastRenderedPageBreak/>
        <w:t xml:space="preserve">Dijk, A. I. J. M., Guerschman, J. P., Keys, P. W., Gordon, L. J., &amp; Savenije, H. H. G. (2016). Global root zone storage capacity from satellite-based evaporation. </w:t>
      </w:r>
      <w:r w:rsidRPr="00C260C5">
        <w:rPr>
          <w:i/>
          <w:iCs/>
          <w:noProof/>
          <w:szCs w:val="24"/>
        </w:rPr>
        <w:t>Hydrology and Earth System Sciences</w:t>
      </w:r>
      <w:r w:rsidRPr="00C260C5">
        <w:rPr>
          <w:noProof/>
          <w:szCs w:val="24"/>
        </w:rPr>
        <w:t xml:space="preserve">, </w:t>
      </w:r>
      <w:r w:rsidRPr="00C260C5">
        <w:rPr>
          <w:i/>
          <w:iCs/>
          <w:noProof/>
          <w:szCs w:val="24"/>
        </w:rPr>
        <w:t>20</w:t>
      </w:r>
      <w:r w:rsidRPr="00C260C5">
        <w:rPr>
          <w:noProof/>
          <w:szCs w:val="24"/>
        </w:rPr>
        <w:t>(4). https://doi.org/10.5194/hess-20-1459-2016</w:t>
      </w:r>
    </w:p>
    <w:p w:rsidR="00C260C5" w:rsidRPr="00C260C5" w:rsidRDefault="00C260C5" w:rsidP="00C260C5">
      <w:pPr>
        <w:widowControl w:val="0"/>
        <w:autoSpaceDE w:val="0"/>
        <w:autoSpaceDN w:val="0"/>
        <w:adjustRightInd w:val="0"/>
        <w:spacing w:before="120" w:after="120" w:line="360" w:lineRule="auto"/>
        <w:ind w:left="480" w:hanging="480"/>
        <w:rPr>
          <w:noProof/>
        </w:rPr>
      </w:pPr>
      <w:r w:rsidRPr="00C260C5">
        <w:rPr>
          <w:noProof/>
          <w:szCs w:val="24"/>
        </w:rPr>
        <w:t xml:space="preserve">Wilson, D. J., Western, A. W., &amp; Grayson, R. B. (2004). Identifying and quantifying sources of variability in temporal and spatial soil moisture observations. </w:t>
      </w:r>
      <w:r w:rsidRPr="00C260C5">
        <w:rPr>
          <w:i/>
          <w:iCs/>
          <w:noProof/>
          <w:szCs w:val="24"/>
        </w:rPr>
        <w:t>Water Resources Research</w:t>
      </w:r>
      <w:r w:rsidRPr="00C260C5">
        <w:rPr>
          <w:noProof/>
          <w:szCs w:val="24"/>
        </w:rPr>
        <w:t xml:space="preserve">, </w:t>
      </w:r>
      <w:r w:rsidRPr="00C260C5">
        <w:rPr>
          <w:i/>
          <w:iCs/>
          <w:noProof/>
          <w:szCs w:val="24"/>
        </w:rPr>
        <w:t>40</w:t>
      </w:r>
      <w:r w:rsidRPr="00C260C5">
        <w:rPr>
          <w:noProof/>
          <w:szCs w:val="24"/>
        </w:rPr>
        <w:t>(2). https://doi.org/10.1029/2003WR002306</w:t>
      </w:r>
    </w:p>
    <w:p w:rsidR="007659AB" w:rsidRPr="007659AB" w:rsidRDefault="007659AB" w:rsidP="00C26E1D">
      <w:pPr>
        <w:spacing w:before="120" w:after="120" w:line="360" w:lineRule="auto"/>
        <w:rPr>
          <w:lang w:eastAsia="x-none"/>
        </w:rPr>
      </w:pPr>
      <w:r>
        <w:rPr>
          <w:lang w:eastAsia="x-none"/>
        </w:rPr>
        <w:fldChar w:fldCharType="end"/>
      </w:r>
    </w:p>
    <w:sectPr w:rsidR="007659AB" w:rsidRPr="007659AB" w:rsidSect="00B87818">
      <w:footerReference w:type="default" r:id="rId16"/>
      <w:footerReference w:type="first" r:id="rId17"/>
      <w:pgSz w:w="11907" w:h="16839" w:code="9"/>
      <w:pgMar w:top="1440" w:right="1440" w:bottom="1440" w:left="1440" w:header="720" w:footer="245" w:gutter="0"/>
      <w:lnNumType w:countBy="1" w:restart="continuous"/>
      <w:pgNumType w:fmt="numberInDash"/>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623C3" w:rsidRDefault="003623C3" w:rsidP="00E74ABA">
      <w:pPr>
        <w:spacing w:line="240" w:lineRule="auto"/>
      </w:pPr>
      <w:r>
        <w:separator/>
      </w:r>
    </w:p>
  </w:endnote>
  <w:endnote w:type="continuationSeparator" w:id="0">
    <w:p w:rsidR="003623C3" w:rsidRDefault="003623C3" w:rsidP="00E74AB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5DB2" w:rsidRDefault="00695DB2">
    <w:pPr>
      <w:pStyle w:val="Footer"/>
      <w:jc w:val="center"/>
    </w:pPr>
    <w:r>
      <w:fldChar w:fldCharType="begin"/>
    </w:r>
    <w:r>
      <w:instrText xml:space="preserve"> PAGE   \* MERGEFORMAT </w:instrText>
    </w:r>
    <w:r>
      <w:fldChar w:fldCharType="separate"/>
    </w:r>
    <w:r w:rsidR="00F743F7">
      <w:rPr>
        <w:noProof/>
      </w:rPr>
      <w:t>- 20 -</w:t>
    </w:r>
    <w:r>
      <w:rPr>
        <w:noProof/>
      </w:rPr>
      <w:fldChar w:fldCharType="end"/>
    </w:r>
  </w:p>
  <w:p w:rsidR="00695DB2" w:rsidRDefault="00695DB2">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5DB2" w:rsidRDefault="00695DB2">
    <w:pPr>
      <w:pStyle w:val="Footer"/>
      <w:jc w:val="center"/>
    </w:pPr>
    <w:r>
      <w:fldChar w:fldCharType="begin"/>
    </w:r>
    <w:r>
      <w:instrText xml:space="preserve"> PAGE   \* MERGEFORMAT </w:instrText>
    </w:r>
    <w:r>
      <w:fldChar w:fldCharType="separate"/>
    </w:r>
    <w:r>
      <w:rPr>
        <w:noProof/>
      </w:rPr>
      <w:t>- 1 -</w:t>
    </w:r>
    <w:r>
      <w:rPr>
        <w:noProof/>
      </w:rPr>
      <w:fldChar w:fldCharType="end"/>
    </w:r>
  </w:p>
  <w:p w:rsidR="00695DB2" w:rsidRDefault="00695DB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623C3" w:rsidRDefault="003623C3" w:rsidP="00E74ABA">
      <w:pPr>
        <w:spacing w:line="240" w:lineRule="auto"/>
      </w:pPr>
      <w:r>
        <w:separator/>
      </w:r>
    </w:p>
  </w:footnote>
  <w:footnote w:type="continuationSeparator" w:id="0">
    <w:p w:rsidR="003623C3" w:rsidRDefault="003623C3" w:rsidP="00E74ABA">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781BF0"/>
    <w:multiLevelType w:val="hybridMultilevel"/>
    <w:tmpl w:val="4B404706"/>
    <w:lvl w:ilvl="0" w:tplc="FD1A5C8C">
      <w:start w:val="1"/>
      <w:numFmt w:val="decimal"/>
      <w:lvlText w:val="(%1)"/>
      <w:lvlJc w:val="left"/>
      <w:pPr>
        <w:ind w:left="720" w:hanging="360"/>
      </w:pPr>
      <w:rPr>
        <w:rFonts w:ascii="Times New Roman" w:hAnsi="Times New Roman" w:cs="Times New Roman" w:hint="default"/>
        <w:b/>
        <w:i w:val="0"/>
        <w:sz w:val="20"/>
        <w:szCs w:val="2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0B2C51B0"/>
    <w:multiLevelType w:val="multilevel"/>
    <w:tmpl w:val="04243B3C"/>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F508EB"/>
    <w:multiLevelType w:val="hybridMultilevel"/>
    <w:tmpl w:val="BE3CA68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2A62BA3"/>
    <w:multiLevelType w:val="hybridMultilevel"/>
    <w:tmpl w:val="92BEF19E"/>
    <w:lvl w:ilvl="0" w:tplc="5B9606D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4A61F7"/>
    <w:multiLevelType w:val="hybridMultilevel"/>
    <w:tmpl w:val="05AAA4D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8AB7F37"/>
    <w:multiLevelType w:val="hybridMultilevel"/>
    <w:tmpl w:val="80DE2A42"/>
    <w:lvl w:ilvl="0" w:tplc="0F2E985C">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6" w15:restartNumberingAfterBreak="0">
    <w:nsid w:val="19F50C80"/>
    <w:multiLevelType w:val="hybridMultilevel"/>
    <w:tmpl w:val="6BCE5C5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E1950D6"/>
    <w:multiLevelType w:val="hybridMultilevel"/>
    <w:tmpl w:val="F5729DA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27453D6F"/>
    <w:multiLevelType w:val="hybridMultilevel"/>
    <w:tmpl w:val="057849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DF6B61"/>
    <w:multiLevelType w:val="hybridMultilevel"/>
    <w:tmpl w:val="52D05F62"/>
    <w:lvl w:ilvl="0" w:tplc="B436FBF4">
      <w:start w:val="1"/>
      <w:numFmt w:val="bullet"/>
      <w:lvlText w:val=""/>
      <w:lvlJc w:val="left"/>
      <w:pPr>
        <w:ind w:left="720" w:hanging="360"/>
      </w:pPr>
      <w:rPr>
        <w:rFonts w:ascii="Wingdings" w:hAnsi="Wingdings" w:hint="default"/>
        <w:b w:val="0"/>
        <w:i w:val="0"/>
        <w:sz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89734EA"/>
    <w:multiLevelType w:val="hybridMultilevel"/>
    <w:tmpl w:val="9D7AE0AE"/>
    <w:lvl w:ilvl="0" w:tplc="E728A536">
      <w:start w:val="1"/>
      <w:numFmt w:val="lowerLetter"/>
      <w:lvlText w:val="(%1)"/>
      <w:lvlJc w:val="left"/>
      <w:pPr>
        <w:ind w:left="2325" w:hanging="360"/>
      </w:pPr>
      <w:rPr>
        <w:rFonts w:hint="default"/>
      </w:rPr>
    </w:lvl>
    <w:lvl w:ilvl="1" w:tplc="04090019" w:tentative="1">
      <w:start w:val="1"/>
      <w:numFmt w:val="lowerLetter"/>
      <w:lvlText w:val="%2."/>
      <w:lvlJc w:val="left"/>
      <w:pPr>
        <w:ind w:left="3045" w:hanging="360"/>
      </w:pPr>
    </w:lvl>
    <w:lvl w:ilvl="2" w:tplc="0409001B" w:tentative="1">
      <w:start w:val="1"/>
      <w:numFmt w:val="lowerRoman"/>
      <w:lvlText w:val="%3."/>
      <w:lvlJc w:val="right"/>
      <w:pPr>
        <w:ind w:left="3765" w:hanging="180"/>
      </w:pPr>
    </w:lvl>
    <w:lvl w:ilvl="3" w:tplc="0409000F" w:tentative="1">
      <w:start w:val="1"/>
      <w:numFmt w:val="decimal"/>
      <w:lvlText w:val="%4."/>
      <w:lvlJc w:val="left"/>
      <w:pPr>
        <w:ind w:left="4485" w:hanging="360"/>
      </w:pPr>
    </w:lvl>
    <w:lvl w:ilvl="4" w:tplc="04090019" w:tentative="1">
      <w:start w:val="1"/>
      <w:numFmt w:val="lowerLetter"/>
      <w:lvlText w:val="%5."/>
      <w:lvlJc w:val="left"/>
      <w:pPr>
        <w:ind w:left="5205" w:hanging="360"/>
      </w:pPr>
    </w:lvl>
    <w:lvl w:ilvl="5" w:tplc="0409001B" w:tentative="1">
      <w:start w:val="1"/>
      <w:numFmt w:val="lowerRoman"/>
      <w:lvlText w:val="%6."/>
      <w:lvlJc w:val="right"/>
      <w:pPr>
        <w:ind w:left="5925" w:hanging="180"/>
      </w:pPr>
    </w:lvl>
    <w:lvl w:ilvl="6" w:tplc="0409000F" w:tentative="1">
      <w:start w:val="1"/>
      <w:numFmt w:val="decimal"/>
      <w:lvlText w:val="%7."/>
      <w:lvlJc w:val="left"/>
      <w:pPr>
        <w:ind w:left="6645" w:hanging="360"/>
      </w:pPr>
    </w:lvl>
    <w:lvl w:ilvl="7" w:tplc="04090019" w:tentative="1">
      <w:start w:val="1"/>
      <w:numFmt w:val="lowerLetter"/>
      <w:lvlText w:val="%8."/>
      <w:lvlJc w:val="left"/>
      <w:pPr>
        <w:ind w:left="7365" w:hanging="360"/>
      </w:pPr>
    </w:lvl>
    <w:lvl w:ilvl="8" w:tplc="0409001B" w:tentative="1">
      <w:start w:val="1"/>
      <w:numFmt w:val="lowerRoman"/>
      <w:lvlText w:val="%9."/>
      <w:lvlJc w:val="right"/>
      <w:pPr>
        <w:ind w:left="8085" w:hanging="180"/>
      </w:pPr>
    </w:lvl>
  </w:abstractNum>
  <w:abstractNum w:abstractNumId="11" w15:restartNumberingAfterBreak="0">
    <w:nsid w:val="3C5F45B9"/>
    <w:multiLevelType w:val="multilevel"/>
    <w:tmpl w:val="2580F15E"/>
    <w:lvl w:ilvl="0">
      <w:start w:val="2"/>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54D242A6"/>
    <w:multiLevelType w:val="hybridMultilevel"/>
    <w:tmpl w:val="46FC8D6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5DC80B8C"/>
    <w:multiLevelType w:val="hybridMultilevel"/>
    <w:tmpl w:val="4D26FCE8"/>
    <w:lvl w:ilvl="0" w:tplc="F230DBE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F4F33E0"/>
    <w:multiLevelType w:val="hybridMultilevel"/>
    <w:tmpl w:val="40B8364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60BF388A"/>
    <w:multiLevelType w:val="hybridMultilevel"/>
    <w:tmpl w:val="25269ED2"/>
    <w:lvl w:ilvl="0" w:tplc="85BAB3DC">
      <w:start w:val="1"/>
      <w:numFmt w:val="decimal"/>
      <w:lvlText w:val="(%1)"/>
      <w:lvlJc w:val="left"/>
      <w:pPr>
        <w:ind w:left="720" w:hanging="360"/>
      </w:pPr>
      <w:rPr>
        <w:rFonts w:ascii="Times New Roman" w:eastAsia="Calibr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1610C55"/>
    <w:multiLevelType w:val="multilevel"/>
    <w:tmpl w:val="A6B88A74"/>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624001B4"/>
    <w:multiLevelType w:val="hybridMultilevel"/>
    <w:tmpl w:val="1BB670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66623BC"/>
    <w:multiLevelType w:val="hybridMultilevel"/>
    <w:tmpl w:val="17187B7A"/>
    <w:lvl w:ilvl="0" w:tplc="80B299A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E49318F"/>
    <w:multiLevelType w:val="hybridMultilevel"/>
    <w:tmpl w:val="F1E219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07C0812"/>
    <w:multiLevelType w:val="hybridMultilevel"/>
    <w:tmpl w:val="46FC8D6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143667D"/>
    <w:multiLevelType w:val="multilevel"/>
    <w:tmpl w:val="1340BB5E"/>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767C4217"/>
    <w:multiLevelType w:val="hybridMultilevel"/>
    <w:tmpl w:val="602CCD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7A544222"/>
    <w:multiLevelType w:val="hybridMultilevel"/>
    <w:tmpl w:val="A35A46F0"/>
    <w:lvl w:ilvl="0" w:tplc="8ECA7A8A">
      <w:start w:val="1"/>
      <w:numFmt w:val="decimal"/>
      <w:lvlText w:val="%1."/>
      <w:lvlJc w:val="left"/>
      <w:pPr>
        <w:tabs>
          <w:tab w:val="num" w:pos="540"/>
        </w:tabs>
        <w:ind w:left="540" w:hanging="360"/>
      </w:pPr>
      <w:rPr>
        <w:rFonts w:hint="default"/>
        <w:color w:val="auto"/>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abstractNumId w:val="5"/>
  </w:num>
  <w:num w:numId="2">
    <w:abstractNumId w:val="10"/>
  </w:num>
  <w:num w:numId="3">
    <w:abstractNumId w:val="13"/>
  </w:num>
  <w:num w:numId="4">
    <w:abstractNumId w:val="22"/>
  </w:num>
  <w:num w:numId="5">
    <w:abstractNumId w:val="18"/>
  </w:num>
  <w:num w:numId="6">
    <w:abstractNumId w:val="17"/>
  </w:num>
  <w:num w:numId="7">
    <w:abstractNumId w:val="15"/>
  </w:num>
  <w:num w:numId="8">
    <w:abstractNumId w:val="21"/>
  </w:num>
  <w:num w:numId="9">
    <w:abstractNumId w:val="3"/>
  </w:num>
  <w:num w:numId="10">
    <w:abstractNumId w:val="9"/>
  </w:num>
  <w:num w:numId="11">
    <w:abstractNumId w:val="16"/>
  </w:num>
  <w:num w:numId="12">
    <w:abstractNumId w:val="1"/>
  </w:num>
  <w:num w:numId="13">
    <w:abstractNumId w:val="7"/>
  </w:num>
  <w:num w:numId="14">
    <w:abstractNumId w:val="23"/>
  </w:num>
  <w:num w:numId="15">
    <w:abstractNumId w:val="0"/>
  </w:num>
  <w:num w:numId="16">
    <w:abstractNumId w:val="2"/>
  </w:num>
  <w:num w:numId="17">
    <w:abstractNumId w:val="11"/>
  </w:num>
  <w:num w:numId="18">
    <w:abstractNumId w:val="14"/>
  </w:num>
  <w:num w:numId="19">
    <w:abstractNumId w:val="4"/>
  </w:num>
  <w:num w:numId="20">
    <w:abstractNumId w:val="20"/>
  </w:num>
  <w:num w:numId="21">
    <w:abstractNumId w:val="12"/>
  </w:num>
  <w:num w:numId="22">
    <w:abstractNumId w:val="8"/>
  </w:num>
  <w:num w:numId="23">
    <w:abstractNumId w:val="19"/>
  </w:num>
  <w:num w:numId="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defaultTabStop w:val="720"/>
  <w:hyphenationZone w:val="425"/>
  <w:drawingGridHorizontalSpacing w:val="115"/>
  <w:drawingGridVerticalSpacing w:val="187"/>
  <w:displayHorizontalDrawingGridEvery w:val="2"/>
  <w:doNotUseMarginsForDrawingGridOrigin/>
  <w:drawingGridHorizontalOrigin w:val="1440"/>
  <w:drawingGridVerticalOrigin w:val="144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MTW0sDQ3Mba0NLYwMDFQ0lEKTi0uzszPAymwsKgFAICR8LgtAAAA"/>
  </w:docVars>
  <w:rsids>
    <w:rsidRoot w:val="00C96046"/>
    <w:rsid w:val="0000042A"/>
    <w:rsid w:val="00000743"/>
    <w:rsid w:val="00000ADB"/>
    <w:rsid w:val="00000BC0"/>
    <w:rsid w:val="00000F96"/>
    <w:rsid w:val="0000113E"/>
    <w:rsid w:val="00001167"/>
    <w:rsid w:val="0000149C"/>
    <w:rsid w:val="000014C5"/>
    <w:rsid w:val="0000186C"/>
    <w:rsid w:val="00002977"/>
    <w:rsid w:val="00002EB0"/>
    <w:rsid w:val="00003843"/>
    <w:rsid w:val="000038FD"/>
    <w:rsid w:val="00003EEE"/>
    <w:rsid w:val="00004177"/>
    <w:rsid w:val="000041CC"/>
    <w:rsid w:val="00004379"/>
    <w:rsid w:val="000044C0"/>
    <w:rsid w:val="000045EF"/>
    <w:rsid w:val="000047D8"/>
    <w:rsid w:val="00004F86"/>
    <w:rsid w:val="000050AD"/>
    <w:rsid w:val="000050E1"/>
    <w:rsid w:val="0000510B"/>
    <w:rsid w:val="000051D7"/>
    <w:rsid w:val="000051F2"/>
    <w:rsid w:val="00005367"/>
    <w:rsid w:val="0000558A"/>
    <w:rsid w:val="000055FC"/>
    <w:rsid w:val="00005653"/>
    <w:rsid w:val="00005A1D"/>
    <w:rsid w:val="00005CBF"/>
    <w:rsid w:val="00005E02"/>
    <w:rsid w:val="00005F49"/>
    <w:rsid w:val="00006090"/>
    <w:rsid w:val="00006096"/>
    <w:rsid w:val="000063B1"/>
    <w:rsid w:val="00006A0F"/>
    <w:rsid w:val="00006CB4"/>
    <w:rsid w:val="00006DF1"/>
    <w:rsid w:val="000071A3"/>
    <w:rsid w:val="0000731C"/>
    <w:rsid w:val="00007331"/>
    <w:rsid w:val="00007353"/>
    <w:rsid w:val="000073F6"/>
    <w:rsid w:val="0000763C"/>
    <w:rsid w:val="000077D0"/>
    <w:rsid w:val="00007806"/>
    <w:rsid w:val="0000786A"/>
    <w:rsid w:val="00007D1F"/>
    <w:rsid w:val="00010063"/>
    <w:rsid w:val="0001009B"/>
    <w:rsid w:val="000105D9"/>
    <w:rsid w:val="000107C0"/>
    <w:rsid w:val="00010915"/>
    <w:rsid w:val="00010AC6"/>
    <w:rsid w:val="00010B50"/>
    <w:rsid w:val="00010D66"/>
    <w:rsid w:val="00011091"/>
    <w:rsid w:val="00011711"/>
    <w:rsid w:val="000117EB"/>
    <w:rsid w:val="0001191A"/>
    <w:rsid w:val="00011BC3"/>
    <w:rsid w:val="00011EB0"/>
    <w:rsid w:val="000121B5"/>
    <w:rsid w:val="00012219"/>
    <w:rsid w:val="0001243A"/>
    <w:rsid w:val="0001246D"/>
    <w:rsid w:val="00012495"/>
    <w:rsid w:val="000126E0"/>
    <w:rsid w:val="00012E52"/>
    <w:rsid w:val="000131E8"/>
    <w:rsid w:val="000133C0"/>
    <w:rsid w:val="00013C56"/>
    <w:rsid w:val="00013DF6"/>
    <w:rsid w:val="00013E1D"/>
    <w:rsid w:val="00013F2B"/>
    <w:rsid w:val="00014497"/>
    <w:rsid w:val="00014546"/>
    <w:rsid w:val="000146FE"/>
    <w:rsid w:val="000147C2"/>
    <w:rsid w:val="00014CCB"/>
    <w:rsid w:val="00014D5B"/>
    <w:rsid w:val="00014F31"/>
    <w:rsid w:val="000150DB"/>
    <w:rsid w:val="00015652"/>
    <w:rsid w:val="000156F4"/>
    <w:rsid w:val="00015929"/>
    <w:rsid w:val="000159E9"/>
    <w:rsid w:val="000161EE"/>
    <w:rsid w:val="000163CE"/>
    <w:rsid w:val="00016BB1"/>
    <w:rsid w:val="00016DBB"/>
    <w:rsid w:val="00016EA5"/>
    <w:rsid w:val="0001728A"/>
    <w:rsid w:val="00017973"/>
    <w:rsid w:val="00017D5F"/>
    <w:rsid w:val="000203A4"/>
    <w:rsid w:val="00020A80"/>
    <w:rsid w:val="00020D3C"/>
    <w:rsid w:val="000210FC"/>
    <w:rsid w:val="00021334"/>
    <w:rsid w:val="000213A0"/>
    <w:rsid w:val="0002140E"/>
    <w:rsid w:val="0002148B"/>
    <w:rsid w:val="00021751"/>
    <w:rsid w:val="00021FE4"/>
    <w:rsid w:val="000222CD"/>
    <w:rsid w:val="00022649"/>
    <w:rsid w:val="000227D8"/>
    <w:rsid w:val="00022A90"/>
    <w:rsid w:val="0002303F"/>
    <w:rsid w:val="000233BA"/>
    <w:rsid w:val="00023E4D"/>
    <w:rsid w:val="00024239"/>
    <w:rsid w:val="0002452F"/>
    <w:rsid w:val="00024B21"/>
    <w:rsid w:val="000256AE"/>
    <w:rsid w:val="000256D4"/>
    <w:rsid w:val="00025FA0"/>
    <w:rsid w:val="00026271"/>
    <w:rsid w:val="00026551"/>
    <w:rsid w:val="000267E5"/>
    <w:rsid w:val="000268BD"/>
    <w:rsid w:val="00026A2C"/>
    <w:rsid w:val="00026BBC"/>
    <w:rsid w:val="00026D5F"/>
    <w:rsid w:val="00026FA2"/>
    <w:rsid w:val="00027274"/>
    <w:rsid w:val="0002776B"/>
    <w:rsid w:val="0002779F"/>
    <w:rsid w:val="000278C2"/>
    <w:rsid w:val="00027BE8"/>
    <w:rsid w:val="00027D2F"/>
    <w:rsid w:val="00030335"/>
    <w:rsid w:val="000307CC"/>
    <w:rsid w:val="000308D7"/>
    <w:rsid w:val="00030A33"/>
    <w:rsid w:val="00030DC7"/>
    <w:rsid w:val="00030DEB"/>
    <w:rsid w:val="00030FFE"/>
    <w:rsid w:val="0003103C"/>
    <w:rsid w:val="0003121C"/>
    <w:rsid w:val="00031357"/>
    <w:rsid w:val="0003142A"/>
    <w:rsid w:val="00031DC8"/>
    <w:rsid w:val="00031EB6"/>
    <w:rsid w:val="00031F08"/>
    <w:rsid w:val="000320AF"/>
    <w:rsid w:val="00032147"/>
    <w:rsid w:val="000325F5"/>
    <w:rsid w:val="0003275C"/>
    <w:rsid w:val="0003286C"/>
    <w:rsid w:val="00032D22"/>
    <w:rsid w:val="00032E0E"/>
    <w:rsid w:val="000332DE"/>
    <w:rsid w:val="00033412"/>
    <w:rsid w:val="00033552"/>
    <w:rsid w:val="00033804"/>
    <w:rsid w:val="000339A1"/>
    <w:rsid w:val="00033A24"/>
    <w:rsid w:val="00033B35"/>
    <w:rsid w:val="00033C00"/>
    <w:rsid w:val="000341AA"/>
    <w:rsid w:val="00034425"/>
    <w:rsid w:val="00034456"/>
    <w:rsid w:val="00034823"/>
    <w:rsid w:val="0003533A"/>
    <w:rsid w:val="0003563B"/>
    <w:rsid w:val="00035CB5"/>
    <w:rsid w:val="00035E66"/>
    <w:rsid w:val="00035F9B"/>
    <w:rsid w:val="0003654D"/>
    <w:rsid w:val="00036635"/>
    <w:rsid w:val="0003666C"/>
    <w:rsid w:val="000369FF"/>
    <w:rsid w:val="00036AA7"/>
    <w:rsid w:val="00036ADC"/>
    <w:rsid w:val="00036E13"/>
    <w:rsid w:val="00036F3E"/>
    <w:rsid w:val="000370DA"/>
    <w:rsid w:val="000370E6"/>
    <w:rsid w:val="0003762A"/>
    <w:rsid w:val="00037645"/>
    <w:rsid w:val="00037C4C"/>
    <w:rsid w:val="000402D2"/>
    <w:rsid w:val="00040322"/>
    <w:rsid w:val="000409D4"/>
    <w:rsid w:val="000409DB"/>
    <w:rsid w:val="00040B1C"/>
    <w:rsid w:val="00040D7F"/>
    <w:rsid w:val="000415D1"/>
    <w:rsid w:val="00041782"/>
    <w:rsid w:val="00041F1E"/>
    <w:rsid w:val="00042169"/>
    <w:rsid w:val="00042481"/>
    <w:rsid w:val="00042538"/>
    <w:rsid w:val="0004278B"/>
    <w:rsid w:val="0004279F"/>
    <w:rsid w:val="00042875"/>
    <w:rsid w:val="00042A8A"/>
    <w:rsid w:val="00042E64"/>
    <w:rsid w:val="00042ED1"/>
    <w:rsid w:val="00042F6E"/>
    <w:rsid w:val="0004308C"/>
    <w:rsid w:val="000431CB"/>
    <w:rsid w:val="0004325A"/>
    <w:rsid w:val="00043A38"/>
    <w:rsid w:val="00043E04"/>
    <w:rsid w:val="00043E3D"/>
    <w:rsid w:val="00043EAB"/>
    <w:rsid w:val="0004424C"/>
    <w:rsid w:val="00044410"/>
    <w:rsid w:val="000446E6"/>
    <w:rsid w:val="00044897"/>
    <w:rsid w:val="00044B37"/>
    <w:rsid w:val="000452AC"/>
    <w:rsid w:val="0004532C"/>
    <w:rsid w:val="00045654"/>
    <w:rsid w:val="000459A8"/>
    <w:rsid w:val="00045D2B"/>
    <w:rsid w:val="00045F73"/>
    <w:rsid w:val="000462CE"/>
    <w:rsid w:val="00046534"/>
    <w:rsid w:val="00046806"/>
    <w:rsid w:val="00046900"/>
    <w:rsid w:val="000469EF"/>
    <w:rsid w:val="00046DB5"/>
    <w:rsid w:val="00046DE4"/>
    <w:rsid w:val="00046EFA"/>
    <w:rsid w:val="00046F02"/>
    <w:rsid w:val="00047F88"/>
    <w:rsid w:val="00047FE9"/>
    <w:rsid w:val="000505F4"/>
    <w:rsid w:val="0005091C"/>
    <w:rsid w:val="00050A45"/>
    <w:rsid w:val="00050CA2"/>
    <w:rsid w:val="00050F68"/>
    <w:rsid w:val="00051569"/>
    <w:rsid w:val="0005168A"/>
    <w:rsid w:val="00051772"/>
    <w:rsid w:val="000525DD"/>
    <w:rsid w:val="00052804"/>
    <w:rsid w:val="000529EC"/>
    <w:rsid w:val="00052AD6"/>
    <w:rsid w:val="00052B1A"/>
    <w:rsid w:val="00052D15"/>
    <w:rsid w:val="00052F83"/>
    <w:rsid w:val="0005311B"/>
    <w:rsid w:val="00053660"/>
    <w:rsid w:val="00053BF6"/>
    <w:rsid w:val="00053C53"/>
    <w:rsid w:val="000541AA"/>
    <w:rsid w:val="000549E6"/>
    <w:rsid w:val="00054A5B"/>
    <w:rsid w:val="00054E24"/>
    <w:rsid w:val="00055145"/>
    <w:rsid w:val="000556E4"/>
    <w:rsid w:val="00055989"/>
    <w:rsid w:val="00055C15"/>
    <w:rsid w:val="00055C2E"/>
    <w:rsid w:val="0005602E"/>
    <w:rsid w:val="000564F0"/>
    <w:rsid w:val="000565C2"/>
    <w:rsid w:val="00056712"/>
    <w:rsid w:val="00056D13"/>
    <w:rsid w:val="00056F57"/>
    <w:rsid w:val="0005749B"/>
    <w:rsid w:val="000578FD"/>
    <w:rsid w:val="00057BD0"/>
    <w:rsid w:val="00057F56"/>
    <w:rsid w:val="00060993"/>
    <w:rsid w:val="00060B1D"/>
    <w:rsid w:val="00060C0E"/>
    <w:rsid w:val="00060E24"/>
    <w:rsid w:val="00060E8D"/>
    <w:rsid w:val="000611DA"/>
    <w:rsid w:val="0006198A"/>
    <w:rsid w:val="00061AF8"/>
    <w:rsid w:val="00061F34"/>
    <w:rsid w:val="0006214E"/>
    <w:rsid w:val="00062752"/>
    <w:rsid w:val="000627A2"/>
    <w:rsid w:val="0006291D"/>
    <w:rsid w:val="00062BC6"/>
    <w:rsid w:val="00062C04"/>
    <w:rsid w:val="00062DC7"/>
    <w:rsid w:val="0006303F"/>
    <w:rsid w:val="000630B4"/>
    <w:rsid w:val="00063DA8"/>
    <w:rsid w:val="00063EBB"/>
    <w:rsid w:val="00064653"/>
    <w:rsid w:val="00064C61"/>
    <w:rsid w:val="000653C1"/>
    <w:rsid w:val="00065EBD"/>
    <w:rsid w:val="000661D5"/>
    <w:rsid w:val="000661E8"/>
    <w:rsid w:val="000661F5"/>
    <w:rsid w:val="00066242"/>
    <w:rsid w:val="00066524"/>
    <w:rsid w:val="00066532"/>
    <w:rsid w:val="0006657F"/>
    <w:rsid w:val="000667F8"/>
    <w:rsid w:val="000668A2"/>
    <w:rsid w:val="000668C1"/>
    <w:rsid w:val="00066AA8"/>
    <w:rsid w:val="000672EC"/>
    <w:rsid w:val="00067639"/>
    <w:rsid w:val="00067A37"/>
    <w:rsid w:val="00067B75"/>
    <w:rsid w:val="00067B97"/>
    <w:rsid w:val="00070380"/>
    <w:rsid w:val="00070636"/>
    <w:rsid w:val="00070AB5"/>
    <w:rsid w:val="00070BE3"/>
    <w:rsid w:val="00070C9B"/>
    <w:rsid w:val="00070ECC"/>
    <w:rsid w:val="0007135A"/>
    <w:rsid w:val="00071627"/>
    <w:rsid w:val="0007169E"/>
    <w:rsid w:val="00071C4D"/>
    <w:rsid w:val="00071C6C"/>
    <w:rsid w:val="00071CCF"/>
    <w:rsid w:val="00071E11"/>
    <w:rsid w:val="000727EE"/>
    <w:rsid w:val="00072811"/>
    <w:rsid w:val="000729F1"/>
    <w:rsid w:val="00072C28"/>
    <w:rsid w:val="00072EB5"/>
    <w:rsid w:val="00073099"/>
    <w:rsid w:val="00073745"/>
    <w:rsid w:val="0007379A"/>
    <w:rsid w:val="00073A70"/>
    <w:rsid w:val="00073DF0"/>
    <w:rsid w:val="00074606"/>
    <w:rsid w:val="0007478D"/>
    <w:rsid w:val="00074E1E"/>
    <w:rsid w:val="000753AF"/>
    <w:rsid w:val="00075D12"/>
    <w:rsid w:val="00075D69"/>
    <w:rsid w:val="00075F25"/>
    <w:rsid w:val="00075F4E"/>
    <w:rsid w:val="00076112"/>
    <w:rsid w:val="000763C8"/>
    <w:rsid w:val="000764D4"/>
    <w:rsid w:val="0007657C"/>
    <w:rsid w:val="00076A49"/>
    <w:rsid w:val="00076C93"/>
    <w:rsid w:val="00076D44"/>
    <w:rsid w:val="00076F3C"/>
    <w:rsid w:val="00076F69"/>
    <w:rsid w:val="000771E0"/>
    <w:rsid w:val="00077B29"/>
    <w:rsid w:val="00077F12"/>
    <w:rsid w:val="00080448"/>
    <w:rsid w:val="00080A2D"/>
    <w:rsid w:val="00080CBC"/>
    <w:rsid w:val="00081259"/>
    <w:rsid w:val="0008131F"/>
    <w:rsid w:val="00081354"/>
    <w:rsid w:val="000818AE"/>
    <w:rsid w:val="00081E28"/>
    <w:rsid w:val="00082031"/>
    <w:rsid w:val="00082323"/>
    <w:rsid w:val="00082683"/>
    <w:rsid w:val="00082E5B"/>
    <w:rsid w:val="000832D0"/>
    <w:rsid w:val="00083485"/>
    <w:rsid w:val="000836EC"/>
    <w:rsid w:val="00083AAD"/>
    <w:rsid w:val="00083AF7"/>
    <w:rsid w:val="00083BEF"/>
    <w:rsid w:val="00083EDC"/>
    <w:rsid w:val="00083FD1"/>
    <w:rsid w:val="0008458C"/>
    <w:rsid w:val="00084887"/>
    <w:rsid w:val="000848BA"/>
    <w:rsid w:val="00084AB2"/>
    <w:rsid w:val="00084DCE"/>
    <w:rsid w:val="00084F38"/>
    <w:rsid w:val="00084FF2"/>
    <w:rsid w:val="00085033"/>
    <w:rsid w:val="000853D8"/>
    <w:rsid w:val="00085432"/>
    <w:rsid w:val="00085769"/>
    <w:rsid w:val="000858BB"/>
    <w:rsid w:val="00085F38"/>
    <w:rsid w:val="00086005"/>
    <w:rsid w:val="00086079"/>
    <w:rsid w:val="00086334"/>
    <w:rsid w:val="000865FE"/>
    <w:rsid w:val="00086694"/>
    <w:rsid w:val="000869DD"/>
    <w:rsid w:val="000869E4"/>
    <w:rsid w:val="00086B04"/>
    <w:rsid w:val="00086CA6"/>
    <w:rsid w:val="00086CE4"/>
    <w:rsid w:val="00086E2A"/>
    <w:rsid w:val="0008703D"/>
    <w:rsid w:val="00087572"/>
    <w:rsid w:val="000877F3"/>
    <w:rsid w:val="00087862"/>
    <w:rsid w:val="00087A32"/>
    <w:rsid w:val="00087C14"/>
    <w:rsid w:val="00087C18"/>
    <w:rsid w:val="00087D0B"/>
    <w:rsid w:val="00087DC0"/>
    <w:rsid w:val="00087DE5"/>
    <w:rsid w:val="00087FA0"/>
    <w:rsid w:val="00090053"/>
    <w:rsid w:val="00090190"/>
    <w:rsid w:val="00090221"/>
    <w:rsid w:val="000903EC"/>
    <w:rsid w:val="00090559"/>
    <w:rsid w:val="00090655"/>
    <w:rsid w:val="000906FF"/>
    <w:rsid w:val="00090950"/>
    <w:rsid w:val="00090A7B"/>
    <w:rsid w:val="00090C8C"/>
    <w:rsid w:val="00090DCB"/>
    <w:rsid w:val="00090EBD"/>
    <w:rsid w:val="0009159C"/>
    <w:rsid w:val="00091E50"/>
    <w:rsid w:val="00091FE8"/>
    <w:rsid w:val="00092212"/>
    <w:rsid w:val="00092276"/>
    <w:rsid w:val="000922BB"/>
    <w:rsid w:val="0009241A"/>
    <w:rsid w:val="00092FC6"/>
    <w:rsid w:val="00092FED"/>
    <w:rsid w:val="00093021"/>
    <w:rsid w:val="00093045"/>
    <w:rsid w:val="000932A7"/>
    <w:rsid w:val="000937B6"/>
    <w:rsid w:val="00093967"/>
    <w:rsid w:val="00093D77"/>
    <w:rsid w:val="00093F99"/>
    <w:rsid w:val="00093FB5"/>
    <w:rsid w:val="0009415A"/>
    <w:rsid w:val="00094486"/>
    <w:rsid w:val="00094950"/>
    <w:rsid w:val="00094F39"/>
    <w:rsid w:val="00095223"/>
    <w:rsid w:val="000952FA"/>
    <w:rsid w:val="0009550E"/>
    <w:rsid w:val="000956CF"/>
    <w:rsid w:val="00095743"/>
    <w:rsid w:val="00095C05"/>
    <w:rsid w:val="00095C36"/>
    <w:rsid w:val="000960C1"/>
    <w:rsid w:val="0009621E"/>
    <w:rsid w:val="000969D0"/>
    <w:rsid w:val="000969E9"/>
    <w:rsid w:val="00096E0B"/>
    <w:rsid w:val="00096FF7"/>
    <w:rsid w:val="00097415"/>
    <w:rsid w:val="000974DD"/>
    <w:rsid w:val="0009770F"/>
    <w:rsid w:val="0009778B"/>
    <w:rsid w:val="00097D7C"/>
    <w:rsid w:val="00097F6C"/>
    <w:rsid w:val="00097F71"/>
    <w:rsid w:val="000A06DE"/>
    <w:rsid w:val="000A0AFD"/>
    <w:rsid w:val="000A0C5A"/>
    <w:rsid w:val="000A0DD7"/>
    <w:rsid w:val="000A0F37"/>
    <w:rsid w:val="000A0F4F"/>
    <w:rsid w:val="000A10AC"/>
    <w:rsid w:val="000A13C0"/>
    <w:rsid w:val="000A158A"/>
    <w:rsid w:val="000A1678"/>
    <w:rsid w:val="000A167A"/>
    <w:rsid w:val="000A1CE6"/>
    <w:rsid w:val="000A23EE"/>
    <w:rsid w:val="000A27E1"/>
    <w:rsid w:val="000A2F2A"/>
    <w:rsid w:val="000A315E"/>
    <w:rsid w:val="000A331D"/>
    <w:rsid w:val="000A3464"/>
    <w:rsid w:val="000A37ED"/>
    <w:rsid w:val="000A3A81"/>
    <w:rsid w:val="000A3C8F"/>
    <w:rsid w:val="000A3EE7"/>
    <w:rsid w:val="000A4149"/>
    <w:rsid w:val="000A4339"/>
    <w:rsid w:val="000A47CA"/>
    <w:rsid w:val="000A4A7C"/>
    <w:rsid w:val="000A4D09"/>
    <w:rsid w:val="000A4E6F"/>
    <w:rsid w:val="000A5430"/>
    <w:rsid w:val="000A5B91"/>
    <w:rsid w:val="000A65A3"/>
    <w:rsid w:val="000A72EC"/>
    <w:rsid w:val="000A74C9"/>
    <w:rsid w:val="000A762E"/>
    <w:rsid w:val="000A7795"/>
    <w:rsid w:val="000B025D"/>
    <w:rsid w:val="000B03CE"/>
    <w:rsid w:val="000B06D9"/>
    <w:rsid w:val="000B0DC1"/>
    <w:rsid w:val="000B1378"/>
    <w:rsid w:val="000B13C1"/>
    <w:rsid w:val="000B16BC"/>
    <w:rsid w:val="000B1770"/>
    <w:rsid w:val="000B1A3A"/>
    <w:rsid w:val="000B1AFE"/>
    <w:rsid w:val="000B1C49"/>
    <w:rsid w:val="000B2588"/>
    <w:rsid w:val="000B285A"/>
    <w:rsid w:val="000B33B8"/>
    <w:rsid w:val="000B359F"/>
    <w:rsid w:val="000B37FD"/>
    <w:rsid w:val="000B396D"/>
    <w:rsid w:val="000B43B0"/>
    <w:rsid w:val="000B4470"/>
    <w:rsid w:val="000B4507"/>
    <w:rsid w:val="000B4983"/>
    <w:rsid w:val="000B49CE"/>
    <w:rsid w:val="000B4A23"/>
    <w:rsid w:val="000B511F"/>
    <w:rsid w:val="000B522A"/>
    <w:rsid w:val="000B52B4"/>
    <w:rsid w:val="000B533D"/>
    <w:rsid w:val="000B538A"/>
    <w:rsid w:val="000B5A9F"/>
    <w:rsid w:val="000B5C14"/>
    <w:rsid w:val="000B5D14"/>
    <w:rsid w:val="000B5FE1"/>
    <w:rsid w:val="000B60B5"/>
    <w:rsid w:val="000B63E4"/>
    <w:rsid w:val="000B64BE"/>
    <w:rsid w:val="000B65DE"/>
    <w:rsid w:val="000B6B06"/>
    <w:rsid w:val="000B6E8F"/>
    <w:rsid w:val="000B72F7"/>
    <w:rsid w:val="000B738B"/>
    <w:rsid w:val="000B7420"/>
    <w:rsid w:val="000B79CA"/>
    <w:rsid w:val="000B7A24"/>
    <w:rsid w:val="000B7A60"/>
    <w:rsid w:val="000C00B4"/>
    <w:rsid w:val="000C00D5"/>
    <w:rsid w:val="000C02FB"/>
    <w:rsid w:val="000C04AC"/>
    <w:rsid w:val="000C1513"/>
    <w:rsid w:val="000C15FB"/>
    <w:rsid w:val="000C162D"/>
    <w:rsid w:val="000C16B1"/>
    <w:rsid w:val="000C1BDB"/>
    <w:rsid w:val="000C1DAB"/>
    <w:rsid w:val="000C1E0E"/>
    <w:rsid w:val="000C1ED7"/>
    <w:rsid w:val="000C1EE0"/>
    <w:rsid w:val="000C268F"/>
    <w:rsid w:val="000C2BB1"/>
    <w:rsid w:val="000C2E3E"/>
    <w:rsid w:val="000C2EB4"/>
    <w:rsid w:val="000C3032"/>
    <w:rsid w:val="000C3696"/>
    <w:rsid w:val="000C3BA8"/>
    <w:rsid w:val="000C3C36"/>
    <w:rsid w:val="000C3CC5"/>
    <w:rsid w:val="000C3E29"/>
    <w:rsid w:val="000C42DD"/>
    <w:rsid w:val="000C4C97"/>
    <w:rsid w:val="000C4D19"/>
    <w:rsid w:val="000C4F11"/>
    <w:rsid w:val="000C5155"/>
    <w:rsid w:val="000C547B"/>
    <w:rsid w:val="000C55E9"/>
    <w:rsid w:val="000C58F2"/>
    <w:rsid w:val="000C5EA2"/>
    <w:rsid w:val="000C616E"/>
    <w:rsid w:val="000C676D"/>
    <w:rsid w:val="000C6C94"/>
    <w:rsid w:val="000C7098"/>
    <w:rsid w:val="000C70ED"/>
    <w:rsid w:val="000C734F"/>
    <w:rsid w:val="000C7409"/>
    <w:rsid w:val="000C7D8F"/>
    <w:rsid w:val="000D007F"/>
    <w:rsid w:val="000D0498"/>
    <w:rsid w:val="000D0BB6"/>
    <w:rsid w:val="000D0D23"/>
    <w:rsid w:val="000D0DBB"/>
    <w:rsid w:val="000D0DBD"/>
    <w:rsid w:val="000D1554"/>
    <w:rsid w:val="000D1708"/>
    <w:rsid w:val="000D192E"/>
    <w:rsid w:val="000D1B68"/>
    <w:rsid w:val="000D230E"/>
    <w:rsid w:val="000D25DA"/>
    <w:rsid w:val="000D2722"/>
    <w:rsid w:val="000D2DF2"/>
    <w:rsid w:val="000D3AA1"/>
    <w:rsid w:val="000D3B28"/>
    <w:rsid w:val="000D3B33"/>
    <w:rsid w:val="000D4649"/>
    <w:rsid w:val="000D4705"/>
    <w:rsid w:val="000D4A60"/>
    <w:rsid w:val="000D4ABA"/>
    <w:rsid w:val="000D4F69"/>
    <w:rsid w:val="000D4FF1"/>
    <w:rsid w:val="000D507E"/>
    <w:rsid w:val="000D5149"/>
    <w:rsid w:val="000D5719"/>
    <w:rsid w:val="000D57F9"/>
    <w:rsid w:val="000D59DA"/>
    <w:rsid w:val="000D5C1A"/>
    <w:rsid w:val="000D5C52"/>
    <w:rsid w:val="000D600B"/>
    <w:rsid w:val="000D61DD"/>
    <w:rsid w:val="000D6211"/>
    <w:rsid w:val="000D62BB"/>
    <w:rsid w:val="000D62C9"/>
    <w:rsid w:val="000D6421"/>
    <w:rsid w:val="000D6490"/>
    <w:rsid w:val="000D64BF"/>
    <w:rsid w:val="000D65DC"/>
    <w:rsid w:val="000D65F5"/>
    <w:rsid w:val="000D6806"/>
    <w:rsid w:val="000D6C00"/>
    <w:rsid w:val="000D6E0B"/>
    <w:rsid w:val="000D6EAF"/>
    <w:rsid w:val="000D6F00"/>
    <w:rsid w:val="000D76E4"/>
    <w:rsid w:val="000D79BE"/>
    <w:rsid w:val="000D7D94"/>
    <w:rsid w:val="000E0179"/>
    <w:rsid w:val="000E0439"/>
    <w:rsid w:val="000E04A3"/>
    <w:rsid w:val="000E0568"/>
    <w:rsid w:val="000E092B"/>
    <w:rsid w:val="000E094F"/>
    <w:rsid w:val="000E0B31"/>
    <w:rsid w:val="000E0F48"/>
    <w:rsid w:val="000E11A7"/>
    <w:rsid w:val="000E1258"/>
    <w:rsid w:val="000E13A8"/>
    <w:rsid w:val="000E180D"/>
    <w:rsid w:val="000E1B5C"/>
    <w:rsid w:val="000E1C35"/>
    <w:rsid w:val="000E1CAA"/>
    <w:rsid w:val="000E1F15"/>
    <w:rsid w:val="000E1F8B"/>
    <w:rsid w:val="000E1FBC"/>
    <w:rsid w:val="000E21C0"/>
    <w:rsid w:val="000E22C2"/>
    <w:rsid w:val="000E260D"/>
    <w:rsid w:val="000E2824"/>
    <w:rsid w:val="000E28E6"/>
    <w:rsid w:val="000E2A67"/>
    <w:rsid w:val="000E2C38"/>
    <w:rsid w:val="000E2DCB"/>
    <w:rsid w:val="000E33DA"/>
    <w:rsid w:val="000E3631"/>
    <w:rsid w:val="000E382F"/>
    <w:rsid w:val="000E3DDA"/>
    <w:rsid w:val="000E3F84"/>
    <w:rsid w:val="000E43FB"/>
    <w:rsid w:val="000E44F3"/>
    <w:rsid w:val="000E4611"/>
    <w:rsid w:val="000E4759"/>
    <w:rsid w:val="000E4C8C"/>
    <w:rsid w:val="000E4CB1"/>
    <w:rsid w:val="000E4EB2"/>
    <w:rsid w:val="000E4F0F"/>
    <w:rsid w:val="000E5099"/>
    <w:rsid w:val="000E529D"/>
    <w:rsid w:val="000E5BFF"/>
    <w:rsid w:val="000E5CF4"/>
    <w:rsid w:val="000E5E9C"/>
    <w:rsid w:val="000E6762"/>
    <w:rsid w:val="000E6ADF"/>
    <w:rsid w:val="000E6EF7"/>
    <w:rsid w:val="000E7763"/>
    <w:rsid w:val="000E7F88"/>
    <w:rsid w:val="000F0668"/>
    <w:rsid w:val="000F069F"/>
    <w:rsid w:val="000F0753"/>
    <w:rsid w:val="000F08E4"/>
    <w:rsid w:val="000F125B"/>
    <w:rsid w:val="000F1510"/>
    <w:rsid w:val="000F1646"/>
    <w:rsid w:val="000F1679"/>
    <w:rsid w:val="000F16E9"/>
    <w:rsid w:val="000F1770"/>
    <w:rsid w:val="000F263B"/>
    <w:rsid w:val="000F26D0"/>
    <w:rsid w:val="000F28F8"/>
    <w:rsid w:val="000F291D"/>
    <w:rsid w:val="000F2DA5"/>
    <w:rsid w:val="000F32A4"/>
    <w:rsid w:val="000F38A3"/>
    <w:rsid w:val="000F3954"/>
    <w:rsid w:val="000F3BAE"/>
    <w:rsid w:val="000F3CC1"/>
    <w:rsid w:val="000F3E6B"/>
    <w:rsid w:val="000F3FE6"/>
    <w:rsid w:val="000F4551"/>
    <w:rsid w:val="000F5082"/>
    <w:rsid w:val="000F51E7"/>
    <w:rsid w:val="000F5683"/>
    <w:rsid w:val="000F571F"/>
    <w:rsid w:val="000F5967"/>
    <w:rsid w:val="000F5A35"/>
    <w:rsid w:val="000F5A70"/>
    <w:rsid w:val="000F5AE8"/>
    <w:rsid w:val="000F5D47"/>
    <w:rsid w:val="000F68F5"/>
    <w:rsid w:val="000F6959"/>
    <w:rsid w:val="000F698C"/>
    <w:rsid w:val="000F6F4C"/>
    <w:rsid w:val="000F6FED"/>
    <w:rsid w:val="000F74A6"/>
    <w:rsid w:val="000F7769"/>
    <w:rsid w:val="00100444"/>
    <w:rsid w:val="001004AA"/>
    <w:rsid w:val="0010079A"/>
    <w:rsid w:val="001007F0"/>
    <w:rsid w:val="00100A19"/>
    <w:rsid w:val="00100BD9"/>
    <w:rsid w:val="00100D60"/>
    <w:rsid w:val="001010DD"/>
    <w:rsid w:val="00101203"/>
    <w:rsid w:val="0010142F"/>
    <w:rsid w:val="00101675"/>
    <w:rsid w:val="00101851"/>
    <w:rsid w:val="00101D24"/>
    <w:rsid w:val="001020AF"/>
    <w:rsid w:val="00102DAB"/>
    <w:rsid w:val="001030D5"/>
    <w:rsid w:val="001032E6"/>
    <w:rsid w:val="00104534"/>
    <w:rsid w:val="001048CA"/>
    <w:rsid w:val="00104B26"/>
    <w:rsid w:val="001050A9"/>
    <w:rsid w:val="001054C1"/>
    <w:rsid w:val="00105762"/>
    <w:rsid w:val="00105783"/>
    <w:rsid w:val="00105B6E"/>
    <w:rsid w:val="00105D01"/>
    <w:rsid w:val="00105D79"/>
    <w:rsid w:val="00106323"/>
    <w:rsid w:val="001065C6"/>
    <w:rsid w:val="00106977"/>
    <w:rsid w:val="001069DE"/>
    <w:rsid w:val="00106A42"/>
    <w:rsid w:val="00106B6C"/>
    <w:rsid w:val="00106C8E"/>
    <w:rsid w:val="00106FE1"/>
    <w:rsid w:val="00107316"/>
    <w:rsid w:val="00107390"/>
    <w:rsid w:val="001073D9"/>
    <w:rsid w:val="001075BD"/>
    <w:rsid w:val="00107911"/>
    <w:rsid w:val="00107C91"/>
    <w:rsid w:val="00110254"/>
    <w:rsid w:val="001106B2"/>
    <w:rsid w:val="001107C7"/>
    <w:rsid w:val="00110B07"/>
    <w:rsid w:val="00110DB8"/>
    <w:rsid w:val="00111354"/>
    <w:rsid w:val="00111358"/>
    <w:rsid w:val="00111435"/>
    <w:rsid w:val="00111493"/>
    <w:rsid w:val="001116A5"/>
    <w:rsid w:val="0011177E"/>
    <w:rsid w:val="001118CD"/>
    <w:rsid w:val="00111998"/>
    <w:rsid w:val="00111C75"/>
    <w:rsid w:val="00111E3F"/>
    <w:rsid w:val="00111E63"/>
    <w:rsid w:val="00111E6B"/>
    <w:rsid w:val="00111E8E"/>
    <w:rsid w:val="00112386"/>
    <w:rsid w:val="001124CC"/>
    <w:rsid w:val="00112697"/>
    <w:rsid w:val="00112CCC"/>
    <w:rsid w:val="0011329F"/>
    <w:rsid w:val="0011331F"/>
    <w:rsid w:val="0011393C"/>
    <w:rsid w:val="00113B32"/>
    <w:rsid w:val="00113C2D"/>
    <w:rsid w:val="00113D5A"/>
    <w:rsid w:val="00114127"/>
    <w:rsid w:val="00114477"/>
    <w:rsid w:val="001145BF"/>
    <w:rsid w:val="00114626"/>
    <w:rsid w:val="00115128"/>
    <w:rsid w:val="001152A1"/>
    <w:rsid w:val="001159EA"/>
    <w:rsid w:val="00115B94"/>
    <w:rsid w:val="00115D58"/>
    <w:rsid w:val="00116095"/>
    <w:rsid w:val="001160C5"/>
    <w:rsid w:val="001160E6"/>
    <w:rsid w:val="001163B2"/>
    <w:rsid w:val="0011685F"/>
    <w:rsid w:val="00116C58"/>
    <w:rsid w:val="00116ED8"/>
    <w:rsid w:val="00116EEB"/>
    <w:rsid w:val="0011716D"/>
    <w:rsid w:val="001177A2"/>
    <w:rsid w:val="00117856"/>
    <w:rsid w:val="001179D7"/>
    <w:rsid w:val="00117A81"/>
    <w:rsid w:val="00117BB6"/>
    <w:rsid w:val="00117E02"/>
    <w:rsid w:val="00117E87"/>
    <w:rsid w:val="001200B0"/>
    <w:rsid w:val="001201ED"/>
    <w:rsid w:val="0012056D"/>
    <w:rsid w:val="0012081B"/>
    <w:rsid w:val="00120883"/>
    <w:rsid w:val="00120BAA"/>
    <w:rsid w:val="00120D6B"/>
    <w:rsid w:val="00121032"/>
    <w:rsid w:val="001211EB"/>
    <w:rsid w:val="00121215"/>
    <w:rsid w:val="00121820"/>
    <w:rsid w:val="001218E1"/>
    <w:rsid w:val="00121954"/>
    <w:rsid w:val="00121ACE"/>
    <w:rsid w:val="00121BFB"/>
    <w:rsid w:val="00121E33"/>
    <w:rsid w:val="00122126"/>
    <w:rsid w:val="0012242E"/>
    <w:rsid w:val="00122516"/>
    <w:rsid w:val="001226B0"/>
    <w:rsid w:val="00122869"/>
    <w:rsid w:val="00122929"/>
    <w:rsid w:val="00122B3D"/>
    <w:rsid w:val="00122C16"/>
    <w:rsid w:val="00122DAC"/>
    <w:rsid w:val="00122DE8"/>
    <w:rsid w:val="001231AF"/>
    <w:rsid w:val="001232E6"/>
    <w:rsid w:val="00123419"/>
    <w:rsid w:val="001236F6"/>
    <w:rsid w:val="0012393B"/>
    <w:rsid w:val="00123B1E"/>
    <w:rsid w:val="00123DE7"/>
    <w:rsid w:val="00124508"/>
    <w:rsid w:val="001249D8"/>
    <w:rsid w:val="00124B69"/>
    <w:rsid w:val="00124E09"/>
    <w:rsid w:val="00124FFE"/>
    <w:rsid w:val="001252B8"/>
    <w:rsid w:val="001255A9"/>
    <w:rsid w:val="00125788"/>
    <w:rsid w:val="001259D9"/>
    <w:rsid w:val="00125BA1"/>
    <w:rsid w:val="00125D59"/>
    <w:rsid w:val="0012601D"/>
    <w:rsid w:val="0012604B"/>
    <w:rsid w:val="00126418"/>
    <w:rsid w:val="0012671D"/>
    <w:rsid w:val="00126755"/>
    <w:rsid w:val="00126953"/>
    <w:rsid w:val="00126A04"/>
    <w:rsid w:val="00126AEA"/>
    <w:rsid w:val="00126CE1"/>
    <w:rsid w:val="00126EDE"/>
    <w:rsid w:val="001271AC"/>
    <w:rsid w:val="001271B8"/>
    <w:rsid w:val="00127236"/>
    <w:rsid w:val="0012786A"/>
    <w:rsid w:val="00127AA2"/>
    <w:rsid w:val="00127B1A"/>
    <w:rsid w:val="00127D75"/>
    <w:rsid w:val="00130112"/>
    <w:rsid w:val="00130148"/>
    <w:rsid w:val="00130786"/>
    <w:rsid w:val="00130858"/>
    <w:rsid w:val="00130A83"/>
    <w:rsid w:val="00130F31"/>
    <w:rsid w:val="00131355"/>
    <w:rsid w:val="00131745"/>
    <w:rsid w:val="00131EB6"/>
    <w:rsid w:val="001320C8"/>
    <w:rsid w:val="00132357"/>
    <w:rsid w:val="001323BB"/>
    <w:rsid w:val="0013255D"/>
    <w:rsid w:val="00132724"/>
    <w:rsid w:val="00132752"/>
    <w:rsid w:val="00132B0F"/>
    <w:rsid w:val="00132C2F"/>
    <w:rsid w:val="00133934"/>
    <w:rsid w:val="00133B4E"/>
    <w:rsid w:val="00133D66"/>
    <w:rsid w:val="00133DE8"/>
    <w:rsid w:val="00133F86"/>
    <w:rsid w:val="0013404B"/>
    <w:rsid w:val="001340D6"/>
    <w:rsid w:val="001342E1"/>
    <w:rsid w:val="00134479"/>
    <w:rsid w:val="00134541"/>
    <w:rsid w:val="00134752"/>
    <w:rsid w:val="0013479C"/>
    <w:rsid w:val="00135088"/>
    <w:rsid w:val="001354B5"/>
    <w:rsid w:val="00135E52"/>
    <w:rsid w:val="00135F58"/>
    <w:rsid w:val="0013608A"/>
    <w:rsid w:val="00136176"/>
    <w:rsid w:val="00136ACA"/>
    <w:rsid w:val="00136C8D"/>
    <w:rsid w:val="00136E2B"/>
    <w:rsid w:val="00137047"/>
    <w:rsid w:val="00137206"/>
    <w:rsid w:val="001372CF"/>
    <w:rsid w:val="001373F8"/>
    <w:rsid w:val="00137430"/>
    <w:rsid w:val="001374B4"/>
    <w:rsid w:val="001375D6"/>
    <w:rsid w:val="00137673"/>
    <w:rsid w:val="001378F6"/>
    <w:rsid w:val="00137A57"/>
    <w:rsid w:val="00137BC6"/>
    <w:rsid w:val="00137ED6"/>
    <w:rsid w:val="001400D2"/>
    <w:rsid w:val="00140C1D"/>
    <w:rsid w:val="00140D76"/>
    <w:rsid w:val="0014126A"/>
    <w:rsid w:val="001412AF"/>
    <w:rsid w:val="00141358"/>
    <w:rsid w:val="0014153E"/>
    <w:rsid w:val="00141753"/>
    <w:rsid w:val="001417A4"/>
    <w:rsid w:val="001418F5"/>
    <w:rsid w:val="0014190E"/>
    <w:rsid w:val="00141933"/>
    <w:rsid w:val="00141AEF"/>
    <w:rsid w:val="00141FB0"/>
    <w:rsid w:val="001420D7"/>
    <w:rsid w:val="0014237E"/>
    <w:rsid w:val="001429E4"/>
    <w:rsid w:val="00142AF2"/>
    <w:rsid w:val="00142B79"/>
    <w:rsid w:val="00142D2C"/>
    <w:rsid w:val="00142FAD"/>
    <w:rsid w:val="00143183"/>
    <w:rsid w:val="00143731"/>
    <w:rsid w:val="00143AC8"/>
    <w:rsid w:val="00143B16"/>
    <w:rsid w:val="00143B35"/>
    <w:rsid w:val="00143ED8"/>
    <w:rsid w:val="00143FEC"/>
    <w:rsid w:val="00144263"/>
    <w:rsid w:val="0014447C"/>
    <w:rsid w:val="0014447F"/>
    <w:rsid w:val="00144A38"/>
    <w:rsid w:val="00144FC5"/>
    <w:rsid w:val="0014528B"/>
    <w:rsid w:val="00145615"/>
    <w:rsid w:val="0014587B"/>
    <w:rsid w:val="00145913"/>
    <w:rsid w:val="00145C6E"/>
    <w:rsid w:val="00145D87"/>
    <w:rsid w:val="00146AE2"/>
    <w:rsid w:val="00146B41"/>
    <w:rsid w:val="00146C0D"/>
    <w:rsid w:val="00146CE0"/>
    <w:rsid w:val="001470FC"/>
    <w:rsid w:val="00147216"/>
    <w:rsid w:val="00147340"/>
    <w:rsid w:val="001473AC"/>
    <w:rsid w:val="0014752F"/>
    <w:rsid w:val="0014768B"/>
    <w:rsid w:val="00147749"/>
    <w:rsid w:val="00147EF1"/>
    <w:rsid w:val="00147F7A"/>
    <w:rsid w:val="001501E8"/>
    <w:rsid w:val="001503DD"/>
    <w:rsid w:val="001507D0"/>
    <w:rsid w:val="00150983"/>
    <w:rsid w:val="001509A7"/>
    <w:rsid w:val="00150E00"/>
    <w:rsid w:val="00150E25"/>
    <w:rsid w:val="00150FFA"/>
    <w:rsid w:val="0015109D"/>
    <w:rsid w:val="00151115"/>
    <w:rsid w:val="00151196"/>
    <w:rsid w:val="00151505"/>
    <w:rsid w:val="001515AD"/>
    <w:rsid w:val="001515FA"/>
    <w:rsid w:val="001521B0"/>
    <w:rsid w:val="00152C9D"/>
    <w:rsid w:val="00152E50"/>
    <w:rsid w:val="00152FCE"/>
    <w:rsid w:val="0015362D"/>
    <w:rsid w:val="001537A2"/>
    <w:rsid w:val="001537FA"/>
    <w:rsid w:val="00153992"/>
    <w:rsid w:val="00153BD5"/>
    <w:rsid w:val="00153F64"/>
    <w:rsid w:val="00154344"/>
    <w:rsid w:val="0015461B"/>
    <w:rsid w:val="001548DF"/>
    <w:rsid w:val="00154A4C"/>
    <w:rsid w:val="00154B11"/>
    <w:rsid w:val="00154C47"/>
    <w:rsid w:val="00154EF6"/>
    <w:rsid w:val="0015513E"/>
    <w:rsid w:val="00155319"/>
    <w:rsid w:val="0015549D"/>
    <w:rsid w:val="00155555"/>
    <w:rsid w:val="00155871"/>
    <w:rsid w:val="0015589E"/>
    <w:rsid w:val="00155D12"/>
    <w:rsid w:val="00155FFF"/>
    <w:rsid w:val="00156047"/>
    <w:rsid w:val="00157139"/>
    <w:rsid w:val="001578AD"/>
    <w:rsid w:val="00157B77"/>
    <w:rsid w:val="00157BB4"/>
    <w:rsid w:val="00157C76"/>
    <w:rsid w:val="00157DB5"/>
    <w:rsid w:val="00160161"/>
    <w:rsid w:val="00160539"/>
    <w:rsid w:val="00160A58"/>
    <w:rsid w:val="00160DB6"/>
    <w:rsid w:val="00160DDC"/>
    <w:rsid w:val="00160EE3"/>
    <w:rsid w:val="0016104C"/>
    <w:rsid w:val="001614C1"/>
    <w:rsid w:val="001615F8"/>
    <w:rsid w:val="001616DD"/>
    <w:rsid w:val="0016179C"/>
    <w:rsid w:val="00161CEB"/>
    <w:rsid w:val="00161D66"/>
    <w:rsid w:val="00161ED0"/>
    <w:rsid w:val="00161FD5"/>
    <w:rsid w:val="0016213E"/>
    <w:rsid w:val="001622CC"/>
    <w:rsid w:val="001628AE"/>
    <w:rsid w:val="001628C0"/>
    <w:rsid w:val="00162936"/>
    <w:rsid w:val="00162B47"/>
    <w:rsid w:val="00162C2C"/>
    <w:rsid w:val="00162D1E"/>
    <w:rsid w:val="00162EED"/>
    <w:rsid w:val="001630F5"/>
    <w:rsid w:val="00163477"/>
    <w:rsid w:val="001635E5"/>
    <w:rsid w:val="00163B6F"/>
    <w:rsid w:val="001641EE"/>
    <w:rsid w:val="001642C9"/>
    <w:rsid w:val="00164590"/>
    <w:rsid w:val="001649B3"/>
    <w:rsid w:val="00164DDA"/>
    <w:rsid w:val="00164FED"/>
    <w:rsid w:val="001651D6"/>
    <w:rsid w:val="00165226"/>
    <w:rsid w:val="001652D2"/>
    <w:rsid w:val="001653B7"/>
    <w:rsid w:val="00165B19"/>
    <w:rsid w:val="00165C70"/>
    <w:rsid w:val="00165E21"/>
    <w:rsid w:val="00165F7A"/>
    <w:rsid w:val="00166120"/>
    <w:rsid w:val="0016614A"/>
    <w:rsid w:val="0016616F"/>
    <w:rsid w:val="001665CB"/>
    <w:rsid w:val="001668C5"/>
    <w:rsid w:val="0016718F"/>
    <w:rsid w:val="00167256"/>
    <w:rsid w:val="0016742C"/>
    <w:rsid w:val="0016753C"/>
    <w:rsid w:val="001679A2"/>
    <w:rsid w:val="00167A08"/>
    <w:rsid w:val="00167A5B"/>
    <w:rsid w:val="00167AAC"/>
    <w:rsid w:val="00167B94"/>
    <w:rsid w:val="00170497"/>
    <w:rsid w:val="001704FC"/>
    <w:rsid w:val="00170EBB"/>
    <w:rsid w:val="001710C8"/>
    <w:rsid w:val="00171163"/>
    <w:rsid w:val="00171200"/>
    <w:rsid w:val="001716D2"/>
    <w:rsid w:val="00171A33"/>
    <w:rsid w:val="00171B30"/>
    <w:rsid w:val="00171E0B"/>
    <w:rsid w:val="001723E1"/>
    <w:rsid w:val="001727EB"/>
    <w:rsid w:val="001729F2"/>
    <w:rsid w:val="00172EB6"/>
    <w:rsid w:val="00173017"/>
    <w:rsid w:val="0017338E"/>
    <w:rsid w:val="0017346E"/>
    <w:rsid w:val="00173BE9"/>
    <w:rsid w:val="00173CE3"/>
    <w:rsid w:val="00173E38"/>
    <w:rsid w:val="00174020"/>
    <w:rsid w:val="001740B9"/>
    <w:rsid w:val="001741FC"/>
    <w:rsid w:val="00174551"/>
    <w:rsid w:val="001745E4"/>
    <w:rsid w:val="001749F9"/>
    <w:rsid w:val="00174D7D"/>
    <w:rsid w:val="001756AA"/>
    <w:rsid w:val="0017588A"/>
    <w:rsid w:val="00175D6F"/>
    <w:rsid w:val="00175EA5"/>
    <w:rsid w:val="00176040"/>
    <w:rsid w:val="001762C2"/>
    <w:rsid w:val="001769FD"/>
    <w:rsid w:val="0017708A"/>
    <w:rsid w:val="0017718C"/>
    <w:rsid w:val="00177312"/>
    <w:rsid w:val="001777F1"/>
    <w:rsid w:val="00177F97"/>
    <w:rsid w:val="001800B0"/>
    <w:rsid w:val="0018042D"/>
    <w:rsid w:val="00180A12"/>
    <w:rsid w:val="00180EBA"/>
    <w:rsid w:val="00180FF7"/>
    <w:rsid w:val="0018123F"/>
    <w:rsid w:val="00181996"/>
    <w:rsid w:val="00181A9F"/>
    <w:rsid w:val="00181C0E"/>
    <w:rsid w:val="00181ED3"/>
    <w:rsid w:val="00181F60"/>
    <w:rsid w:val="00181F89"/>
    <w:rsid w:val="0018202E"/>
    <w:rsid w:val="00182249"/>
    <w:rsid w:val="001823BB"/>
    <w:rsid w:val="0018243D"/>
    <w:rsid w:val="0018260F"/>
    <w:rsid w:val="00182675"/>
    <w:rsid w:val="00182715"/>
    <w:rsid w:val="00182AAC"/>
    <w:rsid w:val="00182C8A"/>
    <w:rsid w:val="00182D7C"/>
    <w:rsid w:val="0018326E"/>
    <w:rsid w:val="00183293"/>
    <w:rsid w:val="001832B3"/>
    <w:rsid w:val="001836ED"/>
    <w:rsid w:val="00183C46"/>
    <w:rsid w:val="00183D9B"/>
    <w:rsid w:val="00183E2B"/>
    <w:rsid w:val="0018419A"/>
    <w:rsid w:val="001841AA"/>
    <w:rsid w:val="001844CD"/>
    <w:rsid w:val="001845EE"/>
    <w:rsid w:val="00184A33"/>
    <w:rsid w:val="00184DEE"/>
    <w:rsid w:val="00184E7E"/>
    <w:rsid w:val="00185186"/>
    <w:rsid w:val="001851BE"/>
    <w:rsid w:val="001852E6"/>
    <w:rsid w:val="001853DF"/>
    <w:rsid w:val="001855EA"/>
    <w:rsid w:val="00185A31"/>
    <w:rsid w:val="00185BC9"/>
    <w:rsid w:val="00185CEC"/>
    <w:rsid w:val="00186335"/>
    <w:rsid w:val="0018662C"/>
    <w:rsid w:val="00186719"/>
    <w:rsid w:val="001867BB"/>
    <w:rsid w:val="001867D4"/>
    <w:rsid w:val="00186BC7"/>
    <w:rsid w:val="00186E6C"/>
    <w:rsid w:val="00187361"/>
    <w:rsid w:val="001874EA"/>
    <w:rsid w:val="00187677"/>
    <w:rsid w:val="0018769A"/>
    <w:rsid w:val="00187A3C"/>
    <w:rsid w:val="00187C32"/>
    <w:rsid w:val="001901BE"/>
    <w:rsid w:val="0019056E"/>
    <w:rsid w:val="00190645"/>
    <w:rsid w:val="00190647"/>
    <w:rsid w:val="00190ACC"/>
    <w:rsid w:val="00190C06"/>
    <w:rsid w:val="001911B0"/>
    <w:rsid w:val="001915F3"/>
    <w:rsid w:val="00191695"/>
    <w:rsid w:val="00191BF7"/>
    <w:rsid w:val="00191F43"/>
    <w:rsid w:val="00192127"/>
    <w:rsid w:val="0019227B"/>
    <w:rsid w:val="00192831"/>
    <w:rsid w:val="0019374E"/>
    <w:rsid w:val="001937AE"/>
    <w:rsid w:val="0019389E"/>
    <w:rsid w:val="00193D45"/>
    <w:rsid w:val="00193EE4"/>
    <w:rsid w:val="00193FE1"/>
    <w:rsid w:val="001944CE"/>
    <w:rsid w:val="00194AEC"/>
    <w:rsid w:val="00194D26"/>
    <w:rsid w:val="00195075"/>
    <w:rsid w:val="001950D9"/>
    <w:rsid w:val="0019571D"/>
    <w:rsid w:val="00195745"/>
    <w:rsid w:val="00195BED"/>
    <w:rsid w:val="00195CF5"/>
    <w:rsid w:val="00195DCE"/>
    <w:rsid w:val="00196245"/>
    <w:rsid w:val="00196F72"/>
    <w:rsid w:val="001970BC"/>
    <w:rsid w:val="00197209"/>
    <w:rsid w:val="001972E0"/>
    <w:rsid w:val="001973AD"/>
    <w:rsid w:val="00197A95"/>
    <w:rsid w:val="00197DF2"/>
    <w:rsid w:val="001A0011"/>
    <w:rsid w:val="001A0330"/>
    <w:rsid w:val="001A0F0B"/>
    <w:rsid w:val="001A1200"/>
    <w:rsid w:val="001A1469"/>
    <w:rsid w:val="001A1694"/>
    <w:rsid w:val="001A1AA8"/>
    <w:rsid w:val="001A1B3A"/>
    <w:rsid w:val="001A1F2A"/>
    <w:rsid w:val="001A233F"/>
    <w:rsid w:val="001A2341"/>
    <w:rsid w:val="001A234D"/>
    <w:rsid w:val="001A269F"/>
    <w:rsid w:val="001A26ED"/>
    <w:rsid w:val="001A2E40"/>
    <w:rsid w:val="001A2E7E"/>
    <w:rsid w:val="001A3194"/>
    <w:rsid w:val="001A3545"/>
    <w:rsid w:val="001A36FA"/>
    <w:rsid w:val="001A3809"/>
    <w:rsid w:val="001A39AE"/>
    <w:rsid w:val="001A3D34"/>
    <w:rsid w:val="001A3E11"/>
    <w:rsid w:val="001A3E1A"/>
    <w:rsid w:val="001A3ECA"/>
    <w:rsid w:val="001A402B"/>
    <w:rsid w:val="001A40ED"/>
    <w:rsid w:val="001A41D0"/>
    <w:rsid w:val="001A4266"/>
    <w:rsid w:val="001A474C"/>
    <w:rsid w:val="001A484B"/>
    <w:rsid w:val="001A4ED4"/>
    <w:rsid w:val="001A5366"/>
    <w:rsid w:val="001A53D8"/>
    <w:rsid w:val="001A544B"/>
    <w:rsid w:val="001A558A"/>
    <w:rsid w:val="001A55F9"/>
    <w:rsid w:val="001A5971"/>
    <w:rsid w:val="001A5AC9"/>
    <w:rsid w:val="001A5AF6"/>
    <w:rsid w:val="001A5B6E"/>
    <w:rsid w:val="001A5D88"/>
    <w:rsid w:val="001A5FF6"/>
    <w:rsid w:val="001A63B7"/>
    <w:rsid w:val="001A6789"/>
    <w:rsid w:val="001A6B11"/>
    <w:rsid w:val="001A6B53"/>
    <w:rsid w:val="001A6CCD"/>
    <w:rsid w:val="001A6E45"/>
    <w:rsid w:val="001A6F43"/>
    <w:rsid w:val="001A70BF"/>
    <w:rsid w:val="001A7184"/>
    <w:rsid w:val="001A74EC"/>
    <w:rsid w:val="001A75CF"/>
    <w:rsid w:val="001A7634"/>
    <w:rsid w:val="001A7804"/>
    <w:rsid w:val="001A78CF"/>
    <w:rsid w:val="001A7ACB"/>
    <w:rsid w:val="001A7C19"/>
    <w:rsid w:val="001A7EFE"/>
    <w:rsid w:val="001A7F9B"/>
    <w:rsid w:val="001B0017"/>
    <w:rsid w:val="001B02FF"/>
    <w:rsid w:val="001B05D8"/>
    <w:rsid w:val="001B09B6"/>
    <w:rsid w:val="001B0AF9"/>
    <w:rsid w:val="001B0B0D"/>
    <w:rsid w:val="001B0B38"/>
    <w:rsid w:val="001B0C62"/>
    <w:rsid w:val="001B0E9C"/>
    <w:rsid w:val="001B0F11"/>
    <w:rsid w:val="001B11CD"/>
    <w:rsid w:val="001B124C"/>
    <w:rsid w:val="001B1794"/>
    <w:rsid w:val="001B192D"/>
    <w:rsid w:val="001B192E"/>
    <w:rsid w:val="001B1C3A"/>
    <w:rsid w:val="001B1C5D"/>
    <w:rsid w:val="001B1F52"/>
    <w:rsid w:val="001B2610"/>
    <w:rsid w:val="001B2694"/>
    <w:rsid w:val="001B2716"/>
    <w:rsid w:val="001B28EA"/>
    <w:rsid w:val="001B2962"/>
    <w:rsid w:val="001B299E"/>
    <w:rsid w:val="001B2C8C"/>
    <w:rsid w:val="001B2E90"/>
    <w:rsid w:val="001B3285"/>
    <w:rsid w:val="001B3CFD"/>
    <w:rsid w:val="001B40E0"/>
    <w:rsid w:val="001B422D"/>
    <w:rsid w:val="001B42E9"/>
    <w:rsid w:val="001B4391"/>
    <w:rsid w:val="001B4737"/>
    <w:rsid w:val="001B4D5F"/>
    <w:rsid w:val="001B4E52"/>
    <w:rsid w:val="001B4EFD"/>
    <w:rsid w:val="001B5459"/>
    <w:rsid w:val="001B5616"/>
    <w:rsid w:val="001B58F0"/>
    <w:rsid w:val="001B5B49"/>
    <w:rsid w:val="001B5BB9"/>
    <w:rsid w:val="001B5D45"/>
    <w:rsid w:val="001B5FFD"/>
    <w:rsid w:val="001B6206"/>
    <w:rsid w:val="001B64DE"/>
    <w:rsid w:val="001B66FE"/>
    <w:rsid w:val="001B6914"/>
    <w:rsid w:val="001B6927"/>
    <w:rsid w:val="001B6C05"/>
    <w:rsid w:val="001B7289"/>
    <w:rsid w:val="001B7674"/>
    <w:rsid w:val="001B78BD"/>
    <w:rsid w:val="001B7E29"/>
    <w:rsid w:val="001B7F9C"/>
    <w:rsid w:val="001C0157"/>
    <w:rsid w:val="001C0350"/>
    <w:rsid w:val="001C04AA"/>
    <w:rsid w:val="001C0522"/>
    <w:rsid w:val="001C09C6"/>
    <w:rsid w:val="001C1596"/>
    <w:rsid w:val="001C1670"/>
    <w:rsid w:val="001C1A7C"/>
    <w:rsid w:val="001C1FDF"/>
    <w:rsid w:val="001C2086"/>
    <w:rsid w:val="001C22AB"/>
    <w:rsid w:val="001C25E6"/>
    <w:rsid w:val="001C2AD6"/>
    <w:rsid w:val="001C2F6F"/>
    <w:rsid w:val="001C307F"/>
    <w:rsid w:val="001C31BE"/>
    <w:rsid w:val="001C33EC"/>
    <w:rsid w:val="001C3A61"/>
    <w:rsid w:val="001C3E93"/>
    <w:rsid w:val="001C3F8C"/>
    <w:rsid w:val="001C4CC2"/>
    <w:rsid w:val="001C4D7F"/>
    <w:rsid w:val="001C4E73"/>
    <w:rsid w:val="001C4F4E"/>
    <w:rsid w:val="001C557B"/>
    <w:rsid w:val="001C57AE"/>
    <w:rsid w:val="001C643D"/>
    <w:rsid w:val="001C6545"/>
    <w:rsid w:val="001C6641"/>
    <w:rsid w:val="001C666B"/>
    <w:rsid w:val="001C6BB6"/>
    <w:rsid w:val="001C6BCC"/>
    <w:rsid w:val="001C764A"/>
    <w:rsid w:val="001C7844"/>
    <w:rsid w:val="001D0478"/>
    <w:rsid w:val="001D0B25"/>
    <w:rsid w:val="001D0CDB"/>
    <w:rsid w:val="001D0D5D"/>
    <w:rsid w:val="001D102B"/>
    <w:rsid w:val="001D1240"/>
    <w:rsid w:val="001D133B"/>
    <w:rsid w:val="001D13F1"/>
    <w:rsid w:val="001D1689"/>
    <w:rsid w:val="001D19C7"/>
    <w:rsid w:val="001D1E60"/>
    <w:rsid w:val="001D1ECF"/>
    <w:rsid w:val="001D25C6"/>
    <w:rsid w:val="001D2880"/>
    <w:rsid w:val="001D2900"/>
    <w:rsid w:val="001D2ACD"/>
    <w:rsid w:val="001D2B8F"/>
    <w:rsid w:val="001D2C75"/>
    <w:rsid w:val="001D2D51"/>
    <w:rsid w:val="001D3215"/>
    <w:rsid w:val="001D3250"/>
    <w:rsid w:val="001D3339"/>
    <w:rsid w:val="001D3406"/>
    <w:rsid w:val="001D3419"/>
    <w:rsid w:val="001D359C"/>
    <w:rsid w:val="001D38FA"/>
    <w:rsid w:val="001D39F8"/>
    <w:rsid w:val="001D3DFF"/>
    <w:rsid w:val="001D4444"/>
    <w:rsid w:val="001D4583"/>
    <w:rsid w:val="001D48F2"/>
    <w:rsid w:val="001D4A46"/>
    <w:rsid w:val="001D4B2A"/>
    <w:rsid w:val="001D4DFF"/>
    <w:rsid w:val="001D4FA9"/>
    <w:rsid w:val="001D515E"/>
    <w:rsid w:val="001D53D3"/>
    <w:rsid w:val="001D5782"/>
    <w:rsid w:val="001D5F48"/>
    <w:rsid w:val="001D6416"/>
    <w:rsid w:val="001D74B2"/>
    <w:rsid w:val="001D7599"/>
    <w:rsid w:val="001D7AC4"/>
    <w:rsid w:val="001D7DD7"/>
    <w:rsid w:val="001D7FEF"/>
    <w:rsid w:val="001E036E"/>
    <w:rsid w:val="001E03F5"/>
    <w:rsid w:val="001E0E4E"/>
    <w:rsid w:val="001E0F5A"/>
    <w:rsid w:val="001E1096"/>
    <w:rsid w:val="001E152D"/>
    <w:rsid w:val="001E1C13"/>
    <w:rsid w:val="001E1E1E"/>
    <w:rsid w:val="001E2121"/>
    <w:rsid w:val="001E2830"/>
    <w:rsid w:val="001E2889"/>
    <w:rsid w:val="001E2E34"/>
    <w:rsid w:val="001E3111"/>
    <w:rsid w:val="001E41C2"/>
    <w:rsid w:val="001E4358"/>
    <w:rsid w:val="001E43AD"/>
    <w:rsid w:val="001E4B37"/>
    <w:rsid w:val="001E4C18"/>
    <w:rsid w:val="001E4E24"/>
    <w:rsid w:val="001E5070"/>
    <w:rsid w:val="001E53C2"/>
    <w:rsid w:val="001E55EB"/>
    <w:rsid w:val="001E589B"/>
    <w:rsid w:val="001E5A6C"/>
    <w:rsid w:val="001E5E84"/>
    <w:rsid w:val="001E5FF1"/>
    <w:rsid w:val="001E60C8"/>
    <w:rsid w:val="001E60E6"/>
    <w:rsid w:val="001E63C4"/>
    <w:rsid w:val="001E67C0"/>
    <w:rsid w:val="001E6A80"/>
    <w:rsid w:val="001E6D96"/>
    <w:rsid w:val="001E715D"/>
    <w:rsid w:val="001E71EC"/>
    <w:rsid w:val="001E7B68"/>
    <w:rsid w:val="001E7ED7"/>
    <w:rsid w:val="001E7FAE"/>
    <w:rsid w:val="001F0422"/>
    <w:rsid w:val="001F05D6"/>
    <w:rsid w:val="001F062B"/>
    <w:rsid w:val="001F0B87"/>
    <w:rsid w:val="001F0D1B"/>
    <w:rsid w:val="001F0DB8"/>
    <w:rsid w:val="001F0DCF"/>
    <w:rsid w:val="001F168C"/>
    <w:rsid w:val="001F1A69"/>
    <w:rsid w:val="001F1AED"/>
    <w:rsid w:val="001F1CE7"/>
    <w:rsid w:val="001F1E70"/>
    <w:rsid w:val="001F1F02"/>
    <w:rsid w:val="001F25BC"/>
    <w:rsid w:val="001F261F"/>
    <w:rsid w:val="001F2C80"/>
    <w:rsid w:val="001F2DAC"/>
    <w:rsid w:val="001F3303"/>
    <w:rsid w:val="001F34E2"/>
    <w:rsid w:val="001F3720"/>
    <w:rsid w:val="001F3793"/>
    <w:rsid w:val="001F3852"/>
    <w:rsid w:val="001F3B0E"/>
    <w:rsid w:val="001F3B10"/>
    <w:rsid w:val="001F3DBC"/>
    <w:rsid w:val="001F3FC5"/>
    <w:rsid w:val="001F40F9"/>
    <w:rsid w:val="001F41C8"/>
    <w:rsid w:val="001F4292"/>
    <w:rsid w:val="001F440F"/>
    <w:rsid w:val="001F461A"/>
    <w:rsid w:val="001F4784"/>
    <w:rsid w:val="001F47AD"/>
    <w:rsid w:val="001F4949"/>
    <w:rsid w:val="001F49D3"/>
    <w:rsid w:val="001F4FC2"/>
    <w:rsid w:val="001F5168"/>
    <w:rsid w:val="001F5326"/>
    <w:rsid w:val="001F54D1"/>
    <w:rsid w:val="001F58D8"/>
    <w:rsid w:val="001F599B"/>
    <w:rsid w:val="001F5A0E"/>
    <w:rsid w:val="001F5C41"/>
    <w:rsid w:val="001F5C7E"/>
    <w:rsid w:val="001F5CBA"/>
    <w:rsid w:val="001F5E17"/>
    <w:rsid w:val="001F6093"/>
    <w:rsid w:val="001F6367"/>
    <w:rsid w:val="001F64AE"/>
    <w:rsid w:val="001F665A"/>
    <w:rsid w:val="001F669F"/>
    <w:rsid w:val="001F6828"/>
    <w:rsid w:val="001F68C5"/>
    <w:rsid w:val="001F6979"/>
    <w:rsid w:val="001F6AD8"/>
    <w:rsid w:val="001F6CB3"/>
    <w:rsid w:val="001F708A"/>
    <w:rsid w:val="001F73EC"/>
    <w:rsid w:val="001F75CA"/>
    <w:rsid w:val="001F7B8B"/>
    <w:rsid w:val="001F7E82"/>
    <w:rsid w:val="00200334"/>
    <w:rsid w:val="00200CE3"/>
    <w:rsid w:val="00201499"/>
    <w:rsid w:val="002024E7"/>
    <w:rsid w:val="00202753"/>
    <w:rsid w:val="00202DF2"/>
    <w:rsid w:val="00202F6F"/>
    <w:rsid w:val="00202FAF"/>
    <w:rsid w:val="00203189"/>
    <w:rsid w:val="002031B0"/>
    <w:rsid w:val="00203247"/>
    <w:rsid w:val="002036FB"/>
    <w:rsid w:val="00203760"/>
    <w:rsid w:val="002039B4"/>
    <w:rsid w:val="0020404C"/>
    <w:rsid w:val="0020434A"/>
    <w:rsid w:val="002045BC"/>
    <w:rsid w:val="00204637"/>
    <w:rsid w:val="00204656"/>
    <w:rsid w:val="0020477B"/>
    <w:rsid w:val="0020483F"/>
    <w:rsid w:val="00204F66"/>
    <w:rsid w:val="002052E8"/>
    <w:rsid w:val="0020583D"/>
    <w:rsid w:val="00205C60"/>
    <w:rsid w:val="00205E34"/>
    <w:rsid w:val="00205F3D"/>
    <w:rsid w:val="00205FDA"/>
    <w:rsid w:val="00206222"/>
    <w:rsid w:val="00206692"/>
    <w:rsid w:val="00206878"/>
    <w:rsid w:val="00207044"/>
    <w:rsid w:val="002070DF"/>
    <w:rsid w:val="00207AD7"/>
    <w:rsid w:val="00207BE5"/>
    <w:rsid w:val="00207E2C"/>
    <w:rsid w:val="00207ECE"/>
    <w:rsid w:val="00210029"/>
    <w:rsid w:val="002100F0"/>
    <w:rsid w:val="0021011F"/>
    <w:rsid w:val="00210C34"/>
    <w:rsid w:val="002116C4"/>
    <w:rsid w:val="00211787"/>
    <w:rsid w:val="00211989"/>
    <w:rsid w:val="00212356"/>
    <w:rsid w:val="002124A6"/>
    <w:rsid w:val="002124F3"/>
    <w:rsid w:val="00212676"/>
    <w:rsid w:val="002127EF"/>
    <w:rsid w:val="00212A74"/>
    <w:rsid w:val="00212CF6"/>
    <w:rsid w:val="0021340B"/>
    <w:rsid w:val="002137E7"/>
    <w:rsid w:val="002140D4"/>
    <w:rsid w:val="0021412D"/>
    <w:rsid w:val="00214175"/>
    <w:rsid w:val="00214262"/>
    <w:rsid w:val="002142AE"/>
    <w:rsid w:val="00214574"/>
    <w:rsid w:val="002145E7"/>
    <w:rsid w:val="002147DE"/>
    <w:rsid w:val="00214998"/>
    <w:rsid w:val="00214D4B"/>
    <w:rsid w:val="002153EC"/>
    <w:rsid w:val="00215833"/>
    <w:rsid w:val="00215921"/>
    <w:rsid w:val="00215D7B"/>
    <w:rsid w:val="00215DEA"/>
    <w:rsid w:val="00215ECB"/>
    <w:rsid w:val="002160DF"/>
    <w:rsid w:val="00216206"/>
    <w:rsid w:val="002165AE"/>
    <w:rsid w:val="002167DE"/>
    <w:rsid w:val="00216995"/>
    <w:rsid w:val="00216D7C"/>
    <w:rsid w:val="00216FB2"/>
    <w:rsid w:val="002173FF"/>
    <w:rsid w:val="0021757D"/>
    <w:rsid w:val="00217935"/>
    <w:rsid w:val="00217B4E"/>
    <w:rsid w:val="00217FF7"/>
    <w:rsid w:val="002201D6"/>
    <w:rsid w:val="00220580"/>
    <w:rsid w:val="00220937"/>
    <w:rsid w:val="002209C9"/>
    <w:rsid w:val="00220D91"/>
    <w:rsid w:val="00220E54"/>
    <w:rsid w:val="00220E7A"/>
    <w:rsid w:val="00221643"/>
    <w:rsid w:val="0022165D"/>
    <w:rsid w:val="00221837"/>
    <w:rsid w:val="00221937"/>
    <w:rsid w:val="002219E0"/>
    <w:rsid w:val="00221A51"/>
    <w:rsid w:val="002220AD"/>
    <w:rsid w:val="002222EE"/>
    <w:rsid w:val="0022230D"/>
    <w:rsid w:val="002223BF"/>
    <w:rsid w:val="002223CF"/>
    <w:rsid w:val="0022279B"/>
    <w:rsid w:val="00222CBE"/>
    <w:rsid w:val="00222FB5"/>
    <w:rsid w:val="00223072"/>
    <w:rsid w:val="002230B5"/>
    <w:rsid w:val="00223122"/>
    <w:rsid w:val="0022316F"/>
    <w:rsid w:val="002235E0"/>
    <w:rsid w:val="002238C2"/>
    <w:rsid w:val="00223A7B"/>
    <w:rsid w:val="00223C10"/>
    <w:rsid w:val="00223CC7"/>
    <w:rsid w:val="002241AD"/>
    <w:rsid w:val="002243D8"/>
    <w:rsid w:val="00224707"/>
    <w:rsid w:val="002249F5"/>
    <w:rsid w:val="002254B8"/>
    <w:rsid w:val="00225571"/>
    <w:rsid w:val="0022575F"/>
    <w:rsid w:val="00225942"/>
    <w:rsid w:val="00225E75"/>
    <w:rsid w:val="00225F7D"/>
    <w:rsid w:val="00226245"/>
    <w:rsid w:val="00226271"/>
    <w:rsid w:val="0022630D"/>
    <w:rsid w:val="00226321"/>
    <w:rsid w:val="00226420"/>
    <w:rsid w:val="00226442"/>
    <w:rsid w:val="0022647E"/>
    <w:rsid w:val="002264BA"/>
    <w:rsid w:val="002264F4"/>
    <w:rsid w:val="00226523"/>
    <w:rsid w:val="00226567"/>
    <w:rsid w:val="00226839"/>
    <w:rsid w:val="00226A48"/>
    <w:rsid w:val="00226B29"/>
    <w:rsid w:val="002274E4"/>
    <w:rsid w:val="0022795F"/>
    <w:rsid w:val="00227A13"/>
    <w:rsid w:val="00227BD3"/>
    <w:rsid w:val="00227F51"/>
    <w:rsid w:val="00230222"/>
    <w:rsid w:val="0023058F"/>
    <w:rsid w:val="002307AE"/>
    <w:rsid w:val="0023141E"/>
    <w:rsid w:val="00231B5A"/>
    <w:rsid w:val="00231B70"/>
    <w:rsid w:val="00231CA4"/>
    <w:rsid w:val="00231F60"/>
    <w:rsid w:val="00231FEE"/>
    <w:rsid w:val="002323C6"/>
    <w:rsid w:val="002324D5"/>
    <w:rsid w:val="002326E8"/>
    <w:rsid w:val="002327B5"/>
    <w:rsid w:val="00232AEA"/>
    <w:rsid w:val="00232EBA"/>
    <w:rsid w:val="00233488"/>
    <w:rsid w:val="00233581"/>
    <w:rsid w:val="0023370C"/>
    <w:rsid w:val="00233C9E"/>
    <w:rsid w:val="00234418"/>
    <w:rsid w:val="0023448D"/>
    <w:rsid w:val="00234570"/>
    <w:rsid w:val="002347F8"/>
    <w:rsid w:val="002348B9"/>
    <w:rsid w:val="00234A75"/>
    <w:rsid w:val="00234C3F"/>
    <w:rsid w:val="00234C63"/>
    <w:rsid w:val="002351BC"/>
    <w:rsid w:val="002355F2"/>
    <w:rsid w:val="00235807"/>
    <w:rsid w:val="00235990"/>
    <w:rsid w:val="002359BA"/>
    <w:rsid w:val="00235CB1"/>
    <w:rsid w:val="00235EBF"/>
    <w:rsid w:val="00236207"/>
    <w:rsid w:val="0023626A"/>
    <w:rsid w:val="00236A9C"/>
    <w:rsid w:val="00236AAB"/>
    <w:rsid w:val="00236EAC"/>
    <w:rsid w:val="00237091"/>
    <w:rsid w:val="002371CB"/>
    <w:rsid w:val="002374AC"/>
    <w:rsid w:val="002375DB"/>
    <w:rsid w:val="0023775D"/>
    <w:rsid w:val="002377B7"/>
    <w:rsid w:val="00237843"/>
    <w:rsid w:val="00237EF2"/>
    <w:rsid w:val="00240072"/>
    <w:rsid w:val="00240240"/>
    <w:rsid w:val="00240E08"/>
    <w:rsid w:val="00240FFD"/>
    <w:rsid w:val="002414BF"/>
    <w:rsid w:val="00241AE6"/>
    <w:rsid w:val="00241B2C"/>
    <w:rsid w:val="00241D51"/>
    <w:rsid w:val="0024207A"/>
    <w:rsid w:val="002422B7"/>
    <w:rsid w:val="00242330"/>
    <w:rsid w:val="00242676"/>
    <w:rsid w:val="00242A4E"/>
    <w:rsid w:val="00242B00"/>
    <w:rsid w:val="00242B47"/>
    <w:rsid w:val="00243309"/>
    <w:rsid w:val="00243512"/>
    <w:rsid w:val="0024359A"/>
    <w:rsid w:val="00243713"/>
    <w:rsid w:val="00243C15"/>
    <w:rsid w:val="00243F7D"/>
    <w:rsid w:val="00243FB8"/>
    <w:rsid w:val="0024403E"/>
    <w:rsid w:val="002444FA"/>
    <w:rsid w:val="0024458F"/>
    <w:rsid w:val="00244959"/>
    <w:rsid w:val="0024497D"/>
    <w:rsid w:val="00244B32"/>
    <w:rsid w:val="00244B4F"/>
    <w:rsid w:val="00245186"/>
    <w:rsid w:val="00245240"/>
    <w:rsid w:val="00245457"/>
    <w:rsid w:val="002455A4"/>
    <w:rsid w:val="00245759"/>
    <w:rsid w:val="002459B9"/>
    <w:rsid w:val="00245B27"/>
    <w:rsid w:val="00245DC1"/>
    <w:rsid w:val="00245EC7"/>
    <w:rsid w:val="00246305"/>
    <w:rsid w:val="002463EF"/>
    <w:rsid w:val="002464E1"/>
    <w:rsid w:val="00247275"/>
    <w:rsid w:val="002473A8"/>
    <w:rsid w:val="0024787E"/>
    <w:rsid w:val="00247AFA"/>
    <w:rsid w:val="00247DC6"/>
    <w:rsid w:val="00247F03"/>
    <w:rsid w:val="00250187"/>
    <w:rsid w:val="00250BED"/>
    <w:rsid w:val="00251117"/>
    <w:rsid w:val="00251546"/>
    <w:rsid w:val="002515EA"/>
    <w:rsid w:val="00251F61"/>
    <w:rsid w:val="00251FAD"/>
    <w:rsid w:val="00252051"/>
    <w:rsid w:val="002521DE"/>
    <w:rsid w:val="002523E6"/>
    <w:rsid w:val="002524E7"/>
    <w:rsid w:val="0025289D"/>
    <w:rsid w:val="0025294E"/>
    <w:rsid w:val="00252AE0"/>
    <w:rsid w:val="00252D2C"/>
    <w:rsid w:val="00252DFB"/>
    <w:rsid w:val="00252FCA"/>
    <w:rsid w:val="00253138"/>
    <w:rsid w:val="002531E6"/>
    <w:rsid w:val="00253219"/>
    <w:rsid w:val="00253829"/>
    <w:rsid w:val="00253851"/>
    <w:rsid w:val="00253892"/>
    <w:rsid w:val="00253DE3"/>
    <w:rsid w:val="002540D1"/>
    <w:rsid w:val="00254403"/>
    <w:rsid w:val="002544C2"/>
    <w:rsid w:val="0025461A"/>
    <w:rsid w:val="0025466B"/>
    <w:rsid w:val="002547DA"/>
    <w:rsid w:val="00254EB8"/>
    <w:rsid w:val="00254FD7"/>
    <w:rsid w:val="00255199"/>
    <w:rsid w:val="00255776"/>
    <w:rsid w:val="00255896"/>
    <w:rsid w:val="002559E2"/>
    <w:rsid w:val="00255AB0"/>
    <w:rsid w:val="00255BF0"/>
    <w:rsid w:val="00255C18"/>
    <w:rsid w:val="00255C75"/>
    <w:rsid w:val="00255C97"/>
    <w:rsid w:val="00255CE0"/>
    <w:rsid w:val="00255E22"/>
    <w:rsid w:val="00255EBC"/>
    <w:rsid w:val="00256283"/>
    <w:rsid w:val="0025677A"/>
    <w:rsid w:val="00256C23"/>
    <w:rsid w:val="00256E64"/>
    <w:rsid w:val="0025701C"/>
    <w:rsid w:val="00257081"/>
    <w:rsid w:val="0025708F"/>
    <w:rsid w:val="002570A7"/>
    <w:rsid w:val="00257A5D"/>
    <w:rsid w:val="00257CDF"/>
    <w:rsid w:val="00260020"/>
    <w:rsid w:val="002600B7"/>
    <w:rsid w:val="00260275"/>
    <w:rsid w:val="002602D5"/>
    <w:rsid w:val="00260446"/>
    <w:rsid w:val="002606AD"/>
    <w:rsid w:val="00260734"/>
    <w:rsid w:val="002607B0"/>
    <w:rsid w:val="00260C66"/>
    <w:rsid w:val="00260DB4"/>
    <w:rsid w:val="00261300"/>
    <w:rsid w:val="002619B1"/>
    <w:rsid w:val="00261CE4"/>
    <w:rsid w:val="00261DEA"/>
    <w:rsid w:val="00261E50"/>
    <w:rsid w:val="00261F80"/>
    <w:rsid w:val="0026218B"/>
    <w:rsid w:val="0026222D"/>
    <w:rsid w:val="002627DA"/>
    <w:rsid w:val="00262A45"/>
    <w:rsid w:val="00262A9D"/>
    <w:rsid w:val="00262ECE"/>
    <w:rsid w:val="00262F94"/>
    <w:rsid w:val="00263131"/>
    <w:rsid w:val="002631A2"/>
    <w:rsid w:val="00263A24"/>
    <w:rsid w:val="00263CA2"/>
    <w:rsid w:val="002641C9"/>
    <w:rsid w:val="00264348"/>
    <w:rsid w:val="0026459C"/>
    <w:rsid w:val="00264C0C"/>
    <w:rsid w:val="00264CCA"/>
    <w:rsid w:val="00264D77"/>
    <w:rsid w:val="00264EE6"/>
    <w:rsid w:val="00265572"/>
    <w:rsid w:val="0026566A"/>
    <w:rsid w:val="00265A92"/>
    <w:rsid w:val="00265B4C"/>
    <w:rsid w:val="00265B72"/>
    <w:rsid w:val="00265D44"/>
    <w:rsid w:val="00265E25"/>
    <w:rsid w:val="00266102"/>
    <w:rsid w:val="00266B24"/>
    <w:rsid w:val="00266DA1"/>
    <w:rsid w:val="00266DD1"/>
    <w:rsid w:val="00266E43"/>
    <w:rsid w:val="00266F69"/>
    <w:rsid w:val="0026718B"/>
    <w:rsid w:val="0026763C"/>
    <w:rsid w:val="002678CC"/>
    <w:rsid w:val="0027015B"/>
    <w:rsid w:val="0027038A"/>
    <w:rsid w:val="002709E1"/>
    <w:rsid w:val="00270B59"/>
    <w:rsid w:val="002714EA"/>
    <w:rsid w:val="00271B6F"/>
    <w:rsid w:val="00272171"/>
    <w:rsid w:val="00272362"/>
    <w:rsid w:val="0027286C"/>
    <w:rsid w:val="00272E5D"/>
    <w:rsid w:val="00272E90"/>
    <w:rsid w:val="00273481"/>
    <w:rsid w:val="00273DAC"/>
    <w:rsid w:val="002748B0"/>
    <w:rsid w:val="00274A10"/>
    <w:rsid w:val="00274CD4"/>
    <w:rsid w:val="002751CA"/>
    <w:rsid w:val="002751E9"/>
    <w:rsid w:val="002752A5"/>
    <w:rsid w:val="00275421"/>
    <w:rsid w:val="00275515"/>
    <w:rsid w:val="00276093"/>
    <w:rsid w:val="002762BF"/>
    <w:rsid w:val="002762C4"/>
    <w:rsid w:val="002763DF"/>
    <w:rsid w:val="00276480"/>
    <w:rsid w:val="002766F5"/>
    <w:rsid w:val="00276824"/>
    <w:rsid w:val="002768ED"/>
    <w:rsid w:val="0027692C"/>
    <w:rsid w:val="00276CC0"/>
    <w:rsid w:val="00276DB4"/>
    <w:rsid w:val="002770BE"/>
    <w:rsid w:val="00277201"/>
    <w:rsid w:val="00277286"/>
    <w:rsid w:val="0027757B"/>
    <w:rsid w:val="0028029D"/>
    <w:rsid w:val="0028039C"/>
    <w:rsid w:val="0028075B"/>
    <w:rsid w:val="00280CD5"/>
    <w:rsid w:val="00280D62"/>
    <w:rsid w:val="0028101F"/>
    <w:rsid w:val="00281041"/>
    <w:rsid w:val="002811D7"/>
    <w:rsid w:val="0028122E"/>
    <w:rsid w:val="002812C7"/>
    <w:rsid w:val="002814F8"/>
    <w:rsid w:val="00281B56"/>
    <w:rsid w:val="0028204E"/>
    <w:rsid w:val="00282414"/>
    <w:rsid w:val="0028242C"/>
    <w:rsid w:val="00282642"/>
    <w:rsid w:val="002827FF"/>
    <w:rsid w:val="00282C04"/>
    <w:rsid w:val="00282C5E"/>
    <w:rsid w:val="00282E63"/>
    <w:rsid w:val="00283DC2"/>
    <w:rsid w:val="00283F57"/>
    <w:rsid w:val="00284031"/>
    <w:rsid w:val="00284224"/>
    <w:rsid w:val="00284A94"/>
    <w:rsid w:val="00284C53"/>
    <w:rsid w:val="002850AC"/>
    <w:rsid w:val="00285268"/>
    <w:rsid w:val="002854D4"/>
    <w:rsid w:val="00285612"/>
    <w:rsid w:val="00285FF9"/>
    <w:rsid w:val="00286118"/>
    <w:rsid w:val="002861BF"/>
    <w:rsid w:val="00286243"/>
    <w:rsid w:val="00286333"/>
    <w:rsid w:val="00286439"/>
    <w:rsid w:val="0028678F"/>
    <w:rsid w:val="00286898"/>
    <w:rsid w:val="002869DF"/>
    <w:rsid w:val="00286AD4"/>
    <w:rsid w:val="00286AFA"/>
    <w:rsid w:val="00286B1D"/>
    <w:rsid w:val="00286C38"/>
    <w:rsid w:val="00286CE3"/>
    <w:rsid w:val="00286EE2"/>
    <w:rsid w:val="0028716A"/>
    <w:rsid w:val="002871C2"/>
    <w:rsid w:val="00287456"/>
    <w:rsid w:val="00287C90"/>
    <w:rsid w:val="00287F25"/>
    <w:rsid w:val="0029000C"/>
    <w:rsid w:val="0029007F"/>
    <w:rsid w:val="00290187"/>
    <w:rsid w:val="002902AC"/>
    <w:rsid w:val="00290397"/>
    <w:rsid w:val="002907B5"/>
    <w:rsid w:val="00290AB9"/>
    <w:rsid w:val="00290BC0"/>
    <w:rsid w:val="00290C7E"/>
    <w:rsid w:val="00291410"/>
    <w:rsid w:val="002916CC"/>
    <w:rsid w:val="00291789"/>
    <w:rsid w:val="00291B93"/>
    <w:rsid w:val="00291ED8"/>
    <w:rsid w:val="00291F46"/>
    <w:rsid w:val="002920DC"/>
    <w:rsid w:val="00292147"/>
    <w:rsid w:val="00292413"/>
    <w:rsid w:val="0029254E"/>
    <w:rsid w:val="0029279B"/>
    <w:rsid w:val="00292A11"/>
    <w:rsid w:val="00292CE6"/>
    <w:rsid w:val="00292F65"/>
    <w:rsid w:val="0029325C"/>
    <w:rsid w:val="0029326E"/>
    <w:rsid w:val="00293393"/>
    <w:rsid w:val="0029348A"/>
    <w:rsid w:val="00293CB3"/>
    <w:rsid w:val="0029429B"/>
    <w:rsid w:val="0029440B"/>
    <w:rsid w:val="00294709"/>
    <w:rsid w:val="00294992"/>
    <w:rsid w:val="00294C55"/>
    <w:rsid w:val="00295059"/>
    <w:rsid w:val="00295174"/>
    <w:rsid w:val="002953ED"/>
    <w:rsid w:val="0029578B"/>
    <w:rsid w:val="00295F4F"/>
    <w:rsid w:val="002966C8"/>
    <w:rsid w:val="002970CA"/>
    <w:rsid w:val="00297144"/>
    <w:rsid w:val="002976CB"/>
    <w:rsid w:val="002978F6"/>
    <w:rsid w:val="002A0272"/>
    <w:rsid w:val="002A0339"/>
    <w:rsid w:val="002A04A7"/>
    <w:rsid w:val="002A07DC"/>
    <w:rsid w:val="002A0D46"/>
    <w:rsid w:val="002A0EBF"/>
    <w:rsid w:val="002A0F82"/>
    <w:rsid w:val="002A115E"/>
    <w:rsid w:val="002A11A6"/>
    <w:rsid w:val="002A145C"/>
    <w:rsid w:val="002A15E2"/>
    <w:rsid w:val="002A1CD5"/>
    <w:rsid w:val="002A1D66"/>
    <w:rsid w:val="002A1DDA"/>
    <w:rsid w:val="002A1EF8"/>
    <w:rsid w:val="002A2389"/>
    <w:rsid w:val="002A2C2E"/>
    <w:rsid w:val="002A2CE9"/>
    <w:rsid w:val="002A2D00"/>
    <w:rsid w:val="002A3115"/>
    <w:rsid w:val="002A3B08"/>
    <w:rsid w:val="002A3E09"/>
    <w:rsid w:val="002A3F6E"/>
    <w:rsid w:val="002A4261"/>
    <w:rsid w:val="002A475A"/>
    <w:rsid w:val="002A48FA"/>
    <w:rsid w:val="002A4907"/>
    <w:rsid w:val="002A4910"/>
    <w:rsid w:val="002A49D3"/>
    <w:rsid w:val="002A4A1E"/>
    <w:rsid w:val="002A4C6E"/>
    <w:rsid w:val="002A5386"/>
    <w:rsid w:val="002A53FB"/>
    <w:rsid w:val="002A56F0"/>
    <w:rsid w:val="002A5768"/>
    <w:rsid w:val="002A5C3C"/>
    <w:rsid w:val="002A5C60"/>
    <w:rsid w:val="002A6118"/>
    <w:rsid w:val="002A61A5"/>
    <w:rsid w:val="002A6208"/>
    <w:rsid w:val="002A64BE"/>
    <w:rsid w:val="002A69FC"/>
    <w:rsid w:val="002A6A73"/>
    <w:rsid w:val="002A7082"/>
    <w:rsid w:val="002A70DA"/>
    <w:rsid w:val="002A77EC"/>
    <w:rsid w:val="002A78CB"/>
    <w:rsid w:val="002B0108"/>
    <w:rsid w:val="002B0166"/>
    <w:rsid w:val="002B042A"/>
    <w:rsid w:val="002B083D"/>
    <w:rsid w:val="002B0959"/>
    <w:rsid w:val="002B0A58"/>
    <w:rsid w:val="002B0B48"/>
    <w:rsid w:val="002B0E3C"/>
    <w:rsid w:val="002B0EC6"/>
    <w:rsid w:val="002B10C1"/>
    <w:rsid w:val="002B10E6"/>
    <w:rsid w:val="002B13F7"/>
    <w:rsid w:val="002B1667"/>
    <w:rsid w:val="002B16BC"/>
    <w:rsid w:val="002B1DC2"/>
    <w:rsid w:val="002B1E79"/>
    <w:rsid w:val="002B1E9B"/>
    <w:rsid w:val="002B267F"/>
    <w:rsid w:val="002B2813"/>
    <w:rsid w:val="002B2983"/>
    <w:rsid w:val="002B29D2"/>
    <w:rsid w:val="002B2B0B"/>
    <w:rsid w:val="002B2C5C"/>
    <w:rsid w:val="002B2D19"/>
    <w:rsid w:val="002B3561"/>
    <w:rsid w:val="002B3ACE"/>
    <w:rsid w:val="002B3B32"/>
    <w:rsid w:val="002B3BEB"/>
    <w:rsid w:val="002B3FAF"/>
    <w:rsid w:val="002B4220"/>
    <w:rsid w:val="002B4266"/>
    <w:rsid w:val="002B4497"/>
    <w:rsid w:val="002B4BB8"/>
    <w:rsid w:val="002B4CEA"/>
    <w:rsid w:val="002B4FDC"/>
    <w:rsid w:val="002B552D"/>
    <w:rsid w:val="002B6074"/>
    <w:rsid w:val="002B6250"/>
    <w:rsid w:val="002B62F2"/>
    <w:rsid w:val="002B641A"/>
    <w:rsid w:val="002B6E21"/>
    <w:rsid w:val="002B7AA8"/>
    <w:rsid w:val="002B7D4A"/>
    <w:rsid w:val="002B7EEC"/>
    <w:rsid w:val="002C0161"/>
    <w:rsid w:val="002C04BA"/>
    <w:rsid w:val="002C0711"/>
    <w:rsid w:val="002C0C8A"/>
    <w:rsid w:val="002C0CB3"/>
    <w:rsid w:val="002C0CEE"/>
    <w:rsid w:val="002C0FA4"/>
    <w:rsid w:val="002C112A"/>
    <w:rsid w:val="002C17AD"/>
    <w:rsid w:val="002C19C9"/>
    <w:rsid w:val="002C1A21"/>
    <w:rsid w:val="002C1DBC"/>
    <w:rsid w:val="002C1F25"/>
    <w:rsid w:val="002C1FEA"/>
    <w:rsid w:val="002C267C"/>
    <w:rsid w:val="002C2C93"/>
    <w:rsid w:val="002C31ED"/>
    <w:rsid w:val="002C48B1"/>
    <w:rsid w:val="002C4B80"/>
    <w:rsid w:val="002C502B"/>
    <w:rsid w:val="002C502F"/>
    <w:rsid w:val="002C5515"/>
    <w:rsid w:val="002C5A51"/>
    <w:rsid w:val="002C6E0D"/>
    <w:rsid w:val="002C6F51"/>
    <w:rsid w:val="002C71D5"/>
    <w:rsid w:val="002C72D5"/>
    <w:rsid w:val="002C759D"/>
    <w:rsid w:val="002C7628"/>
    <w:rsid w:val="002C7B0C"/>
    <w:rsid w:val="002D0300"/>
    <w:rsid w:val="002D082A"/>
    <w:rsid w:val="002D082D"/>
    <w:rsid w:val="002D0B91"/>
    <w:rsid w:val="002D0BC6"/>
    <w:rsid w:val="002D0CB9"/>
    <w:rsid w:val="002D0CF7"/>
    <w:rsid w:val="002D0E72"/>
    <w:rsid w:val="002D123C"/>
    <w:rsid w:val="002D145C"/>
    <w:rsid w:val="002D160D"/>
    <w:rsid w:val="002D1A77"/>
    <w:rsid w:val="002D242D"/>
    <w:rsid w:val="002D256B"/>
    <w:rsid w:val="002D26FB"/>
    <w:rsid w:val="002D2DBD"/>
    <w:rsid w:val="002D3101"/>
    <w:rsid w:val="002D370B"/>
    <w:rsid w:val="002D374A"/>
    <w:rsid w:val="002D3BE5"/>
    <w:rsid w:val="002D3CEB"/>
    <w:rsid w:val="002D43E1"/>
    <w:rsid w:val="002D49B2"/>
    <w:rsid w:val="002D4D5F"/>
    <w:rsid w:val="002D4F01"/>
    <w:rsid w:val="002D5167"/>
    <w:rsid w:val="002D5213"/>
    <w:rsid w:val="002D5669"/>
    <w:rsid w:val="002D56A8"/>
    <w:rsid w:val="002D5788"/>
    <w:rsid w:val="002D5A95"/>
    <w:rsid w:val="002D5C04"/>
    <w:rsid w:val="002D5CE2"/>
    <w:rsid w:val="002D6181"/>
    <w:rsid w:val="002D649D"/>
    <w:rsid w:val="002D64C5"/>
    <w:rsid w:val="002D6531"/>
    <w:rsid w:val="002D6B43"/>
    <w:rsid w:val="002D6C59"/>
    <w:rsid w:val="002D6CCB"/>
    <w:rsid w:val="002D71BD"/>
    <w:rsid w:val="002D7803"/>
    <w:rsid w:val="002D793F"/>
    <w:rsid w:val="002D7F52"/>
    <w:rsid w:val="002E008C"/>
    <w:rsid w:val="002E0254"/>
    <w:rsid w:val="002E0322"/>
    <w:rsid w:val="002E03E4"/>
    <w:rsid w:val="002E0549"/>
    <w:rsid w:val="002E06EB"/>
    <w:rsid w:val="002E0739"/>
    <w:rsid w:val="002E073A"/>
    <w:rsid w:val="002E0876"/>
    <w:rsid w:val="002E0E47"/>
    <w:rsid w:val="002E0E88"/>
    <w:rsid w:val="002E115F"/>
    <w:rsid w:val="002E156B"/>
    <w:rsid w:val="002E1932"/>
    <w:rsid w:val="002E198B"/>
    <w:rsid w:val="002E1AF6"/>
    <w:rsid w:val="002E1C47"/>
    <w:rsid w:val="002E1CF2"/>
    <w:rsid w:val="002E1D17"/>
    <w:rsid w:val="002E1E7F"/>
    <w:rsid w:val="002E21E8"/>
    <w:rsid w:val="002E22A6"/>
    <w:rsid w:val="002E23CE"/>
    <w:rsid w:val="002E304F"/>
    <w:rsid w:val="002E326E"/>
    <w:rsid w:val="002E3550"/>
    <w:rsid w:val="002E3575"/>
    <w:rsid w:val="002E3758"/>
    <w:rsid w:val="002E376F"/>
    <w:rsid w:val="002E38DB"/>
    <w:rsid w:val="002E3961"/>
    <w:rsid w:val="002E39B2"/>
    <w:rsid w:val="002E39C6"/>
    <w:rsid w:val="002E3AFE"/>
    <w:rsid w:val="002E3D47"/>
    <w:rsid w:val="002E40A1"/>
    <w:rsid w:val="002E4508"/>
    <w:rsid w:val="002E466A"/>
    <w:rsid w:val="002E4682"/>
    <w:rsid w:val="002E46CE"/>
    <w:rsid w:val="002E486B"/>
    <w:rsid w:val="002E4AF6"/>
    <w:rsid w:val="002E4C06"/>
    <w:rsid w:val="002E523C"/>
    <w:rsid w:val="002E5C51"/>
    <w:rsid w:val="002E5E9A"/>
    <w:rsid w:val="002E61A7"/>
    <w:rsid w:val="002E61E0"/>
    <w:rsid w:val="002E6B69"/>
    <w:rsid w:val="002E735E"/>
    <w:rsid w:val="002E73F7"/>
    <w:rsid w:val="002E7CC2"/>
    <w:rsid w:val="002F01EF"/>
    <w:rsid w:val="002F01F2"/>
    <w:rsid w:val="002F06B9"/>
    <w:rsid w:val="002F0A7F"/>
    <w:rsid w:val="002F0A84"/>
    <w:rsid w:val="002F10DD"/>
    <w:rsid w:val="002F15E8"/>
    <w:rsid w:val="002F174E"/>
    <w:rsid w:val="002F18A2"/>
    <w:rsid w:val="002F1D62"/>
    <w:rsid w:val="002F23D1"/>
    <w:rsid w:val="002F3122"/>
    <w:rsid w:val="002F31A5"/>
    <w:rsid w:val="002F3283"/>
    <w:rsid w:val="002F32C0"/>
    <w:rsid w:val="002F34DF"/>
    <w:rsid w:val="002F3600"/>
    <w:rsid w:val="002F388B"/>
    <w:rsid w:val="002F3AD9"/>
    <w:rsid w:val="002F3CD4"/>
    <w:rsid w:val="002F4162"/>
    <w:rsid w:val="002F4506"/>
    <w:rsid w:val="002F46EE"/>
    <w:rsid w:val="002F497A"/>
    <w:rsid w:val="002F4D6C"/>
    <w:rsid w:val="002F4EC5"/>
    <w:rsid w:val="002F503D"/>
    <w:rsid w:val="002F5075"/>
    <w:rsid w:val="002F50F9"/>
    <w:rsid w:val="002F52A2"/>
    <w:rsid w:val="002F5658"/>
    <w:rsid w:val="002F5ABC"/>
    <w:rsid w:val="002F5AD9"/>
    <w:rsid w:val="002F6338"/>
    <w:rsid w:val="002F64F1"/>
    <w:rsid w:val="002F6685"/>
    <w:rsid w:val="002F6715"/>
    <w:rsid w:val="002F7211"/>
    <w:rsid w:val="002F74FD"/>
    <w:rsid w:val="002F75C8"/>
    <w:rsid w:val="002F7624"/>
    <w:rsid w:val="00300020"/>
    <w:rsid w:val="003003BB"/>
    <w:rsid w:val="0030080B"/>
    <w:rsid w:val="00300CE4"/>
    <w:rsid w:val="00300D56"/>
    <w:rsid w:val="00300FB0"/>
    <w:rsid w:val="003010AA"/>
    <w:rsid w:val="00301129"/>
    <w:rsid w:val="003012C3"/>
    <w:rsid w:val="003014C0"/>
    <w:rsid w:val="003014EB"/>
    <w:rsid w:val="003018E5"/>
    <w:rsid w:val="00301C9F"/>
    <w:rsid w:val="00301CB0"/>
    <w:rsid w:val="00302264"/>
    <w:rsid w:val="0030328E"/>
    <w:rsid w:val="00303CD9"/>
    <w:rsid w:val="00303E52"/>
    <w:rsid w:val="00303E6F"/>
    <w:rsid w:val="00303FB0"/>
    <w:rsid w:val="003042B6"/>
    <w:rsid w:val="003043A0"/>
    <w:rsid w:val="0030471C"/>
    <w:rsid w:val="00304B24"/>
    <w:rsid w:val="00304BC1"/>
    <w:rsid w:val="00304CC0"/>
    <w:rsid w:val="00304E1F"/>
    <w:rsid w:val="00305061"/>
    <w:rsid w:val="00305167"/>
    <w:rsid w:val="003058FC"/>
    <w:rsid w:val="00305C25"/>
    <w:rsid w:val="00305CB8"/>
    <w:rsid w:val="00306154"/>
    <w:rsid w:val="003061E9"/>
    <w:rsid w:val="003065BB"/>
    <w:rsid w:val="003065F4"/>
    <w:rsid w:val="0030664C"/>
    <w:rsid w:val="003067C8"/>
    <w:rsid w:val="00306865"/>
    <w:rsid w:val="003068B7"/>
    <w:rsid w:val="00306BAD"/>
    <w:rsid w:val="00307100"/>
    <w:rsid w:val="00307340"/>
    <w:rsid w:val="00307643"/>
    <w:rsid w:val="00307730"/>
    <w:rsid w:val="003077C0"/>
    <w:rsid w:val="003078CA"/>
    <w:rsid w:val="00307A2C"/>
    <w:rsid w:val="00307AA3"/>
    <w:rsid w:val="00307BF3"/>
    <w:rsid w:val="0031021B"/>
    <w:rsid w:val="003106E1"/>
    <w:rsid w:val="00310726"/>
    <w:rsid w:val="0031120C"/>
    <w:rsid w:val="00311FB4"/>
    <w:rsid w:val="003120FD"/>
    <w:rsid w:val="003123FA"/>
    <w:rsid w:val="00312574"/>
    <w:rsid w:val="0031277F"/>
    <w:rsid w:val="003127C4"/>
    <w:rsid w:val="003129E0"/>
    <w:rsid w:val="00312E60"/>
    <w:rsid w:val="00313104"/>
    <w:rsid w:val="003132AA"/>
    <w:rsid w:val="00313352"/>
    <w:rsid w:val="00313DAB"/>
    <w:rsid w:val="00313F6B"/>
    <w:rsid w:val="00314226"/>
    <w:rsid w:val="003144EE"/>
    <w:rsid w:val="003146FD"/>
    <w:rsid w:val="003147F2"/>
    <w:rsid w:val="00314B32"/>
    <w:rsid w:val="00314BF3"/>
    <w:rsid w:val="00314ED0"/>
    <w:rsid w:val="00315126"/>
    <w:rsid w:val="0031516C"/>
    <w:rsid w:val="003152E4"/>
    <w:rsid w:val="003155A6"/>
    <w:rsid w:val="003156BB"/>
    <w:rsid w:val="00315BA6"/>
    <w:rsid w:val="00315C8A"/>
    <w:rsid w:val="00315F86"/>
    <w:rsid w:val="0031604C"/>
    <w:rsid w:val="0031629D"/>
    <w:rsid w:val="003164E4"/>
    <w:rsid w:val="0031671C"/>
    <w:rsid w:val="00316D45"/>
    <w:rsid w:val="00317129"/>
    <w:rsid w:val="00317139"/>
    <w:rsid w:val="00317274"/>
    <w:rsid w:val="003175EE"/>
    <w:rsid w:val="00317646"/>
    <w:rsid w:val="0031789A"/>
    <w:rsid w:val="003178ED"/>
    <w:rsid w:val="00317C15"/>
    <w:rsid w:val="0032011A"/>
    <w:rsid w:val="0032024D"/>
    <w:rsid w:val="003203F8"/>
    <w:rsid w:val="003205C1"/>
    <w:rsid w:val="00320686"/>
    <w:rsid w:val="00321090"/>
    <w:rsid w:val="003211DD"/>
    <w:rsid w:val="00321281"/>
    <w:rsid w:val="00321475"/>
    <w:rsid w:val="00321502"/>
    <w:rsid w:val="003219D5"/>
    <w:rsid w:val="00321A81"/>
    <w:rsid w:val="00321B7A"/>
    <w:rsid w:val="00321B93"/>
    <w:rsid w:val="00321F72"/>
    <w:rsid w:val="00322034"/>
    <w:rsid w:val="003221F6"/>
    <w:rsid w:val="003223F8"/>
    <w:rsid w:val="00322535"/>
    <w:rsid w:val="00322645"/>
    <w:rsid w:val="00322836"/>
    <w:rsid w:val="00322EAB"/>
    <w:rsid w:val="0032317A"/>
    <w:rsid w:val="003236F4"/>
    <w:rsid w:val="003238EF"/>
    <w:rsid w:val="00323B83"/>
    <w:rsid w:val="00323C8E"/>
    <w:rsid w:val="00323F43"/>
    <w:rsid w:val="00323F97"/>
    <w:rsid w:val="00324019"/>
    <w:rsid w:val="00324C53"/>
    <w:rsid w:val="00324C80"/>
    <w:rsid w:val="00324E1A"/>
    <w:rsid w:val="00324F39"/>
    <w:rsid w:val="00324FF7"/>
    <w:rsid w:val="0032500B"/>
    <w:rsid w:val="003256F6"/>
    <w:rsid w:val="003257DD"/>
    <w:rsid w:val="00326126"/>
    <w:rsid w:val="0032648B"/>
    <w:rsid w:val="0032690B"/>
    <w:rsid w:val="003269F9"/>
    <w:rsid w:val="00326D08"/>
    <w:rsid w:val="00326E11"/>
    <w:rsid w:val="00326E7B"/>
    <w:rsid w:val="00326F6C"/>
    <w:rsid w:val="00327C73"/>
    <w:rsid w:val="00327EA2"/>
    <w:rsid w:val="0033030B"/>
    <w:rsid w:val="003306F8"/>
    <w:rsid w:val="00330889"/>
    <w:rsid w:val="00330AB6"/>
    <w:rsid w:val="00330AE4"/>
    <w:rsid w:val="00330AF6"/>
    <w:rsid w:val="00330C14"/>
    <w:rsid w:val="00330E12"/>
    <w:rsid w:val="00330E30"/>
    <w:rsid w:val="00331692"/>
    <w:rsid w:val="00331744"/>
    <w:rsid w:val="003319A3"/>
    <w:rsid w:val="00331A45"/>
    <w:rsid w:val="0033222A"/>
    <w:rsid w:val="00332E4F"/>
    <w:rsid w:val="00332EBF"/>
    <w:rsid w:val="0033331A"/>
    <w:rsid w:val="00333368"/>
    <w:rsid w:val="0033380E"/>
    <w:rsid w:val="00333DFE"/>
    <w:rsid w:val="0033420D"/>
    <w:rsid w:val="0033461D"/>
    <w:rsid w:val="00334625"/>
    <w:rsid w:val="00334694"/>
    <w:rsid w:val="00334707"/>
    <w:rsid w:val="00334726"/>
    <w:rsid w:val="0033472E"/>
    <w:rsid w:val="00334FED"/>
    <w:rsid w:val="003350F9"/>
    <w:rsid w:val="003352F0"/>
    <w:rsid w:val="00335322"/>
    <w:rsid w:val="00335A46"/>
    <w:rsid w:val="00335D75"/>
    <w:rsid w:val="00335EBE"/>
    <w:rsid w:val="00336098"/>
    <w:rsid w:val="0033647F"/>
    <w:rsid w:val="003365C9"/>
    <w:rsid w:val="0033664D"/>
    <w:rsid w:val="003366A9"/>
    <w:rsid w:val="00336C00"/>
    <w:rsid w:val="00337079"/>
    <w:rsid w:val="00337180"/>
    <w:rsid w:val="00337517"/>
    <w:rsid w:val="00337722"/>
    <w:rsid w:val="00337B67"/>
    <w:rsid w:val="00337E0E"/>
    <w:rsid w:val="003406BF"/>
    <w:rsid w:val="00340AAA"/>
    <w:rsid w:val="0034125A"/>
    <w:rsid w:val="003412F0"/>
    <w:rsid w:val="0034140A"/>
    <w:rsid w:val="0034193D"/>
    <w:rsid w:val="00341941"/>
    <w:rsid w:val="00341D4A"/>
    <w:rsid w:val="00341EAF"/>
    <w:rsid w:val="003423F3"/>
    <w:rsid w:val="00342778"/>
    <w:rsid w:val="00342893"/>
    <w:rsid w:val="00342F73"/>
    <w:rsid w:val="00343183"/>
    <w:rsid w:val="00343242"/>
    <w:rsid w:val="0034421F"/>
    <w:rsid w:val="0034422F"/>
    <w:rsid w:val="0034447B"/>
    <w:rsid w:val="00344915"/>
    <w:rsid w:val="003449BF"/>
    <w:rsid w:val="00344ABC"/>
    <w:rsid w:val="00344F6F"/>
    <w:rsid w:val="0034506C"/>
    <w:rsid w:val="003451C3"/>
    <w:rsid w:val="0034533D"/>
    <w:rsid w:val="003453F0"/>
    <w:rsid w:val="0034542B"/>
    <w:rsid w:val="00345940"/>
    <w:rsid w:val="00345A94"/>
    <w:rsid w:val="00345EDE"/>
    <w:rsid w:val="00346038"/>
    <w:rsid w:val="00346183"/>
    <w:rsid w:val="0034636D"/>
    <w:rsid w:val="003469D8"/>
    <w:rsid w:val="00346CD0"/>
    <w:rsid w:val="00346FDC"/>
    <w:rsid w:val="00347328"/>
    <w:rsid w:val="0034737C"/>
    <w:rsid w:val="003475DA"/>
    <w:rsid w:val="00347946"/>
    <w:rsid w:val="00347B23"/>
    <w:rsid w:val="00350788"/>
    <w:rsid w:val="00350D1A"/>
    <w:rsid w:val="00350F17"/>
    <w:rsid w:val="00351247"/>
    <w:rsid w:val="00351967"/>
    <w:rsid w:val="00351A55"/>
    <w:rsid w:val="00351B1A"/>
    <w:rsid w:val="00351DCF"/>
    <w:rsid w:val="0035292B"/>
    <w:rsid w:val="00352BB3"/>
    <w:rsid w:val="00352BE6"/>
    <w:rsid w:val="00352C92"/>
    <w:rsid w:val="003534A8"/>
    <w:rsid w:val="00353512"/>
    <w:rsid w:val="00353595"/>
    <w:rsid w:val="00353985"/>
    <w:rsid w:val="003539CE"/>
    <w:rsid w:val="00353A96"/>
    <w:rsid w:val="00353B49"/>
    <w:rsid w:val="00353B6D"/>
    <w:rsid w:val="00353BEB"/>
    <w:rsid w:val="003543A1"/>
    <w:rsid w:val="0035445A"/>
    <w:rsid w:val="003548BC"/>
    <w:rsid w:val="00354E9D"/>
    <w:rsid w:val="003550BC"/>
    <w:rsid w:val="00355162"/>
    <w:rsid w:val="00355241"/>
    <w:rsid w:val="00355958"/>
    <w:rsid w:val="00355AA1"/>
    <w:rsid w:val="00355CAD"/>
    <w:rsid w:val="003563AA"/>
    <w:rsid w:val="00356511"/>
    <w:rsid w:val="00356946"/>
    <w:rsid w:val="00357391"/>
    <w:rsid w:val="0035775C"/>
    <w:rsid w:val="00357771"/>
    <w:rsid w:val="00357B56"/>
    <w:rsid w:val="00357C43"/>
    <w:rsid w:val="0036027C"/>
    <w:rsid w:val="0036027D"/>
    <w:rsid w:val="003604A9"/>
    <w:rsid w:val="00360513"/>
    <w:rsid w:val="00360970"/>
    <w:rsid w:val="003611A5"/>
    <w:rsid w:val="00361202"/>
    <w:rsid w:val="003612F8"/>
    <w:rsid w:val="0036173E"/>
    <w:rsid w:val="00361772"/>
    <w:rsid w:val="00361910"/>
    <w:rsid w:val="00361F9A"/>
    <w:rsid w:val="00362068"/>
    <w:rsid w:val="003620E8"/>
    <w:rsid w:val="0036228D"/>
    <w:rsid w:val="00362349"/>
    <w:rsid w:val="003623C3"/>
    <w:rsid w:val="00362886"/>
    <w:rsid w:val="00362B66"/>
    <w:rsid w:val="00362BC7"/>
    <w:rsid w:val="00362DE3"/>
    <w:rsid w:val="00362DEB"/>
    <w:rsid w:val="00362F65"/>
    <w:rsid w:val="00362F7D"/>
    <w:rsid w:val="00363138"/>
    <w:rsid w:val="003631E1"/>
    <w:rsid w:val="00363220"/>
    <w:rsid w:val="00363905"/>
    <w:rsid w:val="00363A52"/>
    <w:rsid w:val="0036425E"/>
    <w:rsid w:val="00364274"/>
    <w:rsid w:val="00364420"/>
    <w:rsid w:val="00364712"/>
    <w:rsid w:val="00364728"/>
    <w:rsid w:val="0036474E"/>
    <w:rsid w:val="00364809"/>
    <w:rsid w:val="00364953"/>
    <w:rsid w:val="00365815"/>
    <w:rsid w:val="00365FF9"/>
    <w:rsid w:val="00366037"/>
    <w:rsid w:val="00366723"/>
    <w:rsid w:val="003667CC"/>
    <w:rsid w:val="00366BC3"/>
    <w:rsid w:val="00366C46"/>
    <w:rsid w:val="00366D16"/>
    <w:rsid w:val="00367846"/>
    <w:rsid w:val="00367A27"/>
    <w:rsid w:val="00367DB3"/>
    <w:rsid w:val="00367F2A"/>
    <w:rsid w:val="00367F71"/>
    <w:rsid w:val="00367F75"/>
    <w:rsid w:val="003703BA"/>
    <w:rsid w:val="003706EE"/>
    <w:rsid w:val="003707C6"/>
    <w:rsid w:val="00370BC3"/>
    <w:rsid w:val="00370D97"/>
    <w:rsid w:val="003714F5"/>
    <w:rsid w:val="00371B98"/>
    <w:rsid w:val="003723AE"/>
    <w:rsid w:val="00372520"/>
    <w:rsid w:val="003725F5"/>
    <w:rsid w:val="00372649"/>
    <w:rsid w:val="00372B0C"/>
    <w:rsid w:val="00372DF8"/>
    <w:rsid w:val="00372E16"/>
    <w:rsid w:val="00372E33"/>
    <w:rsid w:val="00372F06"/>
    <w:rsid w:val="00373298"/>
    <w:rsid w:val="003733B6"/>
    <w:rsid w:val="003735FC"/>
    <w:rsid w:val="003737C9"/>
    <w:rsid w:val="00373ACA"/>
    <w:rsid w:val="00373AD8"/>
    <w:rsid w:val="00373C4E"/>
    <w:rsid w:val="00374164"/>
    <w:rsid w:val="00374AB3"/>
    <w:rsid w:val="00374C5E"/>
    <w:rsid w:val="00374CF0"/>
    <w:rsid w:val="00374D4B"/>
    <w:rsid w:val="00374FEC"/>
    <w:rsid w:val="003753E9"/>
    <w:rsid w:val="00375641"/>
    <w:rsid w:val="003759FD"/>
    <w:rsid w:val="00375A1F"/>
    <w:rsid w:val="00375A40"/>
    <w:rsid w:val="00375DB1"/>
    <w:rsid w:val="00375E03"/>
    <w:rsid w:val="00375EC2"/>
    <w:rsid w:val="003766F2"/>
    <w:rsid w:val="00377331"/>
    <w:rsid w:val="00377703"/>
    <w:rsid w:val="00377BDA"/>
    <w:rsid w:val="00377C38"/>
    <w:rsid w:val="00377C7C"/>
    <w:rsid w:val="00377DE8"/>
    <w:rsid w:val="00380098"/>
    <w:rsid w:val="00380114"/>
    <w:rsid w:val="00380310"/>
    <w:rsid w:val="0038056D"/>
    <w:rsid w:val="0038068E"/>
    <w:rsid w:val="00380809"/>
    <w:rsid w:val="00380C7F"/>
    <w:rsid w:val="00380F25"/>
    <w:rsid w:val="00381467"/>
    <w:rsid w:val="0038157E"/>
    <w:rsid w:val="0038174A"/>
    <w:rsid w:val="00381FD4"/>
    <w:rsid w:val="00382005"/>
    <w:rsid w:val="00382203"/>
    <w:rsid w:val="0038225B"/>
    <w:rsid w:val="00382298"/>
    <w:rsid w:val="003824EC"/>
    <w:rsid w:val="00382592"/>
    <w:rsid w:val="003826C2"/>
    <w:rsid w:val="00382744"/>
    <w:rsid w:val="00382845"/>
    <w:rsid w:val="0038293C"/>
    <w:rsid w:val="00382A86"/>
    <w:rsid w:val="00382D8C"/>
    <w:rsid w:val="0038368F"/>
    <w:rsid w:val="0038397C"/>
    <w:rsid w:val="00383992"/>
    <w:rsid w:val="00383A07"/>
    <w:rsid w:val="00384151"/>
    <w:rsid w:val="0038473E"/>
    <w:rsid w:val="00384762"/>
    <w:rsid w:val="0038481D"/>
    <w:rsid w:val="00384E9F"/>
    <w:rsid w:val="0038508B"/>
    <w:rsid w:val="003850D2"/>
    <w:rsid w:val="00385325"/>
    <w:rsid w:val="0038537A"/>
    <w:rsid w:val="00385380"/>
    <w:rsid w:val="0038564F"/>
    <w:rsid w:val="00385A63"/>
    <w:rsid w:val="00385B7A"/>
    <w:rsid w:val="00386475"/>
    <w:rsid w:val="0038647C"/>
    <w:rsid w:val="00386660"/>
    <w:rsid w:val="003869EC"/>
    <w:rsid w:val="00386FF1"/>
    <w:rsid w:val="0038712B"/>
    <w:rsid w:val="003871A4"/>
    <w:rsid w:val="0038726E"/>
    <w:rsid w:val="00387448"/>
    <w:rsid w:val="0038764D"/>
    <w:rsid w:val="003878A2"/>
    <w:rsid w:val="00387BA4"/>
    <w:rsid w:val="00387F63"/>
    <w:rsid w:val="0039005D"/>
    <w:rsid w:val="003903CB"/>
    <w:rsid w:val="003904F8"/>
    <w:rsid w:val="00390528"/>
    <w:rsid w:val="0039078C"/>
    <w:rsid w:val="00390A3D"/>
    <w:rsid w:val="00390BDC"/>
    <w:rsid w:val="00390EAB"/>
    <w:rsid w:val="003910F5"/>
    <w:rsid w:val="003915B8"/>
    <w:rsid w:val="00391999"/>
    <w:rsid w:val="00391E32"/>
    <w:rsid w:val="00391F07"/>
    <w:rsid w:val="0039210A"/>
    <w:rsid w:val="003928DB"/>
    <w:rsid w:val="00392C88"/>
    <w:rsid w:val="00392D7B"/>
    <w:rsid w:val="00392DF6"/>
    <w:rsid w:val="00392F5A"/>
    <w:rsid w:val="0039345B"/>
    <w:rsid w:val="003935B0"/>
    <w:rsid w:val="0039362E"/>
    <w:rsid w:val="00393643"/>
    <w:rsid w:val="00393890"/>
    <w:rsid w:val="00393B86"/>
    <w:rsid w:val="00394356"/>
    <w:rsid w:val="003946F3"/>
    <w:rsid w:val="0039473D"/>
    <w:rsid w:val="00394841"/>
    <w:rsid w:val="00394F0F"/>
    <w:rsid w:val="003952A6"/>
    <w:rsid w:val="00395367"/>
    <w:rsid w:val="00395379"/>
    <w:rsid w:val="0039540E"/>
    <w:rsid w:val="0039545D"/>
    <w:rsid w:val="00395547"/>
    <w:rsid w:val="00395C6B"/>
    <w:rsid w:val="00395D17"/>
    <w:rsid w:val="00395DAC"/>
    <w:rsid w:val="00396818"/>
    <w:rsid w:val="00396C72"/>
    <w:rsid w:val="00396D1E"/>
    <w:rsid w:val="00396DEB"/>
    <w:rsid w:val="00396E55"/>
    <w:rsid w:val="00396E91"/>
    <w:rsid w:val="0039700F"/>
    <w:rsid w:val="00397097"/>
    <w:rsid w:val="00397375"/>
    <w:rsid w:val="003977EC"/>
    <w:rsid w:val="003978B6"/>
    <w:rsid w:val="003979CE"/>
    <w:rsid w:val="00397B22"/>
    <w:rsid w:val="00397B7E"/>
    <w:rsid w:val="00397FA1"/>
    <w:rsid w:val="003A0563"/>
    <w:rsid w:val="003A05B0"/>
    <w:rsid w:val="003A05F1"/>
    <w:rsid w:val="003A07F1"/>
    <w:rsid w:val="003A0B7E"/>
    <w:rsid w:val="003A1112"/>
    <w:rsid w:val="003A1455"/>
    <w:rsid w:val="003A14FC"/>
    <w:rsid w:val="003A17E0"/>
    <w:rsid w:val="003A193B"/>
    <w:rsid w:val="003A1A2C"/>
    <w:rsid w:val="003A1A98"/>
    <w:rsid w:val="003A1D59"/>
    <w:rsid w:val="003A1FE1"/>
    <w:rsid w:val="003A2463"/>
    <w:rsid w:val="003A2553"/>
    <w:rsid w:val="003A27F3"/>
    <w:rsid w:val="003A2815"/>
    <w:rsid w:val="003A2AA3"/>
    <w:rsid w:val="003A2B6E"/>
    <w:rsid w:val="003A2E36"/>
    <w:rsid w:val="003A350E"/>
    <w:rsid w:val="003A3587"/>
    <w:rsid w:val="003A3C38"/>
    <w:rsid w:val="003A4192"/>
    <w:rsid w:val="003A4565"/>
    <w:rsid w:val="003A483E"/>
    <w:rsid w:val="003A49BD"/>
    <w:rsid w:val="003A4DBB"/>
    <w:rsid w:val="003A4EB7"/>
    <w:rsid w:val="003A5727"/>
    <w:rsid w:val="003A5A84"/>
    <w:rsid w:val="003A60FC"/>
    <w:rsid w:val="003A65C5"/>
    <w:rsid w:val="003A6983"/>
    <w:rsid w:val="003A72A6"/>
    <w:rsid w:val="003A73E1"/>
    <w:rsid w:val="003A7555"/>
    <w:rsid w:val="003A755B"/>
    <w:rsid w:val="003A7C7C"/>
    <w:rsid w:val="003B050D"/>
    <w:rsid w:val="003B067A"/>
    <w:rsid w:val="003B102F"/>
    <w:rsid w:val="003B125A"/>
    <w:rsid w:val="003B1551"/>
    <w:rsid w:val="003B1F41"/>
    <w:rsid w:val="003B2220"/>
    <w:rsid w:val="003B22EF"/>
    <w:rsid w:val="003B234D"/>
    <w:rsid w:val="003B2421"/>
    <w:rsid w:val="003B275E"/>
    <w:rsid w:val="003B2D6B"/>
    <w:rsid w:val="003B3208"/>
    <w:rsid w:val="003B338C"/>
    <w:rsid w:val="003B33D7"/>
    <w:rsid w:val="003B3411"/>
    <w:rsid w:val="003B3996"/>
    <w:rsid w:val="003B3C73"/>
    <w:rsid w:val="003B3DDB"/>
    <w:rsid w:val="003B3E01"/>
    <w:rsid w:val="003B3F2E"/>
    <w:rsid w:val="003B43FD"/>
    <w:rsid w:val="003B44F1"/>
    <w:rsid w:val="003B44FE"/>
    <w:rsid w:val="003B4B68"/>
    <w:rsid w:val="003B4ED3"/>
    <w:rsid w:val="003B4EEE"/>
    <w:rsid w:val="003B520C"/>
    <w:rsid w:val="003B5459"/>
    <w:rsid w:val="003B572D"/>
    <w:rsid w:val="003B5779"/>
    <w:rsid w:val="003B598C"/>
    <w:rsid w:val="003B5CAF"/>
    <w:rsid w:val="003B5DE5"/>
    <w:rsid w:val="003B651E"/>
    <w:rsid w:val="003B672F"/>
    <w:rsid w:val="003B6983"/>
    <w:rsid w:val="003B70C0"/>
    <w:rsid w:val="003B794E"/>
    <w:rsid w:val="003B7986"/>
    <w:rsid w:val="003B7A5A"/>
    <w:rsid w:val="003B7AEA"/>
    <w:rsid w:val="003B7DF0"/>
    <w:rsid w:val="003B7E96"/>
    <w:rsid w:val="003C00EC"/>
    <w:rsid w:val="003C0682"/>
    <w:rsid w:val="003C07D0"/>
    <w:rsid w:val="003C0A08"/>
    <w:rsid w:val="003C0CAE"/>
    <w:rsid w:val="003C0F91"/>
    <w:rsid w:val="003C11BD"/>
    <w:rsid w:val="003C1503"/>
    <w:rsid w:val="003C1590"/>
    <w:rsid w:val="003C16EC"/>
    <w:rsid w:val="003C1B27"/>
    <w:rsid w:val="003C1E3A"/>
    <w:rsid w:val="003C1E60"/>
    <w:rsid w:val="003C1FEC"/>
    <w:rsid w:val="003C2231"/>
    <w:rsid w:val="003C2377"/>
    <w:rsid w:val="003C2485"/>
    <w:rsid w:val="003C25A0"/>
    <w:rsid w:val="003C2C56"/>
    <w:rsid w:val="003C3091"/>
    <w:rsid w:val="003C3341"/>
    <w:rsid w:val="003C3A87"/>
    <w:rsid w:val="003C3A9C"/>
    <w:rsid w:val="003C3D36"/>
    <w:rsid w:val="003C43C5"/>
    <w:rsid w:val="003C4747"/>
    <w:rsid w:val="003C4B3C"/>
    <w:rsid w:val="003C4BEF"/>
    <w:rsid w:val="003C4CBF"/>
    <w:rsid w:val="003C5265"/>
    <w:rsid w:val="003C54E2"/>
    <w:rsid w:val="003C5517"/>
    <w:rsid w:val="003C5AFB"/>
    <w:rsid w:val="003C5C79"/>
    <w:rsid w:val="003C5E3D"/>
    <w:rsid w:val="003C6493"/>
    <w:rsid w:val="003C665F"/>
    <w:rsid w:val="003C6667"/>
    <w:rsid w:val="003C6883"/>
    <w:rsid w:val="003C69A8"/>
    <w:rsid w:val="003C6D88"/>
    <w:rsid w:val="003C6E36"/>
    <w:rsid w:val="003C6F24"/>
    <w:rsid w:val="003C7153"/>
    <w:rsid w:val="003C7442"/>
    <w:rsid w:val="003C759D"/>
    <w:rsid w:val="003C773E"/>
    <w:rsid w:val="003C7AC6"/>
    <w:rsid w:val="003C7D0F"/>
    <w:rsid w:val="003D0024"/>
    <w:rsid w:val="003D01E7"/>
    <w:rsid w:val="003D033E"/>
    <w:rsid w:val="003D08B8"/>
    <w:rsid w:val="003D0A74"/>
    <w:rsid w:val="003D0C98"/>
    <w:rsid w:val="003D1029"/>
    <w:rsid w:val="003D188C"/>
    <w:rsid w:val="003D18E2"/>
    <w:rsid w:val="003D19BD"/>
    <w:rsid w:val="003D19ED"/>
    <w:rsid w:val="003D1CD7"/>
    <w:rsid w:val="003D1FA4"/>
    <w:rsid w:val="003D2147"/>
    <w:rsid w:val="003D21F8"/>
    <w:rsid w:val="003D251E"/>
    <w:rsid w:val="003D2721"/>
    <w:rsid w:val="003D2BCF"/>
    <w:rsid w:val="003D2D08"/>
    <w:rsid w:val="003D2D9C"/>
    <w:rsid w:val="003D2ED7"/>
    <w:rsid w:val="003D2F28"/>
    <w:rsid w:val="003D310E"/>
    <w:rsid w:val="003D31F0"/>
    <w:rsid w:val="003D3425"/>
    <w:rsid w:val="003D35BF"/>
    <w:rsid w:val="003D360A"/>
    <w:rsid w:val="003D37DC"/>
    <w:rsid w:val="003D3A03"/>
    <w:rsid w:val="003D3ACF"/>
    <w:rsid w:val="003D3B2B"/>
    <w:rsid w:val="003D3C91"/>
    <w:rsid w:val="003D3FF5"/>
    <w:rsid w:val="003D405E"/>
    <w:rsid w:val="003D410A"/>
    <w:rsid w:val="003D4231"/>
    <w:rsid w:val="003D44EA"/>
    <w:rsid w:val="003D45CC"/>
    <w:rsid w:val="003D4750"/>
    <w:rsid w:val="003D48E7"/>
    <w:rsid w:val="003D4AE8"/>
    <w:rsid w:val="003D4BB0"/>
    <w:rsid w:val="003D4BFD"/>
    <w:rsid w:val="003D4F6E"/>
    <w:rsid w:val="003D515D"/>
    <w:rsid w:val="003D55DA"/>
    <w:rsid w:val="003D5605"/>
    <w:rsid w:val="003D5645"/>
    <w:rsid w:val="003D569C"/>
    <w:rsid w:val="003D581B"/>
    <w:rsid w:val="003D5BC3"/>
    <w:rsid w:val="003D5CFA"/>
    <w:rsid w:val="003D650D"/>
    <w:rsid w:val="003D651C"/>
    <w:rsid w:val="003D6628"/>
    <w:rsid w:val="003D66EE"/>
    <w:rsid w:val="003D6848"/>
    <w:rsid w:val="003D6B73"/>
    <w:rsid w:val="003D6BCD"/>
    <w:rsid w:val="003D6BF7"/>
    <w:rsid w:val="003D7285"/>
    <w:rsid w:val="003D72D2"/>
    <w:rsid w:val="003D731E"/>
    <w:rsid w:val="003D777E"/>
    <w:rsid w:val="003D7955"/>
    <w:rsid w:val="003D79E2"/>
    <w:rsid w:val="003D7D67"/>
    <w:rsid w:val="003E0AFD"/>
    <w:rsid w:val="003E10FF"/>
    <w:rsid w:val="003E13B9"/>
    <w:rsid w:val="003E1711"/>
    <w:rsid w:val="003E186D"/>
    <w:rsid w:val="003E1A12"/>
    <w:rsid w:val="003E1D42"/>
    <w:rsid w:val="003E1E79"/>
    <w:rsid w:val="003E2350"/>
    <w:rsid w:val="003E28CB"/>
    <w:rsid w:val="003E2A50"/>
    <w:rsid w:val="003E3048"/>
    <w:rsid w:val="003E3951"/>
    <w:rsid w:val="003E3992"/>
    <w:rsid w:val="003E3D97"/>
    <w:rsid w:val="003E3FDF"/>
    <w:rsid w:val="003E4150"/>
    <w:rsid w:val="003E4609"/>
    <w:rsid w:val="003E485A"/>
    <w:rsid w:val="003E4A27"/>
    <w:rsid w:val="003E4BAA"/>
    <w:rsid w:val="003E4BCC"/>
    <w:rsid w:val="003E4F9C"/>
    <w:rsid w:val="003E5289"/>
    <w:rsid w:val="003E55B6"/>
    <w:rsid w:val="003E5C14"/>
    <w:rsid w:val="003E5F94"/>
    <w:rsid w:val="003E60D2"/>
    <w:rsid w:val="003E65C3"/>
    <w:rsid w:val="003E6A12"/>
    <w:rsid w:val="003E6A48"/>
    <w:rsid w:val="003E6B3A"/>
    <w:rsid w:val="003E6E8E"/>
    <w:rsid w:val="003E6F29"/>
    <w:rsid w:val="003E7230"/>
    <w:rsid w:val="003E72D0"/>
    <w:rsid w:val="003E7421"/>
    <w:rsid w:val="003E75D6"/>
    <w:rsid w:val="003E781C"/>
    <w:rsid w:val="003E7B31"/>
    <w:rsid w:val="003E7D29"/>
    <w:rsid w:val="003E7D55"/>
    <w:rsid w:val="003F0068"/>
    <w:rsid w:val="003F02EF"/>
    <w:rsid w:val="003F03A9"/>
    <w:rsid w:val="003F0D19"/>
    <w:rsid w:val="003F120A"/>
    <w:rsid w:val="003F1609"/>
    <w:rsid w:val="003F16E3"/>
    <w:rsid w:val="003F1DC3"/>
    <w:rsid w:val="003F1F56"/>
    <w:rsid w:val="003F1F99"/>
    <w:rsid w:val="003F254C"/>
    <w:rsid w:val="003F2B81"/>
    <w:rsid w:val="003F2BA4"/>
    <w:rsid w:val="003F2C0B"/>
    <w:rsid w:val="003F2C5C"/>
    <w:rsid w:val="003F2E29"/>
    <w:rsid w:val="003F2EBB"/>
    <w:rsid w:val="003F2EBF"/>
    <w:rsid w:val="003F2F08"/>
    <w:rsid w:val="003F30B4"/>
    <w:rsid w:val="003F33DF"/>
    <w:rsid w:val="003F348D"/>
    <w:rsid w:val="003F386C"/>
    <w:rsid w:val="003F472C"/>
    <w:rsid w:val="003F485D"/>
    <w:rsid w:val="003F4922"/>
    <w:rsid w:val="003F4961"/>
    <w:rsid w:val="003F4A36"/>
    <w:rsid w:val="003F4AF8"/>
    <w:rsid w:val="003F4CDB"/>
    <w:rsid w:val="003F4E79"/>
    <w:rsid w:val="003F52B8"/>
    <w:rsid w:val="003F59AF"/>
    <w:rsid w:val="003F5A78"/>
    <w:rsid w:val="003F5C2E"/>
    <w:rsid w:val="003F5CF1"/>
    <w:rsid w:val="003F5EAE"/>
    <w:rsid w:val="003F5EEF"/>
    <w:rsid w:val="003F617C"/>
    <w:rsid w:val="003F64A2"/>
    <w:rsid w:val="003F6744"/>
    <w:rsid w:val="003F680A"/>
    <w:rsid w:val="003F6A02"/>
    <w:rsid w:val="003F6FC2"/>
    <w:rsid w:val="003F71F7"/>
    <w:rsid w:val="003F79CA"/>
    <w:rsid w:val="003F7CA1"/>
    <w:rsid w:val="003F7E18"/>
    <w:rsid w:val="003F7FD2"/>
    <w:rsid w:val="004005E0"/>
    <w:rsid w:val="0040071D"/>
    <w:rsid w:val="00400740"/>
    <w:rsid w:val="0040074E"/>
    <w:rsid w:val="004007DC"/>
    <w:rsid w:val="00400824"/>
    <w:rsid w:val="004008BE"/>
    <w:rsid w:val="004009BF"/>
    <w:rsid w:val="004009C1"/>
    <w:rsid w:val="00401261"/>
    <w:rsid w:val="00401338"/>
    <w:rsid w:val="00401525"/>
    <w:rsid w:val="00401E3A"/>
    <w:rsid w:val="0040209D"/>
    <w:rsid w:val="00402438"/>
    <w:rsid w:val="00402476"/>
    <w:rsid w:val="00402490"/>
    <w:rsid w:val="004026EB"/>
    <w:rsid w:val="00402E06"/>
    <w:rsid w:val="00402E68"/>
    <w:rsid w:val="004032E5"/>
    <w:rsid w:val="00403892"/>
    <w:rsid w:val="00403918"/>
    <w:rsid w:val="00403926"/>
    <w:rsid w:val="00403A97"/>
    <w:rsid w:val="00403CC6"/>
    <w:rsid w:val="00403E5C"/>
    <w:rsid w:val="00403FAD"/>
    <w:rsid w:val="004042B6"/>
    <w:rsid w:val="004043A4"/>
    <w:rsid w:val="0040478B"/>
    <w:rsid w:val="00404AFF"/>
    <w:rsid w:val="00404DF2"/>
    <w:rsid w:val="00404FA0"/>
    <w:rsid w:val="004051CA"/>
    <w:rsid w:val="004057B7"/>
    <w:rsid w:val="004058FE"/>
    <w:rsid w:val="00405974"/>
    <w:rsid w:val="00406103"/>
    <w:rsid w:val="00406120"/>
    <w:rsid w:val="004063A4"/>
    <w:rsid w:val="004067B1"/>
    <w:rsid w:val="00406C40"/>
    <w:rsid w:val="00406DA0"/>
    <w:rsid w:val="00406F90"/>
    <w:rsid w:val="004070C8"/>
    <w:rsid w:val="00407930"/>
    <w:rsid w:val="004079E3"/>
    <w:rsid w:val="00407A14"/>
    <w:rsid w:val="00407CDF"/>
    <w:rsid w:val="00407CE2"/>
    <w:rsid w:val="00407E49"/>
    <w:rsid w:val="00410035"/>
    <w:rsid w:val="004100A6"/>
    <w:rsid w:val="00410303"/>
    <w:rsid w:val="00410538"/>
    <w:rsid w:val="00410563"/>
    <w:rsid w:val="0041076D"/>
    <w:rsid w:val="00410EAF"/>
    <w:rsid w:val="004116A1"/>
    <w:rsid w:val="00411866"/>
    <w:rsid w:val="00411B37"/>
    <w:rsid w:val="00411E80"/>
    <w:rsid w:val="0041227E"/>
    <w:rsid w:val="004124B1"/>
    <w:rsid w:val="00412745"/>
    <w:rsid w:val="0041287F"/>
    <w:rsid w:val="00413047"/>
    <w:rsid w:val="0041316E"/>
    <w:rsid w:val="00413663"/>
    <w:rsid w:val="00413697"/>
    <w:rsid w:val="00413871"/>
    <w:rsid w:val="00413BDA"/>
    <w:rsid w:val="00413DFD"/>
    <w:rsid w:val="0041427B"/>
    <w:rsid w:val="0041458F"/>
    <w:rsid w:val="004145EF"/>
    <w:rsid w:val="00414B07"/>
    <w:rsid w:val="00414C16"/>
    <w:rsid w:val="004151DA"/>
    <w:rsid w:val="004153B4"/>
    <w:rsid w:val="0041553B"/>
    <w:rsid w:val="0041567C"/>
    <w:rsid w:val="004157A3"/>
    <w:rsid w:val="00415C1C"/>
    <w:rsid w:val="0041602E"/>
    <w:rsid w:val="004165A9"/>
    <w:rsid w:val="004166EA"/>
    <w:rsid w:val="00416CA0"/>
    <w:rsid w:val="00416F41"/>
    <w:rsid w:val="00416F52"/>
    <w:rsid w:val="00417195"/>
    <w:rsid w:val="004171AD"/>
    <w:rsid w:val="004171FF"/>
    <w:rsid w:val="004172CF"/>
    <w:rsid w:val="004174AC"/>
    <w:rsid w:val="004174FA"/>
    <w:rsid w:val="00417A85"/>
    <w:rsid w:val="00417CF4"/>
    <w:rsid w:val="0042031D"/>
    <w:rsid w:val="00420558"/>
    <w:rsid w:val="00420B49"/>
    <w:rsid w:val="00420B9F"/>
    <w:rsid w:val="00420BE7"/>
    <w:rsid w:val="004210FD"/>
    <w:rsid w:val="00421325"/>
    <w:rsid w:val="004216BA"/>
    <w:rsid w:val="00421740"/>
    <w:rsid w:val="00421868"/>
    <w:rsid w:val="00421FEB"/>
    <w:rsid w:val="00422764"/>
    <w:rsid w:val="00422B32"/>
    <w:rsid w:val="00423380"/>
    <w:rsid w:val="00423567"/>
    <w:rsid w:val="0042366A"/>
    <w:rsid w:val="004237D3"/>
    <w:rsid w:val="004238EB"/>
    <w:rsid w:val="00423D4D"/>
    <w:rsid w:val="00423F9E"/>
    <w:rsid w:val="00424375"/>
    <w:rsid w:val="0042463E"/>
    <w:rsid w:val="0042487B"/>
    <w:rsid w:val="00424EAA"/>
    <w:rsid w:val="00424F85"/>
    <w:rsid w:val="0042597B"/>
    <w:rsid w:val="004261ED"/>
    <w:rsid w:val="00426439"/>
    <w:rsid w:val="0042644B"/>
    <w:rsid w:val="00426B4E"/>
    <w:rsid w:val="00426B8C"/>
    <w:rsid w:val="00426CEA"/>
    <w:rsid w:val="00427036"/>
    <w:rsid w:val="00427380"/>
    <w:rsid w:val="00427AA7"/>
    <w:rsid w:val="00430425"/>
    <w:rsid w:val="004304A8"/>
    <w:rsid w:val="004306FC"/>
    <w:rsid w:val="004308BF"/>
    <w:rsid w:val="004309C8"/>
    <w:rsid w:val="00430A32"/>
    <w:rsid w:val="00430BD4"/>
    <w:rsid w:val="00430E16"/>
    <w:rsid w:val="00431427"/>
    <w:rsid w:val="0043198E"/>
    <w:rsid w:val="004322EA"/>
    <w:rsid w:val="0043265F"/>
    <w:rsid w:val="00432AFF"/>
    <w:rsid w:val="00432C76"/>
    <w:rsid w:val="00432D5D"/>
    <w:rsid w:val="00432E77"/>
    <w:rsid w:val="00432EB3"/>
    <w:rsid w:val="00432F8F"/>
    <w:rsid w:val="0043332B"/>
    <w:rsid w:val="004333B0"/>
    <w:rsid w:val="00433921"/>
    <w:rsid w:val="00433BD3"/>
    <w:rsid w:val="00433D89"/>
    <w:rsid w:val="00433DDB"/>
    <w:rsid w:val="00433DF7"/>
    <w:rsid w:val="004342C5"/>
    <w:rsid w:val="004343D6"/>
    <w:rsid w:val="0043490F"/>
    <w:rsid w:val="00434AA6"/>
    <w:rsid w:val="00434AD2"/>
    <w:rsid w:val="00434B99"/>
    <w:rsid w:val="00434BA4"/>
    <w:rsid w:val="00434E90"/>
    <w:rsid w:val="0043504B"/>
    <w:rsid w:val="00435E15"/>
    <w:rsid w:val="004368C6"/>
    <w:rsid w:val="00436B7A"/>
    <w:rsid w:val="00436ED2"/>
    <w:rsid w:val="00436ED7"/>
    <w:rsid w:val="00437066"/>
    <w:rsid w:val="00437208"/>
    <w:rsid w:val="0043751F"/>
    <w:rsid w:val="0043757D"/>
    <w:rsid w:val="00437C0A"/>
    <w:rsid w:val="00437DEF"/>
    <w:rsid w:val="00437FD2"/>
    <w:rsid w:val="00440051"/>
    <w:rsid w:val="004400BF"/>
    <w:rsid w:val="004401B2"/>
    <w:rsid w:val="004404FB"/>
    <w:rsid w:val="0044085B"/>
    <w:rsid w:val="00440C67"/>
    <w:rsid w:val="00440DD9"/>
    <w:rsid w:val="004411D7"/>
    <w:rsid w:val="00441260"/>
    <w:rsid w:val="00441733"/>
    <w:rsid w:val="00441A04"/>
    <w:rsid w:val="00441B01"/>
    <w:rsid w:val="00441B7F"/>
    <w:rsid w:val="004423A4"/>
    <w:rsid w:val="004423BD"/>
    <w:rsid w:val="00442451"/>
    <w:rsid w:val="0044254A"/>
    <w:rsid w:val="0044270F"/>
    <w:rsid w:val="004427D4"/>
    <w:rsid w:val="0044281D"/>
    <w:rsid w:val="00442928"/>
    <w:rsid w:val="00442C55"/>
    <w:rsid w:val="00442E3B"/>
    <w:rsid w:val="00443516"/>
    <w:rsid w:val="00443719"/>
    <w:rsid w:val="00443FCF"/>
    <w:rsid w:val="00444169"/>
    <w:rsid w:val="0044451C"/>
    <w:rsid w:val="00444AC8"/>
    <w:rsid w:val="004453E9"/>
    <w:rsid w:val="004453F9"/>
    <w:rsid w:val="004458DC"/>
    <w:rsid w:val="00445A66"/>
    <w:rsid w:val="00445AB6"/>
    <w:rsid w:val="00445D97"/>
    <w:rsid w:val="00445F97"/>
    <w:rsid w:val="0044646D"/>
    <w:rsid w:val="00446783"/>
    <w:rsid w:val="00446886"/>
    <w:rsid w:val="00446ABB"/>
    <w:rsid w:val="004472EF"/>
    <w:rsid w:val="0044754A"/>
    <w:rsid w:val="004476EE"/>
    <w:rsid w:val="00450198"/>
    <w:rsid w:val="004502FF"/>
    <w:rsid w:val="00450421"/>
    <w:rsid w:val="00450E32"/>
    <w:rsid w:val="00450F56"/>
    <w:rsid w:val="004510AD"/>
    <w:rsid w:val="004511FC"/>
    <w:rsid w:val="004514C8"/>
    <w:rsid w:val="004515B6"/>
    <w:rsid w:val="004516EA"/>
    <w:rsid w:val="00451B14"/>
    <w:rsid w:val="00451EC5"/>
    <w:rsid w:val="00452077"/>
    <w:rsid w:val="004521C1"/>
    <w:rsid w:val="004522F2"/>
    <w:rsid w:val="004529CF"/>
    <w:rsid w:val="004529FF"/>
    <w:rsid w:val="004533AB"/>
    <w:rsid w:val="004533B7"/>
    <w:rsid w:val="00453528"/>
    <w:rsid w:val="00453736"/>
    <w:rsid w:val="00453B02"/>
    <w:rsid w:val="00453BB3"/>
    <w:rsid w:val="00453C76"/>
    <w:rsid w:val="00453EFD"/>
    <w:rsid w:val="004540DF"/>
    <w:rsid w:val="00454325"/>
    <w:rsid w:val="004547AF"/>
    <w:rsid w:val="0045491B"/>
    <w:rsid w:val="004549B5"/>
    <w:rsid w:val="00454AC9"/>
    <w:rsid w:val="00454C26"/>
    <w:rsid w:val="00454D6A"/>
    <w:rsid w:val="00454F06"/>
    <w:rsid w:val="00455509"/>
    <w:rsid w:val="00455A91"/>
    <w:rsid w:val="00455F3B"/>
    <w:rsid w:val="004567DF"/>
    <w:rsid w:val="004568B2"/>
    <w:rsid w:val="00456AB2"/>
    <w:rsid w:val="00456E18"/>
    <w:rsid w:val="00456E79"/>
    <w:rsid w:val="00457066"/>
    <w:rsid w:val="00457362"/>
    <w:rsid w:val="00457390"/>
    <w:rsid w:val="004578BC"/>
    <w:rsid w:val="004578D1"/>
    <w:rsid w:val="00457D16"/>
    <w:rsid w:val="00457DD6"/>
    <w:rsid w:val="00457E46"/>
    <w:rsid w:val="0046022E"/>
    <w:rsid w:val="00460410"/>
    <w:rsid w:val="00460494"/>
    <w:rsid w:val="004610B9"/>
    <w:rsid w:val="00461197"/>
    <w:rsid w:val="00461D76"/>
    <w:rsid w:val="00461E54"/>
    <w:rsid w:val="00461EF1"/>
    <w:rsid w:val="004622A1"/>
    <w:rsid w:val="00462308"/>
    <w:rsid w:val="004623BD"/>
    <w:rsid w:val="00462527"/>
    <w:rsid w:val="00462AD9"/>
    <w:rsid w:val="00462E83"/>
    <w:rsid w:val="00463093"/>
    <w:rsid w:val="00463C06"/>
    <w:rsid w:val="00463CEB"/>
    <w:rsid w:val="00463D2F"/>
    <w:rsid w:val="00463E39"/>
    <w:rsid w:val="00463ECF"/>
    <w:rsid w:val="00463EEB"/>
    <w:rsid w:val="004642DE"/>
    <w:rsid w:val="00464BF7"/>
    <w:rsid w:val="00464E04"/>
    <w:rsid w:val="00464F63"/>
    <w:rsid w:val="00465191"/>
    <w:rsid w:val="0046544B"/>
    <w:rsid w:val="00465550"/>
    <w:rsid w:val="00465A79"/>
    <w:rsid w:val="00465CC9"/>
    <w:rsid w:val="00466130"/>
    <w:rsid w:val="00466326"/>
    <w:rsid w:val="004668C3"/>
    <w:rsid w:val="00466FAD"/>
    <w:rsid w:val="0046707C"/>
    <w:rsid w:val="00467251"/>
    <w:rsid w:val="0046745B"/>
    <w:rsid w:val="00467648"/>
    <w:rsid w:val="00467740"/>
    <w:rsid w:val="00467789"/>
    <w:rsid w:val="004677E4"/>
    <w:rsid w:val="0046792E"/>
    <w:rsid w:val="00467A35"/>
    <w:rsid w:val="00467D39"/>
    <w:rsid w:val="004701B1"/>
    <w:rsid w:val="00470294"/>
    <w:rsid w:val="00470579"/>
    <w:rsid w:val="00470595"/>
    <w:rsid w:val="00470AB9"/>
    <w:rsid w:val="00470BC5"/>
    <w:rsid w:val="00470D4B"/>
    <w:rsid w:val="00470D5B"/>
    <w:rsid w:val="00470FB7"/>
    <w:rsid w:val="00470FEA"/>
    <w:rsid w:val="004719EC"/>
    <w:rsid w:val="00471E56"/>
    <w:rsid w:val="0047202C"/>
    <w:rsid w:val="00472409"/>
    <w:rsid w:val="0047250B"/>
    <w:rsid w:val="004726FF"/>
    <w:rsid w:val="00472DD0"/>
    <w:rsid w:val="00472F22"/>
    <w:rsid w:val="004731E8"/>
    <w:rsid w:val="004732B3"/>
    <w:rsid w:val="00473381"/>
    <w:rsid w:val="00473C85"/>
    <w:rsid w:val="00473E56"/>
    <w:rsid w:val="00474355"/>
    <w:rsid w:val="004743AC"/>
    <w:rsid w:val="0047458B"/>
    <w:rsid w:val="004746A9"/>
    <w:rsid w:val="00474BF9"/>
    <w:rsid w:val="00474C1C"/>
    <w:rsid w:val="00474D7B"/>
    <w:rsid w:val="00475376"/>
    <w:rsid w:val="0047544C"/>
    <w:rsid w:val="00475690"/>
    <w:rsid w:val="00475713"/>
    <w:rsid w:val="004758C3"/>
    <w:rsid w:val="00475D0F"/>
    <w:rsid w:val="0047641B"/>
    <w:rsid w:val="004765DE"/>
    <w:rsid w:val="00476904"/>
    <w:rsid w:val="00476F11"/>
    <w:rsid w:val="00477116"/>
    <w:rsid w:val="0047723D"/>
    <w:rsid w:val="00477A4F"/>
    <w:rsid w:val="00480478"/>
    <w:rsid w:val="004807EE"/>
    <w:rsid w:val="00480808"/>
    <w:rsid w:val="00480894"/>
    <w:rsid w:val="004809CD"/>
    <w:rsid w:val="00480B52"/>
    <w:rsid w:val="00480CA1"/>
    <w:rsid w:val="00480E3E"/>
    <w:rsid w:val="00481064"/>
    <w:rsid w:val="00481749"/>
    <w:rsid w:val="00482221"/>
    <w:rsid w:val="0048225D"/>
    <w:rsid w:val="00482328"/>
    <w:rsid w:val="0048249D"/>
    <w:rsid w:val="00482BE1"/>
    <w:rsid w:val="00482E08"/>
    <w:rsid w:val="00482EC7"/>
    <w:rsid w:val="00482F2D"/>
    <w:rsid w:val="00483229"/>
    <w:rsid w:val="00483505"/>
    <w:rsid w:val="00483563"/>
    <w:rsid w:val="004835F5"/>
    <w:rsid w:val="0048374A"/>
    <w:rsid w:val="0048396C"/>
    <w:rsid w:val="004839A3"/>
    <w:rsid w:val="00483A22"/>
    <w:rsid w:val="00483C9A"/>
    <w:rsid w:val="00483F06"/>
    <w:rsid w:val="00483F66"/>
    <w:rsid w:val="00483F6D"/>
    <w:rsid w:val="004840A7"/>
    <w:rsid w:val="004842DC"/>
    <w:rsid w:val="004844A8"/>
    <w:rsid w:val="004845CD"/>
    <w:rsid w:val="004846DF"/>
    <w:rsid w:val="004848D1"/>
    <w:rsid w:val="00484A1A"/>
    <w:rsid w:val="00484A53"/>
    <w:rsid w:val="00484B3F"/>
    <w:rsid w:val="00484E02"/>
    <w:rsid w:val="00484F09"/>
    <w:rsid w:val="004854B7"/>
    <w:rsid w:val="0048587E"/>
    <w:rsid w:val="004859E4"/>
    <w:rsid w:val="00485A62"/>
    <w:rsid w:val="00485BB8"/>
    <w:rsid w:val="00486A8B"/>
    <w:rsid w:val="00486B2F"/>
    <w:rsid w:val="00486CD8"/>
    <w:rsid w:val="00486E56"/>
    <w:rsid w:val="004872E9"/>
    <w:rsid w:val="00487429"/>
    <w:rsid w:val="004875E3"/>
    <w:rsid w:val="004877FF"/>
    <w:rsid w:val="004906A0"/>
    <w:rsid w:val="0049103E"/>
    <w:rsid w:val="00491126"/>
    <w:rsid w:val="00491165"/>
    <w:rsid w:val="00491897"/>
    <w:rsid w:val="0049198C"/>
    <w:rsid w:val="004919D8"/>
    <w:rsid w:val="00491CE5"/>
    <w:rsid w:val="00491E19"/>
    <w:rsid w:val="00492262"/>
    <w:rsid w:val="00492270"/>
    <w:rsid w:val="004925B0"/>
    <w:rsid w:val="00492630"/>
    <w:rsid w:val="004929FB"/>
    <w:rsid w:val="00492D7D"/>
    <w:rsid w:val="00492E85"/>
    <w:rsid w:val="00492FB1"/>
    <w:rsid w:val="004933F4"/>
    <w:rsid w:val="004933FE"/>
    <w:rsid w:val="004937B1"/>
    <w:rsid w:val="00493D53"/>
    <w:rsid w:val="00493F3D"/>
    <w:rsid w:val="00493F80"/>
    <w:rsid w:val="00493FBF"/>
    <w:rsid w:val="00493FF5"/>
    <w:rsid w:val="0049491E"/>
    <w:rsid w:val="004949B2"/>
    <w:rsid w:val="00494B00"/>
    <w:rsid w:val="00494C5C"/>
    <w:rsid w:val="00494D24"/>
    <w:rsid w:val="00494E4B"/>
    <w:rsid w:val="00494E83"/>
    <w:rsid w:val="00495179"/>
    <w:rsid w:val="00495475"/>
    <w:rsid w:val="004954CC"/>
    <w:rsid w:val="00495593"/>
    <w:rsid w:val="00495605"/>
    <w:rsid w:val="004956C7"/>
    <w:rsid w:val="00495CD0"/>
    <w:rsid w:val="0049615C"/>
    <w:rsid w:val="004965B7"/>
    <w:rsid w:val="00496B72"/>
    <w:rsid w:val="00496C35"/>
    <w:rsid w:val="00496C76"/>
    <w:rsid w:val="00496C8C"/>
    <w:rsid w:val="00496D31"/>
    <w:rsid w:val="00497312"/>
    <w:rsid w:val="004973CF"/>
    <w:rsid w:val="004973F8"/>
    <w:rsid w:val="00497713"/>
    <w:rsid w:val="00497D67"/>
    <w:rsid w:val="00497D89"/>
    <w:rsid w:val="004A00C1"/>
    <w:rsid w:val="004A03D8"/>
    <w:rsid w:val="004A0B5F"/>
    <w:rsid w:val="004A0D6E"/>
    <w:rsid w:val="004A0EBF"/>
    <w:rsid w:val="004A0EDD"/>
    <w:rsid w:val="004A1213"/>
    <w:rsid w:val="004A1275"/>
    <w:rsid w:val="004A14F0"/>
    <w:rsid w:val="004A1700"/>
    <w:rsid w:val="004A1852"/>
    <w:rsid w:val="004A1A3D"/>
    <w:rsid w:val="004A1EBD"/>
    <w:rsid w:val="004A203E"/>
    <w:rsid w:val="004A2428"/>
    <w:rsid w:val="004A2441"/>
    <w:rsid w:val="004A2C4D"/>
    <w:rsid w:val="004A2D18"/>
    <w:rsid w:val="004A2D94"/>
    <w:rsid w:val="004A2F06"/>
    <w:rsid w:val="004A2F90"/>
    <w:rsid w:val="004A30C6"/>
    <w:rsid w:val="004A3680"/>
    <w:rsid w:val="004A388E"/>
    <w:rsid w:val="004A3A8F"/>
    <w:rsid w:val="004A3BF1"/>
    <w:rsid w:val="004A3F2A"/>
    <w:rsid w:val="004A403A"/>
    <w:rsid w:val="004A4413"/>
    <w:rsid w:val="004A441E"/>
    <w:rsid w:val="004A47FA"/>
    <w:rsid w:val="004A4C7D"/>
    <w:rsid w:val="004A565F"/>
    <w:rsid w:val="004A5782"/>
    <w:rsid w:val="004A578D"/>
    <w:rsid w:val="004A57BF"/>
    <w:rsid w:val="004A5BEB"/>
    <w:rsid w:val="004A5E6E"/>
    <w:rsid w:val="004A5EE7"/>
    <w:rsid w:val="004A60B6"/>
    <w:rsid w:val="004A6120"/>
    <w:rsid w:val="004A612B"/>
    <w:rsid w:val="004A6132"/>
    <w:rsid w:val="004A6774"/>
    <w:rsid w:val="004A68BD"/>
    <w:rsid w:val="004A6C9F"/>
    <w:rsid w:val="004A7156"/>
    <w:rsid w:val="004A72F1"/>
    <w:rsid w:val="004A78DB"/>
    <w:rsid w:val="004A79A0"/>
    <w:rsid w:val="004A7AF0"/>
    <w:rsid w:val="004A7BFE"/>
    <w:rsid w:val="004A7F4A"/>
    <w:rsid w:val="004B01CF"/>
    <w:rsid w:val="004B033D"/>
    <w:rsid w:val="004B039C"/>
    <w:rsid w:val="004B05E6"/>
    <w:rsid w:val="004B0C45"/>
    <w:rsid w:val="004B0E4F"/>
    <w:rsid w:val="004B0FA9"/>
    <w:rsid w:val="004B1101"/>
    <w:rsid w:val="004B2242"/>
    <w:rsid w:val="004B304B"/>
    <w:rsid w:val="004B347C"/>
    <w:rsid w:val="004B3564"/>
    <w:rsid w:val="004B369E"/>
    <w:rsid w:val="004B3AFF"/>
    <w:rsid w:val="004B3EE2"/>
    <w:rsid w:val="004B3EE3"/>
    <w:rsid w:val="004B4266"/>
    <w:rsid w:val="004B473C"/>
    <w:rsid w:val="004B4915"/>
    <w:rsid w:val="004B4AA8"/>
    <w:rsid w:val="004B501E"/>
    <w:rsid w:val="004B504F"/>
    <w:rsid w:val="004B52CA"/>
    <w:rsid w:val="004B52FD"/>
    <w:rsid w:val="004B5687"/>
    <w:rsid w:val="004B5BCA"/>
    <w:rsid w:val="004B5D3A"/>
    <w:rsid w:val="004B5D7A"/>
    <w:rsid w:val="004B5F91"/>
    <w:rsid w:val="004B6095"/>
    <w:rsid w:val="004B624E"/>
    <w:rsid w:val="004B6312"/>
    <w:rsid w:val="004B6342"/>
    <w:rsid w:val="004B6506"/>
    <w:rsid w:val="004B6A9F"/>
    <w:rsid w:val="004B7202"/>
    <w:rsid w:val="004B7614"/>
    <w:rsid w:val="004B7759"/>
    <w:rsid w:val="004B781A"/>
    <w:rsid w:val="004B7CA8"/>
    <w:rsid w:val="004C0368"/>
    <w:rsid w:val="004C04F2"/>
    <w:rsid w:val="004C06CC"/>
    <w:rsid w:val="004C077C"/>
    <w:rsid w:val="004C08A7"/>
    <w:rsid w:val="004C0B2D"/>
    <w:rsid w:val="004C0B97"/>
    <w:rsid w:val="004C1144"/>
    <w:rsid w:val="004C1259"/>
    <w:rsid w:val="004C13F3"/>
    <w:rsid w:val="004C144E"/>
    <w:rsid w:val="004C158B"/>
    <w:rsid w:val="004C17A8"/>
    <w:rsid w:val="004C18BB"/>
    <w:rsid w:val="004C196E"/>
    <w:rsid w:val="004C19F1"/>
    <w:rsid w:val="004C1EF4"/>
    <w:rsid w:val="004C22D1"/>
    <w:rsid w:val="004C2439"/>
    <w:rsid w:val="004C283F"/>
    <w:rsid w:val="004C2ACC"/>
    <w:rsid w:val="004C2B54"/>
    <w:rsid w:val="004C2C71"/>
    <w:rsid w:val="004C2F77"/>
    <w:rsid w:val="004C31A4"/>
    <w:rsid w:val="004C3569"/>
    <w:rsid w:val="004C371E"/>
    <w:rsid w:val="004C3888"/>
    <w:rsid w:val="004C3D78"/>
    <w:rsid w:val="004C4932"/>
    <w:rsid w:val="004C4D0A"/>
    <w:rsid w:val="004C4E5A"/>
    <w:rsid w:val="004C4EE0"/>
    <w:rsid w:val="004C514E"/>
    <w:rsid w:val="004C5493"/>
    <w:rsid w:val="004C55D1"/>
    <w:rsid w:val="004C59AA"/>
    <w:rsid w:val="004C5CA6"/>
    <w:rsid w:val="004C60CA"/>
    <w:rsid w:val="004C670C"/>
    <w:rsid w:val="004C678A"/>
    <w:rsid w:val="004C6BEF"/>
    <w:rsid w:val="004C75A6"/>
    <w:rsid w:val="004C77A6"/>
    <w:rsid w:val="004C7D0C"/>
    <w:rsid w:val="004C7F35"/>
    <w:rsid w:val="004D0503"/>
    <w:rsid w:val="004D06D8"/>
    <w:rsid w:val="004D0E87"/>
    <w:rsid w:val="004D18DB"/>
    <w:rsid w:val="004D1AAC"/>
    <w:rsid w:val="004D1E70"/>
    <w:rsid w:val="004D201F"/>
    <w:rsid w:val="004D2047"/>
    <w:rsid w:val="004D2470"/>
    <w:rsid w:val="004D25A2"/>
    <w:rsid w:val="004D2723"/>
    <w:rsid w:val="004D2D7B"/>
    <w:rsid w:val="004D2DCB"/>
    <w:rsid w:val="004D30B2"/>
    <w:rsid w:val="004D31CC"/>
    <w:rsid w:val="004D3452"/>
    <w:rsid w:val="004D359E"/>
    <w:rsid w:val="004D3661"/>
    <w:rsid w:val="004D36D3"/>
    <w:rsid w:val="004D377F"/>
    <w:rsid w:val="004D3E35"/>
    <w:rsid w:val="004D468A"/>
    <w:rsid w:val="004D4BF6"/>
    <w:rsid w:val="004D4DE3"/>
    <w:rsid w:val="004D5195"/>
    <w:rsid w:val="004D5299"/>
    <w:rsid w:val="004D54BE"/>
    <w:rsid w:val="004D5EC4"/>
    <w:rsid w:val="004D5EE5"/>
    <w:rsid w:val="004D60AC"/>
    <w:rsid w:val="004D6294"/>
    <w:rsid w:val="004D6414"/>
    <w:rsid w:val="004D7208"/>
    <w:rsid w:val="004D7239"/>
    <w:rsid w:val="004D737C"/>
    <w:rsid w:val="004D73B2"/>
    <w:rsid w:val="004D74A9"/>
    <w:rsid w:val="004D76B1"/>
    <w:rsid w:val="004D7752"/>
    <w:rsid w:val="004D787B"/>
    <w:rsid w:val="004E13DA"/>
    <w:rsid w:val="004E13EB"/>
    <w:rsid w:val="004E2268"/>
    <w:rsid w:val="004E2345"/>
    <w:rsid w:val="004E2E22"/>
    <w:rsid w:val="004E2F39"/>
    <w:rsid w:val="004E2FF4"/>
    <w:rsid w:val="004E32A9"/>
    <w:rsid w:val="004E3407"/>
    <w:rsid w:val="004E3CA8"/>
    <w:rsid w:val="004E3CF4"/>
    <w:rsid w:val="004E3E91"/>
    <w:rsid w:val="004E41E3"/>
    <w:rsid w:val="004E443F"/>
    <w:rsid w:val="004E4B41"/>
    <w:rsid w:val="004E4CB2"/>
    <w:rsid w:val="004E50D9"/>
    <w:rsid w:val="004E523A"/>
    <w:rsid w:val="004E5D27"/>
    <w:rsid w:val="004E5D63"/>
    <w:rsid w:val="004E5DBD"/>
    <w:rsid w:val="004E5FDA"/>
    <w:rsid w:val="004E62A3"/>
    <w:rsid w:val="004E676C"/>
    <w:rsid w:val="004E6787"/>
    <w:rsid w:val="004E6C7F"/>
    <w:rsid w:val="004E6E54"/>
    <w:rsid w:val="004E6F4C"/>
    <w:rsid w:val="004E6FA2"/>
    <w:rsid w:val="004E7455"/>
    <w:rsid w:val="004E7A65"/>
    <w:rsid w:val="004F0424"/>
    <w:rsid w:val="004F0443"/>
    <w:rsid w:val="004F04CF"/>
    <w:rsid w:val="004F0572"/>
    <w:rsid w:val="004F05D4"/>
    <w:rsid w:val="004F0A6E"/>
    <w:rsid w:val="004F0A87"/>
    <w:rsid w:val="004F0B1A"/>
    <w:rsid w:val="004F122D"/>
    <w:rsid w:val="004F164B"/>
    <w:rsid w:val="004F16AB"/>
    <w:rsid w:val="004F18C8"/>
    <w:rsid w:val="004F1EA1"/>
    <w:rsid w:val="004F2457"/>
    <w:rsid w:val="004F24F2"/>
    <w:rsid w:val="004F2599"/>
    <w:rsid w:val="004F2E05"/>
    <w:rsid w:val="004F2FB9"/>
    <w:rsid w:val="004F30CD"/>
    <w:rsid w:val="004F3170"/>
    <w:rsid w:val="004F331C"/>
    <w:rsid w:val="004F3BBB"/>
    <w:rsid w:val="004F3D98"/>
    <w:rsid w:val="004F3E98"/>
    <w:rsid w:val="004F408A"/>
    <w:rsid w:val="004F436E"/>
    <w:rsid w:val="004F4510"/>
    <w:rsid w:val="004F4582"/>
    <w:rsid w:val="004F4B62"/>
    <w:rsid w:val="004F54F5"/>
    <w:rsid w:val="004F558B"/>
    <w:rsid w:val="004F5614"/>
    <w:rsid w:val="004F563F"/>
    <w:rsid w:val="004F59EB"/>
    <w:rsid w:val="004F5A83"/>
    <w:rsid w:val="004F60C2"/>
    <w:rsid w:val="004F632B"/>
    <w:rsid w:val="004F66D5"/>
    <w:rsid w:val="004F6D75"/>
    <w:rsid w:val="004F74F3"/>
    <w:rsid w:val="004F7571"/>
    <w:rsid w:val="004F76B7"/>
    <w:rsid w:val="004F77F2"/>
    <w:rsid w:val="004F7851"/>
    <w:rsid w:val="004F7907"/>
    <w:rsid w:val="004F7E2D"/>
    <w:rsid w:val="00500072"/>
    <w:rsid w:val="005000EE"/>
    <w:rsid w:val="005003BE"/>
    <w:rsid w:val="00500B86"/>
    <w:rsid w:val="00500CBA"/>
    <w:rsid w:val="0050113A"/>
    <w:rsid w:val="00501176"/>
    <w:rsid w:val="00501398"/>
    <w:rsid w:val="005014CB"/>
    <w:rsid w:val="00501588"/>
    <w:rsid w:val="0050198A"/>
    <w:rsid w:val="00501A15"/>
    <w:rsid w:val="00501A3B"/>
    <w:rsid w:val="00501A60"/>
    <w:rsid w:val="00501C3C"/>
    <w:rsid w:val="00501F12"/>
    <w:rsid w:val="00501F77"/>
    <w:rsid w:val="0050203F"/>
    <w:rsid w:val="00502831"/>
    <w:rsid w:val="0050290C"/>
    <w:rsid w:val="00502A9E"/>
    <w:rsid w:val="00502ABC"/>
    <w:rsid w:val="00502C29"/>
    <w:rsid w:val="00502E32"/>
    <w:rsid w:val="00503456"/>
    <w:rsid w:val="00503581"/>
    <w:rsid w:val="0050360D"/>
    <w:rsid w:val="005038B4"/>
    <w:rsid w:val="00503B52"/>
    <w:rsid w:val="00503BCB"/>
    <w:rsid w:val="00503F4B"/>
    <w:rsid w:val="0050403F"/>
    <w:rsid w:val="0050407F"/>
    <w:rsid w:val="00504939"/>
    <w:rsid w:val="00504D11"/>
    <w:rsid w:val="00504D64"/>
    <w:rsid w:val="00504DCF"/>
    <w:rsid w:val="00504DF4"/>
    <w:rsid w:val="00505087"/>
    <w:rsid w:val="0050553D"/>
    <w:rsid w:val="00505802"/>
    <w:rsid w:val="0050585F"/>
    <w:rsid w:val="00505B4C"/>
    <w:rsid w:val="00505C91"/>
    <w:rsid w:val="00505CB7"/>
    <w:rsid w:val="00505D18"/>
    <w:rsid w:val="00505F42"/>
    <w:rsid w:val="00506110"/>
    <w:rsid w:val="00506331"/>
    <w:rsid w:val="00506335"/>
    <w:rsid w:val="005065A6"/>
    <w:rsid w:val="0050670A"/>
    <w:rsid w:val="005067B9"/>
    <w:rsid w:val="005069D0"/>
    <w:rsid w:val="00506CD1"/>
    <w:rsid w:val="00506D4D"/>
    <w:rsid w:val="00506E61"/>
    <w:rsid w:val="00506EFB"/>
    <w:rsid w:val="00507284"/>
    <w:rsid w:val="005072F5"/>
    <w:rsid w:val="0050777C"/>
    <w:rsid w:val="00507B02"/>
    <w:rsid w:val="00507F17"/>
    <w:rsid w:val="005105EE"/>
    <w:rsid w:val="00510797"/>
    <w:rsid w:val="0051083C"/>
    <w:rsid w:val="00510D3E"/>
    <w:rsid w:val="00510F22"/>
    <w:rsid w:val="00510F65"/>
    <w:rsid w:val="005111FD"/>
    <w:rsid w:val="00511252"/>
    <w:rsid w:val="005114C2"/>
    <w:rsid w:val="005115E7"/>
    <w:rsid w:val="00511806"/>
    <w:rsid w:val="00511B84"/>
    <w:rsid w:val="00511BD2"/>
    <w:rsid w:val="00512216"/>
    <w:rsid w:val="0051260E"/>
    <w:rsid w:val="00512981"/>
    <w:rsid w:val="00512B3B"/>
    <w:rsid w:val="00512EFF"/>
    <w:rsid w:val="00513109"/>
    <w:rsid w:val="0051330C"/>
    <w:rsid w:val="005133AD"/>
    <w:rsid w:val="005134EF"/>
    <w:rsid w:val="00513659"/>
    <w:rsid w:val="00513DAB"/>
    <w:rsid w:val="00514342"/>
    <w:rsid w:val="00514609"/>
    <w:rsid w:val="00514646"/>
    <w:rsid w:val="005147F7"/>
    <w:rsid w:val="00514807"/>
    <w:rsid w:val="00515471"/>
    <w:rsid w:val="005156A2"/>
    <w:rsid w:val="00515C93"/>
    <w:rsid w:val="00515FFD"/>
    <w:rsid w:val="00516038"/>
    <w:rsid w:val="0051625D"/>
    <w:rsid w:val="0051647F"/>
    <w:rsid w:val="005167B2"/>
    <w:rsid w:val="00516838"/>
    <w:rsid w:val="00516DE8"/>
    <w:rsid w:val="005171C4"/>
    <w:rsid w:val="005175FA"/>
    <w:rsid w:val="0051790B"/>
    <w:rsid w:val="00517E4E"/>
    <w:rsid w:val="0052004A"/>
    <w:rsid w:val="00520173"/>
    <w:rsid w:val="00520259"/>
    <w:rsid w:val="0052044B"/>
    <w:rsid w:val="00520463"/>
    <w:rsid w:val="005206A8"/>
    <w:rsid w:val="005207B0"/>
    <w:rsid w:val="00520819"/>
    <w:rsid w:val="00520824"/>
    <w:rsid w:val="00520B97"/>
    <w:rsid w:val="00520D02"/>
    <w:rsid w:val="00520F01"/>
    <w:rsid w:val="00521339"/>
    <w:rsid w:val="0052173E"/>
    <w:rsid w:val="00521797"/>
    <w:rsid w:val="00521828"/>
    <w:rsid w:val="00522205"/>
    <w:rsid w:val="005225E0"/>
    <w:rsid w:val="005228C3"/>
    <w:rsid w:val="005229B9"/>
    <w:rsid w:val="00523636"/>
    <w:rsid w:val="005239A6"/>
    <w:rsid w:val="005239B5"/>
    <w:rsid w:val="0052448D"/>
    <w:rsid w:val="005244C0"/>
    <w:rsid w:val="005250FD"/>
    <w:rsid w:val="00525586"/>
    <w:rsid w:val="00525829"/>
    <w:rsid w:val="005258D7"/>
    <w:rsid w:val="00525BAE"/>
    <w:rsid w:val="00525CA4"/>
    <w:rsid w:val="00525F73"/>
    <w:rsid w:val="0052632E"/>
    <w:rsid w:val="005267F1"/>
    <w:rsid w:val="005268AF"/>
    <w:rsid w:val="00526ACE"/>
    <w:rsid w:val="00526BBD"/>
    <w:rsid w:val="005270EB"/>
    <w:rsid w:val="005275D5"/>
    <w:rsid w:val="00527B2D"/>
    <w:rsid w:val="00527EAE"/>
    <w:rsid w:val="00527F12"/>
    <w:rsid w:val="00527F65"/>
    <w:rsid w:val="0053017C"/>
    <w:rsid w:val="005307FF"/>
    <w:rsid w:val="00530877"/>
    <w:rsid w:val="005308F1"/>
    <w:rsid w:val="00530B65"/>
    <w:rsid w:val="00530D85"/>
    <w:rsid w:val="00530D88"/>
    <w:rsid w:val="005310B6"/>
    <w:rsid w:val="0053138C"/>
    <w:rsid w:val="005315FE"/>
    <w:rsid w:val="00531736"/>
    <w:rsid w:val="005319C9"/>
    <w:rsid w:val="00531A79"/>
    <w:rsid w:val="00531E65"/>
    <w:rsid w:val="0053235E"/>
    <w:rsid w:val="00532367"/>
    <w:rsid w:val="00532596"/>
    <w:rsid w:val="005325A5"/>
    <w:rsid w:val="00532F2A"/>
    <w:rsid w:val="00532FAB"/>
    <w:rsid w:val="005331D5"/>
    <w:rsid w:val="00533473"/>
    <w:rsid w:val="0053377A"/>
    <w:rsid w:val="00533A7E"/>
    <w:rsid w:val="00533CF2"/>
    <w:rsid w:val="00533DE7"/>
    <w:rsid w:val="00533EE4"/>
    <w:rsid w:val="00533FA4"/>
    <w:rsid w:val="0053421F"/>
    <w:rsid w:val="00534302"/>
    <w:rsid w:val="00534BC1"/>
    <w:rsid w:val="00534C6F"/>
    <w:rsid w:val="00534E8F"/>
    <w:rsid w:val="00535074"/>
    <w:rsid w:val="00535271"/>
    <w:rsid w:val="005353B3"/>
    <w:rsid w:val="00535454"/>
    <w:rsid w:val="00535A4F"/>
    <w:rsid w:val="00535A69"/>
    <w:rsid w:val="00535D5A"/>
    <w:rsid w:val="00535F9C"/>
    <w:rsid w:val="005365BD"/>
    <w:rsid w:val="0053680E"/>
    <w:rsid w:val="00536A83"/>
    <w:rsid w:val="00536C1F"/>
    <w:rsid w:val="00536D1F"/>
    <w:rsid w:val="005371BF"/>
    <w:rsid w:val="0053721A"/>
    <w:rsid w:val="005374C6"/>
    <w:rsid w:val="0053763E"/>
    <w:rsid w:val="0053770C"/>
    <w:rsid w:val="00537CAB"/>
    <w:rsid w:val="00537E21"/>
    <w:rsid w:val="00537E8E"/>
    <w:rsid w:val="005405B5"/>
    <w:rsid w:val="005405DC"/>
    <w:rsid w:val="00540634"/>
    <w:rsid w:val="0054072A"/>
    <w:rsid w:val="00540760"/>
    <w:rsid w:val="00540B2A"/>
    <w:rsid w:val="005410E3"/>
    <w:rsid w:val="00541226"/>
    <w:rsid w:val="0054127B"/>
    <w:rsid w:val="005412C1"/>
    <w:rsid w:val="005414DA"/>
    <w:rsid w:val="00541509"/>
    <w:rsid w:val="00541F78"/>
    <w:rsid w:val="00541FC6"/>
    <w:rsid w:val="0054209A"/>
    <w:rsid w:val="005420C4"/>
    <w:rsid w:val="0054242F"/>
    <w:rsid w:val="005425FA"/>
    <w:rsid w:val="00542AC7"/>
    <w:rsid w:val="00542C6F"/>
    <w:rsid w:val="00543586"/>
    <w:rsid w:val="00543726"/>
    <w:rsid w:val="00543794"/>
    <w:rsid w:val="00543BB6"/>
    <w:rsid w:val="00544083"/>
    <w:rsid w:val="005441E8"/>
    <w:rsid w:val="0054463B"/>
    <w:rsid w:val="0054500B"/>
    <w:rsid w:val="00545037"/>
    <w:rsid w:val="005450CE"/>
    <w:rsid w:val="00545309"/>
    <w:rsid w:val="0054590E"/>
    <w:rsid w:val="00545C41"/>
    <w:rsid w:val="00545D81"/>
    <w:rsid w:val="0054615B"/>
    <w:rsid w:val="005463BC"/>
    <w:rsid w:val="005464AD"/>
    <w:rsid w:val="005464C4"/>
    <w:rsid w:val="0054672D"/>
    <w:rsid w:val="00546865"/>
    <w:rsid w:val="00546954"/>
    <w:rsid w:val="0054702A"/>
    <w:rsid w:val="0054707B"/>
    <w:rsid w:val="0054743F"/>
    <w:rsid w:val="005475CC"/>
    <w:rsid w:val="00547929"/>
    <w:rsid w:val="0054797F"/>
    <w:rsid w:val="00547A30"/>
    <w:rsid w:val="00547A88"/>
    <w:rsid w:val="00547F5F"/>
    <w:rsid w:val="0055018A"/>
    <w:rsid w:val="0055035E"/>
    <w:rsid w:val="0055055A"/>
    <w:rsid w:val="0055058A"/>
    <w:rsid w:val="00550931"/>
    <w:rsid w:val="00550EE2"/>
    <w:rsid w:val="00550F46"/>
    <w:rsid w:val="0055113C"/>
    <w:rsid w:val="005511F7"/>
    <w:rsid w:val="00551C53"/>
    <w:rsid w:val="00551D35"/>
    <w:rsid w:val="00551F4D"/>
    <w:rsid w:val="00552AC8"/>
    <w:rsid w:val="005533D6"/>
    <w:rsid w:val="005534E5"/>
    <w:rsid w:val="00553DDA"/>
    <w:rsid w:val="00553FB9"/>
    <w:rsid w:val="00554229"/>
    <w:rsid w:val="005547BB"/>
    <w:rsid w:val="00554E2A"/>
    <w:rsid w:val="00554E49"/>
    <w:rsid w:val="005550DC"/>
    <w:rsid w:val="005556E9"/>
    <w:rsid w:val="00555859"/>
    <w:rsid w:val="00555CAD"/>
    <w:rsid w:val="00555D02"/>
    <w:rsid w:val="0055608D"/>
    <w:rsid w:val="005560D0"/>
    <w:rsid w:val="00556132"/>
    <w:rsid w:val="00556409"/>
    <w:rsid w:val="00556AD9"/>
    <w:rsid w:val="00557171"/>
    <w:rsid w:val="00557174"/>
    <w:rsid w:val="00557179"/>
    <w:rsid w:val="005571F3"/>
    <w:rsid w:val="0055720B"/>
    <w:rsid w:val="005573E3"/>
    <w:rsid w:val="00557529"/>
    <w:rsid w:val="00557535"/>
    <w:rsid w:val="0055772C"/>
    <w:rsid w:val="00557AEA"/>
    <w:rsid w:val="00557B23"/>
    <w:rsid w:val="00557D96"/>
    <w:rsid w:val="00557E78"/>
    <w:rsid w:val="00560053"/>
    <w:rsid w:val="005601B5"/>
    <w:rsid w:val="00560465"/>
    <w:rsid w:val="00560DEB"/>
    <w:rsid w:val="00560F9F"/>
    <w:rsid w:val="00561869"/>
    <w:rsid w:val="00561900"/>
    <w:rsid w:val="0056194C"/>
    <w:rsid w:val="00561C82"/>
    <w:rsid w:val="00561CDD"/>
    <w:rsid w:val="00561D79"/>
    <w:rsid w:val="005621C5"/>
    <w:rsid w:val="00562399"/>
    <w:rsid w:val="00562CFF"/>
    <w:rsid w:val="00562E11"/>
    <w:rsid w:val="00563A74"/>
    <w:rsid w:val="00563C6C"/>
    <w:rsid w:val="00563F48"/>
    <w:rsid w:val="005642B9"/>
    <w:rsid w:val="005643D3"/>
    <w:rsid w:val="005644C9"/>
    <w:rsid w:val="005645F4"/>
    <w:rsid w:val="005646FB"/>
    <w:rsid w:val="00564C73"/>
    <w:rsid w:val="00564E06"/>
    <w:rsid w:val="005654EC"/>
    <w:rsid w:val="005654ED"/>
    <w:rsid w:val="0056585F"/>
    <w:rsid w:val="005659B9"/>
    <w:rsid w:val="005659ED"/>
    <w:rsid w:val="00565B2D"/>
    <w:rsid w:val="00566671"/>
    <w:rsid w:val="005668B0"/>
    <w:rsid w:val="005669AC"/>
    <w:rsid w:val="00566AF4"/>
    <w:rsid w:val="00566C3A"/>
    <w:rsid w:val="00566DCB"/>
    <w:rsid w:val="00566F00"/>
    <w:rsid w:val="0056717E"/>
    <w:rsid w:val="00567617"/>
    <w:rsid w:val="005676FE"/>
    <w:rsid w:val="0056782E"/>
    <w:rsid w:val="00567C57"/>
    <w:rsid w:val="00567FE8"/>
    <w:rsid w:val="005704F8"/>
    <w:rsid w:val="00570646"/>
    <w:rsid w:val="0057067E"/>
    <w:rsid w:val="005706FA"/>
    <w:rsid w:val="00570C76"/>
    <w:rsid w:val="00570E60"/>
    <w:rsid w:val="00571018"/>
    <w:rsid w:val="00571030"/>
    <w:rsid w:val="00571A04"/>
    <w:rsid w:val="00571A22"/>
    <w:rsid w:val="005722DF"/>
    <w:rsid w:val="00572727"/>
    <w:rsid w:val="00573167"/>
    <w:rsid w:val="005735EB"/>
    <w:rsid w:val="005737E2"/>
    <w:rsid w:val="005738C7"/>
    <w:rsid w:val="00573B91"/>
    <w:rsid w:val="00573C55"/>
    <w:rsid w:val="00574114"/>
    <w:rsid w:val="00574672"/>
    <w:rsid w:val="00574AF2"/>
    <w:rsid w:val="00574BD6"/>
    <w:rsid w:val="00575486"/>
    <w:rsid w:val="005754CD"/>
    <w:rsid w:val="00575624"/>
    <w:rsid w:val="005757DF"/>
    <w:rsid w:val="005758DD"/>
    <w:rsid w:val="005759A7"/>
    <w:rsid w:val="00575C1F"/>
    <w:rsid w:val="00575CB3"/>
    <w:rsid w:val="005763DB"/>
    <w:rsid w:val="005765B8"/>
    <w:rsid w:val="005766C9"/>
    <w:rsid w:val="00577024"/>
    <w:rsid w:val="005771D4"/>
    <w:rsid w:val="0057729E"/>
    <w:rsid w:val="005775F5"/>
    <w:rsid w:val="00577A70"/>
    <w:rsid w:val="00577C15"/>
    <w:rsid w:val="005801DC"/>
    <w:rsid w:val="005804D2"/>
    <w:rsid w:val="00580D59"/>
    <w:rsid w:val="00580D80"/>
    <w:rsid w:val="00580F0F"/>
    <w:rsid w:val="00581025"/>
    <w:rsid w:val="0058123E"/>
    <w:rsid w:val="00581747"/>
    <w:rsid w:val="00581BC3"/>
    <w:rsid w:val="00581C45"/>
    <w:rsid w:val="00581E2F"/>
    <w:rsid w:val="00581E98"/>
    <w:rsid w:val="005824EC"/>
    <w:rsid w:val="00582A19"/>
    <w:rsid w:val="00582FDC"/>
    <w:rsid w:val="00583144"/>
    <w:rsid w:val="00583337"/>
    <w:rsid w:val="0058399B"/>
    <w:rsid w:val="005839FB"/>
    <w:rsid w:val="00583D7A"/>
    <w:rsid w:val="00583E36"/>
    <w:rsid w:val="005843D5"/>
    <w:rsid w:val="0058457A"/>
    <w:rsid w:val="005846BB"/>
    <w:rsid w:val="0058485B"/>
    <w:rsid w:val="00584AC4"/>
    <w:rsid w:val="00585009"/>
    <w:rsid w:val="005850C8"/>
    <w:rsid w:val="005852F0"/>
    <w:rsid w:val="0058530D"/>
    <w:rsid w:val="00585755"/>
    <w:rsid w:val="005858EE"/>
    <w:rsid w:val="00586019"/>
    <w:rsid w:val="00586298"/>
    <w:rsid w:val="005863FE"/>
    <w:rsid w:val="00586E5E"/>
    <w:rsid w:val="00586E8E"/>
    <w:rsid w:val="0058757A"/>
    <w:rsid w:val="00587684"/>
    <w:rsid w:val="0058772C"/>
    <w:rsid w:val="00587870"/>
    <w:rsid w:val="00590109"/>
    <w:rsid w:val="00590164"/>
    <w:rsid w:val="00590D71"/>
    <w:rsid w:val="00590E1C"/>
    <w:rsid w:val="00590FDA"/>
    <w:rsid w:val="005911A7"/>
    <w:rsid w:val="00591378"/>
    <w:rsid w:val="0059174C"/>
    <w:rsid w:val="00591963"/>
    <w:rsid w:val="00591A2F"/>
    <w:rsid w:val="00591F0A"/>
    <w:rsid w:val="0059222A"/>
    <w:rsid w:val="005923BC"/>
    <w:rsid w:val="005928F8"/>
    <w:rsid w:val="00592AAF"/>
    <w:rsid w:val="00592FD5"/>
    <w:rsid w:val="00593070"/>
    <w:rsid w:val="00593395"/>
    <w:rsid w:val="005938AF"/>
    <w:rsid w:val="005938DE"/>
    <w:rsid w:val="00593B30"/>
    <w:rsid w:val="00593D6F"/>
    <w:rsid w:val="00593DAC"/>
    <w:rsid w:val="00593EE4"/>
    <w:rsid w:val="00594156"/>
    <w:rsid w:val="00594305"/>
    <w:rsid w:val="005943E7"/>
    <w:rsid w:val="005947C1"/>
    <w:rsid w:val="00594AFF"/>
    <w:rsid w:val="00594FC4"/>
    <w:rsid w:val="0059507F"/>
    <w:rsid w:val="005952ED"/>
    <w:rsid w:val="00595C46"/>
    <w:rsid w:val="00595EA8"/>
    <w:rsid w:val="00595EF9"/>
    <w:rsid w:val="00595F5B"/>
    <w:rsid w:val="0059615B"/>
    <w:rsid w:val="005962B8"/>
    <w:rsid w:val="005964A5"/>
    <w:rsid w:val="00596833"/>
    <w:rsid w:val="00596A12"/>
    <w:rsid w:val="00596F7A"/>
    <w:rsid w:val="00596F87"/>
    <w:rsid w:val="00597001"/>
    <w:rsid w:val="005970E0"/>
    <w:rsid w:val="00597EB9"/>
    <w:rsid w:val="005A0BE9"/>
    <w:rsid w:val="005A0E35"/>
    <w:rsid w:val="005A11BD"/>
    <w:rsid w:val="005A1247"/>
    <w:rsid w:val="005A1310"/>
    <w:rsid w:val="005A15A3"/>
    <w:rsid w:val="005A211B"/>
    <w:rsid w:val="005A231E"/>
    <w:rsid w:val="005A2327"/>
    <w:rsid w:val="005A28F4"/>
    <w:rsid w:val="005A2A9A"/>
    <w:rsid w:val="005A2E40"/>
    <w:rsid w:val="005A30DC"/>
    <w:rsid w:val="005A33DD"/>
    <w:rsid w:val="005A3A09"/>
    <w:rsid w:val="005A3F49"/>
    <w:rsid w:val="005A437C"/>
    <w:rsid w:val="005A46AE"/>
    <w:rsid w:val="005A4AA2"/>
    <w:rsid w:val="005A52E4"/>
    <w:rsid w:val="005A52EE"/>
    <w:rsid w:val="005A54D3"/>
    <w:rsid w:val="005A5A1A"/>
    <w:rsid w:val="005A64BE"/>
    <w:rsid w:val="005A6506"/>
    <w:rsid w:val="005A6529"/>
    <w:rsid w:val="005A69EB"/>
    <w:rsid w:val="005A6AAA"/>
    <w:rsid w:val="005A6DBC"/>
    <w:rsid w:val="005A6F6A"/>
    <w:rsid w:val="005A7303"/>
    <w:rsid w:val="005A7450"/>
    <w:rsid w:val="005A75D1"/>
    <w:rsid w:val="005A7797"/>
    <w:rsid w:val="005A7E0D"/>
    <w:rsid w:val="005A7E3A"/>
    <w:rsid w:val="005A7FAB"/>
    <w:rsid w:val="005B0005"/>
    <w:rsid w:val="005B01EA"/>
    <w:rsid w:val="005B05EC"/>
    <w:rsid w:val="005B0A08"/>
    <w:rsid w:val="005B0A0D"/>
    <w:rsid w:val="005B0AB5"/>
    <w:rsid w:val="005B0DF9"/>
    <w:rsid w:val="005B1100"/>
    <w:rsid w:val="005B1555"/>
    <w:rsid w:val="005B1826"/>
    <w:rsid w:val="005B1A43"/>
    <w:rsid w:val="005B1AB6"/>
    <w:rsid w:val="005B1E28"/>
    <w:rsid w:val="005B1F0B"/>
    <w:rsid w:val="005B23A4"/>
    <w:rsid w:val="005B2A3E"/>
    <w:rsid w:val="005B2B9B"/>
    <w:rsid w:val="005B2E6C"/>
    <w:rsid w:val="005B3240"/>
    <w:rsid w:val="005B3630"/>
    <w:rsid w:val="005B3827"/>
    <w:rsid w:val="005B38BA"/>
    <w:rsid w:val="005B39E0"/>
    <w:rsid w:val="005B3C1F"/>
    <w:rsid w:val="005B3CDE"/>
    <w:rsid w:val="005B40CE"/>
    <w:rsid w:val="005B4341"/>
    <w:rsid w:val="005B4BBF"/>
    <w:rsid w:val="005B4D77"/>
    <w:rsid w:val="005B4D9C"/>
    <w:rsid w:val="005B5115"/>
    <w:rsid w:val="005B5F6B"/>
    <w:rsid w:val="005B626B"/>
    <w:rsid w:val="005B65A9"/>
    <w:rsid w:val="005B6FCE"/>
    <w:rsid w:val="005B7016"/>
    <w:rsid w:val="005B710B"/>
    <w:rsid w:val="005B73F1"/>
    <w:rsid w:val="005B7462"/>
    <w:rsid w:val="005B7495"/>
    <w:rsid w:val="005B777A"/>
    <w:rsid w:val="005B7886"/>
    <w:rsid w:val="005B79C0"/>
    <w:rsid w:val="005B7A5D"/>
    <w:rsid w:val="005B7D27"/>
    <w:rsid w:val="005B7D2B"/>
    <w:rsid w:val="005B7DCA"/>
    <w:rsid w:val="005B7E92"/>
    <w:rsid w:val="005B7EC1"/>
    <w:rsid w:val="005B7EC8"/>
    <w:rsid w:val="005C0346"/>
    <w:rsid w:val="005C0406"/>
    <w:rsid w:val="005C04C3"/>
    <w:rsid w:val="005C0910"/>
    <w:rsid w:val="005C0D23"/>
    <w:rsid w:val="005C0DAD"/>
    <w:rsid w:val="005C0F62"/>
    <w:rsid w:val="005C106E"/>
    <w:rsid w:val="005C13DB"/>
    <w:rsid w:val="005C15B0"/>
    <w:rsid w:val="005C1732"/>
    <w:rsid w:val="005C17DD"/>
    <w:rsid w:val="005C1958"/>
    <w:rsid w:val="005C1D3F"/>
    <w:rsid w:val="005C1E7C"/>
    <w:rsid w:val="005C2198"/>
    <w:rsid w:val="005C2496"/>
    <w:rsid w:val="005C24CD"/>
    <w:rsid w:val="005C2656"/>
    <w:rsid w:val="005C27BB"/>
    <w:rsid w:val="005C27E2"/>
    <w:rsid w:val="005C2846"/>
    <w:rsid w:val="005C29F7"/>
    <w:rsid w:val="005C2C77"/>
    <w:rsid w:val="005C2EC8"/>
    <w:rsid w:val="005C3004"/>
    <w:rsid w:val="005C321A"/>
    <w:rsid w:val="005C348D"/>
    <w:rsid w:val="005C397D"/>
    <w:rsid w:val="005C39B6"/>
    <w:rsid w:val="005C3A09"/>
    <w:rsid w:val="005C3E15"/>
    <w:rsid w:val="005C4220"/>
    <w:rsid w:val="005C42BD"/>
    <w:rsid w:val="005C4ADC"/>
    <w:rsid w:val="005C4C26"/>
    <w:rsid w:val="005C54B9"/>
    <w:rsid w:val="005C553A"/>
    <w:rsid w:val="005C55FC"/>
    <w:rsid w:val="005C5868"/>
    <w:rsid w:val="005C5AE6"/>
    <w:rsid w:val="005C5BCF"/>
    <w:rsid w:val="005C5D00"/>
    <w:rsid w:val="005C5ECF"/>
    <w:rsid w:val="005C6059"/>
    <w:rsid w:val="005C6606"/>
    <w:rsid w:val="005C6894"/>
    <w:rsid w:val="005C6E53"/>
    <w:rsid w:val="005C6EF2"/>
    <w:rsid w:val="005C71E9"/>
    <w:rsid w:val="005C74A6"/>
    <w:rsid w:val="005C773F"/>
    <w:rsid w:val="005C7CA3"/>
    <w:rsid w:val="005D001A"/>
    <w:rsid w:val="005D061C"/>
    <w:rsid w:val="005D07A0"/>
    <w:rsid w:val="005D091C"/>
    <w:rsid w:val="005D0C89"/>
    <w:rsid w:val="005D0CFF"/>
    <w:rsid w:val="005D1205"/>
    <w:rsid w:val="005D131B"/>
    <w:rsid w:val="005D13A3"/>
    <w:rsid w:val="005D1832"/>
    <w:rsid w:val="005D1D79"/>
    <w:rsid w:val="005D20DC"/>
    <w:rsid w:val="005D2A51"/>
    <w:rsid w:val="005D2C4F"/>
    <w:rsid w:val="005D2C60"/>
    <w:rsid w:val="005D2FDD"/>
    <w:rsid w:val="005D3112"/>
    <w:rsid w:val="005D32E7"/>
    <w:rsid w:val="005D3605"/>
    <w:rsid w:val="005D3882"/>
    <w:rsid w:val="005D39B5"/>
    <w:rsid w:val="005D3DD7"/>
    <w:rsid w:val="005D4C17"/>
    <w:rsid w:val="005D4C4C"/>
    <w:rsid w:val="005D4D7B"/>
    <w:rsid w:val="005D4E47"/>
    <w:rsid w:val="005D5138"/>
    <w:rsid w:val="005D545A"/>
    <w:rsid w:val="005D56AD"/>
    <w:rsid w:val="005D59E1"/>
    <w:rsid w:val="005D5B65"/>
    <w:rsid w:val="005D5EB4"/>
    <w:rsid w:val="005D5EC1"/>
    <w:rsid w:val="005D5EFB"/>
    <w:rsid w:val="005D60C2"/>
    <w:rsid w:val="005D6483"/>
    <w:rsid w:val="005D652E"/>
    <w:rsid w:val="005D66B3"/>
    <w:rsid w:val="005D66FE"/>
    <w:rsid w:val="005D6BFC"/>
    <w:rsid w:val="005D6C1B"/>
    <w:rsid w:val="005D6D60"/>
    <w:rsid w:val="005D79AC"/>
    <w:rsid w:val="005D7C3B"/>
    <w:rsid w:val="005D7F40"/>
    <w:rsid w:val="005D7FC1"/>
    <w:rsid w:val="005E0347"/>
    <w:rsid w:val="005E0498"/>
    <w:rsid w:val="005E0685"/>
    <w:rsid w:val="005E0B42"/>
    <w:rsid w:val="005E0D34"/>
    <w:rsid w:val="005E1309"/>
    <w:rsid w:val="005E1384"/>
    <w:rsid w:val="005E1461"/>
    <w:rsid w:val="005E15F9"/>
    <w:rsid w:val="005E1942"/>
    <w:rsid w:val="005E1AAB"/>
    <w:rsid w:val="005E1C18"/>
    <w:rsid w:val="005E1D8F"/>
    <w:rsid w:val="005E2098"/>
    <w:rsid w:val="005E22E1"/>
    <w:rsid w:val="005E2625"/>
    <w:rsid w:val="005E2666"/>
    <w:rsid w:val="005E29E7"/>
    <w:rsid w:val="005E2C31"/>
    <w:rsid w:val="005E2DEC"/>
    <w:rsid w:val="005E3A3B"/>
    <w:rsid w:val="005E3FAE"/>
    <w:rsid w:val="005E40B0"/>
    <w:rsid w:val="005E4174"/>
    <w:rsid w:val="005E4284"/>
    <w:rsid w:val="005E4C81"/>
    <w:rsid w:val="005E4D85"/>
    <w:rsid w:val="005E4F32"/>
    <w:rsid w:val="005E56B2"/>
    <w:rsid w:val="005E587A"/>
    <w:rsid w:val="005E59D1"/>
    <w:rsid w:val="005E5BB5"/>
    <w:rsid w:val="005E5C05"/>
    <w:rsid w:val="005E61CD"/>
    <w:rsid w:val="005E61EF"/>
    <w:rsid w:val="005E6240"/>
    <w:rsid w:val="005E64C5"/>
    <w:rsid w:val="005E665D"/>
    <w:rsid w:val="005E6AA7"/>
    <w:rsid w:val="005E6B43"/>
    <w:rsid w:val="005E6CB3"/>
    <w:rsid w:val="005E6EAC"/>
    <w:rsid w:val="005E71D6"/>
    <w:rsid w:val="005E7238"/>
    <w:rsid w:val="005E7334"/>
    <w:rsid w:val="005E755F"/>
    <w:rsid w:val="005E75A2"/>
    <w:rsid w:val="005E75B6"/>
    <w:rsid w:val="005E77B6"/>
    <w:rsid w:val="005E7A19"/>
    <w:rsid w:val="005E7BF5"/>
    <w:rsid w:val="005F00C1"/>
    <w:rsid w:val="005F017D"/>
    <w:rsid w:val="005F02AC"/>
    <w:rsid w:val="005F0318"/>
    <w:rsid w:val="005F071B"/>
    <w:rsid w:val="005F0776"/>
    <w:rsid w:val="005F0964"/>
    <w:rsid w:val="005F0AE9"/>
    <w:rsid w:val="005F0E7D"/>
    <w:rsid w:val="005F1219"/>
    <w:rsid w:val="005F142D"/>
    <w:rsid w:val="005F14DE"/>
    <w:rsid w:val="005F1E90"/>
    <w:rsid w:val="005F24D5"/>
    <w:rsid w:val="005F25D0"/>
    <w:rsid w:val="005F2900"/>
    <w:rsid w:val="005F29B0"/>
    <w:rsid w:val="005F2ADD"/>
    <w:rsid w:val="005F2BE7"/>
    <w:rsid w:val="005F2F69"/>
    <w:rsid w:val="005F30D3"/>
    <w:rsid w:val="005F3196"/>
    <w:rsid w:val="005F3216"/>
    <w:rsid w:val="005F3222"/>
    <w:rsid w:val="005F3522"/>
    <w:rsid w:val="005F381B"/>
    <w:rsid w:val="005F39E4"/>
    <w:rsid w:val="005F3BDA"/>
    <w:rsid w:val="005F3C9C"/>
    <w:rsid w:val="005F414B"/>
    <w:rsid w:val="005F42C8"/>
    <w:rsid w:val="005F4742"/>
    <w:rsid w:val="005F4BD6"/>
    <w:rsid w:val="005F55CB"/>
    <w:rsid w:val="005F59F2"/>
    <w:rsid w:val="005F5B56"/>
    <w:rsid w:val="005F5BEF"/>
    <w:rsid w:val="005F5D18"/>
    <w:rsid w:val="005F5DD5"/>
    <w:rsid w:val="005F5F6E"/>
    <w:rsid w:val="005F6091"/>
    <w:rsid w:val="005F657E"/>
    <w:rsid w:val="005F667F"/>
    <w:rsid w:val="005F6A68"/>
    <w:rsid w:val="005F6B6B"/>
    <w:rsid w:val="005F7133"/>
    <w:rsid w:val="005F752A"/>
    <w:rsid w:val="005F761E"/>
    <w:rsid w:val="005F7989"/>
    <w:rsid w:val="005F7D70"/>
    <w:rsid w:val="005F7E1A"/>
    <w:rsid w:val="005F7EDF"/>
    <w:rsid w:val="00600714"/>
    <w:rsid w:val="006008A5"/>
    <w:rsid w:val="00601720"/>
    <w:rsid w:val="00601BD2"/>
    <w:rsid w:val="00601E76"/>
    <w:rsid w:val="0060216A"/>
    <w:rsid w:val="006025BF"/>
    <w:rsid w:val="00602750"/>
    <w:rsid w:val="006029FD"/>
    <w:rsid w:val="00602B4C"/>
    <w:rsid w:val="00602C81"/>
    <w:rsid w:val="00602EE6"/>
    <w:rsid w:val="00603089"/>
    <w:rsid w:val="0060311D"/>
    <w:rsid w:val="00603473"/>
    <w:rsid w:val="006036B0"/>
    <w:rsid w:val="00603B7F"/>
    <w:rsid w:val="0060421E"/>
    <w:rsid w:val="00604ADE"/>
    <w:rsid w:val="00604AEF"/>
    <w:rsid w:val="00604B52"/>
    <w:rsid w:val="0060501F"/>
    <w:rsid w:val="00605566"/>
    <w:rsid w:val="00605813"/>
    <w:rsid w:val="00605DAD"/>
    <w:rsid w:val="00606265"/>
    <w:rsid w:val="00606564"/>
    <w:rsid w:val="00606692"/>
    <w:rsid w:val="00606A6A"/>
    <w:rsid w:val="00606BF5"/>
    <w:rsid w:val="00607232"/>
    <w:rsid w:val="006074AD"/>
    <w:rsid w:val="006077B4"/>
    <w:rsid w:val="0060786F"/>
    <w:rsid w:val="00607A75"/>
    <w:rsid w:val="00607B2E"/>
    <w:rsid w:val="00607B36"/>
    <w:rsid w:val="00607BF1"/>
    <w:rsid w:val="00607CC2"/>
    <w:rsid w:val="0061000C"/>
    <w:rsid w:val="00610208"/>
    <w:rsid w:val="00610327"/>
    <w:rsid w:val="0061041C"/>
    <w:rsid w:val="00610806"/>
    <w:rsid w:val="00610934"/>
    <w:rsid w:val="00610B46"/>
    <w:rsid w:val="00610DED"/>
    <w:rsid w:val="00610EB7"/>
    <w:rsid w:val="00611350"/>
    <w:rsid w:val="00611B38"/>
    <w:rsid w:val="00611C29"/>
    <w:rsid w:val="006121F3"/>
    <w:rsid w:val="006127B4"/>
    <w:rsid w:val="00612977"/>
    <w:rsid w:val="00612ACE"/>
    <w:rsid w:val="0061312D"/>
    <w:rsid w:val="00613232"/>
    <w:rsid w:val="0061327C"/>
    <w:rsid w:val="006134DB"/>
    <w:rsid w:val="0061355E"/>
    <w:rsid w:val="006138AE"/>
    <w:rsid w:val="00613F26"/>
    <w:rsid w:val="0061449F"/>
    <w:rsid w:val="0061475E"/>
    <w:rsid w:val="00614950"/>
    <w:rsid w:val="00614D81"/>
    <w:rsid w:val="00614DF4"/>
    <w:rsid w:val="0061571B"/>
    <w:rsid w:val="00615910"/>
    <w:rsid w:val="00615A65"/>
    <w:rsid w:val="00615B6B"/>
    <w:rsid w:val="00615CEF"/>
    <w:rsid w:val="00615D5E"/>
    <w:rsid w:val="00615FDF"/>
    <w:rsid w:val="00616168"/>
    <w:rsid w:val="00616251"/>
    <w:rsid w:val="006167AE"/>
    <w:rsid w:val="00616905"/>
    <w:rsid w:val="00616F82"/>
    <w:rsid w:val="00617C27"/>
    <w:rsid w:val="00617E3A"/>
    <w:rsid w:val="00617E7C"/>
    <w:rsid w:val="00617FF3"/>
    <w:rsid w:val="006203D2"/>
    <w:rsid w:val="006206F3"/>
    <w:rsid w:val="0062097E"/>
    <w:rsid w:val="00620B32"/>
    <w:rsid w:val="00620F65"/>
    <w:rsid w:val="00621029"/>
    <w:rsid w:val="006211DD"/>
    <w:rsid w:val="00621B97"/>
    <w:rsid w:val="00621BE7"/>
    <w:rsid w:val="006221CE"/>
    <w:rsid w:val="00622210"/>
    <w:rsid w:val="006224E1"/>
    <w:rsid w:val="00622938"/>
    <w:rsid w:val="00622A1F"/>
    <w:rsid w:val="00622AB9"/>
    <w:rsid w:val="00622EAC"/>
    <w:rsid w:val="00623233"/>
    <w:rsid w:val="00623834"/>
    <w:rsid w:val="00623C4D"/>
    <w:rsid w:val="00623FCA"/>
    <w:rsid w:val="0062414F"/>
    <w:rsid w:val="00624694"/>
    <w:rsid w:val="00624726"/>
    <w:rsid w:val="006247ED"/>
    <w:rsid w:val="0062494B"/>
    <w:rsid w:val="00624A5B"/>
    <w:rsid w:val="00624ABE"/>
    <w:rsid w:val="00624C78"/>
    <w:rsid w:val="00624E7F"/>
    <w:rsid w:val="006250F6"/>
    <w:rsid w:val="006255C7"/>
    <w:rsid w:val="0062564B"/>
    <w:rsid w:val="006257A5"/>
    <w:rsid w:val="006259A2"/>
    <w:rsid w:val="00625A68"/>
    <w:rsid w:val="00625C72"/>
    <w:rsid w:val="006263C3"/>
    <w:rsid w:val="0062695A"/>
    <w:rsid w:val="006269D8"/>
    <w:rsid w:val="00626A27"/>
    <w:rsid w:val="00626AAB"/>
    <w:rsid w:val="00626E9D"/>
    <w:rsid w:val="00626EAF"/>
    <w:rsid w:val="00626EC2"/>
    <w:rsid w:val="00627255"/>
    <w:rsid w:val="00627695"/>
    <w:rsid w:val="00627785"/>
    <w:rsid w:val="00627CB3"/>
    <w:rsid w:val="00627D25"/>
    <w:rsid w:val="00627D37"/>
    <w:rsid w:val="00630084"/>
    <w:rsid w:val="00630094"/>
    <w:rsid w:val="0063022B"/>
    <w:rsid w:val="006303C7"/>
    <w:rsid w:val="0063052E"/>
    <w:rsid w:val="006306AC"/>
    <w:rsid w:val="00630898"/>
    <w:rsid w:val="0063098C"/>
    <w:rsid w:val="00630B3C"/>
    <w:rsid w:val="00630BD0"/>
    <w:rsid w:val="00630E72"/>
    <w:rsid w:val="00630ECE"/>
    <w:rsid w:val="006310A6"/>
    <w:rsid w:val="00631145"/>
    <w:rsid w:val="00631180"/>
    <w:rsid w:val="006311E9"/>
    <w:rsid w:val="006315D2"/>
    <w:rsid w:val="0063168F"/>
    <w:rsid w:val="00631866"/>
    <w:rsid w:val="006318CB"/>
    <w:rsid w:val="00631995"/>
    <w:rsid w:val="00631B68"/>
    <w:rsid w:val="00631B7D"/>
    <w:rsid w:val="00631F2D"/>
    <w:rsid w:val="006323E6"/>
    <w:rsid w:val="00632429"/>
    <w:rsid w:val="00632AB5"/>
    <w:rsid w:val="00632AF4"/>
    <w:rsid w:val="00632BDB"/>
    <w:rsid w:val="00632EC7"/>
    <w:rsid w:val="00633A44"/>
    <w:rsid w:val="00633CDC"/>
    <w:rsid w:val="00633EC4"/>
    <w:rsid w:val="00633F0D"/>
    <w:rsid w:val="00634151"/>
    <w:rsid w:val="00634342"/>
    <w:rsid w:val="0063458F"/>
    <w:rsid w:val="00634636"/>
    <w:rsid w:val="00634B1C"/>
    <w:rsid w:val="00634DCD"/>
    <w:rsid w:val="00635270"/>
    <w:rsid w:val="0063562F"/>
    <w:rsid w:val="00635B7C"/>
    <w:rsid w:val="00635C16"/>
    <w:rsid w:val="00635C1F"/>
    <w:rsid w:val="00635E3D"/>
    <w:rsid w:val="00635F36"/>
    <w:rsid w:val="00636008"/>
    <w:rsid w:val="00636330"/>
    <w:rsid w:val="00636362"/>
    <w:rsid w:val="00636E96"/>
    <w:rsid w:val="00637124"/>
    <w:rsid w:val="00637945"/>
    <w:rsid w:val="006379B1"/>
    <w:rsid w:val="00637A26"/>
    <w:rsid w:val="00637BA2"/>
    <w:rsid w:val="00637E07"/>
    <w:rsid w:val="00637FA3"/>
    <w:rsid w:val="00640306"/>
    <w:rsid w:val="0064046F"/>
    <w:rsid w:val="0064074D"/>
    <w:rsid w:val="006407A4"/>
    <w:rsid w:val="006414B3"/>
    <w:rsid w:val="0064157C"/>
    <w:rsid w:val="006416AE"/>
    <w:rsid w:val="00641990"/>
    <w:rsid w:val="00641A1E"/>
    <w:rsid w:val="00641CD3"/>
    <w:rsid w:val="00641E07"/>
    <w:rsid w:val="00642016"/>
    <w:rsid w:val="006421B0"/>
    <w:rsid w:val="00642436"/>
    <w:rsid w:val="0064268A"/>
    <w:rsid w:val="00642922"/>
    <w:rsid w:val="00642A1C"/>
    <w:rsid w:val="00642A63"/>
    <w:rsid w:val="00642B97"/>
    <w:rsid w:val="00642D9A"/>
    <w:rsid w:val="00643127"/>
    <w:rsid w:val="00643241"/>
    <w:rsid w:val="006433A3"/>
    <w:rsid w:val="00643581"/>
    <w:rsid w:val="006437AA"/>
    <w:rsid w:val="00643D4D"/>
    <w:rsid w:val="00643EBC"/>
    <w:rsid w:val="00644390"/>
    <w:rsid w:val="006444B3"/>
    <w:rsid w:val="006449E3"/>
    <w:rsid w:val="00644C4A"/>
    <w:rsid w:val="006451FE"/>
    <w:rsid w:val="00645251"/>
    <w:rsid w:val="00645407"/>
    <w:rsid w:val="00645683"/>
    <w:rsid w:val="006456C6"/>
    <w:rsid w:val="006458CE"/>
    <w:rsid w:val="00645A10"/>
    <w:rsid w:val="00645A5D"/>
    <w:rsid w:val="0064606B"/>
    <w:rsid w:val="006468DD"/>
    <w:rsid w:val="00646A06"/>
    <w:rsid w:val="00647498"/>
    <w:rsid w:val="00647741"/>
    <w:rsid w:val="00647AED"/>
    <w:rsid w:val="00647CA0"/>
    <w:rsid w:val="00647E07"/>
    <w:rsid w:val="006500B1"/>
    <w:rsid w:val="006500D0"/>
    <w:rsid w:val="00650553"/>
    <w:rsid w:val="006507CF"/>
    <w:rsid w:val="00650968"/>
    <w:rsid w:val="00650C8B"/>
    <w:rsid w:val="00650CAB"/>
    <w:rsid w:val="006513D5"/>
    <w:rsid w:val="00651741"/>
    <w:rsid w:val="00651A91"/>
    <w:rsid w:val="00651C7F"/>
    <w:rsid w:val="00651E5E"/>
    <w:rsid w:val="00651F37"/>
    <w:rsid w:val="0065225C"/>
    <w:rsid w:val="00652D07"/>
    <w:rsid w:val="006532FC"/>
    <w:rsid w:val="006535AA"/>
    <w:rsid w:val="00654226"/>
    <w:rsid w:val="0065423A"/>
    <w:rsid w:val="00654915"/>
    <w:rsid w:val="00654BE8"/>
    <w:rsid w:val="00655295"/>
    <w:rsid w:val="0065548F"/>
    <w:rsid w:val="00655748"/>
    <w:rsid w:val="006563E9"/>
    <w:rsid w:val="00656482"/>
    <w:rsid w:val="00656A3A"/>
    <w:rsid w:val="00656F67"/>
    <w:rsid w:val="00656FFE"/>
    <w:rsid w:val="0065754E"/>
    <w:rsid w:val="006577F8"/>
    <w:rsid w:val="006578A7"/>
    <w:rsid w:val="00657C48"/>
    <w:rsid w:val="00657DC0"/>
    <w:rsid w:val="00660623"/>
    <w:rsid w:val="00660BEB"/>
    <w:rsid w:val="00660DA9"/>
    <w:rsid w:val="0066109F"/>
    <w:rsid w:val="00661AEE"/>
    <w:rsid w:val="00661B37"/>
    <w:rsid w:val="00661E55"/>
    <w:rsid w:val="00661E5B"/>
    <w:rsid w:val="0066250E"/>
    <w:rsid w:val="00662A05"/>
    <w:rsid w:val="006633F3"/>
    <w:rsid w:val="00663507"/>
    <w:rsid w:val="00663509"/>
    <w:rsid w:val="00663717"/>
    <w:rsid w:val="0066379A"/>
    <w:rsid w:val="00663827"/>
    <w:rsid w:val="00663917"/>
    <w:rsid w:val="00663BF6"/>
    <w:rsid w:val="00664094"/>
    <w:rsid w:val="0066414C"/>
    <w:rsid w:val="00665096"/>
    <w:rsid w:val="0066518B"/>
    <w:rsid w:val="006654EB"/>
    <w:rsid w:val="006655F5"/>
    <w:rsid w:val="006659C0"/>
    <w:rsid w:val="00665C19"/>
    <w:rsid w:val="00665C36"/>
    <w:rsid w:val="006665DD"/>
    <w:rsid w:val="00666703"/>
    <w:rsid w:val="00666871"/>
    <w:rsid w:val="00666CFF"/>
    <w:rsid w:val="00666DB7"/>
    <w:rsid w:val="00667199"/>
    <w:rsid w:val="00667263"/>
    <w:rsid w:val="0066760C"/>
    <w:rsid w:val="00667710"/>
    <w:rsid w:val="0066778F"/>
    <w:rsid w:val="00670028"/>
    <w:rsid w:val="00670068"/>
    <w:rsid w:val="006703FB"/>
    <w:rsid w:val="00670F49"/>
    <w:rsid w:val="00671754"/>
    <w:rsid w:val="006717CE"/>
    <w:rsid w:val="00671CE0"/>
    <w:rsid w:val="00672034"/>
    <w:rsid w:val="00672282"/>
    <w:rsid w:val="006727A3"/>
    <w:rsid w:val="00672FAF"/>
    <w:rsid w:val="0067319F"/>
    <w:rsid w:val="006732AF"/>
    <w:rsid w:val="00673390"/>
    <w:rsid w:val="006736E8"/>
    <w:rsid w:val="00673918"/>
    <w:rsid w:val="00673BFB"/>
    <w:rsid w:val="00673C24"/>
    <w:rsid w:val="00674301"/>
    <w:rsid w:val="00674447"/>
    <w:rsid w:val="006745C2"/>
    <w:rsid w:val="0067499D"/>
    <w:rsid w:val="00674BD1"/>
    <w:rsid w:val="00675306"/>
    <w:rsid w:val="006753F9"/>
    <w:rsid w:val="00675465"/>
    <w:rsid w:val="006754F6"/>
    <w:rsid w:val="006755E8"/>
    <w:rsid w:val="006755E9"/>
    <w:rsid w:val="006757F2"/>
    <w:rsid w:val="00675963"/>
    <w:rsid w:val="00675E83"/>
    <w:rsid w:val="006760D5"/>
    <w:rsid w:val="0067630E"/>
    <w:rsid w:val="00676339"/>
    <w:rsid w:val="00676380"/>
    <w:rsid w:val="00676969"/>
    <w:rsid w:val="0067696C"/>
    <w:rsid w:val="00676A72"/>
    <w:rsid w:val="00676D9A"/>
    <w:rsid w:val="00676D9F"/>
    <w:rsid w:val="00676DB8"/>
    <w:rsid w:val="00676DC8"/>
    <w:rsid w:val="00676E1E"/>
    <w:rsid w:val="00677443"/>
    <w:rsid w:val="00677839"/>
    <w:rsid w:val="00677A31"/>
    <w:rsid w:val="00677B44"/>
    <w:rsid w:val="00677B57"/>
    <w:rsid w:val="00677CB8"/>
    <w:rsid w:val="00677EAE"/>
    <w:rsid w:val="00680262"/>
    <w:rsid w:val="006802DB"/>
    <w:rsid w:val="00680322"/>
    <w:rsid w:val="00680402"/>
    <w:rsid w:val="00680459"/>
    <w:rsid w:val="0068054E"/>
    <w:rsid w:val="00680933"/>
    <w:rsid w:val="00680950"/>
    <w:rsid w:val="00680CB1"/>
    <w:rsid w:val="00680CC0"/>
    <w:rsid w:val="00680E6A"/>
    <w:rsid w:val="00681045"/>
    <w:rsid w:val="00681680"/>
    <w:rsid w:val="006817CB"/>
    <w:rsid w:val="00681A12"/>
    <w:rsid w:val="0068230D"/>
    <w:rsid w:val="006824B0"/>
    <w:rsid w:val="006824FB"/>
    <w:rsid w:val="0068272A"/>
    <w:rsid w:val="00682EE6"/>
    <w:rsid w:val="00682F85"/>
    <w:rsid w:val="00683029"/>
    <w:rsid w:val="0068319A"/>
    <w:rsid w:val="0068325D"/>
    <w:rsid w:val="006835D0"/>
    <w:rsid w:val="006838CF"/>
    <w:rsid w:val="00683C56"/>
    <w:rsid w:val="00683D1A"/>
    <w:rsid w:val="00683FC2"/>
    <w:rsid w:val="0068448C"/>
    <w:rsid w:val="006850B6"/>
    <w:rsid w:val="006855B3"/>
    <w:rsid w:val="006855EE"/>
    <w:rsid w:val="00685842"/>
    <w:rsid w:val="006860F1"/>
    <w:rsid w:val="0068638D"/>
    <w:rsid w:val="006863E5"/>
    <w:rsid w:val="006864B3"/>
    <w:rsid w:val="006866AE"/>
    <w:rsid w:val="006867D2"/>
    <w:rsid w:val="0068696D"/>
    <w:rsid w:val="00686BAA"/>
    <w:rsid w:val="00686D61"/>
    <w:rsid w:val="006870C0"/>
    <w:rsid w:val="006870E1"/>
    <w:rsid w:val="00687128"/>
    <w:rsid w:val="00687289"/>
    <w:rsid w:val="006873CE"/>
    <w:rsid w:val="00687EED"/>
    <w:rsid w:val="00687F24"/>
    <w:rsid w:val="006900EB"/>
    <w:rsid w:val="0069070E"/>
    <w:rsid w:val="00690874"/>
    <w:rsid w:val="00690CCD"/>
    <w:rsid w:val="0069103E"/>
    <w:rsid w:val="0069137D"/>
    <w:rsid w:val="006913D9"/>
    <w:rsid w:val="00691999"/>
    <w:rsid w:val="006919AA"/>
    <w:rsid w:val="006919AB"/>
    <w:rsid w:val="00691A73"/>
    <w:rsid w:val="00691E79"/>
    <w:rsid w:val="00691E8A"/>
    <w:rsid w:val="00691FD7"/>
    <w:rsid w:val="0069236C"/>
    <w:rsid w:val="006923F9"/>
    <w:rsid w:val="00692916"/>
    <w:rsid w:val="00692AF8"/>
    <w:rsid w:val="00692BAE"/>
    <w:rsid w:val="00693373"/>
    <w:rsid w:val="006935A8"/>
    <w:rsid w:val="006938AD"/>
    <w:rsid w:val="00693A73"/>
    <w:rsid w:val="00693EB9"/>
    <w:rsid w:val="0069405D"/>
    <w:rsid w:val="006940FA"/>
    <w:rsid w:val="00694279"/>
    <w:rsid w:val="00694349"/>
    <w:rsid w:val="006944FF"/>
    <w:rsid w:val="006949C5"/>
    <w:rsid w:val="006949F8"/>
    <w:rsid w:val="00694BB8"/>
    <w:rsid w:val="00694CF9"/>
    <w:rsid w:val="006950F0"/>
    <w:rsid w:val="00695545"/>
    <w:rsid w:val="0069598E"/>
    <w:rsid w:val="00695B3E"/>
    <w:rsid w:val="00695DB2"/>
    <w:rsid w:val="00695E12"/>
    <w:rsid w:val="006962B7"/>
    <w:rsid w:val="00696377"/>
    <w:rsid w:val="006963AD"/>
    <w:rsid w:val="006966EA"/>
    <w:rsid w:val="00696C8D"/>
    <w:rsid w:val="00697BA7"/>
    <w:rsid w:val="00697D8A"/>
    <w:rsid w:val="00697F20"/>
    <w:rsid w:val="006A033B"/>
    <w:rsid w:val="006A0394"/>
    <w:rsid w:val="006A070D"/>
    <w:rsid w:val="006A0AED"/>
    <w:rsid w:val="006A0D5E"/>
    <w:rsid w:val="006A1423"/>
    <w:rsid w:val="006A17FE"/>
    <w:rsid w:val="006A1969"/>
    <w:rsid w:val="006A19E7"/>
    <w:rsid w:val="006A1D5B"/>
    <w:rsid w:val="006A240D"/>
    <w:rsid w:val="006A2C8D"/>
    <w:rsid w:val="006A2CC3"/>
    <w:rsid w:val="006A30BE"/>
    <w:rsid w:val="006A347A"/>
    <w:rsid w:val="006A3CF4"/>
    <w:rsid w:val="006A3DE6"/>
    <w:rsid w:val="006A40F6"/>
    <w:rsid w:val="006A420B"/>
    <w:rsid w:val="006A4289"/>
    <w:rsid w:val="006A4701"/>
    <w:rsid w:val="006A47C3"/>
    <w:rsid w:val="006A48A1"/>
    <w:rsid w:val="006A4B00"/>
    <w:rsid w:val="006A4C7F"/>
    <w:rsid w:val="006A4E22"/>
    <w:rsid w:val="006A5296"/>
    <w:rsid w:val="006A53D4"/>
    <w:rsid w:val="006A5484"/>
    <w:rsid w:val="006A54B7"/>
    <w:rsid w:val="006A54DF"/>
    <w:rsid w:val="006A5563"/>
    <w:rsid w:val="006A57DB"/>
    <w:rsid w:val="006A5A7B"/>
    <w:rsid w:val="006A5C28"/>
    <w:rsid w:val="006A5F57"/>
    <w:rsid w:val="006A601B"/>
    <w:rsid w:val="006A60D6"/>
    <w:rsid w:val="006A632A"/>
    <w:rsid w:val="006A6B43"/>
    <w:rsid w:val="006A6BC8"/>
    <w:rsid w:val="006A6FC1"/>
    <w:rsid w:val="006A7A58"/>
    <w:rsid w:val="006A7B11"/>
    <w:rsid w:val="006A7C12"/>
    <w:rsid w:val="006A7E61"/>
    <w:rsid w:val="006A7F92"/>
    <w:rsid w:val="006B006E"/>
    <w:rsid w:val="006B010E"/>
    <w:rsid w:val="006B018F"/>
    <w:rsid w:val="006B02CB"/>
    <w:rsid w:val="006B03BA"/>
    <w:rsid w:val="006B0521"/>
    <w:rsid w:val="006B06E1"/>
    <w:rsid w:val="006B0938"/>
    <w:rsid w:val="006B0A8B"/>
    <w:rsid w:val="006B0AAD"/>
    <w:rsid w:val="006B1274"/>
    <w:rsid w:val="006B14E2"/>
    <w:rsid w:val="006B14F6"/>
    <w:rsid w:val="006B1726"/>
    <w:rsid w:val="006B1C12"/>
    <w:rsid w:val="006B1C70"/>
    <w:rsid w:val="006B1CE1"/>
    <w:rsid w:val="006B1D7A"/>
    <w:rsid w:val="006B1FAC"/>
    <w:rsid w:val="006B2085"/>
    <w:rsid w:val="006B26C9"/>
    <w:rsid w:val="006B2775"/>
    <w:rsid w:val="006B278E"/>
    <w:rsid w:val="006B29DA"/>
    <w:rsid w:val="006B2BE5"/>
    <w:rsid w:val="006B2BF4"/>
    <w:rsid w:val="006B2DAA"/>
    <w:rsid w:val="006B3011"/>
    <w:rsid w:val="006B308F"/>
    <w:rsid w:val="006B30E9"/>
    <w:rsid w:val="006B31E7"/>
    <w:rsid w:val="006B3333"/>
    <w:rsid w:val="006B3D36"/>
    <w:rsid w:val="006B42C9"/>
    <w:rsid w:val="006B4343"/>
    <w:rsid w:val="006B4397"/>
    <w:rsid w:val="006B4A70"/>
    <w:rsid w:val="006B4AFA"/>
    <w:rsid w:val="006B4CDA"/>
    <w:rsid w:val="006B4CE3"/>
    <w:rsid w:val="006B4E31"/>
    <w:rsid w:val="006B5051"/>
    <w:rsid w:val="006B55A8"/>
    <w:rsid w:val="006B58E9"/>
    <w:rsid w:val="006B5940"/>
    <w:rsid w:val="006B5D3F"/>
    <w:rsid w:val="006B6067"/>
    <w:rsid w:val="006B6582"/>
    <w:rsid w:val="006B6A2C"/>
    <w:rsid w:val="006B6AA0"/>
    <w:rsid w:val="006B6B61"/>
    <w:rsid w:val="006B6E7B"/>
    <w:rsid w:val="006B703B"/>
    <w:rsid w:val="006B7161"/>
    <w:rsid w:val="006B73FE"/>
    <w:rsid w:val="006B75F5"/>
    <w:rsid w:val="006B7622"/>
    <w:rsid w:val="006B7978"/>
    <w:rsid w:val="006B7C73"/>
    <w:rsid w:val="006C04E7"/>
    <w:rsid w:val="006C0743"/>
    <w:rsid w:val="006C0F6C"/>
    <w:rsid w:val="006C10C9"/>
    <w:rsid w:val="006C13CB"/>
    <w:rsid w:val="006C16B8"/>
    <w:rsid w:val="006C17DC"/>
    <w:rsid w:val="006C1823"/>
    <w:rsid w:val="006C19E7"/>
    <w:rsid w:val="006C1A47"/>
    <w:rsid w:val="006C1E59"/>
    <w:rsid w:val="006C2C26"/>
    <w:rsid w:val="006C30BE"/>
    <w:rsid w:val="006C31D6"/>
    <w:rsid w:val="006C3568"/>
    <w:rsid w:val="006C367F"/>
    <w:rsid w:val="006C3B9E"/>
    <w:rsid w:val="006C3E8D"/>
    <w:rsid w:val="006C4125"/>
    <w:rsid w:val="006C4375"/>
    <w:rsid w:val="006C469B"/>
    <w:rsid w:val="006C4874"/>
    <w:rsid w:val="006C4933"/>
    <w:rsid w:val="006C50F3"/>
    <w:rsid w:val="006C5309"/>
    <w:rsid w:val="006C57B2"/>
    <w:rsid w:val="006C5870"/>
    <w:rsid w:val="006C588B"/>
    <w:rsid w:val="006C59BF"/>
    <w:rsid w:val="006C6077"/>
    <w:rsid w:val="006C6250"/>
    <w:rsid w:val="006C6369"/>
    <w:rsid w:val="006C64CB"/>
    <w:rsid w:val="006C66C3"/>
    <w:rsid w:val="006C6C06"/>
    <w:rsid w:val="006C6C21"/>
    <w:rsid w:val="006C6F12"/>
    <w:rsid w:val="006C77D5"/>
    <w:rsid w:val="006C77DE"/>
    <w:rsid w:val="006C7A41"/>
    <w:rsid w:val="006C7A65"/>
    <w:rsid w:val="006D01AE"/>
    <w:rsid w:val="006D042E"/>
    <w:rsid w:val="006D06AF"/>
    <w:rsid w:val="006D0740"/>
    <w:rsid w:val="006D08CE"/>
    <w:rsid w:val="006D0BD6"/>
    <w:rsid w:val="006D0E50"/>
    <w:rsid w:val="006D1336"/>
    <w:rsid w:val="006D1665"/>
    <w:rsid w:val="006D17B1"/>
    <w:rsid w:val="006D1F5A"/>
    <w:rsid w:val="006D2256"/>
    <w:rsid w:val="006D227B"/>
    <w:rsid w:val="006D228A"/>
    <w:rsid w:val="006D264A"/>
    <w:rsid w:val="006D2694"/>
    <w:rsid w:val="006D2782"/>
    <w:rsid w:val="006D29A3"/>
    <w:rsid w:val="006D3085"/>
    <w:rsid w:val="006D3091"/>
    <w:rsid w:val="006D31BE"/>
    <w:rsid w:val="006D3414"/>
    <w:rsid w:val="006D35C8"/>
    <w:rsid w:val="006D3896"/>
    <w:rsid w:val="006D38D6"/>
    <w:rsid w:val="006D3967"/>
    <w:rsid w:val="006D3B2F"/>
    <w:rsid w:val="006D3F1C"/>
    <w:rsid w:val="006D4189"/>
    <w:rsid w:val="006D461B"/>
    <w:rsid w:val="006D4721"/>
    <w:rsid w:val="006D4823"/>
    <w:rsid w:val="006D486A"/>
    <w:rsid w:val="006D4875"/>
    <w:rsid w:val="006D499F"/>
    <w:rsid w:val="006D4DBE"/>
    <w:rsid w:val="006D51D0"/>
    <w:rsid w:val="006D5558"/>
    <w:rsid w:val="006D5A9B"/>
    <w:rsid w:val="006D5CA4"/>
    <w:rsid w:val="006D66C2"/>
    <w:rsid w:val="006D7578"/>
    <w:rsid w:val="006D769C"/>
    <w:rsid w:val="006D76DD"/>
    <w:rsid w:val="006D786F"/>
    <w:rsid w:val="006D7AA7"/>
    <w:rsid w:val="006D7F79"/>
    <w:rsid w:val="006E0512"/>
    <w:rsid w:val="006E055A"/>
    <w:rsid w:val="006E05B3"/>
    <w:rsid w:val="006E0732"/>
    <w:rsid w:val="006E09E7"/>
    <w:rsid w:val="006E0B12"/>
    <w:rsid w:val="006E0B36"/>
    <w:rsid w:val="006E0F3B"/>
    <w:rsid w:val="006E192A"/>
    <w:rsid w:val="006E1A9A"/>
    <w:rsid w:val="006E1C64"/>
    <w:rsid w:val="006E1F94"/>
    <w:rsid w:val="006E20CB"/>
    <w:rsid w:val="006E26BF"/>
    <w:rsid w:val="006E28CA"/>
    <w:rsid w:val="006E2961"/>
    <w:rsid w:val="006E2977"/>
    <w:rsid w:val="006E2AA2"/>
    <w:rsid w:val="006E2C06"/>
    <w:rsid w:val="006E3147"/>
    <w:rsid w:val="006E32EF"/>
    <w:rsid w:val="006E359A"/>
    <w:rsid w:val="006E3912"/>
    <w:rsid w:val="006E3EEC"/>
    <w:rsid w:val="006E3FE7"/>
    <w:rsid w:val="006E405E"/>
    <w:rsid w:val="006E46E3"/>
    <w:rsid w:val="006E47F1"/>
    <w:rsid w:val="006E4B61"/>
    <w:rsid w:val="006E4DBC"/>
    <w:rsid w:val="006E50A0"/>
    <w:rsid w:val="006E5440"/>
    <w:rsid w:val="006E548E"/>
    <w:rsid w:val="006E584F"/>
    <w:rsid w:val="006E5BA6"/>
    <w:rsid w:val="006E5C83"/>
    <w:rsid w:val="006E5F38"/>
    <w:rsid w:val="006E6069"/>
    <w:rsid w:val="006E61D8"/>
    <w:rsid w:val="006E6527"/>
    <w:rsid w:val="006E6AE7"/>
    <w:rsid w:val="006E6B0D"/>
    <w:rsid w:val="006E6B9D"/>
    <w:rsid w:val="006E741E"/>
    <w:rsid w:val="006E7476"/>
    <w:rsid w:val="006E7493"/>
    <w:rsid w:val="006E79B5"/>
    <w:rsid w:val="006E7CF7"/>
    <w:rsid w:val="006E7D30"/>
    <w:rsid w:val="006E7E20"/>
    <w:rsid w:val="006E7FA6"/>
    <w:rsid w:val="006F05B5"/>
    <w:rsid w:val="006F0CC4"/>
    <w:rsid w:val="006F0CCE"/>
    <w:rsid w:val="006F1449"/>
    <w:rsid w:val="006F1AE3"/>
    <w:rsid w:val="006F1B11"/>
    <w:rsid w:val="006F1E80"/>
    <w:rsid w:val="006F1F63"/>
    <w:rsid w:val="006F23D2"/>
    <w:rsid w:val="006F2A0D"/>
    <w:rsid w:val="006F3191"/>
    <w:rsid w:val="006F3300"/>
    <w:rsid w:val="006F357C"/>
    <w:rsid w:val="006F36B9"/>
    <w:rsid w:val="006F37F1"/>
    <w:rsid w:val="006F3AEB"/>
    <w:rsid w:val="006F3C3E"/>
    <w:rsid w:val="006F3CD0"/>
    <w:rsid w:val="006F3F7E"/>
    <w:rsid w:val="006F4A15"/>
    <w:rsid w:val="006F4B3F"/>
    <w:rsid w:val="006F5037"/>
    <w:rsid w:val="006F5043"/>
    <w:rsid w:val="006F547B"/>
    <w:rsid w:val="006F554D"/>
    <w:rsid w:val="006F5B51"/>
    <w:rsid w:val="006F5BB8"/>
    <w:rsid w:val="006F5FD1"/>
    <w:rsid w:val="006F62ED"/>
    <w:rsid w:val="006F686F"/>
    <w:rsid w:val="006F6A9D"/>
    <w:rsid w:val="006F6D32"/>
    <w:rsid w:val="006F6D91"/>
    <w:rsid w:val="006F7158"/>
    <w:rsid w:val="006F75BC"/>
    <w:rsid w:val="006F7747"/>
    <w:rsid w:val="006F7CAD"/>
    <w:rsid w:val="006F7D1F"/>
    <w:rsid w:val="006F7FF6"/>
    <w:rsid w:val="00700294"/>
    <w:rsid w:val="00700BAA"/>
    <w:rsid w:val="00700C10"/>
    <w:rsid w:val="00700D50"/>
    <w:rsid w:val="00700E31"/>
    <w:rsid w:val="00700F0A"/>
    <w:rsid w:val="00701518"/>
    <w:rsid w:val="0070180F"/>
    <w:rsid w:val="007020B0"/>
    <w:rsid w:val="00702274"/>
    <w:rsid w:val="00702315"/>
    <w:rsid w:val="0070296C"/>
    <w:rsid w:val="00702BD8"/>
    <w:rsid w:val="00702CE8"/>
    <w:rsid w:val="00703032"/>
    <w:rsid w:val="007036AD"/>
    <w:rsid w:val="0070377E"/>
    <w:rsid w:val="00703DAF"/>
    <w:rsid w:val="007041B2"/>
    <w:rsid w:val="00704383"/>
    <w:rsid w:val="007043A2"/>
    <w:rsid w:val="00704501"/>
    <w:rsid w:val="00704625"/>
    <w:rsid w:val="0070473C"/>
    <w:rsid w:val="00704CAF"/>
    <w:rsid w:val="00705207"/>
    <w:rsid w:val="00705641"/>
    <w:rsid w:val="00705878"/>
    <w:rsid w:val="00705D39"/>
    <w:rsid w:val="00705EB9"/>
    <w:rsid w:val="0070601B"/>
    <w:rsid w:val="007062CF"/>
    <w:rsid w:val="0070633E"/>
    <w:rsid w:val="007063BE"/>
    <w:rsid w:val="0070673A"/>
    <w:rsid w:val="00706977"/>
    <w:rsid w:val="007077D9"/>
    <w:rsid w:val="007078BE"/>
    <w:rsid w:val="00707BBA"/>
    <w:rsid w:val="00710226"/>
    <w:rsid w:val="00710300"/>
    <w:rsid w:val="00710834"/>
    <w:rsid w:val="007108ED"/>
    <w:rsid w:val="00710948"/>
    <w:rsid w:val="007109EB"/>
    <w:rsid w:val="00710BB4"/>
    <w:rsid w:val="00711100"/>
    <w:rsid w:val="007113B3"/>
    <w:rsid w:val="007115AA"/>
    <w:rsid w:val="00711997"/>
    <w:rsid w:val="00711A0B"/>
    <w:rsid w:val="00711C19"/>
    <w:rsid w:val="00712449"/>
    <w:rsid w:val="00712C51"/>
    <w:rsid w:val="00712D89"/>
    <w:rsid w:val="00712F20"/>
    <w:rsid w:val="00712F45"/>
    <w:rsid w:val="0071329C"/>
    <w:rsid w:val="007133FE"/>
    <w:rsid w:val="0071379C"/>
    <w:rsid w:val="007138D0"/>
    <w:rsid w:val="00713F19"/>
    <w:rsid w:val="00714233"/>
    <w:rsid w:val="0071455B"/>
    <w:rsid w:val="007145A8"/>
    <w:rsid w:val="00714B3A"/>
    <w:rsid w:val="00714CFC"/>
    <w:rsid w:val="0071559B"/>
    <w:rsid w:val="007158D5"/>
    <w:rsid w:val="00715EE4"/>
    <w:rsid w:val="007166C0"/>
    <w:rsid w:val="0071677A"/>
    <w:rsid w:val="00716C80"/>
    <w:rsid w:val="00716DD5"/>
    <w:rsid w:val="00717817"/>
    <w:rsid w:val="00717A76"/>
    <w:rsid w:val="00717AF0"/>
    <w:rsid w:val="00717B81"/>
    <w:rsid w:val="00717CF3"/>
    <w:rsid w:val="00717CFF"/>
    <w:rsid w:val="00720029"/>
    <w:rsid w:val="0072005B"/>
    <w:rsid w:val="0072023C"/>
    <w:rsid w:val="0072037E"/>
    <w:rsid w:val="007208A3"/>
    <w:rsid w:val="00720975"/>
    <w:rsid w:val="00720BF8"/>
    <w:rsid w:val="0072128C"/>
    <w:rsid w:val="007213BF"/>
    <w:rsid w:val="007214DD"/>
    <w:rsid w:val="00721963"/>
    <w:rsid w:val="00721964"/>
    <w:rsid w:val="00721A32"/>
    <w:rsid w:val="00721C6A"/>
    <w:rsid w:val="0072219F"/>
    <w:rsid w:val="0072224E"/>
    <w:rsid w:val="007222CC"/>
    <w:rsid w:val="007222F6"/>
    <w:rsid w:val="007226E0"/>
    <w:rsid w:val="0072272B"/>
    <w:rsid w:val="00722A2B"/>
    <w:rsid w:val="00723217"/>
    <w:rsid w:val="007232C4"/>
    <w:rsid w:val="00723682"/>
    <w:rsid w:val="00723799"/>
    <w:rsid w:val="0072386D"/>
    <w:rsid w:val="00723B2F"/>
    <w:rsid w:val="00723C49"/>
    <w:rsid w:val="00723E13"/>
    <w:rsid w:val="00723E9A"/>
    <w:rsid w:val="00723ECC"/>
    <w:rsid w:val="00724171"/>
    <w:rsid w:val="00724220"/>
    <w:rsid w:val="00724382"/>
    <w:rsid w:val="00725574"/>
    <w:rsid w:val="00725628"/>
    <w:rsid w:val="007257AB"/>
    <w:rsid w:val="00725D4D"/>
    <w:rsid w:val="007264E8"/>
    <w:rsid w:val="0072650F"/>
    <w:rsid w:val="007265A7"/>
    <w:rsid w:val="00726A64"/>
    <w:rsid w:val="00727031"/>
    <w:rsid w:val="007274C9"/>
    <w:rsid w:val="007274D7"/>
    <w:rsid w:val="00727708"/>
    <w:rsid w:val="0072789F"/>
    <w:rsid w:val="00727980"/>
    <w:rsid w:val="00727FF5"/>
    <w:rsid w:val="00730065"/>
    <w:rsid w:val="0073014F"/>
    <w:rsid w:val="007303FD"/>
    <w:rsid w:val="0073043F"/>
    <w:rsid w:val="0073076A"/>
    <w:rsid w:val="007308BD"/>
    <w:rsid w:val="007309DE"/>
    <w:rsid w:val="00730DA9"/>
    <w:rsid w:val="00731201"/>
    <w:rsid w:val="00731FE6"/>
    <w:rsid w:val="007322B9"/>
    <w:rsid w:val="00732482"/>
    <w:rsid w:val="007324D7"/>
    <w:rsid w:val="0073283F"/>
    <w:rsid w:val="00732A82"/>
    <w:rsid w:val="00733007"/>
    <w:rsid w:val="00733307"/>
    <w:rsid w:val="007334F5"/>
    <w:rsid w:val="007335A0"/>
    <w:rsid w:val="00733710"/>
    <w:rsid w:val="00733A91"/>
    <w:rsid w:val="00733FCE"/>
    <w:rsid w:val="00734042"/>
    <w:rsid w:val="0073422D"/>
    <w:rsid w:val="00734507"/>
    <w:rsid w:val="0073488E"/>
    <w:rsid w:val="00734C4F"/>
    <w:rsid w:val="00734E17"/>
    <w:rsid w:val="00734EEA"/>
    <w:rsid w:val="00734F85"/>
    <w:rsid w:val="0073532D"/>
    <w:rsid w:val="00735435"/>
    <w:rsid w:val="00735DBD"/>
    <w:rsid w:val="007360D9"/>
    <w:rsid w:val="007361F3"/>
    <w:rsid w:val="0073625C"/>
    <w:rsid w:val="00736434"/>
    <w:rsid w:val="0073652C"/>
    <w:rsid w:val="007365F8"/>
    <w:rsid w:val="007366CA"/>
    <w:rsid w:val="00736916"/>
    <w:rsid w:val="00736937"/>
    <w:rsid w:val="00736A4D"/>
    <w:rsid w:val="00736BD2"/>
    <w:rsid w:val="00736FF8"/>
    <w:rsid w:val="0073708D"/>
    <w:rsid w:val="007373B3"/>
    <w:rsid w:val="007373CA"/>
    <w:rsid w:val="00737554"/>
    <w:rsid w:val="00737808"/>
    <w:rsid w:val="00737826"/>
    <w:rsid w:val="007378C7"/>
    <w:rsid w:val="00737AC3"/>
    <w:rsid w:val="007406C8"/>
    <w:rsid w:val="007407C4"/>
    <w:rsid w:val="007408FA"/>
    <w:rsid w:val="0074099C"/>
    <w:rsid w:val="00740FD0"/>
    <w:rsid w:val="00741336"/>
    <w:rsid w:val="00741564"/>
    <w:rsid w:val="00741796"/>
    <w:rsid w:val="00741819"/>
    <w:rsid w:val="00741A2E"/>
    <w:rsid w:val="00741ED4"/>
    <w:rsid w:val="007420D2"/>
    <w:rsid w:val="00742251"/>
    <w:rsid w:val="00742335"/>
    <w:rsid w:val="007428B5"/>
    <w:rsid w:val="007428B6"/>
    <w:rsid w:val="00742D30"/>
    <w:rsid w:val="00742D4A"/>
    <w:rsid w:val="00742DE0"/>
    <w:rsid w:val="00742E41"/>
    <w:rsid w:val="00742EEE"/>
    <w:rsid w:val="00743470"/>
    <w:rsid w:val="00743AA0"/>
    <w:rsid w:val="00743AD1"/>
    <w:rsid w:val="00743EA0"/>
    <w:rsid w:val="007440CB"/>
    <w:rsid w:val="00744106"/>
    <w:rsid w:val="0074449D"/>
    <w:rsid w:val="0074451B"/>
    <w:rsid w:val="00744651"/>
    <w:rsid w:val="00744655"/>
    <w:rsid w:val="0074471C"/>
    <w:rsid w:val="00744B60"/>
    <w:rsid w:val="00744E18"/>
    <w:rsid w:val="0074531A"/>
    <w:rsid w:val="007457E9"/>
    <w:rsid w:val="00745CC9"/>
    <w:rsid w:val="00745EC2"/>
    <w:rsid w:val="00746727"/>
    <w:rsid w:val="007467C0"/>
    <w:rsid w:val="007468D3"/>
    <w:rsid w:val="00746D03"/>
    <w:rsid w:val="00747209"/>
    <w:rsid w:val="007472F3"/>
    <w:rsid w:val="00747445"/>
    <w:rsid w:val="0074755C"/>
    <w:rsid w:val="007479E2"/>
    <w:rsid w:val="00747B89"/>
    <w:rsid w:val="00747CFC"/>
    <w:rsid w:val="00750AD8"/>
    <w:rsid w:val="00750DE2"/>
    <w:rsid w:val="00750E78"/>
    <w:rsid w:val="00750F02"/>
    <w:rsid w:val="007518AF"/>
    <w:rsid w:val="00751948"/>
    <w:rsid w:val="00751A1B"/>
    <w:rsid w:val="00751D8B"/>
    <w:rsid w:val="00752C1D"/>
    <w:rsid w:val="00752D10"/>
    <w:rsid w:val="00753039"/>
    <w:rsid w:val="0075305D"/>
    <w:rsid w:val="00753702"/>
    <w:rsid w:val="007538CA"/>
    <w:rsid w:val="007539EA"/>
    <w:rsid w:val="00753C04"/>
    <w:rsid w:val="00753EB1"/>
    <w:rsid w:val="00754347"/>
    <w:rsid w:val="007545C1"/>
    <w:rsid w:val="00754703"/>
    <w:rsid w:val="00754A1E"/>
    <w:rsid w:val="007552E4"/>
    <w:rsid w:val="00755475"/>
    <w:rsid w:val="00755639"/>
    <w:rsid w:val="00755679"/>
    <w:rsid w:val="007556CC"/>
    <w:rsid w:val="0075580C"/>
    <w:rsid w:val="0075597A"/>
    <w:rsid w:val="00755993"/>
    <w:rsid w:val="00755B59"/>
    <w:rsid w:val="007562B7"/>
    <w:rsid w:val="0075654E"/>
    <w:rsid w:val="0075679A"/>
    <w:rsid w:val="007568B4"/>
    <w:rsid w:val="00756944"/>
    <w:rsid w:val="00756C5D"/>
    <w:rsid w:val="00756C9C"/>
    <w:rsid w:val="00756D70"/>
    <w:rsid w:val="00757053"/>
    <w:rsid w:val="0075725C"/>
    <w:rsid w:val="0075769D"/>
    <w:rsid w:val="00757806"/>
    <w:rsid w:val="0075780A"/>
    <w:rsid w:val="00757A70"/>
    <w:rsid w:val="00757E2E"/>
    <w:rsid w:val="00757F24"/>
    <w:rsid w:val="0076019F"/>
    <w:rsid w:val="007605FF"/>
    <w:rsid w:val="00760674"/>
    <w:rsid w:val="007606A1"/>
    <w:rsid w:val="007606A5"/>
    <w:rsid w:val="007606CC"/>
    <w:rsid w:val="00760A93"/>
    <w:rsid w:val="00760AC5"/>
    <w:rsid w:val="00760B8E"/>
    <w:rsid w:val="00760E53"/>
    <w:rsid w:val="00761126"/>
    <w:rsid w:val="00761163"/>
    <w:rsid w:val="007613B8"/>
    <w:rsid w:val="0076187D"/>
    <w:rsid w:val="00761DBC"/>
    <w:rsid w:val="007624E0"/>
    <w:rsid w:val="0076265A"/>
    <w:rsid w:val="007627FB"/>
    <w:rsid w:val="00762854"/>
    <w:rsid w:val="00762C62"/>
    <w:rsid w:val="00762F52"/>
    <w:rsid w:val="00763504"/>
    <w:rsid w:val="00763B62"/>
    <w:rsid w:val="00763ECC"/>
    <w:rsid w:val="007642C4"/>
    <w:rsid w:val="00764532"/>
    <w:rsid w:val="007647CB"/>
    <w:rsid w:val="00764A66"/>
    <w:rsid w:val="0076519F"/>
    <w:rsid w:val="00765586"/>
    <w:rsid w:val="007659AB"/>
    <w:rsid w:val="00766518"/>
    <w:rsid w:val="00766DCB"/>
    <w:rsid w:val="00766EB0"/>
    <w:rsid w:val="00767239"/>
    <w:rsid w:val="00767335"/>
    <w:rsid w:val="00767412"/>
    <w:rsid w:val="007675E9"/>
    <w:rsid w:val="00767665"/>
    <w:rsid w:val="0076794C"/>
    <w:rsid w:val="00767BC1"/>
    <w:rsid w:val="00770220"/>
    <w:rsid w:val="00770392"/>
    <w:rsid w:val="0077079C"/>
    <w:rsid w:val="007708EE"/>
    <w:rsid w:val="0077094E"/>
    <w:rsid w:val="007709E6"/>
    <w:rsid w:val="007712EB"/>
    <w:rsid w:val="00771599"/>
    <w:rsid w:val="00771B3F"/>
    <w:rsid w:val="007721A5"/>
    <w:rsid w:val="00772A1C"/>
    <w:rsid w:val="00772AFB"/>
    <w:rsid w:val="00773388"/>
    <w:rsid w:val="007733ED"/>
    <w:rsid w:val="00773458"/>
    <w:rsid w:val="00773707"/>
    <w:rsid w:val="007738F9"/>
    <w:rsid w:val="00773B82"/>
    <w:rsid w:val="00773EC3"/>
    <w:rsid w:val="00773F87"/>
    <w:rsid w:val="0077427B"/>
    <w:rsid w:val="007743EB"/>
    <w:rsid w:val="007744DC"/>
    <w:rsid w:val="0077488D"/>
    <w:rsid w:val="00774A3F"/>
    <w:rsid w:val="00774A93"/>
    <w:rsid w:val="00775113"/>
    <w:rsid w:val="0077562F"/>
    <w:rsid w:val="00775D37"/>
    <w:rsid w:val="00775EA7"/>
    <w:rsid w:val="00775F76"/>
    <w:rsid w:val="00775F98"/>
    <w:rsid w:val="007764B4"/>
    <w:rsid w:val="007764C4"/>
    <w:rsid w:val="00776713"/>
    <w:rsid w:val="00776CDB"/>
    <w:rsid w:val="00776E12"/>
    <w:rsid w:val="007773E5"/>
    <w:rsid w:val="00777586"/>
    <w:rsid w:val="0077771C"/>
    <w:rsid w:val="00777771"/>
    <w:rsid w:val="00777EE7"/>
    <w:rsid w:val="00780161"/>
    <w:rsid w:val="00780349"/>
    <w:rsid w:val="007809D0"/>
    <w:rsid w:val="00780A81"/>
    <w:rsid w:val="00780DD5"/>
    <w:rsid w:val="00781419"/>
    <w:rsid w:val="00781671"/>
    <w:rsid w:val="00781940"/>
    <w:rsid w:val="00781A1E"/>
    <w:rsid w:val="00781F13"/>
    <w:rsid w:val="00782111"/>
    <w:rsid w:val="00782195"/>
    <w:rsid w:val="007821BE"/>
    <w:rsid w:val="007823BF"/>
    <w:rsid w:val="00782436"/>
    <w:rsid w:val="007824FB"/>
    <w:rsid w:val="00782588"/>
    <w:rsid w:val="0078268C"/>
    <w:rsid w:val="007826BA"/>
    <w:rsid w:val="007828FC"/>
    <w:rsid w:val="00782A77"/>
    <w:rsid w:val="00782C3B"/>
    <w:rsid w:val="00782EFC"/>
    <w:rsid w:val="00783129"/>
    <w:rsid w:val="0078326D"/>
    <w:rsid w:val="0078368A"/>
    <w:rsid w:val="00783B9A"/>
    <w:rsid w:val="00783F4D"/>
    <w:rsid w:val="00783FBE"/>
    <w:rsid w:val="00784020"/>
    <w:rsid w:val="0078429B"/>
    <w:rsid w:val="0078454D"/>
    <w:rsid w:val="007845CC"/>
    <w:rsid w:val="00784A4B"/>
    <w:rsid w:val="00784B59"/>
    <w:rsid w:val="00784DDC"/>
    <w:rsid w:val="0078519D"/>
    <w:rsid w:val="007853FE"/>
    <w:rsid w:val="0078563E"/>
    <w:rsid w:val="00785655"/>
    <w:rsid w:val="00785690"/>
    <w:rsid w:val="00785720"/>
    <w:rsid w:val="00785724"/>
    <w:rsid w:val="007858E5"/>
    <w:rsid w:val="00785CBD"/>
    <w:rsid w:val="00786042"/>
    <w:rsid w:val="00786095"/>
    <w:rsid w:val="007861F3"/>
    <w:rsid w:val="0078680C"/>
    <w:rsid w:val="00786D5C"/>
    <w:rsid w:val="007872E2"/>
    <w:rsid w:val="00787594"/>
    <w:rsid w:val="00787600"/>
    <w:rsid w:val="00787812"/>
    <w:rsid w:val="00787B6D"/>
    <w:rsid w:val="00787C92"/>
    <w:rsid w:val="00787DD7"/>
    <w:rsid w:val="00787DF8"/>
    <w:rsid w:val="00787EEF"/>
    <w:rsid w:val="00790087"/>
    <w:rsid w:val="00790699"/>
    <w:rsid w:val="007906DB"/>
    <w:rsid w:val="00790B8D"/>
    <w:rsid w:val="00790C74"/>
    <w:rsid w:val="0079129A"/>
    <w:rsid w:val="007913DE"/>
    <w:rsid w:val="0079159D"/>
    <w:rsid w:val="00791697"/>
    <w:rsid w:val="00791A39"/>
    <w:rsid w:val="00791D33"/>
    <w:rsid w:val="00791F0B"/>
    <w:rsid w:val="00791F0F"/>
    <w:rsid w:val="0079216B"/>
    <w:rsid w:val="007921E0"/>
    <w:rsid w:val="007926D4"/>
    <w:rsid w:val="007926DD"/>
    <w:rsid w:val="00792704"/>
    <w:rsid w:val="00792A68"/>
    <w:rsid w:val="00792B2D"/>
    <w:rsid w:val="00793BA7"/>
    <w:rsid w:val="00794149"/>
    <w:rsid w:val="0079425F"/>
    <w:rsid w:val="00794434"/>
    <w:rsid w:val="00794DC0"/>
    <w:rsid w:val="00794E66"/>
    <w:rsid w:val="00794FB1"/>
    <w:rsid w:val="0079507D"/>
    <w:rsid w:val="007950EA"/>
    <w:rsid w:val="00795136"/>
    <w:rsid w:val="00795360"/>
    <w:rsid w:val="00795683"/>
    <w:rsid w:val="00795952"/>
    <w:rsid w:val="00796389"/>
    <w:rsid w:val="00796440"/>
    <w:rsid w:val="00796475"/>
    <w:rsid w:val="00796840"/>
    <w:rsid w:val="007968A6"/>
    <w:rsid w:val="00796941"/>
    <w:rsid w:val="00797329"/>
    <w:rsid w:val="00797E5B"/>
    <w:rsid w:val="00797EA4"/>
    <w:rsid w:val="00797EC6"/>
    <w:rsid w:val="007A0059"/>
    <w:rsid w:val="007A07CC"/>
    <w:rsid w:val="007A0882"/>
    <w:rsid w:val="007A09BB"/>
    <w:rsid w:val="007A0A7A"/>
    <w:rsid w:val="007A0B4D"/>
    <w:rsid w:val="007A0C4E"/>
    <w:rsid w:val="007A156F"/>
    <w:rsid w:val="007A1715"/>
    <w:rsid w:val="007A18B5"/>
    <w:rsid w:val="007A19E7"/>
    <w:rsid w:val="007A1A57"/>
    <w:rsid w:val="007A1DEE"/>
    <w:rsid w:val="007A26DF"/>
    <w:rsid w:val="007A28B0"/>
    <w:rsid w:val="007A2A54"/>
    <w:rsid w:val="007A2BC0"/>
    <w:rsid w:val="007A2CC6"/>
    <w:rsid w:val="007A2D80"/>
    <w:rsid w:val="007A2F89"/>
    <w:rsid w:val="007A310C"/>
    <w:rsid w:val="007A3399"/>
    <w:rsid w:val="007A34FC"/>
    <w:rsid w:val="007A376D"/>
    <w:rsid w:val="007A377A"/>
    <w:rsid w:val="007A3B52"/>
    <w:rsid w:val="007A3CBD"/>
    <w:rsid w:val="007A4198"/>
    <w:rsid w:val="007A41F8"/>
    <w:rsid w:val="007A4241"/>
    <w:rsid w:val="007A4496"/>
    <w:rsid w:val="007A46C1"/>
    <w:rsid w:val="007A47BC"/>
    <w:rsid w:val="007A49D1"/>
    <w:rsid w:val="007A4AFE"/>
    <w:rsid w:val="007A4C03"/>
    <w:rsid w:val="007A4F0B"/>
    <w:rsid w:val="007A5328"/>
    <w:rsid w:val="007A585B"/>
    <w:rsid w:val="007A59A5"/>
    <w:rsid w:val="007A5AAC"/>
    <w:rsid w:val="007A5D21"/>
    <w:rsid w:val="007A6574"/>
    <w:rsid w:val="007A664C"/>
    <w:rsid w:val="007A6820"/>
    <w:rsid w:val="007A6B11"/>
    <w:rsid w:val="007A6B72"/>
    <w:rsid w:val="007A6E99"/>
    <w:rsid w:val="007A6FAE"/>
    <w:rsid w:val="007A7291"/>
    <w:rsid w:val="007A7822"/>
    <w:rsid w:val="007A7A61"/>
    <w:rsid w:val="007A7BAC"/>
    <w:rsid w:val="007A7C1C"/>
    <w:rsid w:val="007A7E6E"/>
    <w:rsid w:val="007B027E"/>
    <w:rsid w:val="007B049F"/>
    <w:rsid w:val="007B0E97"/>
    <w:rsid w:val="007B17CC"/>
    <w:rsid w:val="007B1AE1"/>
    <w:rsid w:val="007B2096"/>
    <w:rsid w:val="007B213A"/>
    <w:rsid w:val="007B22AB"/>
    <w:rsid w:val="007B2A4C"/>
    <w:rsid w:val="007B2A67"/>
    <w:rsid w:val="007B2D09"/>
    <w:rsid w:val="007B2E23"/>
    <w:rsid w:val="007B2EF4"/>
    <w:rsid w:val="007B2EF5"/>
    <w:rsid w:val="007B32B8"/>
    <w:rsid w:val="007B3519"/>
    <w:rsid w:val="007B357D"/>
    <w:rsid w:val="007B4259"/>
    <w:rsid w:val="007B450C"/>
    <w:rsid w:val="007B474D"/>
    <w:rsid w:val="007B4846"/>
    <w:rsid w:val="007B492D"/>
    <w:rsid w:val="007B4C9E"/>
    <w:rsid w:val="007B4D24"/>
    <w:rsid w:val="007B4D9F"/>
    <w:rsid w:val="007B5315"/>
    <w:rsid w:val="007B5321"/>
    <w:rsid w:val="007B53E8"/>
    <w:rsid w:val="007B54B1"/>
    <w:rsid w:val="007B5771"/>
    <w:rsid w:val="007B5C18"/>
    <w:rsid w:val="007B5E31"/>
    <w:rsid w:val="007B5ED1"/>
    <w:rsid w:val="007B656C"/>
    <w:rsid w:val="007B6AE0"/>
    <w:rsid w:val="007B7516"/>
    <w:rsid w:val="007B7C83"/>
    <w:rsid w:val="007B7CFD"/>
    <w:rsid w:val="007B7D84"/>
    <w:rsid w:val="007B7F20"/>
    <w:rsid w:val="007C004B"/>
    <w:rsid w:val="007C0759"/>
    <w:rsid w:val="007C079E"/>
    <w:rsid w:val="007C0914"/>
    <w:rsid w:val="007C0AB2"/>
    <w:rsid w:val="007C1514"/>
    <w:rsid w:val="007C1DFB"/>
    <w:rsid w:val="007C1FAF"/>
    <w:rsid w:val="007C251F"/>
    <w:rsid w:val="007C2525"/>
    <w:rsid w:val="007C27EF"/>
    <w:rsid w:val="007C2A6D"/>
    <w:rsid w:val="007C2D70"/>
    <w:rsid w:val="007C2EFA"/>
    <w:rsid w:val="007C2FA1"/>
    <w:rsid w:val="007C34F0"/>
    <w:rsid w:val="007C3A1F"/>
    <w:rsid w:val="007C3BD4"/>
    <w:rsid w:val="007C3C8D"/>
    <w:rsid w:val="007C3E18"/>
    <w:rsid w:val="007C3E33"/>
    <w:rsid w:val="007C404C"/>
    <w:rsid w:val="007C43E3"/>
    <w:rsid w:val="007C4934"/>
    <w:rsid w:val="007C4BD7"/>
    <w:rsid w:val="007C4C3E"/>
    <w:rsid w:val="007C58F5"/>
    <w:rsid w:val="007C59DE"/>
    <w:rsid w:val="007C5C62"/>
    <w:rsid w:val="007C5CB7"/>
    <w:rsid w:val="007C5FF6"/>
    <w:rsid w:val="007C6017"/>
    <w:rsid w:val="007C633F"/>
    <w:rsid w:val="007C657E"/>
    <w:rsid w:val="007C6634"/>
    <w:rsid w:val="007C6D45"/>
    <w:rsid w:val="007C7303"/>
    <w:rsid w:val="007C7A7E"/>
    <w:rsid w:val="007C7C86"/>
    <w:rsid w:val="007C7DAB"/>
    <w:rsid w:val="007C7EC1"/>
    <w:rsid w:val="007D0385"/>
    <w:rsid w:val="007D062B"/>
    <w:rsid w:val="007D071B"/>
    <w:rsid w:val="007D0A5D"/>
    <w:rsid w:val="007D0DAE"/>
    <w:rsid w:val="007D0DBE"/>
    <w:rsid w:val="007D1065"/>
    <w:rsid w:val="007D11C9"/>
    <w:rsid w:val="007D14E2"/>
    <w:rsid w:val="007D1859"/>
    <w:rsid w:val="007D190B"/>
    <w:rsid w:val="007D19EC"/>
    <w:rsid w:val="007D1CCB"/>
    <w:rsid w:val="007D1F4D"/>
    <w:rsid w:val="007D2118"/>
    <w:rsid w:val="007D217F"/>
    <w:rsid w:val="007D21E8"/>
    <w:rsid w:val="007D26D2"/>
    <w:rsid w:val="007D26DC"/>
    <w:rsid w:val="007D283E"/>
    <w:rsid w:val="007D2C54"/>
    <w:rsid w:val="007D3117"/>
    <w:rsid w:val="007D3248"/>
    <w:rsid w:val="007D3905"/>
    <w:rsid w:val="007D3BB2"/>
    <w:rsid w:val="007D4005"/>
    <w:rsid w:val="007D425A"/>
    <w:rsid w:val="007D43D2"/>
    <w:rsid w:val="007D46F7"/>
    <w:rsid w:val="007D4D60"/>
    <w:rsid w:val="007D4F34"/>
    <w:rsid w:val="007D52CE"/>
    <w:rsid w:val="007D5654"/>
    <w:rsid w:val="007D57A2"/>
    <w:rsid w:val="007D5C44"/>
    <w:rsid w:val="007D5D8F"/>
    <w:rsid w:val="007D6117"/>
    <w:rsid w:val="007D624D"/>
    <w:rsid w:val="007D686E"/>
    <w:rsid w:val="007D6FB4"/>
    <w:rsid w:val="007D729A"/>
    <w:rsid w:val="007D75DF"/>
    <w:rsid w:val="007D7784"/>
    <w:rsid w:val="007D78D7"/>
    <w:rsid w:val="007D7CE5"/>
    <w:rsid w:val="007D7E24"/>
    <w:rsid w:val="007E0076"/>
    <w:rsid w:val="007E09A0"/>
    <w:rsid w:val="007E0C3B"/>
    <w:rsid w:val="007E0CBD"/>
    <w:rsid w:val="007E1277"/>
    <w:rsid w:val="007E12D8"/>
    <w:rsid w:val="007E1734"/>
    <w:rsid w:val="007E1885"/>
    <w:rsid w:val="007E1A15"/>
    <w:rsid w:val="007E1AD1"/>
    <w:rsid w:val="007E1B02"/>
    <w:rsid w:val="007E1E11"/>
    <w:rsid w:val="007E1FB4"/>
    <w:rsid w:val="007E21D1"/>
    <w:rsid w:val="007E228B"/>
    <w:rsid w:val="007E2567"/>
    <w:rsid w:val="007E25A5"/>
    <w:rsid w:val="007E2675"/>
    <w:rsid w:val="007E2797"/>
    <w:rsid w:val="007E287D"/>
    <w:rsid w:val="007E2A6E"/>
    <w:rsid w:val="007E2B8A"/>
    <w:rsid w:val="007E34A1"/>
    <w:rsid w:val="007E34E6"/>
    <w:rsid w:val="007E3553"/>
    <w:rsid w:val="007E398F"/>
    <w:rsid w:val="007E3A05"/>
    <w:rsid w:val="007E3CD1"/>
    <w:rsid w:val="007E3D88"/>
    <w:rsid w:val="007E419E"/>
    <w:rsid w:val="007E425C"/>
    <w:rsid w:val="007E448B"/>
    <w:rsid w:val="007E469C"/>
    <w:rsid w:val="007E4920"/>
    <w:rsid w:val="007E5199"/>
    <w:rsid w:val="007E51B9"/>
    <w:rsid w:val="007E5501"/>
    <w:rsid w:val="007E622D"/>
    <w:rsid w:val="007E623C"/>
    <w:rsid w:val="007E65BF"/>
    <w:rsid w:val="007E65DA"/>
    <w:rsid w:val="007E6619"/>
    <w:rsid w:val="007E67C9"/>
    <w:rsid w:val="007E6883"/>
    <w:rsid w:val="007E6920"/>
    <w:rsid w:val="007E7152"/>
    <w:rsid w:val="007E73C9"/>
    <w:rsid w:val="007E766F"/>
    <w:rsid w:val="007E7A53"/>
    <w:rsid w:val="007E7EE3"/>
    <w:rsid w:val="007E7F1F"/>
    <w:rsid w:val="007F0175"/>
    <w:rsid w:val="007F01BA"/>
    <w:rsid w:val="007F0A35"/>
    <w:rsid w:val="007F0AED"/>
    <w:rsid w:val="007F103B"/>
    <w:rsid w:val="007F14C1"/>
    <w:rsid w:val="007F14FB"/>
    <w:rsid w:val="007F151A"/>
    <w:rsid w:val="007F1609"/>
    <w:rsid w:val="007F16A3"/>
    <w:rsid w:val="007F1912"/>
    <w:rsid w:val="007F1CF9"/>
    <w:rsid w:val="007F1D96"/>
    <w:rsid w:val="007F1E53"/>
    <w:rsid w:val="007F2855"/>
    <w:rsid w:val="007F2985"/>
    <w:rsid w:val="007F29BE"/>
    <w:rsid w:val="007F2B2C"/>
    <w:rsid w:val="007F2B31"/>
    <w:rsid w:val="007F2B66"/>
    <w:rsid w:val="007F2CE9"/>
    <w:rsid w:val="007F3069"/>
    <w:rsid w:val="007F3995"/>
    <w:rsid w:val="007F4134"/>
    <w:rsid w:val="007F432C"/>
    <w:rsid w:val="007F438C"/>
    <w:rsid w:val="007F4481"/>
    <w:rsid w:val="007F46E7"/>
    <w:rsid w:val="007F4B08"/>
    <w:rsid w:val="007F4D01"/>
    <w:rsid w:val="007F4E7D"/>
    <w:rsid w:val="007F4ED4"/>
    <w:rsid w:val="007F4F4E"/>
    <w:rsid w:val="007F4F95"/>
    <w:rsid w:val="007F5096"/>
    <w:rsid w:val="007F5540"/>
    <w:rsid w:val="007F55A4"/>
    <w:rsid w:val="007F5842"/>
    <w:rsid w:val="007F5903"/>
    <w:rsid w:val="007F615D"/>
    <w:rsid w:val="007F6313"/>
    <w:rsid w:val="007F6489"/>
    <w:rsid w:val="007F660D"/>
    <w:rsid w:val="007F664D"/>
    <w:rsid w:val="007F66C7"/>
    <w:rsid w:val="007F6B16"/>
    <w:rsid w:val="007F6CEF"/>
    <w:rsid w:val="007F712F"/>
    <w:rsid w:val="007F7616"/>
    <w:rsid w:val="007F7633"/>
    <w:rsid w:val="007F7CD1"/>
    <w:rsid w:val="007F7E6A"/>
    <w:rsid w:val="00800062"/>
    <w:rsid w:val="00801166"/>
    <w:rsid w:val="008011DE"/>
    <w:rsid w:val="00801292"/>
    <w:rsid w:val="0080141E"/>
    <w:rsid w:val="00801F01"/>
    <w:rsid w:val="00801F35"/>
    <w:rsid w:val="00802138"/>
    <w:rsid w:val="00802793"/>
    <w:rsid w:val="00802AF7"/>
    <w:rsid w:val="00802EBC"/>
    <w:rsid w:val="0080314F"/>
    <w:rsid w:val="008033E2"/>
    <w:rsid w:val="00803406"/>
    <w:rsid w:val="008036D6"/>
    <w:rsid w:val="008036DE"/>
    <w:rsid w:val="0080381E"/>
    <w:rsid w:val="00803FAC"/>
    <w:rsid w:val="008044B8"/>
    <w:rsid w:val="008045AD"/>
    <w:rsid w:val="00804B1C"/>
    <w:rsid w:val="00804C06"/>
    <w:rsid w:val="008055AD"/>
    <w:rsid w:val="00805A62"/>
    <w:rsid w:val="0080622D"/>
    <w:rsid w:val="00806421"/>
    <w:rsid w:val="0080671E"/>
    <w:rsid w:val="00806E2C"/>
    <w:rsid w:val="008070AB"/>
    <w:rsid w:val="008070C3"/>
    <w:rsid w:val="00807332"/>
    <w:rsid w:val="0080738F"/>
    <w:rsid w:val="00807450"/>
    <w:rsid w:val="00807614"/>
    <w:rsid w:val="00807655"/>
    <w:rsid w:val="00807675"/>
    <w:rsid w:val="00807A93"/>
    <w:rsid w:val="00807B6B"/>
    <w:rsid w:val="00810651"/>
    <w:rsid w:val="00810660"/>
    <w:rsid w:val="00810860"/>
    <w:rsid w:val="00810BB2"/>
    <w:rsid w:val="00810E7B"/>
    <w:rsid w:val="00811294"/>
    <w:rsid w:val="008113AC"/>
    <w:rsid w:val="00811480"/>
    <w:rsid w:val="008114D3"/>
    <w:rsid w:val="00811AA4"/>
    <w:rsid w:val="00812149"/>
    <w:rsid w:val="00812272"/>
    <w:rsid w:val="0081227F"/>
    <w:rsid w:val="00812658"/>
    <w:rsid w:val="008126BD"/>
    <w:rsid w:val="008126D7"/>
    <w:rsid w:val="0081290B"/>
    <w:rsid w:val="00812A6C"/>
    <w:rsid w:val="00812ACC"/>
    <w:rsid w:val="00812FC2"/>
    <w:rsid w:val="00813138"/>
    <w:rsid w:val="00813458"/>
    <w:rsid w:val="008134BD"/>
    <w:rsid w:val="008135FF"/>
    <w:rsid w:val="0081392F"/>
    <w:rsid w:val="00813C9A"/>
    <w:rsid w:val="00813DD9"/>
    <w:rsid w:val="00813E25"/>
    <w:rsid w:val="008144F1"/>
    <w:rsid w:val="0081493B"/>
    <w:rsid w:val="00814A5F"/>
    <w:rsid w:val="00814CEC"/>
    <w:rsid w:val="008155EA"/>
    <w:rsid w:val="00815774"/>
    <w:rsid w:val="008158E0"/>
    <w:rsid w:val="00816142"/>
    <w:rsid w:val="00816A1D"/>
    <w:rsid w:val="00816D63"/>
    <w:rsid w:val="008170DD"/>
    <w:rsid w:val="00817BF6"/>
    <w:rsid w:val="00817C0F"/>
    <w:rsid w:val="00817E38"/>
    <w:rsid w:val="00817F95"/>
    <w:rsid w:val="0082000E"/>
    <w:rsid w:val="008201A3"/>
    <w:rsid w:val="00820416"/>
    <w:rsid w:val="008206CB"/>
    <w:rsid w:val="00820923"/>
    <w:rsid w:val="00820FB0"/>
    <w:rsid w:val="00820FC3"/>
    <w:rsid w:val="0082124D"/>
    <w:rsid w:val="00821805"/>
    <w:rsid w:val="00821968"/>
    <w:rsid w:val="00821ACF"/>
    <w:rsid w:val="00821BD6"/>
    <w:rsid w:val="00821CCF"/>
    <w:rsid w:val="008222B3"/>
    <w:rsid w:val="008224CE"/>
    <w:rsid w:val="008228CA"/>
    <w:rsid w:val="00822905"/>
    <w:rsid w:val="00822A24"/>
    <w:rsid w:val="00822AE3"/>
    <w:rsid w:val="00823408"/>
    <w:rsid w:val="00823409"/>
    <w:rsid w:val="008234BF"/>
    <w:rsid w:val="0082362F"/>
    <w:rsid w:val="008238B9"/>
    <w:rsid w:val="008241B6"/>
    <w:rsid w:val="00824226"/>
    <w:rsid w:val="00824485"/>
    <w:rsid w:val="00824B64"/>
    <w:rsid w:val="00824C62"/>
    <w:rsid w:val="00824E9C"/>
    <w:rsid w:val="008251E9"/>
    <w:rsid w:val="0082557C"/>
    <w:rsid w:val="00825666"/>
    <w:rsid w:val="00825BDE"/>
    <w:rsid w:val="0082614E"/>
    <w:rsid w:val="00826241"/>
    <w:rsid w:val="008262F8"/>
    <w:rsid w:val="0082655F"/>
    <w:rsid w:val="0082659E"/>
    <w:rsid w:val="00826904"/>
    <w:rsid w:val="00826952"/>
    <w:rsid w:val="008270B9"/>
    <w:rsid w:val="00827312"/>
    <w:rsid w:val="008274DC"/>
    <w:rsid w:val="00827687"/>
    <w:rsid w:val="00827873"/>
    <w:rsid w:val="00827946"/>
    <w:rsid w:val="008279BC"/>
    <w:rsid w:val="00827A1A"/>
    <w:rsid w:val="00827A6B"/>
    <w:rsid w:val="00827FE3"/>
    <w:rsid w:val="0083012C"/>
    <w:rsid w:val="00830356"/>
    <w:rsid w:val="00830479"/>
    <w:rsid w:val="00830501"/>
    <w:rsid w:val="00830543"/>
    <w:rsid w:val="00830B9C"/>
    <w:rsid w:val="00830C05"/>
    <w:rsid w:val="00830D57"/>
    <w:rsid w:val="00830DC5"/>
    <w:rsid w:val="00830EA9"/>
    <w:rsid w:val="00831072"/>
    <w:rsid w:val="008310A9"/>
    <w:rsid w:val="0083112F"/>
    <w:rsid w:val="0083115B"/>
    <w:rsid w:val="00831313"/>
    <w:rsid w:val="00831519"/>
    <w:rsid w:val="00831A00"/>
    <w:rsid w:val="00831AC6"/>
    <w:rsid w:val="00831CC5"/>
    <w:rsid w:val="00831FB0"/>
    <w:rsid w:val="008321BA"/>
    <w:rsid w:val="008322A9"/>
    <w:rsid w:val="00832B2D"/>
    <w:rsid w:val="00832B36"/>
    <w:rsid w:val="00832D1F"/>
    <w:rsid w:val="00832DE0"/>
    <w:rsid w:val="00833006"/>
    <w:rsid w:val="00833236"/>
    <w:rsid w:val="00833443"/>
    <w:rsid w:val="008334E8"/>
    <w:rsid w:val="00833598"/>
    <w:rsid w:val="00833638"/>
    <w:rsid w:val="0083395F"/>
    <w:rsid w:val="008339E1"/>
    <w:rsid w:val="00833DAF"/>
    <w:rsid w:val="00833DBA"/>
    <w:rsid w:val="00833F52"/>
    <w:rsid w:val="008343AE"/>
    <w:rsid w:val="008346B1"/>
    <w:rsid w:val="00834835"/>
    <w:rsid w:val="00834B7D"/>
    <w:rsid w:val="00834C74"/>
    <w:rsid w:val="00835060"/>
    <w:rsid w:val="008354B1"/>
    <w:rsid w:val="008354F1"/>
    <w:rsid w:val="00835624"/>
    <w:rsid w:val="00835F86"/>
    <w:rsid w:val="00836082"/>
    <w:rsid w:val="00836824"/>
    <w:rsid w:val="008368C2"/>
    <w:rsid w:val="008369F4"/>
    <w:rsid w:val="00836A88"/>
    <w:rsid w:val="00836C05"/>
    <w:rsid w:val="00836FE8"/>
    <w:rsid w:val="00837016"/>
    <w:rsid w:val="00837059"/>
    <w:rsid w:val="00837219"/>
    <w:rsid w:val="00837507"/>
    <w:rsid w:val="00837667"/>
    <w:rsid w:val="00837676"/>
    <w:rsid w:val="008377C5"/>
    <w:rsid w:val="00837810"/>
    <w:rsid w:val="00837900"/>
    <w:rsid w:val="008379AA"/>
    <w:rsid w:val="00837E4B"/>
    <w:rsid w:val="00840398"/>
    <w:rsid w:val="00840891"/>
    <w:rsid w:val="008408B3"/>
    <w:rsid w:val="008408D5"/>
    <w:rsid w:val="00840DCC"/>
    <w:rsid w:val="00840E79"/>
    <w:rsid w:val="00840F6A"/>
    <w:rsid w:val="00841EE7"/>
    <w:rsid w:val="008422A6"/>
    <w:rsid w:val="008425F6"/>
    <w:rsid w:val="00842D9B"/>
    <w:rsid w:val="00842E47"/>
    <w:rsid w:val="00842E76"/>
    <w:rsid w:val="00842EF6"/>
    <w:rsid w:val="008433CF"/>
    <w:rsid w:val="008434FE"/>
    <w:rsid w:val="00843687"/>
    <w:rsid w:val="00843694"/>
    <w:rsid w:val="0084385E"/>
    <w:rsid w:val="00844371"/>
    <w:rsid w:val="00844648"/>
    <w:rsid w:val="008449B0"/>
    <w:rsid w:val="00844D1A"/>
    <w:rsid w:val="00844EA9"/>
    <w:rsid w:val="00845125"/>
    <w:rsid w:val="00845462"/>
    <w:rsid w:val="008456C6"/>
    <w:rsid w:val="008457C2"/>
    <w:rsid w:val="008459D2"/>
    <w:rsid w:val="00845B3C"/>
    <w:rsid w:val="00845CB5"/>
    <w:rsid w:val="00845E2E"/>
    <w:rsid w:val="008460EE"/>
    <w:rsid w:val="008466AC"/>
    <w:rsid w:val="008468C6"/>
    <w:rsid w:val="00846A16"/>
    <w:rsid w:val="00846C2D"/>
    <w:rsid w:val="00846DB0"/>
    <w:rsid w:val="008471A9"/>
    <w:rsid w:val="008475B4"/>
    <w:rsid w:val="0084775C"/>
    <w:rsid w:val="00847B2B"/>
    <w:rsid w:val="00847BD8"/>
    <w:rsid w:val="00847D47"/>
    <w:rsid w:val="00847DB3"/>
    <w:rsid w:val="00847F66"/>
    <w:rsid w:val="0085056B"/>
    <w:rsid w:val="008506EC"/>
    <w:rsid w:val="00850900"/>
    <w:rsid w:val="00850B7D"/>
    <w:rsid w:val="00850BCE"/>
    <w:rsid w:val="00850D15"/>
    <w:rsid w:val="00850F82"/>
    <w:rsid w:val="00851052"/>
    <w:rsid w:val="00851110"/>
    <w:rsid w:val="008511E3"/>
    <w:rsid w:val="008513EF"/>
    <w:rsid w:val="0085170F"/>
    <w:rsid w:val="0085195B"/>
    <w:rsid w:val="00851C4C"/>
    <w:rsid w:val="00851DB0"/>
    <w:rsid w:val="0085217A"/>
    <w:rsid w:val="008521AA"/>
    <w:rsid w:val="00852400"/>
    <w:rsid w:val="008525DB"/>
    <w:rsid w:val="00852790"/>
    <w:rsid w:val="00852A5C"/>
    <w:rsid w:val="00853040"/>
    <w:rsid w:val="00853435"/>
    <w:rsid w:val="00853775"/>
    <w:rsid w:val="0085389E"/>
    <w:rsid w:val="008538E9"/>
    <w:rsid w:val="00853B23"/>
    <w:rsid w:val="008540B7"/>
    <w:rsid w:val="00854229"/>
    <w:rsid w:val="00854254"/>
    <w:rsid w:val="0085476B"/>
    <w:rsid w:val="00854B70"/>
    <w:rsid w:val="008551A3"/>
    <w:rsid w:val="008552A2"/>
    <w:rsid w:val="008559CE"/>
    <w:rsid w:val="00855A79"/>
    <w:rsid w:val="00855F68"/>
    <w:rsid w:val="008560A3"/>
    <w:rsid w:val="008566C4"/>
    <w:rsid w:val="00856870"/>
    <w:rsid w:val="00856CA0"/>
    <w:rsid w:val="00856DDC"/>
    <w:rsid w:val="00857129"/>
    <w:rsid w:val="00857221"/>
    <w:rsid w:val="00857261"/>
    <w:rsid w:val="00857361"/>
    <w:rsid w:val="00857A0D"/>
    <w:rsid w:val="00857E51"/>
    <w:rsid w:val="00857F6D"/>
    <w:rsid w:val="00860B30"/>
    <w:rsid w:val="00860B34"/>
    <w:rsid w:val="00860D8C"/>
    <w:rsid w:val="00860DE2"/>
    <w:rsid w:val="0086145C"/>
    <w:rsid w:val="008616B6"/>
    <w:rsid w:val="00861758"/>
    <w:rsid w:val="00861918"/>
    <w:rsid w:val="00861D65"/>
    <w:rsid w:val="00861FF9"/>
    <w:rsid w:val="00862120"/>
    <w:rsid w:val="00862243"/>
    <w:rsid w:val="008622EE"/>
    <w:rsid w:val="00862500"/>
    <w:rsid w:val="0086261B"/>
    <w:rsid w:val="00862C34"/>
    <w:rsid w:val="00862FA3"/>
    <w:rsid w:val="00862FF7"/>
    <w:rsid w:val="008630C1"/>
    <w:rsid w:val="0086310A"/>
    <w:rsid w:val="008631C6"/>
    <w:rsid w:val="0086320A"/>
    <w:rsid w:val="00863570"/>
    <w:rsid w:val="008636F6"/>
    <w:rsid w:val="00863730"/>
    <w:rsid w:val="00863772"/>
    <w:rsid w:val="00863F66"/>
    <w:rsid w:val="0086418D"/>
    <w:rsid w:val="00864267"/>
    <w:rsid w:val="00864760"/>
    <w:rsid w:val="00864882"/>
    <w:rsid w:val="00864AB0"/>
    <w:rsid w:val="00864D55"/>
    <w:rsid w:val="00864FC3"/>
    <w:rsid w:val="00864FEC"/>
    <w:rsid w:val="008652BE"/>
    <w:rsid w:val="00865417"/>
    <w:rsid w:val="00865826"/>
    <w:rsid w:val="0086586F"/>
    <w:rsid w:val="00865879"/>
    <w:rsid w:val="00865A6F"/>
    <w:rsid w:val="00865E08"/>
    <w:rsid w:val="00866455"/>
    <w:rsid w:val="00866849"/>
    <w:rsid w:val="00866931"/>
    <w:rsid w:val="00866D6A"/>
    <w:rsid w:val="00867123"/>
    <w:rsid w:val="008671AA"/>
    <w:rsid w:val="00867433"/>
    <w:rsid w:val="00867490"/>
    <w:rsid w:val="00867AEB"/>
    <w:rsid w:val="00870337"/>
    <w:rsid w:val="008704E2"/>
    <w:rsid w:val="00870DE0"/>
    <w:rsid w:val="00870E58"/>
    <w:rsid w:val="00870FD0"/>
    <w:rsid w:val="008714B5"/>
    <w:rsid w:val="008718F6"/>
    <w:rsid w:val="008719FE"/>
    <w:rsid w:val="00871DA0"/>
    <w:rsid w:val="0087246D"/>
    <w:rsid w:val="0087269C"/>
    <w:rsid w:val="008729E1"/>
    <w:rsid w:val="00872A31"/>
    <w:rsid w:val="00872B94"/>
    <w:rsid w:val="00872BC9"/>
    <w:rsid w:val="00872E27"/>
    <w:rsid w:val="00872F45"/>
    <w:rsid w:val="0087348A"/>
    <w:rsid w:val="00873632"/>
    <w:rsid w:val="00873E2D"/>
    <w:rsid w:val="008741EF"/>
    <w:rsid w:val="008744A0"/>
    <w:rsid w:val="008747DF"/>
    <w:rsid w:val="008748FC"/>
    <w:rsid w:val="00874D21"/>
    <w:rsid w:val="00874DE9"/>
    <w:rsid w:val="008750EC"/>
    <w:rsid w:val="0087539E"/>
    <w:rsid w:val="0087556B"/>
    <w:rsid w:val="00875F03"/>
    <w:rsid w:val="008760EE"/>
    <w:rsid w:val="0087622D"/>
    <w:rsid w:val="008763AA"/>
    <w:rsid w:val="00876571"/>
    <w:rsid w:val="008767F7"/>
    <w:rsid w:val="00876874"/>
    <w:rsid w:val="0087690B"/>
    <w:rsid w:val="00876B90"/>
    <w:rsid w:val="00876D3E"/>
    <w:rsid w:val="00876E0E"/>
    <w:rsid w:val="00877723"/>
    <w:rsid w:val="0087788F"/>
    <w:rsid w:val="00877A83"/>
    <w:rsid w:val="00877D62"/>
    <w:rsid w:val="00877E82"/>
    <w:rsid w:val="00880476"/>
    <w:rsid w:val="008805A6"/>
    <w:rsid w:val="0088097C"/>
    <w:rsid w:val="00880ABB"/>
    <w:rsid w:val="00880C2D"/>
    <w:rsid w:val="00880D09"/>
    <w:rsid w:val="00880DFE"/>
    <w:rsid w:val="00880E6B"/>
    <w:rsid w:val="00880FF1"/>
    <w:rsid w:val="0088128E"/>
    <w:rsid w:val="00881365"/>
    <w:rsid w:val="008815DB"/>
    <w:rsid w:val="008815F0"/>
    <w:rsid w:val="00881686"/>
    <w:rsid w:val="0088180D"/>
    <w:rsid w:val="00882139"/>
    <w:rsid w:val="0088249B"/>
    <w:rsid w:val="008829D6"/>
    <w:rsid w:val="00882D34"/>
    <w:rsid w:val="00882DE8"/>
    <w:rsid w:val="00883365"/>
    <w:rsid w:val="0088337E"/>
    <w:rsid w:val="008834F9"/>
    <w:rsid w:val="00883786"/>
    <w:rsid w:val="00883AC6"/>
    <w:rsid w:val="00883E6C"/>
    <w:rsid w:val="00883F4E"/>
    <w:rsid w:val="0088446C"/>
    <w:rsid w:val="00884513"/>
    <w:rsid w:val="008847B4"/>
    <w:rsid w:val="0088480E"/>
    <w:rsid w:val="00884957"/>
    <w:rsid w:val="00884A8A"/>
    <w:rsid w:val="00884BEA"/>
    <w:rsid w:val="008850D1"/>
    <w:rsid w:val="0088518A"/>
    <w:rsid w:val="0088519E"/>
    <w:rsid w:val="00886242"/>
    <w:rsid w:val="00886258"/>
    <w:rsid w:val="00886C90"/>
    <w:rsid w:val="00886CC8"/>
    <w:rsid w:val="00886CFD"/>
    <w:rsid w:val="00886E9E"/>
    <w:rsid w:val="00886FAE"/>
    <w:rsid w:val="008871EE"/>
    <w:rsid w:val="00887403"/>
    <w:rsid w:val="008875F9"/>
    <w:rsid w:val="00887789"/>
    <w:rsid w:val="00887CD3"/>
    <w:rsid w:val="00887E37"/>
    <w:rsid w:val="00887EB6"/>
    <w:rsid w:val="008901F7"/>
    <w:rsid w:val="00890782"/>
    <w:rsid w:val="008908B0"/>
    <w:rsid w:val="00890BAA"/>
    <w:rsid w:val="00890C31"/>
    <w:rsid w:val="00890CCC"/>
    <w:rsid w:val="0089102D"/>
    <w:rsid w:val="0089104F"/>
    <w:rsid w:val="0089122B"/>
    <w:rsid w:val="00891527"/>
    <w:rsid w:val="008915A8"/>
    <w:rsid w:val="00891763"/>
    <w:rsid w:val="0089189F"/>
    <w:rsid w:val="00891AC8"/>
    <w:rsid w:val="00891F10"/>
    <w:rsid w:val="008922F3"/>
    <w:rsid w:val="008923E1"/>
    <w:rsid w:val="00892842"/>
    <w:rsid w:val="008929D0"/>
    <w:rsid w:val="00892CB8"/>
    <w:rsid w:val="008933A6"/>
    <w:rsid w:val="00893582"/>
    <w:rsid w:val="008939C4"/>
    <w:rsid w:val="00893CE1"/>
    <w:rsid w:val="0089416A"/>
    <w:rsid w:val="008945CB"/>
    <w:rsid w:val="008946A5"/>
    <w:rsid w:val="008948BF"/>
    <w:rsid w:val="00894BCD"/>
    <w:rsid w:val="00894C21"/>
    <w:rsid w:val="00894DDE"/>
    <w:rsid w:val="008950C6"/>
    <w:rsid w:val="0089533C"/>
    <w:rsid w:val="00895673"/>
    <w:rsid w:val="00895728"/>
    <w:rsid w:val="008958DF"/>
    <w:rsid w:val="00895A16"/>
    <w:rsid w:val="00895E8A"/>
    <w:rsid w:val="00895F09"/>
    <w:rsid w:val="008962C5"/>
    <w:rsid w:val="008966E8"/>
    <w:rsid w:val="0089674A"/>
    <w:rsid w:val="0089676D"/>
    <w:rsid w:val="008967B4"/>
    <w:rsid w:val="00896A65"/>
    <w:rsid w:val="00896D16"/>
    <w:rsid w:val="00896DC1"/>
    <w:rsid w:val="008971E7"/>
    <w:rsid w:val="0089768D"/>
    <w:rsid w:val="008978B3"/>
    <w:rsid w:val="00897949"/>
    <w:rsid w:val="008A053A"/>
    <w:rsid w:val="008A05A1"/>
    <w:rsid w:val="008A0E05"/>
    <w:rsid w:val="008A0F65"/>
    <w:rsid w:val="008A101C"/>
    <w:rsid w:val="008A110D"/>
    <w:rsid w:val="008A1124"/>
    <w:rsid w:val="008A17B6"/>
    <w:rsid w:val="008A2005"/>
    <w:rsid w:val="008A223C"/>
    <w:rsid w:val="008A25E3"/>
    <w:rsid w:val="008A27B5"/>
    <w:rsid w:val="008A2C23"/>
    <w:rsid w:val="008A30B5"/>
    <w:rsid w:val="008A4624"/>
    <w:rsid w:val="008A47AC"/>
    <w:rsid w:val="008A4AB6"/>
    <w:rsid w:val="008A4C7C"/>
    <w:rsid w:val="008A521E"/>
    <w:rsid w:val="008A5238"/>
    <w:rsid w:val="008A5606"/>
    <w:rsid w:val="008A620B"/>
    <w:rsid w:val="008A6590"/>
    <w:rsid w:val="008A66A0"/>
    <w:rsid w:val="008A692C"/>
    <w:rsid w:val="008A6D58"/>
    <w:rsid w:val="008A6FE6"/>
    <w:rsid w:val="008A747D"/>
    <w:rsid w:val="008A768F"/>
    <w:rsid w:val="008A78E9"/>
    <w:rsid w:val="008A7EB1"/>
    <w:rsid w:val="008A7FE0"/>
    <w:rsid w:val="008B007D"/>
    <w:rsid w:val="008B02DE"/>
    <w:rsid w:val="008B050D"/>
    <w:rsid w:val="008B06D3"/>
    <w:rsid w:val="008B0908"/>
    <w:rsid w:val="008B0BCB"/>
    <w:rsid w:val="008B0D32"/>
    <w:rsid w:val="008B1162"/>
    <w:rsid w:val="008B160F"/>
    <w:rsid w:val="008B1627"/>
    <w:rsid w:val="008B1825"/>
    <w:rsid w:val="008B1A66"/>
    <w:rsid w:val="008B1A79"/>
    <w:rsid w:val="008B1C60"/>
    <w:rsid w:val="008B27EB"/>
    <w:rsid w:val="008B2903"/>
    <w:rsid w:val="008B2BCC"/>
    <w:rsid w:val="008B2CCB"/>
    <w:rsid w:val="008B2D94"/>
    <w:rsid w:val="008B3107"/>
    <w:rsid w:val="008B384A"/>
    <w:rsid w:val="008B39E2"/>
    <w:rsid w:val="008B3A9C"/>
    <w:rsid w:val="008B3BA0"/>
    <w:rsid w:val="008B3C6D"/>
    <w:rsid w:val="008B3D79"/>
    <w:rsid w:val="008B3D8A"/>
    <w:rsid w:val="008B3F48"/>
    <w:rsid w:val="008B44F5"/>
    <w:rsid w:val="008B4674"/>
    <w:rsid w:val="008B4B9B"/>
    <w:rsid w:val="008B53C7"/>
    <w:rsid w:val="008B59F9"/>
    <w:rsid w:val="008B5BF6"/>
    <w:rsid w:val="008B6035"/>
    <w:rsid w:val="008B664B"/>
    <w:rsid w:val="008B6721"/>
    <w:rsid w:val="008B6962"/>
    <w:rsid w:val="008B6D0B"/>
    <w:rsid w:val="008B6DDB"/>
    <w:rsid w:val="008B6E41"/>
    <w:rsid w:val="008B7153"/>
    <w:rsid w:val="008B7446"/>
    <w:rsid w:val="008B788E"/>
    <w:rsid w:val="008B7D16"/>
    <w:rsid w:val="008B7F94"/>
    <w:rsid w:val="008C00F5"/>
    <w:rsid w:val="008C0379"/>
    <w:rsid w:val="008C03E9"/>
    <w:rsid w:val="008C0AAB"/>
    <w:rsid w:val="008C0EDD"/>
    <w:rsid w:val="008C0FCA"/>
    <w:rsid w:val="008C113E"/>
    <w:rsid w:val="008C119C"/>
    <w:rsid w:val="008C1624"/>
    <w:rsid w:val="008C1785"/>
    <w:rsid w:val="008C182D"/>
    <w:rsid w:val="008C2308"/>
    <w:rsid w:val="008C23BD"/>
    <w:rsid w:val="008C28E3"/>
    <w:rsid w:val="008C2AE3"/>
    <w:rsid w:val="008C2EFD"/>
    <w:rsid w:val="008C336C"/>
    <w:rsid w:val="008C3524"/>
    <w:rsid w:val="008C40F7"/>
    <w:rsid w:val="008C4417"/>
    <w:rsid w:val="008C44F6"/>
    <w:rsid w:val="008C460B"/>
    <w:rsid w:val="008C4760"/>
    <w:rsid w:val="008C5003"/>
    <w:rsid w:val="008C5113"/>
    <w:rsid w:val="008C516F"/>
    <w:rsid w:val="008C51CA"/>
    <w:rsid w:val="008C5213"/>
    <w:rsid w:val="008C53A7"/>
    <w:rsid w:val="008C549B"/>
    <w:rsid w:val="008C552A"/>
    <w:rsid w:val="008C585D"/>
    <w:rsid w:val="008C593E"/>
    <w:rsid w:val="008C5AAF"/>
    <w:rsid w:val="008C5D6D"/>
    <w:rsid w:val="008C5F87"/>
    <w:rsid w:val="008C6887"/>
    <w:rsid w:val="008C6B40"/>
    <w:rsid w:val="008C6D05"/>
    <w:rsid w:val="008C6E29"/>
    <w:rsid w:val="008C7316"/>
    <w:rsid w:val="008C77E0"/>
    <w:rsid w:val="008C7801"/>
    <w:rsid w:val="008C7BA3"/>
    <w:rsid w:val="008C7DFD"/>
    <w:rsid w:val="008D0182"/>
    <w:rsid w:val="008D0245"/>
    <w:rsid w:val="008D0513"/>
    <w:rsid w:val="008D068F"/>
    <w:rsid w:val="008D073A"/>
    <w:rsid w:val="008D076D"/>
    <w:rsid w:val="008D093E"/>
    <w:rsid w:val="008D09D9"/>
    <w:rsid w:val="008D0ABB"/>
    <w:rsid w:val="008D0DC2"/>
    <w:rsid w:val="008D0E88"/>
    <w:rsid w:val="008D1180"/>
    <w:rsid w:val="008D1484"/>
    <w:rsid w:val="008D149C"/>
    <w:rsid w:val="008D15C1"/>
    <w:rsid w:val="008D191A"/>
    <w:rsid w:val="008D1C5F"/>
    <w:rsid w:val="008D1E67"/>
    <w:rsid w:val="008D205A"/>
    <w:rsid w:val="008D233F"/>
    <w:rsid w:val="008D2578"/>
    <w:rsid w:val="008D2690"/>
    <w:rsid w:val="008D2924"/>
    <w:rsid w:val="008D2955"/>
    <w:rsid w:val="008D2AE3"/>
    <w:rsid w:val="008D2BB7"/>
    <w:rsid w:val="008D324A"/>
    <w:rsid w:val="008D333A"/>
    <w:rsid w:val="008D375A"/>
    <w:rsid w:val="008D382E"/>
    <w:rsid w:val="008D3D9C"/>
    <w:rsid w:val="008D43AF"/>
    <w:rsid w:val="008D4BFD"/>
    <w:rsid w:val="008D4C2D"/>
    <w:rsid w:val="008D4E13"/>
    <w:rsid w:val="008D5779"/>
    <w:rsid w:val="008D58F7"/>
    <w:rsid w:val="008D594E"/>
    <w:rsid w:val="008D59DD"/>
    <w:rsid w:val="008D5C51"/>
    <w:rsid w:val="008D5F11"/>
    <w:rsid w:val="008D68AF"/>
    <w:rsid w:val="008D6D32"/>
    <w:rsid w:val="008D705A"/>
    <w:rsid w:val="008D70AF"/>
    <w:rsid w:val="008D77B5"/>
    <w:rsid w:val="008D7A84"/>
    <w:rsid w:val="008D7D2F"/>
    <w:rsid w:val="008E0322"/>
    <w:rsid w:val="008E03CD"/>
    <w:rsid w:val="008E03F3"/>
    <w:rsid w:val="008E0986"/>
    <w:rsid w:val="008E099B"/>
    <w:rsid w:val="008E0E37"/>
    <w:rsid w:val="008E0E74"/>
    <w:rsid w:val="008E1156"/>
    <w:rsid w:val="008E1307"/>
    <w:rsid w:val="008E1374"/>
    <w:rsid w:val="008E1D32"/>
    <w:rsid w:val="008E1EB9"/>
    <w:rsid w:val="008E20B4"/>
    <w:rsid w:val="008E210A"/>
    <w:rsid w:val="008E23B8"/>
    <w:rsid w:val="008E25F3"/>
    <w:rsid w:val="008E2900"/>
    <w:rsid w:val="008E2971"/>
    <w:rsid w:val="008E2A1A"/>
    <w:rsid w:val="008E2B78"/>
    <w:rsid w:val="008E2C6D"/>
    <w:rsid w:val="008E2D2C"/>
    <w:rsid w:val="008E2FB1"/>
    <w:rsid w:val="008E34F8"/>
    <w:rsid w:val="008E3765"/>
    <w:rsid w:val="008E3A4D"/>
    <w:rsid w:val="008E3ACA"/>
    <w:rsid w:val="008E3B1F"/>
    <w:rsid w:val="008E3F71"/>
    <w:rsid w:val="008E4033"/>
    <w:rsid w:val="008E43CA"/>
    <w:rsid w:val="008E4435"/>
    <w:rsid w:val="008E44F7"/>
    <w:rsid w:val="008E4D10"/>
    <w:rsid w:val="008E4F56"/>
    <w:rsid w:val="008E52E6"/>
    <w:rsid w:val="008E53A5"/>
    <w:rsid w:val="008E5B74"/>
    <w:rsid w:val="008E5FF3"/>
    <w:rsid w:val="008E6461"/>
    <w:rsid w:val="008E6480"/>
    <w:rsid w:val="008E65BB"/>
    <w:rsid w:val="008E6BA4"/>
    <w:rsid w:val="008E6C88"/>
    <w:rsid w:val="008E6E38"/>
    <w:rsid w:val="008E6E88"/>
    <w:rsid w:val="008E716E"/>
    <w:rsid w:val="008E7368"/>
    <w:rsid w:val="008E78AA"/>
    <w:rsid w:val="008E7CCA"/>
    <w:rsid w:val="008E7E2E"/>
    <w:rsid w:val="008F00D6"/>
    <w:rsid w:val="008F01AC"/>
    <w:rsid w:val="008F0257"/>
    <w:rsid w:val="008F0473"/>
    <w:rsid w:val="008F075A"/>
    <w:rsid w:val="008F07F0"/>
    <w:rsid w:val="008F0CE5"/>
    <w:rsid w:val="008F0F16"/>
    <w:rsid w:val="008F128B"/>
    <w:rsid w:val="008F14C1"/>
    <w:rsid w:val="008F150F"/>
    <w:rsid w:val="008F17A7"/>
    <w:rsid w:val="008F1989"/>
    <w:rsid w:val="008F2043"/>
    <w:rsid w:val="008F20D7"/>
    <w:rsid w:val="008F20E6"/>
    <w:rsid w:val="008F2234"/>
    <w:rsid w:val="008F235E"/>
    <w:rsid w:val="008F238D"/>
    <w:rsid w:val="008F23A1"/>
    <w:rsid w:val="008F25AD"/>
    <w:rsid w:val="008F33DE"/>
    <w:rsid w:val="008F3701"/>
    <w:rsid w:val="008F3E5A"/>
    <w:rsid w:val="008F41F9"/>
    <w:rsid w:val="008F4744"/>
    <w:rsid w:val="008F4881"/>
    <w:rsid w:val="008F4974"/>
    <w:rsid w:val="008F4A6E"/>
    <w:rsid w:val="008F4C52"/>
    <w:rsid w:val="008F4DE9"/>
    <w:rsid w:val="008F5090"/>
    <w:rsid w:val="008F555E"/>
    <w:rsid w:val="008F561E"/>
    <w:rsid w:val="008F578D"/>
    <w:rsid w:val="008F5923"/>
    <w:rsid w:val="008F5C37"/>
    <w:rsid w:val="008F5DF1"/>
    <w:rsid w:val="008F6006"/>
    <w:rsid w:val="008F60B8"/>
    <w:rsid w:val="008F61C2"/>
    <w:rsid w:val="008F6300"/>
    <w:rsid w:val="008F649F"/>
    <w:rsid w:val="008F6688"/>
    <w:rsid w:val="008F684A"/>
    <w:rsid w:val="008F693E"/>
    <w:rsid w:val="008F6E7C"/>
    <w:rsid w:val="008F6ED1"/>
    <w:rsid w:val="008F6F24"/>
    <w:rsid w:val="008F6FC0"/>
    <w:rsid w:val="008F72EB"/>
    <w:rsid w:val="008F7402"/>
    <w:rsid w:val="008F7560"/>
    <w:rsid w:val="008F7595"/>
    <w:rsid w:val="008F7881"/>
    <w:rsid w:val="008F7D21"/>
    <w:rsid w:val="008F7D8B"/>
    <w:rsid w:val="008F7E50"/>
    <w:rsid w:val="008F7EF6"/>
    <w:rsid w:val="00900454"/>
    <w:rsid w:val="009008EC"/>
    <w:rsid w:val="00900ABC"/>
    <w:rsid w:val="00900B91"/>
    <w:rsid w:val="00900C1F"/>
    <w:rsid w:val="00900F1E"/>
    <w:rsid w:val="00901037"/>
    <w:rsid w:val="009010B0"/>
    <w:rsid w:val="00901447"/>
    <w:rsid w:val="009019BC"/>
    <w:rsid w:val="00901AF6"/>
    <w:rsid w:val="00901DBD"/>
    <w:rsid w:val="0090257C"/>
    <w:rsid w:val="009029D2"/>
    <w:rsid w:val="00902A32"/>
    <w:rsid w:val="00902C68"/>
    <w:rsid w:val="00902D70"/>
    <w:rsid w:val="0090355E"/>
    <w:rsid w:val="009036B4"/>
    <w:rsid w:val="009039DA"/>
    <w:rsid w:val="00904316"/>
    <w:rsid w:val="009044EB"/>
    <w:rsid w:val="00904608"/>
    <w:rsid w:val="009047CC"/>
    <w:rsid w:val="00904BBC"/>
    <w:rsid w:val="00904D49"/>
    <w:rsid w:val="00904D68"/>
    <w:rsid w:val="00904D6C"/>
    <w:rsid w:val="00904D81"/>
    <w:rsid w:val="00904E31"/>
    <w:rsid w:val="00904E78"/>
    <w:rsid w:val="00904FA4"/>
    <w:rsid w:val="009055B9"/>
    <w:rsid w:val="00905611"/>
    <w:rsid w:val="009059C6"/>
    <w:rsid w:val="00905C15"/>
    <w:rsid w:val="00905D68"/>
    <w:rsid w:val="009064D6"/>
    <w:rsid w:val="00906760"/>
    <w:rsid w:val="009067E8"/>
    <w:rsid w:val="00906952"/>
    <w:rsid w:val="00906B2B"/>
    <w:rsid w:val="00907071"/>
    <w:rsid w:val="00907D43"/>
    <w:rsid w:val="0091004E"/>
    <w:rsid w:val="00910279"/>
    <w:rsid w:val="00910449"/>
    <w:rsid w:val="0091064F"/>
    <w:rsid w:val="00910A33"/>
    <w:rsid w:val="00910BD0"/>
    <w:rsid w:val="00910D64"/>
    <w:rsid w:val="00911239"/>
    <w:rsid w:val="0091172B"/>
    <w:rsid w:val="00911766"/>
    <w:rsid w:val="009117A5"/>
    <w:rsid w:val="00911C58"/>
    <w:rsid w:val="00912312"/>
    <w:rsid w:val="009124F9"/>
    <w:rsid w:val="009126FE"/>
    <w:rsid w:val="00912A55"/>
    <w:rsid w:val="009131CC"/>
    <w:rsid w:val="0091335E"/>
    <w:rsid w:val="00913625"/>
    <w:rsid w:val="0091362D"/>
    <w:rsid w:val="0091369A"/>
    <w:rsid w:val="0091377D"/>
    <w:rsid w:val="009137C2"/>
    <w:rsid w:val="00913939"/>
    <w:rsid w:val="00913990"/>
    <w:rsid w:val="00913A6B"/>
    <w:rsid w:val="00913BA1"/>
    <w:rsid w:val="00913CDB"/>
    <w:rsid w:val="0091411B"/>
    <w:rsid w:val="0091414D"/>
    <w:rsid w:val="0091453D"/>
    <w:rsid w:val="0091459F"/>
    <w:rsid w:val="00914F47"/>
    <w:rsid w:val="00915068"/>
    <w:rsid w:val="00915273"/>
    <w:rsid w:val="009155CD"/>
    <w:rsid w:val="0091581B"/>
    <w:rsid w:val="0091585B"/>
    <w:rsid w:val="00915E24"/>
    <w:rsid w:val="00916429"/>
    <w:rsid w:val="00916523"/>
    <w:rsid w:val="00916734"/>
    <w:rsid w:val="009169A1"/>
    <w:rsid w:val="00916AC9"/>
    <w:rsid w:val="00916D11"/>
    <w:rsid w:val="00916E52"/>
    <w:rsid w:val="00916EDA"/>
    <w:rsid w:val="00916F49"/>
    <w:rsid w:val="00916FBB"/>
    <w:rsid w:val="00917007"/>
    <w:rsid w:val="0091746C"/>
    <w:rsid w:val="009175FE"/>
    <w:rsid w:val="009179A7"/>
    <w:rsid w:val="00917FC4"/>
    <w:rsid w:val="009201CF"/>
    <w:rsid w:val="009205AA"/>
    <w:rsid w:val="0092063C"/>
    <w:rsid w:val="00920670"/>
    <w:rsid w:val="009208CB"/>
    <w:rsid w:val="00920B00"/>
    <w:rsid w:val="00920B4F"/>
    <w:rsid w:val="00920EBE"/>
    <w:rsid w:val="0092113A"/>
    <w:rsid w:val="0092160D"/>
    <w:rsid w:val="00921BF4"/>
    <w:rsid w:val="009224C7"/>
    <w:rsid w:val="009225A9"/>
    <w:rsid w:val="009226C0"/>
    <w:rsid w:val="00922898"/>
    <w:rsid w:val="00922A3E"/>
    <w:rsid w:val="00922A83"/>
    <w:rsid w:val="00922ADE"/>
    <w:rsid w:val="00922D09"/>
    <w:rsid w:val="00922F3A"/>
    <w:rsid w:val="009230CC"/>
    <w:rsid w:val="00923260"/>
    <w:rsid w:val="00923374"/>
    <w:rsid w:val="00923C78"/>
    <w:rsid w:val="00923D6C"/>
    <w:rsid w:val="00923DD1"/>
    <w:rsid w:val="00923DF6"/>
    <w:rsid w:val="00923F7B"/>
    <w:rsid w:val="00924019"/>
    <w:rsid w:val="0092459C"/>
    <w:rsid w:val="0092494A"/>
    <w:rsid w:val="00924BD8"/>
    <w:rsid w:val="00925011"/>
    <w:rsid w:val="009260AD"/>
    <w:rsid w:val="00927B63"/>
    <w:rsid w:val="00930031"/>
    <w:rsid w:val="00930135"/>
    <w:rsid w:val="00930165"/>
    <w:rsid w:val="00930841"/>
    <w:rsid w:val="00930BA4"/>
    <w:rsid w:val="009310BB"/>
    <w:rsid w:val="00931166"/>
    <w:rsid w:val="00931245"/>
    <w:rsid w:val="009316FB"/>
    <w:rsid w:val="009319B1"/>
    <w:rsid w:val="00931A7A"/>
    <w:rsid w:val="00931B5C"/>
    <w:rsid w:val="00931DE6"/>
    <w:rsid w:val="00932926"/>
    <w:rsid w:val="00932A7B"/>
    <w:rsid w:val="00932B8A"/>
    <w:rsid w:val="00932E66"/>
    <w:rsid w:val="00932F7E"/>
    <w:rsid w:val="009331A9"/>
    <w:rsid w:val="009331EF"/>
    <w:rsid w:val="00933473"/>
    <w:rsid w:val="009336D6"/>
    <w:rsid w:val="00933AA5"/>
    <w:rsid w:val="00933EAB"/>
    <w:rsid w:val="00933F48"/>
    <w:rsid w:val="0093405F"/>
    <w:rsid w:val="00934197"/>
    <w:rsid w:val="009342D8"/>
    <w:rsid w:val="00934775"/>
    <w:rsid w:val="009348FF"/>
    <w:rsid w:val="00934A5C"/>
    <w:rsid w:val="00934BED"/>
    <w:rsid w:val="00934D19"/>
    <w:rsid w:val="009354E6"/>
    <w:rsid w:val="00935801"/>
    <w:rsid w:val="00935843"/>
    <w:rsid w:val="00935CEE"/>
    <w:rsid w:val="00936B60"/>
    <w:rsid w:val="00936E6A"/>
    <w:rsid w:val="00936FF0"/>
    <w:rsid w:val="00937322"/>
    <w:rsid w:val="0093754C"/>
    <w:rsid w:val="00937A7A"/>
    <w:rsid w:val="00937C60"/>
    <w:rsid w:val="00937D46"/>
    <w:rsid w:val="00937E41"/>
    <w:rsid w:val="00937E51"/>
    <w:rsid w:val="00937F37"/>
    <w:rsid w:val="00937F88"/>
    <w:rsid w:val="009403A9"/>
    <w:rsid w:val="009405FC"/>
    <w:rsid w:val="0094067D"/>
    <w:rsid w:val="009407A2"/>
    <w:rsid w:val="00940CDB"/>
    <w:rsid w:val="00940D54"/>
    <w:rsid w:val="00940EF4"/>
    <w:rsid w:val="0094116D"/>
    <w:rsid w:val="00941FD8"/>
    <w:rsid w:val="009425EA"/>
    <w:rsid w:val="00942734"/>
    <w:rsid w:val="009429BF"/>
    <w:rsid w:val="00942F7F"/>
    <w:rsid w:val="009432C3"/>
    <w:rsid w:val="00943837"/>
    <w:rsid w:val="0094387C"/>
    <w:rsid w:val="00943F6A"/>
    <w:rsid w:val="00944018"/>
    <w:rsid w:val="00944C51"/>
    <w:rsid w:val="00944CBC"/>
    <w:rsid w:val="009454DA"/>
    <w:rsid w:val="00945535"/>
    <w:rsid w:val="00945674"/>
    <w:rsid w:val="009457F1"/>
    <w:rsid w:val="00945908"/>
    <w:rsid w:val="00945B3E"/>
    <w:rsid w:val="00945B9C"/>
    <w:rsid w:val="00945F88"/>
    <w:rsid w:val="00946709"/>
    <w:rsid w:val="0094676C"/>
    <w:rsid w:val="009467B5"/>
    <w:rsid w:val="0094698A"/>
    <w:rsid w:val="00946C90"/>
    <w:rsid w:val="00946E7E"/>
    <w:rsid w:val="00946FC3"/>
    <w:rsid w:val="009471D2"/>
    <w:rsid w:val="00947310"/>
    <w:rsid w:val="00947766"/>
    <w:rsid w:val="009477D6"/>
    <w:rsid w:val="00950486"/>
    <w:rsid w:val="009505D0"/>
    <w:rsid w:val="009506D9"/>
    <w:rsid w:val="00950939"/>
    <w:rsid w:val="00950A51"/>
    <w:rsid w:val="00950AD1"/>
    <w:rsid w:val="00950C7C"/>
    <w:rsid w:val="00950E80"/>
    <w:rsid w:val="009510C1"/>
    <w:rsid w:val="009512BA"/>
    <w:rsid w:val="009512DB"/>
    <w:rsid w:val="00951316"/>
    <w:rsid w:val="00951427"/>
    <w:rsid w:val="00951879"/>
    <w:rsid w:val="00951C78"/>
    <w:rsid w:val="009522AA"/>
    <w:rsid w:val="009522D8"/>
    <w:rsid w:val="00952389"/>
    <w:rsid w:val="00952400"/>
    <w:rsid w:val="0095275C"/>
    <w:rsid w:val="009527E7"/>
    <w:rsid w:val="00952FDE"/>
    <w:rsid w:val="009532DE"/>
    <w:rsid w:val="00953707"/>
    <w:rsid w:val="00953956"/>
    <w:rsid w:val="00953C06"/>
    <w:rsid w:val="00953D5A"/>
    <w:rsid w:val="0095427C"/>
    <w:rsid w:val="009546F8"/>
    <w:rsid w:val="009546FA"/>
    <w:rsid w:val="00954B76"/>
    <w:rsid w:val="00954CC3"/>
    <w:rsid w:val="00954DA7"/>
    <w:rsid w:val="00954DCC"/>
    <w:rsid w:val="00954FAF"/>
    <w:rsid w:val="00955085"/>
    <w:rsid w:val="00955203"/>
    <w:rsid w:val="00955AA5"/>
    <w:rsid w:val="00955E44"/>
    <w:rsid w:val="00955E9B"/>
    <w:rsid w:val="009569A0"/>
    <w:rsid w:val="00956B58"/>
    <w:rsid w:val="00956DBA"/>
    <w:rsid w:val="00956E74"/>
    <w:rsid w:val="009571AE"/>
    <w:rsid w:val="009571C0"/>
    <w:rsid w:val="00957887"/>
    <w:rsid w:val="0095796B"/>
    <w:rsid w:val="009579C2"/>
    <w:rsid w:val="00957C87"/>
    <w:rsid w:val="00957C8F"/>
    <w:rsid w:val="0096027D"/>
    <w:rsid w:val="00960451"/>
    <w:rsid w:val="00960563"/>
    <w:rsid w:val="00960753"/>
    <w:rsid w:val="0096079E"/>
    <w:rsid w:val="00960C5A"/>
    <w:rsid w:val="00960D6E"/>
    <w:rsid w:val="0096101D"/>
    <w:rsid w:val="009610E4"/>
    <w:rsid w:val="00961143"/>
    <w:rsid w:val="0096197D"/>
    <w:rsid w:val="0096206A"/>
    <w:rsid w:val="009621D7"/>
    <w:rsid w:val="009623EB"/>
    <w:rsid w:val="009627BE"/>
    <w:rsid w:val="00962B8C"/>
    <w:rsid w:val="00962FF7"/>
    <w:rsid w:val="00963299"/>
    <w:rsid w:val="009637E7"/>
    <w:rsid w:val="00963921"/>
    <w:rsid w:val="00963A3B"/>
    <w:rsid w:val="00963A79"/>
    <w:rsid w:val="00963D4F"/>
    <w:rsid w:val="00963E1D"/>
    <w:rsid w:val="00963FA9"/>
    <w:rsid w:val="0096411B"/>
    <w:rsid w:val="00964757"/>
    <w:rsid w:val="009647DB"/>
    <w:rsid w:val="009651C8"/>
    <w:rsid w:val="0096524B"/>
    <w:rsid w:val="00965253"/>
    <w:rsid w:val="00965576"/>
    <w:rsid w:val="0096560F"/>
    <w:rsid w:val="00965F44"/>
    <w:rsid w:val="009669AF"/>
    <w:rsid w:val="00966B5F"/>
    <w:rsid w:val="00966B62"/>
    <w:rsid w:val="00966BEC"/>
    <w:rsid w:val="00966C9C"/>
    <w:rsid w:val="009670D6"/>
    <w:rsid w:val="0096729F"/>
    <w:rsid w:val="00967454"/>
    <w:rsid w:val="00967955"/>
    <w:rsid w:val="00967C0C"/>
    <w:rsid w:val="00967D31"/>
    <w:rsid w:val="00967E4D"/>
    <w:rsid w:val="009701DF"/>
    <w:rsid w:val="009705C9"/>
    <w:rsid w:val="00970998"/>
    <w:rsid w:val="00970A83"/>
    <w:rsid w:val="009712D4"/>
    <w:rsid w:val="00971638"/>
    <w:rsid w:val="009716E6"/>
    <w:rsid w:val="00971DE2"/>
    <w:rsid w:val="00971FDE"/>
    <w:rsid w:val="009720BE"/>
    <w:rsid w:val="0097227A"/>
    <w:rsid w:val="00972586"/>
    <w:rsid w:val="00972764"/>
    <w:rsid w:val="00972D40"/>
    <w:rsid w:val="00972E56"/>
    <w:rsid w:val="00972FC2"/>
    <w:rsid w:val="0097312C"/>
    <w:rsid w:val="0097386E"/>
    <w:rsid w:val="0097392D"/>
    <w:rsid w:val="00973977"/>
    <w:rsid w:val="00973AF9"/>
    <w:rsid w:val="00973CF1"/>
    <w:rsid w:val="00973ED5"/>
    <w:rsid w:val="009740CE"/>
    <w:rsid w:val="00974217"/>
    <w:rsid w:val="00974247"/>
    <w:rsid w:val="009743E3"/>
    <w:rsid w:val="00974D08"/>
    <w:rsid w:val="00974D27"/>
    <w:rsid w:val="00974E65"/>
    <w:rsid w:val="00974F68"/>
    <w:rsid w:val="009752BF"/>
    <w:rsid w:val="00975340"/>
    <w:rsid w:val="0097546B"/>
    <w:rsid w:val="009758D6"/>
    <w:rsid w:val="00975AEA"/>
    <w:rsid w:val="00975BB9"/>
    <w:rsid w:val="00975BED"/>
    <w:rsid w:val="00976488"/>
    <w:rsid w:val="009765D0"/>
    <w:rsid w:val="00976799"/>
    <w:rsid w:val="009769AA"/>
    <w:rsid w:val="00976EA3"/>
    <w:rsid w:val="00976F5C"/>
    <w:rsid w:val="00977062"/>
    <w:rsid w:val="00977181"/>
    <w:rsid w:val="00977400"/>
    <w:rsid w:val="0097756A"/>
    <w:rsid w:val="009776B4"/>
    <w:rsid w:val="009777C8"/>
    <w:rsid w:val="0097785F"/>
    <w:rsid w:val="00977B44"/>
    <w:rsid w:val="00977BB9"/>
    <w:rsid w:val="00977CB3"/>
    <w:rsid w:val="009801A3"/>
    <w:rsid w:val="00980369"/>
    <w:rsid w:val="009807D9"/>
    <w:rsid w:val="00980935"/>
    <w:rsid w:val="00980D16"/>
    <w:rsid w:val="0098117D"/>
    <w:rsid w:val="00981217"/>
    <w:rsid w:val="009814D8"/>
    <w:rsid w:val="00981550"/>
    <w:rsid w:val="009818D9"/>
    <w:rsid w:val="00981EC2"/>
    <w:rsid w:val="00982060"/>
    <w:rsid w:val="009822A5"/>
    <w:rsid w:val="00982609"/>
    <w:rsid w:val="009827AE"/>
    <w:rsid w:val="009827EE"/>
    <w:rsid w:val="009829AE"/>
    <w:rsid w:val="00982B53"/>
    <w:rsid w:val="00982DA8"/>
    <w:rsid w:val="00983287"/>
    <w:rsid w:val="009839FA"/>
    <w:rsid w:val="00983A3F"/>
    <w:rsid w:val="00983B42"/>
    <w:rsid w:val="009840D8"/>
    <w:rsid w:val="0098427E"/>
    <w:rsid w:val="0098430D"/>
    <w:rsid w:val="0098463C"/>
    <w:rsid w:val="00984CC7"/>
    <w:rsid w:val="00984F28"/>
    <w:rsid w:val="0098535A"/>
    <w:rsid w:val="009853F8"/>
    <w:rsid w:val="00985E78"/>
    <w:rsid w:val="009860F3"/>
    <w:rsid w:val="009861A5"/>
    <w:rsid w:val="009862B6"/>
    <w:rsid w:val="0098661A"/>
    <w:rsid w:val="00986C7C"/>
    <w:rsid w:val="00986D11"/>
    <w:rsid w:val="00986F41"/>
    <w:rsid w:val="009879C1"/>
    <w:rsid w:val="009879F8"/>
    <w:rsid w:val="00987A7C"/>
    <w:rsid w:val="00987AC8"/>
    <w:rsid w:val="00987CC5"/>
    <w:rsid w:val="00987FB8"/>
    <w:rsid w:val="0099014A"/>
    <w:rsid w:val="009902AB"/>
    <w:rsid w:val="0099090F"/>
    <w:rsid w:val="00990A10"/>
    <w:rsid w:val="00990EF4"/>
    <w:rsid w:val="00991326"/>
    <w:rsid w:val="00991598"/>
    <w:rsid w:val="0099161B"/>
    <w:rsid w:val="009916BC"/>
    <w:rsid w:val="00991875"/>
    <w:rsid w:val="00991B84"/>
    <w:rsid w:val="009920B6"/>
    <w:rsid w:val="00992219"/>
    <w:rsid w:val="0099222D"/>
    <w:rsid w:val="0099274A"/>
    <w:rsid w:val="00992A4A"/>
    <w:rsid w:val="00992AB6"/>
    <w:rsid w:val="00992ADA"/>
    <w:rsid w:val="00992BD7"/>
    <w:rsid w:val="00992D12"/>
    <w:rsid w:val="00993026"/>
    <w:rsid w:val="0099310E"/>
    <w:rsid w:val="00993995"/>
    <w:rsid w:val="00993C1A"/>
    <w:rsid w:val="00994410"/>
    <w:rsid w:val="00994478"/>
    <w:rsid w:val="00994AA4"/>
    <w:rsid w:val="00994C65"/>
    <w:rsid w:val="00994E91"/>
    <w:rsid w:val="00994FDC"/>
    <w:rsid w:val="00995102"/>
    <w:rsid w:val="00995322"/>
    <w:rsid w:val="00995593"/>
    <w:rsid w:val="00995E32"/>
    <w:rsid w:val="009960CB"/>
    <w:rsid w:val="00996412"/>
    <w:rsid w:val="009968B8"/>
    <w:rsid w:val="00996B28"/>
    <w:rsid w:val="00997747"/>
    <w:rsid w:val="009977EC"/>
    <w:rsid w:val="009979C2"/>
    <w:rsid w:val="00997CE2"/>
    <w:rsid w:val="00997DF2"/>
    <w:rsid w:val="00997F8C"/>
    <w:rsid w:val="009A00A9"/>
    <w:rsid w:val="009A018D"/>
    <w:rsid w:val="009A01F9"/>
    <w:rsid w:val="009A02BF"/>
    <w:rsid w:val="009A0381"/>
    <w:rsid w:val="009A1012"/>
    <w:rsid w:val="009A10BC"/>
    <w:rsid w:val="009A136F"/>
    <w:rsid w:val="009A1436"/>
    <w:rsid w:val="009A17E5"/>
    <w:rsid w:val="009A1E7D"/>
    <w:rsid w:val="009A1EF8"/>
    <w:rsid w:val="009A1FBD"/>
    <w:rsid w:val="009A2002"/>
    <w:rsid w:val="009A2CC4"/>
    <w:rsid w:val="009A2D9E"/>
    <w:rsid w:val="009A31AD"/>
    <w:rsid w:val="009A3532"/>
    <w:rsid w:val="009A35DB"/>
    <w:rsid w:val="009A3644"/>
    <w:rsid w:val="009A3C5D"/>
    <w:rsid w:val="009A3DA9"/>
    <w:rsid w:val="009A3EB7"/>
    <w:rsid w:val="009A42C5"/>
    <w:rsid w:val="009A43B6"/>
    <w:rsid w:val="009A4421"/>
    <w:rsid w:val="009A462B"/>
    <w:rsid w:val="009A49FF"/>
    <w:rsid w:val="009A4B2E"/>
    <w:rsid w:val="009A4EDA"/>
    <w:rsid w:val="009A5590"/>
    <w:rsid w:val="009A5C3A"/>
    <w:rsid w:val="009A5FA4"/>
    <w:rsid w:val="009A62D3"/>
    <w:rsid w:val="009A6EA5"/>
    <w:rsid w:val="009A6EAD"/>
    <w:rsid w:val="009A79E0"/>
    <w:rsid w:val="009A7DAF"/>
    <w:rsid w:val="009B0156"/>
    <w:rsid w:val="009B06A9"/>
    <w:rsid w:val="009B09DE"/>
    <w:rsid w:val="009B0A86"/>
    <w:rsid w:val="009B0AB9"/>
    <w:rsid w:val="009B0C46"/>
    <w:rsid w:val="009B148D"/>
    <w:rsid w:val="009B1AE3"/>
    <w:rsid w:val="009B1FD0"/>
    <w:rsid w:val="009B21FD"/>
    <w:rsid w:val="009B26E0"/>
    <w:rsid w:val="009B26EC"/>
    <w:rsid w:val="009B270B"/>
    <w:rsid w:val="009B27DF"/>
    <w:rsid w:val="009B2F24"/>
    <w:rsid w:val="009B3066"/>
    <w:rsid w:val="009B30A3"/>
    <w:rsid w:val="009B34F6"/>
    <w:rsid w:val="009B3A8B"/>
    <w:rsid w:val="009B3AEE"/>
    <w:rsid w:val="009B3B6D"/>
    <w:rsid w:val="009B3DDC"/>
    <w:rsid w:val="009B3EF8"/>
    <w:rsid w:val="009B412A"/>
    <w:rsid w:val="009B4DA7"/>
    <w:rsid w:val="009B4F41"/>
    <w:rsid w:val="009B546F"/>
    <w:rsid w:val="009B5C95"/>
    <w:rsid w:val="009B5CB9"/>
    <w:rsid w:val="009B6613"/>
    <w:rsid w:val="009B68CC"/>
    <w:rsid w:val="009B6B4E"/>
    <w:rsid w:val="009B6BDB"/>
    <w:rsid w:val="009B6C63"/>
    <w:rsid w:val="009B6C94"/>
    <w:rsid w:val="009B7000"/>
    <w:rsid w:val="009B726D"/>
    <w:rsid w:val="009B7592"/>
    <w:rsid w:val="009B779C"/>
    <w:rsid w:val="009B7826"/>
    <w:rsid w:val="009B7B2F"/>
    <w:rsid w:val="009B7D65"/>
    <w:rsid w:val="009B7D97"/>
    <w:rsid w:val="009C0117"/>
    <w:rsid w:val="009C0A68"/>
    <w:rsid w:val="009C0A6F"/>
    <w:rsid w:val="009C0DB1"/>
    <w:rsid w:val="009C10EC"/>
    <w:rsid w:val="009C1224"/>
    <w:rsid w:val="009C16F7"/>
    <w:rsid w:val="009C176E"/>
    <w:rsid w:val="009C17E2"/>
    <w:rsid w:val="009C1833"/>
    <w:rsid w:val="009C18F9"/>
    <w:rsid w:val="009C1B3A"/>
    <w:rsid w:val="009C2050"/>
    <w:rsid w:val="009C2089"/>
    <w:rsid w:val="009C2CFC"/>
    <w:rsid w:val="009C2E7D"/>
    <w:rsid w:val="009C30B9"/>
    <w:rsid w:val="009C332E"/>
    <w:rsid w:val="009C3665"/>
    <w:rsid w:val="009C36DE"/>
    <w:rsid w:val="009C3BE2"/>
    <w:rsid w:val="009C438E"/>
    <w:rsid w:val="009C44EB"/>
    <w:rsid w:val="009C47DC"/>
    <w:rsid w:val="009C4E7B"/>
    <w:rsid w:val="009C52BE"/>
    <w:rsid w:val="009C56F5"/>
    <w:rsid w:val="009C58AA"/>
    <w:rsid w:val="009C58E5"/>
    <w:rsid w:val="009C5962"/>
    <w:rsid w:val="009C5B87"/>
    <w:rsid w:val="009C5CF7"/>
    <w:rsid w:val="009C64FC"/>
    <w:rsid w:val="009C66B6"/>
    <w:rsid w:val="009C67BC"/>
    <w:rsid w:val="009C6892"/>
    <w:rsid w:val="009C6A3B"/>
    <w:rsid w:val="009C7010"/>
    <w:rsid w:val="009C7574"/>
    <w:rsid w:val="009C75D8"/>
    <w:rsid w:val="009C7748"/>
    <w:rsid w:val="009C7AEA"/>
    <w:rsid w:val="009C7C11"/>
    <w:rsid w:val="009C7D53"/>
    <w:rsid w:val="009C7E60"/>
    <w:rsid w:val="009D0085"/>
    <w:rsid w:val="009D0434"/>
    <w:rsid w:val="009D072F"/>
    <w:rsid w:val="009D0A4A"/>
    <w:rsid w:val="009D0AD2"/>
    <w:rsid w:val="009D0C7F"/>
    <w:rsid w:val="009D1459"/>
    <w:rsid w:val="009D1514"/>
    <w:rsid w:val="009D159C"/>
    <w:rsid w:val="009D19CA"/>
    <w:rsid w:val="009D1D1B"/>
    <w:rsid w:val="009D1D94"/>
    <w:rsid w:val="009D2086"/>
    <w:rsid w:val="009D2324"/>
    <w:rsid w:val="009D288E"/>
    <w:rsid w:val="009D2BD0"/>
    <w:rsid w:val="009D2C01"/>
    <w:rsid w:val="009D2D10"/>
    <w:rsid w:val="009D2D2A"/>
    <w:rsid w:val="009D2E21"/>
    <w:rsid w:val="009D34A7"/>
    <w:rsid w:val="009D352A"/>
    <w:rsid w:val="009D3553"/>
    <w:rsid w:val="009D37F9"/>
    <w:rsid w:val="009D3B82"/>
    <w:rsid w:val="009D3DD7"/>
    <w:rsid w:val="009D3E8B"/>
    <w:rsid w:val="009D421F"/>
    <w:rsid w:val="009D4512"/>
    <w:rsid w:val="009D4746"/>
    <w:rsid w:val="009D4871"/>
    <w:rsid w:val="009D4E8B"/>
    <w:rsid w:val="009D5130"/>
    <w:rsid w:val="009D575F"/>
    <w:rsid w:val="009D57C9"/>
    <w:rsid w:val="009D58F5"/>
    <w:rsid w:val="009D5913"/>
    <w:rsid w:val="009D5B89"/>
    <w:rsid w:val="009D5BAA"/>
    <w:rsid w:val="009D5E28"/>
    <w:rsid w:val="009D6231"/>
    <w:rsid w:val="009D62FA"/>
    <w:rsid w:val="009D66E9"/>
    <w:rsid w:val="009D6779"/>
    <w:rsid w:val="009D6808"/>
    <w:rsid w:val="009D6A57"/>
    <w:rsid w:val="009D6DB4"/>
    <w:rsid w:val="009D6F14"/>
    <w:rsid w:val="009D7202"/>
    <w:rsid w:val="009D7746"/>
    <w:rsid w:val="009D788A"/>
    <w:rsid w:val="009D791F"/>
    <w:rsid w:val="009D7AD9"/>
    <w:rsid w:val="009D7C03"/>
    <w:rsid w:val="009E024D"/>
    <w:rsid w:val="009E026A"/>
    <w:rsid w:val="009E052C"/>
    <w:rsid w:val="009E06D1"/>
    <w:rsid w:val="009E08AE"/>
    <w:rsid w:val="009E0A76"/>
    <w:rsid w:val="009E0DF6"/>
    <w:rsid w:val="009E0E61"/>
    <w:rsid w:val="009E0FD0"/>
    <w:rsid w:val="009E1082"/>
    <w:rsid w:val="009E10D1"/>
    <w:rsid w:val="009E11D5"/>
    <w:rsid w:val="009E1317"/>
    <w:rsid w:val="009E1337"/>
    <w:rsid w:val="009E13A4"/>
    <w:rsid w:val="009E1BA1"/>
    <w:rsid w:val="009E1CB3"/>
    <w:rsid w:val="009E1CCC"/>
    <w:rsid w:val="009E23EB"/>
    <w:rsid w:val="009E23F7"/>
    <w:rsid w:val="009E25B6"/>
    <w:rsid w:val="009E2B66"/>
    <w:rsid w:val="009E2CF5"/>
    <w:rsid w:val="009E2E76"/>
    <w:rsid w:val="009E2EA6"/>
    <w:rsid w:val="009E2F6D"/>
    <w:rsid w:val="009E3874"/>
    <w:rsid w:val="009E397E"/>
    <w:rsid w:val="009E3ECD"/>
    <w:rsid w:val="009E44AB"/>
    <w:rsid w:val="009E45F6"/>
    <w:rsid w:val="009E47FD"/>
    <w:rsid w:val="009E4C3F"/>
    <w:rsid w:val="009E4C9E"/>
    <w:rsid w:val="009E4DCD"/>
    <w:rsid w:val="009E5681"/>
    <w:rsid w:val="009E5F6C"/>
    <w:rsid w:val="009E602F"/>
    <w:rsid w:val="009E636E"/>
    <w:rsid w:val="009E6692"/>
    <w:rsid w:val="009E698F"/>
    <w:rsid w:val="009E6C16"/>
    <w:rsid w:val="009E6EF1"/>
    <w:rsid w:val="009E71DE"/>
    <w:rsid w:val="009E76F6"/>
    <w:rsid w:val="009E7AD8"/>
    <w:rsid w:val="009E7C4E"/>
    <w:rsid w:val="009F0A3B"/>
    <w:rsid w:val="009F0B80"/>
    <w:rsid w:val="009F0DD9"/>
    <w:rsid w:val="009F0E7D"/>
    <w:rsid w:val="009F1419"/>
    <w:rsid w:val="009F146A"/>
    <w:rsid w:val="009F1676"/>
    <w:rsid w:val="009F1713"/>
    <w:rsid w:val="009F175A"/>
    <w:rsid w:val="009F1780"/>
    <w:rsid w:val="009F22C0"/>
    <w:rsid w:val="009F23C2"/>
    <w:rsid w:val="009F282F"/>
    <w:rsid w:val="009F3157"/>
    <w:rsid w:val="009F3333"/>
    <w:rsid w:val="009F34C1"/>
    <w:rsid w:val="009F3659"/>
    <w:rsid w:val="009F36A9"/>
    <w:rsid w:val="009F36AD"/>
    <w:rsid w:val="009F3F05"/>
    <w:rsid w:val="009F4039"/>
    <w:rsid w:val="009F458C"/>
    <w:rsid w:val="009F475A"/>
    <w:rsid w:val="009F4860"/>
    <w:rsid w:val="009F4CFB"/>
    <w:rsid w:val="009F512B"/>
    <w:rsid w:val="009F521E"/>
    <w:rsid w:val="009F5392"/>
    <w:rsid w:val="009F565D"/>
    <w:rsid w:val="009F5745"/>
    <w:rsid w:val="009F586D"/>
    <w:rsid w:val="009F597F"/>
    <w:rsid w:val="009F59BF"/>
    <w:rsid w:val="009F5EC7"/>
    <w:rsid w:val="009F6486"/>
    <w:rsid w:val="009F64D2"/>
    <w:rsid w:val="009F65F9"/>
    <w:rsid w:val="009F6764"/>
    <w:rsid w:val="009F6B1D"/>
    <w:rsid w:val="009F6C36"/>
    <w:rsid w:val="009F6C4F"/>
    <w:rsid w:val="009F71F8"/>
    <w:rsid w:val="009F74B0"/>
    <w:rsid w:val="009F7A2E"/>
    <w:rsid w:val="009F7AC5"/>
    <w:rsid w:val="009F7F28"/>
    <w:rsid w:val="00A00552"/>
    <w:rsid w:val="00A005D5"/>
    <w:rsid w:val="00A0085B"/>
    <w:rsid w:val="00A00E38"/>
    <w:rsid w:val="00A00FC3"/>
    <w:rsid w:val="00A00FFD"/>
    <w:rsid w:val="00A01241"/>
    <w:rsid w:val="00A01388"/>
    <w:rsid w:val="00A0158A"/>
    <w:rsid w:val="00A01702"/>
    <w:rsid w:val="00A0198A"/>
    <w:rsid w:val="00A02179"/>
    <w:rsid w:val="00A028E6"/>
    <w:rsid w:val="00A02E5D"/>
    <w:rsid w:val="00A032B3"/>
    <w:rsid w:val="00A036B6"/>
    <w:rsid w:val="00A03828"/>
    <w:rsid w:val="00A038E0"/>
    <w:rsid w:val="00A041DD"/>
    <w:rsid w:val="00A04321"/>
    <w:rsid w:val="00A04369"/>
    <w:rsid w:val="00A044EE"/>
    <w:rsid w:val="00A04775"/>
    <w:rsid w:val="00A048A8"/>
    <w:rsid w:val="00A0497B"/>
    <w:rsid w:val="00A053F9"/>
    <w:rsid w:val="00A055F1"/>
    <w:rsid w:val="00A057F1"/>
    <w:rsid w:val="00A05839"/>
    <w:rsid w:val="00A05C80"/>
    <w:rsid w:val="00A065DD"/>
    <w:rsid w:val="00A0683A"/>
    <w:rsid w:val="00A06B94"/>
    <w:rsid w:val="00A06E8A"/>
    <w:rsid w:val="00A07287"/>
    <w:rsid w:val="00A0744C"/>
    <w:rsid w:val="00A07616"/>
    <w:rsid w:val="00A07641"/>
    <w:rsid w:val="00A07662"/>
    <w:rsid w:val="00A0780F"/>
    <w:rsid w:val="00A07A13"/>
    <w:rsid w:val="00A07B29"/>
    <w:rsid w:val="00A07F9B"/>
    <w:rsid w:val="00A102B0"/>
    <w:rsid w:val="00A10468"/>
    <w:rsid w:val="00A10854"/>
    <w:rsid w:val="00A10956"/>
    <w:rsid w:val="00A11050"/>
    <w:rsid w:val="00A111DD"/>
    <w:rsid w:val="00A112C6"/>
    <w:rsid w:val="00A11844"/>
    <w:rsid w:val="00A118B8"/>
    <w:rsid w:val="00A11A5F"/>
    <w:rsid w:val="00A11AD6"/>
    <w:rsid w:val="00A11ED1"/>
    <w:rsid w:val="00A120EA"/>
    <w:rsid w:val="00A12237"/>
    <w:rsid w:val="00A122AC"/>
    <w:rsid w:val="00A123DC"/>
    <w:rsid w:val="00A124D2"/>
    <w:rsid w:val="00A12565"/>
    <w:rsid w:val="00A1340C"/>
    <w:rsid w:val="00A1399B"/>
    <w:rsid w:val="00A13AF9"/>
    <w:rsid w:val="00A13BAE"/>
    <w:rsid w:val="00A13CFD"/>
    <w:rsid w:val="00A1406D"/>
    <w:rsid w:val="00A14791"/>
    <w:rsid w:val="00A147C3"/>
    <w:rsid w:val="00A14A1E"/>
    <w:rsid w:val="00A14FB1"/>
    <w:rsid w:val="00A14FFB"/>
    <w:rsid w:val="00A15578"/>
    <w:rsid w:val="00A158CF"/>
    <w:rsid w:val="00A15974"/>
    <w:rsid w:val="00A15A07"/>
    <w:rsid w:val="00A15D0D"/>
    <w:rsid w:val="00A15D82"/>
    <w:rsid w:val="00A15F00"/>
    <w:rsid w:val="00A15F64"/>
    <w:rsid w:val="00A15FAE"/>
    <w:rsid w:val="00A15FD1"/>
    <w:rsid w:val="00A16182"/>
    <w:rsid w:val="00A162D6"/>
    <w:rsid w:val="00A1630C"/>
    <w:rsid w:val="00A16A04"/>
    <w:rsid w:val="00A16C0B"/>
    <w:rsid w:val="00A16C52"/>
    <w:rsid w:val="00A16F5B"/>
    <w:rsid w:val="00A170B4"/>
    <w:rsid w:val="00A172B4"/>
    <w:rsid w:val="00A17431"/>
    <w:rsid w:val="00A1746B"/>
    <w:rsid w:val="00A17EC4"/>
    <w:rsid w:val="00A20698"/>
    <w:rsid w:val="00A20EDA"/>
    <w:rsid w:val="00A20F29"/>
    <w:rsid w:val="00A21019"/>
    <w:rsid w:val="00A21244"/>
    <w:rsid w:val="00A21AA0"/>
    <w:rsid w:val="00A21C14"/>
    <w:rsid w:val="00A21DCC"/>
    <w:rsid w:val="00A21EB4"/>
    <w:rsid w:val="00A21F2B"/>
    <w:rsid w:val="00A21F8B"/>
    <w:rsid w:val="00A22049"/>
    <w:rsid w:val="00A225A2"/>
    <w:rsid w:val="00A225E5"/>
    <w:rsid w:val="00A22666"/>
    <w:rsid w:val="00A22DA7"/>
    <w:rsid w:val="00A231CA"/>
    <w:rsid w:val="00A2360C"/>
    <w:rsid w:val="00A23611"/>
    <w:rsid w:val="00A2373D"/>
    <w:rsid w:val="00A2395A"/>
    <w:rsid w:val="00A23AF4"/>
    <w:rsid w:val="00A23BB5"/>
    <w:rsid w:val="00A23C5C"/>
    <w:rsid w:val="00A23F99"/>
    <w:rsid w:val="00A24322"/>
    <w:rsid w:val="00A24327"/>
    <w:rsid w:val="00A24661"/>
    <w:rsid w:val="00A24768"/>
    <w:rsid w:val="00A24A8D"/>
    <w:rsid w:val="00A2551B"/>
    <w:rsid w:val="00A25602"/>
    <w:rsid w:val="00A257C8"/>
    <w:rsid w:val="00A25E53"/>
    <w:rsid w:val="00A2604A"/>
    <w:rsid w:val="00A2662E"/>
    <w:rsid w:val="00A266ED"/>
    <w:rsid w:val="00A26A46"/>
    <w:rsid w:val="00A26B7A"/>
    <w:rsid w:val="00A26CA0"/>
    <w:rsid w:val="00A26DCE"/>
    <w:rsid w:val="00A26EAF"/>
    <w:rsid w:val="00A270BB"/>
    <w:rsid w:val="00A273AC"/>
    <w:rsid w:val="00A27586"/>
    <w:rsid w:val="00A27678"/>
    <w:rsid w:val="00A27723"/>
    <w:rsid w:val="00A27DB5"/>
    <w:rsid w:val="00A30343"/>
    <w:rsid w:val="00A31005"/>
    <w:rsid w:val="00A31118"/>
    <w:rsid w:val="00A3129C"/>
    <w:rsid w:val="00A31A0E"/>
    <w:rsid w:val="00A31B0B"/>
    <w:rsid w:val="00A31C2D"/>
    <w:rsid w:val="00A31CAC"/>
    <w:rsid w:val="00A31DD0"/>
    <w:rsid w:val="00A31E99"/>
    <w:rsid w:val="00A3203D"/>
    <w:rsid w:val="00A320C2"/>
    <w:rsid w:val="00A3243F"/>
    <w:rsid w:val="00A324FC"/>
    <w:rsid w:val="00A3265E"/>
    <w:rsid w:val="00A32693"/>
    <w:rsid w:val="00A32975"/>
    <w:rsid w:val="00A329F2"/>
    <w:rsid w:val="00A32B52"/>
    <w:rsid w:val="00A32CE3"/>
    <w:rsid w:val="00A32E5F"/>
    <w:rsid w:val="00A33806"/>
    <w:rsid w:val="00A33948"/>
    <w:rsid w:val="00A33BA1"/>
    <w:rsid w:val="00A34306"/>
    <w:rsid w:val="00A34389"/>
    <w:rsid w:val="00A343CF"/>
    <w:rsid w:val="00A343D9"/>
    <w:rsid w:val="00A345B1"/>
    <w:rsid w:val="00A349FF"/>
    <w:rsid w:val="00A34B57"/>
    <w:rsid w:val="00A34BA0"/>
    <w:rsid w:val="00A353AD"/>
    <w:rsid w:val="00A35567"/>
    <w:rsid w:val="00A3579C"/>
    <w:rsid w:val="00A357BE"/>
    <w:rsid w:val="00A35C4E"/>
    <w:rsid w:val="00A35DA6"/>
    <w:rsid w:val="00A36246"/>
    <w:rsid w:val="00A362B2"/>
    <w:rsid w:val="00A362DB"/>
    <w:rsid w:val="00A363DD"/>
    <w:rsid w:val="00A368DE"/>
    <w:rsid w:val="00A3692B"/>
    <w:rsid w:val="00A36BE5"/>
    <w:rsid w:val="00A37530"/>
    <w:rsid w:val="00A3776B"/>
    <w:rsid w:val="00A3787C"/>
    <w:rsid w:val="00A37902"/>
    <w:rsid w:val="00A37A94"/>
    <w:rsid w:val="00A37B29"/>
    <w:rsid w:val="00A401FA"/>
    <w:rsid w:val="00A409C3"/>
    <w:rsid w:val="00A40ACC"/>
    <w:rsid w:val="00A40BB5"/>
    <w:rsid w:val="00A40ED1"/>
    <w:rsid w:val="00A40F62"/>
    <w:rsid w:val="00A40FCA"/>
    <w:rsid w:val="00A41287"/>
    <w:rsid w:val="00A412B4"/>
    <w:rsid w:val="00A416DF"/>
    <w:rsid w:val="00A416E9"/>
    <w:rsid w:val="00A41A83"/>
    <w:rsid w:val="00A422B1"/>
    <w:rsid w:val="00A42459"/>
    <w:rsid w:val="00A42639"/>
    <w:rsid w:val="00A42900"/>
    <w:rsid w:val="00A42A17"/>
    <w:rsid w:val="00A42B0A"/>
    <w:rsid w:val="00A42F14"/>
    <w:rsid w:val="00A4309F"/>
    <w:rsid w:val="00A4316D"/>
    <w:rsid w:val="00A43587"/>
    <w:rsid w:val="00A435CC"/>
    <w:rsid w:val="00A4390F"/>
    <w:rsid w:val="00A43968"/>
    <w:rsid w:val="00A43C18"/>
    <w:rsid w:val="00A43F61"/>
    <w:rsid w:val="00A43F96"/>
    <w:rsid w:val="00A44259"/>
    <w:rsid w:val="00A44460"/>
    <w:rsid w:val="00A44CA2"/>
    <w:rsid w:val="00A4501F"/>
    <w:rsid w:val="00A450F7"/>
    <w:rsid w:val="00A45590"/>
    <w:rsid w:val="00A45781"/>
    <w:rsid w:val="00A45E15"/>
    <w:rsid w:val="00A45E76"/>
    <w:rsid w:val="00A45FC7"/>
    <w:rsid w:val="00A46146"/>
    <w:rsid w:val="00A4627A"/>
    <w:rsid w:val="00A46793"/>
    <w:rsid w:val="00A46A5F"/>
    <w:rsid w:val="00A46DC9"/>
    <w:rsid w:val="00A4738F"/>
    <w:rsid w:val="00A4745C"/>
    <w:rsid w:val="00A4787C"/>
    <w:rsid w:val="00A47897"/>
    <w:rsid w:val="00A47901"/>
    <w:rsid w:val="00A47B5C"/>
    <w:rsid w:val="00A47BF1"/>
    <w:rsid w:val="00A47C55"/>
    <w:rsid w:val="00A47F22"/>
    <w:rsid w:val="00A47F3F"/>
    <w:rsid w:val="00A5019B"/>
    <w:rsid w:val="00A50423"/>
    <w:rsid w:val="00A50AA7"/>
    <w:rsid w:val="00A50C84"/>
    <w:rsid w:val="00A50C96"/>
    <w:rsid w:val="00A50EF4"/>
    <w:rsid w:val="00A51071"/>
    <w:rsid w:val="00A5166B"/>
    <w:rsid w:val="00A516AC"/>
    <w:rsid w:val="00A5197F"/>
    <w:rsid w:val="00A51DFA"/>
    <w:rsid w:val="00A51E54"/>
    <w:rsid w:val="00A524FB"/>
    <w:rsid w:val="00A529F4"/>
    <w:rsid w:val="00A52B34"/>
    <w:rsid w:val="00A52D7C"/>
    <w:rsid w:val="00A52E2E"/>
    <w:rsid w:val="00A530ED"/>
    <w:rsid w:val="00A5316F"/>
    <w:rsid w:val="00A532CB"/>
    <w:rsid w:val="00A5364F"/>
    <w:rsid w:val="00A536B4"/>
    <w:rsid w:val="00A53821"/>
    <w:rsid w:val="00A53A9B"/>
    <w:rsid w:val="00A53AD4"/>
    <w:rsid w:val="00A53F36"/>
    <w:rsid w:val="00A54069"/>
    <w:rsid w:val="00A542D6"/>
    <w:rsid w:val="00A54731"/>
    <w:rsid w:val="00A54EEC"/>
    <w:rsid w:val="00A55203"/>
    <w:rsid w:val="00A55BF6"/>
    <w:rsid w:val="00A55CEF"/>
    <w:rsid w:val="00A55EA0"/>
    <w:rsid w:val="00A5601A"/>
    <w:rsid w:val="00A5665D"/>
    <w:rsid w:val="00A56978"/>
    <w:rsid w:val="00A56BCB"/>
    <w:rsid w:val="00A56F84"/>
    <w:rsid w:val="00A5706A"/>
    <w:rsid w:val="00A570FD"/>
    <w:rsid w:val="00A57420"/>
    <w:rsid w:val="00A57D80"/>
    <w:rsid w:val="00A57E8F"/>
    <w:rsid w:val="00A57F10"/>
    <w:rsid w:val="00A60010"/>
    <w:rsid w:val="00A600AA"/>
    <w:rsid w:val="00A602B7"/>
    <w:rsid w:val="00A609EC"/>
    <w:rsid w:val="00A60C38"/>
    <w:rsid w:val="00A61053"/>
    <w:rsid w:val="00A61075"/>
    <w:rsid w:val="00A616D4"/>
    <w:rsid w:val="00A617C1"/>
    <w:rsid w:val="00A617FD"/>
    <w:rsid w:val="00A619FF"/>
    <w:rsid w:val="00A61AC4"/>
    <w:rsid w:val="00A61EE5"/>
    <w:rsid w:val="00A62972"/>
    <w:rsid w:val="00A62C41"/>
    <w:rsid w:val="00A62D04"/>
    <w:rsid w:val="00A62E32"/>
    <w:rsid w:val="00A633CB"/>
    <w:rsid w:val="00A63689"/>
    <w:rsid w:val="00A638B0"/>
    <w:rsid w:val="00A638B2"/>
    <w:rsid w:val="00A639B5"/>
    <w:rsid w:val="00A63E99"/>
    <w:rsid w:val="00A64360"/>
    <w:rsid w:val="00A648D1"/>
    <w:rsid w:val="00A64921"/>
    <w:rsid w:val="00A64E21"/>
    <w:rsid w:val="00A64FA9"/>
    <w:rsid w:val="00A657D5"/>
    <w:rsid w:val="00A65B5F"/>
    <w:rsid w:val="00A65F4D"/>
    <w:rsid w:val="00A661AC"/>
    <w:rsid w:val="00A662A4"/>
    <w:rsid w:val="00A6630E"/>
    <w:rsid w:val="00A668F9"/>
    <w:rsid w:val="00A66C56"/>
    <w:rsid w:val="00A670C5"/>
    <w:rsid w:val="00A67615"/>
    <w:rsid w:val="00A67734"/>
    <w:rsid w:val="00A679A5"/>
    <w:rsid w:val="00A679DA"/>
    <w:rsid w:val="00A67BDF"/>
    <w:rsid w:val="00A702C4"/>
    <w:rsid w:val="00A7048E"/>
    <w:rsid w:val="00A70758"/>
    <w:rsid w:val="00A708FC"/>
    <w:rsid w:val="00A70AF8"/>
    <w:rsid w:val="00A70B20"/>
    <w:rsid w:val="00A70CC4"/>
    <w:rsid w:val="00A70E30"/>
    <w:rsid w:val="00A70F97"/>
    <w:rsid w:val="00A70F99"/>
    <w:rsid w:val="00A70FA3"/>
    <w:rsid w:val="00A7124B"/>
    <w:rsid w:val="00A7126F"/>
    <w:rsid w:val="00A713BF"/>
    <w:rsid w:val="00A71484"/>
    <w:rsid w:val="00A715B7"/>
    <w:rsid w:val="00A71695"/>
    <w:rsid w:val="00A71950"/>
    <w:rsid w:val="00A71CBE"/>
    <w:rsid w:val="00A71CF6"/>
    <w:rsid w:val="00A71F6F"/>
    <w:rsid w:val="00A723CE"/>
    <w:rsid w:val="00A727D1"/>
    <w:rsid w:val="00A72964"/>
    <w:rsid w:val="00A72AFD"/>
    <w:rsid w:val="00A73395"/>
    <w:rsid w:val="00A73DC5"/>
    <w:rsid w:val="00A74407"/>
    <w:rsid w:val="00A744B0"/>
    <w:rsid w:val="00A74538"/>
    <w:rsid w:val="00A74822"/>
    <w:rsid w:val="00A749DE"/>
    <w:rsid w:val="00A74BF7"/>
    <w:rsid w:val="00A74CEC"/>
    <w:rsid w:val="00A74D27"/>
    <w:rsid w:val="00A74FC9"/>
    <w:rsid w:val="00A752F6"/>
    <w:rsid w:val="00A75336"/>
    <w:rsid w:val="00A75348"/>
    <w:rsid w:val="00A756A1"/>
    <w:rsid w:val="00A7583C"/>
    <w:rsid w:val="00A75898"/>
    <w:rsid w:val="00A759A0"/>
    <w:rsid w:val="00A75BF9"/>
    <w:rsid w:val="00A75D08"/>
    <w:rsid w:val="00A75DCC"/>
    <w:rsid w:val="00A75E11"/>
    <w:rsid w:val="00A76031"/>
    <w:rsid w:val="00A7616C"/>
    <w:rsid w:val="00A76A12"/>
    <w:rsid w:val="00A76E57"/>
    <w:rsid w:val="00A77052"/>
    <w:rsid w:val="00A770A8"/>
    <w:rsid w:val="00A7718B"/>
    <w:rsid w:val="00A7739E"/>
    <w:rsid w:val="00A774E9"/>
    <w:rsid w:val="00A778A1"/>
    <w:rsid w:val="00A779E1"/>
    <w:rsid w:val="00A77A45"/>
    <w:rsid w:val="00A77DED"/>
    <w:rsid w:val="00A77F07"/>
    <w:rsid w:val="00A802B6"/>
    <w:rsid w:val="00A8047E"/>
    <w:rsid w:val="00A80C0E"/>
    <w:rsid w:val="00A80C34"/>
    <w:rsid w:val="00A8122D"/>
    <w:rsid w:val="00A812F7"/>
    <w:rsid w:val="00A813EF"/>
    <w:rsid w:val="00A81731"/>
    <w:rsid w:val="00A817F4"/>
    <w:rsid w:val="00A8190F"/>
    <w:rsid w:val="00A81AFF"/>
    <w:rsid w:val="00A81B27"/>
    <w:rsid w:val="00A81B91"/>
    <w:rsid w:val="00A81DF3"/>
    <w:rsid w:val="00A81F20"/>
    <w:rsid w:val="00A821F0"/>
    <w:rsid w:val="00A82607"/>
    <w:rsid w:val="00A828B2"/>
    <w:rsid w:val="00A82BA1"/>
    <w:rsid w:val="00A82BF4"/>
    <w:rsid w:val="00A82DC5"/>
    <w:rsid w:val="00A82DE4"/>
    <w:rsid w:val="00A82EDE"/>
    <w:rsid w:val="00A83639"/>
    <w:rsid w:val="00A83688"/>
    <w:rsid w:val="00A83735"/>
    <w:rsid w:val="00A83868"/>
    <w:rsid w:val="00A83A61"/>
    <w:rsid w:val="00A83BA8"/>
    <w:rsid w:val="00A83C71"/>
    <w:rsid w:val="00A83D43"/>
    <w:rsid w:val="00A83FA9"/>
    <w:rsid w:val="00A840A6"/>
    <w:rsid w:val="00A840CB"/>
    <w:rsid w:val="00A84344"/>
    <w:rsid w:val="00A84451"/>
    <w:rsid w:val="00A847D3"/>
    <w:rsid w:val="00A8499B"/>
    <w:rsid w:val="00A84A4C"/>
    <w:rsid w:val="00A84CC9"/>
    <w:rsid w:val="00A84CCD"/>
    <w:rsid w:val="00A84D00"/>
    <w:rsid w:val="00A84F70"/>
    <w:rsid w:val="00A850E7"/>
    <w:rsid w:val="00A851EA"/>
    <w:rsid w:val="00A85A43"/>
    <w:rsid w:val="00A85B2B"/>
    <w:rsid w:val="00A85D0F"/>
    <w:rsid w:val="00A85F65"/>
    <w:rsid w:val="00A86103"/>
    <w:rsid w:val="00A863B9"/>
    <w:rsid w:val="00A86497"/>
    <w:rsid w:val="00A8653C"/>
    <w:rsid w:val="00A86DE1"/>
    <w:rsid w:val="00A86E3F"/>
    <w:rsid w:val="00A86FE5"/>
    <w:rsid w:val="00A871A7"/>
    <w:rsid w:val="00A877B9"/>
    <w:rsid w:val="00A87D8B"/>
    <w:rsid w:val="00A90190"/>
    <w:rsid w:val="00A90272"/>
    <w:rsid w:val="00A9034F"/>
    <w:rsid w:val="00A9076B"/>
    <w:rsid w:val="00A908BF"/>
    <w:rsid w:val="00A90AB1"/>
    <w:rsid w:val="00A90B3D"/>
    <w:rsid w:val="00A90BF2"/>
    <w:rsid w:val="00A90E21"/>
    <w:rsid w:val="00A90F66"/>
    <w:rsid w:val="00A9107E"/>
    <w:rsid w:val="00A911BD"/>
    <w:rsid w:val="00A9194C"/>
    <w:rsid w:val="00A91C78"/>
    <w:rsid w:val="00A91DB6"/>
    <w:rsid w:val="00A91FD8"/>
    <w:rsid w:val="00A9269C"/>
    <w:rsid w:val="00A92733"/>
    <w:rsid w:val="00A929B5"/>
    <w:rsid w:val="00A92B65"/>
    <w:rsid w:val="00A92BEB"/>
    <w:rsid w:val="00A92DBF"/>
    <w:rsid w:val="00A930D0"/>
    <w:rsid w:val="00A93230"/>
    <w:rsid w:val="00A93BF9"/>
    <w:rsid w:val="00A94053"/>
    <w:rsid w:val="00A9471E"/>
    <w:rsid w:val="00A94816"/>
    <w:rsid w:val="00A94825"/>
    <w:rsid w:val="00A950D7"/>
    <w:rsid w:val="00A951C7"/>
    <w:rsid w:val="00A9537E"/>
    <w:rsid w:val="00A95A37"/>
    <w:rsid w:val="00A95BAD"/>
    <w:rsid w:val="00A95F7C"/>
    <w:rsid w:val="00A9642C"/>
    <w:rsid w:val="00A96666"/>
    <w:rsid w:val="00A96811"/>
    <w:rsid w:val="00A96948"/>
    <w:rsid w:val="00A96FA9"/>
    <w:rsid w:val="00A970CD"/>
    <w:rsid w:val="00A9721E"/>
    <w:rsid w:val="00A972B5"/>
    <w:rsid w:val="00A974B0"/>
    <w:rsid w:val="00A97F3C"/>
    <w:rsid w:val="00AA031F"/>
    <w:rsid w:val="00AA06C8"/>
    <w:rsid w:val="00AA076F"/>
    <w:rsid w:val="00AA0E5B"/>
    <w:rsid w:val="00AA14FA"/>
    <w:rsid w:val="00AA1801"/>
    <w:rsid w:val="00AA18CB"/>
    <w:rsid w:val="00AA1D59"/>
    <w:rsid w:val="00AA1D90"/>
    <w:rsid w:val="00AA1E4C"/>
    <w:rsid w:val="00AA20B1"/>
    <w:rsid w:val="00AA2331"/>
    <w:rsid w:val="00AA25A7"/>
    <w:rsid w:val="00AA26FC"/>
    <w:rsid w:val="00AA29A3"/>
    <w:rsid w:val="00AA29F0"/>
    <w:rsid w:val="00AA2D78"/>
    <w:rsid w:val="00AA3617"/>
    <w:rsid w:val="00AA3750"/>
    <w:rsid w:val="00AA3B36"/>
    <w:rsid w:val="00AA3BCE"/>
    <w:rsid w:val="00AA3C87"/>
    <w:rsid w:val="00AA3EEB"/>
    <w:rsid w:val="00AA44E2"/>
    <w:rsid w:val="00AA46AC"/>
    <w:rsid w:val="00AA4D29"/>
    <w:rsid w:val="00AA4F6A"/>
    <w:rsid w:val="00AA5061"/>
    <w:rsid w:val="00AA5456"/>
    <w:rsid w:val="00AA5511"/>
    <w:rsid w:val="00AA5952"/>
    <w:rsid w:val="00AA5D9F"/>
    <w:rsid w:val="00AA6060"/>
    <w:rsid w:val="00AA606A"/>
    <w:rsid w:val="00AA617C"/>
    <w:rsid w:val="00AA624C"/>
    <w:rsid w:val="00AA6531"/>
    <w:rsid w:val="00AA66C4"/>
    <w:rsid w:val="00AA68A2"/>
    <w:rsid w:val="00AA6BA6"/>
    <w:rsid w:val="00AA6D97"/>
    <w:rsid w:val="00AA7476"/>
    <w:rsid w:val="00AA768F"/>
    <w:rsid w:val="00AA76F0"/>
    <w:rsid w:val="00AA7912"/>
    <w:rsid w:val="00AA7A6E"/>
    <w:rsid w:val="00AA7B30"/>
    <w:rsid w:val="00AA7C1F"/>
    <w:rsid w:val="00AA7D40"/>
    <w:rsid w:val="00AA7FF7"/>
    <w:rsid w:val="00AB0138"/>
    <w:rsid w:val="00AB0379"/>
    <w:rsid w:val="00AB0423"/>
    <w:rsid w:val="00AB060A"/>
    <w:rsid w:val="00AB15E8"/>
    <w:rsid w:val="00AB16CB"/>
    <w:rsid w:val="00AB178A"/>
    <w:rsid w:val="00AB17C4"/>
    <w:rsid w:val="00AB1FBA"/>
    <w:rsid w:val="00AB2219"/>
    <w:rsid w:val="00AB29AD"/>
    <w:rsid w:val="00AB29CE"/>
    <w:rsid w:val="00AB2A07"/>
    <w:rsid w:val="00AB2A4E"/>
    <w:rsid w:val="00AB2B26"/>
    <w:rsid w:val="00AB2C0F"/>
    <w:rsid w:val="00AB31E9"/>
    <w:rsid w:val="00AB3670"/>
    <w:rsid w:val="00AB3715"/>
    <w:rsid w:val="00AB3B4D"/>
    <w:rsid w:val="00AB3E9B"/>
    <w:rsid w:val="00AB44E1"/>
    <w:rsid w:val="00AB4877"/>
    <w:rsid w:val="00AB4C90"/>
    <w:rsid w:val="00AB4CED"/>
    <w:rsid w:val="00AB4CF6"/>
    <w:rsid w:val="00AB4D42"/>
    <w:rsid w:val="00AB4DDA"/>
    <w:rsid w:val="00AB55DA"/>
    <w:rsid w:val="00AB59AD"/>
    <w:rsid w:val="00AB5B0A"/>
    <w:rsid w:val="00AB60A6"/>
    <w:rsid w:val="00AB6980"/>
    <w:rsid w:val="00AB6A54"/>
    <w:rsid w:val="00AB6ADC"/>
    <w:rsid w:val="00AB7008"/>
    <w:rsid w:val="00AB730F"/>
    <w:rsid w:val="00AB7928"/>
    <w:rsid w:val="00AB7AA7"/>
    <w:rsid w:val="00AB7B4E"/>
    <w:rsid w:val="00AB7F43"/>
    <w:rsid w:val="00AC0037"/>
    <w:rsid w:val="00AC05BB"/>
    <w:rsid w:val="00AC0605"/>
    <w:rsid w:val="00AC06D7"/>
    <w:rsid w:val="00AC06F4"/>
    <w:rsid w:val="00AC0764"/>
    <w:rsid w:val="00AC0833"/>
    <w:rsid w:val="00AC12E6"/>
    <w:rsid w:val="00AC178D"/>
    <w:rsid w:val="00AC1CA1"/>
    <w:rsid w:val="00AC1F25"/>
    <w:rsid w:val="00AC2258"/>
    <w:rsid w:val="00AC2411"/>
    <w:rsid w:val="00AC2430"/>
    <w:rsid w:val="00AC26D3"/>
    <w:rsid w:val="00AC2786"/>
    <w:rsid w:val="00AC2BBB"/>
    <w:rsid w:val="00AC2CAB"/>
    <w:rsid w:val="00AC2D2B"/>
    <w:rsid w:val="00AC2E5C"/>
    <w:rsid w:val="00AC3037"/>
    <w:rsid w:val="00AC357F"/>
    <w:rsid w:val="00AC3769"/>
    <w:rsid w:val="00AC3837"/>
    <w:rsid w:val="00AC3B34"/>
    <w:rsid w:val="00AC485F"/>
    <w:rsid w:val="00AC4D1D"/>
    <w:rsid w:val="00AC4DE6"/>
    <w:rsid w:val="00AC4E3E"/>
    <w:rsid w:val="00AC4E81"/>
    <w:rsid w:val="00AC530F"/>
    <w:rsid w:val="00AC531E"/>
    <w:rsid w:val="00AC5336"/>
    <w:rsid w:val="00AC53F7"/>
    <w:rsid w:val="00AC54BA"/>
    <w:rsid w:val="00AC5806"/>
    <w:rsid w:val="00AC66A0"/>
    <w:rsid w:val="00AC67B8"/>
    <w:rsid w:val="00AC6FE7"/>
    <w:rsid w:val="00AC71B5"/>
    <w:rsid w:val="00AC76FA"/>
    <w:rsid w:val="00AC7BED"/>
    <w:rsid w:val="00AC7FE6"/>
    <w:rsid w:val="00AD00BF"/>
    <w:rsid w:val="00AD08C5"/>
    <w:rsid w:val="00AD0976"/>
    <w:rsid w:val="00AD0B9A"/>
    <w:rsid w:val="00AD0CD0"/>
    <w:rsid w:val="00AD0E60"/>
    <w:rsid w:val="00AD10A8"/>
    <w:rsid w:val="00AD12D4"/>
    <w:rsid w:val="00AD19DF"/>
    <w:rsid w:val="00AD1BDD"/>
    <w:rsid w:val="00AD2528"/>
    <w:rsid w:val="00AD2811"/>
    <w:rsid w:val="00AD2858"/>
    <w:rsid w:val="00AD3111"/>
    <w:rsid w:val="00AD33C6"/>
    <w:rsid w:val="00AD33E1"/>
    <w:rsid w:val="00AD3805"/>
    <w:rsid w:val="00AD38C1"/>
    <w:rsid w:val="00AD3DA5"/>
    <w:rsid w:val="00AD3E5C"/>
    <w:rsid w:val="00AD3F73"/>
    <w:rsid w:val="00AD3FA8"/>
    <w:rsid w:val="00AD401B"/>
    <w:rsid w:val="00AD42D0"/>
    <w:rsid w:val="00AD43CF"/>
    <w:rsid w:val="00AD4648"/>
    <w:rsid w:val="00AD488F"/>
    <w:rsid w:val="00AD498D"/>
    <w:rsid w:val="00AD5328"/>
    <w:rsid w:val="00AD5598"/>
    <w:rsid w:val="00AD595E"/>
    <w:rsid w:val="00AD5C21"/>
    <w:rsid w:val="00AD5D12"/>
    <w:rsid w:val="00AD5D40"/>
    <w:rsid w:val="00AD6153"/>
    <w:rsid w:val="00AD636F"/>
    <w:rsid w:val="00AD64F8"/>
    <w:rsid w:val="00AD6724"/>
    <w:rsid w:val="00AD68E9"/>
    <w:rsid w:val="00AD6B53"/>
    <w:rsid w:val="00AD7307"/>
    <w:rsid w:val="00AD7389"/>
    <w:rsid w:val="00AD764D"/>
    <w:rsid w:val="00AD7736"/>
    <w:rsid w:val="00AD7955"/>
    <w:rsid w:val="00AD7C4A"/>
    <w:rsid w:val="00AD7C91"/>
    <w:rsid w:val="00AE0821"/>
    <w:rsid w:val="00AE0826"/>
    <w:rsid w:val="00AE0A41"/>
    <w:rsid w:val="00AE0B98"/>
    <w:rsid w:val="00AE0C9B"/>
    <w:rsid w:val="00AE0CB3"/>
    <w:rsid w:val="00AE1174"/>
    <w:rsid w:val="00AE1560"/>
    <w:rsid w:val="00AE17E8"/>
    <w:rsid w:val="00AE284A"/>
    <w:rsid w:val="00AE2902"/>
    <w:rsid w:val="00AE29F8"/>
    <w:rsid w:val="00AE2A15"/>
    <w:rsid w:val="00AE2A7A"/>
    <w:rsid w:val="00AE2A9C"/>
    <w:rsid w:val="00AE2B54"/>
    <w:rsid w:val="00AE324A"/>
    <w:rsid w:val="00AE3349"/>
    <w:rsid w:val="00AE33C5"/>
    <w:rsid w:val="00AE343F"/>
    <w:rsid w:val="00AE36F9"/>
    <w:rsid w:val="00AE3A0D"/>
    <w:rsid w:val="00AE3B7F"/>
    <w:rsid w:val="00AE3C5D"/>
    <w:rsid w:val="00AE4154"/>
    <w:rsid w:val="00AE41A0"/>
    <w:rsid w:val="00AE41A6"/>
    <w:rsid w:val="00AE4545"/>
    <w:rsid w:val="00AE48F2"/>
    <w:rsid w:val="00AE4BD9"/>
    <w:rsid w:val="00AE4F60"/>
    <w:rsid w:val="00AE51B2"/>
    <w:rsid w:val="00AE54F8"/>
    <w:rsid w:val="00AE66EA"/>
    <w:rsid w:val="00AE6850"/>
    <w:rsid w:val="00AE68D7"/>
    <w:rsid w:val="00AE6902"/>
    <w:rsid w:val="00AE6AB2"/>
    <w:rsid w:val="00AE6AFC"/>
    <w:rsid w:val="00AE70C8"/>
    <w:rsid w:val="00AE748B"/>
    <w:rsid w:val="00AE789B"/>
    <w:rsid w:val="00AE7AF8"/>
    <w:rsid w:val="00AE7EC3"/>
    <w:rsid w:val="00AE7EC9"/>
    <w:rsid w:val="00AF015E"/>
    <w:rsid w:val="00AF0348"/>
    <w:rsid w:val="00AF055C"/>
    <w:rsid w:val="00AF09E1"/>
    <w:rsid w:val="00AF0AE9"/>
    <w:rsid w:val="00AF0D1F"/>
    <w:rsid w:val="00AF0DF7"/>
    <w:rsid w:val="00AF1950"/>
    <w:rsid w:val="00AF1A15"/>
    <w:rsid w:val="00AF1C75"/>
    <w:rsid w:val="00AF1E08"/>
    <w:rsid w:val="00AF1E58"/>
    <w:rsid w:val="00AF1FF1"/>
    <w:rsid w:val="00AF204D"/>
    <w:rsid w:val="00AF237A"/>
    <w:rsid w:val="00AF243E"/>
    <w:rsid w:val="00AF24FA"/>
    <w:rsid w:val="00AF252A"/>
    <w:rsid w:val="00AF25C5"/>
    <w:rsid w:val="00AF2922"/>
    <w:rsid w:val="00AF2A7E"/>
    <w:rsid w:val="00AF2BBA"/>
    <w:rsid w:val="00AF2C16"/>
    <w:rsid w:val="00AF3374"/>
    <w:rsid w:val="00AF3782"/>
    <w:rsid w:val="00AF3895"/>
    <w:rsid w:val="00AF3A3F"/>
    <w:rsid w:val="00AF3D5D"/>
    <w:rsid w:val="00AF3EC6"/>
    <w:rsid w:val="00AF4116"/>
    <w:rsid w:val="00AF42FE"/>
    <w:rsid w:val="00AF45DA"/>
    <w:rsid w:val="00AF481C"/>
    <w:rsid w:val="00AF4A9C"/>
    <w:rsid w:val="00AF4AFF"/>
    <w:rsid w:val="00AF4B6D"/>
    <w:rsid w:val="00AF4D13"/>
    <w:rsid w:val="00AF506E"/>
    <w:rsid w:val="00AF51E9"/>
    <w:rsid w:val="00AF5986"/>
    <w:rsid w:val="00AF5988"/>
    <w:rsid w:val="00AF6162"/>
    <w:rsid w:val="00AF627E"/>
    <w:rsid w:val="00AF62EF"/>
    <w:rsid w:val="00AF651E"/>
    <w:rsid w:val="00AF6688"/>
    <w:rsid w:val="00AF674F"/>
    <w:rsid w:val="00AF685A"/>
    <w:rsid w:val="00AF6BD2"/>
    <w:rsid w:val="00AF6CA6"/>
    <w:rsid w:val="00AF6F77"/>
    <w:rsid w:val="00AF6FD9"/>
    <w:rsid w:val="00AF750C"/>
    <w:rsid w:val="00AF7B7C"/>
    <w:rsid w:val="00AF7EA1"/>
    <w:rsid w:val="00AF7F95"/>
    <w:rsid w:val="00B00220"/>
    <w:rsid w:val="00B003D7"/>
    <w:rsid w:val="00B007E5"/>
    <w:rsid w:val="00B00942"/>
    <w:rsid w:val="00B0097C"/>
    <w:rsid w:val="00B00AB7"/>
    <w:rsid w:val="00B00F3E"/>
    <w:rsid w:val="00B00FC1"/>
    <w:rsid w:val="00B01525"/>
    <w:rsid w:val="00B01814"/>
    <w:rsid w:val="00B01939"/>
    <w:rsid w:val="00B0199E"/>
    <w:rsid w:val="00B01AB8"/>
    <w:rsid w:val="00B01AF6"/>
    <w:rsid w:val="00B01C42"/>
    <w:rsid w:val="00B01CE4"/>
    <w:rsid w:val="00B021EE"/>
    <w:rsid w:val="00B02362"/>
    <w:rsid w:val="00B02852"/>
    <w:rsid w:val="00B02AB4"/>
    <w:rsid w:val="00B02B4F"/>
    <w:rsid w:val="00B02CDE"/>
    <w:rsid w:val="00B031A2"/>
    <w:rsid w:val="00B036EA"/>
    <w:rsid w:val="00B0386C"/>
    <w:rsid w:val="00B03895"/>
    <w:rsid w:val="00B03CE4"/>
    <w:rsid w:val="00B04020"/>
    <w:rsid w:val="00B04296"/>
    <w:rsid w:val="00B04391"/>
    <w:rsid w:val="00B04680"/>
    <w:rsid w:val="00B04B99"/>
    <w:rsid w:val="00B04C32"/>
    <w:rsid w:val="00B04CD3"/>
    <w:rsid w:val="00B04CED"/>
    <w:rsid w:val="00B052FD"/>
    <w:rsid w:val="00B0569A"/>
    <w:rsid w:val="00B057F8"/>
    <w:rsid w:val="00B05A54"/>
    <w:rsid w:val="00B05B1A"/>
    <w:rsid w:val="00B0614E"/>
    <w:rsid w:val="00B06171"/>
    <w:rsid w:val="00B06358"/>
    <w:rsid w:val="00B064C6"/>
    <w:rsid w:val="00B0689B"/>
    <w:rsid w:val="00B07260"/>
    <w:rsid w:val="00B07638"/>
    <w:rsid w:val="00B07BDE"/>
    <w:rsid w:val="00B07D38"/>
    <w:rsid w:val="00B07D83"/>
    <w:rsid w:val="00B10593"/>
    <w:rsid w:val="00B105F3"/>
    <w:rsid w:val="00B10A89"/>
    <w:rsid w:val="00B10D1F"/>
    <w:rsid w:val="00B10DCA"/>
    <w:rsid w:val="00B11007"/>
    <w:rsid w:val="00B1148A"/>
    <w:rsid w:val="00B1162F"/>
    <w:rsid w:val="00B11BA5"/>
    <w:rsid w:val="00B11BC6"/>
    <w:rsid w:val="00B11E5A"/>
    <w:rsid w:val="00B12565"/>
    <w:rsid w:val="00B1256B"/>
    <w:rsid w:val="00B127E3"/>
    <w:rsid w:val="00B12844"/>
    <w:rsid w:val="00B12886"/>
    <w:rsid w:val="00B12C31"/>
    <w:rsid w:val="00B12C4D"/>
    <w:rsid w:val="00B12D14"/>
    <w:rsid w:val="00B12F0C"/>
    <w:rsid w:val="00B1329A"/>
    <w:rsid w:val="00B13607"/>
    <w:rsid w:val="00B13668"/>
    <w:rsid w:val="00B139D6"/>
    <w:rsid w:val="00B13AD2"/>
    <w:rsid w:val="00B13D47"/>
    <w:rsid w:val="00B13E27"/>
    <w:rsid w:val="00B13F82"/>
    <w:rsid w:val="00B13FEF"/>
    <w:rsid w:val="00B14111"/>
    <w:rsid w:val="00B14168"/>
    <w:rsid w:val="00B14436"/>
    <w:rsid w:val="00B14C79"/>
    <w:rsid w:val="00B14CF2"/>
    <w:rsid w:val="00B14D2F"/>
    <w:rsid w:val="00B14F4C"/>
    <w:rsid w:val="00B153D2"/>
    <w:rsid w:val="00B153DD"/>
    <w:rsid w:val="00B154EC"/>
    <w:rsid w:val="00B15711"/>
    <w:rsid w:val="00B15A8F"/>
    <w:rsid w:val="00B15B61"/>
    <w:rsid w:val="00B15E23"/>
    <w:rsid w:val="00B16160"/>
    <w:rsid w:val="00B166C1"/>
    <w:rsid w:val="00B16A6F"/>
    <w:rsid w:val="00B16FF1"/>
    <w:rsid w:val="00B170C3"/>
    <w:rsid w:val="00B17981"/>
    <w:rsid w:val="00B17B5C"/>
    <w:rsid w:val="00B17F44"/>
    <w:rsid w:val="00B2015D"/>
    <w:rsid w:val="00B20195"/>
    <w:rsid w:val="00B2027B"/>
    <w:rsid w:val="00B20D2F"/>
    <w:rsid w:val="00B21422"/>
    <w:rsid w:val="00B2145B"/>
    <w:rsid w:val="00B21598"/>
    <w:rsid w:val="00B21D5A"/>
    <w:rsid w:val="00B2282F"/>
    <w:rsid w:val="00B22A74"/>
    <w:rsid w:val="00B22CB0"/>
    <w:rsid w:val="00B22E93"/>
    <w:rsid w:val="00B231EF"/>
    <w:rsid w:val="00B23527"/>
    <w:rsid w:val="00B2355A"/>
    <w:rsid w:val="00B235AD"/>
    <w:rsid w:val="00B23958"/>
    <w:rsid w:val="00B23B6E"/>
    <w:rsid w:val="00B23D9E"/>
    <w:rsid w:val="00B23FB5"/>
    <w:rsid w:val="00B2405B"/>
    <w:rsid w:val="00B2417E"/>
    <w:rsid w:val="00B2420A"/>
    <w:rsid w:val="00B2468E"/>
    <w:rsid w:val="00B2487E"/>
    <w:rsid w:val="00B24998"/>
    <w:rsid w:val="00B24B92"/>
    <w:rsid w:val="00B24C42"/>
    <w:rsid w:val="00B24D7C"/>
    <w:rsid w:val="00B24FCB"/>
    <w:rsid w:val="00B25044"/>
    <w:rsid w:val="00B25AC2"/>
    <w:rsid w:val="00B25EC8"/>
    <w:rsid w:val="00B26347"/>
    <w:rsid w:val="00B26546"/>
    <w:rsid w:val="00B26D84"/>
    <w:rsid w:val="00B27856"/>
    <w:rsid w:val="00B27F46"/>
    <w:rsid w:val="00B3008F"/>
    <w:rsid w:val="00B302D7"/>
    <w:rsid w:val="00B304D2"/>
    <w:rsid w:val="00B30579"/>
    <w:rsid w:val="00B3085D"/>
    <w:rsid w:val="00B30D5B"/>
    <w:rsid w:val="00B30E4E"/>
    <w:rsid w:val="00B31403"/>
    <w:rsid w:val="00B316E4"/>
    <w:rsid w:val="00B31D7A"/>
    <w:rsid w:val="00B31E24"/>
    <w:rsid w:val="00B3200D"/>
    <w:rsid w:val="00B3258C"/>
    <w:rsid w:val="00B325DD"/>
    <w:rsid w:val="00B3294A"/>
    <w:rsid w:val="00B32A91"/>
    <w:rsid w:val="00B32F71"/>
    <w:rsid w:val="00B32FEA"/>
    <w:rsid w:val="00B334C5"/>
    <w:rsid w:val="00B337CE"/>
    <w:rsid w:val="00B33989"/>
    <w:rsid w:val="00B33CF9"/>
    <w:rsid w:val="00B33D66"/>
    <w:rsid w:val="00B3407A"/>
    <w:rsid w:val="00B34191"/>
    <w:rsid w:val="00B344C0"/>
    <w:rsid w:val="00B349D4"/>
    <w:rsid w:val="00B34AF1"/>
    <w:rsid w:val="00B34F9A"/>
    <w:rsid w:val="00B35B4C"/>
    <w:rsid w:val="00B3627C"/>
    <w:rsid w:val="00B362AF"/>
    <w:rsid w:val="00B36D60"/>
    <w:rsid w:val="00B36F3F"/>
    <w:rsid w:val="00B36FC8"/>
    <w:rsid w:val="00B36FEC"/>
    <w:rsid w:val="00B370EB"/>
    <w:rsid w:val="00B372EA"/>
    <w:rsid w:val="00B3737F"/>
    <w:rsid w:val="00B37461"/>
    <w:rsid w:val="00B374D6"/>
    <w:rsid w:val="00B374D7"/>
    <w:rsid w:val="00B3787E"/>
    <w:rsid w:val="00B37C31"/>
    <w:rsid w:val="00B37D82"/>
    <w:rsid w:val="00B40166"/>
    <w:rsid w:val="00B40257"/>
    <w:rsid w:val="00B40C33"/>
    <w:rsid w:val="00B40CD2"/>
    <w:rsid w:val="00B40F9F"/>
    <w:rsid w:val="00B41032"/>
    <w:rsid w:val="00B410D0"/>
    <w:rsid w:val="00B411A7"/>
    <w:rsid w:val="00B41A5D"/>
    <w:rsid w:val="00B41AED"/>
    <w:rsid w:val="00B42653"/>
    <w:rsid w:val="00B42AA5"/>
    <w:rsid w:val="00B42C77"/>
    <w:rsid w:val="00B42F7B"/>
    <w:rsid w:val="00B42FB4"/>
    <w:rsid w:val="00B4324C"/>
    <w:rsid w:val="00B4329D"/>
    <w:rsid w:val="00B432FF"/>
    <w:rsid w:val="00B435CB"/>
    <w:rsid w:val="00B437C2"/>
    <w:rsid w:val="00B439E5"/>
    <w:rsid w:val="00B43B5E"/>
    <w:rsid w:val="00B449C8"/>
    <w:rsid w:val="00B44A46"/>
    <w:rsid w:val="00B44DF7"/>
    <w:rsid w:val="00B454B8"/>
    <w:rsid w:val="00B454CA"/>
    <w:rsid w:val="00B45624"/>
    <w:rsid w:val="00B45845"/>
    <w:rsid w:val="00B45918"/>
    <w:rsid w:val="00B45987"/>
    <w:rsid w:val="00B45A95"/>
    <w:rsid w:val="00B45D46"/>
    <w:rsid w:val="00B45EF6"/>
    <w:rsid w:val="00B46522"/>
    <w:rsid w:val="00B46579"/>
    <w:rsid w:val="00B46732"/>
    <w:rsid w:val="00B469CD"/>
    <w:rsid w:val="00B46F1B"/>
    <w:rsid w:val="00B46FB9"/>
    <w:rsid w:val="00B470B8"/>
    <w:rsid w:val="00B4714A"/>
    <w:rsid w:val="00B47688"/>
    <w:rsid w:val="00B477EF"/>
    <w:rsid w:val="00B47A3D"/>
    <w:rsid w:val="00B47AC5"/>
    <w:rsid w:val="00B50190"/>
    <w:rsid w:val="00B503AF"/>
    <w:rsid w:val="00B5089C"/>
    <w:rsid w:val="00B50A48"/>
    <w:rsid w:val="00B50C49"/>
    <w:rsid w:val="00B50D3C"/>
    <w:rsid w:val="00B51076"/>
    <w:rsid w:val="00B513C6"/>
    <w:rsid w:val="00B51CDE"/>
    <w:rsid w:val="00B51D61"/>
    <w:rsid w:val="00B52208"/>
    <w:rsid w:val="00B52241"/>
    <w:rsid w:val="00B524D0"/>
    <w:rsid w:val="00B52720"/>
    <w:rsid w:val="00B528AB"/>
    <w:rsid w:val="00B529AE"/>
    <w:rsid w:val="00B52BB5"/>
    <w:rsid w:val="00B52CE2"/>
    <w:rsid w:val="00B52ECE"/>
    <w:rsid w:val="00B52F83"/>
    <w:rsid w:val="00B52F92"/>
    <w:rsid w:val="00B535AB"/>
    <w:rsid w:val="00B53A68"/>
    <w:rsid w:val="00B53AF6"/>
    <w:rsid w:val="00B53D74"/>
    <w:rsid w:val="00B53EFA"/>
    <w:rsid w:val="00B541BB"/>
    <w:rsid w:val="00B54258"/>
    <w:rsid w:val="00B5449E"/>
    <w:rsid w:val="00B54650"/>
    <w:rsid w:val="00B546BA"/>
    <w:rsid w:val="00B54D71"/>
    <w:rsid w:val="00B54E97"/>
    <w:rsid w:val="00B55022"/>
    <w:rsid w:val="00B5524E"/>
    <w:rsid w:val="00B553ED"/>
    <w:rsid w:val="00B5542E"/>
    <w:rsid w:val="00B55591"/>
    <w:rsid w:val="00B555F4"/>
    <w:rsid w:val="00B55C8F"/>
    <w:rsid w:val="00B55E91"/>
    <w:rsid w:val="00B55F9F"/>
    <w:rsid w:val="00B5611B"/>
    <w:rsid w:val="00B561A0"/>
    <w:rsid w:val="00B562EB"/>
    <w:rsid w:val="00B56427"/>
    <w:rsid w:val="00B56664"/>
    <w:rsid w:val="00B56743"/>
    <w:rsid w:val="00B56A50"/>
    <w:rsid w:val="00B56C08"/>
    <w:rsid w:val="00B56D32"/>
    <w:rsid w:val="00B56F57"/>
    <w:rsid w:val="00B5701C"/>
    <w:rsid w:val="00B570B2"/>
    <w:rsid w:val="00B5734C"/>
    <w:rsid w:val="00B5776E"/>
    <w:rsid w:val="00B57784"/>
    <w:rsid w:val="00B57E35"/>
    <w:rsid w:val="00B6033B"/>
    <w:rsid w:val="00B6034E"/>
    <w:rsid w:val="00B604FC"/>
    <w:rsid w:val="00B60993"/>
    <w:rsid w:val="00B60A98"/>
    <w:rsid w:val="00B61068"/>
    <w:rsid w:val="00B61236"/>
    <w:rsid w:val="00B6132D"/>
    <w:rsid w:val="00B61D3A"/>
    <w:rsid w:val="00B62376"/>
    <w:rsid w:val="00B6237E"/>
    <w:rsid w:val="00B623F7"/>
    <w:rsid w:val="00B6276A"/>
    <w:rsid w:val="00B62789"/>
    <w:rsid w:val="00B627AB"/>
    <w:rsid w:val="00B629A9"/>
    <w:rsid w:val="00B62B48"/>
    <w:rsid w:val="00B62F72"/>
    <w:rsid w:val="00B6347A"/>
    <w:rsid w:val="00B6376A"/>
    <w:rsid w:val="00B63853"/>
    <w:rsid w:val="00B639B1"/>
    <w:rsid w:val="00B63CE2"/>
    <w:rsid w:val="00B63F11"/>
    <w:rsid w:val="00B64063"/>
    <w:rsid w:val="00B641F7"/>
    <w:rsid w:val="00B642CF"/>
    <w:rsid w:val="00B644CA"/>
    <w:rsid w:val="00B64571"/>
    <w:rsid w:val="00B64C50"/>
    <w:rsid w:val="00B64C67"/>
    <w:rsid w:val="00B64C7A"/>
    <w:rsid w:val="00B64F50"/>
    <w:rsid w:val="00B6540B"/>
    <w:rsid w:val="00B654F3"/>
    <w:rsid w:val="00B6554C"/>
    <w:rsid w:val="00B65585"/>
    <w:rsid w:val="00B65624"/>
    <w:rsid w:val="00B657BA"/>
    <w:rsid w:val="00B65923"/>
    <w:rsid w:val="00B659D3"/>
    <w:rsid w:val="00B65C55"/>
    <w:rsid w:val="00B65D05"/>
    <w:rsid w:val="00B664EB"/>
    <w:rsid w:val="00B665C4"/>
    <w:rsid w:val="00B66C90"/>
    <w:rsid w:val="00B66DB6"/>
    <w:rsid w:val="00B66E04"/>
    <w:rsid w:val="00B66E9C"/>
    <w:rsid w:val="00B66ED0"/>
    <w:rsid w:val="00B66F33"/>
    <w:rsid w:val="00B66F82"/>
    <w:rsid w:val="00B671AC"/>
    <w:rsid w:val="00B67344"/>
    <w:rsid w:val="00B673A7"/>
    <w:rsid w:val="00B673B7"/>
    <w:rsid w:val="00B675BE"/>
    <w:rsid w:val="00B67979"/>
    <w:rsid w:val="00B67A74"/>
    <w:rsid w:val="00B67A8B"/>
    <w:rsid w:val="00B67AF6"/>
    <w:rsid w:val="00B67CD7"/>
    <w:rsid w:val="00B7005C"/>
    <w:rsid w:val="00B7032E"/>
    <w:rsid w:val="00B708FA"/>
    <w:rsid w:val="00B70AC6"/>
    <w:rsid w:val="00B70FE8"/>
    <w:rsid w:val="00B71403"/>
    <w:rsid w:val="00B715EB"/>
    <w:rsid w:val="00B7190B"/>
    <w:rsid w:val="00B71C82"/>
    <w:rsid w:val="00B71EF9"/>
    <w:rsid w:val="00B72682"/>
    <w:rsid w:val="00B7277C"/>
    <w:rsid w:val="00B727F0"/>
    <w:rsid w:val="00B729DB"/>
    <w:rsid w:val="00B72F93"/>
    <w:rsid w:val="00B734C5"/>
    <w:rsid w:val="00B73B89"/>
    <w:rsid w:val="00B73FC9"/>
    <w:rsid w:val="00B74046"/>
    <w:rsid w:val="00B7409C"/>
    <w:rsid w:val="00B74465"/>
    <w:rsid w:val="00B744C2"/>
    <w:rsid w:val="00B748F4"/>
    <w:rsid w:val="00B74A0F"/>
    <w:rsid w:val="00B74EF7"/>
    <w:rsid w:val="00B7508A"/>
    <w:rsid w:val="00B75390"/>
    <w:rsid w:val="00B75393"/>
    <w:rsid w:val="00B753AF"/>
    <w:rsid w:val="00B75543"/>
    <w:rsid w:val="00B7571C"/>
    <w:rsid w:val="00B75819"/>
    <w:rsid w:val="00B7585D"/>
    <w:rsid w:val="00B75C60"/>
    <w:rsid w:val="00B75CD4"/>
    <w:rsid w:val="00B760E4"/>
    <w:rsid w:val="00B760F6"/>
    <w:rsid w:val="00B761AB"/>
    <w:rsid w:val="00B7647D"/>
    <w:rsid w:val="00B76C9F"/>
    <w:rsid w:val="00B76CB8"/>
    <w:rsid w:val="00B76E78"/>
    <w:rsid w:val="00B76ECD"/>
    <w:rsid w:val="00B76FB6"/>
    <w:rsid w:val="00B7730A"/>
    <w:rsid w:val="00B774F2"/>
    <w:rsid w:val="00B77508"/>
    <w:rsid w:val="00B77657"/>
    <w:rsid w:val="00B776CA"/>
    <w:rsid w:val="00B776F7"/>
    <w:rsid w:val="00B779F1"/>
    <w:rsid w:val="00B77C6C"/>
    <w:rsid w:val="00B80048"/>
    <w:rsid w:val="00B801BF"/>
    <w:rsid w:val="00B8024D"/>
    <w:rsid w:val="00B802DC"/>
    <w:rsid w:val="00B80332"/>
    <w:rsid w:val="00B80409"/>
    <w:rsid w:val="00B806BE"/>
    <w:rsid w:val="00B8095E"/>
    <w:rsid w:val="00B80BB9"/>
    <w:rsid w:val="00B80FD4"/>
    <w:rsid w:val="00B81078"/>
    <w:rsid w:val="00B811EE"/>
    <w:rsid w:val="00B8144A"/>
    <w:rsid w:val="00B814B5"/>
    <w:rsid w:val="00B8162A"/>
    <w:rsid w:val="00B818AF"/>
    <w:rsid w:val="00B8194D"/>
    <w:rsid w:val="00B819B7"/>
    <w:rsid w:val="00B81A17"/>
    <w:rsid w:val="00B821A8"/>
    <w:rsid w:val="00B82205"/>
    <w:rsid w:val="00B823BD"/>
    <w:rsid w:val="00B82426"/>
    <w:rsid w:val="00B82518"/>
    <w:rsid w:val="00B82570"/>
    <w:rsid w:val="00B82581"/>
    <w:rsid w:val="00B825FC"/>
    <w:rsid w:val="00B82B30"/>
    <w:rsid w:val="00B82D8E"/>
    <w:rsid w:val="00B82E42"/>
    <w:rsid w:val="00B82F36"/>
    <w:rsid w:val="00B8308A"/>
    <w:rsid w:val="00B831B9"/>
    <w:rsid w:val="00B8329A"/>
    <w:rsid w:val="00B833B3"/>
    <w:rsid w:val="00B833E0"/>
    <w:rsid w:val="00B839B3"/>
    <w:rsid w:val="00B83B7C"/>
    <w:rsid w:val="00B83CDD"/>
    <w:rsid w:val="00B83D38"/>
    <w:rsid w:val="00B8459F"/>
    <w:rsid w:val="00B84745"/>
    <w:rsid w:val="00B848F1"/>
    <w:rsid w:val="00B84BC0"/>
    <w:rsid w:val="00B84CF2"/>
    <w:rsid w:val="00B8519A"/>
    <w:rsid w:val="00B851F7"/>
    <w:rsid w:val="00B851F9"/>
    <w:rsid w:val="00B85693"/>
    <w:rsid w:val="00B85814"/>
    <w:rsid w:val="00B85D45"/>
    <w:rsid w:val="00B85E83"/>
    <w:rsid w:val="00B863B3"/>
    <w:rsid w:val="00B863C3"/>
    <w:rsid w:val="00B867A4"/>
    <w:rsid w:val="00B868E8"/>
    <w:rsid w:val="00B869F3"/>
    <w:rsid w:val="00B86DC5"/>
    <w:rsid w:val="00B86DFA"/>
    <w:rsid w:val="00B86E6A"/>
    <w:rsid w:val="00B86E71"/>
    <w:rsid w:val="00B8747D"/>
    <w:rsid w:val="00B87715"/>
    <w:rsid w:val="00B87818"/>
    <w:rsid w:val="00B87821"/>
    <w:rsid w:val="00B8789D"/>
    <w:rsid w:val="00B87A40"/>
    <w:rsid w:val="00B90325"/>
    <w:rsid w:val="00B90394"/>
    <w:rsid w:val="00B903C8"/>
    <w:rsid w:val="00B9044A"/>
    <w:rsid w:val="00B90E55"/>
    <w:rsid w:val="00B90EB9"/>
    <w:rsid w:val="00B90F8B"/>
    <w:rsid w:val="00B91120"/>
    <w:rsid w:val="00B914A1"/>
    <w:rsid w:val="00B9162C"/>
    <w:rsid w:val="00B91C8C"/>
    <w:rsid w:val="00B91EB3"/>
    <w:rsid w:val="00B91F23"/>
    <w:rsid w:val="00B923E0"/>
    <w:rsid w:val="00B92BF3"/>
    <w:rsid w:val="00B92C22"/>
    <w:rsid w:val="00B92D16"/>
    <w:rsid w:val="00B933CA"/>
    <w:rsid w:val="00B93647"/>
    <w:rsid w:val="00B937DD"/>
    <w:rsid w:val="00B93F8B"/>
    <w:rsid w:val="00B93FD6"/>
    <w:rsid w:val="00B94330"/>
    <w:rsid w:val="00B9434C"/>
    <w:rsid w:val="00B944EF"/>
    <w:rsid w:val="00B945D4"/>
    <w:rsid w:val="00B947A1"/>
    <w:rsid w:val="00B94D25"/>
    <w:rsid w:val="00B94EE3"/>
    <w:rsid w:val="00B9500B"/>
    <w:rsid w:val="00B955A0"/>
    <w:rsid w:val="00B9587C"/>
    <w:rsid w:val="00B959A5"/>
    <w:rsid w:val="00B964F2"/>
    <w:rsid w:val="00B96686"/>
    <w:rsid w:val="00B969B0"/>
    <w:rsid w:val="00B96EF8"/>
    <w:rsid w:val="00B96F4D"/>
    <w:rsid w:val="00B96FD3"/>
    <w:rsid w:val="00B97888"/>
    <w:rsid w:val="00B979D7"/>
    <w:rsid w:val="00B97A6C"/>
    <w:rsid w:val="00B97CB1"/>
    <w:rsid w:val="00B97DCA"/>
    <w:rsid w:val="00BA0095"/>
    <w:rsid w:val="00BA04E6"/>
    <w:rsid w:val="00BA05B4"/>
    <w:rsid w:val="00BA078B"/>
    <w:rsid w:val="00BA0BE2"/>
    <w:rsid w:val="00BA0C0D"/>
    <w:rsid w:val="00BA0E27"/>
    <w:rsid w:val="00BA0E6E"/>
    <w:rsid w:val="00BA0F9E"/>
    <w:rsid w:val="00BA10D2"/>
    <w:rsid w:val="00BA1181"/>
    <w:rsid w:val="00BA11A8"/>
    <w:rsid w:val="00BA1226"/>
    <w:rsid w:val="00BA18D4"/>
    <w:rsid w:val="00BA1A66"/>
    <w:rsid w:val="00BA2058"/>
    <w:rsid w:val="00BA2261"/>
    <w:rsid w:val="00BA24EF"/>
    <w:rsid w:val="00BA2851"/>
    <w:rsid w:val="00BA28E4"/>
    <w:rsid w:val="00BA293E"/>
    <w:rsid w:val="00BA2C4C"/>
    <w:rsid w:val="00BA2D58"/>
    <w:rsid w:val="00BA2F8F"/>
    <w:rsid w:val="00BA30D7"/>
    <w:rsid w:val="00BA3807"/>
    <w:rsid w:val="00BA3E27"/>
    <w:rsid w:val="00BA3EDD"/>
    <w:rsid w:val="00BA4009"/>
    <w:rsid w:val="00BA4195"/>
    <w:rsid w:val="00BA4708"/>
    <w:rsid w:val="00BA4781"/>
    <w:rsid w:val="00BA4CCB"/>
    <w:rsid w:val="00BA4D63"/>
    <w:rsid w:val="00BA4DDB"/>
    <w:rsid w:val="00BA4FD5"/>
    <w:rsid w:val="00BA54DC"/>
    <w:rsid w:val="00BA567D"/>
    <w:rsid w:val="00BA5705"/>
    <w:rsid w:val="00BA5822"/>
    <w:rsid w:val="00BA5FEA"/>
    <w:rsid w:val="00BA615B"/>
    <w:rsid w:val="00BA61B9"/>
    <w:rsid w:val="00BA66E6"/>
    <w:rsid w:val="00BA68EF"/>
    <w:rsid w:val="00BA6ACB"/>
    <w:rsid w:val="00BA6E23"/>
    <w:rsid w:val="00BA7817"/>
    <w:rsid w:val="00BA7A18"/>
    <w:rsid w:val="00BA7A74"/>
    <w:rsid w:val="00BB0306"/>
    <w:rsid w:val="00BB042A"/>
    <w:rsid w:val="00BB052C"/>
    <w:rsid w:val="00BB06E6"/>
    <w:rsid w:val="00BB0733"/>
    <w:rsid w:val="00BB0BB1"/>
    <w:rsid w:val="00BB0C07"/>
    <w:rsid w:val="00BB14DD"/>
    <w:rsid w:val="00BB1C8D"/>
    <w:rsid w:val="00BB1DAF"/>
    <w:rsid w:val="00BB1DD2"/>
    <w:rsid w:val="00BB1F07"/>
    <w:rsid w:val="00BB22C7"/>
    <w:rsid w:val="00BB2841"/>
    <w:rsid w:val="00BB2908"/>
    <w:rsid w:val="00BB2D9B"/>
    <w:rsid w:val="00BB3108"/>
    <w:rsid w:val="00BB3119"/>
    <w:rsid w:val="00BB31B8"/>
    <w:rsid w:val="00BB31F8"/>
    <w:rsid w:val="00BB35C5"/>
    <w:rsid w:val="00BB388E"/>
    <w:rsid w:val="00BB3A17"/>
    <w:rsid w:val="00BB3FC6"/>
    <w:rsid w:val="00BB42CE"/>
    <w:rsid w:val="00BB45FE"/>
    <w:rsid w:val="00BB4989"/>
    <w:rsid w:val="00BB4C8C"/>
    <w:rsid w:val="00BB4F8A"/>
    <w:rsid w:val="00BB4FB9"/>
    <w:rsid w:val="00BB5176"/>
    <w:rsid w:val="00BB5CFC"/>
    <w:rsid w:val="00BB5D1B"/>
    <w:rsid w:val="00BB613A"/>
    <w:rsid w:val="00BB6559"/>
    <w:rsid w:val="00BB6BE4"/>
    <w:rsid w:val="00BB6F5C"/>
    <w:rsid w:val="00BB73C5"/>
    <w:rsid w:val="00BB73D4"/>
    <w:rsid w:val="00BB73D5"/>
    <w:rsid w:val="00BB78B7"/>
    <w:rsid w:val="00BB7DB4"/>
    <w:rsid w:val="00BB7E2C"/>
    <w:rsid w:val="00BB7FDF"/>
    <w:rsid w:val="00BC0094"/>
    <w:rsid w:val="00BC051A"/>
    <w:rsid w:val="00BC05C5"/>
    <w:rsid w:val="00BC0EFC"/>
    <w:rsid w:val="00BC10EA"/>
    <w:rsid w:val="00BC1187"/>
    <w:rsid w:val="00BC15A5"/>
    <w:rsid w:val="00BC1A06"/>
    <w:rsid w:val="00BC1A90"/>
    <w:rsid w:val="00BC1ADB"/>
    <w:rsid w:val="00BC1BF7"/>
    <w:rsid w:val="00BC221E"/>
    <w:rsid w:val="00BC2562"/>
    <w:rsid w:val="00BC25CD"/>
    <w:rsid w:val="00BC2673"/>
    <w:rsid w:val="00BC27A8"/>
    <w:rsid w:val="00BC2A00"/>
    <w:rsid w:val="00BC2B64"/>
    <w:rsid w:val="00BC2C94"/>
    <w:rsid w:val="00BC2D2F"/>
    <w:rsid w:val="00BC3117"/>
    <w:rsid w:val="00BC313D"/>
    <w:rsid w:val="00BC31CB"/>
    <w:rsid w:val="00BC3C77"/>
    <w:rsid w:val="00BC4311"/>
    <w:rsid w:val="00BC4329"/>
    <w:rsid w:val="00BC43D1"/>
    <w:rsid w:val="00BC445A"/>
    <w:rsid w:val="00BC47DA"/>
    <w:rsid w:val="00BC49CD"/>
    <w:rsid w:val="00BC4A7C"/>
    <w:rsid w:val="00BC4B07"/>
    <w:rsid w:val="00BC4CFC"/>
    <w:rsid w:val="00BC517E"/>
    <w:rsid w:val="00BC5354"/>
    <w:rsid w:val="00BC54CE"/>
    <w:rsid w:val="00BC5A56"/>
    <w:rsid w:val="00BC6000"/>
    <w:rsid w:val="00BC6030"/>
    <w:rsid w:val="00BC6161"/>
    <w:rsid w:val="00BC6328"/>
    <w:rsid w:val="00BC66B6"/>
    <w:rsid w:val="00BC6E6A"/>
    <w:rsid w:val="00BC703D"/>
    <w:rsid w:val="00BC762A"/>
    <w:rsid w:val="00BC7779"/>
    <w:rsid w:val="00BC7A75"/>
    <w:rsid w:val="00BC7BC0"/>
    <w:rsid w:val="00BC7C29"/>
    <w:rsid w:val="00BC7C65"/>
    <w:rsid w:val="00BC7EE1"/>
    <w:rsid w:val="00BD07CE"/>
    <w:rsid w:val="00BD1058"/>
    <w:rsid w:val="00BD118E"/>
    <w:rsid w:val="00BD137E"/>
    <w:rsid w:val="00BD13AF"/>
    <w:rsid w:val="00BD18F5"/>
    <w:rsid w:val="00BD1AAD"/>
    <w:rsid w:val="00BD1B11"/>
    <w:rsid w:val="00BD1B47"/>
    <w:rsid w:val="00BD1E71"/>
    <w:rsid w:val="00BD2080"/>
    <w:rsid w:val="00BD218B"/>
    <w:rsid w:val="00BD22C6"/>
    <w:rsid w:val="00BD2703"/>
    <w:rsid w:val="00BD2789"/>
    <w:rsid w:val="00BD27DA"/>
    <w:rsid w:val="00BD2B45"/>
    <w:rsid w:val="00BD2E2C"/>
    <w:rsid w:val="00BD2FF3"/>
    <w:rsid w:val="00BD3012"/>
    <w:rsid w:val="00BD3078"/>
    <w:rsid w:val="00BD3846"/>
    <w:rsid w:val="00BD3933"/>
    <w:rsid w:val="00BD39D4"/>
    <w:rsid w:val="00BD3EE0"/>
    <w:rsid w:val="00BD4085"/>
    <w:rsid w:val="00BD44BF"/>
    <w:rsid w:val="00BD456C"/>
    <w:rsid w:val="00BD459C"/>
    <w:rsid w:val="00BD4610"/>
    <w:rsid w:val="00BD490B"/>
    <w:rsid w:val="00BD4C56"/>
    <w:rsid w:val="00BD5035"/>
    <w:rsid w:val="00BD54BE"/>
    <w:rsid w:val="00BD579E"/>
    <w:rsid w:val="00BD5C60"/>
    <w:rsid w:val="00BD61B1"/>
    <w:rsid w:val="00BD636A"/>
    <w:rsid w:val="00BD63A8"/>
    <w:rsid w:val="00BD6EF4"/>
    <w:rsid w:val="00BD6F9B"/>
    <w:rsid w:val="00BD7051"/>
    <w:rsid w:val="00BD7783"/>
    <w:rsid w:val="00BD7C30"/>
    <w:rsid w:val="00BE008F"/>
    <w:rsid w:val="00BE00C5"/>
    <w:rsid w:val="00BE02F5"/>
    <w:rsid w:val="00BE075D"/>
    <w:rsid w:val="00BE08B3"/>
    <w:rsid w:val="00BE0A60"/>
    <w:rsid w:val="00BE0FAD"/>
    <w:rsid w:val="00BE0FAE"/>
    <w:rsid w:val="00BE1339"/>
    <w:rsid w:val="00BE1445"/>
    <w:rsid w:val="00BE15E8"/>
    <w:rsid w:val="00BE1758"/>
    <w:rsid w:val="00BE1772"/>
    <w:rsid w:val="00BE1891"/>
    <w:rsid w:val="00BE1A39"/>
    <w:rsid w:val="00BE2031"/>
    <w:rsid w:val="00BE2408"/>
    <w:rsid w:val="00BE2513"/>
    <w:rsid w:val="00BE2692"/>
    <w:rsid w:val="00BE2A80"/>
    <w:rsid w:val="00BE2B56"/>
    <w:rsid w:val="00BE2E9D"/>
    <w:rsid w:val="00BE3221"/>
    <w:rsid w:val="00BE3264"/>
    <w:rsid w:val="00BE33F5"/>
    <w:rsid w:val="00BE382C"/>
    <w:rsid w:val="00BE3931"/>
    <w:rsid w:val="00BE3996"/>
    <w:rsid w:val="00BE3BF3"/>
    <w:rsid w:val="00BE3BFB"/>
    <w:rsid w:val="00BE3CEF"/>
    <w:rsid w:val="00BE4182"/>
    <w:rsid w:val="00BE432C"/>
    <w:rsid w:val="00BE44B4"/>
    <w:rsid w:val="00BE44ED"/>
    <w:rsid w:val="00BE4636"/>
    <w:rsid w:val="00BE4AEA"/>
    <w:rsid w:val="00BE4F5C"/>
    <w:rsid w:val="00BE4FE1"/>
    <w:rsid w:val="00BE4FFD"/>
    <w:rsid w:val="00BE5A28"/>
    <w:rsid w:val="00BE5D97"/>
    <w:rsid w:val="00BE5FCE"/>
    <w:rsid w:val="00BE60FD"/>
    <w:rsid w:val="00BE61BF"/>
    <w:rsid w:val="00BE657A"/>
    <w:rsid w:val="00BE67C2"/>
    <w:rsid w:val="00BE6954"/>
    <w:rsid w:val="00BE6A06"/>
    <w:rsid w:val="00BE6AF1"/>
    <w:rsid w:val="00BE6E03"/>
    <w:rsid w:val="00BE6F3B"/>
    <w:rsid w:val="00BE7157"/>
    <w:rsid w:val="00BE75DB"/>
    <w:rsid w:val="00BE7B59"/>
    <w:rsid w:val="00BE7C69"/>
    <w:rsid w:val="00BE7D52"/>
    <w:rsid w:val="00BE7FF5"/>
    <w:rsid w:val="00BF00D8"/>
    <w:rsid w:val="00BF01AF"/>
    <w:rsid w:val="00BF029E"/>
    <w:rsid w:val="00BF059E"/>
    <w:rsid w:val="00BF0768"/>
    <w:rsid w:val="00BF0880"/>
    <w:rsid w:val="00BF08AD"/>
    <w:rsid w:val="00BF0AE2"/>
    <w:rsid w:val="00BF0BD4"/>
    <w:rsid w:val="00BF10EE"/>
    <w:rsid w:val="00BF1277"/>
    <w:rsid w:val="00BF12B9"/>
    <w:rsid w:val="00BF1418"/>
    <w:rsid w:val="00BF19F1"/>
    <w:rsid w:val="00BF1B22"/>
    <w:rsid w:val="00BF2108"/>
    <w:rsid w:val="00BF247D"/>
    <w:rsid w:val="00BF2BEA"/>
    <w:rsid w:val="00BF2F12"/>
    <w:rsid w:val="00BF2F26"/>
    <w:rsid w:val="00BF3F64"/>
    <w:rsid w:val="00BF4532"/>
    <w:rsid w:val="00BF4D8B"/>
    <w:rsid w:val="00BF5091"/>
    <w:rsid w:val="00BF5227"/>
    <w:rsid w:val="00BF551D"/>
    <w:rsid w:val="00BF5563"/>
    <w:rsid w:val="00BF5EF2"/>
    <w:rsid w:val="00BF6016"/>
    <w:rsid w:val="00BF648C"/>
    <w:rsid w:val="00BF6655"/>
    <w:rsid w:val="00BF6832"/>
    <w:rsid w:val="00BF6960"/>
    <w:rsid w:val="00BF6B6C"/>
    <w:rsid w:val="00BF6C31"/>
    <w:rsid w:val="00BF6C66"/>
    <w:rsid w:val="00BF6D36"/>
    <w:rsid w:val="00BF6ED5"/>
    <w:rsid w:val="00BF716B"/>
    <w:rsid w:val="00BF78F4"/>
    <w:rsid w:val="00BF7991"/>
    <w:rsid w:val="00BF7C00"/>
    <w:rsid w:val="00BF7CFA"/>
    <w:rsid w:val="00BF7DD4"/>
    <w:rsid w:val="00BF7FFB"/>
    <w:rsid w:val="00C006B7"/>
    <w:rsid w:val="00C006C6"/>
    <w:rsid w:val="00C0081F"/>
    <w:rsid w:val="00C00A35"/>
    <w:rsid w:val="00C00BD4"/>
    <w:rsid w:val="00C00CC1"/>
    <w:rsid w:val="00C0122F"/>
    <w:rsid w:val="00C01924"/>
    <w:rsid w:val="00C01A05"/>
    <w:rsid w:val="00C01E91"/>
    <w:rsid w:val="00C01EA0"/>
    <w:rsid w:val="00C0232C"/>
    <w:rsid w:val="00C023BD"/>
    <w:rsid w:val="00C028F4"/>
    <w:rsid w:val="00C02C23"/>
    <w:rsid w:val="00C02CF2"/>
    <w:rsid w:val="00C02D58"/>
    <w:rsid w:val="00C02E6C"/>
    <w:rsid w:val="00C032CA"/>
    <w:rsid w:val="00C03339"/>
    <w:rsid w:val="00C03371"/>
    <w:rsid w:val="00C0337F"/>
    <w:rsid w:val="00C03BD5"/>
    <w:rsid w:val="00C03DB1"/>
    <w:rsid w:val="00C0408B"/>
    <w:rsid w:val="00C04F37"/>
    <w:rsid w:val="00C050EC"/>
    <w:rsid w:val="00C059AA"/>
    <w:rsid w:val="00C059E1"/>
    <w:rsid w:val="00C05B54"/>
    <w:rsid w:val="00C05B75"/>
    <w:rsid w:val="00C05B8D"/>
    <w:rsid w:val="00C05CDE"/>
    <w:rsid w:val="00C05D1A"/>
    <w:rsid w:val="00C063A5"/>
    <w:rsid w:val="00C06A08"/>
    <w:rsid w:val="00C06AA0"/>
    <w:rsid w:val="00C06EB0"/>
    <w:rsid w:val="00C072CC"/>
    <w:rsid w:val="00C077A1"/>
    <w:rsid w:val="00C0799C"/>
    <w:rsid w:val="00C07A8A"/>
    <w:rsid w:val="00C07AFF"/>
    <w:rsid w:val="00C07BA8"/>
    <w:rsid w:val="00C07C0E"/>
    <w:rsid w:val="00C07D0E"/>
    <w:rsid w:val="00C07EC7"/>
    <w:rsid w:val="00C102FA"/>
    <w:rsid w:val="00C1039A"/>
    <w:rsid w:val="00C10667"/>
    <w:rsid w:val="00C10681"/>
    <w:rsid w:val="00C107B2"/>
    <w:rsid w:val="00C107E2"/>
    <w:rsid w:val="00C10B92"/>
    <w:rsid w:val="00C110E5"/>
    <w:rsid w:val="00C11991"/>
    <w:rsid w:val="00C121A0"/>
    <w:rsid w:val="00C1247B"/>
    <w:rsid w:val="00C12489"/>
    <w:rsid w:val="00C12763"/>
    <w:rsid w:val="00C12A3A"/>
    <w:rsid w:val="00C12C14"/>
    <w:rsid w:val="00C12EB3"/>
    <w:rsid w:val="00C12F50"/>
    <w:rsid w:val="00C1332F"/>
    <w:rsid w:val="00C13344"/>
    <w:rsid w:val="00C1348F"/>
    <w:rsid w:val="00C13543"/>
    <w:rsid w:val="00C13C3B"/>
    <w:rsid w:val="00C13ED6"/>
    <w:rsid w:val="00C13F0F"/>
    <w:rsid w:val="00C140B3"/>
    <w:rsid w:val="00C146A1"/>
    <w:rsid w:val="00C14887"/>
    <w:rsid w:val="00C14906"/>
    <w:rsid w:val="00C14A13"/>
    <w:rsid w:val="00C14B0E"/>
    <w:rsid w:val="00C14BD3"/>
    <w:rsid w:val="00C14CF8"/>
    <w:rsid w:val="00C14D1B"/>
    <w:rsid w:val="00C14E82"/>
    <w:rsid w:val="00C15345"/>
    <w:rsid w:val="00C153C5"/>
    <w:rsid w:val="00C15AD0"/>
    <w:rsid w:val="00C15AD6"/>
    <w:rsid w:val="00C15F6F"/>
    <w:rsid w:val="00C16018"/>
    <w:rsid w:val="00C16106"/>
    <w:rsid w:val="00C1621D"/>
    <w:rsid w:val="00C16343"/>
    <w:rsid w:val="00C16428"/>
    <w:rsid w:val="00C16BF1"/>
    <w:rsid w:val="00C1719D"/>
    <w:rsid w:val="00C17319"/>
    <w:rsid w:val="00C175F5"/>
    <w:rsid w:val="00C1767D"/>
    <w:rsid w:val="00C17E0B"/>
    <w:rsid w:val="00C17E2B"/>
    <w:rsid w:val="00C20CBE"/>
    <w:rsid w:val="00C20F9B"/>
    <w:rsid w:val="00C21829"/>
    <w:rsid w:val="00C21BF2"/>
    <w:rsid w:val="00C22027"/>
    <w:rsid w:val="00C2222F"/>
    <w:rsid w:val="00C222E6"/>
    <w:rsid w:val="00C22606"/>
    <w:rsid w:val="00C22670"/>
    <w:rsid w:val="00C22FF6"/>
    <w:rsid w:val="00C2302D"/>
    <w:rsid w:val="00C230D2"/>
    <w:rsid w:val="00C23221"/>
    <w:rsid w:val="00C23253"/>
    <w:rsid w:val="00C232CC"/>
    <w:rsid w:val="00C23506"/>
    <w:rsid w:val="00C2359A"/>
    <w:rsid w:val="00C2363A"/>
    <w:rsid w:val="00C236B7"/>
    <w:rsid w:val="00C23848"/>
    <w:rsid w:val="00C238D4"/>
    <w:rsid w:val="00C23C3B"/>
    <w:rsid w:val="00C23C45"/>
    <w:rsid w:val="00C23E85"/>
    <w:rsid w:val="00C23E90"/>
    <w:rsid w:val="00C24266"/>
    <w:rsid w:val="00C244A0"/>
    <w:rsid w:val="00C24509"/>
    <w:rsid w:val="00C24999"/>
    <w:rsid w:val="00C2517F"/>
    <w:rsid w:val="00C25415"/>
    <w:rsid w:val="00C255EA"/>
    <w:rsid w:val="00C25AF1"/>
    <w:rsid w:val="00C25B62"/>
    <w:rsid w:val="00C25EBB"/>
    <w:rsid w:val="00C25F7C"/>
    <w:rsid w:val="00C260C5"/>
    <w:rsid w:val="00C267A4"/>
    <w:rsid w:val="00C269CB"/>
    <w:rsid w:val="00C26A0F"/>
    <w:rsid w:val="00C26A89"/>
    <w:rsid w:val="00C26C94"/>
    <w:rsid w:val="00C26D9C"/>
    <w:rsid w:val="00C26E1D"/>
    <w:rsid w:val="00C26EE5"/>
    <w:rsid w:val="00C26FF8"/>
    <w:rsid w:val="00C2707C"/>
    <w:rsid w:val="00C27355"/>
    <w:rsid w:val="00C274BF"/>
    <w:rsid w:val="00C274C5"/>
    <w:rsid w:val="00C27547"/>
    <w:rsid w:val="00C275A6"/>
    <w:rsid w:val="00C275DF"/>
    <w:rsid w:val="00C276BD"/>
    <w:rsid w:val="00C27822"/>
    <w:rsid w:val="00C27BB2"/>
    <w:rsid w:val="00C27E90"/>
    <w:rsid w:val="00C30129"/>
    <w:rsid w:val="00C30601"/>
    <w:rsid w:val="00C306AC"/>
    <w:rsid w:val="00C30719"/>
    <w:rsid w:val="00C307E2"/>
    <w:rsid w:val="00C30CB7"/>
    <w:rsid w:val="00C30D0E"/>
    <w:rsid w:val="00C31477"/>
    <w:rsid w:val="00C31755"/>
    <w:rsid w:val="00C31911"/>
    <w:rsid w:val="00C31927"/>
    <w:rsid w:val="00C31F0C"/>
    <w:rsid w:val="00C322C6"/>
    <w:rsid w:val="00C32309"/>
    <w:rsid w:val="00C325BC"/>
    <w:rsid w:val="00C3267E"/>
    <w:rsid w:val="00C32B07"/>
    <w:rsid w:val="00C32B3A"/>
    <w:rsid w:val="00C32B64"/>
    <w:rsid w:val="00C32B88"/>
    <w:rsid w:val="00C33458"/>
    <w:rsid w:val="00C3355B"/>
    <w:rsid w:val="00C336B5"/>
    <w:rsid w:val="00C33BA8"/>
    <w:rsid w:val="00C33D6F"/>
    <w:rsid w:val="00C33EAE"/>
    <w:rsid w:val="00C33FA1"/>
    <w:rsid w:val="00C3418B"/>
    <w:rsid w:val="00C3472B"/>
    <w:rsid w:val="00C34B32"/>
    <w:rsid w:val="00C34B4F"/>
    <w:rsid w:val="00C35304"/>
    <w:rsid w:val="00C353A3"/>
    <w:rsid w:val="00C35565"/>
    <w:rsid w:val="00C35671"/>
    <w:rsid w:val="00C3586D"/>
    <w:rsid w:val="00C35A8D"/>
    <w:rsid w:val="00C35F4D"/>
    <w:rsid w:val="00C362FE"/>
    <w:rsid w:val="00C36631"/>
    <w:rsid w:val="00C366B5"/>
    <w:rsid w:val="00C3676D"/>
    <w:rsid w:val="00C368C4"/>
    <w:rsid w:val="00C36992"/>
    <w:rsid w:val="00C36999"/>
    <w:rsid w:val="00C36AB6"/>
    <w:rsid w:val="00C36D2B"/>
    <w:rsid w:val="00C36E2F"/>
    <w:rsid w:val="00C36F8F"/>
    <w:rsid w:val="00C372E6"/>
    <w:rsid w:val="00C3753F"/>
    <w:rsid w:val="00C376F9"/>
    <w:rsid w:val="00C37795"/>
    <w:rsid w:val="00C377BF"/>
    <w:rsid w:val="00C378FB"/>
    <w:rsid w:val="00C37925"/>
    <w:rsid w:val="00C37AB9"/>
    <w:rsid w:val="00C37BF9"/>
    <w:rsid w:val="00C37EF6"/>
    <w:rsid w:val="00C37FAC"/>
    <w:rsid w:val="00C409D4"/>
    <w:rsid w:val="00C40A8C"/>
    <w:rsid w:val="00C40CAC"/>
    <w:rsid w:val="00C40DF2"/>
    <w:rsid w:val="00C40EFE"/>
    <w:rsid w:val="00C4122D"/>
    <w:rsid w:val="00C41628"/>
    <w:rsid w:val="00C4168F"/>
    <w:rsid w:val="00C4197C"/>
    <w:rsid w:val="00C41D59"/>
    <w:rsid w:val="00C41E38"/>
    <w:rsid w:val="00C41E40"/>
    <w:rsid w:val="00C41E49"/>
    <w:rsid w:val="00C42221"/>
    <w:rsid w:val="00C42275"/>
    <w:rsid w:val="00C4260B"/>
    <w:rsid w:val="00C42CDF"/>
    <w:rsid w:val="00C42D1A"/>
    <w:rsid w:val="00C42FC1"/>
    <w:rsid w:val="00C4313C"/>
    <w:rsid w:val="00C431B9"/>
    <w:rsid w:val="00C431BD"/>
    <w:rsid w:val="00C4328D"/>
    <w:rsid w:val="00C4335E"/>
    <w:rsid w:val="00C4340C"/>
    <w:rsid w:val="00C439EC"/>
    <w:rsid w:val="00C43A11"/>
    <w:rsid w:val="00C44333"/>
    <w:rsid w:val="00C446F7"/>
    <w:rsid w:val="00C44703"/>
    <w:rsid w:val="00C44A40"/>
    <w:rsid w:val="00C44C6D"/>
    <w:rsid w:val="00C45281"/>
    <w:rsid w:val="00C453F6"/>
    <w:rsid w:val="00C45486"/>
    <w:rsid w:val="00C45623"/>
    <w:rsid w:val="00C4590D"/>
    <w:rsid w:val="00C45D5D"/>
    <w:rsid w:val="00C45FB3"/>
    <w:rsid w:val="00C45FE6"/>
    <w:rsid w:val="00C46AB2"/>
    <w:rsid w:val="00C46DE7"/>
    <w:rsid w:val="00C471E8"/>
    <w:rsid w:val="00C47327"/>
    <w:rsid w:val="00C47377"/>
    <w:rsid w:val="00C475A4"/>
    <w:rsid w:val="00C47636"/>
    <w:rsid w:val="00C47784"/>
    <w:rsid w:val="00C47BF4"/>
    <w:rsid w:val="00C5064A"/>
    <w:rsid w:val="00C5088B"/>
    <w:rsid w:val="00C50CE1"/>
    <w:rsid w:val="00C50D86"/>
    <w:rsid w:val="00C51216"/>
    <w:rsid w:val="00C51418"/>
    <w:rsid w:val="00C5158C"/>
    <w:rsid w:val="00C5166D"/>
    <w:rsid w:val="00C516FF"/>
    <w:rsid w:val="00C51AA4"/>
    <w:rsid w:val="00C51AC2"/>
    <w:rsid w:val="00C51BD5"/>
    <w:rsid w:val="00C51BE5"/>
    <w:rsid w:val="00C51D70"/>
    <w:rsid w:val="00C5222A"/>
    <w:rsid w:val="00C52273"/>
    <w:rsid w:val="00C525DC"/>
    <w:rsid w:val="00C526EF"/>
    <w:rsid w:val="00C528CE"/>
    <w:rsid w:val="00C528FB"/>
    <w:rsid w:val="00C5291D"/>
    <w:rsid w:val="00C52EF9"/>
    <w:rsid w:val="00C531A9"/>
    <w:rsid w:val="00C533DF"/>
    <w:rsid w:val="00C53701"/>
    <w:rsid w:val="00C53961"/>
    <w:rsid w:val="00C539A9"/>
    <w:rsid w:val="00C53D5A"/>
    <w:rsid w:val="00C54A46"/>
    <w:rsid w:val="00C54FF4"/>
    <w:rsid w:val="00C550EA"/>
    <w:rsid w:val="00C55729"/>
    <w:rsid w:val="00C55791"/>
    <w:rsid w:val="00C55C73"/>
    <w:rsid w:val="00C55D97"/>
    <w:rsid w:val="00C55DBE"/>
    <w:rsid w:val="00C55F47"/>
    <w:rsid w:val="00C56587"/>
    <w:rsid w:val="00C5663F"/>
    <w:rsid w:val="00C5690C"/>
    <w:rsid w:val="00C56A36"/>
    <w:rsid w:val="00C56A95"/>
    <w:rsid w:val="00C56DB7"/>
    <w:rsid w:val="00C570B0"/>
    <w:rsid w:val="00C579C6"/>
    <w:rsid w:val="00C60652"/>
    <w:rsid w:val="00C6069A"/>
    <w:rsid w:val="00C6073C"/>
    <w:rsid w:val="00C608B4"/>
    <w:rsid w:val="00C60BA9"/>
    <w:rsid w:val="00C61178"/>
    <w:rsid w:val="00C6139C"/>
    <w:rsid w:val="00C613C5"/>
    <w:rsid w:val="00C614EE"/>
    <w:rsid w:val="00C616DE"/>
    <w:rsid w:val="00C61A37"/>
    <w:rsid w:val="00C61D14"/>
    <w:rsid w:val="00C621B4"/>
    <w:rsid w:val="00C6230F"/>
    <w:rsid w:val="00C623AC"/>
    <w:rsid w:val="00C6277D"/>
    <w:rsid w:val="00C62A14"/>
    <w:rsid w:val="00C62EEA"/>
    <w:rsid w:val="00C63302"/>
    <w:rsid w:val="00C634F1"/>
    <w:rsid w:val="00C63559"/>
    <w:rsid w:val="00C6355D"/>
    <w:rsid w:val="00C635A2"/>
    <w:rsid w:val="00C63878"/>
    <w:rsid w:val="00C63C2E"/>
    <w:rsid w:val="00C63C54"/>
    <w:rsid w:val="00C63CA1"/>
    <w:rsid w:val="00C63E24"/>
    <w:rsid w:val="00C6418B"/>
    <w:rsid w:val="00C643B2"/>
    <w:rsid w:val="00C6474B"/>
    <w:rsid w:val="00C64958"/>
    <w:rsid w:val="00C64ECB"/>
    <w:rsid w:val="00C65475"/>
    <w:rsid w:val="00C65532"/>
    <w:rsid w:val="00C656D2"/>
    <w:rsid w:val="00C6581D"/>
    <w:rsid w:val="00C65C54"/>
    <w:rsid w:val="00C65ECD"/>
    <w:rsid w:val="00C65F97"/>
    <w:rsid w:val="00C660A4"/>
    <w:rsid w:val="00C668D7"/>
    <w:rsid w:val="00C66D9F"/>
    <w:rsid w:val="00C66DED"/>
    <w:rsid w:val="00C6702D"/>
    <w:rsid w:val="00C67170"/>
    <w:rsid w:val="00C67543"/>
    <w:rsid w:val="00C677CE"/>
    <w:rsid w:val="00C6791C"/>
    <w:rsid w:val="00C679C0"/>
    <w:rsid w:val="00C67C07"/>
    <w:rsid w:val="00C67F0D"/>
    <w:rsid w:val="00C702C1"/>
    <w:rsid w:val="00C7056C"/>
    <w:rsid w:val="00C705B0"/>
    <w:rsid w:val="00C70861"/>
    <w:rsid w:val="00C70BB0"/>
    <w:rsid w:val="00C70BBA"/>
    <w:rsid w:val="00C70BD0"/>
    <w:rsid w:val="00C710ED"/>
    <w:rsid w:val="00C716E7"/>
    <w:rsid w:val="00C71705"/>
    <w:rsid w:val="00C718D4"/>
    <w:rsid w:val="00C71D1B"/>
    <w:rsid w:val="00C71F4D"/>
    <w:rsid w:val="00C7221B"/>
    <w:rsid w:val="00C7237C"/>
    <w:rsid w:val="00C728F8"/>
    <w:rsid w:val="00C72FFB"/>
    <w:rsid w:val="00C73030"/>
    <w:rsid w:val="00C73044"/>
    <w:rsid w:val="00C731D9"/>
    <w:rsid w:val="00C7338D"/>
    <w:rsid w:val="00C733A0"/>
    <w:rsid w:val="00C7345E"/>
    <w:rsid w:val="00C73473"/>
    <w:rsid w:val="00C738D0"/>
    <w:rsid w:val="00C73922"/>
    <w:rsid w:val="00C739B4"/>
    <w:rsid w:val="00C73B83"/>
    <w:rsid w:val="00C740F5"/>
    <w:rsid w:val="00C74262"/>
    <w:rsid w:val="00C74316"/>
    <w:rsid w:val="00C7437E"/>
    <w:rsid w:val="00C74A68"/>
    <w:rsid w:val="00C74A97"/>
    <w:rsid w:val="00C751CB"/>
    <w:rsid w:val="00C753C9"/>
    <w:rsid w:val="00C7582E"/>
    <w:rsid w:val="00C75A5A"/>
    <w:rsid w:val="00C75B6B"/>
    <w:rsid w:val="00C75CF6"/>
    <w:rsid w:val="00C75CF7"/>
    <w:rsid w:val="00C75D99"/>
    <w:rsid w:val="00C75FC4"/>
    <w:rsid w:val="00C76402"/>
    <w:rsid w:val="00C76440"/>
    <w:rsid w:val="00C76490"/>
    <w:rsid w:val="00C768DC"/>
    <w:rsid w:val="00C76AB7"/>
    <w:rsid w:val="00C76D90"/>
    <w:rsid w:val="00C77104"/>
    <w:rsid w:val="00C7712A"/>
    <w:rsid w:val="00C772CA"/>
    <w:rsid w:val="00C7758A"/>
    <w:rsid w:val="00C77737"/>
    <w:rsid w:val="00C77A7E"/>
    <w:rsid w:val="00C8001C"/>
    <w:rsid w:val="00C80279"/>
    <w:rsid w:val="00C80466"/>
    <w:rsid w:val="00C80E24"/>
    <w:rsid w:val="00C813EA"/>
    <w:rsid w:val="00C81483"/>
    <w:rsid w:val="00C81A08"/>
    <w:rsid w:val="00C81B12"/>
    <w:rsid w:val="00C81FFE"/>
    <w:rsid w:val="00C82DD7"/>
    <w:rsid w:val="00C82EC9"/>
    <w:rsid w:val="00C831B2"/>
    <w:rsid w:val="00C83374"/>
    <w:rsid w:val="00C83629"/>
    <w:rsid w:val="00C836A3"/>
    <w:rsid w:val="00C837B8"/>
    <w:rsid w:val="00C838BE"/>
    <w:rsid w:val="00C8399C"/>
    <w:rsid w:val="00C83AE0"/>
    <w:rsid w:val="00C83F69"/>
    <w:rsid w:val="00C84304"/>
    <w:rsid w:val="00C843EB"/>
    <w:rsid w:val="00C84410"/>
    <w:rsid w:val="00C84426"/>
    <w:rsid w:val="00C84A89"/>
    <w:rsid w:val="00C84E66"/>
    <w:rsid w:val="00C8508A"/>
    <w:rsid w:val="00C85133"/>
    <w:rsid w:val="00C85352"/>
    <w:rsid w:val="00C85573"/>
    <w:rsid w:val="00C857F8"/>
    <w:rsid w:val="00C85871"/>
    <w:rsid w:val="00C85BCB"/>
    <w:rsid w:val="00C85C2C"/>
    <w:rsid w:val="00C85C44"/>
    <w:rsid w:val="00C85F94"/>
    <w:rsid w:val="00C864D4"/>
    <w:rsid w:val="00C8660A"/>
    <w:rsid w:val="00C8660F"/>
    <w:rsid w:val="00C86800"/>
    <w:rsid w:val="00C86C0B"/>
    <w:rsid w:val="00C870D5"/>
    <w:rsid w:val="00C876C9"/>
    <w:rsid w:val="00C8770F"/>
    <w:rsid w:val="00C8776B"/>
    <w:rsid w:val="00C877A9"/>
    <w:rsid w:val="00C87862"/>
    <w:rsid w:val="00C87A03"/>
    <w:rsid w:val="00C9036F"/>
    <w:rsid w:val="00C9046B"/>
    <w:rsid w:val="00C905FB"/>
    <w:rsid w:val="00C90D55"/>
    <w:rsid w:val="00C90F24"/>
    <w:rsid w:val="00C91337"/>
    <w:rsid w:val="00C915D5"/>
    <w:rsid w:val="00C915F2"/>
    <w:rsid w:val="00C9198E"/>
    <w:rsid w:val="00C91A0E"/>
    <w:rsid w:val="00C91B7A"/>
    <w:rsid w:val="00C9272F"/>
    <w:rsid w:val="00C93220"/>
    <w:rsid w:val="00C932F5"/>
    <w:rsid w:val="00C93A47"/>
    <w:rsid w:val="00C93DFF"/>
    <w:rsid w:val="00C93EA1"/>
    <w:rsid w:val="00C93EF9"/>
    <w:rsid w:val="00C946EF"/>
    <w:rsid w:val="00C9497C"/>
    <w:rsid w:val="00C94A9A"/>
    <w:rsid w:val="00C94B8D"/>
    <w:rsid w:val="00C94DAF"/>
    <w:rsid w:val="00C950A9"/>
    <w:rsid w:val="00C95390"/>
    <w:rsid w:val="00C95CD9"/>
    <w:rsid w:val="00C95FB0"/>
    <w:rsid w:val="00C96046"/>
    <w:rsid w:val="00C96298"/>
    <w:rsid w:val="00C9633D"/>
    <w:rsid w:val="00C96365"/>
    <w:rsid w:val="00C96454"/>
    <w:rsid w:val="00C965FF"/>
    <w:rsid w:val="00C967BE"/>
    <w:rsid w:val="00C969CD"/>
    <w:rsid w:val="00C96C00"/>
    <w:rsid w:val="00C96C64"/>
    <w:rsid w:val="00C973FD"/>
    <w:rsid w:val="00C97541"/>
    <w:rsid w:val="00C976AF"/>
    <w:rsid w:val="00C97E93"/>
    <w:rsid w:val="00CA0484"/>
    <w:rsid w:val="00CA0530"/>
    <w:rsid w:val="00CA0C28"/>
    <w:rsid w:val="00CA0DFC"/>
    <w:rsid w:val="00CA0F0C"/>
    <w:rsid w:val="00CA1087"/>
    <w:rsid w:val="00CA128C"/>
    <w:rsid w:val="00CA1379"/>
    <w:rsid w:val="00CA1948"/>
    <w:rsid w:val="00CA1B91"/>
    <w:rsid w:val="00CA1E15"/>
    <w:rsid w:val="00CA20AF"/>
    <w:rsid w:val="00CA21EE"/>
    <w:rsid w:val="00CA25E3"/>
    <w:rsid w:val="00CA2684"/>
    <w:rsid w:val="00CA27FF"/>
    <w:rsid w:val="00CA2B42"/>
    <w:rsid w:val="00CA2C1A"/>
    <w:rsid w:val="00CA2D9C"/>
    <w:rsid w:val="00CA3156"/>
    <w:rsid w:val="00CA34C8"/>
    <w:rsid w:val="00CA38EF"/>
    <w:rsid w:val="00CA3ADF"/>
    <w:rsid w:val="00CA3F2E"/>
    <w:rsid w:val="00CA4189"/>
    <w:rsid w:val="00CA41C7"/>
    <w:rsid w:val="00CA428C"/>
    <w:rsid w:val="00CA43CE"/>
    <w:rsid w:val="00CA469E"/>
    <w:rsid w:val="00CA4D46"/>
    <w:rsid w:val="00CA4EFB"/>
    <w:rsid w:val="00CA4F55"/>
    <w:rsid w:val="00CA562E"/>
    <w:rsid w:val="00CA6020"/>
    <w:rsid w:val="00CA6130"/>
    <w:rsid w:val="00CA617B"/>
    <w:rsid w:val="00CA66E4"/>
    <w:rsid w:val="00CA6A25"/>
    <w:rsid w:val="00CA6DEB"/>
    <w:rsid w:val="00CA6E7F"/>
    <w:rsid w:val="00CA72FC"/>
    <w:rsid w:val="00CA7348"/>
    <w:rsid w:val="00CA7BE4"/>
    <w:rsid w:val="00CA7CF7"/>
    <w:rsid w:val="00CA7DD8"/>
    <w:rsid w:val="00CB051C"/>
    <w:rsid w:val="00CB0790"/>
    <w:rsid w:val="00CB0958"/>
    <w:rsid w:val="00CB0CF4"/>
    <w:rsid w:val="00CB1022"/>
    <w:rsid w:val="00CB1215"/>
    <w:rsid w:val="00CB1485"/>
    <w:rsid w:val="00CB1695"/>
    <w:rsid w:val="00CB1C7E"/>
    <w:rsid w:val="00CB1EFD"/>
    <w:rsid w:val="00CB1F0E"/>
    <w:rsid w:val="00CB2174"/>
    <w:rsid w:val="00CB2194"/>
    <w:rsid w:val="00CB27C2"/>
    <w:rsid w:val="00CB2A3D"/>
    <w:rsid w:val="00CB2CB1"/>
    <w:rsid w:val="00CB2FA4"/>
    <w:rsid w:val="00CB3093"/>
    <w:rsid w:val="00CB321D"/>
    <w:rsid w:val="00CB3E77"/>
    <w:rsid w:val="00CB3F81"/>
    <w:rsid w:val="00CB3F95"/>
    <w:rsid w:val="00CB3FA0"/>
    <w:rsid w:val="00CB4196"/>
    <w:rsid w:val="00CB4447"/>
    <w:rsid w:val="00CB4678"/>
    <w:rsid w:val="00CB4A14"/>
    <w:rsid w:val="00CB4BA8"/>
    <w:rsid w:val="00CB4C02"/>
    <w:rsid w:val="00CB4C09"/>
    <w:rsid w:val="00CB4C88"/>
    <w:rsid w:val="00CB50A8"/>
    <w:rsid w:val="00CB51BB"/>
    <w:rsid w:val="00CB54AF"/>
    <w:rsid w:val="00CB550F"/>
    <w:rsid w:val="00CB5621"/>
    <w:rsid w:val="00CB57DD"/>
    <w:rsid w:val="00CB58D3"/>
    <w:rsid w:val="00CB58D6"/>
    <w:rsid w:val="00CB5EF0"/>
    <w:rsid w:val="00CB6AB9"/>
    <w:rsid w:val="00CB6D6E"/>
    <w:rsid w:val="00CB6E61"/>
    <w:rsid w:val="00CB6F3C"/>
    <w:rsid w:val="00CB7181"/>
    <w:rsid w:val="00CB71DC"/>
    <w:rsid w:val="00CB75BD"/>
    <w:rsid w:val="00CB7A54"/>
    <w:rsid w:val="00CB7ED6"/>
    <w:rsid w:val="00CB7FDC"/>
    <w:rsid w:val="00CC0355"/>
    <w:rsid w:val="00CC045E"/>
    <w:rsid w:val="00CC04ED"/>
    <w:rsid w:val="00CC04FE"/>
    <w:rsid w:val="00CC05D6"/>
    <w:rsid w:val="00CC0D34"/>
    <w:rsid w:val="00CC0D75"/>
    <w:rsid w:val="00CC0F50"/>
    <w:rsid w:val="00CC1642"/>
    <w:rsid w:val="00CC1E7F"/>
    <w:rsid w:val="00CC1F38"/>
    <w:rsid w:val="00CC215D"/>
    <w:rsid w:val="00CC23F4"/>
    <w:rsid w:val="00CC278C"/>
    <w:rsid w:val="00CC2823"/>
    <w:rsid w:val="00CC2984"/>
    <w:rsid w:val="00CC2D2E"/>
    <w:rsid w:val="00CC34A3"/>
    <w:rsid w:val="00CC387E"/>
    <w:rsid w:val="00CC3D57"/>
    <w:rsid w:val="00CC48DB"/>
    <w:rsid w:val="00CC4B42"/>
    <w:rsid w:val="00CC4D3C"/>
    <w:rsid w:val="00CC4DBC"/>
    <w:rsid w:val="00CC50DA"/>
    <w:rsid w:val="00CC51FA"/>
    <w:rsid w:val="00CC5669"/>
    <w:rsid w:val="00CC58EC"/>
    <w:rsid w:val="00CC6243"/>
    <w:rsid w:val="00CC65A0"/>
    <w:rsid w:val="00CC66AF"/>
    <w:rsid w:val="00CC6E80"/>
    <w:rsid w:val="00CC71D2"/>
    <w:rsid w:val="00CC73C5"/>
    <w:rsid w:val="00CC756F"/>
    <w:rsid w:val="00CC770F"/>
    <w:rsid w:val="00CC78B1"/>
    <w:rsid w:val="00CC7D57"/>
    <w:rsid w:val="00CD01D5"/>
    <w:rsid w:val="00CD021A"/>
    <w:rsid w:val="00CD05AB"/>
    <w:rsid w:val="00CD0A04"/>
    <w:rsid w:val="00CD0AC5"/>
    <w:rsid w:val="00CD0F26"/>
    <w:rsid w:val="00CD13D1"/>
    <w:rsid w:val="00CD1A05"/>
    <w:rsid w:val="00CD204D"/>
    <w:rsid w:val="00CD2E06"/>
    <w:rsid w:val="00CD3048"/>
    <w:rsid w:val="00CD36EC"/>
    <w:rsid w:val="00CD3809"/>
    <w:rsid w:val="00CD39EC"/>
    <w:rsid w:val="00CD3A2F"/>
    <w:rsid w:val="00CD3B74"/>
    <w:rsid w:val="00CD3F0B"/>
    <w:rsid w:val="00CD4125"/>
    <w:rsid w:val="00CD45FF"/>
    <w:rsid w:val="00CD4837"/>
    <w:rsid w:val="00CD4C16"/>
    <w:rsid w:val="00CD4C8F"/>
    <w:rsid w:val="00CD51BA"/>
    <w:rsid w:val="00CD5212"/>
    <w:rsid w:val="00CD5373"/>
    <w:rsid w:val="00CD5905"/>
    <w:rsid w:val="00CD5AEC"/>
    <w:rsid w:val="00CD5BB0"/>
    <w:rsid w:val="00CD5DC0"/>
    <w:rsid w:val="00CD61E4"/>
    <w:rsid w:val="00CD6AB8"/>
    <w:rsid w:val="00CD6D5D"/>
    <w:rsid w:val="00CD6D81"/>
    <w:rsid w:val="00CD714B"/>
    <w:rsid w:val="00CD73C4"/>
    <w:rsid w:val="00CD7439"/>
    <w:rsid w:val="00CD7666"/>
    <w:rsid w:val="00CD7B7C"/>
    <w:rsid w:val="00CD7BCE"/>
    <w:rsid w:val="00CD7C01"/>
    <w:rsid w:val="00CE0216"/>
    <w:rsid w:val="00CE02F6"/>
    <w:rsid w:val="00CE0374"/>
    <w:rsid w:val="00CE0896"/>
    <w:rsid w:val="00CE0C61"/>
    <w:rsid w:val="00CE118B"/>
    <w:rsid w:val="00CE12AB"/>
    <w:rsid w:val="00CE133A"/>
    <w:rsid w:val="00CE13E5"/>
    <w:rsid w:val="00CE195A"/>
    <w:rsid w:val="00CE1B48"/>
    <w:rsid w:val="00CE1D07"/>
    <w:rsid w:val="00CE23E9"/>
    <w:rsid w:val="00CE2521"/>
    <w:rsid w:val="00CE2587"/>
    <w:rsid w:val="00CE26A9"/>
    <w:rsid w:val="00CE28A3"/>
    <w:rsid w:val="00CE2AEC"/>
    <w:rsid w:val="00CE2BAD"/>
    <w:rsid w:val="00CE2C2F"/>
    <w:rsid w:val="00CE30A7"/>
    <w:rsid w:val="00CE3168"/>
    <w:rsid w:val="00CE34FB"/>
    <w:rsid w:val="00CE36AF"/>
    <w:rsid w:val="00CE3833"/>
    <w:rsid w:val="00CE3877"/>
    <w:rsid w:val="00CE3979"/>
    <w:rsid w:val="00CE3BA6"/>
    <w:rsid w:val="00CE3D1A"/>
    <w:rsid w:val="00CE3D69"/>
    <w:rsid w:val="00CE3E01"/>
    <w:rsid w:val="00CE40CA"/>
    <w:rsid w:val="00CE4282"/>
    <w:rsid w:val="00CE436E"/>
    <w:rsid w:val="00CE43F4"/>
    <w:rsid w:val="00CE44FC"/>
    <w:rsid w:val="00CE4974"/>
    <w:rsid w:val="00CE4B49"/>
    <w:rsid w:val="00CE4D20"/>
    <w:rsid w:val="00CE4E05"/>
    <w:rsid w:val="00CE4F42"/>
    <w:rsid w:val="00CE51C8"/>
    <w:rsid w:val="00CE53FF"/>
    <w:rsid w:val="00CE54D8"/>
    <w:rsid w:val="00CE585B"/>
    <w:rsid w:val="00CE5A0A"/>
    <w:rsid w:val="00CE5A71"/>
    <w:rsid w:val="00CE5F70"/>
    <w:rsid w:val="00CE6569"/>
    <w:rsid w:val="00CE678A"/>
    <w:rsid w:val="00CE67A1"/>
    <w:rsid w:val="00CE6C84"/>
    <w:rsid w:val="00CE71E6"/>
    <w:rsid w:val="00CE741A"/>
    <w:rsid w:val="00CE741C"/>
    <w:rsid w:val="00CE7523"/>
    <w:rsid w:val="00CE75EC"/>
    <w:rsid w:val="00CE779B"/>
    <w:rsid w:val="00CE7969"/>
    <w:rsid w:val="00CE7C77"/>
    <w:rsid w:val="00CE7D12"/>
    <w:rsid w:val="00CE7D23"/>
    <w:rsid w:val="00CE7F2E"/>
    <w:rsid w:val="00CE7F36"/>
    <w:rsid w:val="00CF0176"/>
    <w:rsid w:val="00CF0229"/>
    <w:rsid w:val="00CF056C"/>
    <w:rsid w:val="00CF08AF"/>
    <w:rsid w:val="00CF08D3"/>
    <w:rsid w:val="00CF10B1"/>
    <w:rsid w:val="00CF1257"/>
    <w:rsid w:val="00CF1621"/>
    <w:rsid w:val="00CF1653"/>
    <w:rsid w:val="00CF1775"/>
    <w:rsid w:val="00CF1877"/>
    <w:rsid w:val="00CF2265"/>
    <w:rsid w:val="00CF23D1"/>
    <w:rsid w:val="00CF24F0"/>
    <w:rsid w:val="00CF26AF"/>
    <w:rsid w:val="00CF28D6"/>
    <w:rsid w:val="00CF2AA2"/>
    <w:rsid w:val="00CF32ED"/>
    <w:rsid w:val="00CF3819"/>
    <w:rsid w:val="00CF38B0"/>
    <w:rsid w:val="00CF38B6"/>
    <w:rsid w:val="00CF3F0F"/>
    <w:rsid w:val="00CF3F1E"/>
    <w:rsid w:val="00CF4380"/>
    <w:rsid w:val="00CF4962"/>
    <w:rsid w:val="00CF4DEF"/>
    <w:rsid w:val="00CF5205"/>
    <w:rsid w:val="00CF52A9"/>
    <w:rsid w:val="00CF549E"/>
    <w:rsid w:val="00CF5A02"/>
    <w:rsid w:val="00CF5A98"/>
    <w:rsid w:val="00CF5D95"/>
    <w:rsid w:val="00CF5F6F"/>
    <w:rsid w:val="00CF6157"/>
    <w:rsid w:val="00CF622C"/>
    <w:rsid w:val="00CF67BF"/>
    <w:rsid w:val="00CF682D"/>
    <w:rsid w:val="00CF6870"/>
    <w:rsid w:val="00CF6887"/>
    <w:rsid w:val="00CF6B61"/>
    <w:rsid w:val="00CF705D"/>
    <w:rsid w:val="00CF7088"/>
    <w:rsid w:val="00CF78BB"/>
    <w:rsid w:val="00CF79C7"/>
    <w:rsid w:val="00CF7B02"/>
    <w:rsid w:val="00CF7B16"/>
    <w:rsid w:val="00CF7BF6"/>
    <w:rsid w:val="00D000E3"/>
    <w:rsid w:val="00D00236"/>
    <w:rsid w:val="00D00262"/>
    <w:rsid w:val="00D002EC"/>
    <w:rsid w:val="00D00402"/>
    <w:rsid w:val="00D00B55"/>
    <w:rsid w:val="00D00F95"/>
    <w:rsid w:val="00D00FAB"/>
    <w:rsid w:val="00D01019"/>
    <w:rsid w:val="00D010F0"/>
    <w:rsid w:val="00D01128"/>
    <w:rsid w:val="00D01296"/>
    <w:rsid w:val="00D01586"/>
    <w:rsid w:val="00D016D5"/>
    <w:rsid w:val="00D01DBB"/>
    <w:rsid w:val="00D01E01"/>
    <w:rsid w:val="00D02750"/>
    <w:rsid w:val="00D02B93"/>
    <w:rsid w:val="00D02D70"/>
    <w:rsid w:val="00D02DB6"/>
    <w:rsid w:val="00D02E51"/>
    <w:rsid w:val="00D03011"/>
    <w:rsid w:val="00D035AE"/>
    <w:rsid w:val="00D03AF3"/>
    <w:rsid w:val="00D03C85"/>
    <w:rsid w:val="00D03CE3"/>
    <w:rsid w:val="00D03D47"/>
    <w:rsid w:val="00D03F4C"/>
    <w:rsid w:val="00D0448D"/>
    <w:rsid w:val="00D049C4"/>
    <w:rsid w:val="00D04F5F"/>
    <w:rsid w:val="00D05035"/>
    <w:rsid w:val="00D050CD"/>
    <w:rsid w:val="00D0510B"/>
    <w:rsid w:val="00D0516C"/>
    <w:rsid w:val="00D05283"/>
    <w:rsid w:val="00D056C5"/>
    <w:rsid w:val="00D05742"/>
    <w:rsid w:val="00D05A11"/>
    <w:rsid w:val="00D05E2B"/>
    <w:rsid w:val="00D05E36"/>
    <w:rsid w:val="00D05E83"/>
    <w:rsid w:val="00D064CD"/>
    <w:rsid w:val="00D064D3"/>
    <w:rsid w:val="00D06551"/>
    <w:rsid w:val="00D065B5"/>
    <w:rsid w:val="00D06A14"/>
    <w:rsid w:val="00D06FBE"/>
    <w:rsid w:val="00D0759D"/>
    <w:rsid w:val="00D07DCC"/>
    <w:rsid w:val="00D101A1"/>
    <w:rsid w:val="00D1060B"/>
    <w:rsid w:val="00D106AE"/>
    <w:rsid w:val="00D10D87"/>
    <w:rsid w:val="00D10FE0"/>
    <w:rsid w:val="00D113D6"/>
    <w:rsid w:val="00D11614"/>
    <w:rsid w:val="00D11827"/>
    <w:rsid w:val="00D118FA"/>
    <w:rsid w:val="00D11CAF"/>
    <w:rsid w:val="00D12144"/>
    <w:rsid w:val="00D12313"/>
    <w:rsid w:val="00D12871"/>
    <w:rsid w:val="00D12882"/>
    <w:rsid w:val="00D1290A"/>
    <w:rsid w:val="00D12C6B"/>
    <w:rsid w:val="00D12DE9"/>
    <w:rsid w:val="00D132E3"/>
    <w:rsid w:val="00D133FA"/>
    <w:rsid w:val="00D1344E"/>
    <w:rsid w:val="00D137D8"/>
    <w:rsid w:val="00D13AC7"/>
    <w:rsid w:val="00D13DA7"/>
    <w:rsid w:val="00D140B8"/>
    <w:rsid w:val="00D14282"/>
    <w:rsid w:val="00D14324"/>
    <w:rsid w:val="00D144A1"/>
    <w:rsid w:val="00D146A5"/>
    <w:rsid w:val="00D146F2"/>
    <w:rsid w:val="00D1491A"/>
    <w:rsid w:val="00D14A5F"/>
    <w:rsid w:val="00D14D0E"/>
    <w:rsid w:val="00D14D32"/>
    <w:rsid w:val="00D14E61"/>
    <w:rsid w:val="00D15039"/>
    <w:rsid w:val="00D15620"/>
    <w:rsid w:val="00D15911"/>
    <w:rsid w:val="00D15A26"/>
    <w:rsid w:val="00D15D59"/>
    <w:rsid w:val="00D16380"/>
    <w:rsid w:val="00D16454"/>
    <w:rsid w:val="00D16776"/>
    <w:rsid w:val="00D16C81"/>
    <w:rsid w:val="00D16D65"/>
    <w:rsid w:val="00D1714F"/>
    <w:rsid w:val="00D17B50"/>
    <w:rsid w:val="00D17BF4"/>
    <w:rsid w:val="00D17DD9"/>
    <w:rsid w:val="00D17F6F"/>
    <w:rsid w:val="00D17F79"/>
    <w:rsid w:val="00D203E4"/>
    <w:rsid w:val="00D20622"/>
    <w:rsid w:val="00D20809"/>
    <w:rsid w:val="00D20AD4"/>
    <w:rsid w:val="00D20D95"/>
    <w:rsid w:val="00D20F12"/>
    <w:rsid w:val="00D20F6E"/>
    <w:rsid w:val="00D21379"/>
    <w:rsid w:val="00D21A79"/>
    <w:rsid w:val="00D21B49"/>
    <w:rsid w:val="00D21D39"/>
    <w:rsid w:val="00D22482"/>
    <w:rsid w:val="00D22576"/>
    <w:rsid w:val="00D2276C"/>
    <w:rsid w:val="00D2278D"/>
    <w:rsid w:val="00D2297D"/>
    <w:rsid w:val="00D22E50"/>
    <w:rsid w:val="00D22E68"/>
    <w:rsid w:val="00D22F97"/>
    <w:rsid w:val="00D23245"/>
    <w:rsid w:val="00D232F3"/>
    <w:rsid w:val="00D23387"/>
    <w:rsid w:val="00D23B51"/>
    <w:rsid w:val="00D24407"/>
    <w:rsid w:val="00D247A2"/>
    <w:rsid w:val="00D24E88"/>
    <w:rsid w:val="00D24EF8"/>
    <w:rsid w:val="00D24FC7"/>
    <w:rsid w:val="00D25619"/>
    <w:rsid w:val="00D256F8"/>
    <w:rsid w:val="00D25919"/>
    <w:rsid w:val="00D25B89"/>
    <w:rsid w:val="00D25E58"/>
    <w:rsid w:val="00D269E0"/>
    <w:rsid w:val="00D26B50"/>
    <w:rsid w:val="00D27164"/>
    <w:rsid w:val="00D276D0"/>
    <w:rsid w:val="00D27820"/>
    <w:rsid w:val="00D2796C"/>
    <w:rsid w:val="00D27B37"/>
    <w:rsid w:val="00D30261"/>
    <w:rsid w:val="00D305A2"/>
    <w:rsid w:val="00D307FB"/>
    <w:rsid w:val="00D308D2"/>
    <w:rsid w:val="00D30AD2"/>
    <w:rsid w:val="00D30B1E"/>
    <w:rsid w:val="00D30B61"/>
    <w:rsid w:val="00D30C05"/>
    <w:rsid w:val="00D30C3B"/>
    <w:rsid w:val="00D30DDB"/>
    <w:rsid w:val="00D30EC6"/>
    <w:rsid w:val="00D30F8E"/>
    <w:rsid w:val="00D314A8"/>
    <w:rsid w:val="00D315C8"/>
    <w:rsid w:val="00D31C87"/>
    <w:rsid w:val="00D31F26"/>
    <w:rsid w:val="00D31F9A"/>
    <w:rsid w:val="00D31FE7"/>
    <w:rsid w:val="00D3221C"/>
    <w:rsid w:val="00D3227F"/>
    <w:rsid w:val="00D323DD"/>
    <w:rsid w:val="00D325AE"/>
    <w:rsid w:val="00D326D7"/>
    <w:rsid w:val="00D32C6E"/>
    <w:rsid w:val="00D32DD9"/>
    <w:rsid w:val="00D3370B"/>
    <w:rsid w:val="00D3374C"/>
    <w:rsid w:val="00D33C1A"/>
    <w:rsid w:val="00D33F67"/>
    <w:rsid w:val="00D34024"/>
    <w:rsid w:val="00D348DB"/>
    <w:rsid w:val="00D34FE9"/>
    <w:rsid w:val="00D35219"/>
    <w:rsid w:val="00D353B9"/>
    <w:rsid w:val="00D3581B"/>
    <w:rsid w:val="00D3658C"/>
    <w:rsid w:val="00D3681E"/>
    <w:rsid w:val="00D3696B"/>
    <w:rsid w:val="00D36C1E"/>
    <w:rsid w:val="00D36C4E"/>
    <w:rsid w:val="00D36D6D"/>
    <w:rsid w:val="00D36E3F"/>
    <w:rsid w:val="00D371BD"/>
    <w:rsid w:val="00D375B4"/>
    <w:rsid w:val="00D375F8"/>
    <w:rsid w:val="00D37645"/>
    <w:rsid w:val="00D37883"/>
    <w:rsid w:val="00D37936"/>
    <w:rsid w:val="00D3793A"/>
    <w:rsid w:val="00D3799F"/>
    <w:rsid w:val="00D37A04"/>
    <w:rsid w:val="00D37A97"/>
    <w:rsid w:val="00D37B2A"/>
    <w:rsid w:val="00D37B95"/>
    <w:rsid w:val="00D402C6"/>
    <w:rsid w:val="00D404E6"/>
    <w:rsid w:val="00D4059F"/>
    <w:rsid w:val="00D40797"/>
    <w:rsid w:val="00D408E8"/>
    <w:rsid w:val="00D40ACD"/>
    <w:rsid w:val="00D40E95"/>
    <w:rsid w:val="00D4112C"/>
    <w:rsid w:val="00D41210"/>
    <w:rsid w:val="00D416BB"/>
    <w:rsid w:val="00D418B3"/>
    <w:rsid w:val="00D4198A"/>
    <w:rsid w:val="00D422B3"/>
    <w:rsid w:val="00D42314"/>
    <w:rsid w:val="00D42412"/>
    <w:rsid w:val="00D42445"/>
    <w:rsid w:val="00D42566"/>
    <w:rsid w:val="00D427CD"/>
    <w:rsid w:val="00D42CA6"/>
    <w:rsid w:val="00D42D16"/>
    <w:rsid w:val="00D42E40"/>
    <w:rsid w:val="00D42F3F"/>
    <w:rsid w:val="00D43298"/>
    <w:rsid w:val="00D43439"/>
    <w:rsid w:val="00D43F77"/>
    <w:rsid w:val="00D44022"/>
    <w:rsid w:val="00D44199"/>
    <w:rsid w:val="00D44414"/>
    <w:rsid w:val="00D444B9"/>
    <w:rsid w:val="00D445AC"/>
    <w:rsid w:val="00D445B2"/>
    <w:rsid w:val="00D44699"/>
    <w:rsid w:val="00D4494F"/>
    <w:rsid w:val="00D44B30"/>
    <w:rsid w:val="00D44D96"/>
    <w:rsid w:val="00D4529C"/>
    <w:rsid w:val="00D455A1"/>
    <w:rsid w:val="00D4586E"/>
    <w:rsid w:val="00D45B93"/>
    <w:rsid w:val="00D45D6F"/>
    <w:rsid w:val="00D45F9E"/>
    <w:rsid w:val="00D460E8"/>
    <w:rsid w:val="00D4616F"/>
    <w:rsid w:val="00D462AC"/>
    <w:rsid w:val="00D4658A"/>
    <w:rsid w:val="00D46779"/>
    <w:rsid w:val="00D46F15"/>
    <w:rsid w:val="00D47A23"/>
    <w:rsid w:val="00D47B3A"/>
    <w:rsid w:val="00D47D47"/>
    <w:rsid w:val="00D50045"/>
    <w:rsid w:val="00D500B3"/>
    <w:rsid w:val="00D50404"/>
    <w:rsid w:val="00D5067E"/>
    <w:rsid w:val="00D51158"/>
    <w:rsid w:val="00D51648"/>
    <w:rsid w:val="00D51B7F"/>
    <w:rsid w:val="00D51EE8"/>
    <w:rsid w:val="00D51F09"/>
    <w:rsid w:val="00D521F5"/>
    <w:rsid w:val="00D524B1"/>
    <w:rsid w:val="00D53138"/>
    <w:rsid w:val="00D53282"/>
    <w:rsid w:val="00D53AE1"/>
    <w:rsid w:val="00D542F9"/>
    <w:rsid w:val="00D54461"/>
    <w:rsid w:val="00D551AC"/>
    <w:rsid w:val="00D55359"/>
    <w:rsid w:val="00D558B1"/>
    <w:rsid w:val="00D558C9"/>
    <w:rsid w:val="00D559A8"/>
    <w:rsid w:val="00D560F7"/>
    <w:rsid w:val="00D561F2"/>
    <w:rsid w:val="00D56290"/>
    <w:rsid w:val="00D56525"/>
    <w:rsid w:val="00D56558"/>
    <w:rsid w:val="00D565F2"/>
    <w:rsid w:val="00D56872"/>
    <w:rsid w:val="00D569D6"/>
    <w:rsid w:val="00D56D14"/>
    <w:rsid w:val="00D56F8A"/>
    <w:rsid w:val="00D57666"/>
    <w:rsid w:val="00D579B8"/>
    <w:rsid w:val="00D57B7A"/>
    <w:rsid w:val="00D57D69"/>
    <w:rsid w:val="00D57DAC"/>
    <w:rsid w:val="00D57FE1"/>
    <w:rsid w:val="00D600C5"/>
    <w:rsid w:val="00D60124"/>
    <w:rsid w:val="00D6023E"/>
    <w:rsid w:val="00D6024F"/>
    <w:rsid w:val="00D60259"/>
    <w:rsid w:val="00D60391"/>
    <w:rsid w:val="00D6058F"/>
    <w:rsid w:val="00D60982"/>
    <w:rsid w:val="00D60E53"/>
    <w:rsid w:val="00D61081"/>
    <w:rsid w:val="00D6159F"/>
    <w:rsid w:val="00D6167F"/>
    <w:rsid w:val="00D6178E"/>
    <w:rsid w:val="00D61DCA"/>
    <w:rsid w:val="00D623DC"/>
    <w:rsid w:val="00D62624"/>
    <w:rsid w:val="00D626A3"/>
    <w:rsid w:val="00D62762"/>
    <w:rsid w:val="00D6282F"/>
    <w:rsid w:val="00D62983"/>
    <w:rsid w:val="00D62A59"/>
    <w:rsid w:val="00D62C26"/>
    <w:rsid w:val="00D62E41"/>
    <w:rsid w:val="00D63040"/>
    <w:rsid w:val="00D6308F"/>
    <w:rsid w:val="00D63398"/>
    <w:rsid w:val="00D63400"/>
    <w:rsid w:val="00D6347C"/>
    <w:rsid w:val="00D63623"/>
    <w:rsid w:val="00D63758"/>
    <w:rsid w:val="00D6419F"/>
    <w:rsid w:val="00D642B6"/>
    <w:rsid w:val="00D6442A"/>
    <w:rsid w:val="00D644F2"/>
    <w:rsid w:val="00D64AD1"/>
    <w:rsid w:val="00D64D9C"/>
    <w:rsid w:val="00D64EA8"/>
    <w:rsid w:val="00D64ED6"/>
    <w:rsid w:val="00D65289"/>
    <w:rsid w:val="00D65555"/>
    <w:rsid w:val="00D65972"/>
    <w:rsid w:val="00D659D5"/>
    <w:rsid w:val="00D65AD7"/>
    <w:rsid w:val="00D65C9E"/>
    <w:rsid w:val="00D65CCD"/>
    <w:rsid w:val="00D6600A"/>
    <w:rsid w:val="00D66087"/>
    <w:rsid w:val="00D6635D"/>
    <w:rsid w:val="00D669FC"/>
    <w:rsid w:val="00D66B1F"/>
    <w:rsid w:val="00D66B8B"/>
    <w:rsid w:val="00D66D1E"/>
    <w:rsid w:val="00D66E16"/>
    <w:rsid w:val="00D67132"/>
    <w:rsid w:val="00D67187"/>
    <w:rsid w:val="00D675B4"/>
    <w:rsid w:val="00D677BC"/>
    <w:rsid w:val="00D67F10"/>
    <w:rsid w:val="00D7029B"/>
    <w:rsid w:val="00D707C7"/>
    <w:rsid w:val="00D70AAA"/>
    <w:rsid w:val="00D70AF0"/>
    <w:rsid w:val="00D70C67"/>
    <w:rsid w:val="00D70CA3"/>
    <w:rsid w:val="00D70CBC"/>
    <w:rsid w:val="00D71174"/>
    <w:rsid w:val="00D712D3"/>
    <w:rsid w:val="00D7137F"/>
    <w:rsid w:val="00D719D5"/>
    <w:rsid w:val="00D71A59"/>
    <w:rsid w:val="00D71CC1"/>
    <w:rsid w:val="00D71FB6"/>
    <w:rsid w:val="00D72248"/>
    <w:rsid w:val="00D7253E"/>
    <w:rsid w:val="00D729E4"/>
    <w:rsid w:val="00D72A6C"/>
    <w:rsid w:val="00D72F77"/>
    <w:rsid w:val="00D7346A"/>
    <w:rsid w:val="00D73FA6"/>
    <w:rsid w:val="00D74026"/>
    <w:rsid w:val="00D7418A"/>
    <w:rsid w:val="00D7429E"/>
    <w:rsid w:val="00D74A10"/>
    <w:rsid w:val="00D74A4D"/>
    <w:rsid w:val="00D74EF0"/>
    <w:rsid w:val="00D74F1A"/>
    <w:rsid w:val="00D753EA"/>
    <w:rsid w:val="00D75A49"/>
    <w:rsid w:val="00D75A94"/>
    <w:rsid w:val="00D75CE1"/>
    <w:rsid w:val="00D75DCC"/>
    <w:rsid w:val="00D75FE2"/>
    <w:rsid w:val="00D76337"/>
    <w:rsid w:val="00D76BDE"/>
    <w:rsid w:val="00D770BA"/>
    <w:rsid w:val="00D7750A"/>
    <w:rsid w:val="00D77712"/>
    <w:rsid w:val="00D7793B"/>
    <w:rsid w:val="00D77CEB"/>
    <w:rsid w:val="00D77DAC"/>
    <w:rsid w:val="00D801E7"/>
    <w:rsid w:val="00D80470"/>
    <w:rsid w:val="00D80AE5"/>
    <w:rsid w:val="00D80E08"/>
    <w:rsid w:val="00D80FD8"/>
    <w:rsid w:val="00D810C8"/>
    <w:rsid w:val="00D81283"/>
    <w:rsid w:val="00D8131C"/>
    <w:rsid w:val="00D8133E"/>
    <w:rsid w:val="00D81922"/>
    <w:rsid w:val="00D81A0E"/>
    <w:rsid w:val="00D8296B"/>
    <w:rsid w:val="00D839E7"/>
    <w:rsid w:val="00D83BB8"/>
    <w:rsid w:val="00D83BBA"/>
    <w:rsid w:val="00D8406C"/>
    <w:rsid w:val="00D84165"/>
    <w:rsid w:val="00D8436E"/>
    <w:rsid w:val="00D84645"/>
    <w:rsid w:val="00D846BE"/>
    <w:rsid w:val="00D85541"/>
    <w:rsid w:val="00D85700"/>
    <w:rsid w:val="00D85856"/>
    <w:rsid w:val="00D85888"/>
    <w:rsid w:val="00D85924"/>
    <w:rsid w:val="00D859BB"/>
    <w:rsid w:val="00D85BDF"/>
    <w:rsid w:val="00D85CFB"/>
    <w:rsid w:val="00D85E17"/>
    <w:rsid w:val="00D86152"/>
    <w:rsid w:val="00D865B9"/>
    <w:rsid w:val="00D8672C"/>
    <w:rsid w:val="00D86AEA"/>
    <w:rsid w:val="00D86BAD"/>
    <w:rsid w:val="00D87313"/>
    <w:rsid w:val="00D87588"/>
    <w:rsid w:val="00D87720"/>
    <w:rsid w:val="00D877C8"/>
    <w:rsid w:val="00D87971"/>
    <w:rsid w:val="00D87B07"/>
    <w:rsid w:val="00D87BF9"/>
    <w:rsid w:val="00D87E0B"/>
    <w:rsid w:val="00D9000F"/>
    <w:rsid w:val="00D9003E"/>
    <w:rsid w:val="00D901FF"/>
    <w:rsid w:val="00D905D5"/>
    <w:rsid w:val="00D9070D"/>
    <w:rsid w:val="00D90E98"/>
    <w:rsid w:val="00D9102D"/>
    <w:rsid w:val="00D919C4"/>
    <w:rsid w:val="00D91ABD"/>
    <w:rsid w:val="00D91AC5"/>
    <w:rsid w:val="00D91BA0"/>
    <w:rsid w:val="00D91E59"/>
    <w:rsid w:val="00D91FB9"/>
    <w:rsid w:val="00D9213D"/>
    <w:rsid w:val="00D9228D"/>
    <w:rsid w:val="00D9229F"/>
    <w:rsid w:val="00D92B38"/>
    <w:rsid w:val="00D92B56"/>
    <w:rsid w:val="00D930AA"/>
    <w:rsid w:val="00D9323D"/>
    <w:rsid w:val="00D9370C"/>
    <w:rsid w:val="00D93EF7"/>
    <w:rsid w:val="00D93F16"/>
    <w:rsid w:val="00D940AB"/>
    <w:rsid w:val="00D94273"/>
    <w:rsid w:val="00D94A1B"/>
    <w:rsid w:val="00D94B44"/>
    <w:rsid w:val="00D94BEE"/>
    <w:rsid w:val="00D94C54"/>
    <w:rsid w:val="00D95164"/>
    <w:rsid w:val="00D951AE"/>
    <w:rsid w:val="00D95BA3"/>
    <w:rsid w:val="00D95C49"/>
    <w:rsid w:val="00D95D2F"/>
    <w:rsid w:val="00D963F8"/>
    <w:rsid w:val="00D965DB"/>
    <w:rsid w:val="00D96804"/>
    <w:rsid w:val="00D969CD"/>
    <w:rsid w:val="00D969E4"/>
    <w:rsid w:val="00D96A7F"/>
    <w:rsid w:val="00D97105"/>
    <w:rsid w:val="00D975A0"/>
    <w:rsid w:val="00D97682"/>
    <w:rsid w:val="00D9768F"/>
    <w:rsid w:val="00D976B9"/>
    <w:rsid w:val="00D979F8"/>
    <w:rsid w:val="00D97D64"/>
    <w:rsid w:val="00D97D7F"/>
    <w:rsid w:val="00DA074E"/>
    <w:rsid w:val="00DA0E63"/>
    <w:rsid w:val="00DA1586"/>
    <w:rsid w:val="00DA18A5"/>
    <w:rsid w:val="00DA1AC9"/>
    <w:rsid w:val="00DA1D64"/>
    <w:rsid w:val="00DA1DD9"/>
    <w:rsid w:val="00DA1F9E"/>
    <w:rsid w:val="00DA2058"/>
    <w:rsid w:val="00DA248A"/>
    <w:rsid w:val="00DA250A"/>
    <w:rsid w:val="00DA318F"/>
    <w:rsid w:val="00DA32F8"/>
    <w:rsid w:val="00DA3707"/>
    <w:rsid w:val="00DA38A1"/>
    <w:rsid w:val="00DA39A6"/>
    <w:rsid w:val="00DA3DDD"/>
    <w:rsid w:val="00DA473F"/>
    <w:rsid w:val="00DA47E6"/>
    <w:rsid w:val="00DA4AB4"/>
    <w:rsid w:val="00DA4F35"/>
    <w:rsid w:val="00DA5167"/>
    <w:rsid w:val="00DA556E"/>
    <w:rsid w:val="00DA5613"/>
    <w:rsid w:val="00DA5D39"/>
    <w:rsid w:val="00DA5EAE"/>
    <w:rsid w:val="00DA61CA"/>
    <w:rsid w:val="00DA624B"/>
    <w:rsid w:val="00DA6930"/>
    <w:rsid w:val="00DA7008"/>
    <w:rsid w:val="00DA7291"/>
    <w:rsid w:val="00DA75C8"/>
    <w:rsid w:val="00DA766C"/>
    <w:rsid w:val="00DA7C18"/>
    <w:rsid w:val="00DA7DB6"/>
    <w:rsid w:val="00DB005A"/>
    <w:rsid w:val="00DB0218"/>
    <w:rsid w:val="00DB083F"/>
    <w:rsid w:val="00DB085B"/>
    <w:rsid w:val="00DB0E15"/>
    <w:rsid w:val="00DB1417"/>
    <w:rsid w:val="00DB1427"/>
    <w:rsid w:val="00DB1581"/>
    <w:rsid w:val="00DB173D"/>
    <w:rsid w:val="00DB19A1"/>
    <w:rsid w:val="00DB19EA"/>
    <w:rsid w:val="00DB19FF"/>
    <w:rsid w:val="00DB1AE3"/>
    <w:rsid w:val="00DB1E6B"/>
    <w:rsid w:val="00DB1EE4"/>
    <w:rsid w:val="00DB2641"/>
    <w:rsid w:val="00DB26B8"/>
    <w:rsid w:val="00DB292C"/>
    <w:rsid w:val="00DB2A78"/>
    <w:rsid w:val="00DB2AA2"/>
    <w:rsid w:val="00DB2CE2"/>
    <w:rsid w:val="00DB2D63"/>
    <w:rsid w:val="00DB2FBE"/>
    <w:rsid w:val="00DB32D4"/>
    <w:rsid w:val="00DB362F"/>
    <w:rsid w:val="00DB3689"/>
    <w:rsid w:val="00DB381B"/>
    <w:rsid w:val="00DB3C15"/>
    <w:rsid w:val="00DB3CD3"/>
    <w:rsid w:val="00DB3E15"/>
    <w:rsid w:val="00DB4474"/>
    <w:rsid w:val="00DB4792"/>
    <w:rsid w:val="00DB4A8E"/>
    <w:rsid w:val="00DB4ED9"/>
    <w:rsid w:val="00DB5024"/>
    <w:rsid w:val="00DB52A3"/>
    <w:rsid w:val="00DB56D8"/>
    <w:rsid w:val="00DB5B41"/>
    <w:rsid w:val="00DB5F05"/>
    <w:rsid w:val="00DB5F65"/>
    <w:rsid w:val="00DB5FB2"/>
    <w:rsid w:val="00DB6312"/>
    <w:rsid w:val="00DB63B4"/>
    <w:rsid w:val="00DB6406"/>
    <w:rsid w:val="00DB654F"/>
    <w:rsid w:val="00DB65AA"/>
    <w:rsid w:val="00DB6748"/>
    <w:rsid w:val="00DB6A6A"/>
    <w:rsid w:val="00DB6A7D"/>
    <w:rsid w:val="00DB75AF"/>
    <w:rsid w:val="00DB773A"/>
    <w:rsid w:val="00DB77A4"/>
    <w:rsid w:val="00DB7807"/>
    <w:rsid w:val="00DB79AD"/>
    <w:rsid w:val="00DB7A23"/>
    <w:rsid w:val="00DB7C23"/>
    <w:rsid w:val="00DC0A63"/>
    <w:rsid w:val="00DC0B96"/>
    <w:rsid w:val="00DC0CFF"/>
    <w:rsid w:val="00DC1230"/>
    <w:rsid w:val="00DC1396"/>
    <w:rsid w:val="00DC14C0"/>
    <w:rsid w:val="00DC1648"/>
    <w:rsid w:val="00DC1803"/>
    <w:rsid w:val="00DC1BB7"/>
    <w:rsid w:val="00DC1D1D"/>
    <w:rsid w:val="00DC1DB9"/>
    <w:rsid w:val="00DC1FDA"/>
    <w:rsid w:val="00DC2431"/>
    <w:rsid w:val="00DC2530"/>
    <w:rsid w:val="00DC2A8D"/>
    <w:rsid w:val="00DC2C44"/>
    <w:rsid w:val="00DC301F"/>
    <w:rsid w:val="00DC311B"/>
    <w:rsid w:val="00DC35C7"/>
    <w:rsid w:val="00DC3673"/>
    <w:rsid w:val="00DC43C3"/>
    <w:rsid w:val="00DC43DF"/>
    <w:rsid w:val="00DC45FD"/>
    <w:rsid w:val="00DC4709"/>
    <w:rsid w:val="00DC487E"/>
    <w:rsid w:val="00DC48CE"/>
    <w:rsid w:val="00DC51A9"/>
    <w:rsid w:val="00DC5377"/>
    <w:rsid w:val="00DC55B7"/>
    <w:rsid w:val="00DC55F2"/>
    <w:rsid w:val="00DC55F4"/>
    <w:rsid w:val="00DC5629"/>
    <w:rsid w:val="00DC599A"/>
    <w:rsid w:val="00DC5B64"/>
    <w:rsid w:val="00DC6166"/>
    <w:rsid w:val="00DC624E"/>
    <w:rsid w:val="00DC64E7"/>
    <w:rsid w:val="00DC663A"/>
    <w:rsid w:val="00DC696A"/>
    <w:rsid w:val="00DC6A0E"/>
    <w:rsid w:val="00DC6EC7"/>
    <w:rsid w:val="00DC7269"/>
    <w:rsid w:val="00DC76DE"/>
    <w:rsid w:val="00DC7ABE"/>
    <w:rsid w:val="00DC7B1E"/>
    <w:rsid w:val="00DD0086"/>
    <w:rsid w:val="00DD0828"/>
    <w:rsid w:val="00DD0B33"/>
    <w:rsid w:val="00DD0F3E"/>
    <w:rsid w:val="00DD1010"/>
    <w:rsid w:val="00DD1387"/>
    <w:rsid w:val="00DD1441"/>
    <w:rsid w:val="00DD17C4"/>
    <w:rsid w:val="00DD1A29"/>
    <w:rsid w:val="00DD1CD5"/>
    <w:rsid w:val="00DD1D9A"/>
    <w:rsid w:val="00DD2199"/>
    <w:rsid w:val="00DD24FE"/>
    <w:rsid w:val="00DD27A9"/>
    <w:rsid w:val="00DD29C4"/>
    <w:rsid w:val="00DD2CD9"/>
    <w:rsid w:val="00DD2E9C"/>
    <w:rsid w:val="00DD32E6"/>
    <w:rsid w:val="00DD3B22"/>
    <w:rsid w:val="00DD430A"/>
    <w:rsid w:val="00DD43D7"/>
    <w:rsid w:val="00DD4594"/>
    <w:rsid w:val="00DD49F7"/>
    <w:rsid w:val="00DD4A4E"/>
    <w:rsid w:val="00DD4A76"/>
    <w:rsid w:val="00DD4FF7"/>
    <w:rsid w:val="00DD553D"/>
    <w:rsid w:val="00DD5B6D"/>
    <w:rsid w:val="00DD5F56"/>
    <w:rsid w:val="00DD630A"/>
    <w:rsid w:val="00DD64C7"/>
    <w:rsid w:val="00DD6C78"/>
    <w:rsid w:val="00DD7001"/>
    <w:rsid w:val="00DD73B7"/>
    <w:rsid w:val="00DD7566"/>
    <w:rsid w:val="00DD75C0"/>
    <w:rsid w:val="00DE020A"/>
    <w:rsid w:val="00DE0263"/>
    <w:rsid w:val="00DE035A"/>
    <w:rsid w:val="00DE04B3"/>
    <w:rsid w:val="00DE04DB"/>
    <w:rsid w:val="00DE0698"/>
    <w:rsid w:val="00DE0A89"/>
    <w:rsid w:val="00DE0C96"/>
    <w:rsid w:val="00DE0E14"/>
    <w:rsid w:val="00DE0EA7"/>
    <w:rsid w:val="00DE0F23"/>
    <w:rsid w:val="00DE1055"/>
    <w:rsid w:val="00DE14ED"/>
    <w:rsid w:val="00DE1A4F"/>
    <w:rsid w:val="00DE1B7E"/>
    <w:rsid w:val="00DE1E50"/>
    <w:rsid w:val="00DE206C"/>
    <w:rsid w:val="00DE223A"/>
    <w:rsid w:val="00DE2798"/>
    <w:rsid w:val="00DE27A2"/>
    <w:rsid w:val="00DE29A9"/>
    <w:rsid w:val="00DE2A9D"/>
    <w:rsid w:val="00DE2C49"/>
    <w:rsid w:val="00DE2CBA"/>
    <w:rsid w:val="00DE2EE5"/>
    <w:rsid w:val="00DE3433"/>
    <w:rsid w:val="00DE35CE"/>
    <w:rsid w:val="00DE3A75"/>
    <w:rsid w:val="00DE3D35"/>
    <w:rsid w:val="00DE3D3C"/>
    <w:rsid w:val="00DE3F47"/>
    <w:rsid w:val="00DE3F58"/>
    <w:rsid w:val="00DE41CC"/>
    <w:rsid w:val="00DE4290"/>
    <w:rsid w:val="00DE4425"/>
    <w:rsid w:val="00DE4506"/>
    <w:rsid w:val="00DE4863"/>
    <w:rsid w:val="00DE48D4"/>
    <w:rsid w:val="00DE4966"/>
    <w:rsid w:val="00DE4C5F"/>
    <w:rsid w:val="00DE4D6A"/>
    <w:rsid w:val="00DE5060"/>
    <w:rsid w:val="00DE5137"/>
    <w:rsid w:val="00DE55BB"/>
    <w:rsid w:val="00DE56A8"/>
    <w:rsid w:val="00DE5A9B"/>
    <w:rsid w:val="00DE5C57"/>
    <w:rsid w:val="00DE6125"/>
    <w:rsid w:val="00DE61F7"/>
    <w:rsid w:val="00DE6325"/>
    <w:rsid w:val="00DE68EB"/>
    <w:rsid w:val="00DE6944"/>
    <w:rsid w:val="00DE6DB4"/>
    <w:rsid w:val="00DE6EB2"/>
    <w:rsid w:val="00DE7373"/>
    <w:rsid w:val="00DE7947"/>
    <w:rsid w:val="00DE7A15"/>
    <w:rsid w:val="00DE7DF7"/>
    <w:rsid w:val="00DE7F0C"/>
    <w:rsid w:val="00DE7FA4"/>
    <w:rsid w:val="00DF0103"/>
    <w:rsid w:val="00DF083D"/>
    <w:rsid w:val="00DF0DB8"/>
    <w:rsid w:val="00DF11DF"/>
    <w:rsid w:val="00DF1690"/>
    <w:rsid w:val="00DF18EF"/>
    <w:rsid w:val="00DF1930"/>
    <w:rsid w:val="00DF1B2C"/>
    <w:rsid w:val="00DF20A7"/>
    <w:rsid w:val="00DF2326"/>
    <w:rsid w:val="00DF291C"/>
    <w:rsid w:val="00DF29C1"/>
    <w:rsid w:val="00DF301D"/>
    <w:rsid w:val="00DF31C4"/>
    <w:rsid w:val="00DF3496"/>
    <w:rsid w:val="00DF3520"/>
    <w:rsid w:val="00DF3932"/>
    <w:rsid w:val="00DF3999"/>
    <w:rsid w:val="00DF3BE3"/>
    <w:rsid w:val="00DF4132"/>
    <w:rsid w:val="00DF433B"/>
    <w:rsid w:val="00DF4626"/>
    <w:rsid w:val="00DF466E"/>
    <w:rsid w:val="00DF48F8"/>
    <w:rsid w:val="00DF4965"/>
    <w:rsid w:val="00DF4DF3"/>
    <w:rsid w:val="00DF5012"/>
    <w:rsid w:val="00DF5380"/>
    <w:rsid w:val="00DF58C9"/>
    <w:rsid w:val="00DF63D2"/>
    <w:rsid w:val="00DF6638"/>
    <w:rsid w:val="00DF6C60"/>
    <w:rsid w:val="00DF71CB"/>
    <w:rsid w:val="00DF7285"/>
    <w:rsid w:val="00DF73D7"/>
    <w:rsid w:val="00DF752E"/>
    <w:rsid w:val="00DF76A5"/>
    <w:rsid w:val="00DF789A"/>
    <w:rsid w:val="00DF7956"/>
    <w:rsid w:val="00DF7AFD"/>
    <w:rsid w:val="00DF7B5C"/>
    <w:rsid w:val="00DF7BC7"/>
    <w:rsid w:val="00DF7E71"/>
    <w:rsid w:val="00DF7FF5"/>
    <w:rsid w:val="00E000D7"/>
    <w:rsid w:val="00E001E0"/>
    <w:rsid w:val="00E0022E"/>
    <w:rsid w:val="00E003B8"/>
    <w:rsid w:val="00E00607"/>
    <w:rsid w:val="00E00832"/>
    <w:rsid w:val="00E00E1F"/>
    <w:rsid w:val="00E00F98"/>
    <w:rsid w:val="00E01065"/>
    <w:rsid w:val="00E015D2"/>
    <w:rsid w:val="00E01649"/>
    <w:rsid w:val="00E017EA"/>
    <w:rsid w:val="00E01AD6"/>
    <w:rsid w:val="00E01BDF"/>
    <w:rsid w:val="00E022E8"/>
    <w:rsid w:val="00E02600"/>
    <w:rsid w:val="00E028C1"/>
    <w:rsid w:val="00E029B2"/>
    <w:rsid w:val="00E02C2C"/>
    <w:rsid w:val="00E02C31"/>
    <w:rsid w:val="00E02C38"/>
    <w:rsid w:val="00E02D47"/>
    <w:rsid w:val="00E02D79"/>
    <w:rsid w:val="00E02FC4"/>
    <w:rsid w:val="00E03435"/>
    <w:rsid w:val="00E03692"/>
    <w:rsid w:val="00E037A5"/>
    <w:rsid w:val="00E038E9"/>
    <w:rsid w:val="00E0395E"/>
    <w:rsid w:val="00E03A41"/>
    <w:rsid w:val="00E03B5F"/>
    <w:rsid w:val="00E03F63"/>
    <w:rsid w:val="00E04496"/>
    <w:rsid w:val="00E047D6"/>
    <w:rsid w:val="00E04940"/>
    <w:rsid w:val="00E04C2D"/>
    <w:rsid w:val="00E05557"/>
    <w:rsid w:val="00E055BD"/>
    <w:rsid w:val="00E05CDE"/>
    <w:rsid w:val="00E05D96"/>
    <w:rsid w:val="00E05F06"/>
    <w:rsid w:val="00E06064"/>
    <w:rsid w:val="00E06311"/>
    <w:rsid w:val="00E06391"/>
    <w:rsid w:val="00E070F1"/>
    <w:rsid w:val="00E075BC"/>
    <w:rsid w:val="00E07864"/>
    <w:rsid w:val="00E079F9"/>
    <w:rsid w:val="00E07B24"/>
    <w:rsid w:val="00E07C75"/>
    <w:rsid w:val="00E07DCF"/>
    <w:rsid w:val="00E07EC5"/>
    <w:rsid w:val="00E105B2"/>
    <w:rsid w:val="00E10E7F"/>
    <w:rsid w:val="00E11505"/>
    <w:rsid w:val="00E1160C"/>
    <w:rsid w:val="00E1163F"/>
    <w:rsid w:val="00E11718"/>
    <w:rsid w:val="00E11A71"/>
    <w:rsid w:val="00E11DC1"/>
    <w:rsid w:val="00E120C8"/>
    <w:rsid w:val="00E122A4"/>
    <w:rsid w:val="00E12367"/>
    <w:rsid w:val="00E12755"/>
    <w:rsid w:val="00E127C2"/>
    <w:rsid w:val="00E12A68"/>
    <w:rsid w:val="00E12A9E"/>
    <w:rsid w:val="00E12E01"/>
    <w:rsid w:val="00E12F02"/>
    <w:rsid w:val="00E13806"/>
    <w:rsid w:val="00E1391E"/>
    <w:rsid w:val="00E13996"/>
    <w:rsid w:val="00E14293"/>
    <w:rsid w:val="00E14914"/>
    <w:rsid w:val="00E14AB5"/>
    <w:rsid w:val="00E14AE4"/>
    <w:rsid w:val="00E14B91"/>
    <w:rsid w:val="00E14B96"/>
    <w:rsid w:val="00E14C81"/>
    <w:rsid w:val="00E14DA5"/>
    <w:rsid w:val="00E15232"/>
    <w:rsid w:val="00E1543C"/>
    <w:rsid w:val="00E15849"/>
    <w:rsid w:val="00E15B68"/>
    <w:rsid w:val="00E15EB8"/>
    <w:rsid w:val="00E15F6E"/>
    <w:rsid w:val="00E16051"/>
    <w:rsid w:val="00E16192"/>
    <w:rsid w:val="00E16343"/>
    <w:rsid w:val="00E166A4"/>
    <w:rsid w:val="00E16BDF"/>
    <w:rsid w:val="00E16F8D"/>
    <w:rsid w:val="00E17509"/>
    <w:rsid w:val="00E1785A"/>
    <w:rsid w:val="00E1793A"/>
    <w:rsid w:val="00E17967"/>
    <w:rsid w:val="00E17A82"/>
    <w:rsid w:val="00E20346"/>
    <w:rsid w:val="00E2044E"/>
    <w:rsid w:val="00E20495"/>
    <w:rsid w:val="00E206B0"/>
    <w:rsid w:val="00E208F8"/>
    <w:rsid w:val="00E20CE6"/>
    <w:rsid w:val="00E20FF4"/>
    <w:rsid w:val="00E211FE"/>
    <w:rsid w:val="00E21D1C"/>
    <w:rsid w:val="00E21EEB"/>
    <w:rsid w:val="00E2207C"/>
    <w:rsid w:val="00E22572"/>
    <w:rsid w:val="00E2277E"/>
    <w:rsid w:val="00E2281F"/>
    <w:rsid w:val="00E2286A"/>
    <w:rsid w:val="00E22C29"/>
    <w:rsid w:val="00E2338E"/>
    <w:rsid w:val="00E23400"/>
    <w:rsid w:val="00E2357E"/>
    <w:rsid w:val="00E23A51"/>
    <w:rsid w:val="00E24833"/>
    <w:rsid w:val="00E25089"/>
    <w:rsid w:val="00E25311"/>
    <w:rsid w:val="00E2565C"/>
    <w:rsid w:val="00E256EA"/>
    <w:rsid w:val="00E258DC"/>
    <w:rsid w:val="00E25962"/>
    <w:rsid w:val="00E259E7"/>
    <w:rsid w:val="00E25AE2"/>
    <w:rsid w:val="00E262B7"/>
    <w:rsid w:val="00E26831"/>
    <w:rsid w:val="00E26A84"/>
    <w:rsid w:val="00E26AC6"/>
    <w:rsid w:val="00E26BDD"/>
    <w:rsid w:val="00E26CC1"/>
    <w:rsid w:val="00E26D01"/>
    <w:rsid w:val="00E27125"/>
    <w:rsid w:val="00E273E4"/>
    <w:rsid w:val="00E274C1"/>
    <w:rsid w:val="00E274F4"/>
    <w:rsid w:val="00E27751"/>
    <w:rsid w:val="00E277C5"/>
    <w:rsid w:val="00E279E3"/>
    <w:rsid w:val="00E27B51"/>
    <w:rsid w:val="00E27C33"/>
    <w:rsid w:val="00E27D72"/>
    <w:rsid w:val="00E27E7D"/>
    <w:rsid w:val="00E3062E"/>
    <w:rsid w:val="00E30A86"/>
    <w:rsid w:val="00E30D23"/>
    <w:rsid w:val="00E30E61"/>
    <w:rsid w:val="00E31057"/>
    <w:rsid w:val="00E31383"/>
    <w:rsid w:val="00E315B0"/>
    <w:rsid w:val="00E316BD"/>
    <w:rsid w:val="00E3195D"/>
    <w:rsid w:val="00E31C4B"/>
    <w:rsid w:val="00E31E68"/>
    <w:rsid w:val="00E32263"/>
    <w:rsid w:val="00E3233E"/>
    <w:rsid w:val="00E3256A"/>
    <w:rsid w:val="00E325DB"/>
    <w:rsid w:val="00E33157"/>
    <w:rsid w:val="00E332BB"/>
    <w:rsid w:val="00E33B2A"/>
    <w:rsid w:val="00E33D45"/>
    <w:rsid w:val="00E33DBB"/>
    <w:rsid w:val="00E3402D"/>
    <w:rsid w:val="00E340AF"/>
    <w:rsid w:val="00E3414C"/>
    <w:rsid w:val="00E34337"/>
    <w:rsid w:val="00E34362"/>
    <w:rsid w:val="00E344C2"/>
    <w:rsid w:val="00E34517"/>
    <w:rsid w:val="00E345C2"/>
    <w:rsid w:val="00E34889"/>
    <w:rsid w:val="00E34B42"/>
    <w:rsid w:val="00E34C55"/>
    <w:rsid w:val="00E34DF5"/>
    <w:rsid w:val="00E35061"/>
    <w:rsid w:val="00E353F9"/>
    <w:rsid w:val="00E3553E"/>
    <w:rsid w:val="00E356F1"/>
    <w:rsid w:val="00E35B4C"/>
    <w:rsid w:val="00E35C40"/>
    <w:rsid w:val="00E3613E"/>
    <w:rsid w:val="00E362EA"/>
    <w:rsid w:val="00E36356"/>
    <w:rsid w:val="00E3662F"/>
    <w:rsid w:val="00E368A9"/>
    <w:rsid w:val="00E36B17"/>
    <w:rsid w:val="00E36D55"/>
    <w:rsid w:val="00E37324"/>
    <w:rsid w:val="00E37524"/>
    <w:rsid w:val="00E37590"/>
    <w:rsid w:val="00E375C4"/>
    <w:rsid w:val="00E379B7"/>
    <w:rsid w:val="00E37F18"/>
    <w:rsid w:val="00E4008B"/>
    <w:rsid w:val="00E40389"/>
    <w:rsid w:val="00E407F4"/>
    <w:rsid w:val="00E408E2"/>
    <w:rsid w:val="00E40DF4"/>
    <w:rsid w:val="00E40E2A"/>
    <w:rsid w:val="00E40F1A"/>
    <w:rsid w:val="00E41386"/>
    <w:rsid w:val="00E41942"/>
    <w:rsid w:val="00E419F2"/>
    <w:rsid w:val="00E41D53"/>
    <w:rsid w:val="00E41D58"/>
    <w:rsid w:val="00E41FC5"/>
    <w:rsid w:val="00E421D9"/>
    <w:rsid w:val="00E42395"/>
    <w:rsid w:val="00E427F9"/>
    <w:rsid w:val="00E42A27"/>
    <w:rsid w:val="00E42D2C"/>
    <w:rsid w:val="00E42DDA"/>
    <w:rsid w:val="00E42FE8"/>
    <w:rsid w:val="00E430AE"/>
    <w:rsid w:val="00E431F5"/>
    <w:rsid w:val="00E43286"/>
    <w:rsid w:val="00E432B8"/>
    <w:rsid w:val="00E4332F"/>
    <w:rsid w:val="00E437EE"/>
    <w:rsid w:val="00E439C5"/>
    <w:rsid w:val="00E43B43"/>
    <w:rsid w:val="00E43C12"/>
    <w:rsid w:val="00E43D86"/>
    <w:rsid w:val="00E43E4E"/>
    <w:rsid w:val="00E43E9B"/>
    <w:rsid w:val="00E44071"/>
    <w:rsid w:val="00E4412A"/>
    <w:rsid w:val="00E44584"/>
    <w:rsid w:val="00E44A09"/>
    <w:rsid w:val="00E44A74"/>
    <w:rsid w:val="00E44D3D"/>
    <w:rsid w:val="00E44EC5"/>
    <w:rsid w:val="00E4562C"/>
    <w:rsid w:val="00E45679"/>
    <w:rsid w:val="00E4576B"/>
    <w:rsid w:val="00E459F9"/>
    <w:rsid w:val="00E45A7B"/>
    <w:rsid w:val="00E45F16"/>
    <w:rsid w:val="00E45F74"/>
    <w:rsid w:val="00E45FB8"/>
    <w:rsid w:val="00E46209"/>
    <w:rsid w:val="00E462F5"/>
    <w:rsid w:val="00E463AF"/>
    <w:rsid w:val="00E4648B"/>
    <w:rsid w:val="00E46501"/>
    <w:rsid w:val="00E4674D"/>
    <w:rsid w:val="00E46782"/>
    <w:rsid w:val="00E4686C"/>
    <w:rsid w:val="00E468CA"/>
    <w:rsid w:val="00E46965"/>
    <w:rsid w:val="00E46D8B"/>
    <w:rsid w:val="00E46D96"/>
    <w:rsid w:val="00E46E84"/>
    <w:rsid w:val="00E47117"/>
    <w:rsid w:val="00E471D1"/>
    <w:rsid w:val="00E47BB7"/>
    <w:rsid w:val="00E47CDB"/>
    <w:rsid w:val="00E5019E"/>
    <w:rsid w:val="00E5054D"/>
    <w:rsid w:val="00E50902"/>
    <w:rsid w:val="00E5097D"/>
    <w:rsid w:val="00E50DE6"/>
    <w:rsid w:val="00E50E87"/>
    <w:rsid w:val="00E514C5"/>
    <w:rsid w:val="00E517AF"/>
    <w:rsid w:val="00E51812"/>
    <w:rsid w:val="00E51BC0"/>
    <w:rsid w:val="00E51BE5"/>
    <w:rsid w:val="00E51FC0"/>
    <w:rsid w:val="00E5202F"/>
    <w:rsid w:val="00E52180"/>
    <w:rsid w:val="00E521C9"/>
    <w:rsid w:val="00E521F0"/>
    <w:rsid w:val="00E52412"/>
    <w:rsid w:val="00E525F5"/>
    <w:rsid w:val="00E52AD4"/>
    <w:rsid w:val="00E52CC0"/>
    <w:rsid w:val="00E52DB1"/>
    <w:rsid w:val="00E531F6"/>
    <w:rsid w:val="00E533AA"/>
    <w:rsid w:val="00E53405"/>
    <w:rsid w:val="00E53FC0"/>
    <w:rsid w:val="00E54395"/>
    <w:rsid w:val="00E548D7"/>
    <w:rsid w:val="00E54AE2"/>
    <w:rsid w:val="00E54B8B"/>
    <w:rsid w:val="00E54C77"/>
    <w:rsid w:val="00E54D63"/>
    <w:rsid w:val="00E54D81"/>
    <w:rsid w:val="00E54DD4"/>
    <w:rsid w:val="00E55300"/>
    <w:rsid w:val="00E55493"/>
    <w:rsid w:val="00E55735"/>
    <w:rsid w:val="00E5597C"/>
    <w:rsid w:val="00E55AEA"/>
    <w:rsid w:val="00E55D0A"/>
    <w:rsid w:val="00E55DAA"/>
    <w:rsid w:val="00E56302"/>
    <w:rsid w:val="00E5658D"/>
    <w:rsid w:val="00E566C3"/>
    <w:rsid w:val="00E56860"/>
    <w:rsid w:val="00E56A9A"/>
    <w:rsid w:val="00E5723D"/>
    <w:rsid w:val="00E576EA"/>
    <w:rsid w:val="00E57CAE"/>
    <w:rsid w:val="00E601CF"/>
    <w:rsid w:val="00E60282"/>
    <w:rsid w:val="00E60799"/>
    <w:rsid w:val="00E60949"/>
    <w:rsid w:val="00E60C94"/>
    <w:rsid w:val="00E60D2C"/>
    <w:rsid w:val="00E60F7E"/>
    <w:rsid w:val="00E60FD8"/>
    <w:rsid w:val="00E61270"/>
    <w:rsid w:val="00E612BC"/>
    <w:rsid w:val="00E612FA"/>
    <w:rsid w:val="00E61D97"/>
    <w:rsid w:val="00E61E0B"/>
    <w:rsid w:val="00E61E66"/>
    <w:rsid w:val="00E627E9"/>
    <w:rsid w:val="00E62B4B"/>
    <w:rsid w:val="00E631B4"/>
    <w:rsid w:val="00E632B2"/>
    <w:rsid w:val="00E633B0"/>
    <w:rsid w:val="00E63960"/>
    <w:rsid w:val="00E63C69"/>
    <w:rsid w:val="00E63DC0"/>
    <w:rsid w:val="00E6424F"/>
    <w:rsid w:val="00E64D2D"/>
    <w:rsid w:val="00E64D33"/>
    <w:rsid w:val="00E64DD8"/>
    <w:rsid w:val="00E650A9"/>
    <w:rsid w:val="00E65509"/>
    <w:rsid w:val="00E65687"/>
    <w:rsid w:val="00E6588C"/>
    <w:rsid w:val="00E65926"/>
    <w:rsid w:val="00E65BC4"/>
    <w:rsid w:val="00E65C16"/>
    <w:rsid w:val="00E65DD1"/>
    <w:rsid w:val="00E66100"/>
    <w:rsid w:val="00E66441"/>
    <w:rsid w:val="00E665D1"/>
    <w:rsid w:val="00E66F6B"/>
    <w:rsid w:val="00E6717F"/>
    <w:rsid w:val="00E67336"/>
    <w:rsid w:val="00E673C4"/>
    <w:rsid w:val="00E673C7"/>
    <w:rsid w:val="00E67819"/>
    <w:rsid w:val="00E67B83"/>
    <w:rsid w:val="00E7004D"/>
    <w:rsid w:val="00E700B3"/>
    <w:rsid w:val="00E70147"/>
    <w:rsid w:val="00E70266"/>
    <w:rsid w:val="00E70710"/>
    <w:rsid w:val="00E71001"/>
    <w:rsid w:val="00E7124F"/>
    <w:rsid w:val="00E71344"/>
    <w:rsid w:val="00E715DD"/>
    <w:rsid w:val="00E715ED"/>
    <w:rsid w:val="00E71A6A"/>
    <w:rsid w:val="00E71B2C"/>
    <w:rsid w:val="00E71C9C"/>
    <w:rsid w:val="00E71D21"/>
    <w:rsid w:val="00E71E43"/>
    <w:rsid w:val="00E71FA6"/>
    <w:rsid w:val="00E7258B"/>
    <w:rsid w:val="00E72648"/>
    <w:rsid w:val="00E72836"/>
    <w:rsid w:val="00E72C13"/>
    <w:rsid w:val="00E72C4E"/>
    <w:rsid w:val="00E72EFD"/>
    <w:rsid w:val="00E72FB0"/>
    <w:rsid w:val="00E732C7"/>
    <w:rsid w:val="00E73422"/>
    <w:rsid w:val="00E74514"/>
    <w:rsid w:val="00E74695"/>
    <w:rsid w:val="00E746E2"/>
    <w:rsid w:val="00E74759"/>
    <w:rsid w:val="00E749E6"/>
    <w:rsid w:val="00E74A56"/>
    <w:rsid w:val="00E74ABA"/>
    <w:rsid w:val="00E74CDE"/>
    <w:rsid w:val="00E74D25"/>
    <w:rsid w:val="00E74D7C"/>
    <w:rsid w:val="00E74E9A"/>
    <w:rsid w:val="00E7515D"/>
    <w:rsid w:val="00E75717"/>
    <w:rsid w:val="00E75970"/>
    <w:rsid w:val="00E75A78"/>
    <w:rsid w:val="00E75BDC"/>
    <w:rsid w:val="00E75C0D"/>
    <w:rsid w:val="00E76489"/>
    <w:rsid w:val="00E76540"/>
    <w:rsid w:val="00E76B13"/>
    <w:rsid w:val="00E76BBA"/>
    <w:rsid w:val="00E770F9"/>
    <w:rsid w:val="00E77893"/>
    <w:rsid w:val="00E77894"/>
    <w:rsid w:val="00E77947"/>
    <w:rsid w:val="00E77A23"/>
    <w:rsid w:val="00E800AB"/>
    <w:rsid w:val="00E800C3"/>
    <w:rsid w:val="00E804C9"/>
    <w:rsid w:val="00E80607"/>
    <w:rsid w:val="00E8090E"/>
    <w:rsid w:val="00E80CB4"/>
    <w:rsid w:val="00E80DF2"/>
    <w:rsid w:val="00E80E3D"/>
    <w:rsid w:val="00E8148D"/>
    <w:rsid w:val="00E81661"/>
    <w:rsid w:val="00E8177D"/>
    <w:rsid w:val="00E822C9"/>
    <w:rsid w:val="00E828CA"/>
    <w:rsid w:val="00E8293C"/>
    <w:rsid w:val="00E82978"/>
    <w:rsid w:val="00E829E8"/>
    <w:rsid w:val="00E82C6D"/>
    <w:rsid w:val="00E83124"/>
    <w:rsid w:val="00E83169"/>
    <w:rsid w:val="00E83236"/>
    <w:rsid w:val="00E83383"/>
    <w:rsid w:val="00E83A32"/>
    <w:rsid w:val="00E83A6C"/>
    <w:rsid w:val="00E84256"/>
    <w:rsid w:val="00E84336"/>
    <w:rsid w:val="00E84623"/>
    <w:rsid w:val="00E8462A"/>
    <w:rsid w:val="00E848A0"/>
    <w:rsid w:val="00E84E91"/>
    <w:rsid w:val="00E84F7B"/>
    <w:rsid w:val="00E85030"/>
    <w:rsid w:val="00E853D7"/>
    <w:rsid w:val="00E8561C"/>
    <w:rsid w:val="00E8563F"/>
    <w:rsid w:val="00E85F4B"/>
    <w:rsid w:val="00E85FF2"/>
    <w:rsid w:val="00E86403"/>
    <w:rsid w:val="00E8655B"/>
    <w:rsid w:val="00E868C9"/>
    <w:rsid w:val="00E86F5B"/>
    <w:rsid w:val="00E87030"/>
    <w:rsid w:val="00E87096"/>
    <w:rsid w:val="00E87179"/>
    <w:rsid w:val="00E87438"/>
    <w:rsid w:val="00E87858"/>
    <w:rsid w:val="00E87B42"/>
    <w:rsid w:val="00E87EB5"/>
    <w:rsid w:val="00E87EF4"/>
    <w:rsid w:val="00E87FF2"/>
    <w:rsid w:val="00E900FA"/>
    <w:rsid w:val="00E9018F"/>
    <w:rsid w:val="00E90274"/>
    <w:rsid w:val="00E90382"/>
    <w:rsid w:val="00E9057C"/>
    <w:rsid w:val="00E90880"/>
    <w:rsid w:val="00E90A9F"/>
    <w:rsid w:val="00E90AF4"/>
    <w:rsid w:val="00E90D85"/>
    <w:rsid w:val="00E90E32"/>
    <w:rsid w:val="00E915D4"/>
    <w:rsid w:val="00E91A4B"/>
    <w:rsid w:val="00E91A8C"/>
    <w:rsid w:val="00E91F88"/>
    <w:rsid w:val="00E920C8"/>
    <w:rsid w:val="00E92214"/>
    <w:rsid w:val="00E92C6E"/>
    <w:rsid w:val="00E92C9E"/>
    <w:rsid w:val="00E92E3E"/>
    <w:rsid w:val="00E93020"/>
    <w:rsid w:val="00E9311A"/>
    <w:rsid w:val="00E93149"/>
    <w:rsid w:val="00E93449"/>
    <w:rsid w:val="00E93966"/>
    <w:rsid w:val="00E9397C"/>
    <w:rsid w:val="00E93A41"/>
    <w:rsid w:val="00E93A4D"/>
    <w:rsid w:val="00E94B37"/>
    <w:rsid w:val="00E9566F"/>
    <w:rsid w:val="00E95706"/>
    <w:rsid w:val="00E95738"/>
    <w:rsid w:val="00E95905"/>
    <w:rsid w:val="00E95CF5"/>
    <w:rsid w:val="00E95D0E"/>
    <w:rsid w:val="00E95DCF"/>
    <w:rsid w:val="00E96311"/>
    <w:rsid w:val="00E9656B"/>
    <w:rsid w:val="00E971E6"/>
    <w:rsid w:val="00EA0162"/>
    <w:rsid w:val="00EA01F3"/>
    <w:rsid w:val="00EA05BB"/>
    <w:rsid w:val="00EA07AF"/>
    <w:rsid w:val="00EA0828"/>
    <w:rsid w:val="00EA08BF"/>
    <w:rsid w:val="00EA0F4E"/>
    <w:rsid w:val="00EA1433"/>
    <w:rsid w:val="00EA1C19"/>
    <w:rsid w:val="00EA1E6F"/>
    <w:rsid w:val="00EA1E89"/>
    <w:rsid w:val="00EA230C"/>
    <w:rsid w:val="00EA2583"/>
    <w:rsid w:val="00EA293C"/>
    <w:rsid w:val="00EA29B6"/>
    <w:rsid w:val="00EA2B31"/>
    <w:rsid w:val="00EA2B56"/>
    <w:rsid w:val="00EA310A"/>
    <w:rsid w:val="00EA31AE"/>
    <w:rsid w:val="00EA4795"/>
    <w:rsid w:val="00EA488E"/>
    <w:rsid w:val="00EA4ED3"/>
    <w:rsid w:val="00EA549C"/>
    <w:rsid w:val="00EA5759"/>
    <w:rsid w:val="00EA5822"/>
    <w:rsid w:val="00EA58B0"/>
    <w:rsid w:val="00EA6261"/>
    <w:rsid w:val="00EA6540"/>
    <w:rsid w:val="00EA6625"/>
    <w:rsid w:val="00EA66B6"/>
    <w:rsid w:val="00EA6F33"/>
    <w:rsid w:val="00EA77B4"/>
    <w:rsid w:val="00EA7D18"/>
    <w:rsid w:val="00EB0313"/>
    <w:rsid w:val="00EB0741"/>
    <w:rsid w:val="00EB08DF"/>
    <w:rsid w:val="00EB0C94"/>
    <w:rsid w:val="00EB0D22"/>
    <w:rsid w:val="00EB0D2C"/>
    <w:rsid w:val="00EB0FF8"/>
    <w:rsid w:val="00EB13E4"/>
    <w:rsid w:val="00EB19F6"/>
    <w:rsid w:val="00EB1B4C"/>
    <w:rsid w:val="00EB1C98"/>
    <w:rsid w:val="00EB226D"/>
    <w:rsid w:val="00EB297D"/>
    <w:rsid w:val="00EB2AE2"/>
    <w:rsid w:val="00EB2DC5"/>
    <w:rsid w:val="00EB2DE8"/>
    <w:rsid w:val="00EB2EFD"/>
    <w:rsid w:val="00EB338E"/>
    <w:rsid w:val="00EB34A8"/>
    <w:rsid w:val="00EB36EE"/>
    <w:rsid w:val="00EB37A3"/>
    <w:rsid w:val="00EB3E3F"/>
    <w:rsid w:val="00EB40C1"/>
    <w:rsid w:val="00EB4147"/>
    <w:rsid w:val="00EB47E5"/>
    <w:rsid w:val="00EB47ED"/>
    <w:rsid w:val="00EB4806"/>
    <w:rsid w:val="00EB499A"/>
    <w:rsid w:val="00EB49C1"/>
    <w:rsid w:val="00EB4A52"/>
    <w:rsid w:val="00EB4AC8"/>
    <w:rsid w:val="00EB52A0"/>
    <w:rsid w:val="00EB53C3"/>
    <w:rsid w:val="00EB59D2"/>
    <w:rsid w:val="00EB5A76"/>
    <w:rsid w:val="00EB5C99"/>
    <w:rsid w:val="00EB5CEB"/>
    <w:rsid w:val="00EB6937"/>
    <w:rsid w:val="00EB6F7B"/>
    <w:rsid w:val="00EB7388"/>
    <w:rsid w:val="00EB75F6"/>
    <w:rsid w:val="00EB7B79"/>
    <w:rsid w:val="00EC0067"/>
    <w:rsid w:val="00EC0399"/>
    <w:rsid w:val="00EC039C"/>
    <w:rsid w:val="00EC06A1"/>
    <w:rsid w:val="00EC09E9"/>
    <w:rsid w:val="00EC0A54"/>
    <w:rsid w:val="00EC0A83"/>
    <w:rsid w:val="00EC0EC0"/>
    <w:rsid w:val="00EC1525"/>
    <w:rsid w:val="00EC15A9"/>
    <w:rsid w:val="00EC1731"/>
    <w:rsid w:val="00EC1A04"/>
    <w:rsid w:val="00EC1C10"/>
    <w:rsid w:val="00EC2132"/>
    <w:rsid w:val="00EC217E"/>
    <w:rsid w:val="00EC22B9"/>
    <w:rsid w:val="00EC25E2"/>
    <w:rsid w:val="00EC2701"/>
    <w:rsid w:val="00EC2937"/>
    <w:rsid w:val="00EC2A80"/>
    <w:rsid w:val="00EC2B5D"/>
    <w:rsid w:val="00EC2DAE"/>
    <w:rsid w:val="00EC303B"/>
    <w:rsid w:val="00EC3352"/>
    <w:rsid w:val="00EC33E2"/>
    <w:rsid w:val="00EC35D5"/>
    <w:rsid w:val="00EC3862"/>
    <w:rsid w:val="00EC3A0F"/>
    <w:rsid w:val="00EC3AA3"/>
    <w:rsid w:val="00EC4038"/>
    <w:rsid w:val="00EC435E"/>
    <w:rsid w:val="00EC492D"/>
    <w:rsid w:val="00EC4B08"/>
    <w:rsid w:val="00EC4B0A"/>
    <w:rsid w:val="00EC4C97"/>
    <w:rsid w:val="00EC4E52"/>
    <w:rsid w:val="00EC51B2"/>
    <w:rsid w:val="00EC5216"/>
    <w:rsid w:val="00EC5FB1"/>
    <w:rsid w:val="00EC6786"/>
    <w:rsid w:val="00EC67A7"/>
    <w:rsid w:val="00EC6964"/>
    <w:rsid w:val="00EC69D4"/>
    <w:rsid w:val="00EC6ACD"/>
    <w:rsid w:val="00EC6CAA"/>
    <w:rsid w:val="00EC6E25"/>
    <w:rsid w:val="00EC6E6C"/>
    <w:rsid w:val="00EC7783"/>
    <w:rsid w:val="00EC7C10"/>
    <w:rsid w:val="00EC7C52"/>
    <w:rsid w:val="00ED0072"/>
    <w:rsid w:val="00ED0380"/>
    <w:rsid w:val="00ED057C"/>
    <w:rsid w:val="00ED0665"/>
    <w:rsid w:val="00ED070A"/>
    <w:rsid w:val="00ED0813"/>
    <w:rsid w:val="00ED0A61"/>
    <w:rsid w:val="00ED0ABE"/>
    <w:rsid w:val="00ED0AD4"/>
    <w:rsid w:val="00ED0B24"/>
    <w:rsid w:val="00ED0C2D"/>
    <w:rsid w:val="00ED1218"/>
    <w:rsid w:val="00ED127E"/>
    <w:rsid w:val="00ED14E0"/>
    <w:rsid w:val="00ED159A"/>
    <w:rsid w:val="00ED15F8"/>
    <w:rsid w:val="00ED1724"/>
    <w:rsid w:val="00ED1B92"/>
    <w:rsid w:val="00ED1CE6"/>
    <w:rsid w:val="00ED1E85"/>
    <w:rsid w:val="00ED23F7"/>
    <w:rsid w:val="00ED2718"/>
    <w:rsid w:val="00ED278C"/>
    <w:rsid w:val="00ED2CBE"/>
    <w:rsid w:val="00ED3715"/>
    <w:rsid w:val="00ED372B"/>
    <w:rsid w:val="00ED3731"/>
    <w:rsid w:val="00ED383E"/>
    <w:rsid w:val="00ED38CC"/>
    <w:rsid w:val="00ED3A26"/>
    <w:rsid w:val="00ED3DE7"/>
    <w:rsid w:val="00ED3E59"/>
    <w:rsid w:val="00ED3F82"/>
    <w:rsid w:val="00ED41BC"/>
    <w:rsid w:val="00ED4477"/>
    <w:rsid w:val="00ED46FD"/>
    <w:rsid w:val="00ED4D0F"/>
    <w:rsid w:val="00ED519D"/>
    <w:rsid w:val="00ED519F"/>
    <w:rsid w:val="00ED54A5"/>
    <w:rsid w:val="00ED557B"/>
    <w:rsid w:val="00ED5BB4"/>
    <w:rsid w:val="00ED607C"/>
    <w:rsid w:val="00ED62AD"/>
    <w:rsid w:val="00ED6558"/>
    <w:rsid w:val="00ED6825"/>
    <w:rsid w:val="00ED6AAB"/>
    <w:rsid w:val="00ED6E29"/>
    <w:rsid w:val="00ED6E70"/>
    <w:rsid w:val="00ED6FB2"/>
    <w:rsid w:val="00ED70EE"/>
    <w:rsid w:val="00ED728A"/>
    <w:rsid w:val="00ED74A0"/>
    <w:rsid w:val="00ED768D"/>
    <w:rsid w:val="00ED76EB"/>
    <w:rsid w:val="00ED7A54"/>
    <w:rsid w:val="00ED7EF2"/>
    <w:rsid w:val="00ED7FB5"/>
    <w:rsid w:val="00EE015E"/>
    <w:rsid w:val="00EE01B4"/>
    <w:rsid w:val="00EE06B8"/>
    <w:rsid w:val="00EE093C"/>
    <w:rsid w:val="00EE0A98"/>
    <w:rsid w:val="00EE0FA7"/>
    <w:rsid w:val="00EE0FE5"/>
    <w:rsid w:val="00EE1107"/>
    <w:rsid w:val="00EE15F7"/>
    <w:rsid w:val="00EE1A21"/>
    <w:rsid w:val="00EE1D7E"/>
    <w:rsid w:val="00EE1DD4"/>
    <w:rsid w:val="00EE1E2D"/>
    <w:rsid w:val="00EE1FCA"/>
    <w:rsid w:val="00EE221F"/>
    <w:rsid w:val="00EE240C"/>
    <w:rsid w:val="00EE257F"/>
    <w:rsid w:val="00EE2898"/>
    <w:rsid w:val="00EE2A37"/>
    <w:rsid w:val="00EE2F07"/>
    <w:rsid w:val="00EE31FA"/>
    <w:rsid w:val="00EE35B8"/>
    <w:rsid w:val="00EE35F9"/>
    <w:rsid w:val="00EE3984"/>
    <w:rsid w:val="00EE3AFB"/>
    <w:rsid w:val="00EE44AA"/>
    <w:rsid w:val="00EE45C7"/>
    <w:rsid w:val="00EE4967"/>
    <w:rsid w:val="00EE4B2A"/>
    <w:rsid w:val="00EE4EA9"/>
    <w:rsid w:val="00EE500C"/>
    <w:rsid w:val="00EE50CE"/>
    <w:rsid w:val="00EE51FD"/>
    <w:rsid w:val="00EE53B2"/>
    <w:rsid w:val="00EE5626"/>
    <w:rsid w:val="00EE5A27"/>
    <w:rsid w:val="00EE5E05"/>
    <w:rsid w:val="00EE5E6F"/>
    <w:rsid w:val="00EE6BD6"/>
    <w:rsid w:val="00EE7026"/>
    <w:rsid w:val="00EE71E9"/>
    <w:rsid w:val="00EE7464"/>
    <w:rsid w:val="00EE796B"/>
    <w:rsid w:val="00EF01E8"/>
    <w:rsid w:val="00EF03C3"/>
    <w:rsid w:val="00EF0409"/>
    <w:rsid w:val="00EF0728"/>
    <w:rsid w:val="00EF07DB"/>
    <w:rsid w:val="00EF097C"/>
    <w:rsid w:val="00EF09DC"/>
    <w:rsid w:val="00EF0CA3"/>
    <w:rsid w:val="00EF134D"/>
    <w:rsid w:val="00EF150F"/>
    <w:rsid w:val="00EF154C"/>
    <w:rsid w:val="00EF15EA"/>
    <w:rsid w:val="00EF1BE3"/>
    <w:rsid w:val="00EF2817"/>
    <w:rsid w:val="00EF28F7"/>
    <w:rsid w:val="00EF2F28"/>
    <w:rsid w:val="00EF3018"/>
    <w:rsid w:val="00EF3D2D"/>
    <w:rsid w:val="00EF3D62"/>
    <w:rsid w:val="00EF4019"/>
    <w:rsid w:val="00EF4040"/>
    <w:rsid w:val="00EF4045"/>
    <w:rsid w:val="00EF406C"/>
    <w:rsid w:val="00EF408F"/>
    <w:rsid w:val="00EF42E3"/>
    <w:rsid w:val="00EF46FF"/>
    <w:rsid w:val="00EF479B"/>
    <w:rsid w:val="00EF4A48"/>
    <w:rsid w:val="00EF4CE6"/>
    <w:rsid w:val="00EF4CEE"/>
    <w:rsid w:val="00EF4D1C"/>
    <w:rsid w:val="00EF4E9E"/>
    <w:rsid w:val="00EF5073"/>
    <w:rsid w:val="00EF51E9"/>
    <w:rsid w:val="00EF5345"/>
    <w:rsid w:val="00EF53F6"/>
    <w:rsid w:val="00EF5493"/>
    <w:rsid w:val="00EF54BE"/>
    <w:rsid w:val="00EF5BBD"/>
    <w:rsid w:val="00EF5C3C"/>
    <w:rsid w:val="00EF5D1F"/>
    <w:rsid w:val="00EF5D48"/>
    <w:rsid w:val="00EF5D53"/>
    <w:rsid w:val="00EF659C"/>
    <w:rsid w:val="00EF672B"/>
    <w:rsid w:val="00EF69A1"/>
    <w:rsid w:val="00EF745B"/>
    <w:rsid w:val="00EF7478"/>
    <w:rsid w:val="00EF7586"/>
    <w:rsid w:val="00EF75D9"/>
    <w:rsid w:val="00EF771C"/>
    <w:rsid w:val="00EF77BF"/>
    <w:rsid w:val="00EF7967"/>
    <w:rsid w:val="00EF79E8"/>
    <w:rsid w:val="00EF7B48"/>
    <w:rsid w:val="00EF7DA2"/>
    <w:rsid w:val="00F00321"/>
    <w:rsid w:val="00F0042F"/>
    <w:rsid w:val="00F007B0"/>
    <w:rsid w:val="00F007E2"/>
    <w:rsid w:val="00F00869"/>
    <w:rsid w:val="00F0088E"/>
    <w:rsid w:val="00F009A9"/>
    <w:rsid w:val="00F00BE1"/>
    <w:rsid w:val="00F00D32"/>
    <w:rsid w:val="00F00F7E"/>
    <w:rsid w:val="00F011ED"/>
    <w:rsid w:val="00F01222"/>
    <w:rsid w:val="00F01B05"/>
    <w:rsid w:val="00F0211F"/>
    <w:rsid w:val="00F02781"/>
    <w:rsid w:val="00F033E6"/>
    <w:rsid w:val="00F03562"/>
    <w:rsid w:val="00F03585"/>
    <w:rsid w:val="00F03607"/>
    <w:rsid w:val="00F03A9F"/>
    <w:rsid w:val="00F03B47"/>
    <w:rsid w:val="00F03B6D"/>
    <w:rsid w:val="00F03E2B"/>
    <w:rsid w:val="00F03EC1"/>
    <w:rsid w:val="00F03EF2"/>
    <w:rsid w:val="00F04173"/>
    <w:rsid w:val="00F042CA"/>
    <w:rsid w:val="00F042CD"/>
    <w:rsid w:val="00F04351"/>
    <w:rsid w:val="00F04523"/>
    <w:rsid w:val="00F04688"/>
    <w:rsid w:val="00F04D54"/>
    <w:rsid w:val="00F054FF"/>
    <w:rsid w:val="00F0551E"/>
    <w:rsid w:val="00F0554E"/>
    <w:rsid w:val="00F058BE"/>
    <w:rsid w:val="00F0591D"/>
    <w:rsid w:val="00F061F0"/>
    <w:rsid w:val="00F0644D"/>
    <w:rsid w:val="00F064C1"/>
    <w:rsid w:val="00F065EA"/>
    <w:rsid w:val="00F06736"/>
    <w:rsid w:val="00F067B6"/>
    <w:rsid w:val="00F0685E"/>
    <w:rsid w:val="00F06AF0"/>
    <w:rsid w:val="00F06C2C"/>
    <w:rsid w:val="00F06D6F"/>
    <w:rsid w:val="00F06EFB"/>
    <w:rsid w:val="00F06FD9"/>
    <w:rsid w:val="00F07593"/>
    <w:rsid w:val="00F076D4"/>
    <w:rsid w:val="00F0789C"/>
    <w:rsid w:val="00F07B43"/>
    <w:rsid w:val="00F07B9E"/>
    <w:rsid w:val="00F07EA8"/>
    <w:rsid w:val="00F1052C"/>
    <w:rsid w:val="00F109B0"/>
    <w:rsid w:val="00F1139F"/>
    <w:rsid w:val="00F11400"/>
    <w:rsid w:val="00F114FE"/>
    <w:rsid w:val="00F115CF"/>
    <w:rsid w:val="00F11CC4"/>
    <w:rsid w:val="00F11F09"/>
    <w:rsid w:val="00F12165"/>
    <w:rsid w:val="00F12341"/>
    <w:rsid w:val="00F124F7"/>
    <w:rsid w:val="00F1258B"/>
    <w:rsid w:val="00F1266D"/>
    <w:rsid w:val="00F12B3D"/>
    <w:rsid w:val="00F12C40"/>
    <w:rsid w:val="00F12CC5"/>
    <w:rsid w:val="00F12DAE"/>
    <w:rsid w:val="00F132CC"/>
    <w:rsid w:val="00F13341"/>
    <w:rsid w:val="00F13483"/>
    <w:rsid w:val="00F13934"/>
    <w:rsid w:val="00F13935"/>
    <w:rsid w:val="00F13ABB"/>
    <w:rsid w:val="00F14B8A"/>
    <w:rsid w:val="00F14C1E"/>
    <w:rsid w:val="00F14E20"/>
    <w:rsid w:val="00F14EB7"/>
    <w:rsid w:val="00F15BFD"/>
    <w:rsid w:val="00F163E4"/>
    <w:rsid w:val="00F1667F"/>
    <w:rsid w:val="00F16919"/>
    <w:rsid w:val="00F1695A"/>
    <w:rsid w:val="00F16DD3"/>
    <w:rsid w:val="00F17015"/>
    <w:rsid w:val="00F170A2"/>
    <w:rsid w:val="00F172CE"/>
    <w:rsid w:val="00F17771"/>
    <w:rsid w:val="00F17E3F"/>
    <w:rsid w:val="00F2029C"/>
    <w:rsid w:val="00F20A47"/>
    <w:rsid w:val="00F20A6B"/>
    <w:rsid w:val="00F20AB7"/>
    <w:rsid w:val="00F20DB9"/>
    <w:rsid w:val="00F21204"/>
    <w:rsid w:val="00F213B4"/>
    <w:rsid w:val="00F21928"/>
    <w:rsid w:val="00F21A15"/>
    <w:rsid w:val="00F21B60"/>
    <w:rsid w:val="00F21B6E"/>
    <w:rsid w:val="00F220C9"/>
    <w:rsid w:val="00F23AEB"/>
    <w:rsid w:val="00F23C73"/>
    <w:rsid w:val="00F23DA9"/>
    <w:rsid w:val="00F2402D"/>
    <w:rsid w:val="00F24465"/>
    <w:rsid w:val="00F247D6"/>
    <w:rsid w:val="00F24B04"/>
    <w:rsid w:val="00F24B52"/>
    <w:rsid w:val="00F24BDD"/>
    <w:rsid w:val="00F24D3F"/>
    <w:rsid w:val="00F24F72"/>
    <w:rsid w:val="00F252CD"/>
    <w:rsid w:val="00F2558C"/>
    <w:rsid w:val="00F25C43"/>
    <w:rsid w:val="00F25DF3"/>
    <w:rsid w:val="00F263EB"/>
    <w:rsid w:val="00F26533"/>
    <w:rsid w:val="00F26576"/>
    <w:rsid w:val="00F26584"/>
    <w:rsid w:val="00F26908"/>
    <w:rsid w:val="00F26D05"/>
    <w:rsid w:val="00F26F6B"/>
    <w:rsid w:val="00F270A7"/>
    <w:rsid w:val="00F272EC"/>
    <w:rsid w:val="00F274F5"/>
    <w:rsid w:val="00F27649"/>
    <w:rsid w:val="00F277F3"/>
    <w:rsid w:val="00F27A31"/>
    <w:rsid w:val="00F27ABF"/>
    <w:rsid w:val="00F27D17"/>
    <w:rsid w:val="00F27E4E"/>
    <w:rsid w:val="00F27E55"/>
    <w:rsid w:val="00F27F0D"/>
    <w:rsid w:val="00F30057"/>
    <w:rsid w:val="00F30129"/>
    <w:rsid w:val="00F30215"/>
    <w:rsid w:val="00F3040A"/>
    <w:rsid w:val="00F3046C"/>
    <w:rsid w:val="00F3057A"/>
    <w:rsid w:val="00F30A9E"/>
    <w:rsid w:val="00F30F3F"/>
    <w:rsid w:val="00F31769"/>
    <w:rsid w:val="00F3196C"/>
    <w:rsid w:val="00F31A77"/>
    <w:rsid w:val="00F31E41"/>
    <w:rsid w:val="00F32106"/>
    <w:rsid w:val="00F3222E"/>
    <w:rsid w:val="00F32618"/>
    <w:rsid w:val="00F326C3"/>
    <w:rsid w:val="00F326F3"/>
    <w:rsid w:val="00F3272E"/>
    <w:rsid w:val="00F32C6E"/>
    <w:rsid w:val="00F32CD5"/>
    <w:rsid w:val="00F32E22"/>
    <w:rsid w:val="00F32F73"/>
    <w:rsid w:val="00F3312E"/>
    <w:rsid w:val="00F3357E"/>
    <w:rsid w:val="00F335B1"/>
    <w:rsid w:val="00F338EB"/>
    <w:rsid w:val="00F33C4D"/>
    <w:rsid w:val="00F34169"/>
    <w:rsid w:val="00F3443D"/>
    <w:rsid w:val="00F3469A"/>
    <w:rsid w:val="00F34A56"/>
    <w:rsid w:val="00F34F97"/>
    <w:rsid w:val="00F3509E"/>
    <w:rsid w:val="00F35131"/>
    <w:rsid w:val="00F3527A"/>
    <w:rsid w:val="00F35281"/>
    <w:rsid w:val="00F35305"/>
    <w:rsid w:val="00F354C9"/>
    <w:rsid w:val="00F357FC"/>
    <w:rsid w:val="00F36187"/>
    <w:rsid w:val="00F363B1"/>
    <w:rsid w:val="00F363E6"/>
    <w:rsid w:val="00F36866"/>
    <w:rsid w:val="00F36B16"/>
    <w:rsid w:val="00F36E28"/>
    <w:rsid w:val="00F36FB8"/>
    <w:rsid w:val="00F37024"/>
    <w:rsid w:val="00F372A9"/>
    <w:rsid w:val="00F374E4"/>
    <w:rsid w:val="00F37534"/>
    <w:rsid w:val="00F37BF7"/>
    <w:rsid w:val="00F37C15"/>
    <w:rsid w:val="00F37CC3"/>
    <w:rsid w:val="00F37F31"/>
    <w:rsid w:val="00F37FA5"/>
    <w:rsid w:val="00F4007F"/>
    <w:rsid w:val="00F406A3"/>
    <w:rsid w:val="00F40726"/>
    <w:rsid w:val="00F4186C"/>
    <w:rsid w:val="00F41B8D"/>
    <w:rsid w:val="00F41C6B"/>
    <w:rsid w:val="00F42403"/>
    <w:rsid w:val="00F4244C"/>
    <w:rsid w:val="00F426F1"/>
    <w:rsid w:val="00F4275A"/>
    <w:rsid w:val="00F427C6"/>
    <w:rsid w:val="00F427F2"/>
    <w:rsid w:val="00F42920"/>
    <w:rsid w:val="00F42B0F"/>
    <w:rsid w:val="00F42EFF"/>
    <w:rsid w:val="00F433BC"/>
    <w:rsid w:val="00F437C0"/>
    <w:rsid w:val="00F439B9"/>
    <w:rsid w:val="00F43E5B"/>
    <w:rsid w:val="00F43FF1"/>
    <w:rsid w:val="00F44041"/>
    <w:rsid w:val="00F4411C"/>
    <w:rsid w:val="00F4412F"/>
    <w:rsid w:val="00F4453E"/>
    <w:rsid w:val="00F44697"/>
    <w:rsid w:val="00F44739"/>
    <w:rsid w:val="00F447F7"/>
    <w:rsid w:val="00F449B7"/>
    <w:rsid w:val="00F44CD9"/>
    <w:rsid w:val="00F44E1C"/>
    <w:rsid w:val="00F45044"/>
    <w:rsid w:val="00F450FD"/>
    <w:rsid w:val="00F45524"/>
    <w:rsid w:val="00F457E0"/>
    <w:rsid w:val="00F45A22"/>
    <w:rsid w:val="00F45A9D"/>
    <w:rsid w:val="00F45D94"/>
    <w:rsid w:val="00F45E97"/>
    <w:rsid w:val="00F45ECA"/>
    <w:rsid w:val="00F45F11"/>
    <w:rsid w:val="00F464D1"/>
    <w:rsid w:val="00F465A7"/>
    <w:rsid w:val="00F465D8"/>
    <w:rsid w:val="00F46607"/>
    <w:rsid w:val="00F46844"/>
    <w:rsid w:val="00F468A2"/>
    <w:rsid w:val="00F468C8"/>
    <w:rsid w:val="00F4693C"/>
    <w:rsid w:val="00F46B97"/>
    <w:rsid w:val="00F46E24"/>
    <w:rsid w:val="00F46EE4"/>
    <w:rsid w:val="00F46FAF"/>
    <w:rsid w:val="00F47049"/>
    <w:rsid w:val="00F474DB"/>
    <w:rsid w:val="00F47BDF"/>
    <w:rsid w:val="00F502C8"/>
    <w:rsid w:val="00F505BD"/>
    <w:rsid w:val="00F506D0"/>
    <w:rsid w:val="00F506E7"/>
    <w:rsid w:val="00F50AC5"/>
    <w:rsid w:val="00F50AE5"/>
    <w:rsid w:val="00F50C9C"/>
    <w:rsid w:val="00F50F88"/>
    <w:rsid w:val="00F50FCF"/>
    <w:rsid w:val="00F5104D"/>
    <w:rsid w:val="00F512C1"/>
    <w:rsid w:val="00F516A1"/>
    <w:rsid w:val="00F517A0"/>
    <w:rsid w:val="00F51852"/>
    <w:rsid w:val="00F5192F"/>
    <w:rsid w:val="00F51CA3"/>
    <w:rsid w:val="00F51D81"/>
    <w:rsid w:val="00F51E87"/>
    <w:rsid w:val="00F522A4"/>
    <w:rsid w:val="00F522D5"/>
    <w:rsid w:val="00F527F1"/>
    <w:rsid w:val="00F5308A"/>
    <w:rsid w:val="00F530A9"/>
    <w:rsid w:val="00F530C0"/>
    <w:rsid w:val="00F534E7"/>
    <w:rsid w:val="00F53848"/>
    <w:rsid w:val="00F5384C"/>
    <w:rsid w:val="00F53919"/>
    <w:rsid w:val="00F53A90"/>
    <w:rsid w:val="00F5435B"/>
    <w:rsid w:val="00F548CA"/>
    <w:rsid w:val="00F54C02"/>
    <w:rsid w:val="00F54CF4"/>
    <w:rsid w:val="00F55703"/>
    <w:rsid w:val="00F55A37"/>
    <w:rsid w:val="00F55D8C"/>
    <w:rsid w:val="00F55DBF"/>
    <w:rsid w:val="00F56163"/>
    <w:rsid w:val="00F5640E"/>
    <w:rsid w:val="00F565EB"/>
    <w:rsid w:val="00F5673A"/>
    <w:rsid w:val="00F5684D"/>
    <w:rsid w:val="00F56A68"/>
    <w:rsid w:val="00F56C0D"/>
    <w:rsid w:val="00F56DE8"/>
    <w:rsid w:val="00F56E0E"/>
    <w:rsid w:val="00F56E96"/>
    <w:rsid w:val="00F56F71"/>
    <w:rsid w:val="00F578DB"/>
    <w:rsid w:val="00F5795D"/>
    <w:rsid w:val="00F57CF9"/>
    <w:rsid w:val="00F57E5E"/>
    <w:rsid w:val="00F57E71"/>
    <w:rsid w:val="00F6041C"/>
    <w:rsid w:val="00F608BD"/>
    <w:rsid w:val="00F60A51"/>
    <w:rsid w:val="00F60B0C"/>
    <w:rsid w:val="00F60B61"/>
    <w:rsid w:val="00F60EE1"/>
    <w:rsid w:val="00F60F32"/>
    <w:rsid w:val="00F61224"/>
    <w:rsid w:val="00F61BD2"/>
    <w:rsid w:val="00F61D7A"/>
    <w:rsid w:val="00F61D9E"/>
    <w:rsid w:val="00F6226A"/>
    <w:rsid w:val="00F62323"/>
    <w:rsid w:val="00F628C1"/>
    <w:rsid w:val="00F629C0"/>
    <w:rsid w:val="00F62A7C"/>
    <w:rsid w:val="00F6301E"/>
    <w:rsid w:val="00F6373D"/>
    <w:rsid w:val="00F639F6"/>
    <w:rsid w:val="00F63AAD"/>
    <w:rsid w:val="00F646D7"/>
    <w:rsid w:val="00F648BC"/>
    <w:rsid w:val="00F64FF8"/>
    <w:rsid w:val="00F6503B"/>
    <w:rsid w:val="00F65157"/>
    <w:rsid w:val="00F65243"/>
    <w:rsid w:val="00F653D4"/>
    <w:rsid w:val="00F65B92"/>
    <w:rsid w:val="00F65D07"/>
    <w:rsid w:val="00F65EA8"/>
    <w:rsid w:val="00F663D8"/>
    <w:rsid w:val="00F6647E"/>
    <w:rsid w:val="00F668B4"/>
    <w:rsid w:val="00F66ECD"/>
    <w:rsid w:val="00F66F94"/>
    <w:rsid w:val="00F67286"/>
    <w:rsid w:val="00F6733E"/>
    <w:rsid w:val="00F67565"/>
    <w:rsid w:val="00F676ED"/>
    <w:rsid w:val="00F67742"/>
    <w:rsid w:val="00F67CCC"/>
    <w:rsid w:val="00F67F98"/>
    <w:rsid w:val="00F700FD"/>
    <w:rsid w:val="00F70211"/>
    <w:rsid w:val="00F70544"/>
    <w:rsid w:val="00F70833"/>
    <w:rsid w:val="00F7097B"/>
    <w:rsid w:val="00F70B29"/>
    <w:rsid w:val="00F70BBE"/>
    <w:rsid w:val="00F70E87"/>
    <w:rsid w:val="00F711F6"/>
    <w:rsid w:val="00F714AC"/>
    <w:rsid w:val="00F717AD"/>
    <w:rsid w:val="00F71FC5"/>
    <w:rsid w:val="00F72081"/>
    <w:rsid w:val="00F7271C"/>
    <w:rsid w:val="00F729BB"/>
    <w:rsid w:val="00F72C7B"/>
    <w:rsid w:val="00F72CA8"/>
    <w:rsid w:val="00F72D96"/>
    <w:rsid w:val="00F72E7E"/>
    <w:rsid w:val="00F730E0"/>
    <w:rsid w:val="00F73134"/>
    <w:rsid w:val="00F731A1"/>
    <w:rsid w:val="00F73283"/>
    <w:rsid w:val="00F73387"/>
    <w:rsid w:val="00F735FA"/>
    <w:rsid w:val="00F73808"/>
    <w:rsid w:val="00F738AB"/>
    <w:rsid w:val="00F73C10"/>
    <w:rsid w:val="00F73DA8"/>
    <w:rsid w:val="00F73F10"/>
    <w:rsid w:val="00F74074"/>
    <w:rsid w:val="00F7409E"/>
    <w:rsid w:val="00F740F1"/>
    <w:rsid w:val="00F743DE"/>
    <w:rsid w:val="00F743F7"/>
    <w:rsid w:val="00F7443D"/>
    <w:rsid w:val="00F74520"/>
    <w:rsid w:val="00F7459D"/>
    <w:rsid w:val="00F7460C"/>
    <w:rsid w:val="00F74BD4"/>
    <w:rsid w:val="00F74D5B"/>
    <w:rsid w:val="00F752A9"/>
    <w:rsid w:val="00F7569B"/>
    <w:rsid w:val="00F75878"/>
    <w:rsid w:val="00F758A7"/>
    <w:rsid w:val="00F75A47"/>
    <w:rsid w:val="00F7654B"/>
    <w:rsid w:val="00F76BD1"/>
    <w:rsid w:val="00F76E3B"/>
    <w:rsid w:val="00F76E53"/>
    <w:rsid w:val="00F770E5"/>
    <w:rsid w:val="00F7715B"/>
    <w:rsid w:val="00F7748A"/>
    <w:rsid w:val="00F775F0"/>
    <w:rsid w:val="00F77693"/>
    <w:rsid w:val="00F777CC"/>
    <w:rsid w:val="00F77A06"/>
    <w:rsid w:val="00F80038"/>
    <w:rsid w:val="00F805C3"/>
    <w:rsid w:val="00F80718"/>
    <w:rsid w:val="00F80796"/>
    <w:rsid w:val="00F808FD"/>
    <w:rsid w:val="00F81130"/>
    <w:rsid w:val="00F815DB"/>
    <w:rsid w:val="00F8174C"/>
    <w:rsid w:val="00F81778"/>
    <w:rsid w:val="00F81A07"/>
    <w:rsid w:val="00F81ADD"/>
    <w:rsid w:val="00F81CAE"/>
    <w:rsid w:val="00F81D47"/>
    <w:rsid w:val="00F81E71"/>
    <w:rsid w:val="00F81EE8"/>
    <w:rsid w:val="00F81FCA"/>
    <w:rsid w:val="00F82161"/>
    <w:rsid w:val="00F827F5"/>
    <w:rsid w:val="00F82FCD"/>
    <w:rsid w:val="00F82FCE"/>
    <w:rsid w:val="00F831D0"/>
    <w:rsid w:val="00F835F0"/>
    <w:rsid w:val="00F8379A"/>
    <w:rsid w:val="00F83B51"/>
    <w:rsid w:val="00F84442"/>
    <w:rsid w:val="00F84A69"/>
    <w:rsid w:val="00F84BA1"/>
    <w:rsid w:val="00F8523D"/>
    <w:rsid w:val="00F85366"/>
    <w:rsid w:val="00F85424"/>
    <w:rsid w:val="00F85510"/>
    <w:rsid w:val="00F85C2A"/>
    <w:rsid w:val="00F85CA3"/>
    <w:rsid w:val="00F85DEB"/>
    <w:rsid w:val="00F85FA8"/>
    <w:rsid w:val="00F85FD1"/>
    <w:rsid w:val="00F86099"/>
    <w:rsid w:val="00F86388"/>
    <w:rsid w:val="00F8684F"/>
    <w:rsid w:val="00F87174"/>
    <w:rsid w:val="00F875AA"/>
    <w:rsid w:val="00F875BC"/>
    <w:rsid w:val="00F878FC"/>
    <w:rsid w:val="00F879C2"/>
    <w:rsid w:val="00F879D1"/>
    <w:rsid w:val="00F87C89"/>
    <w:rsid w:val="00F87DB9"/>
    <w:rsid w:val="00F902F4"/>
    <w:rsid w:val="00F90601"/>
    <w:rsid w:val="00F906BC"/>
    <w:rsid w:val="00F90717"/>
    <w:rsid w:val="00F911F0"/>
    <w:rsid w:val="00F9127A"/>
    <w:rsid w:val="00F91857"/>
    <w:rsid w:val="00F91E1E"/>
    <w:rsid w:val="00F920A3"/>
    <w:rsid w:val="00F92975"/>
    <w:rsid w:val="00F929F4"/>
    <w:rsid w:val="00F92AD3"/>
    <w:rsid w:val="00F92EAC"/>
    <w:rsid w:val="00F9338C"/>
    <w:rsid w:val="00F93522"/>
    <w:rsid w:val="00F935D9"/>
    <w:rsid w:val="00F93B01"/>
    <w:rsid w:val="00F94370"/>
    <w:rsid w:val="00F943F8"/>
    <w:rsid w:val="00F9467B"/>
    <w:rsid w:val="00F946E0"/>
    <w:rsid w:val="00F949D2"/>
    <w:rsid w:val="00F94E9B"/>
    <w:rsid w:val="00F95110"/>
    <w:rsid w:val="00F9528B"/>
    <w:rsid w:val="00F9555B"/>
    <w:rsid w:val="00F9577A"/>
    <w:rsid w:val="00F95BC8"/>
    <w:rsid w:val="00F95C97"/>
    <w:rsid w:val="00F95D95"/>
    <w:rsid w:val="00F96223"/>
    <w:rsid w:val="00F966D1"/>
    <w:rsid w:val="00F96885"/>
    <w:rsid w:val="00F96AFC"/>
    <w:rsid w:val="00F96DC0"/>
    <w:rsid w:val="00F9704A"/>
    <w:rsid w:val="00F97483"/>
    <w:rsid w:val="00F9785F"/>
    <w:rsid w:val="00F97BE1"/>
    <w:rsid w:val="00F97E82"/>
    <w:rsid w:val="00FA0203"/>
    <w:rsid w:val="00FA0758"/>
    <w:rsid w:val="00FA093B"/>
    <w:rsid w:val="00FA117B"/>
    <w:rsid w:val="00FA1199"/>
    <w:rsid w:val="00FA121A"/>
    <w:rsid w:val="00FA1836"/>
    <w:rsid w:val="00FA18A2"/>
    <w:rsid w:val="00FA18D9"/>
    <w:rsid w:val="00FA1D48"/>
    <w:rsid w:val="00FA22FB"/>
    <w:rsid w:val="00FA2455"/>
    <w:rsid w:val="00FA25BB"/>
    <w:rsid w:val="00FA2648"/>
    <w:rsid w:val="00FA2BDC"/>
    <w:rsid w:val="00FA2C00"/>
    <w:rsid w:val="00FA2C45"/>
    <w:rsid w:val="00FA2EA4"/>
    <w:rsid w:val="00FA2F38"/>
    <w:rsid w:val="00FA2FFF"/>
    <w:rsid w:val="00FA32D6"/>
    <w:rsid w:val="00FA37A8"/>
    <w:rsid w:val="00FA3828"/>
    <w:rsid w:val="00FA39C5"/>
    <w:rsid w:val="00FA39D4"/>
    <w:rsid w:val="00FA3F21"/>
    <w:rsid w:val="00FA4105"/>
    <w:rsid w:val="00FA417D"/>
    <w:rsid w:val="00FA423C"/>
    <w:rsid w:val="00FA42D7"/>
    <w:rsid w:val="00FA4327"/>
    <w:rsid w:val="00FA43A8"/>
    <w:rsid w:val="00FA4658"/>
    <w:rsid w:val="00FA4679"/>
    <w:rsid w:val="00FA4C20"/>
    <w:rsid w:val="00FA4F92"/>
    <w:rsid w:val="00FA4FA2"/>
    <w:rsid w:val="00FA53B6"/>
    <w:rsid w:val="00FA55CD"/>
    <w:rsid w:val="00FA56C4"/>
    <w:rsid w:val="00FA5AFB"/>
    <w:rsid w:val="00FA5BCB"/>
    <w:rsid w:val="00FA672A"/>
    <w:rsid w:val="00FA6FED"/>
    <w:rsid w:val="00FA737B"/>
    <w:rsid w:val="00FA7517"/>
    <w:rsid w:val="00FA7639"/>
    <w:rsid w:val="00FA7736"/>
    <w:rsid w:val="00FA7F48"/>
    <w:rsid w:val="00FB001C"/>
    <w:rsid w:val="00FB017C"/>
    <w:rsid w:val="00FB05F9"/>
    <w:rsid w:val="00FB05FA"/>
    <w:rsid w:val="00FB0A46"/>
    <w:rsid w:val="00FB0C5F"/>
    <w:rsid w:val="00FB0E57"/>
    <w:rsid w:val="00FB0EDF"/>
    <w:rsid w:val="00FB1753"/>
    <w:rsid w:val="00FB1A2F"/>
    <w:rsid w:val="00FB1ABA"/>
    <w:rsid w:val="00FB1BDE"/>
    <w:rsid w:val="00FB1D59"/>
    <w:rsid w:val="00FB1F78"/>
    <w:rsid w:val="00FB2379"/>
    <w:rsid w:val="00FB23CA"/>
    <w:rsid w:val="00FB24D8"/>
    <w:rsid w:val="00FB2649"/>
    <w:rsid w:val="00FB2690"/>
    <w:rsid w:val="00FB2EC3"/>
    <w:rsid w:val="00FB388E"/>
    <w:rsid w:val="00FB3A6D"/>
    <w:rsid w:val="00FB3B70"/>
    <w:rsid w:val="00FB4012"/>
    <w:rsid w:val="00FB41B3"/>
    <w:rsid w:val="00FB44FD"/>
    <w:rsid w:val="00FB48F7"/>
    <w:rsid w:val="00FB495F"/>
    <w:rsid w:val="00FB49E0"/>
    <w:rsid w:val="00FB4B7A"/>
    <w:rsid w:val="00FB4C6A"/>
    <w:rsid w:val="00FB4E32"/>
    <w:rsid w:val="00FB4FB3"/>
    <w:rsid w:val="00FB4FD2"/>
    <w:rsid w:val="00FB52F1"/>
    <w:rsid w:val="00FB536C"/>
    <w:rsid w:val="00FB5382"/>
    <w:rsid w:val="00FB586A"/>
    <w:rsid w:val="00FB587C"/>
    <w:rsid w:val="00FB5884"/>
    <w:rsid w:val="00FB5B1D"/>
    <w:rsid w:val="00FB5C6E"/>
    <w:rsid w:val="00FB5D50"/>
    <w:rsid w:val="00FB5E0D"/>
    <w:rsid w:val="00FB64F8"/>
    <w:rsid w:val="00FB659E"/>
    <w:rsid w:val="00FB6886"/>
    <w:rsid w:val="00FB7010"/>
    <w:rsid w:val="00FB70D7"/>
    <w:rsid w:val="00FB72C7"/>
    <w:rsid w:val="00FB735C"/>
    <w:rsid w:val="00FB755C"/>
    <w:rsid w:val="00FB75E1"/>
    <w:rsid w:val="00FC0087"/>
    <w:rsid w:val="00FC0264"/>
    <w:rsid w:val="00FC04F2"/>
    <w:rsid w:val="00FC071E"/>
    <w:rsid w:val="00FC0771"/>
    <w:rsid w:val="00FC09D5"/>
    <w:rsid w:val="00FC0A63"/>
    <w:rsid w:val="00FC0D85"/>
    <w:rsid w:val="00FC11F1"/>
    <w:rsid w:val="00FC17CB"/>
    <w:rsid w:val="00FC1A6A"/>
    <w:rsid w:val="00FC1FC8"/>
    <w:rsid w:val="00FC2143"/>
    <w:rsid w:val="00FC2147"/>
    <w:rsid w:val="00FC237B"/>
    <w:rsid w:val="00FC2747"/>
    <w:rsid w:val="00FC2A3D"/>
    <w:rsid w:val="00FC347E"/>
    <w:rsid w:val="00FC3597"/>
    <w:rsid w:val="00FC36A2"/>
    <w:rsid w:val="00FC38D5"/>
    <w:rsid w:val="00FC38D9"/>
    <w:rsid w:val="00FC390A"/>
    <w:rsid w:val="00FC43F7"/>
    <w:rsid w:val="00FC44A1"/>
    <w:rsid w:val="00FC451F"/>
    <w:rsid w:val="00FC470E"/>
    <w:rsid w:val="00FC485B"/>
    <w:rsid w:val="00FC4A1C"/>
    <w:rsid w:val="00FC4AEB"/>
    <w:rsid w:val="00FC4F81"/>
    <w:rsid w:val="00FC5087"/>
    <w:rsid w:val="00FC573F"/>
    <w:rsid w:val="00FC5F75"/>
    <w:rsid w:val="00FC6284"/>
    <w:rsid w:val="00FC636A"/>
    <w:rsid w:val="00FC68E3"/>
    <w:rsid w:val="00FC6FDC"/>
    <w:rsid w:val="00FC6FF5"/>
    <w:rsid w:val="00FC7162"/>
    <w:rsid w:val="00FC7B06"/>
    <w:rsid w:val="00FC7BA4"/>
    <w:rsid w:val="00FC7CC3"/>
    <w:rsid w:val="00FC7D53"/>
    <w:rsid w:val="00FD0838"/>
    <w:rsid w:val="00FD12AF"/>
    <w:rsid w:val="00FD14FB"/>
    <w:rsid w:val="00FD17E1"/>
    <w:rsid w:val="00FD18E4"/>
    <w:rsid w:val="00FD19E7"/>
    <w:rsid w:val="00FD1E11"/>
    <w:rsid w:val="00FD2178"/>
    <w:rsid w:val="00FD2315"/>
    <w:rsid w:val="00FD2395"/>
    <w:rsid w:val="00FD24F8"/>
    <w:rsid w:val="00FD26DD"/>
    <w:rsid w:val="00FD271F"/>
    <w:rsid w:val="00FD2943"/>
    <w:rsid w:val="00FD29DE"/>
    <w:rsid w:val="00FD2B6E"/>
    <w:rsid w:val="00FD32BB"/>
    <w:rsid w:val="00FD362F"/>
    <w:rsid w:val="00FD376E"/>
    <w:rsid w:val="00FD3899"/>
    <w:rsid w:val="00FD389A"/>
    <w:rsid w:val="00FD3AE5"/>
    <w:rsid w:val="00FD3F98"/>
    <w:rsid w:val="00FD44B1"/>
    <w:rsid w:val="00FD4507"/>
    <w:rsid w:val="00FD4A33"/>
    <w:rsid w:val="00FD4A70"/>
    <w:rsid w:val="00FD4BAF"/>
    <w:rsid w:val="00FD576C"/>
    <w:rsid w:val="00FD5779"/>
    <w:rsid w:val="00FD57E9"/>
    <w:rsid w:val="00FD5A79"/>
    <w:rsid w:val="00FD604D"/>
    <w:rsid w:val="00FD60E1"/>
    <w:rsid w:val="00FD621A"/>
    <w:rsid w:val="00FD6491"/>
    <w:rsid w:val="00FD6680"/>
    <w:rsid w:val="00FD67B8"/>
    <w:rsid w:val="00FD684D"/>
    <w:rsid w:val="00FD6A3A"/>
    <w:rsid w:val="00FD700A"/>
    <w:rsid w:val="00FD72F7"/>
    <w:rsid w:val="00FD73D3"/>
    <w:rsid w:val="00FD74BE"/>
    <w:rsid w:val="00FD755B"/>
    <w:rsid w:val="00FD7994"/>
    <w:rsid w:val="00FD7BA4"/>
    <w:rsid w:val="00FD7BB2"/>
    <w:rsid w:val="00FD7D2E"/>
    <w:rsid w:val="00FE069D"/>
    <w:rsid w:val="00FE0CF8"/>
    <w:rsid w:val="00FE0DB2"/>
    <w:rsid w:val="00FE1031"/>
    <w:rsid w:val="00FE1281"/>
    <w:rsid w:val="00FE1501"/>
    <w:rsid w:val="00FE1640"/>
    <w:rsid w:val="00FE167F"/>
    <w:rsid w:val="00FE1C03"/>
    <w:rsid w:val="00FE1F0F"/>
    <w:rsid w:val="00FE207A"/>
    <w:rsid w:val="00FE20B5"/>
    <w:rsid w:val="00FE2172"/>
    <w:rsid w:val="00FE23A4"/>
    <w:rsid w:val="00FE2595"/>
    <w:rsid w:val="00FE25FA"/>
    <w:rsid w:val="00FE27B0"/>
    <w:rsid w:val="00FE27BA"/>
    <w:rsid w:val="00FE303E"/>
    <w:rsid w:val="00FE3204"/>
    <w:rsid w:val="00FE3888"/>
    <w:rsid w:val="00FE389B"/>
    <w:rsid w:val="00FE41BE"/>
    <w:rsid w:val="00FE4229"/>
    <w:rsid w:val="00FE4293"/>
    <w:rsid w:val="00FE4FE7"/>
    <w:rsid w:val="00FE51C7"/>
    <w:rsid w:val="00FE53C0"/>
    <w:rsid w:val="00FE55B5"/>
    <w:rsid w:val="00FE58AB"/>
    <w:rsid w:val="00FE5B6A"/>
    <w:rsid w:val="00FE5EF9"/>
    <w:rsid w:val="00FE5FF2"/>
    <w:rsid w:val="00FE60C8"/>
    <w:rsid w:val="00FE61A7"/>
    <w:rsid w:val="00FE620A"/>
    <w:rsid w:val="00FE6582"/>
    <w:rsid w:val="00FE6AAC"/>
    <w:rsid w:val="00FE6BED"/>
    <w:rsid w:val="00FE6C77"/>
    <w:rsid w:val="00FE6D36"/>
    <w:rsid w:val="00FE6DBA"/>
    <w:rsid w:val="00FE6DE2"/>
    <w:rsid w:val="00FE7039"/>
    <w:rsid w:val="00FE7094"/>
    <w:rsid w:val="00FE7132"/>
    <w:rsid w:val="00FE7184"/>
    <w:rsid w:val="00FE7472"/>
    <w:rsid w:val="00FE79DD"/>
    <w:rsid w:val="00FE7CC3"/>
    <w:rsid w:val="00FE7CF4"/>
    <w:rsid w:val="00FE7DAA"/>
    <w:rsid w:val="00FF0142"/>
    <w:rsid w:val="00FF06B4"/>
    <w:rsid w:val="00FF08BD"/>
    <w:rsid w:val="00FF0F73"/>
    <w:rsid w:val="00FF0FDF"/>
    <w:rsid w:val="00FF10FD"/>
    <w:rsid w:val="00FF11CC"/>
    <w:rsid w:val="00FF122D"/>
    <w:rsid w:val="00FF12F7"/>
    <w:rsid w:val="00FF1402"/>
    <w:rsid w:val="00FF19AD"/>
    <w:rsid w:val="00FF1DD4"/>
    <w:rsid w:val="00FF209C"/>
    <w:rsid w:val="00FF20AD"/>
    <w:rsid w:val="00FF22B7"/>
    <w:rsid w:val="00FF3169"/>
    <w:rsid w:val="00FF33D5"/>
    <w:rsid w:val="00FF38E3"/>
    <w:rsid w:val="00FF41E8"/>
    <w:rsid w:val="00FF43D6"/>
    <w:rsid w:val="00FF44E8"/>
    <w:rsid w:val="00FF45D6"/>
    <w:rsid w:val="00FF471D"/>
    <w:rsid w:val="00FF49CA"/>
    <w:rsid w:val="00FF49D2"/>
    <w:rsid w:val="00FF4A17"/>
    <w:rsid w:val="00FF4B68"/>
    <w:rsid w:val="00FF4CC4"/>
    <w:rsid w:val="00FF4D06"/>
    <w:rsid w:val="00FF4EBF"/>
    <w:rsid w:val="00FF4EDF"/>
    <w:rsid w:val="00FF4F15"/>
    <w:rsid w:val="00FF50D1"/>
    <w:rsid w:val="00FF51C3"/>
    <w:rsid w:val="00FF5394"/>
    <w:rsid w:val="00FF542D"/>
    <w:rsid w:val="00FF5586"/>
    <w:rsid w:val="00FF57B4"/>
    <w:rsid w:val="00FF6173"/>
    <w:rsid w:val="00FF64A0"/>
    <w:rsid w:val="00FF64BB"/>
    <w:rsid w:val="00FF69E5"/>
    <w:rsid w:val="00FF6AC3"/>
    <w:rsid w:val="00FF6E58"/>
    <w:rsid w:val="00FF6EAF"/>
    <w:rsid w:val="00FF7014"/>
    <w:rsid w:val="00FF70E3"/>
    <w:rsid w:val="00FF7318"/>
    <w:rsid w:val="00FF73A0"/>
    <w:rsid w:val="00FF73AE"/>
    <w:rsid w:val="00FF7666"/>
    <w:rsid w:val="00FF7807"/>
    <w:rsid w:val="00FF7A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chartTrackingRefBased/>
  <w15:docId w15:val="{559C5CD3-D0AB-4395-82AA-0EA88B42F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yOGESH"/>
    <w:qFormat/>
    <w:rsid w:val="00C50CE1"/>
    <w:pPr>
      <w:tabs>
        <w:tab w:val="left" w:pos="720"/>
      </w:tabs>
      <w:spacing w:line="288" w:lineRule="auto"/>
    </w:pPr>
    <w:rPr>
      <w:rFonts w:ascii="Times New Roman" w:hAnsi="Times New Roman"/>
      <w:sz w:val="24"/>
      <w:szCs w:val="22"/>
    </w:rPr>
  </w:style>
  <w:style w:type="paragraph" w:styleId="Heading1">
    <w:name w:val="heading 1"/>
    <w:basedOn w:val="Normal"/>
    <w:next w:val="Normal"/>
    <w:link w:val="Heading1Char"/>
    <w:uiPriority w:val="9"/>
    <w:qFormat/>
    <w:rsid w:val="00CF549E"/>
    <w:pPr>
      <w:tabs>
        <w:tab w:val="clear" w:pos="720"/>
      </w:tabs>
      <w:spacing w:before="160" w:line="360" w:lineRule="auto"/>
      <w:jc w:val="both"/>
      <w:outlineLvl w:val="0"/>
    </w:pPr>
    <w:rPr>
      <w:b/>
      <w:szCs w:val="24"/>
      <w:lang w:val="x-none" w:eastAsia="x-none"/>
    </w:rPr>
  </w:style>
  <w:style w:type="paragraph" w:styleId="Heading2">
    <w:name w:val="heading 2"/>
    <w:basedOn w:val="Normal"/>
    <w:next w:val="Normal"/>
    <w:link w:val="Heading2Char"/>
    <w:qFormat/>
    <w:rsid w:val="00A21C14"/>
    <w:pPr>
      <w:spacing w:before="120" w:line="360" w:lineRule="auto"/>
      <w:jc w:val="both"/>
      <w:outlineLvl w:val="1"/>
    </w:pPr>
    <w:rPr>
      <w:b/>
      <w:szCs w:val="24"/>
      <w:lang w:val="x-none" w:eastAsia="x-none"/>
    </w:rPr>
  </w:style>
  <w:style w:type="paragraph" w:styleId="Heading3">
    <w:name w:val="heading 3"/>
    <w:basedOn w:val="Normal"/>
    <w:next w:val="Normal"/>
    <w:link w:val="Heading3Char"/>
    <w:uiPriority w:val="9"/>
    <w:unhideWhenUsed/>
    <w:qFormat/>
    <w:rsid w:val="00D427CD"/>
    <w:pPr>
      <w:keepNext/>
      <w:keepLines/>
      <w:spacing w:before="40"/>
      <w:outlineLvl w:val="2"/>
    </w:pPr>
    <w:rPr>
      <w:rFonts w:ascii="Cambria" w:eastAsia="Times New Roman" w:hAnsi="Cambria"/>
      <w:color w:val="243F60"/>
      <w:szCs w:val="24"/>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74ABA"/>
    <w:pPr>
      <w:tabs>
        <w:tab w:val="clear" w:pos="720"/>
        <w:tab w:val="center" w:pos="4680"/>
        <w:tab w:val="right" w:pos="9360"/>
      </w:tabs>
    </w:pPr>
    <w:rPr>
      <w:lang w:val="x-none" w:eastAsia="x-none"/>
    </w:rPr>
  </w:style>
  <w:style w:type="character" w:customStyle="1" w:styleId="HeaderChar">
    <w:name w:val="Header Char"/>
    <w:link w:val="Header"/>
    <w:uiPriority w:val="99"/>
    <w:rsid w:val="00E74ABA"/>
    <w:rPr>
      <w:rFonts w:ascii="Times New Roman" w:hAnsi="Times New Roman"/>
      <w:sz w:val="24"/>
      <w:szCs w:val="22"/>
    </w:rPr>
  </w:style>
  <w:style w:type="paragraph" w:styleId="Footer">
    <w:name w:val="footer"/>
    <w:basedOn w:val="Normal"/>
    <w:link w:val="FooterChar"/>
    <w:uiPriority w:val="99"/>
    <w:unhideWhenUsed/>
    <w:rsid w:val="00E74ABA"/>
    <w:pPr>
      <w:tabs>
        <w:tab w:val="clear" w:pos="720"/>
        <w:tab w:val="center" w:pos="4680"/>
        <w:tab w:val="right" w:pos="9360"/>
      </w:tabs>
    </w:pPr>
    <w:rPr>
      <w:lang w:val="x-none" w:eastAsia="x-none"/>
    </w:rPr>
  </w:style>
  <w:style w:type="character" w:customStyle="1" w:styleId="FooterChar">
    <w:name w:val="Footer Char"/>
    <w:link w:val="Footer"/>
    <w:uiPriority w:val="99"/>
    <w:rsid w:val="00E74ABA"/>
    <w:rPr>
      <w:rFonts w:ascii="Times New Roman" w:hAnsi="Times New Roman"/>
      <w:sz w:val="24"/>
      <w:szCs w:val="22"/>
    </w:rPr>
  </w:style>
  <w:style w:type="paragraph" w:styleId="BalloonText">
    <w:name w:val="Balloon Text"/>
    <w:aliases w:val=" Char1"/>
    <w:basedOn w:val="Normal"/>
    <w:link w:val="BalloonTextChar"/>
    <w:unhideWhenUsed/>
    <w:rsid w:val="00E74ABA"/>
    <w:pPr>
      <w:spacing w:line="240" w:lineRule="auto"/>
    </w:pPr>
    <w:rPr>
      <w:rFonts w:ascii="Tahoma" w:hAnsi="Tahoma"/>
      <w:sz w:val="16"/>
      <w:szCs w:val="16"/>
      <w:lang w:val="x-none" w:eastAsia="x-none"/>
    </w:rPr>
  </w:style>
  <w:style w:type="character" w:customStyle="1" w:styleId="BalloonTextChar">
    <w:name w:val="Balloon Text Char"/>
    <w:aliases w:val=" Char1 Char"/>
    <w:link w:val="BalloonText"/>
    <w:rsid w:val="00E74ABA"/>
    <w:rPr>
      <w:rFonts w:ascii="Tahoma" w:hAnsi="Tahoma" w:cs="Tahoma"/>
      <w:sz w:val="16"/>
      <w:szCs w:val="16"/>
    </w:rPr>
  </w:style>
  <w:style w:type="table" w:styleId="TableGrid">
    <w:name w:val="Table Grid"/>
    <w:basedOn w:val="TableNormal"/>
    <w:uiPriority w:val="59"/>
    <w:rsid w:val="00111E8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rsid w:val="00712F20"/>
    <w:rPr>
      <w:color w:val="0000FF"/>
      <w:u w:val="single"/>
    </w:rPr>
  </w:style>
  <w:style w:type="paragraph" w:styleId="ListParagraph">
    <w:name w:val="List Paragraph"/>
    <w:basedOn w:val="Normal"/>
    <w:uiPriority w:val="34"/>
    <w:qFormat/>
    <w:rsid w:val="00B80409"/>
    <w:pPr>
      <w:tabs>
        <w:tab w:val="clear" w:pos="720"/>
      </w:tabs>
      <w:spacing w:after="200"/>
      <w:ind w:left="720"/>
      <w:contextualSpacing/>
      <w:jc w:val="both"/>
    </w:pPr>
    <w:rPr>
      <w:rFonts w:ascii="Calibri" w:eastAsia="Times New Roman" w:hAnsi="Calibri"/>
      <w:sz w:val="22"/>
    </w:rPr>
  </w:style>
  <w:style w:type="character" w:customStyle="1" w:styleId="apple-style-span">
    <w:name w:val="apple-style-span"/>
    <w:basedOn w:val="DefaultParagraphFont"/>
    <w:rsid w:val="00B91EB3"/>
  </w:style>
  <w:style w:type="character" w:customStyle="1" w:styleId="apple-converted-space">
    <w:name w:val="apple-converted-space"/>
    <w:basedOn w:val="DefaultParagraphFont"/>
    <w:rsid w:val="00B91EB3"/>
  </w:style>
  <w:style w:type="paragraph" w:styleId="BodyText">
    <w:name w:val="Body Text"/>
    <w:basedOn w:val="Normal"/>
    <w:link w:val="BodyTextChar"/>
    <w:rsid w:val="00B91EB3"/>
    <w:pPr>
      <w:tabs>
        <w:tab w:val="clear" w:pos="720"/>
      </w:tabs>
      <w:spacing w:line="240" w:lineRule="auto"/>
      <w:jc w:val="both"/>
    </w:pPr>
    <w:rPr>
      <w:rFonts w:eastAsia="Times New Roman"/>
      <w:szCs w:val="24"/>
      <w:lang w:val="x-none" w:eastAsia="x-none"/>
    </w:rPr>
  </w:style>
  <w:style w:type="character" w:customStyle="1" w:styleId="BodyTextChar">
    <w:name w:val="Body Text Char"/>
    <w:link w:val="BodyText"/>
    <w:rsid w:val="00B91EB3"/>
    <w:rPr>
      <w:rFonts w:ascii="Times New Roman" w:eastAsia="Times New Roman" w:hAnsi="Times New Roman"/>
      <w:sz w:val="24"/>
      <w:szCs w:val="24"/>
    </w:rPr>
  </w:style>
  <w:style w:type="character" w:customStyle="1" w:styleId="Heading2Char">
    <w:name w:val="Heading 2 Char"/>
    <w:link w:val="Heading2"/>
    <w:rsid w:val="00A21C14"/>
    <w:rPr>
      <w:rFonts w:ascii="Times New Roman" w:hAnsi="Times New Roman"/>
      <w:b/>
      <w:sz w:val="24"/>
      <w:szCs w:val="24"/>
    </w:rPr>
  </w:style>
  <w:style w:type="character" w:styleId="LineNumber">
    <w:name w:val="line number"/>
    <w:basedOn w:val="DefaultParagraphFont"/>
    <w:uiPriority w:val="99"/>
    <w:semiHidden/>
    <w:unhideWhenUsed/>
    <w:rsid w:val="00B87818"/>
  </w:style>
  <w:style w:type="character" w:styleId="Strong">
    <w:name w:val="Strong"/>
    <w:uiPriority w:val="22"/>
    <w:qFormat/>
    <w:rsid w:val="00F875AA"/>
    <w:rPr>
      <w:b/>
      <w:bCs/>
    </w:rPr>
  </w:style>
  <w:style w:type="paragraph" w:styleId="BodyText2">
    <w:name w:val="Body Text 2"/>
    <w:basedOn w:val="Normal"/>
    <w:link w:val="BodyText2Char"/>
    <w:uiPriority w:val="99"/>
    <w:semiHidden/>
    <w:unhideWhenUsed/>
    <w:rsid w:val="00610208"/>
    <w:pPr>
      <w:spacing w:after="120" w:line="480" w:lineRule="auto"/>
    </w:pPr>
    <w:rPr>
      <w:lang w:val="x-none" w:eastAsia="x-none"/>
    </w:rPr>
  </w:style>
  <w:style w:type="character" w:customStyle="1" w:styleId="BodyText2Char">
    <w:name w:val="Body Text 2 Char"/>
    <w:link w:val="BodyText2"/>
    <w:uiPriority w:val="99"/>
    <w:semiHidden/>
    <w:rsid w:val="00610208"/>
    <w:rPr>
      <w:rFonts w:ascii="Times New Roman" w:hAnsi="Times New Roman"/>
      <w:sz w:val="24"/>
      <w:szCs w:val="22"/>
    </w:rPr>
  </w:style>
  <w:style w:type="character" w:styleId="CommentReference">
    <w:name w:val="annotation reference"/>
    <w:uiPriority w:val="99"/>
    <w:semiHidden/>
    <w:unhideWhenUsed/>
    <w:rsid w:val="00EF07DB"/>
    <w:rPr>
      <w:sz w:val="16"/>
      <w:szCs w:val="16"/>
    </w:rPr>
  </w:style>
  <w:style w:type="paragraph" w:styleId="CommentText">
    <w:name w:val="annotation text"/>
    <w:basedOn w:val="Normal"/>
    <w:link w:val="CommentTextChar"/>
    <w:uiPriority w:val="99"/>
    <w:unhideWhenUsed/>
    <w:rsid w:val="00EF07DB"/>
    <w:pPr>
      <w:spacing w:line="240" w:lineRule="auto"/>
    </w:pPr>
    <w:rPr>
      <w:sz w:val="20"/>
      <w:szCs w:val="20"/>
      <w:lang w:val="x-none" w:eastAsia="x-none"/>
    </w:rPr>
  </w:style>
  <w:style w:type="character" w:customStyle="1" w:styleId="CommentTextChar">
    <w:name w:val="Comment Text Char"/>
    <w:link w:val="CommentText"/>
    <w:uiPriority w:val="99"/>
    <w:rsid w:val="00EF07DB"/>
    <w:rPr>
      <w:rFonts w:ascii="Times New Roman" w:hAnsi="Times New Roman"/>
    </w:rPr>
  </w:style>
  <w:style w:type="paragraph" w:styleId="CommentSubject">
    <w:name w:val="annotation subject"/>
    <w:basedOn w:val="CommentText"/>
    <w:next w:val="CommentText"/>
    <w:link w:val="CommentSubjectChar"/>
    <w:uiPriority w:val="99"/>
    <w:semiHidden/>
    <w:unhideWhenUsed/>
    <w:rsid w:val="00EF07DB"/>
    <w:rPr>
      <w:b/>
      <w:bCs/>
    </w:rPr>
  </w:style>
  <w:style w:type="character" w:customStyle="1" w:styleId="CommentSubjectChar">
    <w:name w:val="Comment Subject Char"/>
    <w:link w:val="CommentSubject"/>
    <w:uiPriority w:val="99"/>
    <w:semiHidden/>
    <w:rsid w:val="00EF07DB"/>
    <w:rPr>
      <w:rFonts w:ascii="Times New Roman" w:hAnsi="Times New Roman"/>
      <w:b/>
      <w:bCs/>
    </w:rPr>
  </w:style>
  <w:style w:type="character" w:styleId="PlaceholderText">
    <w:name w:val="Placeholder Text"/>
    <w:uiPriority w:val="99"/>
    <w:semiHidden/>
    <w:rsid w:val="00CF1621"/>
    <w:rPr>
      <w:color w:val="808080"/>
    </w:rPr>
  </w:style>
  <w:style w:type="paragraph" w:styleId="NormalWeb">
    <w:name w:val="Normal (Web)"/>
    <w:basedOn w:val="Normal"/>
    <w:uiPriority w:val="99"/>
    <w:semiHidden/>
    <w:unhideWhenUsed/>
    <w:rsid w:val="00C63C54"/>
    <w:pPr>
      <w:tabs>
        <w:tab w:val="clear" w:pos="720"/>
      </w:tabs>
      <w:spacing w:before="100" w:beforeAutospacing="1" w:after="100" w:afterAutospacing="1" w:line="240" w:lineRule="auto"/>
    </w:pPr>
    <w:rPr>
      <w:rFonts w:eastAsia="Times New Roman"/>
      <w:szCs w:val="24"/>
    </w:rPr>
  </w:style>
  <w:style w:type="character" w:customStyle="1" w:styleId="Heading3Char">
    <w:name w:val="Heading 3 Char"/>
    <w:link w:val="Heading3"/>
    <w:uiPriority w:val="9"/>
    <w:rsid w:val="00D427CD"/>
    <w:rPr>
      <w:rFonts w:ascii="Cambria" w:eastAsia="Times New Roman" w:hAnsi="Cambria" w:cs="Times New Roman"/>
      <w:color w:val="243F60"/>
      <w:sz w:val="24"/>
      <w:szCs w:val="24"/>
    </w:rPr>
  </w:style>
  <w:style w:type="character" w:customStyle="1" w:styleId="st">
    <w:name w:val="st"/>
    <w:basedOn w:val="DefaultParagraphFont"/>
    <w:rsid w:val="00D3221C"/>
  </w:style>
  <w:style w:type="character" w:customStyle="1" w:styleId="Heading1Char">
    <w:name w:val="Heading 1 Char"/>
    <w:link w:val="Heading1"/>
    <w:uiPriority w:val="9"/>
    <w:rsid w:val="00CF549E"/>
    <w:rPr>
      <w:rFonts w:ascii="Times New Roman" w:hAnsi="Times New Roman"/>
      <w:b/>
      <w:sz w:val="24"/>
      <w:szCs w:val="24"/>
    </w:rPr>
  </w:style>
  <w:style w:type="character" w:customStyle="1" w:styleId="dlrheadline">
    <w:name w:val="dlrheadline"/>
    <w:basedOn w:val="DefaultParagraphFont"/>
    <w:rsid w:val="007F14C1"/>
  </w:style>
  <w:style w:type="character" w:customStyle="1" w:styleId="html-italic">
    <w:name w:val="html-italic"/>
    <w:basedOn w:val="DefaultParagraphFont"/>
    <w:rsid w:val="009316FB"/>
  </w:style>
  <w:style w:type="character" w:customStyle="1" w:styleId="if">
    <w:name w:val="if"/>
    <w:basedOn w:val="DefaultParagraphFont"/>
    <w:rsid w:val="00031DC8"/>
  </w:style>
  <w:style w:type="character" w:customStyle="1" w:styleId="entryauthor">
    <w:name w:val="entryauthor"/>
    <w:basedOn w:val="DefaultParagraphFont"/>
    <w:rsid w:val="000627A2"/>
  </w:style>
  <w:style w:type="character" w:styleId="Emphasis">
    <w:name w:val="Emphasis"/>
    <w:uiPriority w:val="20"/>
    <w:qFormat/>
    <w:rsid w:val="00EB2AE2"/>
    <w:rPr>
      <w:i/>
      <w:iCs/>
    </w:rPr>
  </w:style>
  <w:style w:type="paragraph" w:styleId="Revision">
    <w:name w:val="Revision"/>
    <w:hidden/>
    <w:uiPriority w:val="99"/>
    <w:semiHidden/>
    <w:rsid w:val="0055772C"/>
    <w:rPr>
      <w:rFonts w:ascii="Times New Roman" w:hAnsi="Times New Roman"/>
      <w:sz w:val="24"/>
      <w:szCs w:val="22"/>
    </w:rPr>
  </w:style>
  <w:style w:type="character" w:customStyle="1" w:styleId="pbtoclink">
    <w:name w:val="pb_toc_link"/>
    <w:rsid w:val="004157A3"/>
  </w:style>
  <w:style w:type="character" w:styleId="FollowedHyperlink">
    <w:name w:val="FollowedHyperlink"/>
    <w:uiPriority w:val="99"/>
    <w:semiHidden/>
    <w:unhideWhenUsed/>
    <w:rsid w:val="00F946E0"/>
    <w:rPr>
      <w:color w:val="954F72"/>
      <w:u w:val="single"/>
    </w:rPr>
  </w:style>
  <w:style w:type="paragraph" w:styleId="Title">
    <w:name w:val="Title"/>
    <w:basedOn w:val="Normal"/>
    <w:next w:val="Normal"/>
    <w:link w:val="TitleChar"/>
    <w:uiPriority w:val="10"/>
    <w:qFormat/>
    <w:rsid w:val="009902AB"/>
    <w:pPr>
      <w:tabs>
        <w:tab w:val="clear" w:pos="720"/>
      </w:tabs>
      <w:spacing w:line="240" w:lineRule="auto"/>
      <w:contextualSpacing/>
      <w:jc w:val="center"/>
    </w:pPr>
    <w:rPr>
      <w:rFonts w:eastAsia="MS Gothic"/>
      <w:b/>
      <w:spacing w:val="-10"/>
      <w:kern w:val="28"/>
      <w:sz w:val="28"/>
      <w:szCs w:val="56"/>
    </w:rPr>
  </w:style>
  <w:style w:type="character" w:customStyle="1" w:styleId="TitleChar">
    <w:name w:val="Title Char"/>
    <w:link w:val="Title"/>
    <w:uiPriority w:val="10"/>
    <w:rsid w:val="009902AB"/>
    <w:rPr>
      <w:rFonts w:ascii="Times New Roman" w:eastAsia="MS Gothic" w:hAnsi="Times New Roman"/>
      <w:b/>
      <w:spacing w:val="-10"/>
      <w:kern w:val="28"/>
      <w:sz w:val="28"/>
      <w:szCs w:val="56"/>
    </w:rPr>
  </w:style>
  <w:style w:type="paragraph" w:customStyle="1" w:styleId="Authors">
    <w:name w:val="Authors"/>
    <w:basedOn w:val="Normal"/>
    <w:rsid w:val="009902AB"/>
    <w:pPr>
      <w:tabs>
        <w:tab w:val="clear" w:pos="720"/>
      </w:tabs>
      <w:spacing w:before="120" w:after="360" w:line="240" w:lineRule="auto"/>
    </w:pPr>
    <w:rPr>
      <w:rFonts w:eastAsia="Times New Roman"/>
      <w:b/>
      <w:szCs w:val="24"/>
    </w:rPr>
  </w:style>
  <w:style w:type="paragraph" w:customStyle="1" w:styleId="Affiliation">
    <w:name w:val="Affiliation"/>
    <w:basedOn w:val="Normal"/>
    <w:qFormat/>
    <w:rsid w:val="009902AB"/>
    <w:pPr>
      <w:tabs>
        <w:tab w:val="clear" w:pos="720"/>
      </w:tabs>
      <w:spacing w:before="120" w:line="240" w:lineRule="auto"/>
    </w:pPr>
    <w:rPr>
      <w:rFonts w:eastAsia="Times New Roman"/>
      <w:szCs w:val="24"/>
    </w:rPr>
  </w:style>
  <w:style w:type="paragraph" w:customStyle="1" w:styleId="Heading-Main">
    <w:name w:val="Heading-Main"/>
    <w:basedOn w:val="Normal"/>
    <w:rsid w:val="009902AB"/>
    <w:pPr>
      <w:keepNext/>
      <w:tabs>
        <w:tab w:val="clear" w:pos="720"/>
      </w:tabs>
      <w:spacing w:before="240" w:after="120" w:line="240" w:lineRule="auto"/>
      <w:outlineLvl w:val="0"/>
    </w:pPr>
    <w:rPr>
      <w:rFonts w:eastAsia="Times New Roman"/>
      <w:b/>
      <w:bCs/>
      <w:kern w:val="28"/>
      <w:szCs w:val="24"/>
    </w:rPr>
  </w:style>
  <w:style w:type="table" w:customStyle="1" w:styleId="TableGrid1">
    <w:name w:val="Table Grid1"/>
    <w:basedOn w:val="TableNormal"/>
    <w:next w:val="TableGrid"/>
    <w:uiPriority w:val="59"/>
    <w:rsid w:val="009902AB"/>
    <w:rPr>
      <w:rFonts w:eastAsia="SimSun"/>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opre">
    <w:name w:val="acopre"/>
    <w:rsid w:val="00991598"/>
  </w:style>
  <w:style w:type="character" w:customStyle="1" w:styleId="citationsource-journal">
    <w:name w:val="citation_source-journal"/>
    <w:rsid w:val="003A07F1"/>
  </w:style>
  <w:style w:type="character" w:customStyle="1" w:styleId="texhtml">
    <w:name w:val="texhtml"/>
    <w:basedOn w:val="DefaultParagraphFont"/>
    <w:rsid w:val="00A749DE"/>
  </w:style>
  <w:style w:type="character" w:customStyle="1" w:styleId="nowrap">
    <w:name w:val="nowrap"/>
    <w:basedOn w:val="DefaultParagraphFont"/>
    <w:rsid w:val="00A749DE"/>
  </w:style>
  <w:style w:type="character" w:customStyle="1" w:styleId="tojvnm2t">
    <w:name w:val="tojvnm2t"/>
    <w:basedOn w:val="DefaultParagraphFont"/>
    <w:rsid w:val="000B74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875870">
      <w:bodyDiv w:val="1"/>
      <w:marLeft w:val="0"/>
      <w:marRight w:val="0"/>
      <w:marTop w:val="0"/>
      <w:marBottom w:val="0"/>
      <w:divBdr>
        <w:top w:val="none" w:sz="0" w:space="0" w:color="auto"/>
        <w:left w:val="none" w:sz="0" w:space="0" w:color="auto"/>
        <w:bottom w:val="none" w:sz="0" w:space="0" w:color="auto"/>
        <w:right w:val="none" w:sz="0" w:space="0" w:color="auto"/>
      </w:divBdr>
    </w:div>
    <w:div w:id="147282028">
      <w:bodyDiv w:val="1"/>
      <w:marLeft w:val="0"/>
      <w:marRight w:val="0"/>
      <w:marTop w:val="0"/>
      <w:marBottom w:val="0"/>
      <w:divBdr>
        <w:top w:val="none" w:sz="0" w:space="0" w:color="auto"/>
        <w:left w:val="none" w:sz="0" w:space="0" w:color="auto"/>
        <w:bottom w:val="none" w:sz="0" w:space="0" w:color="auto"/>
        <w:right w:val="none" w:sz="0" w:space="0" w:color="auto"/>
      </w:divBdr>
    </w:div>
    <w:div w:id="208031830">
      <w:bodyDiv w:val="1"/>
      <w:marLeft w:val="0"/>
      <w:marRight w:val="0"/>
      <w:marTop w:val="0"/>
      <w:marBottom w:val="0"/>
      <w:divBdr>
        <w:top w:val="none" w:sz="0" w:space="0" w:color="auto"/>
        <w:left w:val="none" w:sz="0" w:space="0" w:color="auto"/>
        <w:bottom w:val="none" w:sz="0" w:space="0" w:color="auto"/>
        <w:right w:val="none" w:sz="0" w:space="0" w:color="auto"/>
      </w:divBdr>
    </w:div>
    <w:div w:id="287853703">
      <w:bodyDiv w:val="1"/>
      <w:marLeft w:val="0"/>
      <w:marRight w:val="0"/>
      <w:marTop w:val="0"/>
      <w:marBottom w:val="0"/>
      <w:divBdr>
        <w:top w:val="none" w:sz="0" w:space="0" w:color="auto"/>
        <w:left w:val="none" w:sz="0" w:space="0" w:color="auto"/>
        <w:bottom w:val="none" w:sz="0" w:space="0" w:color="auto"/>
        <w:right w:val="none" w:sz="0" w:space="0" w:color="auto"/>
      </w:divBdr>
    </w:div>
    <w:div w:id="361976205">
      <w:bodyDiv w:val="1"/>
      <w:marLeft w:val="0"/>
      <w:marRight w:val="0"/>
      <w:marTop w:val="0"/>
      <w:marBottom w:val="0"/>
      <w:divBdr>
        <w:top w:val="none" w:sz="0" w:space="0" w:color="auto"/>
        <w:left w:val="none" w:sz="0" w:space="0" w:color="auto"/>
        <w:bottom w:val="none" w:sz="0" w:space="0" w:color="auto"/>
        <w:right w:val="none" w:sz="0" w:space="0" w:color="auto"/>
      </w:divBdr>
    </w:div>
    <w:div w:id="386539175">
      <w:bodyDiv w:val="1"/>
      <w:marLeft w:val="0"/>
      <w:marRight w:val="0"/>
      <w:marTop w:val="0"/>
      <w:marBottom w:val="0"/>
      <w:divBdr>
        <w:top w:val="none" w:sz="0" w:space="0" w:color="auto"/>
        <w:left w:val="none" w:sz="0" w:space="0" w:color="auto"/>
        <w:bottom w:val="none" w:sz="0" w:space="0" w:color="auto"/>
        <w:right w:val="none" w:sz="0" w:space="0" w:color="auto"/>
      </w:divBdr>
    </w:div>
    <w:div w:id="393740607">
      <w:bodyDiv w:val="1"/>
      <w:marLeft w:val="0"/>
      <w:marRight w:val="0"/>
      <w:marTop w:val="0"/>
      <w:marBottom w:val="0"/>
      <w:divBdr>
        <w:top w:val="none" w:sz="0" w:space="0" w:color="auto"/>
        <w:left w:val="none" w:sz="0" w:space="0" w:color="auto"/>
        <w:bottom w:val="none" w:sz="0" w:space="0" w:color="auto"/>
        <w:right w:val="none" w:sz="0" w:space="0" w:color="auto"/>
      </w:divBdr>
      <w:divsChild>
        <w:div w:id="82074444">
          <w:marLeft w:val="0"/>
          <w:marRight w:val="0"/>
          <w:marTop w:val="0"/>
          <w:marBottom w:val="0"/>
          <w:divBdr>
            <w:top w:val="none" w:sz="0" w:space="0" w:color="auto"/>
            <w:left w:val="none" w:sz="0" w:space="0" w:color="auto"/>
            <w:bottom w:val="none" w:sz="0" w:space="0" w:color="auto"/>
            <w:right w:val="none" w:sz="0" w:space="0" w:color="auto"/>
          </w:divBdr>
        </w:div>
        <w:div w:id="440419885">
          <w:marLeft w:val="0"/>
          <w:marRight w:val="0"/>
          <w:marTop w:val="0"/>
          <w:marBottom w:val="0"/>
          <w:divBdr>
            <w:top w:val="none" w:sz="0" w:space="0" w:color="auto"/>
            <w:left w:val="none" w:sz="0" w:space="0" w:color="auto"/>
            <w:bottom w:val="none" w:sz="0" w:space="0" w:color="auto"/>
            <w:right w:val="none" w:sz="0" w:space="0" w:color="auto"/>
          </w:divBdr>
        </w:div>
        <w:div w:id="943001117">
          <w:marLeft w:val="0"/>
          <w:marRight w:val="0"/>
          <w:marTop w:val="0"/>
          <w:marBottom w:val="0"/>
          <w:divBdr>
            <w:top w:val="none" w:sz="0" w:space="0" w:color="auto"/>
            <w:left w:val="none" w:sz="0" w:space="0" w:color="auto"/>
            <w:bottom w:val="none" w:sz="0" w:space="0" w:color="auto"/>
            <w:right w:val="none" w:sz="0" w:space="0" w:color="auto"/>
          </w:divBdr>
        </w:div>
        <w:div w:id="1466120596">
          <w:marLeft w:val="0"/>
          <w:marRight w:val="0"/>
          <w:marTop w:val="0"/>
          <w:marBottom w:val="0"/>
          <w:divBdr>
            <w:top w:val="none" w:sz="0" w:space="0" w:color="auto"/>
            <w:left w:val="none" w:sz="0" w:space="0" w:color="auto"/>
            <w:bottom w:val="none" w:sz="0" w:space="0" w:color="auto"/>
            <w:right w:val="none" w:sz="0" w:space="0" w:color="auto"/>
          </w:divBdr>
        </w:div>
        <w:div w:id="1987589438">
          <w:marLeft w:val="0"/>
          <w:marRight w:val="0"/>
          <w:marTop w:val="0"/>
          <w:marBottom w:val="0"/>
          <w:divBdr>
            <w:top w:val="none" w:sz="0" w:space="0" w:color="auto"/>
            <w:left w:val="none" w:sz="0" w:space="0" w:color="auto"/>
            <w:bottom w:val="none" w:sz="0" w:space="0" w:color="auto"/>
            <w:right w:val="none" w:sz="0" w:space="0" w:color="auto"/>
          </w:divBdr>
        </w:div>
      </w:divsChild>
    </w:div>
    <w:div w:id="453406539">
      <w:bodyDiv w:val="1"/>
      <w:marLeft w:val="0"/>
      <w:marRight w:val="0"/>
      <w:marTop w:val="0"/>
      <w:marBottom w:val="0"/>
      <w:divBdr>
        <w:top w:val="none" w:sz="0" w:space="0" w:color="auto"/>
        <w:left w:val="none" w:sz="0" w:space="0" w:color="auto"/>
        <w:bottom w:val="none" w:sz="0" w:space="0" w:color="auto"/>
        <w:right w:val="none" w:sz="0" w:space="0" w:color="auto"/>
      </w:divBdr>
    </w:div>
    <w:div w:id="511259998">
      <w:bodyDiv w:val="1"/>
      <w:marLeft w:val="0"/>
      <w:marRight w:val="0"/>
      <w:marTop w:val="0"/>
      <w:marBottom w:val="0"/>
      <w:divBdr>
        <w:top w:val="none" w:sz="0" w:space="0" w:color="auto"/>
        <w:left w:val="none" w:sz="0" w:space="0" w:color="auto"/>
        <w:bottom w:val="none" w:sz="0" w:space="0" w:color="auto"/>
        <w:right w:val="none" w:sz="0" w:space="0" w:color="auto"/>
      </w:divBdr>
    </w:div>
    <w:div w:id="620113568">
      <w:bodyDiv w:val="1"/>
      <w:marLeft w:val="0"/>
      <w:marRight w:val="0"/>
      <w:marTop w:val="0"/>
      <w:marBottom w:val="0"/>
      <w:divBdr>
        <w:top w:val="none" w:sz="0" w:space="0" w:color="auto"/>
        <w:left w:val="none" w:sz="0" w:space="0" w:color="auto"/>
        <w:bottom w:val="none" w:sz="0" w:space="0" w:color="auto"/>
        <w:right w:val="none" w:sz="0" w:space="0" w:color="auto"/>
      </w:divBdr>
    </w:div>
    <w:div w:id="733963966">
      <w:bodyDiv w:val="1"/>
      <w:marLeft w:val="0"/>
      <w:marRight w:val="0"/>
      <w:marTop w:val="0"/>
      <w:marBottom w:val="0"/>
      <w:divBdr>
        <w:top w:val="none" w:sz="0" w:space="0" w:color="auto"/>
        <w:left w:val="none" w:sz="0" w:space="0" w:color="auto"/>
        <w:bottom w:val="none" w:sz="0" w:space="0" w:color="auto"/>
        <w:right w:val="none" w:sz="0" w:space="0" w:color="auto"/>
      </w:divBdr>
    </w:div>
    <w:div w:id="921648820">
      <w:bodyDiv w:val="1"/>
      <w:marLeft w:val="0"/>
      <w:marRight w:val="0"/>
      <w:marTop w:val="0"/>
      <w:marBottom w:val="0"/>
      <w:divBdr>
        <w:top w:val="none" w:sz="0" w:space="0" w:color="auto"/>
        <w:left w:val="none" w:sz="0" w:space="0" w:color="auto"/>
        <w:bottom w:val="none" w:sz="0" w:space="0" w:color="auto"/>
        <w:right w:val="none" w:sz="0" w:space="0" w:color="auto"/>
      </w:divBdr>
    </w:div>
    <w:div w:id="947541601">
      <w:bodyDiv w:val="1"/>
      <w:marLeft w:val="0"/>
      <w:marRight w:val="0"/>
      <w:marTop w:val="0"/>
      <w:marBottom w:val="0"/>
      <w:divBdr>
        <w:top w:val="none" w:sz="0" w:space="0" w:color="auto"/>
        <w:left w:val="none" w:sz="0" w:space="0" w:color="auto"/>
        <w:bottom w:val="none" w:sz="0" w:space="0" w:color="auto"/>
        <w:right w:val="none" w:sz="0" w:space="0" w:color="auto"/>
      </w:divBdr>
      <w:divsChild>
        <w:div w:id="661544666">
          <w:marLeft w:val="0"/>
          <w:marRight w:val="0"/>
          <w:marTop w:val="0"/>
          <w:marBottom w:val="0"/>
          <w:divBdr>
            <w:top w:val="none" w:sz="0" w:space="0" w:color="auto"/>
            <w:left w:val="none" w:sz="0" w:space="0" w:color="auto"/>
            <w:bottom w:val="none" w:sz="0" w:space="0" w:color="auto"/>
            <w:right w:val="none" w:sz="0" w:space="0" w:color="auto"/>
          </w:divBdr>
        </w:div>
        <w:div w:id="1795294690">
          <w:marLeft w:val="0"/>
          <w:marRight w:val="0"/>
          <w:marTop w:val="0"/>
          <w:marBottom w:val="0"/>
          <w:divBdr>
            <w:top w:val="none" w:sz="0" w:space="0" w:color="auto"/>
            <w:left w:val="none" w:sz="0" w:space="0" w:color="auto"/>
            <w:bottom w:val="none" w:sz="0" w:space="0" w:color="auto"/>
            <w:right w:val="none" w:sz="0" w:space="0" w:color="auto"/>
          </w:divBdr>
        </w:div>
      </w:divsChild>
    </w:div>
    <w:div w:id="960457340">
      <w:bodyDiv w:val="1"/>
      <w:marLeft w:val="0"/>
      <w:marRight w:val="0"/>
      <w:marTop w:val="0"/>
      <w:marBottom w:val="0"/>
      <w:divBdr>
        <w:top w:val="none" w:sz="0" w:space="0" w:color="auto"/>
        <w:left w:val="none" w:sz="0" w:space="0" w:color="auto"/>
        <w:bottom w:val="none" w:sz="0" w:space="0" w:color="auto"/>
        <w:right w:val="none" w:sz="0" w:space="0" w:color="auto"/>
      </w:divBdr>
    </w:div>
    <w:div w:id="970133826">
      <w:bodyDiv w:val="1"/>
      <w:marLeft w:val="0"/>
      <w:marRight w:val="0"/>
      <w:marTop w:val="0"/>
      <w:marBottom w:val="0"/>
      <w:divBdr>
        <w:top w:val="none" w:sz="0" w:space="0" w:color="auto"/>
        <w:left w:val="none" w:sz="0" w:space="0" w:color="auto"/>
        <w:bottom w:val="none" w:sz="0" w:space="0" w:color="auto"/>
        <w:right w:val="none" w:sz="0" w:space="0" w:color="auto"/>
      </w:divBdr>
    </w:div>
    <w:div w:id="1006593302">
      <w:bodyDiv w:val="1"/>
      <w:marLeft w:val="0"/>
      <w:marRight w:val="0"/>
      <w:marTop w:val="0"/>
      <w:marBottom w:val="0"/>
      <w:divBdr>
        <w:top w:val="none" w:sz="0" w:space="0" w:color="auto"/>
        <w:left w:val="none" w:sz="0" w:space="0" w:color="auto"/>
        <w:bottom w:val="none" w:sz="0" w:space="0" w:color="auto"/>
        <w:right w:val="none" w:sz="0" w:space="0" w:color="auto"/>
      </w:divBdr>
    </w:div>
    <w:div w:id="1122765286">
      <w:bodyDiv w:val="1"/>
      <w:marLeft w:val="0"/>
      <w:marRight w:val="0"/>
      <w:marTop w:val="0"/>
      <w:marBottom w:val="0"/>
      <w:divBdr>
        <w:top w:val="none" w:sz="0" w:space="0" w:color="auto"/>
        <w:left w:val="none" w:sz="0" w:space="0" w:color="auto"/>
        <w:bottom w:val="none" w:sz="0" w:space="0" w:color="auto"/>
        <w:right w:val="none" w:sz="0" w:space="0" w:color="auto"/>
      </w:divBdr>
    </w:div>
    <w:div w:id="1124690754">
      <w:bodyDiv w:val="1"/>
      <w:marLeft w:val="0"/>
      <w:marRight w:val="0"/>
      <w:marTop w:val="0"/>
      <w:marBottom w:val="0"/>
      <w:divBdr>
        <w:top w:val="none" w:sz="0" w:space="0" w:color="auto"/>
        <w:left w:val="none" w:sz="0" w:space="0" w:color="auto"/>
        <w:bottom w:val="none" w:sz="0" w:space="0" w:color="auto"/>
        <w:right w:val="none" w:sz="0" w:space="0" w:color="auto"/>
      </w:divBdr>
    </w:div>
    <w:div w:id="1151211747">
      <w:bodyDiv w:val="1"/>
      <w:marLeft w:val="0"/>
      <w:marRight w:val="0"/>
      <w:marTop w:val="0"/>
      <w:marBottom w:val="0"/>
      <w:divBdr>
        <w:top w:val="none" w:sz="0" w:space="0" w:color="auto"/>
        <w:left w:val="none" w:sz="0" w:space="0" w:color="auto"/>
        <w:bottom w:val="none" w:sz="0" w:space="0" w:color="auto"/>
        <w:right w:val="none" w:sz="0" w:space="0" w:color="auto"/>
      </w:divBdr>
      <w:divsChild>
        <w:div w:id="507453620">
          <w:marLeft w:val="0"/>
          <w:marRight w:val="0"/>
          <w:marTop w:val="0"/>
          <w:marBottom w:val="0"/>
          <w:divBdr>
            <w:top w:val="none" w:sz="0" w:space="0" w:color="auto"/>
            <w:left w:val="none" w:sz="0" w:space="0" w:color="auto"/>
            <w:bottom w:val="none" w:sz="0" w:space="0" w:color="auto"/>
            <w:right w:val="none" w:sz="0" w:space="0" w:color="auto"/>
          </w:divBdr>
        </w:div>
        <w:div w:id="981420752">
          <w:marLeft w:val="0"/>
          <w:marRight w:val="0"/>
          <w:marTop w:val="0"/>
          <w:marBottom w:val="0"/>
          <w:divBdr>
            <w:top w:val="none" w:sz="0" w:space="0" w:color="auto"/>
            <w:left w:val="none" w:sz="0" w:space="0" w:color="auto"/>
            <w:bottom w:val="none" w:sz="0" w:space="0" w:color="auto"/>
            <w:right w:val="none" w:sz="0" w:space="0" w:color="auto"/>
          </w:divBdr>
        </w:div>
        <w:div w:id="992679502">
          <w:marLeft w:val="0"/>
          <w:marRight w:val="0"/>
          <w:marTop w:val="0"/>
          <w:marBottom w:val="0"/>
          <w:divBdr>
            <w:top w:val="none" w:sz="0" w:space="0" w:color="auto"/>
            <w:left w:val="none" w:sz="0" w:space="0" w:color="auto"/>
            <w:bottom w:val="none" w:sz="0" w:space="0" w:color="auto"/>
            <w:right w:val="none" w:sz="0" w:space="0" w:color="auto"/>
          </w:divBdr>
        </w:div>
      </w:divsChild>
    </w:div>
    <w:div w:id="1239247227">
      <w:bodyDiv w:val="1"/>
      <w:marLeft w:val="0"/>
      <w:marRight w:val="0"/>
      <w:marTop w:val="0"/>
      <w:marBottom w:val="0"/>
      <w:divBdr>
        <w:top w:val="none" w:sz="0" w:space="0" w:color="auto"/>
        <w:left w:val="none" w:sz="0" w:space="0" w:color="auto"/>
        <w:bottom w:val="none" w:sz="0" w:space="0" w:color="auto"/>
        <w:right w:val="none" w:sz="0" w:space="0" w:color="auto"/>
      </w:divBdr>
    </w:div>
    <w:div w:id="1245529917">
      <w:bodyDiv w:val="1"/>
      <w:marLeft w:val="0"/>
      <w:marRight w:val="0"/>
      <w:marTop w:val="0"/>
      <w:marBottom w:val="0"/>
      <w:divBdr>
        <w:top w:val="none" w:sz="0" w:space="0" w:color="auto"/>
        <w:left w:val="none" w:sz="0" w:space="0" w:color="auto"/>
        <w:bottom w:val="none" w:sz="0" w:space="0" w:color="auto"/>
        <w:right w:val="none" w:sz="0" w:space="0" w:color="auto"/>
      </w:divBdr>
    </w:div>
    <w:div w:id="1276981842">
      <w:bodyDiv w:val="1"/>
      <w:marLeft w:val="0"/>
      <w:marRight w:val="0"/>
      <w:marTop w:val="0"/>
      <w:marBottom w:val="0"/>
      <w:divBdr>
        <w:top w:val="none" w:sz="0" w:space="0" w:color="auto"/>
        <w:left w:val="none" w:sz="0" w:space="0" w:color="auto"/>
        <w:bottom w:val="none" w:sz="0" w:space="0" w:color="auto"/>
        <w:right w:val="none" w:sz="0" w:space="0" w:color="auto"/>
      </w:divBdr>
    </w:div>
    <w:div w:id="1309289176">
      <w:bodyDiv w:val="1"/>
      <w:marLeft w:val="0"/>
      <w:marRight w:val="0"/>
      <w:marTop w:val="0"/>
      <w:marBottom w:val="0"/>
      <w:divBdr>
        <w:top w:val="none" w:sz="0" w:space="0" w:color="auto"/>
        <w:left w:val="none" w:sz="0" w:space="0" w:color="auto"/>
        <w:bottom w:val="none" w:sz="0" w:space="0" w:color="auto"/>
        <w:right w:val="none" w:sz="0" w:space="0" w:color="auto"/>
      </w:divBdr>
      <w:divsChild>
        <w:div w:id="90320706">
          <w:marLeft w:val="0"/>
          <w:marRight w:val="0"/>
          <w:marTop w:val="0"/>
          <w:marBottom w:val="0"/>
          <w:divBdr>
            <w:top w:val="none" w:sz="0" w:space="0" w:color="auto"/>
            <w:left w:val="none" w:sz="0" w:space="0" w:color="auto"/>
            <w:bottom w:val="none" w:sz="0" w:space="0" w:color="auto"/>
            <w:right w:val="none" w:sz="0" w:space="0" w:color="auto"/>
          </w:divBdr>
        </w:div>
        <w:div w:id="505244118">
          <w:marLeft w:val="0"/>
          <w:marRight w:val="0"/>
          <w:marTop w:val="0"/>
          <w:marBottom w:val="0"/>
          <w:divBdr>
            <w:top w:val="none" w:sz="0" w:space="0" w:color="auto"/>
            <w:left w:val="none" w:sz="0" w:space="0" w:color="auto"/>
            <w:bottom w:val="none" w:sz="0" w:space="0" w:color="auto"/>
            <w:right w:val="none" w:sz="0" w:space="0" w:color="auto"/>
          </w:divBdr>
        </w:div>
        <w:div w:id="892500680">
          <w:marLeft w:val="0"/>
          <w:marRight w:val="0"/>
          <w:marTop w:val="0"/>
          <w:marBottom w:val="0"/>
          <w:divBdr>
            <w:top w:val="none" w:sz="0" w:space="0" w:color="auto"/>
            <w:left w:val="none" w:sz="0" w:space="0" w:color="auto"/>
            <w:bottom w:val="none" w:sz="0" w:space="0" w:color="auto"/>
            <w:right w:val="none" w:sz="0" w:space="0" w:color="auto"/>
          </w:divBdr>
        </w:div>
        <w:div w:id="1988780045">
          <w:marLeft w:val="0"/>
          <w:marRight w:val="0"/>
          <w:marTop w:val="0"/>
          <w:marBottom w:val="0"/>
          <w:divBdr>
            <w:top w:val="none" w:sz="0" w:space="0" w:color="auto"/>
            <w:left w:val="none" w:sz="0" w:space="0" w:color="auto"/>
            <w:bottom w:val="none" w:sz="0" w:space="0" w:color="auto"/>
            <w:right w:val="none" w:sz="0" w:space="0" w:color="auto"/>
          </w:divBdr>
        </w:div>
      </w:divsChild>
    </w:div>
    <w:div w:id="1435008741">
      <w:bodyDiv w:val="1"/>
      <w:marLeft w:val="0"/>
      <w:marRight w:val="0"/>
      <w:marTop w:val="0"/>
      <w:marBottom w:val="0"/>
      <w:divBdr>
        <w:top w:val="none" w:sz="0" w:space="0" w:color="auto"/>
        <w:left w:val="none" w:sz="0" w:space="0" w:color="auto"/>
        <w:bottom w:val="none" w:sz="0" w:space="0" w:color="auto"/>
        <w:right w:val="none" w:sz="0" w:space="0" w:color="auto"/>
      </w:divBdr>
    </w:div>
    <w:div w:id="1481799727">
      <w:bodyDiv w:val="1"/>
      <w:marLeft w:val="0"/>
      <w:marRight w:val="0"/>
      <w:marTop w:val="0"/>
      <w:marBottom w:val="0"/>
      <w:divBdr>
        <w:top w:val="none" w:sz="0" w:space="0" w:color="auto"/>
        <w:left w:val="none" w:sz="0" w:space="0" w:color="auto"/>
        <w:bottom w:val="none" w:sz="0" w:space="0" w:color="auto"/>
        <w:right w:val="none" w:sz="0" w:space="0" w:color="auto"/>
      </w:divBdr>
      <w:divsChild>
        <w:div w:id="47337883">
          <w:marLeft w:val="0"/>
          <w:marRight w:val="0"/>
          <w:marTop w:val="0"/>
          <w:marBottom w:val="0"/>
          <w:divBdr>
            <w:top w:val="none" w:sz="0" w:space="0" w:color="auto"/>
            <w:left w:val="none" w:sz="0" w:space="0" w:color="auto"/>
            <w:bottom w:val="none" w:sz="0" w:space="0" w:color="auto"/>
            <w:right w:val="none" w:sz="0" w:space="0" w:color="auto"/>
          </w:divBdr>
        </w:div>
        <w:div w:id="1812358658">
          <w:marLeft w:val="0"/>
          <w:marRight w:val="0"/>
          <w:marTop w:val="0"/>
          <w:marBottom w:val="0"/>
          <w:divBdr>
            <w:top w:val="none" w:sz="0" w:space="0" w:color="auto"/>
            <w:left w:val="none" w:sz="0" w:space="0" w:color="auto"/>
            <w:bottom w:val="none" w:sz="0" w:space="0" w:color="auto"/>
            <w:right w:val="none" w:sz="0" w:space="0" w:color="auto"/>
          </w:divBdr>
        </w:div>
      </w:divsChild>
    </w:div>
    <w:div w:id="1494565292">
      <w:bodyDiv w:val="1"/>
      <w:marLeft w:val="0"/>
      <w:marRight w:val="0"/>
      <w:marTop w:val="0"/>
      <w:marBottom w:val="0"/>
      <w:divBdr>
        <w:top w:val="none" w:sz="0" w:space="0" w:color="auto"/>
        <w:left w:val="none" w:sz="0" w:space="0" w:color="auto"/>
        <w:bottom w:val="none" w:sz="0" w:space="0" w:color="auto"/>
        <w:right w:val="none" w:sz="0" w:space="0" w:color="auto"/>
      </w:divBdr>
    </w:div>
    <w:div w:id="1514343612">
      <w:bodyDiv w:val="1"/>
      <w:marLeft w:val="0"/>
      <w:marRight w:val="0"/>
      <w:marTop w:val="0"/>
      <w:marBottom w:val="0"/>
      <w:divBdr>
        <w:top w:val="none" w:sz="0" w:space="0" w:color="auto"/>
        <w:left w:val="none" w:sz="0" w:space="0" w:color="auto"/>
        <w:bottom w:val="none" w:sz="0" w:space="0" w:color="auto"/>
        <w:right w:val="none" w:sz="0" w:space="0" w:color="auto"/>
      </w:divBdr>
    </w:div>
    <w:div w:id="1928995525">
      <w:bodyDiv w:val="1"/>
      <w:marLeft w:val="0"/>
      <w:marRight w:val="0"/>
      <w:marTop w:val="0"/>
      <w:marBottom w:val="0"/>
      <w:divBdr>
        <w:top w:val="none" w:sz="0" w:space="0" w:color="auto"/>
        <w:left w:val="none" w:sz="0" w:space="0" w:color="auto"/>
        <w:bottom w:val="none" w:sz="0" w:space="0" w:color="auto"/>
        <w:right w:val="none" w:sz="0" w:space="0" w:color="auto"/>
      </w:divBdr>
      <w:divsChild>
        <w:div w:id="962148442">
          <w:marLeft w:val="0"/>
          <w:marRight w:val="0"/>
          <w:marTop w:val="0"/>
          <w:marBottom w:val="0"/>
          <w:divBdr>
            <w:top w:val="none" w:sz="0" w:space="0" w:color="auto"/>
            <w:left w:val="none" w:sz="0" w:space="0" w:color="auto"/>
            <w:bottom w:val="none" w:sz="0" w:space="0" w:color="auto"/>
            <w:right w:val="none" w:sz="0" w:space="0" w:color="auto"/>
          </w:divBdr>
        </w:div>
      </w:divsChild>
    </w:div>
    <w:div w:id="2087342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modis.gsfc.nasa.gov/data/dataprod/mod16.php"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www.climatologylab.org/terraclimate.html" TargetMode="Externa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earlywarning.usgs.gov/fews/product/46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A5CF9F-9F5A-439A-8D10-9FF5BE2800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6505</TotalTime>
  <Pages>20</Pages>
  <Words>28971</Words>
  <Characters>165135</Characters>
  <Application>Microsoft Office Word</Application>
  <DocSecurity>0</DocSecurity>
  <Lines>1376</Lines>
  <Paragraphs>387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draft</vt:lpstr>
      <vt:lpstr>draft</vt:lpstr>
    </vt:vector>
  </TitlesOfParts>
  <Company/>
  <LinksUpToDate>false</LinksUpToDate>
  <CharactersWithSpaces>193719</CharactersWithSpaces>
  <SharedDoc>false</SharedDoc>
  <HLinks>
    <vt:vector size="6" baseType="variant">
      <vt:variant>
        <vt:i4>589842</vt:i4>
      </vt:variant>
      <vt:variant>
        <vt:i4>0</vt:i4>
      </vt:variant>
      <vt:variant>
        <vt:i4>0</vt:i4>
      </vt:variant>
      <vt:variant>
        <vt:i4>5</vt:i4>
      </vt:variant>
      <vt:variant>
        <vt:lpwstr>https://github.com/tamnva/spatial_temporal_model_performance_evaluation</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dc:title>
  <dc:subject/>
  <dc:creator>Bhumika Uniyal</dc:creator>
  <cp:keywords/>
  <cp:lastModifiedBy>Van Tam Nguyen</cp:lastModifiedBy>
  <cp:revision>1378</cp:revision>
  <cp:lastPrinted>2017-04-11T11:02:00Z</cp:lastPrinted>
  <dcterms:created xsi:type="dcterms:W3CDTF">2020-11-17T13:07:00Z</dcterms:created>
  <dcterms:modified xsi:type="dcterms:W3CDTF">2021-06-09T22:12:00Z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f4034dca-6a66-3b89-96e9-73231de96f19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