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16837" w14:textId="77777777" w:rsidR="003A76CE" w:rsidRPr="008A510B" w:rsidRDefault="003A76CE" w:rsidP="008A510B">
      <w:pPr>
        <w:spacing w:line="480" w:lineRule="auto"/>
        <w:ind w:right="276"/>
        <w:rPr>
          <w:i/>
          <w:iCs/>
          <w:caps/>
          <w:sz w:val="24"/>
          <w:szCs w:val="24"/>
        </w:rPr>
      </w:pPr>
      <w:r w:rsidRPr="00C63ABB">
        <w:rPr>
          <w:i/>
          <w:iCs/>
          <w:caps/>
          <w:sz w:val="24"/>
          <w:szCs w:val="24"/>
        </w:rPr>
        <w:t>Individual heterogeneity in Fitness in a long-lived herbivore</w:t>
      </w:r>
    </w:p>
    <w:p w14:paraId="6137EEBB" w14:textId="69307715" w:rsidR="003A76CE" w:rsidRPr="008A510B" w:rsidRDefault="003A76CE" w:rsidP="00C63ABB">
      <w:pPr>
        <w:spacing w:line="480" w:lineRule="auto"/>
        <w:rPr>
          <w:sz w:val="24"/>
          <w:szCs w:val="24"/>
          <w:vertAlign w:val="superscript"/>
        </w:rPr>
      </w:pPr>
      <w:r w:rsidRPr="008A510B">
        <w:rPr>
          <w:sz w:val="24"/>
          <w:szCs w:val="24"/>
        </w:rPr>
        <w:t>Madeleine G. Lohman</w:t>
      </w:r>
      <w:r w:rsidRPr="008A510B">
        <w:rPr>
          <w:sz w:val="24"/>
          <w:szCs w:val="24"/>
          <w:vertAlign w:val="superscript"/>
        </w:rPr>
        <w:t>1*</w:t>
      </w:r>
      <w:r w:rsidRPr="008A510B">
        <w:rPr>
          <w:sz w:val="24"/>
          <w:szCs w:val="24"/>
        </w:rPr>
        <w:t>, Thomas V. Riecke</w:t>
      </w:r>
      <w:r w:rsidR="00D37675" w:rsidRPr="008A510B">
        <w:rPr>
          <w:sz w:val="24"/>
          <w:szCs w:val="24"/>
          <w:vertAlign w:val="superscript"/>
        </w:rPr>
        <w:t>2</w:t>
      </w:r>
      <w:r w:rsidRPr="008A510B">
        <w:rPr>
          <w:sz w:val="24"/>
          <w:szCs w:val="24"/>
        </w:rPr>
        <w:t>, Perry J. Williams</w:t>
      </w:r>
      <w:r w:rsidR="00D37675" w:rsidRPr="008A510B">
        <w:rPr>
          <w:sz w:val="24"/>
          <w:szCs w:val="24"/>
          <w:vertAlign w:val="superscript"/>
        </w:rPr>
        <w:t>3</w:t>
      </w:r>
      <w:r w:rsidRPr="008A510B">
        <w:rPr>
          <w:sz w:val="24"/>
          <w:szCs w:val="24"/>
        </w:rPr>
        <w:t>, and James S. Sedinger</w:t>
      </w:r>
      <w:r w:rsidR="00D37675" w:rsidRPr="008A510B">
        <w:rPr>
          <w:sz w:val="24"/>
          <w:szCs w:val="24"/>
          <w:vertAlign w:val="superscript"/>
        </w:rPr>
        <w:t>3</w:t>
      </w:r>
      <w:r w:rsidRPr="008A510B">
        <w:rPr>
          <w:position w:val="8"/>
          <w:sz w:val="24"/>
          <w:szCs w:val="24"/>
        </w:rPr>
        <w:t xml:space="preserve">                                                                                                                                                                                                                                                                                                                                                                                                </w:t>
      </w:r>
    </w:p>
    <w:p w14:paraId="39CE5360" w14:textId="0355543F" w:rsidR="003A76CE" w:rsidRPr="008A510B" w:rsidRDefault="00D37675">
      <w:pPr>
        <w:spacing w:line="480" w:lineRule="auto"/>
        <w:rPr>
          <w:sz w:val="24"/>
          <w:szCs w:val="24"/>
        </w:rPr>
      </w:pPr>
      <w:r w:rsidRPr="008A510B">
        <w:rPr>
          <w:position w:val="8"/>
          <w:sz w:val="24"/>
          <w:szCs w:val="24"/>
          <w:vertAlign w:val="superscript"/>
        </w:rPr>
        <w:t>1</w:t>
      </w:r>
      <w:r w:rsidR="003A76CE" w:rsidRPr="008A510B">
        <w:rPr>
          <w:sz w:val="24"/>
          <w:szCs w:val="24"/>
        </w:rPr>
        <w:t>Program in Ecology, Evolution, and Conservation Biology, University of Nevada, Reno</w:t>
      </w:r>
    </w:p>
    <w:p w14:paraId="0453A129" w14:textId="00EEF45C" w:rsidR="00D710FD" w:rsidRPr="008A510B" w:rsidRDefault="00D37675">
      <w:pPr>
        <w:spacing w:line="480" w:lineRule="auto"/>
        <w:rPr>
          <w:sz w:val="24"/>
          <w:szCs w:val="24"/>
        </w:rPr>
      </w:pPr>
      <w:r w:rsidRPr="008A510B">
        <w:rPr>
          <w:position w:val="8"/>
          <w:sz w:val="24"/>
          <w:szCs w:val="24"/>
          <w:vertAlign w:val="superscript"/>
        </w:rPr>
        <w:t>2</w:t>
      </w:r>
      <w:r w:rsidR="00D710FD" w:rsidRPr="008A510B">
        <w:rPr>
          <w:sz w:val="24"/>
          <w:szCs w:val="24"/>
        </w:rPr>
        <w:t xml:space="preserve">Swiss Ornithological Institute, </w:t>
      </w:r>
      <w:proofErr w:type="spellStart"/>
      <w:r w:rsidR="00D710FD" w:rsidRPr="008A510B">
        <w:rPr>
          <w:sz w:val="24"/>
          <w:szCs w:val="24"/>
        </w:rPr>
        <w:t>Sempach</w:t>
      </w:r>
      <w:proofErr w:type="spellEnd"/>
      <w:r w:rsidR="00D710FD" w:rsidRPr="008A510B">
        <w:rPr>
          <w:sz w:val="24"/>
          <w:szCs w:val="24"/>
        </w:rPr>
        <w:t>, Switzerland</w:t>
      </w:r>
    </w:p>
    <w:p w14:paraId="2E8B522A" w14:textId="32C6811A" w:rsidR="00D37675" w:rsidRPr="008A510B" w:rsidRDefault="00D37675">
      <w:pPr>
        <w:spacing w:line="480" w:lineRule="auto"/>
        <w:rPr>
          <w:position w:val="8"/>
          <w:sz w:val="24"/>
          <w:szCs w:val="24"/>
        </w:rPr>
      </w:pPr>
      <w:r w:rsidRPr="008A510B">
        <w:rPr>
          <w:position w:val="8"/>
          <w:sz w:val="24"/>
          <w:szCs w:val="24"/>
          <w:vertAlign w:val="superscript"/>
        </w:rPr>
        <w:t>3</w:t>
      </w:r>
      <w:r w:rsidRPr="008A510B">
        <w:rPr>
          <w:sz w:val="24"/>
          <w:szCs w:val="24"/>
        </w:rPr>
        <w:t>Department of Natural Resources and Environmental Science, University of Nevada, Reno</w:t>
      </w:r>
    </w:p>
    <w:p w14:paraId="3B6162BE" w14:textId="7B8DB2C6" w:rsidR="003A76CE" w:rsidRPr="008A510B" w:rsidRDefault="003A76CE">
      <w:pPr>
        <w:spacing w:line="480" w:lineRule="auto"/>
        <w:ind w:right="276"/>
        <w:rPr>
          <w:sz w:val="24"/>
          <w:szCs w:val="24"/>
        </w:rPr>
      </w:pPr>
      <w:r w:rsidRPr="008A510B">
        <w:rPr>
          <w:position w:val="8"/>
          <w:sz w:val="24"/>
          <w:szCs w:val="24"/>
          <w:vertAlign w:val="superscript"/>
        </w:rPr>
        <w:t>*</w:t>
      </w:r>
      <w:r w:rsidRPr="008A510B">
        <w:rPr>
          <w:sz w:val="24"/>
          <w:szCs w:val="24"/>
        </w:rPr>
        <w:t xml:space="preserve">Corresponding author: </w:t>
      </w:r>
      <w:hyperlink r:id="rId8">
        <w:r w:rsidRPr="008A510B">
          <w:rPr>
            <w:sz w:val="24"/>
            <w:szCs w:val="24"/>
          </w:rPr>
          <w:t>mlohman@nevada.unr.edu</w:t>
        </w:r>
      </w:hyperlink>
      <w:r w:rsidR="00D37675" w:rsidRPr="00C63ABB">
        <w:rPr>
          <w:sz w:val="24"/>
          <w:szCs w:val="24"/>
        </w:rPr>
        <w:t>; 1664 N. Virginia St. Reno, NV 89557</w:t>
      </w:r>
    </w:p>
    <w:p w14:paraId="2215D6D6" w14:textId="77777777" w:rsidR="003A76CE" w:rsidRPr="008A510B" w:rsidRDefault="003A76CE">
      <w:pPr>
        <w:pStyle w:val="BodyText"/>
        <w:spacing w:line="480" w:lineRule="auto"/>
      </w:pPr>
    </w:p>
    <w:p w14:paraId="3ADF91FB" w14:textId="77777777" w:rsidR="009D411A" w:rsidRDefault="009D411A">
      <w:pPr>
        <w:spacing w:line="480" w:lineRule="auto"/>
        <w:rPr>
          <w:sz w:val="24"/>
          <w:szCs w:val="24"/>
        </w:rPr>
        <w:sectPr w:rsidR="009D411A" w:rsidSect="00692F65">
          <w:footerReference w:type="default" r:id="rId9"/>
          <w:pgSz w:w="12240" w:h="15840"/>
          <w:pgMar w:top="1440" w:right="1440" w:bottom="1440" w:left="1440" w:header="720" w:footer="867" w:gutter="0"/>
          <w:pgNumType w:start="1"/>
          <w:cols w:space="720"/>
        </w:sectPr>
      </w:pPr>
    </w:p>
    <w:p w14:paraId="2DF0138A" w14:textId="77777777" w:rsidR="003A76CE" w:rsidRPr="008A510B" w:rsidRDefault="003A76CE">
      <w:pPr>
        <w:spacing w:line="480" w:lineRule="auto"/>
        <w:rPr>
          <w:b/>
          <w:sz w:val="24"/>
          <w:szCs w:val="24"/>
        </w:rPr>
      </w:pPr>
      <w:r w:rsidRPr="00C63ABB">
        <w:rPr>
          <w:b/>
          <w:sz w:val="24"/>
          <w:szCs w:val="24"/>
        </w:rPr>
        <w:lastRenderedPageBreak/>
        <w:t>ABSTRACT</w:t>
      </w:r>
    </w:p>
    <w:p w14:paraId="0B6701A1" w14:textId="356197F1" w:rsidR="00A0201D" w:rsidRPr="008A510B" w:rsidRDefault="00A0201D" w:rsidP="00692F65">
      <w:pPr>
        <w:spacing w:line="480" w:lineRule="auto"/>
        <w:rPr>
          <w:sz w:val="24"/>
          <w:szCs w:val="24"/>
        </w:rPr>
      </w:pPr>
      <w:r w:rsidRPr="008A510B">
        <w:rPr>
          <w:sz w:val="24"/>
          <w:szCs w:val="24"/>
        </w:rPr>
        <w:t xml:space="preserve">Heterogeneity in the intrinsic quality and nutritional condition of individuals </w:t>
      </w:r>
      <w:r w:rsidR="0030509E" w:rsidRPr="008A510B">
        <w:rPr>
          <w:sz w:val="24"/>
          <w:szCs w:val="24"/>
        </w:rPr>
        <w:t xml:space="preserve">affects </w:t>
      </w:r>
      <w:r w:rsidRPr="008A510B">
        <w:rPr>
          <w:sz w:val="24"/>
          <w:szCs w:val="24"/>
        </w:rPr>
        <w:t>reproductive success and consequently fitness. Understanding differences in energy allocation towards survival and reproduction within and among</w:t>
      </w:r>
      <w:r w:rsidR="00A165EB" w:rsidRPr="008A510B">
        <w:rPr>
          <w:sz w:val="24"/>
          <w:szCs w:val="24"/>
        </w:rPr>
        <w:t xml:space="preserve"> </w:t>
      </w:r>
      <w:r w:rsidRPr="008A510B">
        <w:rPr>
          <w:sz w:val="24"/>
          <w:szCs w:val="24"/>
        </w:rPr>
        <w:t xml:space="preserve">years might help explain variability in individual fitness. </w:t>
      </w:r>
      <w:r w:rsidR="00F33D73">
        <w:rPr>
          <w:sz w:val="24"/>
          <w:szCs w:val="24"/>
        </w:rPr>
        <w:t>B</w:t>
      </w:r>
      <w:r w:rsidR="00A6239B" w:rsidRPr="008A510B">
        <w:rPr>
          <w:sz w:val="24"/>
          <w:szCs w:val="24"/>
        </w:rPr>
        <w:t xml:space="preserve">lack brant </w:t>
      </w:r>
      <w:r w:rsidRPr="008A510B">
        <w:rPr>
          <w:sz w:val="24"/>
          <w:szCs w:val="24"/>
        </w:rPr>
        <w:t>(</w:t>
      </w:r>
      <w:r w:rsidRPr="008A510B">
        <w:rPr>
          <w:i/>
          <w:sz w:val="24"/>
          <w:szCs w:val="24"/>
        </w:rPr>
        <w:t>Branta bernicla nigricans</w:t>
      </w:r>
      <w:r w:rsidRPr="008A510B">
        <w:rPr>
          <w:sz w:val="24"/>
          <w:szCs w:val="24"/>
        </w:rPr>
        <w:t>) are long-lived, migratory, specialist herbivores. Long migratory pathways and short summer breeding seasons constrain the time and energy available for reproduction, thus magnifying life-history trade-offs. These constraints, combined with long lifespan</w:t>
      </w:r>
      <w:r w:rsidR="00137465">
        <w:rPr>
          <w:sz w:val="24"/>
          <w:szCs w:val="24"/>
        </w:rPr>
        <w:t>s</w:t>
      </w:r>
      <w:r w:rsidRPr="008A510B">
        <w:rPr>
          <w:sz w:val="24"/>
          <w:szCs w:val="24"/>
        </w:rPr>
        <w:t xml:space="preserve"> and trade-offs between current and future reproductive value, provide a model system to examine the role of individual heterogeneity in driving life-history strategies and individual heterogeneity in fitness.</w:t>
      </w:r>
      <w:r w:rsidR="00FC0B3B" w:rsidRPr="008A510B">
        <w:rPr>
          <w:sz w:val="24"/>
          <w:szCs w:val="24"/>
        </w:rPr>
        <w:t xml:space="preserve"> </w:t>
      </w:r>
      <w:r w:rsidRPr="008A510B">
        <w:rPr>
          <w:sz w:val="24"/>
          <w:szCs w:val="24"/>
        </w:rPr>
        <w:t>We used hierarchical Bayesian models to examine reproductive trade-offs, modeling the relationships between within</w:t>
      </w:r>
      <w:r w:rsidR="00137465">
        <w:rPr>
          <w:sz w:val="24"/>
          <w:szCs w:val="24"/>
        </w:rPr>
        <w:t>-</w:t>
      </w:r>
      <w:r w:rsidRPr="008A510B">
        <w:rPr>
          <w:sz w:val="24"/>
          <w:szCs w:val="24"/>
        </w:rPr>
        <w:t>year measures of reproductive energy allocation and among-year demographic rates of individual females breeding on the Yukon-Kuskokwim Delta, Alaska using capture-recapture and reproductive data from 1988</w:t>
      </w:r>
      <w:r w:rsidR="0030509E" w:rsidRPr="008A510B">
        <w:rPr>
          <w:sz w:val="24"/>
          <w:szCs w:val="24"/>
        </w:rPr>
        <w:t xml:space="preserve"> to</w:t>
      </w:r>
      <w:r w:rsidRPr="008A510B">
        <w:rPr>
          <w:sz w:val="24"/>
          <w:szCs w:val="24"/>
        </w:rPr>
        <w:t xml:space="preserve"> 2014.  We provide evidence for relationship</w:t>
      </w:r>
      <w:r w:rsidR="00264511" w:rsidRPr="008A510B">
        <w:rPr>
          <w:sz w:val="24"/>
          <w:szCs w:val="24"/>
        </w:rPr>
        <w:t>s</w:t>
      </w:r>
      <w:r w:rsidRPr="008A510B">
        <w:rPr>
          <w:sz w:val="24"/>
          <w:szCs w:val="24"/>
        </w:rPr>
        <w:t xml:space="preserve"> between breeding probability and clutch size (</w:t>
      </w:r>
      <w:r w:rsidR="00325F27" w:rsidRPr="008A510B">
        <w:rPr>
          <w:sz w:val="24"/>
          <w:szCs w:val="24"/>
        </w:rPr>
        <w:t xml:space="preserve">posterior mean of </w:t>
      </w:r>
      <w:r w:rsidRPr="008A510B">
        <w:rPr>
          <w:i/>
          <w:sz w:val="24"/>
          <w:szCs w:val="24"/>
        </w:rPr>
        <w:t xml:space="preserve">β </w:t>
      </w:r>
      <w:r w:rsidRPr="008A510B">
        <w:rPr>
          <w:sz w:val="24"/>
          <w:szCs w:val="24"/>
        </w:rPr>
        <w:t>= 0.</w:t>
      </w:r>
      <w:r w:rsidR="00991B4D" w:rsidRPr="008A510B">
        <w:rPr>
          <w:sz w:val="24"/>
          <w:szCs w:val="24"/>
        </w:rPr>
        <w:t>45</w:t>
      </w:r>
      <w:r w:rsidRPr="008A510B">
        <w:rPr>
          <w:sz w:val="24"/>
          <w:szCs w:val="24"/>
        </w:rPr>
        <w:t xml:space="preserve">, 95% CRI = 0.33 </w:t>
      </w:r>
      <w:r w:rsidR="00D22E19" w:rsidRPr="008A510B">
        <w:rPr>
          <w:sz w:val="24"/>
          <w:szCs w:val="24"/>
        </w:rPr>
        <w:t xml:space="preserve">– </w:t>
      </w:r>
      <w:r w:rsidRPr="008A510B">
        <w:rPr>
          <w:sz w:val="24"/>
          <w:szCs w:val="24"/>
        </w:rPr>
        <w:t>0.</w:t>
      </w:r>
      <w:r w:rsidR="00991B4D" w:rsidRPr="008A510B">
        <w:rPr>
          <w:sz w:val="24"/>
          <w:szCs w:val="24"/>
        </w:rPr>
        <w:t>57</w:t>
      </w:r>
      <w:r w:rsidR="003C7B08" w:rsidRPr="008A510B">
        <w:rPr>
          <w:sz w:val="24"/>
          <w:szCs w:val="24"/>
        </w:rPr>
        <w:t xml:space="preserve">, </w:t>
      </w:r>
      <w:r w:rsidR="00922ED5" w:rsidRPr="008A510B">
        <w:rPr>
          <w:sz w:val="24"/>
          <w:szCs w:val="24"/>
        </w:rPr>
        <w:t>SD</w:t>
      </w:r>
      <w:r w:rsidR="00A825CE" w:rsidRPr="008A510B">
        <w:rPr>
          <w:sz w:val="24"/>
          <w:szCs w:val="24"/>
        </w:rPr>
        <w:t xml:space="preserve"> = 0.06</w:t>
      </w:r>
      <w:r w:rsidRPr="008A510B">
        <w:rPr>
          <w:sz w:val="24"/>
          <w:szCs w:val="24"/>
        </w:rPr>
        <w:t>)</w:t>
      </w:r>
      <w:r w:rsidR="00747687" w:rsidRPr="008A510B">
        <w:rPr>
          <w:sz w:val="24"/>
          <w:szCs w:val="24"/>
        </w:rPr>
        <w:t xml:space="preserve">, breeding probability and </w:t>
      </w:r>
      <w:r w:rsidRPr="008A510B">
        <w:rPr>
          <w:sz w:val="24"/>
          <w:szCs w:val="24"/>
        </w:rPr>
        <w:t>nest initiation date (</w:t>
      </w:r>
      <w:r w:rsidR="00325F27" w:rsidRPr="008A510B">
        <w:rPr>
          <w:sz w:val="24"/>
          <w:szCs w:val="24"/>
        </w:rPr>
        <w:t xml:space="preserve">posterior mean of </w:t>
      </w:r>
      <w:r w:rsidRPr="008A510B">
        <w:rPr>
          <w:i/>
          <w:sz w:val="24"/>
          <w:szCs w:val="24"/>
        </w:rPr>
        <w:t xml:space="preserve">β </w:t>
      </w:r>
      <w:r w:rsidRPr="008A510B">
        <w:rPr>
          <w:sz w:val="24"/>
          <w:szCs w:val="24"/>
        </w:rPr>
        <w:t>= -0.</w:t>
      </w:r>
      <w:r w:rsidR="00991B4D" w:rsidRPr="008A510B">
        <w:rPr>
          <w:sz w:val="24"/>
          <w:szCs w:val="24"/>
        </w:rPr>
        <w:t>12</w:t>
      </w:r>
      <w:r w:rsidRPr="008A510B">
        <w:rPr>
          <w:sz w:val="24"/>
          <w:szCs w:val="24"/>
        </w:rPr>
        <w:t>, 95% CRI = -0.</w:t>
      </w:r>
      <w:r w:rsidR="00991B4D" w:rsidRPr="008A510B">
        <w:rPr>
          <w:sz w:val="24"/>
          <w:szCs w:val="24"/>
        </w:rPr>
        <w:t xml:space="preserve">2 </w:t>
      </w:r>
      <w:r w:rsidR="00D22E19" w:rsidRPr="008A510B">
        <w:rPr>
          <w:sz w:val="24"/>
          <w:szCs w:val="24"/>
        </w:rPr>
        <w:softHyphen/>
        <w:t>–</w:t>
      </w:r>
      <w:r w:rsidRPr="008A510B">
        <w:rPr>
          <w:sz w:val="24"/>
          <w:szCs w:val="24"/>
        </w:rPr>
        <w:t xml:space="preserve"> -0.0</w:t>
      </w:r>
      <w:r w:rsidR="00A6239B" w:rsidRPr="008A510B">
        <w:rPr>
          <w:sz w:val="24"/>
          <w:szCs w:val="24"/>
        </w:rPr>
        <w:t>4</w:t>
      </w:r>
      <w:r w:rsidR="00A825CE" w:rsidRPr="008A510B">
        <w:rPr>
          <w:sz w:val="24"/>
          <w:szCs w:val="24"/>
        </w:rPr>
        <w:t xml:space="preserve">, </w:t>
      </w:r>
      <w:r w:rsidR="00922ED5" w:rsidRPr="008A510B">
        <w:rPr>
          <w:sz w:val="24"/>
          <w:szCs w:val="24"/>
        </w:rPr>
        <w:t>SD</w:t>
      </w:r>
      <w:r w:rsidR="00A825CE" w:rsidRPr="008A510B">
        <w:rPr>
          <w:sz w:val="24"/>
          <w:szCs w:val="24"/>
        </w:rPr>
        <w:t xml:space="preserve"> =</w:t>
      </w:r>
      <w:r w:rsidR="00922ED5" w:rsidRPr="008A510B">
        <w:rPr>
          <w:sz w:val="24"/>
          <w:szCs w:val="24"/>
        </w:rPr>
        <w:t xml:space="preserve"> </w:t>
      </w:r>
      <w:r w:rsidR="00A825CE" w:rsidRPr="008A510B">
        <w:rPr>
          <w:sz w:val="24"/>
          <w:szCs w:val="24"/>
        </w:rPr>
        <w:t>0.04</w:t>
      </w:r>
      <w:r w:rsidRPr="008A510B">
        <w:rPr>
          <w:sz w:val="24"/>
          <w:szCs w:val="24"/>
        </w:rPr>
        <w:t>), and an interaction between clutch size and initiation date (</w:t>
      </w:r>
      <w:r w:rsidR="00325F27" w:rsidRPr="008A510B">
        <w:rPr>
          <w:sz w:val="24"/>
          <w:szCs w:val="24"/>
        </w:rPr>
        <w:t xml:space="preserve">posterior mean of </w:t>
      </w:r>
      <w:r w:rsidRPr="008A510B">
        <w:rPr>
          <w:i/>
          <w:sz w:val="24"/>
          <w:szCs w:val="24"/>
        </w:rPr>
        <w:t xml:space="preserve">β </w:t>
      </w:r>
      <w:r w:rsidRPr="008A510B">
        <w:rPr>
          <w:iCs/>
          <w:sz w:val="24"/>
          <w:szCs w:val="24"/>
        </w:rPr>
        <w:t>= -0.1</w:t>
      </w:r>
      <w:r w:rsidR="008E2CD0">
        <w:rPr>
          <w:iCs/>
          <w:sz w:val="24"/>
          <w:szCs w:val="24"/>
        </w:rPr>
        <w:t>2</w:t>
      </w:r>
      <w:r w:rsidRPr="008A510B">
        <w:rPr>
          <w:iCs/>
          <w:sz w:val="24"/>
          <w:szCs w:val="24"/>
        </w:rPr>
        <w:t xml:space="preserve">, 95% </w:t>
      </w:r>
      <w:r w:rsidRPr="008A510B">
        <w:rPr>
          <w:sz w:val="24"/>
          <w:szCs w:val="24"/>
        </w:rPr>
        <w:t xml:space="preserve">CRI = -0.2 </w:t>
      </w:r>
      <w:r w:rsidR="00D22E19" w:rsidRPr="008A510B">
        <w:rPr>
          <w:sz w:val="24"/>
          <w:szCs w:val="24"/>
        </w:rPr>
        <w:t xml:space="preserve">– </w:t>
      </w:r>
      <w:r w:rsidRPr="008A510B">
        <w:rPr>
          <w:sz w:val="24"/>
          <w:szCs w:val="24"/>
        </w:rPr>
        <w:t>-0.0</w:t>
      </w:r>
      <w:r w:rsidR="008E2CD0">
        <w:rPr>
          <w:sz w:val="24"/>
          <w:szCs w:val="24"/>
        </w:rPr>
        <w:t>4</w:t>
      </w:r>
      <w:r w:rsidR="00A825CE" w:rsidRPr="008A510B">
        <w:rPr>
          <w:sz w:val="24"/>
          <w:szCs w:val="24"/>
        </w:rPr>
        <w:t xml:space="preserve">, </w:t>
      </w:r>
      <w:r w:rsidR="00922ED5" w:rsidRPr="008A510B">
        <w:rPr>
          <w:sz w:val="24"/>
          <w:szCs w:val="24"/>
        </w:rPr>
        <w:t>SD</w:t>
      </w:r>
      <w:r w:rsidR="00A825CE" w:rsidRPr="008A510B">
        <w:rPr>
          <w:sz w:val="24"/>
          <w:szCs w:val="24"/>
        </w:rPr>
        <w:t xml:space="preserve"> = 0.0</w:t>
      </w:r>
      <w:r w:rsidR="008E2CD0">
        <w:rPr>
          <w:sz w:val="24"/>
          <w:szCs w:val="24"/>
        </w:rPr>
        <w:t>4</w:t>
      </w:r>
      <w:r w:rsidRPr="008A510B">
        <w:rPr>
          <w:sz w:val="24"/>
          <w:szCs w:val="24"/>
        </w:rPr>
        <w:t xml:space="preserve">). Average lifetime clutch size </w:t>
      </w:r>
      <w:r w:rsidR="009C764F" w:rsidRPr="008A510B">
        <w:rPr>
          <w:sz w:val="24"/>
          <w:szCs w:val="24"/>
        </w:rPr>
        <w:t xml:space="preserve">also </w:t>
      </w:r>
      <w:r w:rsidRPr="008A510B">
        <w:rPr>
          <w:sz w:val="24"/>
          <w:szCs w:val="24"/>
        </w:rPr>
        <w:t>had a weak positive relationship with survival probability (</w:t>
      </w:r>
      <w:r w:rsidR="00325F27" w:rsidRPr="008A510B">
        <w:rPr>
          <w:sz w:val="24"/>
          <w:szCs w:val="24"/>
        </w:rPr>
        <w:t xml:space="preserve">posterior mean of </w:t>
      </w:r>
      <w:r w:rsidRPr="008A510B">
        <w:rPr>
          <w:i/>
          <w:sz w:val="24"/>
          <w:szCs w:val="24"/>
        </w:rPr>
        <w:t xml:space="preserve">β </w:t>
      </w:r>
      <w:r w:rsidRPr="008A510B">
        <w:rPr>
          <w:sz w:val="24"/>
          <w:szCs w:val="24"/>
        </w:rPr>
        <w:t xml:space="preserve">= 0.03, 95% CRI = -0.01 </w:t>
      </w:r>
      <w:r w:rsidR="00D22E19" w:rsidRPr="008A510B">
        <w:rPr>
          <w:sz w:val="24"/>
          <w:szCs w:val="24"/>
        </w:rPr>
        <w:t xml:space="preserve">– </w:t>
      </w:r>
      <w:r w:rsidRPr="008A510B">
        <w:rPr>
          <w:sz w:val="24"/>
          <w:szCs w:val="24"/>
        </w:rPr>
        <w:t>0.</w:t>
      </w:r>
      <w:r w:rsidR="008E2CD0">
        <w:rPr>
          <w:sz w:val="24"/>
          <w:szCs w:val="24"/>
        </w:rPr>
        <w:t>7</w:t>
      </w:r>
      <w:r w:rsidR="00A825CE" w:rsidRPr="008A510B">
        <w:rPr>
          <w:sz w:val="24"/>
          <w:szCs w:val="24"/>
        </w:rPr>
        <w:t xml:space="preserve">, </w:t>
      </w:r>
      <w:r w:rsidR="00922ED5" w:rsidRPr="008A510B">
        <w:rPr>
          <w:sz w:val="24"/>
          <w:szCs w:val="24"/>
        </w:rPr>
        <w:t>SD</w:t>
      </w:r>
      <w:r w:rsidR="00A825CE" w:rsidRPr="008A510B">
        <w:rPr>
          <w:sz w:val="24"/>
          <w:szCs w:val="24"/>
        </w:rPr>
        <w:t xml:space="preserve"> = 0.02</w:t>
      </w:r>
      <w:r w:rsidRPr="008A510B">
        <w:rPr>
          <w:sz w:val="24"/>
          <w:szCs w:val="24"/>
        </w:rPr>
        <w:t xml:space="preserve">). Our results support the use of demographic buffering strategies for </w:t>
      </w:r>
      <w:r w:rsidR="00A6239B" w:rsidRPr="008A510B">
        <w:rPr>
          <w:sz w:val="24"/>
          <w:szCs w:val="24"/>
        </w:rPr>
        <w:t>black brant</w:t>
      </w:r>
      <w:r w:rsidR="00E57794" w:rsidRPr="008A510B">
        <w:rPr>
          <w:sz w:val="24"/>
          <w:szCs w:val="24"/>
        </w:rPr>
        <w:t>;</w:t>
      </w:r>
      <w:r w:rsidRPr="008A510B">
        <w:rPr>
          <w:sz w:val="24"/>
          <w:szCs w:val="24"/>
        </w:rPr>
        <w:t xml:space="preserve"> reductions in </w:t>
      </w:r>
      <w:r w:rsidR="00C80599">
        <w:rPr>
          <w:sz w:val="24"/>
          <w:szCs w:val="24"/>
        </w:rPr>
        <w:t xml:space="preserve">reproductive </w:t>
      </w:r>
      <w:r w:rsidRPr="008A510B">
        <w:rPr>
          <w:sz w:val="24"/>
          <w:szCs w:val="24"/>
        </w:rPr>
        <w:t xml:space="preserve">energy allocation preserve high adult survival rates during years with poor environmental conditions, maximizing future reproductive value. We also indirectly </w:t>
      </w:r>
      <w:r w:rsidR="00E57794" w:rsidRPr="008A510B">
        <w:rPr>
          <w:sz w:val="24"/>
          <w:szCs w:val="24"/>
        </w:rPr>
        <w:t xml:space="preserve">show </w:t>
      </w:r>
      <w:r w:rsidRPr="008A510B">
        <w:rPr>
          <w:sz w:val="24"/>
          <w:szCs w:val="24"/>
        </w:rPr>
        <w:t xml:space="preserve">links among environmental conditions during growth, fitness, and energy allocation, highlighting the </w:t>
      </w:r>
      <w:r w:rsidR="003D3D2D">
        <w:rPr>
          <w:sz w:val="24"/>
          <w:szCs w:val="24"/>
        </w:rPr>
        <w:t xml:space="preserve">effects </w:t>
      </w:r>
      <w:r w:rsidRPr="008A510B">
        <w:rPr>
          <w:sz w:val="24"/>
          <w:szCs w:val="24"/>
        </w:rPr>
        <w:lastRenderedPageBreak/>
        <w:t xml:space="preserve">of early growth conditions on individual heterogeneity, and subsequently, reproductive </w:t>
      </w:r>
      <w:r w:rsidR="00B93579">
        <w:rPr>
          <w:sz w:val="24"/>
          <w:szCs w:val="24"/>
        </w:rPr>
        <w:t>investment</w:t>
      </w:r>
      <w:r w:rsidRPr="008A510B">
        <w:rPr>
          <w:sz w:val="24"/>
          <w:szCs w:val="24"/>
        </w:rPr>
        <w:t>.</w:t>
      </w:r>
    </w:p>
    <w:p w14:paraId="7B5FB32E" w14:textId="009EC4F4" w:rsidR="00CF25C8" w:rsidRDefault="003A76CE" w:rsidP="00CF25C8">
      <w:pPr>
        <w:spacing w:line="480" w:lineRule="auto"/>
        <w:rPr>
          <w:sz w:val="24"/>
          <w:szCs w:val="24"/>
        </w:rPr>
      </w:pPr>
      <w:r w:rsidRPr="008A510B">
        <w:rPr>
          <w:i/>
          <w:iCs/>
          <w:sz w:val="24"/>
          <w:szCs w:val="24"/>
        </w:rPr>
        <w:t xml:space="preserve">Keywords: </w:t>
      </w:r>
      <w:r w:rsidR="00A6239B" w:rsidRPr="008A510B">
        <w:rPr>
          <w:sz w:val="24"/>
          <w:szCs w:val="24"/>
        </w:rPr>
        <w:t>black brant</w:t>
      </w:r>
      <w:r w:rsidRPr="008A510B">
        <w:rPr>
          <w:sz w:val="24"/>
          <w:szCs w:val="24"/>
        </w:rPr>
        <w:t>, breeding probability, fitness, life-history, reproduction, survival, trade-offs</w:t>
      </w:r>
    </w:p>
    <w:p w14:paraId="63AA3AE8" w14:textId="77777777" w:rsidR="00CF25C8" w:rsidRDefault="00CF25C8">
      <w:pPr>
        <w:widowControl/>
        <w:autoSpaceDE/>
        <w:autoSpaceDN/>
        <w:rPr>
          <w:sz w:val="24"/>
          <w:szCs w:val="24"/>
        </w:rPr>
      </w:pPr>
      <w:r>
        <w:rPr>
          <w:sz w:val="24"/>
          <w:szCs w:val="24"/>
        </w:rPr>
        <w:br w:type="page"/>
      </w:r>
    </w:p>
    <w:p w14:paraId="11C22255" w14:textId="65F67D36" w:rsidR="00CF25C8" w:rsidRDefault="00CF25C8" w:rsidP="00CF25C8">
      <w:pPr>
        <w:spacing w:line="480" w:lineRule="auto"/>
        <w:rPr>
          <w:rFonts w:eastAsiaTheme="minorHAnsi"/>
          <w:sz w:val="24"/>
          <w:szCs w:val="24"/>
        </w:rPr>
      </w:pPr>
      <w:r>
        <w:rPr>
          <w:rFonts w:eastAsiaTheme="minorHAnsi"/>
          <w:b/>
          <w:bCs/>
          <w:sz w:val="24"/>
          <w:szCs w:val="24"/>
        </w:rPr>
        <w:lastRenderedPageBreak/>
        <w:t>COVER LETTER</w:t>
      </w:r>
    </w:p>
    <w:p w14:paraId="439880AD" w14:textId="77777777" w:rsidR="00CF25C8" w:rsidRPr="009A2068" w:rsidRDefault="00CF25C8">
      <w:pPr>
        <w:rPr>
          <w:sz w:val="24"/>
          <w:szCs w:val="24"/>
        </w:rPr>
      </w:pPr>
      <w:r w:rsidRPr="009A2068">
        <w:rPr>
          <w:sz w:val="24"/>
          <w:szCs w:val="24"/>
        </w:rPr>
        <w:t>Madeleine G. Lohman</w:t>
      </w:r>
    </w:p>
    <w:p w14:paraId="4C8D3873" w14:textId="77777777" w:rsidR="00CF25C8" w:rsidRPr="009A2068" w:rsidRDefault="00CF25C8">
      <w:pPr>
        <w:rPr>
          <w:sz w:val="24"/>
          <w:szCs w:val="24"/>
        </w:rPr>
      </w:pPr>
      <w:r w:rsidRPr="009A2068">
        <w:rPr>
          <w:sz w:val="24"/>
          <w:szCs w:val="24"/>
        </w:rPr>
        <w:t>Program in Ecology, Evolution, and Conservation Biology</w:t>
      </w:r>
    </w:p>
    <w:p w14:paraId="60BB782E" w14:textId="77777777" w:rsidR="00CF25C8" w:rsidRPr="009A2068" w:rsidRDefault="00CF25C8">
      <w:pPr>
        <w:rPr>
          <w:sz w:val="24"/>
          <w:szCs w:val="24"/>
        </w:rPr>
      </w:pPr>
      <w:r w:rsidRPr="009A2068">
        <w:rPr>
          <w:sz w:val="24"/>
          <w:szCs w:val="24"/>
        </w:rPr>
        <w:t>University of Nevada, Reno</w:t>
      </w:r>
    </w:p>
    <w:p w14:paraId="12FE65D7" w14:textId="77777777" w:rsidR="00CF25C8" w:rsidRPr="009A2068" w:rsidRDefault="00CF25C8">
      <w:pPr>
        <w:rPr>
          <w:sz w:val="24"/>
          <w:szCs w:val="24"/>
        </w:rPr>
      </w:pPr>
      <w:r w:rsidRPr="009A2068">
        <w:rPr>
          <w:sz w:val="24"/>
          <w:szCs w:val="24"/>
        </w:rPr>
        <w:t>1664 North Virginia St. 186</w:t>
      </w:r>
    </w:p>
    <w:p w14:paraId="44959683" w14:textId="77777777" w:rsidR="00CF25C8" w:rsidRPr="009A2068" w:rsidRDefault="00CF25C8">
      <w:pPr>
        <w:rPr>
          <w:sz w:val="24"/>
          <w:szCs w:val="24"/>
        </w:rPr>
      </w:pPr>
      <w:r w:rsidRPr="009A2068">
        <w:rPr>
          <w:sz w:val="24"/>
          <w:szCs w:val="24"/>
        </w:rPr>
        <w:t>Reno, NV 89557</w:t>
      </w:r>
    </w:p>
    <w:p w14:paraId="39BBFC47" w14:textId="77777777" w:rsidR="00CF25C8" w:rsidRPr="009A2068" w:rsidRDefault="00CF25C8">
      <w:pPr>
        <w:rPr>
          <w:sz w:val="24"/>
          <w:szCs w:val="24"/>
        </w:rPr>
      </w:pPr>
      <w:r w:rsidRPr="009A2068">
        <w:rPr>
          <w:sz w:val="24"/>
          <w:szCs w:val="24"/>
        </w:rPr>
        <w:t>Email: mlohman@nevada.unr.edu</w:t>
      </w:r>
    </w:p>
    <w:p w14:paraId="7BC9FDB7" w14:textId="77777777" w:rsidR="00CF25C8" w:rsidRPr="009A2068" w:rsidRDefault="00CF25C8">
      <w:pPr>
        <w:rPr>
          <w:sz w:val="24"/>
          <w:szCs w:val="24"/>
        </w:rPr>
      </w:pPr>
    </w:p>
    <w:p w14:paraId="0F175217" w14:textId="14BB7E31" w:rsidR="00CF25C8" w:rsidRPr="009A2068" w:rsidRDefault="00CF25C8">
      <w:pPr>
        <w:rPr>
          <w:sz w:val="24"/>
          <w:szCs w:val="24"/>
        </w:rPr>
      </w:pPr>
      <w:r>
        <w:rPr>
          <w:sz w:val="24"/>
          <w:szCs w:val="24"/>
        </w:rPr>
        <w:t>May 3,</w:t>
      </w:r>
      <w:r w:rsidRPr="009A2068">
        <w:rPr>
          <w:sz w:val="24"/>
          <w:szCs w:val="24"/>
        </w:rPr>
        <w:t xml:space="preserve"> 2021</w:t>
      </w:r>
    </w:p>
    <w:p w14:paraId="0CB4F288" w14:textId="77777777" w:rsidR="00CF25C8" w:rsidRPr="009A2068" w:rsidRDefault="00CF25C8">
      <w:pPr>
        <w:rPr>
          <w:sz w:val="24"/>
          <w:szCs w:val="24"/>
        </w:rPr>
      </w:pPr>
    </w:p>
    <w:p w14:paraId="14C90B66" w14:textId="77777777" w:rsidR="00CF25C8" w:rsidRPr="009A2068" w:rsidRDefault="00CF25C8">
      <w:pPr>
        <w:rPr>
          <w:sz w:val="24"/>
          <w:szCs w:val="24"/>
        </w:rPr>
      </w:pPr>
      <w:r w:rsidRPr="009A2068">
        <w:rPr>
          <w:sz w:val="24"/>
          <w:szCs w:val="24"/>
        </w:rPr>
        <w:t>Ecology and Evolution, Editorial Board:</w:t>
      </w:r>
    </w:p>
    <w:p w14:paraId="7FC7002C" w14:textId="77777777" w:rsidR="00CF25C8" w:rsidRPr="009A2068" w:rsidRDefault="00CF25C8">
      <w:pPr>
        <w:rPr>
          <w:sz w:val="24"/>
          <w:szCs w:val="24"/>
        </w:rPr>
      </w:pPr>
    </w:p>
    <w:p w14:paraId="184917E1" w14:textId="3E304BDB" w:rsidR="00CF25C8" w:rsidRPr="009A2068" w:rsidRDefault="00CF25C8" w:rsidP="009A2068">
      <w:pPr>
        <w:spacing w:line="480" w:lineRule="auto"/>
        <w:ind w:right="276"/>
        <w:rPr>
          <w:sz w:val="24"/>
          <w:szCs w:val="24"/>
        </w:rPr>
      </w:pPr>
      <w:r w:rsidRPr="009A2068">
        <w:rPr>
          <w:sz w:val="24"/>
          <w:szCs w:val="24"/>
        </w:rPr>
        <w:tab/>
        <w:t xml:space="preserve">We ask you to consider our submission of </w:t>
      </w:r>
      <w:r w:rsidRPr="009A2068">
        <w:rPr>
          <w:i/>
          <w:iCs/>
          <w:sz w:val="24"/>
          <w:szCs w:val="24"/>
        </w:rPr>
        <w:t>Individual heterogeneity in fitness in a long-lived herbivore</w:t>
      </w:r>
      <w:r w:rsidRPr="009A2068">
        <w:rPr>
          <w:sz w:val="24"/>
          <w:szCs w:val="24"/>
        </w:rPr>
        <w:t xml:space="preserve">, the attached manuscript, for publication in Ecology and Evolution. This manuscript connects within- and among-year reproductive trade-offs in a long-lived species and shows the important contributions of individual heterogeneity to fitness.  </w:t>
      </w:r>
    </w:p>
    <w:p w14:paraId="10EF899C" w14:textId="5BAB5744" w:rsidR="00CF25C8" w:rsidRPr="009A2068" w:rsidRDefault="00CF25C8" w:rsidP="009A2068">
      <w:pPr>
        <w:spacing w:line="480" w:lineRule="auto"/>
        <w:ind w:right="276" w:firstLine="720"/>
        <w:rPr>
          <w:sz w:val="24"/>
          <w:szCs w:val="24"/>
        </w:rPr>
      </w:pPr>
      <w:r w:rsidRPr="009A2068">
        <w:rPr>
          <w:sz w:val="24"/>
          <w:szCs w:val="24"/>
        </w:rPr>
        <w:t>Using long-term (1988–2014) capture-mark-recapture and reproductive data of adult female Pacific black brent (</w:t>
      </w:r>
      <w:r w:rsidRPr="009A2068">
        <w:rPr>
          <w:i/>
          <w:iCs/>
          <w:sz w:val="24"/>
          <w:szCs w:val="24"/>
        </w:rPr>
        <w:t>Branta bernicla nigricans</w:t>
      </w:r>
      <w:r w:rsidRPr="009A2068">
        <w:rPr>
          <w:sz w:val="24"/>
          <w:szCs w:val="24"/>
        </w:rPr>
        <w:t>), we link individual clutch sizes and initiation dates with yearly survival and breeding probabilities. Our results support the demographic buffering hypothesis and illustrate the role of individual heterogeneity in regulating reproductive output and lifetime fitness. Further, we indirectly show how early growth conditions may affect individual heterogeneity, and thus reproductive investment, for long-lived organisms by connecting environmental conditions during growth, fitness, and energy allocation. Ultimately, understanding the dynamics of reproductive trade-offs, individual heterogeneity, and early growth conditions can help create better demographic predictions for brent and other long-lived organisms.</w:t>
      </w:r>
    </w:p>
    <w:p w14:paraId="507EE61C" w14:textId="0ACF54EB" w:rsidR="00CF25C8" w:rsidRPr="009A2068" w:rsidRDefault="00CF25C8" w:rsidP="009A2068">
      <w:pPr>
        <w:spacing w:line="480" w:lineRule="auto"/>
        <w:ind w:right="276" w:firstLine="720"/>
        <w:rPr>
          <w:i/>
          <w:iCs/>
          <w:caps/>
          <w:sz w:val="24"/>
          <w:szCs w:val="24"/>
        </w:rPr>
      </w:pPr>
      <w:r w:rsidRPr="009A2068">
        <w:rPr>
          <w:sz w:val="24"/>
          <w:szCs w:val="24"/>
        </w:rPr>
        <w:t xml:space="preserve">This original research has not been published and is not under consideration for publication elsewhere. All authors and institutions approve of the content of the manuscript. We have acknowledged all funding sources and will receive no direct financial benefits from </w:t>
      </w:r>
      <w:r w:rsidRPr="009A2068">
        <w:rPr>
          <w:sz w:val="24"/>
          <w:szCs w:val="24"/>
        </w:rPr>
        <w:lastRenderedPageBreak/>
        <w:t>this publication. The University of Nevada, Reno Institutional Animal Care and Use Committees approved all animal care and use. Please address correspondence to Madeleine Lohman.</w:t>
      </w:r>
      <w:r w:rsidRPr="009A2068">
        <w:rPr>
          <w:sz w:val="24"/>
          <w:szCs w:val="24"/>
        </w:rPr>
        <w:br/>
        <w:t>     We thank you for your consideration of this manuscript and look forward to your correspondence.</w:t>
      </w:r>
      <w:r w:rsidRPr="009A2068">
        <w:rPr>
          <w:sz w:val="24"/>
          <w:szCs w:val="24"/>
        </w:rPr>
        <w:br/>
      </w:r>
      <w:r w:rsidRPr="009A2068">
        <w:rPr>
          <w:sz w:val="24"/>
          <w:szCs w:val="24"/>
        </w:rPr>
        <w:br/>
        <w:t>Sincerely,</w:t>
      </w:r>
      <w:r w:rsidRPr="009A2068">
        <w:rPr>
          <w:sz w:val="24"/>
          <w:szCs w:val="24"/>
        </w:rPr>
        <w:br/>
        <w:t>Madeleine Lohman (Corresponding Author)</w:t>
      </w:r>
    </w:p>
    <w:p w14:paraId="21BF9A73" w14:textId="77777777" w:rsidR="00CF25C8" w:rsidRPr="00CC1997" w:rsidRDefault="00CF25C8" w:rsidP="009A2068">
      <w:pPr>
        <w:spacing w:line="480" w:lineRule="auto"/>
        <w:rPr>
          <w:rFonts w:eastAsiaTheme="minorHAnsi"/>
          <w:sz w:val="24"/>
          <w:szCs w:val="24"/>
        </w:rPr>
      </w:pPr>
    </w:p>
    <w:p w14:paraId="63D8D643" w14:textId="62111C87" w:rsidR="0023339E" w:rsidRPr="008A510B" w:rsidRDefault="0023339E" w:rsidP="009A2068">
      <w:pPr>
        <w:spacing w:line="480" w:lineRule="auto"/>
        <w:rPr>
          <w:b/>
          <w:bCs/>
          <w:sz w:val="24"/>
          <w:szCs w:val="24"/>
        </w:rPr>
      </w:pPr>
      <w:r w:rsidRPr="008A510B">
        <w:rPr>
          <w:sz w:val="24"/>
          <w:szCs w:val="24"/>
        </w:rPr>
        <w:br w:type="page"/>
      </w:r>
    </w:p>
    <w:p w14:paraId="2169EC5D" w14:textId="77777777" w:rsidR="003A76CE" w:rsidRPr="008A510B" w:rsidRDefault="003A76CE" w:rsidP="00C63ABB">
      <w:pPr>
        <w:pStyle w:val="Heading1"/>
        <w:spacing w:before="0" w:line="480" w:lineRule="auto"/>
        <w:rPr>
          <w:sz w:val="24"/>
          <w:szCs w:val="24"/>
        </w:rPr>
      </w:pPr>
      <w:r w:rsidRPr="00C63ABB">
        <w:rPr>
          <w:sz w:val="24"/>
          <w:szCs w:val="24"/>
        </w:rPr>
        <w:lastRenderedPageBreak/>
        <w:t>INTRODUCTION</w:t>
      </w:r>
    </w:p>
    <w:p w14:paraId="46C6DF75" w14:textId="24C5F989" w:rsidR="003A76CE" w:rsidRPr="008A510B" w:rsidRDefault="003A76CE">
      <w:pPr>
        <w:spacing w:line="480" w:lineRule="auto"/>
        <w:ind w:firstLine="720"/>
        <w:rPr>
          <w:sz w:val="24"/>
          <w:szCs w:val="24"/>
        </w:rPr>
      </w:pPr>
      <w:r w:rsidRPr="008A510B">
        <w:rPr>
          <w:sz w:val="24"/>
          <w:szCs w:val="24"/>
        </w:rPr>
        <w:t>Expression of life-history traits may be conditional on the current physiological state or environmental conditions experienced by individuals because such flexibility maximizes fitness (McNamara and Houston 1996). The negative association between clutch size and laying date, which is ubiquitous in birds (Klomp 1970), is an important example of</w:t>
      </w:r>
      <w:r w:rsidR="00325F27" w:rsidRPr="008A510B">
        <w:rPr>
          <w:sz w:val="24"/>
          <w:szCs w:val="24"/>
        </w:rPr>
        <w:t xml:space="preserve"> physiological</w:t>
      </w:r>
      <w:r w:rsidRPr="008A510B">
        <w:rPr>
          <w:sz w:val="24"/>
          <w:szCs w:val="24"/>
        </w:rPr>
        <w:t xml:space="preserve"> state-dependent life-histories. Covariation between clutch size and laying date is driven by a trade-off between the quantity of offspring individuals in a particular state can produce on a given breeding date against the declining quality of those offspring as laying date progresses (Drent and Daan 1980, Daan et al. 1990, Rowe et al. 1994). This covariation is at least partially under genetic control (Sheldon et al. 2003) and mediated by physiological processes that translate environmental cues into the expression of life-history traits (Meijer et al. 1990, </w:t>
      </w:r>
      <w:proofErr w:type="spellStart"/>
      <w:r w:rsidRPr="008A510B">
        <w:rPr>
          <w:sz w:val="24"/>
          <w:szCs w:val="24"/>
        </w:rPr>
        <w:t>Sinervo</w:t>
      </w:r>
      <w:proofErr w:type="spellEnd"/>
      <w:r w:rsidRPr="008A510B">
        <w:rPr>
          <w:sz w:val="24"/>
          <w:szCs w:val="24"/>
        </w:rPr>
        <w:t xml:space="preserve"> and </w:t>
      </w:r>
      <w:proofErr w:type="spellStart"/>
      <w:r w:rsidRPr="008A510B">
        <w:rPr>
          <w:sz w:val="24"/>
          <w:szCs w:val="24"/>
        </w:rPr>
        <w:t>Svensson</w:t>
      </w:r>
      <w:proofErr w:type="spellEnd"/>
      <w:r w:rsidRPr="008A510B">
        <w:rPr>
          <w:sz w:val="24"/>
          <w:szCs w:val="24"/>
        </w:rPr>
        <w:t xml:space="preserve"> 1998). Parallel patterns of clutch size and laying date occur in long-distance migrants, driven by variation in nutritional status before and during spring migration (</w:t>
      </w:r>
      <w:proofErr w:type="spellStart"/>
      <w:r w:rsidRPr="008A510B">
        <w:rPr>
          <w:sz w:val="24"/>
          <w:szCs w:val="24"/>
        </w:rPr>
        <w:t>Bêty</w:t>
      </w:r>
      <w:proofErr w:type="spellEnd"/>
      <w:r w:rsidRPr="008A510B">
        <w:rPr>
          <w:sz w:val="24"/>
          <w:szCs w:val="24"/>
        </w:rPr>
        <w:t xml:space="preserve"> et al. 2003, Prop </w:t>
      </w:r>
      <w:r w:rsidR="00FA4D69" w:rsidRPr="008A510B">
        <w:rPr>
          <w:sz w:val="24"/>
          <w:szCs w:val="24"/>
        </w:rPr>
        <w:t>&amp; de Vries 1993</w:t>
      </w:r>
      <w:r w:rsidRPr="008A510B">
        <w:rPr>
          <w:sz w:val="24"/>
          <w:szCs w:val="24"/>
        </w:rPr>
        <w:t>). In these species</w:t>
      </w:r>
      <w:r w:rsidR="00CE1E75" w:rsidRPr="008A510B">
        <w:rPr>
          <w:sz w:val="24"/>
          <w:szCs w:val="24"/>
        </w:rPr>
        <w:t>,</w:t>
      </w:r>
      <w:r w:rsidRPr="008A510B">
        <w:rPr>
          <w:sz w:val="24"/>
          <w:szCs w:val="24"/>
        </w:rPr>
        <w:t xml:space="preserve"> nutritional status influences </w:t>
      </w:r>
      <w:r w:rsidR="002A56ED" w:rsidRPr="008A510B">
        <w:rPr>
          <w:sz w:val="24"/>
          <w:szCs w:val="24"/>
        </w:rPr>
        <w:t xml:space="preserve">the </w:t>
      </w:r>
      <w:r w:rsidRPr="008A510B">
        <w:rPr>
          <w:sz w:val="24"/>
          <w:szCs w:val="24"/>
        </w:rPr>
        <w:t>timing of migration and arrival on breeding areas. Individuals with smaller nutrient reserves tend to arrive on breeding areas later and nest later (</w:t>
      </w:r>
      <w:proofErr w:type="spellStart"/>
      <w:r w:rsidRPr="008A510B">
        <w:rPr>
          <w:sz w:val="24"/>
          <w:szCs w:val="24"/>
        </w:rPr>
        <w:t>Bêty</w:t>
      </w:r>
      <w:proofErr w:type="spellEnd"/>
      <w:r w:rsidRPr="008A510B">
        <w:rPr>
          <w:sz w:val="24"/>
          <w:szCs w:val="24"/>
        </w:rPr>
        <w:t xml:space="preserve"> et al. 2003, Prop et al. 2003), although they do not delay long enough to acquire sufficient nutrients to produce the largest clutches, resulting </w:t>
      </w:r>
      <w:r w:rsidR="002A56ED" w:rsidRPr="008A510B">
        <w:rPr>
          <w:sz w:val="24"/>
          <w:szCs w:val="24"/>
        </w:rPr>
        <w:t xml:space="preserve">in </w:t>
      </w:r>
      <w:r w:rsidRPr="008A510B">
        <w:rPr>
          <w:sz w:val="24"/>
          <w:szCs w:val="24"/>
        </w:rPr>
        <w:t xml:space="preserve">a decline in clutch size (Hamann and Cooke 1989, </w:t>
      </w:r>
      <w:proofErr w:type="spellStart"/>
      <w:r w:rsidRPr="008A510B">
        <w:rPr>
          <w:sz w:val="24"/>
          <w:szCs w:val="24"/>
        </w:rPr>
        <w:t>Dalhaug</w:t>
      </w:r>
      <w:proofErr w:type="spellEnd"/>
      <w:r w:rsidRPr="008A510B">
        <w:rPr>
          <w:sz w:val="24"/>
          <w:szCs w:val="24"/>
        </w:rPr>
        <w:t xml:space="preserve"> et al. 1996, </w:t>
      </w:r>
      <w:proofErr w:type="spellStart"/>
      <w:r w:rsidRPr="008A510B">
        <w:rPr>
          <w:sz w:val="24"/>
          <w:szCs w:val="24"/>
        </w:rPr>
        <w:t>Bêty</w:t>
      </w:r>
      <w:proofErr w:type="spellEnd"/>
      <w:r w:rsidRPr="008A510B">
        <w:rPr>
          <w:sz w:val="24"/>
          <w:szCs w:val="24"/>
        </w:rPr>
        <w:t xml:space="preserve"> et al. 2003). The “individual optimization” or “prudent parent” strategy, as </w:t>
      </w:r>
      <w:r w:rsidR="00A165EB" w:rsidRPr="008A510B">
        <w:rPr>
          <w:sz w:val="24"/>
          <w:szCs w:val="24"/>
        </w:rPr>
        <w:t>this strategy is</w:t>
      </w:r>
      <w:r w:rsidRPr="008A510B">
        <w:rPr>
          <w:sz w:val="24"/>
          <w:szCs w:val="24"/>
        </w:rPr>
        <w:t xml:space="preserve"> known</w:t>
      </w:r>
      <w:r w:rsidR="00A165EB" w:rsidRPr="008A510B">
        <w:rPr>
          <w:sz w:val="24"/>
          <w:szCs w:val="24"/>
        </w:rPr>
        <w:t>,</w:t>
      </w:r>
      <w:r w:rsidRPr="008A510B">
        <w:rPr>
          <w:sz w:val="24"/>
          <w:szCs w:val="24"/>
        </w:rPr>
        <w:t xml:space="preserve"> does not </w:t>
      </w:r>
      <w:r w:rsidR="00D22E19" w:rsidRPr="008A510B">
        <w:rPr>
          <w:sz w:val="24"/>
          <w:szCs w:val="24"/>
        </w:rPr>
        <w:t>equalize yearly</w:t>
      </w:r>
      <w:r w:rsidRPr="008A510B">
        <w:rPr>
          <w:sz w:val="24"/>
          <w:szCs w:val="24"/>
        </w:rPr>
        <w:t xml:space="preserve"> reproductive fitness advantages </w:t>
      </w:r>
      <w:r w:rsidR="00A165EB" w:rsidRPr="008A510B">
        <w:rPr>
          <w:sz w:val="24"/>
          <w:szCs w:val="24"/>
        </w:rPr>
        <w:t>for</w:t>
      </w:r>
      <w:r w:rsidRPr="008A510B">
        <w:rPr>
          <w:sz w:val="24"/>
          <w:szCs w:val="24"/>
        </w:rPr>
        <w:t xml:space="preserve"> individuals in </w:t>
      </w:r>
      <w:r w:rsidR="00D22E19" w:rsidRPr="008A510B">
        <w:rPr>
          <w:sz w:val="24"/>
          <w:szCs w:val="24"/>
        </w:rPr>
        <w:t xml:space="preserve">inferior and </w:t>
      </w:r>
      <w:r w:rsidRPr="008A510B">
        <w:rPr>
          <w:sz w:val="24"/>
          <w:szCs w:val="24"/>
        </w:rPr>
        <w:t>superior state</w:t>
      </w:r>
      <w:r w:rsidR="00D22E19" w:rsidRPr="008A510B">
        <w:rPr>
          <w:sz w:val="24"/>
          <w:szCs w:val="24"/>
        </w:rPr>
        <w:t>s</w:t>
      </w:r>
      <w:r w:rsidRPr="008A510B">
        <w:rPr>
          <w:sz w:val="24"/>
          <w:szCs w:val="24"/>
        </w:rPr>
        <w:t xml:space="preserve"> before the breeding season; individuals </w:t>
      </w:r>
      <w:r w:rsidR="00D22E19" w:rsidRPr="008A510B">
        <w:rPr>
          <w:sz w:val="24"/>
          <w:szCs w:val="24"/>
        </w:rPr>
        <w:t xml:space="preserve">in superior states still </w:t>
      </w:r>
      <w:r w:rsidRPr="008A510B">
        <w:rPr>
          <w:sz w:val="24"/>
          <w:szCs w:val="24"/>
        </w:rPr>
        <w:t xml:space="preserve">produce more and higher quality offspring than </w:t>
      </w:r>
      <w:r w:rsidR="00A165EB" w:rsidRPr="008A510B">
        <w:rPr>
          <w:sz w:val="24"/>
          <w:szCs w:val="24"/>
        </w:rPr>
        <w:t xml:space="preserve">those </w:t>
      </w:r>
      <w:r w:rsidRPr="008A510B">
        <w:rPr>
          <w:sz w:val="24"/>
          <w:szCs w:val="24"/>
        </w:rPr>
        <w:t xml:space="preserve">in </w:t>
      </w:r>
      <w:r w:rsidR="00D22E19" w:rsidRPr="008A510B">
        <w:rPr>
          <w:sz w:val="24"/>
          <w:szCs w:val="24"/>
        </w:rPr>
        <w:t xml:space="preserve">inferior </w:t>
      </w:r>
      <w:r w:rsidRPr="008A510B">
        <w:rPr>
          <w:sz w:val="24"/>
          <w:szCs w:val="24"/>
        </w:rPr>
        <w:t xml:space="preserve">states before breeding (Prop et al. 2003, </w:t>
      </w:r>
      <w:proofErr w:type="spellStart"/>
      <w:r w:rsidRPr="008A510B">
        <w:rPr>
          <w:sz w:val="24"/>
          <w:szCs w:val="24"/>
        </w:rPr>
        <w:t>B</w:t>
      </w:r>
      <w:r w:rsidR="00FA4D69" w:rsidRPr="008A510B">
        <w:rPr>
          <w:sz w:val="24"/>
          <w:szCs w:val="24"/>
        </w:rPr>
        <w:t>ê</w:t>
      </w:r>
      <w:r w:rsidRPr="008A510B">
        <w:rPr>
          <w:sz w:val="24"/>
          <w:szCs w:val="24"/>
        </w:rPr>
        <w:t>ty</w:t>
      </w:r>
      <w:proofErr w:type="spellEnd"/>
      <w:r w:rsidRPr="008A510B">
        <w:rPr>
          <w:sz w:val="24"/>
          <w:szCs w:val="24"/>
        </w:rPr>
        <w:t xml:space="preserve"> et al. 2003). </w:t>
      </w:r>
    </w:p>
    <w:p w14:paraId="567775C0" w14:textId="3F4FDA75" w:rsidR="003A76CE" w:rsidRPr="008A510B" w:rsidRDefault="003A76CE">
      <w:pPr>
        <w:spacing w:line="480" w:lineRule="auto"/>
        <w:rPr>
          <w:sz w:val="24"/>
          <w:szCs w:val="24"/>
        </w:rPr>
      </w:pPr>
      <w:r w:rsidRPr="008A510B">
        <w:rPr>
          <w:sz w:val="24"/>
          <w:szCs w:val="24"/>
        </w:rPr>
        <w:tab/>
        <w:t xml:space="preserve">Reproductive strategies </w:t>
      </w:r>
      <w:r w:rsidR="00C500A0" w:rsidRPr="008A510B">
        <w:rPr>
          <w:sz w:val="24"/>
          <w:szCs w:val="24"/>
        </w:rPr>
        <w:t>also derive from</w:t>
      </w:r>
      <w:r w:rsidRPr="008A510B">
        <w:rPr>
          <w:sz w:val="24"/>
          <w:szCs w:val="24"/>
        </w:rPr>
        <w:t xml:space="preserve"> trade-offs between current and future </w:t>
      </w:r>
      <w:r w:rsidRPr="008A510B">
        <w:rPr>
          <w:sz w:val="24"/>
          <w:szCs w:val="24"/>
        </w:rPr>
        <w:lastRenderedPageBreak/>
        <w:t>reproductive fitness or the quantity and quality of offspring in the current reproductive event</w:t>
      </w:r>
      <w:r w:rsidR="00F82FB9" w:rsidRPr="008A510B">
        <w:rPr>
          <w:sz w:val="24"/>
          <w:szCs w:val="24"/>
        </w:rPr>
        <w:t xml:space="preserve"> (Stearns 1992)</w:t>
      </w:r>
      <w:r w:rsidRPr="008A510B">
        <w:rPr>
          <w:sz w:val="24"/>
          <w:szCs w:val="24"/>
        </w:rPr>
        <w:t>. Such trade-offs are well established by potentially hundreds of experimental studies for species with altricial young, beginning with Lack’s revolutionary studies (e.g., Lack 1948, 1950) and continuing to the present (Leach et al. 2019). A larger number of studies have detected trade-offs between quantity and quality of offspring (Klomp 1970) than between current and future reproduction (Santos and Nakagawa 2012), possibly because of the difficulty of detecting the latter.</w:t>
      </w:r>
    </w:p>
    <w:p w14:paraId="1DFC5540" w14:textId="2E3346E5" w:rsidR="005B7921" w:rsidRPr="008A510B" w:rsidRDefault="00325F27">
      <w:pPr>
        <w:spacing w:line="480" w:lineRule="auto"/>
        <w:ind w:firstLine="720"/>
        <w:rPr>
          <w:sz w:val="24"/>
          <w:szCs w:val="24"/>
        </w:rPr>
      </w:pPr>
      <w:r w:rsidRPr="008A510B">
        <w:rPr>
          <w:sz w:val="24"/>
          <w:szCs w:val="24"/>
        </w:rPr>
        <w:t>Species</w:t>
      </w:r>
      <w:r w:rsidR="003A76CE" w:rsidRPr="008A510B">
        <w:rPr>
          <w:sz w:val="24"/>
          <w:szCs w:val="24"/>
        </w:rPr>
        <w:t xml:space="preserve"> with precocial young do not feed their </w:t>
      </w:r>
      <w:r w:rsidR="00D22E19" w:rsidRPr="008A510B">
        <w:rPr>
          <w:sz w:val="24"/>
          <w:szCs w:val="24"/>
        </w:rPr>
        <w:t>offspring,</w:t>
      </w:r>
      <w:r w:rsidRPr="008A510B">
        <w:rPr>
          <w:sz w:val="24"/>
          <w:szCs w:val="24"/>
        </w:rPr>
        <w:t xml:space="preserve"> which has</w:t>
      </w:r>
      <w:r w:rsidR="003A76CE" w:rsidRPr="008A510B">
        <w:rPr>
          <w:sz w:val="24"/>
          <w:szCs w:val="24"/>
        </w:rPr>
        <w:t xml:space="preserve"> led investigators to assume that clutch size must be limited by the proximal constraint of nutrients available to females before or during egg laying (Lack 1967, Ankney and MacInnes 1978, </w:t>
      </w:r>
      <w:proofErr w:type="spellStart"/>
      <w:r w:rsidR="003A76CE" w:rsidRPr="008A510B">
        <w:rPr>
          <w:sz w:val="24"/>
          <w:szCs w:val="24"/>
        </w:rPr>
        <w:t>Alisauskas</w:t>
      </w:r>
      <w:proofErr w:type="spellEnd"/>
      <w:r w:rsidR="003A76CE" w:rsidRPr="008A510B">
        <w:rPr>
          <w:sz w:val="24"/>
          <w:szCs w:val="24"/>
        </w:rPr>
        <w:t xml:space="preserve"> and Ankney 1992). Recently, experimental manipulations of clutch and brood size in </w:t>
      </w:r>
      <w:r w:rsidR="00A6239B" w:rsidRPr="008A510B">
        <w:rPr>
          <w:sz w:val="24"/>
          <w:szCs w:val="24"/>
        </w:rPr>
        <w:t xml:space="preserve">black brant </w:t>
      </w:r>
      <w:r w:rsidR="003A76CE" w:rsidRPr="008A510B">
        <w:rPr>
          <w:sz w:val="24"/>
          <w:szCs w:val="24"/>
        </w:rPr>
        <w:t>(</w:t>
      </w:r>
      <w:r w:rsidR="003A76CE" w:rsidRPr="008A510B">
        <w:rPr>
          <w:i/>
          <w:sz w:val="24"/>
          <w:szCs w:val="24"/>
        </w:rPr>
        <w:t>Branta bernicla nigricans</w:t>
      </w:r>
      <w:r w:rsidR="003A76CE" w:rsidRPr="008A510B">
        <w:rPr>
          <w:sz w:val="24"/>
          <w:szCs w:val="24"/>
        </w:rPr>
        <w:t>, hereafter brant) demonstrated diminishing</w:t>
      </w:r>
      <w:r w:rsidRPr="008A510B">
        <w:rPr>
          <w:sz w:val="24"/>
          <w:szCs w:val="24"/>
        </w:rPr>
        <w:t xml:space="preserve"> fitness</w:t>
      </w:r>
      <w:r w:rsidR="003A76CE" w:rsidRPr="008A510B">
        <w:rPr>
          <w:sz w:val="24"/>
          <w:szCs w:val="24"/>
        </w:rPr>
        <w:t xml:space="preserve"> returns as brood size increased (Sedinger et al. 2017) and costs to future reproduction of producing broods larger than the </w:t>
      </w:r>
      <w:r w:rsidR="000535F9" w:rsidRPr="008A510B">
        <w:rPr>
          <w:sz w:val="24"/>
          <w:szCs w:val="24"/>
        </w:rPr>
        <w:t xml:space="preserve">most </w:t>
      </w:r>
      <w:r w:rsidR="003A76CE" w:rsidRPr="008A510B">
        <w:rPr>
          <w:sz w:val="24"/>
          <w:szCs w:val="24"/>
        </w:rPr>
        <w:t xml:space="preserve">common brood size of four (Leach et al. 2019). Additionally, egg size </w:t>
      </w:r>
      <w:r w:rsidR="00DB0531" w:rsidRPr="008A510B">
        <w:rPr>
          <w:sz w:val="24"/>
          <w:szCs w:val="24"/>
        </w:rPr>
        <w:t>has a positive association</w:t>
      </w:r>
      <w:r w:rsidR="003A76CE" w:rsidRPr="008A510B">
        <w:rPr>
          <w:sz w:val="24"/>
          <w:szCs w:val="24"/>
        </w:rPr>
        <w:t xml:space="preserve"> with the size of goslings at fledging (Acevedo et al. 2020), which strongly influences first-year survival (Sedinger and </w:t>
      </w:r>
      <w:proofErr w:type="spellStart"/>
      <w:r w:rsidR="003A76CE" w:rsidRPr="008A510B">
        <w:rPr>
          <w:sz w:val="24"/>
          <w:szCs w:val="24"/>
        </w:rPr>
        <w:t>Chelgren</w:t>
      </w:r>
      <w:proofErr w:type="spellEnd"/>
      <w:r w:rsidR="003A76CE" w:rsidRPr="008A510B">
        <w:rPr>
          <w:sz w:val="24"/>
          <w:szCs w:val="24"/>
        </w:rPr>
        <w:t xml:space="preserve"> 2007) and recruitment into the breeding population (Sedinger et al. 2004</w:t>
      </w:r>
      <w:r w:rsidR="00DB6A37" w:rsidRPr="008A510B">
        <w:rPr>
          <w:sz w:val="24"/>
          <w:szCs w:val="24"/>
        </w:rPr>
        <w:t>, Riecke et al. 2018</w:t>
      </w:r>
      <w:r w:rsidR="003A76CE" w:rsidRPr="008A510B">
        <w:rPr>
          <w:sz w:val="24"/>
          <w:szCs w:val="24"/>
        </w:rPr>
        <w:t xml:space="preserve">). Because nutrients stored before breeding </w:t>
      </w:r>
      <w:r w:rsidRPr="008A510B">
        <w:rPr>
          <w:sz w:val="24"/>
          <w:szCs w:val="24"/>
        </w:rPr>
        <w:t xml:space="preserve">regulate </w:t>
      </w:r>
      <w:r w:rsidR="003A76CE" w:rsidRPr="008A510B">
        <w:rPr>
          <w:sz w:val="24"/>
          <w:szCs w:val="24"/>
        </w:rPr>
        <w:t xml:space="preserve">investment in clutches (Ankney 1984, Schmutz et al. 2006), </w:t>
      </w:r>
      <w:r w:rsidR="00DB0531" w:rsidRPr="008A510B">
        <w:rPr>
          <w:sz w:val="24"/>
          <w:szCs w:val="24"/>
        </w:rPr>
        <w:t>trade-offs occur</w:t>
      </w:r>
      <w:r w:rsidR="003A76CE" w:rsidRPr="008A510B">
        <w:rPr>
          <w:sz w:val="24"/>
          <w:szCs w:val="24"/>
        </w:rPr>
        <w:t xml:space="preserve"> between clutch size and egg size among females (Flint and Sedinger 1992</w:t>
      </w:r>
      <w:r w:rsidR="00E63007" w:rsidRPr="008A510B">
        <w:rPr>
          <w:sz w:val="24"/>
          <w:szCs w:val="24"/>
        </w:rPr>
        <w:t>) but</w:t>
      </w:r>
      <w:r w:rsidR="005B7921" w:rsidRPr="008A510B">
        <w:rPr>
          <w:sz w:val="24"/>
          <w:szCs w:val="24"/>
        </w:rPr>
        <w:t xml:space="preserve"> </w:t>
      </w:r>
      <w:r w:rsidR="003A76CE" w:rsidRPr="008A510B">
        <w:rPr>
          <w:sz w:val="24"/>
          <w:szCs w:val="24"/>
        </w:rPr>
        <w:t>may be obscured by variation in pre</w:t>
      </w:r>
      <w:r w:rsidR="00447B4E" w:rsidRPr="008A510B">
        <w:rPr>
          <w:sz w:val="24"/>
          <w:szCs w:val="24"/>
        </w:rPr>
        <w:t>-</w:t>
      </w:r>
      <w:r w:rsidR="003A76CE" w:rsidRPr="008A510B">
        <w:rPr>
          <w:sz w:val="24"/>
          <w:szCs w:val="24"/>
        </w:rPr>
        <w:t xml:space="preserve">breeding nutrient reserves among females (Flint et al. 1996). </w:t>
      </w:r>
      <w:r w:rsidR="00A60448" w:rsidRPr="008A510B">
        <w:rPr>
          <w:sz w:val="24"/>
          <w:szCs w:val="24"/>
        </w:rPr>
        <w:t xml:space="preserve">When pre-breeding nutrient reserves exceed </w:t>
      </w:r>
      <w:r w:rsidR="006154E7">
        <w:rPr>
          <w:sz w:val="24"/>
          <w:szCs w:val="24"/>
        </w:rPr>
        <w:t>those</w:t>
      </w:r>
      <w:r w:rsidR="006154E7" w:rsidRPr="008A510B">
        <w:rPr>
          <w:sz w:val="24"/>
          <w:szCs w:val="24"/>
        </w:rPr>
        <w:t xml:space="preserve"> </w:t>
      </w:r>
      <w:r w:rsidR="00A60448" w:rsidRPr="008A510B">
        <w:rPr>
          <w:sz w:val="24"/>
          <w:szCs w:val="24"/>
        </w:rPr>
        <w:t>needed to produce the maximum clutch and egg size, trade-offs may not manifest (Drent and Daan 1980, van Noordwijk and de Jong 1986). However, when nutrient reserves are limited</w:t>
      </w:r>
      <w:r w:rsidR="003A76CE" w:rsidRPr="008A510B">
        <w:rPr>
          <w:sz w:val="24"/>
          <w:szCs w:val="24"/>
        </w:rPr>
        <w:t xml:space="preserve">, variation in egg size among females (Flint and Sedinger 1992, </w:t>
      </w:r>
      <w:r w:rsidR="003A76CE" w:rsidRPr="008A510B">
        <w:rPr>
          <w:sz w:val="24"/>
          <w:szCs w:val="24"/>
        </w:rPr>
        <w:lastRenderedPageBreak/>
        <w:t xml:space="preserve">Lemons et al. 2011) produces a trade-off among females between the </w:t>
      </w:r>
      <w:r w:rsidR="005B7921" w:rsidRPr="008A510B">
        <w:rPr>
          <w:sz w:val="24"/>
          <w:szCs w:val="24"/>
        </w:rPr>
        <w:t xml:space="preserve">quantity </w:t>
      </w:r>
      <w:r w:rsidR="003A76CE" w:rsidRPr="008A510B">
        <w:rPr>
          <w:sz w:val="24"/>
          <w:szCs w:val="24"/>
        </w:rPr>
        <w:t>and quality of offspring produced.</w:t>
      </w:r>
    </w:p>
    <w:p w14:paraId="477F92B9" w14:textId="003396A3" w:rsidR="003A76CE" w:rsidRPr="008A510B" w:rsidRDefault="009B2EC1" w:rsidP="00C63ABB">
      <w:pPr>
        <w:spacing w:line="480" w:lineRule="auto"/>
        <w:ind w:firstLine="720"/>
        <w:rPr>
          <w:sz w:val="24"/>
          <w:szCs w:val="24"/>
        </w:rPr>
      </w:pPr>
      <w:r w:rsidRPr="008A510B">
        <w:rPr>
          <w:sz w:val="24"/>
          <w:szCs w:val="24"/>
        </w:rPr>
        <w:t xml:space="preserve">Positive covariance </w:t>
      </w:r>
      <w:r w:rsidR="005031C9" w:rsidRPr="008A510B">
        <w:rPr>
          <w:sz w:val="24"/>
          <w:szCs w:val="24"/>
        </w:rPr>
        <w:t xml:space="preserve">in fitness traits within individuals may diminish </w:t>
      </w:r>
      <w:r w:rsidR="007A1D5A">
        <w:rPr>
          <w:sz w:val="24"/>
          <w:szCs w:val="24"/>
        </w:rPr>
        <w:t>the</w:t>
      </w:r>
      <w:r w:rsidR="007A1D5A" w:rsidRPr="008A510B">
        <w:rPr>
          <w:sz w:val="24"/>
          <w:szCs w:val="24"/>
        </w:rPr>
        <w:t xml:space="preserve"> </w:t>
      </w:r>
      <w:r w:rsidR="005031C9" w:rsidRPr="008A510B">
        <w:rPr>
          <w:sz w:val="24"/>
          <w:szCs w:val="24"/>
        </w:rPr>
        <w:t>ability</w:t>
      </w:r>
      <w:r w:rsidR="007A1D5A">
        <w:rPr>
          <w:sz w:val="24"/>
          <w:szCs w:val="24"/>
        </w:rPr>
        <w:t xml:space="preserve"> of researchers</w:t>
      </w:r>
      <w:r w:rsidR="005031C9" w:rsidRPr="008A510B">
        <w:rPr>
          <w:sz w:val="24"/>
          <w:szCs w:val="24"/>
        </w:rPr>
        <w:t xml:space="preserve"> to assess trade-offs at the population level</w:t>
      </w:r>
      <w:r w:rsidR="00CC26AC" w:rsidRPr="008A510B">
        <w:rPr>
          <w:sz w:val="24"/>
          <w:szCs w:val="24"/>
        </w:rPr>
        <w:t xml:space="preserve"> (</w:t>
      </w:r>
      <w:r w:rsidR="000C6DBE" w:rsidRPr="008A510B">
        <w:rPr>
          <w:sz w:val="24"/>
          <w:szCs w:val="24"/>
        </w:rPr>
        <w:t>v</w:t>
      </w:r>
      <w:r w:rsidR="00CC26AC" w:rsidRPr="008A510B">
        <w:rPr>
          <w:sz w:val="24"/>
          <w:szCs w:val="24"/>
        </w:rPr>
        <w:t>an Noordwijk and de Jong 1986).</w:t>
      </w:r>
      <w:r w:rsidR="00102A18" w:rsidRPr="008A510B">
        <w:rPr>
          <w:sz w:val="24"/>
          <w:szCs w:val="24"/>
        </w:rPr>
        <w:t xml:space="preserve"> </w:t>
      </w:r>
      <w:r w:rsidR="003A76CE" w:rsidRPr="008A510B">
        <w:rPr>
          <w:sz w:val="24"/>
          <w:szCs w:val="24"/>
        </w:rPr>
        <w:t xml:space="preserve">For example, offspring quality and quantity might be positively correlated in a study with unmanipulated broods because “higher quality” parents produce both more and higher quality offspring. </w:t>
      </w:r>
      <w:r w:rsidR="00AD25E2" w:rsidRPr="008A510B">
        <w:rPr>
          <w:sz w:val="24"/>
          <w:szCs w:val="24"/>
        </w:rPr>
        <w:t xml:space="preserve">Thus, </w:t>
      </w:r>
      <w:r w:rsidR="005B7921" w:rsidRPr="008A510B">
        <w:rPr>
          <w:sz w:val="24"/>
          <w:szCs w:val="24"/>
        </w:rPr>
        <w:t>t</w:t>
      </w:r>
      <w:r w:rsidR="003A76CE" w:rsidRPr="008A510B">
        <w:rPr>
          <w:sz w:val="24"/>
          <w:szCs w:val="24"/>
        </w:rPr>
        <w:t>he ability to assess trade-offs between fitness traits will</w:t>
      </w:r>
      <w:r w:rsidR="00AD25E2" w:rsidRPr="008A510B">
        <w:rPr>
          <w:sz w:val="24"/>
          <w:szCs w:val="24"/>
        </w:rPr>
        <w:t xml:space="preserve"> </w:t>
      </w:r>
      <w:r w:rsidR="003A76CE" w:rsidRPr="008A510B">
        <w:rPr>
          <w:sz w:val="24"/>
          <w:szCs w:val="24"/>
        </w:rPr>
        <w:t xml:space="preserve">depend on whether there is sufficient residual variance remaining after accounting for the relationship between the main effects </w:t>
      </w:r>
      <w:r w:rsidR="005B7921" w:rsidRPr="008A510B">
        <w:rPr>
          <w:sz w:val="24"/>
          <w:szCs w:val="24"/>
        </w:rPr>
        <w:t xml:space="preserve">of </w:t>
      </w:r>
      <w:r w:rsidR="003A76CE" w:rsidRPr="008A510B">
        <w:rPr>
          <w:sz w:val="24"/>
          <w:szCs w:val="24"/>
        </w:rPr>
        <w:t xml:space="preserve">the traits of interest. We note that substantial residual </w:t>
      </w:r>
      <w:r w:rsidR="00154A7F" w:rsidRPr="008A510B">
        <w:rPr>
          <w:sz w:val="24"/>
          <w:szCs w:val="24"/>
        </w:rPr>
        <w:t xml:space="preserve">variability </w:t>
      </w:r>
      <w:r w:rsidR="003A76CE" w:rsidRPr="008A510B">
        <w:rPr>
          <w:sz w:val="24"/>
          <w:szCs w:val="24"/>
        </w:rPr>
        <w:t xml:space="preserve">remains in clutch size after accounting for laying date in </w:t>
      </w:r>
      <w:r w:rsidR="00B93579">
        <w:rPr>
          <w:sz w:val="24"/>
          <w:szCs w:val="24"/>
        </w:rPr>
        <w:t>above paragraph</w:t>
      </w:r>
      <w:r w:rsidR="003A76CE" w:rsidRPr="008A510B">
        <w:rPr>
          <w:sz w:val="24"/>
          <w:szCs w:val="24"/>
        </w:rPr>
        <w:t>. Sedinger et al. (1995</w:t>
      </w:r>
      <w:r w:rsidR="00B56746" w:rsidRPr="008A510B">
        <w:rPr>
          <w:i/>
          <w:iCs/>
          <w:sz w:val="24"/>
          <w:szCs w:val="24"/>
        </w:rPr>
        <w:t>a</w:t>
      </w:r>
      <w:r w:rsidR="003A76CE" w:rsidRPr="008A510B">
        <w:rPr>
          <w:sz w:val="24"/>
          <w:szCs w:val="24"/>
        </w:rPr>
        <w:t xml:space="preserve">) reported positive </w:t>
      </w:r>
      <w:r w:rsidR="00F82FB9" w:rsidRPr="008A510B">
        <w:rPr>
          <w:sz w:val="24"/>
          <w:szCs w:val="24"/>
        </w:rPr>
        <w:t xml:space="preserve">correlations </w:t>
      </w:r>
      <w:r w:rsidR="003A76CE" w:rsidRPr="008A510B">
        <w:rPr>
          <w:sz w:val="24"/>
          <w:szCs w:val="24"/>
        </w:rPr>
        <w:t xml:space="preserve">among multiple traits associated with fitness, including </w:t>
      </w:r>
      <w:r w:rsidR="00C30AC0" w:rsidRPr="008A510B">
        <w:rPr>
          <w:sz w:val="24"/>
          <w:szCs w:val="24"/>
        </w:rPr>
        <w:t xml:space="preserve">the </w:t>
      </w:r>
      <w:r w:rsidR="003A76CE" w:rsidRPr="008A510B">
        <w:rPr>
          <w:sz w:val="24"/>
          <w:szCs w:val="24"/>
        </w:rPr>
        <w:t xml:space="preserve">probability of breeding. Because </w:t>
      </w:r>
      <w:r w:rsidR="00446113" w:rsidRPr="008A510B">
        <w:rPr>
          <w:sz w:val="24"/>
          <w:szCs w:val="24"/>
        </w:rPr>
        <w:t xml:space="preserve">researchers could link these traits </w:t>
      </w:r>
      <w:r w:rsidR="003A76CE" w:rsidRPr="008A510B">
        <w:rPr>
          <w:sz w:val="24"/>
          <w:szCs w:val="24"/>
        </w:rPr>
        <w:t>to growth conditions experienced by individuals</w:t>
      </w:r>
      <w:r w:rsidR="000535F9" w:rsidRPr="008A510B">
        <w:rPr>
          <w:sz w:val="24"/>
          <w:szCs w:val="24"/>
        </w:rPr>
        <w:t>,</w:t>
      </w:r>
      <w:r w:rsidR="003A76CE" w:rsidRPr="008A510B">
        <w:rPr>
          <w:sz w:val="24"/>
          <w:szCs w:val="24"/>
        </w:rPr>
        <w:t xml:space="preserve"> Sedinger et al. (1995</w:t>
      </w:r>
      <w:r w:rsidR="00B56746" w:rsidRPr="008A510B">
        <w:rPr>
          <w:i/>
          <w:iCs/>
          <w:sz w:val="24"/>
          <w:szCs w:val="24"/>
        </w:rPr>
        <w:t>a</w:t>
      </w:r>
      <w:r w:rsidR="003A76CE" w:rsidRPr="008A510B">
        <w:rPr>
          <w:i/>
          <w:iCs/>
          <w:sz w:val="24"/>
          <w:szCs w:val="24"/>
        </w:rPr>
        <w:t>)</w:t>
      </w:r>
      <w:r w:rsidR="003A76CE" w:rsidRPr="008A510B">
        <w:rPr>
          <w:sz w:val="24"/>
          <w:szCs w:val="24"/>
        </w:rPr>
        <w:t xml:space="preserve"> attributed much of the variation in fitness to </w:t>
      </w:r>
      <w:r w:rsidR="005B7921" w:rsidRPr="008A510B">
        <w:rPr>
          <w:sz w:val="24"/>
          <w:szCs w:val="24"/>
        </w:rPr>
        <w:t>variation</w:t>
      </w:r>
      <w:r w:rsidR="00446113" w:rsidRPr="00692F65">
        <w:rPr>
          <w:sz w:val="24"/>
          <w:szCs w:val="24"/>
        </w:rPr>
        <w:t xml:space="preserve"> </w:t>
      </w:r>
      <w:r w:rsidR="00446113" w:rsidRPr="00C63ABB">
        <w:rPr>
          <w:sz w:val="24"/>
          <w:szCs w:val="24"/>
        </w:rPr>
        <w:t>in the breeding ground environment.</w:t>
      </w:r>
      <w:r w:rsidR="00154A7F" w:rsidRPr="008A510B">
        <w:rPr>
          <w:sz w:val="24"/>
          <w:szCs w:val="24"/>
        </w:rPr>
        <w:t xml:space="preserve"> </w:t>
      </w:r>
      <w:r w:rsidR="007A1D5A">
        <w:rPr>
          <w:sz w:val="24"/>
          <w:szCs w:val="24"/>
        </w:rPr>
        <w:t>Given these relationships and the importance of understanding life-history trade-offs, o</w:t>
      </w:r>
      <w:r w:rsidR="003A76CE" w:rsidRPr="008A510B">
        <w:rPr>
          <w:sz w:val="24"/>
          <w:szCs w:val="24"/>
        </w:rPr>
        <w:t xml:space="preserve">ur </w:t>
      </w:r>
      <w:r w:rsidR="00154A7F" w:rsidRPr="008A510B">
        <w:rPr>
          <w:sz w:val="24"/>
          <w:szCs w:val="24"/>
        </w:rPr>
        <w:t>objective</w:t>
      </w:r>
      <w:r w:rsidR="003A76CE" w:rsidRPr="008A510B">
        <w:rPr>
          <w:sz w:val="24"/>
          <w:szCs w:val="24"/>
        </w:rPr>
        <w:t xml:space="preserve"> </w:t>
      </w:r>
      <w:r w:rsidR="007A1D5A">
        <w:rPr>
          <w:sz w:val="24"/>
          <w:szCs w:val="24"/>
        </w:rPr>
        <w:t>was</w:t>
      </w:r>
      <w:r w:rsidR="007A1D5A" w:rsidRPr="008A510B">
        <w:rPr>
          <w:sz w:val="24"/>
          <w:szCs w:val="24"/>
        </w:rPr>
        <w:t xml:space="preserve"> </w:t>
      </w:r>
      <w:r w:rsidR="003A76CE" w:rsidRPr="008A510B">
        <w:rPr>
          <w:sz w:val="24"/>
          <w:szCs w:val="24"/>
        </w:rPr>
        <w:t xml:space="preserve">to assess the potential for </w:t>
      </w:r>
      <w:r w:rsidR="00FB1413">
        <w:rPr>
          <w:sz w:val="24"/>
          <w:szCs w:val="24"/>
        </w:rPr>
        <w:t>relationships</w:t>
      </w:r>
      <w:r w:rsidR="003A76CE" w:rsidRPr="008A510B">
        <w:rPr>
          <w:sz w:val="24"/>
          <w:szCs w:val="24"/>
        </w:rPr>
        <w:t xml:space="preserve"> between reproductive traits associated with </w:t>
      </w:r>
      <w:r w:rsidR="00154A7F" w:rsidRPr="008A510B">
        <w:rPr>
          <w:sz w:val="24"/>
          <w:szCs w:val="24"/>
        </w:rPr>
        <w:t xml:space="preserve">yearly </w:t>
      </w:r>
      <w:r w:rsidR="003A76CE" w:rsidRPr="008A510B">
        <w:rPr>
          <w:sz w:val="24"/>
          <w:szCs w:val="24"/>
        </w:rPr>
        <w:t>fitness and longer-term life-history traits</w:t>
      </w:r>
      <w:r w:rsidR="007A1D5A">
        <w:rPr>
          <w:sz w:val="24"/>
          <w:szCs w:val="24"/>
        </w:rPr>
        <w:t>.</w:t>
      </w:r>
      <w:r w:rsidR="003A76CE" w:rsidRPr="008A510B">
        <w:rPr>
          <w:sz w:val="24"/>
          <w:szCs w:val="24"/>
        </w:rPr>
        <w:t xml:space="preserve"> </w:t>
      </w:r>
      <w:r w:rsidR="007A1D5A">
        <w:rPr>
          <w:sz w:val="24"/>
          <w:szCs w:val="24"/>
        </w:rPr>
        <w:t>In this manuscript, we model the effects of clutch size and nest initiation date and their interaction on annual survival and breeding probabilities. We discuss the direct and indirect effects of these relationships on fitness and population dynamics.</w:t>
      </w:r>
    </w:p>
    <w:p w14:paraId="20945FD3" w14:textId="4EF7AD2C" w:rsidR="003A76CE" w:rsidRPr="008A510B" w:rsidRDefault="0031752C">
      <w:pPr>
        <w:pStyle w:val="Heading1"/>
        <w:spacing w:before="0" w:line="480" w:lineRule="auto"/>
        <w:rPr>
          <w:sz w:val="24"/>
          <w:szCs w:val="24"/>
        </w:rPr>
      </w:pPr>
      <w:r>
        <w:rPr>
          <w:sz w:val="24"/>
          <w:szCs w:val="24"/>
        </w:rPr>
        <w:t xml:space="preserve">MATERIALS AND </w:t>
      </w:r>
      <w:r w:rsidR="003A76CE" w:rsidRPr="008A510B">
        <w:rPr>
          <w:sz w:val="24"/>
          <w:szCs w:val="24"/>
        </w:rPr>
        <w:t>METHODS</w:t>
      </w:r>
    </w:p>
    <w:p w14:paraId="772CDB7E" w14:textId="525E1C2E" w:rsidR="003A76CE" w:rsidRPr="008A510B" w:rsidRDefault="003A76CE">
      <w:pPr>
        <w:pStyle w:val="Heading1"/>
        <w:spacing w:before="0" w:line="480" w:lineRule="auto"/>
        <w:rPr>
          <w:b w:val="0"/>
          <w:bCs w:val="0"/>
          <w:sz w:val="24"/>
          <w:szCs w:val="24"/>
        </w:rPr>
      </w:pPr>
      <w:r w:rsidRPr="008A510B">
        <w:rPr>
          <w:b w:val="0"/>
          <w:bCs w:val="0"/>
          <w:sz w:val="24"/>
          <w:szCs w:val="24"/>
        </w:rPr>
        <w:t>We collected data at the Tutakoke River Colony (TRC; Sedinger et al. 1993) (61.25</w:t>
      </w:r>
      <w:r w:rsidRPr="00692F65">
        <w:rPr>
          <w:b w:val="0"/>
          <w:bCs w:val="0"/>
          <w:iCs/>
          <w:position w:val="9"/>
          <w:sz w:val="24"/>
          <w:szCs w:val="24"/>
        </w:rPr>
        <w:t>◦</w:t>
      </w:r>
      <w:r w:rsidRPr="00C63ABB">
        <w:rPr>
          <w:b w:val="0"/>
          <w:bCs w:val="0"/>
          <w:sz w:val="24"/>
          <w:szCs w:val="24"/>
        </w:rPr>
        <w:t>N, 165.61</w:t>
      </w:r>
      <w:r w:rsidRPr="00692F65">
        <w:rPr>
          <w:b w:val="0"/>
          <w:bCs w:val="0"/>
          <w:position w:val="9"/>
          <w:sz w:val="24"/>
          <w:szCs w:val="24"/>
        </w:rPr>
        <w:t>◦</w:t>
      </w:r>
      <w:r w:rsidRPr="008A510B">
        <w:rPr>
          <w:b w:val="0"/>
          <w:bCs w:val="0"/>
          <w:sz w:val="24"/>
          <w:szCs w:val="24"/>
        </w:rPr>
        <w:t xml:space="preserve">W) and related brood rearing areas on the YKD </w:t>
      </w:r>
      <w:r w:rsidR="00F33D73">
        <w:rPr>
          <w:b w:val="0"/>
          <w:bCs w:val="0"/>
          <w:sz w:val="24"/>
          <w:szCs w:val="24"/>
        </w:rPr>
        <w:t>near</w:t>
      </w:r>
      <w:r w:rsidR="00F33D73" w:rsidRPr="008A510B">
        <w:rPr>
          <w:b w:val="0"/>
          <w:bCs w:val="0"/>
          <w:sz w:val="24"/>
          <w:szCs w:val="24"/>
        </w:rPr>
        <w:t xml:space="preserve"> </w:t>
      </w:r>
      <w:r w:rsidRPr="008A510B">
        <w:rPr>
          <w:b w:val="0"/>
          <w:bCs w:val="0"/>
          <w:sz w:val="24"/>
          <w:szCs w:val="24"/>
        </w:rPr>
        <w:t>the mouth of the Kashunuk River from 1988-2014 (</w:t>
      </w:r>
      <w:r w:rsidR="00174125">
        <w:rPr>
          <w:b w:val="0"/>
          <w:bCs w:val="0"/>
          <w:sz w:val="24"/>
          <w:szCs w:val="24"/>
        </w:rPr>
        <w:t xml:space="preserve">Sedinger et al. 1995; </w:t>
      </w:r>
      <w:r w:rsidRPr="008A510B">
        <w:rPr>
          <w:b w:val="0"/>
          <w:bCs w:val="0"/>
          <w:sz w:val="24"/>
          <w:szCs w:val="24"/>
        </w:rPr>
        <w:t xml:space="preserve">Lindberg and Sedinger 1998). We divided the breeding </w:t>
      </w:r>
      <w:r w:rsidRPr="008A510B">
        <w:rPr>
          <w:b w:val="0"/>
          <w:bCs w:val="0"/>
          <w:sz w:val="24"/>
          <w:szCs w:val="24"/>
        </w:rPr>
        <w:lastRenderedPageBreak/>
        <w:t xml:space="preserve">season into three secondary occasions. First (May - June), nests were monitored in forty-nine 50m radius random plots every four days throughout nest initiation, and again before and during hatch. Observers recorded clutch sizes and initiation dates of nests during this time. Incubation time is generally 23-29 days, varying with laying date and clutch size. Thus, we back-calculated initiation dates for hatched nests </w:t>
      </w:r>
      <w:r w:rsidR="00E63007" w:rsidRPr="008A510B">
        <w:rPr>
          <w:b w:val="0"/>
          <w:bCs w:val="0"/>
          <w:sz w:val="24"/>
          <w:szCs w:val="24"/>
        </w:rPr>
        <w:t>using mean incubation period (</w:t>
      </w:r>
      <w:r w:rsidR="00576B99" w:rsidRPr="008A510B">
        <w:rPr>
          <w:b w:val="0"/>
          <w:bCs w:val="0"/>
          <w:iCs/>
          <w:sz w:val="24"/>
          <w:szCs w:val="24"/>
        </w:rPr>
        <w:t>~</w:t>
      </w:r>
      <w:r w:rsidR="00E63007" w:rsidRPr="008A510B">
        <w:rPr>
          <w:b w:val="0"/>
          <w:bCs w:val="0"/>
          <w:sz w:val="24"/>
          <w:szCs w:val="24"/>
        </w:rPr>
        <w:t>26 days;</w:t>
      </w:r>
      <w:r w:rsidR="00E63007" w:rsidRPr="008A510B" w:rsidDel="00E63007">
        <w:rPr>
          <w:b w:val="0"/>
          <w:bCs w:val="0"/>
          <w:sz w:val="24"/>
          <w:szCs w:val="24"/>
        </w:rPr>
        <w:t xml:space="preserve"> </w:t>
      </w:r>
      <w:r w:rsidRPr="008A510B">
        <w:rPr>
          <w:b w:val="0"/>
          <w:bCs w:val="0"/>
          <w:sz w:val="24"/>
          <w:szCs w:val="24"/>
        </w:rPr>
        <w:t>Eichholz and Sedinger 1998, Leach et al. 2017</w:t>
      </w:r>
      <w:r w:rsidRPr="008A510B">
        <w:rPr>
          <w:b w:val="0"/>
          <w:bCs w:val="0"/>
          <w:i/>
          <w:sz w:val="24"/>
          <w:szCs w:val="24"/>
        </w:rPr>
        <w:t>a</w:t>
      </w:r>
      <w:r w:rsidRPr="008A510B">
        <w:rPr>
          <w:b w:val="0"/>
          <w:bCs w:val="0"/>
          <w:sz w:val="24"/>
          <w:szCs w:val="24"/>
        </w:rPr>
        <w:t>)</w:t>
      </w:r>
      <w:r w:rsidR="00E63007" w:rsidRPr="008A510B">
        <w:rPr>
          <w:b w:val="0"/>
          <w:bCs w:val="0"/>
          <w:sz w:val="24"/>
          <w:szCs w:val="24"/>
        </w:rPr>
        <w:t xml:space="preserve">. </w:t>
      </w:r>
      <w:r w:rsidRPr="008A510B">
        <w:rPr>
          <w:b w:val="0"/>
          <w:bCs w:val="0"/>
          <w:sz w:val="24"/>
          <w:szCs w:val="24"/>
        </w:rPr>
        <w:t xml:space="preserve">We also monitored nests of marked individuals outside of plots during this time. Second (June - early July), following hatch, observers entered observation towers to observe marked adults and broods (Sedinger et al. 2001). Third (mid-late July), adult and juvenile </w:t>
      </w:r>
      <w:r w:rsidR="00913F7D" w:rsidRPr="008A510B">
        <w:rPr>
          <w:b w:val="0"/>
          <w:bCs w:val="0"/>
          <w:sz w:val="24"/>
          <w:szCs w:val="24"/>
        </w:rPr>
        <w:t xml:space="preserve">brant </w:t>
      </w:r>
      <w:r w:rsidRPr="008A510B">
        <w:rPr>
          <w:b w:val="0"/>
          <w:bCs w:val="0"/>
          <w:sz w:val="24"/>
          <w:szCs w:val="24"/>
        </w:rPr>
        <w:t xml:space="preserve">were herded into pens and marked with a unique U.S. Geological Survey metal band and an alpha-numerically coded plastic band </w:t>
      </w:r>
      <w:r w:rsidR="00C8282C" w:rsidRPr="008A510B">
        <w:rPr>
          <w:b w:val="0"/>
          <w:bCs w:val="0"/>
          <w:sz w:val="24"/>
          <w:szCs w:val="24"/>
        </w:rPr>
        <w:t xml:space="preserve">during the adult wing-molt </w:t>
      </w:r>
      <w:r w:rsidRPr="008A510B">
        <w:rPr>
          <w:b w:val="0"/>
          <w:bCs w:val="0"/>
          <w:sz w:val="24"/>
          <w:szCs w:val="24"/>
        </w:rPr>
        <w:t>(Sedinger et al. 1997). We included data for all marked females (</w:t>
      </w:r>
      <w:r w:rsidRPr="008A510B">
        <w:rPr>
          <w:b w:val="0"/>
          <w:bCs w:val="0"/>
          <w:i/>
          <w:sz w:val="24"/>
          <w:szCs w:val="24"/>
        </w:rPr>
        <w:t xml:space="preserve">n </w:t>
      </w:r>
      <w:r w:rsidRPr="008A510B">
        <w:rPr>
          <w:b w:val="0"/>
          <w:bCs w:val="0"/>
          <w:sz w:val="24"/>
          <w:szCs w:val="24"/>
        </w:rPr>
        <w:t>= 7</w:t>
      </w:r>
      <w:r w:rsidRPr="008A510B">
        <w:rPr>
          <w:b w:val="0"/>
          <w:bCs w:val="0"/>
          <w:i/>
          <w:sz w:val="24"/>
          <w:szCs w:val="24"/>
        </w:rPr>
        <w:t xml:space="preserve">, </w:t>
      </w:r>
      <w:r w:rsidRPr="008A510B">
        <w:rPr>
          <w:b w:val="0"/>
          <w:bCs w:val="0"/>
          <w:sz w:val="24"/>
          <w:szCs w:val="24"/>
        </w:rPr>
        <w:t>845) to estimate mean survival and breeding probability</w:t>
      </w:r>
      <w:r w:rsidR="007A1D5A">
        <w:rPr>
          <w:b w:val="0"/>
          <w:bCs w:val="0"/>
          <w:sz w:val="24"/>
          <w:szCs w:val="24"/>
        </w:rPr>
        <w:t xml:space="preserve"> and temporal variation in those parameters</w:t>
      </w:r>
      <w:r w:rsidRPr="008A510B">
        <w:rPr>
          <w:b w:val="0"/>
          <w:bCs w:val="0"/>
          <w:sz w:val="24"/>
          <w:szCs w:val="24"/>
        </w:rPr>
        <w:t>. However, only those individuals with within-year reproductive data were used to estimate relationships between</w:t>
      </w:r>
      <w:r w:rsidR="00CA1D15" w:rsidRPr="008A510B">
        <w:rPr>
          <w:b w:val="0"/>
          <w:bCs w:val="0"/>
          <w:sz w:val="24"/>
          <w:szCs w:val="24"/>
        </w:rPr>
        <w:t xml:space="preserve"> within-year </w:t>
      </w:r>
      <w:r w:rsidR="00BB26E7" w:rsidRPr="008A510B">
        <w:rPr>
          <w:b w:val="0"/>
          <w:bCs w:val="0"/>
          <w:sz w:val="24"/>
          <w:szCs w:val="24"/>
        </w:rPr>
        <w:t>measures of reproduction</w:t>
      </w:r>
      <w:r w:rsidR="00CA1D15" w:rsidRPr="008A510B">
        <w:rPr>
          <w:b w:val="0"/>
          <w:bCs w:val="0"/>
          <w:sz w:val="24"/>
          <w:szCs w:val="24"/>
        </w:rPr>
        <w:t>, clutch</w:t>
      </w:r>
      <w:r w:rsidRPr="008A510B">
        <w:rPr>
          <w:b w:val="0"/>
          <w:bCs w:val="0"/>
          <w:sz w:val="24"/>
          <w:szCs w:val="24"/>
        </w:rPr>
        <w:t xml:space="preserve"> size (</w:t>
      </w:r>
      <w:r w:rsidRPr="008A510B">
        <w:rPr>
          <w:b w:val="0"/>
          <w:bCs w:val="0"/>
          <w:i/>
          <w:sz w:val="24"/>
          <w:szCs w:val="24"/>
        </w:rPr>
        <w:t xml:space="preserve">n </w:t>
      </w:r>
      <w:r w:rsidRPr="008A510B">
        <w:rPr>
          <w:b w:val="0"/>
          <w:bCs w:val="0"/>
          <w:sz w:val="24"/>
          <w:szCs w:val="24"/>
        </w:rPr>
        <w:t>= 6</w:t>
      </w:r>
      <w:r w:rsidRPr="008A510B">
        <w:rPr>
          <w:b w:val="0"/>
          <w:bCs w:val="0"/>
          <w:i/>
          <w:sz w:val="24"/>
          <w:szCs w:val="24"/>
        </w:rPr>
        <w:t>,</w:t>
      </w:r>
      <w:r w:rsidRPr="008A510B">
        <w:rPr>
          <w:b w:val="0"/>
          <w:bCs w:val="0"/>
          <w:sz w:val="24"/>
          <w:szCs w:val="24"/>
        </w:rPr>
        <w:t xml:space="preserve">256; </w:t>
      </w:r>
      <w:r w:rsidRPr="008A510B">
        <w:rPr>
          <w:b w:val="0"/>
          <w:bCs w:val="0"/>
          <w:i/>
          <w:sz w:val="24"/>
          <w:szCs w:val="24"/>
        </w:rPr>
        <w:t xml:space="preserve">µ </w:t>
      </w:r>
      <w:r w:rsidRPr="008A510B">
        <w:rPr>
          <w:b w:val="0"/>
          <w:bCs w:val="0"/>
          <w:sz w:val="24"/>
          <w:szCs w:val="24"/>
        </w:rPr>
        <w:t>= 3</w:t>
      </w:r>
      <w:r w:rsidRPr="008A510B">
        <w:rPr>
          <w:b w:val="0"/>
          <w:bCs w:val="0"/>
          <w:i/>
          <w:sz w:val="24"/>
          <w:szCs w:val="24"/>
        </w:rPr>
        <w:t>.</w:t>
      </w:r>
      <w:r w:rsidRPr="008A510B">
        <w:rPr>
          <w:b w:val="0"/>
          <w:bCs w:val="0"/>
          <w:sz w:val="24"/>
          <w:szCs w:val="24"/>
        </w:rPr>
        <w:t xml:space="preserve">83; </w:t>
      </w:r>
      <w:r w:rsidR="00922ED5" w:rsidRPr="00692F65">
        <w:rPr>
          <w:b w:val="0"/>
          <w:bCs w:val="0"/>
          <w:sz w:val="24"/>
          <w:szCs w:val="24"/>
        </w:rPr>
        <w:t>SD</w:t>
      </w:r>
      <w:r w:rsidRPr="008A510B">
        <w:rPr>
          <w:b w:val="0"/>
          <w:bCs w:val="0"/>
          <w:i/>
          <w:sz w:val="24"/>
          <w:szCs w:val="24"/>
        </w:rPr>
        <w:t xml:space="preserve"> </w:t>
      </w:r>
      <w:r w:rsidRPr="008A510B">
        <w:rPr>
          <w:b w:val="0"/>
          <w:bCs w:val="0"/>
          <w:sz w:val="24"/>
          <w:szCs w:val="24"/>
        </w:rPr>
        <w:t>= 1</w:t>
      </w:r>
      <w:r w:rsidRPr="008A510B">
        <w:rPr>
          <w:b w:val="0"/>
          <w:bCs w:val="0"/>
          <w:i/>
          <w:sz w:val="24"/>
          <w:szCs w:val="24"/>
        </w:rPr>
        <w:t>.</w:t>
      </w:r>
      <w:r w:rsidRPr="008A510B">
        <w:rPr>
          <w:b w:val="0"/>
          <w:bCs w:val="0"/>
          <w:sz w:val="24"/>
          <w:szCs w:val="24"/>
        </w:rPr>
        <w:t>12) and initiation date (</w:t>
      </w:r>
      <w:r w:rsidRPr="008A510B">
        <w:rPr>
          <w:b w:val="0"/>
          <w:bCs w:val="0"/>
          <w:i/>
          <w:sz w:val="24"/>
          <w:szCs w:val="24"/>
        </w:rPr>
        <w:t xml:space="preserve">n </w:t>
      </w:r>
      <w:r w:rsidRPr="008A510B">
        <w:rPr>
          <w:b w:val="0"/>
          <w:bCs w:val="0"/>
          <w:sz w:val="24"/>
          <w:szCs w:val="24"/>
        </w:rPr>
        <w:t>= 5</w:t>
      </w:r>
      <w:r w:rsidRPr="008A510B">
        <w:rPr>
          <w:b w:val="0"/>
          <w:bCs w:val="0"/>
          <w:i/>
          <w:sz w:val="24"/>
          <w:szCs w:val="24"/>
        </w:rPr>
        <w:t>,</w:t>
      </w:r>
      <w:r w:rsidRPr="008A510B">
        <w:rPr>
          <w:b w:val="0"/>
          <w:bCs w:val="0"/>
          <w:sz w:val="24"/>
          <w:szCs w:val="24"/>
        </w:rPr>
        <w:t xml:space="preserve">207; </w:t>
      </w:r>
      <w:r w:rsidRPr="008A510B">
        <w:rPr>
          <w:b w:val="0"/>
          <w:bCs w:val="0"/>
          <w:i/>
          <w:sz w:val="24"/>
          <w:szCs w:val="24"/>
        </w:rPr>
        <w:t xml:space="preserve">µ </w:t>
      </w:r>
      <w:r w:rsidRPr="008A510B">
        <w:rPr>
          <w:b w:val="0"/>
          <w:bCs w:val="0"/>
          <w:sz w:val="24"/>
          <w:szCs w:val="24"/>
        </w:rPr>
        <w:t>= 146</w:t>
      </w:r>
      <w:r w:rsidRPr="008A510B">
        <w:rPr>
          <w:b w:val="0"/>
          <w:bCs w:val="0"/>
          <w:i/>
          <w:sz w:val="24"/>
          <w:szCs w:val="24"/>
        </w:rPr>
        <w:t>.</w:t>
      </w:r>
      <w:r w:rsidRPr="008A510B">
        <w:rPr>
          <w:b w:val="0"/>
          <w:bCs w:val="0"/>
          <w:sz w:val="24"/>
          <w:szCs w:val="24"/>
        </w:rPr>
        <w:t>49</w:t>
      </w:r>
      <w:r w:rsidR="006F1D6E" w:rsidRPr="008A510B">
        <w:rPr>
          <w:b w:val="0"/>
          <w:bCs w:val="0"/>
          <w:sz w:val="24"/>
          <w:szCs w:val="24"/>
        </w:rPr>
        <w:t xml:space="preserve"> </w:t>
      </w:r>
      <w:r w:rsidR="00CA1D15" w:rsidRPr="008A510B">
        <w:rPr>
          <w:b w:val="0"/>
          <w:bCs w:val="0"/>
          <w:sz w:val="24"/>
          <w:szCs w:val="24"/>
        </w:rPr>
        <w:t>(</w:t>
      </w:r>
      <w:r w:rsidR="006F1D6E" w:rsidRPr="008A510B">
        <w:rPr>
          <w:b w:val="0"/>
          <w:bCs w:val="0"/>
          <w:sz w:val="24"/>
          <w:szCs w:val="24"/>
        </w:rPr>
        <w:t>Julian Day</w:t>
      </w:r>
      <w:r w:rsidR="00CA1D15" w:rsidRPr="008A510B">
        <w:rPr>
          <w:b w:val="0"/>
          <w:bCs w:val="0"/>
          <w:iCs/>
          <w:sz w:val="24"/>
          <w:szCs w:val="24"/>
        </w:rPr>
        <w:t>)</w:t>
      </w:r>
      <w:r w:rsidRPr="008A510B">
        <w:rPr>
          <w:b w:val="0"/>
          <w:bCs w:val="0"/>
          <w:iCs/>
          <w:sz w:val="24"/>
          <w:szCs w:val="24"/>
        </w:rPr>
        <w:t>;</w:t>
      </w:r>
      <w:r w:rsidRPr="008A510B">
        <w:rPr>
          <w:b w:val="0"/>
          <w:bCs w:val="0"/>
          <w:sz w:val="24"/>
          <w:szCs w:val="24"/>
        </w:rPr>
        <w:t xml:space="preserve"> </w:t>
      </w:r>
      <w:r w:rsidR="00922ED5" w:rsidRPr="008A510B">
        <w:rPr>
          <w:b w:val="0"/>
          <w:bCs w:val="0"/>
          <w:iCs/>
          <w:sz w:val="24"/>
          <w:szCs w:val="24"/>
        </w:rPr>
        <w:t>SD</w:t>
      </w:r>
      <w:r w:rsidRPr="008A510B">
        <w:rPr>
          <w:b w:val="0"/>
          <w:bCs w:val="0"/>
          <w:i/>
          <w:sz w:val="24"/>
          <w:szCs w:val="24"/>
        </w:rPr>
        <w:t xml:space="preserve"> </w:t>
      </w:r>
      <w:r w:rsidRPr="008A510B">
        <w:rPr>
          <w:b w:val="0"/>
          <w:bCs w:val="0"/>
          <w:sz w:val="24"/>
          <w:szCs w:val="24"/>
        </w:rPr>
        <w:t>= 5</w:t>
      </w:r>
      <w:r w:rsidRPr="008A510B">
        <w:rPr>
          <w:b w:val="0"/>
          <w:bCs w:val="0"/>
          <w:i/>
          <w:sz w:val="24"/>
          <w:szCs w:val="24"/>
        </w:rPr>
        <w:t>.</w:t>
      </w:r>
      <w:r w:rsidRPr="008A510B">
        <w:rPr>
          <w:b w:val="0"/>
          <w:bCs w:val="0"/>
          <w:sz w:val="24"/>
          <w:szCs w:val="24"/>
        </w:rPr>
        <w:t xml:space="preserve">59), and </w:t>
      </w:r>
      <w:r w:rsidR="00CA1D15" w:rsidRPr="008A510B">
        <w:rPr>
          <w:b w:val="0"/>
          <w:bCs w:val="0"/>
          <w:sz w:val="24"/>
          <w:szCs w:val="24"/>
        </w:rPr>
        <w:t xml:space="preserve">among-year demographic rates </w:t>
      </w:r>
      <w:r w:rsidR="00EC6435" w:rsidRPr="008A510B">
        <w:rPr>
          <w:b w:val="0"/>
          <w:bCs w:val="0"/>
          <w:sz w:val="24"/>
          <w:szCs w:val="24"/>
        </w:rPr>
        <w:t>(</w:t>
      </w:r>
      <w:r w:rsidRPr="008A510B">
        <w:rPr>
          <w:b w:val="0"/>
          <w:bCs w:val="0"/>
          <w:sz w:val="24"/>
          <w:szCs w:val="24"/>
        </w:rPr>
        <w:t>survival and breeding probability</w:t>
      </w:r>
      <w:r w:rsidR="00EC6435" w:rsidRPr="008A510B">
        <w:rPr>
          <w:b w:val="0"/>
          <w:bCs w:val="0"/>
          <w:sz w:val="24"/>
          <w:szCs w:val="24"/>
        </w:rPr>
        <w:t>)</w:t>
      </w:r>
      <w:r w:rsidRPr="008A510B">
        <w:rPr>
          <w:b w:val="0"/>
          <w:bCs w:val="0"/>
          <w:sz w:val="24"/>
          <w:szCs w:val="24"/>
        </w:rPr>
        <w:t>.</w:t>
      </w:r>
    </w:p>
    <w:p w14:paraId="0EED79AC" w14:textId="77777777" w:rsidR="003A76CE" w:rsidRPr="008A510B" w:rsidRDefault="003A76CE">
      <w:pPr>
        <w:spacing w:line="480" w:lineRule="auto"/>
        <w:ind w:left="119"/>
        <w:rPr>
          <w:b/>
          <w:sz w:val="24"/>
          <w:szCs w:val="24"/>
        </w:rPr>
      </w:pPr>
      <w:r w:rsidRPr="008A510B">
        <w:rPr>
          <w:b/>
          <w:sz w:val="24"/>
          <w:szCs w:val="24"/>
        </w:rPr>
        <w:t>Data Analysis</w:t>
      </w:r>
    </w:p>
    <w:p w14:paraId="47616991" w14:textId="1B717554" w:rsidR="003A76CE" w:rsidRPr="008A510B" w:rsidRDefault="003A76CE">
      <w:pPr>
        <w:spacing w:line="480" w:lineRule="auto"/>
        <w:ind w:left="119"/>
        <w:rPr>
          <w:sz w:val="24"/>
          <w:szCs w:val="24"/>
        </w:rPr>
      </w:pPr>
      <w:r w:rsidRPr="008A510B">
        <w:rPr>
          <w:b/>
          <w:bCs/>
          <w:sz w:val="24"/>
          <w:szCs w:val="24"/>
        </w:rPr>
        <w:t xml:space="preserve">Estimating detection, breeding and survival probabilities. </w:t>
      </w:r>
      <w:r w:rsidRPr="008A510B">
        <w:rPr>
          <w:sz w:val="24"/>
          <w:szCs w:val="24"/>
        </w:rPr>
        <w:t>We estimated survival and breeding probability using robust design models with both primary and secondary occasions (</w:t>
      </w:r>
      <w:r w:rsidR="00234AA5" w:rsidRPr="008A510B">
        <w:rPr>
          <w:sz w:val="24"/>
          <w:szCs w:val="24"/>
        </w:rPr>
        <w:t xml:space="preserve">Kendall and Nichols 1995, </w:t>
      </w:r>
      <w:r w:rsidRPr="008A510B">
        <w:rPr>
          <w:sz w:val="24"/>
          <w:szCs w:val="24"/>
        </w:rPr>
        <w:t>Riecke et al. 2018). Primary occasions were the time period in which individuals could be encountered, which we defined as the entire</w:t>
      </w:r>
      <w:r w:rsidRPr="008A510B">
        <w:rPr>
          <w:b/>
          <w:sz w:val="24"/>
          <w:szCs w:val="24"/>
        </w:rPr>
        <w:t xml:space="preserve"> </w:t>
      </w:r>
      <w:r w:rsidRPr="008A510B">
        <w:rPr>
          <w:sz w:val="24"/>
          <w:szCs w:val="24"/>
        </w:rPr>
        <w:t xml:space="preserve">summer breeding season from May to July. Secondary occasions were distinct periods within the primary occasion, consisting of the nesting period, a period of three weeks following hatch, and the </w:t>
      </w:r>
      <w:r w:rsidRPr="008A510B">
        <w:rPr>
          <w:sz w:val="24"/>
          <w:szCs w:val="24"/>
        </w:rPr>
        <w:lastRenderedPageBreak/>
        <w:t>adult remigial molt</w:t>
      </w:r>
      <w:r w:rsidR="00F05492" w:rsidRPr="008A510B">
        <w:rPr>
          <w:sz w:val="24"/>
          <w:szCs w:val="24"/>
        </w:rPr>
        <w:t>,</w:t>
      </w:r>
      <w:r w:rsidRPr="008A510B">
        <w:rPr>
          <w:sz w:val="24"/>
          <w:szCs w:val="24"/>
        </w:rPr>
        <w:t xml:space="preserve"> described above. Secondary occasion encounter data were represented by </w:t>
      </w:r>
      <w:proofErr w:type="spellStart"/>
      <w:proofErr w:type="gramStart"/>
      <w:r w:rsidRPr="008A510B">
        <w:rPr>
          <w:i/>
          <w:sz w:val="24"/>
          <w:szCs w:val="24"/>
        </w:rPr>
        <w:t>y</w:t>
      </w:r>
      <w:r w:rsidRPr="008A510B">
        <w:rPr>
          <w:i/>
          <w:sz w:val="24"/>
          <w:szCs w:val="24"/>
          <w:vertAlign w:val="subscript"/>
        </w:rPr>
        <w:t>i,t</w:t>
      </w:r>
      <w:proofErr w:type="gramEnd"/>
      <w:r w:rsidRPr="008A510B">
        <w:rPr>
          <w:i/>
          <w:sz w:val="24"/>
          <w:szCs w:val="24"/>
          <w:vertAlign w:val="subscript"/>
        </w:rPr>
        <w:t>,k</w:t>
      </w:r>
      <w:proofErr w:type="spellEnd"/>
      <w:r w:rsidRPr="008A510B">
        <w:rPr>
          <w:sz w:val="24"/>
          <w:szCs w:val="24"/>
        </w:rPr>
        <w:t xml:space="preserve">, where </w:t>
      </w:r>
      <w:r w:rsidRPr="008A510B">
        <w:rPr>
          <w:i/>
          <w:sz w:val="24"/>
          <w:szCs w:val="24"/>
        </w:rPr>
        <w:t xml:space="preserve">i </w:t>
      </w:r>
      <w:r w:rsidRPr="008A510B">
        <w:rPr>
          <w:sz w:val="24"/>
          <w:szCs w:val="24"/>
        </w:rPr>
        <w:t>= 1</w:t>
      </w:r>
      <w:r w:rsidRPr="008A510B">
        <w:rPr>
          <w:i/>
          <w:sz w:val="24"/>
          <w:szCs w:val="24"/>
        </w:rPr>
        <w:t xml:space="preserve">, ..., n </w:t>
      </w:r>
      <w:r w:rsidRPr="008A510B">
        <w:rPr>
          <w:sz w:val="24"/>
          <w:szCs w:val="24"/>
        </w:rPr>
        <w:t xml:space="preserve">indicated the individual, </w:t>
      </w:r>
      <w:r w:rsidRPr="008A510B">
        <w:rPr>
          <w:i/>
          <w:sz w:val="24"/>
          <w:szCs w:val="24"/>
        </w:rPr>
        <w:t xml:space="preserve">t </w:t>
      </w:r>
      <w:r w:rsidRPr="008A510B">
        <w:rPr>
          <w:sz w:val="24"/>
          <w:szCs w:val="24"/>
        </w:rPr>
        <w:t>= 1</w:t>
      </w:r>
      <w:r w:rsidRPr="008A510B">
        <w:rPr>
          <w:i/>
          <w:sz w:val="24"/>
          <w:szCs w:val="24"/>
        </w:rPr>
        <w:t xml:space="preserve">, ..., T </w:t>
      </w:r>
      <w:r w:rsidRPr="008A510B">
        <w:rPr>
          <w:sz w:val="24"/>
          <w:szCs w:val="24"/>
        </w:rPr>
        <w:t xml:space="preserve">indicated the primary occasion, and </w:t>
      </w:r>
      <w:r w:rsidRPr="008A510B">
        <w:rPr>
          <w:i/>
          <w:sz w:val="24"/>
          <w:szCs w:val="24"/>
        </w:rPr>
        <w:t xml:space="preserve">k </w:t>
      </w:r>
      <w:r w:rsidRPr="008A510B">
        <w:rPr>
          <w:sz w:val="24"/>
          <w:szCs w:val="24"/>
        </w:rPr>
        <w:t>= 1</w:t>
      </w:r>
      <w:r w:rsidRPr="008A510B">
        <w:rPr>
          <w:i/>
          <w:sz w:val="24"/>
          <w:szCs w:val="24"/>
        </w:rPr>
        <w:t xml:space="preserve">, </w:t>
      </w:r>
      <w:r w:rsidRPr="008A510B">
        <w:rPr>
          <w:sz w:val="24"/>
          <w:szCs w:val="24"/>
        </w:rPr>
        <w:t>2</w:t>
      </w:r>
      <w:r w:rsidRPr="008A510B">
        <w:rPr>
          <w:i/>
          <w:sz w:val="24"/>
          <w:szCs w:val="24"/>
        </w:rPr>
        <w:t xml:space="preserve">, </w:t>
      </w:r>
      <w:r w:rsidRPr="008A510B">
        <w:rPr>
          <w:sz w:val="24"/>
          <w:szCs w:val="24"/>
        </w:rPr>
        <w:t>3 indicated the secondary occasion. We assumed the data arose from a Bernoulli distribution with the probability of success equal to the encounter probability of the secondary occasion (</w:t>
      </w:r>
      <w:proofErr w:type="spellStart"/>
      <w:r w:rsidRPr="008A510B">
        <w:rPr>
          <w:i/>
          <w:sz w:val="24"/>
          <w:szCs w:val="24"/>
        </w:rPr>
        <w:t>p</w:t>
      </w:r>
      <w:r w:rsidRPr="008A510B">
        <w:rPr>
          <w:i/>
          <w:sz w:val="24"/>
          <w:szCs w:val="24"/>
          <w:vertAlign w:val="subscript"/>
        </w:rPr>
        <w:t>t,k</w:t>
      </w:r>
      <w:proofErr w:type="spellEnd"/>
      <w:r w:rsidRPr="008A510B">
        <w:rPr>
          <w:sz w:val="24"/>
          <w:szCs w:val="24"/>
        </w:rPr>
        <w:t>) and conditional on the individual’s sampling availability (</w:t>
      </w:r>
      <w:r w:rsidRPr="008A510B">
        <w:rPr>
          <w:i/>
          <w:sz w:val="24"/>
          <w:szCs w:val="24"/>
        </w:rPr>
        <w:t>π</w:t>
      </w:r>
      <w:proofErr w:type="spellStart"/>
      <w:r w:rsidRPr="008A510B">
        <w:rPr>
          <w:i/>
          <w:sz w:val="24"/>
          <w:szCs w:val="24"/>
          <w:vertAlign w:val="subscript"/>
        </w:rPr>
        <w:t>i,t</w:t>
      </w:r>
      <w:proofErr w:type="spellEnd"/>
      <w:r w:rsidRPr="008A510B">
        <w:rPr>
          <w:sz w:val="24"/>
          <w:szCs w:val="24"/>
        </w:rPr>
        <w:t xml:space="preserve">) and latent state (alive or dead, </w:t>
      </w:r>
      <w:proofErr w:type="spellStart"/>
      <w:r w:rsidRPr="008A510B">
        <w:rPr>
          <w:i/>
          <w:sz w:val="24"/>
          <w:szCs w:val="24"/>
        </w:rPr>
        <w:t>z</w:t>
      </w:r>
      <w:r w:rsidRPr="008A510B">
        <w:rPr>
          <w:i/>
          <w:sz w:val="24"/>
          <w:szCs w:val="24"/>
          <w:vertAlign w:val="subscript"/>
        </w:rPr>
        <w:t>i,t</w:t>
      </w:r>
      <w:proofErr w:type="spellEnd"/>
      <w:r w:rsidRPr="008A510B">
        <w:rPr>
          <w:sz w:val="24"/>
          <w:szCs w:val="24"/>
        </w:rPr>
        <w:t>)</w:t>
      </w:r>
    </w:p>
    <w:p w14:paraId="6950375F" w14:textId="0AD1ADC0" w:rsidR="00154A7F" w:rsidRPr="00C63ABB" w:rsidRDefault="00EF7C88">
      <w:pPr>
        <w:pStyle w:val="BodyText"/>
        <w:spacing w:line="480" w:lineRule="auto"/>
        <w:ind w:left="119"/>
        <w:jc w:val="center"/>
      </w:pPr>
      <m:oMathPara>
        <m:oMath>
          <m:sSub>
            <m:sSubPr>
              <m:ctrlPr>
                <w:rPr>
                  <w:rFonts w:ascii="Cambria Math" w:hAnsi="Cambria Math"/>
                  <w:i/>
                </w:rPr>
              </m:ctrlPr>
            </m:sSubPr>
            <m:e>
              <m:r>
                <w:rPr>
                  <w:rFonts w:ascii="Cambria Math" w:hAnsi="Cambria Math"/>
                </w:rPr>
                <m:t>y</m:t>
              </m:r>
            </m:e>
            <m:sub>
              <m:r>
                <w:rPr>
                  <w:rFonts w:ascii="Cambria Math" w:hAnsi="Cambria Math"/>
                </w:rPr>
                <m:t>i,t,k</m:t>
              </m:r>
            </m:sub>
          </m:sSub>
          <m:r>
            <w:rPr>
              <w:rFonts w:ascii="Cambria Math" w:hAnsi="Cambria Math"/>
            </w:rPr>
            <m:t xml:space="preserve"> ~ </m:t>
          </m:r>
          <m:d>
            <m:dPr>
              <m:begChr m:val="{"/>
              <m:endChr m:val=""/>
              <m:ctrlPr>
                <w:rPr>
                  <w:rFonts w:ascii="Cambria Math" w:hAnsi="Cambria Math"/>
                  <w:i/>
                </w:rPr>
              </m:ctrlPr>
            </m:dPr>
            <m:e>
              <m:eqArr>
                <m:eqArrPr>
                  <m:ctrlPr>
                    <w:rPr>
                      <w:rFonts w:ascii="Cambria Math" w:hAnsi="Cambria Math"/>
                      <w:i/>
                    </w:rPr>
                  </m:ctrlPr>
                </m:eqArrPr>
                <m:e>
                  <m:r>
                    <m:rPr>
                      <m:sty m:val="p"/>
                    </m:rPr>
                    <w:rPr>
                      <w:rFonts w:ascii="Cambria Math" w:hAnsi="Cambria Math"/>
                    </w:rPr>
                    <m:t>Bernoulli</m:t>
                  </m:r>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t,k</m:t>
                      </m:r>
                    </m:sub>
                  </m:sSub>
                  <m:r>
                    <w:rPr>
                      <w:rFonts w:ascii="Cambria Math" w:hAnsi="Cambria Math"/>
                    </w:rPr>
                    <m:t>),  &amp;</m:t>
                  </m:r>
                  <m:sSub>
                    <m:sSubPr>
                      <m:ctrlPr>
                        <w:rPr>
                          <w:rFonts w:ascii="Cambria Math" w:hAnsi="Cambria Math"/>
                          <w:i/>
                        </w:rPr>
                      </m:ctrlPr>
                    </m:sSubPr>
                    <m:e>
                      <m:r>
                        <w:rPr>
                          <w:rFonts w:ascii="Cambria Math" w:hAnsi="Cambria Math"/>
                        </w:rPr>
                        <m:t xml:space="preserve"> z</m:t>
                      </m:r>
                    </m:e>
                    <m:sub>
                      <m:r>
                        <w:rPr>
                          <w:rFonts w:ascii="Cambria Math" w:hAnsi="Cambria Math"/>
                        </w:rPr>
                        <m:t>i,t</m:t>
                      </m:r>
                    </m:sub>
                  </m:sSub>
                  <m:sSub>
                    <m:sSubPr>
                      <m:ctrlPr>
                        <w:rPr>
                          <w:rFonts w:ascii="Cambria Math" w:hAnsi="Cambria Math"/>
                          <w:i/>
                        </w:rPr>
                      </m:ctrlPr>
                    </m:sSubPr>
                    <m:e>
                      <m:r>
                        <w:rPr>
                          <w:rFonts w:ascii="Cambria Math" w:hAnsi="Cambria Math"/>
                        </w:rPr>
                        <m:t>π</m:t>
                      </m:r>
                    </m:e>
                    <m:sub>
                      <m:r>
                        <w:rPr>
                          <w:rFonts w:ascii="Cambria Math" w:hAnsi="Cambria Math"/>
                        </w:rPr>
                        <m:t>i,t</m:t>
                      </m:r>
                    </m:sub>
                  </m:sSub>
                  <m:r>
                    <w:rPr>
                      <w:rFonts w:ascii="Cambria Math" w:hAnsi="Cambria Math"/>
                    </w:rPr>
                    <m:t>=1</m:t>
                  </m:r>
                </m:e>
                <m:e>
                  <m:r>
                    <w:rPr>
                      <w:rFonts w:ascii="Cambria Math" w:hAnsi="Cambria Math"/>
                    </w:rPr>
                    <m:t>0,  &amp;</m:t>
                  </m:r>
                  <m:r>
                    <m:rPr>
                      <m:sty m:val="p"/>
                    </m:rPr>
                    <w:rPr>
                      <w:rFonts w:ascii="Cambria Math" w:hAnsi="Cambria Math"/>
                    </w:rPr>
                    <m:t>otherwise</m:t>
                  </m:r>
                </m:e>
              </m:eqArr>
            </m:e>
          </m:d>
          <m:r>
            <w:rPr>
              <w:rFonts w:ascii="Cambria Math" w:hAnsi="Cambria Math"/>
            </w:rPr>
            <m:t xml:space="preserve">   .</m:t>
          </m:r>
        </m:oMath>
      </m:oMathPara>
    </w:p>
    <w:p w14:paraId="63FC81E5" w14:textId="77777777" w:rsidR="003A76CE" w:rsidRPr="008A510B" w:rsidRDefault="003A76CE">
      <w:pPr>
        <w:pStyle w:val="BodyText"/>
        <w:spacing w:line="480" w:lineRule="auto"/>
        <w:ind w:right="320"/>
      </w:pPr>
      <w:r w:rsidRPr="008A510B">
        <w:t>We defined an individual’s sampling availability as a Bernoulli random variable, conditional on the individual’s latent state and breeding probability (</w:t>
      </w:r>
      <w:proofErr w:type="spellStart"/>
      <w:r w:rsidRPr="008A510B">
        <w:rPr>
          <w:i/>
        </w:rPr>
        <w:t>γ</w:t>
      </w:r>
      <w:r w:rsidRPr="008A510B">
        <w:rPr>
          <w:i/>
          <w:vertAlign w:val="subscript"/>
        </w:rPr>
        <w:t>i,t</w:t>
      </w:r>
      <w:proofErr w:type="spellEnd"/>
      <w:r w:rsidRPr="008A510B">
        <w:t>),</w:t>
      </w:r>
    </w:p>
    <w:p w14:paraId="691007E1" w14:textId="2F643647" w:rsidR="003A76CE" w:rsidRPr="00C63ABB" w:rsidRDefault="00EF7C88">
      <w:pPr>
        <w:pStyle w:val="BodyText"/>
        <w:spacing w:line="480" w:lineRule="auto"/>
        <w:jc w:val="center"/>
      </w:pPr>
      <m:oMathPara>
        <m:oMath>
          <m:sSub>
            <m:sSubPr>
              <m:ctrlPr>
                <w:rPr>
                  <w:rFonts w:ascii="Cambria Math" w:hAnsi="Cambria Math"/>
                  <w:i/>
                </w:rPr>
              </m:ctrlPr>
            </m:sSubPr>
            <m:e>
              <m:r>
                <w:rPr>
                  <w:rFonts w:ascii="Cambria Math" w:hAnsi="Cambria Math"/>
                </w:rPr>
                <m:t>π</m:t>
              </m:r>
            </m:e>
            <m:sub>
              <m:r>
                <w:rPr>
                  <w:rFonts w:ascii="Cambria Math" w:hAnsi="Cambria Math"/>
                </w:rPr>
                <m:t>i,t</m:t>
              </m:r>
            </m:sub>
          </m:sSub>
          <m:r>
            <w:rPr>
              <w:rFonts w:ascii="Cambria Math" w:hAnsi="Cambria Math"/>
            </w:rPr>
            <m:t xml:space="preserve"> ~ </m:t>
          </m:r>
          <m:d>
            <m:dPr>
              <m:begChr m:val="{"/>
              <m:endChr m:val=""/>
              <m:ctrlPr>
                <w:rPr>
                  <w:rFonts w:ascii="Cambria Math" w:hAnsi="Cambria Math"/>
                  <w:i/>
                </w:rPr>
              </m:ctrlPr>
            </m:dPr>
            <m:e>
              <m:eqArr>
                <m:eqArrPr>
                  <m:ctrlPr>
                    <w:rPr>
                      <w:rFonts w:ascii="Cambria Math" w:hAnsi="Cambria Math"/>
                      <w:i/>
                    </w:rPr>
                  </m:ctrlPr>
                </m:eqArrPr>
                <m:e>
                  <m:r>
                    <m:rPr>
                      <m:sty m:val="p"/>
                    </m:rPr>
                    <w:rPr>
                      <w:rFonts w:ascii="Cambria Math" w:hAnsi="Cambria Math"/>
                    </w:rPr>
                    <m:t>Bernoulli</m:t>
                  </m:r>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t,k</m:t>
                      </m:r>
                    </m:sub>
                  </m:sSub>
                  <m:r>
                    <w:rPr>
                      <w:rFonts w:ascii="Cambria Math" w:hAnsi="Cambria Math"/>
                    </w:rPr>
                    <m:t>),  &amp;</m:t>
                  </m:r>
                  <m:sSub>
                    <m:sSubPr>
                      <m:ctrlPr>
                        <w:rPr>
                          <w:rFonts w:ascii="Cambria Math" w:hAnsi="Cambria Math"/>
                          <w:i/>
                        </w:rPr>
                      </m:ctrlPr>
                    </m:sSubPr>
                    <m:e>
                      <m:r>
                        <w:rPr>
                          <w:rFonts w:ascii="Cambria Math" w:hAnsi="Cambria Math"/>
                        </w:rPr>
                        <m:t>z</m:t>
                      </m:r>
                    </m:e>
                    <m:sub>
                      <m:r>
                        <w:rPr>
                          <w:rFonts w:ascii="Cambria Math" w:hAnsi="Cambria Math"/>
                        </w:rPr>
                        <m:t>i,t</m:t>
                      </m:r>
                    </m:sub>
                  </m:sSub>
                  <m:r>
                    <w:rPr>
                      <w:rFonts w:ascii="Cambria Math" w:hAnsi="Cambria Math"/>
                    </w:rPr>
                    <m:t>=1</m:t>
                  </m:r>
                </m:e>
                <m:e>
                  <m:r>
                    <w:rPr>
                      <w:rFonts w:ascii="Cambria Math" w:hAnsi="Cambria Math"/>
                    </w:rPr>
                    <m:t>0,  &amp;</m:t>
                  </m:r>
                  <m:r>
                    <m:rPr>
                      <m:sty m:val="p"/>
                    </m:rPr>
                    <w:rPr>
                      <w:rFonts w:ascii="Cambria Math" w:hAnsi="Cambria Math"/>
                    </w:rPr>
                    <m:t>otherwise</m:t>
                  </m:r>
                </m:e>
              </m:eqArr>
            </m:e>
          </m:d>
          <m:r>
            <w:rPr>
              <w:rFonts w:ascii="Cambria Math" w:hAnsi="Cambria Math"/>
            </w:rPr>
            <m:t xml:space="preserve">   .</m:t>
          </m:r>
        </m:oMath>
      </m:oMathPara>
    </w:p>
    <w:p w14:paraId="270B2CD7" w14:textId="77777777" w:rsidR="003A76CE" w:rsidRPr="008A510B" w:rsidRDefault="003A76CE">
      <w:pPr>
        <w:pStyle w:val="BodyText"/>
        <w:spacing w:line="480" w:lineRule="auto"/>
        <w:ind w:left="119"/>
      </w:pPr>
      <w:r w:rsidRPr="008A510B">
        <w:t>We modeled an individual’s latent state using a Bernoulli distribution and the individual’s survival probability (</w:t>
      </w:r>
      <w:proofErr w:type="spellStart"/>
      <w:r w:rsidRPr="008A510B">
        <w:rPr>
          <w:i/>
        </w:rPr>
        <w:t>φ</w:t>
      </w:r>
      <w:proofErr w:type="gramStart"/>
      <w:r w:rsidRPr="008A510B">
        <w:rPr>
          <w:i/>
          <w:vertAlign w:val="subscript"/>
        </w:rPr>
        <w:t>i,t</w:t>
      </w:r>
      <w:proofErr w:type="spellEnd"/>
      <w:proofErr w:type="gramEnd"/>
      <w:r w:rsidRPr="008A510B">
        <w:t>), conditional on the individual’s previous latent state</w:t>
      </w:r>
    </w:p>
    <w:p w14:paraId="72C3EF5F" w14:textId="6697B7C3" w:rsidR="003A76CE" w:rsidRPr="00C63ABB" w:rsidRDefault="00EF7C88">
      <w:pPr>
        <w:pStyle w:val="BodyText"/>
        <w:spacing w:line="480" w:lineRule="auto"/>
        <w:ind w:left="119"/>
      </w:pPr>
      <m:oMathPara>
        <m:oMath>
          <m:sSub>
            <m:sSubPr>
              <m:ctrlPr>
                <w:rPr>
                  <w:rFonts w:ascii="Cambria Math" w:hAnsi="Cambria Math"/>
                  <w:i/>
                </w:rPr>
              </m:ctrlPr>
            </m:sSubPr>
            <m:e>
              <m:r>
                <w:rPr>
                  <w:rFonts w:ascii="Cambria Math" w:hAnsi="Cambria Math"/>
                </w:rPr>
                <m:t>z</m:t>
              </m:r>
            </m:e>
            <m:sub>
              <m:r>
                <w:rPr>
                  <w:rFonts w:ascii="Cambria Math" w:hAnsi="Cambria Math"/>
                </w:rPr>
                <m:t>i,t</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m:rPr>
                      <m:sty m:val="p"/>
                    </m:rPr>
                    <w:rPr>
                      <w:rFonts w:ascii="Cambria Math" w:hAnsi="Cambria Math"/>
                    </w:rPr>
                    <m:t>Bernoulli</m:t>
                  </m:r>
                  <m:r>
                    <w:rPr>
                      <w:rFonts w:ascii="Cambria Math" w:hAnsi="Cambria Math"/>
                    </w:rPr>
                    <m:t>(</m:t>
                  </m:r>
                  <m:sSub>
                    <m:sSubPr>
                      <m:ctrlPr>
                        <w:rPr>
                          <w:rFonts w:ascii="Cambria Math" w:hAnsi="Cambria Math"/>
                          <w:i/>
                        </w:rPr>
                      </m:ctrlPr>
                    </m:sSubPr>
                    <m:e>
                      <m:r>
                        <w:rPr>
                          <w:rFonts w:ascii="Cambria Math" w:hAnsi="Cambria Math"/>
                        </w:rPr>
                        <m:t>φ</m:t>
                      </m:r>
                    </m:e>
                    <m:sub>
                      <m:r>
                        <w:rPr>
                          <w:rFonts w:ascii="Cambria Math" w:hAnsi="Cambria Math"/>
                        </w:rPr>
                        <m:t>t,k</m:t>
                      </m:r>
                    </m:sub>
                  </m:sSub>
                  <m:r>
                    <w:rPr>
                      <w:rFonts w:ascii="Cambria Math" w:hAnsi="Cambria Math"/>
                    </w:rPr>
                    <m:t>),  &amp;</m:t>
                  </m:r>
                  <m:sSub>
                    <m:sSubPr>
                      <m:ctrlPr>
                        <w:rPr>
                          <w:rFonts w:ascii="Cambria Math" w:hAnsi="Cambria Math"/>
                          <w:i/>
                        </w:rPr>
                      </m:ctrlPr>
                    </m:sSubPr>
                    <m:e>
                      <m:r>
                        <w:rPr>
                          <w:rFonts w:ascii="Cambria Math" w:hAnsi="Cambria Math"/>
                        </w:rPr>
                        <m:t xml:space="preserve"> z</m:t>
                      </m:r>
                    </m:e>
                    <m:sub>
                      <m:r>
                        <w:rPr>
                          <w:rFonts w:ascii="Cambria Math" w:hAnsi="Cambria Math"/>
                        </w:rPr>
                        <m:t>i,t-1</m:t>
                      </m:r>
                    </m:sub>
                  </m:sSub>
                  <m:r>
                    <w:rPr>
                      <w:rFonts w:ascii="Cambria Math" w:hAnsi="Cambria Math"/>
                    </w:rPr>
                    <m:t>=1</m:t>
                  </m:r>
                </m:e>
                <m:e>
                  <m:r>
                    <w:rPr>
                      <w:rFonts w:ascii="Cambria Math" w:hAnsi="Cambria Math"/>
                    </w:rPr>
                    <m:t>0,  &amp;</m:t>
                  </m:r>
                  <m:r>
                    <m:rPr>
                      <m:sty m:val="p"/>
                    </m:rPr>
                    <w:rPr>
                      <w:rFonts w:ascii="Cambria Math" w:hAnsi="Cambria Math"/>
                    </w:rPr>
                    <m:t>otherwise</m:t>
                  </m:r>
                </m:e>
              </m:eqArr>
            </m:e>
          </m:d>
          <m:r>
            <w:rPr>
              <w:rFonts w:ascii="Cambria Math" w:hAnsi="Cambria Math"/>
            </w:rPr>
            <m:t xml:space="preserve">   .</m:t>
          </m:r>
        </m:oMath>
      </m:oMathPara>
    </w:p>
    <w:p w14:paraId="61C30359" w14:textId="6E663D9C" w:rsidR="003A76CE" w:rsidRPr="008A510B" w:rsidRDefault="003A76CE" w:rsidP="00174125">
      <w:pPr>
        <w:pStyle w:val="BodyText"/>
        <w:spacing w:line="480" w:lineRule="auto"/>
        <w:ind w:left="119" w:right="391"/>
      </w:pPr>
      <w:r w:rsidRPr="008A510B">
        <w:rPr>
          <w:b/>
          <w:bCs/>
        </w:rPr>
        <w:t xml:space="preserve">Relationships between clutch size and initiation date, and survival and breeding probability. </w:t>
      </w:r>
      <w:r w:rsidRPr="008A510B">
        <w:t xml:space="preserve">We estimated the </w:t>
      </w:r>
      <w:r w:rsidR="00F620B8">
        <w:t>effects of</w:t>
      </w:r>
      <w:r w:rsidRPr="008A510B">
        <w:t xml:space="preserve"> clutch size (</w:t>
      </w:r>
      <w:proofErr w:type="spellStart"/>
      <w:r w:rsidRPr="008A510B">
        <w:rPr>
          <w:i/>
        </w:rPr>
        <w:t>κ</w:t>
      </w:r>
      <w:r w:rsidRPr="008A510B">
        <w:rPr>
          <w:i/>
          <w:vertAlign w:val="subscript"/>
        </w:rPr>
        <w:t>i</w:t>
      </w:r>
      <w:proofErr w:type="spellEnd"/>
      <w:r w:rsidRPr="008A510B">
        <w:t>) and initiation date (</w:t>
      </w:r>
      <w:proofErr w:type="spellStart"/>
      <w:r w:rsidRPr="008A510B">
        <w:rPr>
          <w:i/>
        </w:rPr>
        <w:t>δ</w:t>
      </w:r>
      <w:r w:rsidRPr="008A510B">
        <w:rPr>
          <w:i/>
          <w:vertAlign w:val="subscript"/>
        </w:rPr>
        <w:t>i</w:t>
      </w:r>
      <w:proofErr w:type="spellEnd"/>
      <w:r w:rsidRPr="008A510B">
        <w:t xml:space="preserve">) </w:t>
      </w:r>
      <w:r w:rsidR="00F620B8">
        <w:t>on</w:t>
      </w:r>
      <w:r w:rsidR="00F620B8" w:rsidRPr="008A510B">
        <w:t xml:space="preserve"> </w:t>
      </w:r>
      <w:r w:rsidRPr="008A510B">
        <w:t>survival (</w:t>
      </w:r>
      <w:proofErr w:type="spellStart"/>
      <w:r w:rsidRPr="008A510B">
        <w:rPr>
          <w:i/>
        </w:rPr>
        <w:t>φ</w:t>
      </w:r>
      <w:proofErr w:type="gramStart"/>
      <w:r w:rsidRPr="008A510B">
        <w:rPr>
          <w:i/>
          <w:vertAlign w:val="subscript"/>
        </w:rPr>
        <w:t>i,t</w:t>
      </w:r>
      <w:proofErr w:type="spellEnd"/>
      <w:proofErr w:type="gramEnd"/>
      <w:r w:rsidRPr="008A510B">
        <w:t>) and breeding probability (</w:t>
      </w:r>
      <w:proofErr w:type="spellStart"/>
      <w:r w:rsidRPr="008A510B">
        <w:rPr>
          <w:i/>
        </w:rPr>
        <w:t>γ</w:t>
      </w:r>
      <w:r w:rsidRPr="008A510B">
        <w:rPr>
          <w:i/>
          <w:vertAlign w:val="subscript"/>
        </w:rPr>
        <w:t>i,t</w:t>
      </w:r>
      <w:proofErr w:type="spellEnd"/>
      <w:r w:rsidRPr="008A510B">
        <w:t>) using the lifetime means of observed individual clutch sizes and initiation dates. We z-standardized clutch size and initiation date within years</w:t>
      </w:r>
      <w:r w:rsidR="00F620B8">
        <w:t>,</w:t>
      </w:r>
      <w:r w:rsidRPr="008A510B">
        <w:t xml:space="preserve"> and then took the mean across years for each individual to produce a value representing </w:t>
      </w:r>
      <w:r w:rsidR="00526F21" w:rsidRPr="008A510B">
        <w:t xml:space="preserve">average </w:t>
      </w:r>
      <w:r w:rsidRPr="008A510B">
        <w:t>within-year reproductive energy allocation. These measures essentially placed individuals on a ‘quality’ gradient, where individuals laying larger and earlier clutches were considered higher ‘quality’</w:t>
      </w:r>
      <w:r w:rsidR="00234AA5" w:rsidRPr="008A510B">
        <w:t>,</w:t>
      </w:r>
      <w:r w:rsidRPr="008A510B">
        <w:t xml:space="preserve"> as on average they were better able to acquire nutrients for annual reproductive allocation</w:t>
      </w:r>
      <w:r w:rsidR="00F941D0">
        <w:t xml:space="preserve"> (Figure 1)</w:t>
      </w:r>
      <w:r w:rsidRPr="008A510B">
        <w:t>.</w:t>
      </w:r>
      <w:r w:rsidRPr="00C63ABB">
        <w:t xml:space="preserve"> Our analyses did not assess the pote</w:t>
      </w:r>
      <w:r w:rsidRPr="008A510B">
        <w:t xml:space="preserve">ntial for trade-offs </w:t>
      </w:r>
      <w:r w:rsidRPr="008A510B">
        <w:lastRenderedPageBreak/>
        <w:t xml:space="preserve">between annual survival or breeding probability and reproduction in a particular year, as this has been considered elsewhere (Leach et al. 2019). We assessed the relationships between </w:t>
      </w:r>
      <w:r w:rsidR="00857D56" w:rsidRPr="008A510B">
        <w:t>within-year reproduction (</w:t>
      </w:r>
      <w:r w:rsidRPr="008A510B">
        <w:t>clutch size and initiation date</w:t>
      </w:r>
      <w:r w:rsidR="00857D56" w:rsidRPr="008A510B">
        <w:t>)</w:t>
      </w:r>
      <w:r w:rsidRPr="008A510B">
        <w:t xml:space="preserve"> and</w:t>
      </w:r>
      <w:r w:rsidR="00857D56" w:rsidRPr="008A510B">
        <w:t xml:space="preserve"> </w:t>
      </w:r>
      <w:r w:rsidR="00BC684A" w:rsidRPr="008A510B">
        <w:t>the</w:t>
      </w:r>
      <w:r w:rsidR="00857D56" w:rsidRPr="008A510B">
        <w:t xml:space="preserve"> demographic rates</w:t>
      </w:r>
      <w:r w:rsidR="00BC684A" w:rsidRPr="008A510B">
        <w:t xml:space="preserve"> </w:t>
      </w:r>
      <w:r w:rsidRPr="008A510B">
        <w:t>survival and breeding probability</w:t>
      </w:r>
      <w:r w:rsidR="00857D56" w:rsidRPr="008A510B">
        <w:t>)</w:t>
      </w:r>
      <w:r w:rsidR="00BC684A" w:rsidRPr="008A510B">
        <w:t xml:space="preserve"> </w:t>
      </w:r>
      <w:r w:rsidRPr="008A510B">
        <w:t xml:space="preserve">using a generalized linear model, with a logit link function. Temporal </w:t>
      </w:r>
      <w:r w:rsidR="00BC684A" w:rsidRPr="008A510B">
        <w:t xml:space="preserve">variability </w:t>
      </w:r>
      <w:r w:rsidRPr="008A510B">
        <w:t>was also included in candidate models (</w:t>
      </w:r>
      <w:proofErr w:type="spellStart"/>
      <w:r w:rsidRPr="008A510B">
        <w:rPr>
          <w:i/>
        </w:rPr>
        <w:t>ε</w:t>
      </w:r>
      <w:r w:rsidRPr="008A510B">
        <w:rPr>
          <w:i/>
          <w:vertAlign w:val="subscript"/>
        </w:rPr>
        <w:t>t</w:t>
      </w:r>
      <w:proofErr w:type="spellEnd"/>
      <w:r w:rsidRPr="008A510B">
        <w:t>)</w:t>
      </w:r>
      <w:r w:rsidR="003C3E69" w:rsidRPr="008A510B">
        <w:t xml:space="preserve"> for each year</w:t>
      </w:r>
    </w:p>
    <w:p w14:paraId="116466A5" w14:textId="5FC0EA1F" w:rsidR="003A76CE" w:rsidRPr="00C63ABB" w:rsidRDefault="00BC684A">
      <w:pPr>
        <w:pStyle w:val="BodyText"/>
        <w:spacing w:line="480" w:lineRule="auto"/>
        <w:ind w:left="119" w:right="391" w:firstLine="936"/>
      </w:pPr>
      <m:oMathPara>
        <m:oMath>
          <m:r>
            <m:rPr>
              <m:sty m:val="p"/>
            </m:rPr>
            <w:rPr>
              <w:rFonts w:ascii="Cambria Math" w:hAnsi="Cambria Math"/>
            </w:rPr>
            <m:t>logit</m:t>
          </m:r>
          <m:r>
            <w:rPr>
              <w:rFonts w:ascii="Cambria Math" w:hAnsi="Cambria Math"/>
            </w:rPr>
            <m:t>(</m:t>
          </m:r>
          <m:sSub>
            <m:sSubPr>
              <m:ctrlPr>
                <w:rPr>
                  <w:rFonts w:ascii="Cambria Math" w:hAnsi="Cambria Math"/>
                  <w:i/>
                </w:rPr>
              </m:ctrlPr>
            </m:sSubPr>
            <m:e>
              <m:r>
                <w:rPr>
                  <w:rFonts w:ascii="Cambria Math" w:hAnsi="Cambria Math"/>
                </w:rPr>
                <m:t>φ</m:t>
              </m:r>
            </m:e>
            <m:sub>
              <m:r>
                <w:rPr>
                  <w:rFonts w:ascii="Cambria Math" w:hAnsi="Cambria Math"/>
                </w:rPr>
                <m:t>i,t</m:t>
              </m:r>
            </m:sub>
          </m:sSub>
          <m:r>
            <w:rPr>
              <w:rFonts w:ascii="Cambria Math" w:hAnsi="Cambria Math"/>
            </w:rPr>
            <m:t xml:space="preserve">) = </m:t>
          </m:r>
          <m:sSub>
            <m:sSubPr>
              <m:ctrlPr>
                <w:rPr>
                  <w:rFonts w:ascii="Cambria Math" w:hAnsi="Cambria Math"/>
                  <w:i/>
                </w:rPr>
              </m:ctrlPr>
            </m:sSubPr>
            <m:e>
              <m:r>
                <w:rPr>
                  <w:rFonts w:ascii="Cambria Math" w:hAnsi="Cambria Math"/>
                </w:rPr>
                <m:t>β</m:t>
              </m:r>
            </m:e>
            <m:sub>
              <m:r>
                <w:rPr>
                  <w:rFonts w:ascii="Cambria Math" w:hAnsi="Cambria Math"/>
                </w:rPr>
                <m:t>0</m:t>
              </m:r>
            </m:sub>
          </m:sSub>
          <m:r>
            <w:rPr>
              <w:rFonts w:ascii="Cambria Math" w:hAnsi="Cambria Math"/>
            </w:rPr>
            <m:t xml:space="preserve"> + </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κ</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β</m:t>
              </m:r>
            </m:e>
            <m:sub>
              <m:r>
                <w:rPr>
                  <w:rFonts w:ascii="Cambria Math" w:hAnsi="Cambria Math"/>
                </w:rPr>
                <m:t>2</m:t>
              </m:r>
            </m:sub>
          </m:sSub>
          <m:sSub>
            <m:sSubPr>
              <m:ctrlPr>
                <w:rPr>
                  <w:rFonts w:ascii="Cambria Math" w:hAnsi="Cambria Math"/>
                  <w:i/>
                </w:rPr>
              </m:ctrlPr>
            </m:sSubPr>
            <m:e>
              <m:r>
                <w:rPr>
                  <w:rFonts w:ascii="Cambria Math" w:hAnsi="Cambria Math"/>
                </w:rPr>
                <m:t>δ</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β</m:t>
              </m:r>
            </m:e>
            <m:sub>
              <m:r>
                <w:rPr>
                  <w:rFonts w:ascii="Cambria Math" w:hAnsi="Cambria Math"/>
                </w:rPr>
                <m:t>3</m:t>
              </m:r>
            </m:sub>
          </m:sSub>
          <m:sSub>
            <m:sSubPr>
              <m:ctrlPr>
                <w:rPr>
                  <w:rFonts w:ascii="Cambria Math" w:hAnsi="Cambria Math"/>
                  <w:i/>
                </w:rPr>
              </m:ctrlPr>
            </m:sSubPr>
            <m:e>
              <m:r>
                <w:rPr>
                  <w:rFonts w:ascii="Cambria Math" w:hAnsi="Cambria Math"/>
                </w:rPr>
                <m:t>κ</m:t>
              </m:r>
            </m:e>
            <m:sub>
              <m:r>
                <w:rPr>
                  <w:rFonts w:ascii="Cambria Math" w:hAnsi="Cambria Math"/>
                </w:rPr>
                <m:t>i</m:t>
              </m:r>
            </m:sub>
          </m:sSub>
          <m:sSub>
            <m:sSubPr>
              <m:ctrlPr>
                <w:rPr>
                  <w:rFonts w:ascii="Cambria Math" w:hAnsi="Cambria Math"/>
                  <w:i/>
                </w:rPr>
              </m:ctrlPr>
            </m:sSubPr>
            <m:e>
              <m:r>
                <w:rPr>
                  <w:rFonts w:ascii="Cambria Math" w:hAnsi="Cambria Math"/>
                </w:rPr>
                <m:t>δ</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ε</m:t>
              </m:r>
            </m:e>
            <m:sub>
              <m:r>
                <w:rPr>
                  <w:rFonts w:ascii="Cambria Math" w:hAnsi="Cambria Math"/>
                </w:rPr>
                <m:t>t</m:t>
              </m:r>
            </m:sub>
          </m:sSub>
          <m:r>
            <w:rPr>
              <w:rFonts w:ascii="Cambria Math" w:hAnsi="Cambria Math"/>
            </w:rPr>
            <m:t xml:space="preserve">  </m:t>
          </m:r>
        </m:oMath>
      </m:oMathPara>
    </w:p>
    <w:p w14:paraId="53C27E57" w14:textId="63203AC3" w:rsidR="003A76CE" w:rsidRPr="00C63ABB" w:rsidRDefault="00BC684A">
      <w:pPr>
        <w:pStyle w:val="BodyText"/>
        <w:spacing w:line="480" w:lineRule="auto"/>
        <w:ind w:left="119" w:right="391" w:firstLine="936"/>
      </w:pPr>
      <m:oMathPara>
        <m:oMath>
          <m:r>
            <m:rPr>
              <m:sty m:val="p"/>
            </m:rPr>
            <w:rPr>
              <w:rFonts w:ascii="Cambria Math" w:hAnsi="Cambria Math"/>
            </w:rPr>
            <m:t>logit</m:t>
          </m:r>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i,t</m:t>
              </m:r>
            </m:sub>
          </m:sSub>
          <m:r>
            <w:rPr>
              <w:rFonts w:ascii="Cambria Math" w:hAnsi="Cambria Math"/>
            </w:rPr>
            <m:t xml:space="preserve">) = </m:t>
          </m:r>
          <m:sSub>
            <m:sSubPr>
              <m:ctrlPr>
                <w:rPr>
                  <w:rFonts w:ascii="Cambria Math" w:hAnsi="Cambria Math"/>
                  <w:i/>
                </w:rPr>
              </m:ctrlPr>
            </m:sSubPr>
            <m:e>
              <m:r>
                <w:rPr>
                  <w:rFonts w:ascii="Cambria Math" w:hAnsi="Cambria Math"/>
                </w:rPr>
                <m:t>α</m:t>
              </m:r>
            </m:e>
            <m:sub>
              <m:r>
                <w:rPr>
                  <w:rFonts w:ascii="Cambria Math" w:hAnsi="Cambria Math"/>
                </w:rPr>
                <m:t>0</m:t>
              </m:r>
            </m:sub>
          </m:sSub>
          <m:r>
            <w:rPr>
              <w:rFonts w:ascii="Cambria Math" w:hAnsi="Cambria Math"/>
            </w:rPr>
            <m:t xml:space="preserve"> + </m:t>
          </m:r>
          <m:sSub>
            <m:sSubPr>
              <m:ctrlPr>
                <w:rPr>
                  <w:rFonts w:ascii="Cambria Math" w:hAnsi="Cambria Math"/>
                  <w:i/>
                </w:rPr>
              </m:ctrlPr>
            </m:sSubPr>
            <m:e>
              <m:r>
                <w:rPr>
                  <w:rFonts w:ascii="Cambria Math" w:hAnsi="Cambria Math"/>
                </w:rPr>
                <m:t>α</m:t>
              </m:r>
            </m:e>
            <m:sub>
              <m:r>
                <w:rPr>
                  <w:rFonts w:ascii="Cambria Math" w:hAnsi="Cambria Math"/>
                </w:rPr>
                <m:t>1</m:t>
              </m:r>
            </m:sub>
          </m:sSub>
          <m:sSub>
            <m:sSubPr>
              <m:ctrlPr>
                <w:rPr>
                  <w:rFonts w:ascii="Cambria Math" w:hAnsi="Cambria Math"/>
                  <w:i/>
                </w:rPr>
              </m:ctrlPr>
            </m:sSubPr>
            <m:e>
              <m:r>
                <w:rPr>
                  <w:rFonts w:ascii="Cambria Math" w:hAnsi="Cambria Math"/>
                </w:rPr>
                <m:t>κ</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α</m:t>
              </m:r>
            </m:e>
            <m:sub>
              <m:r>
                <w:rPr>
                  <w:rFonts w:ascii="Cambria Math" w:hAnsi="Cambria Math"/>
                </w:rPr>
                <m:t>2</m:t>
              </m:r>
            </m:sub>
          </m:sSub>
          <m:sSub>
            <m:sSubPr>
              <m:ctrlPr>
                <w:rPr>
                  <w:rFonts w:ascii="Cambria Math" w:hAnsi="Cambria Math"/>
                  <w:i/>
                </w:rPr>
              </m:ctrlPr>
            </m:sSubPr>
            <m:e>
              <m:r>
                <w:rPr>
                  <w:rFonts w:ascii="Cambria Math" w:hAnsi="Cambria Math"/>
                </w:rPr>
                <m:t>δ</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α</m:t>
              </m:r>
            </m:e>
            <m:sub>
              <m:r>
                <w:rPr>
                  <w:rFonts w:ascii="Cambria Math" w:hAnsi="Cambria Math"/>
                </w:rPr>
                <m:t>3</m:t>
              </m:r>
            </m:sub>
          </m:sSub>
          <m:sSub>
            <m:sSubPr>
              <m:ctrlPr>
                <w:rPr>
                  <w:rFonts w:ascii="Cambria Math" w:hAnsi="Cambria Math"/>
                  <w:i/>
                </w:rPr>
              </m:ctrlPr>
            </m:sSubPr>
            <m:e>
              <m:r>
                <w:rPr>
                  <w:rFonts w:ascii="Cambria Math" w:hAnsi="Cambria Math"/>
                </w:rPr>
                <m:t>κ</m:t>
              </m:r>
            </m:e>
            <m:sub>
              <m:r>
                <w:rPr>
                  <w:rFonts w:ascii="Cambria Math" w:hAnsi="Cambria Math"/>
                </w:rPr>
                <m:t>i</m:t>
              </m:r>
            </m:sub>
          </m:sSub>
          <m:sSub>
            <m:sSubPr>
              <m:ctrlPr>
                <w:rPr>
                  <w:rFonts w:ascii="Cambria Math" w:hAnsi="Cambria Math"/>
                  <w:i/>
                </w:rPr>
              </m:ctrlPr>
            </m:sSubPr>
            <m:e>
              <m:r>
                <w:rPr>
                  <w:rFonts w:ascii="Cambria Math" w:hAnsi="Cambria Math"/>
                </w:rPr>
                <m:t>δ</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ε</m:t>
              </m:r>
            </m:e>
            <m:sub>
              <m:r>
                <w:rPr>
                  <w:rFonts w:ascii="Cambria Math" w:hAnsi="Cambria Math"/>
                </w:rPr>
                <m:t>t</m:t>
              </m:r>
            </m:sub>
          </m:sSub>
          <m:r>
            <w:rPr>
              <w:rFonts w:ascii="Cambria Math" w:hAnsi="Cambria Math"/>
            </w:rPr>
            <m:t xml:space="preserve">  .</m:t>
          </m:r>
        </m:oMath>
      </m:oMathPara>
    </w:p>
    <w:p w14:paraId="6775A47F" w14:textId="77777777" w:rsidR="003A76CE" w:rsidRPr="008A510B" w:rsidRDefault="003A76CE">
      <w:pPr>
        <w:pStyle w:val="BodyText"/>
        <w:spacing w:line="480" w:lineRule="auto"/>
        <w:ind w:right="391"/>
      </w:pPr>
      <w:r w:rsidRPr="008A510B">
        <w:t>The interaction between clutch size and laying date assessed the effect on survival or breeding probability of deviating from the mean relationship between clutch size and laying date.  Such deviations (e.g., clutches that are larger than predicted for a particular laying date) allowed us to assess the potential for trade-offs between investments in eggs and survival or breeding probability, after controlling for laying date.  That is, did individuals suffer a reduction in survival or breeding probability if they produced larger clutches than predicted by the clutch size laying date trend?</w:t>
      </w:r>
    </w:p>
    <w:p w14:paraId="273494A0" w14:textId="2D53C8F1" w:rsidR="003A76CE" w:rsidRPr="008A510B" w:rsidRDefault="003A76CE">
      <w:pPr>
        <w:pStyle w:val="BodyText"/>
        <w:spacing w:line="480" w:lineRule="auto"/>
        <w:ind w:left="120" w:right="159" w:firstLine="600"/>
      </w:pPr>
      <w:r w:rsidRPr="008A510B">
        <w:t xml:space="preserve">We performed analyses in JAGS (Plummer 2003) using the R (R Core Team 2018) package </w:t>
      </w:r>
      <w:r w:rsidRPr="008A510B">
        <w:rPr>
          <w:i/>
        </w:rPr>
        <w:t xml:space="preserve">jagsUI </w:t>
      </w:r>
      <w:r w:rsidRPr="008A510B">
        <w:t>(Kellner 2018)</w:t>
      </w:r>
      <w:r w:rsidR="0027449B" w:rsidRPr="008A510B">
        <w:t>. We sample</w:t>
      </w:r>
      <w:r w:rsidR="00526F21" w:rsidRPr="008A510B">
        <w:t>d</w:t>
      </w:r>
      <w:r w:rsidR="0027449B" w:rsidRPr="008A510B">
        <w:t xml:space="preserve"> two</w:t>
      </w:r>
      <w:r w:rsidRPr="008A510B">
        <w:t xml:space="preserve"> chains </w:t>
      </w:r>
      <w:r w:rsidR="0027449B" w:rsidRPr="008A510B">
        <w:t xml:space="preserve">for </w:t>
      </w:r>
      <w:r w:rsidRPr="008A510B">
        <w:t xml:space="preserve">15,000 iterations, </w:t>
      </w:r>
      <w:r w:rsidR="0027449B" w:rsidRPr="008A510B">
        <w:t xml:space="preserve">with </w:t>
      </w:r>
      <w:r w:rsidRPr="008A510B">
        <w:t xml:space="preserve">a burn-in of 10,000, and a thinning rate of 2. We report the posterior medians, 95% credible intervals, and </w:t>
      </w:r>
      <w:r w:rsidRPr="008A510B">
        <w:rPr>
          <w:i/>
        </w:rPr>
        <w:t xml:space="preserve">ξ </w:t>
      </w:r>
      <w:r w:rsidRPr="008A510B">
        <w:t>(the proportion of the posterior distribution on the same side of 0 as the mean, Plummer 2003).</w:t>
      </w:r>
    </w:p>
    <w:p w14:paraId="2736749A" w14:textId="77777777" w:rsidR="003A76CE" w:rsidRPr="008A510B" w:rsidRDefault="003A76CE">
      <w:pPr>
        <w:pStyle w:val="Heading1"/>
        <w:spacing w:before="0" w:line="480" w:lineRule="auto"/>
        <w:rPr>
          <w:sz w:val="24"/>
          <w:szCs w:val="24"/>
        </w:rPr>
      </w:pPr>
      <w:r w:rsidRPr="008A510B">
        <w:rPr>
          <w:sz w:val="24"/>
          <w:szCs w:val="24"/>
        </w:rPr>
        <w:t>RESULTS</w:t>
      </w:r>
    </w:p>
    <w:p w14:paraId="2C1F18F3" w14:textId="186DA9EF" w:rsidR="002E59D3" w:rsidRPr="008A510B" w:rsidRDefault="003A76CE">
      <w:pPr>
        <w:pStyle w:val="BodyText"/>
        <w:spacing w:line="480" w:lineRule="auto"/>
        <w:ind w:right="584" w:firstLine="601"/>
      </w:pPr>
      <w:r w:rsidRPr="008A510B">
        <w:t>Annual survival was not correlated with initiation date (</w:t>
      </w:r>
      <w:r w:rsidRPr="008A510B">
        <w:rPr>
          <w:i/>
        </w:rPr>
        <w:t>β</w:t>
      </w:r>
      <w:r w:rsidRPr="008A510B">
        <w:rPr>
          <w:vertAlign w:val="subscript"/>
        </w:rPr>
        <w:t>2</w:t>
      </w:r>
      <w:r w:rsidRPr="008A510B">
        <w:t xml:space="preserve"> = -0.003; </w:t>
      </w:r>
      <w:r w:rsidR="008524EB" w:rsidRPr="008A510B">
        <w:t>95% CRI = -0.04 — 0.</w:t>
      </w:r>
      <w:r w:rsidR="00991B4D" w:rsidRPr="008A510B">
        <w:t>0</w:t>
      </w:r>
      <w:r w:rsidR="00AF025D">
        <w:t>3</w:t>
      </w:r>
      <w:r w:rsidR="008524EB" w:rsidRPr="008A510B">
        <w:t>;</w:t>
      </w:r>
      <w:r w:rsidR="00A825CE" w:rsidRPr="008A510B">
        <w:t xml:space="preserve"> </w:t>
      </w:r>
      <w:r w:rsidR="00922ED5" w:rsidRPr="008A510B">
        <w:t xml:space="preserve">SD </w:t>
      </w:r>
      <w:r w:rsidR="00A825CE" w:rsidRPr="008A510B">
        <w:t>= 0.0</w:t>
      </w:r>
      <w:r w:rsidR="00991B4D" w:rsidRPr="008A510B">
        <w:t>2</w:t>
      </w:r>
      <w:r w:rsidR="00A825CE" w:rsidRPr="008A510B">
        <w:t>;</w:t>
      </w:r>
      <w:r w:rsidR="008524EB" w:rsidRPr="008A510B">
        <w:t xml:space="preserve"> </w:t>
      </w:r>
      <w:r w:rsidRPr="008A510B">
        <w:rPr>
          <w:i/>
        </w:rPr>
        <w:t xml:space="preserve">ξ </w:t>
      </w:r>
      <w:r w:rsidRPr="008A510B">
        <w:t>= 0.</w:t>
      </w:r>
      <w:r w:rsidR="00991B4D" w:rsidRPr="008A510B">
        <w:t>56</w:t>
      </w:r>
      <w:r w:rsidRPr="008A510B">
        <w:t xml:space="preserve">). However, model estimates did provide evidence for a modest positive </w:t>
      </w:r>
      <w:r w:rsidR="004E7C2B" w:rsidRPr="008A510B">
        <w:t xml:space="preserve">relationship </w:t>
      </w:r>
      <w:r w:rsidRPr="008A510B">
        <w:t>between survival and clutch size (</w:t>
      </w:r>
      <w:r w:rsidRPr="008A510B">
        <w:rPr>
          <w:i/>
        </w:rPr>
        <w:t>β</w:t>
      </w:r>
      <w:r w:rsidRPr="008A510B">
        <w:rPr>
          <w:vertAlign w:val="subscript"/>
        </w:rPr>
        <w:t>1</w:t>
      </w:r>
      <w:r w:rsidRPr="008A510B">
        <w:t xml:space="preserve"> = 0.03; </w:t>
      </w:r>
      <w:r w:rsidR="008524EB" w:rsidRPr="008A510B">
        <w:t>95% CRI = -0.</w:t>
      </w:r>
      <w:r w:rsidR="00AF025D">
        <w:t>01</w:t>
      </w:r>
      <w:r w:rsidR="00AF025D" w:rsidRPr="008A510B">
        <w:t xml:space="preserve"> </w:t>
      </w:r>
      <w:r w:rsidR="008524EB" w:rsidRPr="008A510B">
        <w:lastRenderedPageBreak/>
        <w:t xml:space="preserve">— 0.07; </w:t>
      </w:r>
      <w:r w:rsidR="00922ED5" w:rsidRPr="008A510B">
        <w:t>SD</w:t>
      </w:r>
      <w:r w:rsidR="00A825CE" w:rsidRPr="008A510B">
        <w:t xml:space="preserve"> = 0.02; </w:t>
      </w:r>
      <w:r w:rsidR="00F733EA" w:rsidRPr="008A510B">
        <w:rPr>
          <w:i/>
        </w:rPr>
        <w:t>ξ =</w:t>
      </w:r>
      <w:r w:rsidRPr="008A510B">
        <w:t xml:space="preserve"> 0.</w:t>
      </w:r>
      <w:r w:rsidR="00991B4D" w:rsidRPr="008A510B">
        <w:t>92</w:t>
      </w:r>
      <w:r w:rsidRPr="008A510B">
        <w:t>).</w:t>
      </w:r>
      <w:r w:rsidR="00F733EA" w:rsidRPr="008A510B">
        <w:t xml:space="preserve"> </w:t>
      </w:r>
      <w:r w:rsidRPr="008A510B">
        <w:t>The resulting survival surface (Fig</w:t>
      </w:r>
      <w:r w:rsidR="00F941D0">
        <w:t>ure 2</w:t>
      </w:r>
      <w:r w:rsidRPr="008A510B">
        <w:t xml:space="preserve">A) was relatively flat in the region where most clutch-size-laying date data lay, indicating </w:t>
      </w:r>
      <w:r w:rsidR="006D45BE" w:rsidRPr="008A510B">
        <w:t>only</w:t>
      </w:r>
      <w:r w:rsidRPr="008A510B">
        <w:t xml:space="preserve"> modest </w:t>
      </w:r>
      <w:r w:rsidR="006D45BE" w:rsidRPr="008A510B">
        <w:t xml:space="preserve">survival </w:t>
      </w:r>
      <w:r w:rsidRPr="008A510B">
        <w:t>selection against either larger or smaller clutches than the mean for a particular laying date.</w:t>
      </w:r>
      <w:r w:rsidR="0035267C" w:rsidRPr="008A510B">
        <w:t xml:space="preserve"> </w:t>
      </w:r>
      <w:r w:rsidRPr="008A510B">
        <w:t xml:space="preserve">Breeding probability </w:t>
      </w:r>
      <w:r w:rsidR="00983049" w:rsidRPr="008A510B">
        <w:t>was strongly related to</w:t>
      </w:r>
      <w:r w:rsidRPr="008A510B">
        <w:t xml:space="preserve"> both clutch size and laying date (Table 3). Breeding probability </w:t>
      </w:r>
      <w:r w:rsidR="006D45BE" w:rsidRPr="008A510B">
        <w:t>was</w:t>
      </w:r>
      <w:r w:rsidRPr="008A510B">
        <w:t xml:space="preserve"> positive</w:t>
      </w:r>
      <w:r w:rsidR="006D45BE" w:rsidRPr="008A510B">
        <w:t>ly</w:t>
      </w:r>
      <w:r w:rsidRPr="008A510B">
        <w:t xml:space="preserve"> </w:t>
      </w:r>
      <w:r w:rsidR="006D45BE" w:rsidRPr="008A510B">
        <w:t>related to</w:t>
      </w:r>
      <w:r w:rsidRPr="008A510B">
        <w:t xml:space="preserve"> clutch size (</w:t>
      </w:r>
      <w:r w:rsidRPr="008A510B">
        <w:rPr>
          <w:i/>
        </w:rPr>
        <w:t>α</w:t>
      </w:r>
      <w:r w:rsidRPr="008A510B">
        <w:rPr>
          <w:vertAlign w:val="subscript"/>
        </w:rPr>
        <w:t>1</w:t>
      </w:r>
      <w:r w:rsidRPr="008A510B">
        <w:t xml:space="preserve"> = 0.</w:t>
      </w:r>
      <w:r w:rsidR="00991B4D" w:rsidRPr="008A510B">
        <w:t>45</w:t>
      </w:r>
      <w:r w:rsidRPr="008A510B">
        <w:t xml:space="preserve">; </w:t>
      </w:r>
      <w:r w:rsidR="008524EB" w:rsidRPr="008A510B">
        <w:t>95% CRI = 0.</w:t>
      </w:r>
      <w:r w:rsidR="00AF025D">
        <w:t>33</w:t>
      </w:r>
      <w:r w:rsidR="008524EB" w:rsidRPr="008A510B">
        <w:t xml:space="preserve"> — 0.</w:t>
      </w:r>
      <w:r w:rsidR="00991B4D" w:rsidRPr="008A510B">
        <w:t>57</w:t>
      </w:r>
      <w:r w:rsidR="008524EB" w:rsidRPr="008A510B">
        <w:t xml:space="preserve">; </w:t>
      </w:r>
      <w:r w:rsidR="00922ED5" w:rsidRPr="008A510B">
        <w:t>SD</w:t>
      </w:r>
      <w:r w:rsidR="00C2745C" w:rsidRPr="008A510B">
        <w:t xml:space="preserve"> = 0.06; </w:t>
      </w:r>
      <w:r w:rsidRPr="008A510B">
        <w:rPr>
          <w:i/>
        </w:rPr>
        <w:t xml:space="preserve">ξ </w:t>
      </w:r>
      <w:r w:rsidRPr="008A510B">
        <w:t>= 1.</w:t>
      </w:r>
      <w:r w:rsidR="00CC1997">
        <w:t>0</w:t>
      </w:r>
      <w:r w:rsidRPr="008A510B">
        <w:t xml:space="preserve">0) </w:t>
      </w:r>
      <w:r w:rsidR="00526F21" w:rsidRPr="008A510B">
        <w:t>and</w:t>
      </w:r>
      <w:r w:rsidRPr="008A510B">
        <w:t xml:space="preserve"> negative</w:t>
      </w:r>
      <w:r w:rsidR="006D45BE" w:rsidRPr="008A510B">
        <w:t>ly</w:t>
      </w:r>
      <w:r w:rsidRPr="008A510B">
        <w:t xml:space="preserve"> </w:t>
      </w:r>
      <w:r w:rsidR="006D45BE" w:rsidRPr="008A510B">
        <w:t>related to</w:t>
      </w:r>
      <w:r w:rsidRPr="008A510B">
        <w:t xml:space="preserve"> initiation date (</w:t>
      </w:r>
      <w:r w:rsidRPr="008A510B">
        <w:rPr>
          <w:i/>
        </w:rPr>
        <w:t>α</w:t>
      </w:r>
      <w:r w:rsidRPr="008A510B">
        <w:rPr>
          <w:vertAlign w:val="subscript"/>
        </w:rPr>
        <w:t>2</w:t>
      </w:r>
      <w:r w:rsidRPr="008A510B">
        <w:t xml:space="preserve"> = -0.</w:t>
      </w:r>
      <w:r w:rsidR="00AF025D" w:rsidRPr="008A510B">
        <w:t>1</w:t>
      </w:r>
      <w:r w:rsidR="00AF025D">
        <w:t>2</w:t>
      </w:r>
      <w:r w:rsidRPr="008A510B">
        <w:t xml:space="preserve">; </w:t>
      </w:r>
      <w:r w:rsidR="008524EB" w:rsidRPr="008A510B">
        <w:t>95% CRI = -0.</w:t>
      </w:r>
      <w:r w:rsidR="00AF025D">
        <w:t>2</w:t>
      </w:r>
      <w:r w:rsidR="00AF025D" w:rsidRPr="008A510B">
        <w:t xml:space="preserve"> </w:t>
      </w:r>
      <w:r w:rsidR="008524EB" w:rsidRPr="008A510B">
        <w:t>— -0.</w:t>
      </w:r>
      <w:r w:rsidR="00AF025D" w:rsidRPr="008A510B">
        <w:t>0</w:t>
      </w:r>
      <w:r w:rsidR="00AF025D">
        <w:t>4</w:t>
      </w:r>
      <w:r w:rsidR="008524EB" w:rsidRPr="008A510B">
        <w:t xml:space="preserve">; </w:t>
      </w:r>
      <w:r w:rsidR="00922ED5" w:rsidRPr="008A510B">
        <w:t>SD</w:t>
      </w:r>
      <w:r w:rsidR="00C2745C" w:rsidRPr="008A510B">
        <w:t xml:space="preserve"> = 0.04; </w:t>
      </w:r>
      <w:r w:rsidRPr="008A510B">
        <w:rPr>
          <w:i/>
        </w:rPr>
        <w:t xml:space="preserve">ξ </w:t>
      </w:r>
      <w:r w:rsidRPr="008A510B">
        <w:t xml:space="preserve">= </w:t>
      </w:r>
      <w:r w:rsidR="00991B4D" w:rsidRPr="008A510B">
        <w:t>1</w:t>
      </w:r>
      <w:r w:rsidRPr="008A510B">
        <w:t>). Overall, relationships between survival and breeding probability with clutch size were consistent with the hypothesis that fitness traits covary along an axis of individual quality</w:t>
      </w:r>
      <w:r w:rsidR="00526F21" w:rsidRPr="008A510B">
        <w:t>, where individuals that laid larger, earlier clutches were also more likely to breed</w:t>
      </w:r>
    </w:p>
    <w:p w14:paraId="5730CEF2" w14:textId="0448F2B0" w:rsidR="006C0C4F" w:rsidRPr="008A510B" w:rsidRDefault="003A76CE">
      <w:pPr>
        <w:pStyle w:val="BodyText"/>
        <w:spacing w:line="480" w:lineRule="auto"/>
        <w:ind w:right="584" w:firstLine="601"/>
      </w:pPr>
      <w:r w:rsidRPr="008A510B">
        <w:t xml:space="preserve">Annual survival </w:t>
      </w:r>
      <w:r w:rsidR="00547B32" w:rsidRPr="008A510B">
        <w:t>had a weak negative relationship with</w:t>
      </w:r>
      <w:r w:rsidRPr="008A510B">
        <w:t xml:space="preserve"> the interaction between clutch size and laying date suggesting a </w:t>
      </w:r>
      <w:r w:rsidR="006D45BE" w:rsidRPr="008A510B">
        <w:t xml:space="preserve">modest </w:t>
      </w:r>
      <w:r w:rsidRPr="008A510B">
        <w:t>survival cost to individuals laying larger clutches than the mean for their laying date (</w:t>
      </w:r>
      <w:r w:rsidR="003C3E69" w:rsidRPr="008A510B">
        <w:rPr>
          <w:i/>
        </w:rPr>
        <w:t>β</w:t>
      </w:r>
      <w:r w:rsidR="003C3E69" w:rsidRPr="008A510B">
        <w:rPr>
          <w:vertAlign w:val="subscript"/>
        </w:rPr>
        <w:t>3</w:t>
      </w:r>
      <w:r w:rsidRPr="008A510B">
        <w:t xml:space="preserve"> = 0.0</w:t>
      </w:r>
      <w:r w:rsidR="00991B4D" w:rsidRPr="008A510B">
        <w:t>3</w:t>
      </w:r>
      <w:r w:rsidRPr="008A510B">
        <w:t xml:space="preserve">; </w:t>
      </w:r>
      <w:r w:rsidR="002E59D3" w:rsidRPr="008A510B">
        <w:t>95% CRI = -0.0</w:t>
      </w:r>
      <w:r w:rsidR="008E2CD0">
        <w:t>7</w:t>
      </w:r>
      <w:r w:rsidR="002E59D3" w:rsidRPr="008A510B">
        <w:t xml:space="preserve"> — 0.08; </w:t>
      </w:r>
      <w:r w:rsidR="00922ED5" w:rsidRPr="008A510B">
        <w:t>SD</w:t>
      </w:r>
      <w:r w:rsidR="00C2745C" w:rsidRPr="008A510B">
        <w:t xml:space="preserve"> = 0.0</w:t>
      </w:r>
      <w:r w:rsidR="008E2CD0">
        <w:t>2</w:t>
      </w:r>
      <w:r w:rsidR="00C2745C" w:rsidRPr="008A510B">
        <w:t xml:space="preserve">; </w:t>
      </w:r>
      <w:r w:rsidRPr="008A510B">
        <w:t>ξ = 0.89</w:t>
      </w:r>
      <w:r w:rsidR="00991B4D" w:rsidRPr="008A510B">
        <w:t>4</w:t>
      </w:r>
      <w:r w:rsidRPr="008A510B">
        <w:t xml:space="preserve">). Breeding probability was </w:t>
      </w:r>
      <w:r w:rsidR="006D45BE" w:rsidRPr="008A510B">
        <w:t xml:space="preserve">strongly </w:t>
      </w:r>
      <w:r w:rsidRPr="008A510B">
        <w:t xml:space="preserve">negatively </w:t>
      </w:r>
      <w:r w:rsidR="006D45BE" w:rsidRPr="008A510B">
        <w:t>related to</w:t>
      </w:r>
      <w:r w:rsidRPr="008A510B">
        <w:t xml:space="preserve"> the interaction between clutch size and initiation date (</w:t>
      </w:r>
      <w:r w:rsidRPr="008A510B">
        <w:rPr>
          <w:i/>
        </w:rPr>
        <w:t>α</w:t>
      </w:r>
      <w:r w:rsidRPr="008A510B">
        <w:rPr>
          <w:vertAlign w:val="subscript"/>
        </w:rPr>
        <w:t>3</w:t>
      </w:r>
      <w:r w:rsidRPr="008A510B">
        <w:t xml:space="preserve"> = -0.11; </w:t>
      </w:r>
      <w:r w:rsidR="002E59D3" w:rsidRPr="008A510B">
        <w:t xml:space="preserve">95% CRI = -0.21 — -0.01; </w:t>
      </w:r>
      <w:r w:rsidR="00922ED5" w:rsidRPr="008A510B">
        <w:t>SD</w:t>
      </w:r>
      <w:r w:rsidR="00C2745C" w:rsidRPr="008A510B">
        <w:t xml:space="preserve"> = 0.05; </w:t>
      </w:r>
      <w:r w:rsidRPr="008A510B">
        <w:rPr>
          <w:i/>
        </w:rPr>
        <w:t xml:space="preserve">ξ </w:t>
      </w:r>
      <w:r w:rsidRPr="008A510B">
        <w:t>= 0.</w:t>
      </w:r>
      <w:r w:rsidR="00991B4D" w:rsidRPr="008A510B">
        <w:t>99</w:t>
      </w:r>
      <w:r w:rsidRPr="008A510B">
        <w:t xml:space="preserve">; Figure </w:t>
      </w:r>
      <w:r w:rsidR="00F941D0">
        <w:t>2</w:t>
      </w:r>
      <w:r w:rsidRPr="008A510B">
        <w:t>B, D). The resulting surface was relatively flat for clutch sizes larger than the mean for a particular laying date. In contrast females producing clutches smaller than the mean suffered a substantial reduction in breeding probability the next year.</w:t>
      </w:r>
      <w:r w:rsidR="0035267C" w:rsidRPr="008A510B">
        <w:t xml:space="preserve"> </w:t>
      </w:r>
      <w:r w:rsidRPr="008A510B">
        <w:t>For example, mothers with clutch sizes two standard deviations below the mean had a breeding probability of 0.</w:t>
      </w:r>
      <w:r w:rsidR="00D44CC7" w:rsidRPr="008A510B">
        <w:t xml:space="preserve">6 </w:t>
      </w:r>
      <w:r w:rsidRPr="008A510B">
        <w:t>(</w:t>
      </w:r>
      <w:r w:rsidR="003D7549">
        <w:t xml:space="preserve">~2 eggs; </w:t>
      </w:r>
      <w:r w:rsidRPr="008A510B">
        <w:t>95% CRI = 0.54 — 0.73), about 30% less than mothers with clutch sizes two standard deviations above the mean (</w:t>
      </w:r>
      <w:r w:rsidR="003D7549">
        <w:t>~</w:t>
      </w:r>
      <w:r w:rsidRPr="008A510B">
        <w:t xml:space="preserve">5 eggs; </w:t>
      </w:r>
      <w:r w:rsidRPr="008A510B">
        <w:rPr>
          <w:i/>
        </w:rPr>
        <w:t xml:space="preserve">µ </w:t>
      </w:r>
      <w:r w:rsidRPr="008A510B">
        <w:t>= 0.91; 95% CRI = 0.8</w:t>
      </w:r>
      <w:r w:rsidR="00991B4D" w:rsidRPr="008A510B">
        <w:t>7</w:t>
      </w:r>
      <w:r w:rsidRPr="008A510B">
        <w:t xml:space="preserve"> — 0.94).</w:t>
      </w:r>
      <w:r w:rsidR="00F733EA" w:rsidRPr="008A510B">
        <w:t xml:space="preserve"> </w:t>
      </w:r>
      <w:r w:rsidR="006D45BE" w:rsidRPr="008A510B">
        <w:t>Overall, the</w:t>
      </w:r>
      <w:r w:rsidRPr="008A510B">
        <w:t xml:space="preserve"> negative correlations between survival and breeding probability and the interaction between clutch size and laying date suggest a cost to future reproduction for </w:t>
      </w:r>
      <w:r w:rsidRPr="008A510B">
        <w:lastRenderedPageBreak/>
        <w:t xml:space="preserve">individuals laying larger clutches </w:t>
      </w:r>
      <w:r w:rsidR="006D45BE" w:rsidRPr="008A510B">
        <w:t xml:space="preserve">than the mean for the population </w:t>
      </w:r>
      <w:r w:rsidRPr="008A510B">
        <w:t>for a given initiation date</w:t>
      </w:r>
      <w:r w:rsidR="006D45BE" w:rsidRPr="008A510B">
        <w:t xml:space="preserve">, but also a substantial cost (acting through reduced breeding probability) for females producing clutches smaller than the population mean for a particular </w:t>
      </w:r>
      <w:r w:rsidR="008F56F0" w:rsidRPr="008A510B">
        <w:t>initiation</w:t>
      </w:r>
      <w:r w:rsidR="00C84A6B" w:rsidRPr="008A510B">
        <w:t xml:space="preserve"> </w:t>
      </w:r>
      <w:r w:rsidR="006D45BE" w:rsidRPr="008A510B">
        <w:t>date</w:t>
      </w:r>
      <w:r w:rsidRPr="008A510B">
        <w:t>.</w:t>
      </w:r>
    </w:p>
    <w:p w14:paraId="7C084A2D" w14:textId="13EF47F0" w:rsidR="00447B4E" w:rsidRPr="00C63ABB" w:rsidRDefault="00447B4E">
      <w:pPr>
        <w:pStyle w:val="BodyText"/>
        <w:spacing w:line="480" w:lineRule="auto"/>
        <w:ind w:right="584" w:firstLine="601"/>
      </w:pPr>
      <w:r w:rsidRPr="008A510B">
        <w:t xml:space="preserve">Mean survival was </w:t>
      </w:r>
      <w:r w:rsidR="00D44CC7" w:rsidRPr="008A510B">
        <w:t>0.</w:t>
      </w:r>
      <w:r w:rsidR="0088208D">
        <w:t>8</w:t>
      </w:r>
      <w:r w:rsidR="00BF324C" w:rsidRPr="008A510B">
        <w:t>2</w:t>
      </w:r>
      <w:r w:rsidRPr="008A510B">
        <w:t xml:space="preserve"> (</w:t>
      </w:r>
      <w:r w:rsidR="00F620B8">
        <w:t xml:space="preserve">95% </w:t>
      </w:r>
      <w:r w:rsidRPr="008A510B">
        <w:t xml:space="preserve">CRI: </w:t>
      </w:r>
      <w:r w:rsidR="00D44CC7" w:rsidRPr="008A510B">
        <w:t>0.8</w:t>
      </w:r>
      <w:r w:rsidR="00BF324C" w:rsidRPr="008A510B">
        <w:t>1</w:t>
      </w:r>
      <w:r w:rsidR="00D44CC7" w:rsidRPr="008A510B">
        <w:t xml:space="preserve"> </w:t>
      </w:r>
      <w:r w:rsidRPr="008A510B">
        <w:t xml:space="preserve">— </w:t>
      </w:r>
      <w:r w:rsidR="00D44CC7" w:rsidRPr="008A510B">
        <w:t>0.8</w:t>
      </w:r>
      <w:r w:rsidR="0088208D">
        <w:t>4</w:t>
      </w:r>
      <w:r w:rsidRPr="008A510B">
        <w:t xml:space="preserve">) and </w:t>
      </w:r>
      <w:r w:rsidR="00547B32" w:rsidRPr="008A510B">
        <w:t xml:space="preserve">mean </w:t>
      </w:r>
      <w:r w:rsidRPr="008A510B">
        <w:t xml:space="preserve">breeding probability </w:t>
      </w:r>
      <w:r w:rsidR="00D44CC7" w:rsidRPr="008A510B">
        <w:t>0.</w:t>
      </w:r>
      <w:r w:rsidR="0088208D">
        <w:t>81</w:t>
      </w:r>
      <w:r w:rsidRPr="008A510B">
        <w:t xml:space="preserve"> (</w:t>
      </w:r>
      <w:r w:rsidR="00D44CC7" w:rsidRPr="008A510B">
        <w:t xml:space="preserve">95% </w:t>
      </w:r>
      <w:r w:rsidRPr="008A510B">
        <w:t xml:space="preserve">CRI: </w:t>
      </w:r>
      <w:r w:rsidR="00D44CC7" w:rsidRPr="008A510B">
        <w:t>0.</w:t>
      </w:r>
      <w:r w:rsidR="0088208D">
        <w:t>75</w:t>
      </w:r>
      <w:r w:rsidRPr="008A510B">
        <w:t xml:space="preserve"> — </w:t>
      </w:r>
      <w:r w:rsidR="00D44CC7" w:rsidRPr="008A510B">
        <w:t>0.8</w:t>
      </w:r>
      <w:r w:rsidR="0088208D">
        <w:t>7</w:t>
      </w:r>
      <w:r w:rsidRPr="008A510B">
        <w:t xml:space="preserve"> across all years and individuals</w:t>
      </w:r>
      <w:r w:rsidRPr="00C63ABB">
        <w:t>.</w:t>
      </w:r>
    </w:p>
    <w:p w14:paraId="5058FC6A" w14:textId="77777777" w:rsidR="003A76CE" w:rsidRPr="008A510B" w:rsidRDefault="003A76CE">
      <w:pPr>
        <w:pStyle w:val="Heading1"/>
        <w:spacing w:before="0" w:line="480" w:lineRule="auto"/>
        <w:ind w:left="0"/>
        <w:rPr>
          <w:sz w:val="24"/>
          <w:szCs w:val="24"/>
        </w:rPr>
      </w:pPr>
      <w:r w:rsidRPr="008A510B">
        <w:rPr>
          <w:sz w:val="24"/>
          <w:szCs w:val="24"/>
        </w:rPr>
        <w:t xml:space="preserve">DISCUSSION </w:t>
      </w:r>
    </w:p>
    <w:p w14:paraId="00D84BCC" w14:textId="6659C5E9" w:rsidR="003A76CE" w:rsidRPr="008A510B" w:rsidRDefault="003A76CE">
      <w:pPr>
        <w:pStyle w:val="BodyText"/>
        <w:spacing w:line="480" w:lineRule="auto"/>
        <w:ind w:right="350"/>
      </w:pPr>
      <w:r w:rsidRPr="008A510B">
        <w:t xml:space="preserve">Our results identify an axis of positive </w:t>
      </w:r>
      <w:r w:rsidR="00C84A6B" w:rsidRPr="008A510B">
        <w:t xml:space="preserve">relationships </w:t>
      </w:r>
      <w:r w:rsidRPr="008A510B">
        <w:t xml:space="preserve">among traits positively related to fitness in </w:t>
      </w:r>
      <w:r w:rsidR="00913F7D" w:rsidRPr="008A510B">
        <w:t>brant</w:t>
      </w:r>
      <w:r w:rsidRPr="008A510B">
        <w:t>. Individuals producing the earliest</w:t>
      </w:r>
      <w:r w:rsidR="00F54611" w:rsidRPr="008A510B">
        <w:t xml:space="preserve"> (below the 10</w:t>
      </w:r>
      <w:r w:rsidR="00F54611" w:rsidRPr="008A510B">
        <w:rPr>
          <w:vertAlign w:val="superscript"/>
        </w:rPr>
        <w:t>th</w:t>
      </w:r>
      <w:r w:rsidR="00F54611" w:rsidRPr="008A510B">
        <w:t xml:space="preserve"> percentile), </w:t>
      </w:r>
      <w:r w:rsidRPr="008A510B">
        <w:t>and largest clutches</w:t>
      </w:r>
      <w:r w:rsidR="00F54611" w:rsidRPr="008A510B">
        <w:t xml:space="preserve"> (above the 90</w:t>
      </w:r>
      <w:r w:rsidR="00F54611" w:rsidRPr="008A510B">
        <w:rPr>
          <w:vertAlign w:val="superscript"/>
        </w:rPr>
        <w:t>th</w:t>
      </w:r>
      <w:r w:rsidR="00F54611" w:rsidRPr="008A510B">
        <w:t xml:space="preserve"> percentile)</w:t>
      </w:r>
      <w:r w:rsidRPr="008A510B">
        <w:t xml:space="preserve">, which maximize current reproductive fitness, had a </w:t>
      </w:r>
      <w:r w:rsidR="00E56C7E" w:rsidRPr="008A510B">
        <w:t>19</w:t>
      </w:r>
      <w:r w:rsidRPr="008A510B">
        <w:t xml:space="preserve">% higher probability of breeding the next year than females producing the latest </w:t>
      </w:r>
      <w:r w:rsidR="00F54611" w:rsidRPr="008A510B">
        <w:t>(above the 90</w:t>
      </w:r>
      <w:r w:rsidR="00F54611" w:rsidRPr="008A510B">
        <w:rPr>
          <w:vertAlign w:val="superscript"/>
        </w:rPr>
        <w:t>th</w:t>
      </w:r>
      <w:r w:rsidR="00F54611" w:rsidRPr="008A510B">
        <w:t xml:space="preserve"> percentile) </w:t>
      </w:r>
      <w:r w:rsidRPr="008A510B">
        <w:t xml:space="preserve">and smallest clutches </w:t>
      </w:r>
      <w:r w:rsidR="00F54611" w:rsidRPr="008A510B">
        <w:t>(below the 10</w:t>
      </w:r>
      <w:r w:rsidR="00F54611" w:rsidRPr="008A510B">
        <w:rPr>
          <w:vertAlign w:val="superscript"/>
        </w:rPr>
        <w:t>th</w:t>
      </w:r>
      <w:r w:rsidR="00F54611" w:rsidRPr="008A510B">
        <w:t xml:space="preserve"> percentile) </w:t>
      </w:r>
      <w:r w:rsidRPr="008A510B">
        <w:t xml:space="preserve">(Fig. 1B). Thus, females that experience the greatest reproductive fitness in </w:t>
      </w:r>
      <w:r w:rsidR="00F833E4" w:rsidRPr="008A510B">
        <w:t>one</w:t>
      </w:r>
      <w:r w:rsidRPr="008A510B">
        <w:t xml:space="preserve"> year are more likely to do so in subsequent years because they </w:t>
      </w:r>
      <w:r w:rsidR="00526F21" w:rsidRPr="008A510B">
        <w:t xml:space="preserve">have a </w:t>
      </w:r>
      <w:r w:rsidRPr="008A510B">
        <w:t>greater probability</w:t>
      </w:r>
      <w:r w:rsidR="00526F21" w:rsidRPr="008A510B">
        <w:t xml:space="preserve"> of breeding</w:t>
      </w:r>
      <w:r w:rsidRPr="008A510B">
        <w:t xml:space="preserve">. The </w:t>
      </w:r>
      <w:r w:rsidR="00920BD3" w:rsidRPr="008A510B">
        <w:t xml:space="preserve">interaction term </w:t>
      </w:r>
      <w:r w:rsidRPr="008A510B">
        <w:t>revealed additional structure</w:t>
      </w:r>
      <w:r w:rsidR="00F833E4" w:rsidRPr="008A510B">
        <w:t>s</w:t>
      </w:r>
      <w:r w:rsidRPr="008A510B">
        <w:t xml:space="preserve"> in the relationship among clutch size, laying date</w:t>
      </w:r>
      <w:r w:rsidR="00F833E4" w:rsidRPr="008A510B">
        <w:t>,</w:t>
      </w:r>
      <w:r w:rsidRPr="008A510B">
        <w:t xml:space="preserve"> and breeding probability. </w:t>
      </w:r>
      <w:r w:rsidR="00F833E4" w:rsidRPr="008A510B">
        <w:t>F</w:t>
      </w:r>
      <w:r w:rsidRPr="008A510B">
        <w:t>emales producing clutches smaller</w:t>
      </w:r>
      <w:r w:rsidR="007714C3">
        <w:t xml:space="preserve"> and earlier clutches</w:t>
      </w:r>
      <w:r w:rsidRPr="008A510B">
        <w:t xml:space="preserve"> than the mean suffered reduced probability of breeding (Fig. 1B).  </w:t>
      </w:r>
    </w:p>
    <w:p w14:paraId="04E08A0F" w14:textId="55238120" w:rsidR="003A76CE" w:rsidRPr="008A510B" w:rsidRDefault="003A76CE">
      <w:pPr>
        <w:pStyle w:val="BodyText"/>
        <w:spacing w:line="480" w:lineRule="auto"/>
        <w:ind w:right="350" w:firstLine="720"/>
      </w:pPr>
      <w:r w:rsidRPr="008A510B">
        <w:t xml:space="preserve">The relationship between clutch size and subsequent breeding probability is consistent with results from experimental reduction of clutches in brant (Leach et al. 2019) and </w:t>
      </w:r>
      <w:r w:rsidR="008351ED" w:rsidRPr="008A510B">
        <w:t xml:space="preserve">observations of </w:t>
      </w:r>
      <w:r w:rsidR="00AE2406" w:rsidRPr="008A510B">
        <w:t>higher probabilities</w:t>
      </w:r>
      <w:r w:rsidR="008351ED" w:rsidRPr="008A510B">
        <w:t xml:space="preserve"> of breeding in the year after a successful breeding attempt (Sedinger et al. 2011). </w:t>
      </w:r>
      <w:r w:rsidRPr="008A510B">
        <w:t>The likely mechanism for these patterns is the well-known association between family size and social status in winter flocks of geese (Raveling 1970, Black et al. 1992), including brant (</w:t>
      </w:r>
      <w:proofErr w:type="spellStart"/>
      <w:r w:rsidRPr="008A510B">
        <w:t>Poisbleau</w:t>
      </w:r>
      <w:proofErr w:type="spellEnd"/>
      <w:r w:rsidRPr="008A510B">
        <w:t xml:space="preserve"> et al. 2006). These carry-over effects of reduced breeding</w:t>
      </w:r>
      <w:r w:rsidR="00A1738E" w:rsidRPr="008A510B">
        <w:t xml:space="preserve"> probability</w:t>
      </w:r>
      <w:r w:rsidRPr="008A510B">
        <w:t xml:space="preserve"> following</w:t>
      </w:r>
      <w:r w:rsidR="008351ED" w:rsidRPr="008A510B">
        <w:t xml:space="preserve"> the</w:t>
      </w:r>
      <w:r w:rsidRPr="008A510B">
        <w:t xml:space="preserve"> production of a small clutch have a </w:t>
      </w:r>
      <w:r w:rsidR="00A1738E" w:rsidRPr="008A510B">
        <w:t xml:space="preserve">larger </w:t>
      </w:r>
      <w:r w:rsidRPr="008A510B">
        <w:t xml:space="preserve">effect </w:t>
      </w:r>
      <w:r w:rsidRPr="008A510B">
        <w:lastRenderedPageBreak/>
        <w:t xml:space="preserve">on fitness than just reduced </w:t>
      </w:r>
      <w:r w:rsidR="00A1738E" w:rsidRPr="008A510B">
        <w:t>breeding probability</w:t>
      </w:r>
      <w:r w:rsidRPr="008A510B">
        <w:t xml:space="preserve"> the next year</w:t>
      </w:r>
      <w:r w:rsidR="008351ED" w:rsidRPr="008A510B">
        <w:t>. Once</w:t>
      </w:r>
      <w:r w:rsidRPr="008A510B">
        <w:t xml:space="preserve"> an individual has skipped breeding</w:t>
      </w:r>
      <w:r w:rsidR="008351ED" w:rsidRPr="008A510B">
        <w:t>,</w:t>
      </w:r>
      <w:r w:rsidRPr="008A510B">
        <w:t xml:space="preserve"> their probability of returning to the breeding population is about half of </w:t>
      </w:r>
      <w:r w:rsidR="008351ED" w:rsidRPr="008A510B">
        <w:t>that</w:t>
      </w:r>
      <w:r w:rsidRPr="008A510B">
        <w:t xml:space="preserve"> for a female that </w:t>
      </w:r>
      <w:r w:rsidR="00D5638C" w:rsidRPr="008A510B">
        <w:t>did nest</w:t>
      </w:r>
      <w:r w:rsidR="00AE2406" w:rsidRPr="008A510B">
        <w:t xml:space="preserve"> </w:t>
      </w:r>
      <w:r w:rsidR="003E44B4" w:rsidRPr="008A510B">
        <w:t>(Sedinger et al. 2008).</w:t>
      </w:r>
    </w:p>
    <w:p w14:paraId="1842EF7A" w14:textId="7DA2E5DB" w:rsidR="003A76CE" w:rsidRPr="008A510B" w:rsidRDefault="003A76CE">
      <w:pPr>
        <w:pStyle w:val="BodyText"/>
        <w:spacing w:line="480" w:lineRule="auto"/>
        <w:ind w:right="350" w:firstLine="720"/>
      </w:pPr>
      <w:r w:rsidRPr="008A510B">
        <w:t>The surface relating annual survival to clutch size and laying date was flatter than that for breeding probability with annual survival ranging from 0.78 to 0.85 across the range of clutch size-laying date combinations (Fig. 1A). As with breeding probability</w:t>
      </w:r>
      <w:r w:rsidR="00A8531B" w:rsidRPr="008A510B">
        <w:t>,</w:t>
      </w:r>
      <w:r w:rsidRPr="008A510B">
        <w:t xml:space="preserve"> there was a general trend for individuals producing larger clutches to survive at higher rates. That said, the shape of the surface induced by the interaction between clutch size and laying date suggested weak destabilizing selection away from the mean clutch size-laying date line; females producing large late clutches and small early clutches tended to survive at </w:t>
      </w:r>
      <w:r w:rsidR="00E438C4" w:rsidRPr="008A510B">
        <w:t xml:space="preserve">slightly </w:t>
      </w:r>
      <w:r w:rsidRPr="008A510B">
        <w:t>higher rates than female</w:t>
      </w:r>
      <w:r w:rsidR="00547B32" w:rsidRPr="008A510B">
        <w:t>s</w:t>
      </w:r>
      <w:r w:rsidRPr="008A510B">
        <w:t xml:space="preserve"> producing large early clutches or small late clutches, respectively. We urge caution in interpreting this result because evidence for the interaction was modest</w:t>
      </w:r>
      <w:r w:rsidR="00C84A6B" w:rsidRPr="008A510B">
        <w:t xml:space="preserve"> and</w:t>
      </w:r>
      <w:r w:rsidRPr="008A510B">
        <w:t xml:space="preserve"> the overall surface was relatively flat.</w:t>
      </w:r>
    </w:p>
    <w:p w14:paraId="5AE9DEC1" w14:textId="69173DB3" w:rsidR="003A76CE" w:rsidRPr="008A510B" w:rsidRDefault="003A76CE">
      <w:pPr>
        <w:pStyle w:val="BodyText"/>
        <w:spacing w:line="480" w:lineRule="auto"/>
        <w:ind w:right="179" w:firstLine="600"/>
      </w:pPr>
      <w:r w:rsidRPr="008A510B">
        <w:t xml:space="preserve">The patterns we report here are consistent with the hypothesis that </w:t>
      </w:r>
      <w:r w:rsidR="007255CD" w:rsidRPr="008A510B">
        <w:t xml:space="preserve">early environment </w:t>
      </w:r>
      <w:r w:rsidRPr="008A510B">
        <w:t xml:space="preserve">and maternal </w:t>
      </w:r>
      <w:r w:rsidR="007255CD" w:rsidRPr="008A510B">
        <w:t xml:space="preserve">effects </w:t>
      </w:r>
      <w:r w:rsidRPr="008A510B">
        <w:t xml:space="preserve">have </w:t>
      </w:r>
      <w:r w:rsidR="007255CD" w:rsidRPr="008A510B">
        <w:t xml:space="preserve">an </w:t>
      </w:r>
      <w:r w:rsidRPr="008A510B">
        <w:t xml:space="preserve">important </w:t>
      </w:r>
      <w:r w:rsidR="007255CD" w:rsidRPr="008A510B">
        <w:t xml:space="preserve">influence </w:t>
      </w:r>
      <w:r w:rsidRPr="008A510B">
        <w:t xml:space="preserve">on adult fitness in brant. </w:t>
      </w:r>
      <w:r w:rsidR="007255CD" w:rsidRPr="008A510B">
        <w:t>The</w:t>
      </w:r>
      <w:r w:rsidR="00A8531B" w:rsidRPr="008A510B">
        <w:t>se</w:t>
      </w:r>
      <w:r w:rsidR="007255CD" w:rsidRPr="008A510B">
        <w:t xml:space="preserve"> effects</w:t>
      </w:r>
      <w:r w:rsidR="002D3D47" w:rsidRPr="008A510B">
        <w:t xml:space="preserve"> </w:t>
      </w:r>
      <w:r w:rsidRPr="008A510B">
        <w:t>(Sedinger et al. 1995</w:t>
      </w:r>
      <w:r w:rsidR="00B56746" w:rsidRPr="008A510B">
        <w:rPr>
          <w:i/>
        </w:rPr>
        <w:t>a</w:t>
      </w:r>
      <w:r w:rsidRPr="008A510B">
        <w:t xml:space="preserve">, 2004, Cooch et al. 1991, Larsson and </w:t>
      </w:r>
      <w:proofErr w:type="spellStart"/>
      <w:r w:rsidRPr="008A510B">
        <w:t>Forslund</w:t>
      </w:r>
      <w:proofErr w:type="spellEnd"/>
      <w:r w:rsidRPr="008A510B">
        <w:t xml:space="preserve"> 1991) </w:t>
      </w:r>
      <w:r w:rsidR="007255CD" w:rsidRPr="008A510B">
        <w:t>help drive</w:t>
      </w:r>
      <w:r w:rsidRPr="008A510B">
        <w:t xml:space="preserve"> adult body size and reproductive fitness in several </w:t>
      </w:r>
      <w:r w:rsidR="007255CD" w:rsidRPr="008A510B">
        <w:t>goose species</w:t>
      </w:r>
      <w:r w:rsidRPr="008A510B">
        <w:t>. Hatch date plays a prominent role in such variation because early</w:t>
      </w:r>
      <w:r w:rsidR="002D3D47" w:rsidRPr="008A510B">
        <w:t xml:space="preserve"> </w:t>
      </w:r>
      <w:r w:rsidRPr="008A510B">
        <w:t>hatching goslings grow more rapidly (Cooch et al. 1991, Sedinger and Flint 1991, Lindholm et al. 1994</w:t>
      </w:r>
      <w:r w:rsidR="00C84A6B" w:rsidRPr="008A510B">
        <w:t>)</w:t>
      </w:r>
      <w:r w:rsidR="002D3D47" w:rsidRPr="008A510B">
        <w:t>, resulting</w:t>
      </w:r>
      <w:r w:rsidRPr="008A510B">
        <w:t xml:space="preserve"> in larger adult body size</w:t>
      </w:r>
      <w:r w:rsidR="002D3D47" w:rsidRPr="008A510B">
        <w:t>s</w:t>
      </w:r>
      <w:r w:rsidRPr="008A510B">
        <w:t xml:space="preserve"> (Larsson and </w:t>
      </w:r>
      <w:proofErr w:type="spellStart"/>
      <w:r w:rsidRPr="008A510B">
        <w:t>Forslund</w:t>
      </w:r>
      <w:proofErr w:type="spellEnd"/>
      <w:r w:rsidRPr="008A510B">
        <w:t xml:space="preserve"> 1991). </w:t>
      </w:r>
      <w:r w:rsidR="002D3D47" w:rsidRPr="008A510B">
        <w:t>Further</w:t>
      </w:r>
      <w:r w:rsidRPr="008A510B">
        <w:t xml:space="preserve">, </w:t>
      </w:r>
      <w:r w:rsidR="002D3D47" w:rsidRPr="008A510B">
        <w:t xml:space="preserve">the </w:t>
      </w:r>
      <w:r w:rsidRPr="008A510B">
        <w:t xml:space="preserve">size of eggs produced by female geese explains some variation in </w:t>
      </w:r>
      <w:r w:rsidR="002D3D47" w:rsidRPr="008A510B">
        <w:t>gosling size</w:t>
      </w:r>
      <w:r w:rsidRPr="008A510B">
        <w:t xml:space="preserve"> at fledging (Acevedo et al. 2020). While much of the relevant variation appears heritable (Larsson and </w:t>
      </w:r>
      <w:proofErr w:type="spellStart"/>
      <w:r w:rsidRPr="008A510B">
        <w:t>Forslund</w:t>
      </w:r>
      <w:proofErr w:type="spellEnd"/>
      <w:r w:rsidRPr="008A510B">
        <w:t xml:space="preserve"> 1992), the general lack of response to apparently strong selection for larger body size</w:t>
      </w:r>
      <w:r w:rsidR="007255CD" w:rsidRPr="008A510B">
        <w:t>s</w:t>
      </w:r>
      <w:r w:rsidRPr="008A510B">
        <w:t xml:space="preserve"> and associated reproductive variables suggests that either such heritability </w:t>
      </w:r>
      <w:r w:rsidRPr="008A510B">
        <w:lastRenderedPageBreak/>
        <w:t>does not have a substantial additive genetic basis</w:t>
      </w:r>
      <w:r w:rsidR="0067781F">
        <w:t>,</w:t>
      </w:r>
      <w:r w:rsidRPr="008A510B">
        <w:t xml:space="preserve"> or there are unknown associated negative genetic covariances (Larsson 1993, Hoffmann and </w:t>
      </w:r>
      <w:proofErr w:type="spellStart"/>
      <w:r w:rsidRPr="008A510B">
        <w:t>Merilä</w:t>
      </w:r>
      <w:proofErr w:type="spellEnd"/>
      <w:r w:rsidRPr="008A510B">
        <w:t xml:space="preserve"> 1999). We generally found that fitness-related life-history traits were positively correlated, consistent with a primarily non-additive genetic explanation for this variation, though our analysis was not exhaustive.</w:t>
      </w:r>
    </w:p>
    <w:p w14:paraId="59137E3C" w14:textId="228AFB40" w:rsidR="003A76CE" w:rsidRPr="008A510B" w:rsidRDefault="003A76CE">
      <w:pPr>
        <w:pStyle w:val="BodyText"/>
        <w:spacing w:line="480" w:lineRule="auto"/>
        <w:ind w:right="391" w:firstLine="600"/>
      </w:pPr>
      <w:r w:rsidRPr="008A510B">
        <w:t xml:space="preserve">Over the past three decades, clutch size for </w:t>
      </w:r>
      <w:r w:rsidR="00385839" w:rsidRPr="008A510B">
        <w:t xml:space="preserve">brant </w:t>
      </w:r>
      <w:r w:rsidRPr="008A510B">
        <w:t xml:space="preserve">has remained relatively constant, indicating that clutch size has not responded to selection (Figure </w:t>
      </w:r>
      <w:r w:rsidR="00F941D0">
        <w:t>3</w:t>
      </w:r>
      <w:r w:rsidRPr="008A510B">
        <w:t xml:space="preserve">). This </w:t>
      </w:r>
      <w:r w:rsidR="009B1132" w:rsidRPr="008A510B">
        <w:t xml:space="preserve">lack of response </w:t>
      </w:r>
      <w:r w:rsidRPr="008A510B">
        <w:t>suggests that differences in environmental conditions during growth largely determine heterogeneity in individual quality</w:t>
      </w:r>
      <w:r w:rsidR="009B1132" w:rsidRPr="008A510B">
        <w:t xml:space="preserve"> which exists</w:t>
      </w:r>
      <w:r w:rsidRPr="008A510B">
        <w:t xml:space="preserve"> within (Sedinger and </w:t>
      </w:r>
      <w:proofErr w:type="spellStart"/>
      <w:r w:rsidRPr="008A510B">
        <w:t>Chelgren</w:t>
      </w:r>
      <w:proofErr w:type="spellEnd"/>
      <w:r w:rsidRPr="008A510B">
        <w:t xml:space="preserve"> 2007, Riecke et al. 2018) and among (Lohman et al. 2019) cohorts. Previous work has </w:t>
      </w:r>
      <w:r w:rsidR="009B1132" w:rsidRPr="008A510B">
        <w:t xml:space="preserve">shown </w:t>
      </w:r>
      <w:r w:rsidRPr="008A510B">
        <w:t xml:space="preserve">the importance of environmental conditions during </w:t>
      </w:r>
      <w:r w:rsidR="00DF4AB5" w:rsidRPr="008A510B">
        <w:t>growth</w:t>
      </w:r>
      <w:r w:rsidRPr="008A510B">
        <w:t xml:space="preserve">; nutrient availability during the breeding season can affect first-year survival (Sedinger and </w:t>
      </w:r>
      <w:proofErr w:type="spellStart"/>
      <w:r w:rsidRPr="008A510B">
        <w:t>Chelgren</w:t>
      </w:r>
      <w:proofErr w:type="spellEnd"/>
      <w:r w:rsidRPr="008A510B">
        <w:t xml:space="preserve"> 2007), recruitment of young into the breeding population (</w:t>
      </w:r>
      <w:proofErr w:type="spellStart"/>
      <w:r w:rsidRPr="008A510B">
        <w:t>Lindström</w:t>
      </w:r>
      <w:proofErr w:type="spellEnd"/>
      <w:r w:rsidRPr="008A510B">
        <w:t xml:space="preserve"> 1999, Sedinger et al. 2004), and their fitness as an adult (Sedinger et al. 1995</w:t>
      </w:r>
      <w:r w:rsidR="00B56746" w:rsidRPr="008A510B">
        <w:rPr>
          <w:i/>
        </w:rPr>
        <w:t>b</w:t>
      </w:r>
      <w:r w:rsidRPr="008A510B">
        <w:t xml:space="preserve">). </w:t>
      </w:r>
      <w:r w:rsidR="00844A38" w:rsidRPr="008A510B">
        <w:t>Thus</w:t>
      </w:r>
      <w:r w:rsidRPr="008A510B">
        <w:t xml:space="preserve">, variation in </w:t>
      </w:r>
      <w:r w:rsidR="00DF4AB5" w:rsidRPr="008A510B">
        <w:t xml:space="preserve">growth </w:t>
      </w:r>
      <w:r w:rsidRPr="008A510B">
        <w:t>conditions produces variation in gosling size at fledging (Cooch et al. 1991, Sedinger et al. 2004) and adult size and life-history traits (Sedinger et al. 1995</w:t>
      </w:r>
      <w:r w:rsidR="00B56746" w:rsidRPr="008A510B">
        <w:rPr>
          <w:i/>
        </w:rPr>
        <w:t>a</w:t>
      </w:r>
      <w:r w:rsidRPr="008A510B">
        <w:t xml:space="preserve">, </w:t>
      </w:r>
      <w:proofErr w:type="spellStart"/>
      <w:r w:rsidRPr="008A510B">
        <w:t>Douhard</w:t>
      </w:r>
      <w:proofErr w:type="spellEnd"/>
      <w:r w:rsidRPr="008A510B">
        <w:t xml:space="preserve"> et al. 2014). </w:t>
      </w:r>
      <w:r w:rsidR="00F82FB9" w:rsidRPr="008A510B">
        <w:t>F</w:t>
      </w:r>
      <w:r w:rsidRPr="008A510B">
        <w:t xml:space="preserve">oraging conditions for </w:t>
      </w:r>
      <w:r w:rsidR="00385839" w:rsidRPr="008A510B">
        <w:t xml:space="preserve">brant </w:t>
      </w:r>
      <w:r w:rsidRPr="008A510B">
        <w:t xml:space="preserve">goslings have declined through time (Sedinger et al. 2016, Lohman et al. 2019) resulting in a general decline in gosling size at fledging (Lohman et al. 2019). A strong positive association between gosling size and first-year survival (Sedinger and </w:t>
      </w:r>
      <w:proofErr w:type="spellStart"/>
      <w:r w:rsidRPr="008A510B">
        <w:t>Chelgren</w:t>
      </w:r>
      <w:proofErr w:type="spellEnd"/>
      <w:r w:rsidRPr="008A510B">
        <w:t xml:space="preserve"> 2007), however, implies that </w:t>
      </w:r>
      <w:r w:rsidR="009B1132" w:rsidRPr="008A510B">
        <w:t xml:space="preserve">a </w:t>
      </w:r>
      <w:r w:rsidRPr="008A510B">
        <w:t xml:space="preserve">declining mean </w:t>
      </w:r>
      <w:r w:rsidR="009B1132" w:rsidRPr="008A510B">
        <w:t>in gosling size</w:t>
      </w:r>
      <w:r w:rsidRPr="008A510B">
        <w:t xml:space="preserve"> has resulted in increasingly strong selection acting on </w:t>
      </w:r>
      <w:r w:rsidR="00385839" w:rsidRPr="008A510B">
        <w:t xml:space="preserve">brant </w:t>
      </w:r>
      <w:r w:rsidRPr="008A510B">
        <w:t>cohorts through time. In fact, Leach et al. (2017</w:t>
      </w:r>
      <w:r w:rsidRPr="008A510B">
        <w:rPr>
          <w:i/>
        </w:rPr>
        <w:t>b</w:t>
      </w:r>
      <w:r w:rsidRPr="008A510B">
        <w:t xml:space="preserve">) reported that first-year survival declined by &gt;50% from the early 1990s to the early 2010s. </w:t>
      </w:r>
      <w:r w:rsidR="009B1132" w:rsidRPr="008A510B">
        <w:t xml:space="preserve">This </w:t>
      </w:r>
      <w:r w:rsidRPr="008A510B">
        <w:t xml:space="preserve">pattern of selection against small individuals after their first summer has resulted in only relatively small declines in adult body size (Riecke </w:t>
      </w:r>
      <w:r w:rsidR="0066044C" w:rsidRPr="008A510B">
        <w:rPr>
          <w:iCs/>
        </w:rPr>
        <w:t>2020</w:t>
      </w:r>
      <w:r w:rsidRPr="008A510B">
        <w:t xml:space="preserve">) and no clear trend in clutch size (Figure </w:t>
      </w:r>
      <w:r w:rsidR="00F941D0">
        <w:t>3</w:t>
      </w:r>
      <w:r w:rsidRPr="008A510B">
        <w:t xml:space="preserve">), </w:t>
      </w:r>
      <w:r w:rsidRPr="008A510B">
        <w:lastRenderedPageBreak/>
        <w:t xml:space="preserve">consistent with the idea that much of the variation </w:t>
      </w:r>
      <w:r w:rsidR="00844A38" w:rsidRPr="008A510B">
        <w:t>results from</w:t>
      </w:r>
      <w:r w:rsidRPr="008A510B">
        <w:t xml:space="preserve"> environmental or maternal origin</w:t>
      </w:r>
      <w:r w:rsidR="009B1132" w:rsidRPr="008A510B">
        <w:t>s</w:t>
      </w:r>
      <w:r w:rsidRPr="008A510B">
        <w:t xml:space="preserve">. </w:t>
      </w:r>
      <w:r w:rsidR="00BB3EA4" w:rsidRPr="008A510B">
        <w:t>Nevertheless</w:t>
      </w:r>
      <w:r w:rsidRPr="008A510B">
        <w:t xml:space="preserve">, </w:t>
      </w:r>
      <w:r w:rsidR="00BB3EA4" w:rsidRPr="008A510B">
        <w:t xml:space="preserve">we </w:t>
      </w:r>
      <w:r w:rsidRPr="008A510B">
        <w:t>cannot rule out negative pleiotropy (</w:t>
      </w:r>
      <w:proofErr w:type="spellStart"/>
      <w:r w:rsidRPr="008A510B">
        <w:t>Sinervo</w:t>
      </w:r>
      <w:proofErr w:type="spellEnd"/>
      <w:r w:rsidRPr="008A510B">
        <w:t xml:space="preserve"> and </w:t>
      </w:r>
      <w:proofErr w:type="spellStart"/>
      <w:r w:rsidRPr="008A510B">
        <w:t>Svensson</w:t>
      </w:r>
      <w:proofErr w:type="spellEnd"/>
      <w:r w:rsidRPr="008A510B">
        <w:t xml:space="preserve"> 1998) </w:t>
      </w:r>
      <w:r w:rsidR="00DF4AB5" w:rsidRPr="008A510B">
        <w:t>to explain</w:t>
      </w:r>
      <w:r w:rsidRPr="008A510B">
        <w:t xml:space="preserve"> the relatively weak response to selection.</w:t>
      </w:r>
    </w:p>
    <w:p w14:paraId="5BDEA1C1" w14:textId="273FD21D" w:rsidR="003A76CE" w:rsidRPr="008A510B" w:rsidRDefault="00CE1E75">
      <w:pPr>
        <w:pStyle w:val="BodyText"/>
        <w:spacing w:line="480" w:lineRule="auto"/>
        <w:ind w:right="391" w:firstLine="600"/>
      </w:pPr>
      <w:r w:rsidRPr="008A510B">
        <w:t>O</w:t>
      </w:r>
      <w:r w:rsidR="003A76CE" w:rsidRPr="008A510B">
        <w:t>ur findings are consistent with the demographic buffering hypothesis for long-lived, iteroparous organisms</w:t>
      </w:r>
      <w:r w:rsidR="00752274" w:rsidRPr="008A510B">
        <w:t>. This hypothesis</w:t>
      </w:r>
      <w:r w:rsidR="003A76CE" w:rsidRPr="008A510B">
        <w:t xml:space="preserve"> states that because population dynamics and individual fitness </w:t>
      </w:r>
      <w:r w:rsidR="00E438C4" w:rsidRPr="008A510B">
        <w:t xml:space="preserve">are more sensitive to survival </w:t>
      </w:r>
      <w:r w:rsidR="003A76CE" w:rsidRPr="008A510B">
        <w:t xml:space="preserve">than reproduction (Schmutz et al. 1997, Gaillard et al. 1998, Rotella et al. 2012), selection has tended to canalize adult survival, resulting in reduced variance in survival relative to other demographic traits. For example, the nearly seven-fold greater range of variation in breeding probability </w:t>
      </w:r>
      <w:r w:rsidR="004E3F8F" w:rsidRPr="008A510B">
        <w:t>compa</w:t>
      </w:r>
      <w:r w:rsidR="00A8531B" w:rsidRPr="008A510B">
        <w:t>r</w:t>
      </w:r>
      <w:r w:rsidR="004E3F8F" w:rsidRPr="008A510B">
        <w:t>ed</w:t>
      </w:r>
      <w:r w:rsidR="00C95827" w:rsidRPr="008A510B">
        <w:t xml:space="preserve"> </w:t>
      </w:r>
      <w:r w:rsidR="003A76CE" w:rsidRPr="008A510B">
        <w:t xml:space="preserve">to apparent annual survival of adult female </w:t>
      </w:r>
      <w:r w:rsidR="00A6239B" w:rsidRPr="008A510B">
        <w:t>b</w:t>
      </w:r>
      <w:r w:rsidR="003A76CE" w:rsidRPr="008A510B">
        <w:t xml:space="preserve">rant (Figure </w:t>
      </w:r>
      <w:r w:rsidR="00F941D0">
        <w:t>2</w:t>
      </w:r>
      <w:r w:rsidR="003A76CE" w:rsidRPr="008A510B">
        <w:t xml:space="preserve">A, B) complies with expectations under demographic buffering. Moreover, the relatively </w:t>
      </w:r>
      <w:r w:rsidR="00C84A6B" w:rsidRPr="008A510B">
        <w:t xml:space="preserve">flat </w:t>
      </w:r>
      <w:r w:rsidR="003A76CE" w:rsidRPr="008A510B">
        <w:t>selection gradient on clutch size</w:t>
      </w:r>
      <w:r w:rsidR="00C95827" w:rsidRPr="008A510B">
        <w:t>,</w:t>
      </w:r>
      <w:r w:rsidR="003A76CE" w:rsidRPr="008A510B">
        <w:t xml:space="preserve"> owing to variation in survival (Table 2, Figure </w:t>
      </w:r>
      <w:r w:rsidR="00F941D0">
        <w:t>2</w:t>
      </w:r>
      <w:r w:rsidR="003A76CE" w:rsidRPr="008A510B">
        <w:t>A)</w:t>
      </w:r>
      <w:r w:rsidR="00C95827" w:rsidRPr="008A510B">
        <w:t>,</w:t>
      </w:r>
      <w:r w:rsidR="003A76CE" w:rsidRPr="008A510B">
        <w:t xml:space="preserve"> </w:t>
      </w:r>
      <w:r w:rsidR="00C95827" w:rsidRPr="008A510B">
        <w:t>would follow</w:t>
      </w:r>
      <w:r w:rsidR="00C84A6B" w:rsidRPr="008A510B">
        <w:t xml:space="preserve"> from a considerable lack of </w:t>
      </w:r>
      <w:r w:rsidR="00FB7A6A">
        <w:t>variation in</w:t>
      </w:r>
      <w:r w:rsidR="00FB7A6A" w:rsidRPr="008A510B">
        <w:t xml:space="preserve"> </w:t>
      </w:r>
      <w:r w:rsidR="003A76CE" w:rsidRPr="008A510B">
        <w:t xml:space="preserve">innate survival from the </w:t>
      </w:r>
      <w:r w:rsidR="00A6239B" w:rsidRPr="008A510B">
        <w:t>b</w:t>
      </w:r>
      <w:r w:rsidR="003A76CE" w:rsidRPr="008A510B">
        <w:t xml:space="preserve">rant population (Gaillard et al. 1998, </w:t>
      </w:r>
      <w:proofErr w:type="spellStart"/>
      <w:r w:rsidR="003A76CE" w:rsidRPr="008A510B">
        <w:t>Sæther</w:t>
      </w:r>
      <w:proofErr w:type="spellEnd"/>
      <w:r w:rsidR="003A76CE" w:rsidRPr="008A510B">
        <w:t xml:space="preserve"> and Bakke 2000).</w:t>
      </w:r>
    </w:p>
    <w:p w14:paraId="1E559B8B" w14:textId="192BD4B9" w:rsidR="001E2CDA" w:rsidRPr="008A510B" w:rsidRDefault="003A76CE" w:rsidP="009A2068">
      <w:pPr>
        <w:pStyle w:val="BodyText"/>
        <w:spacing w:line="480" w:lineRule="auto"/>
        <w:ind w:firstLine="936"/>
      </w:pPr>
      <w:r w:rsidRPr="008A510B">
        <w:t>Understanding links between within</w:t>
      </w:r>
      <w:r w:rsidR="00F00ED0" w:rsidRPr="008A510B">
        <w:t>-</w:t>
      </w:r>
      <w:r w:rsidRPr="008A510B">
        <w:t xml:space="preserve"> and among</w:t>
      </w:r>
      <w:r w:rsidR="00F00ED0" w:rsidRPr="008A510B">
        <w:t>-</w:t>
      </w:r>
      <w:r w:rsidRPr="008A510B">
        <w:t xml:space="preserve">year reproductive trade-offs could help better predict population trends moving forward for </w:t>
      </w:r>
      <w:r w:rsidR="00385839" w:rsidRPr="008A510B">
        <w:t xml:space="preserve">brant </w:t>
      </w:r>
      <w:r w:rsidRPr="008A510B">
        <w:t xml:space="preserve">and other long-lived organisms. Our results </w:t>
      </w:r>
      <w:r w:rsidR="00C735E8" w:rsidRPr="008A510B">
        <w:t xml:space="preserve">provide </w:t>
      </w:r>
      <w:r w:rsidRPr="008A510B">
        <w:t xml:space="preserve">further evidence for the demographic buffering hypothesis and </w:t>
      </w:r>
      <w:r w:rsidR="00C735E8" w:rsidRPr="008A510B">
        <w:t xml:space="preserve">demonstrate substantial </w:t>
      </w:r>
      <w:r w:rsidRPr="008A510B">
        <w:t xml:space="preserve">individual heterogeneity in fitness. </w:t>
      </w:r>
      <w:r w:rsidR="00C735E8" w:rsidRPr="008A510B">
        <w:t xml:space="preserve">This heterogeneity is reflected both in the general positive covariation among several components of fitness and in carry-over effects of reproductive tactics from one breeding season to the next. This work, in </w:t>
      </w:r>
      <w:r w:rsidRPr="008A510B">
        <w:t xml:space="preserve">conjunction with </w:t>
      </w:r>
      <w:r w:rsidR="00C735E8" w:rsidRPr="008A510B">
        <w:t xml:space="preserve">earlier </w:t>
      </w:r>
      <w:r w:rsidR="00F328D3">
        <w:t>research</w:t>
      </w:r>
      <w:r w:rsidR="00F328D3" w:rsidRPr="008A510B">
        <w:t xml:space="preserve"> </w:t>
      </w:r>
      <w:r w:rsidRPr="008A510B">
        <w:t xml:space="preserve">(Sedinger et al. 2004, Monaghan 2007, </w:t>
      </w:r>
      <w:proofErr w:type="spellStart"/>
      <w:r w:rsidRPr="008A510B">
        <w:t>Douhard</w:t>
      </w:r>
      <w:proofErr w:type="spellEnd"/>
      <w:r w:rsidRPr="008A510B">
        <w:t xml:space="preserve"> et al. 2014), indirectly provides support for the importance </w:t>
      </w:r>
      <w:r w:rsidR="00C735E8" w:rsidRPr="008A510B">
        <w:t>of</w:t>
      </w:r>
      <w:r w:rsidRPr="008A510B">
        <w:t xml:space="preserve"> early growth conditions as regulators of individual </w:t>
      </w:r>
      <w:r w:rsidR="00447B4E" w:rsidRPr="008A510B">
        <w:t>fitness</w:t>
      </w:r>
      <w:r w:rsidRPr="008A510B">
        <w:t xml:space="preserve"> and population growth rate</w:t>
      </w:r>
      <w:r w:rsidR="00447B4E" w:rsidRPr="008A510B">
        <w:t>s</w:t>
      </w:r>
      <w:r w:rsidRPr="008A510B">
        <w:t>.</w:t>
      </w:r>
    </w:p>
    <w:p w14:paraId="553CF64A" w14:textId="77777777" w:rsidR="001E2CDA" w:rsidRPr="008A510B" w:rsidRDefault="001E2CDA" w:rsidP="001E2CDA">
      <w:pPr>
        <w:pStyle w:val="Heading1"/>
        <w:spacing w:before="0" w:line="480" w:lineRule="auto"/>
        <w:ind w:left="0"/>
        <w:rPr>
          <w:sz w:val="24"/>
          <w:szCs w:val="24"/>
        </w:rPr>
      </w:pPr>
      <w:r w:rsidRPr="008A510B">
        <w:rPr>
          <w:sz w:val="24"/>
          <w:szCs w:val="24"/>
        </w:rPr>
        <w:lastRenderedPageBreak/>
        <w:t>ACKNOWLEDGEMENTS</w:t>
      </w:r>
    </w:p>
    <w:p w14:paraId="735129A0" w14:textId="77777777" w:rsidR="001E2CDA" w:rsidRDefault="001E2CDA" w:rsidP="001E2CDA">
      <w:pPr>
        <w:pStyle w:val="BodyText"/>
        <w:spacing w:line="480" w:lineRule="auto"/>
      </w:pPr>
      <w:r w:rsidRPr="008A510B">
        <w:t xml:space="preserve">We thank our sponsors, the Sedinger and Williams labs at the University of Nevada, Reno, and our reviewers. We particularly thank the over 200 technicians, volunteers, and graduate students who collected data at the Tutakoke River Brant colony. Field work was funded by the Alaska Science Center, U. S. Geological Survey, Migratory Bird Management Region 7, U. S. Fish and Wildlife Service, Ducks Unlimited, the Morro Bay Brant Group, Phil </w:t>
      </w:r>
      <w:proofErr w:type="spellStart"/>
      <w:r w:rsidRPr="008A510B">
        <w:t>Jebbia</w:t>
      </w:r>
      <w:proofErr w:type="spellEnd"/>
      <w:r w:rsidRPr="008A510B">
        <w:t xml:space="preserve"> (in memory of Marnie Shepherd), and the National Science Foundation (OPP 9214971, DEB 9815383, OPP 9985931, OPP 0196406, DEB 0743152, DEB 1252656). TVR and MGL were supported by the </w:t>
      </w:r>
      <w:proofErr w:type="spellStart"/>
      <w:r w:rsidRPr="008A510B">
        <w:t>Bonnycastle</w:t>
      </w:r>
      <w:proofErr w:type="spellEnd"/>
      <w:r w:rsidRPr="008A510B">
        <w:t xml:space="preserve"> Fellowship in Wetland and Waterfowl Biology from the Institute for Wetland and Waterfowl Research, Ducks Unlimited Canada. Researchers followed the University of Nevada, Reno's protocol for ethical conduct of research (https://www.unr.edu/administrative-manual/6000-6999-curricula-teaching-research/6515-ethical-standards-in-the-conduct-of-research). Research followed The Guidelines to the Use of Wild Birds in Research and was approved by either the Institutional Animal Care and Use Committee of the University of Alaska Fairbanks or the University of Nevada Reno (most recent protocol number 00056). </w:t>
      </w:r>
    </w:p>
    <w:p w14:paraId="315F9942" w14:textId="6BEA6828" w:rsidR="001E2CDA" w:rsidRPr="009A2068" w:rsidRDefault="001E2CDA" w:rsidP="001E2CDA">
      <w:pPr>
        <w:pStyle w:val="BodyText"/>
        <w:spacing w:line="480" w:lineRule="auto"/>
        <w:rPr>
          <w:b/>
          <w:bCs/>
        </w:rPr>
      </w:pPr>
      <w:r>
        <w:rPr>
          <w:b/>
          <w:bCs/>
        </w:rPr>
        <w:t>AUTHOR CONTRIBUTIONS</w:t>
      </w:r>
    </w:p>
    <w:p w14:paraId="1EC16A13" w14:textId="39BF40D9" w:rsidR="001E2CDA" w:rsidRDefault="001E2CDA" w:rsidP="009A2068">
      <w:pPr>
        <w:pStyle w:val="BodyText"/>
        <w:spacing w:line="480" w:lineRule="auto"/>
        <w:ind w:firstLine="720"/>
      </w:pPr>
      <w:r>
        <w:t xml:space="preserve"> </w:t>
      </w:r>
      <w:r w:rsidRPr="008A510B">
        <w:t>JSS conceived the long-term monitoring program and has led data collection efforts through the course of the project. MGL and TVR conceived and led the analysis, with important contributions from PJ</w:t>
      </w:r>
      <w:r>
        <w:t>W</w:t>
      </w:r>
      <w:r w:rsidRPr="008A510B">
        <w:t xml:space="preserve">. MGL led the writing of the manuscript, with important contribution from all co-authors. </w:t>
      </w:r>
    </w:p>
    <w:p w14:paraId="5439FB87" w14:textId="462EDB6D" w:rsidR="001E2CDA" w:rsidRDefault="001E2CDA" w:rsidP="001E2CDA">
      <w:pPr>
        <w:pStyle w:val="BodyText"/>
        <w:spacing w:line="480" w:lineRule="auto"/>
        <w:rPr>
          <w:b/>
          <w:bCs/>
        </w:rPr>
      </w:pPr>
      <w:r>
        <w:rPr>
          <w:b/>
          <w:bCs/>
        </w:rPr>
        <w:t>COMPETING INTERESTS</w:t>
      </w:r>
    </w:p>
    <w:p w14:paraId="0EA4B61F" w14:textId="6FF42774" w:rsidR="001E2CDA" w:rsidRPr="001E2CDA" w:rsidRDefault="001E2CDA" w:rsidP="001E2CDA">
      <w:pPr>
        <w:pStyle w:val="BodyText"/>
        <w:spacing w:line="480" w:lineRule="auto"/>
      </w:pPr>
      <w:r>
        <w:tab/>
        <w:t>There are no competing interests to declare.</w:t>
      </w:r>
    </w:p>
    <w:p w14:paraId="7D0F11AC" w14:textId="740E4DD1" w:rsidR="001E2CDA" w:rsidRPr="00692F65" w:rsidRDefault="001E2CDA" w:rsidP="001E2CDA">
      <w:pPr>
        <w:pStyle w:val="BodyText"/>
        <w:spacing w:line="480" w:lineRule="auto"/>
        <w:rPr>
          <w:b/>
          <w:bCs/>
        </w:rPr>
      </w:pPr>
      <w:r w:rsidRPr="008A510B">
        <w:rPr>
          <w:b/>
          <w:bCs/>
        </w:rPr>
        <w:t xml:space="preserve">DATA </w:t>
      </w:r>
      <w:r w:rsidR="0031752C">
        <w:rPr>
          <w:b/>
          <w:bCs/>
        </w:rPr>
        <w:t>ACCESSIBILITY</w:t>
      </w:r>
    </w:p>
    <w:p w14:paraId="3C9C8014" w14:textId="488AF918" w:rsidR="001E2CDA" w:rsidRPr="001E2CDA" w:rsidRDefault="001E2CDA" w:rsidP="009A2068">
      <w:pPr>
        <w:spacing w:line="480" w:lineRule="auto"/>
        <w:ind w:right="276" w:firstLine="720"/>
      </w:pPr>
      <w:r w:rsidRPr="00C63ABB">
        <w:t>Data are available on the</w:t>
      </w:r>
      <w:r w:rsidRPr="008A510B">
        <w:t xml:space="preserve"> Dryad Digital Repository (XXX).</w:t>
      </w:r>
      <w:r w:rsidR="0031752C">
        <w:t xml:space="preserve"> Data will be archived upon </w:t>
      </w:r>
      <w:r w:rsidR="0031752C">
        <w:lastRenderedPageBreak/>
        <w:t>manuscript acceptance.</w:t>
      </w:r>
    </w:p>
    <w:p w14:paraId="325BDF4D" w14:textId="46950759" w:rsidR="00B56746" w:rsidRPr="00692F65" w:rsidRDefault="003A76CE">
      <w:pPr>
        <w:pStyle w:val="Heading1"/>
        <w:spacing w:before="0" w:line="480" w:lineRule="auto"/>
        <w:ind w:left="0"/>
        <w:rPr>
          <w:sz w:val="24"/>
          <w:szCs w:val="24"/>
        </w:rPr>
      </w:pPr>
      <w:r w:rsidRPr="008A510B">
        <w:rPr>
          <w:sz w:val="24"/>
          <w:szCs w:val="24"/>
        </w:rPr>
        <w:t>LITERATURE CITED</w:t>
      </w:r>
    </w:p>
    <w:p w14:paraId="09924D7D" w14:textId="425505BD" w:rsidR="00B56746" w:rsidRPr="008A510B" w:rsidRDefault="00B56746">
      <w:pPr>
        <w:pStyle w:val="BodyText"/>
        <w:tabs>
          <w:tab w:val="left" w:pos="270"/>
        </w:tabs>
        <w:spacing w:line="480" w:lineRule="auto"/>
        <w:ind w:left="540" w:right="320" w:hanging="540"/>
      </w:pPr>
      <w:r w:rsidRPr="00C63ABB">
        <w:t xml:space="preserve">Acevedo, C. R., T. V. Riecke, M. G. Lohman, P. J. Williams, and J. S. Sedinger. </w:t>
      </w:r>
      <w:r w:rsidR="003A21F3" w:rsidRPr="008A510B">
        <w:t>(</w:t>
      </w:r>
      <w:r w:rsidRPr="008A510B">
        <w:t>2020</w:t>
      </w:r>
      <w:r w:rsidR="003A21F3" w:rsidRPr="008A510B">
        <w:t>).</w:t>
      </w:r>
      <w:r w:rsidRPr="008A510B">
        <w:t xml:space="preserve"> Long-term research and hierarchical models reveal consistent fitness costs of being the last egg in a clutch. Journal of Animal Ecology 89:933-935.</w:t>
      </w:r>
    </w:p>
    <w:p w14:paraId="4CB376F2" w14:textId="2AF7BEB3" w:rsidR="00B56746" w:rsidRPr="008A510B" w:rsidRDefault="00B56746">
      <w:pPr>
        <w:pStyle w:val="BodyText"/>
        <w:tabs>
          <w:tab w:val="left" w:pos="270"/>
        </w:tabs>
        <w:spacing w:line="480" w:lineRule="auto"/>
        <w:ind w:left="540" w:hanging="540"/>
      </w:pPr>
      <w:r w:rsidRPr="008A510B">
        <w:t xml:space="preserve">Ankney, C. D </w:t>
      </w:r>
      <w:r w:rsidR="003A21F3" w:rsidRPr="008A510B">
        <w:t>(1984).</w:t>
      </w:r>
      <w:r w:rsidRPr="008A510B">
        <w:t xml:space="preserve"> Nutrient reserve dynamics of breeding and molting brant. Auk 101:361–370.</w:t>
      </w:r>
    </w:p>
    <w:p w14:paraId="1BE70725" w14:textId="7D5B9784" w:rsidR="00B56746" w:rsidRPr="008A510B" w:rsidRDefault="00B56746">
      <w:pPr>
        <w:pStyle w:val="BodyText"/>
        <w:tabs>
          <w:tab w:val="left" w:pos="270"/>
        </w:tabs>
        <w:spacing w:line="480" w:lineRule="auto"/>
        <w:ind w:left="540" w:right="320" w:hanging="540"/>
      </w:pPr>
      <w:r w:rsidRPr="008A510B">
        <w:t>Ankney, C. D., and C. D. MacInnes</w:t>
      </w:r>
      <w:r w:rsidR="003A21F3" w:rsidRPr="008A510B">
        <w:t xml:space="preserve"> (1978)</w:t>
      </w:r>
      <w:r w:rsidRPr="008A510B">
        <w:t>. Nutrient reserves and reproductive performance of female lesser snow geese. Auk 95:459–471.</w:t>
      </w:r>
    </w:p>
    <w:p w14:paraId="0909D922" w14:textId="72DC0025" w:rsidR="00B56746" w:rsidRPr="008A510B" w:rsidRDefault="00B56746">
      <w:pPr>
        <w:pStyle w:val="BodyText"/>
        <w:tabs>
          <w:tab w:val="left" w:pos="270"/>
        </w:tabs>
        <w:spacing w:line="480" w:lineRule="auto"/>
        <w:ind w:left="540" w:right="320" w:hanging="540"/>
      </w:pPr>
      <w:r w:rsidRPr="008A510B">
        <w:t>Alisauskas, R. T., and C. D. Ankney</w:t>
      </w:r>
      <w:r w:rsidR="003A21F3" w:rsidRPr="008A510B">
        <w:t xml:space="preserve"> (1992)</w:t>
      </w:r>
      <w:r w:rsidRPr="008A510B">
        <w:t>. The cost of egg laying and its relationship to nutrient reserves in waterfowl</w:t>
      </w:r>
      <w:r w:rsidR="004B35C6" w:rsidRPr="008A510B">
        <w:t>.</w:t>
      </w:r>
      <w:r w:rsidRPr="008A510B">
        <w:t xml:space="preserve"> Ecology and Management of Breeding Waterfowl. University of Minnesota Press, Minneapolis, Minnesota, USA.</w:t>
      </w:r>
    </w:p>
    <w:p w14:paraId="59DB93CA" w14:textId="4A7CBF11" w:rsidR="00B56746" w:rsidRPr="008A510B" w:rsidRDefault="00B56746" w:rsidP="00692F65">
      <w:pPr>
        <w:pStyle w:val="BodyText"/>
        <w:tabs>
          <w:tab w:val="left" w:pos="270"/>
        </w:tabs>
        <w:spacing w:line="480" w:lineRule="auto"/>
        <w:ind w:left="540" w:right="366" w:hanging="540"/>
      </w:pPr>
      <w:proofErr w:type="spellStart"/>
      <w:r w:rsidRPr="008A510B">
        <w:t>Bêty</w:t>
      </w:r>
      <w:proofErr w:type="spellEnd"/>
      <w:r w:rsidRPr="008A510B">
        <w:t>, J., G. Gauthier, and J. F. Giroux</w:t>
      </w:r>
      <w:r w:rsidR="003A21F3" w:rsidRPr="008A510B">
        <w:t xml:space="preserve"> (2003)</w:t>
      </w:r>
      <w:r w:rsidRPr="008A510B">
        <w:t xml:space="preserve">. Body condition, migration, and timing of reproduction in snow geese: </w:t>
      </w:r>
      <w:r w:rsidR="00DB2F40" w:rsidRPr="008A510B">
        <w:t xml:space="preserve">A </w:t>
      </w:r>
      <w:r w:rsidRPr="008A510B">
        <w:t>test of the condition-dependent model of optimal clutch size. American Naturalist 162:110–121.</w:t>
      </w:r>
    </w:p>
    <w:p w14:paraId="57C18D30" w14:textId="2EBAD168" w:rsidR="00B56746" w:rsidRPr="008A510B" w:rsidRDefault="00B56746" w:rsidP="00692F65">
      <w:pPr>
        <w:pStyle w:val="BodyText"/>
        <w:tabs>
          <w:tab w:val="left" w:pos="270"/>
        </w:tabs>
        <w:spacing w:line="480" w:lineRule="auto"/>
        <w:ind w:left="540" w:right="366" w:hanging="540"/>
      </w:pPr>
      <w:r w:rsidRPr="008A510B">
        <w:t>Black, J. M., C. Carbone, R. L. Wells, and M. Owen</w:t>
      </w:r>
      <w:r w:rsidR="003A21F3" w:rsidRPr="008A510B">
        <w:t xml:space="preserve"> (1992)</w:t>
      </w:r>
      <w:r w:rsidRPr="008A510B">
        <w:t xml:space="preserve">. Foraging dynamics in goose flocks: the cost of living on the edge. Animal </w:t>
      </w:r>
      <w:proofErr w:type="spellStart"/>
      <w:r w:rsidRPr="008A510B">
        <w:t>Behaviour</w:t>
      </w:r>
      <w:proofErr w:type="spellEnd"/>
      <w:r w:rsidRPr="008A510B">
        <w:t xml:space="preserve"> 44:41–50.</w:t>
      </w:r>
    </w:p>
    <w:p w14:paraId="37525E5A" w14:textId="39AEA8C5" w:rsidR="00B56746" w:rsidRPr="008A510B" w:rsidRDefault="00B56746" w:rsidP="00C63ABB">
      <w:pPr>
        <w:pStyle w:val="BodyText"/>
        <w:tabs>
          <w:tab w:val="left" w:pos="270"/>
        </w:tabs>
        <w:spacing w:line="480" w:lineRule="auto"/>
        <w:ind w:left="540" w:hanging="540"/>
      </w:pPr>
      <w:r w:rsidRPr="008A510B">
        <w:t xml:space="preserve">Cooch, E., D. Lank, A. </w:t>
      </w:r>
      <w:proofErr w:type="spellStart"/>
      <w:r w:rsidRPr="008A510B">
        <w:t>Dzubin</w:t>
      </w:r>
      <w:proofErr w:type="spellEnd"/>
      <w:r w:rsidRPr="008A510B">
        <w:t>, R. Rockwell, and F. Cooke</w:t>
      </w:r>
      <w:r w:rsidR="003A21F3" w:rsidRPr="008A510B">
        <w:t xml:space="preserve"> (1991)</w:t>
      </w:r>
      <w:r w:rsidRPr="008A510B">
        <w:t xml:space="preserve">. Body size variation in lesser snow geese: </w:t>
      </w:r>
      <w:r w:rsidR="00DB2F40" w:rsidRPr="008A510B">
        <w:t xml:space="preserve">Environmental </w:t>
      </w:r>
      <w:r w:rsidRPr="008A510B">
        <w:t>plasticity in gosling growth rates. Ecology 72:503–512.</w:t>
      </w:r>
    </w:p>
    <w:p w14:paraId="6DFA7C75" w14:textId="7C8D5F62" w:rsidR="00B56746" w:rsidRPr="008A510B" w:rsidRDefault="00B56746">
      <w:pPr>
        <w:pStyle w:val="BodyText"/>
        <w:tabs>
          <w:tab w:val="left" w:pos="270"/>
        </w:tabs>
        <w:spacing w:line="480" w:lineRule="auto"/>
        <w:ind w:left="540" w:right="320" w:hanging="540"/>
      </w:pPr>
      <w:r w:rsidRPr="008A510B">
        <w:t>Daan, S., C. Dijkstra, and J. M. Tinbergen</w:t>
      </w:r>
      <w:r w:rsidR="003A21F3" w:rsidRPr="008A510B">
        <w:t xml:space="preserve"> (1990)</w:t>
      </w:r>
      <w:r w:rsidRPr="008A510B">
        <w:t>. Family planning in the kestrel (</w:t>
      </w:r>
      <w:r w:rsidRPr="008A510B">
        <w:rPr>
          <w:i/>
        </w:rPr>
        <w:t>Falco tinnunculus</w:t>
      </w:r>
      <w:r w:rsidRPr="008A510B">
        <w:t xml:space="preserve">): the ultimate control of covariation of laying date and clutch size. </w:t>
      </w:r>
      <w:proofErr w:type="spellStart"/>
      <w:r w:rsidRPr="008A510B">
        <w:t>Behaviour</w:t>
      </w:r>
      <w:proofErr w:type="spellEnd"/>
      <w:r w:rsidRPr="008A510B">
        <w:t xml:space="preserve"> 114:83–116.</w:t>
      </w:r>
    </w:p>
    <w:p w14:paraId="3D858592" w14:textId="5691404A" w:rsidR="00B56746" w:rsidRPr="008A510B" w:rsidRDefault="00B56746">
      <w:pPr>
        <w:pStyle w:val="BodyText"/>
        <w:tabs>
          <w:tab w:val="left" w:pos="270"/>
        </w:tabs>
        <w:spacing w:line="480" w:lineRule="auto"/>
        <w:ind w:left="540" w:right="320" w:hanging="540"/>
      </w:pPr>
      <w:proofErr w:type="spellStart"/>
      <w:r w:rsidRPr="008A510B">
        <w:t>Dalhaug</w:t>
      </w:r>
      <w:proofErr w:type="spellEnd"/>
      <w:r w:rsidRPr="008A510B">
        <w:t xml:space="preserve">, L., I. M. </w:t>
      </w:r>
      <w:proofErr w:type="spellStart"/>
      <w:r w:rsidRPr="008A510B">
        <w:t>Tombre</w:t>
      </w:r>
      <w:proofErr w:type="spellEnd"/>
      <w:r w:rsidRPr="008A510B">
        <w:t>, and K. E. Erikstad</w:t>
      </w:r>
      <w:r w:rsidR="003A21F3" w:rsidRPr="008A510B">
        <w:t xml:space="preserve"> (1996)</w:t>
      </w:r>
      <w:r w:rsidRPr="008A510B">
        <w:t>. Seasonal decline in clutch size of the barnacle goose in Svalbard. Condor 98:42-47.</w:t>
      </w:r>
    </w:p>
    <w:p w14:paraId="46620FA0" w14:textId="1D5C434E" w:rsidR="00B56746" w:rsidRPr="008A510B" w:rsidRDefault="00B56746" w:rsidP="00692F65">
      <w:pPr>
        <w:pStyle w:val="BodyText"/>
        <w:tabs>
          <w:tab w:val="left" w:pos="270"/>
        </w:tabs>
        <w:spacing w:line="480" w:lineRule="auto"/>
        <w:ind w:left="540" w:right="243" w:hanging="540"/>
      </w:pPr>
      <w:proofErr w:type="spellStart"/>
      <w:r w:rsidRPr="008A510B">
        <w:lastRenderedPageBreak/>
        <w:t>Douhard</w:t>
      </w:r>
      <w:proofErr w:type="spellEnd"/>
      <w:r w:rsidRPr="008A510B">
        <w:t xml:space="preserve">, M., F. </w:t>
      </w:r>
      <w:proofErr w:type="spellStart"/>
      <w:r w:rsidRPr="008A510B">
        <w:t>Plard</w:t>
      </w:r>
      <w:proofErr w:type="spellEnd"/>
      <w:r w:rsidRPr="008A510B">
        <w:t xml:space="preserve">, J. M. Gaillard, G. Capron, D. Delorme, F. Klein, P. Duncan, L. E. </w:t>
      </w:r>
      <w:proofErr w:type="spellStart"/>
      <w:r w:rsidRPr="008A510B">
        <w:t>Loe</w:t>
      </w:r>
      <w:proofErr w:type="spellEnd"/>
      <w:r w:rsidRPr="008A510B">
        <w:t xml:space="preserve">, and C. </w:t>
      </w:r>
      <w:proofErr w:type="spellStart"/>
      <w:r w:rsidRPr="008A510B">
        <w:t>Bonenfant</w:t>
      </w:r>
      <w:proofErr w:type="spellEnd"/>
      <w:r w:rsidR="003A21F3" w:rsidRPr="008A510B">
        <w:t xml:space="preserve"> (2014)</w:t>
      </w:r>
      <w:r w:rsidRPr="008A510B">
        <w:t>. Fitness consequences of environmental conditions at different life stages in a long-lived vertebrate. Proceedings of the Royal Society B: Biological Sciences 281:20140276.</w:t>
      </w:r>
    </w:p>
    <w:p w14:paraId="3AFE41F2" w14:textId="778EDACE" w:rsidR="00B56746" w:rsidRPr="008A510B" w:rsidRDefault="00B56746" w:rsidP="00C63ABB">
      <w:pPr>
        <w:pStyle w:val="BodyText"/>
        <w:tabs>
          <w:tab w:val="left" w:pos="270"/>
        </w:tabs>
        <w:spacing w:line="480" w:lineRule="auto"/>
        <w:ind w:left="540" w:right="179" w:hanging="540"/>
      </w:pPr>
      <w:r w:rsidRPr="008A510B">
        <w:t>Drent, R. and S. Daan</w:t>
      </w:r>
      <w:r w:rsidR="003A21F3" w:rsidRPr="008A510B">
        <w:t xml:space="preserve"> (1980)</w:t>
      </w:r>
      <w:r w:rsidRPr="008A510B">
        <w:t>. The prudent parent: energetic adjustments in avian breeding. Ardea 68:225–252.</w:t>
      </w:r>
    </w:p>
    <w:p w14:paraId="4734AC11" w14:textId="3E6CF803" w:rsidR="00B56746" w:rsidRPr="008A510B" w:rsidRDefault="00B56746">
      <w:pPr>
        <w:pStyle w:val="BodyText"/>
        <w:tabs>
          <w:tab w:val="left" w:pos="270"/>
        </w:tabs>
        <w:spacing w:line="480" w:lineRule="auto"/>
        <w:ind w:left="540" w:right="391" w:hanging="540"/>
      </w:pPr>
      <w:r w:rsidRPr="008A510B">
        <w:t>Eichholz, M. W., and J. S. Sedinger</w:t>
      </w:r>
      <w:r w:rsidR="003A21F3" w:rsidRPr="008A510B">
        <w:t xml:space="preserve"> (1998)</w:t>
      </w:r>
      <w:r w:rsidRPr="008A510B">
        <w:t>. Factors affecting duration of incubation in black brant. Condor 100:164–168.</w:t>
      </w:r>
    </w:p>
    <w:p w14:paraId="3C6E19E8" w14:textId="2FF4650F" w:rsidR="00E63007" w:rsidRPr="008A510B" w:rsidRDefault="00E63007">
      <w:pPr>
        <w:pStyle w:val="BodyText"/>
        <w:tabs>
          <w:tab w:val="left" w:pos="270"/>
        </w:tabs>
        <w:spacing w:line="480" w:lineRule="auto"/>
        <w:ind w:left="540" w:right="391" w:hanging="540"/>
      </w:pPr>
      <w:r w:rsidRPr="008A510B">
        <w:t xml:space="preserve">Flint, P. L., </w:t>
      </w:r>
      <w:r w:rsidR="003A21F3" w:rsidRPr="008A510B">
        <w:t xml:space="preserve">J. B. </w:t>
      </w:r>
      <w:r w:rsidRPr="008A510B">
        <w:t xml:space="preserve">Grand, </w:t>
      </w:r>
      <w:r w:rsidR="003A21F3" w:rsidRPr="008A510B">
        <w:t>and</w:t>
      </w:r>
      <w:r w:rsidRPr="008A510B">
        <w:t xml:space="preserve"> </w:t>
      </w:r>
      <w:r w:rsidR="003A21F3" w:rsidRPr="008A510B">
        <w:t xml:space="preserve">J.S. </w:t>
      </w:r>
      <w:r w:rsidRPr="008A510B">
        <w:t>Sedinger</w:t>
      </w:r>
      <w:r w:rsidR="003A21F3" w:rsidRPr="008A510B">
        <w:t xml:space="preserve"> (1996)</w:t>
      </w:r>
      <w:r w:rsidRPr="008A510B">
        <w:t>. Allocation of limited reserves to a clutch: A model explaining the lack of a relationship between clutch size and egg size. Auk 113: 939-942.</w:t>
      </w:r>
    </w:p>
    <w:p w14:paraId="562F47F7" w14:textId="67A6081D" w:rsidR="00E63007" w:rsidRPr="008A510B" w:rsidRDefault="00B56746">
      <w:pPr>
        <w:pStyle w:val="BodyText"/>
        <w:tabs>
          <w:tab w:val="left" w:pos="270"/>
          <w:tab w:val="left" w:pos="6869"/>
        </w:tabs>
        <w:spacing w:line="480" w:lineRule="auto"/>
        <w:ind w:left="540" w:right="320" w:hanging="540"/>
      </w:pPr>
      <w:r w:rsidRPr="008A510B">
        <w:t xml:space="preserve">Flint, P. L., </w:t>
      </w:r>
      <w:r w:rsidR="009C764F" w:rsidRPr="008A510B">
        <w:t xml:space="preserve">and </w:t>
      </w:r>
      <w:r w:rsidRPr="008A510B">
        <w:t>J. S. Sedinger</w:t>
      </w:r>
      <w:r w:rsidR="003A21F3" w:rsidRPr="008A510B">
        <w:t xml:space="preserve"> (1992)</w:t>
      </w:r>
      <w:r w:rsidRPr="008A510B">
        <w:t>. Reproductive implications of egg-size variation in the black brant. Auk 109:896-903.</w:t>
      </w:r>
    </w:p>
    <w:p w14:paraId="593198D6" w14:textId="6CED90D1" w:rsidR="00B56746" w:rsidRPr="008A510B" w:rsidRDefault="00B56746" w:rsidP="00692F65">
      <w:pPr>
        <w:pStyle w:val="BodyText"/>
        <w:tabs>
          <w:tab w:val="left" w:pos="270"/>
        </w:tabs>
        <w:spacing w:line="480" w:lineRule="auto"/>
        <w:ind w:left="540" w:right="197" w:hanging="540"/>
      </w:pPr>
      <w:r w:rsidRPr="008A510B">
        <w:t>Gaillard, J. M., M. Festa-</w:t>
      </w:r>
      <w:proofErr w:type="spellStart"/>
      <w:r w:rsidRPr="008A510B">
        <w:t>Bianchet</w:t>
      </w:r>
      <w:proofErr w:type="spellEnd"/>
      <w:r w:rsidRPr="008A510B">
        <w:t xml:space="preserve">, and N. G. </w:t>
      </w:r>
      <w:proofErr w:type="spellStart"/>
      <w:r w:rsidRPr="008A510B">
        <w:t>Yoccoz</w:t>
      </w:r>
      <w:proofErr w:type="spellEnd"/>
      <w:r w:rsidR="003A21F3" w:rsidRPr="008A510B">
        <w:t xml:space="preserve"> (1998)</w:t>
      </w:r>
      <w:r w:rsidRPr="008A510B">
        <w:t xml:space="preserve">. Population dynamics of large herbivores: </w:t>
      </w:r>
      <w:r w:rsidR="00DB2F40" w:rsidRPr="008A510B">
        <w:t>V</w:t>
      </w:r>
      <w:r w:rsidRPr="008A510B">
        <w:t>ariable recruitment with constant adult survival. Trends in Ecology &amp; Evolution 13:58–63.</w:t>
      </w:r>
    </w:p>
    <w:p w14:paraId="5EC141A0" w14:textId="70D99FE1" w:rsidR="00B56746" w:rsidRPr="008A510B" w:rsidRDefault="00B56746" w:rsidP="00C63ABB">
      <w:pPr>
        <w:pStyle w:val="BodyText"/>
        <w:tabs>
          <w:tab w:val="left" w:pos="270"/>
        </w:tabs>
        <w:spacing w:line="480" w:lineRule="auto"/>
        <w:ind w:left="540" w:hanging="540"/>
      </w:pPr>
      <w:r w:rsidRPr="008A510B">
        <w:t>Hamann, J., and F. Cooke</w:t>
      </w:r>
      <w:r w:rsidR="003A21F3" w:rsidRPr="008A510B">
        <w:t xml:space="preserve"> (1989)</w:t>
      </w:r>
      <w:r w:rsidRPr="008A510B">
        <w:t>. Intra-seasonal decline of clutch size in lesser snow geese. Oecologia 79:83-90.</w:t>
      </w:r>
    </w:p>
    <w:p w14:paraId="36FF88F1" w14:textId="67D7619D" w:rsidR="00B56746" w:rsidRPr="008A510B" w:rsidRDefault="00B56746">
      <w:pPr>
        <w:pStyle w:val="BodyText"/>
        <w:tabs>
          <w:tab w:val="left" w:pos="270"/>
        </w:tabs>
        <w:spacing w:line="480" w:lineRule="auto"/>
        <w:ind w:left="540" w:right="320" w:hanging="540"/>
      </w:pPr>
      <w:r w:rsidRPr="008A510B">
        <w:t xml:space="preserve">Hoffmann, A. A. and J. </w:t>
      </w:r>
      <w:proofErr w:type="spellStart"/>
      <w:r w:rsidRPr="008A510B">
        <w:t>Merilä</w:t>
      </w:r>
      <w:proofErr w:type="spellEnd"/>
      <w:r w:rsidR="003A21F3" w:rsidRPr="008A510B">
        <w:t xml:space="preserve"> (1999)</w:t>
      </w:r>
      <w:r w:rsidRPr="008A510B">
        <w:t>. Heritable variation and evolution under favorable and unfavorable conditions. Trends in Ecology &amp; Evolution 14:96–101.</w:t>
      </w:r>
    </w:p>
    <w:p w14:paraId="04355C06" w14:textId="4CC8AD02" w:rsidR="00B56746" w:rsidRPr="008A510B" w:rsidRDefault="00B56746">
      <w:pPr>
        <w:pStyle w:val="BodyText"/>
        <w:tabs>
          <w:tab w:val="left" w:pos="270"/>
        </w:tabs>
        <w:spacing w:line="480" w:lineRule="auto"/>
        <w:ind w:left="540" w:hanging="540"/>
      </w:pPr>
      <w:r w:rsidRPr="008A510B">
        <w:t>Kellner, K</w:t>
      </w:r>
      <w:r w:rsidR="003A21F3" w:rsidRPr="008A510B">
        <w:t xml:space="preserve"> (2018)</w:t>
      </w:r>
      <w:r w:rsidRPr="008A510B">
        <w:t>. jagsUI: A Wrapper Around “rjags” to streamline “JAGS” Analyses. URL https://CRAN.R-project.org/package=jagsUI. R package version 1.5.0.</w:t>
      </w:r>
    </w:p>
    <w:p w14:paraId="74EF0014" w14:textId="49A211EC" w:rsidR="00234AA5" w:rsidRPr="008A510B" w:rsidRDefault="00234AA5">
      <w:pPr>
        <w:pStyle w:val="BodyText"/>
        <w:tabs>
          <w:tab w:val="left" w:pos="270"/>
        </w:tabs>
        <w:spacing w:line="480" w:lineRule="auto"/>
        <w:ind w:left="540" w:hanging="540"/>
      </w:pPr>
      <w:r w:rsidRPr="008A510B">
        <w:t>Kendall, W. L., and J. D. Nichols</w:t>
      </w:r>
      <w:r w:rsidR="003A21F3" w:rsidRPr="008A510B">
        <w:t xml:space="preserve"> (1995)</w:t>
      </w:r>
      <w:r w:rsidRPr="008A510B">
        <w:t xml:space="preserve">. On the use of secondary capture-recapture samples to </w:t>
      </w:r>
      <w:r w:rsidRPr="008A510B">
        <w:lastRenderedPageBreak/>
        <w:t>estimate temporary emigration and breeding proportions. Journal of Applied Statistics 22:751-762.</w:t>
      </w:r>
    </w:p>
    <w:p w14:paraId="0E17F6D3" w14:textId="4B4699EF" w:rsidR="00B56746" w:rsidRPr="008A510B" w:rsidRDefault="00B56746">
      <w:pPr>
        <w:pStyle w:val="BodyText"/>
        <w:tabs>
          <w:tab w:val="left" w:pos="270"/>
        </w:tabs>
        <w:spacing w:line="480" w:lineRule="auto"/>
        <w:ind w:left="540" w:hanging="540"/>
      </w:pPr>
      <w:proofErr w:type="spellStart"/>
      <w:r w:rsidRPr="008A510B">
        <w:t>Kéry</w:t>
      </w:r>
      <w:proofErr w:type="spellEnd"/>
      <w:r w:rsidRPr="008A510B">
        <w:t>, M., and M. Schaub</w:t>
      </w:r>
      <w:r w:rsidR="003A21F3" w:rsidRPr="008A510B">
        <w:t xml:space="preserve"> (2011)</w:t>
      </w:r>
      <w:r w:rsidRPr="008A510B">
        <w:t xml:space="preserve">. Bayesian population analysis using </w:t>
      </w:r>
      <w:proofErr w:type="spellStart"/>
      <w:r w:rsidRPr="008A510B">
        <w:t>WinBUGS</w:t>
      </w:r>
      <w:proofErr w:type="spellEnd"/>
      <w:r w:rsidRPr="008A510B">
        <w:t xml:space="preserve">: </w:t>
      </w:r>
      <w:r w:rsidR="00DB2F40" w:rsidRPr="008A510B">
        <w:t xml:space="preserve">A </w:t>
      </w:r>
      <w:r w:rsidRPr="008A510B">
        <w:t>hierarchical perspective. Academic Press, Oxford, UK.</w:t>
      </w:r>
    </w:p>
    <w:p w14:paraId="4864A94F" w14:textId="6E8C431C" w:rsidR="00B56746" w:rsidRPr="008A510B" w:rsidRDefault="00B56746">
      <w:pPr>
        <w:pStyle w:val="BodyText"/>
        <w:tabs>
          <w:tab w:val="left" w:pos="270"/>
        </w:tabs>
        <w:spacing w:line="480" w:lineRule="auto"/>
        <w:ind w:left="540" w:hanging="540"/>
      </w:pPr>
      <w:r w:rsidRPr="008A510B">
        <w:t>Klomp, H</w:t>
      </w:r>
      <w:r w:rsidR="003A21F3" w:rsidRPr="008A510B">
        <w:t xml:space="preserve"> (1970)</w:t>
      </w:r>
      <w:r w:rsidRPr="008A510B">
        <w:t>. The determination of clutch-size in birds a review. Ardea 55:1-124.</w:t>
      </w:r>
    </w:p>
    <w:p w14:paraId="58C01F6D" w14:textId="15F7687C" w:rsidR="00B56746" w:rsidRPr="008A510B" w:rsidRDefault="00B56746">
      <w:pPr>
        <w:pStyle w:val="BodyText"/>
        <w:tabs>
          <w:tab w:val="left" w:pos="270"/>
        </w:tabs>
        <w:spacing w:line="480" w:lineRule="auto"/>
        <w:ind w:left="540" w:hanging="540"/>
      </w:pPr>
      <w:r w:rsidRPr="008A510B">
        <w:t>Lack, D</w:t>
      </w:r>
      <w:r w:rsidR="003A21F3" w:rsidRPr="008A510B">
        <w:t xml:space="preserve"> (1948)</w:t>
      </w:r>
      <w:r w:rsidRPr="008A510B">
        <w:t>. The significance of litter-size. Journal of Animal Ecology 17:45-50.</w:t>
      </w:r>
    </w:p>
    <w:p w14:paraId="5D828FBB" w14:textId="197BB340" w:rsidR="00B56746" w:rsidRPr="008A510B" w:rsidRDefault="00B56746">
      <w:pPr>
        <w:pStyle w:val="BodyText"/>
        <w:tabs>
          <w:tab w:val="left" w:pos="270"/>
        </w:tabs>
        <w:spacing w:line="480" w:lineRule="auto"/>
        <w:ind w:left="540" w:hanging="540"/>
      </w:pPr>
      <w:r w:rsidRPr="008A510B">
        <w:t>Lack, D</w:t>
      </w:r>
      <w:r w:rsidR="003A21F3" w:rsidRPr="008A510B">
        <w:t xml:space="preserve"> (1950)</w:t>
      </w:r>
      <w:r w:rsidRPr="008A510B">
        <w:t xml:space="preserve">. Family-size in titmice of the genus </w:t>
      </w:r>
      <w:r w:rsidRPr="008A510B">
        <w:rPr>
          <w:i/>
          <w:iCs/>
        </w:rPr>
        <w:t>Parus</w:t>
      </w:r>
      <w:r w:rsidRPr="008A510B">
        <w:t>. Evolution 4:279-290.</w:t>
      </w:r>
    </w:p>
    <w:p w14:paraId="74D0F1CA" w14:textId="39986176" w:rsidR="00B56746" w:rsidRPr="008A510B" w:rsidRDefault="00B56746">
      <w:pPr>
        <w:pStyle w:val="BodyText"/>
        <w:tabs>
          <w:tab w:val="left" w:pos="270"/>
        </w:tabs>
        <w:spacing w:line="480" w:lineRule="auto"/>
        <w:ind w:left="540" w:hanging="540"/>
      </w:pPr>
      <w:r w:rsidRPr="008A510B">
        <w:t>Lack, D</w:t>
      </w:r>
      <w:r w:rsidR="003A21F3" w:rsidRPr="008A510B">
        <w:t xml:space="preserve"> (1967)</w:t>
      </w:r>
      <w:r w:rsidRPr="008A510B">
        <w:t>. The significance of clutch-size in waterfowl. Wildfowl 18:125–128.</w:t>
      </w:r>
    </w:p>
    <w:p w14:paraId="0ED8D210" w14:textId="25DFC316" w:rsidR="00B56746" w:rsidRPr="008A510B" w:rsidRDefault="00B56746">
      <w:pPr>
        <w:pStyle w:val="BodyText"/>
        <w:tabs>
          <w:tab w:val="left" w:pos="270"/>
        </w:tabs>
        <w:spacing w:line="480" w:lineRule="auto"/>
        <w:ind w:left="540" w:hanging="540"/>
      </w:pPr>
      <w:r w:rsidRPr="008A510B">
        <w:t>Larsson, K</w:t>
      </w:r>
      <w:r w:rsidR="003A21F3" w:rsidRPr="008A510B">
        <w:t xml:space="preserve"> (1993)</w:t>
      </w:r>
      <w:r w:rsidRPr="008A510B">
        <w:t>. Inheritance of body size in the barnacle goose under different environmental conditions. Journal of Evolutionary Biology 6:195–208.</w:t>
      </w:r>
    </w:p>
    <w:p w14:paraId="2EFF7712" w14:textId="144BE6F5" w:rsidR="00B56746" w:rsidRPr="008A510B" w:rsidRDefault="00B56746">
      <w:pPr>
        <w:pStyle w:val="BodyText"/>
        <w:tabs>
          <w:tab w:val="left" w:pos="270"/>
        </w:tabs>
        <w:spacing w:line="480" w:lineRule="auto"/>
        <w:ind w:left="540" w:right="320" w:hanging="540"/>
      </w:pPr>
      <w:r w:rsidRPr="008A510B">
        <w:t xml:space="preserve">Larsson, K. and P. </w:t>
      </w:r>
      <w:proofErr w:type="spellStart"/>
      <w:r w:rsidRPr="008A510B">
        <w:t>Forslund</w:t>
      </w:r>
      <w:proofErr w:type="spellEnd"/>
      <w:r w:rsidR="003A21F3" w:rsidRPr="008A510B">
        <w:t xml:space="preserve"> (1991)</w:t>
      </w:r>
      <w:r w:rsidRPr="008A510B">
        <w:t xml:space="preserve">. Environmentally induced morphological variation in the barnacle goose, </w:t>
      </w:r>
      <w:r w:rsidRPr="008A510B">
        <w:rPr>
          <w:i/>
        </w:rPr>
        <w:t>Branta leucopsis</w:t>
      </w:r>
      <w:r w:rsidRPr="008A510B">
        <w:t>. Journal of Evolutionary Biology 4:619–636.</w:t>
      </w:r>
    </w:p>
    <w:p w14:paraId="1987BD6A" w14:textId="3EE7EED0" w:rsidR="00B56746" w:rsidRPr="008A510B" w:rsidRDefault="00B56746">
      <w:pPr>
        <w:pStyle w:val="BodyText"/>
        <w:tabs>
          <w:tab w:val="left" w:pos="270"/>
        </w:tabs>
        <w:spacing w:line="480" w:lineRule="auto"/>
        <w:ind w:left="540" w:right="320" w:hanging="540"/>
      </w:pPr>
      <w:r w:rsidRPr="008A510B">
        <w:t xml:space="preserve">Larsson, K. and P. </w:t>
      </w:r>
      <w:proofErr w:type="spellStart"/>
      <w:r w:rsidRPr="008A510B">
        <w:t>Forslund</w:t>
      </w:r>
      <w:proofErr w:type="spellEnd"/>
      <w:r w:rsidR="003A21F3" w:rsidRPr="008A510B">
        <w:t xml:space="preserve"> (1992)</w:t>
      </w:r>
      <w:r w:rsidRPr="008A510B">
        <w:t xml:space="preserve">. Genetic and social inheritance of body and egg size in the barnacle goose, </w:t>
      </w:r>
      <w:r w:rsidRPr="008A510B">
        <w:rPr>
          <w:i/>
        </w:rPr>
        <w:t>Branta leucopsis</w:t>
      </w:r>
      <w:r w:rsidRPr="008A510B">
        <w:t>. Evolution 46:235–244.</w:t>
      </w:r>
    </w:p>
    <w:p w14:paraId="077A571D" w14:textId="62C18909" w:rsidR="00B56746" w:rsidRPr="008A510B" w:rsidRDefault="00B56746">
      <w:pPr>
        <w:pStyle w:val="BodyText"/>
        <w:tabs>
          <w:tab w:val="left" w:pos="270"/>
        </w:tabs>
        <w:spacing w:line="480" w:lineRule="auto"/>
        <w:ind w:left="540" w:right="320" w:hanging="540"/>
      </w:pPr>
      <w:r w:rsidRPr="008A510B">
        <w:rPr>
          <w:color w:val="000000"/>
        </w:rPr>
        <w:t>Leach, A. G., J. S. Sedinger, T. V. Riecke, A. W. VanDellen, D. H. Ward, and W. S. Boyd</w:t>
      </w:r>
      <w:r w:rsidR="003A21F3" w:rsidRPr="008A510B">
        <w:rPr>
          <w:color w:val="000000"/>
        </w:rPr>
        <w:t xml:space="preserve"> (2019)</w:t>
      </w:r>
      <w:r w:rsidRPr="008A510B">
        <w:rPr>
          <w:color w:val="000000"/>
        </w:rPr>
        <w:t>. Trade-offs between current and future reproduction in a long-lived species with precocial young. American Naturalist 193:458-471.</w:t>
      </w:r>
    </w:p>
    <w:p w14:paraId="7B6CB193" w14:textId="32C1C3D9" w:rsidR="00B56746" w:rsidRPr="008A510B" w:rsidRDefault="00B56746" w:rsidP="00692F65">
      <w:pPr>
        <w:pStyle w:val="BodyText"/>
        <w:tabs>
          <w:tab w:val="left" w:pos="270"/>
        </w:tabs>
        <w:spacing w:line="480" w:lineRule="auto"/>
        <w:ind w:left="540" w:right="311" w:hanging="540"/>
      </w:pPr>
      <w:r w:rsidRPr="008A510B">
        <w:t>Leach, A. G., A. W. Van Dellen, T. V. Riecke, and J. S. Sedinger</w:t>
      </w:r>
      <w:r w:rsidR="003A21F3" w:rsidRPr="008A510B">
        <w:t xml:space="preserve"> (2017</w:t>
      </w:r>
      <w:r w:rsidR="003A21F3" w:rsidRPr="008A510B">
        <w:rPr>
          <w:i/>
          <w:iCs/>
        </w:rPr>
        <w:t>a</w:t>
      </w:r>
      <w:r w:rsidR="003A21F3" w:rsidRPr="008A510B">
        <w:t>)</w:t>
      </w:r>
      <w:r w:rsidRPr="008A510B">
        <w:t>. Incubation capacity contributes to constraints on maximal clutch size in brent geese (</w:t>
      </w:r>
      <w:r w:rsidRPr="008A510B">
        <w:rPr>
          <w:i/>
        </w:rPr>
        <w:t>Branta bernicla nigricans</w:t>
      </w:r>
      <w:r w:rsidRPr="008A510B">
        <w:t>). Ibis 159:588–599.</w:t>
      </w:r>
    </w:p>
    <w:p w14:paraId="13E53D88" w14:textId="363F616B" w:rsidR="00B56746" w:rsidRPr="008A510B" w:rsidRDefault="00B56746" w:rsidP="00C63ABB">
      <w:pPr>
        <w:pStyle w:val="BodyText"/>
        <w:tabs>
          <w:tab w:val="left" w:pos="270"/>
        </w:tabs>
        <w:spacing w:line="480" w:lineRule="auto"/>
        <w:ind w:left="540" w:hanging="540"/>
      </w:pPr>
      <w:r w:rsidRPr="008A510B">
        <w:t>Leach, A. G., D. H. Ward, J. S. Sedinger, M. S. Lindberg, W. S. Boyd, J. W. Hupp, and R. J. Ritchie</w:t>
      </w:r>
      <w:r w:rsidR="003A21F3" w:rsidRPr="008A510B">
        <w:t xml:space="preserve"> (2017</w:t>
      </w:r>
      <w:r w:rsidR="003A21F3" w:rsidRPr="008A510B">
        <w:rPr>
          <w:i/>
          <w:iCs/>
        </w:rPr>
        <w:t>b</w:t>
      </w:r>
      <w:r w:rsidR="003A21F3" w:rsidRPr="008A510B">
        <w:t>)</w:t>
      </w:r>
      <w:r w:rsidRPr="008A510B">
        <w:t xml:space="preserve">. Declining survival of </w:t>
      </w:r>
      <w:r w:rsidR="00733671" w:rsidRPr="008A510B">
        <w:t>b</w:t>
      </w:r>
      <w:r w:rsidRPr="008A510B">
        <w:t xml:space="preserve">lack </w:t>
      </w:r>
      <w:r w:rsidR="00733671" w:rsidRPr="008A510B">
        <w:t xml:space="preserve">brant </w:t>
      </w:r>
      <w:r w:rsidRPr="008A510B">
        <w:t>from sub-Arctic and Arctic breeding areas. Journal of Wildlife Management 81:1210–1218.</w:t>
      </w:r>
    </w:p>
    <w:p w14:paraId="5C7637E3" w14:textId="388905DC" w:rsidR="00B56746" w:rsidRPr="008A510B" w:rsidRDefault="00B56746">
      <w:pPr>
        <w:pStyle w:val="BodyText"/>
        <w:tabs>
          <w:tab w:val="left" w:pos="270"/>
        </w:tabs>
        <w:spacing w:line="480" w:lineRule="auto"/>
        <w:ind w:left="540" w:hanging="540"/>
      </w:pPr>
      <w:r w:rsidRPr="008A510B">
        <w:lastRenderedPageBreak/>
        <w:t>Lemons, P. R., J. S. Sedinger, and P. S. Randle</w:t>
      </w:r>
      <w:r w:rsidR="003A21F3" w:rsidRPr="008A510B">
        <w:t xml:space="preserve"> (2011)</w:t>
      </w:r>
      <w:r w:rsidRPr="008A510B">
        <w:t>. Detecting conspecific brood parasitism using egg morphology in black brant. Journal of Avian Biology 42:282-288.</w:t>
      </w:r>
    </w:p>
    <w:p w14:paraId="3E4AE31F" w14:textId="0FCD1C7F" w:rsidR="00B56746" w:rsidRPr="008A510B" w:rsidRDefault="00B56746">
      <w:pPr>
        <w:pStyle w:val="BodyText"/>
        <w:tabs>
          <w:tab w:val="left" w:pos="270"/>
        </w:tabs>
        <w:spacing w:line="480" w:lineRule="auto"/>
        <w:ind w:left="540" w:hanging="540"/>
      </w:pPr>
      <w:r w:rsidRPr="008A510B">
        <w:t>Lindberg, M. S. and J. S. Sedinger</w:t>
      </w:r>
      <w:r w:rsidR="003A21F3" w:rsidRPr="008A510B">
        <w:t xml:space="preserve"> (1998)</w:t>
      </w:r>
      <w:r w:rsidRPr="008A510B">
        <w:t xml:space="preserve">. Ecological significance of brood-site fidelity in black brant: </w:t>
      </w:r>
      <w:r w:rsidR="00DB2F40" w:rsidRPr="008A510B">
        <w:t>Spatial</w:t>
      </w:r>
      <w:r w:rsidRPr="008A510B">
        <w:t>, annual, and age-related variation. Auk 115:436–446.</w:t>
      </w:r>
    </w:p>
    <w:p w14:paraId="59F7E611" w14:textId="67072DFA" w:rsidR="00B56746" w:rsidRPr="008A510B" w:rsidRDefault="00B56746">
      <w:pPr>
        <w:pStyle w:val="BodyText"/>
        <w:tabs>
          <w:tab w:val="left" w:pos="270"/>
        </w:tabs>
        <w:spacing w:line="480" w:lineRule="auto"/>
        <w:ind w:left="540" w:right="320" w:hanging="540"/>
      </w:pPr>
      <w:r w:rsidRPr="008A510B">
        <w:t>Lindholm, A., G. Gauthier, and A. Desrochers</w:t>
      </w:r>
      <w:r w:rsidR="003A21F3" w:rsidRPr="008A510B">
        <w:t xml:space="preserve"> (1994)</w:t>
      </w:r>
      <w:r w:rsidRPr="008A510B">
        <w:t xml:space="preserve">. Effects of hatch date and food supply on gosling growth in </w:t>
      </w:r>
      <w:r w:rsidR="00C84A6B" w:rsidRPr="008A510B">
        <w:t>A</w:t>
      </w:r>
      <w:r w:rsidRPr="008A510B">
        <w:t>rctic-nesting greater snow geese. Condor 96:898–908.</w:t>
      </w:r>
    </w:p>
    <w:p w14:paraId="1641F0CC" w14:textId="197BCDC7" w:rsidR="00B56746" w:rsidRPr="008A510B" w:rsidRDefault="00B56746">
      <w:pPr>
        <w:pStyle w:val="BodyText"/>
        <w:tabs>
          <w:tab w:val="left" w:pos="270"/>
        </w:tabs>
        <w:spacing w:line="480" w:lineRule="auto"/>
        <w:ind w:left="540" w:right="320" w:hanging="540"/>
      </w:pPr>
      <w:proofErr w:type="spellStart"/>
      <w:r w:rsidRPr="008A510B">
        <w:t>Lindström</w:t>
      </w:r>
      <w:proofErr w:type="spellEnd"/>
      <w:r w:rsidRPr="008A510B">
        <w:t>, J</w:t>
      </w:r>
      <w:r w:rsidR="003A21F3" w:rsidRPr="008A510B">
        <w:t xml:space="preserve"> (1999)</w:t>
      </w:r>
      <w:r w:rsidRPr="008A510B">
        <w:t>. Early development and fitness in birds and mammals. Trends in Ecology and Evolution 14:343–348.</w:t>
      </w:r>
    </w:p>
    <w:p w14:paraId="7ABF74AF" w14:textId="3D920BBB" w:rsidR="00B56746" w:rsidRPr="008A510B" w:rsidRDefault="00B56746">
      <w:pPr>
        <w:pStyle w:val="BodyText"/>
        <w:tabs>
          <w:tab w:val="left" w:pos="270"/>
          <w:tab w:val="left" w:pos="6540"/>
        </w:tabs>
        <w:spacing w:line="480" w:lineRule="auto"/>
        <w:ind w:left="540" w:right="584" w:hanging="540"/>
      </w:pPr>
      <w:r w:rsidRPr="008A510B">
        <w:t>Lohman, M. G., T. V. Riecke, C. R. Acevedo, B. T. Person, J. A. Schmutz, B. D. Uher- Koch, and J. S. Sedinger</w:t>
      </w:r>
      <w:r w:rsidR="003A21F3" w:rsidRPr="008A510B">
        <w:t xml:space="preserve"> (2019)</w:t>
      </w:r>
      <w:r w:rsidRPr="008A510B">
        <w:t>. Changes in behavior are unable to disrupt a trophic cascade involving a specialist herbivore and its food plant. Ecology and Evolution 9:5281–5291.</w:t>
      </w:r>
    </w:p>
    <w:p w14:paraId="1DEC4EB8" w14:textId="26D8E6DE" w:rsidR="00B56746" w:rsidRPr="008A510B" w:rsidRDefault="00B56746">
      <w:pPr>
        <w:pStyle w:val="BodyText"/>
        <w:tabs>
          <w:tab w:val="left" w:pos="270"/>
          <w:tab w:val="left" w:pos="6540"/>
        </w:tabs>
        <w:spacing w:line="480" w:lineRule="auto"/>
        <w:ind w:left="540" w:right="584" w:hanging="540"/>
      </w:pPr>
      <w:r w:rsidRPr="008A510B">
        <w:t>McNamara, J. M., and A. I. Houston</w:t>
      </w:r>
      <w:r w:rsidR="003A21F3" w:rsidRPr="008A510B">
        <w:t xml:space="preserve"> (1996)</w:t>
      </w:r>
      <w:r w:rsidRPr="008A510B">
        <w:t>. State-dependent life histories. Nature 380:215-221.</w:t>
      </w:r>
    </w:p>
    <w:p w14:paraId="0D94A71D" w14:textId="0C025088" w:rsidR="00B56746" w:rsidRPr="008A510B" w:rsidRDefault="00B56746">
      <w:pPr>
        <w:pStyle w:val="BodyText"/>
        <w:tabs>
          <w:tab w:val="left" w:pos="270"/>
          <w:tab w:val="left" w:pos="6540"/>
        </w:tabs>
        <w:spacing w:line="480" w:lineRule="auto"/>
        <w:ind w:left="540" w:right="584" w:hanging="540"/>
      </w:pPr>
      <w:r w:rsidRPr="008A510B">
        <w:t>Meijer, T., S. Daan, and M. Hall</w:t>
      </w:r>
      <w:r w:rsidR="003A21F3" w:rsidRPr="008A510B">
        <w:t xml:space="preserve"> (1990)</w:t>
      </w:r>
      <w:r w:rsidRPr="008A510B">
        <w:t>. Family planning in the kestrel (</w:t>
      </w:r>
      <w:r w:rsidRPr="008A510B">
        <w:rPr>
          <w:i/>
          <w:iCs/>
        </w:rPr>
        <w:t>Falco tinnunculus</w:t>
      </w:r>
      <w:r w:rsidRPr="008A510B">
        <w:t xml:space="preserve">): </w:t>
      </w:r>
      <w:r w:rsidR="00DB2F40" w:rsidRPr="008A510B">
        <w:t xml:space="preserve">The </w:t>
      </w:r>
      <w:r w:rsidRPr="008A510B">
        <w:t xml:space="preserve">proximate control of covariation of laying date and clutch size. </w:t>
      </w:r>
      <w:proofErr w:type="spellStart"/>
      <w:r w:rsidRPr="008A510B">
        <w:t>Behaviour</w:t>
      </w:r>
      <w:proofErr w:type="spellEnd"/>
      <w:r w:rsidRPr="008A510B">
        <w:t xml:space="preserve"> 114:117-136.</w:t>
      </w:r>
    </w:p>
    <w:p w14:paraId="1ADBB4D7" w14:textId="4FD81B5E" w:rsidR="00B56746" w:rsidRPr="008A510B" w:rsidRDefault="00B56746">
      <w:pPr>
        <w:pStyle w:val="BodyText"/>
        <w:tabs>
          <w:tab w:val="left" w:pos="270"/>
        </w:tabs>
        <w:spacing w:line="480" w:lineRule="auto"/>
        <w:ind w:left="540" w:right="320" w:hanging="540"/>
      </w:pPr>
      <w:r w:rsidRPr="008A510B">
        <w:t>Monaghan, P</w:t>
      </w:r>
      <w:r w:rsidR="003A21F3" w:rsidRPr="008A510B">
        <w:t xml:space="preserve"> (2007)</w:t>
      </w:r>
      <w:r w:rsidRPr="008A510B">
        <w:t>. Early growth conditions, phenotypic development and environmental change. Philosophical Transactions of the Royal Society B: Biological Sciences 363:1635–1645.</w:t>
      </w:r>
    </w:p>
    <w:p w14:paraId="79B56382" w14:textId="309EB433" w:rsidR="00B56746" w:rsidRPr="008A510B" w:rsidRDefault="00B56746">
      <w:pPr>
        <w:pStyle w:val="BodyText"/>
        <w:tabs>
          <w:tab w:val="left" w:pos="270"/>
        </w:tabs>
        <w:spacing w:line="480" w:lineRule="auto"/>
        <w:ind w:left="540" w:right="320" w:hanging="540"/>
      </w:pPr>
      <w:r w:rsidRPr="008A510B">
        <w:t>Plummer, M</w:t>
      </w:r>
      <w:r w:rsidR="003A21F3" w:rsidRPr="008A510B">
        <w:t xml:space="preserve"> (2003)</w:t>
      </w:r>
      <w:r w:rsidRPr="008A510B">
        <w:t>. JAGS: A program for analysis of Bayesian graphical models using Gibbs sampling. Volume 124. Proceedings of the 3rd International Workshop on Distributed Statistical Computing, Vienna, Austria.</w:t>
      </w:r>
    </w:p>
    <w:p w14:paraId="3EB77667" w14:textId="5373D434" w:rsidR="00B56746" w:rsidRPr="008A510B" w:rsidRDefault="00B56746">
      <w:pPr>
        <w:pStyle w:val="BodyText"/>
        <w:tabs>
          <w:tab w:val="left" w:pos="270"/>
        </w:tabs>
        <w:spacing w:line="480" w:lineRule="auto"/>
        <w:ind w:left="540" w:right="320" w:hanging="540"/>
      </w:pPr>
      <w:proofErr w:type="spellStart"/>
      <w:r w:rsidRPr="008A510B">
        <w:lastRenderedPageBreak/>
        <w:t>Poisbleau</w:t>
      </w:r>
      <w:proofErr w:type="spellEnd"/>
      <w:r w:rsidRPr="008A510B">
        <w:t xml:space="preserve">, M., H. Fritz, M. </w:t>
      </w:r>
      <w:proofErr w:type="spellStart"/>
      <w:r w:rsidRPr="008A510B">
        <w:t>Valeix</w:t>
      </w:r>
      <w:proofErr w:type="spellEnd"/>
      <w:r w:rsidRPr="008A510B">
        <w:t xml:space="preserve">, P. Y. </w:t>
      </w:r>
      <w:proofErr w:type="spellStart"/>
      <w:r w:rsidRPr="008A510B">
        <w:t>Perroi</w:t>
      </w:r>
      <w:proofErr w:type="spellEnd"/>
      <w:r w:rsidRPr="008A510B">
        <w:t xml:space="preserve">, S. </w:t>
      </w:r>
      <w:proofErr w:type="spellStart"/>
      <w:r w:rsidRPr="008A510B">
        <w:t>Dalloyau</w:t>
      </w:r>
      <w:proofErr w:type="spellEnd"/>
      <w:r w:rsidRPr="008A510B">
        <w:t xml:space="preserve">, and M. M. </w:t>
      </w:r>
      <w:proofErr w:type="spellStart"/>
      <w:r w:rsidRPr="008A510B">
        <w:t>Lambrechts</w:t>
      </w:r>
      <w:proofErr w:type="spellEnd"/>
      <w:r w:rsidR="003A21F3" w:rsidRPr="008A510B">
        <w:t xml:space="preserve"> (2006)</w:t>
      </w:r>
      <w:r w:rsidRPr="008A510B">
        <w:t xml:space="preserve">. Social dominance correlates and family status in wintering dark-bellied brent geese, </w:t>
      </w:r>
      <w:r w:rsidRPr="008A510B">
        <w:rPr>
          <w:i/>
        </w:rPr>
        <w:t xml:space="preserve">Branta bernicla </w:t>
      </w:r>
      <w:proofErr w:type="spellStart"/>
      <w:r w:rsidRPr="008A510B">
        <w:rPr>
          <w:i/>
        </w:rPr>
        <w:t>bernicla</w:t>
      </w:r>
      <w:proofErr w:type="spellEnd"/>
      <w:r w:rsidRPr="008A510B">
        <w:t xml:space="preserve">. Animal </w:t>
      </w:r>
      <w:proofErr w:type="spellStart"/>
      <w:r w:rsidRPr="008A510B">
        <w:t>Behaviour</w:t>
      </w:r>
      <w:proofErr w:type="spellEnd"/>
      <w:r w:rsidRPr="008A510B">
        <w:t xml:space="preserve"> 71:1351–1358.</w:t>
      </w:r>
    </w:p>
    <w:p w14:paraId="5CEB2765" w14:textId="1DA0BA44" w:rsidR="0066044C" w:rsidRPr="008A510B" w:rsidRDefault="0066044C">
      <w:pPr>
        <w:pStyle w:val="BodyText"/>
        <w:tabs>
          <w:tab w:val="left" w:pos="270"/>
        </w:tabs>
        <w:spacing w:line="480" w:lineRule="auto"/>
        <w:ind w:left="540" w:right="320" w:hanging="540"/>
      </w:pPr>
      <w:r w:rsidRPr="008A510B">
        <w:t xml:space="preserve">Prop, J., Black, J. M., &amp; </w:t>
      </w:r>
      <w:proofErr w:type="spellStart"/>
      <w:r w:rsidRPr="008A510B">
        <w:t>Shimmings</w:t>
      </w:r>
      <w:proofErr w:type="spellEnd"/>
      <w:r w:rsidRPr="008A510B">
        <w:t>, P</w:t>
      </w:r>
      <w:r w:rsidR="003A21F3" w:rsidRPr="008A510B">
        <w:t xml:space="preserve"> (2003)</w:t>
      </w:r>
      <w:r w:rsidRPr="008A510B">
        <w:t>. Travel schedules to the high arctic: Barnacle geese trade‐off the timing of migration with accumulation of fat deposits. Oikos 103: 403-414.</w:t>
      </w:r>
    </w:p>
    <w:p w14:paraId="1F4610C8" w14:textId="3A168158" w:rsidR="00B56746" w:rsidRPr="008A510B" w:rsidRDefault="00B56746">
      <w:pPr>
        <w:pStyle w:val="BodyText"/>
        <w:tabs>
          <w:tab w:val="left" w:pos="270"/>
        </w:tabs>
        <w:spacing w:line="480" w:lineRule="auto"/>
        <w:ind w:left="540" w:hanging="540"/>
      </w:pPr>
      <w:r w:rsidRPr="008A510B">
        <w:t>Prop, J.</w:t>
      </w:r>
      <w:r w:rsidR="0066044C" w:rsidRPr="008A510B">
        <w:t>,</w:t>
      </w:r>
      <w:r w:rsidRPr="008A510B">
        <w:t xml:space="preserve"> and J. de Vries</w:t>
      </w:r>
      <w:r w:rsidR="003A21F3" w:rsidRPr="008A510B">
        <w:t xml:space="preserve"> (1993)</w:t>
      </w:r>
      <w:r w:rsidRPr="008A510B">
        <w:t>. Impact of snow and food conditions on the reproductive performance of barnacle geese (</w:t>
      </w:r>
      <w:r w:rsidRPr="008A510B">
        <w:rPr>
          <w:i/>
        </w:rPr>
        <w:t>Branta leucopsis</w:t>
      </w:r>
      <w:r w:rsidRPr="008A510B">
        <w:t>). Ornis Scandinavica 24:110–121.</w:t>
      </w:r>
    </w:p>
    <w:p w14:paraId="5DFE8772" w14:textId="4804EEB3" w:rsidR="00B56746" w:rsidRPr="008A510B" w:rsidRDefault="00B56746">
      <w:pPr>
        <w:pStyle w:val="BodyText"/>
        <w:tabs>
          <w:tab w:val="left" w:pos="270"/>
        </w:tabs>
        <w:spacing w:line="480" w:lineRule="auto"/>
        <w:ind w:left="540" w:right="115" w:hanging="540"/>
      </w:pPr>
      <w:r w:rsidRPr="008A510B">
        <w:t>R Core Team</w:t>
      </w:r>
      <w:r w:rsidR="003A21F3" w:rsidRPr="008A510B">
        <w:t xml:space="preserve"> (2018)</w:t>
      </w:r>
      <w:r w:rsidRPr="008A510B">
        <w:t xml:space="preserve">. R: </w:t>
      </w:r>
      <w:r w:rsidR="00DB2F40" w:rsidRPr="008A510B">
        <w:t xml:space="preserve">A </w:t>
      </w:r>
      <w:r w:rsidRPr="008A510B">
        <w:t xml:space="preserve">Language and Environment for Statistical Computing. R Foundation for Statistical Computing, Vienna, Austria. URL </w:t>
      </w:r>
      <w:hyperlink r:id="rId10">
        <w:r w:rsidRPr="008A510B">
          <w:t>https://www.R-project.org/</w:t>
        </w:r>
      </w:hyperlink>
      <w:r w:rsidRPr="00C63ABB">
        <w:t>.</w:t>
      </w:r>
    </w:p>
    <w:p w14:paraId="089F0280" w14:textId="004628B7" w:rsidR="00B56746" w:rsidRPr="008A510B" w:rsidRDefault="00B56746">
      <w:pPr>
        <w:pStyle w:val="BodyText"/>
        <w:tabs>
          <w:tab w:val="left" w:pos="270"/>
        </w:tabs>
        <w:spacing w:line="480" w:lineRule="auto"/>
        <w:ind w:left="540" w:right="115" w:hanging="540"/>
      </w:pPr>
      <w:r w:rsidRPr="008A510B">
        <w:t>Raveling, D. G</w:t>
      </w:r>
      <w:r w:rsidR="003A21F3" w:rsidRPr="008A510B">
        <w:t xml:space="preserve"> (1970)</w:t>
      </w:r>
      <w:r w:rsidRPr="008A510B">
        <w:t xml:space="preserve">. Dominance relationships and agonistic </w:t>
      </w:r>
      <w:proofErr w:type="spellStart"/>
      <w:r w:rsidRPr="008A510B">
        <w:t>behavio</w:t>
      </w:r>
      <w:r w:rsidR="00C84A6B" w:rsidRPr="008A510B">
        <w:t>u</w:t>
      </w:r>
      <w:r w:rsidRPr="008A510B">
        <w:t>r</w:t>
      </w:r>
      <w:proofErr w:type="spellEnd"/>
      <w:r w:rsidRPr="008A510B">
        <w:t xml:space="preserve"> of Canada geese in winter. </w:t>
      </w:r>
      <w:proofErr w:type="spellStart"/>
      <w:r w:rsidRPr="008A510B">
        <w:t>Behaviour</w:t>
      </w:r>
      <w:proofErr w:type="spellEnd"/>
      <w:r w:rsidRPr="008A510B">
        <w:t xml:space="preserve"> 37:291–319.</w:t>
      </w:r>
    </w:p>
    <w:p w14:paraId="2D855BE2" w14:textId="47BA16A7" w:rsidR="0066044C" w:rsidRPr="008A510B" w:rsidRDefault="0066044C">
      <w:pPr>
        <w:pStyle w:val="BodyText"/>
        <w:tabs>
          <w:tab w:val="left" w:pos="270"/>
        </w:tabs>
        <w:spacing w:line="480" w:lineRule="auto"/>
        <w:ind w:left="540" w:right="115" w:hanging="540"/>
      </w:pPr>
      <w:r w:rsidRPr="008A510B">
        <w:t>Riecke, T. V</w:t>
      </w:r>
      <w:r w:rsidR="003A21F3" w:rsidRPr="008A510B">
        <w:t xml:space="preserve"> (2020)</w:t>
      </w:r>
      <w:r w:rsidRPr="008A510B">
        <w:t xml:space="preserve">. Perturbations and heterogeneity: </w:t>
      </w:r>
      <w:r w:rsidR="00DB2F40" w:rsidRPr="008A510B">
        <w:t>E</w:t>
      </w:r>
      <w:r w:rsidR="00733671" w:rsidRPr="008A510B">
        <w:t xml:space="preserve">stimating </w:t>
      </w:r>
      <w:r w:rsidRPr="008A510B">
        <w:t>demographic rates of brant in western Alaska. Doctoral dissertation, University of Nevada, Reno.</w:t>
      </w:r>
    </w:p>
    <w:p w14:paraId="572F930F" w14:textId="33879DE4" w:rsidR="00B56746" w:rsidRPr="008A510B" w:rsidRDefault="00B56746">
      <w:pPr>
        <w:pStyle w:val="BodyText"/>
        <w:tabs>
          <w:tab w:val="left" w:pos="270"/>
        </w:tabs>
        <w:spacing w:line="480" w:lineRule="auto"/>
        <w:ind w:left="540" w:right="226" w:hanging="540"/>
      </w:pPr>
      <w:r w:rsidRPr="008A510B">
        <w:t>Riecke, T. V., A. G. Leach, D. Gibson, and J. S. Sedinger</w:t>
      </w:r>
      <w:r w:rsidR="003A21F3" w:rsidRPr="008A510B">
        <w:t xml:space="preserve"> (2020)</w:t>
      </w:r>
      <w:r w:rsidRPr="008A510B">
        <w:t>. Parameterizing the robust design in the bugs language:</w:t>
      </w:r>
      <w:r w:rsidR="00DB2F40" w:rsidRPr="008A510B">
        <w:t xml:space="preserve"> L</w:t>
      </w:r>
      <w:r w:rsidRPr="008A510B">
        <w:t>ifetime carry-over effects of environmental conditions during growth on a long-lived bird. Methods in Ecology and Evolution 9:2294–2305.</w:t>
      </w:r>
    </w:p>
    <w:p w14:paraId="572986E1" w14:textId="74C1123C" w:rsidR="00B56746" w:rsidRPr="008A510B" w:rsidRDefault="00B56746">
      <w:pPr>
        <w:pStyle w:val="BodyText"/>
        <w:tabs>
          <w:tab w:val="left" w:pos="270"/>
        </w:tabs>
        <w:spacing w:line="480" w:lineRule="auto"/>
        <w:ind w:left="540" w:right="320" w:hanging="540"/>
      </w:pPr>
      <w:r w:rsidRPr="008A510B">
        <w:t xml:space="preserve">Rotella, J. J., W. A. Link, T. </w:t>
      </w:r>
      <w:proofErr w:type="spellStart"/>
      <w:r w:rsidRPr="008A510B">
        <w:t>Chambert</w:t>
      </w:r>
      <w:proofErr w:type="spellEnd"/>
      <w:r w:rsidRPr="008A510B">
        <w:t xml:space="preserve">, G. E. Stauffer, and R. A. </w:t>
      </w:r>
      <w:proofErr w:type="spellStart"/>
      <w:r w:rsidRPr="008A510B">
        <w:t>Garrott</w:t>
      </w:r>
      <w:proofErr w:type="spellEnd"/>
      <w:r w:rsidR="003A21F3" w:rsidRPr="008A510B">
        <w:t xml:space="preserve"> (2012)</w:t>
      </w:r>
      <w:r w:rsidRPr="008A510B">
        <w:t>. Evaluating the demographic buffering hypothesis with vital rates estimated for Weddell seals from 30 years of mark–recapture data. Journal of Animal Ecology 81:162–173.</w:t>
      </w:r>
    </w:p>
    <w:p w14:paraId="6F285D2C" w14:textId="2DE582E8" w:rsidR="00B56746" w:rsidRPr="008A510B" w:rsidRDefault="00B56746">
      <w:pPr>
        <w:pStyle w:val="BodyText"/>
        <w:tabs>
          <w:tab w:val="left" w:pos="270"/>
        </w:tabs>
        <w:spacing w:line="480" w:lineRule="auto"/>
        <w:ind w:left="540" w:hanging="540"/>
      </w:pPr>
      <w:r w:rsidRPr="008A510B">
        <w:t>Rowe, L., D. Ludwig, and D. Schluter</w:t>
      </w:r>
      <w:r w:rsidR="003A21F3" w:rsidRPr="008A510B">
        <w:t xml:space="preserve"> (1994)</w:t>
      </w:r>
      <w:r w:rsidRPr="008A510B">
        <w:t>. Time, condition, and the seasonal decline of avian clutch size. The American Naturalist 143:698–722.</w:t>
      </w:r>
    </w:p>
    <w:p w14:paraId="7A8B4F5A" w14:textId="01C3142F" w:rsidR="00B56746" w:rsidRPr="008A510B" w:rsidRDefault="00B56746">
      <w:pPr>
        <w:pStyle w:val="BodyText"/>
        <w:tabs>
          <w:tab w:val="left" w:pos="270"/>
        </w:tabs>
        <w:spacing w:line="480" w:lineRule="auto"/>
        <w:ind w:left="540" w:hanging="540"/>
      </w:pPr>
      <w:r w:rsidRPr="008A510B">
        <w:t>Santos, E. S. A., and S. Nakagawa</w:t>
      </w:r>
      <w:r w:rsidR="003A21F3" w:rsidRPr="008A510B">
        <w:t xml:space="preserve"> (2012)</w:t>
      </w:r>
      <w:r w:rsidRPr="008A510B">
        <w:t xml:space="preserve">. The costs of parental care: </w:t>
      </w:r>
      <w:r w:rsidR="00DB2F40" w:rsidRPr="008A510B">
        <w:t xml:space="preserve">A </w:t>
      </w:r>
      <w:r w:rsidRPr="008A510B">
        <w:t xml:space="preserve">meta‐analysis of the </w:t>
      </w:r>
      <w:r w:rsidRPr="008A510B">
        <w:lastRenderedPageBreak/>
        <w:t>trade‐off between parental effort and survival in birds. Journal of Evolutionary Biology 25:1911-1917.</w:t>
      </w:r>
    </w:p>
    <w:p w14:paraId="4D701EF7" w14:textId="33E9FFB4" w:rsidR="00B56746" w:rsidRPr="008A510B" w:rsidRDefault="00B56746">
      <w:pPr>
        <w:pStyle w:val="BodyText"/>
        <w:tabs>
          <w:tab w:val="left" w:pos="270"/>
        </w:tabs>
        <w:spacing w:line="480" w:lineRule="auto"/>
        <w:ind w:left="540" w:hanging="540"/>
      </w:pPr>
      <w:proofErr w:type="spellStart"/>
      <w:r w:rsidRPr="008A510B">
        <w:t>Sæther</w:t>
      </w:r>
      <w:proofErr w:type="spellEnd"/>
      <w:r w:rsidRPr="008A510B">
        <w:t>, B.-E. and Ø. Bakke</w:t>
      </w:r>
      <w:r w:rsidR="003A21F3" w:rsidRPr="008A510B">
        <w:t xml:space="preserve"> (2000)</w:t>
      </w:r>
      <w:r w:rsidRPr="008A510B">
        <w:t>. Avian life history variation and contribution of demographic traits to the population growth rate. Ecology 81:642–653.</w:t>
      </w:r>
    </w:p>
    <w:p w14:paraId="6160B987" w14:textId="263205BE" w:rsidR="00B56746" w:rsidRPr="008A510B" w:rsidRDefault="00B56746">
      <w:pPr>
        <w:pStyle w:val="BodyText"/>
        <w:tabs>
          <w:tab w:val="left" w:pos="270"/>
        </w:tabs>
        <w:spacing w:line="480" w:lineRule="auto"/>
        <w:ind w:left="540" w:right="320" w:hanging="540"/>
      </w:pPr>
      <w:r w:rsidRPr="008A510B">
        <w:t>Schmutz, J. A., K. A. Hobson, and J. A. Morse</w:t>
      </w:r>
      <w:r w:rsidR="003A21F3" w:rsidRPr="008A510B">
        <w:t xml:space="preserve"> (2006)</w:t>
      </w:r>
      <w:r w:rsidRPr="008A510B">
        <w:t xml:space="preserve">. An isotopic assessment of protein from diet and endogenous stores: </w:t>
      </w:r>
      <w:r w:rsidR="00DB2F40" w:rsidRPr="008A510B">
        <w:t xml:space="preserve">Effects </w:t>
      </w:r>
      <w:r w:rsidRPr="008A510B">
        <w:t xml:space="preserve">on egg production and incubation </w:t>
      </w:r>
      <w:proofErr w:type="spellStart"/>
      <w:r w:rsidRPr="008A510B">
        <w:t>behaviour</w:t>
      </w:r>
      <w:proofErr w:type="spellEnd"/>
      <w:r w:rsidRPr="008A510B">
        <w:t xml:space="preserve"> of geese. Ardea 94:385.</w:t>
      </w:r>
    </w:p>
    <w:p w14:paraId="56BA5B0A" w14:textId="681300F2" w:rsidR="00B56746" w:rsidRPr="008A510B" w:rsidRDefault="00B56746">
      <w:pPr>
        <w:pStyle w:val="BodyText"/>
        <w:tabs>
          <w:tab w:val="left" w:pos="270"/>
        </w:tabs>
        <w:spacing w:line="480" w:lineRule="auto"/>
        <w:ind w:left="540" w:right="391" w:hanging="540"/>
      </w:pPr>
      <w:r w:rsidRPr="008A510B">
        <w:t>Schmutz, J. A., R. F. Rockwell, and M. R. Petersen</w:t>
      </w:r>
      <w:r w:rsidR="003A21F3" w:rsidRPr="008A510B">
        <w:t xml:space="preserve"> (1997)</w:t>
      </w:r>
      <w:r w:rsidRPr="008A510B">
        <w:t>.  Relative effects of survival and reproduction on the population dynamics of emperor geese. Journal of Wildlife Management 61:191–201.</w:t>
      </w:r>
    </w:p>
    <w:p w14:paraId="46437728" w14:textId="050C1D59" w:rsidR="00B56746" w:rsidRPr="008A510B" w:rsidRDefault="00B56746">
      <w:pPr>
        <w:pStyle w:val="BodyText"/>
        <w:tabs>
          <w:tab w:val="left" w:pos="270"/>
        </w:tabs>
        <w:spacing w:line="480" w:lineRule="auto"/>
        <w:ind w:left="540" w:right="391" w:hanging="540"/>
      </w:pPr>
      <w:r w:rsidRPr="008A510B">
        <w:t xml:space="preserve">Sedinger, J. S., and N. D. </w:t>
      </w:r>
      <w:proofErr w:type="spellStart"/>
      <w:r w:rsidRPr="008A510B">
        <w:t>Chelgren</w:t>
      </w:r>
      <w:proofErr w:type="spellEnd"/>
      <w:r w:rsidR="003A21F3" w:rsidRPr="008A510B">
        <w:t xml:space="preserve"> (2007)</w:t>
      </w:r>
      <w:r w:rsidRPr="008A510B">
        <w:t>. Survival and breeding advantages of larger black brant (</w:t>
      </w:r>
      <w:r w:rsidRPr="008A510B">
        <w:rPr>
          <w:i/>
        </w:rPr>
        <w:t>Branta bernicla nigricans</w:t>
      </w:r>
      <w:r w:rsidRPr="008A510B">
        <w:t xml:space="preserve">) goslings: </w:t>
      </w:r>
      <w:r w:rsidR="00DB2F40" w:rsidRPr="008A510B">
        <w:t>Within</w:t>
      </w:r>
      <w:r w:rsidRPr="008A510B">
        <w:t>-</w:t>
      </w:r>
      <w:r w:rsidR="00DB2F40" w:rsidRPr="008A510B">
        <w:t xml:space="preserve"> </w:t>
      </w:r>
      <w:r w:rsidRPr="008A510B">
        <w:t>and among-cohort variation. Auk 124:1281–1293.</w:t>
      </w:r>
    </w:p>
    <w:p w14:paraId="253F2248" w14:textId="3CCE986E" w:rsidR="00B56746" w:rsidRPr="008A510B" w:rsidRDefault="00B56746">
      <w:pPr>
        <w:pStyle w:val="BodyText"/>
        <w:tabs>
          <w:tab w:val="left" w:pos="270"/>
        </w:tabs>
        <w:spacing w:line="480" w:lineRule="auto"/>
        <w:ind w:left="540" w:right="320" w:hanging="540"/>
      </w:pPr>
      <w:r w:rsidRPr="008A510B">
        <w:t xml:space="preserve">Sedinger, J. S., N. D. </w:t>
      </w:r>
      <w:proofErr w:type="spellStart"/>
      <w:r w:rsidRPr="008A510B">
        <w:t>Chelgren</w:t>
      </w:r>
      <w:proofErr w:type="spellEnd"/>
      <w:r w:rsidRPr="008A510B">
        <w:t>, D. H. Ward, and M. S. Lindberg</w:t>
      </w:r>
      <w:r w:rsidR="003A21F3" w:rsidRPr="008A510B">
        <w:t xml:space="preserve"> (2008)</w:t>
      </w:r>
      <w:r w:rsidRPr="008A510B">
        <w:t xml:space="preserve">. Fidelity and breeding probability related to population density and individual quality in black brent geese </w:t>
      </w:r>
      <w:r w:rsidRPr="008A510B">
        <w:rPr>
          <w:i/>
          <w:iCs/>
        </w:rPr>
        <w:t>Branta bernicla nigricans</w:t>
      </w:r>
      <w:r w:rsidRPr="008A510B">
        <w:t>. Journal of Animal Ecology, 77:702-712.</w:t>
      </w:r>
    </w:p>
    <w:p w14:paraId="0212FB74" w14:textId="7C8A8B71" w:rsidR="00B56746" w:rsidRPr="008A510B" w:rsidRDefault="00B56746">
      <w:pPr>
        <w:pStyle w:val="BodyText"/>
        <w:tabs>
          <w:tab w:val="left" w:pos="270"/>
        </w:tabs>
        <w:spacing w:line="480" w:lineRule="auto"/>
        <w:ind w:left="540" w:right="320" w:hanging="540"/>
      </w:pPr>
      <w:r w:rsidRPr="008A510B">
        <w:t>Sedinger, J. S., M. W. Eichholz, and P. L. Flint</w:t>
      </w:r>
      <w:r w:rsidR="003A21F3" w:rsidRPr="008A510B">
        <w:t xml:space="preserve"> (1995</w:t>
      </w:r>
      <w:r w:rsidR="003A21F3" w:rsidRPr="008A510B">
        <w:rPr>
          <w:i/>
          <w:iCs/>
        </w:rPr>
        <w:t>b</w:t>
      </w:r>
      <w:r w:rsidR="003A21F3" w:rsidRPr="008A510B">
        <w:t>)</w:t>
      </w:r>
      <w:r w:rsidRPr="008A510B">
        <w:t xml:space="preserve">. Variation in brood behavior of </w:t>
      </w:r>
      <w:r w:rsidR="00733671" w:rsidRPr="008A510B">
        <w:t>black brant</w:t>
      </w:r>
      <w:r w:rsidRPr="008A510B">
        <w:t>. Condor 97:107–115.</w:t>
      </w:r>
    </w:p>
    <w:p w14:paraId="2D4535B5" w14:textId="6A145C7E" w:rsidR="00B56746" w:rsidRPr="008A510B" w:rsidRDefault="00B56746">
      <w:pPr>
        <w:pStyle w:val="BodyText"/>
        <w:tabs>
          <w:tab w:val="left" w:pos="270"/>
        </w:tabs>
        <w:spacing w:line="480" w:lineRule="auto"/>
        <w:ind w:left="540" w:right="320" w:hanging="540"/>
      </w:pPr>
      <w:r w:rsidRPr="008A510B">
        <w:t>Sedinger, J. S. and P. L. Flint</w:t>
      </w:r>
      <w:r w:rsidR="003A21F3" w:rsidRPr="008A510B">
        <w:t xml:space="preserve"> (1991)</w:t>
      </w:r>
      <w:r w:rsidRPr="008A510B">
        <w:t>. Growth rate is negatively correlated with hatch date in black brant. Ecology 72:496–502.</w:t>
      </w:r>
    </w:p>
    <w:p w14:paraId="532A2CCF" w14:textId="192FBE99" w:rsidR="00B56746" w:rsidRPr="008A510B" w:rsidRDefault="00B56746">
      <w:pPr>
        <w:pStyle w:val="BodyText"/>
        <w:tabs>
          <w:tab w:val="left" w:pos="270"/>
        </w:tabs>
        <w:spacing w:line="480" w:lineRule="auto"/>
        <w:ind w:left="540" w:hanging="540"/>
      </w:pPr>
      <w:r w:rsidRPr="008A510B">
        <w:t>Sedinger, J. S., P. L. Flint, and M. S. Lindberg</w:t>
      </w:r>
      <w:r w:rsidR="003A21F3" w:rsidRPr="008A510B">
        <w:t xml:space="preserve"> (1995</w:t>
      </w:r>
      <w:r w:rsidR="003A21F3" w:rsidRPr="008A510B">
        <w:rPr>
          <w:i/>
          <w:iCs/>
        </w:rPr>
        <w:t>a</w:t>
      </w:r>
      <w:r w:rsidR="003A21F3" w:rsidRPr="008A510B">
        <w:t>)</w:t>
      </w:r>
      <w:r w:rsidRPr="008A510B">
        <w:t xml:space="preserve">. Environmental influence on life- history traits: </w:t>
      </w:r>
      <w:r w:rsidR="00DB2F40" w:rsidRPr="008A510B">
        <w:t>Growth</w:t>
      </w:r>
      <w:r w:rsidRPr="008A510B">
        <w:t>, survival, and fecundity in black brant (</w:t>
      </w:r>
      <w:r w:rsidRPr="008A510B">
        <w:rPr>
          <w:i/>
        </w:rPr>
        <w:t>Branta bernicla</w:t>
      </w:r>
      <w:r w:rsidRPr="008A510B">
        <w:t>). Ecology 76:2404–2414.</w:t>
      </w:r>
    </w:p>
    <w:p w14:paraId="1405D9B1" w14:textId="57AFB6B7" w:rsidR="00B56746" w:rsidRPr="008A510B" w:rsidRDefault="00B56746">
      <w:pPr>
        <w:pStyle w:val="BodyText"/>
        <w:tabs>
          <w:tab w:val="left" w:pos="270"/>
        </w:tabs>
        <w:spacing w:line="480" w:lineRule="auto"/>
        <w:ind w:left="540" w:right="391" w:hanging="540"/>
      </w:pPr>
      <w:r w:rsidRPr="008A510B">
        <w:lastRenderedPageBreak/>
        <w:t>Sedinger, J. S., M. P. Herzog, and D. H. Ward</w:t>
      </w:r>
      <w:r w:rsidR="003A21F3" w:rsidRPr="008A510B">
        <w:t xml:space="preserve"> (2004)</w:t>
      </w:r>
      <w:r w:rsidRPr="008A510B">
        <w:t>.  Early environment and recruitment of black brant (</w:t>
      </w:r>
      <w:r w:rsidRPr="008A510B">
        <w:rPr>
          <w:i/>
        </w:rPr>
        <w:t>Branta bernicla nigricans</w:t>
      </w:r>
      <w:r w:rsidRPr="008A510B">
        <w:t>) into the breeding population. Auk 121:68–73.</w:t>
      </w:r>
    </w:p>
    <w:p w14:paraId="3F7D22A2" w14:textId="5DC9B145" w:rsidR="00B56746" w:rsidRPr="008A510B" w:rsidRDefault="00B56746">
      <w:pPr>
        <w:pStyle w:val="BodyText"/>
        <w:tabs>
          <w:tab w:val="left" w:pos="270"/>
        </w:tabs>
        <w:spacing w:line="480" w:lineRule="auto"/>
        <w:ind w:left="540" w:right="391" w:hanging="540"/>
      </w:pPr>
      <w:r w:rsidRPr="008A510B">
        <w:t xml:space="preserve">Sedinger, J. S., C. J. </w:t>
      </w:r>
      <w:proofErr w:type="spellStart"/>
      <w:r w:rsidRPr="008A510B">
        <w:t>Lensink</w:t>
      </w:r>
      <w:proofErr w:type="spellEnd"/>
      <w:r w:rsidRPr="008A510B">
        <w:t xml:space="preserve">, D. H. Ward, M. Anthony, M. L. </w:t>
      </w:r>
      <w:proofErr w:type="spellStart"/>
      <w:r w:rsidRPr="008A510B">
        <w:t>Wege</w:t>
      </w:r>
      <w:proofErr w:type="spellEnd"/>
      <w:r w:rsidRPr="008A510B">
        <w:t>, and G. V. Byrd</w:t>
      </w:r>
      <w:r w:rsidR="003A21F3" w:rsidRPr="008A510B">
        <w:t xml:space="preserve"> (1993)</w:t>
      </w:r>
      <w:r w:rsidRPr="008A510B">
        <w:t xml:space="preserve">. Current status and recent dynamics of the </w:t>
      </w:r>
      <w:r w:rsidR="00733671" w:rsidRPr="008A510B">
        <w:t xml:space="preserve">black brant </w:t>
      </w:r>
      <w:r w:rsidRPr="008A510B">
        <w:t>(</w:t>
      </w:r>
      <w:r w:rsidRPr="008A510B">
        <w:rPr>
          <w:i/>
        </w:rPr>
        <w:t>Branta bernicla</w:t>
      </w:r>
      <w:r w:rsidRPr="008A510B">
        <w:t>) breeding population. Wildfowl 44:49–59.</w:t>
      </w:r>
    </w:p>
    <w:p w14:paraId="3EA677B2" w14:textId="00574157" w:rsidR="00B56746" w:rsidRPr="008A510B" w:rsidRDefault="00B56746">
      <w:pPr>
        <w:pStyle w:val="BodyText"/>
        <w:tabs>
          <w:tab w:val="left" w:pos="270"/>
        </w:tabs>
        <w:spacing w:line="480" w:lineRule="auto"/>
        <w:ind w:left="540" w:right="391" w:hanging="540"/>
      </w:pPr>
      <w:r w:rsidRPr="008A510B">
        <w:t xml:space="preserve">Sedinger, J. S., M. S. Lindberg and N. D. </w:t>
      </w:r>
      <w:proofErr w:type="spellStart"/>
      <w:r w:rsidRPr="008A510B">
        <w:t>Chelgren</w:t>
      </w:r>
      <w:proofErr w:type="spellEnd"/>
      <w:r w:rsidR="003A21F3" w:rsidRPr="008A510B">
        <w:t xml:space="preserve"> (2001)</w:t>
      </w:r>
      <w:r w:rsidRPr="008A510B">
        <w:t xml:space="preserve">.  Age-specific breeding probability in black brant: </w:t>
      </w:r>
      <w:r w:rsidR="00DB2F40" w:rsidRPr="008A510B">
        <w:t xml:space="preserve">Effects </w:t>
      </w:r>
      <w:r w:rsidRPr="008A510B">
        <w:t>of population density. Journal of Animal Ecology 70:798-807.</w:t>
      </w:r>
    </w:p>
    <w:p w14:paraId="134AAF26" w14:textId="2E7268FE" w:rsidR="00B56746" w:rsidRPr="008A510B" w:rsidRDefault="00B56746">
      <w:pPr>
        <w:pStyle w:val="BodyText"/>
        <w:tabs>
          <w:tab w:val="left" w:pos="270"/>
        </w:tabs>
        <w:spacing w:line="480" w:lineRule="auto"/>
        <w:ind w:left="540" w:hanging="540"/>
      </w:pPr>
      <w:r w:rsidRPr="008A510B">
        <w:t xml:space="preserve">Sedinger, J. S., M. S. Lindberg, E. A. </w:t>
      </w:r>
      <w:proofErr w:type="spellStart"/>
      <w:r w:rsidRPr="008A510B">
        <w:t>Rexstad</w:t>
      </w:r>
      <w:proofErr w:type="spellEnd"/>
      <w:r w:rsidRPr="008A510B">
        <w:t xml:space="preserve">, N. D. </w:t>
      </w:r>
      <w:proofErr w:type="spellStart"/>
      <w:r w:rsidRPr="008A510B">
        <w:t>Chelgren</w:t>
      </w:r>
      <w:proofErr w:type="spellEnd"/>
      <w:r w:rsidRPr="008A510B">
        <w:t>, and D. H. Ward</w:t>
      </w:r>
      <w:r w:rsidR="003A21F3" w:rsidRPr="008A510B">
        <w:t xml:space="preserve"> (1997)</w:t>
      </w:r>
      <w:r w:rsidRPr="008A510B">
        <w:t>. Testing for handling bias in survival estimation for black brant. Journal of Wildlife Management 61:782–791.</w:t>
      </w:r>
    </w:p>
    <w:p w14:paraId="332E0339" w14:textId="7632AF90" w:rsidR="00B56746" w:rsidRPr="008A510B" w:rsidRDefault="00B56746">
      <w:pPr>
        <w:pStyle w:val="BodyText"/>
        <w:tabs>
          <w:tab w:val="left" w:pos="270"/>
        </w:tabs>
        <w:spacing w:line="480" w:lineRule="auto"/>
        <w:ind w:left="540" w:hanging="540"/>
      </w:pPr>
      <w:r w:rsidRPr="008A510B">
        <w:t>Sedinger, J. S., C. A. Nicolai, A. W. VanDellen, A. G. Leach, H. M. Wilson, and R. M. Anthony</w:t>
      </w:r>
      <w:r w:rsidR="003A21F3" w:rsidRPr="008A510B">
        <w:t xml:space="preserve"> (2016)</w:t>
      </w:r>
      <w:r w:rsidRPr="008A510B">
        <w:t>. Predation and reduced grazing interact to reduce recruitment and population growth in black brant. Condor 118:433–444.</w:t>
      </w:r>
    </w:p>
    <w:p w14:paraId="073E60F3" w14:textId="118626FE" w:rsidR="00B56746" w:rsidRPr="008A510B" w:rsidRDefault="00B56746">
      <w:pPr>
        <w:pStyle w:val="BodyText"/>
        <w:tabs>
          <w:tab w:val="left" w:pos="270"/>
        </w:tabs>
        <w:spacing w:line="480" w:lineRule="auto"/>
        <w:ind w:left="540" w:hanging="540"/>
        <w:rPr>
          <w:color w:val="000000"/>
        </w:rPr>
      </w:pPr>
      <w:r w:rsidRPr="008A510B">
        <w:rPr>
          <w:color w:val="000000"/>
        </w:rPr>
        <w:t>Sedinger, J. S., J. L. Schamber, D. H. Ward, C. A. Nicolai, and B. Conant</w:t>
      </w:r>
      <w:r w:rsidR="003A21F3" w:rsidRPr="008A510B">
        <w:rPr>
          <w:color w:val="000000"/>
        </w:rPr>
        <w:t xml:space="preserve"> (2011)</w:t>
      </w:r>
      <w:r w:rsidRPr="008A510B">
        <w:rPr>
          <w:color w:val="000000"/>
        </w:rPr>
        <w:t>. Carryover effects associated with winter location affect fitness, social status, and population dynamics in a long distance migrant. American Naturalist 178:E110-E123.</w:t>
      </w:r>
    </w:p>
    <w:p w14:paraId="7F1A0970" w14:textId="2EE52248" w:rsidR="00B56746" w:rsidRPr="008A510B" w:rsidRDefault="00B56746">
      <w:pPr>
        <w:pStyle w:val="BodyText"/>
        <w:tabs>
          <w:tab w:val="left" w:pos="270"/>
        </w:tabs>
        <w:spacing w:line="480" w:lineRule="auto"/>
        <w:ind w:left="540" w:hanging="540"/>
        <w:rPr>
          <w:color w:val="000000"/>
        </w:rPr>
      </w:pPr>
      <w:r w:rsidRPr="008A510B">
        <w:rPr>
          <w:color w:val="000000"/>
        </w:rPr>
        <w:t>Sedinger, J. S., A. W. VanDellen, A. G. Leach, and T. V. Riecke</w:t>
      </w:r>
      <w:r w:rsidR="003A21F3" w:rsidRPr="008A510B">
        <w:rPr>
          <w:color w:val="000000"/>
        </w:rPr>
        <w:t xml:space="preserve"> (2017)</w:t>
      </w:r>
      <w:r w:rsidRPr="008A510B">
        <w:rPr>
          <w:color w:val="000000"/>
        </w:rPr>
        <w:t xml:space="preserve">. Ultimate regulation of fecundity in species with precocial young: </w:t>
      </w:r>
      <w:r w:rsidR="00DB2F40" w:rsidRPr="008A510B">
        <w:rPr>
          <w:color w:val="000000"/>
        </w:rPr>
        <w:t>D</w:t>
      </w:r>
      <w:r w:rsidRPr="008A510B">
        <w:rPr>
          <w:color w:val="000000"/>
        </w:rPr>
        <w:t>eclining marginal value of offspring with increasing brood size does not explain maximal clutch size in black brent geese. Oecologia, 183: 431-440.</w:t>
      </w:r>
    </w:p>
    <w:p w14:paraId="24E9129D" w14:textId="2760EFC3" w:rsidR="00B56746" w:rsidRPr="008A510B" w:rsidRDefault="00B56746">
      <w:pPr>
        <w:pStyle w:val="BodyText"/>
        <w:tabs>
          <w:tab w:val="left" w:pos="270"/>
        </w:tabs>
        <w:spacing w:line="480" w:lineRule="auto"/>
        <w:ind w:left="540" w:hanging="540"/>
      </w:pPr>
      <w:r w:rsidRPr="008A510B">
        <w:t xml:space="preserve">Sheldon, B. C., L. E. B. </w:t>
      </w:r>
      <w:proofErr w:type="spellStart"/>
      <w:r w:rsidRPr="008A510B">
        <w:t>Kruuk</w:t>
      </w:r>
      <w:proofErr w:type="spellEnd"/>
      <w:r w:rsidRPr="008A510B">
        <w:t xml:space="preserve">, and J. </w:t>
      </w:r>
      <w:proofErr w:type="spellStart"/>
      <w:r w:rsidRPr="008A510B">
        <w:t>Merila</w:t>
      </w:r>
      <w:proofErr w:type="spellEnd"/>
      <w:r w:rsidR="003A21F3" w:rsidRPr="008A510B">
        <w:t xml:space="preserve"> (2003)</w:t>
      </w:r>
      <w:r w:rsidRPr="008A510B">
        <w:t>. Natural selection and inheritance of breeding time and clutch size in the collared flycatcher. Evolution 57:406-420.</w:t>
      </w:r>
    </w:p>
    <w:p w14:paraId="1C7BCD81" w14:textId="4CDAC9E1" w:rsidR="00B56746" w:rsidRPr="008A510B" w:rsidRDefault="00B56746">
      <w:pPr>
        <w:pStyle w:val="BodyText"/>
        <w:tabs>
          <w:tab w:val="left" w:pos="270"/>
        </w:tabs>
        <w:spacing w:line="480" w:lineRule="auto"/>
        <w:ind w:left="540" w:right="320" w:hanging="540"/>
      </w:pPr>
      <w:proofErr w:type="spellStart"/>
      <w:r w:rsidRPr="008A510B">
        <w:lastRenderedPageBreak/>
        <w:t>Sinervo</w:t>
      </w:r>
      <w:proofErr w:type="spellEnd"/>
      <w:r w:rsidRPr="008A510B">
        <w:t xml:space="preserve">, B., and E. </w:t>
      </w:r>
      <w:proofErr w:type="spellStart"/>
      <w:r w:rsidRPr="008A510B">
        <w:t>Svensson</w:t>
      </w:r>
      <w:proofErr w:type="spellEnd"/>
      <w:r w:rsidR="003A21F3" w:rsidRPr="008A510B">
        <w:t xml:space="preserve"> (1998)</w:t>
      </w:r>
      <w:r w:rsidRPr="008A510B">
        <w:t>. Mechanistic and selective causes of life history trade-offs and plasticity. Oikos 83:432–442.</w:t>
      </w:r>
    </w:p>
    <w:p w14:paraId="59D1A864" w14:textId="007FA5DE" w:rsidR="009B2EC1" w:rsidRPr="008A510B" w:rsidRDefault="009B2EC1">
      <w:pPr>
        <w:pStyle w:val="BodyText"/>
        <w:tabs>
          <w:tab w:val="left" w:pos="270"/>
        </w:tabs>
        <w:spacing w:line="480" w:lineRule="auto"/>
        <w:ind w:left="540" w:right="320" w:hanging="540"/>
      </w:pPr>
      <w:r w:rsidRPr="008A510B">
        <w:t>Stearns, S. C</w:t>
      </w:r>
      <w:r w:rsidR="003A21F3" w:rsidRPr="008A510B">
        <w:t xml:space="preserve"> (1992)</w:t>
      </w:r>
      <w:r w:rsidRPr="008A510B">
        <w:t>. The evolution of life histories. Oxford University Press, Oxford, UK.</w:t>
      </w:r>
    </w:p>
    <w:p w14:paraId="548797BE" w14:textId="08B56CC7" w:rsidR="00B56746" w:rsidRPr="008A510B" w:rsidRDefault="00B56746" w:rsidP="00692F65">
      <w:pPr>
        <w:pStyle w:val="BodyText"/>
        <w:tabs>
          <w:tab w:val="left" w:pos="270"/>
        </w:tabs>
        <w:spacing w:line="480" w:lineRule="auto"/>
        <w:ind w:left="540" w:right="454" w:hanging="540"/>
      </w:pPr>
      <w:r w:rsidRPr="008A510B">
        <w:t>Van Noordwijk, A. J., and G. de Jong</w:t>
      </w:r>
      <w:r w:rsidR="003A21F3" w:rsidRPr="008A510B">
        <w:t xml:space="preserve"> (1986)</w:t>
      </w:r>
      <w:r w:rsidRPr="008A510B">
        <w:t xml:space="preserve">. Acquisition and allocation of resources: </w:t>
      </w:r>
      <w:r w:rsidR="00DB2F40" w:rsidRPr="008A510B">
        <w:t>T</w:t>
      </w:r>
      <w:r w:rsidRPr="008A510B">
        <w:t>heir influence on variation in life history tactics.</w:t>
      </w:r>
      <w:r w:rsidRPr="008A510B">
        <w:rPr>
          <w:iCs/>
        </w:rPr>
        <w:t xml:space="preserve"> American Naturalist</w:t>
      </w:r>
      <w:r w:rsidRPr="008A510B">
        <w:t> 128:137-142.</w:t>
      </w:r>
    </w:p>
    <w:p w14:paraId="70D5319B" w14:textId="24773504" w:rsidR="00B56746" w:rsidRPr="008A510B" w:rsidRDefault="00B56746" w:rsidP="00C63ABB">
      <w:pPr>
        <w:pStyle w:val="BodyText"/>
        <w:tabs>
          <w:tab w:val="left" w:pos="270"/>
        </w:tabs>
        <w:spacing w:line="480" w:lineRule="auto"/>
        <w:ind w:left="540" w:right="320" w:hanging="540"/>
      </w:pPr>
      <w:r w:rsidRPr="008A510B">
        <w:t>Williams, P. J</w:t>
      </w:r>
      <w:r w:rsidR="003A21F3" w:rsidRPr="008A510B">
        <w:t xml:space="preserve"> (2016)</w:t>
      </w:r>
      <w:r w:rsidRPr="008A510B">
        <w:t>. Methods for incorporating population dynamics and decision theory in cackling goose management. Ph.D. Dissertation. Colorado State University, Fort Collins, Colorado, USA.</w:t>
      </w:r>
    </w:p>
    <w:p w14:paraId="3DDD027E" w14:textId="77777777" w:rsidR="00B56746" w:rsidRPr="00692F65" w:rsidRDefault="00B56746" w:rsidP="00692F65">
      <w:pPr>
        <w:spacing w:line="480" w:lineRule="auto"/>
        <w:rPr>
          <w:sz w:val="24"/>
          <w:szCs w:val="24"/>
        </w:rPr>
      </w:pPr>
    </w:p>
    <w:p w14:paraId="72DACCD6" w14:textId="77777777" w:rsidR="009D411A" w:rsidRDefault="009D411A">
      <w:pPr>
        <w:spacing w:line="480" w:lineRule="auto"/>
        <w:rPr>
          <w:sz w:val="24"/>
          <w:szCs w:val="24"/>
        </w:rPr>
        <w:sectPr w:rsidR="009D411A" w:rsidSect="00692F65">
          <w:pgSz w:w="12240" w:h="15840"/>
          <w:pgMar w:top="1440" w:right="1440" w:bottom="1440" w:left="1440" w:header="0" w:footer="867" w:gutter="0"/>
          <w:lnNumType w:countBy="1" w:restart="continuous"/>
          <w:cols w:space="720"/>
          <w:docGrid w:linePitch="299"/>
        </w:sectPr>
      </w:pPr>
    </w:p>
    <w:p w14:paraId="4EF1190A" w14:textId="77777777" w:rsidR="003A76CE" w:rsidRPr="008A510B" w:rsidRDefault="003A76CE">
      <w:pPr>
        <w:pStyle w:val="BodyText"/>
        <w:spacing w:line="480" w:lineRule="auto"/>
        <w:rPr>
          <w:b/>
        </w:rPr>
      </w:pPr>
      <w:r w:rsidRPr="00C63ABB">
        <w:rPr>
          <w:b/>
        </w:rPr>
        <w:lastRenderedPageBreak/>
        <w:t>TABLES</w:t>
      </w:r>
    </w:p>
    <w:p w14:paraId="125A72AC" w14:textId="1AAA0B3C" w:rsidR="003A76CE" w:rsidRPr="008A510B" w:rsidRDefault="003A76CE">
      <w:pPr>
        <w:pStyle w:val="BodyText"/>
        <w:spacing w:line="480" w:lineRule="auto"/>
        <w:ind w:left="120" w:right="379"/>
      </w:pPr>
      <w:r w:rsidRPr="008A510B">
        <w:rPr>
          <w:b/>
          <w:bCs/>
        </w:rPr>
        <w:t>Table 1.</w:t>
      </w:r>
      <w:r w:rsidRPr="008A510B">
        <w:t xml:space="preserve"> Prior distributions used in Bayesian robust-design models to estimate the effects of mean lifetime clutch size and nest initiation date on survival and breeding propensity of adult female </w:t>
      </w:r>
      <w:r w:rsidR="00A6239B" w:rsidRPr="008A510B">
        <w:t>b</w:t>
      </w:r>
      <w:r w:rsidRPr="008A510B">
        <w:t xml:space="preserve">lack </w:t>
      </w:r>
      <w:r w:rsidR="00A6239B" w:rsidRPr="008A510B">
        <w:t>b</w:t>
      </w:r>
      <w:r w:rsidRPr="008A510B">
        <w:t xml:space="preserve">rant, marked and re-encountered at the Tutakoke River Colony, Alaska (1988 — 2014). Priors were chosen following Sedinger and </w:t>
      </w:r>
      <w:proofErr w:type="spellStart"/>
      <w:r w:rsidRPr="008A510B">
        <w:t>Chelgren</w:t>
      </w:r>
      <w:proofErr w:type="spellEnd"/>
      <w:r w:rsidRPr="008A510B">
        <w:t xml:space="preserve"> (2007), </w:t>
      </w:r>
      <w:proofErr w:type="spellStart"/>
      <w:r w:rsidRPr="008A510B">
        <w:t>Kéry</w:t>
      </w:r>
      <w:proofErr w:type="spellEnd"/>
      <w:r w:rsidRPr="008A510B">
        <w:t xml:space="preserve"> and Schaub (2011), Williams (2016), Riecke et al. (2018).</w:t>
      </w:r>
    </w:p>
    <w:p w14:paraId="32EDE263" w14:textId="77777777" w:rsidR="003A76CE" w:rsidRPr="008A510B" w:rsidRDefault="003A76CE">
      <w:pPr>
        <w:pStyle w:val="BodyText"/>
        <w:spacing w:line="480" w:lineRule="auto"/>
        <w:ind w:left="120" w:right="379"/>
      </w:pPr>
    </w:p>
    <w:tbl>
      <w:tblPr>
        <w:tblW w:w="0" w:type="auto"/>
        <w:tblInd w:w="2902" w:type="dxa"/>
        <w:tblLayout w:type="fixed"/>
        <w:tblCellMar>
          <w:left w:w="0" w:type="dxa"/>
          <w:right w:w="0" w:type="dxa"/>
        </w:tblCellMar>
        <w:tblLook w:val="01E0" w:firstRow="1" w:lastRow="1" w:firstColumn="1" w:lastColumn="1" w:noHBand="0" w:noVBand="0"/>
      </w:tblPr>
      <w:tblGrid>
        <w:gridCol w:w="1471"/>
        <w:gridCol w:w="2336"/>
      </w:tblGrid>
      <w:tr w:rsidR="003A76CE" w:rsidRPr="008A510B" w14:paraId="556A4B25" w14:textId="77777777" w:rsidTr="00F733EA">
        <w:trPr>
          <w:trHeight w:val="431"/>
        </w:trPr>
        <w:tc>
          <w:tcPr>
            <w:tcW w:w="1471" w:type="dxa"/>
            <w:tcBorders>
              <w:top w:val="single" w:sz="4" w:space="0" w:color="auto"/>
              <w:bottom w:val="single" w:sz="4" w:space="0" w:color="auto"/>
            </w:tcBorders>
          </w:tcPr>
          <w:p w14:paraId="6B12C8C1" w14:textId="77777777" w:rsidR="003A76CE" w:rsidRPr="008A510B" w:rsidRDefault="003A76CE" w:rsidP="00692F65">
            <w:pPr>
              <w:pStyle w:val="TableParagraph"/>
              <w:spacing w:before="0" w:line="480" w:lineRule="auto"/>
              <w:ind w:left="85" w:right="79"/>
              <w:rPr>
                <w:b/>
                <w:sz w:val="24"/>
                <w:szCs w:val="24"/>
              </w:rPr>
            </w:pPr>
            <w:r w:rsidRPr="008A510B">
              <w:rPr>
                <w:b/>
                <w:sz w:val="24"/>
                <w:szCs w:val="24"/>
              </w:rPr>
              <w:t>Parameter</w:t>
            </w:r>
          </w:p>
        </w:tc>
        <w:tc>
          <w:tcPr>
            <w:tcW w:w="2336" w:type="dxa"/>
            <w:tcBorders>
              <w:top w:val="single" w:sz="4" w:space="0" w:color="auto"/>
              <w:bottom w:val="single" w:sz="4" w:space="0" w:color="auto"/>
            </w:tcBorders>
          </w:tcPr>
          <w:p w14:paraId="4AAC7751" w14:textId="77777777" w:rsidR="003A76CE" w:rsidRPr="008A510B" w:rsidRDefault="003A76CE" w:rsidP="00692F65">
            <w:pPr>
              <w:pStyle w:val="TableParagraph"/>
              <w:spacing w:before="0" w:line="480" w:lineRule="auto"/>
              <w:ind w:left="543"/>
              <w:jc w:val="left"/>
              <w:rPr>
                <w:b/>
                <w:sz w:val="24"/>
                <w:szCs w:val="24"/>
              </w:rPr>
            </w:pPr>
            <w:r w:rsidRPr="008A510B">
              <w:rPr>
                <w:b/>
                <w:sz w:val="24"/>
                <w:szCs w:val="24"/>
              </w:rPr>
              <w:t>Distribution</w:t>
            </w:r>
          </w:p>
        </w:tc>
      </w:tr>
      <w:tr w:rsidR="003A76CE" w:rsidRPr="008A510B" w14:paraId="4C606806" w14:textId="77777777" w:rsidTr="00F733EA">
        <w:trPr>
          <w:trHeight w:val="431"/>
        </w:trPr>
        <w:tc>
          <w:tcPr>
            <w:tcW w:w="1471" w:type="dxa"/>
            <w:tcBorders>
              <w:top w:val="single" w:sz="4" w:space="0" w:color="auto"/>
            </w:tcBorders>
          </w:tcPr>
          <w:p w14:paraId="69D1B9C8" w14:textId="77777777" w:rsidR="003A76CE" w:rsidRPr="008A510B" w:rsidRDefault="003A76CE" w:rsidP="00692F65">
            <w:pPr>
              <w:pStyle w:val="TableParagraph"/>
              <w:spacing w:before="0" w:line="480" w:lineRule="auto"/>
              <w:ind w:left="79" w:right="79"/>
              <w:rPr>
                <w:sz w:val="24"/>
                <w:szCs w:val="24"/>
              </w:rPr>
            </w:pPr>
            <w:r w:rsidRPr="00C63ABB">
              <w:rPr>
                <w:i/>
                <w:sz w:val="24"/>
                <w:szCs w:val="24"/>
              </w:rPr>
              <w:t>β</w:t>
            </w:r>
            <w:r w:rsidRPr="008A510B">
              <w:rPr>
                <w:sz w:val="24"/>
                <w:szCs w:val="24"/>
                <w:vertAlign w:val="subscript"/>
              </w:rPr>
              <w:t>0</w:t>
            </w:r>
          </w:p>
        </w:tc>
        <w:tc>
          <w:tcPr>
            <w:tcW w:w="2336" w:type="dxa"/>
            <w:tcBorders>
              <w:top w:val="single" w:sz="4" w:space="0" w:color="auto"/>
            </w:tcBorders>
          </w:tcPr>
          <w:p w14:paraId="2DD12AB7" w14:textId="77777777" w:rsidR="003A76CE" w:rsidRPr="008A510B" w:rsidRDefault="003A76CE" w:rsidP="00692F65">
            <w:pPr>
              <w:pStyle w:val="TableParagraph"/>
              <w:tabs>
                <w:tab w:val="left" w:pos="543"/>
              </w:tabs>
              <w:spacing w:before="0" w:line="480" w:lineRule="auto"/>
              <w:ind w:left="118"/>
              <w:jc w:val="left"/>
              <w:rPr>
                <w:sz w:val="24"/>
                <w:szCs w:val="24"/>
              </w:rPr>
            </w:pPr>
            <w:r w:rsidRPr="008A510B">
              <w:rPr>
                <w:rFonts w:ascii="Cambria Math" w:hAnsi="Cambria Math" w:cs="Cambria Math"/>
                <w:i/>
                <w:sz w:val="24"/>
                <w:szCs w:val="24"/>
              </w:rPr>
              <w:t>∼</w:t>
            </w:r>
            <w:r w:rsidRPr="008A510B">
              <w:rPr>
                <w:i/>
                <w:sz w:val="24"/>
                <w:szCs w:val="24"/>
              </w:rPr>
              <w:tab/>
            </w:r>
            <w:r w:rsidRPr="008A510B">
              <w:rPr>
                <w:sz w:val="24"/>
                <w:szCs w:val="24"/>
              </w:rPr>
              <w:t>Beta(8.5, 1.5)</w:t>
            </w:r>
          </w:p>
        </w:tc>
      </w:tr>
      <w:tr w:rsidR="003A76CE" w:rsidRPr="008A510B" w14:paraId="64AAEDCF" w14:textId="77777777" w:rsidTr="00F733EA">
        <w:trPr>
          <w:trHeight w:val="431"/>
        </w:trPr>
        <w:tc>
          <w:tcPr>
            <w:tcW w:w="1471" w:type="dxa"/>
          </w:tcPr>
          <w:p w14:paraId="29839B34" w14:textId="77777777" w:rsidR="003A76CE" w:rsidRPr="008A510B" w:rsidRDefault="003A76CE" w:rsidP="00692F65">
            <w:pPr>
              <w:pStyle w:val="TableParagraph"/>
              <w:spacing w:before="0" w:line="480" w:lineRule="auto"/>
              <w:ind w:left="79" w:right="79"/>
              <w:rPr>
                <w:sz w:val="24"/>
                <w:szCs w:val="24"/>
              </w:rPr>
            </w:pPr>
            <w:r w:rsidRPr="00C63ABB">
              <w:rPr>
                <w:i/>
                <w:sz w:val="24"/>
                <w:szCs w:val="24"/>
              </w:rPr>
              <w:t>α</w:t>
            </w:r>
            <w:r w:rsidRPr="008A510B">
              <w:rPr>
                <w:sz w:val="24"/>
                <w:szCs w:val="24"/>
                <w:vertAlign w:val="subscript"/>
              </w:rPr>
              <w:t>0</w:t>
            </w:r>
          </w:p>
        </w:tc>
        <w:tc>
          <w:tcPr>
            <w:tcW w:w="2336" w:type="dxa"/>
          </w:tcPr>
          <w:p w14:paraId="38E5D862" w14:textId="77777777" w:rsidR="003A76CE" w:rsidRPr="008A510B" w:rsidRDefault="003A76CE" w:rsidP="00692F65">
            <w:pPr>
              <w:pStyle w:val="TableParagraph"/>
              <w:tabs>
                <w:tab w:val="left" w:pos="543"/>
              </w:tabs>
              <w:spacing w:before="0" w:line="480" w:lineRule="auto"/>
              <w:ind w:left="118"/>
              <w:jc w:val="left"/>
              <w:rPr>
                <w:sz w:val="24"/>
                <w:szCs w:val="24"/>
              </w:rPr>
            </w:pPr>
            <w:r w:rsidRPr="008A510B">
              <w:rPr>
                <w:rFonts w:ascii="Cambria Math" w:hAnsi="Cambria Math" w:cs="Cambria Math"/>
                <w:i/>
                <w:sz w:val="24"/>
                <w:szCs w:val="24"/>
              </w:rPr>
              <w:t>∼</w:t>
            </w:r>
            <w:r w:rsidRPr="008A510B">
              <w:rPr>
                <w:i/>
                <w:sz w:val="24"/>
                <w:szCs w:val="24"/>
              </w:rPr>
              <w:tab/>
            </w:r>
            <w:r w:rsidRPr="008A510B">
              <w:rPr>
                <w:sz w:val="24"/>
                <w:szCs w:val="24"/>
              </w:rPr>
              <w:t>Beta(7.2, 2.8)</w:t>
            </w:r>
          </w:p>
        </w:tc>
      </w:tr>
      <w:tr w:rsidR="003A76CE" w:rsidRPr="008A510B" w14:paraId="02AD75B0" w14:textId="77777777" w:rsidTr="00F733EA">
        <w:trPr>
          <w:trHeight w:val="431"/>
        </w:trPr>
        <w:tc>
          <w:tcPr>
            <w:tcW w:w="1471" w:type="dxa"/>
          </w:tcPr>
          <w:p w14:paraId="0C71FF9C" w14:textId="77777777" w:rsidR="003A76CE" w:rsidRPr="008A510B" w:rsidRDefault="003A76CE" w:rsidP="00692F65">
            <w:pPr>
              <w:pStyle w:val="TableParagraph"/>
              <w:spacing w:before="0" w:line="480" w:lineRule="auto"/>
              <w:ind w:left="0"/>
              <w:rPr>
                <w:b/>
                <w:i/>
                <w:sz w:val="24"/>
                <w:szCs w:val="24"/>
              </w:rPr>
            </w:pPr>
            <w:r w:rsidRPr="00C63ABB">
              <w:rPr>
                <w:b/>
                <w:i/>
                <w:sz w:val="24"/>
                <w:szCs w:val="24"/>
              </w:rPr>
              <w:t>β</w:t>
            </w:r>
          </w:p>
        </w:tc>
        <w:tc>
          <w:tcPr>
            <w:tcW w:w="2336" w:type="dxa"/>
          </w:tcPr>
          <w:p w14:paraId="0C67BC3F" w14:textId="77777777" w:rsidR="003A76CE" w:rsidRPr="008A510B" w:rsidRDefault="003A76CE" w:rsidP="00692F65">
            <w:pPr>
              <w:pStyle w:val="TableParagraph"/>
              <w:tabs>
                <w:tab w:val="left" w:pos="543"/>
              </w:tabs>
              <w:spacing w:before="0" w:line="480" w:lineRule="auto"/>
              <w:ind w:left="118"/>
              <w:jc w:val="left"/>
              <w:rPr>
                <w:sz w:val="24"/>
                <w:szCs w:val="24"/>
              </w:rPr>
            </w:pPr>
            <w:r w:rsidRPr="008A510B">
              <w:rPr>
                <w:rFonts w:ascii="Cambria Math" w:hAnsi="Cambria Math" w:cs="Cambria Math"/>
                <w:i/>
                <w:sz w:val="24"/>
                <w:szCs w:val="24"/>
              </w:rPr>
              <w:t>∼</w:t>
            </w:r>
            <w:r w:rsidRPr="008A510B">
              <w:rPr>
                <w:i/>
                <w:sz w:val="24"/>
                <w:szCs w:val="24"/>
              </w:rPr>
              <w:tab/>
            </w:r>
            <w:r w:rsidRPr="008A510B">
              <w:rPr>
                <w:sz w:val="24"/>
                <w:szCs w:val="24"/>
              </w:rPr>
              <w:t>Normal(</w:t>
            </w:r>
            <w:r w:rsidRPr="008A510B">
              <w:rPr>
                <w:b/>
                <w:sz w:val="24"/>
                <w:szCs w:val="24"/>
              </w:rPr>
              <w:t>0</w:t>
            </w:r>
            <w:r w:rsidRPr="008A510B">
              <w:rPr>
                <w:sz w:val="24"/>
                <w:szCs w:val="24"/>
              </w:rPr>
              <w:t>, 100</w:t>
            </w:r>
            <w:r w:rsidRPr="008A510B">
              <w:rPr>
                <w:b/>
                <w:sz w:val="24"/>
                <w:szCs w:val="24"/>
              </w:rPr>
              <w:t>I</w:t>
            </w:r>
            <w:r w:rsidRPr="008A510B">
              <w:rPr>
                <w:sz w:val="24"/>
                <w:szCs w:val="24"/>
              </w:rPr>
              <w:t>)</w:t>
            </w:r>
          </w:p>
        </w:tc>
      </w:tr>
      <w:tr w:rsidR="003A76CE" w:rsidRPr="008A510B" w14:paraId="462A6AD1" w14:textId="77777777" w:rsidTr="00F733EA">
        <w:trPr>
          <w:trHeight w:val="431"/>
        </w:trPr>
        <w:tc>
          <w:tcPr>
            <w:tcW w:w="1471" w:type="dxa"/>
          </w:tcPr>
          <w:p w14:paraId="53888846" w14:textId="77777777" w:rsidR="003A76CE" w:rsidRPr="008A510B" w:rsidRDefault="003A76CE" w:rsidP="00692F65">
            <w:pPr>
              <w:pStyle w:val="TableParagraph"/>
              <w:spacing w:before="0" w:line="480" w:lineRule="auto"/>
              <w:ind w:left="7"/>
              <w:rPr>
                <w:b/>
                <w:i/>
                <w:sz w:val="24"/>
                <w:szCs w:val="24"/>
              </w:rPr>
            </w:pPr>
            <w:r w:rsidRPr="00C63ABB">
              <w:rPr>
                <w:b/>
                <w:i/>
                <w:sz w:val="24"/>
                <w:szCs w:val="24"/>
              </w:rPr>
              <w:t>α</w:t>
            </w:r>
          </w:p>
        </w:tc>
        <w:tc>
          <w:tcPr>
            <w:tcW w:w="2336" w:type="dxa"/>
          </w:tcPr>
          <w:p w14:paraId="37E0CD22" w14:textId="77777777" w:rsidR="003A76CE" w:rsidRPr="008A510B" w:rsidRDefault="003A76CE" w:rsidP="00692F65">
            <w:pPr>
              <w:pStyle w:val="TableParagraph"/>
              <w:tabs>
                <w:tab w:val="left" w:pos="543"/>
              </w:tabs>
              <w:spacing w:before="0" w:line="480" w:lineRule="auto"/>
              <w:ind w:left="118"/>
              <w:jc w:val="left"/>
              <w:rPr>
                <w:sz w:val="24"/>
                <w:szCs w:val="24"/>
              </w:rPr>
            </w:pPr>
            <w:r w:rsidRPr="008A510B">
              <w:rPr>
                <w:rFonts w:ascii="Cambria Math" w:hAnsi="Cambria Math" w:cs="Cambria Math"/>
                <w:i/>
                <w:sz w:val="24"/>
                <w:szCs w:val="24"/>
              </w:rPr>
              <w:t>∼</w:t>
            </w:r>
            <w:r w:rsidRPr="008A510B">
              <w:rPr>
                <w:i/>
                <w:sz w:val="24"/>
                <w:szCs w:val="24"/>
              </w:rPr>
              <w:tab/>
            </w:r>
            <w:r w:rsidRPr="008A510B">
              <w:rPr>
                <w:sz w:val="24"/>
                <w:szCs w:val="24"/>
              </w:rPr>
              <w:t>Normal(</w:t>
            </w:r>
            <w:r w:rsidRPr="008A510B">
              <w:rPr>
                <w:b/>
                <w:sz w:val="24"/>
                <w:szCs w:val="24"/>
              </w:rPr>
              <w:t>0</w:t>
            </w:r>
            <w:r w:rsidRPr="008A510B">
              <w:rPr>
                <w:sz w:val="24"/>
                <w:szCs w:val="24"/>
              </w:rPr>
              <w:t>, 100</w:t>
            </w:r>
            <w:r w:rsidRPr="008A510B">
              <w:rPr>
                <w:b/>
                <w:sz w:val="24"/>
                <w:szCs w:val="24"/>
              </w:rPr>
              <w:t>I</w:t>
            </w:r>
            <w:r w:rsidRPr="008A510B">
              <w:rPr>
                <w:sz w:val="24"/>
                <w:szCs w:val="24"/>
              </w:rPr>
              <w:t>)</w:t>
            </w:r>
          </w:p>
        </w:tc>
      </w:tr>
      <w:tr w:rsidR="003A76CE" w:rsidRPr="008A510B" w14:paraId="6DA50A8A" w14:textId="77777777" w:rsidTr="00F733EA">
        <w:trPr>
          <w:trHeight w:val="431"/>
        </w:trPr>
        <w:tc>
          <w:tcPr>
            <w:tcW w:w="1471" w:type="dxa"/>
          </w:tcPr>
          <w:p w14:paraId="6450A91E" w14:textId="77777777" w:rsidR="003A76CE" w:rsidRPr="008A510B" w:rsidRDefault="003A76CE" w:rsidP="00692F65">
            <w:pPr>
              <w:pStyle w:val="TableParagraph"/>
              <w:spacing w:before="0" w:line="480" w:lineRule="auto"/>
              <w:ind w:left="7"/>
              <w:rPr>
                <w:i/>
                <w:sz w:val="24"/>
                <w:szCs w:val="24"/>
              </w:rPr>
            </w:pPr>
            <w:r w:rsidRPr="00C63ABB">
              <w:rPr>
                <w:i/>
                <w:sz w:val="24"/>
                <w:szCs w:val="24"/>
              </w:rPr>
              <w:t>p</w:t>
            </w:r>
          </w:p>
        </w:tc>
        <w:tc>
          <w:tcPr>
            <w:tcW w:w="2336" w:type="dxa"/>
          </w:tcPr>
          <w:p w14:paraId="0574D1E6" w14:textId="77777777" w:rsidR="003A76CE" w:rsidRPr="008A510B" w:rsidRDefault="003A76CE" w:rsidP="00692F65">
            <w:pPr>
              <w:pStyle w:val="TableParagraph"/>
              <w:tabs>
                <w:tab w:val="left" w:pos="543"/>
              </w:tabs>
              <w:spacing w:before="0" w:line="480" w:lineRule="auto"/>
              <w:ind w:left="118"/>
              <w:jc w:val="left"/>
              <w:rPr>
                <w:sz w:val="24"/>
                <w:szCs w:val="24"/>
              </w:rPr>
            </w:pPr>
            <w:r w:rsidRPr="008A510B">
              <w:rPr>
                <w:rFonts w:ascii="Cambria Math" w:hAnsi="Cambria Math" w:cs="Cambria Math"/>
                <w:i/>
                <w:sz w:val="24"/>
                <w:szCs w:val="24"/>
              </w:rPr>
              <w:t>∼</w:t>
            </w:r>
            <w:r w:rsidRPr="008A510B">
              <w:rPr>
                <w:i/>
                <w:sz w:val="24"/>
                <w:szCs w:val="24"/>
              </w:rPr>
              <w:tab/>
            </w:r>
            <w:r w:rsidRPr="008A510B">
              <w:rPr>
                <w:sz w:val="24"/>
                <w:szCs w:val="24"/>
              </w:rPr>
              <w:t>Uniform(0,1)</w:t>
            </w:r>
          </w:p>
        </w:tc>
      </w:tr>
      <w:tr w:rsidR="003A76CE" w:rsidRPr="008A510B" w14:paraId="52224F13" w14:textId="77777777" w:rsidTr="00F733EA">
        <w:trPr>
          <w:trHeight w:val="431"/>
        </w:trPr>
        <w:tc>
          <w:tcPr>
            <w:tcW w:w="1471" w:type="dxa"/>
          </w:tcPr>
          <w:p w14:paraId="6F9253DB" w14:textId="77777777" w:rsidR="003A76CE" w:rsidRPr="008A510B" w:rsidRDefault="003A76CE" w:rsidP="00692F65">
            <w:pPr>
              <w:pStyle w:val="TableParagraph"/>
              <w:spacing w:before="0" w:line="480" w:lineRule="auto"/>
              <w:ind w:left="7"/>
              <w:rPr>
                <w:i/>
                <w:sz w:val="24"/>
                <w:szCs w:val="24"/>
              </w:rPr>
            </w:pPr>
            <w:r w:rsidRPr="00C63ABB">
              <w:rPr>
                <w:i/>
                <w:sz w:val="24"/>
                <w:szCs w:val="24"/>
              </w:rPr>
              <w:t>ε</w:t>
            </w:r>
          </w:p>
        </w:tc>
        <w:tc>
          <w:tcPr>
            <w:tcW w:w="2336" w:type="dxa"/>
          </w:tcPr>
          <w:p w14:paraId="5BA7DEFC" w14:textId="77777777" w:rsidR="003A76CE" w:rsidRPr="008A510B" w:rsidRDefault="003A76CE" w:rsidP="00692F65">
            <w:pPr>
              <w:pStyle w:val="TableParagraph"/>
              <w:tabs>
                <w:tab w:val="left" w:pos="543"/>
              </w:tabs>
              <w:spacing w:before="0" w:line="480" w:lineRule="auto"/>
              <w:ind w:left="118"/>
              <w:jc w:val="left"/>
              <w:rPr>
                <w:sz w:val="24"/>
                <w:szCs w:val="24"/>
              </w:rPr>
            </w:pPr>
            <w:r w:rsidRPr="008A510B">
              <w:rPr>
                <w:rFonts w:ascii="Cambria Math" w:hAnsi="Cambria Math" w:cs="Cambria Math"/>
                <w:i/>
                <w:sz w:val="24"/>
                <w:szCs w:val="24"/>
              </w:rPr>
              <w:t>∼</w:t>
            </w:r>
            <w:r w:rsidRPr="008A510B">
              <w:rPr>
                <w:i/>
                <w:sz w:val="24"/>
                <w:szCs w:val="24"/>
              </w:rPr>
              <w:tab/>
            </w:r>
            <w:r w:rsidRPr="008A510B">
              <w:rPr>
                <w:sz w:val="24"/>
                <w:szCs w:val="24"/>
              </w:rPr>
              <w:t xml:space="preserve">Normal(0, </w:t>
            </w:r>
            <w:r w:rsidRPr="008A510B">
              <w:rPr>
                <w:i/>
                <w:sz w:val="24"/>
                <w:szCs w:val="24"/>
              </w:rPr>
              <w:t>σ</w:t>
            </w:r>
            <w:r w:rsidRPr="008A510B">
              <w:rPr>
                <w:sz w:val="24"/>
                <w:szCs w:val="24"/>
              </w:rPr>
              <w:t>)</w:t>
            </w:r>
          </w:p>
        </w:tc>
      </w:tr>
      <w:tr w:rsidR="003A76CE" w:rsidRPr="008A510B" w14:paraId="6697C42A" w14:textId="77777777" w:rsidTr="00F733EA">
        <w:trPr>
          <w:trHeight w:val="431"/>
        </w:trPr>
        <w:tc>
          <w:tcPr>
            <w:tcW w:w="1471" w:type="dxa"/>
            <w:tcBorders>
              <w:bottom w:val="single" w:sz="4" w:space="0" w:color="auto"/>
            </w:tcBorders>
          </w:tcPr>
          <w:p w14:paraId="09406A77" w14:textId="77777777" w:rsidR="003A76CE" w:rsidRPr="008A510B" w:rsidRDefault="003A76CE" w:rsidP="00692F65">
            <w:pPr>
              <w:pStyle w:val="TableParagraph"/>
              <w:spacing w:before="0" w:line="480" w:lineRule="auto"/>
              <w:ind w:left="0" w:right="1"/>
              <w:rPr>
                <w:i/>
                <w:sz w:val="24"/>
                <w:szCs w:val="24"/>
              </w:rPr>
            </w:pPr>
            <w:r w:rsidRPr="00C63ABB">
              <w:rPr>
                <w:i/>
                <w:sz w:val="24"/>
                <w:szCs w:val="24"/>
              </w:rPr>
              <w:t>σ</w:t>
            </w:r>
          </w:p>
        </w:tc>
        <w:tc>
          <w:tcPr>
            <w:tcW w:w="2336" w:type="dxa"/>
            <w:tcBorders>
              <w:bottom w:val="single" w:sz="4" w:space="0" w:color="auto"/>
            </w:tcBorders>
          </w:tcPr>
          <w:p w14:paraId="0741138D" w14:textId="77777777" w:rsidR="003A76CE" w:rsidRPr="008A510B" w:rsidRDefault="003A76CE" w:rsidP="00692F65">
            <w:pPr>
              <w:pStyle w:val="TableParagraph"/>
              <w:tabs>
                <w:tab w:val="left" w:pos="543"/>
              </w:tabs>
              <w:spacing w:before="0" w:line="480" w:lineRule="auto"/>
              <w:ind w:left="118"/>
              <w:jc w:val="left"/>
              <w:rPr>
                <w:sz w:val="24"/>
                <w:szCs w:val="24"/>
              </w:rPr>
            </w:pPr>
            <w:r w:rsidRPr="008A510B">
              <w:rPr>
                <w:rFonts w:ascii="Cambria Math" w:hAnsi="Cambria Math" w:cs="Cambria Math"/>
                <w:i/>
                <w:sz w:val="24"/>
                <w:szCs w:val="24"/>
              </w:rPr>
              <w:t>∼</w:t>
            </w:r>
            <w:r w:rsidRPr="008A510B">
              <w:rPr>
                <w:i/>
                <w:sz w:val="24"/>
                <w:szCs w:val="24"/>
              </w:rPr>
              <w:tab/>
            </w:r>
            <w:r w:rsidRPr="008A510B">
              <w:rPr>
                <w:sz w:val="24"/>
                <w:szCs w:val="24"/>
              </w:rPr>
              <w:t>Uniform(0, 5)</w:t>
            </w:r>
          </w:p>
        </w:tc>
      </w:tr>
    </w:tbl>
    <w:p w14:paraId="674D6515" w14:textId="77777777" w:rsidR="003A76CE" w:rsidRPr="00C63ABB" w:rsidRDefault="003A76CE" w:rsidP="00C63ABB">
      <w:pPr>
        <w:spacing w:line="480" w:lineRule="auto"/>
        <w:rPr>
          <w:sz w:val="24"/>
          <w:szCs w:val="24"/>
        </w:rPr>
        <w:sectPr w:rsidR="003A76CE" w:rsidRPr="00C63ABB" w:rsidSect="00692F65">
          <w:pgSz w:w="12240" w:h="15840"/>
          <w:pgMar w:top="1440" w:right="1440" w:bottom="1440" w:left="1440" w:header="0" w:footer="867" w:gutter="0"/>
          <w:cols w:space="720"/>
        </w:sectPr>
      </w:pPr>
    </w:p>
    <w:p w14:paraId="1F2BD110" w14:textId="2C4E717C" w:rsidR="003A76CE" w:rsidRPr="00CC1997" w:rsidRDefault="003A76CE" w:rsidP="009A2068">
      <w:pPr>
        <w:pStyle w:val="BodyText"/>
        <w:spacing w:line="480" w:lineRule="auto"/>
        <w:ind w:left="120" w:right="378"/>
        <w:rPr>
          <w:iCs/>
        </w:rPr>
      </w:pPr>
      <w:r w:rsidRPr="00C63ABB">
        <w:rPr>
          <w:b/>
          <w:bCs/>
        </w:rPr>
        <w:lastRenderedPageBreak/>
        <w:t xml:space="preserve">Table 2. </w:t>
      </w:r>
      <w:r w:rsidRPr="008A510B">
        <w:t xml:space="preserve">Estimates of </w:t>
      </w:r>
      <w:r w:rsidRPr="008A510B">
        <w:rPr>
          <w:i/>
        </w:rPr>
        <w:t xml:space="preserve">β </w:t>
      </w:r>
      <w:r w:rsidRPr="008A510B">
        <w:t xml:space="preserve">parameters for the relationships between average lifetime clutch size, nest initiation date, and their interaction on survival. Estimates come from hierarchical Bayesian robust design models that used reproductive and capture-recapture data collected from female </w:t>
      </w:r>
      <w:r w:rsidR="00A6239B" w:rsidRPr="008A510B">
        <w:t xml:space="preserve">black brant </w:t>
      </w:r>
      <w:r w:rsidRPr="008A510B">
        <w:t>breeding on the Yukon-Kuskokwim Delta, Alaska (1988 — 2014).</w:t>
      </w:r>
      <w:r w:rsidR="00CC1997">
        <w:t xml:space="preserve"> Parameters include the mean (</w:t>
      </w:r>
      <w:r w:rsidR="00CC1997" w:rsidRPr="008A510B">
        <w:rPr>
          <w:i/>
        </w:rPr>
        <w:t>µ</w:t>
      </w:r>
      <w:r w:rsidR="00CC1997">
        <w:rPr>
          <w:iCs/>
        </w:rPr>
        <w:t>), standard deviation (</w:t>
      </w:r>
      <w:r w:rsidR="00CC1997" w:rsidRPr="008A510B">
        <w:rPr>
          <w:i/>
        </w:rPr>
        <w:t>σ</w:t>
      </w:r>
      <w:r w:rsidR="00CC1997">
        <w:rPr>
          <w:iCs/>
        </w:rPr>
        <w:t>), 95% credible intervals (CRI), and the proportion of the posterior distribution on the same side of 0 as the mean (</w:t>
      </w:r>
      <w:r w:rsidR="00CC1997" w:rsidRPr="008A510B">
        <w:rPr>
          <w:i/>
        </w:rPr>
        <w:t>ξ</w:t>
      </w:r>
      <w:r w:rsidR="00CC1997">
        <w:rPr>
          <w:iCs/>
        </w:rPr>
        <w:t>).</w:t>
      </w:r>
    </w:p>
    <w:p w14:paraId="6F002502" w14:textId="77777777" w:rsidR="003A76CE" w:rsidRPr="008A510B" w:rsidRDefault="003A76CE">
      <w:pPr>
        <w:pStyle w:val="BodyText"/>
        <w:spacing w:line="480" w:lineRule="auto"/>
      </w:pPr>
    </w:p>
    <w:tbl>
      <w:tblPr>
        <w:tblW w:w="0" w:type="auto"/>
        <w:tblInd w:w="2780" w:type="dxa"/>
        <w:tblLayout w:type="fixed"/>
        <w:tblCellMar>
          <w:left w:w="0" w:type="dxa"/>
          <w:right w:w="0" w:type="dxa"/>
        </w:tblCellMar>
        <w:tblLook w:val="01E0" w:firstRow="1" w:lastRow="1" w:firstColumn="1" w:lastColumn="1" w:noHBand="0" w:noVBand="0"/>
      </w:tblPr>
      <w:tblGrid>
        <w:gridCol w:w="1715"/>
        <w:gridCol w:w="1332"/>
        <w:gridCol w:w="1278"/>
      </w:tblGrid>
      <w:tr w:rsidR="003A76CE" w:rsidRPr="008A510B" w14:paraId="3DBD0445" w14:textId="77777777" w:rsidTr="00F733EA">
        <w:trPr>
          <w:trHeight w:val="431"/>
        </w:trPr>
        <w:tc>
          <w:tcPr>
            <w:tcW w:w="1715" w:type="dxa"/>
            <w:tcBorders>
              <w:top w:val="single" w:sz="4" w:space="0" w:color="auto"/>
              <w:bottom w:val="single" w:sz="4" w:space="0" w:color="auto"/>
            </w:tcBorders>
          </w:tcPr>
          <w:p w14:paraId="7398A187" w14:textId="77777777" w:rsidR="003A76CE" w:rsidRPr="008A510B" w:rsidRDefault="003A76CE">
            <w:pPr>
              <w:pStyle w:val="TableParagraph"/>
              <w:spacing w:before="0" w:line="480" w:lineRule="auto"/>
              <w:ind w:left="0"/>
              <w:jc w:val="left"/>
              <w:rPr>
                <w:sz w:val="24"/>
                <w:szCs w:val="24"/>
              </w:rPr>
            </w:pPr>
          </w:p>
        </w:tc>
        <w:tc>
          <w:tcPr>
            <w:tcW w:w="1332" w:type="dxa"/>
            <w:tcBorders>
              <w:top w:val="single" w:sz="4" w:space="0" w:color="auto"/>
              <w:bottom w:val="single" w:sz="4" w:space="0" w:color="auto"/>
            </w:tcBorders>
          </w:tcPr>
          <w:p w14:paraId="4179B626" w14:textId="77777777" w:rsidR="003A76CE" w:rsidRPr="008A510B" w:rsidRDefault="003A76CE">
            <w:pPr>
              <w:pStyle w:val="TableParagraph"/>
              <w:spacing w:before="0" w:line="480" w:lineRule="auto"/>
              <w:ind w:left="98" w:right="91"/>
              <w:rPr>
                <w:b/>
                <w:sz w:val="24"/>
                <w:szCs w:val="24"/>
              </w:rPr>
            </w:pPr>
            <w:r w:rsidRPr="008A510B">
              <w:rPr>
                <w:b/>
                <w:sz w:val="24"/>
                <w:szCs w:val="24"/>
              </w:rPr>
              <w:t>Parameter</w:t>
            </w:r>
          </w:p>
        </w:tc>
        <w:tc>
          <w:tcPr>
            <w:tcW w:w="1278" w:type="dxa"/>
            <w:tcBorders>
              <w:top w:val="single" w:sz="4" w:space="0" w:color="auto"/>
              <w:bottom w:val="single" w:sz="4" w:space="0" w:color="auto"/>
            </w:tcBorders>
          </w:tcPr>
          <w:p w14:paraId="754D9E40" w14:textId="77777777" w:rsidR="003A76CE" w:rsidRPr="008A510B" w:rsidRDefault="003A76CE">
            <w:pPr>
              <w:pStyle w:val="TableParagraph"/>
              <w:spacing w:before="0" w:line="480" w:lineRule="auto"/>
              <w:ind w:right="74"/>
              <w:rPr>
                <w:b/>
                <w:sz w:val="24"/>
                <w:szCs w:val="24"/>
              </w:rPr>
            </w:pPr>
            <w:r w:rsidRPr="008A510B">
              <w:rPr>
                <w:b/>
                <w:sz w:val="24"/>
                <w:szCs w:val="24"/>
              </w:rPr>
              <w:t>Estimate</w:t>
            </w:r>
          </w:p>
        </w:tc>
      </w:tr>
      <w:tr w:rsidR="003A76CE" w:rsidRPr="008A510B" w14:paraId="2FA6DC72" w14:textId="77777777" w:rsidTr="00F733EA">
        <w:trPr>
          <w:trHeight w:val="431"/>
        </w:trPr>
        <w:tc>
          <w:tcPr>
            <w:tcW w:w="1715" w:type="dxa"/>
            <w:vMerge w:val="restart"/>
            <w:tcBorders>
              <w:top w:val="single" w:sz="4" w:space="0" w:color="auto"/>
            </w:tcBorders>
          </w:tcPr>
          <w:p w14:paraId="1759B132" w14:textId="77777777" w:rsidR="003A76CE" w:rsidRPr="00C63ABB" w:rsidRDefault="003A76CE" w:rsidP="00692F65">
            <w:pPr>
              <w:pStyle w:val="TableParagraph"/>
              <w:spacing w:before="0" w:line="480" w:lineRule="auto"/>
              <w:ind w:left="0"/>
              <w:jc w:val="left"/>
              <w:rPr>
                <w:sz w:val="24"/>
                <w:szCs w:val="24"/>
              </w:rPr>
            </w:pPr>
          </w:p>
          <w:p w14:paraId="66EF94BE" w14:textId="77777777" w:rsidR="003A76CE" w:rsidRPr="008A510B" w:rsidRDefault="003A76CE" w:rsidP="00692F65">
            <w:pPr>
              <w:pStyle w:val="TableParagraph"/>
              <w:spacing w:before="0" w:line="480" w:lineRule="auto"/>
              <w:ind w:left="0"/>
              <w:jc w:val="left"/>
              <w:rPr>
                <w:sz w:val="24"/>
                <w:szCs w:val="24"/>
              </w:rPr>
            </w:pPr>
          </w:p>
          <w:p w14:paraId="102A251A" w14:textId="77777777" w:rsidR="003A76CE" w:rsidRPr="008A510B" w:rsidRDefault="003A76CE" w:rsidP="00692F65">
            <w:pPr>
              <w:pStyle w:val="TableParagraph"/>
              <w:spacing w:before="0" w:line="480" w:lineRule="auto"/>
              <w:ind w:left="298"/>
              <w:jc w:val="left"/>
              <w:rPr>
                <w:sz w:val="24"/>
                <w:szCs w:val="24"/>
              </w:rPr>
            </w:pPr>
            <w:r w:rsidRPr="008A510B">
              <w:rPr>
                <w:sz w:val="24"/>
                <w:szCs w:val="24"/>
              </w:rPr>
              <w:t>Clutch Size</w:t>
            </w:r>
          </w:p>
        </w:tc>
        <w:tc>
          <w:tcPr>
            <w:tcW w:w="1332" w:type="dxa"/>
            <w:tcBorders>
              <w:top w:val="single" w:sz="4" w:space="0" w:color="auto"/>
            </w:tcBorders>
          </w:tcPr>
          <w:p w14:paraId="3BDE1563" w14:textId="77777777" w:rsidR="003A76CE" w:rsidRPr="008A510B" w:rsidRDefault="003A76CE" w:rsidP="00692F65">
            <w:pPr>
              <w:pStyle w:val="TableParagraph"/>
              <w:spacing w:before="0" w:line="480" w:lineRule="auto"/>
              <w:ind w:left="7"/>
              <w:rPr>
                <w:i/>
                <w:sz w:val="24"/>
                <w:szCs w:val="24"/>
              </w:rPr>
            </w:pPr>
            <w:r w:rsidRPr="008A510B">
              <w:rPr>
                <w:i/>
                <w:sz w:val="24"/>
                <w:szCs w:val="24"/>
              </w:rPr>
              <w:t>µ</w:t>
            </w:r>
          </w:p>
        </w:tc>
        <w:tc>
          <w:tcPr>
            <w:tcW w:w="1278" w:type="dxa"/>
            <w:tcBorders>
              <w:top w:val="single" w:sz="4" w:space="0" w:color="auto"/>
            </w:tcBorders>
          </w:tcPr>
          <w:p w14:paraId="51E7409E" w14:textId="418C8D4E" w:rsidR="003A76CE" w:rsidRPr="008A510B" w:rsidRDefault="003A76CE" w:rsidP="00692F65">
            <w:pPr>
              <w:pStyle w:val="TableParagraph"/>
              <w:spacing w:before="0" w:line="480" w:lineRule="auto"/>
              <w:ind w:right="73"/>
              <w:rPr>
                <w:sz w:val="24"/>
                <w:szCs w:val="24"/>
              </w:rPr>
            </w:pPr>
            <w:r w:rsidRPr="008A510B">
              <w:rPr>
                <w:sz w:val="24"/>
                <w:szCs w:val="24"/>
              </w:rPr>
              <w:t>0.03</w:t>
            </w:r>
          </w:p>
        </w:tc>
      </w:tr>
      <w:tr w:rsidR="003A76CE" w:rsidRPr="008A510B" w14:paraId="339497ED" w14:textId="77777777" w:rsidTr="00F733EA">
        <w:trPr>
          <w:trHeight w:val="423"/>
        </w:trPr>
        <w:tc>
          <w:tcPr>
            <w:tcW w:w="1715" w:type="dxa"/>
            <w:vMerge/>
          </w:tcPr>
          <w:p w14:paraId="2F63BC3C" w14:textId="77777777" w:rsidR="003A76CE" w:rsidRPr="008A510B" w:rsidRDefault="003A76CE" w:rsidP="00692F65">
            <w:pPr>
              <w:spacing w:line="480" w:lineRule="auto"/>
              <w:rPr>
                <w:sz w:val="24"/>
                <w:szCs w:val="24"/>
              </w:rPr>
            </w:pPr>
          </w:p>
        </w:tc>
        <w:tc>
          <w:tcPr>
            <w:tcW w:w="1332" w:type="dxa"/>
          </w:tcPr>
          <w:p w14:paraId="203913D4" w14:textId="77777777" w:rsidR="003A76CE" w:rsidRPr="008A510B" w:rsidRDefault="003A76CE" w:rsidP="00692F65">
            <w:pPr>
              <w:pStyle w:val="TableParagraph"/>
              <w:spacing w:before="0" w:line="480" w:lineRule="auto"/>
              <w:ind w:left="0" w:right="1"/>
              <w:rPr>
                <w:i/>
                <w:sz w:val="24"/>
                <w:szCs w:val="24"/>
              </w:rPr>
            </w:pPr>
            <w:r w:rsidRPr="008A510B">
              <w:rPr>
                <w:i/>
                <w:sz w:val="24"/>
                <w:szCs w:val="24"/>
              </w:rPr>
              <w:t>σ</w:t>
            </w:r>
          </w:p>
        </w:tc>
        <w:tc>
          <w:tcPr>
            <w:tcW w:w="1278" w:type="dxa"/>
          </w:tcPr>
          <w:p w14:paraId="48BA712D" w14:textId="4815C9D8" w:rsidR="003A76CE" w:rsidRPr="008A510B" w:rsidRDefault="003A76CE" w:rsidP="00692F65">
            <w:pPr>
              <w:pStyle w:val="TableParagraph"/>
              <w:spacing w:before="0" w:line="480" w:lineRule="auto"/>
              <w:ind w:right="73"/>
              <w:rPr>
                <w:sz w:val="24"/>
                <w:szCs w:val="24"/>
              </w:rPr>
            </w:pPr>
            <w:r w:rsidRPr="008A510B">
              <w:rPr>
                <w:sz w:val="24"/>
                <w:szCs w:val="24"/>
              </w:rPr>
              <w:t>0.02</w:t>
            </w:r>
          </w:p>
        </w:tc>
      </w:tr>
      <w:tr w:rsidR="003A76CE" w:rsidRPr="008A510B" w14:paraId="33F09293" w14:textId="77777777" w:rsidTr="00F733EA">
        <w:trPr>
          <w:trHeight w:val="423"/>
        </w:trPr>
        <w:tc>
          <w:tcPr>
            <w:tcW w:w="1715" w:type="dxa"/>
            <w:vMerge/>
          </w:tcPr>
          <w:p w14:paraId="66952AFF" w14:textId="77777777" w:rsidR="003A76CE" w:rsidRPr="008A510B" w:rsidRDefault="003A76CE" w:rsidP="00692F65">
            <w:pPr>
              <w:spacing w:line="480" w:lineRule="auto"/>
              <w:rPr>
                <w:sz w:val="24"/>
                <w:szCs w:val="24"/>
              </w:rPr>
            </w:pPr>
          </w:p>
        </w:tc>
        <w:tc>
          <w:tcPr>
            <w:tcW w:w="1332" w:type="dxa"/>
          </w:tcPr>
          <w:p w14:paraId="039F78EB" w14:textId="5A8810F2" w:rsidR="003A76CE" w:rsidRPr="008A510B" w:rsidRDefault="003A76CE" w:rsidP="00692F65">
            <w:pPr>
              <w:pStyle w:val="TableParagraph"/>
              <w:spacing w:before="0" w:line="480" w:lineRule="auto"/>
              <w:ind w:left="98" w:right="91"/>
              <w:rPr>
                <w:sz w:val="24"/>
                <w:szCs w:val="24"/>
              </w:rPr>
            </w:pPr>
            <w:r w:rsidRPr="008A510B">
              <w:rPr>
                <w:sz w:val="24"/>
                <w:szCs w:val="24"/>
              </w:rPr>
              <w:t>2.5%</w:t>
            </w:r>
            <w:r w:rsidR="00D47947" w:rsidRPr="008A510B">
              <w:rPr>
                <w:sz w:val="24"/>
                <w:szCs w:val="24"/>
              </w:rPr>
              <w:t xml:space="preserve"> </w:t>
            </w:r>
            <w:r w:rsidRPr="008A510B">
              <w:rPr>
                <w:sz w:val="24"/>
                <w:szCs w:val="24"/>
              </w:rPr>
              <w:t>CRI</w:t>
            </w:r>
          </w:p>
        </w:tc>
        <w:tc>
          <w:tcPr>
            <w:tcW w:w="1278" w:type="dxa"/>
          </w:tcPr>
          <w:p w14:paraId="17EE81A7" w14:textId="06ED3B83" w:rsidR="003A76CE" w:rsidRPr="008A510B" w:rsidRDefault="003A76CE" w:rsidP="00692F65">
            <w:pPr>
              <w:pStyle w:val="TableParagraph"/>
              <w:spacing w:before="0" w:line="480" w:lineRule="auto"/>
              <w:ind w:right="74"/>
              <w:rPr>
                <w:sz w:val="24"/>
                <w:szCs w:val="24"/>
              </w:rPr>
            </w:pPr>
            <w:r w:rsidRPr="008A510B">
              <w:rPr>
                <w:sz w:val="24"/>
                <w:szCs w:val="24"/>
              </w:rPr>
              <w:t>-0.01</w:t>
            </w:r>
          </w:p>
        </w:tc>
      </w:tr>
      <w:tr w:rsidR="003A76CE" w:rsidRPr="008A510B" w14:paraId="2F5C4579" w14:textId="77777777" w:rsidTr="00F733EA">
        <w:trPr>
          <w:trHeight w:val="423"/>
        </w:trPr>
        <w:tc>
          <w:tcPr>
            <w:tcW w:w="1715" w:type="dxa"/>
            <w:vMerge/>
          </w:tcPr>
          <w:p w14:paraId="2F33E001" w14:textId="77777777" w:rsidR="003A76CE" w:rsidRPr="008A510B" w:rsidRDefault="003A76CE" w:rsidP="00692F65">
            <w:pPr>
              <w:spacing w:line="480" w:lineRule="auto"/>
              <w:rPr>
                <w:sz w:val="24"/>
                <w:szCs w:val="24"/>
              </w:rPr>
            </w:pPr>
          </w:p>
        </w:tc>
        <w:tc>
          <w:tcPr>
            <w:tcW w:w="1332" w:type="dxa"/>
          </w:tcPr>
          <w:p w14:paraId="74254E97" w14:textId="30FEFD0A" w:rsidR="003A76CE" w:rsidRPr="008A510B" w:rsidRDefault="003A76CE" w:rsidP="00692F65">
            <w:pPr>
              <w:pStyle w:val="TableParagraph"/>
              <w:spacing w:before="0" w:line="480" w:lineRule="auto"/>
              <w:ind w:left="98" w:right="91"/>
              <w:rPr>
                <w:sz w:val="24"/>
                <w:szCs w:val="24"/>
              </w:rPr>
            </w:pPr>
            <w:r w:rsidRPr="008A510B">
              <w:rPr>
                <w:sz w:val="24"/>
                <w:szCs w:val="24"/>
              </w:rPr>
              <w:t>97.5%</w:t>
            </w:r>
            <w:r w:rsidR="00D47947" w:rsidRPr="008A510B">
              <w:rPr>
                <w:sz w:val="24"/>
                <w:szCs w:val="24"/>
              </w:rPr>
              <w:t xml:space="preserve"> </w:t>
            </w:r>
            <w:r w:rsidRPr="008A510B">
              <w:rPr>
                <w:sz w:val="24"/>
                <w:szCs w:val="24"/>
              </w:rPr>
              <w:t>CRI</w:t>
            </w:r>
          </w:p>
        </w:tc>
        <w:tc>
          <w:tcPr>
            <w:tcW w:w="1278" w:type="dxa"/>
          </w:tcPr>
          <w:p w14:paraId="5644FAF4" w14:textId="5610D479" w:rsidR="003A76CE" w:rsidRPr="008A510B" w:rsidRDefault="003A76CE" w:rsidP="00692F65">
            <w:pPr>
              <w:pStyle w:val="TableParagraph"/>
              <w:spacing w:before="0" w:line="480" w:lineRule="auto"/>
              <w:ind w:right="73"/>
              <w:rPr>
                <w:sz w:val="24"/>
                <w:szCs w:val="24"/>
              </w:rPr>
            </w:pPr>
            <w:r w:rsidRPr="008A510B">
              <w:rPr>
                <w:sz w:val="24"/>
                <w:szCs w:val="24"/>
              </w:rPr>
              <w:t>0.07</w:t>
            </w:r>
          </w:p>
        </w:tc>
      </w:tr>
      <w:tr w:rsidR="003A76CE" w:rsidRPr="008A510B" w14:paraId="573C3766" w14:textId="77777777" w:rsidTr="00F733EA">
        <w:trPr>
          <w:trHeight w:val="423"/>
        </w:trPr>
        <w:tc>
          <w:tcPr>
            <w:tcW w:w="1715" w:type="dxa"/>
            <w:vMerge/>
            <w:tcBorders>
              <w:bottom w:val="single" w:sz="4" w:space="0" w:color="auto"/>
            </w:tcBorders>
          </w:tcPr>
          <w:p w14:paraId="01E1FCD7" w14:textId="77777777" w:rsidR="003A76CE" w:rsidRPr="008A510B" w:rsidRDefault="003A76CE" w:rsidP="00692F65">
            <w:pPr>
              <w:spacing w:line="480" w:lineRule="auto"/>
              <w:rPr>
                <w:sz w:val="24"/>
                <w:szCs w:val="24"/>
              </w:rPr>
            </w:pPr>
          </w:p>
        </w:tc>
        <w:tc>
          <w:tcPr>
            <w:tcW w:w="1332" w:type="dxa"/>
            <w:tcBorders>
              <w:bottom w:val="single" w:sz="4" w:space="0" w:color="auto"/>
            </w:tcBorders>
          </w:tcPr>
          <w:p w14:paraId="55AD7B54" w14:textId="77777777" w:rsidR="003A76CE" w:rsidRPr="008A510B" w:rsidRDefault="003A76CE" w:rsidP="00692F65">
            <w:pPr>
              <w:pStyle w:val="TableParagraph"/>
              <w:spacing w:before="0" w:line="480" w:lineRule="auto"/>
              <w:ind w:left="0" w:right="2"/>
              <w:rPr>
                <w:i/>
                <w:sz w:val="24"/>
                <w:szCs w:val="24"/>
              </w:rPr>
            </w:pPr>
            <w:r w:rsidRPr="008A510B">
              <w:rPr>
                <w:i/>
                <w:sz w:val="24"/>
                <w:szCs w:val="24"/>
              </w:rPr>
              <w:t>ξ</w:t>
            </w:r>
          </w:p>
        </w:tc>
        <w:tc>
          <w:tcPr>
            <w:tcW w:w="1278" w:type="dxa"/>
            <w:tcBorders>
              <w:bottom w:val="single" w:sz="4" w:space="0" w:color="auto"/>
            </w:tcBorders>
          </w:tcPr>
          <w:p w14:paraId="7B611A55" w14:textId="5EB41586" w:rsidR="003A76CE" w:rsidRPr="008A510B" w:rsidRDefault="003A76CE" w:rsidP="00692F65">
            <w:pPr>
              <w:pStyle w:val="TableParagraph"/>
              <w:spacing w:before="0" w:line="480" w:lineRule="auto"/>
              <w:ind w:right="73"/>
              <w:rPr>
                <w:sz w:val="24"/>
                <w:szCs w:val="24"/>
              </w:rPr>
            </w:pPr>
            <w:r w:rsidRPr="008A510B">
              <w:rPr>
                <w:sz w:val="24"/>
                <w:szCs w:val="24"/>
              </w:rPr>
              <w:t>0.9</w:t>
            </w:r>
            <w:r w:rsidR="00CC1997">
              <w:rPr>
                <w:sz w:val="24"/>
                <w:szCs w:val="24"/>
              </w:rPr>
              <w:t>2</w:t>
            </w:r>
          </w:p>
        </w:tc>
      </w:tr>
      <w:tr w:rsidR="003A76CE" w:rsidRPr="008A510B" w14:paraId="37A98841" w14:textId="77777777" w:rsidTr="00F733EA">
        <w:trPr>
          <w:trHeight w:val="431"/>
        </w:trPr>
        <w:tc>
          <w:tcPr>
            <w:tcW w:w="1715" w:type="dxa"/>
            <w:vMerge w:val="restart"/>
            <w:tcBorders>
              <w:top w:val="single" w:sz="4" w:space="0" w:color="auto"/>
            </w:tcBorders>
          </w:tcPr>
          <w:p w14:paraId="3C261C19" w14:textId="77777777" w:rsidR="003A76CE" w:rsidRPr="00C63ABB" w:rsidRDefault="003A76CE" w:rsidP="00692F65">
            <w:pPr>
              <w:pStyle w:val="TableParagraph"/>
              <w:spacing w:before="0" w:line="480" w:lineRule="auto"/>
              <w:ind w:left="0"/>
              <w:jc w:val="left"/>
              <w:rPr>
                <w:sz w:val="24"/>
                <w:szCs w:val="24"/>
              </w:rPr>
            </w:pPr>
          </w:p>
          <w:p w14:paraId="1D10AEF8" w14:textId="77777777" w:rsidR="003A76CE" w:rsidRPr="008A510B" w:rsidRDefault="003A76CE" w:rsidP="00692F65">
            <w:pPr>
              <w:pStyle w:val="TableParagraph"/>
              <w:spacing w:before="0" w:line="480" w:lineRule="auto"/>
              <w:ind w:left="0"/>
              <w:jc w:val="left"/>
              <w:rPr>
                <w:sz w:val="24"/>
                <w:szCs w:val="24"/>
              </w:rPr>
            </w:pPr>
          </w:p>
          <w:p w14:paraId="2415294D" w14:textId="77777777" w:rsidR="003A76CE" w:rsidRPr="008A510B" w:rsidRDefault="003A76CE" w:rsidP="00692F65">
            <w:pPr>
              <w:pStyle w:val="TableParagraph"/>
              <w:spacing w:before="0" w:line="480" w:lineRule="auto"/>
              <w:ind w:left="118"/>
              <w:jc w:val="left"/>
              <w:rPr>
                <w:sz w:val="24"/>
                <w:szCs w:val="24"/>
              </w:rPr>
            </w:pPr>
            <w:r w:rsidRPr="008A510B">
              <w:rPr>
                <w:sz w:val="24"/>
                <w:szCs w:val="24"/>
              </w:rPr>
              <w:t>Initiation Date</w:t>
            </w:r>
          </w:p>
        </w:tc>
        <w:tc>
          <w:tcPr>
            <w:tcW w:w="1332" w:type="dxa"/>
            <w:tcBorders>
              <w:top w:val="single" w:sz="4" w:space="0" w:color="auto"/>
            </w:tcBorders>
          </w:tcPr>
          <w:p w14:paraId="5ADE3435" w14:textId="77777777" w:rsidR="003A76CE" w:rsidRPr="008A510B" w:rsidRDefault="003A76CE" w:rsidP="00692F65">
            <w:pPr>
              <w:pStyle w:val="TableParagraph"/>
              <w:spacing w:before="0" w:line="480" w:lineRule="auto"/>
              <w:ind w:left="7"/>
              <w:rPr>
                <w:i/>
                <w:sz w:val="24"/>
                <w:szCs w:val="24"/>
              </w:rPr>
            </w:pPr>
            <w:r w:rsidRPr="008A510B">
              <w:rPr>
                <w:i/>
                <w:sz w:val="24"/>
                <w:szCs w:val="24"/>
              </w:rPr>
              <w:t>µ</w:t>
            </w:r>
          </w:p>
        </w:tc>
        <w:tc>
          <w:tcPr>
            <w:tcW w:w="1278" w:type="dxa"/>
            <w:tcBorders>
              <w:top w:val="single" w:sz="4" w:space="0" w:color="auto"/>
            </w:tcBorders>
          </w:tcPr>
          <w:p w14:paraId="1985A8CD" w14:textId="77777777" w:rsidR="003A76CE" w:rsidRPr="008A510B" w:rsidRDefault="003A76CE" w:rsidP="00692F65">
            <w:pPr>
              <w:pStyle w:val="TableParagraph"/>
              <w:spacing w:before="0" w:line="480" w:lineRule="auto"/>
              <w:ind w:right="74"/>
              <w:rPr>
                <w:sz w:val="24"/>
                <w:szCs w:val="24"/>
              </w:rPr>
            </w:pPr>
            <w:r w:rsidRPr="008A510B">
              <w:rPr>
                <w:sz w:val="24"/>
                <w:szCs w:val="24"/>
              </w:rPr>
              <w:t>-0.003</w:t>
            </w:r>
          </w:p>
        </w:tc>
      </w:tr>
      <w:tr w:rsidR="003A76CE" w:rsidRPr="008A510B" w14:paraId="0376BA16" w14:textId="77777777" w:rsidTr="00F733EA">
        <w:trPr>
          <w:trHeight w:val="423"/>
        </w:trPr>
        <w:tc>
          <w:tcPr>
            <w:tcW w:w="1715" w:type="dxa"/>
            <w:vMerge/>
          </w:tcPr>
          <w:p w14:paraId="7DDCFFE6" w14:textId="77777777" w:rsidR="003A76CE" w:rsidRPr="008A510B" w:rsidRDefault="003A76CE" w:rsidP="00692F65">
            <w:pPr>
              <w:spacing w:line="480" w:lineRule="auto"/>
              <w:rPr>
                <w:sz w:val="24"/>
                <w:szCs w:val="24"/>
              </w:rPr>
            </w:pPr>
          </w:p>
        </w:tc>
        <w:tc>
          <w:tcPr>
            <w:tcW w:w="1332" w:type="dxa"/>
          </w:tcPr>
          <w:p w14:paraId="2252160A" w14:textId="77777777" w:rsidR="003A76CE" w:rsidRPr="008A510B" w:rsidRDefault="003A76CE" w:rsidP="00692F65">
            <w:pPr>
              <w:pStyle w:val="TableParagraph"/>
              <w:spacing w:before="0" w:line="480" w:lineRule="auto"/>
              <w:ind w:left="0" w:right="1"/>
              <w:rPr>
                <w:i/>
                <w:sz w:val="24"/>
                <w:szCs w:val="24"/>
              </w:rPr>
            </w:pPr>
            <w:r w:rsidRPr="008A510B">
              <w:rPr>
                <w:i/>
                <w:sz w:val="24"/>
                <w:szCs w:val="24"/>
              </w:rPr>
              <w:t>σ</w:t>
            </w:r>
          </w:p>
        </w:tc>
        <w:tc>
          <w:tcPr>
            <w:tcW w:w="1278" w:type="dxa"/>
          </w:tcPr>
          <w:p w14:paraId="42243E4C" w14:textId="3DAAA147" w:rsidR="003A76CE" w:rsidRPr="008A510B" w:rsidRDefault="003A76CE" w:rsidP="00692F65">
            <w:pPr>
              <w:pStyle w:val="TableParagraph"/>
              <w:spacing w:before="0" w:line="480" w:lineRule="auto"/>
              <w:ind w:right="73"/>
              <w:rPr>
                <w:sz w:val="24"/>
                <w:szCs w:val="24"/>
              </w:rPr>
            </w:pPr>
            <w:r w:rsidRPr="008A510B">
              <w:rPr>
                <w:sz w:val="24"/>
                <w:szCs w:val="24"/>
              </w:rPr>
              <w:t>0.0</w:t>
            </w:r>
            <w:r w:rsidR="00CC1997">
              <w:rPr>
                <w:sz w:val="24"/>
                <w:szCs w:val="24"/>
              </w:rPr>
              <w:t>2</w:t>
            </w:r>
          </w:p>
        </w:tc>
      </w:tr>
      <w:tr w:rsidR="003A76CE" w:rsidRPr="008A510B" w14:paraId="7043FB88" w14:textId="77777777" w:rsidTr="00F733EA">
        <w:trPr>
          <w:trHeight w:val="423"/>
        </w:trPr>
        <w:tc>
          <w:tcPr>
            <w:tcW w:w="1715" w:type="dxa"/>
            <w:vMerge/>
          </w:tcPr>
          <w:p w14:paraId="7CCD949D" w14:textId="77777777" w:rsidR="003A76CE" w:rsidRPr="008A510B" w:rsidRDefault="003A76CE" w:rsidP="00692F65">
            <w:pPr>
              <w:spacing w:line="480" w:lineRule="auto"/>
              <w:rPr>
                <w:sz w:val="24"/>
                <w:szCs w:val="24"/>
              </w:rPr>
            </w:pPr>
          </w:p>
        </w:tc>
        <w:tc>
          <w:tcPr>
            <w:tcW w:w="1332" w:type="dxa"/>
          </w:tcPr>
          <w:p w14:paraId="75CB34D5" w14:textId="17C991BD" w:rsidR="003A76CE" w:rsidRPr="008A510B" w:rsidRDefault="003A76CE" w:rsidP="00692F65">
            <w:pPr>
              <w:pStyle w:val="TableParagraph"/>
              <w:spacing w:before="0" w:line="480" w:lineRule="auto"/>
              <w:ind w:left="98" w:right="91"/>
              <w:rPr>
                <w:sz w:val="24"/>
                <w:szCs w:val="24"/>
              </w:rPr>
            </w:pPr>
            <w:r w:rsidRPr="008A510B">
              <w:rPr>
                <w:sz w:val="24"/>
                <w:szCs w:val="24"/>
              </w:rPr>
              <w:t>2.5%</w:t>
            </w:r>
            <w:r w:rsidR="00D47947" w:rsidRPr="008A510B">
              <w:rPr>
                <w:sz w:val="24"/>
                <w:szCs w:val="24"/>
              </w:rPr>
              <w:t xml:space="preserve"> </w:t>
            </w:r>
            <w:r w:rsidRPr="008A510B">
              <w:rPr>
                <w:sz w:val="24"/>
                <w:szCs w:val="24"/>
              </w:rPr>
              <w:t>CRI</w:t>
            </w:r>
          </w:p>
        </w:tc>
        <w:tc>
          <w:tcPr>
            <w:tcW w:w="1278" w:type="dxa"/>
          </w:tcPr>
          <w:p w14:paraId="0FB6BB81" w14:textId="55F9F456" w:rsidR="003A76CE" w:rsidRPr="008A510B" w:rsidRDefault="003A76CE" w:rsidP="00692F65">
            <w:pPr>
              <w:pStyle w:val="TableParagraph"/>
              <w:spacing w:before="0" w:line="480" w:lineRule="auto"/>
              <w:ind w:right="74"/>
              <w:rPr>
                <w:sz w:val="24"/>
                <w:szCs w:val="24"/>
              </w:rPr>
            </w:pPr>
            <w:r w:rsidRPr="008A510B">
              <w:rPr>
                <w:sz w:val="24"/>
                <w:szCs w:val="24"/>
              </w:rPr>
              <w:t>-0.04</w:t>
            </w:r>
          </w:p>
        </w:tc>
      </w:tr>
      <w:tr w:rsidR="003A76CE" w:rsidRPr="008A510B" w14:paraId="2E740E0B" w14:textId="77777777" w:rsidTr="00F733EA">
        <w:trPr>
          <w:trHeight w:val="423"/>
        </w:trPr>
        <w:tc>
          <w:tcPr>
            <w:tcW w:w="1715" w:type="dxa"/>
            <w:vMerge/>
          </w:tcPr>
          <w:p w14:paraId="7B158F08" w14:textId="77777777" w:rsidR="003A76CE" w:rsidRPr="008A510B" w:rsidRDefault="003A76CE" w:rsidP="00692F65">
            <w:pPr>
              <w:spacing w:line="480" w:lineRule="auto"/>
              <w:rPr>
                <w:sz w:val="24"/>
                <w:szCs w:val="24"/>
              </w:rPr>
            </w:pPr>
          </w:p>
        </w:tc>
        <w:tc>
          <w:tcPr>
            <w:tcW w:w="1332" w:type="dxa"/>
          </w:tcPr>
          <w:p w14:paraId="051D2537" w14:textId="5346F8CF" w:rsidR="003A76CE" w:rsidRPr="008A510B" w:rsidRDefault="003A76CE" w:rsidP="00692F65">
            <w:pPr>
              <w:pStyle w:val="TableParagraph"/>
              <w:spacing w:before="0" w:line="480" w:lineRule="auto"/>
              <w:ind w:left="98" w:right="91"/>
              <w:rPr>
                <w:sz w:val="24"/>
                <w:szCs w:val="24"/>
              </w:rPr>
            </w:pPr>
            <w:r w:rsidRPr="008A510B">
              <w:rPr>
                <w:sz w:val="24"/>
                <w:szCs w:val="24"/>
              </w:rPr>
              <w:t>97.5%</w:t>
            </w:r>
            <w:r w:rsidR="00D47947" w:rsidRPr="008A510B">
              <w:rPr>
                <w:sz w:val="24"/>
                <w:szCs w:val="24"/>
              </w:rPr>
              <w:t xml:space="preserve"> </w:t>
            </w:r>
            <w:r w:rsidRPr="008A510B">
              <w:rPr>
                <w:sz w:val="24"/>
                <w:szCs w:val="24"/>
              </w:rPr>
              <w:t>CRI</w:t>
            </w:r>
          </w:p>
        </w:tc>
        <w:tc>
          <w:tcPr>
            <w:tcW w:w="1278" w:type="dxa"/>
          </w:tcPr>
          <w:p w14:paraId="4A295378" w14:textId="711F7562" w:rsidR="003A76CE" w:rsidRPr="008A510B" w:rsidRDefault="003A76CE" w:rsidP="00692F65">
            <w:pPr>
              <w:pStyle w:val="TableParagraph"/>
              <w:spacing w:before="0" w:line="480" w:lineRule="auto"/>
              <w:ind w:right="73"/>
              <w:rPr>
                <w:sz w:val="24"/>
                <w:szCs w:val="24"/>
              </w:rPr>
            </w:pPr>
            <w:r w:rsidRPr="008A510B">
              <w:rPr>
                <w:sz w:val="24"/>
                <w:szCs w:val="24"/>
              </w:rPr>
              <w:t>0.03</w:t>
            </w:r>
          </w:p>
        </w:tc>
      </w:tr>
      <w:tr w:rsidR="003A76CE" w:rsidRPr="008A510B" w14:paraId="7A9BC208" w14:textId="77777777" w:rsidTr="00F733EA">
        <w:trPr>
          <w:trHeight w:val="423"/>
        </w:trPr>
        <w:tc>
          <w:tcPr>
            <w:tcW w:w="1715" w:type="dxa"/>
            <w:vMerge/>
            <w:tcBorders>
              <w:bottom w:val="single" w:sz="4" w:space="0" w:color="auto"/>
            </w:tcBorders>
          </w:tcPr>
          <w:p w14:paraId="354B819B" w14:textId="77777777" w:rsidR="003A76CE" w:rsidRPr="008A510B" w:rsidRDefault="003A76CE" w:rsidP="00692F65">
            <w:pPr>
              <w:spacing w:line="480" w:lineRule="auto"/>
              <w:rPr>
                <w:sz w:val="24"/>
                <w:szCs w:val="24"/>
              </w:rPr>
            </w:pPr>
          </w:p>
        </w:tc>
        <w:tc>
          <w:tcPr>
            <w:tcW w:w="1332" w:type="dxa"/>
            <w:tcBorders>
              <w:bottom w:val="single" w:sz="4" w:space="0" w:color="auto"/>
            </w:tcBorders>
          </w:tcPr>
          <w:p w14:paraId="2CB7E755" w14:textId="77777777" w:rsidR="003A76CE" w:rsidRPr="008A510B" w:rsidRDefault="003A76CE" w:rsidP="00692F65">
            <w:pPr>
              <w:pStyle w:val="TableParagraph"/>
              <w:spacing w:before="0" w:line="480" w:lineRule="auto"/>
              <w:ind w:left="0" w:right="2"/>
              <w:rPr>
                <w:i/>
                <w:sz w:val="24"/>
                <w:szCs w:val="24"/>
              </w:rPr>
            </w:pPr>
            <w:r w:rsidRPr="008A510B">
              <w:rPr>
                <w:i/>
                <w:sz w:val="24"/>
                <w:szCs w:val="24"/>
              </w:rPr>
              <w:t>ξ</w:t>
            </w:r>
          </w:p>
        </w:tc>
        <w:tc>
          <w:tcPr>
            <w:tcW w:w="1278" w:type="dxa"/>
            <w:tcBorders>
              <w:bottom w:val="single" w:sz="4" w:space="0" w:color="auto"/>
            </w:tcBorders>
          </w:tcPr>
          <w:p w14:paraId="2632816C" w14:textId="5EE73140" w:rsidR="003A76CE" w:rsidRPr="008A510B" w:rsidRDefault="003A76CE" w:rsidP="00692F65">
            <w:pPr>
              <w:pStyle w:val="TableParagraph"/>
              <w:spacing w:before="0" w:line="480" w:lineRule="auto"/>
              <w:ind w:right="73"/>
              <w:rPr>
                <w:sz w:val="24"/>
                <w:szCs w:val="24"/>
              </w:rPr>
            </w:pPr>
            <w:r w:rsidRPr="008A510B">
              <w:rPr>
                <w:sz w:val="24"/>
                <w:szCs w:val="24"/>
              </w:rPr>
              <w:t>0.5</w:t>
            </w:r>
            <w:r w:rsidR="00CC1997">
              <w:rPr>
                <w:sz w:val="24"/>
                <w:szCs w:val="24"/>
              </w:rPr>
              <w:t>6</w:t>
            </w:r>
          </w:p>
        </w:tc>
      </w:tr>
      <w:tr w:rsidR="003A76CE" w:rsidRPr="008A510B" w14:paraId="407EBD2D" w14:textId="77777777" w:rsidTr="00F733EA">
        <w:trPr>
          <w:trHeight w:val="431"/>
        </w:trPr>
        <w:tc>
          <w:tcPr>
            <w:tcW w:w="1715" w:type="dxa"/>
            <w:vMerge w:val="restart"/>
            <w:tcBorders>
              <w:top w:val="single" w:sz="4" w:space="0" w:color="auto"/>
            </w:tcBorders>
          </w:tcPr>
          <w:p w14:paraId="446F96C8" w14:textId="77777777" w:rsidR="003A76CE" w:rsidRPr="00C63ABB" w:rsidRDefault="003A76CE" w:rsidP="00692F65">
            <w:pPr>
              <w:pStyle w:val="TableParagraph"/>
              <w:spacing w:before="0" w:line="480" w:lineRule="auto"/>
              <w:ind w:left="0"/>
              <w:jc w:val="left"/>
              <w:rPr>
                <w:sz w:val="24"/>
                <w:szCs w:val="24"/>
              </w:rPr>
            </w:pPr>
          </w:p>
          <w:p w14:paraId="07F84376" w14:textId="77777777" w:rsidR="003A76CE" w:rsidRPr="008A510B" w:rsidRDefault="003A76CE" w:rsidP="00692F65">
            <w:pPr>
              <w:pStyle w:val="TableParagraph"/>
              <w:spacing w:before="0" w:line="480" w:lineRule="auto"/>
              <w:ind w:left="0"/>
              <w:jc w:val="left"/>
              <w:rPr>
                <w:sz w:val="24"/>
                <w:szCs w:val="24"/>
              </w:rPr>
            </w:pPr>
          </w:p>
          <w:p w14:paraId="5A40C04F" w14:textId="77777777" w:rsidR="003A76CE" w:rsidRPr="008A510B" w:rsidRDefault="003A76CE" w:rsidP="00692F65">
            <w:pPr>
              <w:pStyle w:val="TableParagraph"/>
              <w:spacing w:before="0" w:line="480" w:lineRule="auto"/>
              <w:ind w:left="321"/>
              <w:jc w:val="left"/>
              <w:rPr>
                <w:sz w:val="24"/>
                <w:szCs w:val="24"/>
              </w:rPr>
            </w:pPr>
            <w:r w:rsidRPr="008A510B">
              <w:rPr>
                <w:sz w:val="24"/>
                <w:szCs w:val="24"/>
              </w:rPr>
              <w:t>Interaction</w:t>
            </w:r>
          </w:p>
        </w:tc>
        <w:tc>
          <w:tcPr>
            <w:tcW w:w="1332" w:type="dxa"/>
            <w:tcBorders>
              <w:top w:val="single" w:sz="4" w:space="0" w:color="auto"/>
            </w:tcBorders>
          </w:tcPr>
          <w:p w14:paraId="011E8A9E" w14:textId="77777777" w:rsidR="003A76CE" w:rsidRPr="008A510B" w:rsidRDefault="003A76CE" w:rsidP="00692F65">
            <w:pPr>
              <w:pStyle w:val="TableParagraph"/>
              <w:spacing w:before="0" w:line="480" w:lineRule="auto"/>
              <w:ind w:left="7"/>
              <w:rPr>
                <w:i/>
                <w:sz w:val="24"/>
                <w:szCs w:val="24"/>
              </w:rPr>
            </w:pPr>
            <w:r w:rsidRPr="008A510B">
              <w:rPr>
                <w:i/>
                <w:sz w:val="24"/>
                <w:szCs w:val="24"/>
              </w:rPr>
              <w:t>µ</w:t>
            </w:r>
          </w:p>
        </w:tc>
        <w:tc>
          <w:tcPr>
            <w:tcW w:w="1278" w:type="dxa"/>
            <w:tcBorders>
              <w:top w:val="single" w:sz="4" w:space="0" w:color="auto"/>
            </w:tcBorders>
          </w:tcPr>
          <w:p w14:paraId="0BB882CE" w14:textId="66595FCE" w:rsidR="003A76CE" w:rsidRPr="008A510B" w:rsidRDefault="003A76CE" w:rsidP="00692F65">
            <w:pPr>
              <w:pStyle w:val="TableParagraph"/>
              <w:spacing w:before="0" w:line="480" w:lineRule="auto"/>
              <w:ind w:right="73"/>
              <w:rPr>
                <w:sz w:val="24"/>
                <w:szCs w:val="24"/>
              </w:rPr>
            </w:pPr>
            <w:r w:rsidRPr="008A510B">
              <w:rPr>
                <w:sz w:val="24"/>
                <w:szCs w:val="24"/>
              </w:rPr>
              <w:t>0.03</w:t>
            </w:r>
          </w:p>
        </w:tc>
      </w:tr>
      <w:tr w:rsidR="003A76CE" w:rsidRPr="008A510B" w14:paraId="46423DA7" w14:textId="77777777" w:rsidTr="00F733EA">
        <w:trPr>
          <w:trHeight w:val="423"/>
        </w:trPr>
        <w:tc>
          <w:tcPr>
            <w:tcW w:w="1715" w:type="dxa"/>
            <w:vMerge/>
          </w:tcPr>
          <w:p w14:paraId="592C505C" w14:textId="77777777" w:rsidR="003A76CE" w:rsidRPr="008A510B" w:rsidRDefault="003A76CE" w:rsidP="00692F65">
            <w:pPr>
              <w:spacing w:line="480" w:lineRule="auto"/>
              <w:rPr>
                <w:sz w:val="24"/>
                <w:szCs w:val="24"/>
              </w:rPr>
            </w:pPr>
          </w:p>
        </w:tc>
        <w:tc>
          <w:tcPr>
            <w:tcW w:w="1332" w:type="dxa"/>
          </w:tcPr>
          <w:p w14:paraId="1413B5E3" w14:textId="77777777" w:rsidR="003A76CE" w:rsidRPr="008A510B" w:rsidRDefault="003A76CE" w:rsidP="00692F65">
            <w:pPr>
              <w:pStyle w:val="TableParagraph"/>
              <w:spacing w:before="0" w:line="480" w:lineRule="auto"/>
              <w:ind w:left="0" w:right="1"/>
              <w:rPr>
                <w:i/>
                <w:sz w:val="24"/>
                <w:szCs w:val="24"/>
              </w:rPr>
            </w:pPr>
            <w:r w:rsidRPr="008A510B">
              <w:rPr>
                <w:i/>
                <w:sz w:val="24"/>
                <w:szCs w:val="24"/>
              </w:rPr>
              <w:t>σ</w:t>
            </w:r>
          </w:p>
        </w:tc>
        <w:tc>
          <w:tcPr>
            <w:tcW w:w="1278" w:type="dxa"/>
          </w:tcPr>
          <w:p w14:paraId="53357E7C" w14:textId="0DBD4FD6" w:rsidR="003A76CE" w:rsidRPr="008A510B" w:rsidRDefault="003A76CE" w:rsidP="00692F65">
            <w:pPr>
              <w:pStyle w:val="TableParagraph"/>
              <w:spacing w:before="0" w:line="480" w:lineRule="auto"/>
              <w:ind w:right="73"/>
              <w:rPr>
                <w:sz w:val="24"/>
                <w:szCs w:val="24"/>
              </w:rPr>
            </w:pPr>
            <w:r w:rsidRPr="008A510B">
              <w:rPr>
                <w:sz w:val="24"/>
                <w:szCs w:val="24"/>
              </w:rPr>
              <w:t>0.02</w:t>
            </w:r>
          </w:p>
        </w:tc>
      </w:tr>
      <w:tr w:rsidR="003A76CE" w:rsidRPr="008A510B" w14:paraId="7D10FEEF" w14:textId="77777777" w:rsidTr="00F733EA">
        <w:trPr>
          <w:trHeight w:val="423"/>
        </w:trPr>
        <w:tc>
          <w:tcPr>
            <w:tcW w:w="1715" w:type="dxa"/>
            <w:vMerge/>
          </w:tcPr>
          <w:p w14:paraId="76440B01" w14:textId="77777777" w:rsidR="003A76CE" w:rsidRPr="008A510B" w:rsidRDefault="003A76CE" w:rsidP="00692F65">
            <w:pPr>
              <w:spacing w:line="480" w:lineRule="auto"/>
              <w:rPr>
                <w:sz w:val="24"/>
                <w:szCs w:val="24"/>
              </w:rPr>
            </w:pPr>
          </w:p>
        </w:tc>
        <w:tc>
          <w:tcPr>
            <w:tcW w:w="1332" w:type="dxa"/>
          </w:tcPr>
          <w:p w14:paraId="2B670F50" w14:textId="64C3FA68" w:rsidR="003A76CE" w:rsidRPr="008A510B" w:rsidRDefault="003A76CE" w:rsidP="00692F65">
            <w:pPr>
              <w:pStyle w:val="TableParagraph"/>
              <w:spacing w:before="0" w:line="480" w:lineRule="auto"/>
              <w:ind w:left="98" w:right="91"/>
              <w:rPr>
                <w:sz w:val="24"/>
                <w:szCs w:val="24"/>
              </w:rPr>
            </w:pPr>
            <w:r w:rsidRPr="008A510B">
              <w:rPr>
                <w:sz w:val="24"/>
                <w:szCs w:val="24"/>
              </w:rPr>
              <w:t>2.5%</w:t>
            </w:r>
            <w:r w:rsidR="00D47947" w:rsidRPr="008A510B">
              <w:rPr>
                <w:sz w:val="24"/>
                <w:szCs w:val="24"/>
              </w:rPr>
              <w:t xml:space="preserve"> </w:t>
            </w:r>
            <w:r w:rsidRPr="008A510B">
              <w:rPr>
                <w:sz w:val="24"/>
                <w:szCs w:val="24"/>
              </w:rPr>
              <w:t>CRI</w:t>
            </w:r>
          </w:p>
        </w:tc>
        <w:tc>
          <w:tcPr>
            <w:tcW w:w="1278" w:type="dxa"/>
          </w:tcPr>
          <w:p w14:paraId="2BC343E9" w14:textId="32AC6ABB" w:rsidR="003A76CE" w:rsidRPr="008A510B" w:rsidRDefault="003A76CE" w:rsidP="00692F65">
            <w:pPr>
              <w:pStyle w:val="TableParagraph"/>
              <w:spacing w:before="0" w:line="480" w:lineRule="auto"/>
              <w:ind w:right="74"/>
              <w:rPr>
                <w:sz w:val="24"/>
                <w:szCs w:val="24"/>
              </w:rPr>
            </w:pPr>
            <w:r w:rsidRPr="008A510B">
              <w:rPr>
                <w:sz w:val="24"/>
                <w:szCs w:val="24"/>
              </w:rPr>
              <w:t>-0.0</w:t>
            </w:r>
            <w:r w:rsidR="00CC1997">
              <w:rPr>
                <w:sz w:val="24"/>
                <w:szCs w:val="24"/>
              </w:rPr>
              <w:t>7</w:t>
            </w:r>
          </w:p>
        </w:tc>
      </w:tr>
      <w:tr w:rsidR="003A76CE" w:rsidRPr="008A510B" w14:paraId="7BC0853B" w14:textId="77777777" w:rsidTr="00F733EA">
        <w:trPr>
          <w:trHeight w:val="423"/>
        </w:trPr>
        <w:tc>
          <w:tcPr>
            <w:tcW w:w="1715" w:type="dxa"/>
            <w:vMerge/>
          </w:tcPr>
          <w:p w14:paraId="101106FF" w14:textId="77777777" w:rsidR="003A76CE" w:rsidRPr="008A510B" w:rsidRDefault="003A76CE" w:rsidP="00692F65">
            <w:pPr>
              <w:spacing w:line="480" w:lineRule="auto"/>
              <w:rPr>
                <w:sz w:val="24"/>
                <w:szCs w:val="24"/>
              </w:rPr>
            </w:pPr>
          </w:p>
        </w:tc>
        <w:tc>
          <w:tcPr>
            <w:tcW w:w="1332" w:type="dxa"/>
          </w:tcPr>
          <w:p w14:paraId="784614F6" w14:textId="4D6A667C" w:rsidR="003A76CE" w:rsidRPr="008A510B" w:rsidRDefault="003A76CE" w:rsidP="00692F65">
            <w:pPr>
              <w:pStyle w:val="TableParagraph"/>
              <w:spacing w:before="0" w:line="480" w:lineRule="auto"/>
              <w:ind w:left="98" w:right="91"/>
              <w:rPr>
                <w:sz w:val="24"/>
                <w:szCs w:val="24"/>
              </w:rPr>
            </w:pPr>
            <w:r w:rsidRPr="008A510B">
              <w:rPr>
                <w:sz w:val="24"/>
                <w:szCs w:val="24"/>
              </w:rPr>
              <w:t>97.5%</w:t>
            </w:r>
            <w:r w:rsidR="00D47947" w:rsidRPr="008A510B">
              <w:rPr>
                <w:sz w:val="24"/>
                <w:szCs w:val="24"/>
              </w:rPr>
              <w:t xml:space="preserve"> </w:t>
            </w:r>
            <w:r w:rsidRPr="008A510B">
              <w:rPr>
                <w:sz w:val="24"/>
                <w:szCs w:val="24"/>
              </w:rPr>
              <w:t>CRI</w:t>
            </w:r>
          </w:p>
        </w:tc>
        <w:tc>
          <w:tcPr>
            <w:tcW w:w="1278" w:type="dxa"/>
          </w:tcPr>
          <w:p w14:paraId="339F27A4" w14:textId="1B87654C" w:rsidR="003A76CE" w:rsidRPr="008A510B" w:rsidRDefault="003A76CE" w:rsidP="00692F65">
            <w:pPr>
              <w:pStyle w:val="TableParagraph"/>
              <w:spacing w:before="0" w:line="480" w:lineRule="auto"/>
              <w:ind w:right="73"/>
              <w:rPr>
                <w:sz w:val="24"/>
                <w:szCs w:val="24"/>
              </w:rPr>
            </w:pPr>
            <w:r w:rsidRPr="008A510B">
              <w:rPr>
                <w:sz w:val="24"/>
                <w:szCs w:val="24"/>
              </w:rPr>
              <w:t>0.0</w:t>
            </w:r>
            <w:r w:rsidR="00CC1997">
              <w:rPr>
                <w:sz w:val="24"/>
                <w:szCs w:val="24"/>
              </w:rPr>
              <w:t>8</w:t>
            </w:r>
          </w:p>
        </w:tc>
      </w:tr>
      <w:tr w:rsidR="003A76CE" w:rsidRPr="008A510B" w14:paraId="2C794060" w14:textId="77777777" w:rsidTr="00F733EA">
        <w:trPr>
          <w:trHeight w:val="423"/>
        </w:trPr>
        <w:tc>
          <w:tcPr>
            <w:tcW w:w="1715" w:type="dxa"/>
            <w:vMerge/>
            <w:tcBorders>
              <w:bottom w:val="single" w:sz="4" w:space="0" w:color="auto"/>
            </w:tcBorders>
          </w:tcPr>
          <w:p w14:paraId="23C433A7" w14:textId="77777777" w:rsidR="003A76CE" w:rsidRPr="008A510B" w:rsidRDefault="003A76CE" w:rsidP="00692F65">
            <w:pPr>
              <w:spacing w:line="480" w:lineRule="auto"/>
              <w:rPr>
                <w:sz w:val="24"/>
                <w:szCs w:val="24"/>
              </w:rPr>
            </w:pPr>
          </w:p>
        </w:tc>
        <w:tc>
          <w:tcPr>
            <w:tcW w:w="1332" w:type="dxa"/>
            <w:tcBorders>
              <w:bottom w:val="single" w:sz="4" w:space="0" w:color="auto"/>
            </w:tcBorders>
          </w:tcPr>
          <w:p w14:paraId="38FE5407" w14:textId="77777777" w:rsidR="003A76CE" w:rsidRPr="008A510B" w:rsidRDefault="003A76CE" w:rsidP="00692F65">
            <w:pPr>
              <w:pStyle w:val="TableParagraph"/>
              <w:spacing w:before="0" w:line="480" w:lineRule="auto"/>
              <w:ind w:left="0" w:right="2"/>
              <w:rPr>
                <w:i/>
                <w:sz w:val="24"/>
                <w:szCs w:val="24"/>
              </w:rPr>
            </w:pPr>
            <w:r w:rsidRPr="008A510B">
              <w:rPr>
                <w:i/>
                <w:sz w:val="24"/>
                <w:szCs w:val="24"/>
              </w:rPr>
              <w:t>ξ</w:t>
            </w:r>
          </w:p>
        </w:tc>
        <w:tc>
          <w:tcPr>
            <w:tcW w:w="1278" w:type="dxa"/>
            <w:tcBorders>
              <w:bottom w:val="single" w:sz="4" w:space="0" w:color="auto"/>
            </w:tcBorders>
          </w:tcPr>
          <w:p w14:paraId="0FEA5987" w14:textId="3445D486" w:rsidR="003A76CE" w:rsidRPr="008A510B" w:rsidRDefault="003A76CE" w:rsidP="00692F65">
            <w:pPr>
              <w:pStyle w:val="TableParagraph"/>
              <w:spacing w:before="0" w:line="480" w:lineRule="auto"/>
              <w:ind w:right="73"/>
              <w:rPr>
                <w:sz w:val="24"/>
                <w:szCs w:val="24"/>
              </w:rPr>
            </w:pPr>
            <w:r w:rsidRPr="008A510B">
              <w:rPr>
                <w:sz w:val="24"/>
                <w:szCs w:val="24"/>
              </w:rPr>
              <w:t>0.89</w:t>
            </w:r>
          </w:p>
        </w:tc>
      </w:tr>
    </w:tbl>
    <w:p w14:paraId="42A75C6C" w14:textId="77777777" w:rsidR="003A76CE" w:rsidRPr="00C63ABB" w:rsidRDefault="003A76CE" w:rsidP="00C63ABB">
      <w:pPr>
        <w:spacing w:line="480" w:lineRule="auto"/>
        <w:rPr>
          <w:sz w:val="24"/>
          <w:szCs w:val="24"/>
        </w:rPr>
        <w:sectPr w:rsidR="003A76CE" w:rsidRPr="00C63ABB" w:rsidSect="00692F65">
          <w:pgSz w:w="12240" w:h="15840"/>
          <w:pgMar w:top="1440" w:right="1440" w:bottom="1440" w:left="1440" w:header="0" w:footer="867" w:gutter="0"/>
          <w:cols w:space="720"/>
        </w:sectPr>
      </w:pPr>
    </w:p>
    <w:p w14:paraId="49654CAE" w14:textId="7930F7E3" w:rsidR="003A76CE" w:rsidRPr="008A510B" w:rsidRDefault="003A76CE" w:rsidP="009A2068">
      <w:pPr>
        <w:pStyle w:val="BodyText"/>
        <w:spacing w:line="480" w:lineRule="auto"/>
        <w:ind w:left="120" w:right="584"/>
      </w:pPr>
      <w:r w:rsidRPr="00C63ABB">
        <w:rPr>
          <w:b/>
          <w:bCs/>
        </w:rPr>
        <w:lastRenderedPageBreak/>
        <w:t xml:space="preserve">Table 3. </w:t>
      </w:r>
      <w:r w:rsidRPr="008A510B">
        <w:t xml:space="preserve">Estimates of </w:t>
      </w:r>
      <w:r w:rsidRPr="008A510B">
        <w:rPr>
          <w:i/>
        </w:rPr>
        <w:t xml:space="preserve">β </w:t>
      </w:r>
      <w:r w:rsidRPr="008A510B">
        <w:t xml:space="preserve">parameters for the relationships between average lifetime clutch size, nest initiation date, and their interaction on breeding probability. Estimates come from hierarchical Bayesian robust design models that used reproductive and capture-recapture data collected from female </w:t>
      </w:r>
      <w:r w:rsidR="00A6239B" w:rsidRPr="008A510B">
        <w:t xml:space="preserve">black brant </w:t>
      </w:r>
      <w:r w:rsidRPr="008A510B">
        <w:t>breeding on the Yukon-Kuskokwim Delta, Alaska (1988 — 2014).</w:t>
      </w:r>
      <w:r w:rsidR="00CC1997">
        <w:t xml:space="preserve"> Parameters include the mean (</w:t>
      </w:r>
      <w:r w:rsidR="00CC1997" w:rsidRPr="008A510B">
        <w:rPr>
          <w:i/>
        </w:rPr>
        <w:t>µ</w:t>
      </w:r>
      <w:r w:rsidR="00CC1997">
        <w:rPr>
          <w:iCs/>
        </w:rPr>
        <w:t>), standard deviation (</w:t>
      </w:r>
      <w:r w:rsidR="00CC1997" w:rsidRPr="008A510B">
        <w:rPr>
          <w:i/>
        </w:rPr>
        <w:t>σ</w:t>
      </w:r>
      <w:r w:rsidR="00CC1997">
        <w:rPr>
          <w:iCs/>
        </w:rPr>
        <w:t>), 95% credible intervals (CRI), and the proportion of the posterior distribution on the same side of 0 as the mean (</w:t>
      </w:r>
      <w:r w:rsidR="00CC1997" w:rsidRPr="008A510B">
        <w:rPr>
          <w:i/>
        </w:rPr>
        <w:t>ξ</w:t>
      </w:r>
      <w:r w:rsidR="00CC1997">
        <w:rPr>
          <w:iCs/>
        </w:rPr>
        <w:t>).</w:t>
      </w:r>
    </w:p>
    <w:tbl>
      <w:tblPr>
        <w:tblW w:w="0" w:type="auto"/>
        <w:tblInd w:w="2780"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764"/>
        <w:gridCol w:w="1283"/>
        <w:gridCol w:w="1003"/>
      </w:tblGrid>
      <w:tr w:rsidR="003A76CE" w:rsidRPr="008A510B" w14:paraId="2AA6638C" w14:textId="77777777" w:rsidTr="00F733EA">
        <w:trPr>
          <w:trHeight w:val="431"/>
        </w:trPr>
        <w:tc>
          <w:tcPr>
            <w:tcW w:w="1764" w:type="dxa"/>
            <w:tcBorders>
              <w:bottom w:val="single" w:sz="4" w:space="0" w:color="auto"/>
            </w:tcBorders>
          </w:tcPr>
          <w:p w14:paraId="4E3B9BC8" w14:textId="77777777" w:rsidR="003A76CE" w:rsidRPr="008A510B" w:rsidRDefault="003A76CE" w:rsidP="00692F65">
            <w:pPr>
              <w:pStyle w:val="TableParagraph"/>
              <w:spacing w:before="0" w:line="480" w:lineRule="auto"/>
              <w:ind w:left="0"/>
              <w:jc w:val="left"/>
              <w:rPr>
                <w:sz w:val="24"/>
                <w:szCs w:val="24"/>
              </w:rPr>
            </w:pPr>
          </w:p>
        </w:tc>
        <w:tc>
          <w:tcPr>
            <w:tcW w:w="1283" w:type="dxa"/>
            <w:tcBorders>
              <w:bottom w:val="single" w:sz="4" w:space="0" w:color="auto"/>
            </w:tcBorders>
          </w:tcPr>
          <w:p w14:paraId="5FD42910" w14:textId="77777777" w:rsidR="003A76CE" w:rsidRPr="008A510B" w:rsidRDefault="003A76CE" w:rsidP="00692F65">
            <w:pPr>
              <w:pStyle w:val="TableParagraph"/>
              <w:spacing w:before="0" w:line="480" w:lineRule="auto"/>
              <w:ind w:left="98" w:right="91"/>
              <w:rPr>
                <w:b/>
                <w:sz w:val="24"/>
                <w:szCs w:val="24"/>
              </w:rPr>
            </w:pPr>
            <w:r w:rsidRPr="008A510B">
              <w:rPr>
                <w:b/>
                <w:sz w:val="24"/>
                <w:szCs w:val="24"/>
              </w:rPr>
              <w:t>Estimate</w:t>
            </w:r>
          </w:p>
        </w:tc>
        <w:tc>
          <w:tcPr>
            <w:tcW w:w="1003" w:type="dxa"/>
            <w:tcBorders>
              <w:bottom w:val="single" w:sz="4" w:space="0" w:color="auto"/>
            </w:tcBorders>
          </w:tcPr>
          <w:p w14:paraId="693829BF" w14:textId="77777777" w:rsidR="003A76CE" w:rsidRPr="008A510B" w:rsidRDefault="003A76CE" w:rsidP="00692F65">
            <w:pPr>
              <w:pStyle w:val="TableParagraph"/>
              <w:spacing w:before="0" w:line="480" w:lineRule="auto"/>
              <w:ind w:right="74"/>
              <w:rPr>
                <w:b/>
                <w:sz w:val="24"/>
                <w:szCs w:val="24"/>
              </w:rPr>
            </w:pPr>
            <w:r w:rsidRPr="008A510B">
              <w:rPr>
                <w:b/>
                <w:sz w:val="24"/>
                <w:szCs w:val="24"/>
              </w:rPr>
              <w:t>Values</w:t>
            </w:r>
          </w:p>
        </w:tc>
      </w:tr>
      <w:tr w:rsidR="003A76CE" w:rsidRPr="008A510B" w14:paraId="518A669E" w14:textId="77777777" w:rsidTr="00F733EA">
        <w:trPr>
          <w:trHeight w:val="431"/>
        </w:trPr>
        <w:tc>
          <w:tcPr>
            <w:tcW w:w="1764" w:type="dxa"/>
            <w:vMerge w:val="restart"/>
            <w:tcBorders>
              <w:top w:val="single" w:sz="4" w:space="0" w:color="auto"/>
            </w:tcBorders>
          </w:tcPr>
          <w:p w14:paraId="4C45BF8F" w14:textId="77777777" w:rsidR="003A76CE" w:rsidRPr="00C63ABB" w:rsidRDefault="003A76CE" w:rsidP="00692F65">
            <w:pPr>
              <w:pStyle w:val="TableParagraph"/>
              <w:spacing w:before="0" w:line="480" w:lineRule="auto"/>
              <w:ind w:left="0"/>
              <w:jc w:val="left"/>
              <w:rPr>
                <w:sz w:val="24"/>
                <w:szCs w:val="24"/>
              </w:rPr>
            </w:pPr>
          </w:p>
          <w:p w14:paraId="2AD2B8A7" w14:textId="77777777" w:rsidR="003A76CE" w:rsidRPr="008A510B" w:rsidRDefault="003A76CE" w:rsidP="00692F65">
            <w:pPr>
              <w:pStyle w:val="TableParagraph"/>
              <w:spacing w:before="0" w:line="480" w:lineRule="auto"/>
              <w:ind w:left="0"/>
              <w:jc w:val="left"/>
              <w:rPr>
                <w:sz w:val="24"/>
                <w:szCs w:val="24"/>
              </w:rPr>
            </w:pPr>
          </w:p>
          <w:p w14:paraId="7102A120" w14:textId="77777777" w:rsidR="003A76CE" w:rsidRPr="008A510B" w:rsidRDefault="003A76CE" w:rsidP="00692F65">
            <w:pPr>
              <w:pStyle w:val="TableParagraph"/>
              <w:spacing w:before="0" w:line="480" w:lineRule="auto"/>
              <w:ind w:left="298"/>
              <w:jc w:val="left"/>
              <w:rPr>
                <w:sz w:val="24"/>
                <w:szCs w:val="24"/>
              </w:rPr>
            </w:pPr>
            <w:r w:rsidRPr="008A510B">
              <w:rPr>
                <w:sz w:val="24"/>
                <w:szCs w:val="24"/>
              </w:rPr>
              <w:t>Clutch Size</w:t>
            </w:r>
          </w:p>
        </w:tc>
        <w:tc>
          <w:tcPr>
            <w:tcW w:w="1283" w:type="dxa"/>
            <w:tcBorders>
              <w:top w:val="single" w:sz="4" w:space="0" w:color="auto"/>
            </w:tcBorders>
          </w:tcPr>
          <w:p w14:paraId="0CEC4D40" w14:textId="77777777" w:rsidR="003A76CE" w:rsidRPr="008A510B" w:rsidRDefault="003A76CE" w:rsidP="00692F65">
            <w:pPr>
              <w:pStyle w:val="TableParagraph"/>
              <w:spacing w:before="0" w:line="480" w:lineRule="auto"/>
              <w:ind w:left="7"/>
              <w:rPr>
                <w:i/>
                <w:sz w:val="24"/>
                <w:szCs w:val="24"/>
              </w:rPr>
            </w:pPr>
            <w:r w:rsidRPr="008A510B">
              <w:rPr>
                <w:i/>
                <w:sz w:val="24"/>
                <w:szCs w:val="24"/>
              </w:rPr>
              <w:t>µ</w:t>
            </w:r>
          </w:p>
        </w:tc>
        <w:tc>
          <w:tcPr>
            <w:tcW w:w="1003" w:type="dxa"/>
            <w:tcBorders>
              <w:top w:val="single" w:sz="4" w:space="0" w:color="auto"/>
            </w:tcBorders>
          </w:tcPr>
          <w:p w14:paraId="605C5735" w14:textId="75F6F031" w:rsidR="003A76CE" w:rsidRPr="008A510B" w:rsidRDefault="003A76CE" w:rsidP="00692F65">
            <w:pPr>
              <w:pStyle w:val="TableParagraph"/>
              <w:spacing w:before="0" w:line="480" w:lineRule="auto"/>
              <w:ind w:right="73"/>
              <w:rPr>
                <w:sz w:val="24"/>
                <w:szCs w:val="24"/>
              </w:rPr>
            </w:pPr>
            <w:r w:rsidRPr="008A510B">
              <w:rPr>
                <w:sz w:val="24"/>
                <w:szCs w:val="24"/>
              </w:rPr>
              <w:t>0.4</w:t>
            </w:r>
            <w:r w:rsidR="00CC1997">
              <w:rPr>
                <w:sz w:val="24"/>
                <w:szCs w:val="24"/>
              </w:rPr>
              <w:t>5</w:t>
            </w:r>
          </w:p>
        </w:tc>
      </w:tr>
      <w:tr w:rsidR="003A76CE" w:rsidRPr="008A510B" w14:paraId="1ECB33E0" w14:textId="77777777" w:rsidTr="00F733EA">
        <w:trPr>
          <w:trHeight w:val="423"/>
        </w:trPr>
        <w:tc>
          <w:tcPr>
            <w:tcW w:w="1764" w:type="dxa"/>
            <w:vMerge/>
          </w:tcPr>
          <w:p w14:paraId="458F977C" w14:textId="77777777" w:rsidR="003A76CE" w:rsidRPr="008A510B" w:rsidRDefault="003A76CE" w:rsidP="00692F65">
            <w:pPr>
              <w:spacing w:line="480" w:lineRule="auto"/>
              <w:rPr>
                <w:sz w:val="24"/>
                <w:szCs w:val="24"/>
              </w:rPr>
            </w:pPr>
          </w:p>
        </w:tc>
        <w:tc>
          <w:tcPr>
            <w:tcW w:w="1283" w:type="dxa"/>
          </w:tcPr>
          <w:p w14:paraId="30B352F4" w14:textId="77777777" w:rsidR="003A76CE" w:rsidRPr="008A510B" w:rsidRDefault="003A76CE" w:rsidP="00692F65">
            <w:pPr>
              <w:pStyle w:val="TableParagraph"/>
              <w:spacing w:before="0" w:line="480" w:lineRule="auto"/>
              <w:ind w:left="0" w:right="1"/>
              <w:rPr>
                <w:i/>
                <w:sz w:val="24"/>
                <w:szCs w:val="24"/>
              </w:rPr>
            </w:pPr>
            <w:r w:rsidRPr="008A510B">
              <w:rPr>
                <w:i/>
                <w:sz w:val="24"/>
                <w:szCs w:val="24"/>
              </w:rPr>
              <w:t>σ</w:t>
            </w:r>
          </w:p>
        </w:tc>
        <w:tc>
          <w:tcPr>
            <w:tcW w:w="1003" w:type="dxa"/>
          </w:tcPr>
          <w:p w14:paraId="6A822B7C" w14:textId="1D698E00" w:rsidR="003A76CE" w:rsidRPr="008A510B" w:rsidRDefault="003A76CE" w:rsidP="00692F65">
            <w:pPr>
              <w:pStyle w:val="TableParagraph"/>
              <w:spacing w:before="0" w:line="480" w:lineRule="auto"/>
              <w:ind w:right="73"/>
              <w:rPr>
                <w:sz w:val="24"/>
                <w:szCs w:val="24"/>
              </w:rPr>
            </w:pPr>
            <w:r w:rsidRPr="008A510B">
              <w:rPr>
                <w:sz w:val="24"/>
                <w:szCs w:val="24"/>
              </w:rPr>
              <w:t>0.06</w:t>
            </w:r>
          </w:p>
        </w:tc>
      </w:tr>
      <w:tr w:rsidR="003A76CE" w:rsidRPr="008A510B" w14:paraId="0D1B821B" w14:textId="77777777" w:rsidTr="00F733EA">
        <w:trPr>
          <w:trHeight w:val="423"/>
        </w:trPr>
        <w:tc>
          <w:tcPr>
            <w:tcW w:w="1764" w:type="dxa"/>
            <w:vMerge/>
          </w:tcPr>
          <w:p w14:paraId="7491ED91" w14:textId="77777777" w:rsidR="003A76CE" w:rsidRPr="008A510B" w:rsidRDefault="003A76CE" w:rsidP="00692F65">
            <w:pPr>
              <w:spacing w:line="480" w:lineRule="auto"/>
              <w:rPr>
                <w:sz w:val="24"/>
                <w:szCs w:val="24"/>
              </w:rPr>
            </w:pPr>
          </w:p>
        </w:tc>
        <w:tc>
          <w:tcPr>
            <w:tcW w:w="1283" w:type="dxa"/>
          </w:tcPr>
          <w:p w14:paraId="1D53C1AC" w14:textId="290CD5F4" w:rsidR="003A76CE" w:rsidRPr="008A510B" w:rsidRDefault="003A76CE" w:rsidP="00692F65">
            <w:pPr>
              <w:pStyle w:val="TableParagraph"/>
              <w:spacing w:before="0" w:line="480" w:lineRule="auto"/>
              <w:ind w:left="98" w:right="91"/>
              <w:rPr>
                <w:sz w:val="24"/>
                <w:szCs w:val="24"/>
              </w:rPr>
            </w:pPr>
            <w:r w:rsidRPr="008A510B">
              <w:rPr>
                <w:sz w:val="24"/>
                <w:szCs w:val="24"/>
              </w:rPr>
              <w:t>2.5%</w:t>
            </w:r>
            <w:r w:rsidR="00000687" w:rsidRPr="008A510B">
              <w:rPr>
                <w:sz w:val="24"/>
                <w:szCs w:val="24"/>
              </w:rPr>
              <w:t xml:space="preserve"> </w:t>
            </w:r>
            <w:r w:rsidRPr="008A510B">
              <w:rPr>
                <w:sz w:val="24"/>
                <w:szCs w:val="24"/>
              </w:rPr>
              <w:t>CRI</w:t>
            </w:r>
          </w:p>
        </w:tc>
        <w:tc>
          <w:tcPr>
            <w:tcW w:w="1003" w:type="dxa"/>
          </w:tcPr>
          <w:p w14:paraId="3139AFD6" w14:textId="757955C3" w:rsidR="003A76CE" w:rsidRPr="008A510B" w:rsidRDefault="003A76CE" w:rsidP="00692F65">
            <w:pPr>
              <w:pStyle w:val="TableParagraph"/>
              <w:spacing w:before="0" w:line="480" w:lineRule="auto"/>
              <w:ind w:right="73"/>
              <w:rPr>
                <w:sz w:val="24"/>
                <w:szCs w:val="24"/>
              </w:rPr>
            </w:pPr>
            <w:r w:rsidRPr="008A510B">
              <w:rPr>
                <w:sz w:val="24"/>
                <w:szCs w:val="24"/>
              </w:rPr>
              <w:t>0.33</w:t>
            </w:r>
          </w:p>
        </w:tc>
      </w:tr>
      <w:tr w:rsidR="003A76CE" w:rsidRPr="008A510B" w14:paraId="305C23B0" w14:textId="77777777" w:rsidTr="00F733EA">
        <w:trPr>
          <w:trHeight w:val="423"/>
        </w:trPr>
        <w:tc>
          <w:tcPr>
            <w:tcW w:w="1764" w:type="dxa"/>
            <w:vMerge/>
          </w:tcPr>
          <w:p w14:paraId="735B05B8" w14:textId="77777777" w:rsidR="003A76CE" w:rsidRPr="008A510B" w:rsidRDefault="003A76CE" w:rsidP="00692F65">
            <w:pPr>
              <w:spacing w:line="480" w:lineRule="auto"/>
              <w:rPr>
                <w:sz w:val="24"/>
                <w:szCs w:val="24"/>
              </w:rPr>
            </w:pPr>
          </w:p>
        </w:tc>
        <w:tc>
          <w:tcPr>
            <w:tcW w:w="1283" w:type="dxa"/>
          </w:tcPr>
          <w:p w14:paraId="05F761BA" w14:textId="6C78C136" w:rsidR="003A76CE" w:rsidRPr="008A510B" w:rsidRDefault="003A76CE" w:rsidP="00692F65">
            <w:pPr>
              <w:pStyle w:val="TableParagraph"/>
              <w:spacing w:before="0" w:line="480" w:lineRule="auto"/>
              <w:ind w:left="98" w:right="91"/>
              <w:rPr>
                <w:sz w:val="24"/>
                <w:szCs w:val="24"/>
              </w:rPr>
            </w:pPr>
            <w:r w:rsidRPr="008A510B">
              <w:rPr>
                <w:sz w:val="24"/>
                <w:szCs w:val="24"/>
              </w:rPr>
              <w:t>97.5%</w:t>
            </w:r>
            <w:r w:rsidR="00000687" w:rsidRPr="008A510B">
              <w:rPr>
                <w:sz w:val="24"/>
                <w:szCs w:val="24"/>
              </w:rPr>
              <w:t xml:space="preserve"> </w:t>
            </w:r>
            <w:r w:rsidRPr="008A510B">
              <w:rPr>
                <w:sz w:val="24"/>
                <w:szCs w:val="24"/>
              </w:rPr>
              <w:t>CRI</w:t>
            </w:r>
          </w:p>
        </w:tc>
        <w:tc>
          <w:tcPr>
            <w:tcW w:w="1003" w:type="dxa"/>
          </w:tcPr>
          <w:p w14:paraId="7E6CD609" w14:textId="4ADC09C8" w:rsidR="003A76CE" w:rsidRPr="008A510B" w:rsidRDefault="003A76CE" w:rsidP="00692F65">
            <w:pPr>
              <w:pStyle w:val="TableParagraph"/>
              <w:spacing w:before="0" w:line="480" w:lineRule="auto"/>
              <w:ind w:right="73"/>
              <w:rPr>
                <w:sz w:val="24"/>
                <w:szCs w:val="24"/>
              </w:rPr>
            </w:pPr>
            <w:r w:rsidRPr="008A510B">
              <w:rPr>
                <w:sz w:val="24"/>
                <w:szCs w:val="24"/>
              </w:rPr>
              <w:t>0.5</w:t>
            </w:r>
            <w:r w:rsidR="00CC1997">
              <w:rPr>
                <w:sz w:val="24"/>
                <w:szCs w:val="24"/>
              </w:rPr>
              <w:t>7</w:t>
            </w:r>
          </w:p>
        </w:tc>
      </w:tr>
      <w:tr w:rsidR="003A76CE" w:rsidRPr="008A510B" w14:paraId="6B96E908" w14:textId="77777777" w:rsidTr="00F733EA">
        <w:trPr>
          <w:trHeight w:val="423"/>
        </w:trPr>
        <w:tc>
          <w:tcPr>
            <w:tcW w:w="1764" w:type="dxa"/>
            <w:vMerge/>
            <w:tcBorders>
              <w:bottom w:val="single" w:sz="4" w:space="0" w:color="auto"/>
            </w:tcBorders>
          </w:tcPr>
          <w:p w14:paraId="59D1D9B3" w14:textId="77777777" w:rsidR="003A76CE" w:rsidRPr="008A510B" w:rsidRDefault="003A76CE" w:rsidP="00692F65">
            <w:pPr>
              <w:spacing w:line="480" w:lineRule="auto"/>
              <w:rPr>
                <w:sz w:val="24"/>
                <w:szCs w:val="24"/>
              </w:rPr>
            </w:pPr>
          </w:p>
        </w:tc>
        <w:tc>
          <w:tcPr>
            <w:tcW w:w="1283" w:type="dxa"/>
            <w:tcBorders>
              <w:bottom w:val="single" w:sz="4" w:space="0" w:color="auto"/>
            </w:tcBorders>
          </w:tcPr>
          <w:p w14:paraId="62997BCC" w14:textId="77777777" w:rsidR="003A76CE" w:rsidRPr="008A510B" w:rsidRDefault="003A76CE" w:rsidP="00692F65">
            <w:pPr>
              <w:pStyle w:val="TableParagraph"/>
              <w:spacing w:before="0" w:line="480" w:lineRule="auto"/>
              <w:ind w:left="0" w:right="2"/>
              <w:rPr>
                <w:i/>
                <w:sz w:val="24"/>
                <w:szCs w:val="24"/>
              </w:rPr>
            </w:pPr>
            <w:r w:rsidRPr="008A510B">
              <w:rPr>
                <w:i/>
                <w:sz w:val="24"/>
                <w:szCs w:val="24"/>
              </w:rPr>
              <w:t>ξ</w:t>
            </w:r>
          </w:p>
        </w:tc>
        <w:tc>
          <w:tcPr>
            <w:tcW w:w="1003" w:type="dxa"/>
            <w:tcBorders>
              <w:bottom w:val="single" w:sz="4" w:space="0" w:color="auto"/>
            </w:tcBorders>
          </w:tcPr>
          <w:p w14:paraId="352F1DCC" w14:textId="767025E1" w:rsidR="003A76CE" w:rsidRPr="008A510B" w:rsidRDefault="003A76CE" w:rsidP="00692F65">
            <w:pPr>
              <w:pStyle w:val="TableParagraph"/>
              <w:spacing w:before="0" w:line="480" w:lineRule="auto"/>
              <w:ind w:right="73"/>
              <w:rPr>
                <w:sz w:val="24"/>
                <w:szCs w:val="24"/>
              </w:rPr>
            </w:pPr>
            <w:r w:rsidRPr="008A510B">
              <w:rPr>
                <w:sz w:val="24"/>
                <w:szCs w:val="24"/>
              </w:rPr>
              <w:t>1.0</w:t>
            </w:r>
            <w:r w:rsidR="00CC1997">
              <w:rPr>
                <w:sz w:val="24"/>
                <w:szCs w:val="24"/>
              </w:rPr>
              <w:t>0</w:t>
            </w:r>
          </w:p>
        </w:tc>
      </w:tr>
      <w:tr w:rsidR="003A76CE" w:rsidRPr="008A510B" w14:paraId="4F92E2C9" w14:textId="77777777" w:rsidTr="00F733EA">
        <w:trPr>
          <w:trHeight w:val="431"/>
        </w:trPr>
        <w:tc>
          <w:tcPr>
            <w:tcW w:w="1764" w:type="dxa"/>
            <w:vMerge w:val="restart"/>
            <w:tcBorders>
              <w:top w:val="single" w:sz="4" w:space="0" w:color="auto"/>
            </w:tcBorders>
          </w:tcPr>
          <w:p w14:paraId="1776D484" w14:textId="77777777" w:rsidR="003A76CE" w:rsidRPr="00C63ABB" w:rsidRDefault="003A76CE" w:rsidP="00692F65">
            <w:pPr>
              <w:pStyle w:val="TableParagraph"/>
              <w:spacing w:before="0" w:line="480" w:lineRule="auto"/>
              <w:ind w:left="0"/>
              <w:jc w:val="left"/>
              <w:rPr>
                <w:sz w:val="24"/>
                <w:szCs w:val="24"/>
              </w:rPr>
            </w:pPr>
          </w:p>
          <w:p w14:paraId="44C38220" w14:textId="77777777" w:rsidR="003A76CE" w:rsidRPr="008A510B" w:rsidRDefault="003A76CE" w:rsidP="00692F65">
            <w:pPr>
              <w:pStyle w:val="TableParagraph"/>
              <w:spacing w:before="0" w:line="480" w:lineRule="auto"/>
              <w:ind w:left="0"/>
              <w:jc w:val="left"/>
              <w:rPr>
                <w:sz w:val="24"/>
                <w:szCs w:val="24"/>
              </w:rPr>
            </w:pPr>
          </w:p>
          <w:p w14:paraId="1B63EBFB" w14:textId="77777777" w:rsidR="003A76CE" w:rsidRPr="008A510B" w:rsidRDefault="003A76CE" w:rsidP="00692F65">
            <w:pPr>
              <w:pStyle w:val="TableParagraph"/>
              <w:spacing w:before="0" w:line="480" w:lineRule="auto"/>
              <w:ind w:left="118"/>
              <w:jc w:val="left"/>
              <w:rPr>
                <w:sz w:val="24"/>
                <w:szCs w:val="24"/>
              </w:rPr>
            </w:pPr>
            <w:r w:rsidRPr="008A510B">
              <w:rPr>
                <w:sz w:val="24"/>
                <w:szCs w:val="24"/>
              </w:rPr>
              <w:t>Initiation Date</w:t>
            </w:r>
          </w:p>
        </w:tc>
        <w:tc>
          <w:tcPr>
            <w:tcW w:w="1283" w:type="dxa"/>
            <w:tcBorders>
              <w:top w:val="single" w:sz="4" w:space="0" w:color="auto"/>
            </w:tcBorders>
          </w:tcPr>
          <w:p w14:paraId="6360B44E" w14:textId="77777777" w:rsidR="003A76CE" w:rsidRPr="008A510B" w:rsidRDefault="003A76CE" w:rsidP="00692F65">
            <w:pPr>
              <w:pStyle w:val="TableParagraph"/>
              <w:spacing w:before="0" w:line="480" w:lineRule="auto"/>
              <w:ind w:left="7"/>
              <w:rPr>
                <w:i/>
                <w:sz w:val="24"/>
                <w:szCs w:val="24"/>
              </w:rPr>
            </w:pPr>
            <w:r w:rsidRPr="008A510B">
              <w:rPr>
                <w:i/>
                <w:sz w:val="24"/>
                <w:szCs w:val="24"/>
              </w:rPr>
              <w:t>µ</w:t>
            </w:r>
          </w:p>
        </w:tc>
        <w:tc>
          <w:tcPr>
            <w:tcW w:w="1003" w:type="dxa"/>
            <w:tcBorders>
              <w:top w:val="single" w:sz="4" w:space="0" w:color="auto"/>
            </w:tcBorders>
          </w:tcPr>
          <w:p w14:paraId="0FF1F00D" w14:textId="476A1BFA" w:rsidR="003A76CE" w:rsidRPr="008A510B" w:rsidRDefault="003A76CE" w:rsidP="00692F65">
            <w:pPr>
              <w:pStyle w:val="TableParagraph"/>
              <w:spacing w:before="0" w:line="480" w:lineRule="auto"/>
              <w:ind w:right="74"/>
              <w:rPr>
                <w:sz w:val="24"/>
                <w:szCs w:val="24"/>
              </w:rPr>
            </w:pPr>
            <w:r w:rsidRPr="008A510B">
              <w:rPr>
                <w:sz w:val="24"/>
                <w:szCs w:val="24"/>
              </w:rPr>
              <w:t>-0.1</w:t>
            </w:r>
            <w:r w:rsidR="00CC1997">
              <w:rPr>
                <w:sz w:val="24"/>
                <w:szCs w:val="24"/>
              </w:rPr>
              <w:t>2</w:t>
            </w:r>
          </w:p>
        </w:tc>
      </w:tr>
      <w:tr w:rsidR="003A76CE" w:rsidRPr="008A510B" w14:paraId="2CD10954" w14:textId="77777777" w:rsidTr="00F733EA">
        <w:trPr>
          <w:trHeight w:val="423"/>
        </w:trPr>
        <w:tc>
          <w:tcPr>
            <w:tcW w:w="1764" w:type="dxa"/>
            <w:vMerge/>
          </w:tcPr>
          <w:p w14:paraId="51131E79" w14:textId="77777777" w:rsidR="003A76CE" w:rsidRPr="008A510B" w:rsidRDefault="003A76CE" w:rsidP="00692F65">
            <w:pPr>
              <w:spacing w:line="480" w:lineRule="auto"/>
              <w:rPr>
                <w:sz w:val="24"/>
                <w:szCs w:val="24"/>
              </w:rPr>
            </w:pPr>
          </w:p>
        </w:tc>
        <w:tc>
          <w:tcPr>
            <w:tcW w:w="1283" w:type="dxa"/>
          </w:tcPr>
          <w:p w14:paraId="6584DF8C" w14:textId="77777777" w:rsidR="003A76CE" w:rsidRPr="008A510B" w:rsidRDefault="003A76CE" w:rsidP="00692F65">
            <w:pPr>
              <w:pStyle w:val="TableParagraph"/>
              <w:spacing w:before="0" w:line="480" w:lineRule="auto"/>
              <w:ind w:left="0" w:right="1"/>
              <w:rPr>
                <w:i/>
                <w:sz w:val="24"/>
                <w:szCs w:val="24"/>
              </w:rPr>
            </w:pPr>
            <w:r w:rsidRPr="008A510B">
              <w:rPr>
                <w:i/>
                <w:sz w:val="24"/>
                <w:szCs w:val="24"/>
              </w:rPr>
              <w:t>σ</w:t>
            </w:r>
          </w:p>
        </w:tc>
        <w:tc>
          <w:tcPr>
            <w:tcW w:w="1003" w:type="dxa"/>
          </w:tcPr>
          <w:p w14:paraId="3580E4A9" w14:textId="4CC02DBF" w:rsidR="003A76CE" w:rsidRPr="008A510B" w:rsidRDefault="003A76CE" w:rsidP="00692F65">
            <w:pPr>
              <w:pStyle w:val="TableParagraph"/>
              <w:spacing w:before="0" w:line="480" w:lineRule="auto"/>
              <w:ind w:right="73"/>
              <w:rPr>
                <w:sz w:val="24"/>
                <w:szCs w:val="24"/>
              </w:rPr>
            </w:pPr>
            <w:r w:rsidRPr="008A510B">
              <w:rPr>
                <w:sz w:val="24"/>
                <w:szCs w:val="24"/>
              </w:rPr>
              <w:t>0.04</w:t>
            </w:r>
          </w:p>
        </w:tc>
      </w:tr>
      <w:tr w:rsidR="003A76CE" w:rsidRPr="008A510B" w14:paraId="7FD05088" w14:textId="77777777" w:rsidTr="00F733EA">
        <w:trPr>
          <w:trHeight w:val="423"/>
        </w:trPr>
        <w:tc>
          <w:tcPr>
            <w:tcW w:w="1764" w:type="dxa"/>
            <w:vMerge/>
          </w:tcPr>
          <w:p w14:paraId="6A5F9E80" w14:textId="77777777" w:rsidR="003A76CE" w:rsidRPr="008A510B" w:rsidRDefault="003A76CE" w:rsidP="00692F65">
            <w:pPr>
              <w:spacing w:line="480" w:lineRule="auto"/>
              <w:rPr>
                <w:sz w:val="24"/>
                <w:szCs w:val="24"/>
              </w:rPr>
            </w:pPr>
          </w:p>
        </w:tc>
        <w:tc>
          <w:tcPr>
            <w:tcW w:w="1283" w:type="dxa"/>
          </w:tcPr>
          <w:p w14:paraId="71507D2C" w14:textId="62FC7480" w:rsidR="003A76CE" w:rsidRPr="008A510B" w:rsidRDefault="003A76CE" w:rsidP="00692F65">
            <w:pPr>
              <w:pStyle w:val="TableParagraph"/>
              <w:spacing w:before="0" w:line="480" w:lineRule="auto"/>
              <w:ind w:left="98" w:right="91"/>
              <w:rPr>
                <w:sz w:val="24"/>
                <w:szCs w:val="24"/>
              </w:rPr>
            </w:pPr>
            <w:r w:rsidRPr="008A510B">
              <w:rPr>
                <w:sz w:val="24"/>
                <w:szCs w:val="24"/>
              </w:rPr>
              <w:t>2.5%</w:t>
            </w:r>
            <w:r w:rsidR="00000687" w:rsidRPr="008A510B">
              <w:rPr>
                <w:sz w:val="24"/>
                <w:szCs w:val="24"/>
              </w:rPr>
              <w:t xml:space="preserve"> </w:t>
            </w:r>
            <w:r w:rsidRPr="008A510B">
              <w:rPr>
                <w:sz w:val="24"/>
                <w:szCs w:val="24"/>
              </w:rPr>
              <w:t>CRI</w:t>
            </w:r>
          </w:p>
        </w:tc>
        <w:tc>
          <w:tcPr>
            <w:tcW w:w="1003" w:type="dxa"/>
          </w:tcPr>
          <w:p w14:paraId="37DEF7AC" w14:textId="03A7CFC2" w:rsidR="003A76CE" w:rsidRPr="008A510B" w:rsidRDefault="003A76CE" w:rsidP="00692F65">
            <w:pPr>
              <w:pStyle w:val="TableParagraph"/>
              <w:spacing w:before="0" w:line="480" w:lineRule="auto"/>
              <w:ind w:right="74"/>
              <w:rPr>
                <w:sz w:val="24"/>
                <w:szCs w:val="24"/>
              </w:rPr>
            </w:pPr>
            <w:r w:rsidRPr="008A510B">
              <w:rPr>
                <w:sz w:val="24"/>
                <w:szCs w:val="24"/>
              </w:rPr>
              <w:t>-0.1</w:t>
            </w:r>
            <w:r w:rsidR="00CC1997">
              <w:rPr>
                <w:sz w:val="24"/>
                <w:szCs w:val="24"/>
              </w:rPr>
              <w:t>2</w:t>
            </w:r>
          </w:p>
        </w:tc>
      </w:tr>
      <w:tr w:rsidR="003A76CE" w:rsidRPr="008A510B" w14:paraId="4C23D0FA" w14:textId="77777777" w:rsidTr="00F733EA">
        <w:trPr>
          <w:trHeight w:val="423"/>
        </w:trPr>
        <w:tc>
          <w:tcPr>
            <w:tcW w:w="1764" w:type="dxa"/>
            <w:vMerge/>
          </w:tcPr>
          <w:p w14:paraId="75AE6372" w14:textId="77777777" w:rsidR="003A76CE" w:rsidRPr="008A510B" w:rsidRDefault="003A76CE" w:rsidP="00692F65">
            <w:pPr>
              <w:spacing w:line="480" w:lineRule="auto"/>
              <w:rPr>
                <w:sz w:val="24"/>
                <w:szCs w:val="24"/>
              </w:rPr>
            </w:pPr>
          </w:p>
        </w:tc>
        <w:tc>
          <w:tcPr>
            <w:tcW w:w="1283" w:type="dxa"/>
          </w:tcPr>
          <w:p w14:paraId="3E29F7F0" w14:textId="6F993112" w:rsidR="003A76CE" w:rsidRPr="008A510B" w:rsidRDefault="003A76CE" w:rsidP="00692F65">
            <w:pPr>
              <w:pStyle w:val="TableParagraph"/>
              <w:spacing w:before="0" w:line="480" w:lineRule="auto"/>
              <w:ind w:left="98" w:right="91"/>
              <w:rPr>
                <w:sz w:val="24"/>
                <w:szCs w:val="24"/>
              </w:rPr>
            </w:pPr>
            <w:r w:rsidRPr="008A510B">
              <w:rPr>
                <w:sz w:val="24"/>
                <w:szCs w:val="24"/>
              </w:rPr>
              <w:t>97.5%</w:t>
            </w:r>
            <w:r w:rsidR="00000687" w:rsidRPr="008A510B">
              <w:rPr>
                <w:sz w:val="24"/>
                <w:szCs w:val="24"/>
              </w:rPr>
              <w:t xml:space="preserve"> </w:t>
            </w:r>
            <w:r w:rsidRPr="008A510B">
              <w:rPr>
                <w:sz w:val="24"/>
                <w:szCs w:val="24"/>
              </w:rPr>
              <w:t>CRI</w:t>
            </w:r>
          </w:p>
        </w:tc>
        <w:tc>
          <w:tcPr>
            <w:tcW w:w="1003" w:type="dxa"/>
          </w:tcPr>
          <w:p w14:paraId="6B197ED6" w14:textId="57D9F102" w:rsidR="003A76CE" w:rsidRPr="008A510B" w:rsidRDefault="003A76CE" w:rsidP="00692F65">
            <w:pPr>
              <w:pStyle w:val="TableParagraph"/>
              <w:spacing w:before="0" w:line="480" w:lineRule="auto"/>
              <w:ind w:right="74"/>
              <w:rPr>
                <w:sz w:val="24"/>
                <w:szCs w:val="24"/>
              </w:rPr>
            </w:pPr>
            <w:r w:rsidRPr="008A510B">
              <w:rPr>
                <w:sz w:val="24"/>
                <w:szCs w:val="24"/>
              </w:rPr>
              <w:t>-0.0</w:t>
            </w:r>
            <w:r w:rsidR="00CC1997">
              <w:rPr>
                <w:sz w:val="24"/>
                <w:szCs w:val="24"/>
              </w:rPr>
              <w:t>4</w:t>
            </w:r>
          </w:p>
        </w:tc>
      </w:tr>
      <w:tr w:rsidR="003A76CE" w:rsidRPr="008A510B" w14:paraId="7AE45C5B" w14:textId="77777777" w:rsidTr="00F733EA">
        <w:trPr>
          <w:trHeight w:val="423"/>
        </w:trPr>
        <w:tc>
          <w:tcPr>
            <w:tcW w:w="1764" w:type="dxa"/>
            <w:vMerge/>
            <w:tcBorders>
              <w:bottom w:val="single" w:sz="4" w:space="0" w:color="auto"/>
            </w:tcBorders>
          </w:tcPr>
          <w:p w14:paraId="1514DCC4" w14:textId="77777777" w:rsidR="003A76CE" w:rsidRPr="008A510B" w:rsidRDefault="003A76CE" w:rsidP="00692F65">
            <w:pPr>
              <w:spacing w:line="480" w:lineRule="auto"/>
              <w:rPr>
                <w:sz w:val="24"/>
                <w:szCs w:val="24"/>
              </w:rPr>
            </w:pPr>
          </w:p>
        </w:tc>
        <w:tc>
          <w:tcPr>
            <w:tcW w:w="1283" w:type="dxa"/>
            <w:tcBorders>
              <w:bottom w:val="single" w:sz="4" w:space="0" w:color="auto"/>
            </w:tcBorders>
          </w:tcPr>
          <w:p w14:paraId="5C660BCA" w14:textId="77777777" w:rsidR="003A76CE" w:rsidRPr="008A510B" w:rsidRDefault="003A76CE" w:rsidP="00692F65">
            <w:pPr>
              <w:pStyle w:val="TableParagraph"/>
              <w:spacing w:before="0" w:line="480" w:lineRule="auto"/>
              <w:ind w:left="0" w:right="2"/>
              <w:rPr>
                <w:i/>
                <w:sz w:val="24"/>
                <w:szCs w:val="24"/>
              </w:rPr>
            </w:pPr>
            <w:r w:rsidRPr="008A510B">
              <w:rPr>
                <w:i/>
                <w:sz w:val="24"/>
                <w:szCs w:val="24"/>
              </w:rPr>
              <w:t>ξ</w:t>
            </w:r>
          </w:p>
        </w:tc>
        <w:tc>
          <w:tcPr>
            <w:tcW w:w="1003" w:type="dxa"/>
            <w:tcBorders>
              <w:bottom w:val="single" w:sz="4" w:space="0" w:color="auto"/>
            </w:tcBorders>
          </w:tcPr>
          <w:p w14:paraId="51DF3440" w14:textId="5EFFC805" w:rsidR="003A76CE" w:rsidRPr="008A510B" w:rsidRDefault="00CC1997" w:rsidP="00692F65">
            <w:pPr>
              <w:pStyle w:val="TableParagraph"/>
              <w:spacing w:before="0" w:line="480" w:lineRule="auto"/>
              <w:ind w:right="73"/>
              <w:rPr>
                <w:sz w:val="24"/>
                <w:szCs w:val="24"/>
              </w:rPr>
            </w:pPr>
            <w:r>
              <w:rPr>
                <w:sz w:val="24"/>
                <w:szCs w:val="24"/>
              </w:rPr>
              <w:t>1</w:t>
            </w:r>
          </w:p>
        </w:tc>
      </w:tr>
      <w:tr w:rsidR="003A76CE" w:rsidRPr="008A510B" w14:paraId="63B2ADD7" w14:textId="77777777" w:rsidTr="00F733EA">
        <w:trPr>
          <w:trHeight w:val="431"/>
        </w:trPr>
        <w:tc>
          <w:tcPr>
            <w:tcW w:w="1764" w:type="dxa"/>
            <w:vMerge w:val="restart"/>
            <w:tcBorders>
              <w:top w:val="single" w:sz="4" w:space="0" w:color="auto"/>
            </w:tcBorders>
          </w:tcPr>
          <w:p w14:paraId="25B7F87C" w14:textId="77777777" w:rsidR="003A76CE" w:rsidRPr="00C63ABB" w:rsidRDefault="003A76CE" w:rsidP="00692F65">
            <w:pPr>
              <w:pStyle w:val="TableParagraph"/>
              <w:spacing w:before="0" w:line="480" w:lineRule="auto"/>
              <w:ind w:left="0"/>
              <w:jc w:val="left"/>
              <w:rPr>
                <w:sz w:val="24"/>
                <w:szCs w:val="24"/>
              </w:rPr>
            </w:pPr>
          </w:p>
          <w:p w14:paraId="1DC47667" w14:textId="77777777" w:rsidR="003A76CE" w:rsidRPr="008A510B" w:rsidRDefault="003A76CE" w:rsidP="00692F65">
            <w:pPr>
              <w:pStyle w:val="TableParagraph"/>
              <w:spacing w:before="0" w:line="480" w:lineRule="auto"/>
              <w:ind w:left="0"/>
              <w:jc w:val="left"/>
              <w:rPr>
                <w:sz w:val="24"/>
                <w:szCs w:val="24"/>
              </w:rPr>
            </w:pPr>
          </w:p>
          <w:p w14:paraId="14FF2097" w14:textId="77777777" w:rsidR="003A76CE" w:rsidRPr="008A510B" w:rsidRDefault="003A76CE" w:rsidP="00692F65">
            <w:pPr>
              <w:pStyle w:val="TableParagraph"/>
              <w:spacing w:before="0" w:line="480" w:lineRule="auto"/>
              <w:ind w:left="321"/>
              <w:jc w:val="left"/>
              <w:rPr>
                <w:sz w:val="24"/>
                <w:szCs w:val="24"/>
              </w:rPr>
            </w:pPr>
            <w:r w:rsidRPr="008A510B">
              <w:rPr>
                <w:sz w:val="24"/>
                <w:szCs w:val="24"/>
              </w:rPr>
              <w:t>Interaction</w:t>
            </w:r>
          </w:p>
        </w:tc>
        <w:tc>
          <w:tcPr>
            <w:tcW w:w="1283" w:type="dxa"/>
            <w:tcBorders>
              <w:top w:val="single" w:sz="4" w:space="0" w:color="auto"/>
            </w:tcBorders>
          </w:tcPr>
          <w:p w14:paraId="1A920C29" w14:textId="77777777" w:rsidR="003A76CE" w:rsidRPr="008A510B" w:rsidRDefault="003A76CE" w:rsidP="00692F65">
            <w:pPr>
              <w:pStyle w:val="TableParagraph"/>
              <w:spacing w:before="0" w:line="480" w:lineRule="auto"/>
              <w:ind w:left="7"/>
              <w:rPr>
                <w:i/>
                <w:sz w:val="24"/>
                <w:szCs w:val="24"/>
              </w:rPr>
            </w:pPr>
            <w:r w:rsidRPr="008A510B">
              <w:rPr>
                <w:i/>
                <w:sz w:val="24"/>
                <w:szCs w:val="24"/>
              </w:rPr>
              <w:t>µ</w:t>
            </w:r>
          </w:p>
        </w:tc>
        <w:tc>
          <w:tcPr>
            <w:tcW w:w="1003" w:type="dxa"/>
            <w:tcBorders>
              <w:top w:val="single" w:sz="4" w:space="0" w:color="auto"/>
            </w:tcBorders>
          </w:tcPr>
          <w:p w14:paraId="6FE9496C" w14:textId="15A9500B" w:rsidR="003A76CE" w:rsidRPr="008A510B" w:rsidRDefault="003A76CE" w:rsidP="00692F65">
            <w:pPr>
              <w:pStyle w:val="TableParagraph"/>
              <w:spacing w:before="0" w:line="480" w:lineRule="auto"/>
              <w:ind w:right="74"/>
              <w:rPr>
                <w:sz w:val="24"/>
                <w:szCs w:val="24"/>
              </w:rPr>
            </w:pPr>
            <w:r w:rsidRPr="008A510B">
              <w:rPr>
                <w:sz w:val="24"/>
                <w:szCs w:val="24"/>
              </w:rPr>
              <w:t>-0.11</w:t>
            </w:r>
          </w:p>
        </w:tc>
      </w:tr>
      <w:tr w:rsidR="003A76CE" w:rsidRPr="008A510B" w14:paraId="6DD4F5F0" w14:textId="77777777" w:rsidTr="00F733EA">
        <w:trPr>
          <w:trHeight w:val="423"/>
        </w:trPr>
        <w:tc>
          <w:tcPr>
            <w:tcW w:w="1764" w:type="dxa"/>
            <w:vMerge/>
          </w:tcPr>
          <w:p w14:paraId="58C409D0" w14:textId="77777777" w:rsidR="003A76CE" w:rsidRPr="008A510B" w:rsidRDefault="003A76CE" w:rsidP="00692F65">
            <w:pPr>
              <w:spacing w:line="480" w:lineRule="auto"/>
              <w:rPr>
                <w:sz w:val="24"/>
                <w:szCs w:val="24"/>
              </w:rPr>
            </w:pPr>
          </w:p>
        </w:tc>
        <w:tc>
          <w:tcPr>
            <w:tcW w:w="1283" w:type="dxa"/>
          </w:tcPr>
          <w:p w14:paraId="73B9624D" w14:textId="77777777" w:rsidR="003A76CE" w:rsidRPr="008A510B" w:rsidRDefault="003A76CE" w:rsidP="00692F65">
            <w:pPr>
              <w:pStyle w:val="TableParagraph"/>
              <w:spacing w:before="0" w:line="480" w:lineRule="auto"/>
              <w:ind w:left="0" w:right="1"/>
              <w:rPr>
                <w:i/>
                <w:sz w:val="24"/>
                <w:szCs w:val="24"/>
              </w:rPr>
            </w:pPr>
            <w:r w:rsidRPr="008A510B">
              <w:rPr>
                <w:i/>
                <w:sz w:val="24"/>
                <w:szCs w:val="24"/>
              </w:rPr>
              <w:t>σ</w:t>
            </w:r>
          </w:p>
        </w:tc>
        <w:tc>
          <w:tcPr>
            <w:tcW w:w="1003" w:type="dxa"/>
          </w:tcPr>
          <w:p w14:paraId="29FD19D6" w14:textId="1B7082E0" w:rsidR="003A76CE" w:rsidRPr="008A510B" w:rsidRDefault="003A76CE" w:rsidP="00692F65">
            <w:pPr>
              <w:pStyle w:val="TableParagraph"/>
              <w:spacing w:before="0" w:line="480" w:lineRule="auto"/>
              <w:ind w:right="73"/>
              <w:rPr>
                <w:sz w:val="24"/>
                <w:szCs w:val="24"/>
              </w:rPr>
            </w:pPr>
            <w:r w:rsidRPr="008A510B">
              <w:rPr>
                <w:sz w:val="24"/>
                <w:szCs w:val="24"/>
              </w:rPr>
              <w:t>0.05</w:t>
            </w:r>
          </w:p>
        </w:tc>
      </w:tr>
      <w:tr w:rsidR="003A76CE" w:rsidRPr="008A510B" w14:paraId="265E44F3" w14:textId="77777777" w:rsidTr="00F733EA">
        <w:trPr>
          <w:trHeight w:val="423"/>
        </w:trPr>
        <w:tc>
          <w:tcPr>
            <w:tcW w:w="1764" w:type="dxa"/>
            <w:vMerge/>
          </w:tcPr>
          <w:p w14:paraId="1DEBF82B" w14:textId="77777777" w:rsidR="003A76CE" w:rsidRPr="008A510B" w:rsidRDefault="003A76CE" w:rsidP="00692F65">
            <w:pPr>
              <w:spacing w:line="480" w:lineRule="auto"/>
              <w:rPr>
                <w:sz w:val="24"/>
                <w:szCs w:val="24"/>
              </w:rPr>
            </w:pPr>
          </w:p>
        </w:tc>
        <w:tc>
          <w:tcPr>
            <w:tcW w:w="1283" w:type="dxa"/>
          </w:tcPr>
          <w:p w14:paraId="009C4664" w14:textId="5FE6F353" w:rsidR="003A76CE" w:rsidRPr="008A510B" w:rsidRDefault="003A76CE" w:rsidP="00692F65">
            <w:pPr>
              <w:pStyle w:val="TableParagraph"/>
              <w:spacing w:before="0" w:line="480" w:lineRule="auto"/>
              <w:ind w:left="98" w:right="91"/>
              <w:rPr>
                <w:sz w:val="24"/>
                <w:szCs w:val="24"/>
              </w:rPr>
            </w:pPr>
            <w:r w:rsidRPr="008A510B">
              <w:rPr>
                <w:sz w:val="24"/>
                <w:szCs w:val="24"/>
              </w:rPr>
              <w:t>2.5%</w:t>
            </w:r>
            <w:r w:rsidR="00000687" w:rsidRPr="008A510B">
              <w:rPr>
                <w:sz w:val="24"/>
                <w:szCs w:val="24"/>
              </w:rPr>
              <w:t xml:space="preserve"> </w:t>
            </w:r>
            <w:r w:rsidRPr="008A510B">
              <w:rPr>
                <w:sz w:val="24"/>
                <w:szCs w:val="24"/>
              </w:rPr>
              <w:t>CRI</w:t>
            </w:r>
          </w:p>
        </w:tc>
        <w:tc>
          <w:tcPr>
            <w:tcW w:w="1003" w:type="dxa"/>
          </w:tcPr>
          <w:p w14:paraId="064529B9" w14:textId="46598CCA" w:rsidR="003A76CE" w:rsidRPr="008A510B" w:rsidRDefault="003A76CE" w:rsidP="00692F65">
            <w:pPr>
              <w:pStyle w:val="TableParagraph"/>
              <w:spacing w:before="0" w:line="480" w:lineRule="auto"/>
              <w:ind w:right="74"/>
              <w:rPr>
                <w:sz w:val="24"/>
                <w:szCs w:val="24"/>
              </w:rPr>
            </w:pPr>
            <w:r w:rsidRPr="008A510B">
              <w:rPr>
                <w:sz w:val="24"/>
                <w:szCs w:val="24"/>
              </w:rPr>
              <w:t>-0.21</w:t>
            </w:r>
          </w:p>
        </w:tc>
      </w:tr>
      <w:tr w:rsidR="003A76CE" w:rsidRPr="008A510B" w14:paraId="32238110" w14:textId="77777777" w:rsidTr="00F733EA">
        <w:trPr>
          <w:trHeight w:val="423"/>
        </w:trPr>
        <w:tc>
          <w:tcPr>
            <w:tcW w:w="1764" w:type="dxa"/>
            <w:vMerge/>
          </w:tcPr>
          <w:p w14:paraId="0987D9BB" w14:textId="77777777" w:rsidR="003A76CE" w:rsidRPr="008A510B" w:rsidRDefault="003A76CE" w:rsidP="00692F65">
            <w:pPr>
              <w:spacing w:line="480" w:lineRule="auto"/>
              <w:rPr>
                <w:sz w:val="24"/>
                <w:szCs w:val="24"/>
              </w:rPr>
            </w:pPr>
          </w:p>
        </w:tc>
        <w:tc>
          <w:tcPr>
            <w:tcW w:w="1283" w:type="dxa"/>
          </w:tcPr>
          <w:p w14:paraId="3BB89F02" w14:textId="0A0E412C" w:rsidR="003A76CE" w:rsidRPr="008A510B" w:rsidRDefault="003A76CE" w:rsidP="00692F65">
            <w:pPr>
              <w:pStyle w:val="TableParagraph"/>
              <w:spacing w:before="0" w:line="480" w:lineRule="auto"/>
              <w:ind w:left="98" w:right="91"/>
              <w:rPr>
                <w:sz w:val="24"/>
                <w:szCs w:val="24"/>
              </w:rPr>
            </w:pPr>
            <w:r w:rsidRPr="008A510B">
              <w:rPr>
                <w:sz w:val="24"/>
                <w:szCs w:val="24"/>
              </w:rPr>
              <w:t>97.5%</w:t>
            </w:r>
            <w:r w:rsidR="00000687" w:rsidRPr="008A510B">
              <w:rPr>
                <w:sz w:val="24"/>
                <w:szCs w:val="24"/>
              </w:rPr>
              <w:t xml:space="preserve"> </w:t>
            </w:r>
            <w:r w:rsidRPr="008A510B">
              <w:rPr>
                <w:sz w:val="24"/>
                <w:szCs w:val="24"/>
              </w:rPr>
              <w:t>CRI</w:t>
            </w:r>
          </w:p>
        </w:tc>
        <w:tc>
          <w:tcPr>
            <w:tcW w:w="1003" w:type="dxa"/>
          </w:tcPr>
          <w:p w14:paraId="34B8D72C" w14:textId="747AEACF" w:rsidR="003A76CE" w:rsidRPr="008A510B" w:rsidRDefault="003A76CE" w:rsidP="00692F65">
            <w:pPr>
              <w:pStyle w:val="TableParagraph"/>
              <w:spacing w:before="0" w:line="480" w:lineRule="auto"/>
              <w:ind w:right="74"/>
              <w:rPr>
                <w:sz w:val="24"/>
                <w:szCs w:val="24"/>
              </w:rPr>
            </w:pPr>
            <w:r w:rsidRPr="008A510B">
              <w:rPr>
                <w:sz w:val="24"/>
                <w:szCs w:val="24"/>
              </w:rPr>
              <w:t>-0.01</w:t>
            </w:r>
          </w:p>
        </w:tc>
      </w:tr>
      <w:tr w:rsidR="003A76CE" w:rsidRPr="008A510B" w14:paraId="183F1708" w14:textId="77777777" w:rsidTr="00F733EA">
        <w:trPr>
          <w:trHeight w:val="423"/>
        </w:trPr>
        <w:tc>
          <w:tcPr>
            <w:tcW w:w="1764" w:type="dxa"/>
            <w:vMerge/>
          </w:tcPr>
          <w:p w14:paraId="171B00A2" w14:textId="77777777" w:rsidR="003A76CE" w:rsidRPr="008A510B" w:rsidRDefault="003A76CE" w:rsidP="00692F65">
            <w:pPr>
              <w:spacing w:line="480" w:lineRule="auto"/>
              <w:rPr>
                <w:sz w:val="24"/>
                <w:szCs w:val="24"/>
              </w:rPr>
            </w:pPr>
          </w:p>
        </w:tc>
        <w:tc>
          <w:tcPr>
            <w:tcW w:w="1283" w:type="dxa"/>
          </w:tcPr>
          <w:p w14:paraId="01F3F4B6" w14:textId="77777777" w:rsidR="003A76CE" w:rsidRPr="008A510B" w:rsidRDefault="003A76CE" w:rsidP="00692F65">
            <w:pPr>
              <w:pStyle w:val="TableParagraph"/>
              <w:spacing w:before="0" w:line="480" w:lineRule="auto"/>
              <w:ind w:left="0" w:right="2"/>
              <w:rPr>
                <w:i/>
                <w:sz w:val="24"/>
                <w:szCs w:val="24"/>
              </w:rPr>
            </w:pPr>
            <w:r w:rsidRPr="008A510B">
              <w:rPr>
                <w:i/>
                <w:sz w:val="24"/>
                <w:szCs w:val="24"/>
              </w:rPr>
              <w:t>ξ</w:t>
            </w:r>
          </w:p>
        </w:tc>
        <w:tc>
          <w:tcPr>
            <w:tcW w:w="1003" w:type="dxa"/>
          </w:tcPr>
          <w:p w14:paraId="06FFA3E4" w14:textId="2A8F07B4" w:rsidR="003A76CE" w:rsidRPr="008A510B" w:rsidRDefault="003A76CE" w:rsidP="00692F65">
            <w:pPr>
              <w:pStyle w:val="TableParagraph"/>
              <w:spacing w:before="0" w:line="480" w:lineRule="auto"/>
              <w:ind w:right="73"/>
              <w:rPr>
                <w:sz w:val="24"/>
                <w:szCs w:val="24"/>
              </w:rPr>
            </w:pPr>
            <w:r w:rsidRPr="008A510B">
              <w:rPr>
                <w:sz w:val="24"/>
                <w:szCs w:val="24"/>
              </w:rPr>
              <w:t>0.9</w:t>
            </w:r>
            <w:r w:rsidR="00CC1997">
              <w:rPr>
                <w:sz w:val="24"/>
                <w:szCs w:val="24"/>
              </w:rPr>
              <w:t>9</w:t>
            </w:r>
          </w:p>
        </w:tc>
      </w:tr>
    </w:tbl>
    <w:p w14:paraId="47635707" w14:textId="77777777" w:rsidR="003A76CE" w:rsidRPr="00C63ABB" w:rsidRDefault="003A76CE" w:rsidP="00C63ABB">
      <w:pPr>
        <w:spacing w:line="480" w:lineRule="auto"/>
        <w:rPr>
          <w:sz w:val="24"/>
          <w:szCs w:val="24"/>
        </w:rPr>
        <w:sectPr w:rsidR="003A76CE" w:rsidRPr="00C63ABB" w:rsidSect="00692F65">
          <w:pgSz w:w="12240" w:h="15840"/>
          <w:pgMar w:top="1440" w:right="1440" w:bottom="1440" w:left="1440" w:header="0" w:footer="867" w:gutter="0"/>
          <w:cols w:space="720"/>
        </w:sectPr>
      </w:pPr>
    </w:p>
    <w:p w14:paraId="39CAE713" w14:textId="521D8350" w:rsidR="000B5F9B" w:rsidRDefault="003A76CE" w:rsidP="009A2068">
      <w:pPr>
        <w:pStyle w:val="Heading1"/>
        <w:spacing w:before="0" w:line="480" w:lineRule="auto"/>
        <w:rPr>
          <w:sz w:val="24"/>
          <w:szCs w:val="24"/>
        </w:rPr>
      </w:pPr>
      <w:r w:rsidRPr="00C63ABB">
        <w:rPr>
          <w:sz w:val="24"/>
          <w:szCs w:val="24"/>
        </w:rPr>
        <w:lastRenderedPageBreak/>
        <w:t>FIGURE</w:t>
      </w:r>
      <w:r w:rsidR="00D56063">
        <w:rPr>
          <w:sz w:val="24"/>
          <w:szCs w:val="24"/>
        </w:rPr>
        <w:t xml:space="preserve"> LEGENDS</w:t>
      </w:r>
    </w:p>
    <w:p w14:paraId="09D3062D" w14:textId="3A88C581" w:rsidR="003B139E" w:rsidRDefault="000B5F9B" w:rsidP="003B139E">
      <w:pPr>
        <w:pStyle w:val="BodyText"/>
        <w:spacing w:line="480" w:lineRule="auto"/>
        <w:ind w:left="120" w:right="584"/>
        <w:rPr>
          <w:b/>
          <w:bCs/>
        </w:rPr>
      </w:pPr>
      <w:r w:rsidRPr="00C63ABB">
        <w:rPr>
          <w:b/>
          <w:bCs/>
        </w:rPr>
        <w:t>Figure 1.</w:t>
      </w:r>
      <w:r w:rsidRPr="008A510B">
        <w:t xml:space="preserve"> </w:t>
      </w:r>
      <w:r>
        <w:t>Theoretical gradients of</w:t>
      </w:r>
      <w:r w:rsidRPr="008A510B">
        <w:t xml:space="preserve"> survival (</w:t>
      </w:r>
      <w:r w:rsidRPr="008A510B">
        <w:rPr>
          <w:b/>
          <w:bCs/>
        </w:rPr>
        <w:t>A</w:t>
      </w:r>
      <w:r w:rsidRPr="008A510B">
        <w:t>) and breeding probability (</w:t>
      </w:r>
      <w:r w:rsidRPr="008A510B">
        <w:rPr>
          <w:b/>
          <w:bCs/>
        </w:rPr>
        <w:t>B</w:t>
      </w:r>
      <w:r>
        <w:t>)</w:t>
      </w:r>
      <w:r w:rsidR="009D66CE">
        <w:t>. Under the demographic buffering hypothesis, long lived species should have little within population variation in survival across gradients of individual quality.</w:t>
      </w:r>
      <w:r w:rsidR="00544671">
        <w:t xml:space="preserve"> Breeding probability, however, should show substantial variation, with high quality </w:t>
      </w:r>
      <w:r w:rsidR="00DF1107">
        <w:t>having much higher breeding probabilities than low quality individuals</w:t>
      </w:r>
      <w:r w:rsidR="00544671">
        <w:t>.</w:t>
      </w:r>
    </w:p>
    <w:p w14:paraId="52D7D407" w14:textId="77777777" w:rsidR="003B139E" w:rsidRDefault="003B139E" w:rsidP="009A2068">
      <w:pPr>
        <w:pStyle w:val="BodyText"/>
        <w:spacing w:line="480" w:lineRule="auto"/>
        <w:ind w:left="120" w:right="584"/>
      </w:pPr>
    </w:p>
    <w:p w14:paraId="7C19C219" w14:textId="29248EEA" w:rsidR="007F1681" w:rsidRPr="008A510B" w:rsidRDefault="003B139E">
      <w:pPr>
        <w:pStyle w:val="BodyText"/>
        <w:spacing w:line="480" w:lineRule="auto"/>
        <w:ind w:left="120" w:right="584"/>
      </w:pPr>
      <w:r w:rsidRPr="003B139E">
        <w:t>Fi</w:t>
      </w:r>
      <w:r w:rsidR="00D82665" w:rsidRPr="003B139E">
        <w:rPr>
          <w:b/>
          <w:bCs/>
        </w:rPr>
        <w:t>g</w:t>
      </w:r>
      <w:r w:rsidR="00D82665" w:rsidRPr="00C63ABB">
        <w:rPr>
          <w:b/>
          <w:bCs/>
        </w:rPr>
        <w:t xml:space="preserve">ure </w:t>
      </w:r>
      <w:r w:rsidR="00F941D0">
        <w:rPr>
          <w:b/>
          <w:bCs/>
        </w:rPr>
        <w:t>2</w:t>
      </w:r>
      <w:r w:rsidR="00D82665" w:rsidRPr="00C63ABB">
        <w:rPr>
          <w:b/>
          <w:bCs/>
        </w:rPr>
        <w:t>.</w:t>
      </w:r>
      <w:r w:rsidR="00D82665" w:rsidRPr="008A510B">
        <w:t xml:space="preserve"> </w:t>
      </w:r>
      <w:r w:rsidR="008120F0" w:rsidRPr="008A510B">
        <w:t>Predicted survival (</w:t>
      </w:r>
      <w:r w:rsidR="008120F0" w:rsidRPr="008A510B">
        <w:rPr>
          <w:b/>
          <w:bCs/>
        </w:rPr>
        <w:t>A</w:t>
      </w:r>
      <w:r w:rsidR="008120F0" w:rsidRPr="008A510B">
        <w:t>) and breeding probability (</w:t>
      </w:r>
      <w:r w:rsidR="008120F0" w:rsidRPr="008A510B">
        <w:rPr>
          <w:b/>
          <w:bCs/>
        </w:rPr>
        <w:t>B</w:t>
      </w:r>
      <w:r w:rsidR="008120F0" w:rsidRPr="008A510B">
        <w:t xml:space="preserve">), and </w:t>
      </w:r>
      <w:r w:rsidR="008120F0" w:rsidRPr="008A510B">
        <w:rPr>
          <w:i/>
        </w:rPr>
        <w:t xml:space="preserve">σ </w:t>
      </w:r>
      <w:r w:rsidR="008120F0" w:rsidRPr="008A510B">
        <w:t>values of predicted survival (</w:t>
      </w:r>
      <w:r w:rsidR="008120F0" w:rsidRPr="008A510B">
        <w:rPr>
          <w:b/>
          <w:bCs/>
        </w:rPr>
        <w:t>C</w:t>
      </w:r>
      <w:r w:rsidR="008120F0" w:rsidRPr="008A510B">
        <w:t>) and breeding probability (</w:t>
      </w:r>
      <w:r w:rsidR="008120F0" w:rsidRPr="008A510B">
        <w:rPr>
          <w:b/>
          <w:bCs/>
        </w:rPr>
        <w:t>D</w:t>
      </w:r>
      <w:r w:rsidR="008120F0" w:rsidRPr="008A510B">
        <w:t>), using clutch size, initiation date, and clutch size/initiation date interaction</w:t>
      </w:r>
      <w:r w:rsidR="00DD12BE" w:rsidRPr="008A510B">
        <w:t xml:space="preserve"> for </w:t>
      </w:r>
      <w:r w:rsidR="00A6239B" w:rsidRPr="008A510B">
        <w:t xml:space="preserve">female black </w:t>
      </w:r>
      <w:r w:rsidR="00DD12BE" w:rsidRPr="008A510B">
        <w:t>brant breeding on the Yukon-Kuskokwim River Delta, Alaska (1988-2014)</w:t>
      </w:r>
      <w:r w:rsidR="008120F0" w:rsidRPr="008A510B">
        <w:t>.</w:t>
      </w:r>
      <w:r w:rsidR="007F1681" w:rsidRPr="008A510B">
        <w:t xml:space="preserve"> Surfaces were predicted from linear models lining survival and breeding probability and associated parameter estimates described in the Methods and </w:t>
      </w:r>
      <w:r w:rsidR="007F1681" w:rsidRPr="008A510B">
        <w:rPr>
          <w:bCs/>
        </w:rPr>
        <w:t>Results.</w:t>
      </w:r>
    </w:p>
    <w:p w14:paraId="2F864523" w14:textId="46739B5E" w:rsidR="00D82665" w:rsidRPr="008A510B" w:rsidRDefault="00D82665">
      <w:pPr>
        <w:pStyle w:val="BodyText"/>
        <w:spacing w:line="480" w:lineRule="auto"/>
        <w:ind w:left="120"/>
      </w:pPr>
    </w:p>
    <w:p w14:paraId="27C1802D" w14:textId="393203BC" w:rsidR="003A76CE" w:rsidRPr="008A510B" w:rsidRDefault="003B139E" w:rsidP="009A2068">
      <w:pPr>
        <w:pStyle w:val="BodyText"/>
        <w:spacing w:line="480" w:lineRule="auto"/>
      </w:pPr>
      <w:r w:rsidRPr="009A2068">
        <w:rPr>
          <w:b/>
          <w:bCs/>
        </w:rPr>
        <w:t>F</w:t>
      </w:r>
      <w:r w:rsidR="003A76CE" w:rsidRPr="003B139E">
        <w:rPr>
          <w:b/>
          <w:bCs/>
        </w:rPr>
        <w:t>i</w:t>
      </w:r>
      <w:r w:rsidR="003A76CE" w:rsidRPr="008A510B">
        <w:rPr>
          <w:b/>
          <w:bCs/>
        </w:rPr>
        <w:t xml:space="preserve">gure </w:t>
      </w:r>
      <w:r w:rsidR="00F941D0">
        <w:rPr>
          <w:b/>
          <w:bCs/>
        </w:rPr>
        <w:t>3</w:t>
      </w:r>
      <w:r w:rsidR="003A76CE" w:rsidRPr="008A510B">
        <w:rPr>
          <w:b/>
          <w:bCs/>
        </w:rPr>
        <w:t>.</w:t>
      </w:r>
      <w:r w:rsidR="003A76CE" w:rsidRPr="008A510B">
        <w:t xml:space="preserve"> Frequency of recorded clutch sizes of female </w:t>
      </w:r>
      <w:r w:rsidR="00A6239B" w:rsidRPr="008A510B">
        <w:t xml:space="preserve">black brant </w:t>
      </w:r>
      <w:r w:rsidR="003A76CE" w:rsidRPr="008A510B">
        <w:t>breeding on the YKD in Alaska from 1988 — 2014.</w:t>
      </w:r>
    </w:p>
    <w:p w14:paraId="455EF771" w14:textId="77777777" w:rsidR="003A76CE" w:rsidRPr="008A510B" w:rsidRDefault="003A76CE">
      <w:pPr>
        <w:pStyle w:val="BodyText"/>
        <w:spacing w:line="480" w:lineRule="auto"/>
      </w:pPr>
    </w:p>
    <w:p w14:paraId="6747939F" w14:textId="77777777" w:rsidR="003A76CE" w:rsidRPr="008A510B" w:rsidRDefault="003A76CE">
      <w:pPr>
        <w:pStyle w:val="BodyText"/>
        <w:spacing w:line="480" w:lineRule="auto"/>
      </w:pPr>
    </w:p>
    <w:p w14:paraId="3FF73858" w14:textId="77777777" w:rsidR="003A76CE" w:rsidRPr="008A510B" w:rsidRDefault="003A76CE">
      <w:pPr>
        <w:pStyle w:val="BodyText"/>
        <w:spacing w:line="480" w:lineRule="auto"/>
      </w:pPr>
    </w:p>
    <w:p w14:paraId="153AF38E" w14:textId="77777777" w:rsidR="00A95E3C" w:rsidRPr="00692F65" w:rsidRDefault="00A95E3C" w:rsidP="00692F65">
      <w:pPr>
        <w:spacing w:line="480" w:lineRule="auto"/>
        <w:rPr>
          <w:sz w:val="24"/>
          <w:szCs w:val="24"/>
        </w:rPr>
      </w:pPr>
    </w:p>
    <w:sectPr w:rsidR="00A95E3C" w:rsidRPr="00692F65" w:rsidSect="00692F65">
      <w:pgSz w:w="12240" w:h="15840"/>
      <w:pgMar w:top="1440" w:right="1440" w:bottom="1440" w:left="1440" w:header="0" w:footer="8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B9AF5" w14:textId="77777777" w:rsidR="00EF7C88" w:rsidRDefault="00EF7C88">
      <w:r>
        <w:separator/>
      </w:r>
    </w:p>
  </w:endnote>
  <w:endnote w:type="continuationSeparator" w:id="0">
    <w:p w14:paraId="68FA3E75" w14:textId="77777777" w:rsidR="00EF7C88" w:rsidRDefault="00EF7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4C74F" w14:textId="77777777" w:rsidR="004B18CC" w:rsidRDefault="004B18CC">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5D6D8EBB" wp14:editId="4F09831C">
              <wp:simplePos x="0" y="0"/>
              <wp:positionH relativeFrom="page">
                <wp:posOffset>3786505</wp:posOffset>
              </wp:positionH>
              <wp:positionV relativeFrom="page">
                <wp:posOffset>9368155</wp:posOffset>
              </wp:positionV>
              <wp:extent cx="200025" cy="217170"/>
              <wp:effectExtent l="0" t="0" r="444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41622" w14:textId="45E6A1D7" w:rsidR="004B18CC" w:rsidRDefault="004B18CC">
                          <w:pPr>
                            <w:pStyle w:val="BodyText"/>
                            <w:spacing w:before="21"/>
                            <w:ind w:left="40"/>
                          </w:pPr>
                          <w:r>
                            <w:fldChar w:fldCharType="begin"/>
                          </w:r>
                          <w:r>
                            <w:instrText xml:space="preserve"> PAGE </w:instrText>
                          </w:r>
                          <w:r>
                            <w:fldChar w:fldCharType="separate"/>
                          </w:r>
                          <w:r w:rsidR="0051742C">
                            <w:rPr>
                              <w:noProof/>
                            </w:rP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D8EBB" id="_x0000_t202" coordsize="21600,21600" o:spt="202" path="m,l,21600r21600,l21600,xe">
              <v:stroke joinstyle="miter"/>
              <v:path gradientshapeok="t" o:connecttype="rect"/>
            </v:shapetype>
            <v:shape id="Text Box 1" o:spid="_x0000_s1026" type="#_x0000_t202" style="position:absolute;margin-left:298.15pt;margin-top:737.65pt;width:15.75pt;height:17.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" filled="f" stroked="f">
              <v:textbox inset="0,0,0,0">
                <w:txbxContent>
                  <w:p w14:paraId="39041622" w14:textId="45E6A1D7" w:rsidR="004B18CC" w:rsidRDefault="004B18CC">
                    <w:pPr>
                      <w:pStyle w:val="BodyText"/>
                      <w:spacing w:before="21"/>
                      <w:ind w:left="40"/>
                    </w:pPr>
                    <w:r>
                      <w:fldChar w:fldCharType="begin"/>
                    </w:r>
                    <w:r>
                      <w:instrText xml:space="preserve"> PAGE </w:instrText>
                    </w:r>
                    <w:r>
                      <w:fldChar w:fldCharType="separate"/>
                    </w:r>
                    <w:r w:rsidR="0051742C">
                      <w:rPr>
                        <w:noProof/>
                      </w:rPr>
                      <w:t>29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FFF414" w14:textId="77777777" w:rsidR="00EF7C88" w:rsidRDefault="00EF7C88">
      <w:r>
        <w:separator/>
      </w:r>
    </w:p>
  </w:footnote>
  <w:footnote w:type="continuationSeparator" w:id="0">
    <w:p w14:paraId="52CD6161" w14:textId="77777777" w:rsidR="00EF7C88" w:rsidRDefault="00EF7C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F6154C"/>
    <w:multiLevelType w:val="hybridMultilevel"/>
    <w:tmpl w:val="C0F4D5BC"/>
    <w:lvl w:ilvl="0" w:tplc="13DAF5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943217"/>
    <w:multiLevelType w:val="hybridMultilevel"/>
    <w:tmpl w:val="CF7C6186"/>
    <w:lvl w:ilvl="0" w:tplc="AD202678">
      <w:start w:val="1"/>
      <w:numFmt w:val="decimal"/>
      <w:pStyle w:val="Style1"/>
      <w:lvlText w:val="%1."/>
      <w:lvlJc w:val="left"/>
      <w:pPr>
        <w:ind w:left="705" w:hanging="300"/>
      </w:pPr>
      <w:rPr>
        <w:rFonts w:ascii="Times New Roman" w:eastAsia="Times New Roman" w:hAnsi="Times New Roman" w:cs="Times New Roman" w:hint="default"/>
        <w:w w:val="101"/>
        <w:sz w:val="24"/>
        <w:szCs w:val="24"/>
      </w:rPr>
    </w:lvl>
    <w:lvl w:ilvl="1" w:tplc="FE521FB6">
      <w:numFmt w:val="bullet"/>
      <w:lvlText w:val="•"/>
      <w:lvlJc w:val="left"/>
      <w:pPr>
        <w:ind w:left="1598" w:hanging="300"/>
      </w:pPr>
      <w:rPr>
        <w:rFonts w:hint="default"/>
      </w:rPr>
    </w:lvl>
    <w:lvl w:ilvl="2" w:tplc="0DD4B9FE">
      <w:numFmt w:val="bullet"/>
      <w:lvlText w:val="•"/>
      <w:lvlJc w:val="left"/>
      <w:pPr>
        <w:ind w:left="2496" w:hanging="300"/>
      </w:pPr>
      <w:rPr>
        <w:rFonts w:hint="default"/>
      </w:rPr>
    </w:lvl>
    <w:lvl w:ilvl="3" w:tplc="C94CEE38">
      <w:numFmt w:val="bullet"/>
      <w:lvlText w:val="•"/>
      <w:lvlJc w:val="left"/>
      <w:pPr>
        <w:ind w:left="3394" w:hanging="300"/>
      </w:pPr>
      <w:rPr>
        <w:rFonts w:hint="default"/>
      </w:rPr>
    </w:lvl>
    <w:lvl w:ilvl="4" w:tplc="5CEC6492">
      <w:numFmt w:val="bullet"/>
      <w:lvlText w:val="•"/>
      <w:lvlJc w:val="left"/>
      <w:pPr>
        <w:ind w:left="4292" w:hanging="300"/>
      </w:pPr>
      <w:rPr>
        <w:rFonts w:hint="default"/>
      </w:rPr>
    </w:lvl>
    <w:lvl w:ilvl="5" w:tplc="978C62AA">
      <w:numFmt w:val="bullet"/>
      <w:lvlText w:val="•"/>
      <w:lvlJc w:val="left"/>
      <w:pPr>
        <w:ind w:left="5190" w:hanging="300"/>
      </w:pPr>
      <w:rPr>
        <w:rFonts w:hint="default"/>
      </w:rPr>
    </w:lvl>
    <w:lvl w:ilvl="6" w:tplc="A836D3DA">
      <w:numFmt w:val="bullet"/>
      <w:lvlText w:val="•"/>
      <w:lvlJc w:val="left"/>
      <w:pPr>
        <w:ind w:left="6088" w:hanging="300"/>
      </w:pPr>
      <w:rPr>
        <w:rFonts w:hint="default"/>
      </w:rPr>
    </w:lvl>
    <w:lvl w:ilvl="7" w:tplc="12C43696">
      <w:numFmt w:val="bullet"/>
      <w:lvlText w:val="•"/>
      <w:lvlJc w:val="left"/>
      <w:pPr>
        <w:ind w:left="6986" w:hanging="300"/>
      </w:pPr>
      <w:rPr>
        <w:rFonts w:hint="default"/>
      </w:rPr>
    </w:lvl>
    <w:lvl w:ilvl="8" w:tplc="A896FB82">
      <w:numFmt w:val="bullet"/>
      <w:lvlText w:val="•"/>
      <w:lvlJc w:val="left"/>
      <w:pPr>
        <w:ind w:left="7884" w:hanging="3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6CE"/>
    <w:rsid w:val="00000687"/>
    <w:rsid w:val="00015BAE"/>
    <w:rsid w:val="00026A7E"/>
    <w:rsid w:val="00030A67"/>
    <w:rsid w:val="000322C1"/>
    <w:rsid w:val="00032EB3"/>
    <w:rsid w:val="000443F1"/>
    <w:rsid w:val="0005335D"/>
    <w:rsid w:val="000535F9"/>
    <w:rsid w:val="00057365"/>
    <w:rsid w:val="00061E5A"/>
    <w:rsid w:val="00077D5D"/>
    <w:rsid w:val="00083490"/>
    <w:rsid w:val="000A6BF5"/>
    <w:rsid w:val="000B5F9B"/>
    <w:rsid w:val="000C6DBE"/>
    <w:rsid w:val="000E160C"/>
    <w:rsid w:val="000E368E"/>
    <w:rsid w:val="000F0F9B"/>
    <w:rsid w:val="00102A18"/>
    <w:rsid w:val="0012531E"/>
    <w:rsid w:val="00137465"/>
    <w:rsid w:val="00146F97"/>
    <w:rsid w:val="00154A7F"/>
    <w:rsid w:val="00174125"/>
    <w:rsid w:val="00187133"/>
    <w:rsid w:val="00187D03"/>
    <w:rsid w:val="00192973"/>
    <w:rsid w:val="001975C4"/>
    <w:rsid w:val="001B0270"/>
    <w:rsid w:val="001C3F4D"/>
    <w:rsid w:val="001D0BDE"/>
    <w:rsid w:val="001E2CDA"/>
    <w:rsid w:val="00207F83"/>
    <w:rsid w:val="0021268A"/>
    <w:rsid w:val="00213D78"/>
    <w:rsid w:val="002141F2"/>
    <w:rsid w:val="00230C37"/>
    <w:rsid w:val="0023339E"/>
    <w:rsid w:val="00234AA5"/>
    <w:rsid w:val="00264511"/>
    <w:rsid w:val="0027449B"/>
    <w:rsid w:val="00283700"/>
    <w:rsid w:val="002A56ED"/>
    <w:rsid w:val="002B08A4"/>
    <w:rsid w:val="002B55CD"/>
    <w:rsid w:val="002C2EEF"/>
    <w:rsid w:val="002D3585"/>
    <w:rsid w:val="002D3D47"/>
    <w:rsid w:val="002E59D3"/>
    <w:rsid w:val="0030509E"/>
    <w:rsid w:val="0031752C"/>
    <w:rsid w:val="00325F27"/>
    <w:rsid w:val="0035267C"/>
    <w:rsid w:val="00357AE0"/>
    <w:rsid w:val="003653FD"/>
    <w:rsid w:val="00370A7F"/>
    <w:rsid w:val="00373BF4"/>
    <w:rsid w:val="00374822"/>
    <w:rsid w:val="00382B56"/>
    <w:rsid w:val="00385839"/>
    <w:rsid w:val="003907E1"/>
    <w:rsid w:val="00395FDA"/>
    <w:rsid w:val="003A21F3"/>
    <w:rsid w:val="003A76CE"/>
    <w:rsid w:val="003B139E"/>
    <w:rsid w:val="003B2E47"/>
    <w:rsid w:val="003C23B6"/>
    <w:rsid w:val="003C3E69"/>
    <w:rsid w:val="003C7B08"/>
    <w:rsid w:val="003D02A3"/>
    <w:rsid w:val="003D3D2D"/>
    <w:rsid w:val="003D7549"/>
    <w:rsid w:val="003E44B4"/>
    <w:rsid w:val="003F6239"/>
    <w:rsid w:val="004037DD"/>
    <w:rsid w:val="00406A90"/>
    <w:rsid w:val="004141A1"/>
    <w:rsid w:val="004163B2"/>
    <w:rsid w:val="004235BB"/>
    <w:rsid w:val="00442176"/>
    <w:rsid w:val="004421DA"/>
    <w:rsid w:val="00446113"/>
    <w:rsid w:val="00447B4E"/>
    <w:rsid w:val="004A02FC"/>
    <w:rsid w:val="004A3710"/>
    <w:rsid w:val="004B18CC"/>
    <w:rsid w:val="004B35C6"/>
    <w:rsid w:val="004D0E26"/>
    <w:rsid w:val="004D3AD2"/>
    <w:rsid w:val="004D3DAE"/>
    <w:rsid w:val="004D6EE0"/>
    <w:rsid w:val="004E3F8F"/>
    <w:rsid w:val="004E7C2B"/>
    <w:rsid w:val="004F2626"/>
    <w:rsid w:val="004F4784"/>
    <w:rsid w:val="004F6DFC"/>
    <w:rsid w:val="005031C9"/>
    <w:rsid w:val="00512005"/>
    <w:rsid w:val="00515A5D"/>
    <w:rsid w:val="0051742C"/>
    <w:rsid w:val="005232C5"/>
    <w:rsid w:val="00523506"/>
    <w:rsid w:val="00526F21"/>
    <w:rsid w:val="005273F0"/>
    <w:rsid w:val="005310B8"/>
    <w:rsid w:val="005353A0"/>
    <w:rsid w:val="00536E1E"/>
    <w:rsid w:val="00536ECF"/>
    <w:rsid w:val="0054057C"/>
    <w:rsid w:val="00544671"/>
    <w:rsid w:val="00547B32"/>
    <w:rsid w:val="00576B99"/>
    <w:rsid w:val="00580D2B"/>
    <w:rsid w:val="0058350D"/>
    <w:rsid w:val="005A0DF5"/>
    <w:rsid w:val="005A66C1"/>
    <w:rsid w:val="005B747C"/>
    <w:rsid w:val="005B7921"/>
    <w:rsid w:val="005C68AD"/>
    <w:rsid w:val="005E2C61"/>
    <w:rsid w:val="006154E7"/>
    <w:rsid w:val="00624D14"/>
    <w:rsid w:val="00647BCE"/>
    <w:rsid w:val="00657D46"/>
    <w:rsid w:val="0066044C"/>
    <w:rsid w:val="00665C61"/>
    <w:rsid w:val="0067781F"/>
    <w:rsid w:val="00692F65"/>
    <w:rsid w:val="006941E7"/>
    <w:rsid w:val="006C0C4F"/>
    <w:rsid w:val="006D3D44"/>
    <w:rsid w:val="006D45BE"/>
    <w:rsid w:val="006E504F"/>
    <w:rsid w:val="006F0C24"/>
    <w:rsid w:val="006F1D6E"/>
    <w:rsid w:val="006F2A09"/>
    <w:rsid w:val="006F7C41"/>
    <w:rsid w:val="007040EB"/>
    <w:rsid w:val="00717649"/>
    <w:rsid w:val="007255CD"/>
    <w:rsid w:val="00732334"/>
    <w:rsid w:val="00733671"/>
    <w:rsid w:val="00741456"/>
    <w:rsid w:val="00746931"/>
    <w:rsid w:val="00747687"/>
    <w:rsid w:val="00752274"/>
    <w:rsid w:val="007714C3"/>
    <w:rsid w:val="007812F3"/>
    <w:rsid w:val="00781B5D"/>
    <w:rsid w:val="00792EBE"/>
    <w:rsid w:val="007A1D5A"/>
    <w:rsid w:val="007A226F"/>
    <w:rsid w:val="007A3876"/>
    <w:rsid w:val="007A50CF"/>
    <w:rsid w:val="007E1304"/>
    <w:rsid w:val="007F1681"/>
    <w:rsid w:val="008120F0"/>
    <w:rsid w:val="00813737"/>
    <w:rsid w:val="00827977"/>
    <w:rsid w:val="008351ED"/>
    <w:rsid w:val="00844A38"/>
    <w:rsid w:val="008524EB"/>
    <w:rsid w:val="00857D56"/>
    <w:rsid w:val="008752BB"/>
    <w:rsid w:val="008815DF"/>
    <w:rsid w:val="0088208D"/>
    <w:rsid w:val="00887FF8"/>
    <w:rsid w:val="008A2941"/>
    <w:rsid w:val="008A4569"/>
    <w:rsid w:val="008A510B"/>
    <w:rsid w:val="008B5C0B"/>
    <w:rsid w:val="008E2CD0"/>
    <w:rsid w:val="008F56F0"/>
    <w:rsid w:val="00901788"/>
    <w:rsid w:val="009071C5"/>
    <w:rsid w:val="00913F7D"/>
    <w:rsid w:val="00920BD3"/>
    <w:rsid w:val="00922D9F"/>
    <w:rsid w:val="00922ED5"/>
    <w:rsid w:val="009269AD"/>
    <w:rsid w:val="0095489A"/>
    <w:rsid w:val="0096353A"/>
    <w:rsid w:val="00966FC4"/>
    <w:rsid w:val="00980C6F"/>
    <w:rsid w:val="00983049"/>
    <w:rsid w:val="00991B4D"/>
    <w:rsid w:val="009A2068"/>
    <w:rsid w:val="009B066A"/>
    <w:rsid w:val="009B1132"/>
    <w:rsid w:val="009B28A8"/>
    <w:rsid w:val="009B2EC1"/>
    <w:rsid w:val="009C764F"/>
    <w:rsid w:val="009D411A"/>
    <w:rsid w:val="009D66CE"/>
    <w:rsid w:val="009D6B59"/>
    <w:rsid w:val="009D74C0"/>
    <w:rsid w:val="009E0C23"/>
    <w:rsid w:val="00A0201D"/>
    <w:rsid w:val="00A14314"/>
    <w:rsid w:val="00A165EB"/>
    <w:rsid w:val="00A1738E"/>
    <w:rsid w:val="00A34929"/>
    <w:rsid w:val="00A60448"/>
    <w:rsid w:val="00A6239B"/>
    <w:rsid w:val="00A65D82"/>
    <w:rsid w:val="00A825CE"/>
    <w:rsid w:val="00A84DA0"/>
    <w:rsid w:val="00A8531B"/>
    <w:rsid w:val="00A95E3C"/>
    <w:rsid w:val="00AA3417"/>
    <w:rsid w:val="00AB76A6"/>
    <w:rsid w:val="00AD25E2"/>
    <w:rsid w:val="00AD3774"/>
    <w:rsid w:val="00AE2213"/>
    <w:rsid w:val="00AE2406"/>
    <w:rsid w:val="00AE4754"/>
    <w:rsid w:val="00AF025D"/>
    <w:rsid w:val="00AF03A1"/>
    <w:rsid w:val="00AF5192"/>
    <w:rsid w:val="00B01251"/>
    <w:rsid w:val="00B06AAB"/>
    <w:rsid w:val="00B12D2C"/>
    <w:rsid w:val="00B3064A"/>
    <w:rsid w:val="00B31E35"/>
    <w:rsid w:val="00B3574A"/>
    <w:rsid w:val="00B426F1"/>
    <w:rsid w:val="00B562C2"/>
    <w:rsid w:val="00B56746"/>
    <w:rsid w:val="00B772F6"/>
    <w:rsid w:val="00B91828"/>
    <w:rsid w:val="00B93579"/>
    <w:rsid w:val="00BB26E7"/>
    <w:rsid w:val="00BB3EA4"/>
    <w:rsid w:val="00BB5B6C"/>
    <w:rsid w:val="00BC684A"/>
    <w:rsid w:val="00BD1F67"/>
    <w:rsid w:val="00BF324C"/>
    <w:rsid w:val="00C02CC6"/>
    <w:rsid w:val="00C25C50"/>
    <w:rsid w:val="00C2745C"/>
    <w:rsid w:val="00C30AC0"/>
    <w:rsid w:val="00C500A0"/>
    <w:rsid w:val="00C622B4"/>
    <w:rsid w:val="00C62B7B"/>
    <w:rsid w:val="00C63ABB"/>
    <w:rsid w:val="00C735E8"/>
    <w:rsid w:val="00C76BE9"/>
    <w:rsid w:val="00C80599"/>
    <w:rsid w:val="00C8282C"/>
    <w:rsid w:val="00C8378D"/>
    <w:rsid w:val="00C84A6B"/>
    <w:rsid w:val="00C94F19"/>
    <w:rsid w:val="00C95827"/>
    <w:rsid w:val="00CA1021"/>
    <w:rsid w:val="00CA1D15"/>
    <w:rsid w:val="00CB1332"/>
    <w:rsid w:val="00CB1BD5"/>
    <w:rsid w:val="00CB5F21"/>
    <w:rsid w:val="00CC1997"/>
    <w:rsid w:val="00CC26AC"/>
    <w:rsid w:val="00CE1E75"/>
    <w:rsid w:val="00CE2356"/>
    <w:rsid w:val="00CE74AC"/>
    <w:rsid w:val="00CE779C"/>
    <w:rsid w:val="00CE7C28"/>
    <w:rsid w:val="00CF25C8"/>
    <w:rsid w:val="00D22E19"/>
    <w:rsid w:val="00D3519E"/>
    <w:rsid w:val="00D37675"/>
    <w:rsid w:val="00D44CC7"/>
    <w:rsid w:val="00D47947"/>
    <w:rsid w:val="00D56063"/>
    <w:rsid w:val="00D5638C"/>
    <w:rsid w:val="00D710FD"/>
    <w:rsid w:val="00D74B9A"/>
    <w:rsid w:val="00D808A8"/>
    <w:rsid w:val="00D82665"/>
    <w:rsid w:val="00D9345B"/>
    <w:rsid w:val="00DA2B6F"/>
    <w:rsid w:val="00DB0531"/>
    <w:rsid w:val="00DB2F40"/>
    <w:rsid w:val="00DB3836"/>
    <w:rsid w:val="00DB6A37"/>
    <w:rsid w:val="00DD12BE"/>
    <w:rsid w:val="00DD63B6"/>
    <w:rsid w:val="00DD7D45"/>
    <w:rsid w:val="00DE200B"/>
    <w:rsid w:val="00DE72D3"/>
    <w:rsid w:val="00DF1107"/>
    <w:rsid w:val="00DF4AB5"/>
    <w:rsid w:val="00E05308"/>
    <w:rsid w:val="00E06D25"/>
    <w:rsid w:val="00E41B8E"/>
    <w:rsid w:val="00E438C4"/>
    <w:rsid w:val="00E51D53"/>
    <w:rsid w:val="00E56C7E"/>
    <w:rsid w:val="00E57794"/>
    <w:rsid w:val="00E63007"/>
    <w:rsid w:val="00E730FE"/>
    <w:rsid w:val="00E8689B"/>
    <w:rsid w:val="00EA4D58"/>
    <w:rsid w:val="00EC6435"/>
    <w:rsid w:val="00ED3986"/>
    <w:rsid w:val="00EE2E33"/>
    <w:rsid w:val="00EF69D4"/>
    <w:rsid w:val="00EF7C88"/>
    <w:rsid w:val="00F00ED0"/>
    <w:rsid w:val="00F05492"/>
    <w:rsid w:val="00F061E4"/>
    <w:rsid w:val="00F11FBA"/>
    <w:rsid w:val="00F12B5F"/>
    <w:rsid w:val="00F13F3A"/>
    <w:rsid w:val="00F23C34"/>
    <w:rsid w:val="00F328D3"/>
    <w:rsid w:val="00F33D73"/>
    <w:rsid w:val="00F51E20"/>
    <w:rsid w:val="00F54611"/>
    <w:rsid w:val="00F5563B"/>
    <w:rsid w:val="00F60232"/>
    <w:rsid w:val="00F620B8"/>
    <w:rsid w:val="00F733EA"/>
    <w:rsid w:val="00F774B7"/>
    <w:rsid w:val="00F82FB9"/>
    <w:rsid w:val="00F833E4"/>
    <w:rsid w:val="00F91F7C"/>
    <w:rsid w:val="00F941D0"/>
    <w:rsid w:val="00F94BA9"/>
    <w:rsid w:val="00FA4D69"/>
    <w:rsid w:val="00FB1413"/>
    <w:rsid w:val="00FB7A6A"/>
    <w:rsid w:val="00FC0B3B"/>
    <w:rsid w:val="00FC24EF"/>
    <w:rsid w:val="00FC2885"/>
    <w:rsid w:val="00FF75C7"/>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6A27D"/>
  <w15:chartTrackingRefBased/>
  <w15:docId w15:val="{AE8D7D48-3ACB-A945-BA03-4B4EF30C5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B3B"/>
    <w:pPr>
      <w:widowControl w:val="0"/>
      <w:autoSpaceDE w:val="0"/>
      <w:autoSpaceDN w:val="0"/>
    </w:pPr>
    <w:rPr>
      <w:rFonts w:ascii="Times New Roman" w:eastAsia="Times New Roman" w:hAnsi="Times New Roman" w:cs="Times New Roman"/>
      <w:sz w:val="22"/>
      <w:szCs w:val="22"/>
    </w:rPr>
  </w:style>
  <w:style w:type="paragraph" w:styleId="Heading1">
    <w:name w:val="heading 1"/>
    <w:basedOn w:val="Normal"/>
    <w:link w:val="Heading1Char"/>
    <w:uiPriority w:val="9"/>
    <w:qFormat/>
    <w:rsid w:val="003A76CE"/>
    <w:pPr>
      <w:spacing w:before="81"/>
      <w:ind w:left="120"/>
      <w:outlineLvl w:val="0"/>
    </w:pPr>
    <w:rPr>
      <w:b/>
      <w:bCs/>
      <w:sz w:val="34"/>
      <w:szCs w:val="34"/>
    </w:rPr>
  </w:style>
  <w:style w:type="paragraph" w:styleId="Heading2">
    <w:name w:val="heading 2"/>
    <w:basedOn w:val="Normal"/>
    <w:link w:val="Heading2Char"/>
    <w:uiPriority w:val="9"/>
    <w:unhideWhenUsed/>
    <w:qFormat/>
    <w:rsid w:val="003A76CE"/>
    <w:pPr>
      <w:ind w:left="119"/>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6CE"/>
    <w:rPr>
      <w:rFonts w:ascii="Times New Roman" w:eastAsia="Times New Roman" w:hAnsi="Times New Roman" w:cs="Times New Roman"/>
      <w:b/>
      <w:bCs/>
      <w:sz w:val="34"/>
      <w:szCs w:val="34"/>
    </w:rPr>
  </w:style>
  <w:style w:type="character" w:customStyle="1" w:styleId="Heading2Char">
    <w:name w:val="Heading 2 Char"/>
    <w:basedOn w:val="DefaultParagraphFont"/>
    <w:link w:val="Heading2"/>
    <w:uiPriority w:val="9"/>
    <w:rsid w:val="003A76CE"/>
    <w:rPr>
      <w:rFonts w:ascii="Times New Roman" w:eastAsia="Times New Roman" w:hAnsi="Times New Roman" w:cs="Times New Roman"/>
      <w:b/>
      <w:bCs/>
    </w:rPr>
  </w:style>
  <w:style w:type="paragraph" w:styleId="BodyText">
    <w:name w:val="Body Text"/>
    <w:basedOn w:val="Normal"/>
    <w:link w:val="BodyTextChar"/>
    <w:uiPriority w:val="1"/>
    <w:qFormat/>
    <w:rsid w:val="003A76CE"/>
    <w:rPr>
      <w:sz w:val="24"/>
      <w:szCs w:val="24"/>
    </w:rPr>
  </w:style>
  <w:style w:type="character" w:customStyle="1" w:styleId="BodyTextChar">
    <w:name w:val="Body Text Char"/>
    <w:basedOn w:val="DefaultParagraphFont"/>
    <w:link w:val="BodyText"/>
    <w:uiPriority w:val="1"/>
    <w:rsid w:val="003A76CE"/>
    <w:rPr>
      <w:rFonts w:ascii="Times New Roman" w:eastAsia="Times New Roman" w:hAnsi="Times New Roman" w:cs="Times New Roman"/>
    </w:rPr>
  </w:style>
  <w:style w:type="paragraph" w:styleId="ListParagraph">
    <w:name w:val="List Paragraph"/>
    <w:basedOn w:val="Normal"/>
    <w:uiPriority w:val="1"/>
    <w:qFormat/>
    <w:rsid w:val="003A76CE"/>
    <w:pPr>
      <w:spacing w:before="201"/>
      <w:ind w:left="705" w:right="209" w:hanging="299"/>
    </w:pPr>
    <w:rPr>
      <w:sz w:val="24"/>
    </w:rPr>
  </w:style>
  <w:style w:type="paragraph" w:customStyle="1" w:styleId="TableParagraph">
    <w:name w:val="Table Paragraph"/>
    <w:basedOn w:val="Normal"/>
    <w:uiPriority w:val="1"/>
    <w:qFormat/>
    <w:rsid w:val="003A76CE"/>
    <w:pPr>
      <w:spacing w:before="70"/>
      <w:ind w:left="81"/>
      <w:jc w:val="center"/>
    </w:pPr>
  </w:style>
  <w:style w:type="paragraph" w:styleId="BalloonText">
    <w:name w:val="Balloon Text"/>
    <w:basedOn w:val="Normal"/>
    <w:link w:val="BalloonTextChar"/>
    <w:uiPriority w:val="99"/>
    <w:semiHidden/>
    <w:unhideWhenUsed/>
    <w:rsid w:val="003A76CE"/>
    <w:rPr>
      <w:sz w:val="18"/>
      <w:szCs w:val="18"/>
    </w:rPr>
  </w:style>
  <w:style w:type="character" w:customStyle="1" w:styleId="BalloonTextChar">
    <w:name w:val="Balloon Text Char"/>
    <w:basedOn w:val="DefaultParagraphFont"/>
    <w:link w:val="BalloonText"/>
    <w:uiPriority w:val="99"/>
    <w:semiHidden/>
    <w:rsid w:val="003A76CE"/>
    <w:rPr>
      <w:rFonts w:ascii="Times New Roman" w:eastAsia="Times New Roman" w:hAnsi="Times New Roman" w:cs="Times New Roman"/>
      <w:sz w:val="18"/>
      <w:szCs w:val="18"/>
    </w:rPr>
  </w:style>
  <w:style w:type="character" w:styleId="LineNumber">
    <w:name w:val="line number"/>
    <w:basedOn w:val="DefaultParagraphFont"/>
    <w:uiPriority w:val="99"/>
    <w:semiHidden/>
    <w:unhideWhenUsed/>
    <w:rsid w:val="003A76CE"/>
  </w:style>
  <w:style w:type="character" w:styleId="PlaceholderText">
    <w:name w:val="Placeholder Text"/>
    <w:basedOn w:val="DefaultParagraphFont"/>
    <w:uiPriority w:val="99"/>
    <w:semiHidden/>
    <w:rsid w:val="003A76CE"/>
    <w:rPr>
      <w:color w:val="808080"/>
    </w:rPr>
  </w:style>
  <w:style w:type="paragraph" w:customStyle="1" w:styleId="Style1">
    <w:name w:val="Style1"/>
    <w:basedOn w:val="ListParagraph"/>
    <w:next w:val="Normal"/>
    <w:qFormat/>
    <w:rsid w:val="003A76CE"/>
    <w:pPr>
      <w:numPr>
        <w:numId w:val="1"/>
      </w:numPr>
      <w:tabs>
        <w:tab w:val="left" w:pos="706"/>
      </w:tabs>
      <w:spacing w:before="0" w:line="415" w:lineRule="auto"/>
      <w:ind w:right="218" w:hanging="299"/>
    </w:pPr>
    <w:rPr>
      <w:w w:val="105"/>
    </w:rPr>
  </w:style>
  <w:style w:type="character" w:customStyle="1" w:styleId="fc2">
    <w:name w:val="fc2"/>
    <w:basedOn w:val="DefaultParagraphFont"/>
    <w:rsid w:val="003A76CE"/>
  </w:style>
  <w:style w:type="character" w:styleId="CommentReference">
    <w:name w:val="annotation reference"/>
    <w:basedOn w:val="DefaultParagraphFont"/>
    <w:uiPriority w:val="99"/>
    <w:semiHidden/>
    <w:unhideWhenUsed/>
    <w:rsid w:val="003A76CE"/>
    <w:rPr>
      <w:sz w:val="16"/>
      <w:szCs w:val="16"/>
    </w:rPr>
  </w:style>
  <w:style w:type="paragraph" w:styleId="CommentText">
    <w:name w:val="annotation text"/>
    <w:basedOn w:val="Normal"/>
    <w:link w:val="CommentTextChar"/>
    <w:uiPriority w:val="99"/>
    <w:unhideWhenUsed/>
    <w:rsid w:val="003A76CE"/>
    <w:rPr>
      <w:sz w:val="20"/>
      <w:szCs w:val="20"/>
    </w:rPr>
  </w:style>
  <w:style w:type="character" w:customStyle="1" w:styleId="CommentTextChar">
    <w:name w:val="Comment Text Char"/>
    <w:basedOn w:val="DefaultParagraphFont"/>
    <w:link w:val="CommentText"/>
    <w:uiPriority w:val="99"/>
    <w:rsid w:val="003A76C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A76CE"/>
    <w:rPr>
      <w:b/>
      <w:bCs/>
    </w:rPr>
  </w:style>
  <w:style w:type="character" w:customStyle="1" w:styleId="CommentSubjectChar">
    <w:name w:val="Comment Subject Char"/>
    <w:basedOn w:val="CommentTextChar"/>
    <w:link w:val="CommentSubject"/>
    <w:uiPriority w:val="99"/>
    <w:semiHidden/>
    <w:rsid w:val="003A76CE"/>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3A76CE"/>
    <w:rPr>
      <w:color w:val="0563C1" w:themeColor="hyperlink"/>
      <w:u w:val="single"/>
    </w:rPr>
  </w:style>
  <w:style w:type="paragraph" w:styleId="Revision">
    <w:name w:val="Revision"/>
    <w:hidden/>
    <w:uiPriority w:val="99"/>
    <w:semiHidden/>
    <w:rsid w:val="003A76CE"/>
    <w:rPr>
      <w:rFonts w:ascii="Times New Roman" w:eastAsia="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661414">
      <w:bodyDiv w:val="1"/>
      <w:marLeft w:val="0"/>
      <w:marRight w:val="0"/>
      <w:marTop w:val="0"/>
      <w:marBottom w:val="0"/>
      <w:divBdr>
        <w:top w:val="none" w:sz="0" w:space="0" w:color="auto"/>
        <w:left w:val="none" w:sz="0" w:space="0" w:color="auto"/>
        <w:bottom w:val="none" w:sz="0" w:space="0" w:color="auto"/>
        <w:right w:val="none" w:sz="0" w:space="0" w:color="auto"/>
      </w:divBdr>
    </w:div>
    <w:div w:id="243035331">
      <w:bodyDiv w:val="1"/>
      <w:marLeft w:val="0"/>
      <w:marRight w:val="0"/>
      <w:marTop w:val="0"/>
      <w:marBottom w:val="0"/>
      <w:divBdr>
        <w:top w:val="none" w:sz="0" w:space="0" w:color="auto"/>
        <w:left w:val="none" w:sz="0" w:space="0" w:color="auto"/>
        <w:bottom w:val="none" w:sz="0" w:space="0" w:color="auto"/>
        <w:right w:val="none" w:sz="0" w:space="0" w:color="auto"/>
      </w:divBdr>
    </w:div>
    <w:div w:id="396125291">
      <w:bodyDiv w:val="1"/>
      <w:marLeft w:val="0"/>
      <w:marRight w:val="0"/>
      <w:marTop w:val="0"/>
      <w:marBottom w:val="0"/>
      <w:divBdr>
        <w:top w:val="none" w:sz="0" w:space="0" w:color="auto"/>
        <w:left w:val="none" w:sz="0" w:space="0" w:color="auto"/>
        <w:bottom w:val="none" w:sz="0" w:space="0" w:color="auto"/>
        <w:right w:val="none" w:sz="0" w:space="0" w:color="auto"/>
      </w:divBdr>
    </w:div>
    <w:div w:id="459998615">
      <w:bodyDiv w:val="1"/>
      <w:marLeft w:val="0"/>
      <w:marRight w:val="0"/>
      <w:marTop w:val="0"/>
      <w:marBottom w:val="0"/>
      <w:divBdr>
        <w:top w:val="none" w:sz="0" w:space="0" w:color="auto"/>
        <w:left w:val="none" w:sz="0" w:space="0" w:color="auto"/>
        <w:bottom w:val="none" w:sz="0" w:space="0" w:color="auto"/>
        <w:right w:val="none" w:sz="0" w:space="0" w:color="auto"/>
      </w:divBdr>
    </w:div>
    <w:div w:id="472480731">
      <w:bodyDiv w:val="1"/>
      <w:marLeft w:val="0"/>
      <w:marRight w:val="0"/>
      <w:marTop w:val="0"/>
      <w:marBottom w:val="0"/>
      <w:divBdr>
        <w:top w:val="none" w:sz="0" w:space="0" w:color="auto"/>
        <w:left w:val="none" w:sz="0" w:space="0" w:color="auto"/>
        <w:bottom w:val="none" w:sz="0" w:space="0" w:color="auto"/>
        <w:right w:val="none" w:sz="0" w:space="0" w:color="auto"/>
      </w:divBdr>
    </w:div>
    <w:div w:id="522397818">
      <w:bodyDiv w:val="1"/>
      <w:marLeft w:val="0"/>
      <w:marRight w:val="0"/>
      <w:marTop w:val="0"/>
      <w:marBottom w:val="0"/>
      <w:divBdr>
        <w:top w:val="none" w:sz="0" w:space="0" w:color="auto"/>
        <w:left w:val="none" w:sz="0" w:space="0" w:color="auto"/>
        <w:bottom w:val="none" w:sz="0" w:space="0" w:color="auto"/>
        <w:right w:val="none" w:sz="0" w:space="0" w:color="auto"/>
      </w:divBdr>
    </w:div>
    <w:div w:id="910191762">
      <w:bodyDiv w:val="1"/>
      <w:marLeft w:val="0"/>
      <w:marRight w:val="0"/>
      <w:marTop w:val="0"/>
      <w:marBottom w:val="0"/>
      <w:divBdr>
        <w:top w:val="none" w:sz="0" w:space="0" w:color="auto"/>
        <w:left w:val="none" w:sz="0" w:space="0" w:color="auto"/>
        <w:bottom w:val="none" w:sz="0" w:space="0" w:color="auto"/>
        <w:right w:val="none" w:sz="0" w:space="0" w:color="auto"/>
      </w:divBdr>
    </w:div>
    <w:div w:id="1181548606">
      <w:bodyDiv w:val="1"/>
      <w:marLeft w:val="0"/>
      <w:marRight w:val="0"/>
      <w:marTop w:val="0"/>
      <w:marBottom w:val="0"/>
      <w:divBdr>
        <w:top w:val="none" w:sz="0" w:space="0" w:color="auto"/>
        <w:left w:val="none" w:sz="0" w:space="0" w:color="auto"/>
        <w:bottom w:val="none" w:sz="0" w:space="0" w:color="auto"/>
        <w:right w:val="none" w:sz="0" w:space="0" w:color="auto"/>
      </w:divBdr>
    </w:div>
    <w:div w:id="1438788862">
      <w:bodyDiv w:val="1"/>
      <w:marLeft w:val="0"/>
      <w:marRight w:val="0"/>
      <w:marTop w:val="0"/>
      <w:marBottom w:val="0"/>
      <w:divBdr>
        <w:top w:val="none" w:sz="0" w:space="0" w:color="auto"/>
        <w:left w:val="none" w:sz="0" w:space="0" w:color="auto"/>
        <w:bottom w:val="none" w:sz="0" w:space="0" w:color="auto"/>
        <w:right w:val="none" w:sz="0" w:space="0" w:color="auto"/>
      </w:divBdr>
    </w:div>
    <w:div w:id="1455126976">
      <w:bodyDiv w:val="1"/>
      <w:marLeft w:val="0"/>
      <w:marRight w:val="0"/>
      <w:marTop w:val="0"/>
      <w:marBottom w:val="0"/>
      <w:divBdr>
        <w:top w:val="none" w:sz="0" w:space="0" w:color="auto"/>
        <w:left w:val="none" w:sz="0" w:space="0" w:color="auto"/>
        <w:bottom w:val="none" w:sz="0" w:space="0" w:color="auto"/>
        <w:right w:val="none" w:sz="0" w:space="0" w:color="auto"/>
      </w:divBdr>
    </w:div>
    <w:div w:id="1561592510">
      <w:bodyDiv w:val="1"/>
      <w:marLeft w:val="0"/>
      <w:marRight w:val="0"/>
      <w:marTop w:val="0"/>
      <w:marBottom w:val="0"/>
      <w:divBdr>
        <w:top w:val="none" w:sz="0" w:space="0" w:color="auto"/>
        <w:left w:val="none" w:sz="0" w:space="0" w:color="auto"/>
        <w:bottom w:val="none" w:sz="0" w:space="0" w:color="auto"/>
        <w:right w:val="none" w:sz="0" w:space="0" w:color="auto"/>
      </w:divBdr>
    </w:div>
    <w:div w:id="1680960679">
      <w:bodyDiv w:val="1"/>
      <w:marLeft w:val="0"/>
      <w:marRight w:val="0"/>
      <w:marTop w:val="0"/>
      <w:marBottom w:val="0"/>
      <w:divBdr>
        <w:top w:val="none" w:sz="0" w:space="0" w:color="auto"/>
        <w:left w:val="none" w:sz="0" w:space="0" w:color="auto"/>
        <w:bottom w:val="none" w:sz="0" w:space="0" w:color="auto"/>
        <w:right w:val="none" w:sz="0" w:space="0" w:color="auto"/>
      </w:divBdr>
    </w:div>
    <w:div w:id="1746419804">
      <w:bodyDiv w:val="1"/>
      <w:marLeft w:val="0"/>
      <w:marRight w:val="0"/>
      <w:marTop w:val="0"/>
      <w:marBottom w:val="0"/>
      <w:divBdr>
        <w:top w:val="none" w:sz="0" w:space="0" w:color="auto"/>
        <w:left w:val="none" w:sz="0" w:space="0" w:color="auto"/>
        <w:bottom w:val="none" w:sz="0" w:space="0" w:color="auto"/>
        <w:right w:val="none" w:sz="0" w:space="0" w:color="auto"/>
      </w:divBdr>
    </w:div>
    <w:div w:id="1788813052">
      <w:bodyDiv w:val="1"/>
      <w:marLeft w:val="0"/>
      <w:marRight w:val="0"/>
      <w:marTop w:val="0"/>
      <w:marBottom w:val="0"/>
      <w:divBdr>
        <w:top w:val="none" w:sz="0" w:space="0" w:color="auto"/>
        <w:left w:val="none" w:sz="0" w:space="0" w:color="auto"/>
        <w:bottom w:val="none" w:sz="0" w:space="0" w:color="auto"/>
        <w:right w:val="none" w:sz="0" w:space="0" w:color="auto"/>
      </w:divBdr>
    </w:div>
    <w:div w:id="1803959198">
      <w:bodyDiv w:val="1"/>
      <w:marLeft w:val="0"/>
      <w:marRight w:val="0"/>
      <w:marTop w:val="0"/>
      <w:marBottom w:val="0"/>
      <w:divBdr>
        <w:top w:val="none" w:sz="0" w:space="0" w:color="auto"/>
        <w:left w:val="none" w:sz="0" w:space="0" w:color="auto"/>
        <w:bottom w:val="none" w:sz="0" w:space="0" w:color="auto"/>
        <w:right w:val="none" w:sz="0" w:space="0" w:color="auto"/>
      </w:divBdr>
    </w:div>
    <w:div w:id="203615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ohman@nevada.unr.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project.org/"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4EBAA-AE97-4758-946B-EF631F82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29</Pages>
  <Words>6558</Words>
  <Characters>37382</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Lohman</dc:creator>
  <cp:keywords/>
  <dc:description/>
  <cp:lastModifiedBy>Madeleine Lohman</cp:lastModifiedBy>
  <cp:revision>4</cp:revision>
  <dcterms:created xsi:type="dcterms:W3CDTF">2021-05-20T18:48:00Z</dcterms:created>
  <dcterms:modified xsi:type="dcterms:W3CDTF">2021-05-20T19:05:00Z</dcterms:modified>
</cp:coreProperties>
</file>