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FC76F" w14:textId="4E1C3241" w:rsidR="00E47559" w:rsidRDefault="00BB31B9">
      <w:r>
        <w:rPr>
          <w:rFonts w:hint="eastAsia"/>
        </w:rPr>
        <w:t>Table</w:t>
      </w:r>
      <w:r>
        <w:t xml:space="preserve"> 1 Clinical and biological characteristics of preBLL patients include in this study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"/>
        <w:gridCol w:w="596"/>
        <w:gridCol w:w="912"/>
        <w:gridCol w:w="644"/>
        <w:gridCol w:w="889"/>
        <w:gridCol w:w="742"/>
        <w:gridCol w:w="681"/>
        <w:gridCol w:w="498"/>
        <w:gridCol w:w="583"/>
        <w:gridCol w:w="2825"/>
        <w:gridCol w:w="1192"/>
        <w:gridCol w:w="1323"/>
        <w:gridCol w:w="1422"/>
        <w:gridCol w:w="620"/>
        <w:gridCol w:w="779"/>
        <w:gridCol w:w="779"/>
        <w:gridCol w:w="779"/>
        <w:gridCol w:w="693"/>
        <w:gridCol w:w="448"/>
        <w:gridCol w:w="497"/>
        <w:gridCol w:w="644"/>
        <w:gridCol w:w="779"/>
        <w:gridCol w:w="1035"/>
        <w:gridCol w:w="2483"/>
      </w:tblGrid>
      <w:tr w:rsidR="00036DC0" w:rsidRPr="00036DC0" w14:paraId="3F83BBC7" w14:textId="77777777" w:rsidTr="00AB4BD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F7A63C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552210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ACB018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906AA6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FC31B43" w14:textId="77777777" w:rsidR="00036DC0" w:rsidRPr="00036DC0" w:rsidRDefault="00036DC0" w:rsidP="00036DC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Site of involvement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AF9B2E2" w14:textId="77777777" w:rsidR="00036DC0" w:rsidRPr="00036DC0" w:rsidRDefault="00036DC0" w:rsidP="00036DC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Laboratory data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8503DE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9638A6E" w14:textId="77777777" w:rsidR="00036DC0" w:rsidRPr="00036DC0" w:rsidRDefault="00036DC0" w:rsidP="00036DC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Immunophenotypic data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AC26AA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B4BD1" w:rsidRPr="00036DC0" w14:paraId="76CD44B5" w14:textId="77777777" w:rsidTr="00AB4BD1">
        <w:trPr>
          <w:trHeight w:val="6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3BC792F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25DE71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7785E7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Age (y)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FCDAD2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078F03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gramStart"/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BM(</w:t>
            </w:r>
            <w:proofErr w:type="gramEnd"/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AA50ED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Mass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936BD7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40F985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554CD5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H/S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4155C31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Other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2293BD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LDH (U/L)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2E8963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UA (mg/dL)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FD6CAC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WBC (/mm</w:t>
            </w: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  <w:vertAlign w:val="superscript"/>
              </w:rPr>
              <w:t>3</w:t>
            </w: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E2D896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TLS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3FE451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6CAC333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25353B2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062B9C0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sIgM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20E070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7F3121E9" w14:textId="6073296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κ/λ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AEEDD9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TDT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58B7735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CD34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14:paraId="10D1DFF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HLA-DR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E8A32D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Outcome</w:t>
            </w:r>
          </w:p>
        </w:tc>
      </w:tr>
      <w:tr w:rsidR="00AB4BD1" w:rsidRPr="00036DC0" w14:paraId="75C4A14E" w14:textId="77777777" w:rsidTr="00AB4BD1">
        <w:trPr>
          <w:trHeight w:val="5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D57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AD2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DFEE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757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D00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001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B19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1CD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F03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AAE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E3C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&gt;9,000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D3B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14.26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AA1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35,300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C87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645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8E85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6AA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72D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8AB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0B1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045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6F4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98F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CE89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Relapse 5m DOD 11m</w:t>
            </w:r>
          </w:p>
        </w:tc>
      </w:tr>
      <w:tr w:rsidR="00AB4BD1" w:rsidRPr="00036DC0" w14:paraId="2BDC4646" w14:textId="77777777" w:rsidTr="00AB4BD1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36D181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42BDD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A7AC35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2A5BF3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n.c.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A4B70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90E8DE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E66318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186EFB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0A834D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00471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B42A8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D0497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3.58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09F64E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3,400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DEF93F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B0C499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16FFE3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77A3E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8D873D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E0060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753E52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88A66E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09B6B9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57A488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F3C6AD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ANED 77m+</w:t>
            </w:r>
          </w:p>
        </w:tc>
      </w:tr>
      <w:tr w:rsidR="00AB4BD1" w:rsidRPr="00036DC0" w14:paraId="004D4755" w14:textId="77777777" w:rsidTr="00AB4BD1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C8C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D3A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D1E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B77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A95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8A7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6A33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667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3D5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29B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0A6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2,152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D33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3.23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844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75,800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9B5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176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5FE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BF9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026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47F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B60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C236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25D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FAF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B1A5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ANED 30m+</w:t>
            </w:r>
          </w:p>
        </w:tc>
      </w:tr>
      <w:tr w:rsidR="00AB4BD1" w:rsidRPr="00036DC0" w14:paraId="2E4ACAB1" w14:textId="77777777" w:rsidTr="00AB4BD1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FB63A4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CE7A58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DC69A3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71800C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EE2E4B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16CA46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FEB190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2BB15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C3FB02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2547AC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DF775F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&gt;8,600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74813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7.98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58E96B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11,360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A39B67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31AAD7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17E19E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DB3B08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1889C3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0DE9E8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774C77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614BD9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4BA9E9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662613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37395A5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ANED 41m+</w:t>
            </w:r>
          </w:p>
        </w:tc>
        <w:bookmarkStart w:id="0" w:name="_GoBack"/>
        <w:bookmarkEnd w:id="0"/>
      </w:tr>
      <w:tr w:rsidR="00AB4BD1" w:rsidRPr="00036DC0" w14:paraId="4A8385CD" w14:textId="77777777" w:rsidTr="00AB4BD1">
        <w:trPr>
          <w:trHeight w:val="8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A60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C14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722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AA4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n.c.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CEC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FE4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62DB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5386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766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7FCA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Kidney, pancreas, intestinal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4A3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&gt;8,600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BDE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14.46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94C8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30,480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38B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EF3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CFB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BAC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3395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B784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020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C17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281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4A77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A672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ANED 45m+</w:t>
            </w:r>
          </w:p>
        </w:tc>
      </w:tr>
      <w:tr w:rsidR="00AB4BD1" w:rsidRPr="00036DC0" w14:paraId="40F89FE4" w14:textId="77777777" w:rsidTr="00AB4BD1">
        <w:trPr>
          <w:trHeight w:val="5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2B0EC6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869161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281237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F3A14B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238DEA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AC2DCC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09B860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9723B1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E52058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BAABE8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5CC4A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&gt;8,600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1F1BCC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11.04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1E4AE6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199,450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D04A75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695D98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DC7E1B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82C28F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12C57A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D2ABBC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7226D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5490D3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E8DBA6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E3516C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5B80DD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Relapse 7m DOD 8m</w:t>
            </w:r>
          </w:p>
        </w:tc>
      </w:tr>
      <w:tr w:rsidR="00AB4BD1" w:rsidRPr="00036DC0" w14:paraId="7BEBA87A" w14:textId="77777777" w:rsidTr="00AB4BD1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C80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1C2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A29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4AF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533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490C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827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6E2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438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73D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412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&gt;8,600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D39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2.80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866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22,880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CD8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058A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7049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81EF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210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8C25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776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696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97F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09D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B384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ANED 19m+</w:t>
            </w:r>
          </w:p>
        </w:tc>
      </w:tr>
      <w:tr w:rsidR="00AB4BD1" w:rsidRPr="00036DC0" w14:paraId="7784B5C4" w14:textId="77777777" w:rsidTr="00AB4BD1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AB4DA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8CFBB5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452DC1D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9D3006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EC34E4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9ED1F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8EA825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798377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595094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192C1F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28D9C8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2,934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837A37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1.08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9864BCC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0167C7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9B2CE2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B9AB87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A33A5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60213A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8B853F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27A1F5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210588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821987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BE33AD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7551EA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ANED 30m+</w:t>
            </w:r>
          </w:p>
        </w:tc>
      </w:tr>
      <w:tr w:rsidR="00AB4BD1" w:rsidRPr="00036DC0" w14:paraId="5433C0AA" w14:textId="77777777" w:rsidTr="00AB4BD1">
        <w:trPr>
          <w:trHeight w:val="56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E11A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7C11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709C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0397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L3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98064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F675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BC3A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EAC9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040E0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59C4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286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2,821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C45D1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3.91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F337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16,700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68CEA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8AC52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7B249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F74F5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6BE0F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6243B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8E306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A0CC3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8556E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2267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+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A8457" w14:textId="77777777" w:rsidR="00036DC0" w:rsidRPr="00036DC0" w:rsidRDefault="00036DC0" w:rsidP="00036DC0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36DC0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Relapse 19m DOD 32m</w:t>
            </w:r>
          </w:p>
        </w:tc>
      </w:tr>
    </w:tbl>
    <w:p w14:paraId="2AC0CC18" w14:textId="53AF1CB5" w:rsidR="00BB31B9" w:rsidRDefault="00BB31B9"/>
    <w:p w14:paraId="53C65929" w14:textId="77777777" w:rsidR="00036DC0" w:rsidRDefault="00036DC0"/>
    <w:p w14:paraId="0E5EC915" w14:textId="60345479" w:rsidR="007554B1" w:rsidRDefault="007554B1">
      <w:pPr>
        <w:rPr>
          <w:rFonts w:ascii="等线" w:eastAsia="等线" w:hAnsi="等线" w:cs="宋体"/>
          <w:color w:val="000000"/>
          <w:kern w:val="0"/>
          <w:sz w:val="22"/>
        </w:rPr>
      </w:pPr>
      <w:r w:rsidRPr="003A03BF">
        <w:rPr>
          <w:i/>
          <w:iCs/>
        </w:rPr>
        <w:t>Pt.</w:t>
      </w:r>
      <w:r>
        <w:t xml:space="preserve"> Patients, </w:t>
      </w:r>
      <w:r w:rsidRPr="003A03BF">
        <w:rPr>
          <w:i/>
          <w:iCs/>
        </w:rPr>
        <w:t>F</w:t>
      </w:r>
      <w:r>
        <w:t xml:space="preserve"> female, </w:t>
      </w:r>
      <w:r w:rsidRPr="003A03BF">
        <w:rPr>
          <w:i/>
          <w:iCs/>
        </w:rPr>
        <w:t>M</w:t>
      </w:r>
      <w:r>
        <w:t xml:space="preserve"> male, </w:t>
      </w:r>
      <w:r w:rsidRPr="003A03BF">
        <w:rPr>
          <w:i/>
          <w:iCs/>
        </w:rPr>
        <w:t>y</w:t>
      </w:r>
      <w:r>
        <w:t xml:space="preserve"> years, </w:t>
      </w:r>
      <w:r w:rsidR="00EA7E1E" w:rsidRPr="00EA7E1E">
        <w:rPr>
          <w:i/>
          <w:iCs/>
        </w:rPr>
        <w:t>m</w:t>
      </w:r>
      <w:r w:rsidR="00EA7E1E">
        <w:t xml:space="preserve"> month, </w:t>
      </w:r>
      <w:r w:rsidRPr="003A03BF">
        <w:rPr>
          <w:i/>
          <w:iCs/>
        </w:rPr>
        <w:t>BM</w:t>
      </w:r>
      <w:r>
        <w:t xml:space="preserve"> bone marrow, </w:t>
      </w:r>
      <w:r w:rsidRPr="003A03BF">
        <w:rPr>
          <w:i/>
          <w:iCs/>
        </w:rPr>
        <w:t>CNS</w:t>
      </w:r>
      <w:r>
        <w:t xml:space="preserve"> central nervous system, </w:t>
      </w:r>
      <w:r w:rsidRPr="003A03BF">
        <w:rPr>
          <w:i/>
          <w:iCs/>
        </w:rPr>
        <w:t>LN</w:t>
      </w:r>
      <w:r>
        <w:t xml:space="preserve"> lymphadenopathy, </w:t>
      </w:r>
      <w:r w:rsidRPr="003A03BF">
        <w:rPr>
          <w:i/>
          <w:iCs/>
        </w:rPr>
        <w:t>H/S</w:t>
      </w:r>
      <w:r>
        <w:t xml:space="preserve"> liver/spleen, </w:t>
      </w:r>
      <w:r w:rsidRPr="003A03BF">
        <w:rPr>
          <w:i/>
          <w:iCs/>
        </w:rPr>
        <w:t>LDH</w:t>
      </w:r>
      <w:r>
        <w:t xml:space="preserve"> lactate dehydrogenase, </w:t>
      </w:r>
      <w:r w:rsidRPr="003A03BF">
        <w:rPr>
          <w:i/>
          <w:iCs/>
        </w:rPr>
        <w:t>UA</w:t>
      </w:r>
      <w:r>
        <w:t xml:space="preserve"> uric acid, </w:t>
      </w:r>
      <w:r w:rsidRPr="003A03BF">
        <w:rPr>
          <w:i/>
          <w:iCs/>
        </w:rPr>
        <w:t>WBC</w:t>
      </w:r>
      <w:r>
        <w:t xml:space="preserve"> white bone marrow, </w:t>
      </w:r>
      <w:r w:rsidRPr="003A03BF">
        <w:rPr>
          <w:i/>
          <w:iCs/>
        </w:rPr>
        <w:t>TLS</w:t>
      </w:r>
      <w:r>
        <w:t xml:space="preserve"> tumor </w:t>
      </w:r>
      <w:proofErr w:type="spellStart"/>
      <w:r>
        <w:t>lysis</w:t>
      </w:r>
      <w:proofErr w:type="spellEnd"/>
      <w:r>
        <w:t xml:space="preserve"> syndrome, </w:t>
      </w:r>
      <w:proofErr w:type="spellStart"/>
      <w:r w:rsidRPr="003A03BF">
        <w:rPr>
          <w:i/>
          <w:iCs/>
        </w:rPr>
        <w:t>n.c.</w:t>
      </w:r>
      <w:proofErr w:type="spellEnd"/>
      <w:r>
        <w:t xml:space="preserve"> not classifiable, </w:t>
      </w:r>
      <w:r w:rsidRPr="003A03BF">
        <w:rPr>
          <w:i/>
          <w:iCs/>
        </w:rPr>
        <w:t>s</w:t>
      </w:r>
      <w:r>
        <w:t xml:space="preserve"> surface, </w:t>
      </w:r>
      <w:r w:rsidRPr="00BB31B9">
        <w:rPr>
          <w:rFonts w:ascii="等线" w:eastAsia="等线" w:hAnsi="等线" w:cs="宋体" w:hint="eastAsia"/>
          <w:i/>
          <w:iCs/>
          <w:color w:val="000000"/>
          <w:kern w:val="0"/>
          <w:sz w:val="22"/>
        </w:rPr>
        <w:t>κ/λ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 xml:space="preserve"> </w:t>
      </w:r>
      <w:r w:rsidR="00610FD5">
        <w:rPr>
          <w:rFonts w:ascii="等线" w:eastAsia="等线" w:hAnsi="等线" w:cs="宋体"/>
          <w:color w:val="000000"/>
          <w:kern w:val="0"/>
          <w:sz w:val="22"/>
        </w:rPr>
        <w:t xml:space="preserve">intracytoplasmic, </w:t>
      </w:r>
      <w:r w:rsidR="00610FD5" w:rsidRPr="003A03BF">
        <w:rPr>
          <w:rFonts w:ascii="等线" w:eastAsia="等线" w:hAnsi="等线" w:cs="宋体"/>
          <w:i/>
          <w:iCs/>
          <w:color w:val="000000"/>
          <w:kern w:val="0"/>
          <w:sz w:val="22"/>
        </w:rPr>
        <w:t>TdT</w:t>
      </w:r>
      <w:r w:rsidR="00610FD5">
        <w:rPr>
          <w:rFonts w:ascii="等线" w:eastAsia="等线" w:hAnsi="等线" w:cs="宋体"/>
          <w:color w:val="000000"/>
          <w:kern w:val="0"/>
          <w:sz w:val="22"/>
        </w:rPr>
        <w:t xml:space="preserve"> terminal deoxynucleotidyl transferase,</w:t>
      </w:r>
      <w:r w:rsidR="00EA7E1E">
        <w:rPr>
          <w:rFonts w:ascii="等线" w:eastAsia="等线" w:hAnsi="等线" w:cs="宋体"/>
          <w:color w:val="000000"/>
          <w:kern w:val="0"/>
          <w:sz w:val="22"/>
        </w:rPr>
        <w:t xml:space="preserve"> </w:t>
      </w:r>
      <w:r w:rsidR="00EA7E1E" w:rsidRPr="00EA7E1E">
        <w:rPr>
          <w:rFonts w:ascii="等线" w:eastAsia="等线" w:hAnsi="等线" w:cs="宋体" w:hint="eastAsia"/>
          <w:i/>
          <w:iCs/>
          <w:color w:val="000000"/>
          <w:kern w:val="0"/>
          <w:sz w:val="22"/>
        </w:rPr>
        <w:t>ANED</w:t>
      </w:r>
      <w:r w:rsidR="00EA7E1E">
        <w:rPr>
          <w:rFonts w:ascii="等线" w:eastAsia="等线" w:hAnsi="等线" w:cs="宋体"/>
          <w:color w:val="000000"/>
          <w:kern w:val="0"/>
          <w:sz w:val="22"/>
        </w:rPr>
        <w:t xml:space="preserve"> alive with no evidence of disease, </w:t>
      </w:r>
      <w:r w:rsidR="00EA7E1E" w:rsidRPr="00EA7E1E">
        <w:rPr>
          <w:rFonts w:ascii="等线" w:eastAsia="等线" w:hAnsi="等线" w:cs="宋体"/>
          <w:i/>
          <w:iCs/>
          <w:color w:val="000000"/>
          <w:kern w:val="0"/>
          <w:sz w:val="22"/>
        </w:rPr>
        <w:t>DOD</w:t>
      </w:r>
      <w:r w:rsidR="00EA7E1E">
        <w:rPr>
          <w:rFonts w:ascii="等线" w:eastAsia="等线" w:hAnsi="等线" w:cs="宋体"/>
          <w:color w:val="000000"/>
          <w:kern w:val="0"/>
          <w:sz w:val="22"/>
        </w:rPr>
        <w:t xml:space="preserve"> dead of disease,</w:t>
      </w:r>
      <w:r w:rsidR="00610FD5">
        <w:rPr>
          <w:rFonts w:ascii="等线" w:eastAsia="等线" w:hAnsi="等线" w:cs="宋体"/>
          <w:color w:val="000000"/>
          <w:kern w:val="0"/>
          <w:sz w:val="22"/>
        </w:rPr>
        <w:t xml:space="preserve"> + positive (intracytoplasmic:&gt;10%</w:t>
      </w:r>
      <w:r w:rsidR="00610FD5">
        <w:rPr>
          <w:rFonts w:ascii="等线" w:eastAsia="等线" w:hAnsi="等线" w:cs="宋体" w:hint="eastAsia"/>
          <w:color w:val="000000"/>
          <w:kern w:val="0"/>
          <w:sz w:val="22"/>
        </w:rPr>
        <w:t>，</w:t>
      </w:r>
      <w:r w:rsidR="00610FD5">
        <w:rPr>
          <w:rFonts w:ascii="等线" w:eastAsia="等线" w:hAnsi="等线" w:cs="宋体"/>
          <w:color w:val="000000"/>
          <w:kern w:val="0"/>
          <w:sz w:val="22"/>
        </w:rPr>
        <w:t>extracytoplasmic: &gt;20%), - negative</w:t>
      </w:r>
    </w:p>
    <w:p w14:paraId="1123D919" w14:textId="274C42D7" w:rsidR="003609D9" w:rsidRDefault="003609D9">
      <w:pPr>
        <w:rPr>
          <w:rFonts w:ascii="等线" w:eastAsia="等线" w:hAnsi="等线" w:cs="宋体"/>
          <w:color w:val="000000"/>
          <w:kern w:val="0"/>
          <w:sz w:val="22"/>
        </w:rPr>
      </w:pPr>
    </w:p>
    <w:p w14:paraId="33ACF2C5" w14:textId="0CEA400B" w:rsidR="003609D9" w:rsidRDefault="003609D9">
      <w:pPr>
        <w:rPr>
          <w:rFonts w:ascii="等线" w:eastAsia="等线" w:hAnsi="等线" w:cs="宋体"/>
          <w:color w:val="000000"/>
          <w:kern w:val="0"/>
          <w:sz w:val="22"/>
        </w:rPr>
      </w:pPr>
    </w:p>
    <w:p w14:paraId="11A79C9F" w14:textId="53BFBA28" w:rsidR="003609D9" w:rsidRPr="003609D9" w:rsidRDefault="003609D9">
      <w:r>
        <w:rPr>
          <w:rFonts w:ascii="等线" w:eastAsia="等线" w:hAnsi="等线" w:cs="宋体" w:hint="eastAsia"/>
          <w:color w:val="000000"/>
          <w:kern w:val="0"/>
          <w:sz w:val="22"/>
        </w:rPr>
        <w:t>Figure</w:t>
      </w:r>
      <w:r>
        <w:rPr>
          <w:rFonts w:ascii="等线" w:eastAsia="等线" w:hAnsi="等线" w:cs="宋体"/>
          <w:color w:val="000000"/>
          <w:kern w:val="0"/>
          <w:sz w:val="22"/>
        </w:rPr>
        <w:t xml:space="preserve"> 1. 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The</w:t>
      </w:r>
      <w:r>
        <w:rPr>
          <w:rFonts w:ascii="等线" w:eastAsia="等线" w:hAnsi="等线" w:cs="宋体"/>
          <w:color w:val="000000"/>
          <w:kern w:val="0"/>
          <w:sz w:val="22"/>
        </w:rPr>
        <w:t xml:space="preserve"> clinical course of nine patients with preBLL</w:t>
      </w:r>
      <w:r>
        <w:rPr>
          <w:rFonts w:ascii="等线" w:eastAsia="等线" w:hAnsi="等线" w:cs="宋体" w:hint="eastAsia"/>
          <w:color w:val="000000"/>
          <w:kern w:val="0"/>
          <w:sz w:val="22"/>
        </w:rPr>
        <w:t>.</w:t>
      </w:r>
      <w:r>
        <w:rPr>
          <w:rFonts w:ascii="等线" w:eastAsia="等线" w:hAnsi="等线" w:cs="宋体"/>
          <w:color w:val="000000"/>
          <w:kern w:val="0"/>
          <w:sz w:val="22"/>
        </w:rPr>
        <w:t xml:space="preserve"> One square, one month; blue square, protocols of mature B-cell neoplasms; green square, ALL-type chemotherapy; grey square, i</w:t>
      </w:r>
      <w:r w:rsidRPr="003609D9">
        <w:rPr>
          <w:rFonts w:ascii="等线" w:eastAsia="等线" w:hAnsi="等线" w:cs="宋体"/>
          <w:color w:val="000000"/>
          <w:kern w:val="0"/>
          <w:sz w:val="22"/>
        </w:rPr>
        <w:t>ndividualized treatment</w:t>
      </w:r>
      <w:r>
        <w:rPr>
          <w:rFonts w:ascii="等线" w:eastAsia="等线" w:hAnsi="等线" w:cs="宋体"/>
          <w:color w:val="000000"/>
          <w:kern w:val="0"/>
          <w:sz w:val="22"/>
        </w:rPr>
        <w:t xml:space="preserve">; red dot, relapse; black dot, death; orange arrow, maintenance therapy; black arrow, </w:t>
      </w:r>
      <w:r w:rsidR="009600D1">
        <w:rPr>
          <w:rFonts w:ascii="等线" w:eastAsia="等线" w:hAnsi="等线" w:cs="宋体"/>
          <w:color w:val="000000"/>
          <w:kern w:val="0"/>
          <w:sz w:val="22"/>
        </w:rPr>
        <w:t xml:space="preserve">follow-up; </w:t>
      </w:r>
      <w:r w:rsidR="009600D1" w:rsidRPr="009600D1">
        <w:rPr>
          <w:rFonts w:ascii="等线" w:eastAsia="等线" w:hAnsi="等线" w:cs="宋体"/>
          <w:i/>
          <w:iCs/>
          <w:color w:val="000000"/>
          <w:kern w:val="0"/>
          <w:sz w:val="22"/>
        </w:rPr>
        <w:t>R</w:t>
      </w:r>
      <w:r w:rsidR="009600D1">
        <w:rPr>
          <w:rFonts w:ascii="等线" w:eastAsia="等线" w:hAnsi="等线" w:cs="宋体"/>
          <w:color w:val="000000"/>
          <w:kern w:val="0"/>
          <w:sz w:val="22"/>
        </w:rPr>
        <w:t xml:space="preserve">, rituximab; </w:t>
      </w:r>
      <w:r w:rsidR="009600D1" w:rsidRPr="009600D1">
        <w:rPr>
          <w:rFonts w:ascii="等线" w:eastAsia="等线" w:hAnsi="等线" w:cs="宋体"/>
          <w:i/>
          <w:iCs/>
          <w:color w:val="000000"/>
          <w:kern w:val="0"/>
          <w:sz w:val="22"/>
        </w:rPr>
        <w:t>C</w:t>
      </w:r>
      <w:r w:rsidR="009600D1">
        <w:rPr>
          <w:rFonts w:ascii="等线" w:eastAsia="等线" w:hAnsi="等线" w:cs="宋体"/>
          <w:color w:val="000000"/>
          <w:kern w:val="0"/>
          <w:sz w:val="22"/>
        </w:rPr>
        <w:t xml:space="preserve">, CAR-T therapy </w:t>
      </w:r>
    </w:p>
    <w:sectPr w:rsidR="003609D9" w:rsidRPr="003609D9" w:rsidSect="00AB4BD1">
      <w:pgSz w:w="25923" w:h="17282" w:orient="landscape" w:code="128"/>
      <w:pgMar w:top="1440" w:right="1797" w:bottom="1440" w:left="1797" w:header="851" w:footer="992" w:gutter="0"/>
      <w:paperSrc w:first="15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8F"/>
    <w:rsid w:val="00036DC0"/>
    <w:rsid w:val="0022648F"/>
    <w:rsid w:val="003609D9"/>
    <w:rsid w:val="003A03BF"/>
    <w:rsid w:val="00610FD5"/>
    <w:rsid w:val="006E49E8"/>
    <w:rsid w:val="007554B1"/>
    <w:rsid w:val="009600D1"/>
    <w:rsid w:val="00AB4BD1"/>
    <w:rsid w:val="00BB31B9"/>
    <w:rsid w:val="00C553D2"/>
    <w:rsid w:val="00D706C8"/>
    <w:rsid w:val="00E47559"/>
    <w:rsid w:val="00EA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88B0F"/>
  <w15:chartTrackingRefBased/>
  <w15:docId w15:val="{3B24A68A-FBD7-4FB0-97E1-D4376449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可菲</dc:creator>
  <cp:keywords/>
  <dc:description/>
  <cp:lastModifiedBy>微软用户</cp:lastModifiedBy>
  <cp:revision>10</cp:revision>
  <dcterms:created xsi:type="dcterms:W3CDTF">2021-12-29T02:10:00Z</dcterms:created>
  <dcterms:modified xsi:type="dcterms:W3CDTF">2021-12-29T04:42:00Z</dcterms:modified>
</cp:coreProperties>
</file>