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AB413B" w14:textId="62FAD81C" w:rsidR="00E86C81" w:rsidRDefault="005E297D" w:rsidP="007F1711">
      <w:pPr>
        <w:pStyle w:val="Heading1"/>
        <w:spacing w:line="480" w:lineRule="auto"/>
        <w:jc w:val="both"/>
        <w:rPr>
          <w:color w:val="000000" w:themeColor="text1"/>
        </w:rPr>
      </w:pPr>
      <w:r>
        <w:rPr>
          <w:color w:val="000000" w:themeColor="text1"/>
        </w:rPr>
        <w:t xml:space="preserve">The interaction between metabolic rate, </w:t>
      </w:r>
      <w:r w:rsidR="00E86C81">
        <w:rPr>
          <w:color w:val="000000" w:themeColor="text1"/>
        </w:rPr>
        <w:t>habitat choice</w:t>
      </w:r>
      <w:r w:rsidR="00CA3FA2">
        <w:rPr>
          <w:color w:val="000000" w:themeColor="text1"/>
        </w:rPr>
        <w:t>,</w:t>
      </w:r>
      <w:r w:rsidR="00E86C81">
        <w:rPr>
          <w:color w:val="000000" w:themeColor="text1"/>
        </w:rPr>
        <w:t xml:space="preserve"> and </w:t>
      </w:r>
      <w:r w:rsidR="00EF0DCC">
        <w:rPr>
          <w:color w:val="000000" w:themeColor="text1"/>
        </w:rPr>
        <w:t>resource use</w:t>
      </w:r>
      <w:r w:rsidR="00E86C81">
        <w:rPr>
          <w:color w:val="000000" w:themeColor="text1"/>
        </w:rPr>
        <w:t xml:space="preserve"> in a </w:t>
      </w:r>
      <w:r w:rsidR="00EF0DCC">
        <w:rPr>
          <w:color w:val="000000" w:themeColor="text1"/>
        </w:rPr>
        <w:t>polymorphic</w:t>
      </w:r>
      <w:r w:rsidR="00E86C81">
        <w:rPr>
          <w:color w:val="000000" w:themeColor="text1"/>
        </w:rPr>
        <w:t xml:space="preserve"> freshwater species</w:t>
      </w:r>
      <w:r>
        <w:rPr>
          <w:color w:val="000000" w:themeColor="text1"/>
        </w:rPr>
        <w:t xml:space="preserve"> </w:t>
      </w:r>
    </w:p>
    <w:p w14:paraId="05F1B078" w14:textId="411EC683" w:rsidR="00BB6CB6" w:rsidRPr="00BB6CB6" w:rsidRDefault="00BB6CB6" w:rsidP="007F1711">
      <w:pPr>
        <w:pStyle w:val="Heading1"/>
        <w:spacing w:line="480" w:lineRule="auto"/>
        <w:jc w:val="both"/>
        <w:rPr>
          <w:color w:val="000000" w:themeColor="text1"/>
        </w:rPr>
      </w:pPr>
      <w:r w:rsidRPr="00BB6CB6">
        <w:rPr>
          <w:color w:val="000000" w:themeColor="text1"/>
        </w:rPr>
        <w:t>Abstract</w:t>
      </w:r>
    </w:p>
    <w:p w14:paraId="287AFA98" w14:textId="222119A0" w:rsidR="00AE1BDE" w:rsidRDefault="00BB6CB6" w:rsidP="007F1711">
      <w:pPr>
        <w:pStyle w:val="ListParagraph"/>
        <w:numPr>
          <w:ilvl w:val="0"/>
          <w:numId w:val="2"/>
        </w:numPr>
        <w:spacing w:line="480" w:lineRule="auto"/>
        <w:jc w:val="both"/>
        <w:rPr>
          <w:rFonts w:cstheme="minorHAnsi"/>
          <w:lang w:val="en-US"/>
        </w:rPr>
      </w:pPr>
      <w:r>
        <w:rPr>
          <w:rFonts w:cstheme="minorHAnsi"/>
          <w:lang w:val="en-US"/>
        </w:rPr>
        <w:t xml:space="preserve">Resource polymorphism is common </w:t>
      </w:r>
      <w:r w:rsidR="00C050CB">
        <w:rPr>
          <w:rFonts w:cstheme="minorHAnsi"/>
          <w:lang w:val="en-US"/>
        </w:rPr>
        <w:t>across taxa</w:t>
      </w:r>
      <w:r>
        <w:rPr>
          <w:rFonts w:cstheme="minorHAnsi"/>
          <w:lang w:val="en-US"/>
        </w:rPr>
        <w:t xml:space="preserve"> and</w:t>
      </w:r>
      <w:r w:rsidR="0066189D">
        <w:rPr>
          <w:rFonts w:cstheme="minorHAnsi"/>
          <w:lang w:val="en-US"/>
        </w:rPr>
        <w:t xml:space="preserve"> can result in alternate </w:t>
      </w:r>
      <w:r w:rsidR="007C702D">
        <w:rPr>
          <w:rFonts w:cstheme="minorHAnsi"/>
          <w:lang w:val="en-US"/>
        </w:rPr>
        <w:t xml:space="preserve">ecotypes </w:t>
      </w:r>
      <w:r w:rsidR="00653C06">
        <w:rPr>
          <w:rFonts w:cstheme="minorHAnsi"/>
          <w:lang w:val="en-US"/>
        </w:rPr>
        <w:t>with specific</w:t>
      </w:r>
      <w:r w:rsidR="007C702D">
        <w:rPr>
          <w:rFonts w:cstheme="minorHAnsi"/>
          <w:lang w:val="en-US"/>
        </w:rPr>
        <w:t xml:space="preserve"> morphologies,</w:t>
      </w:r>
      <w:r w:rsidR="0066189D">
        <w:rPr>
          <w:rFonts w:cstheme="minorHAnsi"/>
          <w:lang w:val="en-US"/>
        </w:rPr>
        <w:t xml:space="preserve"> feeding </w:t>
      </w:r>
      <w:r w:rsidR="007C702D">
        <w:rPr>
          <w:rFonts w:cstheme="minorHAnsi"/>
          <w:lang w:val="en-US"/>
        </w:rPr>
        <w:t>modes</w:t>
      </w:r>
      <w:r w:rsidR="002468F4">
        <w:rPr>
          <w:rFonts w:cstheme="minorHAnsi"/>
          <w:lang w:val="en-US"/>
        </w:rPr>
        <w:t>,</w:t>
      </w:r>
      <w:r w:rsidR="0066189D">
        <w:rPr>
          <w:rFonts w:cstheme="minorHAnsi"/>
          <w:lang w:val="en-US"/>
        </w:rPr>
        <w:t xml:space="preserve"> and</w:t>
      </w:r>
      <w:r w:rsidR="002468F4">
        <w:rPr>
          <w:rFonts w:cstheme="minorHAnsi"/>
          <w:lang w:val="en-US"/>
        </w:rPr>
        <w:t xml:space="preserve"> </w:t>
      </w:r>
      <w:proofErr w:type="spellStart"/>
      <w:r w:rsidR="002468F4">
        <w:rPr>
          <w:rFonts w:cstheme="minorHAnsi"/>
          <w:lang w:val="en-US"/>
        </w:rPr>
        <w:t>behaviours</w:t>
      </w:r>
      <w:proofErr w:type="spellEnd"/>
      <w:r w:rsidR="0066189D">
        <w:rPr>
          <w:rFonts w:cstheme="minorHAnsi"/>
          <w:lang w:val="en-US"/>
        </w:rPr>
        <w:t xml:space="preserve"> that increase performance in </w:t>
      </w:r>
      <w:r w:rsidR="00170657">
        <w:rPr>
          <w:rFonts w:cstheme="minorHAnsi"/>
          <w:lang w:val="en-US"/>
        </w:rPr>
        <w:t>a</w:t>
      </w:r>
      <w:r w:rsidR="0066189D">
        <w:rPr>
          <w:rFonts w:cstheme="minorHAnsi"/>
          <w:lang w:val="en-US"/>
        </w:rPr>
        <w:t xml:space="preserve"> specific habitat</w:t>
      </w:r>
      <w:r w:rsidR="00653C06">
        <w:rPr>
          <w:rFonts w:cstheme="minorHAnsi"/>
          <w:lang w:val="en-US"/>
        </w:rPr>
        <w:t>. This can result in</w:t>
      </w:r>
      <w:r w:rsidR="00AB1A20">
        <w:rPr>
          <w:rFonts w:cstheme="minorHAnsi"/>
          <w:lang w:val="en-US"/>
        </w:rPr>
        <w:t xml:space="preserve"> </w:t>
      </w:r>
      <w:r w:rsidR="0066189D">
        <w:rPr>
          <w:rFonts w:cstheme="minorHAnsi"/>
          <w:lang w:val="en-US"/>
        </w:rPr>
        <w:t xml:space="preserve">high intraspecific variation in </w:t>
      </w:r>
      <w:r w:rsidR="008C67BF">
        <w:rPr>
          <w:rFonts w:cstheme="minorHAnsi"/>
          <w:lang w:val="en-US"/>
        </w:rPr>
        <w:t xml:space="preserve">the expression of specific traits and </w:t>
      </w:r>
      <w:r w:rsidR="00A85DA8">
        <w:rPr>
          <w:rFonts w:cstheme="minorHAnsi"/>
          <w:lang w:val="en-US"/>
        </w:rPr>
        <w:t>the extent</w:t>
      </w:r>
      <w:r w:rsidR="008C67BF">
        <w:rPr>
          <w:rFonts w:cstheme="minorHAnsi"/>
          <w:lang w:val="en-US"/>
        </w:rPr>
        <w:t xml:space="preserve"> </w:t>
      </w:r>
      <w:r w:rsidR="00B04BCE">
        <w:rPr>
          <w:rFonts w:cstheme="minorHAnsi"/>
          <w:lang w:val="en-US"/>
        </w:rPr>
        <w:t xml:space="preserve">to which </w:t>
      </w:r>
      <w:r w:rsidR="008C67BF">
        <w:rPr>
          <w:rFonts w:cstheme="minorHAnsi"/>
          <w:lang w:val="en-US"/>
        </w:rPr>
        <w:t>these traits are correlated</w:t>
      </w:r>
      <w:r w:rsidR="00985BD6">
        <w:rPr>
          <w:rFonts w:cstheme="minorHAnsi"/>
          <w:lang w:val="en-US"/>
        </w:rPr>
        <w:t xml:space="preserve"> </w:t>
      </w:r>
      <w:r w:rsidR="0066189D">
        <w:rPr>
          <w:rFonts w:cstheme="minorHAnsi"/>
          <w:lang w:val="en-US"/>
        </w:rPr>
        <w:t>within a single population.</w:t>
      </w:r>
      <w:r w:rsidR="00B04BCE">
        <w:rPr>
          <w:rFonts w:cstheme="minorHAnsi"/>
          <w:lang w:val="en-US"/>
        </w:rPr>
        <w:t xml:space="preserve"> Although</w:t>
      </w:r>
      <w:r w:rsidR="00A85DA8">
        <w:rPr>
          <w:rFonts w:cstheme="minorHAnsi"/>
          <w:lang w:val="en-US"/>
        </w:rPr>
        <w:t xml:space="preserve"> </w:t>
      </w:r>
      <w:r w:rsidR="00B04BCE">
        <w:rPr>
          <w:rFonts w:cstheme="minorHAnsi"/>
          <w:lang w:val="en-US"/>
        </w:rPr>
        <w:t>m</w:t>
      </w:r>
      <w:r w:rsidR="00A85DA8">
        <w:rPr>
          <w:rFonts w:cstheme="minorHAnsi"/>
          <w:lang w:val="en-US"/>
        </w:rPr>
        <w:t xml:space="preserve">etabolic rate influences resource </w:t>
      </w:r>
      <w:proofErr w:type="spellStart"/>
      <w:r w:rsidR="00A85DA8">
        <w:rPr>
          <w:rFonts w:cstheme="minorHAnsi"/>
          <w:lang w:val="en-US"/>
        </w:rPr>
        <w:t>aqu</w:t>
      </w:r>
      <w:r w:rsidR="00B04BCE">
        <w:rPr>
          <w:rFonts w:cstheme="minorHAnsi"/>
          <w:lang w:val="en-US"/>
        </w:rPr>
        <w:t>i</w:t>
      </w:r>
      <w:r w:rsidR="00A85DA8">
        <w:rPr>
          <w:rFonts w:cstheme="minorHAnsi"/>
          <w:lang w:val="en-US"/>
        </w:rPr>
        <w:t>sition</w:t>
      </w:r>
      <w:proofErr w:type="spellEnd"/>
      <w:r w:rsidR="00A85DA8">
        <w:rPr>
          <w:rFonts w:cstheme="minorHAnsi"/>
          <w:lang w:val="en-US"/>
        </w:rPr>
        <w:t xml:space="preserve"> and </w:t>
      </w:r>
      <w:r w:rsidR="00B04BCE">
        <w:rPr>
          <w:rFonts w:cstheme="minorHAnsi"/>
          <w:lang w:val="en-US"/>
        </w:rPr>
        <w:t>the overall pace of life of individuals it is not clear how metabolic rate</w:t>
      </w:r>
      <w:r w:rsidR="00A85DA8">
        <w:rPr>
          <w:rFonts w:cstheme="minorHAnsi"/>
          <w:lang w:val="en-US"/>
        </w:rPr>
        <w:t xml:space="preserve"> </w:t>
      </w:r>
      <w:r w:rsidR="00C050CB">
        <w:rPr>
          <w:rFonts w:cstheme="minorHAnsi"/>
          <w:lang w:val="en-US"/>
        </w:rPr>
        <w:t xml:space="preserve">interact </w:t>
      </w:r>
      <w:r w:rsidR="00B04BCE">
        <w:rPr>
          <w:rFonts w:cstheme="minorHAnsi"/>
          <w:lang w:val="en-US"/>
        </w:rPr>
        <w:t xml:space="preserve">with </w:t>
      </w:r>
      <w:r w:rsidR="002E5950">
        <w:rPr>
          <w:rFonts w:cstheme="minorHAnsi"/>
          <w:lang w:val="en-US"/>
        </w:rPr>
        <w:t xml:space="preserve">the larger suite of traits </w:t>
      </w:r>
      <w:r w:rsidR="00C050CB">
        <w:rPr>
          <w:rFonts w:cstheme="minorHAnsi"/>
          <w:lang w:val="en-US"/>
        </w:rPr>
        <w:t xml:space="preserve">to ultimately determine </w:t>
      </w:r>
      <w:r w:rsidR="00653C06">
        <w:rPr>
          <w:rFonts w:cstheme="minorHAnsi"/>
          <w:lang w:val="en-US"/>
        </w:rPr>
        <w:t xml:space="preserve">individual </w:t>
      </w:r>
      <w:r w:rsidR="00C050CB">
        <w:rPr>
          <w:rFonts w:cstheme="minorHAnsi"/>
          <w:lang w:val="en-US"/>
        </w:rPr>
        <w:t>fitness</w:t>
      </w:r>
      <w:r w:rsidR="002E5950">
        <w:rPr>
          <w:rFonts w:cstheme="minorHAnsi"/>
          <w:lang w:val="en-US"/>
        </w:rPr>
        <w:t>.</w:t>
      </w:r>
    </w:p>
    <w:p w14:paraId="423E5CD8" w14:textId="0477AE83" w:rsidR="00202B9D" w:rsidRDefault="00202B9D" w:rsidP="007F1711">
      <w:pPr>
        <w:pStyle w:val="ListParagraph"/>
        <w:numPr>
          <w:ilvl w:val="0"/>
          <w:numId w:val="2"/>
        </w:numPr>
        <w:spacing w:line="480" w:lineRule="auto"/>
        <w:jc w:val="both"/>
        <w:rPr>
          <w:rFonts w:cstheme="minorHAnsi"/>
          <w:lang w:val="en-US"/>
        </w:rPr>
      </w:pPr>
      <w:r>
        <w:rPr>
          <w:rFonts w:cstheme="minorHAnsi"/>
          <w:lang w:val="en-US"/>
        </w:rPr>
        <w:t>We examine</w:t>
      </w:r>
      <w:r w:rsidR="002E5950">
        <w:rPr>
          <w:rFonts w:cstheme="minorHAnsi"/>
          <w:lang w:val="en-US"/>
        </w:rPr>
        <w:t>d</w:t>
      </w:r>
      <w:r>
        <w:rPr>
          <w:rFonts w:cstheme="minorHAnsi"/>
          <w:lang w:val="en-US"/>
        </w:rPr>
        <w:t xml:space="preserve"> </w:t>
      </w:r>
      <w:r w:rsidR="00D77A9D" w:rsidRPr="00202B9D">
        <w:rPr>
          <w:rFonts w:cstheme="minorHAnsi"/>
          <w:lang w:val="en-US"/>
        </w:rPr>
        <w:t>the relationship between metabolic rates and the major differences</w:t>
      </w:r>
      <w:r w:rsidR="005A26A3">
        <w:rPr>
          <w:rFonts w:cstheme="minorHAnsi"/>
          <w:lang w:val="en-US"/>
        </w:rPr>
        <w:t xml:space="preserve"> </w:t>
      </w:r>
      <w:r w:rsidR="005A26A3" w:rsidRPr="00202B9D">
        <w:rPr>
          <w:rFonts w:cstheme="minorHAnsi"/>
          <w:lang w:val="en-US"/>
        </w:rPr>
        <w:t>(habitat use, morphology, and resource use)</w:t>
      </w:r>
      <w:r w:rsidR="00D77A9D" w:rsidRPr="00202B9D">
        <w:rPr>
          <w:rFonts w:cstheme="minorHAnsi"/>
          <w:lang w:val="en-US"/>
        </w:rPr>
        <w:t xml:space="preserve"> between littoral and pelagic </w:t>
      </w:r>
      <w:r w:rsidR="005A26A3">
        <w:rPr>
          <w:rFonts w:cstheme="minorHAnsi"/>
          <w:lang w:val="en-US"/>
        </w:rPr>
        <w:t>ecotypes of European perch (</w:t>
      </w:r>
      <w:proofErr w:type="spellStart"/>
      <w:r w:rsidR="005A26A3">
        <w:rPr>
          <w:rFonts w:cstheme="minorHAnsi"/>
          <w:i/>
          <w:lang w:val="en-US"/>
        </w:rPr>
        <w:t>P</w:t>
      </w:r>
      <w:r w:rsidR="005A26A3" w:rsidRPr="00D571A1">
        <w:rPr>
          <w:rFonts w:cstheme="minorHAnsi"/>
          <w:i/>
          <w:lang w:val="en-US"/>
        </w:rPr>
        <w:t>erca</w:t>
      </w:r>
      <w:proofErr w:type="spellEnd"/>
      <w:r w:rsidR="005A26A3" w:rsidRPr="00D571A1">
        <w:rPr>
          <w:rFonts w:cstheme="minorHAnsi"/>
          <w:i/>
          <w:lang w:val="en-US"/>
        </w:rPr>
        <w:t xml:space="preserve"> </w:t>
      </w:r>
      <w:proofErr w:type="spellStart"/>
      <w:r w:rsidR="00CA3FA2" w:rsidRPr="00CA3FA2">
        <w:rPr>
          <w:i/>
        </w:rPr>
        <w:t>fluviatilis</w:t>
      </w:r>
      <w:proofErr w:type="spellEnd"/>
      <w:r w:rsidR="005A26A3">
        <w:rPr>
          <w:rFonts w:cstheme="minorHAnsi"/>
          <w:i/>
          <w:lang w:val="en-US"/>
        </w:rPr>
        <w:t>)</w:t>
      </w:r>
      <w:r w:rsidR="005A26A3">
        <w:rPr>
          <w:rFonts w:cstheme="minorHAnsi"/>
          <w:lang w:val="en-US"/>
        </w:rPr>
        <w:t xml:space="preserve"> from a single lake</w:t>
      </w:r>
      <w:r w:rsidR="004257DF">
        <w:rPr>
          <w:rFonts w:cstheme="minorHAnsi"/>
          <w:lang w:val="en-US"/>
        </w:rPr>
        <w:t xml:space="preserve"> in Central Sweden</w:t>
      </w:r>
      <w:r w:rsidR="005A26A3">
        <w:rPr>
          <w:rFonts w:cstheme="minorHAnsi"/>
          <w:lang w:val="en-US"/>
        </w:rPr>
        <w:t>.</w:t>
      </w:r>
    </w:p>
    <w:p w14:paraId="11522CAE" w14:textId="0F2803E5" w:rsidR="00202B9D" w:rsidRDefault="00202B9D" w:rsidP="007F1711">
      <w:pPr>
        <w:pStyle w:val="ListParagraph"/>
        <w:numPr>
          <w:ilvl w:val="0"/>
          <w:numId w:val="2"/>
        </w:numPr>
        <w:spacing w:line="480" w:lineRule="auto"/>
        <w:jc w:val="both"/>
        <w:rPr>
          <w:rFonts w:cstheme="minorHAnsi"/>
          <w:lang w:val="en-US"/>
        </w:rPr>
      </w:pPr>
      <w:r>
        <w:rPr>
          <w:rFonts w:cstheme="minorHAnsi"/>
          <w:lang w:val="en-US"/>
        </w:rPr>
        <w:t>Standard metabolic rate (SMR) was significantly higher in pelagic perch but did not correlate with resource use or morphology. Maximum metabolic rate (MMR) was not correlated with any of our explanatory</w:t>
      </w:r>
      <w:r w:rsidR="007C702D">
        <w:rPr>
          <w:rFonts w:cstheme="minorHAnsi"/>
          <w:lang w:val="en-US"/>
        </w:rPr>
        <w:t xml:space="preserve"> variables</w:t>
      </w:r>
      <w:r>
        <w:rPr>
          <w:rFonts w:cstheme="minorHAnsi"/>
          <w:lang w:val="en-US"/>
        </w:rPr>
        <w:t xml:space="preserve"> or </w:t>
      </w:r>
      <w:r w:rsidR="007C702D">
        <w:rPr>
          <w:rFonts w:cstheme="minorHAnsi"/>
          <w:lang w:val="en-US"/>
        </w:rPr>
        <w:t xml:space="preserve">with </w:t>
      </w:r>
      <w:r>
        <w:rPr>
          <w:rFonts w:cstheme="minorHAnsi"/>
          <w:lang w:val="en-US"/>
        </w:rPr>
        <w:t xml:space="preserve">SMR. </w:t>
      </w:r>
      <w:r w:rsidR="00445E53">
        <w:rPr>
          <w:rFonts w:cstheme="minorHAnsi"/>
          <w:lang w:val="en-US"/>
        </w:rPr>
        <w:t>Aerobic scope (AS) showed the same pattern as SMR, differing across habitats, but contrary to expectations</w:t>
      </w:r>
      <w:r w:rsidR="00CA3FA2">
        <w:rPr>
          <w:rFonts w:cstheme="minorHAnsi"/>
          <w:lang w:val="en-US"/>
        </w:rPr>
        <w:t>,</w:t>
      </w:r>
      <w:r w:rsidR="00445E53">
        <w:rPr>
          <w:rFonts w:cstheme="minorHAnsi"/>
          <w:lang w:val="en-US"/>
        </w:rPr>
        <w:t xml:space="preserve"> was lower in pelagic perch. </w:t>
      </w:r>
    </w:p>
    <w:p w14:paraId="115B1068" w14:textId="24E57FF7" w:rsidR="007D4735" w:rsidRDefault="00202B9D" w:rsidP="007F1711">
      <w:pPr>
        <w:pStyle w:val="ListParagraph"/>
        <w:numPr>
          <w:ilvl w:val="0"/>
          <w:numId w:val="2"/>
        </w:numPr>
        <w:spacing w:line="480" w:lineRule="auto"/>
        <w:jc w:val="both"/>
        <w:rPr>
          <w:rFonts w:cstheme="minorHAnsi"/>
          <w:lang w:val="en-US"/>
        </w:rPr>
      </w:pPr>
      <w:r>
        <w:rPr>
          <w:rFonts w:cstheme="minorHAnsi"/>
          <w:lang w:val="en-US"/>
        </w:rPr>
        <w:t>T</w:t>
      </w:r>
      <w:r w:rsidR="00D77A9D" w:rsidRPr="00202B9D">
        <w:rPr>
          <w:rFonts w:cstheme="minorHAnsi"/>
          <w:lang w:val="en-US"/>
        </w:rPr>
        <w:t>his study help</w:t>
      </w:r>
      <w:r w:rsidR="007C702D">
        <w:rPr>
          <w:rFonts w:cstheme="minorHAnsi"/>
          <w:lang w:val="en-US"/>
        </w:rPr>
        <w:t>s</w:t>
      </w:r>
      <w:r w:rsidR="00D77A9D" w:rsidRPr="00202B9D">
        <w:rPr>
          <w:rFonts w:cstheme="minorHAnsi"/>
          <w:lang w:val="en-US"/>
        </w:rPr>
        <w:t xml:space="preserve"> to establish </w:t>
      </w:r>
      <w:r w:rsidR="00AE1BDE" w:rsidRPr="00202B9D">
        <w:rPr>
          <w:rFonts w:cstheme="minorHAnsi"/>
          <w:lang w:val="en-US"/>
        </w:rPr>
        <w:t>a</w:t>
      </w:r>
      <w:r w:rsidR="00D77A9D" w:rsidRPr="00202B9D">
        <w:rPr>
          <w:rFonts w:cstheme="minorHAnsi"/>
          <w:lang w:val="en-US"/>
        </w:rPr>
        <w:t xml:space="preserve"> framework for future experiments further exploring the drivers of intraspecific differences in metabolism</w:t>
      </w:r>
      <w:r w:rsidR="00445E53">
        <w:rPr>
          <w:rFonts w:cstheme="minorHAnsi"/>
          <w:lang w:val="en-US"/>
        </w:rPr>
        <w:t xml:space="preserve">. </w:t>
      </w:r>
      <w:r w:rsidR="00CA3FA2">
        <w:rPr>
          <w:rFonts w:cstheme="minorHAnsi"/>
          <w:lang w:val="en-US"/>
        </w:rPr>
        <w:t>In addition, since</w:t>
      </w:r>
      <w:r w:rsidR="00AE1BDE" w:rsidRPr="00202B9D">
        <w:rPr>
          <w:rFonts w:cstheme="minorHAnsi"/>
          <w:lang w:val="en-US"/>
        </w:rPr>
        <w:t xml:space="preserve"> metabolic rates scale with temperature and determine predator energy requirements, </w:t>
      </w:r>
      <w:r w:rsidR="00445E53">
        <w:rPr>
          <w:rFonts w:cstheme="minorHAnsi"/>
          <w:lang w:val="en-US"/>
        </w:rPr>
        <w:t xml:space="preserve">our </w:t>
      </w:r>
      <w:r w:rsidR="00AE1BDE" w:rsidRPr="00202B9D">
        <w:rPr>
          <w:rFonts w:cstheme="minorHAnsi"/>
          <w:lang w:val="en-US"/>
        </w:rPr>
        <w:t xml:space="preserve">observed </w:t>
      </w:r>
      <w:r w:rsidR="00AE1BDE" w:rsidRPr="00202B9D">
        <w:rPr>
          <w:rFonts w:cstheme="minorHAnsi"/>
          <w:lang w:val="en-US"/>
        </w:rPr>
        <w:lastRenderedPageBreak/>
        <w:t xml:space="preserve">differences in </w:t>
      </w:r>
      <w:r w:rsidR="00445E53">
        <w:rPr>
          <w:rFonts w:cstheme="minorHAnsi"/>
          <w:lang w:val="en-US"/>
        </w:rPr>
        <w:t>SMR</w:t>
      </w:r>
      <w:r w:rsidR="00AE1BDE" w:rsidRPr="00202B9D">
        <w:rPr>
          <w:rFonts w:cstheme="minorHAnsi"/>
          <w:lang w:val="en-US"/>
        </w:rPr>
        <w:t xml:space="preserve"> </w:t>
      </w:r>
      <w:r w:rsidR="007C702D">
        <w:rPr>
          <w:rFonts w:cstheme="minorHAnsi"/>
          <w:lang w:val="en-US"/>
        </w:rPr>
        <w:t xml:space="preserve">across </w:t>
      </w:r>
      <w:r w:rsidR="00AE1BDE" w:rsidRPr="00202B9D">
        <w:rPr>
          <w:rFonts w:cstheme="minorHAnsi"/>
          <w:lang w:val="en-US"/>
        </w:rPr>
        <w:t>habitats</w:t>
      </w:r>
      <w:r w:rsidR="00445E53">
        <w:rPr>
          <w:rFonts w:cstheme="minorHAnsi"/>
          <w:lang w:val="en-US"/>
        </w:rPr>
        <w:t xml:space="preserve"> will help determine </w:t>
      </w:r>
      <w:r w:rsidR="00CA3FA2">
        <w:rPr>
          <w:rFonts w:cstheme="minorHAnsi"/>
          <w:lang w:val="en-US"/>
        </w:rPr>
        <w:t>ecotype-specific</w:t>
      </w:r>
      <w:r w:rsidR="00AE1BDE" w:rsidRPr="00445E53">
        <w:rPr>
          <w:rFonts w:cstheme="minorHAnsi"/>
          <w:lang w:val="en-US"/>
        </w:rPr>
        <w:t xml:space="preserve"> vulnerabilities to climate change and differences in top-down predation pressure across habitats. </w:t>
      </w:r>
    </w:p>
    <w:p w14:paraId="5E5944ED" w14:textId="3669F137" w:rsidR="007D4735" w:rsidRDefault="007D4735" w:rsidP="007F1711">
      <w:pPr>
        <w:spacing w:line="480" w:lineRule="auto"/>
        <w:ind w:left="360"/>
        <w:jc w:val="both"/>
        <w:rPr>
          <w:rFonts w:cstheme="minorHAnsi"/>
          <w:lang w:val="en-US"/>
        </w:rPr>
      </w:pPr>
      <w:r w:rsidRPr="001A7D25">
        <w:rPr>
          <w:rFonts w:cstheme="minorHAnsi"/>
          <w:b/>
          <w:lang w:val="en-US"/>
        </w:rPr>
        <w:t>Keywords</w:t>
      </w:r>
      <w:r>
        <w:rPr>
          <w:rFonts w:cstheme="minorHAnsi"/>
          <w:lang w:val="en-US"/>
        </w:rPr>
        <w:t>:</w:t>
      </w:r>
      <w:r w:rsidR="005A26A3">
        <w:rPr>
          <w:rFonts w:cstheme="minorHAnsi"/>
          <w:lang w:val="en-US"/>
        </w:rPr>
        <w:t xml:space="preserve"> </w:t>
      </w:r>
      <w:r w:rsidR="00D571A1" w:rsidRPr="00D571A1">
        <w:rPr>
          <w:rFonts w:cstheme="minorHAnsi"/>
          <w:lang w:val="en-US"/>
        </w:rPr>
        <w:t>intraspecific variation</w:t>
      </w:r>
      <w:r w:rsidR="00D571A1">
        <w:rPr>
          <w:rFonts w:cstheme="minorHAnsi"/>
          <w:lang w:val="en-US"/>
        </w:rPr>
        <w:t xml:space="preserve">, metabolic rate, morphometrics, plasticity, </w:t>
      </w:r>
      <w:proofErr w:type="spellStart"/>
      <w:r w:rsidR="00CC5FC1">
        <w:rPr>
          <w:rFonts w:cstheme="minorHAnsi"/>
          <w:i/>
          <w:lang w:val="en-US"/>
        </w:rPr>
        <w:t>P</w:t>
      </w:r>
      <w:r w:rsidR="00D571A1" w:rsidRPr="00D571A1">
        <w:rPr>
          <w:rFonts w:cstheme="minorHAnsi"/>
          <w:i/>
          <w:lang w:val="en-US"/>
        </w:rPr>
        <w:t>erca</w:t>
      </w:r>
      <w:proofErr w:type="spellEnd"/>
      <w:r w:rsidR="00D571A1" w:rsidRPr="00D571A1">
        <w:rPr>
          <w:rFonts w:cstheme="minorHAnsi"/>
          <w:i/>
          <w:lang w:val="en-US"/>
        </w:rPr>
        <w:t xml:space="preserve"> </w:t>
      </w:r>
      <w:proofErr w:type="spellStart"/>
      <w:r w:rsidR="00D571A1" w:rsidRPr="00D571A1">
        <w:rPr>
          <w:rFonts w:cstheme="minorHAnsi"/>
          <w:i/>
          <w:lang w:val="en-US"/>
        </w:rPr>
        <w:t>fluviatilis</w:t>
      </w:r>
      <w:proofErr w:type="spellEnd"/>
      <w:r w:rsidR="00D571A1">
        <w:rPr>
          <w:rFonts w:cstheme="minorHAnsi"/>
          <w:lang w:val="en-US"/>
        </w:rPr>
        <w:t>,</w:t>
      </w:r>
      <w:r w:rsidR="00D571A1" w:rsidRPr="00D571A1">
        <w:rPr>
          <w:rFonts w:cstheme="minorHAnsi"/>
          <w:lang w:val="en-US"/>
        </w:rPr>
        <w:t xml:space="preserve"> </w:t>
      </w:r>
      <w:r w:rsidR="00D571A1">
        <w:rPr>
          <w:rFonts w:cstheme="minorHAnsi"/>
          <w:lang w:val="en-US"/>
        </w:rPr>
        <w:t>resource use, r</w:t>
      </w:r>
      <w:r w:rsidR="00D571A1" w:rsidRPr="00D571A1">
        <w:rPr>
          <w:rFonts w:cstheme="minorHAnsi"/>
          <w:lang w:val="en-US"/>
        </w:rPr>
        <w:t>espirometry,</w:t>
      </w:r>
      <w:r w:rsidR="00D571A1">
        <w:rPr>
          <w:rFonts w:cstheme="minorHAnsi"/>
          <w:lang w:val="en-US"/>
        </w:rPr>
        <w:t xml:space="preserve"> stable isotope</w:t>
      </w:r>
      <w:r w:rsidR="001A7D25">
        <w:rPr>
          <w:rFonts w:cstheme="minorHAnsi"/>
          <w:lang w:val="en-US"/>
        </w:rPr>
        <w:t>s</w:t>
      </w:r>
    </w:p>
    <w:p w14:paraId="176260D6" w14:textId="77777777" w:rsidR="001858D9" w:rsidRPr="009F7ED9" w:rsidRDefault="001858D9" w:rsidP="007F1711">
      <w:pPr>
        <w:pStyle w:val="Heading1"/>
        <w:spacing w:line="480" w:lineRule="auto"/>
        <w:jc w:val="both"/>
        <w:rPr>
          <w:color w:val="000000" w:themeColor="text1"/>
        </w:rPr>
      </w:pPr>
      <w:r w:rsidRPr="009F7ED9">
        <w:rPr>
          <w:color w:val="000000" w:themeColor="text1"/>
        </w:rPr>
        <w:t>Introduction</w:t>
      </w:r>
    </w:p>
    <w:p w14:paraId="60EB715C" w14:textId="6DA1B72A" w:rsidR="003B4399" w:rsidRDefault="00C62194" w:rsidP="007F1711">
      <w:pPr>
        <w:spacing w:line="480" w:lineRule="auto"/>
        <w:jc w:val="both"/>
        <w:rPr>
          <w:rFonts w:cstheme="minorHAnsi"/>
          <w:lang w:val="en-US"/>
        </w:rPr>
      </w:pPr>
      <w:r w:rsidRPr="003F070C">
        <w:rPr>
          <w:rFonts w:cstheme="minorHAnsi"/>
          <w:lang w:val="en-US"/>
        </w:rPr>
        <w:t xml:space="preserve">Metabolic rates </w:t>
      </w:r>
      <w:r w:rsidR="00FE6493" w:rsidRPr="003F070C">
        <w:rPr>
          <w:rFonts w:cstheme="minorHAnsi"/>
          <w:lang w:val="en-US"/>
        </w:rPr>
        <w:t xml:space="preserve">determine an </w:t>
      </w:r>
      <w:r w:rsidR="00856D40">
        <w:rPr>
          <w:rFonts w:cstheme="minorHAnsi"/>
          <w:lang w:val="en-US"/>
        </w:rPr>
        <w:t>individual's</w:t>
      </w:r>
      <w:r w:rsidR="00FE6493" w:rsidRPr="003F070C">
        <w:rPr>
          <w:rFonts w:cstheme="minorHAnsi"/>
          <w:lang w:val="en-US"/>
        </w:rPr>
        <w:t xml:space="preserve"> cost of living</w:t>
      </w:r>
      <w:r w:rsidR="00CF371C" w:rsidRPr="003F070C">
        <w:rPr>
          <w:rFonts w:cstheme="minorHAnsi"/>
          <w:lang w:val="en-US"/>
        </w:rPr>
        <w:t>,</w:t>
      </w:r>
      <w:r w:rsidR="00FE6493" w:rsidRPr="003F070C">
        <w:rPr>
          <w:rFonts w:cstheme="minorHAnsi"/>
          <w:lang w:val="en-US"/>
        </w:rPr>
        <w:t xml:space="preserve"> and as such</w:t>
      </w:r>
      <w:r w:rsidR="007F2CE7" w:rsidRPr="003F070C">
        <w:rPr>
          <w:rFonts w:cstheme="minorHAnsi"/>
          <w:lang w:val="en-US"/>
        </w:rPr>
        <w:t>,</w:t>
      </w:r>
      <w:r w:rsidR="00FE6493" w:rsidRPr="003F070C">
        <w:rPr>
          <w:rFonts w:cstheme="minorHAnsi"/>
          <w:lang w:val="en-US"/>
        </w:rPr>
        <w:t xml:space="preserve"> differences between </w:t>
      </w:r>
      <w:r w:rsidR="00856D40">
        <w:rPr>
          <w:rFonts w:cstheme="minorHAnsi"/>
          <w:lang w:val="en-US"/>
        </w:rPr>
        <w:t>individuals'</w:t>
      </w:r>
      <w:r w:rsidR="00FE6493" w:rsidRPr="003F070C">
        <w:rPr>
          <w:rFonts w:cstheme="minorHAnsi"/>
          <w:lang w:val="en-US"/>
        </w:rPr>
        <w:t xml:space="preserve"> or </w:t>
      </w:r>
      <w:r w:rsidR="00856D40">
        <w:rPr>
          <w:rFonts w:cstheme="minorHAnsi"/>
          <w:lang w:val="en-US"/>
        </w:rPr>
        <w:t>populations'</w:t>
      </w:r>
      <w:r w:rsidR="00FE6493" w:rsidRPr="003F070C">
        <w:rPr>
          <w:rFonts w:cstheme="minorHAnsi"/>
          <w:lang w:val="en-US"/>
        </w:rPr>
        <w:t xml:space="preserve"> metabolic rates can determine their fitness and ultimately success in a given environment</w:t>
      </w:r>
      <w:r w:rsidR="00DB3BB9" w:rsidRPr="003F070C">
        <w:rPr>
          <w:rFonts w:cstheme="minorHAnsi"/>
          <w:lang w:val="en-US"/>
        </w:rPr>
        <w:t xml:space="preserve"> </w:t>
      </w:r>
      <w:r w:rsidR="00DB3BB9" w:rsidRPr="003F070C">
        <w:rPr>
          <w:rFonts w:cstheme="minorHAnsi"/>
          <w:lang w:val="en-US"/>
        </w:rPr>
        <w:fldChar w:fldCharType="begin" w:fldLock="1"/>
      </w:r>
      <w:r w:rsidR="000B6581">
        <w:rPr>
          <w:rFonts w:cstheme="minorHAnsi"/>
          <w:lang w:val="en-US"/>
        </w:rPr>
        <w:instrText>ADDIN CSL_CITATION {"citationItems":[{"id":"ITEM-1","itemData":{"DOI":"10.1146/annurev.physiol.62.1.207","ISSN":"0066-4278","author":[{"dropping-particle":"","family":"Hulbert","given":"A. J.","non-dropping-particle":"","parse-names":false,"suffix":""},{"dropping-particle":"","family":"Else","given":"Paul Lewis","non-dropping-particle":"","parse-names":false,"suffix":""}],"container-title":"Annual Review of Physiology","id":"ITEM-1","issue":"1","issued":{"date-parts":[["2000","3"]]},"page":"207-235","title":"Mechanisms underlying the cost of living in animals","type":"article-journal","volume":"62"},"uris":["http://www.mendeley.com/documents/?uuid=93201705-5cbc-4ed2-b101-182de1572af0"]}],"mendeley":{"formattedCitation":"(Hulbert and Else, 2000)","plainTextFormattedCitation":"(Hulbert and Else, 2000)","previouslyFormattedCitation":"(Hulbert and Else, 2000)"},"properties":{"noteIndex":0},"schema":"https://github.com/citation-style-language/schema/raw/master/csl-citation.json"}</w:instrText>
      </w:r>
      <w:r w:rsidR="00DB3BB9" w:rsidRPr="003F070C">
        <w:rPr>
          <w:rFonts w:cstheme="minorHAnsi"/>
          <w:lang w:val="en-US"/>
        </w:rPr>
        <w:fldChar w:fldCharType="separate"/>
      </w:r>
      <w:r w:rsidR="00C8169C" w:rsidRPr="00C8169C">
        <w:rPr>
          <w:rFonts w:cstheme="minorHAnsi"/>
          <w:noProof/>
          <w:lang w:val="en-US"/>
        </w:rPr>
        <w:t>(Hulbert and Else, 2000)</w:t>
      </w:r>
      <w:r w:rsidR="00DB3BB9" w:rsidRPr="003F070C">
        <w:rPr>
          <w:rFonts w:cstheme="minorHAnsi"/>
          <w:lang w:val="en-US"/>
        </w:rPr>
        <w:fldChar w:fldCharType="end"/>
      </w:r>
      <w:r w:rsidR="00FE6493" w:rsidRPr="003F070C">
        <w:rPr>
          <w:rFonts w:cstheme="minorHAnsi"/>
          <w:lang w:val="en-US"/>
        </w:rPr>
        <w:t>.</w:t>
      </w:r>
      <w:r w:rsidR="005A14CB">
        <w:rPr>
          <w:rFonts w:cstheme="minorHAnsi"/>
          <w:lang w:val="en-US"/>
        </w:rPr>
        <w:t xml:space="preserve"> </w:t>
      </w:r>
      <w:r w:rsidR="00A47F3F">
        <w:rPr>
          <w:rFonts w:cstheme="minorHAnsi"/>
          <w:lang w:val="en-US"/>
        </w:rPr>
        <w:t xml:space="preserve">Studies on polymorphic species often focus on </w:t>
      </w:r>
      <w:r w:rsidR="002A4026">
        <w:rPr>
          <w:rFonts w:cstheme="minorHAnsi"/>
          <w:lang w:val="en-US"/>
        </w:rPr>
        <w:t>intraspecific variation</w:t>
      </w:r>
      <w:r w:rsidR="00A47F3F">
        <w:rPr>
          <w:rFonts w:cstheme="minorHAnsi"/>
          <w:lang w:val="en-US"/>
        </w:rPr>
        <w:t xml:space="preserve"> in </w:t>
      </w:r>
      <w:r w:rsidR="00573F4D">
        <w:rPr>
          <w:rFonts w:cstheme="minorHAnsi"/>
          <w:lang w:val="en-US"/>
        </w:rPr>
        <w:t>diet</w:t>
      </w:r>
      <w:r w:rsidR="00A47F3F">
        <w:rPr>
          <w:rFonts w:cstheme="minorHAnsi"/>
          <w:lang w:val="en-US"/>
        </w:rPr>
        <w:t xml:space="preserve">, morphology, and behavior and how </w:t>
      </w:r>
      <w:r w:rsidR="00B735FA">
        <w:rPr>
          <w:rFonts w:cstheme="minorHAnsi"/>
          <w:lang w:val="en-US"/>
        </w:rPr>
        <w:t xml:space="preserve">these traits can provide the </w:t>
      </w:r>
      <w:r w:rsidR="00CA3FA2">
        <w:rPr>
          <w:rFonts w:cstheme="minorHAnsi"/>
          <w:lang w:val="en-US"/>
        </w:rPr>
        <w:t>competitive</w:t>
      </w:r>
      <w:r w:rsidR="00B735FA">
        <w:rPr>
          <w:rFonts w:cstheme="minorHAnsi"/>
          <w:lang w:val="en-US"/>
        </w:rPr>
        <w:t xml:space="preserve"> advantage that allows an individual or a group of </w:t>
      </w:r>
      <w:r w:rsidR="00CA3FA2">
        <w:rPr>
          <w:rFonts w:cstheme="minorHAnsi"/>
          <w:lang w:val="en-US"/>
        </w:rPr>
        <w:t>individuals</w:t>
      </w:r>
      <w:r w:rsidR="00B735FA">
        <w:rPr>
          <w:rFonts w:cstheme="minorHAnsi"/>
          <w:lang w:val="en-US"/>
        </w:rPr>
        <w:t xml:space="preserve"> to exploit a specific niche or habitat</w:t>
      </w:r>
      <w:r w:rsidR="00EE56C3">
        <w:rPr>
          <w:rFonts w:cstheme="minorHAnsi"/>
          <w:lang w:val="en-US"/>
        </w:rPr>
        <w:t xml:space="preserve"> </w:t>
      </w:r>
      <w:r w:rsidR="00EE56C3">
        <w:rPr>
          <w:rFonts w:cstheme="minorHAnsi"/>
          <w:lang w:val="en-US"/>
        </w:rPr>
        <w:fldChar w:fldCharType="begin" w:fldLock="1"/>
      </w:r>
      <w:r w:rsidR="000B6581">
        <w:rPr>
          <w:rFonts w:cstheme="minorHAnsi"/>
          <w:lang w:val="en-US"/>
        </w:rPr>
        <w:instrText>ADDIN CSL_CITATION {"citationItems":[{"id":"ITEM-1","itemData":{"DOI":"10.1016/S0169-5347(00)89135-1","ISSN":"01695347","PMID":"21237070","abstract":"Discrete resource polymorphisms occur in various vertebrate species and probably occur more frequently than is generally appreciated. They are manifested in a number of ways, including morphological, behavioral and life history characters. Research on a number of unrelated taxa suggests that resource polymorphisms may be underestimated as a diversifying force and potentially play important roles in population divergence and initial steps in speciation. In an ecological context, they are important in resource partitioning and reducing intraspecific competition. Recent research suggests that the mechanisms maintaining these polymorphisms may be similar in diverse taxa, that phenotypic plasticity is important, and that some are under simple genetic control. © 1995.","author":[{"dropping-particle":"","family":"Skúlason","given":"Skúli","non-dropping-particle":"","parse-names":false,"suffix":""},{"dropping-particle":"","family":"Smith","given":"Thomas B.","non-dropping-particle":"","parse-names":false,"suffix":""}],"container-title":"Trends in Ecology &amp; Evolution","id":"ITEM-1","issue":"9","issued":{"date-parts":[["1995"]]},"page":"366-370","title":"Resource polymorphisms in vertebrates","type":"article-journal","volume":"10"},"uris":["http://www.mendeley.com/documents/?uuid=ba909840-801b-42eb-9c3c-d8935c875b32"]},{"id":"ITEM-2","itemData":{"DOI":"10.1111/brv.12534","ISSN":"1469185X","PMID":"31215138","abstract":"A major goal of evolutionary science is to understand how biological diversity is generated and altered. Despite considerable advances, we still have limited insight into how phenotypic variation arises and is sorted by natural selection. Here we argue that an integrated view, which merges ecology, evolution and developmental biology (eco evo devo) on an equal footing, is needed to understand the multifaceted role of the environment in simultaneously determining the development of the phenotype and the nature of the selective environment, and how organisms in turn affect the environment through eco evo and eco devo feedbacks. To illustrate the usefulness of an integrated eco evo devo perspective, we connect it with the theory of resource polymorphism (i.e. the phenotypic and genetic diversification that occurs in response to variation in available resources). In so doing, we highlight fishes from recently glaciated freshwater systems as exceptionally well-suited model systems for testing predictions of an eco evo devo framework in studies of diversification. Studies on these fishes show that intraspecific diversity can evolve rapidly, and that this process is jointly facilitated by (i) the availability of diverse environments promoting divergent natural selection; (ii) dynamic developmental processes sensitive to environmental and genetic signals; and (iii) eco evo and eco devo feedbacks influencing the selective and developmental environments of the phenotype. We highlight empirical examples and present a conceptual model for the generation of resource polymorphism – emphasizing eco evo devo, and identify current gaps in knowledge.","author":[{"dropping-particle":"","family":"Skúlason","given":"Skúli","non-dropping-particle":"","parse-names":false,"suffix":""},{"dropping-particle":"","family":"Parsons","given":"Kevin J.","non-dropping-particle":"","parse-names":false,"suffix":""},{"dropping-particle":"","family":"Svanbäck","given":"Richard","non-dropping-particle":"","parse-names":false,"suffix":""},{"dropping-particle":"","family":"Räsänen","given":"Katja","non-dropping-particle":"","parse-names":false,"suffix":""},{"dropping-particle":"","family":"Ferguson","given":"Moira M.","non-dropping-particle":"","parse-names":false,"suffix":""},{"dropping-particle":"","family":"Adams","given":"Colin E.","non-dropping-particle":"","parse-names":false,"suffix":""},{"dropping-particle":"","family":"Amundsen","given":"Per Arne","non-dropping-particle":"","parse-names":false,"suffix":""},{"dropping-particle":"","family":"Bartels","given":"Pia","non-dropping-particle":"","parse-names":false,"suffix":""},{"dropping-particle":"","family":"Bean","given":"Colin W.","non-dropping-particle":"","parse-names":false,"suffix":""},{"dropping-particle":"","family":"Boughman","given":"Janette W.","non-dropping-particle":"","parse-names":false,"suffix":""},{"dropping-particle":"","family":"Englund","given":"Göran","non-dropping-particle":"","parse-names":false,"suffix":""},{"dropping-particle":"","family":"Guðbrandsson","given":"Jóhannes","non-dropping-particle":"","parse-names":false,"suffix":""},{"dropping-particle":"","family":"Hooker","given":"Oliver E.","non-dropping-particle":"","parse-names":false,"suffix":""},{"dropping-particle":"","family":"Hudson","given":"Alan G.","non-dropping-particle":"","parse-names":false,"suffix":""},{"dropping-particle":"","family":"Kahilainen","given":"Kimmo K.","non-dropping-particle":"","parse-names":false,"suffix":""},{"dropping-particle":"","family":"Knudsen","given":"Rune","non-dropping-particle":"","parse-names":false,"suffix":""},{"dropping-particle":"","family":"Kristjánsson","given":"Bjarni K.","non-dropping-particle":"","parse-names":false,"suffix":""},{"dropping-particle":"","family":"Leblanc","given":"Camille A.L.","non-dropping-particle":"","parse-names":false,"suffix":""},{"dropping-particle":"","family":"Jónsson","given":"Zophonías","non-dropping-particle":"","parse-names":false,"suffix":""},{"dropping-particle":"","family":"Öhlund","given":"Gunnar","non-dropping-particle":"","parse-names":false,"suffix":""},{"dropping-particle":"","family":"Smith","given":"Carl","non-dropping-particle":"","parse-names":false,"suffix":""},{"dropping-particle":"","family":"Snorrason","given":"Sigurður S.","non-dropping-particle":"","parse-names":false,"suffix":""}],"container-title":"Biological Reviews","id":"ITEM-2","issue":"5","issued":{"date-parts":[["2019"]]},"page":"1786-1808","title":"A way forward with eco evo devo: an extended theory of resource polymorphism with postglacial fishes as model systems","type":"article-journal","volume":"94"},"uris":["http://www.mendeley.com/documents/?uuid=d943555e-43b3-4592-83ca-c56f24a7f70c"]}],"mendeley":{"formattedCitation":"(Skúlason and Smith, 1995; Skúlason et al., 2019)","plainTextFormattedCitation":"(Skúlason and Smith, 1995; Skúlason et al., 2019)","previouslyFormattedCitation":"(Skúlason and Smith, 1995; Skúlason et al., 2019)"},"properties":{"noteIndex":0},"schema":"https://github.com/citation-style-language/schema/raw/master/csl-citation.json"}</w:instrText>
      </w:r>
      <w:r w:rsidR="00EE56C3">
        <w:rPr>
          <w:rFonts w:cstheme="minorHAnsi"/>
          <w:lang w:val="en-US"/>
        </w:rPr>
        <w:fldChar w:fldCharType="separate"/>
      </w:r>
      <w:r w:rsidR="00C8169C" w:rsidRPr="00C8169C">
        <w:rPr>
          <w:rFonts w:cstheme="minorHAnsi"/>
          <w:noProof/>
          <w:lang w:val="en-US"/>
        </w:rPr>
        <w:t>(Skúlason and Smith, 1995; Skúlason et al., 2019)</w:t>
      </w:r>
      <w:r w:rsidR="00EE56C3">
        <w:rPr>
          <w:rFonts w:cstheme="minorHAnsi"/>
          <w:lang w:val="en-US"/>
        </w:rPr>
        <w:fldChar w:fldCharType="end"/>
      </w:r>
      <w:r w:rsidR="005E205D">
        <w:rPr>
          <w:rFonts w:cstheme="minorHAnsi"/>
          <w:lang w:val="en-US"/>
        </w:rPr>
        <w:t xml:space="preserve">. </w:t>
      </w:r>
      <w:r w:rsidR="002A4026">
        <w:rPr>
          <w:rFonts w:cstheme="minorHAnsi"/>
          <w:lang w:val="en-US"/>
        </w:rPr>
        <w:t>Including metabolic rates as part of this larger suite of traits is comparatively rare</w:t>
      </w:r>
      <w:r w:rsidR="00B71D92">
        <w:rPr>
          <w:rFonts w:cstheme="minorHAnsi"/>
          <w:lang w:val="en-US"/>
        </w:rPr>
        <w:t xml:space="preserve">, </w:t>
      </w:r>
      <w:r w:rsidR="00CA3FA2">
        <w:rPr>
          <w:rFonts w:cstheme="minorHAnsi"/>
          <w:lang w:val="en-US"/>
        </w:rPr>
        <w:t>even though</w:t>
      </w:r>
      <w:r w:rsidR="008A622D">
        <w:rPr>
          <w:rFonts w:cstheme="minorHAnsi"/>
          <w:lang w:val="en-US"/>
        </w:rPr>
        <w:t xml:space="preserve"> differences in metabolic rates could impact individual fitness as much as other aspects of the phenotype</w:t>
      </w:r>
      <w:r w:rsidR="00745E3E">
        <w:rPr>
          <w:rFonts w:cstheme="minorHAnsi"/>
          <w:lang w:val="en-US"/>
        </w:rPr>
        <w:t xml:space="preserve"> (but see </w:t>
      </w:r>
      <w:r w:rsidR="006D689A">
        <w:rPr>
          <w:rFonts w:cstheme="minorHAnsi"/>
          <w:lang w:val="en-US"/>
        </w:rPr>
        <w:fldChar w:fldCharType="begin" w:fldLock="1"/>
      </w:r>
      <w:r w:rsidR="000B6581">
        <w:rPr>
          <w:rFonts w:cstheme="minorHAnsi"/>
          <w:lang w:val="en-US"/>
        </w:rPr>
        <w:instrText>ADDIN CSL_CITATION {"citationItems":[{"id":"ITEM-1","itemData":{"DOI":"10.1111/j.1365-2435.2009.01636.x","author":[{"dropping-particle":"","family":"Rouleau","given":"Sébastien","non-dropping-particle":"","parse-names":false,"suffix":""},{"dropping-particle":"","family":"Glémet","given":"Hélène","non-dropping-particle":"","parse-names":false,"suffix":""},{"dropping-particle":"","family":"Magnan","given":"Pierre","non-dropping-particle":"","parse-names":false,"suffix":""}],"container-title":"Functional Ecology","id":"ITEM-1","issued":{"date-parts":[["2010"]]},"note":"littoral brook trout had lower SMR","page":"310-321","title":"Effects of morphology on swimming performance in wild and laboratory crosses of brook trout ecotypes","type":"article-journal","volume":"24"},"uris":["http://www.mendeley.com/documents/?uuid=6c5d5597-1b92-4bff-8885-b5b556f25b35"]}],"mendeley":{"formattedCitation":"(Rouleau et al., 2010)","manualFormatting":"Rouleau et al., (2010)","plainTextFormattedCitation":"(Rouleau et al., 2010)","previouslyFormattedCitation":"(Rouleau et al., 2010)"},"properties":{"noteIndex":0},"schema":"https://github.com/citation-style-language/schema/raw/master/csl-citation.json"}</w:instrText>
      </w:r>
      <w:r w:rsidR="006D689A">
        <w:rPr>
          <w:rFonts w:cstheme="minorHAnsi"/>
          <w:lang w:val="en-US"/>
        </w:rPr>
        <w:fldChar w:fldCharType="separate"/>
      </w:r>
      <w:r w:rsidR="006D689A" w:rsidRPr="006D689A">
        <w:rPr>
          <w:rFonts w:cstheme="minorHAnsi"/>
          <w:noProof/>
          <w:lang w:val="en-US"/>
        </w:rPr>
        <w:t xml:space="preserve">Rouleau et al., </w:t>
      </w:r>
      <w:r w:rsidR="006D689A">
        <w:rPr>
          <w:rFonts w:cstheme="minorHAnsi"/>
          <w:noProof/>
          <w:lang w:val="en-US"/>
        </w:rPr>
        <w:t>(</w:t>
      </w:r>
      <w:r w:rsidR="006D689A" w:rsidRPr="006D689A">
        <w:rPr>
          <w:rFonts w:cstheme="minorHAnsi"/>
          <w:noProof/>
          <w:lang w:val="en-US"/>
        </w:rPr>
        <w:t>2010)</w:t>
      </w:r>
      <w:r w:rsidR="006D689A">
        <w:rPr>
          <w:rFonts w:cstheme="minorHAnsi"/>
          <w:lang w:val="en-US"/>
        </w:rPr>
        <w:fldChar w:fldCharType="end"/>
      </w:r>
      <w:r w:rsidR="00745E3E" w:rsidRPr="003F070C">
        <w:rPr>
          <w:rFonts w:cstheme="minorHAnsi"/>
          <w:lang w:val="en-US"/>
        </w:rPr>
        <w:t xml:space="preserve"> and </w:t>
      </w:r>
      <w:r w:rsidR="00745E3E" w:rsidRPr="003F070C">
        <w:rPr>
          <w:rFonts w:cstheme="minorHAnsi"/>
          <w:lang w:val="en-US"/>
        </w:rPr>
        <w:fldChar w:fldCharType="begin" w:fldLock="1"/>
      </w:r>
      <w:r w:rsidR="000B6581">
        <w:rPr>
          <w:rFonts w:cstheme="minorHAnsi"/>
          <w:lang w:val="en-US"/>
        </w:rPr>
        <w:instrText>ADDIN CSL_CITATION {"citationItems":[{"id":"ITEM-1","itemData":{"DOI":"10.1002/ece3.5080","ISSN":"20457758","abstract":"Phenotypic polymorphisms often differ in multiple correlated traits including morphology, behavior, and physiology, all of which can affect performance. How selection acts on these suites of traits can be complex and difficult to discern. Starry flounder (Platichthys stellatus) is a pleuronectid flatfish that exhibits rare polymorphism for the direction of eye migration and resulting whole-body asymmetry. P. stellatus asymmetry morphs differ subtly in several anatomical traits, foraging behavior, and stable isotope signatures, suggesting they may be ecologically segregated, yet performance and metabolic differences are unknown. Here we tested the hypothesis that sinistral and dextral P. stellatus asymmetry morphs diverge in performance and routine metabolic rate (RMR) by comparing prolonged swimming endurance (time to exhaustion at a constant swimming speed), fast-start swimming velocity and acceleration, and rate of oxygen consumption. Based on subtle morphological differences in caudal tail size, we expected sinistral P. stellatus to have superior prolonged swimming endurance relative to dextral fish, but inferior fast-start performance. Sinistral P. stellatus exhibited both significantly greater prolonged swimming performance and fast-start swimming performance. However, sinistral P. stellatus also exhibited greater RMR, suggesting that their general swimming performance could be enhanced by an elevated metabolic rate. Divergence between P. stellatus asymmetry morphs in swimming performance and metabolic rates contributes to growing evidence of ecological segregation between them, as well as our understanding of possible ecological consequences of asymmetry direction in flatfishes. These data provide an example of the complexity of polymorphisms associated with multiple correlated traits in a rare case of asymmetry polymorphism in a marine flatfish species.","author":[{"dropping-particle":"","family":"Bergstrom","given":"Carolyn A.","non-dropping-particle":"","parse-names":false,"suffix":""},{"dropping-particle":"","family":"Alba","given":"Jo Marie","non-dropping-particle":"","parse-names":false,"suffix":""},{"dropping-particle":"","family":"Pacheco","given":"Julienne","non-dropping-particle":"","parse-names":false,"suffix":""},{"dropping-particle":"","family":"Fritz","given":"Trevor","non-dropping-particle":"","parse-names":false,"suffix":""},{"dropping-particle":"","family":"Tamone","given":"Sherry L.","non-dropping-particle":"","parse-names":false,"suffix":""}],"container-title":"Ecology and Evolution","id":"ITEM-1","issue":"8","issued":{"date-parts":[["2019"]]},"page":"4772-4782","title":"Polymorphism and multiple correlated characters: Do flatfish asymmetry morphs also differ in swimming performance and metabolic rate?","type":"article-journal","volume":"9"},"uris":["http://www.mendeley.com/documents/?uuid=2fe298cd-5292-4741-a41b-84102feb40bd"]}],"mendeley":{"formattedCitation":"(Bergstrom et al., 2019)","plainTextFormattedCitation":"(Bergstrom et al., 2019)","previouslyFormattedCitation":"(Bergstrom et al., 2019)"},"properties":{"noteIndex":0},"schema":"https://github.com/citation-style-language/schema/raw/master/csl-citation.json"}</w:instrText>
      </w:r>
      <w:r w:rsidR="00745E3E" w:rsidRPr="003F070C">
        <w:rPr>
          <w:rFonts w:cstheme="minorHAnsi"/>
          <w:lang w:val="en-US"/>
        </w:rPr>
        <w:fldChar w:fldCharType="separate"/>
      </w:r>
      <w:r w:rsidR="00C8169C" w:rsidRPr="00C8169C">
        <w:rPr>
          <w:rFonts w:cstheme="minorHAnsi"/>
          <w:noProof/>
          <w:lang w:val="en-US"/>
        </w:rPr>
        <w:t>(Bergstrom et al., 2019)</w:t>
      </w:r>
      <w:r w:rsidR="00745E3E" w:rsidRPr="003F070C">
        <w:rPr>
          <w:rFonts w:cstheme="minorHAnsi"/>
          <w:lang w:val="en-US"/>
        </w:rPr>
        <w:fldChar w:fldCharType="end"/>
      </w:r>
      <w:r w:rsidR="00745E3E" w:rsidRPr="003F070C">
        <w:rPr>
          <w:rFonts w:cstheme="minorHAnsi"/>
          <w:lang w:val="en-US"/>
        </w:rPr>
        <w:t>)</w:t>
      </w:r>
      <w:r w:rsidR="008A622D">
        <w:rPr>
          <w:rFonts w:cstheme="minorHAnsi"/>
          <w:lang w:val="en-US"/>
        </w:rPr>
        <w:t>.</w:t>
      </w:r>
      <w:r w:rsidR="00E97177">
        <w:rPr>
          <w:rFonts w:cstheme="minorHAnsi"/>
          <w:lang w:val="en-US"/>
        </w:rPr>
        <w:t xml:space="preserve"> </w:t>
      </w:r>
      <w:r w:rsidR="007754E6">
        <w:rPr>
          <w:rFonts w:cstheme="minorHAnsi"/>
          <w:lang w:val="en-US"/>
        </w:rPr>
        <w:t xml:space="preserve">Like morphological </w:t>
      </w:r>
      <w:r w:rsidR="005B242B">
        <w:rPr>
          <w:rFonts w:cstheme="minorHAnsi"/>
          <w:lang w:val="en-US"/>
        </w:rPr>
        <w:t>traits</w:t>
      </w:r>
      <w:r w:rsidR="007754E6">
        <w:rPr>
          <w:rFonts w:cstheme="minorHAnsi"/>
          <w:lang w:val="en-US"/>
        </w:rPr>
        <w:t>, specific metabolic phenotypes</w:t>
      </w:r>
      <w:r w:rsidR="00FA18BF">
        <w:rPr>
          <w:rFonts w:cstheme="minorHAnsi"/>
          <w:lang w:val="en-US"/>
        </w:rPr>
        <w:t xml:space="preserve"> can </w:t>
      </w:r>
      <w:r w:rsidR="001D0D8A">
        <w:rPr>
          <w:rFonts w:cstheme="minorHAnsi"/>
          <w:lang w:val="en-US"/>
        </w:rPr>
        <w:t xml:space="preserve">be related to </w:t>
      </w:r>
      <w:r w:rsidR="00FA18BF">
        <w:rPr>
          <w:rFonts w:cstheme="minorHAnsi"/>
          <w:lang w:val="en-US"/>
        </w:rPr>
        <w:t xml:space="preserve">genetic </w:t>
      </w:r>
      <w:r w:rsidR="001D0D8A">
        <w:rPr>
          <w:rFonts w:cstheme="minorHAnsi"/>
          <w:lang w:val="en-US"/>
        </w:rPr>
        <w:t>differences</w:t>
      </w:r>
      <w:r w:rsidR="00CA3FA2">
        <w:rPr>
          <w:rFonts w:cstheme="minorHAnsi"/>
          <w:lang w:val="en-US"/>
        </w:rPr>
        <w:t>,</w:t>
      </w:r>
      <w:r w:rsidR="001D0D8A">
        <w:rPr>
          <w:rFonts w:cstheme="minorHAnsi"/>
          <w:lang w:val="en-US"/>
        </w:rPr>
        <w:t xml:space="preserve"> </w:t>
      </w:r>
      <w:r w:rsidR="00FA18BF">
        <w:rPr>
          <w:rFonts w:cstheme="minorHAnsi"/>
          <w:lang w:val="en-US"/>
        </w:rPr>
        <w:t xml:space="preserve">but also display a degree of </w:t>
      </w:r>
      <w:r w:rsidR="00CA3FA2">
        <w:rPr>
          <w:rFonts w:cstheme="minorHAnsi"/>
          <w:lang w:val="en-US"/>
        </w:rPr>
        <w:t>plasticity</w:t>
      </w:r>
      <w:r w:rsidR="00FA18BF">
        <w:rPr>
          <w:rFonts w:cstheme="minorHAnsi"/>
          <w:lang w:val="en-US"/>
        </w:rPr>
        <w:t xml:space="preserve"> </w:t>
      </w:r>
      <w:r w:rsidR="001D0D8A">
        <w:rPr>
          <w:rFonts w:cstheme="minorHAnsi"/>
          <w:lang w:val="en-US"/>
        </w:rPr>
        <w:t>that</w:t>
      </w:r>
      <w:r w:rsidR="00FA18BF">
        <w:rPr>
          <w:rFonts w:cstheme="minorHAnsi"/>
          <w:lang w:val="en-US"/>
        </w:rPr>
        <w:t xml:space="preserve"> </w:t>
      </w:r>
      <w:r w:rsidR="007754E6">
        <w:rPr>
          <w:rFonts w:cstheme="minorHAnsi"/>
          <w:lang w:val="en-US"/>
        </w:rPr>
        <w:t>help</w:t>
      </w:r>
      <w:r w:rsidR="000D5827">
        <w:rPr>
          <w:rFonts w:cstheme="minorHAnsi"/>
          <w:lang w:val="en-US"/>
        </w:rPr>
        <w:t>s</w:t>
      </w:r>
      <w:r w:rsidR="007754E6">
        <w:rPr>
          <w:rFonts w:cstheme="minorHAnsi"/>
          <w:lang w:val="en-US"/>
        </w:rPr>
        <w:t xml:space="preserve"> individuals persist under </w:t>
      </w:r>
      <w:r w:rsidR="001D0D8A">
        <w:rPr>
          <w:rFonts w:cstheme="minorHAnsi"/>
          <w:lang w:val="en-US"/>
        </w:rPr>
        <w:t xml:space="preserve">variable </w:t>
      </w:r>
      <w:r w:rsidR="007754E6">
        <w:rPr>
          <w:rFonts w:cstheme="minorHAnsi"/>
          <w:lang w:val="en-US"/>
        </w:rPr>
        <w:t>conditions</w:t>
      </w:r>
      <w:r w:rsidR="00FA18BF">
        <w:rPr>
          <w:rFonts w:cstheme="minorHAnsi"/>
          <w:lang w:val="en-US"/>
        </w:rPr>
        <w:t xml:space="preserve"> </w:t>
      </w:r>
      <w:r w:rsidR="00FA18BF" w:rsidRPr="00893298">
        <w:rPr>
          <w:rFonts w:cstheme="minorHAnsi"/>
          <w:lang w:val="en-US"/>
        </w:rPr>
        <w:fldChar w:fldCharType="begin" w:fldLock="1"/>
      </w:r>
      <w:r w:rsidR="000B6581" w:rsidRPr="00893298">
        <w:rPr>
          <w:rFonts w:cstheme="minorHAnsi"/>
          <w:lang w:val="en-US"/>
        </w:rPr>
        <w:instrText>ADDIN CSL_CITATION {"citationItems":[{"id":"ITEM-1","itemData":{"DOI":"10.1098/rstb.2018.0180","ISBN":"0000000343237","ISSN":"14712970","abstract":"Basal or standard metabolic rate reflects the minimum amount of energy required to maintain body processes, while the maximum metabolic rate sets the ceiling for aerobic work. There is typically up to three-fold intraspecific variation in both minimal and maximal rates of metabolism, even after controlling for size, sex and age; these differences are consistent over time within a given context, but both minimal and maximal metabolic rates are plastic and can vary in response to changing environments. Here we explore the causes of intraspecific and phenotypic variation at the organ, tissue and mitochondrial levels. We highlight the growing evidence that individuals differ predictably in the flexibility of their metabolic rates and in the extent to which they can suppress minimal metabolism when food is limiting but increase the capacity for aerobic metabolism when a high work rate is beneficial. It is unclear why this intraspecific variation in metabolic flexibility persists—possibly because of trade-offs with the flexibility of other traits—but it has consequences for the ability of populations to respond to a changing world. It is clear that metabolic rates are targets of selection, but more research is needed on the fitness consequences of rates of metabolism and their plasticity at different life stages, especially in natural conditions.","author":[{"dropping-particle":"","family":"Norin","given":"Tommy","non-dropping-particle":"","parse-names":false,"suffix":""},{"dropping-particle":"","family":"Metcalfe","given":"Neil B.","non-dropping-particle":"","parse-names":false,"suffix":""}],"container-title":"Philosophical Transactions of the Royal Society B: Biological Sciences","id":"ITEM-1","issue":"1768","issued":{"date-parts":[["2019"]]},"page":"1-9","title":"Ecological and evolutionary consequences of metabolic rate plasticity in response to environmental change","type":"article-journal","volume":"374"},"uris":["http://www.mendeley.com/documents/?uuid=c2890416-6f95-4fe5-abf1-7556f23f3ad6"]},{"id":"ITEM-2","itemData":{"ISSN":"15220613 (ISSN)","author":[{"dropping-particle":"","family":"Svanbäck","given":"Richard","non-dropping-particle":"","parse-names":false,"suffix":""},{"dropping-particle":"","family":"Eklöv","given":"Peter","non-dropping-particle":"","parse-names":false,"suffix":""}],"container-title":"Evolutionary Ecology Research","id":"ITEM-2","issue":"1","issued":{"date-parts":[["2006"]]},"language":"eng","note":"2018-06-09T13:23:35.704+02:00","page":"37-49","publisher-place":"Ecology and Environmental Science, Faculty of Science and Technology, Umeå University","title":"Genetic variation and phenotypic plasticity: Causes of morphological and dietary variation in Eurasian perch","type":"article-journal","volume":"8"},"uris":["http://www.mendeley.com/documents/?uuid=ca679784-34fb-4fab-90e1-107ade396deb"]}],"mendeley":{"formattedCitation":"(Svanbäck and Eklöv, 2006; Norin and Metcalfe, 2019)","plainTextFormattedCitation":"(Svanbäck and Eklöv, 2006; Norin and Metcalfe, 2019)","previouslyFormattedCitation":"(Svanbäck and Eklöv, 2006; Norin and Metcalfe, 2019)"},"properties":{"noteIndex":0},"schema":"https://github.com/citation-style-language/schema/raw/master/csl-citation.json"}</w:instrText>
      </w:r>
      <w:r w:rsidR="00FA18BF" w:rsidRPr="00893298">
        <w:rPr>
          <w:rFonts w:cstheme="minorHAnsi"/>
          <w:lang w:val="en-US"/>
        </w:rPr>
        <w:fldChar w:fldCharType="separate"/>
      </w:r>
      <w:r w:rsidR="00C8169C" w:rsidRPr="00893298">
        <w:rPr>
          <w:rFonts w:cstheme="minorHAnsi"/>
          <w:noProof/>
          <w:lang w:val="en-US"/>
        </w:rPr>
        <w:t>(Svanbäck and Eklöv, 2006; Norin and Metcalfe, 2019)</w:t>
      </w:r>
      <w:r w:rsidR="00FA18BF" w:rsidRPr="00893298">
        <w:rPr>
          <w:rFonts w:cstheme="minorHAnsi"/>
          <w:lang w:val="en-US"/>
        </w:rPr>
        <w:fldChar w:fldCharType="end"/>
      </w:r>
      <w:r w:rsidR="007754E6" w:rsidRPr="00893298">
        <w:rPr>
          <w:rFonts w:cstheme="minorHAnsi"/>
          <w:lang w:val="en-US"/>
        </w:rPr>
        <w:t xml:space="preserve">. </w:t>
      </w:r>
      <w:r w:rsidR="002A4026" w:rsidRPr="00893298">
        <w:rPr>
          <w:rFonts w:cstheme="minorHAnsi"/>
          <w:lang w:val="en-US"/>
        </w:rPr>
        <w:t xml:space="preserve">In intraspecific </w:t>
      </w:r>
      <w:r w:rsidR="004F5CBA">
        <w:rPr>
          <w:rFonts w:cstheme="minorHAnsi"/>
          <w:lang w:val="en-US"/>
        </w:rPr>
        <w:t>comparisons</w:t>
      </w:r>
      <w:r w:rsidR="00745E3E" w:rsidRPr="00893298">
        <w:rPr>
          <w:rFonts w:cstheme="minorHAnsi"/>
          <w:lang w:val="en-US"/>
        </w:rPr>
        <w:t>,</w:t>
      </w:r>
      <w:r w:rsidR="002A4026" w:rsidRPr="00893298">
        <w:rPr>
          <w:rFonts w:cstheme="minorHAnsi"/>
          <w:lang w:val="en-US"/>
        </w:rPr>
        <w:t xml:space="preserve"> h</w:t>
      </w:r>
      <w:r w:rsidR="007754E6" w:rsidRPr="00893298">
        <w:rPr>
          <w:rFonts w:cstheme="minorHAnsi"/>
          <w:lang w:val="en-US"/>
        </w:rPr>
        <w:t xml:space="preserve">igh metabolic rates have proved </w:t>
      </w:r>
      <w:r w:rsidR="00A74306" w:rsidRPr="00893298">
        <w:rPr>
          <w:rFonts w:cstheme="minorHAnsi"/>
          <w:lang w:val="en-US"/>
        </w:rPr>
        <w:t>beneficial</w:t>
      </w:r>
      <w:r w:rsidR="007754E6" w:rsidRPr="00893298">
        <w:rPr>
          <w:rFonts w:cstheme="minorHAnsi"/>
          <w:lang w:val="en-US"/>
        </w:rPr>
        <w:t xml:space="preserve"> for </w:t>
      </w:r>
      <w:r w:rsidR="00893298" w:rsidRPr="00893298">
        <w:rPr>
          <w:rFonts w:cstheme="minorHAnsi"/>
          <w:lang w:val="en-US"/>
        </w:rPr>
        <w:t>active animals</w:t>
      </w:r>
      <w:r w:rsidR="007754E6" w:rsidRPr="00893298">
        <w:rPr>
          <w:rFonts w:cstheme="minorHAnsi"/>
          <w:lang w:val="en-US"/>
        </w:rPr>
        <w:t xml:space="preserve"> living in </w:t>
      </w:r>
      <w:r w:rsidR="00745E3E" w:rsidRPr="00893298">
        <w:rPr>
          <w:rFonts w:cstheme="minorHAnsi"/>
          <w:lang w:val="en-US"/>
        </w:rPr>
        <w:t xml:space="preserve">structurally simple habitats </w:t>
      </w:r>
      <w:r w:rsidR="005B77E1" w:rsidRPr="00893298">
        <w:rPr>
          <w:rFonts w:cstheme="minorHAnsi"/>
          <w:lang w:val="en-US"/>
        </w:rPr>
        <w:fldChar w:fldCharType="begin" w:fldLock="1"/>
      </w:r>
      <w:r w:rsidR="001D77A3">
        <w:rPr>
          <w:rFonts w:cstheme="minorHAnsi"/>
          <w:lang w:val="en-US"/>
        </w:rPr>
        <w:instrText>ADDIN CSL_CITATION {"citationItems":[{"id":"ITEM-1","itemData":{"DOI":"10.1111/j.1365-2656.2012.01969.x","ISBN":"00218790","ISSN":"00218790","PMID":"22360515","abstract":"1. Basal levels of metabolism vary significantly among individuals in many taxa, but the effects of this on fitness are generally unknown. Resting metabolic rate (RMR) in juvenile salmon and trout is positively related to dominance status and ability to obtain a feeding territory, but it is not clear how this translates into performance in natural conditions.\\r\\n\\r\\n&lt;p/&gt;2. The relationships between RMR, dominance, territoriality and growth rates of yearling Atlantic salmon Salmo salar were examined in relation to predictability in food supply and habitat complexity, using replicate sections of a large-scale controlled semi-natural stream.\\r\\n\\r\\n&lt;p/&gt;3. Estimated RMR was a strong predictor of dominance, and under conditions of a predictable food supply in a structurally simple habitat, high estimated RMR fish obtained the best feeding territories and grew faster.\\r\\n\\r\\n&lt;p/&gt;4. When the spatial distribution of food was made less predictable, dominant (high estimated RMR) fish were still able to occupy the most profitable feeding locations by periodically moving location to track the changes in food availability, but RMR was no longer a predictor of growth rate. Moreover, when a less predictable food supply was combined with a visually more complex (and realistic) habitat, fish were unable to track changes in food availability, grew more slowly and exhibited greater site fidelity, and there were no relationships between estimated RMR and quality of occupied territory or growth rate.\\r\\n\\r\\n&lt;p/&gt;5. The relative benefit of RMR is thus context dependent, depending on both habitat complexity and the predictability of the food supply. Higher habitat complexity and lower food predictability decrease the performance advantages associated with a high RMR.","author":[{"dropping-particle":"","family":"Reid","given":"Donald","non-dropping-particle":"","parse-names":false,"suffix":""},{"dropping-particle":"","family":"Armstrong","given":"John D.","non-dropping-particle":"","parse-names":false,"suffix":""},{"dropping-particle":"","family":"Metcalfe","given":"Neil B.","non-dropping-particle":"","parse-names":false,"suffix":""}],"container-title":"Journal of Animal Ecology","id":"ITEM-1","issue":"4","issued":{"date-parts":[["2012"]]},"page":"868-875","title":"The performance advantage of a high resting metabolic rate in juvenile salmon is habitat dependent","type":"article-journal","volume":"81"},"uris":["http://www.mendeley.com/documents/?uuid=669a5361-f954-41dc-98b4-6762951b1565"]},{"id":"ITEM-2","itemData":{"DOI":"10.1098/rstb.2007.2101","ISBN":"0962-8436","ISSN":"0962-8436","PMID":"17510016","abstract":"The rates of metabolism in animals vary tremendously throughout the biosphere. The origins of this variation are a matter of active debate with some scientists highlighting the importance of anatomical or environmental constraints, while others emphasize the diversity of ecological roles that organisms play and the associated energy demands. Here, we analyse metabolic rates in diverse marine taxa, with special emphasis on patterns of metabolic rate across a depth gradient, in an effort to understand the extent and underlying causes of variation. The conclusion from this analysis is that low rates of metabolism, in the deep sea and elsewhere, do not result from resource (e.g. food or oxygen) limitation or from temperature or pressure constraint. While metabolic rates do decline strongly with depth in several important animal groups, for others metabolism in abyssal species proceeds as fast as in ecologically similar shallow-water species at equivalent temperatures. Rather, high metabolic demand follows strong selection for locomotory capacity among visual predators inhabiting well-lit oceanic waters. Relaxation of this selection where visual predation is limited provides an opportunity for reduced energy expenditure. Large-scale metabolic variation in the ocean results from interspecific differences in ecological energy demand.","author":[{"dropping-particle":"","family":"Seibel","given":"B. A","non-dropping-particle":"","parse-names":false,"suffix":""},{"dropping-particle":"","family":"Drazen","given":"J. C","non-dropping-particle":"","parse-names":false,"suffix":""}],"container-title":"Philosophical Transactions of the Royal Society B: Biological Sciences","id":"ITEM-2","issue":"1487","issued":{"date-parts":[["2007"]]},"page":"2061-2078","title":"The rate of metabolism in marine animals: environmental constraints, ecological demands and energetic opportunities","type":"article-journal","volume":"362"},"uris":["http://www.mendeley.com/documents/?uuid=f6aa7253-9a45-4a65-ab1c-8116d69f69c3"]}],"mendeley":{"formattedCitation":"(Seibel and Drazen, 2007; Reid et al., 2012)","plainTextFormattedCitation":"(Seibel and Drazen, 2007; Reid et al., 2012)","previouslyFormattedCitation":"(Seibel and Drazen, 2007; Reid et al., 2012)"},"properties":{"noteIndex":0},"schema":"https://github.com/citation-style-language/schema/raw/master/csl-citation.json"}</w:instrText>
      </w:r>
      <w:r w:rsidR="005B77E1" w:rsidRPr="00893298">
        <w:rPr>
          <w:rFonts w:cstheme="minorHAnsi"/>
          <w:lang w:val="en-US"/>
        </w:rPr>
        <w:fldChar w:fldCharType="separate"/>
      </w:r>
      <w:r w:rsidR="00893298" w:rsidRPr="00893298">
        <w:rPr>
          <w:rFonts w:cstheme="minorHAnsi"/>
          <w:noProof/>
          <w:lang w:val="en-US"/>
        </w:rPr>
        <w:t>(Seibel and Drazen, 2007; Reid et al., 2012)</w:t>
      </w:r>
      <w:r w:rsidR="005B77E1" w:rsidRPr="00893298">
        <w:rPr>
          <w:rFonts w:cstheme="minorHAnsi"/>
          <w:lang w:val="en-US"/>
        </w:rPr>
        <w:fldChar w:fldCharType="end"/>
      </w:r>
      <w:r w:rsidR="00745E3E" w:rsidRPr="00893298">
        <w:rPr>
          <w:rFonts w:cstheme="minorHAnsi"/>
          <w:lang w:val="en-US"/>
        </w:rPr>
        <w:t xml:space="preserve"> and high</w:t>
      </w:r>
      <w:r w:rsidR="007754E6" w:rsidRPr="00893298">
        <w:rPr>
          <w:rFonts w:cstheme="minorHAnsi"/>
          <w:lang w:val="en-US"/>
        </w:rPr>
        <w:t xml:space="preserve"> predation</w:t>
      </w:r>
      <w:r w:rsidR="00745E3E" w:rsidRPr="00893298">
        <w:rPr>
          <w:rFonts w:cstheme="minorHAnsi"/>
          <w:lang w:val="en-US"/>
        </w:rPr>
        <w:t xml:space="preserve"> environments</w:t>
      </w:r>
      <w:r w:rsidR="007754E6" w:rsidRPr="00893298">
        <w:rPr>
          <w:rFonts w:cstheme="minorHAnsi"/>
          <w:lang w:val="en-US"/>
        </w:rPr>
        <w:t xml:space="preserve"> </w:t>
      </w:r>
      <w:r w:rsidR="00A74306" w:rsidRPr="00893298">
        <w:rPr>
          <w:rFonts w:cstheme="minorHAnsi"/>
          <w:lang w:val="en-US"/>
        </w:rPr>
        <w:fldChar w:fldCharType="begin" w:fldLock="1"/>
      </w:r>
      <w:r w:rsidR="000B6581" w:rsidRPr="00893298">
        <w:rPr>
          <w:rFonts w:cstheme="minorHAnsi"/>
          <w:lang w:val="en-US"/>
        </w:rPr>
        <w:instrText>ADDIN CSL_CITATION {"citationItems":[{"id":"ITEM-1","itemData":{"DOI":"10.1038/s41467-017-02514-z","ISSN":"20411723","abstract":"Metabolic rates and life history strategies are both thought to set the “pace of life”, but whether they evolve in tandem is not well understood. Here, using a common garden experiment that compares replicate paired populations, we show that Trinidadian guppy (Poecilia reticulata) populations that evolved a fast-paced life history in high-predation environments have consistently higher metabolic rates than guppies that evolved a slow-paced life history in low-predation environments. Furthermore, by transplanting guppies from high- to low-predation environments, we show that metabolic rate evolves in parallel with the pace of life history, at a rapid rate, and in the same direction as found for naturally occurring populations. Together, these multiple lines of inference provide evidence for a tight evolutionary coupling between metabolism and the pace of life history.","author":[{"dropping-particle":"","family":"Auer","given":"Sonya K.","non-dropping-particle":"","parse-names":false,"suffix":""},{"dropping-particle":"","family":"Dick","given":"Cynthia A.","non-dropping-particle":"","parse-names":false,"suffix":""},{"dropping-particle":"","family":"Metcalfe","given":"Neil B.","non-dropping-particle":"","parse-names":false,"suffix":""},{"dropping-particle":"","family":"Reznick","given":"David N.","non-dropping-particle":"","parse-names":false,"suffix":""}],"container-title":"Nature Communications","id":"ITEM-1","issue":"1","issued":{"date-parts":[["2018"]]},"page":"8-13","publisher":"Springer US","title":"Metabolic rate evolves rapidly and in parallel with the pace of life history","type":"article-journal","volume":"9"},"uris":["http://www.mendeley.com/documents/?uuid=a414f350-716e-423c-9d06-89ad368b0b68"]}],"mendeley":{"formattedCitation":"(Auer et al., 2018)","plainTextFormattedCitation":"(Auer et al., 2018)","previouslyFormattedCitation":"(Auer et al., 2018)"},"properties":{"noteIndex":0},"schema":"https://github.com/citation-style-language/schema/raw/master/csl-citation.json"}</w:instrText>
      </w:r>
      <w:r w:rsidR="00A74306" w:rsidRPr="00893298">
        <w:rPr>
          <w:rFonts w:cstheme="minorHAnsi"/>
          <w:lang w:val="en-US"/>
        </w:rPr>
        <w:fldChar w:fldCharType="separate"/>
      </w:r>
      <w:r w:rsidR="00C8169C" w:rsidRPr="00893298">
        <w:rPr>
          <w:rFonts w:cstheme="minorHAnsi"/>
          <w:noProof/>
          <w:lang w:val="en-US"/>
        </w:rPr>
        <w:t>(Auer et al., 2018)</w:t>
      </w:r>
      <w:r w:rsidR="00A74306" w:rsidRPr="00893298">
        <w:rPr>
          <w:rFonts w:cstheme="minorHAnsi"/>
          <w:lang w:val="en-US"/>
        </w:rPr>
        <w:fldChar w:fldCharType="end"/>
      </w:r>
      <w:r w:rsidR="00745E3E" w:rsidRPr="00893298">
        <w:rPr>
          <w:rFonts w:cstheme="minorHAnsi"/>
          <w:lang w:val="en-US"/>
        </w:rPr>
        <w:t>.</w:t>
      </w:r>
      <w:r w:rsidR="00745E3E">
        <w:rPr>
          <w:rFonts w:cstheme="minorHAnsi"/>
          <w:lang w:val="en-US"/>
        </w:rPr>
        <w:t xml:space="preserve"> These </w:t>
      </w:r>
      <w:r w:rsidR="00FD79CB">
        <w:rPr>
          <w:rFonts w:cstheme="minorHAnsi"/>
          <w:lang w:val="en-US"/>
        </w:rPr>
        <w:t>environments</w:t>
      </w:r>
      <w:r w:rsidR="00745E3E">
        <w:rPr>
          <w:rFonts w:cstheme="minorHAnsi"/>
          <w:lang w:val="en-US"/>
        </w:rPr>
        <w:t xml:space="preserve"> also elicit changes in morphology</w:t>
      </w:r>
      <w:r w:rsidR="00FD79CB">
        <w:rPr>
          <w:rFonts w:cstheme="minorHAnsi"/>
          <w:lang w:val="en-US"/>
        </w:rPr>
        <w:t xml:space="preserve"> and</w:t>
      </w:r>
      <w:r w:rsidR="00745E3E">
        <w:rPr>
          <w:rFonts w:cstheme="minorHAnsi"/>
          <w:lang w:val="en-US"/>
        </w:rPr>
        <w:t xml:space="preserve"> activity and correspond with differences in diet</w:t>
      </w:r>
      <w:r w:rsidR="00FA18BF">
        <w:rPr>
          <w:rFonts w:cstheme="minorHAnsi"/>
          <w:lang w:val="en-US"/>
        </w:rPr>
        <w:t xml:space="preserve">, suggesting that </w:t>
      </w:r>
      <w:r w:rsidR="004F5CBA">
        <w:rPr>
          <w:rFonts w:cstheme="minorHAnsi"/>
          <w:lang w:val="en-US"/>
        </w:rPr>
        <w:t xml:space="preserve">some of the same drivers may cause the </w:t>
      </w:r>
      <w:r w:rsidR="00FA18BF">
        <w:rPr>
          <w:rFonts w:cstheme="minorHAnsi"/>
          <w:lang w:val="en-US"/>
        </w:rPr>
        <w:t>differences in metabolic</w:t>
      </w:r>
      <w:r w:rsidR="008D51A3">
        <w:rPr>
          <w:rFonts w:cstheme="minorHAnsi"/>
          <w:lang w:val="en-US"/>
        </w:rPr>
        <w:t xml:space="preserve"> rate</w:t>
      </w:r>
      <w:r w:rsidR="00F73C31">
        <w:rPr>
          <w:rFonts w:cstheme="minorHAnsi"/>
          <w:lang w:val="en-US"/>
        </w:rPr>
        <w:t>s</w:t>
      </w:r>
      <w:r w:rsidR="00FA18BF">
        <w:rPr>
          <w:rFonts w:cstheme="minorHAnsi"/>
          <w:lang w:val="en-US"/>
        </w:rPr>
        <w:t xml:space="preserve"> </w:t>
      </w:r>
      <w:r w:rsidR="00FA18BF">
        <w:rPr>
          <w:rFonts w:cstheme="minorHAnsi"/>
          <w:lang w:val="en-US"/>
        </w:rPr>
        <w:fldChar w:fldCharType="begin" w:fldLock="1"/>
      </w:r>
      <w:r w:rsidR="000B6581">
        <w:rPr>
          <w:rFonts w:cstheme="minorHAnsi"/>
          <w:lang w:val="en-US"/>
        </w:rPr>
        <w:instrText>ADDIN CSL_CITATION {"citationItems":[{"id":"ITEM-1","itemData":{"ISSN":"15220613 (ISSN)","abstract":"Questions: Do both habitat structure and feeding mode contribute to morphological divergence within fish populations? To what extent may an induced morphology be reversed? Organism: Young-of-the-year Eurasian perch (Perca fluviatilis L.). Methods: An aquarium experiment with a 2 × 2 factorial design (two levels of habitat structure and two levels of feeding mode). The habitat structure and feeding mode were reversed for perch in two habitat treatments midway through the experiment. Results: Both habitat structure and feeding mode contributed to morphological divergence (40.7% and 4.9% of the total variation respectively), which suggests that both habitat complexity and prey type diversity influence morphological adaptations in this fish species. Perch morphology is highly plastic and can be reversed in as short a time as 4 weeks.","author":[{"dropping-particle":"","family":"Olsson","given":"Jens","non-dropping-particle":"","parse-names":false,"suffix":""},{"dropping-particle":"","family":"Eklöv","given":"Peter","non-dropping-particle":"","parse-names":false,"suffix":""}],"container-title":"Evolutionary Ecology Research","id":"ITEM-1","issue":"8","issued":{"date-parts":[["2005"]]},"language":"eng","note":"2017-12-14T11:50:33.292+01:00","page":"1109-1123","publisher-place":"Limnology, Department of Ecology and Evolution, Biology, Disciplinary Domain of Science and Technology, Uppsala University","title":"Habitat structure, feeding mode and morphological reversibility: factors influencing phenotypic plasticity in perch","type":"article-journal","volume":"7"},"uris":["http://www.mendeley.com/documents/?uuid=856df8fa-37be-49da-b368-393adb8301c5"]}],"mendeley":{"formattedCitation":"(Olsson and Eklöv, 2005)","plainTextFormattedCitation":"(Olsson and Eklöv, 2005)","previouslyFormattedCitation":"(Olsson and Eklöv, 2005)"},"properties":{"noteIndex":0},"schema":"https://github.com/citation-style-language/schema/raw/master/csl-citation.json"}</w:instrText>
      </w:r>
      <w:r w:rsidR="00FA18BF">
        <w:rPr>
          <w:rFonts w:cstheme="minorHAnsi"/>
          <w:lang w:val="en-US"/>
        </w:rPr>
        <w:fldChar w:fldCharType="separate"/>
      </w:r>
      <w:r w:rsidR="00C8169C" w:rsidRPr="00C8169C">
        <w:rPr>
          <w:rFonts w:cstheme="minorHAnsi"/>
          <w:noProof/>
          <w:lang w:val="en-US"/>
        </w:rPr>
        <w:t>(Olsson and Eklöv, 2005)</w:t>
      </w:r>
      <w:r w:rsidR="00FA18BF">
        <w:rPr>
          <w:rFonts w:cstheme="minorHAnsi"/>
          <w:lang w:val="en-US"/>
        </w:rPr>
        <w:fldChar w:fldCharType="end"/>
      </w:r>
      <w:r w:rsidR="00FA18BF">
        <w:rPr>
          <w:rFonts w:cstheme="minorHAnsi"/>
          <w:lang w:val="en-US"/>
        </w:rPr>
        <w:t xml:space="preserve">. </w:t>
      </w:r>
      <w:r w:rsidR="003B4399">
        <w:rPr>
          <w:rFonts w:cstheme="minorHAnsi"/>
          <w:lang w:val="en-US"/>
        </w:rPr>
        <w:t>Metabolic rates can also differ between sexes</w:t>
      </w:r>
      <w:r w:rsidR="00C8169C">
        <w:rPr>
          <w:rFonts w:cstheme="minorHAnsi"/>
          <w:lang w:val="en-US"/>
        </w:rPr>
        <w:t xml:space="preserve"> </w:t>
      </w:r>
      <w:r w:rsidR="00C8169C">
        <w:rPr>
          <w:rFonts w:cstheme="minorHAnsi"/>
          <w:lang w:val="en-US"/>
        </w:rPr>
        <w:fldChar w:fldCharType="begin" w:fldLock="1"/>
      </w:r>
      <w:r w:rsidR="000B6581">
        <w:rPr>
          <w:rFonts w:cstheme="minorHAnsi"/>
          <w:lang w:val="en-US"/>
        </w:rPr>
        <w:instrText>ADDIN CSL_CITATION {"citationItems":[{"id":"ITEM-1","itemData":{"DOI":"10.1111/j.1467-2979.2011.00414.x","ISSN":"14672960","abstract":"Polychlorinated biphenyls (PCBs) accumulate in fish primarily via food intake, and therefore, PCBs serve as a chemical tracer for food consumption. Sex differences in PCB concentrations of fish have been attributed to the following three mechanisms: (i) females losing a substantial portion of their PCB body burden during spawning and consequently their PCB concentration is considerably reduced immediately after spawning; (ii) sex differences in habitat utilization leading to sex differences in the PCB concentrations of the prey; and (iii) sex differences in gross growth efficiency, which is defined as growth divided by the amount of food consumption needed to achieve that growth. Based on my analyses and synthesis, mechanisms (i) and (ii) operate in relatively few fish populations, but can lead to mature males having PCB concentrations two to three times higher than mature female PCB concentrations. In contrast, mechanism (iii) operates in all fish populations, but typically, mechanism (iii) results in relatively modest sex differences, with mature males only between 15 and 35% higher in PCB concentration than mature females. In summary, the study of sex differences in PCB concentrations of fish has led to insights into fish behaviour and fish physiology. © Published 2011. This article is a US Government work and is in the public domain in the USA.","author":[{"dropping-particle":"","family":"Madenjian","given":"Charles P.","non-dropping-particle":"","parse-names":false,"suffix":""}],"container-title":"Fish and Fisheries","id":"ITEM-1","issue":"4","issued":{"date-parts":[["2011"]]},"page":"451-460","title":"Sex effect on polychlorinated biphenyl concentrations in fish: A synthesis","type":"article-journal","volume":"12"},"uris":["http://www.mendeley.com/documents/?uuid=680394b1-bc46-4e9a-8ca6-06ddc7b8cec2"]},{"id":"ITEM-2","itemData":{"DOI":"10.1007/s00360-016-1046-5","ISSN":"0174-1578","PMID":"27803974","abstract":"Physiology may limit the ability for marine mammals to adapt to changing environments. Depth and duration of foraging dives are a function of total available oxygen stores, which theoretically increase as animals grow, and metabolic costs. To evaluate how physiology may influence the travelling costs for seals to foraging patches in the wild, we measured metabolic rates of a cross-section of New Zealand fur seals, Australian fur seals and Australian sea lions representing different foraging strategies, development stages, sexes and sizes. We report values for standard metabolic rate, active metabolic rate (obtained from submerged swimming), along with estimates of cost of transport (COT), measured via respirometry. We found a decline in mass-specific metabolic rate with increased duration of submerged swimming. For most seals mass-specific metabolic rate increased with speed and for all seals mass-specific COT decreased with speed. Mass-specific metabolic rate was higher for subadult than adult fur seals and sea lions, corresponding to an overall higher minimum COT. Some sex differences were also apparent, such that female Australian fur seals and Australian sea lions had higher mass-specific metabolic rates than males. There were no species differences in standard or active metabolic rates for adult males or females. The seals in our study appear to operate at their physiological optimum during submerged swimming. However, the higher metabolic rates of young and female fur seals and sea lions may limit their scope for increasing foraging effort during times of resource limitation.","author":[{"dropping-particle":"","family":"Ladds","given":"Monique A.","non-dropping-particle":"","parse-names":false,"suffix":""},{"dropping-particle":"","family":"Slip","given":"David J.","non-dropping-particle":"","parse-names":false,"suffix":""},{"dropping-particle":"","family":"Harcourt","given":"Robert G.","non-dropping-particle":"","parse-names":false,"suffix":""}],"container-title":"Journal of Comparative Physiology B","id":"ITEM-2","issue":"3","issued":{"date-parts":[["2017","4","1"]]},"page":"503-516","publisher":"Springer Berlin Heidelberg","title":"Swimming metabolic rates vary by sex and development stage, but not by species, in three species of Australian otariid seals","type":"article-journal","volume":"187"},"uris":["http://www.mendeley.com/documents/?uuid=2199f1a0-0908-484b-aee9-a7926cb3375e"]},{"id":"ITEM-3","itemData":{"DOI":"10.1111/jzo.12820","ISSN":"14697998","abstract":"The energetic costs of body maintenance can have a profound influence on the energy that an individual can allocate to other functions such as growth, locomotion, or reproduction. Therefore, resting metabolism can ultimately affect an individual's survival or reproductive success, especially when food is limited. Although males and females often differ in their body composition (e.g. sex organs and fat accumulation) and body size, the occurrence and direction of sexual dimorphism in resting metabolism remains poorly understood in anurans. In the present study, we investigated whether males and females of the false Fraser's clawed frog Xenopus allofraseri differ in their resting metabolic rates. We used an open-flow push-through respirometry system to measure the volume of carbon dioxide (VCO2) produced by animals at rest. Variation in (Formula presented.) was explained by ambient temperature, body size, and sex. For a similar body size, our results revealed that females had about a 50% higher resting metabolic rate (RMR) than males. We suggest that the enhanced investment in gamete production in females compared to males may explain this difference. We further suggest that a lower RMR in males compared to females at similar body size could be selectively advantageous as unallocated energy may be devoted to costly mating, in support of the ‘compensation’ hypothesis.","author":[{"dropping-particle":"","family":"Ducret","given":"V.","non-dropping-particle":"","parse-names":false,"suffix":""},{"dropping-particle":"","family":"Videlier","given":"M.","non-dropping-particle":"","parse-names":false,"suffix":""},{"dropping-particle":"","family":"Moureaux","given":"C.","non-dropping-particle":"","parse-names":false,"suffix":""},{"dropping-particle":"","family":"Bonneaud","given":"C.","non-dropping-particle":"","parse-names":false,"suffix":""},{"dropping-particle":"","family":"Herrel","given":"A.","non-dropping-particle":"","parse-names":false,"suffix":""}],"container-title":"Journal of Zoology","id":"ITEM-3","issue":"4","issued":{"date-parts":[["2020"]]},"page":"221-226","title":"Do female frogs have higher resting metabolic rates than males? A case study with &lt;i&gt;Xenopus allofraseri&lt;/i&gt;","type":"article-journal","volume":"312"},"uris":["http://www.mendeley.com/documents/?uuid=1e36a387-ea0f-413c-a202-18fa4ff6ac8e"]}],"mendeley":{"formattedCitation":"(Madenjian, 2011; Ladds et al., 2017; Ducret et al., 2020)","plainTextFormattedCitation":"(Madenjian, 2011; Ladds et al., 2017; Ducret et al., 2020)","previouslyFormattedCitation":"(Madenjian, 2011; Ladds et al., 2017; Ducret et al., 2020)"},"properties":{"noteIndex":0},"schema":"https://github.com/citation-style-language/schema/raw/master/csl-citation.json"}</w:instrText>
      </w:r>
      <w:r w:rsidR="00C8169C">
        <w:rPr>
          <w:rFonts w:cstheme="minorHAnsi"/>
          <w:lang w:val="en-US"/>
        </w:rPr>
        <w:fldChar w:fldCharType="separate"/>
      </w:r>
      <w:r w:rsidR="000B6581" w:rsidRPr="000B6581">
        <w:rPr>
          <w:rFonts w:cstheme="minorHAnsi"/>
          <w:noProof/>
          <w:lang w:val="en-US"/>
        </w:rPr>
        <w:t>(Madenjian, 2011; Ladds et al., 2017; Ducret et al., 2020)</w:t>
      </w:r>
      <w:r w:rsidR="00C8169C">
        <w:rPr>
          <w:rFonts w:cstheme="minorHAnsi"/>
          <w:lang w:val="en-US"/>
        </w:rPr>
        <w:fldChar w:fldCharType="end"/>
      </w:r>
      <w:r w:rsidR="003B4399">
        <w:rPr>
          <w:rFonts w:cstheme="minorHAnsi"/>
          <w:lang w:val="en-US"/>
        </w:rPr>
        <w:t xml:space="preserve">. </w:t>
      </w:r>
      <w:r w:rsidR="004F5CBA">
        <w:rPr>
          <w:rFonts w:cstheme="minorHAnsi"/>
          <w:lang w:val="en-US"/>
        </w:rPr>
        <w:t>For example, males</w:t>
      </w:r>
      <w:r w:rsidR="003B4399">
        <w:rPr>
          <w:rFonts w:cstheme="minorHAnsi"/>
          <w:lang w:val="en-US"/>
        </w:rPr>
        <w:t xml:space="preserve"> with costly secondary sexual characteristics </w:t>
      </w:r>
      <w:r w:rsidR="003B4399">
        <w:rPr>
          <w:rFonts w:cstheme="minorHAnsi"/>
          <w:lang w:val="en-US"/>
        </w:rPr>
        <w:lastRenderedPageBreak/>
        <w:t>or high activity rates</w:t>
      </w:r>
      <w:r w:rsidR="004F5CBA">
        <w:rPr>
          <w:rFonts w:cstheme="minorHAnsi"/>
          <w:lang w:val="en-US"/>
        </w:rPr>
        <w:t>,</w:t>
      </w:r>
      <w:r w:rsidR="000B6581">
        <w:rPr>
          <w:rFonts w:cstheme="minorHAnsi"/>
          <w:lang w:val="en-US"/>
        </w:rPr>
        <w:t xml:space="preserve"> </w:t>
      </w:r>
      <w:r w:rsidR="0075046B">
        <w:rPr>
          <w:rFonts w:cstheme="minorHAnsi"/>
          <w:lang w:val="en-US"/>
        </w:rPr>
        <w:t xml:space="preserve">which are both subject to strong selection pressure, </w:t>
      </w:r>
      <w:r w:rsidR="000B6581">
        <w:rPr>
          <w:rFonts w:cstheme="minorHAnsi"/>
          <w:lang w:val="en-US"/>
        </w:rPr>
        <w:t xml:space="preserve">often </w:t>
      </w:r>
      <w:r w:rsidR="00C8169C">
        <w:rPr>
          <w:rFonts w:cstheme="minorHAnsi"/>
          <w:lang w:val="en-US"/>
        </w:rPr>
        <w:t xml:space="preserve">have higher metabolic rates </w:t>
      </w:r>
      <w:r w:rsidR="0075046B">
        <w:rPr>
          <w:rFonts w:cstheme="minorHAnsi"/>
          <w:lang w:val="en-US"/>
        </w:rPr>
        <w:t xml:space="preserve">than females </w:t>
      </w:r>
      <w:r w:rsidR="00C8169C">
        <w:rPr>
          <w:rFonts w:cstheme="minorHAnsi"/>
          <w:lang w:val="en-US"/>
        </w:rPr>
        <w:fldChar w:fldCharType="begin" w:fldLock="1"/>
      </w:r>
      <w:r w:rsidR="000B6581">
        <w:rPr>
          <w:rFonts w:cstheme="minorHAnsi"/>
          <w:lang w:val="en-US"/>
        </w:rPr>
        <w:instrText>ADDIN CSL_CITATION {"citationItems":[{"id":"ITEM-1","itemData":{"DOI":"10.1098/rspb.2018.1685","ISBN":"0000000251303","ISSN":"14712954","PMID":"30429303","abstract":"Sexually selected weapons are among the most exaggerated traits in nature. Sexual selection theory frequently assumes a high cost of this exaggeration; yet, those costs are rarely measured. We know very little about the energetic resources required to maintain these traits at rest and the difference in energetic costs for the largest individuals relative to the smallest individuals. Knowledge in this area is crucial; resting metabolic rate can account for 30 – 40% of daily energy expenditure in wild animals. Here, we capitalized on the phenomenon of autotomy to take a unique look at weapon maintenance costs. Using Leptoscelis tricolor (Hemiptera: Coreidae), we measured CO2 production rates before and after a weapon was shed. Males in this insect species use enlarged hind femora as weapons in male – male combat, and yet can shed them readily, without regeneration, upon entrapment. We found that metabolic rate decreased by an average of 23.5% in males after leg loss and by 7.9% in females. Notably, larger males had less of a drop in metabolic rate per gram of weapon lost. Our findings suggest that sexually selected weapons contribute to a large portion of resting metabolic rate in males, but these costs do not scale in direct proportion to size; larger males can have larger weapons for a reduced metabolic cost. These energetic maintenance costs may be integral to the evolution of the allometries of sexually selected weapons, and yet they remain largely unexplored.","author":[{"dropping-particle":"","family":"Somjee","given":"Ummat","non-dropping-particle":"","parse-names":false,"suffix":""},{"dropping-particle":"","family":"Arthur Woods","given":"H.","non-dropping-particle":"","parse-names":false,"suffix":""},{"dropping-particle":"","family":"Duell","given":"Meghan","non-dropping-particle":"","parse-names":false,"suffix":""},{"dropping-particle":"","family":"Miller","given":"Christine W.","non-dropping-particle":"","parse-names":false,"suffix":""}],"container-title":"Proceedings of the Royal Society B: Biological Sciences","id":"ITEM-1","issue":"1891","issued":{"date-parts":[["2018"]]},"page":"10-12","title":"The hidden cost of sexually selected traits: The metabolic expense of maintaining a sexually selected weapon","type":"article-journal","volume":"285"},"uris":["http://www.mendeley.com/documents/?uuid=3ab31865-891e-4bef-8e5a-ed734f4552e4"]},{"id":"ITEM-2","itemData":{"DOI":"10.1139/f03-115","ISSN":"0706652X","abstract":"Sexual size dimorphism of walleye (Stizostedion vitreum vitreum) is achieved by females having higher growth rates than males before and after maturation, resulting in females with greater asymptotic sizes. Mercury (Hg) concentrations in epaxial muscle by age and weight for 31 populations of walleye were used to evaluate the relative importance of differences in consumption and activity in generating sexual size dimorphism. Growth efficiency by sex, age, and maturity is estimated by a ratio of annual increments in weight (g) to annual increments of Hg (mg), using the pooled changes in weight and Hg loadings of males and females from all lakes. The higher growth rates of females arise from greater consumption and higher growth efficiency. Growth efficiency of both sexes is similar before maturity, but the growth efficiency of mature males is substantially lower than that of either immature males or mature females. We propose that the inferior growth efficiency of males is a function of the greater activity of males, particularly during the spawning season when scramble competition for fertilization is likely to produce substantial increases in male fitness as a result of increased efforts to find and spawn with females.","author":[{"dropping-particle":"","family":"Henderson","given":"Bryan A.","non-dropping-particle":"","parse-names":false,"suffix":""},{"dropping-particle":"","family":"Collins","given":"Nicholas","non-dropping-particle":"","parse-names":false,"suffix":""},{"dropping-particle":"","family":"Morgan","given":"George E.","non-dropping-particle":"","parse-names":false,"suffix":""},{"dropping-particle":"","family":"Vaillancourt","given":"Andre","non-dropping-particle":"","parse-names":false,"suffix":""}],"container-title":"Canadian Journal of Fisheries and Aquatic Sciences","id":"ITEM-2","issue":"11","issued":{"date-parts":[["2003"]]},"page":"1345-1352","title":"Sexual size dimorphism of walleye (&lt;i&gt;Stizostedion vitreum vitreum&lt;/i&gt;)","type":"article-journal","volume":"60"},"uris":["http://www.mendeley.com/documents/?uuid=364e9295-8418-401d-a8b2-e0b67bc0013a"]},{"id":"ITEM-3","itemData":{"DOI":"10.1111/eff.12278","ISSN":"09066691","abstract":"Do secondary sexual traits, such as large dorsal hump and hooked snout, decrease the swimming efficiency of male pink salmon during freshwater migration? This is the first study to address the effects of secondary sexual traits in pink salmon on oxygen uptake and swimming capacity. We conducted a laboratory experiment using a swimming respirometer and a field study using electromyogram (EMG) telemetry in the Shibetsu River, Hokkaido, Japan. We compared the relationship between MO2 (mg O2·kg−1·h−1) and swimming velocity U (m·s−1) in male and female fish, and also investigated the effects of morphological traits (secondary sexual characters) on the relationship between MO2 (mg O2·kg−1·h−1) and swimming velocity U (m·s−1). Additionally, we compared energy costs and swimming behaviour during upstream migration between male and female pink salmon. The laboratory experiment revealed that MO2 exponentially increased with increasing U; this increase was described by MO2 = 167.9e1.23U for males and 144.9e1.14U for females. Linear mixed models found that hump height and the upper jaw length in males significantly and positively affected the relationship between MO2 and U; no effect was found in females. The field study found that swimming velocity for both sexes estimated from EMG calibration was lower than optimal swimming velocity (Uopt) calculated from the laboratory experiment. We suggest that pink salmon in the Shibetsu River do not swim at the optimal swimming velocity because of the short migration distance involved (20 km).","author":[{"dropping-particle":"","family":"Makiguchi","given":"Yuya","non-dropping-particle":"","parse-names":false,"suffix":""},{"dropping-particle":"","family":"Nii","given":"Hisaya","non-dropping-particle":"","parse-names":false,"suffix":""},{"dropping-particle":"","family":"Nakao","given":"Katsuya","non-dropping-particle":"","parse-names":false,"suffix":""},{"dropping-particle":"","family":"Ueda","given":"Hiroshi","non-dropping-particle":"","parse-names":false,"suffix":""}],"container-title":"Ecology of Freshwater Fish","id":"ITEM-3","issue":"2","issued":{"date-parts":[["2017","4"]]},"page":"322-332","title":"Sex differences in metabolic rate and swimming performance in pink salmon (&lt;i&gt;Oncorhynchus gorbuscha&lt;/i&gt;): the effect of male secondary sexual traits","type":"article-journal","volume":"26"},"uris":["http://www.mendeley.com/documents/?uuid=a36cd572-80c8-417b-bb47-eaeb41845897"]}],"mendeley":{"formattedCitation":"(Henderson et al., 2003; Makiguchi et al., 2017; Somjee et al., 2018)","plainTextFormattedCitation":"(Henderson et al., 2003; Makiguchi et al., 2017; Somjee et al., 2018)","previouslyFormattedCitation":"(Henderson et al., 2003; Makiguchi et al., 2017; Somjee et al., 2018)"},"properties":{"noteIndex":0},"schema":"https://github.com/citation-style-language/schema/raw/master/csl-citation.json"}</w:instrText>
      </w:r>
      <w:r w:rsidR="00C8169C">
        <w:rPr>
          <w:rFonts w:cstheme="minorHAnsi"/>
          <w:lang w:val="en-US"/>
        </w:rPr>
        <w:fldChar w:fldCharType="separate"/>
      </w:r>
      <w:r w:rsidR="000B6581" w:rsidRPr="000B6581">
        <w:rPr>
          <w:rFonts w:cstheme="minorHAnsi"/>
          <w:noProof/>
          <w:lang w:val="en-US"/>
        </w:rPr>
        <w:t>(Henderson et al., 2003; Makiguchi et al., 2017; Somjee et al., 2018)</w:t>
      </w:r>
      <w:r w:rsidR="00C8169C">
        <w:rPr>
          <w:rFonts w:cstheme="minorHAnsi"/>
          <w:lang w:val="en-US"/>
        </w:rPr>
        <w:fldChar w:fldCharType="end"/>
      </w:r>
      <w:r w:rsidR="0075046B">
        <w:rPr>
          <w:rFonts w:cstheme="minorHAnsi"/>
          <w:lang w:val="en-US"/>
        </w:rPr>
        <w:t>.</w:t>
      </w:r>
    </w:p>
    <w:p w14:paraId="4660840D" w14:textId="0A2EDC99" w:rsidR="00215B54" w:rsidRDefault="00573F4D" w:rsidP="007F1711">
      <w:pPr>
        <w:spacing w:line="480" w:lineRule="auto"/>
        <w:jc w:val="both"/>
        <w:rPr>
          <w:rFonts w:cstheme="minorHAnsi"/>
          <w:lang w:val="en-US"/>
        </w:rPr>
      </w:pPr>
      <w:r>
        <w:rPr>
          <w:lang w:val="en-US"/>
        </w:rPr>
        <w:t>Standard metabolic rate (SMR) is the minimum oxygen consumption rate</w:t>
      </w:r>
      <w:r w:rsidR="009D117B">
        <w:rPr>
          <w:lang w:val="en-US"/>
        </w:rPr>
        <w:t xml:space="preserve"> (</w:t>
      </w:r>
      <w:r w:rsidR="009D117B" w:rsidRPr="003F070C">
        <w:rPr>
          <w:rFonts w:cstheme="minorHAnsi"/>
          <w:lang w:val="en-US"/>
        </w:rPr>
        <w:t>ṀO</w:t>
      </w:r>
      <w:r w:rsidR="009D117B" w:rsidRPr="00C07299">
        <w:rPr>
          <w:rFonts w:cstheme="minorHAnsi"/>
          <w:vertAlign w:val="subscript"/>
          <w:lang w:val="en-US"/>
        </w:rPr>
        <w:t>2</w:t>
      </w:r>
      <w:r w:rsidR="009D117B">
        <w:rPr>
          <w:rFonts w:cstheme="minorHAnsi"/>
          <w:lang w:val="en-US"/>
        </w:rPr>
        <w:t>)</w:t>
      </w:r>
      <w:r w:rsidR="00E76D47">
        <w:rPr>
          <w:lang w:val="en-US"/>
        </w:rPr>
        <w:t xml:space="preserve"> needed to sustain an animal</w:t>
      </w:r>
      <w:r>
        <w:rPr>
          <w:lang w:val="en-US"/>
        </w:rPr>
        <w:t xml:space="preserve">, while maximum metabolic rate (MMR) is the maximum </w:t>
      </w:r>
      <w:r w:rsidR="009D117B" w:rsidRPr="003F070C">
        <w:rPr>
          <w:rFonts w:cstheme="minorHAnsi"/>
          <w:lang w:val="en-US"/>
        </w:rPr>
        <w:t>ṀO</w:t>
      </w:r>
      <w:r w:rsidR="009D117B" w:rsidRPr="00C07299">
        <w:rPr>
          <w:rFonts w:cstheme="minorHAnsi"/>
          <w:vertAlign w:val="subscript"/>
          <w:lang w:val="en-US"/>
        </w:rPr>
        <w:t>2</w:t>
      </w:r>
      <w:r w:rsidR="009D117B">
        <w:rPr>
          <w:rFonts w:cstheme="minorHAnsi"/>
          <w:vertAlign w:val="subscript"/>
          <w:lang w:val="en-US"/>
        </w:rPr>
        <w:t xml:space="preserve"> </w:t>
      </w:r>
      <w:r>
        <w:rPr>
          <w:lang w:val="en-US"/>
        </w:rPr>
        <w:t xml:space="preserve">an individual can </w:t>
      </w:r>
      <w:r w:rsidR="004F5CBA">
        <w:rPr>
          <w:lang w:val="en-US"/>
        </w:rPr>
        <w:t>achieve</w:t>
      </w:r>
      <w:r>
        <w:rPr>
          <w:lang w:val="en-US"/>
        </w:rPr>
        <w:t xml:space="preserve">. </w:t>
      </w:r>
      <w:r w:rsidR="00FD79CB">
        <w:rPr>
          <w:rFonts w:cstheme="minorHAnsi"/>
          <w:lang w:val="en-US"/>
        </w:rPr>
        <w:t>A</w:t>
      </w:r>
      <w:r w:rsidRPr="003F070C">
        <w:rPr>
          <w:rFonts w:cstheme="minorHAnsi"/>
          <w:lang w:val="en-US"/>
        </w:rPr>
        <w:t>erobic scope</w:t>
      </w:r>
      <w:r w:rsidR="00BF4653">
        <w:rPr>
          <w:rFonts w:cstheme="minorHAnsi"/>
          <w:lang w:val="en-US"/>
        </w:rPr>
        <w:t xml:space="preserve"> (AS)</w:t>
      </w:r>
      <w:r w:rsidR="00FB2C2A">
        <w:rPr>
          <w:rFonts w:cstheme="minorHAnsi"/>
          <w:lang w:val="en-US"/>
        </w:rPr>
        <w:t xml:space="preserve"> is calculated as the difference between SMR and MMR and is a measure of </w:t>
      </w:r>
      <w:r w:rsidRPr="003F070C">
        <w:rPr>
          <w:rFonts w:cstheme="minorHAnsi"/>
          <w:lang w:val="en-US"/>
        </w:rPr>
        <w:t xml:space="preserve">an </w:t>
      </w:r>
      <w:r w:rsidR="00856D40">
        <w:rPr>
          <w:rFonts w:cstheme="minorHAnsi"/>
          <w:lang w:val="en-US"/>
        </w:rPr>
        <w:t>individual's</w:t>
      </w:r>
      <w:r w:rsidRPr="003F070C">
        <w:rPr>
          <w:rFonts w:cstheme="minorHAnsi"/>
          <w:lang w:val="en-US"/>
        </w:rPr>
        <w:t xml:space="preserve"> capacity to perform oxygen-consuming functions such as movement, digestion, growth, and reproduction </w:t>
      </w:r>
      <w:r w:rsidRPr="003F070C">
        <w:rPr>
          <w:rFonts w:cstheme="minorHAnsi"/>
          <w:lang w:val="en-US"/>
        </w:rPr>
        <w:fldChar w:fldCharType="begin" w:fldLock="1"/>
      </w:r>
      <w:r w:rsidR="000B6581">
        <w:rPr>
          <w:rFonts w:cstheme="minorHAnsi"/>
          <w:lang w:val="en-US"/>
        </w:rPr>
        <w:instrText>ADDIN CSL_CITATION {"citationItems":[{"id":"ITEM-1","itemData":{"DOI":"10.1126/science.1199158","ISBN":"0036-8075","ISSN":"1095-9203","PMID":"21454790","abstract":"Climate change-induced increases in summer water temperature have been associated with elevated mortality of adult sockeye salmon (Oncorhynchus nerka) during river migration. We show that cardiorespiratory physiology varies at the population level among Fraser River sockeye salmon and relates to historical environmental conditions encountered while migrating. Fish from populations with more challenging migratory environments have greater aerobic scope, larger hearts, and better coronary supply. Furthermore, thermal optima for aerobic, cardiac, and heart rate scopes are consistent with the historic river temperature ranges for each population. This study suggests that physiological adaptation occurs at a very local scale, with population-specific thermal limits being set by physiological limitations in aerobic performance, possibly due to cardiac collapse at high temperatures.","author":[{"dropping-particle":"","family":"Eliason","given":"Erika J","non-dropping-particle":"","parse-names":false,"suffix":""},{"dropping-particle":"","family":"Clark","given":"Timothy D","non-dropping-particle":"","parse-names":false,"suffix":""},{"dropping-particle":"","family":"Hague","given":"Merran J","non-dropping-particle":"","parse-names":false,"suffix":""},{"dropping-particle":"","family":"Hanson","given":"Linda M","non-dropping-particle":"","parse-names":false,"suffix":""},{"dropping-particle":"","family":"Gallagher","given":"Zoë S","non-dropping-particle":"","parse-names":false,"suffix":""},{"dropping-particle":"","family":"Jeffries","given":"Ken M","non-dropping-particle":"","parse-names":false,"suffix":""},{"dropping-particle":"","family":"Gale","given":"Marika K","non-dropping-particle":"","parse-names":false,"suffix":""},{"dropping-particle":"","family":"Patterson","given":"David A","non-dropping-particle":"","parse-names":false,"suffix":""},{"dropping-particle":"","family":"Hinch","given":"Scott G","non-dropping-particle":"","parse-names":false,"suffix":""},{"dropping-particle":"","family":"Farrell","given":"Anthony P","non-dropping-particle":"","parse-names":false,"suffix":""}],"container-title":"Science","id":"ITEM-1","issue":"6025","issued":{"date-parts":[["2011"]]},"note":"migrating up a tough river = better aerobic scope, larger hearts and better coronary supply... do they also have lower cholesterol and risk of heart attacks?\n\nthe oxygen- and capacity-limited thermal tolerance (OCLTT) hy- pothesis (13–15).\n\n-- would populations of fish that have a harder and further migration also have differences in average boldness from population that have an easy migration.","page":"109-112","title":"Differences in thermal tolerance among sockeye salmon populations.","type":"article-journal","volume":"332"},"uris":["http://www.mendeley.com/documents/?uuid=56882b8d-ee5d-4c2a-bbe9-28b13ffa3cc6"]},{"id":"ITEM-2","itemData":{"DOI":"10.1242/jeb.084251","ISBN":"0022-0949","ISSN":"1477-9145","PMID":"23842625","abstract":"Measurements of aerobic scope [the difference between minimum and maximum oxygen consumption rate ( and , respectively)] are increasing in prevalence as a tool to address questions relating to fish ecology and the effects of climate change. However, there are underlying issues regarding the array of methods used to measure aerobic scope across studies and species. In an attempt to enhance quality control before the diversity of issues becomes too great to remedy, this paper outlines common techniques and pitfalls associated with measurements of , and aerobic scope across species and under different experimental conditions. Additionally, we provide a brief critique of the oxygen- and capacity-limited thermal tolerance (OCLTT) hypothesis, a concept that is intricately dependent on aerobic scope measurements and is spreading wildly throughout the literature despite little evidence for its general applicability. It is the intention of this paper to encourage transparency and accuracy in future studies that measure the aerobic metabolism of fishes, and to highlight the fundamental issues with assuming broad relevance of the OCLTT hypothesis.","author":[{"dropping-particle":"","family":"Clark","given":"Timothy D.","non-dropping-particle":"","parse-names":false,"suffix":""},{"dropping-particle":"","family":"Sandblom","given":"Erik","non-dropping-particle":"","parse-names":false,"suffix":""},{"dropping-particle":"","family":"Jutfelt","given":"Fredrik","non-dropping-particle":"","parse-names":false,"suffix":""}],"container-title":"Journal of Experimental Biology","id":"ITEM-2","issue":"15","issued":{"date-parts":[["2013","8","1"]]},"page":"2771-2782","title":"Aerobic scope measurements of fishes in an era of climate change: respirometry, relevance and recommendations","type":"article-journal","volume":"216"},"uris":["http://www.mendeley.com/documents/?uuid=cf3e7f4a-19f5-4ef3-9ff9-37c4711e7839"]},{"id":"ITEM-3","itemData":{"DOI":"10.1111/1365-2435.12396","ISBN":"1365-2435","ISSN":"13652435","PMID":"25939669","abstract":"1. Metabolic rates can vary as much as threefold among individuals of the same size and age in a population, but why such variation persists is unclear given that they determine the ener- getic cost of living. Relationships between standard metabolic rate (SMR), growth and survival can vary with environmental conditions, suggesting that the fitness consequences of a given metabolic phenotype may be context-dependent. Less attention has focused on the link between absolute aerobic scope (AS, the difference between standard and maximum metabolic rate) and fitness under different environmental conditions, despite the importance of aerobic scope to an organism’s total energetic capacity. 2. We examined the links between individual variation in both SMR and AS and somatic growth rates of brown trout (Salmo trutta) under different levels of food availability. 3. Standard metabolic rate and AS were uncorrelated across individuals. However, SMR and AS not only had interactive effects on growth, but these interactions depended on food level: at ad libitum food levels, AS had a positive effect on growth whose magnitude depended on SMR; at intermediate food levels, AS and SMR had interactive effects on growth, but at the low food level, there was no effect of either AS or SMR on growth. As a result, there was no metabolic phenotype that performed best or worst across all food levels. 4. These results demonstrate the importance of aerobic scope in explaining somatic growth rates and support the hypothesis that links between individual variation in metabolism and fit- ness are context-dependent. 5. The larger metabolic phenotype and the environmental context in which performance is evaluated both need to be considered in order to better understand the link between metabolic rates and fitness and thereby the persistence of individual variation in metabolic rates.","author":[{"dropping-particle":"","family":"Auer","given":"Sonya K.","non-dropping-particle":"","parse-names":false,"suffix":""},{"dropping-particle":"","family":"Salin","given":"Karine","non-dropping-particle":"","parse-names":false,"suffix":""},{"dropping-particle":"","family":"Rudolf","given":"Agata M.","non-dropping-particle":"","parse-names":false,"suffix":""},{"dropping-particle":"","family":"Anderson","given":"Graeme J.","non-dropping-particle":"","parse-names":false,"suffix":""},{"dropping-particle":"","family":"Metcalfe","given":"Neil B.","non-dropping-particle":"","parse-names":false,"suffix":""}],"container-title":"Functional Ecology","id":"ITEM-3","issue":"4","issued":{"date-parts":[["2015"]]},"note":"maintained in tanks with differnt food rations - high, medium, and low to see which fish grew best","page":"479-486","title":"The optimal combination of standard metabolic rate and aerobic scope for somatic growth depends on food availability","type":"article-journal","volume":"29"},"uris":["http://www.mendeley.com/documents/?uuid=d37e2e3c-0712-4f16-9cb6-e2af07bcc076"]}],"mendeley":{"formattedCitation":"(Eliason et al., 2011; Clark et al., 2013; Auer et al., 2015)","plainTextFormattedCitation":"(Eliason et al., 2011; Clark et al., 2013; Auer et al., 2015)","previouslyFormattedCitation":"(Eliason et al., 2011; Clark et al., 2013; Auer et al., 2015)"},"properties":{"noteIndex":0},"schema":"https://github.com/citation-style-language/schema/raw/master/csl-citation.json"}</w:instrText>
      </w:r>
      <w:r w:rsidRPr="003F070C">
        <w:rPr>
          <w:rFonts w:cstheme="minorHAnsi"/>
          <w:lang w:val="en-US"/>
        </w:rPr>
        <w:fldChar w:fldCharType="separate"/>
      </w:r>
      <w:r w:rsidR="00C8169C" w:rsidRPr="00C8169C">
        <w:rPr>
          <w:rFonts w:cstheme="minorHAnsi"/>
          <w:noProof/>
          <w:lang w:val="en-US"/>
        </w:rPr>
        <w:t>(Eliason et al., 2011; Clark et al., 2013; Auer et al., 2015)</w:t>
      </w:r>
      <w:r w:rsidRPr="003F070C">
        <w:rPr>
          <w:rFonts w:cstheme="minorHAnsi"/>
          <w:lang w:val="en-US"/>
        </w:rPr>
        <w:fldChar w:fldCharType="end"/>
      </w:r>
      <w:r w:rsidRPr="003F070C">
        <w:rPr>
          <w:rFonts w:cstheme="minorHAnsi"/>
          <w:lang w:val="en-US"/>
        </w:rPr>
        <w:t>.</w:t>
      </w:r>
      <w:r w:rsidR="00FA18BF">
        <w:rPr>
          <w:rFonts w:cstheme="minorHAnsi"/>
          <w:lang w:val="en-US"/>
        </w:rPr>
        <w:t xml:space="preserve"> </w:t>
      </w:r>
      <w:r w:rsidR="00FA18BF" w:rsidRPr="003F070C">
        <w:rPr>
          <w:rFonts w:cstheme="minorHAnsi"/>
          <w:lang w:val="en-US"/>
        </w:rPr>
        <w:t>These rates scale with body mass, but even controlling for</w:t>
      </w:r>
      <w:r w:rsidR="002164AC">
        <w:rPr>
          <w:rFonts w:cstheme="minorHAnsi"/>
          <w:lang w:val="en-US"/>
        </w:rPr>
        <w:t xml:space="preserve"> this and other confounding</w:t>
      </w:r>
      <w:r w:rsidR="00FA18BF" w:rsidRPr="003F070C">
        <w:rPr>
          <w:rFonts w:cstheme="minorHAnsi"/>
          <w:lang w:val="en-US"/>
        </w:rPr>
        <w:t xml:space="preserve"> factors, metabolic rates can </w:t>
      </w:r>
      <w:r w:rsidR="002164AC">
        <w:rPr>
          <w:rFonts w:cstheme="minorHAnsi"/>
          <w:lang w:val="en-US"/>
        </w:rPr>
        <w:t xml:space="preserve">still </w:t>
      </w:r>
      <w:r w:rsidR="00FA18BF" w:rsidRPr="003F070C">
        <w:rPr>
          <w:rFonts w:cstheme="minorHAnsi"/>
          <w:lang w:val="en-US"/>
        </w:rPr>
        <w:t xml:space="preserve">vary up to three-fold between individuals </w:t>
      </w:r>
      <w:r w:rsidR="00FA18BF" w:rsidRPr="003F070C">
        <w:rPr>
          <w:rFonts w:cstheme="minorHAnsi"/>
          <w:lang w:val="en-US"/>
        </w:rPr>
        <w:fldChar w:fldCharType="begin" w:fldLock="1"/>
      </w:r>
      <w:r w:rsidR="000B6581">
        <w:rPr>
          <w:rFonts w:cstheme="minorHAnsi"/>
          <w:lang w:val="en-US"/>
        </w:rPr>
        <w:instrText>ADDIN CSL_CITATION {"citationItems":[{"id":"ITEM-1","itemData":{"DOI":"10.1098/rspb.2011.1778","ISSN":"14712970","PMID":"21957133","abstract":"Individual differences in the energy cost of self-maintenance (resting metabolic rate, RMR) are substantial and the focus of an emerging research area. These differences may influence fitness because selfmaintenance is considered as a life-history component along with growth and reproduction. In this review, we ask why do some individuals have two to three times the 'maintenance costs' of conspecifics, and what are the fitness consequences? Using evidence from a range of species, we demonstrate that diverse factors, such as genotypes, maternal effects, early developmental conditions and personality differences contribute to variation in individual RMR. We review evidence that RMR is linked with fitness, showing correlations with traits such as growth and survival. However, these relationships aremodulated by environmental conditions (e.g. food supply), suggesting that the fitness consequences of a given RMR may be context-dependent. Then, using empirical examples, we discuss broad-scale reasons why variation in RMR might persist in natural populations, including the role of both spatial and temporal variation in selection pressures and trans-generational effects. To conclude, we discuss experimental approaches that will enable more rigorous examination of the causes and consequences of individual variation in this key physiological trait. © 2011 The Royal Society.","author":[{"dropping-particle":"","family":"Burton","given":"T.","non-dropping-particle":"","parse-names":false,"suffix":""},{"dropping-particle":"","family":"Killen","given":"S. S.","non-dropping-particle":"","parse-names":false,"suffix":""},{"dropping-particle":"","family":"Armstrong","given":"J. D.","non-dropping-particle":"","parse-names":false,"suffix":""},{"dropping-particle":"","family":"Metcalfe","given":"N. B.","non-dropping-particle":"","parse-names":false,"suffix":""}],"container-title":"Proceedings of the Royal Society B: Biological Sciences","id":"ITEM-1","issue":"1724","issued":{"date-parts":[["2011"]]},"page":"3465-3473","title":"What causes intraspecific variation in resting metabolic rate and what are its ecological consequences?","type":"article-journal","volume":"278"},"uris":["http://www.mendeley.com/documents/?uuid=d1dc50ae-c56f-45c7-9354-038ec328a984"]}],"mendeley":{"formattedCitation":"(Burton et al., 2011)","plainTextFormattedCitation":"(Burton et al., 2011)","previouslyFormattedCitation":"(Burton et al., 2011)"},"properties":{"noteIndex":0},"schema":"https://github.com/citation-style-language/schema/raw/master/csl-citation.json"}</w:instrText>
      </w:r>
      <w:r w:rsidR="00FA18BF" w:rsidRPr="003F070C">
        <w:rPr>
          <w:rFonts w:cstheme="minorHAnsi"/>
          <w:lang w:val="en-US"/>
        </w:rPr>
        <w:fldChar w:fldCharType="separate"/>
      </w:r>
      <w:r w:rsidR="00C8169C" w:rsidRPr="00C8169C">
        <w:rPr>
          <w:rFonts w:cstheme="minorHAnsi"/>
          <w:noProof/>
          <w:lang w:val="en-US"/>
        </w:rPr>
        <w:t>(Burton et al., 2011)</w:t>
      </w:r>
      <w:r w:rsidR="00FA18BF" w:rsidRPr="003F070C">
        <w:rPr>
          <w:rFonts w:cstheme="minorHAnsi"/>
          <w:lang w:val="en-US"/>
        </w:rPr>
        <w:fldChar w:fldCharType="end"/>
      </w:r>
      <w:r w:rsidR="00FA18BF" w:rsidRPr="003F070C">
        <w:rPr>
          <w:rFonts w:cstheme="minorHAnsi"/>
          <w:lang w:val="en-US"/>
        </w:rPr>
        <w:t>.</w:t>
      </w:r>
      <w:r w:rsidR="00544DD2">
        <w:rPr>
          <w:rFonts w:cstheme="minorHAnsi"/>
          <w:lang w:val="en-US"/>
        </w:rPr>
        <w:t xml:space="preserve"> Some of this variation may be explained by morphological differences such as the cost of transport associated with</w:t>
      </w:r>
      <w:r w:rsidR="00C57371">
        <w:rPr>
          <w:rFonts w:cstheme="minorHAnsi"/>
          <w:lang w:val="en-US"/>
        </w:rPr>
        <w:t xml:space="preserve"> increased hydrodynamic</w:t>
      </w:r>
      <w:r w:rsidR="00544DD2">
        <w:rPr>
          <w:rFonts w:cstheme="minorHAnsi"/>
          <w:lang w:val="en-US"/>
        </w:rPr>
        <w:t xml:space="preserve"> drag </w:t>
      </w:r>
      <w:r w:rsidR="00544DD2" w:rsidRPr="003F070C">
        <w:rPr>
          <w:rFonts w:cstheme="minorHAnsi"/>
          <w:lang w:val="en-US"/>
        </w:rPr>
        <w:fldChar w:fldCharType="begin" w:fldLock="1"/>
      </w:r>
      <w:r w:rsidR="000B6581">
        <w:rPr>
          <w:rFonts w:cstheme="minorHAnsi"/>
          <w:lang w:val="en-US"/>
        </w:rPr>
        <w:instrText>ADDIN CSL_CITATION {"citationItems":[{"id":"ITEM-1","itemData":{"DOI":"10.1007/s004420050901","ISSN":"0029-8549","abstract":"Crucian carp (Carassius carassius) increases in body depth in response to chemical cues from piscivores and the deeper body constitutes a morphological defence against gape-limited piscivores. In the field, deep-bodied individuals suffer a density-dependent cost when competing with shallow-bodied conspecifics. Here, we use hydrodynamic theory and swimming respirometry to investigate the proposed mechanism underlying this effect, high drag caused by the deep-bodied morphology. Our study confirms that drag is higher for deep-bodied crucian carp, both in terms of estimated theoretical drag and power curve steepness. However, deep-bodied fish swimming at the velocity associated with minimum cost of transport, U mc, did not experience higher costs of transport than shallow-bodied fish. Deep-bodied crucian carp had significantly lower standard metabolic rates, i.e. metabolic rates at rest, and also lower U mc, and the resulting costs of transport were similar for the two morphs. Nevertheless, when deep-bodied individuals deviate from U mc, e.g. when increasing foraging effort under competition, their steeper power curves will cause substantial energy costs relative to shallow-bodied conspecifics. Furthermore, there is evidence that reductions in standard metabolic rate incur costs in terms of lower stress tolerance, reduced growth rate, and life history changes. Thus, this work provides links between hydrodynamics, a cost-reducing mechanism, and a density-dependent fitness cost associated with an inducible defence.","author":[{"dropping-particle":"","family":"Pettersson","given":"Lars B","non-dropping-particle":"","parse-names":false,"suffix":""},{"dropping-particle":"","family":"Brönmark","given":"Christer","non-dropping-particle":"","parse-names":false,"suffix":""}],"container-title":"Oecologia","id":"ITEM-1","issue":"1","issued":{"date-parts":[["1999","10","12"]]},"page":"12-18","title":"Energetic consequences of an inducible morphological defence in crucian carp","type":"article-journal","volume":"121"},"uris":["http://www.mendeley.com/documents/?uuid=a33c6b5b-7cfe-451a-bdb3-b265decbf21d"]},{"id":"ITEM-2","itemData":{"DOI":"10.1242/jeb.205.7.1031","ISSN":"1477-9145","abstract":"The objective of this study was to examine if individual variation in morphological characters is related to swimming costs in wild and domestic brook charr, and in wild yellow perch. Our results indicate that absolute swimming cost was higher in wild and domestic brook charr individuals having a stout body shape, and these individuals are therefore less efficient swimmers. These results are consistent with field observations that described relationships between individual variation in morphology and habitat use in salmonids. Further analyses indicated that standard metabolic rates were higher in individuals having a stout body shape, and that net swimming cost was not related to body shape. Accordingly, the higher swimming cost of stout individuals is probably an indirect consequence of an increase in standard metabolic rate. In wild yellow perch, absolute and net swimming costs were higher in individuals having a stout body shape and a low aspect caudal fin,and standard metabolic rate was not related to body shape. Therefore, in contrast to brook charr, individual variation in the swimming cost of yellow perch appears to be related to morphological characters that affect drag and thrust forces, which is consistent with previously published inter-specific observations.","author":[{"dropping-particle":"","family":"Boily","given":"Patrice","non-dropping-particle":"","parse-names":false,"suffix":""},{"dropping-particle":"","family":"Magnan","given":"Pierre","non-dropping-particle":"","parse-names":false,"suffix":""}],"container-title":"Journal of Experimental Biology","id":"ITEM-2","issue":"7","issued":{"date-parts":[["2002","4","1"]]},"note":"perch in swim tunnels and it worked\nperch were collected from the littoral zone","page":"1031-1036","title":"Relationship between individual variation in morphological characters and swimming costs in brook charr (&lt;i&gt;Salvelinus fontinalis&lt;/i&gt;) and yellow perch (&lt;i&gt;Perca flavescens&lt;/i&gt;)","type":"article-journal","volume":"205"},"uris":["http://www.mendeley.com/documents/?uuid=5aad9b20-24df-4040-99de-c81eb58a4258"]}],"mendeley":{"formattedCitation":"(Pettersson and Brönmark, 1999; Boily and Magnan, 2002)","plainTextFormattedCitation":"(Pettersson and Brönmark, 1999; Boily and Magnan, 2002)","previouslyFormattedCitation":"(Pettersson and Brönmark, 1999; Boily and Magnan, 2002)"},"properties":{"noteIndex":0},"schema":"https://github.com/citation-style-language/schema/raw/master/csl-citation.json"}</w:instrText>
      </w:r>
      <w:r w:rsidR="00544DD2" w:rsidRPr="003F070C">
        <w:rPr>
          <w:rFonts w:cstheme="minorHAnsi"/>
          <w:lang w:val="en-US"/>
        </w:rPr>
        <w:fldChar w:fldCharType="separate"/>
      </w:r>
      <w:r w:rsidR="00C8169C" w:rsidRPr="00C8169C">
        <w:rPr>
          <w:rFonts w:cstheme="minorHAnsi"/>
          <w:noProof/>
          <w:lang w:val="en-US"/>
        </w:rPr>
        <w:t>(Pettersson and Brönmark, 1999; Boily and Magnan, 2002)</w:t>
      </w:r>
      <w:r w:rsidR="00544DD2" w:rsidRPr="003F070C">
        <w:rPr>
          <w:rFonts w:cstheme="minorHAnsi"/>
          <w:lang w:val="en-US"/>
        </w:rPr>
        <w:fldChar w:fldCharType="end"/>
      </w:r>
      <w:r w:rsidR="00544DD2">
        <w:rPr>
          <w:rFonts w:cstheme="minorHAnsi"/>
          <w:lang w:val="en-US"/>
        </w:rPr>
        <w:t xml:space="preserve">, while some </w:t>
      </w:r>
      <w:r w:rsidR="00C57371">
        <w:rPr>
          <w:rFonts w:cstheme="minorHAnsi"/>
          <w:lang w:val="en-US"/>
        </w:rPr>
        <w:t>can be</w:t>
      </w:r>
      <w:r w:rsidR="00544DD2">
        <w:rPr>
          <w:rFonts w:cstheme="minorHAnsi"/>
          <w:lang w:val="en-US"/>
        </w:rPr>
        <w:t xml:space="preserve"> explained by</w:t>
      </w:r>
      <w:r w:rsidR="00986C4C">
        <w:rPr>
          <w:rFonts w:cstheme="minorHAnsi"/>
          <w:lang w:val="en-US"/>
        </w:rPr>
        <w:t xml:space="preserve"> environmental differences during development or differences in personality </w:t>
      </w:r>
      <w:r w:rsidR="00986C4C">
        <w:rPr>
          <w:rFonts w:cstheme="minorHAnsi"/>
          <w:lang w:val="en-US"/>
        </w:rPr>
        <w:fldChar w:fldCharType="begin" w:fldLock="1"/>
      </w:r>
      <w:r w:rsidR="002E4F95">
        <w:rPr>
          <w:rFonts w:cstheme="minorHAnsi"/>
          <w:lang w:val="en-US"/>
        </w:rPr>
        <w:instrText>ADDIN CSL_CITATION {"citationItems":[{"id":"ITEM-1","itemData":{"DOI":"10.1098/rspb.2011.1778","ISSN":"14712970","PMID":"21957133","abstract":"Individual differences in the energy cost of self-maintenance (resting metabolic rate, RMR) are substantial and the focus of an emerging research area. These differences may influence fitness because selfmaintenance is considered as a life-history component along with growth and reproduction. In this review, we ask why do some individuals have two to three times the 'maintenance costs' of conspecifics, and what are the fitness consequences? Using evidence from a range of species, we demonstrate that diverse factors, such as genotypes, maternal effects, early developmental conditions and personality differences contribute to variation in individual RMR. We review evidence that RMR is linked with fitness, showing correlations with traits such as growth and survival. However, these relationships aremodulated by environmental conditions (e.g. food supply), suggesting that the fitness consequences of a given RMR may be context-dependent. Then, using empirical examples, we discuss broad-scale reasons why variation in RMR might persist in natural populations, including the role of both spatial and temporal variation in selection pressures and trans-generational effects. To conclude, we discuss experimental approaches that will enable more rigorous examination of the causes and consequences of individual variation in this key physiological trait. © 2011 The Royal Society.","author":[{"dropping-particle":"","family":"Burton","given":"T.","non-dropping-particle":"","parse-names":false,"suffix":""},{"dropping-particle":"","family":"Killen","given":"S. S.","non-dropping-particle":"","parse-names":false,"suffix":""},{"dropping-particle":"","family":"Armstrong","given":"J. D.","non-dropping-particle":"","parse-names":false,"suffix":""},{"dropping-particle":"","family":"Metcalfe","given":"N. B.","non-dropping-particle":"","parse-names":false,"suffix":""}],"container-title":"Proceedings of the Royal Society B: Biological Sciences","id":"ITEM-1","issue":"1724","issued":{"date-parts":[["2011"]]},"page":"3465-3473","title":"What causes intraspecific variation in resting metabolic rate and what are its ecological consequences?","type":"article-journal","volume":"278"},"uris":["http://www.mendeley.com/documents/?uuid=d1dc50ae-c56f-45c7-9354-038ec328a984"]}],"mendeley":{"formattedCitation":"(Burton et al., 2011)","plainTextFormattedCitation":"(Burton et al., 2011)","previouslyFormattedCitation":"(Burton et al., 2011)"},"properties":{"noteIndex":0},"schema":"https://github.com/citation-style-language/schema/raw/master/csl-citation.json"}</w:instrText>
      </w:r>
      <w:r w:rsidR="00986C4C">
        <w:rPr>
          <w:rFonts w:cstheme="minorHAnsi"/>
          <w:lang w:val="en-US"/>
        </w:rPr>
        <w:fldChar w:fldCharType="separate"/>
      </w:r>
      <w:r w:rsidR="00EF0DCC" w:rsidRPr="00EF0DCC">
        <w:rPr>
          <w:rFonts w:cstheme="minorHAnsi"/>
          <w:noProof/>
          <w:lang w:val="en-US"/>
        </w:rPr>
        <w:t>(Burton et al., 2011)</w:t>
      </w:r>
      <w:r w:rsidR="00986C4C">
        <w:rPr>
          <w:rFonts w:cstheme="minorHAnsi"/>
          <w:lang w:val="en-US"/>
        </w:rPr>
        <w:fldChar w:fldCharType="end"/>
      </w:r>
      <w:r w:rsidR="00986C4C">
        <w:rPr>
          <w:rFonts w:cstheme="minorHAnsi"/>
          <w:lang w:val="en-US"/>
        </w:rPr>
        <w:t>.</w:t>
      </w:r>
      <w:r w:rsidR="00BF4653">
        <w:rPr>
          <w:rFonts w:cstheme="minorHAnsi"/>
          <w:lang w:val="en-US"/>
        </w:rPr>
        <w:t xml:space="preserve"> </w:t>
      </w:r>
      <w:r w:rsidR="00D51E40">
        <w:rPr>
          <w:rFonts w:cstheme="minorHAnsi"/>
          <w:lang w:val="en-US"/>
        </w:rPr>
        <w:t>Metabolic rates</w:t>
      </w:r>
      <w:r w:rsidR="00BF4653">
        <w:rPr>
          <w:rFonts w:cstheme="minorHAnsi"/>
          <w:lang w:val="en-US"/>
        </w:rPr>
        <w:t xml:space="preserve"> correspond with different aspects of an </w:t>
      </w:r>
      <w:r w:rsidR="00856D40">
        <w:rPr>
          <w:rFonts w:cstheme="minorHAnsi"/>
          <w:lang w:val="en-US"/>
        </w:rPr>
        <w:t>individual's</w:t>
      </w:r>
      <w:r w:rsidR="00BF4653">
        <w:rPr>
          <w:rFonts w:cstheme="minorHAnsi"/>
          <w:lang w:val="en-US"/>
        </w:rPr>
        <w:t xml:space="preserve"> </w:t>
      </w:r>
      <w:r w:rsidR="004F5CBA">
        <w:rPr>
          <w:rFonts w:cstheme="minorHAnsi"/>
          <w:lang w:val="en-US"/>
        </w:rPr>
        <w:t>life history</w:t>
      </w:r>
      <w:r w:rsidR="00BF4653">
        <w:rPr>
          <w:rFonts w:cstheme="minorHAnsi"/>
          <w:lang w:val="en-US"/>
        </w:rPr>
        <w:t xml:space="preserve">, and by </w:t>
      </w:r>
      <w:r w:rsidR="00816E24">
        <w:rPr>
          <w:rFonts w:cstheme="minorHAnsi"/>
          <w:lang w:val="en-US"/>
        </w:rPr>
        <w:t>examining</w:t>
      </w:r>
      <w:r w:rsidR="00BF4653">
        <w:rPr>
          <w:rFonts w:cstheme="minorHAnsi"/>
          <w:lang w:val="en-US"/>
        </w:rPr>
        <w:t xml:space="preserve"> </w:t>
      </w:r>
      <w:r w:rsidR="00597B39">
        <w:rPr>
          <w:rFonts w:cstheme="minorHAnsi"/>
          <w:lang w:val="en-US"/>
        </w:rPr>
        <w:t>these traits</w:t>
      </w:r>
      <w:r w:rsidR="00BF4653">
        <w:rPr>
          <w:rFonts w:cstheme="minorHAnsi"/>
          <w:lang w:val="en-US"/>
        </w:rPr>
        <w:t xml:space="preserve"> within </w:t>
      </w:r>
      <w:r w:rsidR="00321D80">
        <w:rPr>
          <w:rFonts w:cstheme="minorHAnsi"/>
          <w:lang w:val="en-US"/>
        </w:rPr>
        <w:t xml:space="preserve">a single </w:t>
      </w:r>
      <w:r w:rsidR="00816E24">
        <w:rPr>
          <w:rFonts w:cstheme="minorHAnsi"/>
          <w:lang w:val="en-US"/>
        </w:rPr>
        <w:t xml:space="preserve">population of a </w:t>
      </w:r>
      <w:proofErr w:type="spellStart"/>
      <w:r w:rsidR="00816E24">
        <w:rPr>
          <w:rFonts w:cstheme="minorHAnsi"/>
          <w:lang w:val="en-US"/>
        </w:rPr>
        <w:t>well studied</w:t>
      </w:r>
      <w:proofErr w:type="spellEnd"/>
      <w:r w:rsidR="00816E24">
        <w:rPr>
          <w:rFonts w:cstheme="minorHAnsi"/>
          <w:lang w:val="en-US"/>
        </w:rPr>
        <w:t xml:space="preserve"> polymorphic species</w:t>
      </w:r>
      <w:r w:rsidR="004F5CBA">
        <w:rPr>
          <w:rFonts w:cstheme="minorHAnsi"/>
          <w:lang w:val="en-US"/>
        </w:rPr>
        <w:t>,</w:t>
      </w:r>
      <w:r w:rsidR="00816E24">
        <w:rPr>
          <w:rFonts w:cstheme="minorHAnsi"/>
          <w:lang w:val="en-US"/>
        </w:rPr>
        <w:t xml:space="preserve"> we can begin to </w:t>
      </w:r>
      <w:r w:rsidR="00DC4E38">
        <w:rPr>
          <w:rFonts w:cstheme="minorHAnsi"/>
          <w:lang w:val="en-US"/>
        </w:rPr>
        <w:t xml:space="preserve">understand </w:t>
      </w:r>
      <w:r w:rsidR="00816E24">
        <w:rPr>
          <w:rFonts w:cstheme="minorHAnsi"/>
          <w:lang w:val="en-US"/>
        </w:rPr>
        <w:t>how differences in metabolic rates may correspond with</w:t>
      </w:r>
      <w:r w:rsidR="00567DC3">
        <w:rPr>
          <w:rFonts w:cstheme="minorHAnsi"/>
          <w:lang w:val="en-US"/>
        </w:rPr>
        <w:t xml:space="preserve"> other</w:t>
      </w:r>
      <w:r w:rsidR="00816E24">
        <w:rPr>
          <w:rFonts w:cstheme="minorHAnsi"/>
          <w:lang w:val="en-US"/>
        </w:rPr>
        <w:t xml:space="preserve"> </w:t>
      </w:r>
      <w:r w:rsidR="00597B39">
        <w:rPr>
          <w:rFonts w:cstheme="minorHAnsi"/>
          <w:lang w:val="en-US"/>
        </w:rPr>
        <w:t xml:space="preserve">previously </w:t>
      </w:r>
      <w:r w:rsidR="00816E24">
        <w:rPr>
          <w:rFonts w:cstheme="minorHAnsi"/>
          <w:lang w:val="en-US"/>
        </w:rPr>
        <w:t xml:space="preserve">observed differences between </w:t>
      </w:r>
      <w:r w:rsidR="002164AC">
        <w:rPr>
          <w:rFonts w:cstheme="minorHAnsi"/>
          <w:lang w:val="en-US"/>
        </w:rPr>
        <w:t>ecotypes</w:t>
      </w:r>
      <w:r w:rsidR="00597B39">
        <w:rPr>
          <w:rFonts w:cstheme="minorHAnsi"/>
          <w:lang w:val="en-US"/>
        </w:rPr>
        <w:t>.</w:t>
      </w:r>
    </w:p>
    <w:p w14:paraId="463F7EBC" w14:textId="5B5C4200" w:rsidR="00FA3EFD" w:rsidRPr="003F070C" w:rsidRDefault="00940A0C" w:rsidP="007F1711">
      <w:pPr>
        <w:spacing w:line="480" w:lineRule="auto"/>
        <w:jc w:val="both"/>
        <w:rPr>
          <w:rFonts w:cstheme="minorHAnsi"/>
          <w:lang w:val="en-US"/>
        </w:rPr>
      </w:pPr>
      <w:r>
        <w:rPr>
          <w:rFonts w:cstheme="minorHAnsi"/>
          <w:lang w:val="en-US"/>
        </w:rPr>
        <w:t xml:space="preserve">In order to examine whether metabolism is part of a larger suite of </w:t>
      </w:r>
      <w:r w:rsidR="00FA24B0">
        <w:rPr>
          <w:rFonts w:cstheme="minorHAnsi"/>
          <w:lang w:val="en-US"/>
        </w:rPr>
        <w:t xml:space="preserve">correlated </w:t>
      </w:r>
      <w:r>
        <w:rPr>
          <w:rFonts w:cstheme="minorHAnsi"/>
          <w:lang w:val="en-US"/>
        </w:rPr>
        <w:t xml:space="preserve">traits that diverge </w:t>
      </w:r>
      <w:r w:rsidR="00435FF8">
        <w:rPr>
          <w:rFonts w:cstheme="minorHAnsi"/>
          <w:lang w:val="en-US"/>
        </w:rPr>
        <w:t>across</w:t>
      </w:r>
      <w:r w:rsidR="00FA24B0">
        <w:rPr>
          <w:rFonts w:cstheme="minorHAnsi"/>
          <w:lang w:val="en-US"/>
        </w:rPr>
        <w:t xml:space="preserve"> habitats</w:t>
      </w:r>
      <w:r>
        <w:rPr>
          <w:rFonts w:cstheme="minorHAnsi"/>
          <w:lang w:val="en-US"/>
        </w:rPr>
        <w:t>, we used</w:t>
      </w:r>
      <w:r w:rsidR="00435FF8">
        <w:rPr>
          <w:rFonts w:cstheme="minorHAnsi"/>
          <w:lang w:val="en-US"/>
        </w:rPr>
        <w:t xml:space="preserve"> </w:t>
      </w:r>
      <w:r w:rsidR="00D84C9B" w:rsidRPr="003F070C">
        <w:rPr>
          <w:rFonts w:cstheme="minorHAnsi"/>
          <w:lang w:val="en-US"/>
        </w:rPr>
        <w:t>European</w:t>
      </w:r>
      <w:r w:rsidR="00AF22CC" w:rsidRPr="003F070C">
        <w:rPr>
          <w:rFonts w:cstheme="minorHAnsi"/>
          <w:lang w:val="en-US"/>
        </w:rPr>
        <w:t xml:space="preserve"> perch </w:t>
      </w:r>
      <w:r w:rsidR="00AF22CC" w:rsidRPr="003F070C">
        <w:rPr>
          <w:rFonts w:cstheme="minorHAnsi"/>
          <w:color w:val="000000" w:themeColor="text1"/>
          <w:lang w:val="en-US"/>
        </w:rPr>
        <w:t>(</w:t>
      </w:r>
      <w:proofErr w:type="spellStart"/>
      <w:r w:rsidR="00AF22CC" w:rsidRPr="003F070C">
        <w:rPr>
          <w:rFonts w:cstheme="minorHAnsi"/>
          <w:i/>
          <w:color w:val="000000" w:themeColor="text1"/>
          <w:lang w:val="en-US"/>
        </w:rPr>
        <w:t>Perca</w:t>
      </w:r>
      <w:proofErr w:type="spellEnd"/>
      <w:r w:rsidR="00AF22CC" w:rsidRPr="003F070C">
        <w:rPr>
          <w:rFonts w:cstheme="minorHAnsi"/>
          <w:i/>
          <w:color w:val="000000" w:themeColor="text1"/>
          <w:lang w:val="en-US"/>
        </w:rPr>
        <w:t xml:space="preserve"> </w:t>
      </w:r>
      <w:proofErr w:type="spellStart"/>
      <w:r w:rsidR="00AF22CC" w:rsidRPr="003F070C">
        <w:rPr>
          <w:rFonts w:cstheme="minorHAnsi"/>
          <w:i/>
          <w:color w:val="000000" w:themeColor="text1"/>
          <w:lang w:val="en-US"/>
        </w:rPr>
        <w:t>fluviatilis</w:t>
      </w:r>
      <w:proofErr w:type="spellEnd"/>
      <w:r w:rsidR="00AF22CC" w:rsidRPr="003F070C">
        <w:rPr>
          <w:rFonts w:cstheme="minorHAnsi"/>
          <w:color w:val="000000" w:themeColor="text1"/>
          <w:lang w:val="en-US"/>
        </w:rPr>
        <w:t>)</w:t>
      </w:r>
      <w:r w:rsidR="004F5CBA">
        <w:rPr>
          <w:rFonts w:cstheme="minorHAnsi"/>
          <w:color w:val="000000" w:themeColor="text1"/>
          <w:lang w:val="en-US"/>
        </w:rPr>
        <w:t>,</w:t>
      </w:r>
      <w:r w:rsidR="00A47F3F">
        <w:rPr>
          <w:rFonts w:cstheme="minorHAnsi"/>
          <w:color w:val="000000" w:themeColor="text1"/>
          <w:lang w:val="en-US"/>
        </w:rPr>
        <w:t xml:space="preserve"> </w:t>
      </w:r>
      <w:r w:rsidR="00A47F3F">
        <w:rPr>
          <w:rFonts w:cstheme="minorHAnsi"/>
          <w:lang w:val="en-US"/>
        </w:rPr>
        <w:t>a widespread polymorphic freshwater fish</w:t>
      </w:r>
      <w:r w:rsidR="00435FF8">
        <w:rPr>
          <w:rFonts w:cstheme="minorHAnsi"/>
          <w:color w:val="000000" w:themeColor="text1"/>
          <w:lang w:val="en-US"/>
        </w:rPr>
        <w:t>.</w:t>
      </w:r>
      <w:r w:rsidR="00B02BCE">
        <w:rPr>
          <w:rFonts w:cstheme="minorHAnsi"/>
          <w:color w:val="000000" w:themeColor="text1"/>
          <w:lang w:val="en-US"/>
        </w:rPr>
        <w:t xml:space="preserve"> </w:t>
      </w:r>
      <w:r w:rsidR="00435FF8">
        <w:rPr>
          <w:rFonts w:cstheme="minorHAnsi"/>
          <w:lang w:val="en-US"/>
        </w:rPr>
        <w:t>Similar to other polymorphic fish</w:t>
      </w:r>
      <w:r w:rsidR="00FA24B0">
        <w:rPr>
          <w:rFonts w:cstheme="minorHAnsi"/>
          <w:lang w:val="en-US"/>
        </w:rPr>
        <w:t xml:space="preserve"> that </w:t>
      </w:r>
      <w:r w:rsidR="004F5CBA">
        <w:rPr>
          <w:rFonts w:cstheme="minorHAnsi"/>
          <w:lang w:val="en-US"/>
        </w:rPr>
        <w:t>differentiate</w:t>
      </w:r>
      <w:r w:rsidR="00FA24B0">
        <w:rPr>
          <w:rFonts w:cstheme="minorHAnsi"/>
          <w:lang w:val="en-US"/>
        </w:rPr>
        <w:t xml:space="preserve"> along the littoral-pelagic axis</w:t>
      </w:r>
      <w:r w:rsidR="00435FF8">
        <w:rPr>
          <w:rFonts w:cstheme="minorHAnsi"/>
          <w:lang w:val="en-US"/>
        </w:rPr>
        <w:t xml:space="preserve">, </w:t>
      </w:r>
      <w:r>
        <w:rPr>
          <w:rFonts w:cstheme="minorHAnsi"/>
          <w:lang w:val="en-US"/>
        </w:rPr>
        <w:t>l</w:t>
      </w:r>
      <w:r w:rsidR="000A58B7" w:rsidRPr="003F070C">
        <w:rPr>
          <w:rFonts w:cstheme="minorHAnsi"/>
          <w:lang w:val="en-US"/>
        </w:rPr>
        <w:t xml:space="preserve">ittoral </w:t>
      </w:r>
      <w:r>
        <w:rPr>
          <w:rFonts w:cstheme="minorHAnsi"/>
          <w:lang w:val="en-US"/>
        </w:rPr>
        <w:t>perch</w:t>
      </w:r>
      <w:r w:rsidR="000A58B7" w:rsidRPr="003F070C">
        <w:rPr>
          <w:rFonts w:cstheme="minorHAnsi"/>
          <w:lang w:val="en-US"/>
        </w:rPr>
        <w:t xml:space="preserve"> inhabit shallow, vegetated nearshore areas and typically have deeper bodies and downturned mouths</w:t>
      </w:r>
      <w:r w:rsidR="000A58B7">
        <w:rPr>
          <w:rFonts w:cstheme="minorHAnsi"/>
          <w:lang w:val="en-US"/>
        </w:rPr>
        <w:t>, which allows them to navigate complex habitats</w:t>
      </w:r>
      <w:r w:rsidR="00D51E40">
        <w:rPr>
          <w:rFonts w:cstheme="minorHAnsi"/>
          <w:lang w:val="en-US"/>
        </w:rPr>
        <w:t>,</w:t>
      </w:r>
      <w:r w:rsidR="000A58B7">
        <w:rPr>
          <w:rFonts w:cstheme="minorHAnsi"/>
          <w:lang w:val="en-US"/>
        </w:rPr>
        <w:t xml:space="preserve"> while p</w:t>
      </w:r>
      <w:r w:rsidR="000A58B7" w:rsidRPr="003F070C">
        <w:rPr>
          <w:rFonts w:cstheme="minorHAnsi"/>
          <w:lang w:val="en-US"/>
        </w:rPr>
        <w:t xml:space="preserve">elagic </w:t>
      </w:r>
      <w:r>
        <w:rPr>
          <w:rFonts w:cstheme="minorHAnsi"/>
          <w:lang w:val="en-US"/>
        </w:rPr>
        <w:t>perch</w:t>
      </w:r>
      <w:r w:rsidR="000A58B7" w:rsidRPr="003F070C">
        <w:rPr>
          <w:rFonts w:cstheme="minorHAnsi"/>
          <w:lang w:val="en-US"/>
        </w:rPr>
        <w:t xml:space="preserve"> are found in open water and are more streamlined</w:t>
      </w:r>
      <w:r w:rsidR="003B461A">
        <w:rPr>
          <w:rFonts w:cstheme="minorHAnsi"/>
          <w:lang w:val="en-US"/>
        </w:rPr>
        <w:t xml:space="preserve"> to facilitate their active </w:t>
      </w:r>
      <w:r w:rsidR="003B461A">
        <w:rPr>
          <w:rFonts w:cstheme="minorHAnsi"/>
          <w:lang w:val="en-US"/>
        </w:rPr>
        <w:lastRenderedPageBreak/>
        <w:t>foraging style optimized for pelagic prey</w:t>
      </w:r>
      <w:r w:rsidR="000A58B7" w:rsidRPr="003F070C">
        <w:rPr>
          <w:rFonts w:cstheme="minorHAnsi"/>
          <w:lang w:val="en-US"/>
        </w:rPr>
        <w:t xml:space="preserve"> </w:t>
      </w:r>
      <w:r w:rsidR="00D51E40">
        <w:rPr>
          <w:rFonts w:cstheme="minorHAnsi"/>
          <w:color w:val="000000" w:themeColor="text1"/>
          <w:lang w:val="en-US"/>
        </w:rPr>
        <w:fldChar w:fldCharType="begin" w:fldLock="1"/>
      </w:r>
      <w:r w:rsidR="000B6581">
        <w:rPr>
          <w:rFonts w:cstheme="minorHAnsi"/>
          <w:color w:val="000000" w:themeColor="text1"/>
          <w:lang w:val="en-US"/>
        </w:rPr>
        <w:instrText>ADDIN CSL_CITATION {"citationItems":[{"id":"ITEM-1","itemData":{"abstract":"Biologists concerned with the evolutionary consequences of competition seem un- aware of a large literature on freshwater fishes that bears directly on the debates over ecological character displacement, character release, and the concept of \"empty niches.\" Only five poten- tial instances of character displacement in teleosts are cited in the conceptually oriented litera- ture, whereas data exist for 97 species comprising 52 genera and 17 families. We review these studies, focusing on lacustrine species, and draw the following conclusions. First, competition is frequently a diversifying force that creates differences between species (character displace- ment) and differences within species (character release) when other closely related species are absent. Second, differentiation in lakes occurs along predictable pathways and almost always includes pelagic and benthic forms. The lake environment can therefore be viewed as a set of non-Hutchinsonian or \"environmental\" niches that exist apart from the species that occupy them. Third, a traditional criterion for demonstrating character displacement has been that phenotypic differences between populations in sympatry and allopatry should have a genetic basis. Although this criterion is frequently met in freshwater fish, it is not necessary because phenotypic plasticity can itself be an evolutionary consequence of competition. Finally, in the conceptually oriented literature, the evolutionary consequences of predation are well accepted, but the evolutionary consequences of competition are regarded more skeptically. This skepti- cism is unwarranted for freshwater fish, whose evolution is clearly influenced by both predators and competitors. Although","author":[{"dropping-particle":"","family":"Robinson","given":"Beren W","non-dropping-particle":"","parse-names":false,"suffix":""},{"dropping-particle":"","family":"Wilson","given":"David Sloan","non-dropping-particle":"","parse-names":false,"suffix":""}],"container-title":"The American Naturalist","id":"ITEM-1","issue":"4","issued":{"date-parts":[["1994"]]},"page":"596-627","title":"Character release and displacement in fishes: A neglected literature","type":"article-journal","volume":"144"},"uris":["http://www.mendeley.com/documents/?uuid=bc86c1cd-4d9c-49d3-b0ad-4a769593a032"]},{"id":"ITEM-2","itemData":{"DOI":"10.1023/A:1006530029418","ISBN":"1009982220290","ISSN":"02697653","PMID":"1284","abstract":"Using the distribution patterns of benthic insects (198 species) and fishes ( 29 species) from 11 tributaries and the main channel of the Doubs River drainage basin (French Jura), the authors have tried to establish whether there is an organization of species into discrete, identifiable communities. Principal Component Analysis (PCA) was used to identify whether a continuum existed, and also used to select 50 least-disturbed sites, which were used to define a theoretical watercourse. The density classes of each species were projected on this longitudinal gradient and each species response was characterised by two typological traits: its typological preferendum (tp) and its typological amplitude (ta), thus creating a synthesis of ecological characteristics. In the typological index given in the appendix, the 210 species which form a biological templet are listed in alphabetical order with their tp and ta values. These typological species traits are useful contributions to a database for running waters biomonitoring","author":[{"dropping-particle":"","family":"Bourke","given":"Philippe","non-dropping-particle":"","parse-names":false,"suffix":""},{"dropping-particle":"","family":"Magnan","given":"Pierre","non-dropping-particle":"","parse-names":false,"suffix":""},{"dropping-particle":"","family":"Rodríguez","given":"Marco A.","non-dropping-particle":"","parse-names":false,"suffix":""}],"container-title":"Evolutionary Ecology","id":"ITEM-2","issue":"1","issued":{"date-parts":[["1999"]]},"page":"19-31","title":"Phenotypic responses of lacustrine brook charr in relation to the intensity of interspecific competition","type":"article-journal","volume":"13"},"uris":["http://www.mendeley.com/documents/?uuid=45b72a92-997b-492f-98f3-207c625e2778"]},{"id":"ITEM-3","itemData":{"DOI":"10.1034/j.1600-0706.2003.12657.x","ISBN":"0269-8463","ISSN":"00301299","abstract":"1. Trophic polymorphism is a common phenomenon in many species. Trade-offs in foraging efficiency on different resources are thought to be a primary cause of such polymorphism. 2. To test for a trade-off in foraging efficiency perch ( Perca fluviatilis L.) were used from a population that differs in morphology between the littoral and pelagic habitat of a lake. Indoor aquarium experiments were performed with three different prey types in two different environments. It was predicted that the morphology of the individual would affect foraging efficiency in the different environments and on the different prey types through search and attack behaviour. 3. Overall the foraging efficiency of perch was found to be related to individual morpho- logy. A connection was also found between individual morphology and search and attack behaviour. Search behaviour but not attack behaviour was affected by the structure in the aquaria. Furthermore our results show that there are relations between search behaviour and detection rates and between attack behaviour and attack success. 4. Our results give a mechanistic explanation for the differences in foraging efficiency between littoral and pelagic perch. These differences are probably driven by a func- tional trade-off between foraging performance and general body form.","author":[{"dropping-particle":"","family":"Svanbäck","given":"Richard","non-dropping-particle":"","parse-names":false,"suffix":""},{"dropping-particle":"","family":"Eklöv","given":"Peter","non-dropping-particle":"","parse-names":false,"suffix":""}],"container-title":"Oikos","id":"ITEM-3","issue":"2","issued":{"date-parts":[["2003","8"]]},"language":"eng","page":"273-284","publisher-place":"Ecology and Environmental Science, Faculty of Science and Technology, Umeå University","title":"Morphology dependent foraging efficiency in perch: a trade-off for ecological specialization?","type":"article-journal","volume":"102"},"uris":["http://www.mendeley.com/documents/?uuid=9a2611f5-ee37-48b2-a5de-fc976e0e0673"]},{"id":"ITEM-4","itemData":{"DOI":"10.1111/j.0269-8463.2004.00858.x","ISBN":"0269-8463","ISSN":"02698463","abstract":"1. Trophic polymorphism is a common phenomenon in many species. Trade-offs in foraging efficiency on different resources are thought to be a primary cause of such polymorphism. 2. To test for a trade-off in foraging efficiency perch ( Perca fluviatilis L.) were used from a population that differs in morphology between the littoral and pelagic habitat of a lake. Indoor aquarium experiments were performed with three different prey types in two different environments. It was predicted that the morphology of the individual would affect foraging efficiency in the different environments and on the different prey types through search and attack behaviour. 3. Overall the foraging efficiency of perch was found to be related to individual morpho- logy. A connection was also found between individual morphology and search and attack behaviour. Search behaviour but not attack behaviour was affected by the structure in the aquaria. Furthermore our results show that there are relations between search behaviour and detection rates and between attack behaviour and attack success. 4. Our results give a mechanistic explanation for the differences in foraging efficiency between littoral and pelagic perch. These differences are probably driven by a func- tional trade-off between foraging performance and general body form.","author":[{"dropping-particle":"","family":"Svanbäck","given":"Richard","non-dropping-particle":"","parse-names":false,"suffix":""},{"dropping-particle":"","family":"Eklöv","given":"Peter","non-dropping-particle":"","parse-names":false,"suffix":""}],"container-title":"Functional Ecology","id":"ITEM-4","issue":"4","issued":{"date-parts":[["2004"]]},"page":"503-510","title":"Morphology in perch affects habitat specific feeding efficiency","type":"article-journal","volume":"18"},"uris":["http://www.mendeley.com/documents/?uuid=f3861d87-9f46-40f5-8090-1183b6d13203"]}],"mendeley":{"formattedCitation":"(Robinson and Wilson, 1994; Bourke et al., 1999; Svanbäck and Eklöv, 2003, 2004)","plainTextFormattedCitation":"(Robinson and Wilson, 1994; Bourke et al., 1999; Svanbäck and Eklöv, 2003, 2004)","previouslyFormattedCitation":"(Robinson and Wilson, 1994; Bourke et al., 1999; Svanbäck and Eklöv, 2003, 2004)"},"properties":{"noteIndex":0},"schema":"https://github.com/citation-style-language/schema/raw/master/csl-citation.json"}</w:instrText>
      </w:r>
      <w:r w:rsidR="00D51E40">
        <w:rPr>
          <w:rFonts w:cstheme="minorHAnsi"/>
          <w:color w:val="000000" w:themeColor="text1"/>
          <w:lang w:val="en-US"/>
        </w:rPr>
        <w:fldChar w:fldCharType="separate"/>
      </w:r>
      <w:r w:rsidR="00C8169C" w:rsidRPr="00C8169C">
        <w:rPr>
          <w:rFonts w:cstheme="minorHAnsi"/>
          <w:noProof/>
          <w:color w:val="000000" w:themeColor="text1"/>
          <w:lang w:val="en-US"/>
        </w:rPr>
        <w:t>(Robinson and Wilson, 1994; Bourke et al., 1999; Svanbäck and Eklöv, 2003, 2004)</w:t>
      </w:r>
      <w:r w:rsidR="00D51E40">
        <w:rPr>
          <w:rFonts w:cstheme="minorHAnsi"/>
          <w:color w:val="000000" w:themeColor="text1"/>
          <w:lang w:val="en-US"/>
        </w:rPr>
        <w:fldChar w:fldCharType="end"/>
      </w:r>
      <w:r w:rsidR="000A58B7" w:rsidRPr="003F070C">
        <w:rPr>
          <w:rFonts w:cstheme="minorHAnsi"/>
          <w:lang w:val="en-US"/>
        </w:rPr>
        <w:t>.</w:t>
      </w:r>
      <w:r w:rsidR="000A58B7">
        <w:rPr>
          <w:rFonts w:cstheme="minorHAnsi"/>
          <w:lang w:val="en-US"/>
        </w:rPr>
        <w:t xml:space="preserve"> </w:t>
      </w:r>
      <w:r w:rsidR="00C41D78">
        <w:rPr>
          <w:rFonts w:cstheme="minorHAnsi"/>
          <w:lang w:val="en-US"/>
        </w:rPr>
        <w:t>Using a</w:t>
      </w:r>
      <w:r w:rsidR="00591624">
        <w:rPr>
          <w:rFonts w:cstheme="minorHAnsi"/>
          <w:lang w:val="en-US"/>
        </w:rPr>
        <w:t xml:space="preserve"> combination of stomach content and stable isotope</w:t>
      </w:r>
      <w:r w:rsidR="003B461A">
        <w:rPr>
          <w:rFonts w:cstheme="minorHAnsi"/>
          <w:lang w:val="en-US"/>
        </w:rPr>
        <w:t xml:space="preserve"> </w:t>
      </w:r>
      <w:r w:rsidR="00591624">
        <w:rPr>
          <w:rFonts w:cstheme="minorHAnsi"/>
          <w:lang w:val="en-US"/>
        </w:rPr>
        <w:t>analyses</w:t>
      </w:r>
      <w:r w:rsidR="003B461A">
        <w:rPr>
          <w:rFonts w:cstheme="minorHAnsi"/>
          <w:lang w:val="en-US"/>
        </w:rPr>
        <w:t>,</w:t>
      </w:r>
      <w:r w:rsidR="00591624">
        <w:rPr>
          <w:rFonts w:cstheme="minorHAnsi"/>
          <w:lang w:val="en-US"/>
        </w:rPr>
        <w:t xml:space="preserve"> </w:t>
      </w:r>
      <w:r w:rsidR="00C41D78">
        <w:rPr>
          <w:rFonts w:cstheme="minorHAnsi"/>
          <w:lang w:val="en-US"/>
        </w:rPr>
        <w:t xml:space="preserve">past studies </w:t>
      </w:r>
      <w:r w:rsidR="00C07299">
        <w:rPr>
          <w:rFonts w:cstheme="minorHAnsi"/>
          <w:lang w:val="en-US"/>
        </w:rPr>
        <w:t xml:space="preserve">on perch </w:t>
      </w:r>
      <w:r w:rsidR="00591624">
        <w:rPr>
          <w:rFonts w:cstheme="minorHAnsi"/>
          <w:lang w:val="en-US"/>
        </w:rPr>
        <w:t>have also found differences in</w:t>
      </w:r>
      <w:r w:rsidR="003B461A">
        <w:rPr>
          <w:rFonts w:cstheme="minorHAnsi"/>
          <w:lang w:val="en-US"/>
        </w:rPr>
        <w:t xml:space="preserve"> </w:t>
      </w:r>
      <w:r w:rsidR="004F5CBA">
        <w:rPr>
          <w:rFonts w:cstheme="minorHAnsi"/>
          <w:lang w:val="en-US"/>
        </w:rPr>
        <w:t xml:space="preserve">each </w:t>
      </w:r>
      <w:r w:rsidR="00856D40">
        <w:rPr>
          <w:rFonts w:cstheme="minorHAnsi"/>
          <w:lang w:val="en-US"/>
        </w:rPr>
        <w:t>ecotype's</w:t>
      </w:r>
      <w:r w:rsidR="00591624">
        <w:rPr>
          <w:rFonts w:cstheme="minorHAnsi"/>
          <w:lang w:val="en-US"/>
        </w:rPr>
        <w:t xml:space="preserve"> niche </w:t>
      </w:r>
      <w:r w:rsidR="004A731C">
        <w:rPr>
          <w:rFonts w:cstheme="minorHAnsi"/>
          <w:lang w:val="en-US"/>
        </w:rPr>
        <w:t xml:space="preserve">width </w:t>
      </w:r>
      <w:r w:rsidR="00591624">
        <w:rPr>
          <w:rFonts w:cstheme="minorHAnsi"/>
          <w:lang w:val="en-US"/>
        </w:rPr>
        <w:t xml:space="preserve">and </w:t>
      </w:r>
      <w:r w:rsidR="00FD02E5">
        <w:rPr>
          <w:rFonts w:cstheme="minorHAnsi"/>
          <w:lang w:val="en-US"/>
        </w:rPr>
        <w:t>individual specialization</w:t>
      </w:r>
      <w:r w:rsidR="00591624">
        <w:rPr>
          <w:rFonts w:cstheme="minorHAnsi"/>
          <w:lang w:val="en-US"/>
        </w:rPr>
        <w:t xml:space="preserve"> </w:t>
      </w:r>
      <w:r w:rsidR="00206402">
        <w:rPr>
          <w:rFonts w:cstheme="minorHAnsi"/>
          <w:lang w:val="en-US"/>
        </w:rPr>
        <w:t>related to</w:t>
      </w:r>
      <w:r w:rsidR="00591624">
        <w:rPr>
          <w:rFonts w:cstheme="minorHAnsi"/>
          <w:lang w:val="en-US"/>
        </w:rPr>
        <w:t xml:space="preserve"> </w:t>
      </w:r>
      <w:r w:rsidR="007A4F8C">
        <w:rPr>
          <w:rFonts w:cstheme="minorHAnsi"/>
          <w:lang w:val="en-US"/>
        </w:rPr>
        <w:t xml:space="preserve">their </w:t>
      </w:r>
      <w:r w:rsidR="00591624">
        <w:rPr>
          <w:rFonts w:cstheme="minorHAnsi"/>
          <w:lang w:val="en-US"/>
        </w:rPr>
        <w:t>habitat</w:t>
      </w:r>
      <w:r w:rsidR="007A4F8C">
        <w:rPr>
          <w:rFonts w:cstheme="minorHAnsi"/>
          <w:lang w:val="en-US"/>
        </w:rPr>
        <w:t xml:space="preserve"> use</w:t>
      </w:r>
      <w:r w:rsidR="00C07299">
        <w:rPr>
          <w:rFonts w:cstheme="minorHAnsi"/>
          <w:lang w:val="en-US"/>
        </w:rPr>
        <w:t xml:space="preserve"> </w:t>
      </w:r>
      <w:r w:rsidR="00591624">
        <w:rPr>
          <w:rFonts w:cstheme="minorHAnsi"/>
          <w:lang w:val="en-US"/>
        </w:rPr>
        <w:fldChar w:fldCharType="begin" w:fldLock="1"/>
      </w:r>
      <w:r w:rsidR="000B6581">
        <w:rPr>
          <w:rFonts w:cstheme="minorHAnsi"/>
          <w:lang w:val="en-US"/>
        </w:rPr>
        <w:instrText>ADDIN CSL_CITATION {"citationItems":[{"id":"ITEM-1","itemData":{"DOI":"10.1002/ece3.4973","ISSN":"20457758","abstract":"Predators should stabilize food webs because they can move between spatially separate habitats. However, predators adapted to forage on local resources may have a reduced ability to couple habitats. Here, we show clear asymmetry in the ability to couple habitats by Eurasian perch—a common polymorphic predator in European lakes. We sampled perch from two spatially separate habitats—pelagic and littoral zones—in Lake Erken, Sweden. Littoral perch showed stronger individual specialization, but they also used resources from the pelagic zone, indicating their ability to couple habitats. In contrast, pelagic perch showed weaker individual specialization but near complete reliance on pelagic resources, indicating their preference to one habitat. This asymmetry in the habitat coupling ability of perch challenges the expec‐ tation that, in general, predators should stabilize spatially separated food webs. Our results suggest that habitat coupling might be constrained by morphological adapta‐ tions, which in this case were not related to genetic differentiation but were more likely related to differences in individual specialization.","author":[{"dropping-particle":"","family":"Marklund","given":"Maria H.K.","non-dropping-particle":"","parse-names":false,"suffix":""},{"dropping-particle":"","family":"Svanbäck","given":"Richard","non-dropping-particle":"","parse-names":false,"suffix":""},{"dropping-particle":"","family":"Faulks","given":"Leanne","non-dropping-particle":"","parse-names":false,"suffix":""},{"dropping-particle":"","family":"Breed","given":"Martin F.","non-dropping-particle":"","parse-names":false,"suffix":""},{"dropping-particle":"","family":"Scharnweber","given":"Kristin","non-dropping-particle":"","parse-names":false,"suffix":""},{"dropping-particle":"","family":"Zha","given":"Yinghua","non-dropping-particle":"","parse-names":false,"suffix":""},{"dropping-particle":"","family":"Eklöv","given":"Peter","non-dropping-particle":"","parse-names":false,"suffix":""}],"container-title":"Ecology and Evolution","id":"ITEM-1","issue":"6","issued":{"date-parts":[["2019"]]},"page":"3405-3415","title":"Asymmetrical habitat coupling of an aquatic predator—The importance of individual specialization","type":"article-journal","volume":"9"},"uris":["http://www.mendeley.com/documents/?uuid=f2718611-8e12-410b-9c8c-6361a0667680"]},{"id":"ITEM-2","itemData":{"DOI":"10.1007/s00442-020-04668-y","ISBN":"0123456789","ISSN":"0029-8549","PMID":"32440703","abstract":"Fatty acids (FAs) are key nutrients for fitness which take part in multiple physiological processes over the ontogeny of organisms. Yet, we lack evidence on how FA nutrition mediates life-history trade-offs and ontogenetic niche shifts in natural populations. In a field study, we analyzed ontogenetic changes in the FAs of Eurasian perch (Perca fluviatilis L.), a widespread fish that goes through ontogenetic niche shifts and can have high individual niche specialization. Diet explained most of the variation in the FA composition of perch dorsal muscle over early ontogeny (28%), while the total length explained 23%, suggesting that perch significantly regulated FA composition over early ontogeny. Condition explained 1% of the remaining variation. 18:3n-3 (ALA) and 18:4n-3 (SDA) indicated planktivory; 18:1n-7, benthivory; and 22:6n-3 (DHA), piscivory in perch diet. Conversely, perch regulated long-chained polyunsaturated fatty acids (PUFAs), such as 20:5n-3 (EPA), 20:4n-6 (ARA) and 22:6n-3 (DHA) over ontogeny, emphasizing the role of such FAs in early growth and sexual maturation. Adult perch increasingly retained 16:1n-7 and 18:1n-9 suggesting higher energy storage in older perch. Furthermore, differences in DHA availability in diet correlated with intra-cohort differences in perch growth, potentially hindering the overall use of benthic resources and promoting earlier shifts to piscivory in littoral habitats. Overall, this study indicates that in addition to diet, internal regulation may be more important for FA composition than previously thought. Differences between FA needs and FA availability may lead to life-history trade-offs that affect the ecology of consumers, including their niche.","author":[{"dropping-particle":"","family":"Chaguaceda","given":"Fernando","non-dropping-particle":"","parse-names":false,"suffix":""},{"dropping-particle":"","family":"Eklöv","given":"P.","non-dropping-particle":"","parse-names":false,"suffix":""},{"dropping-particle":"","family":"Scharnweber","given":"K.","non-dropping-particle":"","parse-names":false,"suffix":""}],"container-title":"Oecologia","id":"ITEM-2","issue":"2","issued":{"date-parts":[["2020","6","21"]]},"page":"325-336","title":"Regulation of fatty acid composition related to ontogenetic changes and niche differentiation of a common aquatic consumer","type":"article-journal","volume":"193"},"uris":["http://www.mendeley.com/documents/?uuid=a71a53c3-e7e2-4085-be27-9446ef0db22c"]}],"mendeley":{"formattedCitation":"(Marklund et al., 2019; Chaguaceda et al., 2020)","plainTextFormattedCitation":"(Marklund et al., 2019; Chaguaceda et al., 2020)","previouslyFormattedCitation":"(Marklund et al., 2019; Chaguaceda et al., 2020)"},"properties":{"noteIndex":0},"schema":"https://github.com/citation-style-language/schema/raw/master/csl-citation.json"}</w:instrText>
      </w:r>
      <w:r w:rsidR="00591624">
        <w:rPr>
          <w:rFonts w:cstheme="minorHAnsi"/>
          <w:lang w:val="en-US"/>
        </w:rPr>
        <w:fldChar w:fldCharType="separate"/>
      </w:r>
      <w:r w:rsidR="00C8169C" w:rsidRPr="00C8169C">
        <w:rPr>
          <w:rFonts w:cstheme="minorHAnsi"/>
          <w:noProof/>
          <w:lang w:val="en-US"/>
        </w:rPr>
        <w:t>(Marklund et al., 2019; Chaguaceda et al., 2020)</w:t>
      </w:r>
      <w:r w:rsidR="00591624">
        <w:rPr>
          <w:rFonts w:cstheme="minorHAnsi"/>
          <w:lang w:val="en-US"/>
        </w:rPr>
        <w:fldChar w:fldCharType="end"/>
      </w:r>
      <w:r w:rsidR="00FD02E5">
        <w:rPr>
          <w:rFonts w:cstheme="minorHAnsi"/>
          <w:lang w:val="en-US"/>
        </w:rPr>
        <w:t xml:space="preserve">. </w:t>
      </w:r>
      <w:r w:rsidR="00C41D78">
        <w:rPr>
          <w:rFonts w:cstheme="minorHAnsi"/>
          <w:lang w:val="en-US"/>
        </w:rPr>
        <w:t xml:space="preserve">Pelagic perch have high pelagic resource reliance and a narrow niche, while littoral perch have lower pelagic resource reliance on average but a wide niche </w:t>
      </w:r>
      <w:r w:rsidR="00F73C31">
        <w:rPr>
          <w:rFonts w:cstheme="minorHAnsi"/>
          <w:lang w:val="en-US"/>
        </w:rPr>
        <w:t>resulting from</w:t>
      </w:r>
      <w:r w:rsidR="00C41D78">
        <w:rPr>
          <w:rFonts w:cstheme="minorHAnsi"/>
          <w:lang w:val="en-US"/>
        </w:rPr>
        <w:t xml:space="preserve"> a subset of littoral individuals </w:t>
      </w:r>
      <w:r w:rsidR="00F73C31">
        <w:rPr>
          <w:rFonts w:cstheme="minorHAnsi"/>
          <w:lang w:val="en-US"/>
        </w:rPr>
        <w:t xml:space="preserve">that </w:t>
      </w:r>
      <w:r w:rsidR="00D51E40">
        <w:rPr>
          <w:rFonts w:cstheme="minorHAnsi"/>
          <w:lang w:val="en-US"/>
        </w:rPr>
        <w:t xml:space="preserve">live in the littoral but forage in the pelagic </w:t>
      </w:r>
      <w:r w:rsidR="00C41D78">
        <w:rPr>
          <w:rFonts w:cstheme="minorHAnsi"/>
          <w:lang w:val="en-US"/>
        </w:rPr>
        <w:fldChar w:fldCharType="begin" w:fldLock="1"/>
      </w:r>
      <w:r w:rsidR="000B6581">
        <w:rPr>
          <w:rFonts w:cstheme="minorHAnsi"/>
          <w:lang w:val="en-US"/>
        </w:rPr>
        <w:instrText>ADDIN CSL_CITATION {"citationItems":[{"id":"ITEM-1","itemData":{"DOI":"10.1002/ece3.4973","ISSN":"20457758","abstract":"Predators should stabilize food webs because they can move between spatially separate habitats. However, predators adapted to forage on local resources may have a reduced ability to couple habitats. Here, we show clear asymmetry in the ability to couple habitats by Eurasian perch—a common polymorphic predator in European lakes. We sampled perch from two spatially separate habitats—pelagic and littoral zones—in Lake Erken, Sweden. Littoral perch showed stronger individual specialization, but they also used resources from the pelagic zone, indicating their ability to couple habitats. In contrast, pelagic perch showed weaker individual specialization but near complete reliance on pelagic resources, indicating their preference to one habitat. This asymmetry in the habitat coupling ability of perch challenges the expec‐ tation that, in general, predators should stabilize spatially separated food webs. Our results suggest that habitat coupling might be constrained by morphological adapta‐ tions, which in this case were not related to genetic differentiation but were more likely related to differences in individual specialization.","author":[{"dropping-particle":"","family":"Marklund","given":"Maria H.K.","non-dropping-particle":"","parse-names":false,"suffix":""},{"dropping-particle":"","family":"Svanbäck","given":"Richard","non-dropping-particle":"","parse-names":false,"suffix":""},{"dropping-particle":"","family":"Faulks","given":"Leanne","non-dropping-particle":"","parse-names":false,"suffix":""},{"dropping-particle":"","family":"Breed","given":"Martin F.","non-dropping-particle":"","parse-names":false,"suffix":""},{"dropping-particle":"","family":"Scharnweber","given":"Kristin","non-dropping-particle":"","parse-names":false,"suffix":""},{"dropping-particle":"","family":"Zha","given":"Yinghua","non-dropping-particle":"","parse-names":false,"suffix":""},{"dropping-particle":"","family":"Eklöv","given":"Peter","non-dropping-particle":"","parse-names":false,"suffix":""}],"container-title":"Ecology and Evolution","id":"ITEM-1","issue":"6","issued":{"date-parts":[["2019"]]},"page":"3405-3415","title":"Asymmetrical habitat coupling of an aquatic predator—The importance of individual specialization","type":"article-journal","volume":"9"},"uris":["http://www.mendeley.com/documents/?uuid=f2718611-8e12-410b-9c8c-6361a0667680"]},{"id":"ITEM-2","itemData":{"DOI":"10.1007/s10021-016-9978-x","ISBN":"1432-9840","ISSN":"1432-9840","abstract":"Increasing input of terrestrial dissolved organic carbon (DOC) has been identified as a widespread environmental phenomenon in many aquatic ecosystems. Terrestrial DOC influences basal trophic levels: it can subsidize pelagic bacterial production and impede benthic primary production via light attenuation. However, little is known about the impacts of elevated DOC concentrations on higher trophic levels, especially on top consumers. Here, we used Eurasian perch (Perca fluviatilis) to investigate the effects of increasing DOC concentrations on top predator populations. We applied stable isotope analysis and geometric mor- phometrics to estimate long-term resource and habitat utilization of perch. Habitat coupling, the ability to exploit littoral and pelagic resources, strongly decreased with increasing DOC concentrations due to a shift toward feeding predomi- nantly on pelagic resources. Simultaneously, resource use and body morphology became increasingly alike for littoral and pelagic perch populations with increasing DOC, suggesting more intense competition in lakes with high DOC. Eye size of perch increased with increasing DOC concentrations, likely as a result of deteriorating visual conditions, suggesting a sensory response to environmental change. Increasing input of DOC to aquatic ecosystems is a common result of environmental change and might affect top predator populations in multiple and complex ways. Key","author":[{"dropping-particle":"","family":"Bartels","given":"Pia","non-dropping-particle":"","parse-names":false,"suffix":""},{"dropping-particle":"","family":"Hirsch","given":"Philipp Emanuel","non-dropping-particle":"","parse-names":false,"suffix":""},{"dropping-particle":"","family":"Svanbäck","given":"Richard","non-dropping-particle":"","parse-names":false,"suffix":""},{"dropping-particle":"","family":"Eklöv","given":"Peter","non-dropping-particle":"","parse-names":false,"suffix":""}],"container-title":"Ecosystems","id":"ITEM-2","issue":"6","issued":{"date-parts":[["2016","9","12"]]},"language":"eng","note":"From Duplicate 1 (Dissolved Organic Carbon Reduces Habitat Coupling by Top Predators in Lake Ecosystems - Bartels, Pia; Hirsch, Philipp Emanuel; Svanbäck, Richard; Eklöv, Peter)\n\nFrom Duplicate 1 (Dissolved organic carbon reduces habitat coupling by top predators in lake ecosystems - Bartels, Pia; Hirsch, Philipp; Svanbäck, Richard; Eklöv, Peter)\n\n2018-06-09T21:23:55.630+02:00\n\nFrom Duplicate 2 (Dissolved Organic Carbon Reduces Habitat Coupling by Top Predators in Lake Ecosystems - Bartels, Pia; Hirsch, Philipp Emanuel; Svanbäck, Richard; Eklöv, Peter)\n\nFrom Duplicate 1 (Dissolved organic carbon reduces habitat coupling by top predators in lake ecosystems - Bartels, Pia; Hirsch, Philipp; Svanbäck, Richard; Eklöv, Peter)\n\n2018-06-09T21:23:55.630+02:00\n\nFrom Duplicate 2 (Dissolved Organic Carbon Reduces Habitat Coupling by Top Predators in Lake Ecosystems - Bartels, Pia; Hirsch, Philipp Emanuel; Svanbäck, Richard; Eklöv, Peter)\n\n2017-10-17T14:38:03.567+02:00\n\nFrom Duplicate 3 (Dissolved Organic Carbon Reduces Habitat Coupling by Top Predators in Lake Ecosystems - Bartels, Pia; Hirsch, Philipp Emanuel; Svanbäck, Richard; Eklöv, Peter)\n\n2017-10-17T14:38:03.567+02:00\n\nFrom Duplicate 2 (Dissolved Organic Carbon Reduces Habitat Coupling by Top Predators in Lake Ecosystems - Bartels, Pia; Hirsch, Philipp Emanuel; Svanbäck, Richard; Eklöv, Peter)\n\nThere is a stable isotope analysis package in R --&amp;gt; of course there is\n\nEye size of perch increased with increasing DOC concentrations.","page":"955-967","publisher-place":"Department of Ecology and Environmental Sciences, Faculty of Science and Technology, Umeå University","title":"Dissolved organic carbon reduces habitat coupling by top predators in lake ecosystems","type":"article-journal","volume":"19"},"uris":["http://www.mendeley.com/documents/?uuid=26a1cd58-1ef8-4e60-9a56-189af9fff6c4"]}],"mendeley":{"formattedCitation":"(Bartels et al., 2016; Marklund et al., 2019)","plainTextFormattedCitation":"(Bartels et al., 2016; Marklund et al., 2019)","previouslyFormattedCitation":"(Bartels et al., 2016; Marklund et al., 2019)"},"properties":{"noteIndex":0},"schema":"https://github.com/citation-style-language/schema/raw/master/csl-citation.json"}</w:instrText>
      </w:r>
      <w:r w:rsidR="00C41D78">
        <w:rPr>
          <w:rFonts w:cstheme="minorHAnsi"/>
          <w:lang w:val="en-US"/>
        </w:rPr>
        <w:fldChar w:fldCharType="separate"/>
      </w:r>
      <w:r w:rsidR="00C8169C" w:rsidRPr="00C8169C">
        <w:rPr>
          <w:rFonts w:cstheme="minorHAnsi"/>
          <w:noProof/>
          <w:lang w:val="en-US"/>
        </w:rPr>
        <w:t>(Bartels et al., 2016; Marklund et al., 2019)</w:t>
      </w:r>
      <w:r w:rsidR="00C41D78">
        <w:rPr>
          <w:rFonts w:cstheme="minorHAnsi"/>
          <w:lang w:val="en-US"/>
        </w:rPr>
        <w:fldChar w:fldCharType="end"/>
      </w:r>
      <w:r w:rsidR="00C41D78">
        <w:rPr>
          <w:rFonts w:cstheme="minorHAnsi"/>
          <w:lang w:val="en-US"/>
        </w:rPr>
        <w:t xml:space="preserve">. </w:t>
      </w:r>
      <w:r w:rsidR="001A0D4C" w:rsidRPr="003F070C">
        <w:rPr>
          <w:rFonts w:cstheme="minorHAnsi"/>
          <w:lang w:val="en-US"/>
        </w:rPr>
        <w:t xml:space="preserve">Based on this pattern, we </w:t>
      </w:r>
      <w:r w:rsidR="001A0D4C">
        <w:rPr>
          <w:rFonts w:cstheme="minorHAnsi"/>
          <w:lang w:val="en-US"/>
        </w:rPr>
        <w:t>can use</w:t>
      </w:r>
      <w:r w:rsidR="001A0D4C" w:rsidRPr="003F070C">
        <w:rPr>
          <w:rFonts w:cstheme="minorHAnsi"/>
          <w:lang w:val="en-US"/>
        </w:rPr>
        <w:t xml:space="preserve"> carbon </w:t>
      </w:r>
      <w:r w:rsidR="00050E25">
        <w:rPr>
          <w:rFonts w:cstheme="minorHAnsi"/>
          <w:lang w:val="en-US"/>
        </w:rPr>
        <w:t xml:space="preserve">stable </w:t>
      </w:r>
      <w:r w:rsidR="001A0D4C" w:rsidRPr="003F070C">
        <w:rPr>
          <w:rFonts w:cstheme="minorHAnsi"/>
          <w:lang w:val="en-US"/>
        </w:rPr>
        <w:t xml:space="preserve">isotope </w:t>
      </w:r>
      <w:r w:rsidR="00050E25">
        <w:rPr>
          <w:rFonts w:cstheme="minorHAnsi"/>
          <w:lang w:val="en-US"/>
        </w:rPr>
        <w:t>values</w:t>
      </w:r>
      <w:r w:rsidR="00C07299">
        <w:rPr>
          <w:rFonts w:cstheme="minorHAnsi"/>
          <w:lang w:val="en-US"/>
        </w:rPr>
        <w:t xml:space="preserve"> </w:t>
      </w:r>
      <w:r w:rsidR="001A0D4C" w:rsidRPr="003F070C">
        <w:rPr>
          <w:rFonts w:cstheme="minorHAnsi"/>
          <w:lang w:val="en-US"/>
        </w:rPr>
        <w:t>to group</w:t>
      </w:r>
      <w:r w:rsidR="00A340EC">
        <w:rPr>
          <w:rFonts w:cstheme="minorHAnsi"/>
          <w:lang w:val="en-US"/>
        </w:rPr>
        <w:t xml:space="preserve"> fish</w:t>
      </w:r>
      <w:r w:rsidR="001A0D4C" w:rsidRPr="003F070C">
        <w:rPr>
          <w:rFonts w:cstheme="minorHAnsi"/>
          <w:lang w:val="en-US"/>
        </w:rPr>
        <w:t xml:space="preserve"> </w:t>
      </w:r>
      <w:r w:rsidR="00A340EC">
        <w:rPr>
          <w:rFonts w:cstheme="minorHAnsi"/>
          <w:lang w:val="en-US"/>
        </w:rPr>
        <w:t>by</w:t>
      </w:r>
      <w:r w:rsidR="000C166E">
        <w:rPr>
          <w:rFonts w:cstheme="minorHAnsi"/>
          <w:lang w:val="en-US"/>
        </w:rPr>
        <w:t xml:space="preserve"> </w:t>
      </w:r>
      <w:r>
        <w:rPr>
          <w:rFonts w:cstheme="minorHAnsi"/>
          <w:lang w:val="en-US"/>
        </w:rPr>
        <w:t xml:space="preserve">their </w:t>
      </w:r>
      <w:r w:rsidR="00431C29">
        <w:rPr>
          <w:rFonts w:cstheme="minorHAnsi"/>
          <w:lang w:val="en-US"/>
        </w:rPr>
        <w:t xml:space="preserve">pelagic resource use </w:t>
      </w:r>
      <w:r>
        <w:rPr>
          <w:rFonts w:cstheme="minorHAnsi"/>
          <w:lang w:val="en-US"/>
        </w:rPr>
        <w:t xml:space="preserve">(high, mid, and low) or </w:t>
      </w:r>
      <w:r w:rsidR="00A340EC">
        <w:rPr>
          <w:rFonts w:cstheme="minorHAnsi"/>
          <w:lang w:val="en-US"/>
        </w:rPr>
        <w:t>resource use in</w:t>
      </w:r>
      <w:r w:rsidR="00431C29">
        <w:rPr>
          <w:rFonts w:cstheme="minorHAnsi"/>
          <w:lang w:val="en-US"/>
        </w:rPr>
        <w:t xml:space="preserve"> combination with habitat </w:t>
      </w:r>
      <w:r w:rsidR="001A0D4C" w:rsidRPr="003F070C">
        <w:rPr>
          <w:rFonts w:cstheme="minorHAnsi"/>
          <w:lang w:val="en-US"/>
        </w:rPr>
        <w:t>(littoral-</w:t>
      </w:r>
      <w:r w:rsidR="00C41D78">
        <w:rPr>
          <w:rFonts w:cstheme="minorHAnsi"/>
          <w:lang w:val="en-US"/>
        </w:rPr>
        <w:t>low</w:t>
      </w:r>
      <w:r w:rsidR="001A0D4C" w:rsidRPr="003F070C">
        <w:rPr>
          <w:rFonts w:cstheme="minorHAnsi"/>
          <w:lang w:val="en-US"/>
        </w:rPr>
        <w:t>, littoral-</w:t>
      </w:r>
      <w:r w:rsidR="00C41D78">
        <w:rPr>
          <w:rFonts w:cstheme="minorHAnsi"/>
          <w:lang w:val="en-US"/>
        </w:rPr>
        <w:t>high</w:t>
      </w:r>
      <w:r w:rsidR="001A0D4C" w:rsidRPr="003F070C">
        <w:rPr>
          <w:rFonts w:cstheme="minorHAnsi"/>
          <w:lang w:val="en-US"/>
        </w:rPr>
        <w:t>, and pelagic-</w:t>
      </w:r>
      <w:r w:rsidR="00C41D78">
        <w:rPr>
          <w:rFonts w:cstheme="minorHAnsi"/>
          <w:lang w:val="en-US"/>
        </w:rPr>
        <w:t>high</w:t>
      </w:r>
      <w:r w:rsidR="001A0D4C" w:rsidRPr="003F070C">
        <w:rPr>
          <w:rFonts w:cstheme="minorHAnsi"/>
          <w:lang w:val="en-US"/>
        </w:rPr>
        <w:t xml:space="preserve">) </w:t>
      </w:r>
      <w:r w:rsidR="001A0D4C">
        <w:rPr>
          <w:rFonts w:cstheme="minorHAnsi"/>
          <w:lang w:val="en-US"/>
        </w:rPr>
        <w:t xml:space="preserve">to examine whether there is a relationship between </w:t>
      </w:r>
      <w:r w:rsidR="00431C29">
        <w:rPr>
          <w:rFonts w:cstheme="minorHAnsi"/>
          <w:lang w:val="en-US"/>
        </w:rPr>
        <w:t>resource use</w:t>
      </w:r>
      <w:r w:rsidR="001A0D4C">
        <w:rPr>
          <w:rFonts w:cstheme="minorHAnsi"/>
          <w:lang w:val="en-US"/>
        </w:rPr>
        <w:t xml:space="preserve"> and metabolic rate</w:t>
      </w:r>
      <w:r w:rsidR="00A340EC">
        <w:rPr>
          <w:rFonts w:cstheme="minorHAnsi"/>
          <w:lang w:val="en-US"/>
        </w:rPr>
        <w:t>s</w:t>
      </w:r>
      <w:r w:rsidR="001A0D4C">
        <w:rPr>
          <w:rFonts w:cstheme="minorHAnsi"/>
          <w:lang w:val="en-US"/>
        </w:rPr>
        <w:t xml:space="preserve"> in our system.</w:t>
      </w:r>
      <w:r w:rsidR="00FD02E5">
        <w:rPr>
          <w:rFonts w:cstheme="minorHAnsi"/>
          <w:lang w:val="en-US"/>
        </w:rPr>
        <w:t xml:space="preserve"> </w:t>
      </w:r>
      <w:r w:rsidR="007A4F8C">
        <w:rPr>
          <w:rFonts w:cstheme="minorHAnsi"/>
          <w:lang w:val="en-US"/>
        </w:rPr>
        <w:t>Using t</w:t>
      </w:r>
      <w:r w:rsidR="00431C29">
        <w:rPr>
          <w:rFonts w:cstheme="minorHAnsi"/>
          <w:lang w:val="en-US"/>
        </w:rPr>
        <w:t>hese</w:t>
      </w:r>
      <w:r w:rsidR="00FD02E5">
        <w:rPr>
          <w:rFonts w:cstheme="minorHAnsi"/>
          <w:lang w:val="en-US"/>
        </w:rPr>
        <w:t xml:space="preserve"> </w:t>
      </w:r>
      <w:r w:rsidR="00483541">
        <w:rPr>
          <w:rFonts w:cstheme="minorHAnsi"/>
          <w:lang w:val="en-US"/>
        </w:rPr>
        <w:t>grouping</w:t>
      </w:r>
      <w:r w:rsidR="00431C29">
        <w:rPr>
          <w:rFonts w:cstheme="minorHAnsi"/>
          <w:lang w:val="en-US"/>
        </w:rPr>
        <w:t>s</w:t>
      </w:r>
      <w:r w:rsidR="00483541">
        <w:rPr>
          <w:rFonts w:cstheme="minorHAnsi"/>
          <w:lang w:val="en-US"/>
        </w:rPr>
        <w:t xml:space="preserve">, </w:t>
      </w:r>
      <w:r w:rsidR="00FD02E5">
        <w:rPr>
          <w:rFonts w:cstheme="minorHAnsi"/>
          <w:lang w:val="en-US"/>
        </w:rPr>
        <w:t xml:space="preserve">combined with </w:t>
      </w:r>
      <w:r w:rsidR="001858D9" w:rsidRPr="003F070C">
        <w:rPr>
          <w:rFonts w:cstheme="minorHAnsi"/>
          <w:lang w:val="en-US"/>
        </w:rPr>
        <w:t xml:space="preserve">geometric morphometrics and respirometry, </w:t>
      </w:r>
      <w:r w:rsidR="00FD02E5">
        <w:rPr>
          <w:rFonts w:cstheme="minorHAnsi"/>
          <w:lang w:val="en-US"/>
        </w:rPr>
        <w:t>allowed us to</w:t>
      </w:r>
      <w:r w:rsidR="001858D9" w:rsidRPr="003F070C">
        <w:rPr>
          <w:rFonts w:cstheme="minorHAnsi"/>
          <w:lang w:val="en-US"/>
        </w:rPr>
        <w:t xml:space="preserve"> explore </w:t>
      </w:r>
      <w:r w:rsidR="00AF22CC" w:rsidRPr="003F070C">
        <w:rPr>
          <w:rFonts w:cstheme="minorHAnsi"/>
          <w:lang w:val="en-US"/>
        </w:rPr>
        <w:t xml:space="preserve">the connection between metabolism and </w:t>
      </w:r>
      <w:r w:rsidR="001858D9" w:rsidRPr="003F070C">
        <w:rPr>
          <w:rFonts w:cstheme="minorHAnsi"/>
          <w:lang w:val="en-US"/>
        </w:rPr>
        <w:t>morphology, habitat use</w:t>
      </w:r>
      <w:r w:rsidR="00431C29">
        <w:rPr>
          <w:rFonts w:cstheme="minorHAnsi"/>
          <w:lang w:val="en-US"/>
        </w:rPr>
        <w:t>, and resource use</w:t>
      </w:r>
      <w:r w:rsidR="001858D9" w:rsidRPr="003F070C">
        <w:rPr>
          <w:rFonts w:cstheme="minorHAnsi"/>
          <w:lang w:val="en-US"/>
        </w:rPr>
        <w:t xml:space="preserve"> between </w:t>
      </w:r>
      <w:r w:rsidR="00AF0B25">
        <w:rPr>
          <w:rFonts w:cstheme="minorHAnsi"/>
          <w:lang w:val="en-US"/>
        </w:rPr>
        <w:t>ecotypes</w:t>
      </w:r>
      <w:r w:rsidR="001858D9" w:rsidRPr="003F070C">
        <w:rPr>
          <w:rFonts w:cstheme="minorHAnsi"/>
          <w:lang w:val="en-US"/>
        </w:rPr>
        <w:t>. We predict that pelagic perch will have higher metabolic rates</w:t>
      </w:r>
      <w:r w:rsidR="00431C29">
        <w:rPr>
          <w:rFonts w:cstheme="minorHAnsi"/>
          <w:lang w:val="en-US"/>
        </w:rPr>
        <w:t xml:space="preserve"> on average</w:t>
      </w:r>
      <w:r w:rsidR="001858D9" w:rsidRPr="003F070C">
        <w:rPr>
          <w:rFonts w:cstheme="minorHAnsi"/>
          <w:lang w:val="en-US"/>
        </w:rPr>
        <w:t xml:space="preserve"> because of their active foraging style</w:t>
      </w:r>
      <w:r w:rsidR="00D70BFA">
        <w:rPr>
          <w:rFonts w:cstheme="minorHAnsi"/>
          <w:lang w:val="en-US"/>
        </w:rPr>
        <w:t>,</w:t>
      </w:r>
      <w:r w:rsidR="001858D9" w:rsidRPr="003F070C">
        <w:rPr>
          <w:rFonts w:cstheme="minorHAnsi"/>
          <w:lang w:val="en-US"/>
        </w:rPr>
        <w:t xml:space="preserve"> but that </w:t>
      </w:r>
      <w:r w:rsidR="00431C29">
        <w:rPr>
          <w:rFonts w:cstheme="minorHAnsi"/>
          <w:lang w:val="en-US"/>
        </w:rPr>
        <w:t>when controlling for habitat</w:t>
      </w:r>
      <w:r w:rsidR="00A340EC">
        <w:rPr>
          <w:rFonts w:cstheme="minorHAnsi"/>
          <w:lang w:val="en-US"/>
        </w:rPr>
        <w:t>,</w:t>
      </w:r>
      <w:r w:rsidR="001858D9" w:rsidRPr="003F070C">
        <w:rPr>
          <w:rFonts w:cstheme="minorHAnsi"/>
          <w:lang w:val="en-US"/>
        </w:rPr>
        <w:t xml:space="preserve"> </w:t>
      </w:r>
      <w:r w:rsidR="004F5CBA">
        <w:rPr>
          <w:rFonts w:cstheme="minorHAnsi"/>
          <w:lang w:val="en-US"/>
        </w:rPr>
        <w:t>deeper-bodied</w:t>
      </w:r>
      <w:r w:rsidR="001858D9" w:rsidRPr="003F070C">
        <w:rPr>
          <w:rFonts w:cstheme="minorHAnsi"/>
          <w:lang w:val="en-US"/>
        </w:rPr>
        <w:t xml:space="preserve"> individuals will have </w:t>
      </w:r>
      <w:r w:rsidR="00A340EC">
        <w:rPr>
          <w:rFonts w:cstheme="minorHAnsi"/>
          <w:lang w:val="en-US"/>
        </w:rPr>
        <w:t xml:space="preserve">a </w:t>
      </w:r>
      <w:r w:rsidR="001858D9" w:rsidRPr="003F070C">
        <w:rPr>
          <w:rFonts w:cstheme="minorHAnsi"/>
          <w:lang w:val="en-US"/>
        </w:rPr>
        <w:t xml:space="preserve">lower SMR to compensate for the higher </w:t>
      </w:r>
      <w:r w:rsidR="00A340EC">
        <w:rPr>
          <w:rFonts w:cstheme="minorHAnsi"/>
          <w:lang w:val="en-US"/>
        </w:rPr>
        <w:t>swimming costs</w:t>
      </w:r>
      <w:r w:rsidR="001858D9" w:rsidRPr="003F070C">
        <w:rPr>
          <w:rFonts w:cstheme="minorHAnsi"/>
          <w:lang w:val="en-US"/>
        </w:rPr>
        <w:t xml:space="preserve"> associated with </w:t>
      </w:r>
      <w:r w:rsidR="00D70BFA">
        <w:rPr>
          <w:rFonts w:cstheme="minorHAnsi"/>
          <w:lang w:val="en-US"/>
        </w:rPr>
        <w:t>their morphology.</w:t>
      </w:r>
      <w:r w:rsidR="001858D9" w:rsidRPr="003F070C">
        <w:rPr>
          <w:rFonts w:cstheme="minorHAnsi"/>
          <w:lang w:val="en-US"/>
        </w:rPr>
        <w:t xml:space="preserve"> We also expect that fish living in the littoral</w:t>
      </w:r>
      <w:r w:rsidR="00AF22CC" w:rsidRPr="003F070C">
        <w:rPr>
          <w:rFonts w:cstheme="minorHAnsi"/>
          <w:lang w:val="en-US"/>
        </w:rPr>
        <w:t xml:space="preserve"> but feeding in the pelagic </w:t>
      </w:r>
      <w:r w:rsidR="001858D9" w:rsidRPr="003F070C">
        <w:rPr>
          <w:rFonts w:cstheme="minorHAnsi"/>
          <w:lang w:val="en-US"/>
        </w:rPr>
        <w:t xml:space="preserve">will </w:t>
      </w:r>
      <w:r w:rsidR="007A4F8C">
        <w:rPr>
          <w:rFonts w:cstheme="minorHAnsi"/>
          <w:lang w:val="en-US"/>
        </w:rPr>
        <w:t>have</w:t>
      </w:r>
      <w:r w:rsidR="001858D9" w:rsidRPr="003F070C">
        <w:rPr>
          <w:rFonts w:cstheme="minorHAnsi"/>
          <w:lang w:val="en-US"/>
        </w:rPr>
        <w:t xml:space="preserve"> intermediate </w:t>
      </w:r>
      <w:r w:rsidR="00ED1919" w:rsidRPr="003F070C">
        <w:rPr>
          <w:rFonts w:cstheme="minorHAnsi"/>
          <w:lang w:val="en-US"/>
        </w:rPr>
        <w:t>SMR</w:t>
      </w:r>
      <w:r w:rsidR="007A4F8C">
        <w:rPr>
          <w:rFonts w:cstheme="minorHAnsi"/>
          <w:lang w:val="en-US"/>
        </w:rPr>
        <w:t>s</w:t>
      </w:r>
      <w:r w:rsidR="001858D9" w:rsidRPr="003F070C">
        <w:rPr>
          <w:rFonts w:cstheme="minorHAnsi"/>
          <w:lang w:val="en-US"/>
        </w:rPr>
        <w:t xml:space="preserve"> reflecting their littoral habitat use but pelagic resource use. </w:t>
      </w:r>
      <w:r w:rsidR="00ED1919" w:rsidRPr="003F070C">
        <w:rPr>
          <w:rFonts w:cstheme="minorHAnsi"/>
          <w:lang w:val="en-US"/>
        </w:rPr>
        <w:t>Since MMR tends to show less plasticity</w:t>
      </w:r>
      <w:r w:rsidR="00A340EC">
        <w:rPr>
          <w:rFonts w:cstheme="minorHAnsi"/>
          <w:lang w:val="en-US"/>
        </w:rPr>
        <w:t xml:space="preserve"> </w:t>
      </w:r>
      <w:r w:rsidR="00A340EC">
        <w:rPr>
          <w:rFonts w:cstheme="minorHAnsi"/>
          <w:lang w:val="en-US"/>
        </w:rPr>
        <w:fldChar w:fldCharType="begin" w:fldLock="1"/>
      </w:r>
      <w:r w:rsidR="000B6581">
        <w:rPr>
          <w:rFonts w:cstheme="minorHAnsi"/>
          <w:lang w:val="en-US"/>
        </w:rPr>
        <w:instrText>ADDIN CSL_CITATION {"citationItems":[{"id":"ITEM-1","itemData":{"DOI":"10.1038/ncomms11447","ISSN":"2041-1723","author":[{"dropping-particle":"","family":"Sandblom","given":"Erik","non-dropping-particle":"","parse-names":false,"suffix":""},{"dropping-particle":"","family":"Clark","given":"Timothy D.","non-dropping-particle":"","parse-names":false,"suffix":""},{"dropping-particle":"","family":"Gräns","given":"Albin","non-dropping-particle":"","parse-names":false,"suffix":""},{"dropping-particle":"","family":"Ekström","given":"Andreas","non-dropping-particle":"","parse-names":false,"suffix":""},{"dropping-particle":"","family":"Brijs","given":"Jeroen","non-dropping-particle":"","parse-names":false,"suffix":""},{"dropping-particle":"","family":"Sundström","given":"L. Fredrik","non-dropping-particle":"","parse-names":false,"suffix":""},{"dropping-particle":"","family":"Odelström","given":"Anne","non-dropping-particle":"","parse-names":false,"suffix":""},{"dropping-particle":"","family":"Adill","given":"Anders","non-dropping-particle":"","parse-names":false,"suffix":""},{"dropping-particle":"","family":"Aho","given":"Teija","non-dropping-particle":"","parse-names":false,"suffix":""},{"dropping-particle":"","family":"Jutfelt","given":"Fredrik","non-dropping-particle":"","parse-names":false,"suffix":""}],"container-title":"Nature Communications","id":"ITEM-1","issue":"7491","issued":{"date-parts":[["2016"]]},"note":"Super applicable, also has a lot of the methods we are planning to use. I wonder if there are any other systems like this located further south.... Germany or France perhaps.","page":"1-8","title":"Physiological constraints to climate warming in fish follow principles of plastic floors and concrete ceilings","type":"article-journal","volume":"7"},"uris":["http://www.mendeley.com/documents/?uuid=ab949b0f-ce19-47f9-b3ff-11279214f0ca"]},{"id":"ITEM-2","itemData":{"DOI":"10.1098/rsbl.2016.0586","ISSN":"1744-9561","abstract":"Metabolic rates reflect the energetic cost of living but exhibit remarkable variation among conspecifics, partly as a result of the constraints imposed by environmental conditions. Metabolic rates are sensitive to changes in temperature and oxygen availability, but effects of food availability, particularly on maximum metabolic rates, are not well understood. Here, we show in brown trout ( Salmo trutta ) that maximum metabolic rates are immutable but minimum metabolic rates increase as a positive function of food availability. As a result, aerobic scope (i.e. the capacity to elevate metabolism above baseline requirements) declines as food availability increases. These differential changes in metabolic rates likely have important consequences for how organisms partition available metabolic power to different functions under the constraints imposed by food availability.","author":[{"dropping-particle":"","family":"Auer","given":"Sonya K.","non-dropping-particle":"","parse-names":false,"suffix":""},{"dropping-particle":"","family":"Salin","given":"Karine","non-dropping-particle":"","parse-names":false,"suffix":""},{"dropping-particle":"","family":"Rudolf","given":"Agata M.","non-dropping-particle":"","parse-names":false,"suffix":""},{"dropping-particle":"","family":"Anderson","given":"Graeme J.","non-dropping-particle":"","parse-names":false,"suffix":""},{"dropping-particle":"","family":"Metcalfe","given":"Neil B.","non-dropping-particle":"","parse-names":false,"suffix":""}],"container-title":"Biology Letters","id":"ITEM-2","issue":"10","issued":{"date-parts":[["2016","10"]]},"page":"20160586","title":"Differential effects of food availability on minimum and maximum rates of metabolism","type":"article-journal","volume":"12"},"uris":["http://www.mendeley.com/documents/?uuid=3e2da4ac-e5f2-4ca4-a1e0-26a969da080f"]}],"mendeley":{"formattedCitation":"(Auer et al., 2016; Sandblom et al., 2016)","plainTextFormattedCitation":"(Auer et al., 2016; Sandblom et al., 2016)","previouslyFormattedCitation":"(Auer et al., 2016; Sandblom et al., 2016)"},"properties":{"noteIndex":0},"schema":"https://github.com/citation-style-language/schema/raw/master/csl-citation.json"}</w:instrText>
      </w:r>
      <w:r w:rsidR="00A340EC">
        <w:rPr>
          <w:rFonts w:cstheme="minorHAnsi"/>
          <w:lang w:val="en-US"/>
        </w:rPr>
        <w:fldChar w:fldCharType="separate"/>
      </w:r>
      <w:r w:rsidR="00C8169C" w:rsidRPr="00C8169C">
        <w:rPr>
          <w:rFonts w:cstheme="minorHAnsi"/>
          <w:noProof/>
          <w:lang w:val="en-US"/>
        </w:rPr>
        <w:t>(Auer et al., 2016; Sandblom et al., 2016)</w:t>
      </w:r>
      <w:r w:rsidR="00A340EC">
        <w:rPr>
          <w:rFonts w:cstheme="minorHAnsi"/>
          <w:lang w:val="en-US"/>
        </w:rPr>
        <w:fldChar w:fldCharType="end"/>
      </w:r>
      <w:r w:rsidR="00D855FC" w:rsidRPr="003F070C">
        <w:rPr>
          <w:rFonts w:cstheme="minorHAnsi"/>
          <w:lang w:val="en-US"/>
        </w:rPr>
        <w:t>,</w:t>
      </w:r>
      <w:r w:rsidR="00ED1919" w:rsidRPr="003F070C">
        <w:rPr>
          <w:rFonts w:cstheme="minorHAnsi"/>
          <w:lang w:val="en-US"/>
        </w:rPr>
        <w:t xml:space="preserve"> we </w:t>
      </w:r>
      <w:r w:rsidR="00D855FC" w:rsidRPr="003F070C">
        <w:rPr>
          <w:rFonts w:cstheme="minorHAnsi"/>
          <w:lang w:val="en-US"/>
        </w:rPr>
        <w:t>do not</w:t>
      </w:r>
      <w:r w:rsidR="00ED1919" w:rsidRPr="003F070C">
        <w:rPr>
          <w:rFonts w:cstheme="minorHAnsi"/>
          <w:lang w:val="en-US"/>
        </w:rPr>
        <w:t xml:space="preserve"> expect that MMR will covary with </w:t>
      </w:r>
      <w:r w:rsidR="00D70BFA">
        <w:rPr>
          <w:rFonts w:cstheme="minorHAnsi"/>
          <w:lang w:val="en-US"/>
        </w:rPr>
        <w:t>resource use</w:t>
      </w:r>
      <w:r w:rsidR="00ED1919" w:rsidRPr="003F070C">
        <w:rPr>
          <w:rFonts w:cstheme="minorHAnsi"/>
          <w:lang w:val="en-US"/>
        </w:rPr>
        <w:t xml:space="preserve"> or morphology and that AS will therefore respond </w:t>
      </w:r>
      <w:r w:rsidR="00431C29" w:rsidRPr="003F070C">
        <w:rPr>
          <w:rFonts w:cstheme="minorHAnsi"/>
          <w:lang w:val="en-US"/>
        </w:rPr>
        <w:t>similarly</w:t>
      </w:r>
      <w:r w:rsidR="00D70BFA">
        <w:rPr>
          <w:rFonts w:cstheme="minorHAnsi"/>
          <w:lang w:val="en-US"/>
        </w:rPr>
        <w:t xml:space="preserve"> </w:t>
      </w:r>
      <w:r w:rsidR="00ED1919" w:rsidRPr="003F070C">
        <w:rPr>
          <w:rFonts w:cstheme="minorHAnsi"/>
          <w:lang w:val="en-US"/>
        </w:rPr>
        <w:t>to SMR.</w:t>
      </w:r>
      <w:r w:rsidR="00CF371C" w:rsidRPr="003F070C">
        <w:rPr>
          <w:rFonts w:cstheme="minorHAnsi"/>
          <w:lang w:val="en-US"/>
        </w:rPr>
        <w:t xml:space="preserve"> </w:t>
      </w:r>
    </w:p>
    <w:p w14:paraId="0011EFD4" w14:textId="77777777" w:rsidR="001858D9" w:rsidRPr="009F7ED9" w:rsidRDefault="001858D9" w:rsidP="007F1711">
      <w:pPr>
        <w:pStyle w:val="Heading1"/>
        <w:spacing w:line="480" w:lineRule="auto"/>
        <w:jc w:val="both"/>
      </w:pPr>
      <w:r w:rsidRPr="009F7ED9">
        <w:rPr>
          <w:color w:val="000000" w:themeColor="text1"/>
        </w:rPr>
        <w:t>Materials and methods</w:t>
      </w:r>
      <w:r w:rsidRPr="009F7ED9">
        <w:tab/>
      </w:r>
    </w:p>
    <w:p w14:paraId="4B2A35B0" w14:textId="7E802527" w:rsidR="001858D9" w:rsidRPr="003F070C" w:rsidRDefault="001858D9" w:rsidP="007F1711">
      <w:pPr>
        <w:spacing w:line="480" w:lineRule="auto"/>
        <w:jc w:val="both"/>
        <w:rPr>
          <w:rFonts w:cstheme="minorHAnsi"/>
          <w:color w:val="000000"/>
          <w:lang w:val="en-US"/>
        </w:rPr>
      </w:pPr>
      <w:r w:rsidRPr="003F070C">
        <w:rPr>
          <w:rStyle w:val="Standardstycketeckensnitt1"/>
          <w:rFonts w:cstheme="minorHAnsi"/>
          <w:lang w:val="en-US"/>
        </w:rPr>
        <w:t xml:space="preserve">All fish collection and experiments were performed under evaluation and permission from the Uppsala authority for ethics of animal experimentation </w:t>
      </w:r>
      <w:r w:rsidRPr="003F070C">
        <w:rPr>
          <w:rFonts w:cstheme="minorHAnsi"/>
          <w:lang w:val="en-US"/>
        </w:rPr>
        <w:t xml:space="preserve">(ethics </w:t>
      </w:r>
      <w:r w:rsidR="00D855FC" w:rsidRPr="003F070C">
        <w:rPr>
          <w:rFonts w:cstheme="minorHAnsi"/>
          <w:lang w:val="en-US"/>
        </w:rPr>
        <w:t>license</w:t>
      </w:r>
      <w:r w:rsidRPr="003F070C">
        <w:rPr>
          <w:rFonts w:cstheme="minorHAnsi"/>
          <w:lang w:val="en-US"/>
        </w:rPr>
        <w:t xml:space="preserve"> #</w:t>
      </w:r>
      <w:r w:rsidRPr="003F070C">
        <w:rPr>
          <w:rFonts w:cstheme="minorHAnsi"/>
          <w:color w:val="000000"/>
          <w:lang w:val="en-US"/>
        </w:rPr>
        <w:t>C59/15).</w:t>
      </w:r>
    </w:p>
    <w:p w14:paraId="2D5A7815" w14:textId="77777777" w:rsidR="001858D9" w:rsidRPr="009F7ED9" w:rsidRDefault="001858D9" w:rsidP="007F1711">
      <w:pPr>
        <w:pStyle w:val="Heading2"/>
        <w:spacing w:line="480" w:lineRule="auto"/>
        <w:jc w:val="both"/>
        <w:rPr>
          <w:color w:val="000000" w:themeColor="text1"/>
        </w:rPr>
      </w:pPr>
      <w:r w:rsidRPr="009F7ED9">
        <w:rPr>
          <w:color w:val="000000" w:themeColor="text1"/>
        </w:rPr>
        <w:lastRenderedPageBreak/>
        <w:t xml:space="preserve">Fish collection and husbandry </w:t>
      </w:r>
    </w:p>
    <w:p w14:paraId="2460E636" w14:textId="42EE14A5" w:rsidR="00AE1BDE" w:rsidRDefault="001858D9" w:rsidP="007F1711">
      <w:pPr>
        <w:spacing w:line="480" w:lineRule="auto"/>
        <w:jc w:val="both"/>
        <w:rPr>
          <w:rFonts w:cstheme="minorHAnsi"/>
          <w:lang w:val="en-US"/>
        </w:rPr>
      </w:pPr>
      <w:r w:rsidRPr="003F070C">
        <w:rPr>
          <w:rFonts w:cstheme="minorHAnsi"/>
          <w:lang w:val="en-US"/>
        </w:rPr>
        <w:t>Perch were collected</w:t>
      </w:r>
      <w:r w:rsidR="00B02BCE">
        <w:rPr>
          <w:rFonts w:cstheme="minorHAnsi"/>
          <w:lang w:val="en-US"/>
        </w:rPr>
        <w:t xml:space="preserve"> </w:t>
      </w:r>
      <w:r w:rsidR="00B02BCE" w:rsidRPr="003F070C">
        <w:rPr>
          <w:rFonts w:cstheme="minorHAnsi"/>
          <w:lang w:val="en-US"/>
        </w:rPr>
        <w:t>between August 21st and 28</w:t>
      </w:r>
      <w:r w:rsidR="00B02BCE" w:rsidRPr="003F070C">
        <w:rPr>
          <w:rFonts w:cstheme="minorHAnsi"/>
          <w:vertAlign w:val="superscript"/>
          <w:lang w:val="en-US"/>
        </w:rPr>
        <w:t>th</w:t>
      </w:r>
      <w:r w:rsidR="00B02BCE" w:rsidRPr="003F070C">
        <w:rPr>
          <w:rFonts w:cstheme="minorHAnsi"/>
          <w:lang w:val="en-US"/>
        </w:rPr>
        <w:t xml:space="preserve"> 2018</w:t>
      </w:r>
      <w:r w:rsidR="004F5CBA">
        <w:rPr>
          <w:rFonts w:cstheme="minorHAnsi"/>
          <w:lang w:val="en-US"/>
        </w:rPr>
        <w:t>,</w:t>
      </w:r>
      <w:r w:rsidR="00B02BCE" w:rsidRPr="003F070C">
        <w:rPr>
          <w:rFonts w:cstheme="minorHAnsi"/>
          <w:lang w:val="en-US"/>
        </w:rPr>
        <w:t xml:space="preserve"> </w:t>
      </w:r>
      <w:r w:rsidRPr="003F070C">
        <w:rPr>
          <w:rFonts w:cstheme="minorHAnsi"/>
          <w:lang w:val="en-US"/>
        </w:rPr>
        <w:t>from lake Erken</w:t>
      </w:r>
      <w:r w:rsidR="00B02BCE">
        <w:rPr>
          <w:rFonts w:cstheme="minorHAnsi"/>
          <w:lang w:val="en-US"/>
        </w:rPr>
        <w:t xml:space="preserve"> </w:t>
      </w:r>
      <w:r w:rsidRPr="003F070C">
        <w:rPr>
          <w:rFonts w:cstheme="minorHAnsi"/>
          <w:lang w:val="en-US"/>
        </w:rPr>
        <w:t>(</w:t>
      </w:r>
      <w:r w:rsidR="00856D40">
        <w:rPr>
          <w:rFonts w:cstheme="minorHAnsi"/>
          <w:lang w:val="en-US"/>
        </w:rPr>
        <w:t>59°50'09.6''N</w:t>
      </w:r>
      <w:r w:rsidRPr="003F070C">
        <w:rPr>
          <w:rFonts w:cstheme="minorHAnsi"/>
          <w:lang w:val="en-US"/>
        </w:rPr>
        <w:t xml:space="preserve">, </w:t>
      </w:r>
      <w:r w:rsidR="00856D40">
        <w:rPr>
          <w:rFonts w:cstheme="minorHAnsi"/>
          <w:lang w:val="en-US"/>
        </w:rPr>
        <w:t>18°37'52.3''E</w:t>
      </w:r>
      <w:r w:rsidRPr="003F070C">
        <w:rPr>
          <w:rFonts w:cstheme="minorHAnsi"/>
          <w:lang w:val="en-US"/>
        </w:rPr>
        <w:t>)</w:t>
      </w:r>
      <w:r w:rsidR="004F5CBA">
        <w:rPr>
          <w:rFonts w:cstheme="minorHAnsi"/>
          <w:lang w:val="en-US"/>
        </w:rPr>
        <w:t>,</w:t>
      </w:r>
      <w:r w:rsidRPr="003F070C">
        <w:rPr>
          <w:rFonts w:cstheme="minorHAnsi"/>
          <w:lang w:val="en-US"/>
        </w:rPr>
        <w:t xml:space="preserve"> </w:t>
      </w:r>
      <w:r w:rsidR="00B02BCE" w:rsidRPr="003F070C">
        <w:rPr>
          <w:rFonts w:cstheme="minorHAnsi"/>
          <w:lang w:val="en-US"/>
        </w:rPr>
        <w:t>a mid-sized (</w:t>
      </w:r>
      <w:r w:rsidR="00CC5FC1">
        <w:rPr>
          <w:rFonts w:cstheme="minorHAnsi"/>
          <w:lang w:val="en-US"/>
        </w:rPr>
        <w:t>2</w:t>
      </w:r>
      <w:r w:rsidR="00B02BCE" w:rsidRPr="003F070C">
        <w:rPr>
          <w:rFonts w:cstheme="minorHAnsi"/>
          <w:lang w:val="en-US"/>
        </w:rPr>
        <w:t>3.7 km</w:t>
      </w:r>
      <w:r w:rsidR="00B02BCE" w:rsidRPr="003F070C">
        <w:rPr>
          <w:rFonts w:cstheme="minorHAnsi"/>
          <w:vertAlign w:val="superscript"/>
          <w:lang w:val="en-US"/>
        </w:rPr>
        <w:t>2</w:t>
      </w:r>
      <w:r w:rsidR="00B02BCE" w:rsidRPr="003F070C">
        <w:rPr>
          <w:rFonts w:cstheme="minorHAnsi"/>
          <w:lang w:val="en-US"/>
        </w:rPr>
        <w:t xml:space="preserve">) mesotrophic lake </w:t>
      </w:r>
      <w:r w:rsidRPr="003F070C">
        <w:rPr>
          <w:rFonts w:cstheme="minorHAnsi"/>
          <w:lang w:val="en-US"/>
        </w:rPr>
        <w:t xml:space="preserve">in Central Sweden. </w:t>
      </w:r>
      <w:r w:rsidR="004826DD">
        <w:rPr>
          <w:rFonts w:cstheme="minorHAnsi"/>
          <w:lang w:val="en-US"/>
        </w:rPr>
        <w:t xml:space="preserve">Littoral </w:t>
      </w:r>
      <w:r w:rsidR="00C538FC">
        <w:rPr>
          <w:rFonts w:cstheme="minorHAnsi"/>
          <w:lang w:val="en-US"/>
        </w:rPr>
        <w:t>p</w:t>
      </w:r>
      <w:r w:rsidRPr="003F070C">
        <w:rPr>
          <w:rFonts w:cstheme="minorHAnsi"/>
          <w:lang w:val="en-US"/>
        </w:rPr>
        <w:t xml:space="preserve">erch were caught </w:t>
      </w:r>
      <w:r w:rsidR="00990031">
        <w:rPr>
          <w:rFonts w:cstheme="minorHAnsi"/>
          <w:lang w:val="en-US"/>
        </w:rPr>
        <w:t>in</w:t>
      </w:r>
      <w:r w:rsidRPr="003F070C">
        <w:rPr>
          <w:rFonts w:cstheme="minorHAnsi"/>
          <w:lang w:val="en-US"/>
        </w:rPr>
        <w:t xml:space="preserve"> </w:t>
      </w:r>
      <w:r w:rsidR="00990031">
        <w:rPr>
          <w:rFonts w:cstheme="minorHAnsi"/>
          <w:lang w:val="en-US"/>
        </w:rPr>
        <w:t xml:space="preserve">~2 m deep </w:t>
      </w:r>
      <w:r w:rsidR="008314E3">
        <w:rPr>
          <w:rFonts w:cstheme="minorHAnsi"/>
          <w:lang w:val="en-US"/>
        </w:rPr>
        <w:t xml:space="preserve">vegetated areas </w:t>
      </w:r>
      <w:r w:rsidR="00143246">
        <w:rPr>
          <w:rFonts w:cstheme="minorHAnsi"/>
          <w:lang w:val="en-US"/>
        </w:rPr>
        <w:t>along the shore</w:t>
      </w:r>
      <w:r w:rsidR="008314E3">
        <w:rPr>
          <w:rFonts w:cstheme="minorHAnsi"/>
          <w:lang w:val="en-US"/>
        </w:rPr>
        <w:t>line</w:t>
      </w:r>
      <w:r w:rsidR="004F5CBA">
        <w:rPr>
          <w:rFonts w:cstheme="minorHAnsi"/>
          <w:lang w:val="en-US"/>
        </w:rPr>
        <w:t>,</w:t>
      </w:r>
      <w:r w:rsidR="00990031">
        <w:rPr>
          <w:rFonts w:cstheme="minorHAnsi"/>
          <w:lang w:val="en-US"/>
        </w:rPr>
        <w:t xml:space="preserve"> </w:t>
      </w:r>
      <w:r w:rsidRPr="003F070C">
        <w:rPr>
          <w:rFonts w:cstheme="minorHAnsi"/>
          <w:lang w:val="en-US"/>
        </w:rPr>
        <w:t>and pelagic</w:t>
      </w:r>
      <w:r w:rsidR="008314E3">
        <w:rPr>
          <w:rFonts w:cstheme="minorHAnsi"/>
          <w:lang w:val="en-US"/>
        </w:rPr>
        <w:t xml:space="preserve"> </w:t>
      </w:r>
      <w:r w:rsidR="00C538FC">
        <w:rPr>
          <w:rFonts w:cstheme="minorHAnsi"/>
          <w:lang w:val="en-US"/>
        </w:rPr>
        <w:t>perch were caught</w:t>
      </w:r>
      <w:r w:rsidR="00990031">
        <w:rPr>
          <w:rFonts w:cstheme="minorHAnsi"/>
          <w:lang w:val="en-US"/>
        </w:rPr>
        <w:t xml:space="preserve"> in the top 5 m of the pelagic zone,</w:t>
      </w:r>
      <w:r w:rsidR="00C538FC">
        <w:rPr>
          <w:rFonts w:cstheme="minorHAnsi"/>
          <w:lang w:val="en-US"/>
        </w:rPr>
        <w:t xml:space="preserve"> </w:t>
      </w:r>
      <w:r w:rsidR="008314E3">
        <w:rPr>
          <w:rFonts w:cstheme="minorHAnsi"/>
          <w:lang w:val="en-US"/>
        </w:rPr>
        <w:t xml:space="preserve">200-500 m from shore, </w:t>
      </w:r>
      <w:r w:rsidR="00990031">
        <w:rPr>
          <w:rFonts w:cstheme="minorHAnsi"/>
          <w:lang w:val="en-US"/>
        </w:rPr>
        <w:t xml:space="preserve">in an area </w:t>
      </w:r>
      <w:r w:rsidR="008314E3">
        <w:rPr>
          <w:rFonts w:cstheme="minorHAnsi"/>
          <w:lang w:val="en-US"/>
        </w:rPr>
        <w:t>~ 9 m deep</w:t>
      </w:r>
      <w:r w:rsidRPr="003F070C">
        <w:rPr>
          <w:rFonts w:cstheme="minorHAnsi"/>
          <w:lang w:val="en-US"/>
        </w:rPr>
        <w:t>.</w:t>
      </w:r>
      <w:r w:rsidR="00990031">
        <w:rPr>
          <w:rFonts w:cstheme="minorHAnsi"/>
          <w:lang w:val="en-US"/>
        </w:rPr>
        <w:t xml:space="preserve"> All fish were caught via angling with barbless hooks during daylight hours.</w:t>
      </w:r>
      <w:r w:rsidRPr="003F070C">
        <w:rPr>
          <w:rFonts w:cstheme="minorHAnsi"/>
          <w:lang w:val="en-US"/>
        </w:rPr>
        <w:t xml:space="preserve"> </w:t>
      </w:r>
      <w:r w:rsidR="00C538FC">
        <w:rPr>
          <w:rFonts w:cstheme="minorHAnsi"/>
          <w:lang w:val="en-US"/>
        </w:rPr>
        <w:t>The fish</w:t>
      </w:r>
      <w:r w:rsidR="00C538FC" w:rsidRPr="003F070C">
        <w:rPr>
          <w:rFonts w:cstheme="minorHAnsi"/>
          <w:lang w:val="en-US"/>
        </w:rPr>
        <w:t xml:space="preserve"> </w:t>
      </w:r>
      <w:r w:rsidRPr="003F070C">
        <w:rPr>
          <w:rFonts w:cstheme="minorHAnsi"/>
          <w:lang w:val="en-US"/>
        </w:rPr>
        <w:t xml:space="preserve">were transported to the Uppsala University aquarium facility </w:t>
      </w:r>
      <w:r w:rsidR="00990031">
        <w:rPr>
          <w:rFonts w:cstheme="minorHAnsi"/>
          <w:lang w:val="en-US"/>
        </w:rPr>
        <w:t>in</w:t>
      </w:r>
      <w:r w:rsidRPr="003F070C">
        <w:rPr>
          <w:rFonts w:cstheme="minorHAnsi"/>
          <w:lang w:val="en-US"/>
        </w:rPr>
        <w:t xml:space="preserve"> cooled and aerated boxes. Following transport, individuals were </w:t>
      </w:r>
      <w:r w:rsidR="00D855FC" w:rsidRPr="003F070C">
        <w:rPr>
          <w:rFonts w:cstheme="minorHAnsi"/>
          <w:lang w:val="en-US"/>
        </w:rPr>
        <w:t>anesthetized</w:t>
      </w:r>
      <w:r w:rsidRPr="003F070C">
        <w:rPr>
          <w:rFonts w:cstheme="minorHAnsi"/>
          <w:lang w:val="en-US"/>
        </w:rPr>
        <w:t xml:space="preserve"> using 60 mg L</w:t>
      </w:r>
      <w:r w:rsidRPr="003F070C">
        <w:rPr>
          <w:rFonts w:cstheme="minorHAnsi"/>
          <w:vertAlign w:val="superscript"/>
          <w:lang w:val="en-US"/>
        </w:rPr>
        <w:t xml:space="preserve">-1 </w:t>
      </w:r>
      <w:r w:rsidR="001134F5">
        <w:rPr>
          <w:rFonts w:cstheme="minorHAnsi"/>
          <w:lang w:val="en-US"/>
        </w:rPr>
        <w:t>b</w:t>
      </w:r>
      <w:r w:rsidRPr="003F070C">
        <w:rPr>
          <w:rFonts w:cstheme="minorHAnsi"/>
          <w:lang w:val="en-US"/>
        </w:rPr>
        <w:t xml:space="preserve">enzocaine, weighed (g), tagged with </w:t>
      </w:r>
      <w:r w:rsidR="00D855FC" w:rsidRPr="003F070C">
        <w:rPr>
          <w:rFonts w:cstheme="minorHAnsi"/>
          <w:lang w:val="en-US"/>
        </w:rPr>
        <w:t>colored</w:t>
      </w:r>
      <w:r w:rsidRPr="003F070C">
        <w:rPr>
          <w:rFonts w:cstheme="minorHAnsi"/>
          <w:lang w:val="en-US"/>
        </w:rPr>
        <w:t xml:space="preserve"> elastomer</w:t>
      </w:r>
      <w:r w:rsidR="00CC5FC1">
        <w:rPr>
          <w:rFonts w:cstheme="minorHAnsi"/>
          <w:lang w:val="en-US"/>
        </w:rPr>
        <w:t xml:space="preserve"> </w:t>
      </w:r>
      <w:r w:rsidR="00A340EC" w:rsidRPr="00A340EC">
        <w:rPr>
          <w:rFonts w:cstheme="minorHAnsi"/>
          <w:lang w:val="en-US"/>
        </w:rPr>
        <w:t>(Northwest Marine Technology Inc</w:t>
      </w:r>
      <w:r w:rsidR="004257DF">
        <w:rPr>
          <w:rFonts w:cstheme="minorHAnsi"/>
          <w:lang w:val="en-US"/>
        </w:rPr>
        <w:t xml:space="preserve">, </w:t>
      </w:r>
      <w:r w:rsidR="00985BD6">
        <w:rPr>
          <w:rFonts w:cstheme="minorHAnsi"/>
          <w:lang w:val="en-US"/>
        </w:rPr>
        <w:t>Anacortes, WA</w:t>
      </w:r>
      <w:r w:rsidR="004257DF">
        <w:rPr>
          <w:rFonts w:cstheme="minorHAnsi"/>
          <w:lang w:val="en-US"/>
        </w:rPr>
        <w:t>, USA</w:t>
      </w:r>
      <w:r w:rsidR="00A340EC" w:rsidRPr="00A340EC">
        <w:rPr>
          <w:rFonts w:cstheme="minorHAnsi"/>
          <w:lang w:val="en-US"/>
        </w:rPr>
        <w:t xml:space="preserve">) </w:t>
      </w:r>
      <w:r w:rsidRPr="003F070C">
        <w:rPr>
          <w:rFonts w:cstheme="minorHAnsi"/>
          <w:lang w:val="en-US"/>
        </w:rPr>
        <w:t xml:space="preserve">at the base of their caudal fin, and photographed on their left side. </w:t>
      </w:r>
      <w:r w:rsidR="00D855FC" w:rsidRPr="003F070C">
        <w:rPr>
          <w:rFonts w:cstheme="minorHAnsi"/>
          <w:lang w:val="en-US"/>
        </w:rPr>
        <w:t>103</w:t>
      </w:r>
      <w:r w:rsidRPr="003F070C">
        <w:rPr>
          <w:rFonts w:cstheme="minorHAnsi"/>
          <w:lang w:val="en-US"/>
        </w:rPr>
        <w:t xml:space="preserve"> perch (</w:t>
      </w:r>
      <w:r w:rsidR="00D855FC" w:rsidRPr="003F070C">
        <w:rPr>
          <w:rFonts w:cstheme="minorHAnsi"/>
          <w:lang w:val="en-US"/>
        </w:rPr>
        <w:t>53</w:t>
      </w:r>
      <w:r w:rsidRPr="003F070C">
        <w:rPr>
          <w:rFonts w:cstheme="minorHAnsi"/>
          <w:lang w:val="en-US"/>
        </w:rPr>
        <w:t xml:space="preserve"> littoral, </w:t>
      </w:r>
      <w:r w:rsidR="00D855FC" w:rsidRPr="003F070C">
        <w:rPr>
          <w:rFonts w:cstheme="minorHAnsi"/>
          <w:lang w:val="en-US"/>
        </w:rPr>
        <w:t>50</w:t>
      </w:r>
      <w:r w:rsidRPr="003F070C">
        <w:rPr>
          <w:rFonts w:cstheme="minorHAnsi"/>
          <w:lang w:val="en-US"/>
        </w:rPr>
        <w:t xml:space="preserve"> pelagic) were tagged and photographed for morphometrics since this technique is known to be sensitive to small sample size. </w:t>
      </w:r>
      <w:r w:rsidR="00903210" w:rsidRPr="003F070C">
        <w:rPr>
          <w:rFonts w:cstheme="minorHAnsi"/>
          <w:lang w:val="en-US"/>
        </w:rPr>
        <w:t>ṀO</w:t>
      </w:r>
      <w:r w:rsidR="00903210" w:rsidRPr="00C07299">
        <w:rPr>
          <w:rFonts w:cstheme="minorHAnsi"/>
          <w:vertAlign w:val="subscript"/>
          <w:lang w:val="en-US"/>
        </w:rPr>
        <w:t>2</w:t>
      </w:r>
      <w:r w:rsidR="00903210">
        <w:rPr>
          <w:rFonts w:cstheme="minorHAnsi"/>
          <w:vertAlign w:val="subscript"/>
          <w:lang w:val="en-US"/>
        </w:rPr>
        <w:t xml:space="preserve"> </w:t>
      </w:r>
      <w:r w:rsidR="004B51BD">
        <w:rPr>
          <w:rFonts w:cstheme="minorHAnsi"/>
          <w:lang w:val="en-US"/>
        </w:rPr>
        <w:t>and isotope composition was measured in a</w:t>
      </w:r>
      <w:r w:rsidRPr="003F070C">
        <w:rPr>
          <w:rFonts w:cstheme="minorHAnsi"/>
          <w:lang w:val="en-US"/>
        </w:rPr>
        <w:t xml:space="preserve"> subset of these fish (littoral: n = 22,</w:t>
      </w:r>
      <w:r w:rsidR="00C07299">
        <w:rPr>
          <w:rFonts w:cstheme="minorHAnsi"/>
          <w:lang w:val="en-US"/>
        </w:rPr>
        <w:t xml:space="preserve"> </w:t>
      </w:r>
      <w:r w:rsidRPr="003F070C">
        <w:rPr>
          <w:rFonts w:cstheme="minorHAnsi"/>
          <w:lang w:val="en-US"/>
        </w:rPr>
        <w:t>137 ± 17 mm</w:t>
      </w:r>
      <w:r w:rsidR="001134F5">
        <w:rPr>
          <w:rFonts w:cstheme="minorHAnsi"/>
          <w:lang w:val="en-US"/>
        </w:rPr>
        <w:t xml:space="preserve"> </w:t>
      </w:r>
      <w:r w:rsidR="001134F5" w:rsidRPr="001134F5">
        <w:rPr>
          <w:rFonts w:cstheme="minorHAnsi"/>
          <w:lang w:val="en-US"/>
        </w:rPr>
        <w:t>(mean ± standard deviations (SD))</w:t>
      </w:r>
      <w:r w:rsidRPr="003F070C">
        <w:rPr>
          <w:rFonts w:cstheme="minorHAnsi"/>
          <w:lang w:val="en-US"/>
        </w:rPr>
        <w:t xml:space="preserve">, 254 ± 9 g, pelagic: n = </w:t>
      </w:r>
      <w:r w:rsidR="00990031">
        <w:rPr>
          <w:rFonts w:cstheme="minorHAnsi"/>
          <w:lang w:val="en-US"/>
        </w:rPr>
        <w:t>29</w:t>
      </w:r>
      <w:r w:rsidRPr="003F070C">
        <w:rPr>
          <w:rFonts w:cstheme="minorHAnsi"/>
          <w:lang w:val="en-US"/>
        </w:rPr>
        <w:t>, 135 ± 17 mm, 237 ± 9 g</w:t>
      </w:r>
      <w:r w:rsidR="001134F5">
        <w:rPr>
          <w:rFonts w:cstheme="minorHAnsi"/>
          <w:lang w:val="en-US"/>
        </w:rPr>
        <w:t>)</w:t>
      </w:r>
      <w:r w:rsidRPr="003F070C">
        <w:rPr>
          <w:rFonts w:cstheme="minorHAnsi"/>
          <w:lang w:val="en-US"/>
        </w:rPr>
        <w:t xml:space="preserve">. Individuals were housed with </w:t>
      </w:r>
      <w:r w:rsidR="00483541">
        <w:rPr>
          <w:rFonts w:cstheme="minorHAnsi"/>
          <w:lang w:val="en-US"/>
        </w:rPr>
        <w:t>similar-sized</w:t>
      </w:r>
      <w:r w:rsidRPr="003F070C">
        <w:rPr>
          <w:rFonts w:cstheme="minorHAnsi"/>
          <w:lang w:val="en-US"/>
        </w:rPr>
        <w:t xml:space="preserve"> conspecifics in 105L (75 x 40 x 35</w:t>
      </w:r>
      <w:r w:rsidR="009D117B">
        <w:rPr>
          <w:rFonts w:cstheme="minorHAnsi"/>
          <w:lang w:val="en-US"/>
        </w:rPr>
        <w:t xml:space="preserve"> </w:t>
      </w:r>
      <w:r w:rsidRPr="003F070C">
        <w:rPr>
          <w:rFonts w:cstheme="minorHAnsi"/>
          <w:lang w:val="en-US"/>
        </w:rPr>
        <w:t>cm), flow-through aquaria with the bottom covered by a 3 cm thick layer of sand</w:t>
      </w:r>
      <w:r w:rsidR="00483541">
        <w:rPr>
          <w:rFonts w:cstheme="minorHAnsi"/>
          <w:lang w:val="en-US"/>
        </w:rPr>
        <w:t>,</w:t>
      </w:r>
      <w:r w:rsidRPr="003F070C">
        <w:rPr>
          <w:rFonts w:cstheme="minorHAnsi"/>
          <w:lang w:val="en-US"/>
        </w:rPr>
        <w:t xml:space="preserve"> and fed to satiation daily </w:t>
      </w:r>
      <w:r w:rsidR="00D32E45">
        <w:rPr>
          <w:rFonts w:cstheme="minorHAnsi"/>
          <w:lang w:val="en-US"/>
        </w:rPr>
        <w:t xml:space="preserve">with </w:t>
      </w:r>
      <w:r w:rsidRPr="003F070C">
        <w:rPr>
          <w:rFonts w:cstheme="minorHAnsi"/>
          <w:lang w:val="en-US"/>
        </w:rPr>
        <w:t>frozen chironomids (</w:t>
      </w:r>
      <w:proofErr w:type="spellStart"/>
      <w:r w:rsidRPr="003F070C">
        <w:rPr>
          <w:rFonts w:cstheme="minorHAnsi"/>
          <w:lang w:val="en-US"/>
        </w:rPr>
        <w:t>Ruto</w:t>
      </w:r>
      <w:proofErr w:type="spellEnd"/>
      <w:r w:rsidRPr="003F070C">
        <w:rPr>
          <w:rFonts w:cstheme="minorHAnsi"/>
          <w:lang w:val="en-US"/>
        </w:rPr>
        <w:t xml:space="preserve"> Frozen </w:t>
      </w:r>
      <w:proofErr w:type="spellStart"/>
      <w:r w:rsidRPr="003F070C">
        <w:rPr>
          <w:rFonts w:cstheme="minorHAnsi"/>
          <w:lang w:val="en-US"/>
        </w:rPr>
        <w:t>Fishfood</w:t>
      </w:r>
      <w:proofErr w:type="spellEnd"/>
      <w:r w:rsidRPr="003F070C">
        <w:rPr>
          <w:rFonts w:cstheme="minorHAnsi"/>
          <w:lang w:val="en-US"/>
        </w:rPr>
        <w:t>,</w:t>
      </w:r>
      <w:r w:rsidR="00985BD6">
        <w:rPr>
          <w:rFonts w:cstheme="minorHAnsi"/>
          <w:lang w:val="en-US"/>
        </w:rPr>
        <w:t xml:space="preserve"> Montfort,</w:t>
      </w:r>
      <w:r w:rsidRPr="003F070C">
        <w:rPr>
          <w:rFonts w:cstheme="minorHAnsi"/>
          <w:lang w:val="en-US"/>
        </w:rPr>
        <w:t xml:space="preserve"> </w:t>
      </w:r>
      <w:r w:rsidR="00985BD6">
        <w:rPr>
          <w:rFonts w:cstheme="minorHAnsi"/>
          <w:lang w:val="en-US"/>
        </w:rPr>
        <w:t>t</w:t>
      </w:r>
      <w:r w:rsidR="004257DF">
        <w:rPr>
          <w:rFonts w:cstheme="minorHAnsi"/>
          <w:lang w:val="en-US"/>
        </w:rPr>
        <w:t xml:space="preserve">he </w:t>
      </w:r>
      <w:r w:rsidRPr="003F070C">
        <w:rPr>
          <w:rFonts w:cstheme="minorHAnsi"/>
          <w:lang w:val="en-US"/>
        </w:rPr>
        <w:t xml:space="preserve">Netherlands) until respirometry trials began. The lab had a 16-hour light (L): 8-hour dark (D) cycle and </w:t>
      </w:r>
      <w:r w:rsidR="00E42096" w:rsidRPr="003F070C">
        <w:rPr>
          <w:rFonts w:cstheme="minorHAnsi"/>
          <w:lang w:val="en-US"/>
        </w:rPr>
        <w:t xml:space="preserve">the </w:t>
      </w:r>
      <w:r w:rsidRPr="003F070C">
        <w:rPr>
          <w:rFonts w:cstheme="minorHAnsi"/>
          <w:lang w:val="en-US"/>
        </w:rPr>
        <w:t xml:space="preserve">water temperature was maintained at </w:t>
      </w:r>
      <w:r w:rsidRPr="003F070C">
        <w:rPr>
          <w:rFonts w:cstheme="minorHAnsi"/>
          <w:color w:val="000000" w:themeColor="text1"/>
          <w:lang w:val="en-US"/>
        </w:rPr>
        <w:t>18 ± 0.5°C</w:t>
      </w:r>
      <w:r w:rsidR="001134F5">
        <w:rPr>
          <w:rFonts w:cstheme="minorHAnsi"/>
          <w:color w:val="000000" w:themeColor="text1"/>
          <w:lang w:val="en-US"/>
        </w:rPr>
        <w:t xml:space="preserve"> (mean ± SD)</w:t>
      </w:r>
      <w:r w:rsidRPr="003F070C">
        <w:rPr>
          <w:rFonts w:cstheme="minorHAnsi"/>
          <w:lang w:val="en-US"/>
        </w:rPr>
        <w:t xml:space="preserve">. Aside from the stress experienced during the chase designed to elicit MMR, stress was minimized </w:t>
      </w:r>
      <w:r w:rsidR="00E42096" w:rsidRPr="003F070C">
        <w:rPr>
          <w:rFonts w:cstheme="minorHAnsi"/>
          <w:lang w:val="en-US"/>
        </w:rPr>
        <w:t>throughout</w:t>
      </w:r>
      <w:r w:rsidRPr="003F070C">
        <w:rPr>
          <w:rFonts w:cstheme="minorHAnsi"/>
          <w:lang w:val="en-US"/>
        </w:rPr>
        <w:t xml:space="preserve"> the experiment. Fish were sacrificed following respirometry trials using an overdose of </w:t>
      </w:r>
      <w:r w:rsidR="001134F5">
        <w:rPr>
          <w:rFonts w:cstheme="minorHAnsi"/>
          <w:lang w:val="en-US"/>
        </w:rPr>
        <w:t>b</w:t>
      </w:r>
      <w:r w:rsidRPr="003F070C">
        <w:rPr>
          <w:rFonts w:cstheme="minorHAnsi"/>
          <w:lang w:val="en-US"/>
        </w:rPr>
        <w:t>enzocaine. We weighed and measured sacrificed fish to the nearest 0.01</w:t>
      </w:r>
      <w:r w:rsidR="00D32E45">
        <w:rPr>
          <w:rFonts w:cstheme="minorHAnsi"/>
          <w:lang w:val="en-US"/>
        </w:rPr>
        <w:t xml:space="preserve"> </w:t>
      </w:r>
      <w:r w:rsidRPr="003F070C">
        <w:rPr>
          <w:rFonts w:cstheme="minorHAnsi"/>
          <w:lang w:val="en-US"/>
        </w:rPr>
        <w:t xml:space="preserve">g and </w:t>
      </w:r>
      <w:r w:rsidR="00E42096" w:rsidRPr="003F070C">
        <w:rPr>
          <w:rFonts w:cstheme="minorHAnsi"/>
          <w:lang w:val="en-US"/>
        </w:rPr>
        <w:t xml:space="preserve">0.01 </w:t>
      </w:r>
      <w:r w:rsidRPr="003F070C">
        <w:rPr>
          <w:rFonts w:cstheme="minorHAnsi"/>
          <w:lang w:val="en-US"/>
        </w:rPr>
        <w:t>mm, respectively</w:t>
      </w:r>
      <w:r w:rsidR="00E42096" w:rsidRPr="003F070C">
        <w:rPr>
          <w:rFonts w:cstheme="minorHAnsi"/>
          <w:lang w:val="en-US"/>
        </w:rPr>
        <w:t xml:space="preserve">, and </w:t>
      </w:r>
      <w:r w:rsidRPr="003F070C">
        <w:rPr>
          <w:rFonts w:cstheme="minorHAnsi"/>
          <w:lang w:val="en-US"/>
        </w:rPr>
        <w:t xml:space="preserve">dissected a sample of dorsal muscle tissue for stable isotope analyses. </w:t>
      </w:r>
    </w:p>
    <w:p w14:paraId="6D03DA4A" w14:textId="77777777" w:rsidR="00AE1BDE" w:rsidRPr="009F7ED9" w:rsidRDefault="00AE1BDE" w:rsidP="007F1711">
      <w:pPr>
        <w:pStyle w:val="Heading2"/>
        <w:spacing w:line="480" w:lineRule="auto"/>
        <w:jc w:val="both"/>
        <w:rPr>
          <w:color w:val="000000" w:themeColor="text1"/>
        </w:rPr>
      </w:pPr>
      <w:r w:rsidRPr="009F7ED9">
        <w:rPr>
          <w:color w:val="000000" w:themeColor="text1"/>
        </w:rPr>
        <w:lastRenderedPageBreak/>
        <w:t>Geometric Morphometrics</w:t>
      </w:r>
    </w:p>
    <w:p w14:paraId="36ABEB23" w14:textId="7FA0F607" w:rsidR="00144B8B" w:rsidRPr="003F070C" w:rsidRDefault="00AE1BDE" w:rsidP="007F1711">
      <w:pPr>
        <w:spacing w:line="480" w:lineRule="auto"/>
        <w:jc w:val="both"/>
        <w:rPr>
          <w:rFonts w:cstheme="minorHAnsi"/>
          <w:lang w:val="en-US"/>
        </w:rPr>
      </w:pPr>
      <w:r w:rsidRPr="003F070C">
        <w:rPr>
          <w:rFonts w:cstheme="minorHAnsi"/>
          <w:lang w:val="en-US"/>
        </w:rPr>
        <w:t xml:space="preserve">Perch were photographed on the left side, and 16 landmarks on each fish were digitized using TPS-dig2 (see </w:t>
      </w:r>
      <w:r w:rsidRPr="003F070C">
        <w:rPr>
          <w:rFonts w:cstheme="minorHAnsi"/>
          <w:lang w:val="en-US"/>
        </w:rPr>
        <w:fldChar w:fldCharType="begin" w:fldLock="1"/>
      </w:r>
      <w:r w:rsidR="0008325B">
        <w:rPr>
          <w:rFonts w:cstheme="minorHAnsi"/>
          <w:lang w:val="en-US"/>
        </w:rPr>
        <w:instrText>ADDIN CSL_CITATION {"citationItems":[{"id":"ITEM-1","itemData":{"DOI":"10.1371/journal.pone.0043641","ISSN":"19326203","PMID":"22912895","abstract":"Trait combinations that lead to a higher efficiency in resource utilization are important drivers of divergent natural selection and adaptive radiation. However, variation in environmental features might constrain foraging in complex ways and therefore impede the exploitation of critical resources. We tested the effect of water transparency on intra-population divergence in morphology of Eurasian perch (Perca fluviatilis) across seven lakes in central Sweden. Morphological divergence between near-shore littoral and open-water pelagic perch substantially increased with increasing water transparency. Reliance on littoral resources increased strongly with increasing water transparency in littoral populations, whereas littoral reliance was not affected by water transparency in pelagic populations. Despite the similar reliance on pelagic resources in pelagic populations along the water transparency gradient, the utilization of particular pelagic prey items differed with variation in water transparency in pelagic populations. Pelagic perch utilized cladocerans in lakes with high water transparency and copepods in lakes with low water transparency. We suggest that under impaired visual conditions low utilization of littoral resources by littoral perch and utilization of evasive copepods by pelagic perch may lead to changes in morphology. Our findings indicate that visual conditions can affect population divergence in predator populations through their effects on resource utilization.","author":[{"dropping-particle":"","family":"Bartels","given":"Pia","non-dropping-particle":"","parse-names":false,"suffix":""},{"dropping-particle":"","family":"Hirsch","given":"Philipp E.","non-dropping-particle":"","parse-names":false,"suffix":""},{"dropping-particle":"","family":"Svanbäck","given":"Richard","non-dropping-particle":"","parse-names":false,"suffix":""},{"dropping-particle":"","family":"Eklöv","given":"Peter","non-dropping-particle":"","parse-names":false,"suffix":""}],"container-title":"PLoS ONE","id":"ITEM-1","issue":"8","issued":{"date-parts":[["2012"]]},"title":"Water transparency drives intra-population divergence in Eurasian perch (Perca fluviatilis)","type":"article-journal","volume":"7"},"uris":["http://www.mendeley.com/documents/?uuid=c02ba06d-05b5-4f3c-942b-17b0cecd9778"]}],"mendeley":{"formattedCitation":"(Bartels et al., 2012)","manualFormatting":"Bartels et al. (2012)","plainTextFormattedCitation":"(Bartels et al., 2012)","previouslyFormattedCitation":"(Bartels et al., 2012)"},"properties":{"noteIndex":0},"schema":"https://github.com/citation-style-language/schema/raw/master/csl-citation.json"}</w:instrText>
      </w:r>
      <w:r w:rsidRPr="003F070C">
        <w:rPr>
          <w:rFonts w:cstheme="minorHAnsi"/>
          <w:lang w:val="en-US"/>
        </w:rPr>
        <w:fldChar w:fldCharType="separate"/>
      </w:r>
      <w:r w:rsidRPr="003F070C">
        <w:rPr>
          <w:rFonts w:cstheme="minorHAnsi"/>
          <w:noProof/>
          <w:lang w:val="en-US"/>
        </w:rPr>
        <w:t>Bartels et al. (2012)</w:t>
      </w:r>
      <w:r w:rsidRPr="003F070C">
        <w:rPr>
          <w:rFonts w:cstheme="minorHAnsi"/>
          <w:lang w:val="en-US"/>
        </w:rPr>
        <w:fldChar w:fldCharType="end"/>
      </w:r>
      <w:r w:rsidRPr="003F070C">
        <w:rPr>
          <w:rFonts w:cstheme="minorHAnsi"/>
          <w:lang w:val="en-US"/>
        </w:rPr>
        <w:t xml:space="preserve"> for placement of landmarks). Digitized landmark data was imported into </w:t>
      </w:r>
      <w:proofErr w:type="spellStart"/>
      <w:r w:rsidRPr="003F070C">
        <w:rPr>
          <w:rFonts w:cstheme="minorHAnsi"/>
          <w:lang w:val="en-US"/>
        </w:rPr>
        <w:t>MorphoJ</w:t>
      </w:r>
      <w:proofErr w:type="spellEnd"/>
      <w:r w:rsidRPr="003F070C">
        <w:rPr>
          <w:rFonts w:cstheme="minorHAnsi"/>
          <w:lang w:val="en-US"/>
        </w:rPr>
        <w:t xml:space="preserve"> for all analyses. The data were checked for outliers and corrected for body size by regressing the Procrustes coordinates on centroid size, and the residuals from this regression were used for both </w:t>
      </w:r>
      <w:r w:rsidR="00D32E45">
        <w:rPr>
          <w:rFonts w:cstheme="minorHAnsi"/>
          <w:lang w:val="en-US"/>
        </w:rPr>
        <w:t>the</w:t>
      </w:r>
      <w:r w:rsidRPr="003F070C">
        <w:rPr>
          <w:rFonts w:cstheme="minorHAnsi"/>
          <w:lang w:val="en-US"/>
        </w:rPr>
        <w:t xml:space="preserve"> discriminant function analysis (DFA) and principal component analyses (PCA)</w:t>
      </w:r>
      <w:r>
        <w:rPr>
          <w:rFonts w:cstheme="minorHAnsi"/>
          <w:lang w:val="en-US"/>
        </w:rPr>
        <w:t xml:space="preserve"> </w:t>
      </w:r>
      <w:r>
        <w:rPr>
          <w:rFonts w:cstheme="minorHAnsi"/>
          <w:lang w:val="en-US"/>
        </w:rPr>
        <w:fldChar w:fldCharType="begin" w:fldLock="1"/>
      </w:r>
      <w:r w:rsidR="002E4F95">
        <w:rPr>
          <w:rFonts w:cstheme="minorHAnsi"/>
          <w:lang w:val="en-US"/>
        </w:rPr>
        <w:instrText>ADDIN CSL_CITATION {"citationItems":[{"id":"ITEM-1","itemData":{"DOI":"10.1007/s00427-016-0539-2","ISSN":"1432041X","abstract":"Allometry refers to the size-related changes of morphological traits and remains an essential concept for the study of evolution and development. This review is the first systematic comparison of allometric methods in the context of geometric morphometrics that considers the structure of morphological spaces and their implications for characterizing allometry and performing size correction. The distinction of two main schools of thought is useful for understanding the differences and relationships between alternative methods for studying allometry. The Gould–Mosimann school defines allometry as the covariation of shape with size. This concept of allometry is implemented in geometric morphometrics through the multivariate regression of shape variables on a measure of size. In the Huxley–Jolicoeur school, allometry is the covariation among morphological features that all contain size information. In this framework, allometric trajectories are characterized by the first principal component, which is a line of best fit to the data points. In geometric morphometrics, this concept is implemented in analyses using either Procrustes form space or conformation space (the latter also known as size-and-shape space). Whereas these spaces differ substantially in their global structure, there are also close connections in their localized geometry. For the model of small isotropic variation of landmark positions, they are equivalent up to scaling. The methods differ in their emphasis and thus provide investigators with flexible tools to address specific questions concerning evolution and development, but all frameworks are logically compatible with each other and therefore unlikely to yield contradictory results.","author":[{"dropping-particle":"","family":"Klingenberg","given":"Christian Peter","non-dropping-particle":"","parse-names":false,"suffix":""}],"container-title":"Development Genes and Evolution","id":"ITEM-1","issue":"3","issued":{"date-parts":[["2016"]]},"page":"113-137","publisher":"Development Genes and Evolution","title":"Size, shape, and form: concepts of allometry in geometric morphometrics","type":"article-journal","volume":"226"},"uris":["http://www.mendeley.com/documents/?uuid=4d36d406-c353-4866-a332-62e180ce4d24"]}],"mendeley":{"formattedCitation":"(Klingenberg, 2016)","plainTextFormattedCitation":"(Klingenberg, 2016)","previouslyFormattedCitation":"(Klingenberg, 2016)"},"properties":{"noteIndex":0},"schema":"https://github.com/citation-style-language/schema/raw/master/csl-citation.json"}</w:instrText>
      </w:r>
      <w:r>
        <w:rPr>
          <w:rFonts w:cstheme="minorHAnsi"/>
          <w:lang w:val="en-US"/>
        </w:rPr>
        <w:fldChar w:fldCharType="separate"/>
      </w:r>
      <w:r w:rsidR="00EF0DCC" w:rsidRPr="00EF0DCC">
        <w:rPr>
          <w:rFonts w:cstheme="minorHAnsi"/>
          <w:noProof/>
          <w:lang w:val="en-US"/>
        </w:rPr>
        <w:t>(Klingenberg, 2016)</w:t>
      </w:r>
      <w:r>
        <w:rPr>
          <w:rFonts w:cstheme="minorHAnsi"/>
          <w:lang w:val="en-US"/>
        </w:rPr>
        <w:fldChar w:fldCharType="end"/>
      </w:r>
      <w:r w:rsidRPr="003F070C">
        <w:rPr>
          <w:rFonts w:cstheme="minorHAnsi"/>
          <w:lang w:val="en-US"/>
        </w:rPr>
        <w:t xml:space="preserve">. We used </w:t>
      </w:r>
      <w:r w:rsidR="00D32E45">
        <w:rPr>
          <w:rFonts w:cstheme="minorHAnsi"/>
          <w:lang w:val="en-US"/>
        </w:rPr>
        <w:t>the</w:t>
      </w:r>
      <w:r w:rsidRPr="003F070C">
        <w:rPr>
          <w:rFonts w:cstheme="minorHAnsi"/>
          <w:lang w:val="en-US"/>
        </w:rPr>
        <w:t xml:space="preserve"> DFA to show general morphological differences between our littoral and pelagic perch</w:t>
      </w:r>
      <w:r w:rsidR="004F5CBA">
        <w:rPr>
          <w:rFonts w:cstheme="minorHAnsi"/>
          <w:lang w:val="en-US"/>
        </w:rPr>
        <w:t>. However, because</w:t>
      </w:r>
      <w:r w:rsidRPr="003F070C">
        <w:rPr>
          <w:rFonts w:cstheme="minorHAnsi"/>
          <w:lang w:val="en-US"/>
        </w:rPr>
        <w:t xml:space="preserve"> DFA</w:t>
      </w:r>
      <w:r w:rsidR="00D32E45">
        <w:rPr>
          <w:rFonts w:cstheme="minorHAnsi"/>
          <w:lang w:val="en-US"/>
        </w:rPr>
        <w:t>s</w:t>
      </w:r>
      <w:r w:rsidRPr="003F070C">
        <w:rPr>
          <w:rFonts w:cstheme="minorHAnsi"/>
          <w:lang w:val="en-US"/>
        </w:rPr>
        <w:t xml:space="preserve"> </w:t>
      </w:r>
      <w:r w:rsidR="00D32E45">
        <w:rPr>
          <w:rFonts w:cstheme="minorHAnsi"/>
          <w:lang w:val="en-US"/>
        </w:rPr>
        <w:t>are</w:t>
      </w:r>
      <w:r w:rsidRPr="003F070C">
        <w:rPr>
          <w:rFonts w:cstheme="minorHAnsi"/>
          <w:lang w:val="en-US"/>
        </w:rPr>
        <w:t xml:space="preserve"> designed to describe morphological differences between predetermined groups</w:t>
      </w:r>
      <w:r w:rsidR="004F5CBA">
        <w:rPr>
          <w:rFonts w:cstheme="minorHAnsi"/>
          <w:lang w:val="en-US"/>
        </w:rPr>
        <w:t>,</w:t>
      </w:r>
      <w:r w:rsidR="00D32E45">
        <w:rPr>
          <w:rFonts w:cstheme="minorHAnsi"/>
          <w:lang w:val="en-US"/>
        </w:rPr>
        <w:t xml:space="preserve"> w</w:t>
      </w:r>
      <w:r w:rsidRPr="003F070C">
        <w:rPr>
          <w:rFonts w:cstheme="minorHAnsi"/>
          <w:lang w:val="en-US"/>
        </w:rPr>
        <w:t>e used</w:t>
      </w:r>
      <w:r w:rsidR="004F5CBA">
        <w:rPr>
          <w:rFonts w:cstheme="minorHAnsi"/>
          <w:lang w:val="en-US"/>
        </w:rPr>
        <w:t xml:space="preserve"> </w:t>
      </w:r>
      <w:r w:rsidRPr="003F070C">
        <w:rPr>
          <w:rFonts w:cstheme="minorHAnsi"/>
          <w:lang w:val="en-US"/>
        </w:rPr>
        <w:t>PC</w:t>
      </w:r>
      <w:r w:rsidR="004F5CBA">
        <w:rPr>
          <w:rFonts w:cstheme="minorHAnsi"/>
          <w:lang w:val="en-US"/>
        </w:rPr>
        <w:t xml:space="preserve"> scores</w:t>
      </w:r>
      <w:r w:rsidRPr="003F070C">
        <w:rPr>
          <w:rFonts w:cstheme="minorHAnsi"/>
          <w:lang w:val="en-US"/>
        </w:rPr>
        <w:t xml:space="preserve"> as the measure</w:t>
      </w:r>
      <w:r w:rsidR="004F5CBA">
        <w:rPr>
          <w:rFonts w:cstheme="minorHAnsi"/>
          <w:lang w:val="en-US"/>
        </w:rPr>
        <w:t>s</w:t>
      </w:r>
      <w:r w:rsidRPr="003F070C">
        <w:rPr>
          <w:rFonts w:cstheme="minorHAnsi"/>
          <w:lang w:val="en-US"/>
        </w:rPr>
        <w:t xml:space="preserve"> of morphology within our models since it describes differences between individuals </w:t>
      </w:r>
      <w:r w:rsidRPr="003F070C">
        <w:rPr>
          <w:rFonts w:cstheme="minorHAnsi"/>
          <w:lang w:val="en-US"/>
        </w:rPr>
        <w:fldChar w:fldCharType="begin" w:fldLock="1"/>
      </w:r>
      <w:r w:rsidR="0008325B">
        <w:rPr>
          <w:rFonts w:cstheme="minorHAnsi"/>
          <w:lang w:val="en-US"/>
        </w:rPr>
        <w:instrText>ADDIN CSL_CITATION {"citationItems":[{"id":"ITEM-1","itemData":{"DOI":"10.1016/B978-0-12-778460-1.X5000-5","ISBN":"9780127784601","ISSN":"978-0-12-778460-1","abstract":"Geometric Morphometrics for Biologists is an introductory textbook for a course on geometric morphometrics, written for graduate students and upper division undergraduates, covering both theory of shape analysis and methods of multivariate analysis. It is designed for students with minimal math background; taking them from the process of data collection through basic and more advanced statistical analyses. Many examples are given, beginning with simple although realistic case-studies, through examples of complex analyses requiring several different kinds of methods. The book also includes URL's for free software and step-by-step instructions for using the software. Accessible, student-tested introduction to sophisticated methods of biological shape analysis Detailed instructions for conducting analyses with freely available, easy to use software Numerous illustrations; including graphical presentations of important theoretical concepts and demonstrations of alternative approaches to presenting results Many realistic examples, both simple and complex, from on-going research Comprehensive glossary of technical terms","author":[{"dropping-particle":"","family":"Zelditch","given":"Miriam Leah","non-dropping-particle":"","parse-names":false,"suffix":""},{"dropping-particle":"","family":"Swiderski","given":"Donald L","non-dropping-particle":"","parse-names":false,"suffix":""},{"dropping-particle":"","family":"Sheets","given":"H. David","non-dropping-particle":"","parse-names":false,"suffix":""}],"id":"ITEM-1","issued":{"date-parts":[["2004"]]},"publisher":"Elsevier","title":"Geometric morphometrics for biologists","type":"book","volume":"95"},"uris":["http://www.mendeley.com/documents/?uuid=898faa93-e3e9-4c8b-8843-18af52608a38"]}],"mendeley":{"formattedCitation":"(Zelditch et al., 2004)","plainTextFormattedCitation":"(Zelditch et al., 2004)","previouslyFormattedCitation":"(Zelditch et al., 2004)"},"properties":{"noteIndex":0},"schema":"https://github.com/citation-style-language/schema/raw/master/csl-citation.json"}</w:instrText>
      </w:r>
      <w:r w:rsidRPr="003F070C">
        <w:rPr>
          <w:rFonts w:cstheme="minorHAnsi"/>
          <w:lang w:val="en-US"/>
        </w:rPr>
        <w:fldChar w:fldCharType="separate"/>
      </w:r>
      <w:r w:rsidR="00C8169C" w:rsidRPr="00C8169C">
        <w:rPr>
          <w:rFonts w:cstheme="minorHAnsi"/>
          <w:noProof/>
          <w:lang w:val="en-US"/>
        </w:rPr>
        <w:t>(Zelditch et al., 2004)</w:t>
      </w:r>
      <w:r w:rsidRPr="003F070C">
        <w:rPr>
          <w:rFonts w:cstheme="minorHAnsi"/>
          <w:lang w:val="en-US"/>
        </w:rPr>
        <w:fldChar w:fldCharType="end"/>
      </w:r>
      <w:r w:rsidRPr="003F070C">
        <w:rPr>
          <w:rFonts w:cstheme="minorHAnsi"/>
          <w:lang w:val="en-US"/>
        </w:rPr>
        <w:t xml:space="preserve">. As is often observed, PC1 primarily explained bending, an unwanted artifact from the photographing process </w:t>
      </w:r>
      <w:r w:rsidRPr="003F070C">
        <w:rPr>
          <w:rFonts w:cstheme="minorHAnsi"/>
          <w:lang w:val="en-US"/>
        </w:rPr>
        <w:fldChar w:fldCharType="begin" w:fldLock="1"/>
      </w:r>
      <w:r w:rsidR="0008325B">
        <w:rPr>
          <w:rFonts w:cstheme="minorHAnsi"/>
          <w:lang w:val="en-US"/>
        </w:rPr>
        <w:instrText>ADDIN CSL_CITATION {"citationItems":[{"id":"ITEM-1","itemData":{"DOI":"10.1002/ece3.562","ISSN":"20457758","abstract":"Parallel phenotypic evolution occurs when independent populations evolve similar traits in response to similar selective regimes. However, populations inhabiting similar environments also frequently show some phenotypic differences that result from non-parallel evolution. In this study, we quantified the relative importance of parallel evolution to similar foraging regimes and non-parallel lake-specific effects on morphological variation in European whitefish (Coregonus lavaretus). We found evidence for both lake-specific morphological characteristics and parallel morphological divergence between whitefish specializing in feeding on profundal and littoral resources in three separate lakes. Foraging specialists expressed similar phenotypes in different lakes in both overall body shape and selected measured morphological traits. The morphology of the two whitefish specialists resembled that predicted from other fish species, supporting the conclusion of an adaptive significance of the observed morphological characteristics. Our results indicate that divergent natural selection resulting from foraging specialization is driving and/or maintaining the observed parallel morphological divergence. Whitefish in this study may represent an early stage of divergence towards the evolution of specialized morphs. This study demonstrates parallel morphological divergence between sympatric foraging specialists within populations of whitefish in three different lakes. Together with previous knowledge about these systems, this suggests that these populations may be in an early stage of divergence of specialized morphs. © 2013 The Authors. Ecology and Evolution.","author":[{"dropping-particle":"","family":"Siwertsson","given":"Anna","non-dropping-particle":"","parse-names":false,"suffix":""},{"dropping-particle":"","family":"Knudsen","given":"Rune","non-dropping-particle":"","parse-names":false,"suffix":""},{"dropping-particle":"","family":"Adams","given":"Colin E.","non-dropping-particle":"","parse-names":false,"suffix":""},{"dropping-particle":"","family":"Præbel","given":"Kim","non-dropping-particle":"","parse-names":false,"suffix":""},{"dropping-particle":"","family":"Amundsen","given":"Per Arne","non-dropping-particle":"","parse-names":false,"suffix":""}],"container-title":"Ecology and Evolution","id":"ITEM-1","issue":"6","issued":{"date-parts":[["2013"]]},"page":"1590-1602","title":"Parallel and non-parallel morphological divergence among foraging specialists in European whitefish (&lt;i&gt;Coregonus lavaretus&lt;/i&gt;)","type":"article-journal","volume":"3"},"uris":["http://www.mendeley.com/documents/?uuid=d983d559-e0e2-423b-881a-e08b6d402ae0"]},{"id":"ITEM-2","itemData":{"DOI":"10.1111/j.1095-8649.2008.01961.x","ISSN":"00221112","abstract":"Upward and downward arching of the body was observed during a study on redfishes Sebastes sp. population structure in the north-west Atlantic Ocean. The present study investigated the potential causes of this arching artefact. The results suggested that it is not related to biological factors (size or species) or to the preservation technique (freezing), but is rather due to slight posture differences between fishes during landmark capture. The consequences of the arching artefact on data analysis are discussed. An approach coupling a PCA-based model of the arching with Burnaby's orthogonal projection is proposed for removing the artefact from the data. © 2008 The Authors.","author":[{"dropping-particle":"","family":"Valentin","given":"A. E.","non-dropping-particle":"","parse-names":false,"suffix":""},{"dropping-particle":"","family":"Penin","given":"X.","non-dropping-particle":"","parse-names":false,"suffix":""},{"dropping-particle":"","family":"Chanut","given":"J.-P.","non-dropping-particle":"","parse-names":false,"suffix":""},{"dropping-particle":"","family":"Sévigny","given":"J.-M.","non-dropping-particle":"","parse-names":false,"suffix":""},{"dropping-particle":"","family":"Rohlf","given":"F. J.","non-dropping-particle":"","parse-names":false,"suffix":""}],"container-title":"Journal of Fish Biology","id":"ITEM-2","issue":"3","issued":{"date-parts":[["2008","8"]]},"page":"623-638","title":"Arching effect on fish body shape in geometric morphometric studies","type":"article-journal","volume":"73"},"uris":["http://www.mendeley.com/documents/?uuid=a5a342f2-abc3-409c-967d-5964335aacc6"]}],"mendeley":{"formattedCitation":"(Valentin et al., 2008; Siwertsson et al., 2013)","plainTextFormattedCitation":"(Valentin et al., 2008; Siwertsson et al., 2013)","previouslyFormattedCitation":"(Valentin et al., 2008; Siwertsson et al., 2013)"},"properties":{"noteIndex":0},"schema":"https://github.com/citation-style-language/schema/raw/master/csl-citation.json"}</w:instrText>
      </w:r>
      <w:r w:rsidRPr="003F070C">
        <w:rPr>
          <w:rFonts w:cstheme="minorHAnsi"/>
          <w:lang w:val="en-US"/>
        </w:rPr>
        <w:fldChar w:fldCharType="separate"/>
      </w:r>
      <w:r w:rsidR="00985BD6" w:rsidRPr="00985BD6">
        <w:rPr>
          <w:rFonts w:cstheme="minorHAnsi"/>
          <w:noProof/>
          <w:lang w:val="en-US"/>
        </w:rPr>
        <w:t>(Valentin et al., 2008; Siwertsson et al., 2013)</w:t>
      </w:r>
      <w:r w:rsidRPr="003F070C">
        <w:rPr>
          <w:rFonts w:cstheme="minorHAnsi"/>
          <w:lang w:val="en-US"/>
        </w:rPr>
        <w:fldChar w:fldCharType="end"/>
      </w:r>
      <w:r w:rsidRPr="003F070C">
        <w:rPr>
          <w:rFonts w:cstheme="minorHAnsi"/>
          <w:lang w:val="en-US"/>
        </w:rPr>
        <w:t>.</w:t>
      </w:r>
      <w:r w:rsidR="007E69C3">
        <w:rPr>
          <w:rFonts w:cstheme="minorHAnsi"/>
          <w:lang w:val="en-US"/>
        </w:rPr>
        <w:t xml:space="preserve"> </w:t>
      </w:r>
      <w:r w:rsidR="004257DF">
        <w:rPr>
          <w:rFonts w:cstheme="minorHAnsi"/>
          <w:lang w:val="en-US"/>
        </w:rPr>
        <w:t>I</w:t>
      </w:r>
      <w:r w:rsidRPr="003F070C">
        <w:rPr>
          <w:rFonts w:cstheme="minorHAnsi"/>
          <w:lang w:val="en-US"/>
        </w:rPr>
        <w:t>nstead</w:t>
      </w:r>
      <w:r w:rsidR="004257DF">
        <w:rPr>
          <w:rFonts w:cstheme="minorHAnsi"/>
          <w:lang w:val="en-US"/>
        </w:rPr>
        <w:t>, we</w:t>
      </w:r>
      <w:r w:rsidRPr="003F070C">
        <w:rPr>
          <w:rFonts w:cstheme="minorHAnsi"/>
          <w:lang w:val="en-US"/>
        </w:rPr>
        <w:t xml:space="preserve"> used PC2 and PC3, which explained 17% and 11% of variation respectively, with PC2 explaining mouth direction, length of the second dorsal fin, and tail length (Figure </w:t>
      </w:r>
      <w:r>
        <w:rPr>
          <w:rFonts w:cstheme="minorHAnsi"/>
          <w:lang w:val="en-US"/>
        </w:rPr>
        <w:t>S</w:t>
      </w:r>
      <w:r w:rsidRPr="003F070C">
        <w:rPr>
          <w:rFonts w:cstheme="minorHAnsi"/>
          <w:lang w:val="en-US"/>
        </w:rPr>
        <w:t xml:space="preserve">1), while PC3 explained mouth direction, body depth, and tail length (Figure </w:t>
      </w:r>
      <w:r>
        <w:rPr>
          <w:rFonts w:cstheme="minorHAnsi"/>
          <w:lang w:val="en-US"/>
        </w:rPr>
        <w:t>S</w:t>
      </w:r>
      <w:r w:rsidRPr="003F070C">
        <w:rPr>
          <w:rFonts w:cstheme="minorHAnsi"/>
          <w:lang w:val="en-US"/>
        </w:rPr>
        <w:t>2)</w:t>
      </w:r>
      <w:r>
        <w:rPr>
          <w:rFonts w:cstheme="minorHAnsi"/>
          <w:lang w:val="en-US"/>
        </w:rPr>
        <w:t xml:space="preserve">, which are morphological features </w:t>
      </w:r>
      <w:r w:rsidR="00642BA3">
        <w:rPr>
          <w:rFonts w:cstheme="minorHAnsi"/>
          <w:lang w:val="en-US"/>
        </w:rPr>
        <w:t>that typically</w:t>
      </w:r>
      <w:r>
        <w:rPr>
          <w:rFonts w:cstheme="minorHAnsi"/>
          <w:lang w:val="en-US"/>
        </w:rPr>
        <w:t xml:space="preserve"> differ between littoral and pelagic perch </w:t>
      </w:r>
      <w:r w:rsidR="00856D40">
        <w:rPr>
          <w:rFonts w:cstheme="minorHAnsi"/>
          <w:lang w:val="en-US"/>
        </w:rPr>
        <w:fldChar w:fldCharType="begin" w:fldLock="1"/>
      </w:r>
      <w:r w:rsidR="00EC56FE">
        <w:rPr>
          <w:rFonts w:cstheme="minorHAnsi"/>
          <w:lang w:val="en-US"/>
        </w:rPr>
        <w:instrText>ADDIN CSL_CITATION {"citationItems":[{"id":"ITEM-1","itemData":{"DOI":"10.1007/s00442-001-0861-9","ISBN":"4618531134","ISSN":"0029-8549","author":[{"dropping-particle":"","family":"Svanbäck","given":"Richard","non-dropping-particle":"","parse-names":false,"suffix":""},{"dropping-particle":"","family":"Eklöv","given":"Peter","non-dropping-particle":"","parse-names":false,"suffix":""}],"container-title":"Oecologia","id":"ITEM-1","issue":"1","issued":{"date-parts":[["2002","3","1"]]},"language":"eng","note":"From Duplicate 1 (Effects of habitat and food resources on morphology and ontogenetic growth trajectories in perch. - Svanbäck, Richard; Eklöv, Peter)\n\n2014-07-14T18:52:11.751+02:00\n\nFrom Duplicate 3 (Effects of habitat and food resources on morphology and ontogenetic growth trajectories in perch - Svanbäck, Richard; Eklöv, Peter)\n\n2018-06-09T13:23:42.038+02:00","page":"61-70","publisher-place":"Ecology and Environmental Science, Faculty of Science and Technology, Umeå University","title":"Effects of habitat and food resources on morphology and ontogenetic growth trajectories in perch","type":"article-journal","volume":"131"},"uris":["http://www.mendeley.com/documents/?uuid=0e6277e1-f563-47ea-8b51-1461153212dd"]}],"mendeley":{"formattedCitation":"(Svanbäck and Eklöv, 2002)","plainTextFormattedCitation":"(Svanbäck and Eklöv, 2002)","previouslyFormattedCitation":"(Svanbäck and Eklöv, 2002)"},"properties":{"noteIndex":0},"schema":"https://github.com/citation-style-language/schema/raw/master/csl-citation.json"}</w:instrText>
      </w:r>
      <w:r w:rsidR="00856D40">
        <w:rPr>
          <w:rFonts w:cstheme="minorHAnsi"/>
          <w:lang w:val="en-US"/>
        </w:rPr>
        <w:fldChar w:fldCharType="separate"/>
      </w:r>
      <w:r w:rsidR="00856D40" w:rsidRPr="00856D40">
        <w:rPr>
          <w:rFonts w:cstheme="minorHAnsi"/>
          <w:noProof/>
          <w:lang w:val="en-US"/>
        </w:rPr>
        <w:t>(Svanbäck and Eklöv, 2002)</w:t>
      </w:r>
      <w:r w:rsidR="00856D40">
        <w:rPr>
          <w:rFonts w:cstheme="minorHAnsi"/>
          <w:lang w:val="en-US"/>
        </w:rPr>
        <w:fldChar w:fldCharType="end"/>
      </w:r>
      <w:r w:rsidRPr="003F070C">
        <w:rPr>
          <w:rFonts w:cstheme="minorHAnsi"/>
          <w:lang w:val="en-US"/>
        </w:rPr>
        <w:t xml:space="preserve">. Neither PC2 nor PC3 were significant in any of our models (Table </w:t>
      </w:r>
      <w:r>
        <w:rPr>
          <w:rFonts w:cstheme="minorHAnsi"/>
          <w:lang w:val="en-US"/>
        </w:rPr>
        <w:t>S</w:t>
      </w:r>
      <w:r w:rsidRPr="003F070C">
        <w:rPr>
          <w:rFonts w:cstheme="minorHAnsi"/>
          <w:lang w:val="en-US"/>
        </w:rPr>
        <w:t xml:space="preserve">1 and </w:t>
      </w:r>
      <w:r>
        <w:rPr>
          <w:rFonts w:cstheme="minorHAnsi"/>
          <w:lang w:val="en-US"/>
        </w:rPr>
        <w:t>S</w:t>
      </w:r>
      <w:r w:rsidRPr="003F070C">
        <w:rPr>
          <w:rFonts w:cstheme="minorHAnsi"/>
          <w:lang w:val="en-US"/>
        </w:rPr>
        <w:t>2</w:t>
      </w:r>
      <w:r w:rsidR="00856D40">
        <w:rPr>
          <w:rFonts w:cstheme="minorHAnsi"/>
          <w:lang w:val="en-US"/>
        </w:rPr>
        <w:t>,</w:t>
      </w:r>
      <w:r w:rsidRPr="003F070C">
        <w:rPr>
          <w:rFonts w:cstheme="minorHAnsi"/>
          <w:lang w:val="en-US"/>
        </w:rPr>
        <w:t xml:space="preserve"> respectively) and were subsequently removed from the final models.</w:t>
      </w:r>
    </w:p>
    <w:p w14:paraId="5D100179" w14:textId="309D75C6" w:rsidR="00270B78" w:rsidRPr="00000B09" w:rsidRDefault="001858D9" w:rsidP="007F1711">
      <w:pPr>
        <w:pStyle w:val="Heading2"/>
        <w:spacing w:line="480" w:lineRule="auto"/>
        <w:jc w:val="both"/>
        <w:rPr>
          <w:color w:val="000000" w:themeColor="text1"/>
        </w:rPr>
      </w:pPr>
      <w:r w:rsidRPr="009F7ED9">
        <w:rPr>
          <w:color w:val="000000" w:themeColor="text1"/>
        </w:rPr>
        <w:t xml:space="preserve">Respirometry </w:t>
      </w:r>
      <w:r w:rsidR="00E42096" w:rsidRPr="009F7ED9">
        <w:rPr>
          <w:color w:val="000000" w:themeColor="text1"/>
        </w:rPr>
        <w:t>setup</w:t>
      </w:r>
    </w:p>
    <w:p w14:paraId="5E361A4A" w14:textId="49949FA0" w:rsidR="001858D9" w:rsidRPr="001D77A3" w:rsidRDefault="00903210" w:rsidP="007F1711">
      <w:pPr>
        <w:spacing w:line="480" w:lineRule="auto"/>
        <w:jc w:val="both"/>
        <w:rPr>
          <w:rFonts w:cstheme="minorHAnsi"/>
          <w:lang w:val="en-US"/>
        </w:rPr>
      </w:pPr>
      <w:r w:rsidRPr="003F070C">
        <w:rPr>
          <w:rFonts w:cstheme="minorHAnsi"/>
          <w:lang w:val="en-US"/>
        </w:rPr>
        <w:t>ṀO</w:t>
      </w:r>
      <w:r w:rsidRPr="00C07299">
        <w:rPr>
          <w:rFonts w:cstheme="minorHAnsi"/>
          <w:vertAlign w:val="subscript"/>
          <w:lang w:val="en-US"/>
        </w:rPr>
        <w:t>2</w:t>
      </w:r>
      <w:r>
        <w:rPr>
          <w:rFonts w:cstheme="minorHAnsi"/>
          <w:vertAlign w:val="subscript"/>
          <w:lang w:val="en-US"/>
        </w:rPr>
        <w:t xml:space="preserve"> </w:t>
      </w:r>
      <w:r>
        <w:rPr>
          <w:lang w:val="en-US"/>
        </w:rPr>
        <w:t>was</w:t>
      </w:r>
      <w:r w:rsidR="001D77A3">
        <w:rPr>
          <w:lang w:val="en-US"/>
        </w:rPr>
        <w:t xml:space="preserve"> </w:t>
      </w:r>
      <w:r w:rsidR="001D77A3" w:rsidRPr="004D6C27">
        <w:rPr>
          <w:lang w:val="en-US"/>
        </w:rPr>
        <w:t>measured using an intermittent flow respirometry system (</w:t>
      </w:r>
      <w:proofErr w:type="spellStart"/>
      <w:r w:rsidR="001D77A3" w:rsidRPr="004D6C27">
        <w:rPr>
          <w:lang w:val="en-US"/>
        </w:rPr>
        <w:t>Loligo</w:t>
      </w:r>
      <w:proofErr w:type="spellEnd"/>
      <w:r w:rsidR="001D77A3" w:rsidRPr="004D6C27">
        <w:rPr>
          <w:lang w:val="en-US"/>
        </w:rPr>
        <w:t xml:space="preserve"> Systems</w:t>
      </w:r>
      <w:r w:rsidR="004257DF">
        <w:rPr>
          <w:lang w:val="en-US"/>
        </w:rPr>
        <w:t>,</w:t>
      </w:r>
      <w:r w:rsidR="004257DF" w:rsidRPr="004257DF">
        <w:t xml:space="preserve"> </w:t>
      </w:r>
      <w:r w:rsidR="004257DF" w:rsidRPr="004257DF">
        <w:rPr>
          <w:lang w:val="en-US"/>
        </w:rPr>
        <w:t>Viborg, Denmark</w:t>
      </w:r>
      <w:r w:rsidR="001D77A3" w:rsidRPr="004D6C27">
        <w:rPr>
          <w:lang w:val="en-US"/>
        </w:rPr>
        <w:t>). A detailed description of the respirometry setup is described in</w:t>
      </w:r>
      <w:r w:rsidR="001D77A3">
        <w:rPr>
          <w:lang w:val="en-US"/>
        </w:rPr>
        <w:t xml:space="preserve"> </w:t>
      </w:r>
      <w:r w:rsidR="001D77A3">
        <w:rPr>
          <w:lang w:val="en-US"/>
        </w:rPr>
        <w:fldChar w:fldCharType="begin" w:fldLock="1"/>
      </w:r>
      <w:r w:rsidR="00D1241F">
        <w:rPr>
          <w:lang w:val="en-US"/>
        </w:rPr>
        <w:instrText>ADDIN CSL_CITATION {"citationItems":[{"id":"ITEM-1","itemData":{"DOI":"10.1111/jfb.14519","ISSN":"10958649","abstract":"Metabolic rates are one of many measures that are used to explain species' response to environmental change. Static respirometry is used to calculate the standard metabolic rate (SMR) of fish, and when combined with exhaustive chase protocols it can be used to measure maximum metabolic rate (MMR) and aerobic scope (AS) as well. While these methods have been tested in comparison to swim tunnels and chambers with circular currents, they have not been tested in comparison with a no-chase control. We used a repeated-measures design to compare estimates of SMR, MMR and AS in European perch Perca fluviatilis following three protocols: (a) a no-chase control; (b) a 3-min exhaustive chase; and (c) a 3-min exhaustive chase followed by 1-min air exposure. We found that, contrary to expectations, exhaustive chase protocols underestimate MMR and AS at 18°C, compared to the no-chase control. This suggests that metabolic rates of other species with similar locomotorty modes or lifestyles could be similarly underestimated using chase protocols. These underestimates have implications for studies examining metabolic performance and responses to climate change scenarios. To prevent underestimates, future experiments measuring metabolic rates should include a pilot with a no-chase control or, when appropriate, an adjusted methodology in which trials end with the exhaustive chase instead of beginning with it.","author":[{"dropping-particle":"","family":"Andersson","given":"Matilda L.","non-dropping-particle":"","parse-names":false,"suffix":""},{"dropping-particle":"","family":"Sundberg","given":"Fredrik","non-dropping-particle":"","parse-names":false,"suffix":""},{"dropping-particle":"","family":"Eklöv","given":"Peter","non-dropping-particle":"","parse-names":false,"suffix":""}],"container-title":"Journal of Fish Biology","id":"ITEM-1","issue":"June","issued":{"date-parts":[["2020"]]},"title":"Chasing away accurate results: exhaustive chase protocols underestimate maximum metabolic rate estimates in European perch &lt;i&gt;Perca fluviatilis&lt;/i&gt;","type":"article-journal"},"uris":["http://www.mendeley.com/documents/?uuid=f41f10a1-35e6-47b1-b436-77608fae4d5b"]}],"mendeley":{"formattedCitation":"(Andersson et al., 2020)","plainTextFormattedCitation":"(Andersson et al., 2020)","previouslyFormattedCitation":"(Andersson et al., 2020)"},"properties":{"noteIndex":0},"schema":"https://github.com/citation-style-language/schema/raw/master/csl-citation.json"}</w:instrText>
      </w:r>
      <w:r w:rsidR="001D77A3">
        <w:rPr>
          <w:lang w:val="en-US"/>
        </w:rPr>
        <w:fldChar w:fldCharType="separate"/>
      </w:r>
      <w:r w:rsidR="001D77A3" w:rsidRPr="001D77A3">
        <w:rPr>
          <w:noProof/>
          <w:lang w:val="en-US"/>
        </w:rPr>
        <w:t>(Andersson et al., 2020)</w:t>
      </w:r>
      <w:r w:rsidR="001D77A3">
        <w:rPr>
          <w:lang w:val="en-US"/>
        </w:rPr>
        <w:fldChar w:fldCharType="end"/>
      </w:r>
      <w:r w:rsidR="001D77A3" w:rsidRPr="004D6C27">
        <w:rPr>
          <w:lang w:val="en-US"/>
        </w:rPr>
        <w:t>. Briefly,</w:t>
      </w:r>
      <w:r w:rsidR="001D77A3">
        <w:rPr>
          <w:lang w:val="en-US"/>
        </w:rPr>
        <w:t xml:space="preserve"> our system was comprised of </w:t>
      </w:r>
      <w:r w:rsidR="001858D9" w:rsidRPr="003F070C">
        <w:rPr>
          <w:rFonts w:cstheme="minorHAnsi"/>
          <w:lang w:val="en-US"/>
        </w:rPr>
        <w:t>four acrylic respirometry chambers</w:t>
      </w:r>
      <w:r w:rsidR="009E686A">
        <w:rPr>
          <w:rFonts w:cstheme="minorHAnsi"/>
          <w:lang w:val="en-US"/>
        </w:rPr>
        <w:t xml:space="preserve"> </w:t>
      </w:r>
      <w:r w:rsidR="009E686A" w:rsidRPr="009E686A">
        <w:rPr>
          <w:rFonts w:cstheme="minorHAnsi"/>
          <w:lang w:val="en-US"/>
        </w:rPr>
        <w:t xml:space="preserve">(size-matched to </w:t>
      </w:r>
      <w:r w:rsidR="001D77A3">
        <w:rPr>
          <w:rFonts w:cstheme="minorHAnsi"/>
          <w:lang w:val="en-US"/>
        </w:rPr>
        <w:t>each</w:t>
      </w:r>
      <w:r w:rsidR="009E686A" w:rsidRPr="009E686A">
        <w:rPr>
          <w:rFonts w:cstheme="minorHAnsi"/>
          <w:lang w:val="en-US"/>
        </w:rPr>
        <w:t xml:space="preserve"> fish)</w:t>
      </w:r>
      <w:r w:rsidR="009E686A">
        <w:rPr>
          <w:rFonts w:cstheme="minorHAnsi"/>
          <w:lang w:val="en-US"/>
        </w:rPr>
        <w:t xml:space="preserve">, which </w:t>
      </w:r>
      <w:r w:rsidR="001858D9" w:rsidRPr="003F070C">
        <w:rPr>
          <w:rFonts w:cstheme="minorHAnsi"/>
          <w:lang w:val="en-US"/>
        </w:rPr>
        <w:t>were submerged in two aquaria (two chambers per tank) containing air-stones to maintain oxygen at air-saturation levels</w:t>
      </w:r>
      <w:r w:rsidR="001D77A3">
        <w:rPr>
          <w:rFonts w:cstheme="minorHAnsi"/>
          <w:lang w:val="en-US"/>
        </w:rPr>
        <w:t xml:space="preserve"> and attached to an external heating bath </w:t>
      </w:r>
      <w:r w:rsidR="001D77A3">
        <w:rPr>
          <w:rFonts w:cstheme="minorHAnsi"/>
          <w:lang w:val="en-US"/>
        </w:rPr>
        <w:lastRenderedPageBreak/>
        <w:t xml:space="preserve">which maintained the water temperature at </w:t>
      </w:r>
      <w:r w:rsidR="001D77A3" w:rsidRPr="003F070C">
        <w:rPr>
          <w:rFonts w:cstheme="minorHAnsi"/>
          <w:lang w:val="en-US"/>
        </w:rPr>
        <w:t>18.1 ± 0.10°C (mean ± SD)</w:t>
      </w:r>
      <w:r w:rsidR="001D77A3">
        <w:rPr>
          <w:rFonts w:cstheme="minorHAnsi"/>
          <w:lang w:val="en-US"/>
        </w:rPr>
        <w:t>.</w:t>
      </w:r>
      <w:r w:rsidR="00E42096" w:rsidRPr="003F070C">
        <w:rPr>
          <w:rFonts w:cstheme="minorHAnsi"/>
          <w:lang w:val="en-US"/>
        </w:rPr>
        <w:t xml:space="preserve"> W</w:t>
      </w:r>
      <w:r w:rsidR="001858D9" w:rsidRPr="003F070C">
        <w:rPr>
          <w:rFonts w:cstheme="minorHAnsi"/>
          <w:lang w:val="en-US"/>
        </w:rPr>
        <w:t xml:space="preserve">ater was recirculated between the two aquaria </w:t>
      </w:r>
      <w:r w:rsidR="001D77A3">
        <w:rPr>
          <w:rFonts w:cstheme="minorHAnsi"/>
          <w:lang w:val="en-US"/>
        </w:rPr>
        <w:t>through</w:t>
      </w:r>
      <w:r w:rsidR="00C538FC" w:rsidRPr="003F070C">
        <w:rPr>
          <w:rFonts w:cstheme="minorHAnsi"/>
          <w:lang w:val="en-US"/>
        </w:rPr>
        <w:t xml:space="preserve"> </w:t>
      </w:r>
      <w:r w:rsidR="001858D9" w:rsidRPr="003F070C">
        <w:rPr>
          <w:rFonts w:cstheme="minorHAnsi"/>
          <w:lang w:val="en-US"/>
        </w:rPr>
        <w:t xml:space="preserve">a </w:t>
      </w:r>
      <w:r w:rsidR="00E42096" w:rsidRPr="003F070C">
        <w:rPr>
          <w:rFonts w:cstheme="minorHAnsi"/>
          <w:lang w:val="en-US"/>
        </w:rPr>
        <w:t>UV filter</w:t>
      </w:r>
      <w:r w:rsidR="001858D9" w:rsidRPr="003F070C">
        <w:rPr>
          <w:rFonts w:cstheme="minorHAnsi"/>
          <w:lang w:val="en-US"/>
        </w:rPr>
        <w:t xml:space="preserve"> </w:t>
      </w:r>
      <w:r w:rsidR="00E42096" w:rsidRPr="003F070C">
        <w:rPr>
          <w:rFonts w:cstheme="minorHAnsi"/>
          <w:lang w:val="en-US"/>
        </w:rPr>
        <w:t>to reduce background respiration in the system caused by bacterial growth</w:t>
      </w:r>
      <w:r w:rsidR="001D77A3">
        <w:rPr>
          <w:rFonts w:cstheme="minorHAnsi"/>
          <w:lang w:val="en-US"/>
        </w:rPr>
        <w:t xml:space="preserve">. </w:t>
      </w:r>
      <w:r w:rsidR="001858D9" w:rsidRPr="003F070C">
        <w:rPr>
          <w:rFonts w:cstheme="minorHAnsi"/>
          <w:lang w:val="en-US"/>
        </w:rPr>
        <w:t>Oxygen concentration was measured using a Wiltrox4 oxygen meter (</w:t>
      </w:r>
      <w:proofErr w:type="spellStart"/>
      <w:r w:rsidR="001858D9" w:rsidRPr="003F070C">
        <w:rPr>
          <w:rFonts w:cstheme="minorHAnsi"/>
          <w:lang w:val="en-US"/>
        </w:rPr>
        <w:t>LoligoSystems</w:t>
      </w:r>
      <w:proofErr w:type="spellEnd"/>
      <w:r w:rsidR="001858D9" w:rsidRPr="003F070C">
        <w:rPr>
          <w:rFonts w:cstheme="minorHAnsi"/>
          <w:lang w:val="en-US"/>
        </w:rPr>
        <w:t>)</w:t>
      </w:r>
      <w:r w:rsidR="00856D40">
        <w:rPr>
          <w:rFonts w:cstheme="minorHAnsi"/>
          <w:lang w:val="en-US"/>
        </w:rPr>
        <w:t>,</w:t>
      </w:r>
      <w:r w:rsidR="001D77A3">
        <w:rPr>
          <w:rFonts w:cstheme="minorHAnsi"/>
          <w:lang w:val="en-US"/>
        </w:rPr>
        <w:t xml:space="preserve"> and water temperature and phase length were controlled using AutoResp software </w:t>
      </w:r>
      <w:r w:rsidR="001D77A3" w:rsidRPr="003F070C">
        <w:rPr>
          <w:rFonts w:cstheme="minorHAnsi"/>
          <w:lang w:val="en-US"/>
        </w:rPr>
        <w:t>meter (</w:t>
      </w:r>
      <w:proofErr w:type="spellStart"/>
      <w:r w:rsidR="001D77A3" w:rsidRPr="003F070C">
        <w:rPr>
          <w:rFonts w:cstheme="minorHAnsi"/>
          <w:lang w:val="en-US"/>
        </w:rPr>
        <w:t>LoligoSystems</w:t>
      </w:r>
      <w:proofErr w:type="spellEnd"/>
      <w:r w:rsidR="001D77A3" w:rsidRPr="003F070C">
        <w:rPr>
          <w:rFonts w:cstheme="minorHAnsi"/>
          <w:lang w:val="en-US"/>
        </w:rPr>
        <w:t>)</w:t>
      </w:r>
      <w:r w:rsidR="001858D9" w:rsidRPr="003F070C">
        <w:rPr>
          <w:rFonts w:cstheme="minorHAnsi"/>
          <w:lang w:val="en-US"/>
        </w:rPr>
        <w:t>. Measurement loops consisted of a 180</w:t>
      </w:r>
      <w:r w:rsidR="007E69C3">
        <w:rPr>
          <w:rFonts w:cstheme="minorHAnsi"/>
          <w:lang w:val="en-US"/>
        </w:rPr>
        <w:t xml:space="preserve"> </w:t>
      </w:r>
      <w:r w:rsidR="001858D9" w:rsidRPr="003F070C">
        <w:rPr>
          <w:rFonts w:cstheme="minorHAnsi"/>
          <w:lang w:val="en-US"/>
        </w:rPr>
        <w:t>s flush phase, a 30</w:t>
      </w:r>
      <w:r w:rsidR="007E69C3">
        <w:rPr>
          <w:rFonts w:cstheme="minorHAnsi"/>
          <w:lang w:val="en-US"/>
        </w:rPr>
        <w:t xml:space="preserve"> </w:t>
      </w:r>
      <w:r w:rsidR="001858D9" w:rsidRPr="003F070C">
        <w:rPr>
          <w:rFonts w:cstheme="minorHAnsi"/>
          <w:lang w:val="en-US"/>
        </w:rPr>
        <w:t>s wait phase, and a 210</w:t>
      </w:r>
      <w:r w:rsidR="007E69C3">
        <w:rPr>
          <w:rFonts w:cstheme="minorHAnsi"/>
          <w:lang w:val="en-US"/>
        </w:rPr>
        <w:t xml:space="preserve"> </w:t>
      </w:r>
      <w:r w:rsidR="001858D9" w:rsidRPr="003F070C">
        <w:rPr>
          <w:rFonts w:cstheme="minorHAnsi"/>
          <w:lang w:val="en-US"/>
        </w:rPr>
        <w:t>s measurement phase. Following each trial, the system was cleaned with ~15</w:t>
      </w:r>
      <w:r w:rsidR="009D117B">
        <w:rPr>
          <w:rFonts w:cstheme="minorHAnsi"/>
          <w:lang w:val="en-US"/>
        </w:rPr>
        <w:t xml:space="preserve"> </w:t>
      </w:r>
      <w:r w:rsidR="001858D9" w:rsidRPr="003F070C">
        <w:rPr>
          <w:rFonts w:cstheme="minorHAnsi"/>
          <w:lang w:val="en-US"/>
        </w:rPr>
        <w:t>mL bleach</w:t>
      </w:r>
      <w:r w:rsidR="001D77A3">
        <w:rPr>
          <w:rFonts w:cstheme="minorHAnsi"/>
          <w:lang w:val="en-US"/>
        </w:rPr>
        <w:t xml:space="preserve"> and flushed</w:t>
      </w:r>
      <w:r w:rsidR="001858D9" w:rsidRPr="003F070C">
        <w:rPr>
          <w:rFonts w:cstheme="minorHAnsi"/>
          <w:lang w:val="en-US"/>
        </w:rPr>
        <w:t xml:space="preserve"> with fresh water</w:t>
      </w:r>
      <w:r w:rsidR="001D77A3">
        <w:rPr>
          <w:rFonts w:cstheme="minorHAnsi"/>
          <w:lang w:val="en-US"/>
        </w:rPr>
        <w:t xml:space="preserve"> </w:t>
      </w:r>
      <w:r w:rsidR="001D77A3" w:rsidRPr="003F070C">
        <w:rPr>
          <w:rFonts w:cstheme="minorHAnsi"/>
          <w:lang w:val="en-US"/>
        </w:rPr>
        <w:t>to prevent the build-up of microbes</w:t>
      </w:r>
      <w:r w:rsidR="001D77A3">
        <w:rPr>
          <w:rFonts w:cstheme="minorHAnsi"/>
          <w:lang w:val="en-US"/>
        </w:rPr>
        <w:t xml:space="preserve">. Following </w:t>
      </w:r>
      <w:r w:rsidR="00856D40">
        <w:rPr>
          <w:rFonts w:cstheme="minorHAnsi"/>
          <w:lang w:val="en-US"/>
        </w:rPr>
        <w:t>cleaning,</w:t>
      </w:r>
      <w:r w:rsidR="001858D9" w:rsidRPr="003F070C">
        <w:rPr>
          <w:rFonts w:cstheme="minorHAnsi"/>
          <w:lang w:val="en-US"/>
        </w:rPr>
        <w:t xml:space="preserve"> the aquaria were refilled with tap water that had been aerated and maintained at </w:t>
      </w:r>
      <w:r w:rsidR="001858D9" w:rsidRPr="003F070C">
        <w:rPr>
          <w:rFonts w:cstheme="minorHAnsi"/>
          <w:color w:val="000000" w:themeColor="text1"/>
          <w:lang w:val="en-US"/>
        </w:rPr>
        <w:t>18 ± 0.5°C</w:t>
      </w:r>
      <w:r w:rsidR="001858D9" w:rsidRPr="003F070C">
        <w:rPr>
          <w:rFonts w:cstheme="minorHAnsi"/>
          <w:lang w:val="en-US"/>
        </w:rPr>
        <w:t xml:space="preserve"> for a minimum of 24 h. </w:t>
      </w:r>
    </w:p>
    <w:p w14:paraId="5C9B6EC9" w14:textId="77777777" w:rsidR="001858D9" w:rsidRPr="009F7ED9" w:rsidRDefault="001858D9" w:rsidP="007F1711">
      <w:pPr>
        <w:pStyle w:val="Heading2"/>
        <w:spacing w:line="480" w:lineRule="auto"/>
        <w:jc w:val="both"/>
        <w:rPr>
          <w:color w:val="000000" w:themeColor="text1"/>
        </w:rPr>
      </w:pPr>
      <w:r w:rsidRPr="009F7ED9">
        <w:rPr>
          <w:color w:val="000000" w:themeColor="text1"/>
        </w:rPr>
        <w:t xml:space="preserve">Measurements of metabolic rates </w:t>
      </w:r>
    </w:p>
    <w:p w14:paraId="51F5F00E" w14:textId="71F596DD" w:rsidR="001858D9" w:rsidRPr="003F070C" w:rsidRDefault="001858D9" w:rsidP="007F1711">
      <w:pPr>
        <w:spacing w:line="480" w:lineRule="auto"/>
        <w:jc w:val="both"/>
        <w:rPr>
          <w:rFonts w:cstheme="minorHAnsi"/>
          <w:lang w:val="en-US"/>
        </w:rPr>
      </w:pPr>
      <w:r w:rsidRPr="003F070C">
        <w:rPr>
          <w:rFonts w:cstheme="minorHAnsi"/>
          <w:lang w:val="en-US"/>
        </w:rPr>
        <w:t>Fish were fasted for approximately 24</w:t>
      </w:r>
      <w:r w:rsidR="009D117B">
        <w:rPr>
          <w:rFonts w:cstheme="minorHAnsi"/>
          <w:lang w:val="en-US"/>
        </w:rPr>
        <w:t xml:space="preserve"> </w:t>
      </w:r>
      <w:r w:rsidRPr="003F070C">
        <w:rPr>
          <w:rFonts w:cstheme="minorHAnsi"/>
          <w:lang w:val="en-US"/>
        </w:rPr>
        <w:t xml:space="preserve">h prior to the start of each trial. To elicit maximum metabolic rate, fish were </w:t>
      </w:r>
      <w:r w:rsidRPr="003F070C">
        <w:rPr>
          <w:rStyle w:val="Standardstycketeckensnitt1"/>
          <w:rFonts w:cstheme="minorHAnsi"/>
          <w:color w:val="000000"/>
          <w:lang w:val="en-US" w:eastAsia="sv-SE"/>
        </w:rPr>
        <w:t>manually chased with a hand net for 3 minutes in a circular arena (diameter = 50</w:t>
      </w:r>
      <w:r w:rsidR="009D117B">
        <w:rPr>
          <w:rStyle w:val="Standardstycketeckensnitt1"/>
          <w:rFonts w:cstheme="minorHAnsi"/>
          <w:color w:val="000000"/>
          <w:lang w:val="en-US" w:eastAsia="sv-SE"/>
        </w:rPr>
        <w:t xml:space="preserve"> </w:t>
      </w:r>
      <w:r w:rsidRPr="003F070C">
        <w:rPr>
          <w:rStyle w:val="Standardstycketeckensnitt1"/>
          <w:rFonts w:cstheme="minorHAnsi"/>
          <w:color w:val="000000"/>
          <w:lang w:val="en-US" w:eastAsia="sv-SE"/>
        </w:rPr>
        <w:t>cm, water depth = 12</w:t>
      </w:r>
      <w:r w:rsidR="009D117B">
        <w:rPr>
          <w:rStyle w:val="Standardstycketeckensnitt1"/>
          <w:rFonts w:cstheme="minorHAnsi"/>
          <w:color w:val="000000"/>
          <w:lang w:val="en-US" w:eastAsia="sv-SE"/>
        </w:rPr>
        <w:t xml:space="preserve"> </w:t>
      </w:r>
      <w:r w:rsidRPr="003F070C">
        <w:rPr>
          <w:rStyle w:val="Standardstycketeckensnitt1"/>
          <w:rFonts w:cstheme="minorHAnsi"/>
          <w:color w:val="000000"/>
          <w:lang w:val="en-US" w:eastAsia="sv-SE"/>
        </w:rPr>
        <w:t xml:space="preserve">cm) filled with aerated tap water at </w:t>
      </w:r>
      <w:r w:rsidRPr="003F070C">
        <w:rPr>
          <w:rStyle w:val="Standardstycketeckensnitt1"/>
          <w:rFonts w:cstheme="minorHAnsi"/>
          <w:color w:val="000000" w:themeColor="text1"/>
          <w:lang w:val="en-US" w:eastAsia="sv-SE"/>
        </w:rPr>
        <w:t>18</w:t>
      </w:r>
      <w:r w:rsidR="004257DF">
        <w:rPr>
          <w:rStyle w:val="Standardstycketeckensnitt1"/>
          <w:rFonts w:cstheme="minorHAnsi"/>
          <w:color w:val="000000" w:themeColor="text1"/>
          <w:lang w:val="en-US" w:eastAsia="sv-SE"/>
        </w:rPr>
        <w:t xml:space="preserve"> </w:t>
      </w:r>
      <w:r w:rsidRPr="003F070C">
        <w:rPr>
          <w:rStyle w:val="Standardstycketeckensnitt1"/>
          <w:rFonts w:cstheme="minorHAnsi"/>
          <w:color w:val="000000" w:themeColor="text1"/>
          <w:lang w:val="en-US" w:eastAsia="sv-SE"/>
        </w:rPr>
        <w:t>±</w:t>
      </w:r>
      <w:r w:rsidR="004257DF">
        <w:rPr>
          <w:rStyle w:val="Standardstycketeckensnitt1"/>
          <w:rFonts w:cstheme="minorHAnsi"/>
          <w:color w:val="000000" w:themeColor="text1"/>
          <w:lang w:val="en-US" w:eastAsia="sv-SE"/>
        </w:rPr>
        <w:t xml:space="preserve"> </w:t>
      </w:r>
      <w:r w:rsidR="007E69C3">
        <w:rPr>
          <w:rStyle w:val="Standardstycketeckensnitt1"/>
          <w:rFonts w:cstheme="minorHAnsi"/>
          <w:color w:val="000000" w:themeColor="text1"/>
          <w:lang w:val="en-US" w:eastAsia="sv-SE"/>
        </w:rPr>
        <w:t>0.1</w:t>
      </w:r>
      <w:r w:rsidRPr="003F070C">
        <w:rPr>
          <w:rStyle w:val="Standardstycketeckensnitt1"/>
          <w:rFonts w:cstheme="minorHAnsi"/>
          <w:color w:val="000000" w:themeColor="text1"/>
          <w:shd w:val="clear" w:color="auto" w:fill="FFFFFF"/>
          <w:lang w:val="en-US" w:eastAsia="sv-SE"/>
        </w:rPr>
        <w:t>°C</w:t>
      </w:r>
      <w:r w:rsidRPr="003F070C">
        <w:rPr>
          <w:rStyle w:val="Standardstycketeckensnitt1"/>
          <w:rFonts w:cstheme="minorHAnsi"/>
          <w:color w:val="000000"/>
          <w:lang w:val="en-US" w:eastAsia="sv-SE"/>
        </w:rPr>
        <w:t xml:space="preserve"> </w:t>
      </w:r>
      <w:r w:rsidRPr="003F070C">
        <w:rPr>
          <w:rStyle w:val="Standardstycketeckensnitt1"/>
          <w:rFonts w:cstheme="minorHAnsi"/>
          <w:color w:val="000000"/>
          <w:lang w:eastAsia="sv-SE"/>
        </w:rPr>
        <w:fldChar w:fldCharType="begin" w:fldLock="1"/>
      </w:r>
      <w:r w:rsidR="002E4F95">
        <w:rPr>
          <w:rStyle w:val="Standardstycketeckensnitt1"/>
          <w:rFonts w:cstheme="minorHAnsi"/>
          <w:color w:val="000000"/>
          <w:lang w:val="en-US" w:eastAsia="sv-SE"/>
        </w:rPr>
        <w:instrText>ADDIN CSL_CITATION {"citationItems":[{"id":"ITEM-1","itemData":{"DOI":"10.1038/ncomms11447","ISSN":"2041-1723","author":[{"dropping-particle":"","family":"Sandblom","given":"Erik","non-dropping-particle":"","parse-names":false,"suffix":""},{"dropping-particle":"","family":"Clark","given":"Timothy D.","non-dropping-particle":"","parse-names":false,"suffix":""},{"dropping-particle":"","family":"Gräns","given":"Albin","non-dropping-particle":"","parse-names":false,"suffix":""},{"dropping-particle":"","family":"Ekström","given":"Andreas","non-dropping-particle":"","parse-names":false,"suffix":""},{"dropping-particle":"","family":"Brijs","given":"Jeroen","non-dropping-particle":"","parse-names":false,"suffix":""},{"dropping-particle":"","family":"Sundström","given":"L. Fredrik","non-dropping-particle":"","parse-names":false,"suffix":""},{"dropping-particle":"","family":"Odelström","given":"Anne","non-dropping-particle":"","parse-names":false,"suffix":""},{"dropping-particle":"","family":"Adill","given":"Anders","non-dropping-particle":"","parse-names":false,"suffix":""},{"dropping-particle":"","family":"Aho","given":"Teija","non-dropping-particle":"","parse-names":false,"suffix":""},{"dropping-particle":"","family":"Jutfelt","given":"Fredrik","non-dropping-particle":"","parse-names":false,"suffix":""}],"container-title":"Nature Communications","id":"ITEM-1","issue":"7491","issued":{"date-parts":[["2016"]]},"note":"Super applicable, also has a lot of the methods we are planning to use. I wonder if there are any other systems like this located further south.... Germany or France perhaps.","page":"1-8","title":"Physiological constraints to climate warming in fish follow principles of plastic floors and concrete ceilings","type":"article-journal","volume":"7"},"uris":["http://www.mendeley.com/documents/?uuid=ab949b0f-ce19-47f9-b3ff-11279214f0ca"]},{"id":"ITEM-2","itemData":{"DOI":"10.1242/jeb.121889","ISSN":"0022-0949","author":[{"dropping-particle":"","family":"Brijs","given":"Jeroen","non-dropping-particle":"","parse-names":false,"suffix":""},{"dropping-particle":"","family":"Jutfelt","given":"Fredrik","non-dropping-particle":"","parse-names":false,"suffix":""},{"dropping-particle":"","family":"Clark","given":"Timothy D","non-dropping-particle":"","parse-names":false,"suffix":""},{"dropping-particle":"","family":"Gräns","given":"Albin","non-dropping-particle":"","parse-names":false,"suffix":""},{"dropping-particle":"","family":"Ekström","given":"Andreas","non-dropping-particle":"","parse-names":false,"suffix":""},{"dropping-particle":"","family":"Sandblom","given":"Erik","non-dropping-particle":"","parse-names":false,"suffix":""}],"container-title":"Journal of Experimental Biology","id":"ITEM-2","issued":{"date-parts":[["2015"]]},"page":"2448-2454","title":"Experimental manipulations of tissue oxygen supply do not affect warming tolerance of European perch","type":"article-journal","volume":"218"},"uris":["http://www.mendeley.com/documents/?uuid=eb07a11e-300e-40ad-aeec-920adbcbda76"]},{"id":"ITEM-3","itemData":{"DOI":"10.1111/jfb.12797","ISBN":"1095-8649","ISSN":"10958649","PMID":"26603018","abstract":"Intermittent-flow respirometry is an experimental protocol for measuring oxygen consumption in aquatic organisms that utilizes the best features of closed (stop-flow) and flow-through respirometry while eliminating (or at least reducing) some of their inherent problems. By interspersing short periods of closed-chamber oxygen consumption measurements with regular flush periods, accurate oxygen uptake rate measurements can be made without the accumulation of waste products, particularly carbon dioxide, which may confound results. Automating the procedure with easily available hardware and software further reduces error by allowing many measurements to be made over long periods thereby minimizing animal stress due to acclimation issues. This paper describes some of the fundamental principles that need to be considered when designing and carrying out automated intermittent-flow respirometry (e.g. chamber size, flush rate, flush time, chamber mixing, measurement periods and temperature control). Finally, recent advances in oxygen probe technology and open source automation software will be discussed in the context of assembling relatively low cost and reliable measurement systems.","author":[{"dropping-particle":"","family":"Svendsen","given":"M. B S","non-dropping-particle":"","parse-names":false,"suffix":""},{"dropping-particle":"","family":"Bushnell","given":"P. G.","non-dropping-particle":"","parse-names":false,"suffix":""},{"dropping-particle":"","family":"Steffensen","given":"J. F.","non-dropping-particle":"","parse-names":false,"suffix":""}],"container-title":"Journal of Fish Biology","id":"ITEM-3","issue":"1","issued":{"date-parts":[["2016"]]},"page":"26-50","title":"Design and setup of intermittent-flow respirometry system for aquatic organisms","type":"article-journal","volume":"88"},"uris":["http://www.mendeley.com/documents/?uuid=06912af3-3b6d-42ad-bdab-679e400ac69f"]}],"mendeley":{"formattedCitation":"(Brijs et al., 2015; Sandblom et al., 2016; Svendsen et al., 2016)","plainTextFormattedCitation":"(Brijs et al., 2015; Sandblom et al., 2016; Svendsen et al., 2016)","previouslyFormattedCitation":"(Brijs et al., 2015; Sandblom et al., 2016; Svendsen et al., 2016)"},"properties":{"noteIndex":0},"schema":"https://github.com/citation-style-language/schema/raw/master/csl-citation.json"}</w:instrText>
      </w:r>
      <w:r w:rsidRPr="003F070C">
        <w:rPr>
          <w:rStyle w:val="Standardstycketeckensnitt1"/>
          <w:rFonts w:cstheme="minorHAnsi"/>
          <w:color w:val="000000"/>
          <w:lang w:eastAsia="sv-SE"/>
        </w:rPr>
        <w:fldChar w:fldCharType="separate"/>
      </w:r>
      <w:r w:rsidR="00EF0DCC" w:rsidRPr="00EF0DCC">
        <w:rPr>
          <w:rStyle w:val="Standardstycketeckensnitt1"/>
          <w:rFonts w:cstheme="minorHAnsi"/>
          <w:noProof/>
          <w:color w:val="000000"/>
          <w:lang w:val="en-US" w:eastAsia="sv-SE"/>
        </w:rPr>
        <w:t>(Brijs et al., 2015; Sandblom et al., 2016; Svendsen et al., 2016)</w:t>
      </w:r>
      <w:r w:rsidRPr="003F070C">
        <w:rPr>
          <w:rStyle w:val="Standardstycketeckensnitt1"/>
          <w:rFonts w:cstheme="minorHAnsi"/>
          <w:color w:val="000000"/>
          <w:lang w:eastAsia="sv-SE"/>
        </w:rPr>
        <w:fldChar w:fldCharType="end"/>
      </w:r>
      <w:r w:rsidRPr="003F070C">
        <w:rPr>
          <w:rStyle w:val="Standardstycketeckensnitt1"/>
          <w:rFonts w:cstheme="minorHAnsi"/>
          <w:color w:val="000000"/>
          <w:lang w:val="en-US" w:eastAsia="sv-SE"/>
        </w:rPr>
        <w:t>.</w:t>
      </w:r>
      <w:r w:rsidR="00E42096" w:rsidRPr="003F070C">
        <w:rPr>
          <w:rStyle w:val="Standardstycketeckensnitt1"/>
          <w:rFonts w:cstheme="minorHAnsi"/>
          <w:color w:val="000000"/>
          <w:lang w:val="en-US" w:eastAsia="sv-SE"/>
        </w:rPr>
        <w:t xml:space="preserve"> Although</w:t>
      </w:r>
      <w:r w:rsidR="009F7EDB" w:rsidRPr="003F070C">
        <w:rPr>
          <w:rStyle w:val="Standardstycketeckensnitt1"/>
          <w:rFonts w:cstheme="minorHAnsi"/>
          <w:color w:val="000000"/>
          <w:lang w:val="en-US" w:eastAsia="sv-SE"/>
        </w:rPr>
        <w:t xml:space="preserve"> a subsequent study </w:t>
      </w:r>
      <w:r w:rsidR="00E42096" w:rsidRPr="003F070C">
        <w:rPr>
          <w:rStyle w:val="Standardstycketeckensnitt1"/>
          <w:rFonts w:cstheme="minorHAnsi"/>
          <w:color w:val="000000"/>
          <w:lang w:val="en-US" w:eastAsia="sv-SE"/>
        </w:rPr>
        <w:t xml:space="preserve">found that a chase protocol results in a lower MMR than allowing the fish to reach MMR </w:t>
      </w:r>
      <w:r w:rsidR="0064258C" w:rsidRPr="003F070C">
        <w:rPr>
          <w:rStyle w:val="Standardstycketeckensnitt1"/>
          <w:rFonts w:cstheme="minorHAnsi"/>
          <w:color w:val="000000"/>
          <w:lang w:val="en-US" w:eastAsia="sv-SE"/>
        </w:rPr>
        <w:t>through</w:t>
      </w:r>
      <w:r w:rsidR="00E42096" w:rsidRPr="003F070C">
        <w:rPr>
          <w:rStyle w:val="Standardstycketeckensnitt1"/>
          <w:rFonts w:cstheme="minorHAnsi"/>
          <w:color w:val="000000"/>
          <w:lang w:val="en-US" w:eastAsia="sv-SE"/>
        </w:rPr>
        <w:t xml:space="preserve"> spontaneous activity </w:t>
      </w:r>
      <w:r w:rsidR="00E42096" w:rsidRPr="003F070C">
        <w:rPr>
          <w:rStyle w:val="Standardstycketeckensnitt1"/>
          <w:rFonts w:cstheme="minorHAnsi"/>
          <w:color w:val="000000"/>
          <w:lang w:val="en-US" w:eastAsia="sv-SE"/>
        </w:rPr>
        <w:fldChar w:fldCharType="begin" w:fldLock="1"/>
      </w:r>
      <w:r w:rsidR="000B6581">
        <w:rPr>
          <w:rStyle w:val="Standardstycketeckensnitt1"/>
          <w:rFonts w:cstheme="minorHAnsi"/>
          <w:color w:val="000000"/>
          <w:lang w:val="en-US" w:eastAsia="sv-SE"/>
        </w:rPr>
        <w:instrText>ADDIN CSL_CITATION {"citationItems":[{"id":"ITEM-1","itemData":{"DOI":"10.1111/jfb.14519","ISSN":"10958649","abstract":"Metabolic rates are one of many measures that are used to explain species' response to environmental change. Static respirometry is used to calculate the standard metabolic rate (SMR) of fish, and when combined with exhaustive chase protocols it can be used to measure maximum metabolic rate (MMR) and aerobic scope (AS) as well. While these methods have been tested in comparison to swim tunnels and chambers with circular currents, they have not been tested in comparison with a no-chase control. We used a repeated-measures design to compare estimates of SMR, MMR and AS in European perch Perca fluviatilis following three protocols: (a) a no-chase control; (b) a 3-min exhaustive chase; and (c) a 3-min exhaustive chase followed by 1-min air exposure. We found that, contrary to expectations, exhaustive chase protocols underestimate MMR and AS at 18°C, compared to the no-chase control. This suggests that metabolic rates of other species with similar locomotorty modes or lifestyles could be similarly underestimated using chase protocols. These underestimates have implications for studies examining metabolic performance and responses to climate change scenarios. To prevent underestimates, future experiments measuring metabolic rates should include a pilot with a no-chase control or, when appropriate, an adjusted methodology in which trials end with the exhaustive chase instead of beginning with it.","author":[{"dropping-particle":"","family":"Andersson","given":"Matilda L.","non-dropping-particle":"","parse-names":false,"suffix":""},{"dropping-particle":"","family":"Sundberg","given":"Fredrik","non-dropping-particle":"","parse-names":false,"suffix":""},{"dropping-particle":"","family":"Eklöv","given":"Peter","non-dropping-particle":"","parse-names":false,"suffix":""}],"container-title":"Journal of Fish Biology","id":"ITEM-1","issue":"June","issued":{"date-parts":[["2020"]]},"title":"Chasing away accurate results: exhaustive chase protocols underestimate maximum metabolic rate estimates in European perch &lt;i&gt;Perca fluviatilis&lt;/i&gt;","type":"article-journal"},"uris":["http://www.mendeley.com/documents/?uuid=f41f10a1-35e6-47b1-b436-77608fae4d5b"]}],"mendeley":{"formattedCitation":"(Andersson et al., 2020)","manualFormatting":"(Andersson et al., 2020),","plainTextFormattedCitation":"(Andersson et al., 2020)","previouslyFormattedCitation":"(Andersson et al., 2020)"},"properties":{"noteIndex":0},"schema":"https://github.com/citation-style-language/schema/raw/master/csl-citation.json"}</w:instrText>
      </w:r>
      <w:r w:rsidR="00E42096" w:rsidRPr="003F070C">
        <w:rPr>
          <w:rStyle w:val="Standardstycketeckensnitt1"/>
          <w:rFonts w:cstheme="minorHAnsi"/>
          <w:color w:val="000000"/>
          <w:lang w:val="en-US" w:eastAsia="sv-SE"/>
        </w:rPr>
        <w:fldChar w:fldCharType="separate"/>
      </w:r>
      <w:r w:rsidR="00C75AFA" w:rsidRPr="00C75AFA">
        <w:rPr>
          <w:rStyle w:val="Standardstycketeckensnitt1"/>
          <w:rFonts w:cstheme="minorHAnsi"/>
          <w:noProof/>
          <w:color w:val="000000"/>
          <w:lang w:val="en-US" w:eastAsia="sv-SE"/>
        </w:rPr>
        <w:t>(Andersson et al., 2020)</w:t>
      </w:r>
      <w:r w:rsidR="00483541">
        <w:rPr>
          <w:rStyle w:val="Standardstycketeckensnitt1"/>
          <w:rFonts w:cstheme="minorHAnsi"/>
          <w:noProof/>
          <w:color w:val="000000"/>
          <w:lang w:val="en-US" w:eastAsia="sv-SE"/>
        </w:rPr>
        <w:t>,</w:t>
      </w:r>
      <w:r w:rsidR="00E42096" w:rsidRPr="003F070C">
        <w:rPr>
          <w:rStyle w:val="Standardstycketeckensnitt1"/>
          <w:rFonts w:cstheme="minorHAnsi"/>
          <w:color w:val="000000"/>
          <w:lang w:val="en-US" w:eastAsia="sv-SE"/>
        </w:rPr>
        <w:fldChar w:fldCharType="end"/>
      </w:r>
      <w:r w:rsidR="0064258C" w:rsidRPr="003F070C">
        <w:rPr>
          <w:rStyle w:val="Standardstycketeckensnitt1"/>
          <w:rFonts w:cstheme="minorHAnsi"/>
          <w:color w:val="000000"/>
          <w:lang w:val="en-US" w:eastAsia="sv-SE"/>
        </w:rPr>
        <w:t xml:space="preserve"> our focus here is on a comparison of MMR and not the magnitude itself, so we expect that the chase protocol did not impact our results.</w:t>
      </w:r>
      <w:r w:rsidRPr="003F070C">
        <w:rPr>
          <w:rStyle w:val="Standardstycketeckensnitt1"/>
          <w:rFonts w:cstheme="minorHAnsi"/>
          <w:color w:val="000000"/>
          <w:lang w:val="en-US" w:eastAsia="sv-SE"/>
        </w:rPr>
        <w:t xml:space="preserve"> Following the chase, individuals were removed from the arena, transported in a bucket filled with aerated water (</w:t>
      </w:r>
      <w:r w:rsidRPr="003F070C">
        <w:rPr>
          <w:rFonts w:cstheme="minorHAnsi"/>
          <w:lang w:val="en-US"/>
        </w:rPr>
        <w:t xml:space="preserve">~5 </w:t>
      </w:r>
      <w:r w:rsidR="00DE13DF">
        <w:rPr>
          <w:rFonts w:cstheme="minorHAnsi"/>
          <w:lang w:val="en-US"/>
        </w:rPr>
        <w:t>s</w:t>
      </w:r>
      <w:r w:rsidRPr="003F070C">
        <w:rPr>
          <w:rFonts w:cstheme="minorHAnsi"/>
          <w:lang w:val="en-US"/>
        </w:rPr>
        <w:t>)</w:t>
      </w:r>
      <w:r w:rsidRPr="003F070C">
        <w:rPr>
          <w:rStyle w:val="Standardstycketeckensnitt1"/>
          <w:rFonts w:cstheme="minorHAnsi"/>
          <w:color w:val="000000"/>
          <w:lang w:val="en-US" w:eastAsia="sv-SE"/>
        </w:rPr>
        <w:t xml:space="preserve">, and placed in the respirometer chamber during the </w:t>
      </w:r>
      <w:r w:rsidR="00856D40">
        <w:rPr>
          <w:rStyle w:val="Standardstycketeckensnitt1"/>
          <w:rFonts w:cstheme="minorHAnsi"/>
          <w:color w:val="000000"/>
          <w:lang w:val="en-US" w:eastAsia="sv-SE"/>
        </w:rPr>
        <w:t>"</w:t>
      </w:r>
      <w:r w:rsidRPr="003F070C">
        <w:rPr>
          <w:rStyle w:val="Standardstycketeckensnitt1"/>
          <w:rFonts w:cstheme="minorHAnsi"/>
          <w:color w:val="000000"/>
          <w:lang w:val="en-US" w:eastAsia="sv-SE"/>
        </w:rPr>
        <w:t>wait</w:t>
      </w:r>
      <w:r w:rsidR="00856D40">
        <w:rPr>
          <w:rStyle w:val="Standardstycketeckensnitt1"/>
          <w:rFonts w:cstheme="minorHAnsi"/>
          <w:color w:val="000000"/>
          <w:lang w:val="en-US" w:eastAsia="sv-SE"/>
        </w:rPr>
        <w:t>"</w:t>
      </w:r>
      <w:r w:rsidRPr="003F070C">
        <w:rPr>
          <w:rStyle w:val="Standardstycketeckensnitt1"/>
          <w:rFonts w:cstheme="minorHAnsi"/>
          <w:color w:val="000000"/>
          <w:lang w:val="en-US" w:eastAsia="sv-SE"/>
        </w:rPr>
        <w:t xml:space="preserve"> phase. </w:t>
      </w:r>
      <w:r w:rsidRPr="003F070C">
        <w:rPr>
          <w:rFonts w:cstheme="minorHAnsi"/>
          <w:lang w:val="en-US"/>
        </w:rPr>
        <w:t>The wait phase is necessary to account for a lag in the system</w:t>
      </w:r>
      <w:r w:rsidR="0064258C" w:rsidRPr="003F070C">
        <w:rPr>
          <w:rFonts w:cstheme="minorHAnsi"/>
          <w:lang w:val="en-US"/>
        </w:rPr>
        <w:t>,</w:t>
      </w:r>
      <w:r w:rsidRPr="003F070C">
        <w:rPr>
          <w:rFonts w:cstheme="minorHAnsi"/>
          <w:lang w:val="en-US"/>
        </w:rPr>
        <w:t xml:space="preserve"> which can result in a non-linear oxygen curve </w:t>
      </w:r>
      <w:r w:rsidRPr="003F070C">
        <w:rPr>
          <w:rFonts w:cstheme="minorHAnsi"/>
        </w:rPr>
        <w:fldChar w:fldCharType="begin" w:fldLock="1"/>
      </w:r>
      <w:r w:rsidR="0008325B">
        <w:rPr>
          <w:rFonts w:cstheme="minorHAnsi"/>
          <w:lang w:val="en-US"/>
        </w:rPr>
        <w:instrText>ADDIN CSL_CITATION {"citationItems":[{"id":"ITEM-1","itemData":{"author":[{"dropping-particle":"","family":"Loligo-Systems","given":"","non-dropping-particle":"","parse-names":false,"suffix":""}],"id":"ITEM-1","issued":{"date-parts":[["2020"]]},"page":"1-74","publisher-place":"Viborg, Denmark","title":"User manual AutoResp version 2.3.0","type":"article"},"uris":["http://www.mendeley.com/documents/?uuid=909eddb7-1527-44ef-a238-5aa096370cb5"]}],"mendeley":{"formattedCitation":"(Loligo-Systems, 2020)","manualFormatting":"(Loligo-Systems, 2020),","plainTextFormattedCitation":"(Loligo-Systems, 2020)","previouslyFormattedCitation":"(Loligo-Systems, 2020)"},"properties":{"noteIndex":0},"schema":"https://github.com/citation-style-language/schema/raw/master/csl-citation.json"}</w:instrText>
      </w:r>
      <w:r w:rsidRPr="003F070C">
        <w:rPr>
          <w:rFonts w:cstheme="minorHAnsi"/>
        </w:rPr>
        <w:fldChar w:fldCharType="separate"/>
      </w:r>
      <w:r w:rsidR="00C75AFA" w:rsidRPr="00C75AFA">
        <w:rPr>
          <w:rFonts w:cstheme="minorHAnsi"/>
          <w:noProof/>
          <w:lang w:val="en-US"/>
        </w:rPr>
        <w:t>(Loligo-Systems, 2020)</w:t>
      </w:r>
      <w:r w:rsidR="00483541">
        <w:rPr>
          <w:rFonts w:cstheme="minorHAnsi"/>
          <w:noProof/>
          <w:lang w:val="en-US"/>
        </w:rPr>
        <w:t>,</w:t>
      </w:r>
      <w:r w:rsidRPr="003F070C">
        <w:rPr>
          <w:rFonts w:cstheme="minorHAnsi"/>
        </w:rPr>
        <w:fldChar w:fldCharType="end"/>
      </w:r>
      <w:r w:rsidRPr="003F070C">
        <w:rPr>
          <w:rFonts w:cstheme="minorHAnsi"/>
          <w:lang w:val="en-US"/>
        </w:rPr>
        <w:t xml:space="preserve"> and fish were placed in the chamber during this phase so that the first measurement phase would be linear and thereby included in the analysis. Fish remained in the respirometry chambers in a dark room overnight for a minimum of 14</w:t>
      </w:r>
      <w:r w:rsidR="009D117B">
        <w:rPr>
          <w:rFonts w:cstheme="minorHAnsi"/>
          <w:lang w:val="en-US"/>
        </w:rPr>
        <w:t xml:space="preserve"> </w:t>
      </w:r>
      <w:r w:rsidRPr="003F070C">
        <w:rPr>
          <w:rFonts w:cstheme="minorHAnsi"/>
          <w:lang w:val="en-US"/>
        </w:rPr>
        <w:t>h.</w:t>
      </w:r>
    </w:p>
    <w:p w14:paraId="63073D86" w14:textId="53926942" w:rsidR="001858D9" w:rsidRDefault="0064258C" w:rsidP="007F1711">
      <w:pPr>
        <w:spacing w:line="480" w:lineRule="auto"/>
        <w:jc w:val="both"/>
        <w:rPr>
          <w:rFonts w:cstheme="minorHAnsi"/>
          <w:lang w:val="en-US"/>
        </w:rPr>
      </w:pPr>
      <w:r w:rsidRPr="003F070C">
        <w:rPr>
          <w:rFonts w:cstheme="minorHAnsi"/>
          <w:lang w:val="en-US"/>
        </w:rPr>
        <w:lastRenderedPageBreak/>
        <w:t>Chamber-specific</w:t>
      </w:r>
      <w:r w:rsidR="001858D9" w:rsidRPr="003F070C">
        <w:rPr>
          <w:rFonts w:cstheme="minorHAnsi"/>
          <w:lang w:val="en-US"/>
        </w:rPr>
        <w:t xml:space="preserve"> background respiration was calculated by fitting linear regressions between measurements of background respiration with R</w:t>
      </w:r>
      <w:r w:rsidR="001858D9" w:rsidRPr="003F070C">
        <w:rPr>
          <w:rFonts w:cstheme="minorHAnsi"/>
          <w:vertAlign w:val="superscript"/>
          <w:lang w:val="en-US"/>
        </w:rPr>
        <w:t xml:space="preserve">2 </w:t>
      </w:r>
      <w:r w:rsidR="001858D9" w:rsidRPr="003F070C">
        <w:rPr>
          <w:rFonts w:cstheme="minorHAnsi"/>
          <w:lang w:val="en-US"/>
        </w:rPr>
        <w:t xml:space="preserve">&gt; 0.1, taken immediately before and after each trial. Each trial was adjusted for background respiration by subtracting fitted values estimating background respiration from measures of </w:t>
      </w:r>
      <w:r w:rsidR="001858D9" w:rsidRPr="003F070C">
        <w:rPr>
          <w:rStyle w:val="Standardstycketeckensnitt1"/>
          <w:rFonts w:cstheme="minorHAnsi"/>
          <w:color w:val="000000"/>
          <w:lang w:val="en-US" w:eastAsia="sv-SE"/>
        </w:rPr>
        <w:t>non-mass specific ṀO</w:t>
      </w:r>
      <w:r w:rsidR="001858D9" w:rsidRPr="003F070C">
        <w:rPr>
          <w:rStyle w:val="Standardstycketeckensnitt1"/>
          <w:rFonts w:cstheme="minorHAnsi"/>
          <w:color w:val="000000"/>
          <w:vertAlign w:val="subscript"/>
          <w:lang w:val="en-US" w:eastAsia="sv-SE"/>
        </w:rPr>
        <w:t xml:space="preserve">2 </w:t>
      </w:r>
      <w:r w:rsidR="001858D9" w:rsidRPr="003F070C">
        <w:rPr>
          <w:rStyle w:val="Standardstycketeckensnitt1"/>
          <w:rFonts w:cstheme="minorHAnsi"/>
          <w:color w:val="000000"/>
          <w:lang w:val="en-US" w:eastAsia="sv-SE"/>
        </w:rPr>
        <w:t>(</w:t>
      </w:r>
      <w:r w:rsidR="001858D9" w:rsidRPr="003F070C">
        <w:rPr>
          <w:rFonts w:cstheme="minorHAnsi"/>
          <w:lang w:val="en-US"/>
        </w:rPr>
        <w:t>mgO</w:t>
      </w:r>
      <w:r w:rsidR="001858D9" w:rsidRPr="003F070C">
        <w:rPr>
          <w:rFonts w:cstheme="minorHAnsi"/>
          <w:vertAlign w:val="subscript"/>
          <w:lang w:val="en-US"/>
        </w:rPr>
        <w:t>2</w:t>
      </w:r>
      <w:r w:rsidR="001858D9" w:rsidRPr="003F070C">
        <w:rPr>
          <w:rFonts w:cstheme="minorHAnsi"/>
          <w:lang w:val="en-US"/>
        </w:rPr>
        <w:t xml:space="preserve"> h</w:t>
      </w:r>
      <w:r w:rsidR="001858D9" w:rsidRPr="003F070C">
        <w:rPr>
          <w:rFonts w:cstheme="minorHAnsi"/>
          <w:vertAlign w:val="superscript"/>
          <w:lang w:val="en-US"/>
        </w:rPr>
        <w:t>-1</w:t>
      </w:r>
      <w:r w:rsidR="001858D9" w:rsidRPr="003F070C">
        <w:rPr>
          <w:rFonts w:cstheme="minorHAnsi"/>
          <w:lang w:val="en-US"/>
        </w:rPr>
        <w:t>)</w:t>
      </w:r>
      <w:r w:rsidR="001858D9" w:rsidRPr="003F070C">
        <w:rPr>
          <w:rStyle w:val="Standardstycketeckensnitt1"/>
          <w:rFonts w:cstheme="minorHAnsi"/>
          <w:color w:val="000000"/>
          <w:vertAlign w:val="subscript"/>
          <w:lang w:val="en-US" w:eastAsia="sv-SE"/>
        </w:rPr>
        <w:t xml:space="preserve"> </w:t>
      </w:r>
      <w:r w:rsidR="001858D9" w:rsidRPr="003F070C">
        <w:rPr>
          <w:rFonts w:cstheme="minorHAnsi"/>
          <w:lang w:val="en-US"/>
        </w:rPr>
        <w:t xml:space="preserve">for each fish at each timepoint. These adjusted measures were divided by fish weight to calculate mass-specific </w:t>
      </w:r>
      <w:r w:rsidR="001858D9" w:rsidRPr="00E56A56">
        <w:rPr>
          <w:rFonts w:cstheme="minorHAnsi"/>
          <w:lang w:val="en-US"/>
        </w:rPr>
        <w:t>ṀO</w:t>
      </w:r>
      <w:r w:rsidR="001858D9" w:rsidRPr="00E56A56">
        <w:rPr>
          <w:rFonts w:cstheme="minorHAnsi"/>
          <w:position w:val="-4"/>
          <w:vertAlign w:val="subscript"/>
          <w:lang w:val="en-US"/>
        </w:rPr>
        <w:t>2</w:t>
      </w:r>
      <w:r w:rsidR="001858D9" w:rsidRPr="00E56A56">
        <w:rPr>
          <w:rFonts w:cstheme="minorHAnsi"/>
          <w:position w:val="-4"/>
          <w:lang w:val="en-US"/>
        </w:rPr>
        <w:t xml:space="preserve"> </w:t>
      </w:r>
      <w:r w:rsidR="001858D9" w:rsidRPr="00E56A56">
        <w:rPr>
          <w:rFonts w:cstheme="minorHAnsi"/>
          <w:lang w:val="en-US"/>
        </w:rPr>
        <w:t>(</w:t>
      </w:r>
      <w:proofErr w:type="spellStart"/>
      <w:r w:rsidR="001858D9" w:rsidRPr="00E56A56">
        <w:rPr>
          <w:rFonts w:cstheme="minorHAnsi"/>
          <w:lang w:val="en-US"/>
        </w:rPr>
        <w:t>mgO</w:t>
      </w:r>
      <w:proofErr w:type="spellEnd"/>
      <w:r w:rsidR="001858D9" w:rsidRPr="00E56A56">
        <w:rPr>
          <w:rFonts w:cstheme="minorHAnsi"/>
          <w:position w:val="-4"/>
          <w:vertAlign w:val="subscript"/>
          <w:lang w:val="en-US"/>
        </w:rPr>
        <w:t>2</w:t>
      </w:r>
      <w:r w:rsidR="001858D9" w:rsidRPr="00E56A56">
        <w:rPr>
          <w:rFonts w:cstheme="minorHAnsi"/>
          <w:position w:val="-4"/>
          <w:lang w:val="en-US"/>
        </w:rPr>
        <w:t xml:space="preserve"> </w:t>
      </w:r>
      <w:r w:rsidR="001858D9" w:rsidRPr="00E56A56">
        <w:rPr>
          <w:rFonts w:cstheme="minorHAnsi"/>
          <w:lang w:val="en-US"/>
        </w:rPr>
        <w:t>kg</w:t>
      </w:r>
      <w:r w:rsidR="00E56A56" w:rsidRPr="00E56A56">
        <w:rPr>
          <w:rFonts w:cstheme="minorHAnsi"/>
          <w:vertAlign w:val="superscript"/>
          <w:lang w:val="en-US"/>
        </w:rPr>
        <w:t>-1</w:t>
      </w:r>
      <w:r w:rsidR="00E56A56">
        <w:rPr>
          <w:rFonts w:cstheme="minorHAnsi"/>
          <w:position w:val="8"/>
          <w:vertAlign w:val="superscript"/>
          <w:lang w:val="en-US"/>
        </w:rPr>
        <w:t xml:space="preserve"> </w:t>
      </w:r>
      <w:r w:rsidR="00E56A56">
        <w:rPr>
          <w:rFonts w:cstheme="minorHAnsi"/>
          <w:lang w:val="en-US"/>
        </w:rPr>
        <w:t>h</w:t>
      </w:r>
      <w:r w:rsidR="00E56A56" w:rsidRPr="00E56A56">
        <w:rPr>
          <w:rFonts w:cstheme="minorHAnsi"/>
          <w:vertAlign w:val="superscript"/>
          <w:lang w:val="en-US"/>
        </w:rPr>
        <w:t>-1</w:t>
      </w:r>
      <w:r w:rsidR="001858D9" w:rsidRPr="00E56A56">
        <w:rPr>
          <w:rFonts w:cstheme="minorHAnsi"/>
          <w:lang w:val="en-US"/>
        </w:rPr>
        <w:t>).</w:t>
      </w:r>
      <w:r w:rsidR="001858D9" w:rsidRPr="003F070C">
        <w:rPr>
          <w:rFonts w:cstheme="minorHAnsi"/>
          <w:lang w:val="en-US"/>
        </w:rPr>
        <w:t xml:space="preserve"> Any estimates of ṀO</w:t>
      </w:r>
      <w:r w:rsidR="001858D9" w:rsidRPr="003F070C">
        <w:rPr>
          <w:rFonts w:cstheme="minorHAnsi"/>
          <w:vertAlign w:val="subscript"/>
          <w:lang w:val="en-US"/>
        </w:rPr>
        <w:t>2</w:t>
      </w:r>
      <w:r w:rsidR="001858D9" w:rsidRPr="003F070C">
        <w:rPr>
          <w:rFonts w:cstheme="minorHAnsi"/>
          <w:position w:val="-4"/>
          <w:lang w:val="en-US"/>
        </w:rPr>
        <w:t xml:space="preserve"> </w:t>
      </w:r>
      <w:r w:rsidR="001858D9" w:rsidRPr="003F070C">
        <w:rPr>
          <w:rFonts w:cstheme="minorHAnsi"/>
          <w:lang w:val="en-US"/>
        </w:rPr>
        <w:t>with an R</w:t>
      </w:r>
      <w:r w:rsidR="001134F5" w:rsidRPr="00C07299">
        <w:rPr>
          <w:rFonts w:cstheme="minorHAnsi"/>
          <w:vertAlign w:val="superscript"/>
          <w:lang w:val="en-US"/>
        </w:rPr>
        <w:t>2</w:t>
      </w:r>
      <w:r w:rsidR="001858D9" w:rsidRPr="003F070C">
        <w:rPr>
          <w:rFonts w:cstheme="minorHAnsi"/>
          <w:position w:val="8"/>
          <w:lang w:val="en-US"/>
        </w:rPr>
        <w:t xml:space="preserve"> </w:t>
      </w:r>
      <w:r w:rsidR="001858D9" w:rsidRPr="003F070C">
        <w:rPr>
          <w:rFonts w:cstheme="minorHAnsi"/>
          <w:lang w:val="en-US"/>
        </w:rPr>
        <w:t>&lt; 0.90 were removed prior to calculations of SMR, MMR, and AS. SMR was calculated as the mean of the lowest 10% of ṀO</w:t>
      </w:r>
      <w:r w:rsidR="001134F5" w:rsidRPr="00C07299">
        <w:rPr>
          <w:rFonts w:cstheme="minorHAnsi"/>
          <w:vertAlign w:val="subscript"/>
          <w:lang w:val="en-US"/>
        </w:rPr>
        <w:t>2</w:t>
      </w:r>
      <w:r w:rsidR="001858D9" w:rsidRPr="003F070C">
        <w:rPr>
          <w:rFonts w:cstheme="minorHAnsi"/>
          <w:position w:val="-4"/>
          <w:lang w:val="en-US"/>
        </w:rPr>
        <w:t xml:space="preserve"> </w:t>
      </w:r>
      <w:r w:rsidR="001858D9" w:rsidRPr="003F070C">
        <w:rPr>
          <w:rFonts w:cstheme="minorHAnsi"/>
          <w:lang w:val="en-US"/>
        </w:rPr>
        <w:t xml:space="preserve">measures, MMR </w:t>
      </w:r>
      <w:r w:rsidR="00E56A56">
        <w:rPr>
          <w:rFonts w:cstheme="minorHAnsi"/>
          <w:lang w:val="en-US"/>
        </w:rPr>
        <w:t>as</w:t>
      </w:r>
      <w:r w:rsidR="001858D9" w:rsidRPr="003F070C">
        <w:rPr>
          <w:rFonts w:cstheme="minorHAnsi"/>
          <w:lang w:val="en-US"/>
        </w:rPr>
        <w:t xml:space="preserve"> the global maximum ṀO</w:t>
      </w:r>
      <w:r w:rsidR="001858D9" w:rsidRPr="003F070C">
        <w:rPr>
          <w:rFonts w:cstheme="minorHAnsi"/>
          <w:vertAlign w:val="subscript"/>
          <w:lang w:val="en-US"/>
        </w:rPr>
        <w:t>2</w:t>
      </w:r>
      <w:r w:rsidR="001858D9" w:rsidRPr="003F070C">
        <w:rPr>
          <w:rFonts w:cstheme="minorHAnsi"/>
          <w:lang w:val="en-US"/>
        </w:rPr>
        <w:t xml:space="preserve">, and we calculated both absolute aerobic scope (AAS) (MMR - SMR) and factorial aerobic scope (FAS) (MMR/SMR) </w:t>
      </w:r>
      <w:r w:rsidR="001858D9" w:rsidRPr="003F070C">
        <w:rPr>
          <w:rFonts w:cstheme="minorHAnsi"/>
          <w:lang w:val="en-US"/>
        </w:rPr>
        <w:fldChar w:fldCharType="begin" w:fldLock="1"/>
      </w:r>
      <w:r w:rsidR="006343FB">
        <w:rPr>
          <w:rFonts w:cstheme="minorHAnsi"/>
          <w:lang w:val="en-US"/>
        </w:rPr>
        <w:instrText>ADDIN CSL_CITATION {"citationItems":[{"id":"ITEM-1","itemData":{"DOI":"10.1111/jfb.14519","ISSN":"10958649","abstract":"Metabolic rates are one of many measures that are used to explain species' response to environmental change. Static respirometry is used to calculate the standard metabolic rate (SMR) of fish, and when combined with exhaustive chase protocols it can be used to measure maximum metabolic rate (MMR) and aerobic scope (AS) as well. While these methods have been tested in comparison to swim tunnels and chambers with circular currents, they have not been tested in comparison with a no-chase control. We used a repeated-measures design to compare estimates of SMR, MMR and AS in European perch Perca fluviatilis following three protocols: (a) a no-chase control; (b) a 3-min exhaustive chase; and (c) a 3-min exhaustive chase followed by 1-min air exposure. We found that, contrary to expectations, exhaustive chase protocols underestimate MMR and AS at 18°C, compared to the no-chase control. This suggests that metabolic rates of other species with similar locomotorty modes or lifestyles could be similarly underestimated using chase protocols. These underestimates have implications for studies examining metabolic performance and responses to climate change scenarios. To prevent underestimates, future experiments measuring metabolic rates should include a pilot with a no-chase control or, when appropriate, an adjusted methodology in which trials end with the exhaustive chase instead of beginning with it.","author":[{"dropping-particle":"","family":"Andersson","given":"Matilda L.","non-dropping-particle":"","parse-names":false,"suffix":""},{"dropping-particle":"","family":"Sundberg","given":"Fredrik","non-dropping-particle":"","parse-names":false,"suffix":""},{"dropping-particle":"","family":"Eklöv","given":"Peter","non-dropping-particle":"","parse-names":false,"suffix":""}],"container-title":"Journal of Fish Biology","id":"ITEM-1","issue":"June","issued":{"date-parts":[["2020"]]},"title":"Chasing away accurate results: exhaustive chase protocols underestimate maximum metabolic rate estimates in European perch &lt;i&gt;Perca fluviatilis&lt;/i&gt;","type":"article-journal"},"uris":["http://www.mendeley.com/documents/?uuid=f41f10a1-35e6-47b1-b436-77608fae4d5b"]}],"mendeley":{"formattedCitation":"(Andersson et al., 2020)","plainTextFormattedCitation":"(Andersson et al., 2020)","previouslyFormattedCitation":"(Andersson et al., 2020)"},"properties":{"noteIndex":0},"schema":"https://github.com/citation-style-language/schema/raw/master/csl-citation.json"}</w:instrText>
      </w:r>
      <w:r w:rsidR="001858D9" w:rsidRPr="003F070C">
        <w:rPr>
          <w:rFonts w:cstheme="minorHAnsi"/>
          <w:lang w:val="en-US"/>
        </w:rPr>
        <w:fldChar w:fldCharType="separate"/>
      </w:r>
      <w:r w:rsidR="00EF0DCC" w:rsidRPr="00EF0DCC">
        <w:rPr>
          <w:rFonts w:cstheme="minorHAnsi"/>
          <w:noProof/>
          <w:lang w:val="en-US"/>
        </w:rPr>
        <w:t>(Andersson et al., 2020)</w:t>
      </w:r>
      <w:r w:rsidR="001858D9" w:rsidRPr="003F070C">
        <w:rPr>
          <w:rFonts w:cstheme="minorHAnsi"/>
          <w:lang w:val="en-US"/>
        </w:rPr>
        <w:fldChar w:fldCharType="end"/>
      </w:r>
      <w:r w:rsidR="001858D9" w:rsidRPr="003F070C">
        <w:rPr>
          <w:rFonts w:cstheme="minorHAnsi"/>
          <w:lang w:val="en-US"/>
        </w:rPr>
        <w:t xml:space="preserve">. </w:t>
      </w:r>
    </w:p>
    <w:p w14:paraId="27D021DC" w14:textId="77777777" w:rsidR="001858D9" w:rsidRPr="009F7ED9" w:rsidRDefault="001858D9" w:rsidP="007F1711">
      <w:pPr>
        <w:pStyle w:val="Heading2"/>
        <w:spacing w:line="480" w:lineRule="auto"/>
        <w:jc w:val="both"/>
        <w:rPr>
          <w:color w:val="000000" w:themeColor="text1"/>
        </w:rPr>
      </w:pPr>
      <w:r w:rsidRPr="009F7ED9">
        <w:rPr>
          <w:color w:val="000000" w:themeColor="text1"/>
        </w:rPr>
        <w:t xml:space="preserve">Stable isotope analysis </w:t>
      </w:r>
    </w:p>
    <w:p w14:paraId="76AFC923" w14:textId="6C697B3D" w:rsidR="001858D9" w:rsidRPr="003F070C" w:rsidRDefault="0064258C" w:rsidP="007F1711">
      <w:pPr>
        <w:spacing w:line="480" w:lineRule="auto"/>
        <w:jc w:val="both"/>
        <w:rPr>
          <w:rFonts w:cstheme="minorHAnsi"/>
          <w:lang w:val="en-US"/>
        </w:rPr>
      </w:pPr>
      <w:r w:rsidRPr="003F070C">
        <w:rPr>
          <w:rFonts w:cstheme="minorHAnsi"/>
          <w:lang w:val="en-US"/>
        </w:rPr>
        <w:t xml:space="preserve">Dissected </w:t>
      </w:r>
      <w:r w:rsidR="004257DF">
        <w:rPr>
          <w:rFonts w:cstheme="minorHAnsi"/>
          <w:lang w:val="en-US"/>
        </w:rPr>
        <w:t xml:space="preserve">muscle </w:t>
      </w:r>
      <w:r w:rsidRPr="003F070C">
        <w:rPr>
          <w:rFonts w:cstheme="minorHAnsi"/>
          <w:lang w:val="en-US"/>
        </w:rPr>
        <w:t>tissue was dried</w:t>
      </w:r>
      <w:r w:rsidR="00E42096" w:rsidRPr="003F070C">
        <w:rPr>
          <w:rFonts w:cstheme="minorHAnsi"/>
          <w:lang w:val="en-US"/>
        </w:rPr>
        <w:t xml:space="preserve"> in a drying oven at 60°C for 48 hours</w:t>
      </w:r>
      <w:r w:rsidRPr="003F070C">
        <w:rPr>
          <w:rFonts w:cstheme="minorHAnsi"/>
          <w:lang w:val="en-US"/>
        </w:rPr>
        <w:t>.</w:t>
      </w:r>
      <w:r w:rsidR="00E42096" w:rsidRPr="003F070C">
        <w:rPr>
          <w:rFonts w:cstheme="minorHAnsi"/>
          <w:lang w:val="en-US"/>
        </w:rPr>
        <w:t xml:space="preserve"> </w:t>
      </w:r>
      <w:r w:rsidRPr="003F070C">
        <w:rPr>
          <w:rFonts w:cstheme="minorHAnsi"/>
          <w:lang w:val="en-US"/>
        </w:rPr>
        <w:t>D</w:t>
      </w:r>
      <w:r w:rsidR="001858D9" w:rsidRPr="003F070C">
        <w:rPr>
          <w:rFonts w:cstheme="minorHAnsi"/>
          <w:lang w:val="en-US"/>
        </w:rPr>
        <w:t xml:space="preserve">ried samples were ground to a fine powder using a mortar and pestle, and approximately 1 mg of powder was transferred to tin capsules for analysis. Stable isotope analysis of carbon and nitrogen on perch tissue and invertebrate samples were conducted at the </w:t>
      </w:r>
      <w:r w:rsidR="005547AE" w:rsidRPr="003F070C">
        <w:rPr>
          <w:rFonts w:cstheme="minorHAnsi"/>
          <w:lang w:val="en-US"/>
        </w:rPr>
        <w:t xml:space="preserve">Stable Isotope Facility </w:t>
      </w:r>
      <w:r w:rsidR="005547AE">
        <w:rPr>
          <w:rFonts w:cstheme="minorHAnsi"/>
          <w:lang w:val="en-US"/>
        </w:rPr>
        <w:t xml:space="preserve">of </w:t>
      </w:r>
      <w:r w:rsidR="001858D9" w:rsidRPr="003F070C">
        <w:rPr>
          <w:rFonts w:cstheme="minorHAnsi"/>
          <w:lang w:val="en-US"/>
        </w:rPr>
        <w:t xml:space="preserve">University of California, </w:t>
      </w:r>
      <w:proofErr w:type="gramStart"/>
      <w:r w:rsidR="001858D9" w:rsidRPr="003F070C">
        <w:rPr>
          <w:rFonts w:cstheme="minorHAnsi"/>
          <w:lang w:val="en-US"/>
        </w:rPr>
        <w:t>Davis ,</w:t>
      </w:r>
      <w:proofErr w:type="gramEnd"/>
      <w:r w:rsidR="001858D9" w:rsidRPr="003F070C">
        <w:rPr>
          <w:rFonts w:cstheme="minorHAnsi"/>
          <w:lang w:val="en-US"/>
        </w:rPr>
        <w:t xml:space="preserve"> California, USA using a PDZ Europa ANCA-GSL elemental analyzer interfaced to a PDZ Europa 20-20 isotope ratio mass spectrometer (</w:t>
      </w:r>
      <w:proofErr w:type="spellStart"/>
      <w:r w:rsidR="001858D9" w:rsidRPr="003F070C">
        <w:rPr>
          <w:rFonts w:cstheme="minorHAnsi"/>
          <w:lang w:val="en-US"/>
        </w:rPr>
        <w:t>Sercon</w:t>
      </w:r>
      <w:proofErr w:type="spellEnd"/>
      <w:r w:rsidR="001858D9" w:rsidRPr="003F070C">
        <w:rPr>
          <w:rFonts w:cstheme="minorHAnsi"/>
          <w:lang w:val="en-US"/>
        </w:rPr>
        <w:t>, Cheshire, UK). Samples were not lipid corrected as C:N ratio was low (3.22 ± 0.04</w:t>
      </w:r>
      <w:r w:rsidR="00096004">
        <w:rPr>
          <w:rFonts w:cstheme="minorHAnsi"/>
          <w:lang w:val="en-US"/>
        </w:rPr>
        <w:t>, mean ± SD</w:t>
      </w:r>
      <w:r w:rsidR="001858D9" w:rsidRPr="003F070C">
        <w:rPr>
          <w:rFonts w:cstheme="minorHAnsi"/>
          <w:lang w:val="en-US"/>
        </w:rPr>
        <w:t xml:space="preserve">) </w:t>
      </w:r>
      <w:r w:rsidR="001858D9" w:rsidRPr="003F070C">
        <w:rPr>
          <w:rFonts w:cstheme="minorHAnsi"/>
        </w:rPr>
        <w:fldChar w:fldCharType="begin" w:fldLock="1"/>
      </w:r>
      <w:r w:rsidR="002E4F95">
        <w:rPr>
          <w:rFonts w:cstheme="minorHAnsi"/>
          <w:lang w:val="en-US"/>
        </w:rPr>
        <w:instrText>ADDIN CSL_CITATION {"citationItems":[{"id":"ITEM-1","itemData":{"DOI":"10.1111/j.1365-2664.2006.01224.x","ISSN":"00218901","abstract":"1. Stable isotope analyses coupled with mixing models are being used increasingly to evaluate ecological management issues and questions. Such applications of stable isotope analyses often require simultaneous carbon and nitrogen analyses from the same sample. Correction of the carbon isotope values to take account of the varying content of 13C-depleted lipids is then frequently achieved by a lipid-normalization procedure using a model describing the relationship between change in δ13C following lipid removal and the original C:N ratio of a sample. 2. We evaluated the applicability of two widely used normalization models using empirical data for muscle tissue from a wide range of fish and for aquatic invertebrates. Neither normalization model proved satisfactory, and we present some modifications that greatly improve the fit of one of the models to the fish muscle data. For invertebrates we found no clear relationship between change in δ13C following lipid removal and the original C:N ratio. 3. We also examined the effect of lipid-normalization on the output of a mixing model designed to calculate the proportional contribution of prey items to the diet of a consumer. Mixing model output was greatly influenced by whether prey or consumer values alone or together were lipid-normalized and we urge caution in the interpretation of results from these models pending further experimental evidence. 4. Synthesis and applications. We describe a revised lipid-normalization model that should be applicable to a wide range of marine and freshwater fish species in studies applying stable isotope analyses to ecological management issues. However, we strongly advise against applying these kinds of lipid-normalization models to aquatic invertebrate data. The interpretation of outputs from mixing models is greatly influenced by whether the carbon isotope data have been lipid-normalized or not. © 2006 The Authors.","author":[{"dropping-particle":"","family":"Kiljunen","given":"Mikko","non-dropping-particle":"","parse-names":false,"suffix":""},{"dropping-particle":"","family":"Grey","given":"Jonathan","non-dropping-particle":"","parse-names":false,"suffix":""},{"dropping-particle":"","family":"Sinisalo","given":"Tuula","non-dropping-particle":"","parse-names":false,"suffix":""},{"dropping-particle":"","family":"Harrod","given":"Chris","non-dropping-particle":"","parse-names":false,"suffix":""},{"dropping-particle":"","family":"Immonen","given":"Hemmo","non-dropping-particle":"","parse-names":false,"suffix":""},{"dropping-particle":"","family":"Jones","given":"Roger I.","non-dropping-particle":"","parse-names":false,"suffix":""}],"container-title":"Journal of Applied Ecology","id":"ITEM-1","issue":"6","issued":{"date-parts":[["2006"]]},"page":"1213-1222","title":"A revised model for lipid-normalizing δ&lt;sup&gt; 13&lt;/sup&gt;C values from aquatic organisms, with implications for isotope mixing models","type":"article-journal","volume":"43"},"uris":["http://www.mendeley.com/documents/?uuid=51d3b6df-89f9-4e5f-9de9-6a81b6608e31"]}],"mendeley":{"formattedCitation":"(Kiljunen et al., 2006)","plainTextFormattedCitation":"(Kiljunen et al., 2006)","previouslyFormattedCitation":"(Kiljunen et al., 2006)"},"properties":{"noteIndex":0},"schema":"https://github.com/citation-style-language/schema/raw/master/csl-citation.json"}</w:instrText>
      </w:r>
      <w:r w:rsidR="001858D9" w:rsidRPr="003F070C">
        <w:rPr>
          <w:rFonts w:cstheme="minorHAnsi"/>
        </w:rPr>
        <w:fldChar w:fldCharType="separate"/>
      </w:r>
      <w:r w:rsidR="00EF0DCC" w:rsidRPr="00EF0DCC">
        <w:rPr>
          <w:rFonts w:cstheme="minorHAnsi"/>
          <w:noProof/>
          <w:lang w:val="en-US"/>
        </w:rPr>
        <w:t>(Kiljunen et al., 2006)</w:t>
      </w:r>
      <w:r w:rsidR="001858D9" w:rsidRPr="003F070C">
        <w:rPr>
          <w:rFonts w:cstheme="minorHAnsi"/>
        </w:rPr>
        <w:fldChar w:fldCharType="end"/>
      </w:r>
      <w:r w:rsidR="001858D9" w:rsidRPr="003F070C">
        <w:rPr>
          <w:rFonts w:cstheme="minorHAnsi"/>
          <w:lang w:val="en-US"/>
        </w:rPr>
        <w:t xml:space="preserve">. Results are expressed using </w:t>
      </w:r>
      <w:r w:rsidR="001858D9" w:rsidRPr="003F070C">
        <w:rPr>
          <w:rFonts w:cstheme="minorHAnsi"/>
        </w:rPr>
        <w:t>δ</w:t>
      </w:r>
      <w:r w:rsidR="001858D9" w:rsidRPr="003F070C">
        <w:rPr>
          <w:rFonts w:cstheme="minorHAnsi"/>
          <w:lang w:val="en-US"/>
        </w:rPr>
        <w:t xml:space="preserve"> notation on the</w:t>
      </w:r>
      <w:r w:rsidR="00096004">
        <w:rPr>
          <w:rFonts w:cstheme="minorHAnsi"/>
          <w:lang w:val="en-US"/>
        </w:rPr>
        <w:t xml:space="preserve"> international standards</w:t>
      </w:r>
      <w:r w:rsidR="001858D9" w:rsidRPr="003F070C">
        <w:rPr>
          <w:rFonts w:cstheme="minorHAnsi"/>
          <w:lang w:val="en-US"/>
        </w:rPr>
        <w:t xml:space="preserve"> VPBD (Pee Dee Belemnite) and AIR (Ambient Inhalable Reservoir) for </w:t>
      </w:r>
      <w:r w:rsidR="001858D9" w:rsidRPr="003F070C">
        <w:rPr>
          <w:rFonts w:cstheme="minorHAnsi"/>
        </w:rPr>
        <w:t>δ</w:t>
      </w:r>
      <w:r w:rsidR="001858D9" w:rsidRPr="003F070C">
        <w:rPr>
          <w:rFonts w:cstheme="minorHAnsi"/>
          <w:vertAlign w:val="superscript"/>
          <w:lang w:val="en-US"/>
        </w:rPr>
        <w:t>13</w:t>
      </w:r>
      <w:r w:rsidR="001858D9" w:rsidRPr="003F070C">
        <w:rPr>
          <w:rFonts w:cstheme="minorHAnsi"/>
          <w:lang w:val="en-US"/>
        </w:rPr>
        <w:t xml:space="preserve">C and </w:t>
      </w:r>
      <w:r w:rsidR="001858D9" w:rsidRPr="003F070C">
        <w:rPr>
          <w:rFonts w:cstheme="minorHAnsi"/>
        </w:rPr>
        <w:t>δ</w:t>
      </w:r>
      <w:r w:rsidR="001858D9" w:rsidRPr="003F070C">
        <w:rPr>
          <w:rFonts w:cstheme="minorHAnsi"/>
          <w:vertAlign w:val="superscript"/>
          <w:lang w:val="en-US"/>
        </w:rPr>
        <w:t>15</w:t>
      </w:r>
      <w:r w:rsidR="001858D9" w:rsidRPr="003F070C">
        <w:rPr>
          <w:rFonts w:cstheme="minorHAnsi"/>
          <w:lang w:val="en-US"/>
        </w:rPr>
        <w:t xml:space="preserve">N, respectively. Five percent of perch samples were processed in duplicate, and </w:t>
      </w:r>
      <w:r w:rsidR="001858D9" w:rsidRPr="003F070C">
        <w:rPr>
          <w:rFonts w:cstheme="minorHAnsi"/>
          <w:color w:val="000000" w:themeColor="text1"/>
          <w:lang w:val="en-US"/>
        </w:rPr>
        <w:t>measurement error was 0.02</w:t>
      </w:r>
      <w:r w:rsidR="005547AE">
        <w:rPr>
          <w:rFonts w:cstheme="minorHAnsi"/>
          <w:color w:val="000000" w:themeColor="text1"/>
          <w:lang w:val="en-US"/>
        </w:rPr>
        <w:t xml:space="preserve"> </w:t>
      </w:r>
      <w:r w:rsidR="001858D9" w:rsidRPr="003F070C">
        <w:rPr>
          <w:rFonts w:cstheme="minorHAnsi"/>
          <w:color w:val="000000" w:themeColor="text1"/>
          <w:lang w:val="en-US"/>
        </w:rPr>
        <w:t xml:space="preserve">‰ for </w:t>
      </w:r>
      <w:r w:rsidR="00DE13DF" w:rsidRPr="003F070C">
        <w:rPr>
          <w:rFonts w:cstheme="minorHAnsi"/>
        </w:rPr>
        <w:t>δ</w:t>
      </w:r>
      <w:r w:rsidR="00DE13DF" w:rsidRPr="003F070C">
        <w:rPr>
          <w:rFonts w:cstheme="minorHAnsi"/>
          <w:color w:val="000000" w:themeColor="text1"/>
          <w:vertAlign w:val="superscript"/>
          <w:lang w:val="en-US"/>
        </w:rPr>
        <w:t xml:space="preserve"> </w:t>
      </w:r>
      <w:r w:rsidR="001858D9" w:rsidRPr="003F070C">
        <w:rPr>
          <w:rFonts w:cstheme="minorHAnsi"/>
          <w:color w:val="000000" w:themeColor="text1"/>
          <w:vertAlign w:val="superscript"/>
          <w:lang w:val="en-US"/>
        </w:rPr>
        <w:t>13</w:t>
      </w:r>
      <w:r w:rsidR="001858D9" w:rsidRPr="003F070C">
        <w:rPr>
          <w:rFonts w:cstheme="minorHAnsi"/>
          <w:color w:val="000000" w:themeColor="text1"/>
          <w:lang w:val="en-US"/>
        </w:rPr>
        <w:t>C and 0.05</w:t>
      </w:r>
      <w:r w:rsidR="005547AE">
        <w:rPr>
          <w:rFonts w:cstheme="minorHAnsi"/>
          <w:color w:val="000000" w:themeColor="text1"/>
          <w:lang w:val="en-US"/>
        </w:rPr>
        <w:t xml:space="preserve"> </w:t>
      </w:r>
      <w:r w:rsidR="001858D9" w:rsidRPr="003F070C">
        <w:rPr>
          <w:rFonts w:cstheme="minorHAnsi"/>
          <w:color w:val="000000" w:themeColor="text1"/>
          <w:lang w:val="en-US"/>
        </w:rPr>
        <w:t xml:space="preserve">‰ for </w:t>
      </w:r>
      <w:r w:rsidR="00DE13DF" w:rsidRPr="003F070C">
        <w:rPr>
          <w:rFonts w:cstheme="minorHAnsi"/>
        </w:rPr>
        <w:t>δ</w:t>
      </w:r>
      <w:r w:rsidR="00DE13DF" w:rsidRPr="003F070C">
        <w:rPr>
          <w:rFonts w:cstheme="minorHAnsi"/>
          <w:color w:val="000000" w:themeColor="text1"/>
          <w:vertAlign w:val="superscript"/>
          <w:lang w:val="en-US"/>
        </w:rPr>
        <w:t xml:space="preserve"> </w:t>
      </w:r>
      <w:r w:rsidR="001858D9" w:rsidRPr="003F070C">
        <w:rPr>
          <w:rFonts w:cstheme="minorHAnsi"/>
          <w:color w:val="000000" w:themeColor="text1"/>
          <w:vertAlign w:val="superscript"/>
          <w:lang w:val="en-US"/>
        </w:rPr>
        <w:t>15</w:t>
      </w:r>
      <w:r w:rsidR="001858D9" w:rsidRPr="003F070C">
        <w:rPr>
          <w:rFonts w:cstheme="minorHAnsi"/>
          <w:color w:val="000000" w:themeColor="text1"/>
          <w:lang w:val="en-US"/>
        </w:rPr>
        <w:t>N.</w:t>
      </w:r>
    </w:p>
    <w:p w14:paraId="1884FE13" w14:textId="77777777" w:rsidR="001858D9" w:rsidRPr="009F7ED9" w:rsidRDefault="001858D9" w:rsidP="007F1711">
      <w:pPr>
        <w:pStyle w:val="Heading2"/>
        <w:spacing w:line="480" w:lineRule="auto"/>
        <w:jc w:val="both"/>
        <w:rPr>
          <w:color w:val="000000" w:themeColor="text1"/>
        </w:rPr>
      </w:pPr>
      <w:r w:rsidRPr="009F7ED9">
        <w:rPr>
          <w:color w:val="000000" w:themeColor="text1"/>
        </w:rPr>
        <w:lastRenderedPageBreak/>
        <w:t>Statistical Analysis</w:t>
      </w:r>
    </w:p>
    <w:p w14:paraId="4113E21D" w14:textId="3230DAE2" w:rsidR="001858D9" w:rsidRPr="003F070C" w:rsidRDefault="001858D9" w:rsidP="007F1711">
      <w:pPr>
        <w:spacing w:line="480" w:lineRule="auto"/>
        <w:jc w:val="both"/>
        <w:rPr>
          <w:rFonts w:cstheme="minorHAnsi"/>
          <w:lang w:val="en-US"/>
        </w:rPr>
      </w:pPr>
      <w:r w:rsidRPr="003F070C">
        <w:rPr>
          <w:rFonts w:cstheme="minorHAnsi"/>
          <w:lang w:val="en-US"/>
        </w:rPr>
        <w:t xml:space="preserve">We used a k-means cluster analysis using the cluster package </w:t>
      </w:r>
      <w:r w:rsidRPr="003F070C">
        <w:rPr>
          <w:rFonts w:cstheme="minorHAnsi"/>
          <w:lang w:val="en-US"/>
        </w:rPr>
        <w:fldChar w:fldCharType="begin" w:fldLock="1"/>
      </w:r>
      <w:r w:rsidR="000B6581">
        <w:rPr>
          <w:rFonts w:cstheme="minorHAnsi"/>
          <w:lang w:val="en-US"/>
        </w:rPr>
        <w:instrText>ADDIN CSL_CITATION {"citationItems":[{"id":"ITEM-1","itemData":{"author":[{"dropping-particle":"","family":"Maechler","given":"Martin","non-dropping-particle":"","parse-names":false,"suffix":""},{"dropping-particle":"","family":"Rousseeuw","given":"Peter","non-dropping-particle":"","parse-names":false,"suffix":""},{"dropping-particle":"","family":"Struyf","given":"Anja","non-dropping-particle":"","parse-names":false,"suffix":""},{"dropping-particle":"","family":"Hubert","given":"Mia","non-dropping-particle":"","parse-names":false,"suffix":""},{"dropping-particle":"","family":"Hornik","given":"Kurt","non-dropping-particle":"","parse-names":false,"suffix":""}],"id":"ITEM-1","issued":{"date-parts":[["2019"]]},"number":"R package version 2.1.0.","title":"cluster: cluster analysis basics and extensions","type":"article"},"uris":["http://www.mendeley.com/documents/?uuid=ac266862-c6fd-43ad-9d7b-900af6539c38"]}],"mendeley":{"formattedCitation":"(Maechler et al., 2019)","plainTextFormattedCitation":"(Maechler et al., 2019)","previouslyFormattedCitation":"(Maechler et al., 2019)"},"properties":{"noteIndex":0},"schema":"https://github.com/citation-style-language/schema/raw/master/csl-citation.json"}</w:instrText>
      </w:r>
      <w:r w:rsidRPr="003F070C">
        <w:rPr>
          <w:rFonts w:cstheme="minorHAnsi"/>
          <w:lang w:val="en-US"/>
        </w:rPr>
        <w:fldChar w:fldCharType="separate"/>
      </w:r>
      <w:r w:rsidR="00C8169C" w:rsidRPr="00C8169C">
        <w:rPr>
          <w:rFonts w:cstheme="minorHAnsi"/>
          <w:noProof/>
          <w:lang w:val="en-US"/>
        </w:rPr>
        <w:t>(Maechler et al., 2019)</w:t>
      </w:r>
      <w:r w:rsidRPr="003F070C">
        <w:rPr>
          <w:rFonts w:cstheme="minorHAnsi"/>
          <w:lang w:val="en-US"/>
        </w:rPr>
        <w:fldChar w:fldCharType="end"/>
      </w:r>
      <w:r w:rsidRPr="003F070C">
        <w:rPr>
          <w:rFonts w:cstheme="minorHAnsi"/>
          <w:lang w:val="en-US"/>
        </w:rPr>
        <w:t xml:space="preserve"> to split the fish into categories based on their </w:t>
      </w:r>
      <w:r w:rsidR="003B461A">
        <w:rPr>
          <w:rFonts w:cstheme="minorHAnsi"/>
          <w:lang w:val="en-US"/>
        </w:rPr>
        <w:t>pelagic resource use,</w:t>
      </w:r>
      <w:r w:rsidRPr="003F070C">
        <w:rPr>
          <w:rFonts w:cstheme="minorHAnsi"/>
          <w:lang w:val="en-US"/>
        </w:rPr>
        <w:t xml:space="preserve"> using </w:t>
      </w:r>
      <w:proofErr w:type="spellStart"/>
      <w:r w:rsidRPr="003F070C">
        <w:rPr>
          <w:rFonts w:cstheme="minorHAnsi"/>
          <w:lang w:val="en-US"/>
        </w:rPr>
        <w:t>nstart</w:t>
      </w:r>
      <w:proofErr w:type="spellEnd"/>
      <w:r w:rsidRPr="003F070C">
        <w:rPr>
          <w:rFonts w:cstheme="minorHAnsi"/>
          <w:lang w:val="en-US"/>
        </w:rPr>
        <w:t xml:space="preserve"> = 25 for both analyses. For our combined </w:t>
      </w:r>
      <w:proofErr w:type="spellStart"/>
      <w:r w:rsidRPr="003F070C">
        <w:rPr>
          <w:rFonts w:cstheme="minorHAnsi"/>
          <w:lang w:val="en-US"/>
        </w:rPr>
        <w:t>habitat</w:t>
      </w:r>
      <w:r w:rsidR="00642BA3">
        <w:rPr>
          <w:rFonts w:cstheme="minorHAnsi"/>
          <w:lang w:val="en-US"/>
        </w:rPr>
        <w:t>+resource</w:t>
      </w:r>
      <w:proofErr w:type="spellEnd"/>
      <w:r w:rsidR="00642BA3">
        <w:rPr>
          <w:rFonts w:cstheme="minorHAnsi"/>
          <w:lang w:val="en-US"/>
        </w:rPr>
        <w:t xml:space="preserve"> use</w:t>
      </w:r>
      <w:r w:rsidRPr="003F070C">
        <w:rPr>
          <w:rFonts w:cstheme="minorHAnsi"/>
          <w:lang w:val="en-US"/>
        </w:rPr>
        <w:t xml:space="preserve"> condition</w:t>
      </w:r>
      <w:r w:rsidR="004000FE" w:rsidRPr="003F070C">
        <w:rPr>
          <w:rFonts w:cstheme="minorHAnsi"/>
          <w:lang w:val="en-US"/>
        </w:rPr>
        <w:t>,</w:t>
      </w:r>
      <w:r w:rsidRPr="003F070C">
        <w:rPr>
          <w:rFonts w:cstheme="minorHAnsi"/>
          <w:lang w:val="en-US"/>
        </w:rPr>
        <w:t xml:space="preserve"> we used a cluster analysis based on </w:t>
      </w:r>
      <w:r w:rsidRPr="003F070C">
        <w:rPr>
          <w:rFonts w:cstheme="minorHAnsi"/>
        </w:rPr>
        <w:t>δ</w:t>
      </w:r>
      <w:r w:rsidRPr="003F070C">
        <w:rPr>
          <w:rFonts w:cstheme="minorHAnsi"/>
          <w:vertAlign w:val="superscript"/>
          <w:lang w:val="en-US"/>
        </w:rPr>
        <w:t>13</w:t>
      </w:r>
      <w:r w:rsidRPr="003F070C">
        <w:rPr>
          <w:rFonts w:cstheme="minorHAnsi"/>
          <w:lang w:val="en-US"/>
        </w:rPr>
        <w:t xml:space="preserve">C values with </w:t>
      </w:r>
      <w:r w:rsidR="004000FE" w:rsidRPr="003F070C">
        <w:rPr>
          <w:rFonts w:cstheme="minorHAnsi"/>
          <w:lang w:val="en-US"/>
        </w:rPr>
        <w:t>two</w:t>
      </w:r>
      <w:r w:rsidRPr="003F070C">
        <w:rPr>
          <w:rFonts w:cstheme="minorHAnsi"/>
          <w:lang w:val="en-US"/>
        </w:rPr>
        <w:t xml:space="preserve"> centers, which split fish into</w:t>
      </w:r>
      <w:r w:rsidR="00642BA3">
        <w:rPr>
          <w:rFonts w:cstheme="minorHAnsi"/>
          <w:lang w:val="en-US"/>
        </w:rPr>
        <w:t xml:space="preserve"> </w:t>
      </w:r>
      <w:r w:rsidRPr="003F070C">
        <w:rPr>
          <w:rFonts w:cstheme="minorHAnsi"/>
          <w:lang w:val="en-US"/>
        </w:rPr>
        <w:t xml:space="preserve">high </w:t>
      </w:r>
      <w:r w:rsidR="00642BA3">
        <w:rPr>
          <w:rFonts w:cstheme="minorHAnsi"/>
          <w:lang w:val="en-US"/>
        </w:rPr>
        <w:t>and low pelagic</w:t>
      </w:r>
      <w:r w:rsidR="00397A5A" w:rsidRPr="003F070C">
        <w:rPr>
          <w:rFonts w:cstheme="minorHAnsi"/>
          <w:lang w:val="en-US"/>
        </w:rPr>
        <w:t xml:space="preserve"> </w:t>
      </w:r>
      <w:r w:rsidR="00397A5A">
        <w:rPr>
          <w:rFonts w:cstheme="minorHAnsi"/>
          <w:lang w:val="en-US"/>
        </w:rPr>
        <w:t xml:space="preserve">resource </w:t>
      </w:r>
      <w:r w:rsidR="008242BD">
        <w:rPr>
          <w:rFonts w:cstheme="minorHAnsi"/>
          <w:lang w:val="en-US"/>
        </w:rPr>
        <w:t>use</w:t>
      </w:r>
      <w:r w:rsidRPr="003F070C">
        <w:rPr>
          <w:rFonts w:cstheme="minorHAnsi"/>
          <w:lang w:val="en-US"/>
        </w:rPr>
        <w:t xml:space="preserve"> group</w:t>
      </w:r>
      <w:r w:rsidR="008242BD">
        <w:rPr>
          <w:rFonts w:cstheme="minorHAnsi"/>
          <w:lang w:val="en-US"/>
        </w:rPr>
        <w:t>s</w:t>
      </w:r>
      <w:r w:rsidRPr="003F070C">
        <w:rPr>
          <w:rFonts w:cstheme="minorHAnsi"/>
          <w:lang w:val="en-US"/>
        </w:rPr>
        <w:t>. We used catch location and cluster assignment to create 4 groups, Littoral-</w:t>
      </w:r>
      <w:r w:rsidR="003B461A">
        <w:rPr>
          <w:rFonts w:cstheme="minorHAnsi"/>
          <w:lang w:val="en-US"/>
        </w:rPr>
        <w:t>low</w:t>
      </w:r>
      <w:r w:rsidR="00397A5A" w:rsidRPr="003F070C">
        <w:rPr>
          <w:rFonts w:cstheme="minorHAnsi"/>
          <w:lang w:val="en-US"/>
        </w:rPr>
        <w:t xml:space="preserve"> </w:t>
      </w:r>
      <w:r w:rsidRPr="003F070C">
        <w:rPr>
          <w:rFonts w:cstheme="minorHAnsi"/>
          <w:lang w:val="en-US"/>
        </w:rPr>
        <w:t>(</w:t>
      </w:r>
      <w:r w:rsidRPr="00DE13DF">
        <w:rPr>
          <w:rFonts w:cstheme="minorHAnsi"/>
          <w:i/>
          <w:lang w:val="en-US"/>
        </w:rPr>
        <w:t>n</w:t>
      </w:r>
      <w:r w:rsidRPr="003F070C">
        <w:rPr>
          <w:rFonts w:cstheme="minorHAnsi"/>
          <w:lang w:val="en-US"/>
        </w:rPr>
        <w:t xml:space="preserve"> = 12), Littoral-</w:t>
      </w:r>
      <w:r w:rsidR="003B461A">
        <w:rPr>
          <w:rFonts w:cstheme="minorHAnsi"/>
          <w:lang w:val="en-US"/>
        </w:rPr>
        <w:t>high</w:t>
      </w:r>
      <w:r w:rsidR="00397A5A" w:rsidRPr="003F070C">
        <w:rPr>
          <w:rFonts w:cstheme="minorHAnsi"/>
          <w:lang w:val="en-US"/>
        </w:rPr>
        <w:t xml:space="preserve"> </w:t>
      </w:r>
      <w:r w:rsidRPr="003F070C">
        <w:rPr>
          <w:rFonts w:cstheme="minorHAnsi"/>
          <w:lang w:val="en-US"/>
        </w:rPr>
        <w:t>(</w:t>
      </w:r>
      <w:r w:rsidRPr="00DE13DF">
        <w:rPr>
          <w:rFonts w:cstheme="minorHAnsi"/>
          <w:i/>
          <w:lang w:val="en-US"/>
        </w:rPr>
        <w:t>n</w:t>
      </w:r>
      <w:r w:rsidRPr="003F070C">
        <w:rPr>
          <w:rFonts w:cstheme="minorHAnsi"/>
          <w:lang w:val="en-US"/>
        </w:rPr>
        <w:t xml:space="preserve"> = 10), Pelagic-</w:t>
      </w:r>
      <w:r w:rsidR="003B461A">
        <w:rPr>
          <w:rFonts w:cstheme="minorHAnsi"/>
          <w:lang w:val="en-US"/>
        </w:rPr>
        <w:t>low</w:t>
      </w:r>
      <w:r w:rsidR="00353DC8" w:rsidRPr="003F070C">
        <w:rPr>
          <w:rFonts w:cstheme="minorHAnsi"/>
          <w:lang w:val="en-US"/>
        </w:rPr>
        <w:t xml:space="preserve"> </w:t>
      </w:r>
      <w:r w:rsidRPr="003F070C">
        <w:rPr>
          <w:rFonts w:cstheme="minorHAnsi"/>
          <w:lang w:val="en-US"/>
        </w:rPr>
        <w:t>(</w:t>
      </w:r>
      <w:r w:rsidRPr="00DE13DF">
        <w:rPr>
          <w:rFonts w:cstheme="minorHAnsi"/>
          <w:i/>
          <w:lang w:val="en-US"/>
        </w:rPr>
        <w:t>n</w:t>
      </w:r>
      <w:r w:rsidRPr="003F070C">
        <w:rPr>
          <w:rFonts w:cstheme="minorHAnsi"/>
          <w:lang w:val="en-US"/>
        </w:rPr>
        <w:t xml:space="preserve"> = 1), Pelagic-</w:t>
      </w:r>
      <w:r w:rsidR="003B461A">
        <w:rPr>
          <w:rFonts w:cstheme="minorHAnsi"/>
          <w:lang w:val="en-US"/>
        </w:rPr>
        <w:t>high</w:t>
      </w:r>
      <w:r w:rsidR="00353DC8" w:rsidRPr="003F070C">
        <w:rPr>
          <w:rFonts w:cstheme="minorHAnsi"/>
          <w:lang w:val="en-US"/>
        </w:rPr>
        <w:t xml:space="preserve"> </w:t>
      </w:r>
      <w:r w:rsidRPr="003F070C">
        <w:rPr>
          <w:rFonts w:cstheme="minorHAnsi"/>
          <w:lang w:val="en-US"/>
        </w:rPr>
        <w:t>(</w:t>
      </w:r>
      <w:r w:rsidRPr="00DE13DF">
        <w:rPr>
          <w:rFonts w:cstheme="minorHAnsi"/>
          <w:i/>
          <w:lang w:val="en-US"/>
        </w:rPr>
        <w:t>n</w:t>
      </w:r>
      <w:r w:rsidRPr="003F070C">
        <w:rPr>
          <w:rFonts w:cstheme="minorHAnsi"/>
          <w:lang w:val="en-US"/>
        </w:rPr>
        <w:t xml:space="preserve"> = 27) based on the method used by </w:t>
      </w:r>
      <w:r w:rsidRPr="003F070C">
        <w:rPr>
          <w:rFonts w:cstheme="minorHAnsi"/>
          <w:lang w:val="en-US"/>
        </w:rPr>
        <w:fldChar w:fldCharType="begin" w:fldLock="1"/>
      </w:r>
      <w:r w:rsidR="002E4F95">
        <w:rPr>
          <w:rFonts w:cstheme="minorHAnsi"/>
          <w:lang w:val="en-US"/>
        </w:rPr>
        <w:instrText>ADDIN CSL_CITATION {"citationItems":[{"id":"ITEM-1","itemData":{"DOI":"10.1007/s00442-020-04668-y","ISBN":"0123456789","ISSN":"0029-8549","PMID":"32440703","abstract":"Fatty acids (FAs) are key nutrients for fitness which take part in multiple physiological processes over the ontogeny of organisms. Yet, we lack evidence on how FA nutrition mediates life-history trade-offs and ontogenetic niche shifts in natural populations. In a field study, we analyzed ontogenetic changes in the FAs of Eurasian perch (Perca fluviatilis L.), a widespread fish that goes through ontogenetic niche shifts and can have high individual niche specialization. Diet explained most of the variation in the FA composition of perch dorsal muscle over early ontogeny (28%), while the total length explained 23%, suggesting that perch significantly regulated FA composition over early ontogeny. Condition explained 1% of the remaining variation. 18:3n-3 (ALA) and 18:4n-3 (SDA) indicated planktivory; 18:1n-7, benthivory; and 22:6n-3 (DHA), piscivory in perch diet. Conversely, perch regulated long-chained polyunsaturated fatty acids (PUFAs), such as 20:5n-3 (EPA), 20:4n-6 (ARA) and 22:6n-3 (DHA) over ontogeny, emphasizing the role of such FAs in early growth and sexual maturation. Adult perch increasingly retained 16:1n-7 and 18:1n-9 suggesting higher energy storage in older perch. Furthermore, differences in DHA availability in diet correlated with intra-cohort differences in perch growth, potentially hindering the overall use of benthic resources and promoting earlier shifts to piscivory in littoral habitats. Overall, this study indicates that in addition to diet, internal regulation may be more important for FA composition than previously thought. Differences between FA needs and FA availability may lead to life-history trade-offs that affect the ecology of consumers, including their niche.","author":[{"dropping-particle":"","family":"Chaguaceda","given":"Fernando","non-dropping-particle":"","parse-names":false,"suffix":""},{"dropping-particle":"","family":"Eklöv","given":"P.","non-dropping-particle":"","parse-names":false,"suffix":""},{"dropping-particle":"","family":"Scharnweber","given":"K.","non-dropping-particle":"","parse-names":false,"suffix":""}],"container-title":"Oecologia","id":"ITEM-1","issue":"2","issued":{"date-parts":[["2020","6","21"]]},"page":"325-336","title":"Regulation of fatty acid composition related to ontogenetic changes and niche differentiation of a common aquatic consumer","type":"article-journal","volume":"193"},"uris":["http://www.mendeley.com/documents/?uuid=a71a53c3-e7e2-4085-be27-9446ef0db22c"]}],"mendeley":{"formattedCitation":"(Chaguaceda et al., 2020)","manualFormatting":"Chaguaceda et al. (2020)","plainTextFormattedCitation":"(Chaguaceda et al., 2020)","previouslyFormattedCitation":"(Chaguaceda et al., 2020)"},"properties":{"noteIndex":0},"schema":"https://github.com/citation-style-language/schema/raw/master/csl-citation.json"}</w:instrText>
      </w:r>
      <w:r w:rsidRPr="003F070C">
        <w:rPr>
          <w:rFonts w:cstheme="minorHAnsi"/>
          <w:lang w:val="en-US"/>
        </w:rPr>
        <w:fldChar w:fldCharType="separate"/>
      </w:r>
      <w:r w:rsidRPr="003F070C">
        <w:rPr>
          <w:rFonts w:cstheme="minorHAnsi"/>
          <w:noProof/>
          <w:lang w:val="en-US"/>
        </w:rPr>
        <w:t>Chaguaceda et al. (2020)</w:t>
      </w:r>
      <w:r w:rsidRPr="003F070C">
        <w:rPr>
          <w:rFonts w:cstheme="minorHAnsi"/>
          <w:lang w:val="en-US"/>
        </w:rPr>
        <w:fldChar w:fldCharType="end"/>
      </w:r>
      <w:r w:rsidRPr="003F070C">
        <w:rPr>
          <w:rFonts w:cstheme="minorHAnsi"/>
          <w:lang w:val="en-US"/>
        </w:rPr>
        <w:t>. The Pelagic-</w:t>
      </w:r>
      <w:r w:rsidR="003B461A">
        <w:rPr>
          <w:rFonts w:cstheme="minorHAnsi"/>
          <w:lang w:val="en-US"/>
        </w:rPr>
        <w:t>low</w:t>
      </w:r>
      <w:r w:rsidR="00353DC8" w:rsidRPr="003F070C">
        <w:rPr>
          <w:rFonts w:cstheme="minorHAnsi"/>
          <w:lang w:val="en-US"/>
        </w:rPr>
        <w:t xml:space="preserve"> </w:t>
      </w:r>
      <w:r w:rsidRPr="003F070C">
        <w:rPr>
          <w:rFonts w:cstheme="minorHAnsi"/>
          <w:lang w:val="en-US"/>
        </w:rPr>
        <w:t>group was excluded from analyses due to small sample size. For our</w:t>
      </w:r>
      <w:r w:rsidR="003B461A">
        <w:rPr>
          <w:rFonts w:cstheme="minorHAnsi"/>
          <w:lang w:val="en-US"/>
        </w:rPr>
        <w:t xml:space="preserve"> resource use</w:t>
      </w:r>
      <w:r w:rsidRPr="003F070C">
        <w:rPr>
          <w:rFonts w:cstheme="minorHAnsi"/>
          <w:lang w:val="en-US"/>
        </w:rPr>
        <w:t xml:space="preserve"> condition</w:t>
      </w:r>
      <w:r w:rsidR="001A3866" w:rsidRPr="003F070C">
        <w:rPr>
          <w:rFonts w:cstheme="minorHAnsi"/>
          <w:lang w:val="en-US"/>
        </w:rPr>
        <w:t>,</w:t>
      </w:r>
      <w:r w:rsidRPr="003F070C">
        <w:rPr>
          <w:rFonts w:cstheme="minorHAnsi"/>
          <w:lang w:val="en-US"/>
        </w:rPr>
        <w:t xml:space="preserve"> we used a cluster analysis based on </w:t>
      </w:r>
      <w:r w:rsidRPr="003F070C">
        <w:rPr>
          <w:rFonts w:cstheme="minorHAnsi"/>
        </w:rPr>
        <w:t>δ</w:t>
      </w:r>
      <w:r w:rsidRPr="003F070C">
        <w:rPr>
          <w:rFonts w:cstheme="minorHAnsi"/>
          <w:vertAlign w:val="superscript"/>
          <w:lang w:val="en-US"/>
        </w:rPr>
        <w:t>13</w:t>
      </w:r>
      <w:r w:rsidRPr="003F070C">
        <w:rPr>
          <w:rFonts w:cstheme="minorHAnsi"/>
          <w:lang w:val="en-US"/>
        </w:rPr>
        <w:t xml:space="preserve">C values with </w:t>
      </w:r>
      <w:r w:rsidR="001A3866" w:rsidRPr="003F070C">
        <w:rPr>
          <w:rFonts w:cstheme="minorHAnsi"/>
          <w:lang w:val="en-US"/>
        </w:rPr>
        <w:t>three</w:t>
      </w:r>
      <w:r w:rsidRPr="003F070C">
        <w:rPr>
          <w:rFonts w:cstheme="minorHAnsi"/>
          <w:lang w:val="en-US"/>
        </w:rPr>
        <w:t xml:space="preserve"> centers, which split fish into </w:t>
      </w:r>
      <w:r w:rsidR="003B461A">
        <w:rPr>
          <w:rFonts w:cstheme="minorHAnsi"/>
          <w:lang w:val="en-US"/>
        </w:rPr>
        <w:t>low</w:t>
      </w:r>
      <w:r w:rsidRPr="003F070C">
        <w:rPr>
          <w:rFonts w:cstheme="minorHAnsi"/>
          <w:lang w:val="en-US"/>
        </w:rPr>
        <w:t xml:space="preserve"> (</w:t>
      </w:r>
      <w:r w:rsidRPr="00DE13DF">
        <w:rPr>
          <w:rFonts w:cstheme="minorHAnsi"/>
          <w:i/>
          <w:lang w:val="en-US"/>
        </w:rPr>
        <w:t>n</w:t>
      </w:r>
      <w:r w:rsidRPr="003F070C">
        <w:rPr>
          <w:rFonts w:cstheme="minorHAnsi"/>
          <w:lang w:val="en-US"/>
        </w:rPr>
        <w:t xml:space="preserve"> = 10), moderate (</w:t>
      </w:r>
      <w:r w:rsidRPr="00DE13DF">
        <w:rPr>
          <w:rFonts w:cstheme="minorHAnsi"/>
          <w:i/>
          <w:lang w:val="en-US"/>
        </w:rPr>
        <w:t>n</w:t>
      </w:r>
      <w:r w:rsidRPr="003F070C">
        <w:rPr>
          <w:rFonts w:cstheme="minorHAnsi"/>
          <w:lang w:val="en-US"/>
        </w:rPr>
        <w:t xml:space="preserve"> = 16), and </w:t>
      </w:r>
      <w:r w:rsidR="003B461A">
        <w:rPr>
          <w:rFonts w:cstheme="minorHAnsi"/>
          <w:lang w:val="en-US"/>
        </w:rPr>
        <w:t>high</w:t>
      </w:r>
      <w:r w:rsidRPr="003F070C">
        <w:rPr>
          <w:rFonts w:cstheme="minorHAnsi"/>
          <w:lang w:val="en-US"/>
        </w:rPr>
        <w:t xml:space="preserve"> (</w:t>
      </w:r>
      <w:r w:rsidRPr="00DE13DF">
        <w:rPr>
          <w:rFonts w:cstheme="minorHAnsi"/>
          <w:i/>
          <w:lang w:val="en-US"/>
        </w:rPr>
        <w:t>n</w:t>
      </w:r>
      <w:r w:rsidRPr="003F070C">
        <w:rPr>
          <w:rFonts w:cstheme="minorHAnsi"/>
          <w:lang w:val="en-US"/>
        </w:rPr>
        <w:t xml:space="preserve"> = 24) </w:t>
      </w:r>
      <w:r w:rsidR="003B461A">
        <w:rPr>
          <w:rFonts w:cstheme="minorHAnsi"/>
          <w:lang w:val="en-US"/>
        </w:rPr>
        <w:t>pelagic</w:t>
      </w:r>
      <w:r w:rsidRPr="003F070C">
        <w:rPr>
          <w:rFonts w:cstheme="minorHAnsi"/>
          <w:lang w:val="en-US"/>
        </w:rPr>
        <w:t xml:space="preserve"> resource </w:t>
      </w:r>
      <w:r w:rsidR="003B461A">
        <w:rPr>
          <w:rFonts w:cstheme="minorHAnsi"/>
          <w:lang w:val="en-US"/>
        </w:rPr>
        <w:t>use</w:t>
      </w:r>
      <w:r w:rsidRPr="003F070C">
        <w:rPr>
          <w:rFonts w:cstheme="minorHAnsi"/>
          <w:lang w:val="en-US"/>
        </w:rPr>
        <w:t xml:space="preserve"> categories. The </w:t>
      </w:r>
      <w:r w:rsidR="001A3866" w:rsidRPr="003F070C">
        <w:rPr>
          <w:rFonts w:cstheme="minorHAnsi"/>
          <w:lang w:val="en-US"/>
        </w:rPr>
        <w:t>habitat-only</w:t>
      </w:r>
      <w:r w:rsidRPr="003F070C">
        <w:rPr>
          <w:rFonts w:cstheme="minorHAnsi"/>
          <w:lang w:val="en-US"/>
        </w:rPr>
        <w:t xml:space="preserve"> condition had two groups, littoral (</w:t>
      </w:r>
      <w:r w:rsidRPr="00DE13DF">
        <w:rPr>
          <w:rFonts w:cstheme="minorHAnsi"/>
          <w:i/>
          <w:lang w:val="en-US"/>
        </w:rPr>
        <w:t>n</w:t>
      </w:r>
      <w:r w:rsidRPr="003F070C">
        <w:rPr>
          <w:rFonts w:cstheme="minorHAnsi"/>
          <w:lang w:val="en-US"/>
        </w:rPr>
        <w:t xml:space="preserve"> = 22) and pelagic (</w:t>
      </w:r>
      <w:r w:rsidRPr="00DE13DF">
        <w:rPr>
          <w:rFonts w:cstheme="minorHAnsi"/>
          <w:i/>
          <w:lang w:val="en-US"/>
        </w:rPr>
        <w:t>n</w:t>
      </w:r>
      <w:r w:rsidRPr="003F070C">
        <w:rPr>
          <w:rFonts w:cstheme="minorHAnsi"/>
          <w:lang w:val="en-US"/>
        </w:rPr>
        <w:t xml:space="preserve"> = 29). </w:t>
      </w:r>
    </w:p>
    <w:p w14:paraId="3B07FB76" w14:textId="40150179" w:rsidR="0005311B" w:rsidRPr="003F070C" w:rsidRDefault="001858D9" w:rsidP="007F1711">
      <w:pPr>
        <w:spacing w:line="480" w:lineRule="auto"/>
        <w:jc w:val="both"/>
        <w:rPr>
          <w:rFonts w:cstheme="minorHAnsi"/>
          <w:lang w:val="en-US"/>
        </w:rPr>
      </w:pPr>
      <w:r w:rsidRPr="003F070C">
        <w:rPr>
          <w:rFonts w:cstheme="minorHAnsi"/>
          <w:lang w:val="en-US"/>
        </w:rPr>
        <w:t xml:space="preserve">We log transformed body mass and metabolic rate data to normalize the data and correct for skew associated with metabolic data. Using the transformed values, we performed a linear regression of each metabolic measure against body mass and </w:t>
      </w:r>
      <w:r w:rsidR="001A3866" w:rsidRPr="003F070C">
        <w:rPr>
          <w:rFonts w:cstheme="minorHAnsi"/>
          <w:lang w:val="en-US"/>
        </w:rPr>
        <w:t>used</w:t>
      </w:r>
      <w:r w:rsidRPr="003F070C">
        <w:rPr>
          <w:rFonts w:cstheme="minorHAnsi"/>
          <w:lang w:val="en-US"/>
        </w:rPr>
        <w:t xml:space="preserve"> the residuals from these models in our analyses in order to correct for the effect of mass on metabolic rates. We used multiple linear regression to analyze the effect of morphology, habitat, </w:t>
      </w:r>
      <w:r w:rsidR="00642BA3">
        <w:rPr>
          <w:rFonts w:cstheme="minorHAnsi"/>
          <w:lang w:val="en-US"/>
        </w:rPr>
        <w:t>resource use</w:t>
      </w:r>
      <w:r w:rsidRPr="003F070C">
        <w:rPr>
          <w:rFonts w:cstheme="minorHAnsi"/>
          <w:lang w:val="en-US"/>
        </w:rPr>
        <w:t>, and sex on our four focal metabolic measures (SMR, MMR, AAS, and FAS). In our models that include morphology and habitat</w:t>
      </w:r>
      <w:r w:rsidR="001A3866" w:rsidRPr="003F070C">
        <w:rPr>
          <w:rFonts w:cstheme="minorHAnsi"/>
          <w:lang w:val="en-US"/>
        </w:rPr>
        <w:t>,</w:t>
      </w:r>
      <w:r w:rsidRPr="003F070C">
        <w:rPr>
          <w:rFonts w:cstheme="minorHAnsi"/>
          <w:lang w:val="en-US"/>
        </w:rPr>
        <w:t xml:space="preserve"> we used an interaction term between the </w:t>
      </w:r>
      <w:r w:rsidR="00E42096" w:rsidRPr="003F070C">
        <w:rPr>
          <w:rFonts w:cstheme="minorHAnsi"/>
          <w:lang w:val="en-US"/>
        </w:rPr>
        <w:t>PC</w:t>
      </w:r>
      <w:r w:rsidRPr="003F070C">
        <w:rPr>
          <w:rFonts w:cstheme="minorHAnsi"/>
          <w:lang w:val="en-US"/>
        </w:rPr>
        <w:t xml:space="preserve"> score and habitat </w:t>
      </w:r>
      <w:r w:rsidR="001A3866" w:rsidRPr="003F070C">
        <w:rPr>
          <w:rFonts w:cstheme="minorHAnsi"/>
          <w:lang w:val="en-US"/>
        </w:rPr>
        <w:t>to</w:t>
      </w:r>
      <w:r w:rsidRPr="003F070C">
        <w:rPr>
          <w:rFonts w:cstheme="minorHAnsi"/>
          <w:lang w:val="en-US"/>
        </w:rPr>
        <w:t xml:space="preserve"> check whether the effect of morphology on </w:t>
      </w:r>
      <w:r w:rsidR="001A3866" w:rsidRPr="003F070C">
        <w:rPr>
          <w:rFonts w:cstheme="minorHAnsi"/>
          <w:lang w:val="en-US"/>
        </w:rPr>
        <w:t xml:space="preserve">the </w:t>
      </w:r>
      <w:r w:rsidRPr="003F070C">
        <w:rPr>
          <w:rFonts w:cstheme="minorHAnsi"/>
          <w:lang w:val="en-US"/>
        </w:rPr>
        <w:t>metabolic rate differed between the habitats. We used an ANOVA with type 3 sums of squares for models with an interaction and type 2 sums of squares for models with no interaction. All models met the assumptions of normality and equal variance, and though there are outliers</w:t>
      </w:r>
      <w:r w:rsidR="001A3866" w:rsidRPr="003F070C">
        <w:rPr>
          <w:rFonts w:cstheme="minorHAnsi"/>
          <w:lang w:val="en-US"/>
        </w:rPr>
        <w:t>,</w:t>
      </w:r>
      <w:r w:rsidRPr="003F070C">
        <w:rPr>
          <w:rFonts w:cstheme="minorHAnsi"/>
          <w:lang w:val="en-US"/>
        </w:rPr>
        <w:t xml:space="preserve"> none exceed</w:t>
      </w:r>
      <w:r w:rsidR="00624507">
        <w:rPr>
          <w:rFonts w:cstheme="minorHAnsi"/>
          <w:lang w:val="en-US"/>
        </w:rPr>
        <w:t>ed</w:t>
      </w:r>
      <w:r w:rsidRPr="003F070C">
        <w:rPr>
          <w:rFonts w:cstheme="minorHAnsi"/>
          <w:lang w:val="en-US"/>
        </w:rPr>
        <w:t xml:space="preserve"> a </w:t>
      </w:r>
      <w:r w:rsidR="00856D40">
        <w:rPr>
          <w:rFonts w:cstheme="minorHAnsi"/>
          <w:lang w:val="en-US"/>
        </w:rPr>
        <w:t>cook's</w:t>
      </w:r>
      <w:r w:rsidRPr="003F070C">
        <w:rPr>
          <w:rFonts w:cstheme="minorHAnsi"/>
          <w:lang w:val="en-US"/>
        </w:rPr>
        <w:t xml:space="preserve"> distance of 0.5. We did pair-wise comparisons on the estimated marginal means with </w:t>
      </w:r>
      <w:r w:rsidR="001A3866" w:rsidRPr="003F070C">
        <w:rPr>
          <w:rFonts w:cstheme="minorHAnsi"/>
          <w:lang w:val="en-US"/>
        </w:rPr>
        <w:t>Tukey</w:t>
      </w:r>
      <w:r w:rsidRPr="003F070C">
        <w:rPr>
          <w:rFonts w:cstheme="minorHAnsi"/>
          <w:lang w:val="en-US"/>
        </w:rPr>
        <w:t xml:space="preserve"> adjustment, using </w:t>
      </w:r>
      <w:r w:rsidR="00DB66AC">
        <w:rPr>
          <w:rFonts w:cstheme="minorHAnsi"/>
          <w:lang w:val="en-US"/>
        </w:rPr>
        <w:t>the</w:t>
      </w:r>
      <w:r w:rsidRPr="003F070C">
        <w:rPr>
          <w:rFonts w:cstheme="minorHAnsi"/>
          <w:lang w:val="en-US"/>
        </w:rPr>
        <w:t xml:space="preserve"> </w:t>
      </w:r>
      <w:r w:rsidRPr="003F070C">
        <w:rPr>
          <w:rFonts w:cstheme="minorHAnsi"/>
          <w:lang w:val="en-US"/>
        </w:rPr>
        <w:lastRenderedPageBreak/>
        <w:t>emmeans</w:t>
      </w:r>
      <w:r w:rsidR="00DB66AC">
        <w:rPr>
          <w:rFonts w:cstheme="minorHAnsi"/>
          <w:lang w:val="en-US"/>
        </w:rPr>
        <w:t xml:space="preserve"> package</w:t>
      </w:r>
      <w:r w:rsidRPr="003F070C">
        <w:rPr>
          <w:rFonts w:cstheme="minorHAnsi"/>
          <w:lang w:val="en-US"/>
        </w:rPr>
        <w:t xml:space="preserve"> </w:t>
      </w:r>
      <w:r w:rsidRPr="003F070C">
        <w:rPr>
          <w:rFonts w:cstheme="minorHAnsi"/>
          <w:lang w:val="en-US"/>
        </w:rPr>
        <w:fldChar w:fldCharType="begin" w:fldLock="1"/>
      </w:r>
      <w:r w:rsidR="009D1571">
        <w:rPr>
          <w:rFonts w:cstheme="minorHAnsi"/>
          <w:lang w:val="en-US"/>
        </w:rPr>
        <w:instrText>ADDIN CSL_CITATION {"citationItems":[{"id":"ITEM-1","itemData":{"author":[{"dropping-particle":"V.","family":"Russell","given":"Lenth","non-dropping-particle":"","parse-names":false,"suffix":""}],"id":"ITEM-1","issued":{"date-parts":[["2020"]]},"number":"1.5.3.","title":"emmeans: estimated marginal means, aka least-squares means","type":"article"},"uris":["http://www.mendeley.com/documents/?uuid=99d7aa27-d8db-4bee-a761-ba14e726a37b"]}],"mendeley":{"formattedCitation":"(Russell, 2020)","plainTextFormattedCitation":"(Russell, 2020)","previouslyFormattedCitation":"(Russell, 2020)"},"properties":{"noteIndex":0},"schema":"https://github.com/citation-style-language/schema/raw/master/csl-citation.json"}</w:instrText>
      </w:r>
      <w:r w:rsidRPr="003F070C">
        <w:rPr>
          <w:rFonts w:cstheme="minorHAnsi"/>
          <w:lang w:val="en-US"/>
        </w:rPr>
        <w:fldChar w:fldCharType="separate"/>
      </w:r>
      <w:r w:rsidR="00EF0DCC" w:rsidRPr="00EF0DCC">
        <w:rPr>
          <w:rFonts w:cstheme="minorHAnsi"/>
          <w:noProof/>
          <w:lang w:val="en-US"/>
        </w:rPr>
        <w:t>(Russell, 2020)</w:t>
      </w:r>
      <w:r w:rsidRPr="003F070C">
        <w:rPr>
          <w:rFonts w:cstheme="minorHAnsi"/>
          <w:lang w:val="en-US"/>
        </w:rPr>
        <w:fldChar w:fldCharType="end"/>
      </w:r>
      <w:r w:rsidRPr="003F070C">
        <w:rPr>
          <w:rFonts w:cstheme="minorHAnsi"/>
          <w:lang w:val="en-US"/>
        </w:rPr>
        <w:t xml:space="preserve">, to determine whether there were significant differences between diet groups. Respirometry data was imported using package </w:t>
      </w:r>
      <w:proofErr w:type="spellStart"/>
      <w:r w:rsidRPr="003F070C">
        <w:rPr>
          <w:rFonts w:cstheme="minorHAnsi"/>
          <w:lang w:val="en-US"/>
        </w:rPr>
        <w:t>rMR</w:t>
      </w:r>
      <w:proofErr w:type="spellEnd"/>
      <w:r w:rsidRPr="003F070C">
        <w:rPr>
          <w:rFonts w:cstheme="minorHAnsi"/>
          <w:lang w:val="en-US"/>
        </w:rPr>
        <w:t xml:space="preserve"> (Moulton, 2018)</w:t>
      </w:r>
      <w:r w:rsidR="001A3866" w:rsidRPr="003F070C">
        <w:rPr>
          <w:rFonts w:cstheme="minorHAnsi"/>
          <w:lang w:val="en-US"/>
        </w:rPr>
        <w:t>,</w:t>
      </w:r>
      <w:r w:rsidRPr="003F070C">
        <w:rPr>
          <w:rFonts w:cstheme="minorHAnsi"/>
          <w:lang w:val="en-US"/>
        </w:rPr>
        <w:t xml:space="preserve"> and plots were created using ggplot2 (Wickham, 2016). All analyses were performed in R version 4.0.2 (R Core Team, 2020).</w:t>
      </w:r>
    </w:p>
    <w:p w14:paraId="0C3781EB" w14:textId="77777777" w:rsidR="0005311B" w:rsidRPr="003F070C" w:rsidRDefault="0005311B" w:rsidP="007F1711">
      <w:pPr>
        <w:pStyle w:val="Heading1"/>
        <w:spacing w:line="480" w:lineRule="auto"/>
        <w:jc w:val="both"/>
        <w:rPr>
          <w:color w:val="000000" w:themeColor="text1"/>
        </w:rPr>
      </w:pPr>
      <w:r w:rsidRPr="003F070C">
        <w:rPr>
          <w:color w:val="000000" w:themeColor="text1"/>
        </w:rPr>
        <w:t>Results</w:t>
      </w:r>
    </w:p>
    <w:p w14:paraId="02326697" w14:textId="1573D181" w:rsidR="0005311B" w:rsidRDefault="00AE1BDE" w:rsidP="007F1711">
      <w:pPr>
        <w:spacing w:line="480" w:lineRule="auto"/>
        <w:jc w:val="both"/>
        <w:rPr>
          <w:rFonts w:cstheme="minorHAnsi"/>
          <w:lang w:val="en-US"/>
        </w:rPr>
      </w:pPr>
      <w:r>
        <w:rPr>
          <w:rFonts w:cstheme="minorHAnsi"/>
          <w:lang w:val="en-US"/>
        </w:rPr>
        <w:t xml:space="preserve">The </w:t>
      </w:r>
      <w:r w:rsidR="0005311B" w:rsidRPr="003F070C">
        <w:rPr>
          <w:rFonts w:cstheme="minorHAnsi"/>
          <w:lang w:val="en-US"/>
        </w:rPr>
        <w:t>DFA correctly assigned 82% of individuals into their respective habitats</w:t>
      </w:r>
      <w:r w:rsidR="001A3866" w:rsidRPr="003F070C">
        <w:rPr>
          <w:rFonts w:cstheme="minorHAnsi"/>
          <w:lang w:val="en-US"/>
        </w:rPr>
        <w:t>,</w:t>
      </w:r>
      <w:r w:rsidR="0005311B" w:rsidRPr="003F070C">
        <w:rPr>
          <w:rFonts w:cstheme="minorHAnsi"/>
          <w:lang w:val="en-US"/>
        </w:rPr>
        <w:t xml:space="preserve"> and there were </w:t>
      </w:r>
      <w:r w:rsidR="001A3866" w:rsidRPr="003F070C">
        <w:rPr>
          <w:rFonts w:cstheme="minorHAnsi"/>
          <w:lang w:val="en-US"/>
        </w:rPr>
        <w:t>clear</w:t>
      </w:r>
      <w:r w:rsidR="0005311B" w:rsidRPr="003F070C">
        <w:rPr>
          <w:rFonts w:cstheme="minorHAnsi"/>
          <w:lang w:val="en-US"/>
        </w:rPr>
        <w:t xml:space="preserve"> differences between the littoral and pelagic </w:t>
      </w:r>
      <w:r w:rsidR="00AF0B25">
        <w:rPr>
          <w:rFonts w:cstheme="minorHAnsi"/>
          <w:lang w:val="en-US"/>
        </w:rPr>
        <w:t>ecotypes</w:t>
      </w:r>
      <w:r w:rsidR="0005311B" w:rsidRPr="003F070C">
        <w:rPr>
          <w:rFonts w:cstheme="minorHAnsi"/>
          <w:lang w:val="en-US"/>
        </w:rPr>
        <w:t xml:space="preserve"> (Mahalanobis distance D = 3.49, p &lt; 0.001). The two </w:t>
      </w:r>
      <w:r w:rsidR="00AF0B25">
        <w:rPr>
          <w:rFonts w:cstheme="minorHAnsi"/>
          <w:lang w:val="en-US"/>
        </w:rPr>
        <w:t>ecotypes</w:t>
      </w:r>
      <w:r w:rsidR="0005311B" w:rsidRPr="003F070C">
        <w:rPr>
          <w:rFonts w:cstheme="minorHAnsi"/>
          <w:lang w:val="en-US"/>
        </w:rPr>
        <w:t xml:space="preserve"> showed the expected divergence with littoral perch exhibiting a deeper body, sub-terminal mouth, and robust caudal peduncle, while the pelagic perch have a more terminal mouth and fusiform body (Figure 1).</w:t>
      </w:r>
      <w:r w:rsidR="0052391A">
        <w:rPr>
          <w:rFonts w:cstheme="minorHAnsi"/>
          <w:lang w:val="en-US"/>
        </w:rPr>
        <w:t xml:space="preserve"> A </w:t>
      </w:r>
      <w:r w:rsidR="0052391A" w:rsidRPr="003F070C">
        <w:rPr>
          <w:rFonts w:cstheme="minorHAnsi"/>
        </w:rPr>
        <w:t>δ</w:t>
      </w:r>
      <w:r w:rsidR="0052391A" w:rsidRPr="003F070C">
        <w:rPr>
          <w:rFonts w:cstheme="minorHAnsi"/>
          <w:vertAlign w:val="superscript"/>
          <w:lang w:val="en-US"/>
        </w:rPr>
        <w:t>13</w:t>
      </w:r>
      <w:r w:rsidR="0052391A" w:rsidRPr="003F070C">
        <w:rPr>
          <w:rFonts w:cstheme="minorHAnsi"/>
          <w:lang w:val="en-US"/>
        </w:rPr>
        <w:t xml:space="preserve">C </w:t>
      </w:r>
      <w:r w:rsidR="0052391A">
        <w:rPr>
          <w:rFonts w:cstheme="minorHAnsi"/>
          <w:lang w:val="en-US"/>
        </w:rPr>
        <w:t xml:space="preserve">- </w:t>
      </w:r>
      <w:r w:rsidR="0052391A" w:rsidRPr="003F070C">
        <w:rPr>
          <w:rFonts w:cstheme="minorHAnsi"/>
        </w:rPr>
        <w:t>δ</w:t>
      </w:r>
      <w:r w:rsidR="0052391A" w:rsidRPr="003F070C">
        <w:rPr>
          <w:rFonts w:cstheme="minorHAnsi"/>
          <w:vertAlign w:val="superscript"/>
          <w:lang w:val="en-US"/>
        </w:rPr>
        <w:t>15</w:t>
      </w:r>
      <w:r w:rsidR="0052391A" w:rsidRPr="003F070C">
        <w:rPr>
          <w:rFonts w:cstheme="minorHAnsi"/>
          <w:lang w:val="en-US"/>
        </w:rPr>
        <w:t>N</w:t>
      </w:r>
      <w:r w:rsidR="0052391A">
        <w:rPr>
          <w:rFonts w:cstheme="minorHAnsi"/>
          <w:lang w:val="en-US"/>
        </w:rPr>
        <w:t xml:space="preserve"> biplot shows the overlap in resource use between littoral and pelagic perch (Figure 2).</w:t>
      </w:r>
      <w:r w:rsidR="0052391A" w:rsidRPr="003F070C">
        <w:rPr>
          <w:rFonts w:cstheme="minorHAnsi"/>
          <w:lang w:val="en-US"/>
        </w:rPr>
        <w:t xml:space="preserve"> </w:t>
      </w:r>
      <w:r w:rsidR="0005311B" w:rsidRPr="003F070C">
        <w:rPr>
          <w:rFonts w:cstheme="minorHAnsi"/>
          <w:lang w:val="en-US"/>
        </w:rPr>
        <w:t xml:space="preserve">We found a significantly higher SMR in male perch when controlling for habitat and </w:t>
      </w:r>
      <w:proofErr w:type="spellStart"/>
      <w:r w:rsidR="00DA5495">
        <w:rPr>
          <w:rFonts w:cstheme="minorHAnsi"/>
          <w:lang w:val="en-US"/>
        </w:rPr>
        <w:t>habitat+resource</w:t>
      </w:r>
      <w:proofErr w:type="spellEnd"/>
      <w:r w:rsidR="00DA5495">
        <w:rPr>
          <w:rFonts w:cstheme="minorHAnsi"/>
          <w:lang w:val="en-US"/>
        </w:rPr>
        <w:t xml:space="preserve"> use</w:t>
      </w:r>
      <w:r w:rsidR="0005311B" w:rsidRPr="003F070C">
        <w:rPr>
          <w:rFonts w:cstheme="minorHAnsi"/>
          <w:lang w:val="en-US"/>
        </w:rPr>
        <w:t xml:space="preserve">, but not when controlling for </w:t>
      </w:r>
      <w:r w:rsidR="00215B54">
        <w:rPr>
          <w:rFonts w:cstheme="minorHAnsi"/>
          <w:lang w:val="en-US"/>
        </w:rPr>
        <w:t>resource use</w:t>
      </w:r>
      <w:r w:rsidR="0005311B" w:rsidRPr="003F070C">
        <w:rPr>
          <w:rFonts w:cstheme="minorHAnsi"/>
          <w:lang w:val="en-US"/>
        </w:rPr>
        <w:t xml:space="preserve"> alone (Table 1). We did not see an effect of sex for MMR, </w:t>
      </w:r>
      <w:r w:rsidR="00376C23">
        <w:rPr>
          <w:rFonts w:cstheme="minorHAnsi"/>
          <w:lang w:val="en-US"/>
        </w:rPr>
        <w:t>A</w:t>
      </w:r>
      <w:r w:rsidR="0005311B" w:rsidRPr="003F070C">
        <w:rPr>
          <w:rFonts w:cstheme="minorHAnsi"/>
          <w:lang w:val="en-US"/>
        </w:rPr>
        <w:t>AS</w:t>
      </w:r>
      <w:r w:rsidR="001A3866" w:rsidRPr="003F070C">
        <w:rPr>
          <w:rFonts w:cstheme="minorHAnsi"/>
          <w:lang w:val="en-US"/>
        </w:rPr>
        <w:t>,</w:t>
      </w:r>
      <w:r w:rsidR="0005311B" w:rsidRPr="003F070C">
        <w:rPr>
          <w:rFonts w:cstheme="minorHAnsi"/>
          <w:lang w:val="en-US"/>
        </w:rPr>
        <w:t xml:space="preserve"> or FAS (Table 1</w:t>
      </w:r>
      <w:r w:rsidR="008242BD">
        <w:rPr>
          <w:rFonts w:cstheme="minorHAnsi"/>
          <w:lang w:val="en-US"/>
        </w:rPr>
        <w:t>,</w:t>
      </w:r>
      <w:r w:rsidR="00376C23">
        <w:rPr>
          <w:rFonts w:cstheme="minorHAnsi"/>
          <w:lang w:val="en-US"/>
        </w:rPr>
        <w:t xml:space="preserve"> </w:t>
      </w:r>
      <w:r w:rsidR="008242BD">
        <w:rPr>
          <w:rFonts w:cstheme="minorHAnsi"/>
          <w:lang w:val="en-US"/>
        </w:rPr>
        <w:t>Table S3</w:t>
      </w:r>
      <w:r w:rsidR="0005311B" w:rsidRPr="003F070C">
        <w:rPr>
          <w:rFonts w:cstheme="minorHAnsi"/>
          <w:lang w:val="en-US"/>
        </w:rPr>
        <w:t xml:space="preserve">). There was no effect of morphology (represented by PC2 and PC3 scores) and no interaction between morphology and habitat in any of our models for any measure of metabolic rate (Table </w:t>
      </w:r>
      <w:r w:rsidR="00353DC8">
        <w:rPr>
          <w:rFonts w:cstheme="minorHAnsi"/>
          <w:lang w:val="en-US"/>
        </w:rPr>
        <w:t>S</w:t>
      </w:r>
      <w:r w:rsidR="008242BD">
        <w:rPr>
          <w:rFonts w:cstheme="minorHAnsi"/>
          <w:lang w:val="en-US"/>
        </w:rPr>
        <w:t>1</w:t>
      </w:r>
      <w:r w:rsidR="00353DC8">
        <w:rPr>
          <w:rFonts w:cstheme="minorHAnsi"/>
          <w:lang w:val="en-US"/>
        </w:rPr>
        <w:t xml:space="preserve"> and S</w:t>
      </w:r>
      <w:r w:rsidR="008242BD">
        <w:rPr>
          <w:rFonts w:cstheme="minorHAnsi"/>
          <w:lang w:val="en-US"/>
        </w:rPr>
        <w:t>2</w:t>
      </w:r>
      <w:r w:rsidR="0005311B" w:rsidRPr="003F070C">
        <w:rPr>
          <w:rFonts w:cstheme="minorHAnsi"/>
          <w:lang w:val="en-US"/>
        </w:rPr>
        <w:t xml:space="preserve">). We therefore removed morphology from our final models. We found a significant effect of habitat and </w:t>
      </w:r>
      <w:r w:rsidR="001A3866" w:rsidRPr="003F070C">
        <w:rPr>
          <w:rFonts w:cstheme="minorHAnsi"/>
          <w:lang w:val="en-US"/>
        </w:rPr>
        <w:t>habitat-specific</w:t>
      </w:r>
      <w:r w:rsidR="0005311B" w:rsidRPr="003F070C">
        <w:rPr>
          <w:rFonts w:cstheme="minorHAnsi"/>
          <w:lang w:val="en-US"/>
        </w:rPr>
        <w:t xml:space="preserve"> </w:t>
      </w:r>
      <w:r w:rsidR="00215B54">
        <w:rPr>
          <w:rFonts w:cstheme="minorHAnsi"/>
          <w:lang w:val="en-US"/>
        </w:rPr>
        <w:t>resource use</w:t>
      </w:r>
      <w:r w:rsidR="0005311B" w:rsidRPr="003F070C">
        <w:rPr>
          <w:rFonts w:cstheme="minorHAnsi"/>
          <w:lang w:val="en-US"/>
        </w:rPr>
        <w:t xml:space="preserve"> on SMR (Table 1, Figure </w:t>
      </w:r>
      <w:r w:rsidR="00144B8B">
        <w:rPr>
          <w:rFonts w:cstheme="minorHAnsi"/>
          <w:lang w:val="en-US"/>
        </w:rPr>
        <w:t>3</w:t>
      </w:r>
      <w:r w:rsidR="0005311B" w:rsidRPr="003F070C">
        <w:rPr>
          <w:rFonts w:cstheme="minorHAnsi"/>
          <w:lang w:val="en-US"/>
        </w:rPr>
        <w:t xml:space="preserve">). Pelagic perch had a higher SMR than littoral perch, and the pelagic fish </w:t>
      </w:r>
      <w:r w:rsidR="00397A5A">
        <w:rPr>
          <w:rFonts w:cstheme="minorHAnsi"/>
          <w:lang w:val="en-US"/>
        </w:rPr>
        <w:t xml:space="preserve">with </w:t>
      </w:r>
      <w:r w:rsidR="00215B54">
        <w:rPr>
          <w:rFonts w:cstheme="minorHAnsi"/>
          <w:lang w:val="en-US"/>
        </w:rPr>
        <w:t>high</w:t>
      </w:r>
      <w:r w:rsidR="00397A5A">
        <w:rPr>
          <w:rFonts w:cstheme="minorHAnsi"/>
          <w:lang w:val="en-US"/>
        </w:rPr>
        <w:t xml:space="preserve"> </w:t>
      </w:r>
      <w:r w:rsidR="00215B54">
        <w:rPr>
          <w:rFonts w:cstheme="minorHAnsi"/>
          <w:lang w:val="en-US"/>
        </w:rPr>
        <w:t>pelagic</w:t>
      </w:r>
      <w:r w:rsidR="00397A5A">
        <w:rPr>
          <w:rFonts w:cstheme="minorHAnsi"/>
          <w:lang w:val="en-US"/>
        </w:rPr>
        <w:t xml:space="preserve"> resource use </w:t>
      </w:r>
      <w:r w:rsidR="0005311B" w:rsidRPr="003F070C">
        <w:rPr>
          <w:rFonts w:cstheme="minorHAnsi"/>
          <w:lang w:val="en-US"/>
        </w:rPr>
        <w:t>had a significantly higher SMR than either of the littoral</w:t>
      </w:r>
      <w:r w:rsidR="00215B54">
        <w:rPr>
          <w:rFonts w:cstheme="minorHAnsi"/>
          <w:lang w:val="en-US"/>
        </w:rPr>
        <w:t xml:space="preserve"> </w:t>
      </w:r>
      <w:proofErr w:type="spellStart"/>
      <w:r w:rsidR="00215B54">
        <w:rPr>
          <w:rFonts w:cstheme="minorHAnsi"/>
          <w:lang w:val="en-US"/>
        </w:rPr>
        <w:t>habitat</w:t>
      </w:r>
      <w:r w:rsidR="00AB63AF">
        <w:rPr>
          <w:rFonts w:cstheme="minorHAnsi"/>
          <w:lang w:val="en-US"/>
        </w:rPr>
        <w:t>+resource</w:t>
      </w:r>
      <w:proofErr w:type="spellEnd"/>
      <w:r w:rsidR="00AB63AF">
        <w:rPr>
          <w:rFonts w:cstheme="minorHAnsi"/>
          <w:lang w:val="en-US"/>
        </w:rPr>
        <w:t xml:space="preserve"> use</w:t>
      </w:r>
      <w:r w:rsidR="0005311B" w:rsidRPr="003F070C">
        <w:rPr>
          <w:rFonts w:cstheme="minorHAnsi"/>
          <w:lang w:val="en-US"/>
        </w:rPr>
        <w:t xml:space="preserve"> groups, which did not differ (Table 2, Figure </w:t>
      </w:r>
      <w:r w:rsidR="00144B8B">
        <w:rPr>
          <w:rFonts w:cstheme="minorHAnsi"/>
          <w:lang w:val="en-US"/>
        </w:rPr>
        <w:t>3</w:t>
      </w:r>
      <w:r w:rsidR="0005311B" w:rsidRPr="003F070C">
        <w:rPr>
          <w:rFonts w:cstheme="minorHAnsi"/>
          <w:lang w:val="en-US"/>
        </w:rPr>
        <w:t xml:space="preserve">). There was no difference between </w:t>
      </w:r>
      <w:r w:rsidR="003F070C">
        <w:rPr>
          <w:rFonts w:cstheme="minorHAnsi"/>
          <w:lang w:val="en-US"/>
        </w:rPr>
        <w:t xml:space="preserve">the </w:t>
      </w:r>
      <w:r w:rsidR="0005311B" w:rsidRPr="003F070C">
        <w:rPr>
          <w:rFonts w:cstheme="minorHAnsi"/>
          <w:lang w:val="en-US"/>
        </w:rPr>
        <w:t xml:space="preserve">SMR of any of our </w:t>
      </w:r>
      <w:r w:rsidR="00215B54">
        <w:rPr>
          <w:rFonts w:cstheme="minorHAnsi"/>
          <w:lang w:val="en-US"/>
        </w:rPr>
        <w:t>resource-use</w:t>
      </w:r>
      <w:r w:rsidR="003F070C" w:rsidRPr="003F070C">
        <w:rPr>
          <w:rFonts w:cstheme="minorHAnsi"/>
          <w:lang w:val="en-US"/>
        </w:rPr>
        <w:t>-only</w:t>
      </w:r>
      <w:r w:rsidR="0005311B" w:rsidRPr="003F070C">
        <w:rPr>
          <w:rFonts w:cstheme="minorHAnsi"/>
          <w:lang w:val="en-US"/>
        </w:rPr>
        <w:t xml:space="preserve"> groups, indicating that </w:t>
      </w:r>
      <w:r w:rsidR="00AB63AF">
        <w:rPr>
          <w:rFonts w:cstheme="minorHAnsi"/>
          <w:lang w:val="en-US"/>
        </w:rPr>
        <w:t xml:space="preserve">it is not the prey but </w:t>
      </w:r>
      <w:r w:rsidR="00060163">
        <w:rPr>
          <w:rFonts w:cstheme="minorHAnsi"/>
          <w:lang w:val="en-US"/>
        </w:rPr>
        <w:t>a habitat specific</w:t>
      </w:r>
      <w:r w:rsidR="00301960">
        <w:rPr>
          <w:rFonts w:cstheme="minorHAnsi"/>
          <w:lang w:val="en-US"/>
        </w:rPr>
        <w:t xml:space="preserve"> </w:t>
      </w:r>
      <w:r w:rsidR="0005311B" w:rsidRPr="003F070C">
        <w:rPr>
          <w:rFonts w:cstheme="minorHAnsi"/>
          <w:lang w:val="en-US"/>
        </w:rPr>
        <w:t xml:space="preserve">aspect driving the difference </w:t>
      </w:r>
      <w:r w:rsidR="00AB63AF">
        <w:rPr>
          <w:rFonts w:cstheme="minorHAnsi"/>
          <w:lang w:val="en-US"/>
        </w:rPr>
        <w:t>in</w:t>
      </w:r>
      <w:r w:rsidR="0005311B" w:rsidRPr="003F070C">
        <w:rPr>
          <w:rFonts w:cstheme="minorHAnsi"/>
          <w:lang w:val="en-US"/>
        </w:rPr>
        <w:t xml:space="preserve"> metabolic rates between the ecotypes (Table 1 and 2, Figure </w:t>
      </w:r>
      <w:r w:rsidR="00144B8B">
        <w:rPr>
          <w:rFonts w:cstheme="minorHAnsi"/>
          <w:lang w:val="en-US"/>
        </w:rPr>
        <w:t>3</w:t>
      </w:r>
      <w:r w:rsidR="0005311B" w:rsidRPr="003F070C">
        <w:rPr>
          <w:rFonts w:cstheme="minorHAnsi"/>
          <w:lang w:val="en-US"/>
        </w:rPr>
        <w:t xml:space="preserve">). We found no significant effect of any explanatory variable on MMR (Table </w:t>
      </w:r>
      <w:r w:rsidR="0005311B" w:rsidRPr="003F070C">
        <w:rPr>
          <w:rFonts w:cstheme="minorHAnsi"/>
          <w:lang w:val="en-US"/>
        </w:rPr>
        <w:lastRenderedPageBreak/>
        <w:t xml:space="preserve">1, Figure </w:t>
      </w:r>
      <w:r w:rsidR="00144B8B">
        <w:rPr>
          <w:rFonts w:cstheme="minorHAnsi"/>
          <w:lang w:val="en-US"/>
        </w:rPr>
        <w:t>4</w:t>
      </w:r>
      <w:r w:rsidR="0005311B" w:rsidRPr="003F070C">
        <w:rPr>
          <w:rFonts w:cstheme="minorHAnsi"/>
          <w:lang w:val="en-US"/>
        </w:rPr>
        <w:t>). Littoral fish had a significantly higher FAS</w:t>
      </w:r>
      <w:r w:rsidR="00144B8B">
        <w:rPr>
          <w:rFonts w:cstheme="minorHAnsi"/>
          <w:lang w:val="en-US"/>
        </w:rPr>
        <w:t xml:space="preserve"> and AAS</w:t>
      </w:r>
      <w:r w:rsidR="003F070C" w:rsidRPr="003F070C">
        <w:rPr>
          <w:rFonts w:cstheme="minorHAnsi"/>
          <w:lang w:val="en-US"/>
        </w:rPr>
        <w:t xml:space="preserve">, </w:t>
      </w:r>
      <w:r w:rsidR="0005311B" w:rsidRPr="003F070C">
        <w:rPr>
          <w:rFonts w:cstheme="minorHAnsi"/>
          <w:lang w:val="en-US"/>
        </w:rPr>
        <w:t xml:space="preserve">and the </w:t>
      </w:r>
      <w:r w:rsidR="003F070C" w:rsidRPr="003F070C">
        <w:rPr>
          <w:rFonts w:cstheme="minorHAnsi"/>
          <w:lang w:val="en-US"/>
        </w:rPr>
        <w:t>habitat-specific</w:t>
      </w:r>
      <w:r w:rsidR="0005311B" w:rsidRPr="003F070C">
        <w:rPr>
          <w:rFonts w:cstheme="minorHAnsi"/>
          <w:lang w:val="en-US"/>
        </w:rPr>
        <w:t xml:space="preserve"> </w:t>
      </w:r>
      <w:r w:rsidR="00215B54">
        <w:rPr>
          <w:rFonts w:cstheme="minorHAnsi"/>
          <w:lang w:val="en-US"/>
        </w:rPr>
        <w:t>resource use</w:t>
      </w:r>
      <w:r w:rsidR="0005311B" w:rsidRPr="003F070C">
        <w:rPr>
          <w:rFonts w:cstheme="minorHAnsi"/>
          <w:lang w:val="en-US"/>
        </w:rPr>
        <w:t xml:space="preserve"> also showed a higher FAS for both littoral</w:t>
      </w:r>
      <w:r w:rsidR="00215B54">
        <w:rPr>
          <w:rFonts w:cstheme="minorHAnsi"/>
          <w:lang w:val="en-US"/>
        </w:rPr>
        <w:t xml:space="preserve">-low </w:t>
      </w:r>
      <w:r w:rsidR="0005311B" w:rsidRPr="003F070C">
        <w:rPr>
          <w:rFonts w:cstheme="minorHAnsi"/>
          <w:lang w:val="en-US"/>
        </w:rPr>
        <w:t xml:space="preserve">and </w:t>
      </w:r>
      <w:r w:rsidR="00215B54">
        <w:rPr>
          <w:rFonts w:cstheme="minorHAnsi"/>
          <w:lang w:val="en-US"/>
        </w:rPr>
        <w:t>littoral-high groups</w:t>
      </w:r>
      <w:r w:rsidR="0005311B" w:rsidRPr="003F070C">
        <w:rPr>
          <w:rFonts w:cstheme="minorHAnsi"/>
          <w:lang w:val="en-US"/>
        </w:rPr>
        <w:t xml:space="preserve"> compared to </w:t>
      </w:r>
      <w:r w:rsidR="00215B54">
        <w:rPr>
          <w:rFonts w:cstheme="minorHAnsi"/>
          <w:lang w:val="en-US"/>
        </w:rPr>
        <w:t xml:space="preserve">the </w:t>
      </w:r>
      <w:r w:rsidR="0005311B" w:rsidRPr="003F070C">
        <w:rPr>
          <w:rFonts w:cstheme="minorHAnsi"/>
          <w:lang w:val="en-US"/>
        </w:rPr>
        <w:t xml:space="preserve">pelagic </w:t>
      </w:r>
      <w:r w:rsidR="00215B54">
        <w:rPr>
          <w:rFonts w:cstheme="minorHAnsi"/>
          <w:lang w:val="en-US"/>
        </w:rPr>
        <w:t>group</w:t>
      </w:r>
      <w:r w:rsidR="00624507">
        <w:rPr>
          <w:rFonts w:cstheme="minorHAnsi"/>
          <w:lang w:val="en-US"/>
        </w:rPr>
        <w:t xml:space="preserve"> </w:t>
      </w:r>
      <w:r w:rsidR="0005311B" w:rsidRPr="003F070C">
        <w:rPr>
          <w:rFonts w:cstheme="minorHAnsi"/>
          <w:lang w:val="en-US"/>
        </w:rPr>
        <w:t xml:space="preserve">(Table 2, Figure </w:t>
      </w:r>
      <w:r w:rsidR="00144B8B">
        <w:rPr>
          <w:rFonts w:cstheme="minorHAnsi"/>
          <w:lang w:val="en-US"/>
        </w:rPr>
        <w:t>5</w:t>
      </w:r>
      <w:r w:rsidR="0005311B" w:rsidRPr="003F070C">
        <w:rPr>
          <w:rFonts w:cstheme="minorHAnsi"/>
          <w:lang w:val="en-US"/>
        </w:rPr>
        <w:t xml:space="preserve">, Table </w:t>
      </w:r>
      <w:r w:rsidR="00353DC8">
        <w:rPr>
          <w:rFonts w:cstheme="minorHAnsi"/>
          <w:lang w:val="en-US"/>
        </w:rPr>
        <w:t>S</w:t>
      </w:r>
      <w:r w:rsidR="00334C4D">
        <w:rPr>
          <w:rFonts w:cstheme="minorHAnsi"/>
          <w:lang w:val="en-US"/>
        </w:rPr>
        <w:t>4</w:t>
      </w:r>
      <w:r w:rsidR="0005311B" w:rsidRPr="003F070C">
        <w:rPr>
          <w:rFonts w:cstheme="minorHAnsi"/>
          <w:lang w:val="en-US"/>
        </w:rPr>
        <w:t xml:space="preserve">, Figure </w:t>
      </w:r>
      <w:r w:rsidR="00353DC8">
        <w:rPr>
          <w:rFonts w:cstheme="minorHAnsi"/>
          <w:lang w:val="en-US"/>
        </w:rPr>
        <w:t>S</w:t>
      </w:r>
      <w:r w:rsidR="00144B8B">
        <w:rPr>
          <w:rFonts w:cstheme="minorHAnsi"/>
          <w:lang w:val="en-US"/>
        </w:rPr>
        <w:t>3</w:t>
      </w:r>
      <w:r w:rsidR="0005311B" w:rsidRPr="003F070C">
        <w:rPr>
          <w:rFonts w:cstheme="minorHAnsi"/>
          <w:lang w:val="en-US"/>
        </w:rPr>
        <w:t xml:space="preserve">). </w:t>
      </w:r>
    </w:p>
    <w:p w14:paraId="53B8F484" w14:textId="77777777" w:rsidR="0020245A" w:rsidRDefault="0020245A" w:rsidP="007F1711">
      <w:pPr>
        <w:keepNext/>
        <w:spacing w:line="480" w:lineRule="auto"/>
        <w:jc w:val="both"/>
      </w:pPr>
      <w:r w:rsidRPr="0020245A">
        <w:rPr>
          <w:rFonts w:cstheme="minorHAnsi"/>
          <w:noProof/>
          <w:lang w:val="en-US"/>
        </w:rPr>
        <w:drawing>
          <wp:inline distT="0" distB="0" distL="0" distR="0" wp14:anchorId="41B5F5DB" wp14:editId="224C2609">
            <wp:extent cx="4597400" cy="116309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1743" b="70380"/>
                    <a:stretch/>
                  </pic:blipFill>
                  <pic:spPr bwMode="auto">
                    <a:xfrm>
                      <a:off x="0" y="0"/>
                      <a:ext cx="4618867" cy="1168526"/>
                    </a:xfrm>
                    <a:prstGeom prst="rect">
                      <a:avLst/>
                    </a:prstGeom>
                    <a:ln>
                      <a:noFill/>
                    </a:ln>
                    <a:extLst>
                      <a:ext uri="{53640926-AAD7-44D8-BBD7-CCE9431645EC}">
                        <a14:shadowObscured xmlns:a14="http://schemas.microsoft.com/office/drawing/2010/main"/>
                      </a:ext>
                    </a:extLst>
                  </pic:spPr>
                </pic:pic>
              </a:graphicData>
            </a:graphic>
          </wp:inline>
        </w:drawing>
      </w:r>
    </w:p>
    <w:p w14:paraId="173900A8" w14:textId="4BC232B5" w:rsidR="0020245A" w:rsidRDefault="0020245A" w:rsidP="007F1711">
      <w:pPr>
        <w:pStyle w:val="Caption"/>
        <w:spacing w:line="480" w:lineRule="auto"/>
        <w:jc w:val="both"/>
        <w:rPr>
          <w:color w:val="000000" w:themeColor="text1"/>
        </w:rPr>
      </w:pPr>
      <w:r w:rsidRPr="0020245A">
        <w:rPr>
          <w:b/>
          <w:color w:val="000000" w:themeColor="text1"/>
        </w:rPr>
        <w:t xml:space="preserve">Figure </w:t>
      </w:r>
      <w:r w:rsidRPr="0020245A">
        <w:rPr>
          <w:b/>
          <w:color w:val="000000" w:themeColor="text1"/>
        </w:rPr>
        <w:fldChar w:fldCharType="begin"/>
      </w:r>
      <w:r w:rsidRPr="0020245A">
        <w:rPr>
          <w:b/>
          <w:color w:val="000000" w:themeColor="text1"/>
        </w:rPr>
        <w:instrText xml:space="preserve"> SEQ Figure \* ARABIC </w:instrText>
      </w:r>
      <w:r w:rsidRPr="0020245A">
        <w:rPr>
          <w:b/>
          <w:color w:val="000000" w:themeColor="text1"/>
        </w:rPr>
        <w:fldChar w:fldCharType="separate"/>
      </w:r>
      <w:r w:rsidR="0086509D">
        <w:rPr>
          <w:b/>
          <w:noProof/>
          <w:color w:val="000000" w:themeColor="text1"/>
        </w:rPr>
        <w:t>1</w:t>
      </w:r>
      <w:r w:rsidRPr="0020245A">
        <w:rPr>
          <w:b/>
          <w:color w:val="000000" w:themeColor="text1"/>
        </w:rPr>
        <w:fldChar w:fldCharType="end"/>
      </w:r>
      <w:r w:rsidRPr="0020245A">
        <w:rPr>
          <w:color w:val="000000" w:themeColor="text1"/>
        </w:rPr>
        <w:t>. Visualization (with 4x magnification) of the morphological differences between littoral (green, open circles) and pelagic (blue, closed circles) perch from lake Erken, based on a discriminate function analysis (DFA).</w:t>
      </w:r>
    </w:p>
    <w:p w14:paraId="748DDBDB" w14:textId="6AD2B66C" w:rsidR="0020245A" w:rsidRDefault="00CF24DC" w:rsidP="007F1711">
      <w:pPr>
        <w:keepNext/>
        <w:spacing w:line="480" w:lineRule="auto"/>
      </w:pPr>
      <w:r w:rsidRPr="00CF24DC">
        <w:drawing>
          <wp:inline distT="0" distB="0" distL="0" distR="0" wp14:anchorId="30AD4E1D" wp14:editId="7EB7390B">
            <wp:extent cx="3558752" cy="2514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64429" cy="2518612"/>
                    </a:xfrm>
                    <a:prstGeom prst="rect">
                      <a:avLst/>
                    </a:prstGeom>
                  </pic:spPr>
                </pic:pic>
              </a:graphicData>
            </a:graphic>
          </wp:inline>
        </w:drawing>
      </w:r>
    </w:p>
    <w:p w14:paraId="08ECC2A3" w14:textId="49F3477C" w:rsidR="0020245A" w:rsidRDefault="0020245A" w:rsidP="007F1711">
      <w:pPr>
        <w:pStyle w:val="Caption"/>
        <w:spacing w:line="480" w:lineRule="auto"/>
        <w:rPr>
          <w:color w:val="000000" w:themeColor="text1"/>
        </w:rPr>
      </w:pPr>
      <w:r w:rsidRPr="0020245A">
        <w:rPr>
          <w:b/>
          <w:color w:val="000000" w:themeColor="text1"/>
        </w:rPr>
        <w:t xml:space="preserve">Figure </w:t>
      </w:r>
      <w:r w:rsidRPr="0020245A">
        <w:rPr>
          <w:b/>
          <w:color w:val="000000" w:themeColor="text1"/>
        </w:rPr>
        <w:fldChar w:fldCharType="begin"/>
      </w:r>
      <w:r w:rsidRPr="0020245A">
        <w:rPr>
          <w:b/>
          <w:color w:val="000000" w:themeColor="text1"/>
        </w:rPr>
        <w:instrText xml:space="preserve"> SEQ Figure \* ARABIC </w:instrText>
      </w:r>
      <w:r w:rsidRPr="0020245A">
        <w:rPr>
          <w:b/>
          <w:color w:val="000000" w:themeColor="text1"/>
        </w:rPr>
        <w:fldChar w:fldCharType="separate"/>
      </w:r>
      <w:r w:rsidR="0086509D">
        <w:rPr>
          <w:b/>
          <w:noProof/>
          <w:color w:val="000000" w:themeColor="text1"/>
        </w:rPr>
        <w:t>2</w:t>
      </w:r>
      <w:r w:rsidRPr="0020245A">
        <w:rPr>
          <w:b/>
          <w:color w:val="000000" w:themeColor="text1"/>
        </w:rPr>
        <w:fldChar w:fldCharType="end"/>
      </w:r>
      <w:r w:rsidRPr="0020245A">
        <w:rPr>
          <w:color w:val="000000" w:themeColor="text1"/>
        </w:rPr>
        <w:t>. Stable isotope bi-plot showing the mean (± standard deviation) and individual δ13C and δ15N stable isotope values of each perch in addition to littoral and pelagic primary consumers.</w:t>
      </w:r>
      <w:bookmarkStart w:id="0" w:name="_GoBack"/>
      <w:bookmarkEnd w:id="0"/>
    </w:p>
    <w:p w14:paraId="3CAF6653" w14:textId="77777777" w:rsidR="0020245A" w:rsidRDefault="0020245A" w:rsidP="007F1711">
      <w:pPr>
        <w:keepNext/>
        <w:spacing w:line="480" w:lineRule="auto"/>
      </w:pPr>
      <w:r w:rsidRPr="0020245A">
        <w:rPr>
          <w:noProof/>
        </w:rPr>
        <w:lastRenderedPageBreak/>
        <w:drawing>
          <wp:inline distT="0" distB="0" distL="0" distR="0" wp14:anchorId="743E706E" wp14:editId="5A87F13F">
            <wp:extent cx="5756910" cy="265853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0197" b="7712"/>
                    <a:stretch/>
                  </pic:blipFill>
                  <pic:spPr bwMode="auto">
                    <a:xfrm>
                      <a:off x="0" y="0"/>
                      <a:ext cx="5756910" cy="2658533"/>
                    </a:xfrm>
                    <a:prstGeom prst="rect">
                      <a:avLst/>
                    </a:prstGeom>
                    <a:ln>
                      <a:noFill/>
                    </a:ln>
                    <a:extLst>
                      <a:ext uri="{53640926-AAD7-44D8-BBD7-CCE9431645EC}">
                        <a14:shadowObscured xmlns:a14="http://schemas.microsoft.com/office/drawing/2010/main"/>
                      </a:ext>
                    </a:extLst>
                  </pic:spPr>
                </pic:pic>
              </a:graphicData>
            </a:graphic>
          </wp:inline>
        </w:drawing>
      </w:r>
    </w:p>
    <w:p w14:paraId="75978268" w14:textId="23B8BD2F" w:rsidR="0020245A" w:rsidRDefault="0020245A" w:rsidP="007F1711">
      <w:pPr>
        <w:pStyle w:val="Caption"/>
        <w:spacing w:line="480" w:lineRule="auto"/>
        <w:rPr>
          <w:color w:val="000000" w:themeColor="text1"/>
        </w:rPr>
      </w:pPr>
      <w:r w:rsidRPr="0020245A">
        <w:rPr>
          <w:b/>
          <w:color w:val="000000" w:themeColor="text1"/>
        </w:rPr>
        <w:t xml:space="preserve">Figure </w:t>
      </w:r>
      <w:r w:rsidRPr="0020245A">
        <w:rPr>
          <w:b/>
          <w:color w:val="000000" w:themeColor="text1"/>
        </w:rPr>
        <w:fldChar w:fldCharType="begin"/>
      </w:r>
      <w:r w:rsidRPr="0020245A">
        <w:rPr>
          <w:b/>
          <w:color w:val="000000" w:themeColor="text1"/>
        </w:rPr>
        <w:instrText xml:space="preserve"> SEQ Figure \* ARABIC </w:instrText>
      </w:r>
      <w:r w:rsidRPr="0020245A">
        <w:rPr>
          <w:b/>
          <w:color w:val="000000" w:themeColor="text1"/>
        </w:rPr>
        <w:fldChar w:fldCharType="separate"/>
      </w:r>
      <w:r w:rsidR="0086509D">
        <w:rPr>
          <w:b/>
          <w:noProof/>
          <w:color w:val="000000" w:themeColor="text1"/>
        </w:rPr>
        <w:t>3</w:t>
      </w:r>
      <w:r w:rsidRPr="0020245A">
        <w:rPr>
          <w:b/>
          <w:color w:val="000000" w:themeColor="text1"/>
        </w:rPr>
        <w:fldChar w:fldCharType="end"/>
      </w:r>
      <w:r w:rsidRPr="0020245A">
        <w:rPr>
          <w:b/>
          <w:color w:val="000000" w:themeColor="text1"/>
        </w:rPr>
        <w:t>.</w:t>
      </w:r>
      <w:r w:rsidRPr="0020245A">
        <w:rPr>
          <w:color w:val="000000" w:themeColor="text1"/>
        </w:rPr>
        <w:t xml:space="preserve"> Residual standard metabolic rate (mg O</w:t>
      </w:r>
      <w:r w:rsidRPr="0020245A">
        <w:rPr>
          <w:color w:val="000000" w:themeColor="text1"/>
          <w:vertAlign w:val="subscript"/>
        </w:rPr>
        <w:t xml:space="preserve">2 </w:t>
      </w:r>
      <w:r w:rsidRPr="0020245A">
        <w:rPr>
          <w:color w:val="000000" w:themeColor="text1"/>
        </w:rPr>
        <w:t>h</w:t>
      </w:r>
      <w:r w:rsidRPr="0020245A">
        <w:rPr>
          <w:color w:val="000000" w:themeColor="text1"/>
          <w:vertAlign w:val="superscript"/>
        </w:rPr>
        <w:t>-1</w:t>
      </w:r>
      <w:r w:rsidRPr="0020245A">
        <w:rPr>
          <w:color w:val="000000" w:themeColor="text1"/>
        </w:rPr>
        <w:t>)</w:t>
      </w:r>
      <w:r w:rsidRPr="0020245A">
        <w:rPr>
          <w:color w:val="000000" w:themeColor="text1"/>
          <w:vertAlign w:val="subscript"/>
        </w:rPr>
        <w:t xml:space="preserve"> </w:t>
      </w:r>
      <w:r w:rsidRPr="0020245A">
        <w:rPr>
          <w:color w:val="000000" w:themeColor="text1"/>
        </w:rPr>
        <w:t>across A) habitat B) habitat + resource use and C) resource use groups in perch. Asterisks indicate significant differences (*p &lt; 0.05, **p &lt; 0.01, ***p &lt; 0.001) based on pairwise comparisons controlling for sex. Boxplots depict median, 25</w:t>
      </w:r>
      <w:r w:rsidRPr="0020245A">
        <w:rPr>
          <w:color w:val="000000" w:themeColor="text1"/>
          <w:vertAlign w:val="superscript"/>
        </w:rPr>
        <w:t xml:space="preserve">th </w:t>
      </w:r>
      <w:r w:rsidRPr="0020245A">
        <w:rPr>
          <w:color w:val="000000" w:themeColor="text1"/>
        </w:rPr>
        <w:t>and 75</w:t>
      </w:r>
      <w:r w:rsidRPr="0020245A">
        <w:rPr>
          <w:color w:val="000000" w:themeColor="text1"/>
          <w:vertAlign w:val="superscript"/>
        </w:rPr>
        <w:t>th</w:t>
      </w:r>
      <w:r w:rsidRPr="0020245A">
        <w:rPr>
          <w:color w:val="000000" w:themeColor="text1"/>
        </w:rPr>
        <w:t xml:space="preserve"> percentile, and whiskers extend to the maximum and minimum values with the exception of plots with outliers (&gt; 1.5 * interquartile range) which are represented by dots.</w:t>
      </w:r>
    </w:p>
    <w:p w14:paraId="6D8CC255" w14:textId="77777777" w:rsidR="0020245A" w:rsidRPr="0020245A" w:rsidRDefault="0020245A" w:rsidP="007F1711">
      <w:pPr>
        <w:spacing w:line="480" w:lineRule="auto"/>
      </w:pPr>
    </w:p>
    <w:p w14:paraId="0F27185E" w14:textId="77777777" w:rsidR="0020245A" w:rsidRDefault="0020245A" w:rsidP="007F1711">
      <w:pPr>
        <w:keepNext/>
        <w:spacing w:line="480" w:lineRule="auto"/>
      </w:pPr>
      <w:r w:rsidRPr="0020245A">
        <w:rPr>
          <w:noProof/>
        </w:rPr>
        <w:drawing>
          <wp:inline distT="0" distB="0" distL="0" distR="0" wp14:anchorId="3EC14E78" wp14:editId="1B545646">
            <wp:extent cx="5756910" cy="2641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11765" b="6667"/>
                    <a:stretch/>
                  </pic:blipFill>
                  <pic:spPr bwMode="auto">
                    <a:xfrm>
                      <a:off x="0" y="0"/>
                      <a:ext cx="5756910" cy="2641600"/>
                    </a:xfrm>
                    <a:prstGeom prst="rect">
                      <a:avLst/>
                    </a:prstGeom>
                    <a:ln>
                      <a:noFill/>
                    </a:ln>
                    <a:extLst>
                      <a:ext uri="{53640926-AAD7-44D8-BBD7-CCE9431645EC}">
                        <a14:shadowObscured xmlns:a14="http://schemas.microsoft.com/office/drawing/2010/main"/>
                      </a:ext>
                    </a:extLst>
                  </pic:spPr>
                </pic:pic>
              </a:graphicData>
            </a:graphic>
          </wp:inline>
        </w:drawing>
      </w:r>
    </w:p>
    <w:p w14:paraId="6040118E" w14:textId="1643C445" w:rsidR="0020245A" w:rsidRDefault="0020245A" w:rsidP="007F1711">
      <w:pPr>
        <w:pStyle w:val="Caption"/>
        <w:spacing w:line="480" w:lineRule="auto"/>
        <w:rPr>
          <w:color w:val="000000" w:themeColor="text1"/>
        </w:rPr>
      </w:pPr>
      <w:r w:rsidRPr="0020245A">
        <w:rPr>
          <w:b/>
          <w:color w:val="000000" w:themeColor="text1"/>
        </w:rPr>
        <w:t xml:space="preserve">Figure </w:t>
      </w:r>
      <w:r w:rsidRPr="0020245A">
        <w:rPr>
          <w:b/>
          <w:color w:val="000000" w:themeColor="text1"/>
        </w:rPr>
        <w:fldChar w:fldCharType="begin"/>
      </w:r>
      <w:r w:rsidRPr="0020245A">
        <w:rPr>
          <w:b/>
          <w:color w:val="000000" w:themeColor="text1"/>
        </w:rPr>
        <w:instrText xml:space="preserve"> SEQ Figure \* ARABIC </w:instrText>
      </w:r>
      <w:r w:rsidRPr="0020245A">
        <w:rPr>
          <w:b/>
          <w:color w:val="000000" w:themeColor="text1"/>
        </w:rPr>
        <w:fldChar w:fldCharType="separate"/>
      </w:r>
      <w:r w:rsidR="0086509D">
        <w:rPr>
          <w:b/>
          <w:noProof/>
          <w:color w:val="000000" w:themeColor="text1"/>
        </w:rPr>
        <w:t>4</w:t>
      </w:r>
      <w:r w:rsidRPr="0020245A">
        <w:rPr>
          <w:b/>
          <w:color w:val="000000" w:themeColor="text1"/>
        </w:rPr>
        <w:fldChar w:fldCharType="end"/>
      </w:r>
      <w:r w:rsidRPr="0020245A">
        <w:rPr>
          <w:b/>
          <w:color w:val="000000" w:themeColor="text1"/>
        </w:rPr>
        <w:t>.</w:t>
      </w:r>
      <w:r w:rsidRPr="0020245A">
        <w:rPr>
          <w:color w:val="000000" w:themeColor="text1"/>
        </w:rPr>
        <w:t xml:space="preserve"> Residual maximum metabolic rate (mg O</w:t>
      </w:r>
      <w:r w:rsidRPr="0020245A">
        <w:rPr>
          <w:color w:val="000000" w:themeColor="text1"/>
          <w:vertAlign w:val="subscript"/>
        </w:rPr>
        <w:t xml:space="preserve">2 </w:t>
      </w:r>
      <w:r w:rsidRPr="0020245A">
        <w:rPr>
          <w:color w:val="000000" w:themeColor="text1"/>
        </w:rPr>
        <w:t>h</w:t>
      </w:r>
      <w:r w:rsidRPr="0020245A">
        <w:rPr>
          <w:color w:val="000000" w:themeColor="text1"/>
          <w:vertAlign w:val="superscript"/>
        </w:rPr>
        <w:t>-1</w:t>
      </w:r>
      <w:r w:rsidRPr="0020245A">
        <w:rPr>
          <w:color w:val="000000" w:themeColor="text1"/>
        </w:rPr>
        <w:t>)</w:t>
      </w:r>
      <w:r w:rsidRPr="0020245A">
        <w:rPr>
          <w:color w:val="000000" w:themeColor="text1"/>
          <w:vertAlign w:val="subscript"/>
        </w:rPr>
        <w:t xml:space="preserve"> </w:t>
      </w:r>
      <w:r w:rsidRPr="0020245A">
        <w:rPr>
          <w:color w:val="000000" w:themeColor="text1"/>
        </w:rPr>
        <w:t>across A) habitat B) habitat + resource use and C) resource use groups in perch. ﻿There were no significant differences based on pairwise comparisons controlling for sex. Boxplots depict median, 25</w:t>
      </w:r>
      <w:r w:rsidRPr="0020245A">
        <w:rPr>
          <w:color w:val="000000" w:themeColor="text1"/>
          <w:vertAlign w:val="superscript"/>
        </w:rPr>
        <w:t xml:space="preserve">th </w:t>
      </w:r>
      <w:r w:rsidRPr="0020245A">
        <w:rPr>
          <w:color w:val="000000" w:themeColor="text1"/>
        </w:rPr>
        <w:t>and 75</w:t>
      </w:r>
      <w:r w:rsidRPr="0020245A">
        <w:rPr>
          <w:color w:val="000000" w:themeColor="text1"/>
          <w:vertAlign w:val="superscript"/>
        </w:rPr>
        <w:t>th</w:t>
      </w:r>
      <w:r w:rsidRPr="0020245A">
        <w:rPr>
          <w:color w:val="000000" w:themeColor="text1"/>
        </w:rPr>
        <w:t xml:space="preserve"> percentile, and whiskers extend to the maximum and minimum values with the exception of plots with outliers (&gt; 1.5 * interquartile range) which are represented by dots.  </w:t>
      </w:r>
    </w:p>
    <w:p w14:paraId="1A24B5D3" w14:textId="77777777" w:rsidR="0086509D" w:rsidRDefault="0020245A" w:rsidP="007F1711">
      <w:pPr>
        <w:keepNext/>
        <w:spacing w:line="480" w:lineRule="auto"/>
      </w:pPr>
      <w:r w:rsidRPr="0020245A">
        <w:rPr>
          <w:noProof/>
        </w:rPr>
        <w:lastRenderedPageBreak/>
        <w:drawing>
          <wp:inline distT="0" distB="0" distL="0" distR="0" wp14:anchorId="79F5C431" wp14:editId="3FF67A05">
            <wp:extent cx="5756910" cy="2616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2549" b="6667"/>
                    <a:stretch/>
                  </pic:blipFill>
                  <pic:spPr bwMode="auto">
                    <a:xfrm>
                      <a:off x="0" y="0"/>
                      <a:ext cx="5756910" cy="2616200"/>
                    </a:xfrm>
                    <a:prstGeom prst="rect">
                      <a:avLst/>
                    </a:prstGeom>
                    <a:ln>
                      <a:noFill/>
                    </a:ln>
                    <a:extLst>
                      <a:ext uri="{53640926-AAD7-44D8-BBD7-CCE9431645EC}">
                        <a14:shadowObscured xmlns:a14="http://schemas.microsoft.com/office/drawing/2010/main"/>
                      </a:ext>
                    </a:extLst>
                  </pic:spPr>
                </pic:pic>
              </a:graphicData>
            </a:graphic>
          </wp:inline>
        </w:drawing>
      </w:r>
    </w:p>
    <w:p w14:paraId="612C8D03" w14:textId="318F70CF" w:rsidR="0020245A" w:rsidRDefault="0086509D" w:rsidP="007F1711">
      <w:pPr>
        <w:pStyle w:val="Caption"/>
        <w:spacing w:line="480" w:lineRule="auto"/>
        <w:rPr>
          <w:color w:val="000000" w:themeColor="text1"/>
          <w:lang w:val="en-US"/>
        </w:rPr>
      </w:pPr>
      <w:r w:rsidRPr="0086509D">
        <w:rPr>
          <w:b/>
          <w:color w:val="000000" w:themeColor="text1"/>
        </w:rPr>
        <w:t xml:space="preserve">Figure </w:t>
      </w:r>
      <w:r w:rsidRPr="0086509D">
        <w:rPr>
          <w:b/>
          <w:color w:val="000000" w:themeColor="text1"/>
        </w:rPr>
        <w:fldChar w:fldCharType="begin"/>
      </w:r>
      <w:r w:rsidRPr="0086509D">
        <w:rPr>
          <w:b/>
          <w:color w:val="000000" w:themeColor="text1"/>
        </w:rPr>
        <w:instrText xml:space="preserve"> SEQ Figure \* ARABIC </w:instrText>
      </w:r>
      <w:r w:rsidRPr="0086509D">
        <w:rPr>
          <w:b/>
          <w:color w:val="000000" w:themeColor="text1"/>
        </w:rPr>
        <w:fldChar w:fldCharType="separate"/>
      </w:r>
      <w:r w:rsidRPr="0086509D">
        <w:rPr>
          <w:b/>
          <w:noProof/>
          <w:color w:val="000000" w:themeColor="text1"/>
        </w:rPr>
        <w:t>5</w:t>
      </w:r>
      <w:r w:rsidRPr="0086509D">
        <w:rPr>
          <w:b/>
          <w:color w:val="000000" w:themeColor="text1"/>
        </w:rPr>
        <w:fldChar w:fldCharType="end"/>
      </w:r>
      <w:r w:rsidRPr="0086509D">
        <w:rPr>
          <w:b/>
          <w:color w:val="000000" w:themeColor="text1"/>
        </w:rPr>
        <w:t>.</w:t>
      </w:r>
      <w:r w:rsidRPr="0086509D">
        <w:rPr>
          <w:color w:val="000000" w:themeColor="text1"/>
          <w:lang w:val="en-US"/>
        </w:rPr>
        <w:t xml:space="preserve"> Residual factorial aerobic scope (mg O</w:t>
      </w:r>
      <w:r w:rsidRPr="0086509D">
        <w:rPr>
          <w:color w:val="000000" w:themeColor="text1"/>
          <w:vertAlign w:val="subscript"/>
          <w:lang w:val="en-US"/>
        </w:rPr>
        <w:t xml:space="preserve">2 </w:t>
      </w:r>
      <w:r w:rsidRPr="0086509D">
        <w:rPr>
          <w:color w:val="000000" w:themeColor="text1"/>
          <w:lang w:val="en-US"/>
        </w:rPr>
        <w:t>h</w:t>
      </w:r>
      <w:r w:rsidRPr="0086509D">
        <w:rPr>
          <w:color w:val="000000" w:themeColor="text1"/>
          <w:vertAlign w:val="superscript"/>
          <w:lang w:val="en-US"/>
        </w:rPr>
        <w:t>-1</w:t>
      </w:r>
      <w:r w:rsidRPr="0086509D">
        <w:rPr>
          <w:color w:val="000000" w:themeColor="text1"/>
          <w:lang w:val="en-US"/>
        </w:rPr>
        <w:t>)</w:t>
      </w:r>
      <w:r w:rsidRPr="0086509D">
        <w:rPr>
          <w:color w:val="000000" w:themeColor="text1"/>
          <w:vertAlign w:val="subscript"/>
          <w:lang w:val="en-US"/>
        </w:rPr>
        <w:t xml:space="preserve"> </w:t>
      </w:r>
      <w:r w:rsidRPr="0086509D">
        <w:rPr>
          <w:color w:val="000000" w:themeColor="text1"/>
          <w:lang w:val="en-US"/>
        </w:rPr>
        <w:t xml:space="preserve">across </w:t>
      </w:r>
      <w:r w:rsidRPr="0086509D">
        <w:rPr>
          <w:color w:val="000000" w:themeColor="text1"/>
        </w:rPr>
        <w:t xml:space="preserve">A) habitat B) habitat + resource use and C) resource use </w:t>
      </w:r>
      <w:r w:rsidRPr="0086509D">
        <w:rPr>
          <w:color w:val="000000" w:themeColor="text1"/>
          <w:lang w:val="en-US"/>
        </w:rPr>
        <w:t xml:space="preserve">groups in perch. </w:t>
      </w:r>
      <w:r w:rsidRPr="0086509D">
        <w:rPr>
          <w:color w:val="000000" w:themeColor="text1"/>
        </w:rPr>
        <w:t>Asterisks indicate significant differences﻿</w:t>
      </w:r>
      <w:r w:rsidRPr="0086509D">
        <w:t xml:space="preserve"> </w:t>
      </w:r>
      <w:r w:rsidRPr="0086509D">
        <w:rPr>
          <w:color w:val="000000" w:themeColor="text1"/>
        </w:rPr>
        <w:t>(*p &lt; 0.05, **p &lt; 0.01, ***p &lt; 0.001) based on pairwise comparisons controlling for sex.</w:t>
      </w:r>
      <w:r w:rsidRPr="0086509D">
        <w:rPr>
          <w:color w:val="000000" w:themeColor="text1"/>
          <w:lang w:val="en-US"/>
        </w:rPr>
        <w:t xml:space="preserve"> Boxplots depict median, 25</w:t>
      </w:r>
      <w:r w:rsidRPr="0086509D">
        <w:rPr>
          <w:color w:val="000000" w:themeColor="text1"/>
          <w:vertAlign w:val="superscript"/>
          <w:lang w:val="en-US"/>
        </w:rPr>
        <w:t xml:space="preserve">th </w:t>
      </w:r>
      <w:r w:rsidRPr="0086509D">
        <w:rPr>
          <w:color w:val="000000" w:themeColor="text1"/>
          <w:lang w:val="en-US"/>
        </w:rPr>
        <w:t>and 75</w:t>
      </w:r>
      <w:r w:rsidRPr="0086509D">
        <w:rPr>
          <w:color w:val="000000" w:themeColor="text1"/>
          <w:vertAlign w:val="superscript"/>
          <w:lang w:val="en-US"/>
        </w:rPr>
        <w:t>th</w:t>
      </w:r>
      <w:r w:rsidRPr="0086509D">
        <w:rPr>
          <w:color w:val="000000" w:themeColor="text1"/>
          <w:lang w:val="en-US"/>
        </w:rPr>
        <w:t xml:space="preserve"> percentile, and whiskers extend to the maximum and minimum values with the exception of plots with outliers (</w:t>
      </w:r>
      <w:r w:rsidRPr="0086509D">
        <w:rPr>
          <w:color w:val="000000" w:themeColor="text1"/>
        </w:rPr>
        <w:t>&gt; 1.5 * interquartile range</w:t>
      </w:r>
      <w:r w:rsidRPr="0086509D">
        <w:rPr>
          <w:color w:val="000000" w:themeColor="text1"/>
          <w:lang w:val="en-US"/>
        </w:rPr>
        <w:t xml:space="preserve">) which are represented by dots.  </w:t>
      </w:r>
    </w:p>
    <w:p w14:paraId="66E776FC" w14:textId="77777777" w:rsidR="00F642B4" w:rsidRPr="00F642B4" w:rsidRDefault="00F642B4" w:rsidP="007F1711">
      <w:pPr>
        <w:spacing w:line="480" w:lineRule="auto"/>
        <w:rPr>
          <w:lang w:val="en-US"/>
        </w:rPr>
      </w:pPr>
    </w:p>
    <w:p w14:paraId="2057EDD3" w14:textId="302B3DD3" w:rsidR="00F642B4" w:rsidRPr="00F642B4" w:rsidRDefault="00F642B4" w:rsidP="007F1711">
      <w:pPr>
        <w:pStyle w:val="Caption"/>
        <w:keepNext/>
        <w:spacing w:line="480" w:lineRule="auto"/>
        <w:rPr>
          <w:color w:val="000000" w:themeColor="text1"/>
        </w:rPr>
      </w:pPr>
      <w:r w:rsidRPr="00F642B4">
        <w:rPr>
          <w:b/>
          <w:color w:val="000000" w:themeColor="text1"/>
        </w:rPr>
        <w:t xml:space="preserve">Table </w:t>
      </w:r>
      <w:r w:rsidRPr="00F642B4">
        <w:rPr>
          <w:b/>
          <w:color w:val="000000" w:themeColor="text1"/>
        </w:rPr>
        <w:fldChar w:fldCharType="begin"/>
      </w:r>
      <w:r w:rsidRPr="00F642B4">
        <w:rPr>
          <w:b/>
          <w:color w:val="000000" w:themeColor="text1"/>
        </w:rPr>
        <w:instrText xml:space="preserve"> SEQ Table \* ARABIC </w:instrText>
      </w:r>
      <w:r w:rsidRPr="00F642B4">
        <w:rPr>
          <w:b/>
          <w:color w:val="000000" w:themeColor="text1"/>
        </w:rPr>
        <w:fldChar w:fldCharType="separate"/>
      </w:r>
      <w:r w:rsidRPr="00F642B4">
        <w:rPr>
          <w:b/>
          <w:noProof/>
          <w:color w:val="000000" w:themeColor="text1"/>
        </w:rPr>
        <w:t>1</w:t>
      </w:r>
      <w:r w:rsidRPr="00F642B4">
        <w:rPr>
          <w:b/>
          <w:color w:val="000000" w:themeColor="text1"/>
        </w:rPr>
        <w:fldChar w:fldCharType="end"/>
      </w:r>
      <w:r w:rsidRPr="00F642B4">
        <w:rPr>
          <w:b/>
          <w:color w:val="000000" w:themeColor="text1"/>
        </w:rPr>
        <w:t>.</w:t>
      </w:r>
      <w:r w:rsidRPr="00F642B4">
        <w:rPr>
          <w:color w:val="000000" w:themeColor="text1"/>
        </w:rPr>
        <w:t xml:space="preserve"> </w:t>
      </w:r>
      <w:r w:rsidRPr="00F642B4">
        <w:rPr>
          <w:i w:val="0"/>
          <w:color w:val="000000" w:themeColor="text1"/>
        </w:rPr>
        <w:t>Output ANOVAs testing the effect of A) habitat, B) habitat + pelagic resource use, and C) pelagic resource use on measures of</w:t>
      </w:r>
      <w:r w:rsidRPr="00F642B4">
        <w:rPr>
          <w:i w:val="0"/>
          <w:color w:val="000000" w:themeColor="text1"/>
          <w:lang w:val="en-US"/>
        </w:rPr>
        <w:t xml:space="preserve"> mass-independent standard metabolic rate (SMR), maximum metabolic rate (MMR), and factorial aerobic scope (FAS)</w:t>
      </w:r>
      <w:r w:rsidRPr="00F642B4">
        <w:rPr>
          <w:i w:val="0"/>
          <w:color w:val="000000" w:themeColor="text1"/>
        </w:rPr>
        <w:t>. The grey highlight shows the F-value and adjusted R</w:t>
      </w:r>
      <w:r w:rsidRPr="00F642B4">
        <w:rPr>
          <w:i w:val="0"/>
          <w:color w:val="000000" w:themeColor="text1"/>
          <w:vertAlign w:val="superscript"/>
        </w:rPr>
        <w:t xml:space="preserve">2 </w:t>
      </w:r>
      <w:r w:rsidRPr="00F642B4">
        <w:rPr>
          <w:i w:val="0"/>
          <w:color w:val="000000" w:themeColor="text1"/>
        </w:rPr>
        <w:t>for each model, and all significant relationships are depicted in bold font.</w:t>
      </w:r>
    </w:p>
    <w:p w14:paraId="1FAF7E7F" w14:textId="0E3226B3" w:rsidR="0086509D" w:rsidRDefault="00F642B4" w:rsidP="007F1711">
      <w:pPr>
        <w:spacing w:line="480" w:lineRule="auto"/>
        <w:rPr>
          <w:lang w:val="en-US"/>
        </w:rPr>
      </w:pPr>
      <w:r w:rsidRPr="00F642B4">
        <w:rPr>
          <w:noProof/>
          <w:lang w:val="en-US"/>
        </w:rPr>
        <w:drawing>
          <wp:inline distT="0" distB="0" distL="0" distR="0" wp14:anchorId="29645FC6" wp14:editId="10DB0C0D">
            <wp:extent cx="5615389" cy="1981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708" t="9577" r="17347" b="51504"/>
                    <a:stretch/>
                  </pic:blipFill>
                  <pic:spPr bwMode="auto">
                    <a:xfrm>
                      <a:off x="0" y="0"/>
                      <a:ext cx="5631045" cy="1986724"/>
                    </a:xfrm>
                    <a:prstGeom prst="rect">
                      <a:avLst/>
                    </a:prstGeom>
                    <a:ln>
                      <a:noFill/>
                    </a:ln>
                    <a:extLst>
                      <a:ext uri="{53640926-AAD7-44D8-BBD7-CCE9431645EC}">
                        <a14:shadowObscured xmlns:a14="http://schemas.microsoft.com/office/drawing/2010/main"/>
                      </a:ext>
                    </a:extLst>
                  </pic:spPr>
                </pic:pic>
              </a:graphicData>
            </a:graphic>
          </wp:inline>
        </w:drawing>
      </w:r>
    </w:p>
    <w:p w14:paraId="350364C3" w14:textId="77777777" w:rsidR="00F642B4" w:rsidRPr="0086509D" w:rsidRDefault="00F642B4" w:rsidP="007F1711">
      <w:pPr>
        <w:spacing w:line="480" w:lineRule="auto"/>
        <w:rPr>
          <w:lang w:val="en-US"/>
        </w:rPr>
      </w:pPr>
    </w:p>
    <w:p w14:paraId="7D8228AA" w14:textId="5248C2A7" w:rsidR="00F642B4" w:rsidRPr="00F642B4" w:rsidRDefault="00F642B4" w:rsidP="007F1711">
      <w:pPr>
        <w:pStyle w:val="Caption"/>
        <w:keepNext/>
        <w:spacing w:line="480" w:lineRule="auto"/>
        <w:rPr>
          <w:color w:val="000000" w:themeColor="text1"/>
        </w:rPr>
      </w:pPr>
      <w:r w:rsidRPr="00F642B4">
        <w:rPr>
          <w:b/>
          <w:color w:val="000000" w:themeColor="text1"/>
        </w:rPr>
        <w:t xml:space="preserve">Table </w:t>
      </w:r>
      <w:r w:rsidRPr="00F642B4">
        <w:rPr>
          <w:b/>
          <w:color w:val="000000" w:themeColor="text1"/>
        </w:rPr>
        <w:fldChar w:fldCharType="begin"/>
      </w:r>
      <w:r w:rsidRPr="00F642B4">
        <w:rPr>
          <w:b/>
          <w:color w:val="000000" w:themeColor="text1"/>
        </w:rPr>
        <w:instrText xml:space="preserve"> SEQ Table \* ARABIC </w:instrText>
      </w:r>
      <w:r w:rsidRPr="00F642B4">
        <w:rPr>
          <w:b/>
          <w:color w:val="000000" w:themeColor="text1"/>
        </w:rPr>
        <w:fldChar w:fldCharType="separate"/>
      </w:r>
      <w:r w:rsidRPr="00F642B4">
        <w:rPr>
          <w:b/>
          <w:noProof/>
          <w:color w:val="000000" w:themeColor="text1"/>
        </w:rPr>
        <w:t>2</w:t>
      </w:r>
      <w:r w:rsidRPr="00F642B4">
        <w:rPr>
          <w:b/>
          <w:color w:val="000000" w:themeColor="text1"/>
        </w:rPr>
        <w:fldChar w:fldCharType="end"/>
      </w:r>
      <w:r w:rsidRPr="00F642B4">
        <w:rPr>
          <w:b/>
          <w:color w:val="000000" w:themeColor="text1"/>
        </w:rPr>
        <w:t>.</w:t>
      </w:r>
      <w:r w:rsidRPr="00F642B4">
        <w:rPr>
          <w:color w:val="000000" w:themeColor="text1"/>
        </w:rPr>
        <w:t xml:space="preserve"> Pairwise comparisons of the estimated marginal means for A) habitat, B) habitat + pelagic resource use, and C) pelagic resource use for measures of </w:t>
      </w:r>
      <w:r w:rsidRPr="00F642B4">
        <w:rPr>
          <w:color w:val="000000" w:themeColor="text1"/>
          <w:lang w:val="en-US"/>
        </w:rPr>
        <w:t xml:space="preserve">mass-independent standard metabolic rate (SMR), maximum metabolic rate (MMR </w:t>
      </w:r>
      <w:r w:rsidRPr="00F642B4">
        <w:rPr>
          <w:color w:val="000000" w:themeColor="text1"/>
          <w:lang w:val="en-US"/>
        </w:rPr>
        <w:lastRenderedPageBreak/>
        <w:t>and factorial aerobic scope (FAS)</w:t>
      </w:r>
      <w:r w:rsidRPr="00F642B4">
        <w:rPr>
          <w:color w:val="000000" w:themeColor="text1"/>
        </w:rPr>
        <w:t xml:space="preserve">. In the habitat + resource use model, littoral and pelagic refer to the location where the fish were caught, while high and low refer to the pelagic resource use. All significant comparisons are depicted in bold font.  </w:t>
      </w:r>
    </w:p>
    <w:p w14:paraId="5C5FFFAC" w14:textId="5EF8CEE8" w:rsidR="00F642B4" w:rsidRDefault="00F642B4" w:rsidP="007F1711">
      <w:pPr>
        <w:pStyle w:val="Heading1"/>
        <w:spacing w:line="480" w:lineRule="auto"/>
        <w:jc w:val="both"/>
        <w:rPr>
          <w:color w:val="000000" w:themeColor="text1"/>
        </w:rPr>
      </w:pPr>
      <w:r w:rsidRPr="00F642B4">
        <w:rPr>
          <w:noProof/>
          <w:color w:val="000000" w:themeColor="text1"/>
        </w:rPr>
        <w:drawing>
          <wp:inline distT="0" distB="0" distL="0" distR="0" wp14:anchorId="0A2678D8" wp14:editId="0B036DDF">
            <wp:extent cx="5669838" cy="181186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6619" t="9992" r="11464" b="52961"/>
                    <a:stretch/>
                  </pic:blipFill>
                  <pic:spPr bwMode="auto">
                    <a:xfrm>
                      <a:off x="0" y="0"/>
                      <a:ext cx="5688544" cy="1817844"/>
                    </a:xfrm>
                    <a:prstGeom prst="rect">
                      <a:avLst/>
                    </a:prstGeom>
                    <a:ln>
                      <a:noFill/>
                    </a:ln>
                    <a:extLst>
                      <a:ext uri="{53640926-AAD7-44D8-BBD7-CCE9431645EC}">
                        <a14:shadowObscured xmlns:a14="http://schemas.microsoft.com/office/drawing/2010/main"/>
                      </a:ext>
                    </a:extLst>
                  </pic:spPr>
                </pic:pic>
              </a:graphicData>
            </a:graphic>
          </wp:inline>
        </w:drawing>
      </w:r>
    </w:p>
    <w:p w14:paraId="56E55AA7" w14:textId="62F14138" w:rsidR="00D02A05" w:rsidRPr="009F7ED9" w:rsidRDefault="0005311B" w:rsidP="007F1711">
      <w:pPr>
        <w:pStyle w:val="Heading1"/>
        <w:spacing w:line="480" w:lineRule="auto"/>
        <w:jc w:val="both"/>
        <w:rPr>
          <w:color w:val="000000" w:themeColor="text1"/>
        </w:rPr>
      </w:pPr>
      <w:r w:rsidRPr="009F7ED9">
        <w:rPr>
          <w:color w:val="000000" w:themeColor="text1"/>
        </w:rPr>
        <w:t xml:space="preserve">Discussion </w:t>
      </w:r>
    </w:p>
    <w:p w14:paraId="5DE7E25A" w14:textId="2BC7E9FD" w:rsidR="00BD4B18" w:rsidRPr="00715E6F" w:rsidRDefault="00A60CCD" w:rsidP="007F1711">
      <w:pPr>
        <w:spacing w:line="480" w:lineRule="auto"/>
        <w:jc w:val="both"/>
        <w:rPr>
          <w:rFonts w:cstheme="minorHAnsi"/>
        </w:rPr>
      </w:pPr>
      <w:r>
        <w:rPr>
          <w:rFonts w:cstheme="minorHAnsi"/>
        </w:rPr>
        <w:t>Polymorphism</w:t>
      </w:r>
      <w:r w:rsidR="00082B21">
        <w:rPr>
          <w:rFonts w:cstheme="minorHAnsi"/>
        </w:rPr>
        <w:t xml:space="preserve"> in fish is associated with the divergence of </w:t>
      </w:r>
      <w:r w:rsidR="00856D40">
        <w:rPr>
          <w:rFonts w:cstheme="minorHAnsi"/>
        </w:rPr>
        <w:t>several</w:t>
      </w:r>
      <w:r w:rsidR="00082B21">
        <w:rPr>
          <w:rFonts w:cstheme="minorHAnsi"/>
        </w:rPr>
        <w:t xml:space="preserve"> </w:t>
      </w:r>
      <w:r w:rsidR="00715E6F">
        <w:rPr>
          <w:rFonts w:cstheme="minorHAnsi"/>
        </w:rPr>
        <w:t xml:space="preserve">morphological and behavioural traits </w:t>
      </w:r>
      <w:r w:rsidR="00715E6F">
        <w:rPr>
          <w:rFonts w:cstheme="minorHAnsi"/>
        </w:rPr>
        <w:fldChar w:fldCharType="begin" w:fldLock="1"/>
      </w:r>
      <w:r w:rsidR="003458F5">
        <w:rPr>
          <w:rFonts w:cstheme="minorHAnsi"/>
        </w:rPr>
        <w:instrText>ADDIN CSL_CITATION {"citationItems":[{"id":"ITEM-1","itemData":{"DOI":"10.1016/S0169-5347(00)89135-1","ISSN":"01695347","PMID":"21237070","abstract":"Discrete resource polymorphisms occur in various vertebrate species and probably occur more frequently than is generally appreciated. They are manifested in a number of ways, including morphological, behavioral and life history characters. Research on a number of unrelated taxa suggests that resource polymorphisms may be underestimated as a diversifying force and potentially play important roles in population divergence and initial steps in speciation. In an ecological context, they are important in resource partitioning and reducing intraspecific competition. Recent research suggests that the mechanisms maintaining these polymorphisms may be similar in diverse taxa, that phenotypic plasticity is important, and that some are under simple genetic control. © 1995.","author":[{"dropping-particle":"","family":"Skúlason","given":"Skúli","non-dropping-particle":"","parse-names":false,"suffix":""},{"dropping-particle":"","family":"Smith","given":"Thomas B.","non-dropping-particle":"","parse-names":false,"suffix":""}],"container-title":"Trends in Ecology &amp; Evolution","id":"ITEM-1","issue":"9","issued":{"date-parts":[["1995"]]},"page":"366-370","title":"Resource polymorphisms in vertebrates","type":"article-journal","volume":"10"},"uris":["http://www.mendeley.com/documents/?uuid=ba909840-801b-42eb-9c3c-d8935c875b32"]}],"mendeley":{"formattedCitation":"(Skúlason and Smith, 1995)","plainTextFormattedCitation":"(Skúlason and Smith, 1995)","previouslyFormattedCitation":"(Skúlason and Smith, 1995)"},"properties":{"noteIndex":0},"schema":"https://github.com/citation-style-language/schema/raw/master/csl-citation.json"}</w:instrText>
      </w:r>
      <w:r w:rsidR="00715E6F">
        <w:rPr>
          <w:rFonts w:cstheme="minorHAnsi"/>
        </w:rPr>
        <w:fldChar w:fldCharType="separate"/>
      </w:r>
      <w:r w:rsidR="00715E6F" w:rsidRPr="00715E6F">
        <w:rPr>
          <w:rFonts w:cstheme="minorHAnsi"/>
          <w:noProof/>
        </w:rPr>
        <w:t>(Skúlason and Smith, 1995)</w:t>
      </w:r>
      <w:r w:rsidR="00715E6F">
        <w:rPr>
          <w:rFonts w:cstheme="minorHAnsi"/>
        </w:rPr>
        <w:fldChar w:fldCharType="end"/>
      </w:r>
      <w:r w:rsidR="00715E6F">
        <w:rPr>
          <w:rFonts w:cstheme="minorHAnsi"/>
        </w:rPr>
        <w:t>. Our results show that metabolic rates should be considered a part of this larger suite of diver</w:t>
      </w:r>
      <w:r w:rsidR="003458F5">
        <w:rPr>
          <w:rFonts w:cstheme="minorHAnsi"/>
        </w:rPr>
        <w:t>g</w:t>
      </w:r>
      <w:r w:rsidR="00715E6F">
        <w:rPr>
          <w:rFonts w:cstheme="minorHAnsi"/>
        </w:rPr>
        <w:t>ing traits and that future studies should examine the drivers and consequences of metabolic differences between morphs. In our study system</w:t>
      </w:r>
      <w:r w:rsidR="00856D40">
        <w:rPr>
          <w:rFonts w:cstheme="minorHAnsi"/>
        </w:rPr>
        <w:t>,</w:t>
      </w:r>
      <w:r w:rsidR="00715E6F">
        <w:rPr>
          <w:rFonts w:cstheme="minorHAnsi"/>
        </w:rPr>
        <w:t xml:space="preserve"> SMR was significantly higher in pelagic compared to littoral perch</w:t>
      </w:r>
      <w:r w:rsidR="00060163">
        <w:rPr>
          <w:rFonts w:cstheme="minorHAnsi"/>
        </w:rPr>
        <w:t>.</w:t>
      </w:r>
      <w:r w:rsidR="00856D40">
        <w:rPr>
          <w:rFonts w:cstheme="minorHAnsi"/>
        </w:rPr>
        <w:t xml:space="preserve"> </w:t>
      </w:r>
      <w:r w:rsidR="00060163">
        <w:rPr>
          <w:rFonts w:cstheme="minorHAnsi"/>
        </w:rPr>
        <w:t>H</w:t>
      </w:r>
      <w:r w:rsidR="00856D40">
        <w:rPr>
          <w:rFonts w:cstheme="minorHAnsi"/>
        </w:rPr>
        <w:t>owever,</w:t>
      </w:r>
      <w:r w:rsidR="00715E6F">
        <w:rPr>
          <w:rFonts w:cstheme="minorHAnsi"/>
        </w:rPr>
        <w:t xml:space="preserve"> this v</w:t>
      </w:r>
      <w:proofErr w:type="spellStart"/>
      <w:r w:rsidR="0005311B" w:rsidRPr="003F070C">
        <w:rPr>
          <w:rFonts w:cstheme="minorHAnsi"/>
          <w:lang w:val="en-US"/>
        </w:rPr>
        <w:t>ariation</w:t>
      </w:r>
      <w:proofErr w:type="spellEnd"/>
      <w:r w:rsidR="0005311B" w:rsidRPr="003F070C">
        <w:rPr>
          <w:rFonts w:cstheme="minorHAnsi"/>
          <w:lang w:val="en-US"/>
        </w:rPr>
        <w:t xml:space="preserve"> in metabolic rates does not appear to be </w:t>
      </w:r>
      <w:r w:rsidR="003458F5">
        <w:rPr>
          <w:rFonts w:cstheme="minorHAnsi"/>
          <w:lang w:val="en-US"/>
        </w:rPr>
        <w:t>correlated with</w:t>
      </w:r>
      <w:r w:rsidR="0005311B" w:rsidRPr="003F070C">
        <w:rPr>
          <w:rFonts w:cstheme="minorHAnsi"/>
          <w:lang w:val="en-US"/>
        </w:rPr>
        <w:t xml:space="preserve"> differences in </w:t>
      </w:r>
      <w:r w:rsidR="00AB63AF">
        <w:rPr>
          <w:rFonts w:cstheme="minorHAnsi"/>
          <w:lang w:val="en-US"/>
        </w:rPr>
        <w:t>resource use</w:t>
      </w:r>
      <w:r w:rsidR="0005311B" w:rsidRPr="003F070C">
        <w:rPr>
          <w:rFonts w:cstheme="minorHAnsi"/>
          <w:lang w:val="en-US"/>
        </w:rPr>
        <w:t xml:space="preserve"> or morphology</w:t>
      </w:r>
      <w:r w:rsidR="00A1138E">
        <w:rPr>
          <w:rFonts w:cstheme="minorHAnsi"/>
          <w:lang w:val="en-US"/>
        </w:rPr>
        <w:t>.</w:t>
      </w:r>
      <w:r w:rsidR="0005311B" w:rsidRPr="003F070C">
        <w:rPr>
          <w:rFonts w:cstheme="minorHAnsi"/>
          <w:lang w:val="en-US"/>
        </w:rPr>
        <w:t xml:space="preserve"> </w:t>
      </w:r>
      <w:r w:rsidR="00856D40">
        <w:rPr>
          <w:rFonts w:cstheme="minorHAnsi"/>
          <w:lang w:val="en-US"/>
        </w:rPr>
        <w:t>Furthermore, because</w:t>
      </w:r>
      <w:r w:rsidR="0005311B" w:rsidRPr="003F070C">
        <w:rPr>
          <w:rFonts w:cstheme="minorHAnsi"/>
          <w:lang w:val="en-US"/>
        </w:rPr>
        <w:t xml:space="preserve"> MMR was not related to habitat, the difference in SMR also resulted in </w:t>
      </w:r>
      <w:r w:rsidR="00AF0B25">
        <w:rPr>
          <w:rFonts w:cstheme="minorHAnsi"/>
          <w:lang w:val="en-US"/>
        </w:rPr>
        <w:t xml:space="preserve">a </w:t>
      </w:r>
      <w:r w:rsidR="0005311B" w:rsidRPr="003F070C">
        <w:rPr>
          <w:rFonts w:cstheme="minorHAnsi"/>
          <w:lang w:val="en-US"/>
        </w:rPr>
        <w:t xml:space="preserve">significantly higher aerobic scope in littoral compared to pelagic perch. </w:t>
      </w:r>
    </w:p>
    <w:p w14:paraId="6438D596" w14:textId="174AFA99" w:rsidR="00B17A35" w:rsidRPr="00275E8A" w:rsidRDefault="00847217" w:rsidP="007F1711">
      <w:pPr>
        <w:spacing w:line="480" w:lineRule="auto"/>
        <w:jc w:val="both"/>
        <w:rPr>
          <w:rFonts w:cstheme="minorHAnsi"/>
          <w:i/>
          <w:lang w:val="en-US"/>
        </w:rPr>
      </w:pPr>
      <w:r>
        <w:rPr>
          <w:rFonts w:cstheme="minorHAnsi"/>
          <w:lang w:val="en-US"/>
        </w:rPr>
        <w:t xml:space="preserve">We expected that </w:t>
      </w:r>
      <w:r w:rsidR="00C75AFA">
        <w:rPr>
          <w:rFonts w:cstheme="minorHAnsi"/>
          <w:lang w:val="en-US"/>
        </w:rPr>
        <w:t xml:space="preserve">when controlling for </w:t>
      </w:r>
      <w:r w:rsidR="003458F5">
        <w:rPr>
          <w:rFonts w:cstheme="minorHAnsi"/>
          <w:lang w:val="en-US"/>
        </w:rPr>
        <w:t>morphological</w:t>
      </w:r>
      <w:r w:rsidR="00C75AFA">
        <w:rPr>
          <w:rFonts w:cstheme="minorHAnsi"/>
          <w:lang w:val="en-US"/>
        </w:rPr>
        <w:t xml:space="preserve"> factors, </w:t>
      </w:r>
      <w:r w:rsidR="003458F5">
        <w:rPr>
          <w:rFonts w:cstheme="minorHAnsi"/>
          <w:lang w:val="en-US"/>
        </w:rPr>
        <w:t xml:space="preserve">such </w:t>
      </w:r>
      <w:r w:rsidR="00C75AFA">
        <w:rPr>
          <w:rFonts w:cstheme="minorHAnsi"/>
          <w:lang w:val="en-US"/>
        </w:rPr>
        <w:t>as body depth</w:t>
      </w:r>
      <w:r w:rsidR="00483541">
        <w:rPr>
          <w:rFonts w:cstheme="minorHAnsi"/>
          <w:lang w:val="en-US"/>
        </w:rPr>
        <w:t>,</w:t>
      </w:r>
      <w:r w:rsidR="00C75AFA">
        <w:rPr>
          <w:rFonts w:cstheme="minorHAnsi"/>
          <w:lang w:val="en-US"/>
        </w:rPr>
        <w:t xml:space="preserve"> we would see a decrease in SMR to compensate for increased drag </w:t>
      </w:r>
      <w:r w:rsidR="003458F5">
        <w:rPr>
          <w:rFonts w:cstheme="minorHAnsi"/>
          <w:lang w:val="en-US"/>
        </w:rPr>
        <w:t xml:space="preserve">in </w:t>
      </w:r>
      <w:r w:rsidR="00856D40">
        <w:rPr>
          <w:rFonts w:cstheme="minorHAnsi"/>
          <w:lang w:val="en-US"/>
        </w:rPr>
        <w:t>deeper-bodied</w:t>
      </w:r>
      <w:r w:rsidR="003458F5">
        <w:rPr>
          <w:rFonts w:cstheme="minorHAnsi"/>
          <w:lang w:val="en-US"/>
        </w:rPr>
        <w:t xml:space="preserve"> fish </w:t>
      </w:r>
      <w:r w:rsidR="00C75AFA">
        <w:rPr>
          <w:rFonts w:cstheme="minorHAnsi"/>
          <w:lang w:val="en-US"/>
        </w:rPr>
        <w:fldChar w:fldCharType="begin" w:fldLock="1"/>
      </w:r>
      <w:r w:rsidR="000B6581">
        <w:rPr>
          <w:rFonts w:cstheme="minorHAnsi"/>
          <w:lang w:val="en-US"/>
        </w:rPr>
        <w:instrText>ADDIN CSL_CITATION {"citationItems":[{"id":"ITEM-1","itemData":{"DOI":"10.1007/s004420050901","ISSN":"0029-8549","abstract":"Crucian carp (Carassius carassius) increases in body depth in response to chemical cues from piscivores and the deeper body constitutes a morphological defence against gape-limited piscivores. In the field, deep-bodied individuals suffer a density-dependent cost when competing with shallow-bodied conspecifics. Here, we use hydrodynamic theory and swimming respirometry to investigate the proposed mechanism underlying this effect, high drag caused by the deep-bodied morphology. Our study confirms that drag is higher for deep-bodied crucian carp, both in terms of estimated theoretical drag and power curve steepness. However, deep-bodied fish swimming at the velocity associated with minimum cost of transport, U mc, did not experience higher costs of transport than shallow-bodied fish. Deep-bodied crucian carp had significantly lower standard metabolic rates, i.e. metabolic rates at rest, and also lower U mc, and the resulting costs of transport were similar for the two morphs. Nevertheless, when deep-bodied individuals deviate from U mc, e.g. when increasing foraging effort under competition, their steeper power curves will cause substantial energy costs relative to shallow-bodied conspecifics. Furthermore, there is evidence that reductions in standard metabolic rate incur costs in terms of lower stress tolerance, reduced growth rate, and life history changes. Thus, this work provides links between hydrodynamics, a cost-reducing mechanism, and a density-dependent fitness cost associated with an inducible defence.","author":[{"dropping-particle":"","family":"Pettersson","given":"Lars B","non-dropping-particle":"","parse-names":false,"suffix":""},{"dropping-particle":"","family":"Brönmark","given":"Christer","non-dropping-particle":"","parse-names":false,"suffix":""}],"container-title":"Oecologia","id":"ITEM-1","issue":"1","issued":{"date-parts":[["1999","10","12"]]},"page":"12-18","title":"Energetic consequences of an inducible morphological defence in crucian carp","type":"article-journal","volume":"121"},"uris":["http://www.mendeley.com/documents/?uuid=a33c6b5b-7cfe-451a-bdb3-b265decbf21d"]}],"mendeley":{"formattedCitation":"(Pettersson and Brönmark, 1999)","plainTextFormattedCitation":"(Pettersson and Brönmark, 1999)","previouslyFormattedCitation":"(Pettersson and Brönmark, 1999)"},"properties":{"noteIndex":0},"schema":"https://github.com/citation-style-language/schema/raw/master/csl-citation.json"}</w:instrText>
      </w:r>
      <w:r w:rsidR="00C75AFA">
        <w:rPr>
          <w:rFonts w:cstheme="minorHAnsi"/>
          <w:lang w:val="en-US"/>
        </w:rPr>
        <w:fldChar w:fldCharType="separate"/>
      </w:r>
      <w:r w:rsidR="00C8169C" w:rsidRPr="00C8169C">
        <w:rPr>
          <w:rFonts w:cstheme="minorHAnsi"/>
          <w:noProof/>
          <w:lang w:val="en-US"/>
        </w:rPr>
        <w:t>(Pettersson and Brönmark, 1999)</w:t>
      </w:r>
      <w:r w:rsidR="00C75AFA">
        <w:rPr>
          <w:rFonts w:cstheme="minorHAnsi"/>
          <w:lang w:val="en-US"/>
        </w:rPr>
        <w:fldChar w:fldCharType="end"/>
      </w:r>
      <w:r w:rsidR="00C75AFA">
        <w:rPr>
          <w:rFonts w:cstheme="minorHAnsi"/>
          <w:lang w:val="en-US"/>
        </w:rPr>
        <w:t>. Though we did see lower SMR in our littoral fish</w:t>
      </w:r>
      <w:r w:rsidR="00483541">
        <w:rPr>
          <w:rFonts w:cstheme="minorHAnsi"/>
          <w:lang w:val="en-US"/>
        </w:rPr>
        <w:t>,</w:t>
      </w:r>
      <w:r w:rsidR="00C75AFA">
        <w:rPr>
          <w:rFonts w:cstheme="minorHAnsi"/>
          <w:lang w:val="en-US"/>
        </w:rPr>
        <w:t xml:space="preserve"> which have deeper bodies on average, SMR did not correlate with PC2 or PC3</w:t>
      </w:r>
      <w:r w:rsidR="00483541">
        <w:rPr>
          <w:rFonts w:cstheme="minorHAnsi"/>
          <w:lang w:val="en-US"/>
        </w:rPr>
        <w:t>,</w:t>
      </w:r>
      <w:r w:rsidR="00C75AFA">
        <w:rPr>
          <w:rFonts w:cstheme="minorHAnsi"/>
          <w:lang w:val="en-US"/>
        </w:rPr>
        <w:t xml:space="preserve"> which are continuous measures of morphology</w:t>
      </w:r>
      <w:r w:rsidR="00A36A38">
        <w:rPr>
          <w:rFonts w:cstheme="minorHAnsi"/>
          <w:lang w:val="en-US"/>
        </w:rPr>
        <w:t xml:space="preserve">. </w:t>
      </w:r>
      <w:r w:rsidR="00301960">
        <w:rPr>
          <w:rFonts w:cstheme="minorHAnsi"/>
          <w:lang w:val="en-US"/>
        </w:rPr>
        <w:t>It is possible that</w:t>
      </w:r>
      <w:r w:rsidR="008E4FE2">
        <w:rPr>
          <w:rFonts w:cstheme="minorHAnsi"/>
          <w:lang w:val="en-US"/>
        </w:rPr>
        <w:t>,</w:t>
      </w:r>
      <w:r w:rsidR="00A36A38">
        <w:rPr>
          <w:rFonts w:cstheme="minorHAnsi"/>
          <w:lang w:val="en-US"/>
        </w:rPr>
        <w:t xml:space="preserve"> </w:t>
      </w:r>
      <w:r w:rsidR="00D1241F">
        <w:rPr>
          <w:rFonts w:cstheme="minorHAnsi"/>
          <w:lang w:val="en-US"/>
        </w:rPr>
        <w:t xml:space="preserve">perch </w:t>
      </w:r>
      <w:r w:rsidR="00A36A38">
        <w:rPr>
          <w:rFonts w:cstheme="minorHAnsi"/>
          <w:lang w:val="en-US"/>
        </w:rPr>
        <w:t xml:space="preserve">metabolism and morphology evolve </w:t>
      </w:r>
      <w:r w:rsidR="00630A39">
        <w:rPr>
          <w:rFonts w:cstheme="minorHAnsi"/>
          <w:lang w:val="en-US"/>
        </w:rPr>
        <w:t xml:space="preserve">in parallel in </w:t>
      </w:r>
      <w:r w:rsidR="00856D40">
        <w:rPr>
          <w:rFonts w:cstheme="minorHAnsi"/>
          <w:lang w:val="en-US"/>
        </w:rPr>
        <w:t>response</w:t>
      </w:r>
      <w:r w:rsidR="00630A39">
        <w:rPr>
          <w:rFonts w:cstheme="minorHAnsi"/>
          <w:lang w:val="en-US"/>
        </w:rPr>
        <w:t xml:space="preserve"> to differences in habitat</w:t>
      </w:r>
      <w:r w:rsidR="00A014F3">
        <w:rPr>
          <w:rFonts w:cstheme="minorHAnsi"/>
          <w:lang w:val="en-US"/>
        </w:rPr>
        <w:t xml:space="preserve"> use</w:t>
      </w:r>
      <w:r w:rsidR="00856D40">
        <w:rPr>
          <w:rFonts w:cstheme="minorHAnsi"/>
          <w:lang w:val="en-US"/>
        </w:rPr>
        <w:t>,</w:t>
      </w:r>
      <w:r w:rsidR="00630A39">
        <w:rPr>
          <w:rFonts w:cstheme="minorHAnsi"/>
          <w:lang w:val="en-US"/>
        </w:rPr>
        <w:t xml:space="preserve"> </w:t>
      </w:r>
      <w:r w:rsidR="00060163">
        <w:rPr>
          <w:rFonts w:cstheme="minorHAnsi"/>
          <w:lang w:val="en-US"/>
        </w:rPr>
        <w:t xml:space="preserve">since </w:t>
      </w:r>
      <w:r w:rsidR="00B20D11">
        <w:rPr>
          <w:rFonts w:cstheme="minorHAnsi"/>
          <w:lang w:val="en-US"/>
        </w:rPr>
        <w:t>our analyses showed</w:t>
      </w:r>
      <w:r w:rsidR="00060163">
        <w:rPr>
          <w:rFonts w:cstheme="minorHAnsi"/>
          <w:lang w:val="en-US"/>
        </w:rPr>
        <w:t xml:space="preserve"> no </w:t>
      </w:r>
      <w:r w:rsidR="007C012B">
        <w:rPr>
          <w:rFonts w:cstheme="minorHAnsi"/>
          <w:lang w:val="en-US"/>
        </w:rPr>
        <w:t>relationship</w:t>
      </w:r>
      <w:r w:rsidR="00060163">
        <w:rPr>
          <w:rFonts w:cstheme="minorHAnsi"/>
          <w:lang w:val="en-US"/>
        </w:rPr>
        <w:t xml:space="preserve"> between these two traits</w:t>
      </w:r>
      <w:r w:rsidR="00C75AFA">
        <w:rPr>
          <w:rFonts w:cstheme="minorHAnsi"/>
          <w:lang w:val="en-US"/>
        </w:rPr>
        <w:t xml:space="preserve">. </w:t>
      </w:r>
      <w:r w:rsidR="00D1241F">
        <w:rPr>
          <w:rFonts w:cstheme="minorHAnsi"/>
          <w:lang w:val="en-US"/>
        </w:rPr>
        <w:t xml:space="preserve">Our </w:t>
      </w:r>
      <w:r w:rsidR="00B17A35">
        <w:rPr>
          <w:rFonts w:cstheme="minorHAnsi"/>
          <w:lang w:val="en-US"/>
        </w:rPr>
        <w:t xml:space="preserve">results agree with the </w:t>
      </w:r>
      <w:r w:rsidR="00D1241F">
        <w:rPr>
          <w:rFonts w:cstheme="minorHAnsi"/>
          <w:lang w:val="en-US"/>
        </w:rPr>
        <w:t>finding</w:t>
      </w:r>
      <w:r w:rsidR="00B17A35">
        <w:rPr>
          <w:rFonts w:cstheme="minorHAnsi"/>
          <w:lang w:val="en-US"/>
        </w:rPr>
        <w:t xml:space="preserve"> of studies on </w:t>
      </w:r>
      <w:r w:rsidR="00A014F3">
        <w:rPr>
          <w:rFonts w:cstheme="minorHAnsi"/>
          <w:lang w:val="en-US"/>
        </w:rPr>
        <w:t>A</w:t>
      </w:r>
      <w:r w:rsidR="00B17A35" w:rsidRPr="00B17A35">
        <w:rPr>
          <w:rFonts w:cstheme="minorHAnsi"/>
          <w:lang w:val="en-US"/>
        </w:rPr>
        <w:t>tlantic cod (</w:t>
      </w:r>
      <w:r w:rsidR="00B17A35" w:rsidRPr="00B17A35">
        <w:rPr>
          <w:rFonts w:cstheme="minorHAnsi"/>
          <w:i/>
          <w:lang w:val="en-US"/>
        </w:rPr>
        <w:t>Gadus morhua</w:t>
      </w:r>
      <w:r w:rsidR="00B17A35" w:rsidRPr="00B17A35">
        <w:rPr>
          <w:rFonts w:cstheme="minorHAnsi"/>
          <w:lang w:val="en-US"/>
        </w:rPr>
        <w:t>)</w:t>
      </w:r>
      <w:r w:rsidR="00EA040E">
        <w:rPr>
          <w:rFonts w:cstheme="minorHAnsi"/>
          <w:lang w:val="en-US"/>
        </w:rPr>
        <w:t xml:space="preserve">, </w:t>
      </w:r>
      <w:r w:rsidR="00B17A35" w:rsidRPr="003F070C">
        <w:rPr>
          <w:rFonts w:cstheme="minorHAnsi"/>
          <w:lang w:val="en-US"/>
        </w:rPr>
        <w:lastRenderedPageBreak/>
        <w:t xml:space="preserve">yellow perch </w:t>
      </w:r>
      <w:r w:rsidR="00B17A35" w:rsidRPr="003F070C">
        <w:rPr>
          <w:rFonts w:cstheme="minorHAnsi"/>
          <w:i/>
          <w:lang w:val="en-US"/>
        </w:rPr>
        <w:t>(</w:t>
      </w:r>
      <w:proofErr w:type="spellStart"/>
      <w:r w:rsidR="00B17A35" w:rsidRPr="003F070C">
        <w:rPr>
          <w:rFonts w:cstheme="minorHAnsi"/>
          <w:i/>
          <w:lang w:val="en-US"/>
        </w:rPr>
        <w:t>Perca</w:t>
      </w:r>
      <w:proofErr w:type="spellEnd"/>
      <w:r w:rsidR="00B17A35" w:rsidRPr="003F070C">
        <w:rPr>
          <w:rFonts w:cstheme="minorHAnsi"/>
          <w:i/>
          <w:lang w:val="en-US"/>
        </w:rPr>
        <w:t xml:space="preserve"> </w:t>
      </w:r>
      <w:proofErr w:type="spellStart"/>
      <w:r w:rsidR="00B17A35" w:rsidRPr="003F070C">
        <w:rPr>
          <w:rFonts w:cstheme="minorHAnsi"/>
          <w:i/>
          <w:lang w:val="en-US"/>
        </w:rPr>
        <w:t>flavescens</w:t>
      </w:r>
      <w:proofErr w:type="spellEnd"/>
      <w:r w:rsidR="00B17A35" w:rsidRPr="003F070C">
        <w:rPr>
          <w:rFonts w:cstheme="minorHAnsi"/>
          <w:lang w:val="en-US"/>
        </w:rPr>
        <w:t>)</w:t>
      </w:r>
      <w:r w:rsidR="00856D40">
        <w:rPr>
          <w:rFonts w:cstheme="minorHAnsi"/>
          <w:lang w:val="en-US"/>
        </w:rPr>
        <w:t>,</w:t>
      </w:r>
      <w:r w:rsidR="00EA040E">
        <w:rPr>
          <w:rFonts w:cstheme="minorHAnsi"/>
          <w:lang w:val="en-US"/>
        </w:rPr>
        <w:t xml:space="preserve"> and starry </w:t>
      </w:r>
      <w:r w:rsidR="00856D40">
        <w:rPr>
          <w:rFonts w:cstheme="minorHAnsi"/>
          <w:lang w:val="en-US"/>
        </w:rPr>
        <w:t>flounder</w:t>
      </w:r>
      <w:r w:rsidR="00EA040E">
        <w:rPr>
          <w:rFonts w:cstheme="minorHAnsi"/>
          <w:lang w:val="en-US"/>
        </w:rPr>
        <w:t xml:space="preserve"> (</w:t>
      </w:r>
      <w:proofErr w:type="spellStart"/>
      <w:r w:rsidR="00EA040E" w:rsidRPr="00DA5495">
        <w:rPr>
          <w:rFonts w:cstheme="minorHAnsi"/>
          <w:i/>
          <w:lang w:val="en-US"/>
        </w:rPr>
        <w:t>Platichthys</w:t>
      </w:r>
      <w:proofErr w:type="spellEnd"/>
      <w:r w:rsidR="00EA040E" w:rsidRPr="00DA5495">
        <w:rPr>
          <w:rFonts w:cstheme="minorHAnsi"/>
          <w:i/>
          <w:lang w:val="en-US"/>
        </w:rPr>
        <w:t xml:space="preserve"> </w:t>
      </w:r>
      <w:proofErr w:type="spellStart"/>
      <w:r w:rsidR="00EA040E" w:rsidRPr="00DA5495">
        <w:rPr>
          <w:rFonts w:cstheme="minorHAnsi"/>
          <w:i/>
          <w:lang w:val="en-US"/>
        </w:rPr>
        <w:t>stellatus</w:t>
      </w:r>
      <w:proofErr w:type="spellEnd"/>
      <w:r w:rsidR="00EA040E">
        <w:rPr>
          <w:rFonts w:cstheme="minorHAnsi"/>
          <w:lang w:val="en-US"/>
        </w:rPr>
        <w:t>)</w:t>
      </w:r>
      <w:r w:rsidR="00B17A35">
        <w:rPr>
          <w:rFonts w:cstheme="minorHAnsi"/>
          <w:lang w:val="en-US"/>
        </w:rPr>
        <w:t xml:space="preserve">, but not </w:t>
      </w:r>
      <w:r w:rsidR="00B17A35" w:rsidRPr="00B17A35">
        <w:rPr>
          <w:rFonts w:cstheme="minorHAnsi"/>
          <w:lang w:val="en-US"/>
        </w:rPr>
        <w:t xml:space="preserve">brook </w:t>
      </w:r>
      <w:r w:rsidR="000A4E60">
        <w:rPr>
          <w:rFonts w:cstheme="minorHAnsi"/>
          <w:lang w:val="en-US"/>
        </w:rPr>
        <w:t>trout</w:t>
      </w:r>
      <w:r w:rsidR="00B17A35" w:rsidRPr="00B17A35">
        <w:rPr>
          <w:rFonts w:cstheme="minorHAnsi"/>
          <w:lang w:val="en-US"/>
        </w:rPr>
        <w:t xml:space="preserve"> </w:t>
      </w:r>
      <w:r w:rsidR="00275E8A" w:rsidRPr="00275E8A">
        <w:rPr>
          <w:rFonts w:cstheme="minorHAnsi"/>
          <w:i/>
          <w:lang w:val="en-US"/>
        </w:rPr>
        <w:t>(Salvelinus</w:t>
      </w:r>
      <w:r w:rsidR="00275E8A">
        <w:rPr>
          <w:rFonts w:cstheme="minorHAnsi"/>
          <w:i/>
          <w:lang w:val="en-US"/>
        </w:rPr>
        <w:t xml:space="preserve"> f</w:t>
      </w:r>
      <w:r w:rsidR="00275E8A" w:rsidRPr="00275E8A">
        <w:rPr>
          <w:rFonts w:cstheme="minorHAnsi"/>
          <w:i/>
          <w:lang w:val="en-US"/>
        </w:rPr>
        <w:t>ontinalis</w:t>
      </w:r>
      <w:r w:rsidR="00E43ADF">
        <w:rPr>
          <w:rFonts w:cstheme="minorHAnsi"/>
          <w:i/>
          <w:lang w:val="en-US"/>
        </w:rPr>
        <w:t>)</w:t>
      </w:r>
      <w:r w:rsidR="00AF0B25">
        <w:rPr>
          <w:rFonts w:cstheme="minorHAnsi"/>
          <w:lang w:val="en-US"/>
        </w:rPr>
        <w:t xml:space="preserve"> </w:t>
      </w:r>
      <w:r w:rsidR="00B17A35">
        <w:rPr>
          <w:rFonts w:cstheme="minorHAnsi"/>
          <w:lang w:val="en-US"/>
        </w:rPr>
        <w:fldChar w:fldCharType="begin" w:fldLock="1"/>
      </w:r>
      <w:r w:rsidR="000B6581">
        <w:rPr>
          <w:rFonts w:cstheme="minorHAnsi"/>
          <w:lang w:val="en-US"/>
        </w:rPr>
        <w:instrText>ADDIN CSL_CITATION {"citationItems":[{"id":"ITEM-1","itemData":{"DOI":"10.1242/jeb.203.2.347","ISSN":"1477-9145","PMID":"10607544","abstract":"Individual Atlantic cod (Gadus morhua) were exercised using three different measures of swimming performance. (1) An endurance test (critical swimming speed, U(crit), protocol) designed to assess predominantly aerobic endurance swimming (duration hours). (2) An acceleration test (U(burst)), in which the fish were required to swim against a rapidly increasing current until exhausted (duration minutes). This test was designed to assess predominantly glycolytic-based swimming capacity. (3) A sprint test that examined the animals' ability to swim away from a sudden stimulus (duration seconds). Rates of oxygen consumption (mdot (O2)) during the endurance test and various morphological variables of the individual fish were also measured. Both aerobic and anaerobic swimming performance of individual cod were found to be significantly repeatable over a 3 month period. mdot (O2) during the U(crit) protocol was also significantly repeatable at intermediate to high swimming speeds, but not at low speeds. Our results support extrapolation from metabolic rates at incremented swimming speeds to zero activity as the best way to measure standard metabolic rate in cod. While performance in the U(crit) test and the sprint test were positively correlated, there was a negative correlation between performance in the U(crit) test and performance in the U(burst) test. This implies a potential trade-off in individual cod between stamina and the ability to use glycolytic-based locomotion. Inter-individual variation in swimming performance during these protocols, while substantial, was not correlated with individual variation in fin surface areas, age or morphology. However, U(burst) performance was dependent upon the sex of the animals, while performance during the U(crit) protocol was significantly correlated with their aerobic scope for activity.","author":[{"dropping-particle":"","family":"Reidy","given":"S.P.","non-dropping-particle":"","parse-names":false,"suffix":""},{"dropping-particle":"","family":"Kerr","given":"S.R.","non-dropping-particle":"","parse-names":false,"suffix":""},{"dropping-particle":"","family":"Nelson","given":"J.A.","non-dropping-particle":"","parse-names":false,"suffix":""}],"container-title":"Journal of Experimental Biology","id":"ITEM-1","issue":"2","issued":{"date-parts":[["2000","1","15"]]},"page":"347-357","title":"Aerobic and anaerobic swimming performance of individual Atlantic cod","type":"article-journal","volume":"203"},"uris":["http://www.mendeley.com/documents/?uuid=20499567-9e8d-4a11-9176-b48cbba336d1"]},{"id":"ITEM-2","itemData":{"DOI":"10.1242/jeb.205.7.1031","ISSN":"1477-9145","abstract":"The objective of this study was to examine if individual variation in morphological characters is related to swimming costs in wild and domestic brook charr, and in wild yellow perch. Our results indicate that absolute swimming cost was higher in wild and domestic brook charr individuals having a stout body shape, and these individuals are therefore less efficient swimmers. These results are consistent with field observations that described relationships between individual variation in morphology and habitat use in salmonids. Further analyses indicated that standard metabolic rates were higher in individuals having a stout body shape, and that net swimming cost was not related to body shape. Accordingly, the higher swimming cost of stout individuals is probably an indirect consequence of an increase in standard metabolic rate. In wild yellow perch, absolute and net swimming costs were higher in individuals having a stout body shape and a low aspect caudal fin,and standard metabolic rate was not related to body shape. Therefore, in contrast to brook charr, individual variation in the swimming cost of yellow perch appears to be related to morphological characters that affect drag and thrust forces, which is consistent with previously published inter-specific observations.","author":[{"dropping-particle":"","family":"Boily","given":"Patrice","non-dropping-particle":"","parse-names":false,"suffix":""},{"dropping-particle":"","family":"Magnan","given":"Pierre","non-dropping-particle":"","parse-names":false,"suffix":""}],"container-title":"Journal of Experimental Biology","id":"ITEM-2","issue":"7","issued":{"date-parts":[["2002","4","1"]]},"note":"perch in swim tunnels and it worked\nperch were collected from the littoral zone","page":"1031-1036","title":"Relationship between individual variation in morphological characters and swimming costs in brook charr (&lt;i&gt;Salvelinus fontinalis&lt;/i&gt;) and yellow perch (&lt;i&gt;Perca flavescens&lt;/i&gt;)","type":"article-journal","volume":"205"},"uris":["http://www.mendeley.com/documents/?uuid=5aad9b20-24df-4040-99de-c81eb58a4258"]},{"id":"ITEM-3","itemData":{"DOI":"10.1111/j.1365-2435.2009.01636.x","author":[{"dropping-particle":"","family":"Rouleau","given":"Sébastien","non-dropping-particle":"","parse-names":false,"suffix":""},{"dropping-particle":"","family":"Glémet","given":"Hélène","non-dropping-particle":"","parse-names":false,"suffix":""},{"dropping-particle":"","family":"Magnan","given":"Pierre","non-dropping-particle":"","parse-names":false,"suffix":""}],"container-title":"Functional Ecology","id":"ITEM-3","issued":{"date-parts":[["2010"]]},"note":"littoral brook trout had lower SMR","page":"310-321","title":"Effects of morphology on swimming performance in wild and laboratory crosses of brook trout ecotypes","type":"article-journal","volume":"24"},"uris":["http://www.mendeley.com/documents/?uuid=6c5d5597-1b92-4bff-8885-b5b556f25b35"]},{"id":"ITEM-4","itemData":{"DOI":"10.1002/ece3.5080","ISSN":"20457758","abstract":"Phenotypic polymorphisms often differ in multiple correlated traits including morphology, behavior, and physiology, all of which can affect performance. How selection acts on these suites of traits can be complex and difficult to discern. Starry flounder (Platichthys stellatus) is a pleuronectid flatfish that exhibits rare polymorphism for the direction of eye migration and resulting whole-body asymmetry. P. stellatus asymmetry morphs differ subtly in several anatomical traits, foraging behavior, and stable isotope signatures, suggesting they may be ecologically segregated, yet performance and metabolic differences are unknown. Here we tested the hypothesis that sinistral and dextral P. stellatus asymmetry morphs diverge in performance and routine metabolic rate (RMR) by comparing prolonged swimming endurance (time to exhaustion at a constant swimming speed), fast-start swimming velocity and acceleration, and rate of oxygen consumption. Based on subtle morphological differences in caudal tail size, we expected sinistral P. stellatus to have superior prolonged swimming endurance relative to dextral fish, but inferior fast-start performance. Sinistral P. stellatus exhibited both significantly greater prolonged swimming performance and fast-start swimming performance. However, sinistral P. stellatus also exhibited greater RMR, suggesting that their general swimming performance could be enhanced by an elevated metabolic rate. Divergence between P. stellatus asymmetry morphs in swimming performance and metabolic rates contributes to growing evidence of ecological segregation between them, as well as our understanding of possible ecological consequences of asymmetry direction in flatfishes. These data provide an example of the complexity of polymorphisms associated with multiple correlated traits in a rare case of asymmetry polymorphism in a marine flatfish species.","author":[{"dropping-particle":"","family":"Bergstrom","given":"Carolyn A.","non-dropping-particle":"","parse-names":false,"suffix":""},{"dropping-particle":"","family":"Alba","given":"Jo Marie","non-dropping-particle":"","parse-names":false,"suffix":""},{"dropping-particle":"","family":"Pacheco","given":"Julienne","non-dropping-particle":"","parse-names":false,"suffix":""},{"dropping-particle":"","family":"Fritz","given":"Trevor","non-dropping-particle":"","parse-names":false,"suffix":""},{"dropping-particle":"","family":"Tamone","given":"Sherry L.","non-dropping-particle":"","parse-names":false,"suffix":""}],"container-title":"Ecology and Evolution","id":"ITEM-4","issue":"8","issued":{"date-parts":[["2019"]]},"page":"4772-4782","title":"Polymorphism and multiple correlated characters: Do flatfish asymmetry morphs also differ in swimming performance and metabolic rate?","type":"article-journal","volume":"9"},"uris":["http://www.mendeley.com/documents/?uuid=2fe298cd-5292-4741-a41b-84102feb40bd"]}],"mendeley":{"formattedCitation":"(Reidy et al., 2000; Boily and Magnan, 2002; Rouleau et al., 2010; Bergstrom et al., 2019)","plainTextFormattedCitation":"(Reidy et al., 2000; Boily and Magnan, 2002; Rouleau et al., 2010; Bergstrom et al., 2019)","previouslyFormattedCitation":"(Reidy et al., 2000; Boily and Magnan, 2002; Rouleau et al., 2010; Bergstrom et al., 2019)"},"properties":{"noteIndex":0},"schema":"https://github.com/citation-style-language/schema/raw/master/csl-citation.json"}</w:instrText>
      </w:r>
      <w:r w:rsidR="00B17A35">
        <w:rPr>
          <w:rFonts w:cstheme="minorHAnsi"/>
          <w:lang w:val="en-US"/>
        </w:rPr>
        <w:fldChar w:fldCharType="separate"/>
      </w:r>
      <w:r w:rsidR="00C8169C" w:rsidRPr="00C8169C">
        <w:rPr>
          <w:rFonts w:cstheme="minorHAnsi"/>
          <w:noProof/>
          <w:lang w:val="en-US"/>
        </w:rPr>
        <w:t>(Reidy et al., 2000; Boily and Magnan, 2002; Rouleau et al., 2010; Bergstrom et al., 2019)</w:t>
      </w:r>
      <w:r w:rsidR="00B17A35">
        <w:rPr>
          <w:rFonts w:cstheme="minorHAnsi"/>
          <w:lang w:val="en-US"/>
        </w:rPr>
        <w:fldChar w:fldCharType="end"/>
      </w:r>
      <w:r w:rsidR="00DF17D9">
        <w:rPr>
          <w:rFonts w:cstheme="minorHAnsi"/>
          <w:lang w:val="en-US"/>
        </w:rPr>
        <w:t xml:space="preserve">. This pattern may indicate that differences in ecological lifestyle, such as locomotor performance, </w:t>
      </w:r>
      <w:r w:rsidR="00856D40">
        <w:rPr>
          <w:rFonts w:cstheme="minorHAnsi"/>
          <w:lang w:val="en-US"/>
        </w:rPr>
        <w:t>associated</w:t>
      </w:r>
      <w:r w:rsidR="00DF17D9">
        <w:rPr>
          <w:rFonts w:cstheme="minorHAnsi"/>
          <w:lang w:val="en-US"/>
        </w:rPr>
        <w:t xml:space="preserve"> with </w:t>
      </w:r>
      <w:r w:rsidR="00D1241F">
        <w:rPr>
          <w:rFonts w:cstheme="minorHAnsi"/>
          <w:lang w:val="en-US"/>
        </w:rPr>
        <w:t xml:space="preserve">the </w:t>
      </w:r>
      <w:r w:rsidR="00DF17D9">
        <w:rPr>
          <w:rFonts w:cstheme="minorHAnsi"/>
          <w:lang w:val="en-US"/>
        </w:rPr>
        <w:t>comparatively high metabolic rates in salmonids also affect the relationship between morphology and metabolism</w:t>
      </w:r>
      <w:r w:rsidR="00D1241F">
        <w:rPr>
          <w:rFonts w:cstheme="minorHAnsi"/>
          <w:lang w:val="en-US"/>
        </w:rPr>
        <w:t xml:space="preserve"> </w:t>
      </w:r>
      <w:r w:rsidR="00D1241F">
        <w:rPr>
          <w:rFonts w:cstheme="minorHAnsi"/>
          <w:lang w:val="en-US"/>
        </w:rPr>
        <w:fldChar w:fldCharType="begin" w:fldLock="1"/>
      </w:r>
      <w:r w:rsidR="00FF7FAC">
        <w:rPr>
          <w:rFonts w:cstheme="minorHAnsi"/>
          <w:lang w:val="en-US"/>
        </w:rPr>
        <w:instrText>ADDIN CSL_CITATION {"citationItems":[{"id":"ITEM-1","itemData":{"DOI":"10.1086/685893","ISSN":"0003-0147","abstract":"AbstractRates of aerobic metabolism vary considerably across evolutionary lineages, but little is known about the proximate and ultimate factors that generate and maintain this variability. Using data for 131 teleost fish species, we performed a large-scale phylogenetic comparative analysis of how interspecific variation in resting metabolic rates (RMRs) and maximum metabolic rates (MMRs) is related to several ecological and morphological variables. Mass- and temperature-adjusted RMR and MMR are highly correlated along a continuum spanning a 30- to 40-fold range. Phylogenetic generalized least squares models suggest that RMR and MMR are higher in pelagic species and that species with higher trophic levels exhibit elevated MMR. This variation is mirrored at various levels of structural organization: gill surface area, muscle protein content, and caudal fin aspect ratio (a proxy for activity) are positively related with aerobic capacity. Muscle protein content and caudal fin aspect ratio are also positively...","author":[{"dropping-particle":"","family":"Killen","given":"Shaun S.","non-dropping-particle":"","parse-names":false,"suffix":""},{"dropping-particle":"","family":"Glazier","given":"Douglas S.","non-dropping-particle":"","parse-names":false,"suffix":""},{"dropping-particle":"","family":"Rezende","given":"Enrico L.","non-dropping-particle":"","parse-names":false,"suffix":""},{"dropping-particle":"","family":"Clark","given":"Timothy D.","non-dropping-particle":"","parse-names":false,"suffix":""},{"dropping-particle":"","family":"Atkinson","given":"David","non-dropping-particle":"","parse-names":false,"suffix":""},{"dropping-particle":"","family":"Willener","given":"Astrid S. T.","non-dropping-particle":"","parse-names":false,"suffix":""},{"dropping-particle":"","family":"Halsey","given":"Lewis G.","non-dropping-particle":"","parse-names":false,"suffix":""}],"container-title":"The American Naturalist","id":"ITEM-1","issue":"5","issued":{"date-parts":[["2016","5"]]},"page":"592-606","title":"Ecological influences and morphological correlates of resting and maximal metabolic rates across teleost fish species","type":"article-journal","volume":"187"},"uris":["http://www.mendeley.com/documents/?uuid=f385c97c-7845-4058-b7ea-3c560415efa6"]}],"mendeley":{"formattedCitation":"(Killen et al., 2016)","plainTextFormattedCitation":"(Killen et al., 2016)","previouslyFormattedCitation":"(Killen et al., 2016)"},"properties":{"noteIndex":0},"schema":"https://github.com/citation-style-language/schema/raw/master/csl-citation.json"}</w:instrText>
      </w:r>
      <w:r w:rsidR="00D1241F">
        <w:rPr>
          <w:rFonts w:cstheme="minorHAnsi"/>
          <w:lang w:val="en-US"/>
        </w:rPr>
        <w:fldChar w:fldCharType="separate"/>
      </w:r>
      <w:r w:rsidR="00D1241F" w:rsidRPr="00D1241F">
        <w:rPr>
          <w:rFonts w:cstheme="minorHAnsi"/>
          <w:noProof/>
          <w:lang w:val="en-US"/>
        </w:rPr>
        <w:t>(Killen et al., 2016)</w:t>
      </w:r>
      <w:r w:rsidR="00D1241F">
        <w:rPr>
          <w:rFonts w:cstheme="minorHAnsi"/>
          <w:lang w:val="en-US"/>
        </w:rPr>
        <w:fldChar w:fldCharType="end"/>
      </w:r>
      <w:r w:rsidR="00D1241F">
        <w:rPr>
          <w:rFonts w:cstheme="minorHAnsi"/>
          <w:lang w:val="en-US"/>
        </w:rPr>
        <w:t xml:space="preserve">. </w:t>
      </w:r>
    </w:p>
    <w:p w14:paraId="00ADB3D0" w14:textId="571F6B05" w:rsidR="00077270" w:rsidRPr="003F070C" w:rsidRDefault="003E211B" w:rsidP="007F1711">
      <w:pPr>
        <w:spacing w:line="480" w:lineRule="auto"/>
        <w:jc w:val="both"/>
        <w:rPr>
          <w:rFonts w:cstheme="minorHAnsi"/>
          <w:lang w:val="en-US"/>
        </w:rPr>
      </w:pPr>
      <w:r>
        <w:rPr>
          <w:rFonts w:cstheme="minorHAnsi"/>
          <w:lang w:val="en-US"/>
        </w:rPr>
        <w:t xml:space="preserve">Our analysis </w:t>
      </w:r>
      <w:r w:rsidR="00077270">
        <w:rPr>
          <w:rFonts w:cstheme="minorHAnsi"/>
          <w:lang w:val="en-US"/>
        </w:rPr>
        <w:t xml:space="preserve">of the combined </w:t>
      </w:r>
      <w:proofErr w:type="spellStart"/>
      <w:r w:rsidR="00AB63AF">
        <w:rPr>
          <w:rFonts w:cstheme="minorHAnsi"/>
          <w:lang w:val="en-US"/>
        </w:rPr>
        <w:t>habitat+resource</w:t>
      </w:r>
      <w:proofErr w:type="spellEnd"/>
      <w:r w:rsidR="00AB63AF">
        <w:rPr>
          <w:rFonts w:cstheme="minorHAnsi"/>
          <w:lang w:val="en-US"/>
        </w:rPr>
        <w:t xml:space="preserve"> use</w:t>
      </w:r>
      <w:r w:rsidR="00077270">
        <w:rPr>
          <w:rFonts w:cstheme="minorHAnsi"/>
          <w:lang w:val="en-US"/>
        </w:rPr>
        <w:t xml:space="preserve"> condition </w:t>
      </w:r>
      <w:r>
        <w:rPr>
          <w:rFonts w:cstheme="minorHAnsi"/>
          <w:lang w:val="en-US"/>
        </w:rPr>
        <w:t xml:space="preserve">showed </w:t>
      </w:r>
      <w:r w:rsidR="0005311B" w:rsidRPr="003F070C">
        <w:rPr>
          <w:rFonts w:cstheme="minorHAnsi"/>
          <w:lang w:val="en-US"/>
        </w:rPr>
        <w:t>differences in SMR between the pelagic</w:t>
      </w:r>
      <w:r w:rsidR="00D7238A">
        <w:rPr>
          <w:rFonts w:cstheme="minorHAnsi"/>
          <w:lang w:val="en-US"/>
        </w:rPr>
        <w:t xml:space="preserve"> fish and the littoral fish from both high and low </w:t>
      </w:r>
      <w:r w:rsidR="00AB63AF">
        <w:rPr>
          <w:rFonts w:cstheme="minorHAnsi"/>
          <w:lang w:val="en-US"/>
        </w:rPr>
        <w:t>pelagic</w:t>
      </w:r>
      <w:r w:rsidR="00D7238A">
        <w:rPr>
          <w:rFonts w:cstheme="minorHAnsi"/>
          <w:lang w:val="en-US"/>
        </w:rPr>
        <w:t xml:space="preserve"> resource reliance groups, while there was no significant difference in SMR between the littoral groups</w:t>
      </w:r>
      <w:r w:rsidR="0005311B" w:rsidRPr="003F070C">
        <w:rPr>
          <w:rFonts w:cstheme="minorHAnsi"/>
          <w:lang w:val="en-US"/>
        </w:rPr>
        <w:t xml:space="preserve"> (Figure </w:t>
      </w:r>
      <w:r w:rsidR="00C44F0C">
        <w:rPr>
          <w:rFonts w:cstheme="minorHAnsi"/>
          <w:lang w:val="en-US"/>
        </w:rPr>
        <w:t>3</w:t>
      </w:r>
      <w:r w:rsidR="0005311B" w:rsidRPr="003F070C">
        <w:rPr>
          <w:rFonts w:cstheme="minorHAnsi"/>
          <w:lang w:val="en-US"/>
        </w:rPr>
        <w:t>B</w:t>
      </w:r>
      <w:r w:rsidR="00077270">
        <w:rPr>
          <w:rFonts w:cstheme="minorHAnsi"/>
          <w:lang w:val="en-US"/>
        </w:rPr>
        <w:t>). This</w:t>
      </w:r>
      <w:r w:rsidR="00E454EA">
        <w:rPr>
          <w:rFonts w:cstheme="minorHAnsi"/>
          <w:lang w:val="en-US"/>
        </w:rPr>
        <w:t xml:space="preserve"> pattern</w:t>
      </w:r>
      <w:r w:rsidR="00077270">
        <w:rPr>
          <w:rFonts w:cstheme="minorHAnsi"/>
          <w:lang w:val="en-US"/>
        </w:rPr>
        <w:t xml:space="preserve"> </w:t>
      </w:r>
      <w:r w:rsidR="00650FFC">
        <w:rPr>
          <w:rFonts w:cstheme="minorHAnsi"/>
          <w:lang w:val="en-US"/>
        </w:rPr>
        <w:t>suggests</w:t>
      </w:r>
      <w:r w:rsidR="00077270">
        <w:rPr>
          <w:rFonts w:cstheme="minorHAnsi"/>
          <w:lang w:val="en-US"/>
        </w:rPr>
        <w:t xml:space="preserve"> that the differences in SMR are</w:t>
      </w:r>
      <w:r w:rsidR="00762B92">
        <w:rPr>
          <w:rFonts w:cstheme="minorHAnsi"/>
          <w:lang w:val="en-US"/>
        </w:rPr>
        <w:t xml:space="preserve"> </w:t>
      </w:r>
      <w:r w:rsidR="00077270">
        <w:rPr>
          <w:rFonts w:cstheme="minorHAnsi"/>
          <w:lang w:val="en-US"/>
        </w:rPr>
        <w:t>not due to differences in foraging</w:t>
      </w:r>
      <w:r w:rsidR="00650FFC">
        <w:rPr>
          <w:rFonts w:cstheme="minorHAnsi"/>
          <w:lang w:val="en-US"/>
        </w:rPr>
        <w:t xml:space="preserve"> strategy</w:t>
      </w:r>
      <w:r w:rsidR="00077270">
        <w:rPr>
          <w:rFonts w:cstheme="minorHAnsi"/>
          <w:lang w:val="en-US"/>
        </w:rPr>
        <w:t xml:space="preserve"> since we would expect the </w:t>
      </w:r>
      <w:r w:rsidR="00077270" w:rsidRPr="003F070C">
        <w:rPr>
          <w:rFonts w:cstheme="minorHAnsi"/>
          <w:lang w:val="en-US"/>
        </w:rPr>
        <w:t>littoral</w:t>
      </w:r>
      <w:r w:rsidR="00762B92">
        <w:rPr>
          <w:rFonts w:cstheme="minorHAnsi"/>
          <w:lang w:val="en-US"/>
        </w:rPr>
        <w:t>-</w:t>
      </w:r>
      <w:r w:rsidR="005B37FD">
        <w:rPr>
          <w:rFonts w:cstheme="minorHAnsi"/>
          <w:lang w:val="en-US"/>
        </w:rPr>
        <w:t>high</w:t>
      </w:r>
      <w:r w:rsidR="00762B92">
        <w:rPr>
          <w:rFonts w:cstheme="minorHAnsi"/>
          <w:lang w:val="en-US"/>
        </w:rPr>
        <w:t xml:space="preserve"> fish, which feed on pelagic resources in the open water,</w:t>
      </w:r>
      <w:r w:rsidR="00077270">
        <w:rPr>
          <w:rFonts w:cstheme="minorHAnsi"/>
          <w:lang w:val="en-US"/>
        </w:rPr>
        <w:t xml:space="preserve"> to have </w:t>
      </w:r>
      <w:r w:rsidR="00077270" w:rsidRPr="003F070C">
        <w:rPr>
          <w:rFonts w:cstheme="minorHAnsi"/>
          <w:lang w:val="en-US"/>
        </w:rPr>
        <w:t>an intermediate SMR</w:t>
      </w:r>
      <w:r w:rsidR="00077270">
        <w:rPr>
          <w:rFonts w:cstheme="minorHAnsi"/>
          <w:lang w:val="en-US"/>
        </w:rPr>
        <w:t xml:space="preserve"> if that was the case</w:t>
      </w:r>
      <w:r w:rsidR="00077270" w:rsidRPr="003F070C">
        <w:rPr>
          <w:rFonts w:cstheme="minorHAnsi"/>
          <w:lang w:val="en-US"/>
        </w:rPr>
        <w:t xml:space="preserve"> (Figure </w:t>
      </w:r>
      <w:r w:rsidR="00E020B2">
        <w:rPr>
          <w:rFonts w:cstheme="minorHAnsi"/>
          <w:lang w:val="en-US"/>
        </w:rPr>
        <w:t>3</w:t>
      </w:r>
      <w:r w:rsidR="00077270" w:rsidRPr="003F070C">
        <w:rPr>
          <w:rFonts w:cstheme="minorHAnsi"/>
          <w:lang w:val="en-US"/>
        </w:rPr>
        <w:t>B).</w:t>
      </w:r>
      <w:r w:rsidR="00077270">
        <w:rPr>
          <w:rFonts w:cstheme="minorHAnsi"/>
          <w:lang w:val="en-US"/>
        </w:rPr>
        <w:t xml:space="preserve"> </w:t>
      </w:r>
      <w:r w:rsidR="0005311B" w:rsidRPr="003F070C">
        <w:rPr>
          <w:rFonts w:cstheme="minorHAnsi"/>
          <w:lang w:val="en-US"/>
        </w:rPr>
        <w:t xml:space="preserve">There </w:t>
      </w:r>
      <w:r w:rsidR="00077270">
        <w:rPr>
          <w:rFonts w:cstheme="minorHAnsi"/>
          <w:lang w:val="en-US"/>
        </w:rPr>
        <w:t>was</w:t>
      </w:r>
      <w:r w:rsidR="0005311B" w:rsidRPr="003F070C">
        <w:rPr>
          <w:rFonts w:cstheme="minorHAnsi"/>
          <w:lang w:val="en-US"/>
        </w:rPr>
        <w:t xml:space="preserve"> also no difference between the </w:t>
      </w:r>
      <w:r w:rsidR="005B37FD">
        <w:rPr>
          <w:rFonts w:cstheme="minorHAnsi"/>
          <w:lang w:val="en-US"/>
        </w:rPr>
        <w:t>resource use</w:t>
      </w:r>
      <w:r w:rsidR="0005311B" w:rsidRPr="003F070C">
        <w:rPr>
          <w:rFonts w:cstheme="minorHAnsi"/>
          <w:lang w:val="en-US"/>
        </w:rPr>
        <w:t xml:space="preserve"> groups (Figure </w:t>
      </w:r>
      <w:r w:rsidR="00E020B2">
        <w:rPr>
          <w:rFonts w:cstheme="minorHAnsi"/>
          <w:lang w:val="en-US"/>
        </w:rPr>
        <w:t>3</w:t>
      </w:r>
      <w:r w:rsidR="0005311B" w:rsidRPr="003F070C">
        <w:rPr>
          <w:rFonts w:cstheme="minorHAnsi"/>
          <w:lang w:val="en-US"/>
        </w:rPr>
        <w:t>C).</w:t>
      </w:r>
      <w:r w:rsidR="00057D7D">
        <w:rPr>
          <w:rFonts w:cstheme="minorHAnsi"/>
          <w:lang w:val="en-US"/>
        </w:rPr>
        <w:t xml:space="preserve"> </w:t>
      </w:r>
      <w:r w:rsidR="00856D40">
        <w:rPr>
          <w:rFonts w:cstheme="minorHAnsi"/>
          <w:lang w:val="en-US"/>
        </w:rPr>
        <w:t>High-quality</w:t>
      </w:r>
      <w:r w:rsidR="00057D7D">
        <w:rPr>
          <w:rFonts w:cstheme="minorHAnsi"/>
          <w:lang w:val="en-US"/>
        </w:rPr>
        <w:t xml:space="preserve"> fatty acids are found mostly in pelagic prey </w:t>
      </w:r>
      <w:r w:rsidR="00057D7D" w:rsidRPr="003F070C">
        <w:rPr>
          <w:rFonts w:cstheme="minorHAnsi"/>
          <w:lang w:val="en-US"/>
        </w:rPr>
        <w:fldChar w:fldCharType="begin" w:fldLock="1"/>
      </w:r>
      <w:r w:rsidR="000B6581">
        <w:rPr>
          <w:rFonts w:cstheme="minorHAnsi"/>
          <w:lang w:val="en-US"/>
        </w:rPr>
        <w:instrText>ADDIN CSL_CITATION {"citationItems":[{"id":"ITEM-1","itemData":{"DOI":"10.1002/ecs2.1387","author":[{"dropping-particle":"","family":"Scharnweber","given":"Kristin","non-dropping-particle":"","parse-names":false,"suffix":""},{"dropping-particle":"","family":"Strandberg","given":"Ursula","non-dropping-particle":"","parse-names":false,"suffix":""},{"dropping-particle":"","family":"Marklund","given":"Maria Helena Katarina","non-dropping-particle":"","parse-names":false,"suffix":""},{"dropping-particle":"","family":"Eklöv","given":"Peter","non-dropping-particle":"","parse-names":false,"suffix":""}],"container-title":"Ecosphere","id":"ITEM-1","issue":"8","issued":{"date-parts":[["2016"]]},"page":"1-20","title":"Combining resource use assessment techniques reveals trade ‐ offs in trophic specialization of polymorphic perch","type":"article-journal","volume":"7"},"uris":["http://www.mendeley.com/documents/?uuid=61ee4799-908e-4e09-b9da-1c8d17852c2a"]},{"id":"ITEM-2","itemData":{"DOI":"10.1371/journal.pone.0162470","ISBN":"1932-6203","ISSN":"1932-6203","abstract":"Due to altered biogeochemical processes related to climate change, highly colored dissolved organic carbon (DOC) from terrestrial sources will lead to a water “brownification” in many freshwater systems of the Northern Hemisphere. This will create deteriorated visual conditions that have been found to affect habitat-specific morphological variations in Eurasian perch (Perca fluviatilis) in a previous study. So far, potential drivers and ultimate causes of these findings have not been identified. We conducted a field study to investigate the connection between morphological divergence and polyunsaturated fatty acid (PUFA) composition of perch from six lakes across a gradient of DOC concentration. We expected a decrease in the prevalence of PUFAs, which are important for perch growth and divergence with increasing DOC concentrations, due to the restructuring effects of DOC on aquatic food webs. In general, rate of morphological divergence in perch decreased with increasing DOC concentrations. Proportions of specific PUFAs (22:6n-3, 18:3n-3, 20:5n-3, and 20:4n-6) identified to primarily contribute to overall differences between perch caught in clear and brown-water lakes tended to be connected to overall decline of morphological divergence. However, no overall significant relationship was found, indicating no severe limitation of essential fatty acids for perch inhabiting brown water lakes. We further broaden our approach by conducting a laboratory experiment on foraging efficiency of perch. Therefore, we induced pelagic and littoral phenotypes by differences in habitat-structure and feeding mode and recorded attack rate in a feeding experiment. Generally, fish were less efficient in foraging on littoral prey (Ephemeroptera) when visual conditions were degraded by brown water color. We concluded that browning water may have a strong effect on the forager’s ability to find particular food resources, resulting in the reduced development of evolutionary traits, such as habitat- specific morphological divergence.","author":[{"dropping-particle":"","family":"Scharnweber","given":"Kristin","non-dropping-particle":"","parse-names":false,"suffix":""},{"dropping-particle":"","family":"Strandberg","given":"Ursula","non-dropping-particle":"","parse-names":false,"suffix":""},{"dropping-particle":"","family":"Karlsson","given":"Konrad","non-dropping-particle":"","parse-names":false,"suffix":""},{"dropping-particle":"","family":"Eklöv","given":"Peter","non-dropping-particle":"","parse-names":false,"suffix":""}],"container-title":"PLOS ONE","editor":[{"dropping-particle":"","family":"Doi","given":"Hideyuki","non-dropping-particle":"","parse-names":false,"suffix":""}],"id":"ITEM-2","issue":"9","issued":{"date-parts":[["2016","9","9"]]},"language":"eng","note":"From Duplicate 1 (Decrease of population divergence in eurasian perch (Perca fluviatilis) in browning waters: Role of fatty acids and foraging efficiency - Scharnweber, Kristin; Strandberg, Ursula; Karlsson, Konrad; Eklöv, Peter)\n\nFrom Duplicate 1 (Decrease of Population Divergence in Eurasian Perch (Perca fluviatilis) in Browning Waters : Role of Fatty Acids and Foraging Efficiency - Scharnweber, Kristin; Strandberg, Ursula; Karlsson, Konrad; Eklöv, Peter)\n\n2018-09-04T10:38:45.183+02:00\n\nFrom Duplicate 2 (Decrease of population divergence in Eurasian perch (Perca fluviatilis) in browning waters : role of fatty acids and foraging efficiency - Scharnweber, Kristin; Strandberg, Ursula; Karlsson, Konrad; Eklöv, Peter)\n\n2018-01-10T15:26:02.499+01:00\n\nFrom Duplicate 2 (Decrease of population divergence in Eurasian perch (Perca fluviatilis) in browning waters : role of fatty acids and foraging efficiency - Scharnweber, Kristin; Strandberg, Ursula; Karlsson, Konrad; Eklöv, Peter)\n\n2018-01-10T15:26:02.499+01:00\n\nFrom Duplicate 4 (Decrease of Population Divergence in Eurasian Perch (Perca fluviatilis) in Browning Waters : Role of Fatty Acids and Foraging Efficiency - Scharnweber, Kristin; Strandberg, Ursula; Karlsson, Konrad; Eklöv, Peter)\n\n2018-09-04T10:38:45.183+02:00","page":"e0162470","publisher-place":"Department of Ecology, Environment and Plant Sciences, Faculty of Science, Stockholm University","title":"Decrease of population divergence in Eurasian perch (&lt;i&gt;Perca fluviatilis&lt;/i&gt;) in browning waters: role of fatty acids and foraging efficiency","type":"article-journal","volume":"11"},"uris":["http://www.mendeley.com/documents/?uuid=56ca6298-e8bd-49e5-9b0c-7dca754b8302"]}],"mendeley":{"formattedCitation":"(Scharnweber et al., 2016b, 2016a)","plainTextFormattedCitation":"(Scharnweber et al., 2016b, 2016a)","previouslyFormattedCitation":"(Scharnweber et al., 2016b, 2016a)"},"properties":{"noteIndex":0},"schema":"https://github.com/citation-style-language/schema/raw/master/csl-citation.json"}</w:instrText>
      </w:r>
      <w:r w:rsidR="00057D7D" w:rsidRPr="003F070C">
        <w:rPr>
          <w:rFonts w:cstheme="minorHAnsi"/>
          <w:lang w:val="en-US"/>
        </w:rPr>
        <w:fldChar w:fldCharType="separate"/>
      </w:r>
      <w:r w:rsidR="00C8169C" w:rsidRPr="00C8169C">
        <w:rPr>
          <w:rFonts w:cstheme="minorHAnsi"/>
          <w:noProof/>
          <w:lang w:val="en-US"/>
        </w:rPr>
        <w:t>(Scharnweber et al., 2016b, 2016a)</w:t>
      </w:r>
      <w:r w:rsidR="00057D7D" w:rsidRPr="003F070C">
        <w:rPr>
          <w:rFonts w:cstheme="minorHAnsi"/>
          <w:lang w:val="en-US"/>
        </w:rPr>
        <w:fldChar w:fldCharType="end"/>
      </w:r>
      <w:r w:rsidR="00057D7D">
        <w:rPr>
          <w:rFonts w:cstheme="minorHAnsi"/>
          <w:lang w:val="en-US"/>
        </w:rPr>
        <w:t xml:space="preserve"> and had our system responded in accordance with the food-habits hypothesis, which predicts lower metabolic rates in response to low food quality </w:t>
      </w:r>
      <w:r w:rsidR="00D62F05">
        <w:rPr>
          <w:rFonts w:cstheme="minorHAnsi"/>
          <w:lang w:val="en-US"/>
        </w:rPr>
        <w:fldChar w:fldCharType="begin" w:fldLock="1"/>
      </w:r>
      <w:r w:rsidR="000B6581">
        <w:rPr>
          <w:rFonts w:cstheme="minorHAnsi"/>
          <w:lang w:val="en-US"/>
        </w:rPr>
        <w:instrText>ADDIN CSL_CITATION {"citationItems":[{"id":"ITEM-1","itemData":{"DOI":"10.1086/425187","ISSN":"1522-2152","PMID":"15674763","abstract":"In this article, we review intraspecific studies of basal metabolic rate (BMR) that address the correlation between diet quality and BMR. The \"food-habit hypothesis\" stands as one of the most striking and often-mentioned interspecific patterns to emerge from studies of endothermic energetics. Our main emphasis is the explicit empirical comparison of predictions derived from interspecific studies with data gathered from within-species studies in order to explore the mechanisms and functional significance of the putative adaptive responses encapsulated by the food-habit hypothesis. We suggest that, in addition to concentrating on the relationship among diet quality, internal morphology, and BMR, new studies should also attempt to unravel alternative mechanisms that shape the interaction between diet and BMR, such as enzymatic plasticity, and the use of energy-saving mechanisms, such as torpor. Another avenue for future study is the measurement of the effects of diet quality on other components of the energy budget, such as maximum thermogenic and sustainable metabolic rates. It is possible that the effects of diet quality operate on such components rather than directly on BMR, which might then push or pull along changes in these traits. Results from intraspecific studies suggest that the factors responsible for the association between diet and BMR at an ecological timescale might not be the same as those that promoted the evolution of this correlation. Further analyses should consider how much of a role the proximate and ultimate processes have played in the evolution of BMR.","author":[{"dropping-particle":"","family":"Cruz‐Neto","given":"Ariovaldo P.","non-dropping-particle":"","parse-names":false,"suffix":""},{"dropping-particle":"","family":"Bozinovic","given":"Francisco","non-dropping-particle":"","parse-names":false,"suffix":""}],"container-title":"Physiological and Biochemical Zoology","id":"ITEM-1","issue":"6","issued":{"date-parts":[["2004","11"]]},"page":"877-889","title":"The relationship between diet quality and basal metabolic rate in endotherms: insights from intraspecific analysis","type":"article-journal","volume":"77"},"uris":["http://www.mendeley.com/documents/?uuid=e69b3edd-aa52-4b59-bdc0-00268eb0c2ac"]},{"id":"ITEM-2","itemData":{"ISBN":"9788578110796","ISSN":"1098-6596","PMID":"25246403","abstract":"Predicting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approach.","author":[{"dropping-particle":"","family":"Kim","given":"Lesley Yu-Jung","non-dropping-particle":"","parse-names":false,"suffix":""}],"container-title":"Wright State University","id":"ITEM-2","issued":{"date-parts":[["2014"]]},"number-of-pages":"1-72","title":"Effect of increased temperature and decreased food quality on metabolism and growth of an algivorous cichlid, &lt;i&gt;Tropheus duboisi&lt;/i&gt; and effect of food habit on the field metabolism of African Cichlids","type":"thesis"},"uris":["http://www.mendeley.com/documents/?uuid=33a54305-a138-46a7-9c27-e29b11c988f9"]}],"mendeley":{"formattedCitation":"(Cruz‐Neto and Bozinovic, 2004; Kim, 2014)","plainTextFormattedCitation":"(Cruz‐Neto and Bozinovic, 2004; Kim, 2014)","previouslyFormattedCitation":"(Cruz‐Neto and Bozinovic, 2004; Kim, 2014)"},"properties":{"noteIndex":0},"schema":"https://github.com/citation-style-language/schema/raw/master/csl-citation.json"}</w:instrText>
      </w:r>
      <w:r w:rsidR="00D62F05">
        <w:rPr>
          <w:rFonts w:cstheme="minorHAnsi"/>
          <w:lang w:val="en-US"/>
        </w:rPr>
        <w:fldChar w:fldCharType="separate"/>
      </w:r>
      <w:r w:rsidR="00C8169C" w:rsidRPr="00C8169C">
        <w:rPr>
          <w:rFonts w:cstheme="minorHAnsi"/>
          <w:noProof/>
          <w:lang w:val="en-US"/>
        </w:rPr>
        <w:t>(Cruz‐Neto and Bozinovic, 2004; Kim, 2014)</w:t>
      </w:r>
      <w:r w:rsidR="00D62F05">
        <w:rPr>
          <w:rFonts w:cstheme="minorHAnsi"/>
          <w:lang w:val="en-US"/>
        </w:rPr>
        <w:fldChar w:fldCharType="end"/>
      </w:r>
      <w:r w:rsidR="00D62F05">
        <w:rPr>
          <w:rFonts w:cstheme="minorHAnsi"/>
          <w:lang w:val="en-US"/>
        </w:rPr>
        <w:t>,</w:t>
      </w:r>
      <w:r w:rsidR="00057D7D">
        <w:rPr>
          <w:rFonts w:cstheme="minorHAnsi"/>
          <w:lang w:val="en-US"/>
        </w:rPr>
        <w:t xml:space="preserve"> </w:t>
      </w:r>
      <w:r w:rsidR="0005311B" w:rsidRPr="003F070C">
        <w:rPr>
          <w:rFonts w:cstheme="minorHAnsi"/>
          <w:lang w:val="en-US"/>
        </w:rPr>
        <w:t xml:space="preserve">we would expect a step-wise decrease in metabolic rate with the highest metabolic rate in planktivorous </w:t>
      </w:r>
      <w:r w:rsidR="005B37FD">
        <w:rPr>
          <w:rFonts w:cstheme="minorHAnsi"/>
          <w:lang w:val="en-US"/>
        </w:rPr>
        <w:t>(</w:t>
      </w:r>
      <w:r w:rsidR="000C44A2">
        <w:rPr>
          <w:rFonts w:cstheme="minorHAnsi"/>
          <w:lang w:val="en-US"/>
        </w:rPr>
        <w:t xml:space="preserve">high pelagic </w:t>
      </w:r>
      <w:r w:rsidR="000C45B1">
        <w:rPr>
          <w:rFonts w:cstheme="minorHAnsi"/>
          <w:lang w:val="en-US"/>
        </w:rPr>
        <w:t>resource</w:t>
      </w:r>
      <w:r w:rsidR="000C44A2">
        <w:rPr>
          <w:rFonts w:cstheme="minorHAnsi"/>
          <w:lang w:val="en-US"/>
        </w:rPr>
        <w:t xml:space="preserve"> use</w:t>
      </w:r>
      <w:r w:rsidR="005B37FD">
        <w:rPr>
          <w:rFonts w:cstheme="minorHAnsi"/>
          <w:lang w:val="en-US"/>
        </w:rPr>
        <w:t xml:space="preserve">) </w:t>
      </w:r>
      <w:r w:rsidR="0005311B" w:rsidRPr="003F070C">
        <w:rPr>
          <w:rFonts w:cstheme="minorHAnsi"/>
          <w:lang w:val="en-US"/>
        </w:rPr>
        <w:t xml:space="preserve">fish and the lowest in </w:t>
      </w:r>
      <w:proofErr w:type="spellStart"/>
      <w:r w:rsidR="00340938" w:rsidRPr="00340938">
        <w:rPr>
          <w:rFonts w:cstheme="minorHAnsi"/>
          <w:lang w:val="en-US"/>
        </w:rPr>
        <w:t>benthivorous</w:t>
      </w:r>
      <w:proofErr w:type="spellEnd"/>
      <w:r w:rsidR="00650FFC" w:rsidRPr="003F070C">
        <w:rPr>
          <w:rFonts w:cstheme="minorHAnsi"/>
          <w:lang w:val="en-US"/>
        </w:rPr>
        <w:t xml:space="preserve"> </w:t>
      </w:r>
      <w:r w:rsidR="0005311B" w:rsidRPr="003F070C">
        <w:rPr>
          <w:rFonts w:cstheme="minorHAnsi"/>
          <w:lang w:val="en-US"/>
        </w:rPr>
        <w:t>fish</w:t>
      </w:r>
      <w:r w:rsidR="005B37FD">
        <w:rPr>
          <w:rFonts w:cstheme="minorHAnsi"/>
          <w:lang w:val="en-US"/>
        </w:rPr>
        <w:t xml:space="preserve"> (low</w:t>
      </w:r>
      <w:r w:rsidR="000C44A2">
        <w:rPr>
          <w:rFonts w:cstheme="minorHAnsi"/>
          <w:lang w:val="en-US"/>
        </w:rPr>
        <w:t xml:space="preserve"> pelagic resource use</w:t>
      </w:r>
      <w:r w:rsidR="005B37FD">
        <w:rPr>
          <w:rFonts w:cstheme="minorHAnsi"/>
          <w:lang w:val="en-US"/>
        </w:rPr>
        <w:t>)</w:t>
      </w:r>
      <w:r w:rsidR="0005311B" w:rsidRPr="003F070C">
        <w:rPr>
          <w:rFonts w:cstheme="minorHAnsi"/>
          <w:lang w:val="en-US"/>
        </w:rPr>
        <w:t>,</w:t>
      </w:r>
      <w:r w:rsidR="00077270">
        <w:rPr>
          <w:rFonts w:cstheme="minorHAnsi"/>
          <w:lang w:val="en-US"/>
        </w:rPr>
        <w:t xml:space="preserve"> but there was no such pattern </w:t>
      </w:r>
      <w:r w:rsidR="0005311B" w:rsidRPr="003F070C">
        <w:rPr>
          <w:rFonts w:cstheme="minorHAnsi"/>
          <w:lang w:val="en-US"/>
        </w:rPr>
        <w:t xml:space="preserve">(Figure </w:t>
      </w:r>
      <w:r w:rsidR="00E020B2">
        <w:rPr>
          <w:rFonts w:cstheme="minorHAnsi"/>
          <w:lang w:val="en-US"/>
        </w:rPr>
        <w:t>3</w:t>
      </w:r>
      <w:r w:rsidR="0005311B" w:rsidRPr="003F070C">
        <w:rPr>
          <w:rFonts w:cstheme="minorHAnsi"/>
          <w:lang w:val="en-US"/>
        </w:rPr>
        <w:t xml:space="preserve">C). </w:t>
      </w:r>
      <w:r w:rsidR="00DA5495">
        <w:rPr>
          <w:rFonts w:cstheme="minorHAnsi"/>
          <w:lang w:val="en-US"/>
        </w:rPr>
        <w:t>We did see a difference in SMR between male and female fish</w:t>
      </w:r>
      <w:r w:rsidR="00856D40">
        <w:rPr>
          <w:rFonts w:cstheme="minorHAnsi"/>
          <w:lang w:val="en-US"/>
        </w:rPr>
        <w:t>,</w:t>
      </w:r>
      <w:r w:rsidR="00DA5495">
        <w:rPr>
          <w:rFonts w:cstheme="minorHAnsi"/>
          <w:lang w:val="en-US"/>
        </w:rPr>
        <w:t xml:space="preserve"> and like other studies</w:t>
      </w:r>
      <w:r w:rsidR="00856D40">
        <w:rPr>
          <w:rFonts w:cstheme="minorHAnsi"/>
          <w:lang w:val="en-US"/>
        </w:rPr>
        <w:t>,</w:t>
      </w:r>
      <w:r w:rsidR="00DA5495">
        <w:rPr>
          <w:rFonts w:cstheme="minorHAnsi"/>
          <w:lang w:val="en-US"/>
        </w:rPr>
        <w:t xml:space="preserve"> male fish had </w:t>
      </w:r>
      <w:r w:rsidR="0015127F">
        <w:rPr>
          <w:rFonts w:cstheme="minorHAnsi"/>
          <w:lang w:val="en-US"/>
        </w:rPr>
        <w:t xml:space="preserve">a </w:t>
      </w:r>
      <w:r w:rsidR="00DA5495">
        <w:rPr>
          <w:rFonts w:cstheme="minorHAnsi"/>
          <w:lang w:val="en-US"/>
        </w:rPr>
        <w:t xml:space="preserve">higher </w:t>
      </w:r>
      <w:r w:rsidR="0015127F">
        <w:rPr>
          <w:rFonts w:cstheme="minorHAnsi"/>
          <w:lang w:val="en-US"/>
        </w:rPr>
        <w:t xml:space="preserve">average </w:t>
      </w:r>
      <w:r w:rsidR="00DA5495">
        <w:rPr>
          <w:rFonts w:cstheme="minorHAnsi"/>
          <w:lang w:val="en-US"/>
        </w:rPr>
        <w:t xml:space="preserve">SMR </w:t>
      </w:r>
      <w:r w:rsidR="00DA5495">
        <w:rPr>
          <w:rFonts w:cstheme="minorHAnsi"/>
          <w:lang w:val="en-US"/>
        </w:rPr>
        <w:fldChar w:fldCharType="begin" w:fldLock="1"/>
      </w:r>
      <w:r w:rsidR="002E4F95">
        <w:rPr>
          <w:rFonts w:cstheme="minorHAnsi"/>
          <w:lang w:val="en-US"/>
        </w:rPr>
        <w:instrText>ADDIN CSL_CITATION {"citationItems":[{"id":"ITEM-1","itemData":{"DOI":"10.1111/j.1467-2979.2011.00414.x","ISSN":"14672960","abstract":"Polychlorinated biphenyls (PCBs) accumulate in fish primarily via food intake, and therefore, PCBs serve as a chemical tracer for food consumption. Sex differences in PCB concentrations of fish have been attributed to the following three mechanisms: (i) females losing a substantial portion of their PCB body burden during spawning and consequently their PCB concentration is considerably reduced immediately after spawning; (ii) sex differences in habitat utilization leading to sex differences in the PCB concentrations of the prey; and (iii) sex differences in gross growth efficiency, which is defined as growth divided by the amount of food consumption needed to achieve that growth. Based on my analyses and synthesis, mechanisms (i) and (ii) operate in relatively few fish populations, but can lead to mature males having PCB concentrations two to three times higher than mature female PCB concentrations. In contrast, mechanism (iii) operates in all fish populations, but typically, mechanism (iii) results in relatively modest sex differences, with mature males only between 15 and 35% higher in PCB concentration than mature females. In summary, the study of sex differences in PCB concentrations of fish has led to insights into fish behaviour and fish physiology. © Published 2011. This article is a US Government work and is in the public domain in the USA.","author":[{"dropping-particle":"","family":"Madenjian","given":"Charles P.","non-dropping-particle":"","parse-names":false,"suffix":""}],"container-title":"Fish and Fisheries","id":"ITEM-1","issue":"4","issued":{"date-parts":[["2011"]]},"page":"451-460","title":"Sex effect on polychlorinated biphenyl concentrations in fish: A synthesis","type":"article-journal","volume":"12"},"uris":["http://www.mendeley.com/documents/?uuid=680394b1-bc46-4e9a-8ca6-06ddc7b8cec2"]}],"mendeley":{"formattedCitation":"(Madenjian, 2011)","plainTextFormattedCitation":"(Madenjian, 2011)","previouslyFormattedCitation":"(Madenjian, 2011)"},"properties":{"noteIndex":0},"schema":"https://github.com/citation-style-language/schema/raw/master/csl-citation.json"}</w:instrText>
      </w:r>
      <w:r w:rsidR="00DA5495">
        <w:rPr>
          <w:rFonts w:cstheme="minorHAnsi"/>
          <w:lang w:val="en-US"/>
        </w:rPr>
        <w:fldChar w:fldCharType="separate"/>
      </w:r>
      <w:r w:rsidR="00EF0DCC" w:rsidRPr="00EF0DCC">
        <w:rPr>
          <w:rFonts w:cstheme="minorHAnsi"/>
          <w:noProof/>
          <w:lang w:val="en-US"/>
        </w:rPr>
        <w:t>(Madenjian, 2011)</w:t>
      </w:r>
      <w:r w:rsidR="00DA5495">
        <w:rPr>
          <w:rFonts w:cstheme="minorHAnsi"/>
          <w:lang w:val="en-US"/>
        </w:rPr>
        <w:fldChar w:fldCharType="end"/>
      </w:r>
      <w:r w:rsidR="00DA5495">
        <w:rPr>
          <w:rFonts w:cstheme="minorHAnsi"/>
          <w:lang w:val="en-US"/>
        </w:rPr>
        <w:t>.</w:t>
      </w:r>
      <w:r w:rsidR="000C44A2">
        <w:rPr>
          <w:rFonts w:cstheme="minorHAnsi"/>
          <w:lang w:val="en-US"/>
        </w:rPr>
        <w:t xml:space="preserve"> </w:t>
      </w:r>
      <w:r w:rsidR="00D1241F">
        <w:rPr>
          <w:rFonts w:cstheme="minorHAnsi"/>
          <w:lang w:val="en-US"/>
        </w:rPr>
        <w:t xml:space="preserve">Males and females are subject to </w:t>
      </w:r>
      <w:r w:rsidR="00FF7FAC">
        <w:rPr>
          <w:rFonts w:cstheme="minorHAnsi"/>
          <w:lang w:val="en-US"/>
        </w:rPr>
        <w:t>different selection pressures</w:t>
      </w:r>
      <w:r w:rsidR="00856D40">
        <w:rPr>
          <w:rFonts w:cstheme="minorHAnsi"/>
          <w:lang w:val="en-US"/>
        </w:rPr>
        <w:t>,</w:t>
      </w:r>
      <w:r w:rsidR="00FF7FAC">
        <w:rPr>
          <w:rFonts w:cstheme="minorHAnsi"/>
          <w:lang w:val="en-US"/>
        </w:rPr>
        <w:t xml:space="preserve"> which may be the driver of the </w:t>
      </w:r>
      <w:r w:rsidR="00E32A4A">
        <w:rPr>
          <w:rFonts w:cstheme="minorHAnsi"/>
          <w:lang w:val="en-US"/>
        </w:rPr>
        <w:t xml:space="preserve">observed </w:t>
      </w:r>
      <w:r w:rsidR="00FF7FAC">
        <w:rPr>
          <w:rFonts w:cstheme="minorHAnsi"/>
          <w:lang w:val="en-US"/>
        </w:rPr>
        <w:t xml:space="preserve">difference in </w:t>
      </w:r>
      <w:r w:rsidR="000C45B1">
        <w:rPr>
          <w:rFonts w:cstheme="minorHAnsi"/>
          <w:lang w:val="en-US"/>
        </w:rPr>
        <w:t>SMR</w:t>
      </w:r>
      <w:r w:rsidR="00236CEB">
        <w:rPr>
          <w:rFonts w:cstheme="minorHAnsi"/>
          <w:lang w:val="en-US"/>
        </w:rPr>
        <w:t xml:space="preserve">. This difference in </w:t>
      </w:r>
      <w:r w:rsidR="000C45B1">
        <w:rPr>
          <w:rFonts w:cstheme="minorHAnsi"/>
          <w:lang w:val="en-US"/>
        </w:rPr>
        <w:t>metabolism</w:t>
      </w:r>
      <w:r w:rsidR="00236CEB">
        <w:rPr>
          <w:rFonts w:cstheme="minorHAnsi"/>
          <w:lang w:val="en-US"/>
        </w:rPr>
        <w:t xml:space="preserve"> is in turn linked with </w:t>
      </w:r>
      <w:r w:rsidR="00856D40">
        <w:rPr>
          <w:rFonts w:cstheme="minorHAnsi"/>
          <w:lang w:val="en-US"/>
        </w:rPr>
        <w:t>variation</w:t>
      </w:r>
      <w:r w:rsidR="00236CEB">
        <w:rPr>
          <w:rFonts w:cstheme="minorHAnsi"/>
          <w:lang w:val="en-US"/>
        </w:rPr>
        <w:t xml:space="preserve"> in </w:t>
      </w:r>
      <w:r w:rsidR="00856D40">
        <w:rPr>
          <w:rFonts w:cstheme="minorHAnsi"/>
          <w:lang w:val="en-US"/>
        </w:rPr>
        <w:t>life-history traits</w:t>
      </w:r>
      <w:r w:rsidR="0015127F">
        <w:rPr>
          <w:rFonts w:cstheme="minorHAnsi"/>
          <w:lang w:val="en-US"/>
        </w:rPr>
        <w:t xml:space="preserve"> </w:t>
      </w:r>
      <w:r w:rsidR="00FF7FAC">
        <w:rPr>
          <w:rFonts w:cstheme="minorHAnsi"/>
          <w:lang w:val="en-US"/>
        </w:rPr>
        <w:t>between males and females</w:t>
      </w:r>
      <w:r w:rsidR="00856D40">
        <w:rPr>
          <w:rFonts w:cstheme="minorHAnsi"/>
          <w:lang w:val="en-US"/>
        </w:rPr>
        <w:t>,</w:t>
      </w:r>
      <w:r w:rsidR="00236CEB">
        <w:rPr>
          <w:rFonts w:cstheme="minorHAnsi"/>
          <w:lang w:val="en-US"/>
        </w:rPr>
        <w:t xml:space="preserve"> such as </w:t>
      </w:r>
      <w:r w:rsidR="00A60CCD">
        <w:rPr>
          <w:rFonts w:cstheme="minorHAnsi"/>
          <w:lang w:val="en-US"/>
        </w:rPr>
        <w:t>earlier maturation in male fish</w:t>
      </w:r>
      <w:r w:rsidR="00FF7FAC">
        <w:rPr>
          <w:rFonts w:cstheme="minorHAnsi"/>
          <w:lang w:val="en-US"/>
        </w:rPr>
        <w:t xml:space="preserve">. </w:t>
      </w:r>
      <w:r w:rsidR="003A21AB">
        <w:rPr>
          <w:rFonts w:cstheme="minorHAnsi"/>
          <w:lang w:val="en-US"/>
        </w:rPr>
        <w:fldChar w:fldCharType="begin" w:fldLock="1"/>
      </w:r>
      <w:r w:rsidR="00715E6F">
        <w:rPr>
          <w:rFonts w:cstheme="minorHAnsi"/>
          <w:lang w:val="en-US"/>
        </w:rPr>
        <w:instrText>ADDIN CSL_CITATION {"citationItems":[{"id":"ITEM-1","itemData":{"DOI":"10.1007/s00442-020-04843-1","ISBN":"0123456789","ISSN":"0029-8549","abstract":"Phenotypic plasticity is common among animal taxa. While there are clearly limits and likely costs to plasticity, these costs are unknown for most organisms. Further, as plasticity is partially genetically determined, the potential magnitude of exhib- ited plasticity may vary among individuals. In addition to phenotypic plasticity, various animal taxa also display sexual size dimorphism, a feature ultimately thought to arise due to differential size-dependent fitness costs and benefits between sexes. We hypothesized that differential selection acting on males and females can indirectly select for unequal genetically defined plasticity potential between the sexes. We evaluate this possibility for Eurasian perch (Perca fluviatilis), a species that displays modest sexual size dimorphism and habitat-related morphological plasticity. Using 500-year simulations of an ecogenetic agent-based model, we demonstrate that genetically determined morphological plasticity potential may evolve differently for males and females, leading to greater realized morphological variation between habitats for one sex over the other. Genetically determined potential for plasticity evolved differently between sexes across (a) various sex-specific life-history differences and (b) a variety of assumed costs of plasticity acting on both growth and survival. Morphological analyses of Eurasian perch collected in situ were consistent with model predictions: realized morphological variation between habitats was greater for females than males. We suggest that due to sex-specific selective pressures, differences in male and female genetically defined potential for plasticity may be a common feature across organisms.","author":[{"dropping-particle":"","family":"Höök","given":"Tomas O","non-dropping-particle":"","parse-names":false,"suffix":""},{"dropping-particle":"","family":"Svanbäck","given":"Richard","non-dropping-particle":"","parse-names":false,"suffix":""},{"dropping-particle":"","family":"Eklöv","given":"Peter","non-dropping-particle":"","parse-names":false,"suffix":""}],"container-title":"Oecologia","id":"ITEM-1","issue":"2","issued":{"date-parts":[["2021","2","8"]]},"page":"341-354","publisher":"Springer Berlin Heidelberg","title":"Sex-specific plasticity in a trophic polymorphic aquatic predator: a modeling approach","type":"article-journal","volume":"195"},"uris":["http://www.mendeley.com/documents/?uuid=59996492-51f2-44e9-a45a-4990cf8c2f65"]},{"id":"ITEM-2","itemData":{"DOI":"10.1139/cjfas-2016-0173","ISSN":"0706-652X","abstract":"Trade-offs among growth, mortality, and reproduction form the basis of life history theory but may vary among populations owing to local ecological conditions. We examined life history trade-offs driving variation in maturation among 13 yellow perch (Perca flavescens) stocks in the Great Lakes using sex-specific age and length at 50% maturity (A 50 and L 50 , respectively) and probabilistic maturation reaction norm midpoints (Lp 50,a ). Both sexes exhibited positive correlations between growth and mortality, and faster-growing stocks were mature at younger ages but larger sizes. Male and female A 50 and L 50 were positively correlated among stocks, but Lp 50,a estimates were negatively correlated among stocks, indicating stocks that matured at large sizes for a given age in females matured at smaller age-specific sizes in males. Female Lp 50,a estimates were negatively related to growth and mortality, while male Lp 50,a estimates were positively related to growth. These results suggest that (i) sex-based life history trade-offs sometimes act to differentially structure maturation schedules in males and females and (ii) males may be less responsive to changes in mortality than females.","author":[{"dropping-particle":"","family":"Feiner","given":"Zachary S.","non-dropping-particle":"","parse-names":false,"suffix":""},{"dropping-particle":"","family":"Chong","given":"Stephen C.","non-dropping-particle":"","parse-names":false,"suffix":""},{"dropping-particle":"","family":"Fielder","given":"David G.","non-dropping-particle":"","parse-names":false,"suffix":""},{"dropping-particle":"","family":"Hoyle","given":"James A.","non-dropping-particle":"","parse-names":false,"suffix":""},{"dropping-particle":"","family":"Knight","given":"Carey","non-dropping-particle":"","parse-names":false,"suffix":""},{"dropping-particle":"","family":"Lauer","given":"Thomas E.","non-dropping-particle":"","parse-names":false,"suffix":""},{"dropping-particle":"V.","family":"Thomas","given":"Michael","non-dropping-particle":"","parse-names":false,"suffix":""},{"dropping-particle":"","family":"Tyson","given":"Jeff T.","non-dropping-particle":"","parse-names":false,"suffix":""},{"dropping-particle":"","family":"Höök","given":"Tomas O.","non-dropping-particle":"","parse-names":false,"suffix":""}],"container-title":"Canadian Journal of Fisheries and Aquatic Sciences","id":"ITEM-2","issue":"12","issued":{"date-parts":[["2017","12"]]},"page":"2059-2072","title":"Sex-based trade-offs among growth, mortality, and maturation in Great Lakes yellow perch stocks","type":"article-journal","volume":"74"},"uris":["http://www.mendeley.com/documents/?uuid=110e8519-eeb2-47f0-8b1a-07be6d73151f"]}],"mendeley":{"formattedCitation":"(Feiner et al., 2017; Höök et al., 2021)","plainTextFormattedCitation":"(Feiner et al., 2017; Höök et al., 2021)","previouslyFormattedCitation":"(Feiner et al., 2017; Höök et al., 2021)"},"properties":{"noteIndex":0},"schema":"https://github.com/citation-style-language/schema/raw/master/csl-citation.json"}</w:instrText>
      </w:r>
      <w:r w:rsidR="003A21AB">
        <w:rPr>
          <w:rFonts w:cstheme="minorHAnsi"/>
          <w:lang w:val="en-US"/>
        </w:rPr>
        <w:fldChar w:fldCharType="separate"/>
      </w:r>
      <w:r w:rsidR="00A60CCD" w:rsidRPr="00A60CCD">
        <w:rPr>
          <w:rFonts w:cstheme="minorHAnsi"/>
          <w:noProof/>
          <w:lang w:val="en-US"/>
        </w:rPr>
        <w:t>(Feiner et al., 2017; Höök et al., 2021)</w:t>
      </w:r>
      <w:r w:rsidR="003A21AB">
        <w:rPr>
          <w:rFonts w:cstheme="minorHAnsi"/>
          <w:lang w:val="en-US"/>
        </w:rPr>
        <w:fldChar w:fldCharType="end"/>
      </w:r>
      <w:r w:rsidR="003A21AB">
        <w:rPr>
          <w:rFonts w:cstheme="minorHAnsi"/>
          <w:lang w:val="en-US"/>
        </w:rPr>
        <w:t>.</w:t>
      </w:r>
      <w:r w:rsidR="00DA5495">
        <w:rPr>
          <w:rFonts w:cstheme="minorHAnsi"/>
          <w:lang w:val="en-US"/>
        </w:rPr>
        <w:t xml:space="preserve"> </w:t>
      </w:r>
    </w:p>
    <w:p w14:paraId="7AB23937" w14:textId="7AC47935" w:rsidR="00057D7D" w:rsidRDefault="0005311B" w:rsidP="007F1711">
      <w:pPr>
        <w:spacing w:line="480" w:lineRule="auto"/>
        <w:jc w:val="both"/>
        <w:rPr>
          <w:rFonts w:cstheme="minorHAnsi"/>
          <w:lang w:val="en-US"/>
        </w:rPr>
      </w:pPr>
      <w:r w:rsidRPr="003F070C">
        <w:rPr>
          <w:rFonts w:cstheme="minorHAnsi"/>
          <w:lang w:val="en-US"/>
        </w:rPr>
        <w:lastRenderedPageBreak/>
        <w:t>Some possible explanation</w:t>
      </w:r>
      <w:r w:rsidR="005B37FD">
        <w:rPr>
          <w:rFonts w:cstheme="minorHAnsi"/>
          <w:lang w:val="en-US"/>
        </w:rPr>
        <w:t>s</w:t>
      </w:r>
      <w:r w:rsidRPr="003F070C">
        <w:rPr>
          <w:rFonts w:cstheme="minorHAnsi"/>
          <w:lang w:val="en-US"/>
        </w:rPr>
        <w:t xml:space="preserve"> for </w:t>
      </w:r>
      <w:r w:rsidR="00340938">
        <w:rPr>
          <w:rFonts w:cstheme="minorHAnsi"/>
          <w:lang w:val="en-US"/>
        </w:rPr>
        <w:t xml:space="preserve">why habitat use explained the differences in metabolic rates within our system are: </w:t>
      </w:r>
      <w:r w:rsidRPr="003F070C">
        <w:rPr>
          <w:rFonts w:cstheme="minorHAnsi"/>
          <w:lang w:val="en-US"/>
        </w:rPr>
        <w:t>1) that the physical characteristics of the habitats result in plastic changes in metabolic rates</w:t>
      </w:r>
      <w:r w:rsidR="00E47966">
        <w:rPr>
          <w:rFonts w:cstheme="minorHAnsi"/>
          <w:lang w:val="en-US"/>
        </w:rPr>
        <w:t xml:space="preserve"> due</w:t>
      </w:r>
      <w:r w:rsidR="00856D40">
        <w:rPr>
          <w:rFonts w:cstheme="minorHAnsi"/>
          <w:lang w:val="en-US"/>
        </w:rPr>
        <w:t xml:space="preserve"> to</w:t>
      </w:r>
      <w:r w:rsidR="00E47966">
        <w:rPr>
          <w:rFonts w:cstheme="minorHAnsi"/>
          <w:lang w:val="en-US"/>
        </w:rPr>
        <w:t xml:space="preserve"> </w:t>
      </w:r>
      <w:r w:rsidR="00762B92">
        <w:rPr>
          <w:rFonts w:cstheme="minorHAnsi"/>
          <w:lang w:val="en-US"/>
        </w:rPr>
        <w:t>differences in</w:t>
      </w:r>
      <w:r w:rsidR="00E47966">
        <w:rPr>
          <w:rFonts w:cstheme="minorHAnsi"/>
          <w:lang w:val="en-US"/>
        </w:rPr>
        <w:t xml:space="preserve"> activity</w:t>
      </w:r>
      <w:r w:rsidRPr="003F070C">
        <w:rPr>
          <w:rFonts w:cstheme="minorHAnsi"/>
          <w:lang w:val="en-US"/>
        </w:rPr>
        <w:t>, 2)</w:t>
      </w:r>
      <w:r w:rsidR="00057D7D">
        <w:rPr>
          <w:rFonts w:cstheme="minorHAnsi"/>
          <w:lang w:val="en-US"/>
        </w:rPr>
        <w:t xml:space="preserve"> the</w:t>
      </w:r>
      <w:r w:rsidR="00762B92">
        <w:rPr>
          <w:rFonts w:cstheme="minorHAnsi"/>
          <w:lang w:val="en-US"/>
        </w:rPr>
        <w:t xml:space="preserve"> natural</w:t>
      </w:r>
      <w:r w:rsidR="00057D7D">
        <w:rPr>
          <w:rFonts w:cstheme="minorHAnsi"/>
          <w:lang w:val="en-US"/>
        </w:rPr>
        <w:t xml:space="preserve"> variation in SMR</w:t>
      </w:r>
      <w:r w:rsidR="00762B92">
        <w:rPr>
          <w:rFonts w:cstheme="minorHAnsi"/>
          <w:lang w:val="en-US"/>
        </w:rPr>
        <w:t xml:space="preserve"> results in a subset of individuals with high SMR and these individuals selectively utilize pelagic habitats</w:t>
      </w:r>
      <w:r w:rsidR="00057D7D">
        <w:rPr>
          <w:rFonts w:cstheme="minorHAnsi"/>
          <w:lang w:val="en-US"/>
        </w:rPr>
        <w:t xml:space="preserve">, 3) </w:t>
      </w:r>
      <w:r w:rsidR="00057D7D" w:rsidRPr="00057D7D">
        <w:rPr>
          <w:rFonts w:cstheme="minorHAnsi"/>
          <w:lang w:val="en-US"/>
        </w:rPr>
        <w:t>assortative mating</w:t>
      </w:r>
      <w:r w:rsidR="00A3691B">
        <w:rPr>
          <w:rFonts w:cstheme="minorHAnsi"/>
          <w:lang w:val="en-US"/>
        </w:rPr>
        <w:t xml:space="preserve"> results in the </w:t>
      </w:r>
      <w:r w:rsidR="00856D40">
        <w:rPr>
          <w:rFonts w:cstheme="minorHAnsi"/>
          <w:lang w:val="en-US"/>
        </w:rPr>
        <w:t>inheritance</w:t>
      </w:r>
      <w:r w:rsidR="00A3691B">
        <w:rPr>
          <w:rFonts w:cstheme="minorHAnsi"/>
          <w:lang w:val="en-US"/>
        </w:rPr>
        <w:t xml:space="preserve"> of genes related to higher metabolic rates in pelagic individuals, or 4) some combination of these mechanisms. </w:t>
      </w:r>
    </w:p>
    <w:p w14:paraId="5861421D" w14:textId="155D5B04" w:rsidR="00F84DCB" w:rsidRDefault="0005311B" w:rsidP="007F1711">
      <w:pPr>
        <w:spacing w:line="480" w:lineRule="auto"/>
        <w:jc w:val="both"/>
        <w:rPr>
          <w:rFonts w:cstheme="minorHAnsi"/>
          <w:lang w:val="en-US"/>
        </w:rPr>
      </w:pPr>
      <w:r w:rsidRPr="003F070C">
        <w:rPr>
          <w:rFonts w:cstheme="minorHAnsi"/>
          <w:lang w:val="en-US"/>
        </w:rPr>
        <w:t xml:space="preserve">One </w:t>
      </w:r>
      <w:r w:rsidR="00D02A05">
        <w:rPr>
          <w:rFonts w:cstheme="minorHAnsi"/>
          <w:lang w:val="en-US"/>
        </w:rPr>
        <w:t>influential</w:t>
      </w:r>
      <w:r w:rsidRPr="003F070C">
        <w:rPr>
          <w:rFonts w:cstheme="minorHAnsi"/>
          <w:lang w:val="en-US"/>
        </w:rPr>
        <w:t xml:space="preserve"> physical </w:t>
      </w:r>
      <w:r w:rsidR="00623411">
        <w:rPr>
          <w:rFonts w:cstheme="minorHAnsi"/>
          <w:lang w:val="en-US"/>
        </w:rPr>
        <w:t>characteristic of a habitat</w:t>
      </w:r>
      <w:r w:rsidRPr="003F070C">
        <w:rPr>
          <w:rFonts w:cstheme="minorHAnsi"/>
          <w:lang w:val="en-US"/>
        </w:rPr>
        <w:t xml:space="preserve"> is temperature.</w:t>
      </w:r>
      <w:r w:rsidR="00623411">
        <w:rPr>
          <w:rFonts w:cstheme="minorHAnsi"/>
          <w:lang w:val="en-US"/>
        </w:rPr>
        <w:t xml:space="preserve"> </w:t>
      </w:r>
      <w:r w:rsidR="0042212C">
        <w:rPr>
          <w:rFonts w:cstheme="minorHAnsi"/>
          <w:lang w:val="en-US"/>
        </w:rPr>
        <w:t>Though subject to debate, m</w:t>
      </w:r>
      <w:r w:rsidRPr="003F070C">
        <w:rPr>
          <w:rFonts w:cstheme="minorHAnsi"/>
          <w:lang w:val="en-US"/>
        </w:rPr>
        <w:t>etabolic cold adaptation (</w:t>
      </w:r>
      <w:r w:rsidR="00856D40">
        <w:rPr>
          <w:rFonts w:cstheme="minorHAnsi"/>
          <w:lang w:val="en-US"/>
        </w:rPr>
        <w:t>Krogh's</w:t>
      </w:r>
      <w:r w:rsidRPr="003F070C">
        <w:rPr>
          <w:rFonts w:cstheme="minorHAnsi"/>
          <w:lang w:val="en-US"/>
        </w:rPr>
        <w:t xml:space="preserve"> rule) predicts that cold environments will select for comparatively higher metabolic rates in ectotherms when populations are tested at the same temperature</w:t>
      </w:r>
      <w:r w:rsidR="003F58A4">
        <w:rPr>
          <w:rFonts w:cstheme="minorHAnsi"/>
          <w:lang w:val="en-US"/>
        </w:rPr>
        <w:t xml:space="preserve"> </w:t>
      </w:r>
      <w:r w:rsidR="003F58A4">
        <w:rPr>
          <w:rFonts w:cstheme="minorHAnsi"/>
          <w:lang w:val="en-US"/>
        </w:rPr>
        <w:fldChar w:fldCharType="begin" w:fldLock="1"/>
      </w:r>
      <w:r w:rsidR="000B6581">
        <w:rPr>
          <w:rFonts w:cstheme="minorHAnsi"/>
          <w:lang w:val="en-US"/>
        </w:rPr>
        <w:instrText>ADDIN CSL_CITATION {"citationItems":[{"id":"ITEM-1","itemData":{"DOI":"10.3390/biology8020046","ISSN":"2079-7737","abstract":"We studied the effects of metabolic cold adaptation (MCA) in two populations of a eurythermal species, spotted seatrout (Cynoscion nebulosus) along the U.S. East Coast. Fish were captured from their natural environment and acclimated at control temperatures 15 °C or 20 °C. Their oxygen consumption rates, a proxy for metabolic rates, were measured using intermittent flow respirometry during acute temperature decrease or increase (2.5 °C per hour). Mass-specific standard metabolic rates (SMR) were higher in fish from the northern population across an ecologically relevant temperature gradient (5 °C to 30 °C). SMR were up to 37% higher in the northern population at 25 °C and maximum metabolic rates (MMR) were up to 20% higher at 20 °C. We found evidence of active metabolic compensation in the southern population from 5 °C to 15 °C (Q10 &lt; 2), but not in the northern population. Taken together, our results indicate differences in metabolic plasticity between the northern and southern populations of spotted seatrout and provide a mechanistic basis for predicting population-specific responses to climate change.","author":[{"dropping-particle":"","family":"Song","given":"Jingwei","non-dropping-particle":"","parse-names":false,"suffix":""},{"dropping-particle":"","family":"Brill","given":"Richard W.","non-dropping-particle":"","parse-names":false,"suffix":""},{"dropping-particle":"","family":"McDowell","given":"Jan R.","non-dropping-particle":"","parse-names":false,"suffix":""}],"container-title":"Biology","id":"ITEM-1","issue":"2","issued":{"date-parts":[["2019","6","14"]]},"note":"Mass specific metabolic rates (SMR) were higher in fish from colder populations.","page":"46","title":"Plasticity in standard and maximum aerobic metabolic rates in two populations of an estuarine dependent teleost, spotted seatrout (&lt;i&gt;Cynoscion nebulosus&lt;/i&gt;)","type":"article-journal","volume":"8"},"uris":["http://www.mendeley.com/documents/?uuid=76e668f4-c5ff-403b-bb22-3ad99bc841d4"]},{"id":"ITEM-2","itemData":{"DOI":"10.1111/1365-2435.13538","ISSN":"13652435","abstract":"In light of global climate change, there is a pressing need to understand and predict the capacity of populations to respond to rising temperatures. Metabolic rate is a key trait that is likely to influence the ability to cope with climate change. Yet, empirical and theoretical work on metabolic rate responses to temperature changes has so far produced mixed results and conflicting predictions. Our study addresses this issue using a novel approach of comparing fish populations in geothermally warmed lakes and adjacent ambient-temperature lakes in Iceland. This unique ‘natural experiment’ provides repeated and independent examples of populations experiencing contrasting thermal environments for many generations over a small geographic scale, thereby avoiding the confounding factors associated with latitudinal or elevational comparisons. Using Icelandic sticklebacks from three warm and three cold habitats, we measured individual metabolic rates across a range of acclimation temperatures to obtain reaction norms for each population. We found a general pattern for a lower standard metabolic rate (SMR) in sticklebacks from warm habitats when measured at a common temperature, as predicted by Krogh's rule. Metabolic rate differences between warm- and cold-habitat sticklebacks were more pronounced at more extreme acclimation temperatures, suggesting the release of cryptic genetic variation upon exposure to novel conditions, which can reveal hidden evolutionary potential. We also found a stronger divergence in metabolic rate between thermal habitats in allopatry than sympatry, indicating that gene flow may constrain physiological adaptation when dispersal between warm and cold habitats is possible. In sum, our study suggests that fish may diverge toward a lower SMR in a warming world, but this might depend on connectivity and gene flow between different thermal habitats. A free Plain Language Summary can be found within the Supporting Information of this article.","author":[{"dropping-particle":"","family":"Pilakouta","given":"Natalie","non-dropping-particle":"","parse-names":false,"suffix":""},{"dropping-particle":"","family":"Killen","given":"Shaun S.","non-dropping-particle":"","parse-names":false,"suffix":""},{"dropping-particle":"","family":"Kristjánsson","given":"Bjarni K.","non-dropping-particle":"","parse-names":false,"suffix":""},{"dropping-particle":"","family":"Skúlason","given":"Skúli","non-dropping-particle":"","parse-names":false,"suffix":""},{"dropping-particle":"","family":"Lindström","given":"Jan","non-dropping-particle":"","parse-names":false,"suffix":""},{"dropping-particle":"","family":"Metcalfe","given":"Neil B.","non-dropping-particle":"","parse-names":false,"suffix":""},{"dropping-particle":"","family":"Parsons","given":"Kevin J.","non-dropping-particle":"","parse-names":false,"suffix":""}],"container-title":"Functional Ecology","id":"ITEM-2","issue":"6","issued":{"date-parts":[["2020"]]},"page":"1205-1214","title":"Multigenerational exposure to elevated temperatures leads to a reduction in standard metabolic rate in the wild","type":"article-journal","volume":"34"},"uris":["http://www.mendeley.com/documents/?uuid=b5cd9012-18d5-41c9-816e-564ad59c0046"]}],"mendeley":{"formattedCitation":"(Song et al., 2019; Pilakouta et al., 2020)","plainTextFormattedCitation":"(Song et al., 2019; Pilakouta et al., 2020)","previouslyFormattedCitation":"(Song et al., 2019; Pilakouta et al., 2020)"},"properties":{"noteIndex":0},"schema":"https://github.com/citation-style-language/schema/raw/master/csl-citation.json"}</w:instrText>
      </w:r>
      <w:r w:rsidR="003F58A4">
        <w:rPr>
          <w:rFonts w:cstheme="minorHAnsi"/>
          <w:lang w:val="en-US"/>
        </w:rPr>
        <w:fldChar w:fldCharType="separate"/>
      </w:r>
      <w:r w:rsidR="00C8169C" w:rsidRPr="00C8169C">
        <w:rPr>
          <w:rFonts w:cstheme="minorHAnsi"/>
          <w:noProof/>
          <w:lang w:val="en-US"/>
        </w:rPr>
        <w:t>(Song et al., 2019; Pilakouta et al., 2020)</w:t>
      </w:r>
      <w:r w:rsidR="003F58A4">
        <w:rPr>
          <w:rFonts w:cstheme="minorHAnsi"/>
          <w:lang w:val="en-US"/>
        </w:rPr>
        <w:fldChar w:fldCharType="end"/>
      </w:r>
      <w:r w:rsidR="0011724D">
        <w:rPr>
          <w:rFonts w:cstheme="minorHAnsi"/>
          <w:lang w:val="en-US"/>
        </w:rPr>
        <w:t xml:space="preserve"> but see </w:t>
      </w:r>
      <w:r w:rsidR="0011724D">
        <w:rPr>
          <w:rFonts w:cstheme="minorHAnsi"/>
          <w:lang w:val="en-US"/>
        </w:rPr>
        <w:fldChar w:fldCharType="begin" w:fldLock="1"/>
      </w:r>
      <w:r w:rsidR="000B6581">
        <w:rPr>
          <w:rFonts w:cstheme="minorHAnsi"/>
          <w:lang w:val="en-US"/>
        </w:rPr>
        <w:instrText>ADDIN CSL_CITATION {"citationItems":[{"id":"ITEM-1","itemData":{"DOI":"10.1007/BF00240272","ISSN":"0722-4060","author":[{"dropping-particle":"","family":"Steffensen","given":"J.F.","non-dropping-particle":"","parse-names":false,"suffix":""},{"dropping-particle":"","family":"Bushnell","given":"P.G.","non-dropping-particle":"","parse-names":false,"suffix":""},{"dropping-particle":"","family":"Schurmann","given":"H","non-dropping-particle":"","parse-names":false,"suffix":""}],"container-title":"Polar Biology","id":"ITEM-1","issue":"1","issued":{"date-parts":[["1994","1"]]},"publisher":"Springer Science + Business Media","title":"Oxygen consumption in four species of teleosts from Greenland: no evidence of metabolic cold adaptation","type":"article-journal","volume":"14"},"uris":["http://www.mendeley.com/documents/?uuid=4a25f3a9-7f9b-49f8-bb61-f48b8410b91a"]}],"mendeley":{"formattedCitation":"(Steffensen et al., 1994)","manualFormatting":"Steffensen et al., 1994)","plainTextFormattedCitation":"(Steffensen et al., 1994)","previouslyFormattedCitation":"(Steffensen et al., 1994)"},"properties":{"noteIndex":0},"schema":"https://github.com/citation-style-language/schema/raw/master/csl-citation.json"}</w:instrText>
      </w:r>
      <w:r w:rsidR="0011724D">
        <w:rPr>
          <w:rFonts w:cstheme="minorHAnsi"/>
          <w:lang w:val="en-US"/>
        </w:rPr>
        <w:fldChar w:fldCharType="separate"/>
      </w:r>
      <w:r w:rsidR="0011724D" w:rsidRPr="0011724D">
        <w:rPr>
          <w:rFonts w:cstheme="minorHAnsi"/>
          <w:noProof/>
          <w:lang w:val="en-US"/>
        </w:rPr>
        <w:t>Steffensen et al., 1994)</w:t>
      </w:r>
      <w:r w:rsidR="0011724D">
        <w:rPr>
          <w:rFonts w:cstheme="minorHAnsi"/>
          <w:lang w:val="en-US"/>
        </w:rPr>
        <w:fldChar w:fldCharType="end"/>
      </w:r>
      <w:r w:rsidRPr="003F070C">
        <w:rPr>
          <w:rFonts w:cstheme="minorHAnsi"/>
          <w:lang w:val="en-US"/>
        </w:rPr>
        <w:t xml:space="preserve">. </w:t>
      </w:r>
      <w:r w:rsidR="0042212C">
        <w:rPr>
          <w:rFonts w:cstheme="minorHAnsi"/>
          <w:lang w:val="en-US"/>
        </w:rPr>
        <w:t>P</w:t>
      </w:r>
      <w:r w:rsidRPr="003F070C">
        <w:rPr>
          <w:rFonts w:cstheme="minorHAnsi"/>
          <w:lang w:val="en-US"/>
        </w:rPr>
        <w:t>elagic fish in Erken likely</w:t>
      </w:r>
      <w:r w:rsidR="00E454EA">
        <w:rPr>
          <w:rFonts w:cstheme="minorHAnsi"/>
          <w:lang w:val="en-US"/>
        </w:rPr>
        <w:t xml:space="preserve"> </w:t>
      </w:r>
      <w:r w:rsidRPr="003F070C">
        <w:rPr>
          <w:rFonts w:cstheme="minorHAnsi"/>
          <w:lang w:val="en-US"/>
        </w:rPr>
        <w:t>encounter cooler temperatures over the summer months because of thermal stratification</w:t>
      </w:r>
      <w:r w:rsidR="0042212C">
        <w:rPr>
          <w:rFonts w:cstheme="minorHAnsi"/>
          <w:lang w:val="en-US"/>
        </w:rPr>
        <w:t xml:space="preserve">, even if they </w:t>
      </w:r>
      <w:r w:rsidR="00E454EA">
        <w:rPr>
          <w:rFonts w:cstheme="minorHAnsi"/>
          <w:lang w:val="en-US"/>
        </w:rPr>
        <w:t>do not</w:t>
      </w:r>
      <w:r w:rsidR="0042212C">
        <w:rPr>
          <w:rFonts w:cstheme="minorHAnsi"/>
          <w:lang w:val="en-US"/>
        </w:rPr>
        <w:t xml:space="preserve"> use cold waters preferentially </w:t>
      </w:r>
      <w:r w:rsidRPr="003F070C">
        <w:rPr>
          <w:rFonts w:cstheme="minorHAnsi"/>
          <w:lang w:val="en-US"/>
        </w:rPr>
        <w:fldChar w:fldCharType="begin" w:fldLock="1"/>
      </w:r>
      <w:r w:rsidR="000B6581">
        <w:rPr>
          <w:rFonts w:cstheme="minorHAnsi"/>
          <w:lang w:val="en-US"/>
        </w:rPr>
        <w:instrText>ADDIN CSL_CITATION {"citationItems":[{"id":"ITEM-1","itemData":{"DOI":"10.1111/j.1600-0706.2009.17351.x","ISSN":"00301299","abstract":"Habitat coupling is an ecosystem process whereby semi-discontinuous habitats are connected through the movement of energy and nutrients by chemical, physical or biological processes. One oft-cited example is that of littoral-pelagic coupling in lakes. Theory has argued that such habitat coupling may be critical to food web dynamics, yet there have been few empirical studies that have quantified ecological factors that affect the degree of habitat coupling in ecosystems. Specifically, the degree to which habitat coupling occurs across important physical gradients has largely been ignored. To address this, we investigate the degree of littoral habitat coupling (i.e. the degree to which a top predator lake trout, Salvelinus namaycush, derives energy from the littoral zone) along a gradient of lake shape, where lake shape modifies the relative quantity of coupled epilimnetic benthic and pelagic habitats within each lake. Herein we demonstrate that littoral habitat coupling is intensified in simple circular lakes compared to their reticulate counterparts in seven Canadian Shield lakes. Although the more reticulate lakes had larger areas of epilimnetic benthic habitat, littoral food sources comprised 11% compared to 24% of lake trout diet in reticulate and circular lakes, respectively. This heightened interaction in circular lakes also appears to translate into increased omnivory in more circular lakes compared to reticulate lakes such that lake trout of circular lakes have a significantly lower trophic position than lake trout of reticulate lakes (F1,5=6.71 p=0.05). These results suggest that it is the accessibility of littoral production via thermal refugia, and not the amount of littoral production, that determines the degree to which lake trout couple littoral and pelagic habitats in lakes. © 2009 Oikos.","author":[{"dropping-particle":"","family":"Dolson","given":"Rebecca","non-dropping-particle":"","parse-names":false,"suffix":""},{"dropping-particle":"","family":"McCann","given":"Kevin","non-dropping-particle":"","parse-names":false,"suffix":""},{"dropping-particle":"","family":"Rooney","given":"Neil","non-dropping-particle":"","parse-names":false,"suffix":""},{"dropping-particle":"","family":"Ridgway","given":"Mark","non-dropping-particle":"","parse-names":false,"suffix":""}],"container-title":"Oikos","id":"ITEM-1","issue":"8","issued":{"date-parts":[["2009"]]},"note":"lake morphometry/bathymetry and the contributio to habitat coupling. Fish that need thermal refuges do better in lakes that have a sharp transtion to the littoral zone compared to a large shallow littoral zone (where there may be more food, but potentially warmer waters).","page":"1230-1238","title":"Lake morphometry predicts the degree of habitat coupling by a mobile predator","type":"article-journal","volume":"118"},"uris":["http://www.mendeley.com/documents/?uuid=d83e0b0a-9092-476f-80c0-4bd5f1819256"]},{"id":"ITEM-2","itemData":{"DOI":"10.1073/pnas.1319618111","ISBN":"1319618111","ISSN":"1091-6490","PMID":"24843178","abstract":"Food webs unfold across a mosaic of micro and macro habitats, with each habitat coupled by mobile consumers that behave in response to local environmental conditions. Despite this fundamental characteristic of nature, research on how climate change will affect whole ecosystems has overlooked (i) that climate warming will generally affect habitats differently and (ii) that mobile consumers may respond to this differential change in a manner that may fundamentally alter the energy pathways that sustain ecosystems. This reasoning suggests a powerful, but largely unexplored, avenue for studying the impacts of climate change on ecosystem functioning. Here, we use lake ecosystems to show that predictable behavioral adjustments to local temperature differentials govern a fundamental structural shift across 54 food webs. Data show that the trophic pathways from basal resources to a cold-adapted predator shift toward greater reliance on a cold-water refuge habitat, and food chain length increases, as air temperatures rise. Notably, cold-adapted predator behavior may substantially drive this decoupling effect across the climatic range in our study independent of warmer-adapted species responses (for example, changes in near-shore species abundance and predator absence). Such modifications reflect a flexible food web architecture that requires more attention from climate change research. The trophic pathway restructuring documented here is expected to alter biomass accumulation, through the regulation of energy fluxes to predators, and thus potentially threatens ecosystem sustainability in times of rapid environmental change.","author":[{"dropping-particle":"","family":"Tunney","given":"Tyler D","non-dropping-particle":"","parse-names":false,"suffix":""},{"dropping-particle":"","family":"McCann","given":"Kevin S","non-dropping-particle":"","parse-names":false,"suffix":""},{"dropping-particle":"","family":"Lester","given":"Nigel P","non-dropping-particle":"","parse-names":false,"suffix":""},{"dropping-particle":"","family":"Shuter","given":"Brian J","non-dropping-particle":"","parse-names":false,"suffix":""}],"container-title":"Proceedings of the National Academy of Sciences of the United States of America","id":"ITEM-2","issue":"22","issued":{"date-parts":[["2014"]]},"page":"8077-82","title":"Effects of differential habitat warming on complex communities.","type":"article-journal","volume":"111"},"uris":["http://www.mendeley.com/documents/?uuid=6a33aafc-440c-4f1b-90f5-3490473ce42a"]},{"id":"ITEM-3","itemData":{"DOI":"10.1371/journal.pone.0112085","ISSN":"19326203","PMID":"25405979","abstract":"Adaptive radiation is considered an important mechanism for the development of new species, but very little is known about the role of thermal adaptation during this process. Such adaptation should be especially important in poikilothermic animals that are often subjected to pronounced seasonal temperature variation that directly affects metabolic function. We conducted a preliminary study of individual lifetime thermal habitat use and respiration rates of four whitefish (Coregonus lavaretus (L)) morphs (two pelagic, one littoral and one profundal) using stable carbon and oxygen isotope values of otolith carbonate. These morphs, two of which utilized pelagic habitats, one littoral and one profundal recently diverged via adaptive radiation to exploit different major niches in a deep and thermally stratified subarctic lake. We found evidence that the morphs used different thermal niches. The profundal morph had the most distinct thermal niche and consistently occupied the coldest thermal habitat of the lake, whereas differences were less pronounced among the shallow water pelagic and littoral morphs. Our results indicated ontogenetic shifts in thermal niches: juveniles of all whitefish morphs inhabited warmer ambient temperatures than adults. According to sampling of the otolith nucleus, hatching temperatures were higher for benthic compared to pelagic morphs. Estimated respiration rate was the lowest for benthivorous profundal morph, contrasting with the higher values estimated for the other morphs that inhabited shallower and warmer water. These preliminary results suggest that physiological adaptation to different thermal habitats shown by the sympatric morphs may play a significant role in maintaining or strengthening niche segregation and divergence in life-history traits, potentially contributing to reproductive isolation and incipient speciation. Copyright:","author":[{"dropping-particle":"","family":"Kahilainen","given":"Kimmo Kalevi","non-dropping-particle":"","parse-names":false,"suffix":""},{"dropping-particle":"","family":"Patterson","given":"William Paul","non-dropping-particle":"","parse-names":false,"suffix":""},{"dropping-particle":"","family":"Sonninen","given":"Eloni","non-dropping-particle":"","parse-names":false,"suffix":""},{"dropping-particle":"","family":"Harrod","given":"Chris","non-dropping-particle":"","parse-names":false,"suffix":""},{"dropping-particle":"","family":"Kiljunen","given":"Mikko","non-dropping-particle":"","parse-names":false,"suffix":""}],"container-title":"PLoS ONE","id":"ITEM-3","issue":"11","issued":{"date-parts":[["2014"]]},"title":"Adaptive radiation along a thermal gradient: Preliminary results of habitat use and respiration rate divergence among whitefish morphs","type":"article-journal","volume":"9"},"uris":["http://www.mendeley.com/documents/?uuid=a4d0abee-6257-42bf-b185-b1c0532992c5"]},{"id":"ITEM-4","itemData":{"DOI":"10.5194/hess-23-5001-2019","ISSN":"16077938","abstract":"Historical lake water temperature records are a valuable source of information to assess the influence of climate change on lake thermal structure. However, in most cases such records span a short period of time and/or are incomplete, providing a less credible assessment of change. In this study, the hydrodynamic GOTM (General Ocean Turbulence Model, a hydrodynamic model configured in lake mode) was used to reconstruct daily profiles of water temperature in Lake Erken (Sweden) over the period 1961- 2017 using seven climatic parameters as forcing data: wind speed (WS), air temperature (Air T ), atmospheric pressure (Air P), relative humidity (RH), cloud cover (CC), precipitation (DP), and shortwave radiation (SWR). The model was calibrated against observed water temperature data collected during the study interval, and the calibrated model revealed a good match between modelled and observed temperature (RMSE = 1:089 °C). From the long-Term simulations of water temperature, this study focused on detecting possible trends in water temperature over the entire study interval 1961-2017 and in the sub-intervals 1961-1988 and 1989-2017, since an abrupt change in air temperature was detected in 1988. The analysis of the simulated temperature showed that epilimnetic temperature increased on average by 0.444 and 0.792 °C per decade in spring and autumn in the sub-interval 1989-2017. Summer epilimnetic temperature increased by 0.351 °C per decade over the entire interval 1961-2017. Hypolimnetic temperature increased significantly in spring over the entire interval 1961-2017, by 0.148 and by 0.816 °C per decade in autumn in the subinterval 1989-2016. Whole-lake temperature showed a significant increasing trend in the sub-interval 1989-2017 during spring (0.404 °C per decade) and autumn (0.789 °C per decade, interval 1989-2016), while a significant trend was detected in summer over the entire study interval 1961- 2017 (0.239 °C per decade). Moreover, this study showed that changes in the phenology of thermal stratification have occurred over the 57-year period of study. Since 1961, the stability of stratification (Schmidt stability) has increased by 5.365 Jm-2 per de</w:instrText>
      </w:r>
      <w:r w:rsidR="000B6581" w:rsidRPr="000B6581">
        <w:rPr>
          <w:rFonts w:cstheme="minorHAnsi"/>
          <w:lang w:val="sv-SE"/>
        </w:rPr>
        <w:instrText xml:space="preserve">cade. The duration of thermal stratification has increased by 7.297 d per decade, corresponding to an earlier onset of stratification of </w:instrText>
      </w:r>
      <w:r w:rsidR="000B6581" w:rsidRPr="000B6581">
        <w:rPr>
          <w:rFonts w:ascii="Cambria Math" w:hAnsi="Cambria Math" w:cs="Cambria Math"/>
          <w:lang w:val="sv-SE"/>
        </w:rPr>
        <w:instrText>∼</w:instrText>
      </w:r>
      <w:r w:rsidR="000B6581" w:rsidRPr="000B6581">
        <w:rPr>
          <w:rFonts w:cstheme="minorHAnsi"/>
          <w:lang w:val="sv-SE"/>
        </w:rPr>
        <w:instrText xml:space="preserve"> 16 d and to a delay of stratification termination of </w:instrText>
      </w:r>
      <w:r w:rsidR="000B6581" w:rsidRPr="000B6581">
        <w:rPr>
          <w:rFonts w:ascii="Cambria Math" w:hAnsi="Cambria Math" w:cs="Cambria Math"/>
          <w:lang w:val="sv-SE"/>
        </w:rPr>
        <w:instrText>∼</w:instrText>
      </w:r>
      <w:r w:rsidR="000B6581" w:rsidRPr="000B6581">
        <w:rPr>
          <w:rFonts w:cstheme="minorHAnsi"/>
          <w:lang w:val="sv-SE"/>
        </w:rPr>
        <w:instrText xml:space="preserve"> 26 d. The average thermocline depth during stratification became shallower by </w:instrText>
      </w:r>
      <w:r w:rsidR="000B6581" w:rsidRPr="000B6581">
        <w:rPr>
          <w:rFonts w:ascii="Cambria Math" w:hAnsi="Cambria Math" w:cs="Cambria Math"/>
          <w:lang w:val="sv-SE"/>
        </w:rPr>
        <w:instrText>∼</w:instrText>
      </w:r>
      <w:r w:rsidR="000B6581" w:rsidRPr="000B6581">
        <w:rPr>
          <w:rFonts w:cstheme="minorHAnsi"/>
          <w:lang w:val="sv-SE"/>
        </w:rPr>
        <w:instrText xml:space="preserve"> 1:345 m, and surface-bottom temp…","author":[{"dropping-particle":"","family":"Moras","given":"Simone","non-dropping-particle":"","parse-names":false,"suffix":""},{"dropping-particle":"","family":"Ayala","given":"Ana I.","non-dropping-particle":"","parse-names":false,"suffix":""},{"dropping-particle":"","family":"Pierson","given":"Don C.","non-dropping-particle":"","parse-names":false,"suffix":""}],"container-title":"Hydrology and Earth System Sciences","id":"ITEM-4","issue":"12","issued":{"date-parts":[["2019"]]},"page":"5001-5016","title":"Historical modelling of changes in Lake Erken thermal conditions","type":"article-journal","volume":"23"},"uris":["http://www.mendeley.com/documents/?uuid=7b1dd87e-f987-44c4-8b60-49f63df24187"]}],"mendeley":{"formattedCitation":"(Dolson et al., 2009; Kahilainen et al., 2014; Tunney et al., 2014; Moras et al., 2019)","plainTextFormattedCitation":"(Dolson et al., 2009; Kahilainen et al., 2014; Tunney et al., 2014; Moras et al., 2019)","previouslyFormattedCitation":"(Dolson et al., 2009; Kahilainen et al., 2014; Tunney et al., 2014; Moras et al., 2019)"},"properties":{"noteIndex":0},"schema":"https://github.com/citation-style-language/schema/raw/master/csl-citation.json"}</w:instrText>
      </w:r>
      <w:r w:rsidRPr="003F070C">
        <w:rPr>
          <w:rFonts w:cstheme="minorHAnsi"/>
          <w:lang w:val="en-US"/>
        </w:rPr>
        <w:fldChar w:fldCharType="separate"/>
      </w:r>
      <w:r w:rsidR="00C8169C" w:rsidRPr="00C8169C">
        <w:rPr>
          <w:rFonts w:cstheme="minorHAnsi"/>
          <w:noProof/>
          <w:lang w:val="sv-SE"/>
        </w:rPr>
        <w:t>(Dolson et al., 2009; Kahilainen et al., 2014; Tunney et al., 2014; Moras et al., 2019)</w:t>
      </w:r>
      <w:r w:rsidRPr="003F070C">
        <w:rPr>
          <w:rFonts w:cstheme="minorHAnsi"/>
          <w:lang w:val="en-US"/>
        </w:rPr>
        <w:fldChar w:fldCharType="end"/>
      </w:r>
      <w:r w:rsidRPr="00C8169C">
        <w:rPr>
          <w:rFonts w:cstheme="minorHAnsi"/>
          <w:lang w:val="sv-SE"/>
        </w:rPr>
        <w:t>.</w:t>
      </w:r>
      <w:r w:rsidR="0042212C" w:rsidRPr="00C8169C">
        <w:rPr>
          <w:rFonts w:cstheme="minorHAnsi"/>
          <w:lang w:val="sv-SE"/>
        </w:rPr>
        <w:t xml:space="preserve"> </w:t>
      </w:r>
      <w:r w:rsidR="0011724D">
        <w:rPr>
          <w:rFonts w:cstheme="minorHAnsi"/>
          <w:lang w:val="en-US"/>
        </w:rPr>
        <w:t>Assuming this difference in thermal environments</w:t>
      </w:r>
      <w:r w:rsidRPr="003F070C">
        <w:rPr>
          <w:rFonts w:cstheme="minorHAnsi"/>
          <w:lang w:val="en-US"/>
        </w:rPr>
        <w:t xml:space="preserve">, </w:t>
      </w:r>
      <w:r w:rsidR="00856D40">
        <w:rPr>
          <w:rFonts w:cstheme="minorHAnsi"/>
          <w:lang w:val="en-US"/>
        </w:rPr>
        <w:t>Krogh's</w:t>
      </w:r>
      <w:r w:rsidRPr="003F070C">
        <w:rPr>
          <w:rFonts w:cstheme="minorHAnsi"/>
          <w:lang w:val="en-US"/>
        </w:rPr>
        <w:t xml:space="preserve"> rule </w:t>
      </w:r>
      <w:r w:rsidR="00D44F7A">
        <w:rPr>
          <w:rFonts w:cstheme="minorHAnsi"/>
          <w:lang w:val="en-US"/>
        </w:rPr>
        <w:t>offers</w:t>
      </w:r>
      <w:r w:rsidR="00340938">
        <w:rPr>
          <w:rFonts w:cstheme="minorHAnsi"/>
          <w:lang w:val="en-US"/>
        </w:rPr>
        <w:t xml:space="preserve"> </w:t>
      </w:r>
      <w:r w:rsidRPr="003F070C">
        <w:rPr>
          <w:rFonts w:cstheme="minorHAnsi"/>
          <w:lang w:val="en-US"/>
        </w:rPr>
        <w:t>a potential mechanism</w:t>
      </w:r>
      <w:r w:rsidR="00D44F7A">
        <w:rPr>
          <w:rFonts w:cstheme="minorHAnsi"/>
          <w:lang w:val="en-US"/>
        </w:rPr>
        <w:t xml:space="preserve"> for the observed higher SMR in pelagic perch</w:t>
      </w:r>
      <w:r w:rsidRPr="003F070C">
        <w:rPr>
          <w:rFonts w:cstheme="minorHAnsi"/>
          <w:lang w:val="en-US"/>
        </w:rPr>
        <w:t>.</w:t>
      </w:r>
      <w:r w:rsidR="000673EF">
        <w:rPr>
          <w:rFonts w:cstheme="minorHAnsi"/>
          <w:lang w:val="en-US"/>
        </w:rPr>
        <w:t xml:space="preserve"> </w:t>
      </w:r>
    </w:p>
    <w:p w14:paraId="1A4C501E" w14:textId="7688830E" w:rsidR="00E70B09" w:rsidRDefault="0031254A" w:rsidP="007F1711">
      <w:pPr>
        <w:spacing w:line="480" w:lineRule="auto"/>
        <w:jc w:val="both"/>
        <w:rPr>
          <w:rFonts w:cstheme="minorHAnsi"/>
          <w:lang w:val="en-US"/>
        </w:rPr>
      </w:pPr>
      <w:r>
        <w:rPr>
          <w:rFonts w:cstheme="minorHAnsi"/>
          <w:lang w:val="en-US"/>
        </w:rPr>
        <w:t>Another, and a</w:t>
      </w:r>
      <w:r w:rsidR="0005311B" w:rsidRPr="003F070C">
        <w:rPr>
          <w:rFonts w:cstheme="minorHAnsi"/>
          <w:lang w:val="en-US"/>
        </w:rPr>
        <w:t xml:space="preserve">rguably the </w:t>
      </w:r>
      <w:r w:rsidR="00E454EA">
        <w:rPr>
          <w:rFonts w:cstheme="minorHAnsi"/>
          <w:lang w:val="en-US"/>
        </w:rPr>
        <w:t>most prominent</w:t>
      </w:r>
      <w:r>
        <w:rPr>
          <w:rFonts w:cstheme="minorHAnsi"/>
          <w:lang w:val="en-US"/>
        </w:rPr>
        <w:t>,</w:t>
      </w:r>
      <w:r w:rsidR="0005311B" w:rsidRPr="003F070C">
        <w:rPr>
          <w:rFonts w:cstheme="minorHAnsi"/>
          <w:lang w:val="en-US"/>
        </w:rPr>
        <w:t xml:space="preserve"> difference between </w:t>
      </w:r>
      <w:r w:rsidR="000673EF">
        <w:rPr>
          <w:rFonts w:cstheme="minorHAnsi"/>
          <w:lang w:val="en-US"/>
        </w:rPr>
        <w:t xml:space="preserve">littoral and pelagic habitats </w:t>
      </w:r>
      <w:r w:rsidR="0005311B" w:rsidRPr="003F070C">
        <w:rPr>
          <w:rFonts w:cstheme="minorHAnsi"/>
          <w:lang w:val="en-US"/>
        </w:rPr>
        <w:t xml:space="preserve">is structure. </w:t>
      </w:r>
      <w:r w:rsidR="000673EF">
        <w:rPr>
          <w:rFonts w:cstheme="minorHAnsi"/>
          <w:lang w:val="en-US"/>
        </w:rPr>
        <w:t>L</w:t>
      </w:r>
      <w:r w:rsidR="0005311B" w:rsidRPr="003F070C">
        <w:rPr>
          <w:rFonts w:cstheme="minorHAnsi"/>
          <w:lang w:val="en-US"/>
        </w:rPr>
        <w:t xml:space="preserve">ittoral areas are vegetated and structurally complex, while pelagic habitats are, by definition, open water. </w:t>
      </w:r>
      <w:r w:rsidR="005B37FD">
        <w:rPr>
          <w:rFonts w:cstheme="minorHAnsi"/>
          <w:lang w:val="en-US"/>
        </w:rPr>
        <w:t>Both c</w:t>
      </w:r>
      <w:r w:rsidR="00E454EA">
        <w:rPr>
          <w:rFonts w:cstheme="minorHAnsi"/>
          <w:lang w:val="en-US"/>
        </w:rPr>
        <w:t xml:space="preserve">omplexity </w:t>
      </w:r>
      <w:r w:rsidR="000673EF" w:rsidRPr="003F070C">
        <w:rPr>
          <w:rFonts w:cstheme="minorHAnsi"/>
          <w:lang w:val="en-US"/>
        </w:rPr>
        <w:t xml:space="preserve">itself and </w:t>
      </w:r>
      <w:r w:rsidR="005B37FD">
        <w:rPr>
          <w:rFonts w:cstheme="minorHAnsi"/>
          <w:lang w:val="en-US"/>
        </w:rPr>
        <w:t xml:space="preserve">the </w:t>
      </w:r>
      <w:r w:rsidR="000673EF">
        <w:rPr>
          <w:rFonts w:cstheme="minorHAnsi"/>
          <w:lang w:val="en-US"/>
        </w:rPr>
        <w:t xml:space="preserve">foraging style associated with it </w:t>
      </w:r>
      <w:r w:rsidR="00F84DCB">
        <w:rPr>
          <w:rFonts w:cstheme="minorHAnsi"/>
          <w:lang w:val="en-US"/>
        </w:rPr>
        <w:t>are</w:t>
      </w:r>
      <w:r w:rsidR="00E454EA">
        <w:rPr>
          <w:rFonts w:cstheme="minorHAnsi"/>
          <w:lang w:val="en-US"/>
        </w:rPr>
        <w:t xml:space="preserve"> </w:t>
      </w:r>
      <w:r w:rsidR="000673EF">
        <w:rPr>
          <w:rFonts w:cstheme="minorHAnsi"/>
          <w:lang w:val="en-US"/>
        </w:rPr>
        <w:t>show</w:t>
      </w:r>
      <w:r w:rsidR="00F84DCB">
        <w:rPr>
          <w:rFonts w:cstheme="minorHAnsi"/>
          <w:lang w:val="en-US"/>
        </w:rPr>
        <w:t>n</w:t>
      </w:r>
      <w:r w:rsidR="000673EF">
        <w:rPr>
          <w:rFonts w:cstheme="minorHAnsi"/>
          <w:lang w:val="en-US"/>
        </w:rPr>
        <w:t xml:space="preserve"> to plastically induce changes in perch morphology </w:t>
      </w:r>
      <w:r w:rsidR="000673EF" w:rsidRPr="003F070C">
        <w:rPr>
          <w:rFonts w:cstheme="minorHAnsi"/>
          <w:lang w:val="en-US"/>
        </w:rPr>
        <w:fldChar w:fldCharType="begin" w:fldLock="1"/>
      </w:r>
      <w:r w:rsidR="000B6581">
        <w:rPr>
          <w:rFonts w:cstheme="minorHAnsi"/>
          <w:lang w:val="en-US"/>
        </w:rPr>
        <w:instrText>ADDIN CSL_CITATION {"citationItems":[{"id":"ITEM-1","itemData":{"ISSN":"15220613 (ISSN)","abstract":"Questions: Do both habitat structure and feeding mode contribute to morphological divergence within fish populations? To what extent may an induced morphology be reversed? Organism: Young-of-the-year Eurasian perch (Perca fluviatilis L.). Methods: An aquarium experiment with a 2 × 2 factorial design (two levels of habitat structure and two levels of feeding mode). The habitat structure and feeding mode were reversed for perch in two habitat treatments midway through the experiment. Results: Both habitat structure and feeding mode contributed to morphological divergence (40.7% and 4.9% of the total variation respectively), which suggests that both habitat complexity and prey type diversity influence morphological adaptations in this fish species. Perch morphology is highly plastic and can be reversed in as short a time as 4 weeks.","author":[{"dropping-particle":"","family":"Olsson","given":"Jens","non-dropping-particle":"","parse-names":false,"suffix":""},{"dropping-particle":"","family":"Eklöv","given":"Peter","non-dropping-particle":"","parse-names":false,"suffix":""}],"container-title":"Evolutionary Ecology Research","id":"ITEM-1","issue":"8","issued":{"date-parts":[["2005"]]},"language":"eng","note":"2017-12-14T11:50:33.292+01:00","page":"1109-1123","publisher-place":"Limnology, Department of Ecology and Evolution, Biology, Disciplinary Domain of Science and Technology, Uppsala University","title":"Habitat structure, feeding mode and morphological reversibility: factors influencing phenotypic plasticity in perch","type":"article-journal","volume":"7"},"uris":["http://www.mendeley.com/documents/?uuid=856df8fa-37be-49da-b368-393adb8301c5"]},{"id":"ITEM-2","itemData":{"ISSN":"15220613 (ISSN)","author":[{"dropping-particle":"","family":"Svanbäck","given":"Richard","non-dropping-particle":"","parse-names":false,"suffix":""},{"dropping-particle":"","family":"Eklöv","given":"Peter","non-dropping-particle":"","parse-names":false,"suffix":""}],"container-title":"Evolutionary Ecology Research","id":"ITEM-2","issue":"1","issued":{"date-parts":[["2006"]]},"language":"eng","note":"2018-06-09T13:23:35.704+02:00","page":"37-49","publisher-place":"Ecology and Environmental Science, Faculty of Science and Technology, Umeå University","title":"Genetic variation and phenotypic plasticity: Causes of morphological and dietary variation in Eurasian perch","type":"article-journal","volume":"8"},"uris":["http://www.mendeley.com/documents/?uuid=ca679784-34fb-4fab-90e1-107ade396deb"]}],"mendeley":{"formattedCitation":"(Olsson and Eklöv, 2005; Svanbäck and Eklöv, 2006)","manualFormatting":"(Olsson and Eklöv 2005; Svanbäck and Eklöv 2006) ","plainTextFormattedCitation":"(Olsson and Eklöv, 2005; Svanbäck and Eklöv, 2006)","previouslyFormattedCitation":"(Olsson and Eklöv, 2005; Svanbäck and Eklöv, 2006)"},"properties":{"noteIndex":0},"schema":"https://github.com/citation-style-language/schema/raw/master/csl-citation.json"}</w:instrText>
      </w:r>
      <w:r w:rsidR="000673EF" w:rsidRPr="003F070C">
        <w:rPr>
          <w:rFonts w:cstheme="minorHAnsi"/>
          <w:lang w:val="en-US"/>
        </w:rPr>
        <w:fldChar w:fldCharType="separate"/>
      </w:r>
      <w:r w:rsidR="000673EF" w:rsidRPr="003F070C">
        <w:rPr>
          <w:rFonts w:cstheme="minorHAnsi"/>
          <w:noProof/>
          <w:lang w:val="en-US"/>
        </w:rPr>
        <w:t>(Olsson and Eklöv 2005; Svanbäck and Eklöv 2006)</w:t>
      </w:r>
      <w:r w:rsidR="006012F9">
        <w:rPr>
          <w:rFonts w:cstheme="minorHAnsi"/>
          <w:noProof/>
          <w:lang w:val="en-US"/>
        </w:rPr>
        <w:t xml:space="preserve"> </w:t>
      </w:r>
      <w:r w:rsidR="000673EF" w:rsidRPr="003F070C">
        <w:rPr>
          <w:rFonts w:cstheme="minorHAnsi"/>
          <w:lang w:val="en-US"/>
        </w:rPr>
        <w:fldChar w:fldCharType="end"/>
      </w:r>
      <w:r w:rsidR="006012F9">
        <w:rPr>
          <w:rFonts w:cstheme="minorHAnsi"/>
          <w:lang w:val="en-US"/>
        </w:rPr>
        <w:t xml:space="preserve">and may also be important in determining SMR. </w:t>
      </w:r>
      <w:r w:rsidR="00E454EA">
        <w:rPr>
          <w:rFonts w:cstheme="minorHAnsi"/>
          <w:lang w:val="en-US"/>
        </w:rPr>
        <w:t>Interspecific</w:t>
      </w:r>
      <w:r w:rsidR="006012F9">
        <w:rPr>
          <w:rFonts w:cstheme="minorHAnsi"/>
          <w:lang w:val="en-US"/>
        </w:rPr>
        <w:t xml:space="preserve"> comparisons show that h</w:t>
      </w:r>
      <w:r w:rsidR="0005311B" w:rsidRPr="003F070C">
        <w:rPr>
          <w:rFonts w:cstheme="minorHAnsi"/>
          <w:lang w:val="en-US"/>
        </w:rPr>
        <w:t>igh metabolic rates benefit mobile, visual predators inhabiting</w:t>
      </w:r>
      <w:r w:rsidR="0088472E">
        <w:rPr>
          <w:rFonts w:cstheme="minorHAnsi"/>
          <w:lang w:val="en-US"/>
        </w:rPr>
        <w:t xml:space="preserve"> structurally simple, fast-moving, or</w:t>
      </w:r>
      <w:r w:rsidR="0005311B" w:rsidRPr="003F070C">
        <w:rPr>
          <w:rFonts w:cstheme="minorHAnsi"/>
          <w:lang w:val="en-US"/>
        </w:rPr>
        <w:t xml:space="preserve"> well-lit waters</w:t>
      </w:r>
      <w:r w:rsidR="0088472E">
        <w:rPr>
          <w:rFonts w:cstheme="minorHAnsi"/>
          <w:lang w:val="en-US"/>
        </w:rPr>
        <w:t>,</w:t>
      </w:r>
      <w:r w:rsidR="0005311B" w:rsidRPr="003F070C">
        <w:rPr>
          <w:rFonts w:cstheme="minorHAnsi"/>
          <w:lang w:val="en-US"/>
        </w:rPr>
        <w:t xml:space="preserve"> while selection pressure on metabolic rate is relaxed in more benthic species</w:t>
      </w:r>
      <w:r w:rsidR="00E6431D">
        <w:rPr>
          <w:rFonts w:cstheme="minorHAnsi"/>
          <w:lang w:val="en-US"/>
        </w:rPr>
        <w:t xml:space="preserve"> or complex habitats</w:t>
      </w:r>
      <w:r w:rsidR="0008325B">
        <w:rPr>
          <w:rFonts w:cstheme="minorHAnsi"/>
          <w:lang w:val="en-US"/>
        </w:rPr>
        <w:t xml:space="preserve"> </w:t>
      </w:r>
      <w:r w:rsidR="002F11FE">
        <w:rPr>
          <w:rFonts w:cstheme="minorHAnsi"/>
          <w:lang w:val="en-US"/>
        </w:rPr>
        <w:fldChar w:fldCharType="begin" w:fldLock="1"/>
      </w:r>
      <w:r w:rsidR="000B6581">
        <w:rPr>
          <w:rFonts w:cstheme="minorHAnsi"/>
          <w:lang w:val="en-US"/>
        </w:rPr>
        <w:instrText>ADDIN CSL_CITATION {"citationItems":[{"id":"ITEM-1","itemData":{"DOI":"10.1098/rstb.2007.2101","ISBN":"0962-8436","ISSN":"0962-8436","PMID":"17510016","abstract":"The rates of metabolism in animals vary tremendously throughout the biosphere. The origins of this variation are a matter of active debate with some scientists highlighting the importance of anatomical or environmental constraints, while others emphasize the diversity of ecological roles that organisms play and the associated energy demands. Here, we analyse metabolic rates in diverse marine taxa, with special emphasis on patterns of metabolic rate across a depth gradient, in an effort to understand the extent and underlying causes of variation. The conclusion from this analysis is that low rates of metabolism, in the deep sea and elsewhere, do not result from resource (e.g. food or oxygen) limitation or from temperature or pressure constraint. While metabolic rates do decline strongly with depth in several important animal groups, for others metabolism in abyssal species proceeds as fast as in ecologically similar shallow-water species at equivalent temperatures. Rather, high metabolic demand follows strong selection for locomotory capacity among visual predators inhabiting well-lit oceanic waters. Relaxation of this selection where visual predation is limited provides an opportunity for reduced energy expenditure. Large-scale metabolic variation in the ocean results from interspecific differences in ecological energy demand.","author":[{"dropping-particle":"","family":"Seibel","given":"B. A","non-dropping-particle":"","parse-names":false,"suffix":""},{"dropping-particle":"","family":"Drazen","given":"J. C","non-dropping-particle":"","parse-names":false,"suffix":""}],"container-title":"Philosophical Transactions of the Royal Society B: Biological Sciences","id":"ITEM-1","issue":"1487","issued":{"date-parts":[["2007"]]},"page":"2061-2078","title":"The rate of metabolism in marine animals: environmental constraints, ecological demands and energetic opportunities","type":"article-journal","volume":"362"},"uris":["http://www.mendeley.com/documents/?uuid=f6aa7253-9a45-4a65-ab1c-8116d69f69c3"]},{"id":"ITEM-2","itemData":{"DOI":"10.1038/scientificamerican0784-72","ISSN":"0036-8733","abstract":"Sexual selection can increase morphological diversity within and among species. Little is known regarding how interspecific variation produced through sexual selection affects other functional systems. Here, we examine how morphological diversity resulting from sexual selection impacts aerobic locomotor performance. Using Xiphophorus (swordtail fish) and their close relatives (N = 19 species), we examined whether the evolution of a longer sexually selected sword affects critical swimming speed. We also examined the effect of other suborganismal, physiological, and morphological traits on critical swimming speed, as well as their relationship with sword length. In correlation analyses, we found no significant relationship between sword length and critical swimming speed. Unexpectedly, we found that critical swimming speed was higher in species with longer swords, after controlling for body size in multiple regression analyses. We also found several suborganismal and morphological predictors of critical swimming speed, as well as a significant negative relationship between sword length and heart and gill mass. Our results suggest that interspecific variation in sword length is not costly for this aspect of swimming performance, but further studies should examine potential costs for other types of locomotion and other components of Darwinian fitness (e.g., survivorship, life span).","author":[{"dropping-particle":"","family":"Webb","given":"Paul W.","non-dropping-particle":"","parse-names":false,"suffix":""}],"container-title":"Scientific American","id":"ITEM-2","issue":"1","issued":{"date-parts":[["1984","7"]]},"page":"72-82","title":"Form and function in fish swimming","type":"article-journal","volume":"251"},"uris":["http://www.mendeley.com/documents/?uuid=fbc0214e-ca95-4507-a47d-187e000b1542"]},{"id":"ITEM-3","itemData":{"DOI":"10.1098/rsbl.2020.0580","ISSN":"1744-9561","abstract":"Given current anthropogenic alterations to many ecosystems and communities, it is becoming increasingly important to consider whether and how organisms can cope with changing resources. Metabolic rate, because it represents the rate of energy expenditure, may play a key role in mediating the link between resource conditions and performance and thereby how well organisms can persist in the face of environmental change. Here, we focus on the role that energy metabolism plays in determining organismal responses to changes in food availability over both short-term ecological and longer-term evolutionary timescales. Using a meta-analytical approach encompassing multiple species, we find that individuals with a higher metabolic rate grow faster under high food levels but slower once food levels decline, suggesting that the association between metabolism and life-history traits shifts along resource gradients. We also find that organisms can cope with changing resource availability through both phenotypic plasticity and genetically based evolutionary adaptation in their rates of energy metabolism. However, the metabolic rates of individuals within a population and of species within a lineage do not all respond in the same manner to changes in food availability. This diversity of responses suggests that there are benefits but also costs to changes in metabolic rate. It also underscores the need to examine not just the energy budgets of organisms within the context of metabolic rate but also how energy metabolism changes alongside other physiological and behavioural traits in variable environments.","author":[{"dropping-particle":"","family":"Auer","given":"Sonya K","non-dropping-particle":"","parse-names":false,"suffix":""},{"dropping-particle":"","family":"Solowey","given":"Julia R","non-dropping-particle":"","parse-names":false,"suffix":""},{"dropping-particle":"","family":"Rajesh","given":"Shreyas","non-dropping-particle":"","parse-names":false,"suffix":""},{"dropping-particle":"","family":"Rezende","given":"Enrico L","non-dropping-particle":"","parse-names":false,"suffix":""}],"container-title":"Biology Letters","id":"ITEM-3","issue":"11","issued":{"date-parts":[["2020","11","4"]]},"page":"20200580","title":"Energetic mechanisms for coping with changes in resource availability","type":"article-journal","volume":"16"},"uris":["http://www.mendeley.com/documents/?uuid=46845ac8-a00b-4e92-9bec-c1e398ee987c"]},{"id":"ITEM-4","itemData":{"DOI":"10.1111/1365-2656.12260","ISSN":"00218790","PMID":"24930825","abstract":"Summary: Mass-specific standard metabolic rate (SMR, or maintenance metabolism) varies greatly among individuals. Metabolism is particularly sensitive to variation in food consumption and growth creating the potential for significant bias in measured SMR for animals that are growing (e.g. juveniles) or of uncertain nutritional status. Consequently, interpreting individual variation in metabolism requires a sound understanding of the potentially confounding role of growth and the relative importance of fixed (genetic) vs. environmental drivers of SMR variation. We review the role of growth in measured SMR variation in juvenile salmonids, with the goals of (i) understanding the contribution of growth (and food consumption) to SMR variation through ontogeny, (ii) understanding the relative contributions of tissue maintenance and biosynthesis (overhead costs of growth) to apparent SMR variation, and (iii) using intrinsic growth effects on SMR to model how alternate life-history strategies may influence growth and measured SMR in juvenile salmonids. SMR measures on juveniles, even when post-absorptive, may be inflated by delayed growth-associated overhead costs, unless juveniles are on a maintenance ration (i.e. not growing). Empirical measurements of apparent SMR in food restricted vs. satiated 2-5 g juvenile salmon demonstrate that estimates may be inflated by as much as 67% due to delayed overhead costs of growth, even when SMR measurements are taken 35 h post-feeding. These results indicate that a substantial component of variation in apparent SMR among juvenile salmonids may be associated with (i) environmentally driven variation in ration (where elevated SMR measurements are an artefact of delayed growth overhead costs), (ii) intrinsic (genetic) or plastic organ-system trade-offs related to increasing investment in metabolically expensive digestive tissue responsible for processing food and (iii) intrinsic (genetic) variation in maximum body size and growth among individuals or life-history types. We suggest that selection for differences in adult body size among resident and anadromous forms leading to differences in juvenile growth trajectories may contribute to both SMR variation and habitat segregation in freshwater, where juveniles with higher growth are constrained to foraging in high velocity habitats to meet their greater consumption needs.","author":[</w:instrText>
      </w:r>
      <w:r w:rsidR="000B6581" w:rsidRPr="0008325B">
        <w:rPr>
          <w:rFonts w:cstheme="minorHAnsi"/>
          <w:lang w:val="en-US"/>
        </w:rPr>
        <w:instrText>{"dropping-particle":"","family":"Rosenfeld","given":"Jordan","non-dropping-particle":"","parse-names":false,"suffix":""},{"dropping-particle":"","family":"Leeuwen","given":"Travis","non-dropping-particle":"Van","parse-names":false,"suffix":""},{"dropping-particle":"","family":"Richards","given":"Jeffrey","non-dropping-particle":"","parse-names":false,"suffix":""},{"dropping-particle":"","family":"Allen","given":"David","non-dropping-particle":"","parse-names":false,"suffix":""}],"container-title":"Journal of Animal Ecology","editor":[{"dropping-particle":"","family":"Rasmussen","given":"Joseph","non-dropping-particle":"","parse-names":false,"suffix":""}],"id":"ITEM-4","issue":"1","issued":{"date-parts":[["2015","1"]]},"page":"4-20","title":"Relationship between growth and standard metabolic rate: measurement artefacts and implications for habitat use and life-history adaptation in salmonids","type":"article-journal","volume":"84"},"uris":["http://www.mendeley.com/documents/?uuid=a46811e0-c62e-452f-866b-0032535105d2"]}],"mendeley":{"formattedCitation":"(Webb, 1984; Seibel and Drazen, 2007; Rosenfeld et al., 2015; Auer et al., 2020b)","plainTextFormattedCitation":"(Webb, 1984; Seibel and Drazen, 2007; Rosenfeld et al., 2015; Auer et al., 2020b)","previouslyFormattedCitation":"(Webb, 1984; Seibel and Drazen, 2007; Rosenfeld et al., 2015; Auer et al., 2020b)"},"properties":{"noteIndex":0},"schema":"https://github.com/citation-style-language/schema/raw/master/csl-citation.json"}</w:instrText>
      </w:r>
      <w:r w:rsidR="002F11FE">
        <w:rPr>
          <w:rFonts w:cstheme="minorHAnsi"/>
          <w:lang w:val="en-US"/>
        </w:rPr>
        <w:fldChar w:fldCharType="separate"/>
      </w:r>
      <w:r w:rsidR="00C8169C" w:rsidRPr="0008325B">
        <w:rPr>
          <w:rFonts w:cstheme="minorHAnsi"/>
          <w:noProof/>
          <w:lang w:val="en-US"/>
        </w:rPr>
        <w:t>(Webb, 1984; Seibel and Drazen, 2007; Rosenfeld et al., 2015; Auer et al., 2020b)</w:t>
      </w:r>
      <w:r w:rsidR="002F11FE">
        <w:rPr>
          <w:rFonts w:cstheme="minorHAnsi"/>
          <w:lang w:val="en-US"/>
        </w:rPr>
        <w:fldChar w:fldCharType="end"/>
      </w:r>
      <w:r w:rsidR="0005311B" w:rsidRPr="002F11FE">
        <w:rPr>
          <w:rFonts w:cstheme="minorHAnsi"/>
          <w:lang w:val="de-DE"/>
        </w:rPr>
        <w:t xml:space="preserve">. </w:t>
      </w:r>
      <w:r w:rsidR="0005311B" w:rsidRPr="007751D5">
        <w:rPr>
          <w:rFonts w:cstheme="minorHAnsi"/>
          <w:lang w:val="en-US"/>
        </w:rPr>
        <w:t xml:space="preserve">Our results reflect this pattern, though it is unclear whether higher </w:t>
      </w:r>
      <w:r w:rsidR="004B7073">
        <w:rPr>
          <w:rFonts w:cstheme="minorHAnsi"/>
          <w:lang w:val="en-US"/>
        </w:rPr>
        <w:lastRenderedPageBreak/>
        <w:t>SMR</w:t>
      </w:r>
      <w:r w:rsidR="0005311B" w:rsidRPr="007751D5">
        <w:rPr>
          <w:rFonts w:cstheme="minorHAnsi"/>
          <w:lang w:val="en-US"/>
        </w:rPr>
        <w:t xml:space="preserve"> </w:t>
      </w:r>
      <w:r w:rsidR="004B7073">
        <w:rPr>
          <w:rFonts w:cstheme="minorHAnsi"/>
          <w:lang w:val="en-US"/>
        </w:rPr>
        <w:t>is</w:t>
      </w:r>
      <w:r w:rsidR="004B7073" w:rsidRPr="007751D5">
        <w:rPr>
          <w:rFonts w:cstheme="minorHAnsi"/>
          <w:lang w:val="en-US"/>
        </w:rPr>
        <w:t xml:space="preserve"> </w:t>
      </w:r>
      <w:r w:rsidR="0005311B" w:rsidRPr="007751D5">
        <w:rPr>
          <w:rFonts w:cstheme="minorHAnsi"/>
          <w:lang w:val="en-US"/>
        </w:rPr>
        <w:t>a plastic response to the</w:t>
      </w:r>
      <w:r w:rsidR="0011724D">
        <w:rPr>
          <w:rFonts w:cstheme="minorHAnsi"/>
          <w:lang w:val="en-US"/>
        </w:rPr>
        <w:t xml:space="preserve"> open water environment </w:t>
      </w:r>
      <w:r w:rsidR="0005311B" w:rsidRPr="007751D5">
        <w:rPr>
          <w:rFonts w:cstheme="minorHAnsi"/>
          <w:lang w:val="en-US"/>
        </w:rPr>
        <w:t xml:space="preserve">or whether individuals with a high </w:t>
      </w:r>
      <w:r w:rsidR="003662ED">
        <w:rPr>
          <w:rFonts w:cstheme="minorHAnsi"/>
          <w:lang w:val="en-US"/>
        </w:rPr>
        <w:t>SMR</w:t>
      </w:r>
      <w:r w:rsidR="004B7073">
        <w:rPr>
          <w:rFonts w:cstheme="minorHAnsi"/>
          <w:lang w:val="en-US"/>
        </w:rPr>
        <w:t xml:space="preserve"> are better able to utilize the pelagic habitat </w:t>
      </w:r>
      <w:r w:rsidR="004B7073">
        <w:rPr>
          <w:rFonts w:cstheme="minorHAnsi"/>
          <w:lang w:val="en-US"/>
        </w:rPr>
        <w:fldChar w:fldCharType="begin" w:fldLock="1"/>
      </w:r>
      <w:r w:rsidR="000B6581">
        <w:rPr>
          <w:rFonts w:cstheme="minorHAnsi"/>
          <w:lang w:val="en-US"/>
        </w:rPr>
        <w:instrText>ADDIN CSL_CITATION {"citationItems":[{"id":"ITEM-1","itemData":{"DOI":"10.1086/709479","ISSN":"15375323","PMID":"32673096","abstract":"Ecological pressures such as competition can lead individuals within a population to partition resources or habitats, but the underlying intrinsic mechanisms that determine an individual's resource use are not well understood. Here we show that an individual's own energy demand and associated competitive ability influence its resource use, but only when food is more limiting. We tested whether intraspecific variation in metabolic rate leads to microhabitat partitioning among juvenile Atlantic salmon (Salmo salar) in natural streams subjected to manipulated nutrient levels and subsequent per capita food availability. We found that individual salmon from families with a higher baseline (standard) metabolic rate (which is associated with greater competitive ability) tended to occupy faster-flowing water, but only in streams with lower per capita food availability. Faster-flowing microhabitats yield more food, but high metabolic rate fish only benefited from faster growth in streams with high food levels, presumably because in low-food environments the cost of a high metabolism offsets the benefits of acquiring a productive microhabitat. The benefits of a given metabolic rate were thus context dependent. These results demonstrate that intraspecific variation in metabolic rate can interact with resource availability to determine the spatial structuring of wild populations.","author":[{"dropping-particle":"","family":"Auer","given":"Sonya K.","non-dropping-particle":"","parse-names":false,"suffix":""},{"dropping-particle":"","family":"Bassar","given":"Ronald D.","non-dropping-particle":"","parse-names":false,"suffix":""},{"dropping-particle":"","family":"Turek","given":"Daniel","non-dropping-particle":"","parse-names":false,"suffix":""},{"dropping-particle":"","family":"Anderson","given":"Graeme J.","non-dropping-particle":"","parse-names":false,"suffix":""},{"dropping-particle":"","family":"McKelvey","given":"Simon","non-dropping-particle":"","parse-names":false,"suffix":""},{"dropping-particle":"","family":"Armstrong","given":"John D.","non-dropping-particle":"","parse-names":false,"suffix":""},{"dropping-particle":"","family":"Nislow","given":"Keith H.","non-dropping-particle":"","parse-names":false,"suffix":""},{"dropping-particle":"","family":"Downie","given":"Helen K.","non-dropping-particle":"","parse-names":false,"suffix":""},{"dropping-particle":"","family":"Morgan","given":"Thomas A.J.","non-dropping-particle":"","parse-names":false,"suffix":""},{"dropping-particle":"","family":"McLennan","given":"Darryl","non-dropping-particle":"","parse-names":false,"suffix":""},{"dropping-particle":"","family":"Metcalfe","given":"Neil B.","non-dropping-particle":"","parse-names":false,"suffix":""}],"container-title":"The American naturalist","id":"ITEM-1","issue":"2","issued":{"date-parts":[["2020"]]},"note":"Sent by Peter: August 4th 2020\nE-mail text &amp;quot;This sems like an interesting paper&amp;quot;","page":"132-144","title":"Metabolic rate interacts with resource availability to determine individual variation in microhabitat use in the wild","type":"article-journal","volume":"196"},"uris":["http://www.mendeley.com/documents/?uuid=25ef9f46-f31b-4a0f-bd91-13956d8b50ef"]}],"mendeley":{"formattedCitation":"(Auer et al., 2020a)","plainTextFormattedCitation":"(Auer et al., 2020a)","previouslyFormattedCitation":"(Auer et al., 2020a)"},"properties":{"noteIndex":0},"schema":"https://github.com/citation-style-language/schema/raw/master/csl-citation.json"}</w:instrText>
      </w:r>
      <w:r w:rsidR="004B7073">
        <w:rPr>
          <w:rFonts w:cstheme="minorHAnsi"/>
          <w:lang w:val="en-US"/>
        </w:rPr>
        <w:fldChar w:fldCharType="separate"/>
      </w:r>
      <w:r w:rsidR="00C8169C" w:rsidRPr="00C8169C">
        <w:rPr>
          <w:rFonts w:cstheme="minorHAnsi"/>
          <w:noProof/>
          <w:lang w:val="en-US"/>
        </w:rPr>
        <w:t>(Auer et al., 2020a)</w:t>
      </w:r>
      <w:r w:rsidR="004B7073">
        <w:rPr>
          <w:rFonts w:cstheme="minorHAnsi"/>
          <w:lang w:val="en-US"/>
        </w:rPr>
        <w:fldChar w:fldCharType="end"/>
      </w:r>
      <w:r w:rsidR="00230AC0">
        <w:rPr>
          <w:rFonts w:cstheme="minorHAnsi"/>
          <w:lang w:val="en-US"/>
        </w:rPr>
        <w:t xml:space="preserve">, though higher growth rates have been </w:t>
      </w:r>
      <w:r w:rsidR="00D44F7A">
        <w:rPr>
          <w:rFonts w:cstheme="minorHAnsi"/>
          <w:lang w:val="en-US"/>
        </w:rPr>
        <w:t xml:space="preserve">observed following </w:t>
      </w:r>
      <w:r w:rsidR="00230AC0">
        <w:rPr>
          <w:rFonts w:cstheme="minorHAnsi"/>
          <w:lang w:val="en-US"/>
        </w:rPr>
        <w:t xml:space="preserve">induced differences in feeding </w:t>
      </w:r>
      <w:r w:rsidR="00D44F7A">
        <w:rPr>
          <w:rFonts w:cstheme="minorHAnsi"/>
          <w:lang w:val="en-US"/>
        </w:rPr>
        <w:t xml:space="preserve">mode, </w:t>
      </w:r>
      <w:r w:rsidR="00230AC0">
        <w:rPr>
          <w:rFonts w:cstheme="minorHAnsi"/>
          <w:lang w:val="en-US"/>
        </w:rPr>
        <w:t xml:space="preserve">supporting plasticity as a mechanism </w:t>
      </w:r>
      <w:r w:rsidR="00230AC0">
        <w:rPr>
          <w:rFonts w:cstheme="minorHAnsi"/>
          <w:lang w:val="en-US"/>
        </w:rPr>
        <w:fldChar w:fldCharType="begin" w:fldLock="1"/>
      </w:r>
      <w:r w:rsidR="000B6581">
        <w:rPr>
          <w:rFonts w:cstheme="minorHAnsi"/>
          <w:lang w:val="en-US"/>
        </w:rPr>
        <w:instrText>ADDIN CSL_CITATION {"citationItems":[{"id":"ITEM-1","itemData":{"ISSN":"15220613 (ISSN)","abstract":"Questions: Do both habitat structure and feeding mode contribute to morphological divergence within fish populations? To what extent may an induced morphology be reversed? Organism: Young-of-the-year Eurasian perch (Perca fluviatilis L.). Methods: An aquarium experiment with a 2 × 2 factorial design (two levels of habitat structure and two levels of feeding mode). The habitat structure and feeding mode were reversed for perch in two habitat treatments midway through the experiment. Results: Both habitat structure and feeding mode contributed to morphological divergence (40.7% and 4.9% of the total variation respectively), which suggests that both habitat complexity and prey type diversity influence morphological adaptations in this fish species. Perch morphology is highly plastic and can be reversed in as short a time as 4 weeks.","author":[{"dropping-particle":"","family":"Olsson","given":"Jens","non-dropping-particle":"","parse-names":false,"suffix":""},{"dropping-particle":"","family":"Eklöv","given":"Peter","non-dropping-particle":"","parse-names":false,"suffix":""}],"container-title":"Evolutionary Ecology Research","id":"ITEM-1","issue":"8","issued":{"date-parts":[["2005"]]},"language":"eng","note":"2017-12-14T11:50:33.292+01:00","page":"1109-1123","publisher-place":"Limnology, Department of Ecology and Evolution, Biology, Disciplinary Domain of Science and Technology, Uppsala University","title":"Habitat structure, feeding mode and morphological reversibility: factors influencing phenotypic plasticity in perch","type":"article-journal","volume":"7"},"uris":["http://www.mendeley.com/documents/?uuid=856df8fa-37be-49da-b368-393adb8301c5"]}],"mendeley":{"formattedCitation":"(Olsson and Eklöv, 2005)","plainTextFormattedCitation":"(Olsson and Eklöv, 2005)","previouslyFormattedCitation":"(Olsson and Eklöv, 2005)"},"properties":{"noteIndex":0},"schema":"https://github.com/citation-style-language/schema/raw/master/csl-citation.json"}</w:instrText>
      </w:r>
      <w:r w:rsidR="00230AC0">
        <w:rPr>
          <w:rFonts w:cstheme="minorHAnsi"/>
          <w:lang w:val="en-US"/>
        </w:rPr>
        <w:fldChar w:fldCharType="separate"/>
      </w:r>
      <w:r w:rsidR="00C8169C" w:rsidRPr="00C8169C">
        <w:rPr>
          <w:rFonts w:cstheme="minorHAnsi"/>
          <w:noProof/>
          <w:lang w:val="en-US"/>
        </w:rPr>
        <w:t>(Olsson and Eklöv, 2005)</w:t>
      </w:r>
      <w:r w:rsidR="00230AC0">
        <w:rPr>
          <w:rFonts w:cstheme="minorHAnsi"/>
          <w:lang w:val="en-US"/>
        </w:rPr>
        <w:fldChar w:fldCharType="end"/>
      </w:r>
      <w:r w:rsidR="0005311B" w:rsidRPr="007751D5">
        <w:rPr>
          <w:rFonts w:cstheme="minorHAnsi"/>
          <w:lang w:val="en-US"/>
        </w:rPr>
        <w:t>.</w:t>
      </w:r>
      <w:r w:rsidR="0088472E">
        <w:rPr>
          <w:rFonts w:cstheme="minorHAnsi"/>
          <w:lang w:val="en-US"/>
        </w:rPr>
        <w:t xml:space="preserve"> </w:t>
      </w:r>
    </w:p>
    <w:p w14:paraId="174115F5" w14:textId="7EB9F675" w:rsidR="008818A8" w:rsidRDefault="00E70B09" w:rsidP="007F1711">
      <w:pPr>
        <w:spacing w:line="480" w:lineRule="auto"/>
        <w:jc w:val="both"/>
        <w:rPr>
          <w:rFonts w:cstheme="minorHAnsi"/>
          <w:lang w:val="en-US"/>
        </w:rPr>
      </w:pPr>
      <w:r>
        <w:rPr>
          <w:rFonts w:cstheme="minorHAnsi"/>
          <w:lang w:val="en-US"/>
        </w:rPr>
        <w:t>The benefit of a higher SMR is increased growth, but this is</w:t>
      </w:r>
      <w:r w:rsidRPr="003F070C">
        <w:rPr>
          <w:rFonts w:cstheme="minorHAnsi"/>
          <w:lang w:val="en-US"/>
        </w:rPr>
        <w:t xml:space="preserve"> only true in systems with high food availability</w:t>
      </w:r>
      <w:r>
        <w:rPr>
          <w:rFonts w:cstheme="minorHAnsi"/>
          <w:lang w:val="en-US"/>
        </w:rPr>
        <w:t xml:space="preserve"> </w:t>
      </w:r>
      <w:r>
        <w:rPr>
          <w:rFonts w:cstheme="minorHAnsi"/>
          <w:lang w:val="en-US"/>
        </w:rPr>
        <w:fldChar w:fldCharType="begin" w:fldLock="1"/>
      </w:r>
      <w:r w:rsidR="000B6581">
        <w:rPr>
          <w:rFonts w:cstheme="minorHAnsi"/>
          <w:lang w:val="en-US"/>
        </w:rPr>
        <w:instrText>ADDIN CSL_CITATION {"citationItems":[{"id":"ITEM-1","itemData":{"DOI":"10.1111/jfb.12699","abstract":"There is increasing interest in documenting and explaining the existence of marked intraspecific vari- ation in metabolic rate in animals, with fishes providing some of the best-studied examples. After accounting for variation due to other factors, there can typically be a two to three-fold variation among individual fishes for both standard and maximum metabolic rate (SMR and MMR). This variation is reasonably consistent over time (provided that conditions remain stable), and its underlying causes may be influenced by both genes and developmental conditions. In this paper, current knowledge of the extent and causes of individual variation in SMR, MMR and aerobic scope (AS), collectively its metabolic phenotype, is reviewed and potential links among metabolism, behaviour and performance are described. Intraspecific variation in metabolism has been found to be related to other traits: fishes with a relatively high SMR tend to be more dominant and grow faster in high food environments, but may lose their advantage and are more prone to risk-taking when conditions deteriorate. In contrast to the wide body of research examining links between SMR and behavioural traits, very little work has been directed towards understanding the ecological consequences of individual variation in MMR and AS. Although AS can differ among populations of the same species in response to performance demands, virtually nothing is known about the effects of AS on individual behaviours such as those associated with foraging or predator avoidance. Further, while factors such as food availability, temper- ature, hypoxia and the fish’s social environment are known to alter resting and MMRs in fishes, there is apaucity of studies examining how theseeffects vary among individuals,and howthisvariation relates to behaviour. Given the observed links between metabolism and measures of performance, understand- ing the metabolic responses of individuals to changing environments will be a key area for future research because the environment will have a strong influence on which animals survive predation, become dominant and ultimately have the highest reproductive success. Although current evidence suggests that variation in SMR may be maintained within populations via context-dependent fitness benefits, it is suggested that a more integrative approach is now required to fully understand how the environment can modulate individual performance via effects on metabolic phenotypes encompassing SMR…","author":[{"dropping-particle":"","family":"Metcalfe","given":"N.B.","non-dropping-particle":"","parse-names":false,"suffix":""},{"dropping-particle":"","family":"Leeuwen","given":"T.E.","non-dropping-particle":"Van","parse-names":false,"suffix":""},{"dropping-particle":"","family":"Killen","given":"Shaun S.","non-dropping-particle":"","parse-names":false,"suffix":""}],"container-title":"The Journal of Fish Biology","id":"ITEM-1","issued":{"date-parts":[["2016"]]},"page":"298-321","title":"Does individual variation in metabolic phenotype predict fish behaviour and performance?","type":"article-journal","volume":"88"},"uris":["http://www.mendeley.com/documents/?uuid=123fe13e-dd8f-4b2a-8ee8-797646fb63d1"]},{"id":"ITEM-2","itemData":{"DOI":"10.1098/rsbl.2016.0586","ISSN":"1744-9561","abstract":"Metabolic rates reflect the energetic cost of living but exhibit remarkable variation among conspecifics, partly as a result of the constraints imposed by environmental conditions. Metabolic rates are sensitive to changes in temperature and oxygen availability, but effects of food availability, particularly on maximum metabolic rates, are not well understood. Here, we show in brown trout ( Salmo trutta ) that maximum metabolic rates are immutable but minimum metabolic rates increase as a positive function of food availability. As a result, aerobic scope (i.e. the capacity to elevate metabolism above baseline requirements) declines as food availability increases. These differential changes in metabolic rates likely have important consequences for how organisms partition available metabolic power to different functions under the constraints imposed by food availability.","author":[{"dropping-particle":"","family":"Auer","given":"Sonya K.","non-dropping-particle":"","parse-names":false,"suffix":""},{"dropping-particle":"","family":"Salin","given":"Karine","non-dropping-particle":"","parse-names":false,"suffix":""},{"dropping-particle":"","family":"Rudolf","given":"Agata M.","non-dropping-particle":"","parse-names":false,"suffix":""},{"dropping-particle":"","family":"Anderson","given":"Graeme J.","non-dropping-particle":"","parse-names":false,"suffix":""},{"dropping-particle":"","family":"Metcalfe","given":"Neil B.","non-dropping-particle":"","parse-names":false,"suffix":""}],"container-title":"Biology Letters","id":"ITEM-2","issue":"10","issued":{"date-parts":[["2016","10"]]},"page":"20160586","title":"Differential effects of food availability on minimum and maximum rates of metabolism","type":"article-journal","volume":"12"},"uris":["http://www.mendeley.com/documents/?uuid=3e2da4ac-e5f2-4ca4-a1e0-26a969da080f"]},{"id":"ITEM-3","itemData":{"DOI":"10.1098/rspb.2011.1778","ISSN":"14712970","PMID":"21957133","abstract":"Individual differences in the energy cost of self-maintenance (resting metabolic rate, RMR) are substantial and the focus of an emerging research area. These differences may influence fitness because selfmaintenance is considered as a life-history component along with growth and reproduction. In this review, we ask why do some individuals have two to three times the 'maintenance costs' of conspecifics, and what are the fitness consequences? Using evidence from a range of species, we demonstrate that diverse factors, such as genotypes, maternal effects, early developmental conditions and personality differences contribute to variation in individual RMR. We review evidence that RMR is linked with fitness, showing correlations with traits such as growth and survival. However, these relationships aremodulated by environmental conditions (e.g. food supply), suggesting that the fitness consequences of a given RMR may be context-dependent. Then, using empirical examples, we discuss broad-scale reasons why variation in RMR might persist in natural populations, including the role of both spatial and temporal variation in selection pressures and trans-generational effects. To conclude, we discuss experimental approaches that will enable more rigorous examination of the causes and consequences of individual variation in this key physiological trait. © 2011 The Royal Society.","author":[{"dropping-particle":"","family":"Burton","given":"T.","non-dropping-particle":"","parse-names":false,"suffix":""},{"dropping-particle":"","family":"Killen","given":"S. S.","non-dropping-particle":"","parse-names":false,"suffix":""},{"dropping-particle":"","family":"Armstrong","given":"J. D.","non-dropping-particle":"","parse-names":false,"suffix":""},{"dropping-particle":"","family":"Metcalfe","given":"N. B.","non-dropping-particle":"","parse-names":false,"suffix":""}],"container-title":"Proceedings of the Royal Society B: Biological Sciences","id":"ITEM-3","issue":"1724","issued":{"date-parts":[["2011"]]},"page":"3465-3473","title":"What causes intraspecific variation in resting metabolic rate and what are its ecological consequences?","type":"article-journal","volume":"278"},"uris":["http://www.mendeley.com/documents/?uuid=d1dc50ae-c56f-45c7-9354-038ec328a984"]}],"mendeley":{"formattedCitation":"(Burton et al., 2011; Auer et al., 2016; Metcalfe et al., 2016)","plainTextFormattedCitation":"(Burton et al., 2011; Auer et al., 2016; Metcalfe et al., 2016)","previouslyFormattedCitation":"(Burton et al., 2011; Auer et al., 2016; Metcalfe et al., 2016)"},"properties":{"noteIndex":0},"schema":"https://github.com/citation-style-language/schema/raw/master/csl-citation.json"}</w:instrText>
      </w:r>
      <w:r>
        <w:rPr>
          <w:rFonts w:cstheme="minorHAnsi"/>
          <w:lang w:val="en-US"/>
        </w:rPr>
        <w:fldChar w:fldCharType="separate"/>
      </w:r>
      <w:r w:rsidR="00C8169C" w:rsidRPr="000B6581">
        <w:rPr>
          <w:rFonts w:cstheme="minorHAnsi"/>
          <w:noProof/>
          <w:lang w:val="en-US"/>
        </w:rPr>
        <w:t>(Burton et al., 2011; Auer et al., 2016; Metcalfe et al., 2016)</w:t>
      </w:r>
      <w:r>
        <w:rPr>
          <w:rFonts w:cstheme="minorHAnsi"/>
          <w:lang w:val="en-US"/>
        </w:rPr>
        <w:fldChar w:fldCharType="end"/>
      </w:r>
      <w:r w:rsidRPr="000B6581">
        <w:rPr>
          <w:rFonts w:cstheme="minorHAnsi"/>
          <w:lang w:val="en-US"/>
        </w:rPr>
        <w:t xml:space="preserve">. </w:t>
      </w:r>
      <w:r>
        <w:rPr>
          <w:rFonts w:cstheme="minorHAnsi"/>
          <w:lang w:val="en-US"/>
        </w:rPr>
        <w:t xml:space="preserve">In Erken, age 1+ and 2+ pelagic perch have higher growth rates than their littoral counterparts </w:t>
      </w:r>
      <w:r>
        <w:rPr>
          <w:rFonts w:cstheme="minorHAnsi"/>
          <w:lang w:val="en-US"/>
        </w:rPr>
        <w:fldChar w:fldCharType="begin" w:fldLock="1"/>
      </w:r>
      <w:r w:rsidR="002E4F95">
        <w:rPr>
          <w:rFonts w:cstheme="minorHAnsi"/>
          <w:lang w:val="en-US"/>
        </w:rPr>
        <w:instrText>ADDIN CSL_CITATION {"citationItems":[{"id":"ITEM-1","itemData":{"DOI":"10.1007/s00442-020-04668-y","ISBN":"0123456789","ISSN":"0029-8549","PMID":"32440703","abstract":"Fatty acids (FAs) are key nutrients for fitness which take part in multiple physiological processes over the ontogeny of organisms. Yet, we lack evidence on how FA nutrition mediates life-history trade-offs and ontogenetic niche shifts in natural populations. In a field study, we analyzed ontogenetic changes in the FAs of Eurasian perch (Perca fluviatilis L.), a widespread fish that goes through ontogenetic niche shifts and can have high individual niche specialization. Diet explained most of the variation in the FA composition of perch dorsal muscle over early ontogeny (28%), while the total length explained 23%, suggesting that perch significantly regulated FA composition over early ontogeny. Condition explained 1% of the remaining variation. 18:3n-3 (ALA) and 18:4n-3 (SDA) indicated planktivory; 18:1n-7, benthivory; and 22:6n-3 (DHA), piscivory in perch diet. Conversely, perch regulated long-chained polyunsaturated fatty acids (PUFAs), such as 20:5n-3 (EPA), 20:4n-6 (ARA) and 22:6n-3 (DHA) over ontogeny, emphasizing the role of such FAs in early growth and sexual maturation. Adult perch increasingly retained 16:1n-7 and 18:1n-9 suggesting higher energy storage in older perch. Furthermore, differences in DHA availability in diet correlated with intra-cohort differences in perch growth, potentially hindering the overall use of benthic resources and promoting earlier shifts to piscivory in littoral habitats. Overall, this study indicates that in addition to diet, internal regulation may be more important for FA composition than previously thought. Differences between FA needs and FA availability may lead to life-history trade-offs that affect the ecology of consumers, including their niche.","author":[{"dropping-particle":"","family":"Chaguaceda","given":"Fernando","non-dropping-particle":"","parse-names":false,"suffix":""},{"dropping-particle":"","family":"Eklöv","given":"P.","non-dropping-particle":"","parse-names":false,"suffix":""},{"dropping-particle":"","family":"Scharnweber","given":"K.","non-dropping-particle":"","parse-names":false,"suffix":""}],"container-title":"Oecologia","id":"ITEM-1","issue":"2","issued":{"date-parts":[["2020","6","21"]]},"page":"325-336","title":"Regulation of fatty acid composition related to ontogenetic changes and niche differentiation of a common aquatic consumer","type":"article-journal","volume":"193"},"uris":["http://www.mendeley.com/documents/?uuid=a71a53c3-e7e2-4085-be27-9446ef0db22c"]}],"mendeley":{"formattedCitation":"(Chaguaceda et al., 2020)","plainTextFormattedCitation":"(Chaguaceda et al., 2020)","previouslyFormattedCitation":"(Chaguaceda et al., 2020)"},"properties":{"noteIndex":0},"schema":"https://github.com/citation-style-language/schema/raw/master/csl-citation.json"}</w:instrText>
      </w:r>
      <w:r>
        <w:rPr>
          <w:rFonts w:cstheme="minorHAnsi"/>
          <w:lang w:val="en-US"/>
        </w:rPr>
        <w:fldChar w:fldCharType="separate"/>
      </w:r>
      <w:r w:rsidR="00EF0DCC" w:rsidRPr="00EF0DCC">
        <w:rPr>
          <w:rFonts w:cstheme="minorHAnsi"/>
          <w:noProof/>
          <w:lang w:val="en-US"/>
        </w:rPr>
        <w:t>(Chaguaceda et al., 2020)</w:t>
      </w:r>
      <w:r>
        <w:rPr>
          <w:rFonts w:cstheme="minorHAnsi"/>
          <w:lang w:val="en-US"/>
        </w:rPr>
        <w:fldChar w:fldCharType="end"/>
      </w:r>
      <w:r>
        <w:rPr>
          <w:rFonts w:cstheme="minorHAnsi"/>
          <w:lang w:val="en-US"/>
        </w:rPr>
        <w:t xml:space="preserve">, indicating sufficient food availability for high SMR to be a successful life history strategy in our system. A high </w:t>
      </w:r>
      <w:r w:rsidR="003662ED">
        <w:rPr>
          <w:rFonts w:cstheme="minorHAnsi"/>
          <w:lang w:val="en-US"/>
        </w:rPr>
        <w:t xml:space="preserve">AS </w:t>
      </w:r>
      <w:r>
        <w:rPr>
          <w:rFonts w:cstheme="minorHAnsi"/>
          <w:lang w:val="en-US"/>
        </w:rPr>
        <w:t>can also</w:t>
      </w:r>
      <w:r w:rsidR="003662ED">
        <w:rPr>
          <w:rFonts w:cstheme="minorHAnsi"/>
          <w:lang w:val="en-US"/>
        </w:rPr>
        <w:t xml:space="preserve"> </w:t>
      </w:r>
      <w:r w:rsidR="00075008">
        <w:rPr>
          <w:rFonts w:cstheme="minorHAnsi"/>
          <w:lang w:val="en-US"/>
        </w:rPr>
        <w:t>positively affect</w:t>
      </w:r>
      <w:r w:rsidR="003662ED">
        <w:rPr>
          <w:rFonts w:cstheme="minorHAnsi"/>
          <w:lang w:val="en-US"/>
        </w:rPr>
        <w:t xml:space="preserve"> growth </w:t>
      </w:r>
      <w:r w:rsidR="003662ED">
        <w:rPr>
          <w:rFonts w:cstheme="minorHAnsi"/>
          <w:lang w:val="en-US"/>
        </w:rPr>
        <w:fldChar w:fldCharType="begin" w:fldLock="1"/>
      </w:r>
      <w:r w:rsidR="002E4F95">
        <w:rPr>
          <w:rFonts w:cstheme="minorHAnsi"/>
          <w:lang w:val="en-US"/>
        </w:rPr>
        <w:instrText>ADDIN CSL_CITATION {"citationItems":[{"id":"ITEM-1","itemData":{"DOI":"10.1111/1365-2435.12396","ISBN":"1365-2435","ISSN":"13652435","PMID":"25939669","abstract":"1. Metabolic rates can vary as much as threefold among individuals of the same size and age in a population, but why such variation persists is unclear given that they determine the ener- getic cost of living. Relationships between standard metabolic rate (SMR), growth and survival can vary with environmental conditions, suggesting that the fitness consequences of a given metabolic phenotype may be context-dependent. Less attention has focused on the link between absolute aerobic scope (AS, the difference between standard and maximum metabolic rate) and fitness under different environmental conditions, despite the importance of aerobic scope to an organism’s total energetic capacity. 2. We examined the links between individual variation in both SMR and AS and somatic growth rates of brown trout (Salmo trutta) under different levels of food availability. 3. Standard metabolic rate and AS were uncorrelated across individuals. However, SMR and AS not only had interactive effects on growth, but these interactions depended on food level: at ad libitum food levels, AS had a positive effect on growth whose magnitude depended on SMR; at intermediate food levels, AS and SMR had interactive effects on growth, but at the low food level, there was no effect of either AS or SMR on growth. As a result, there was no metabolic phenotype that performed best or worst across all food levels. 4. These results demonstrate the importance of aerobic scope in explaining somatic growth rates and support the hypothesis that links between individual variation in metabolism and fit- ness are context-dependent. 5. The larger metabolic phenotype and the environmental context in which performance is evaluated both need to be considered in order to better understand the link between metabolic rates and fitness and thereby the persistence of individual variation in metabolic rates.","author":[{"dropping-particle":"","family":"Auer","given":"Sonya K.","non-dropping-particle":"","parse-names":false,"suffix":""},{"dropping-particle":"","family":"Salin","given":"Karine","non-dropping-particle":"","parse-names":false,"suffix":""},{"dropping-particle":"","family":"Rudolf","given":"Agata M.","non-dropping-particle":"","parse-names":false,"suffix":""},{"dropping-particle":"","family":"Anderson","given":"Graeme J.","non-dropping-particle":"","parse-names":false,"suffix":""},{"dropping-particle":"","family":"Metcalfe","given":"Neil B.","non-dropping-particle":"","parse-names":false,"suffix":""}],"container-title":"Functional Ecology","id":"ITEM-1","issue":"4","issued":{"date-parts":[["2015"]]},"note":"maintained in tanks with differnt food rations - high, medium, and low to see which fish grew best","page":"479-486","title":"The optimal combination of standard metabolic rate and aerobic scope for somatic growth depends on food availability","type":"article-journal","volume":"29"},"uris":["http://www.mendeley.com/documents/?uuid=d37e2e3c-0712-4f16-9cb6-e2af07bcc076"]},{"id":"ITEM-2","itemData":{"DOI":"10.1111/jfb.12699","abstract":"There is increasing interest in documenting and explaining the existence of marked intraspecific vari- ation in metabolic rate in animals, with fishes providing some of the best-studied examples. After accounting for variation due to other factors, there can typically be a two to three-fold variation among individual fishes for both standard and maximum metabolic rate (SMR and MMR). This variation is reasonably consistent over time (provided that conditions remain stable), and its underlying causes may be influenced by both genes and developmental conditions. In this paper, current knowledge of the extent and causes of individual variation in SMR, MMR and aerobic scope (AS), collectively its metabolic phenotype, is reviewed and potential links among metabolism, behaviour and performance are described. Intraspecific variation in metabolism has been found to be related to other traits: fishes with a relatively high SMR tend to be more dominant and grow faster in high food environments, but may lose their advantage and are more prone to risk-taking when conditions deteriorate. In contrast to the wide body of research examining links between SMR and behavioural traits, very little work has been directed towards understanding the ecological consequences of individual variation in MMR and AS. Although AS can differ among populations of the same species in response to performance demands, virtually nothing is known about the effects of AS on individual behaviours such as those associated with foraging or predator avoidance. Further, while factors such as food availability, temper- ature, hypoxia and the fish’s social environment are known to alter resting and MMRs in fishes, there is apaucity of studies examining how theseeffects vary among individuals,and howthisvariation relates to behaviour. Given the observed links between metabolism and measures of performance, understand- ing the metabolic responses of individuals to changing environments will be a key area for future research because the environment will have a strong influence on which animals survive predation, become dominant and ultimately have the highest reproductive success. Although current evidence suggests that variation in SMR may be maintained within populations via context-dependent fitness benefits, it is suggested that a more integrative approach is now required to fully understand how the environment can modulate individual performance via effects on metabolic phenotypes encompassing SMR…","author":[{"dropping-particle":"","family":"Metcalfe","given":"N.B.","non-dropping-particle":"","parse-names":false,"suffix":""},{"dropping-particle":"","family":"Leeuwen","given":"T.E.","non-dropping-particle":"Van","parse-names":false,"suffix":""},{"dropping-particle":"","family":"Killen","given":"Shaun S.","non-dropping-particle":"","parse-names":false,"suffix":""}],"container-title":"The Journal of Fish Biology","id":"ITEM-2","issued":{"date-parts":[["2016"]]},"page":"298-321","title":"Does individual variation in metabolic phenotype predict fish behaviour and performance?","type":"article-journal","volume":"88"},"uris":["http://www.mendeley.com/documents/?uuid=123fe13e-dd8f-4b2a-8ee8-797646fb63d1"]}],"mendeley":{"formattedCitation":"(Auer et al., 2015; Metcalfe et al., 2016)","plainTextFormattedCitation":"(Auer et al., 2015; Metcalfe et al., 2016)","previouslyFormattedCitation":"(Auer et al., 2015; Metcalfe et al., 2016)"},"properties":{"noteIndex":0},"schema":"https://github.com/citation-style-language/schema/raw/master/csl-citation.json"}</w:instrText>
      </w:r>
      <w:r w:rsidR="003662ED">
        <w:rPr>
          <w:rFonts w:cstheme="minorHAnsi"/>
          <w:lang w:val="en-US"/>
        </w:rPr>
        <w:fldChar w:fldCharType="separate"/>
      </w:r>
      <w:r w:rsidR="00EF0DCC" w:rsidRPr="00EF0DCC">
        <w:rPr>
          <w:rFonts w:cstheme="minorHAnsi"/>
          <w:noProof/>
          <w:lang w:val="en-US"/>
        </w:rPr>
        <w:t>(Auer et al., 2015; Metcalfe et al., 2016)</w:t>
      </w:r>
      <w:r w:rsidR="003662ED">
        <w:rPr>
          <w:rFonts w:cstheme="minorHAnsi"/>
          <w:lang w:val="en-US"/>
        </w:rPr>
        <w:fldChar w:fldCharType="end"/>
      </w:r>
      <w:r w:rsidR="001D29B1">
        <w:rPr>
          <w:rFonts w:cstheme="minorHAnsi"/>
          <w:lang w:val="en-US"/>
        </w:rPr>
        <w:t xml:space="preserve"> </w:t>
      </w:r>
      <w:r w:rsidR="006E4737">
        <w:rPr>
          <w:rFonts w:cstheme="minorHAnsi"/>
          <w:lang w:val="en-US"/>
        </w:rPr>
        <w:t xml:space="preserve">and </w:t>
      </w:r>
      <w:r w:rsidR="00D44F7A">
        <w:rPr>
          <w:rFonts w:cstheme="minorHAnsi"/>
          <w:lang w:val="en-US"/>
        </w:rPr>
        <w:t xml:space="preserve">is </w:t>
      </w:r>
      <w:r w:rsidR="006E4737">
        <w:rPr>
          <w:rFonts w:cstheme="minorHAnsi"/>
          <w:lang w:val="en-US"/>
        </w:rPr>
        <w:t>correlated with</w:t>
      </w:r>
      <w:r w:rsidR="00067FFE">
        <w:rPr>
          <w:rFonts w:cstheme="minorHAnsi"/>
          <w:lang w:val="en-US"/>
        </w:rPr>
        <w:t xml:space="preserve"> activity</w:t>
      </w:r>
      <w:r w:rsidR="005841C7">
        <w:rPr>
          <w:rFonts w:cstheme="minorHAnsi"/>
          <w:lang w:val="en-US"/>
        </w:rPr>
        <w:t xml:space="preserve"> and endurance </w:t>
      </w:r>
      <w:r w:rsidR="005841C7">
        <w:rPr>
          <w:rFonts w:cstheme="minorHAnsi"/>
          <w:lang w:val="en-US"/>
        </w:rPr>
        <w:fldChar w:fldCharType="begin" w:fldLock="1"/>
      </w:r>
      <w:r w:rsidR="000B6581">
        <w:rPr>
          <w:rFonts w:cstheme="minorHAnsi"/>
          <w:lang w:val="en-US"/>
        </w:rPr>
        <w:instrText>ADDIN CSL_CITATION {"citationItems":[{"id":"ITEM-1","itemData":{"DOI":"10.1242/jeb.203.2.347","ISSN":"1477-9145","PMID":"10607544","abstract":"Individual Atlantic cod (Gadus morhua) were exercised using three different measures of swimming performance. (1) An endurance test (critical swimming speed, U(crit), protocol) designed to assess predominantly aerobic endurance swimming (duration hours). (2) An acceleration test (U(burst)), in which the fish were required to swim against a rapidly increasing current until exhausted (duration minutes). This test was designed to assess predominantly glycolytic-based swimming capacity. (3) A sprint test that examined the animals' ability to swim away from a sudden stimulus (duration seconds). Rates of oxygen consumption (mdot (O2)) during the endurance test and various morphological variables of the individual fish were also measured. Both aerobic and anaerobic swimming performance of individual cod were found to be significantly repeatable over a 3 month period. mdot (O2) during the U(crit) protocol was also significantly repeatable at intermediate to high swimming speeds, but not at low speeds. Our results support extrapolation from metabolic rates at incremented swimming speeds to zero activity as the best way to measure standard metabolic rate in cod. While performance in the U(crit) test and the sprint test were positively correlated, there was a negative correlation between performance in the U(crit) test and performance in the U(burst) test. This implies a potential trade-off in individual cod between stamina and the ability to use glycolytic-based locomotion. Inter-individual variation in swimming performance during these protocols, while substantial, was not correlated with individual variation in fin surface areas, age or morphology. However, U(burst) performance was dependent upon the sex of the animals, while performance during the U(crit) protocol was significantly correlated with their aerobic scope for activity.","author":[{"dropping-particle":"","family":"Reidy","given":"S.P.","non-dropping-particle":"","parse-names":false,"suffix":""},{"dropping-particle":"","family":"Kerr","given":"S.R.","non-dropping-particle":"","parse-names":false,"suffix":""},{"dropping-particle":"","family":"Nelson","given":"J.A.","non-dropping-particle":"","parse-names":false,"suffix":""}],"container-title":"Journal of Experimental Biology","id":"ITEM-1","issue":"2","issued":{"date-parts":[["2000","1","15"]]},"page":"347-357","title":"Aerobic and anaerobic swimming performance of individual Atlantic cod","type":"article-journal","volume":"203"},"uris":["http://www.mendeley.com/documents/?uuid=20499567-9e8d-4a11-9176-b48cbba336d1"]},{"id":"ITEM-2","itemData":{"DOI":"10.1111/brv.12115","ISSN":"1469185X","abstract":"A common, long-held belief is that metabolic rate drives the rates of various biological, ecological and evolutionary processes. Although this metabolic pacemaker view (as assumed by the recent, influential 'metabolic theory of ecology') may be true in at least some situations (e.g. those involving moderate temperature effects or physiological processes closely linked to metabolism, such as heartbeat and breathing rate), it suffers from several major limitations, including: (i) it is supported chiefly by indirect, correlational evidence (e.g. similarities between the body-size and temperature scaling of metabolic rate and that of other biological processes, which are not always observed) - direct, mechanistic or experimental support is scarce and much needed; (ii) it is contradicted by abundant evidence showing that various intrinsic and extrinsic factors (e.g. hormonal action and temperature changes) can dissociate the rates of metabolism, growth, development and other biological processes; (iii) there are many examples where metabolic rate appears to respond to, rather than drive the rates of various other biological processes (e.g. ontogenetic growth, food intake and locomotor activity); (iv) there are additional examples where metabolic rate appears to be unrelated to the rate of a biological process (e.g. ageing, circadian rhythms, and molecular evolution); and (v) the theoretical foundation for the metabolic pacemaker view focuses only on the energetic control of biological processes, while ignoring the importance of informational control, as mediated by various genetic, cellular, and neuroendocrine regulatory systems. I argue that a comprehensive understanding of the pace of life must include how biological activities depend on both energy and information and their environmentally sensitive interaction. This conclusion is supported by extensive evidence showing that hormones and other regulatory factors and signalling systems coordinate the processes of growth, metabolism and food intake in adaptive ways that are responsive to an organism's internal and external conditions. Metabolic rate does not merely dictate growth rate, but is coadjusted with it. Energy and information use are intimately intertwined in living systems: biological signalling pathways both control and respond to the energetic state of an organism. This review also reveals that we have much to learn about the temporal structure of the pace of life. Are its component processes hi…","author":[{"dropping-particle":"","family":"Glazier","given":"Douglas S.","non-dropping-particle":"","parse-names":false,"suffix":""}],"container-title":"Biological Reviews","id":"ITEM-2","issue":"2","issued":{"date-parts":[["2015"]]},"page":"377-407","title":"Is metabolic rate a universal 'pacemaker' for biological processes?","type":"article-journal","volume":"90"},"uris":["http://www.mendeley.com/documents/?uuid=256dcf3a-7c5a-4f95-b261-a5873db2e21f"]}],"mendeley":{"formattedCitation":"(Reidy et al., 2000; Glazier, 2015)","plainTextFormattedCitation":"(Reidy et al., 2000; Glazier, 2015)","previouslyFormattedCitation":"(Reidy et al., 2000; Glazier, 2015)"},"properties":{"noteIndex":0},"schema":"https://github.com/citation-style-language/schema/raw/master/csl-citation.json"}</w:instrText>
      </w:r>
      <w:r w:rsidR="005841C7">
        <w:rPr>
          <w:rFonts w:cstheme="minorHAnsi"/>
          <w:lang w:val="en-US"/>
        </w:rPr>
        <w:fldChar w:fldCharType="separate"/>
      </w:r>
      <w:r w:rsidR="00C8169C" w:rsidRPr="00C8169C">
        <w:rPr>
          <w:rFonts w:cstheme="minorHAnsi"/>
          <w:noProof/>
          <w:lang w:val="en-US"/>
        </w:rPr>
        <w:t>(Reidy et al., 2000; Glazier, 2015)</w:t>
      </w:r>
      <w:r w:rsidR="005841C7">
        <w:rPr>
          <w:rFonts w:cstheme="minorHAnsi"/>
          <w:lang w:val="en-US"/>
        </w:rPr>
        <w:fldChar w:fldCharType="end"/>
      </w:r>
      <w:r w:rsidR="005841C7">
        <w:rPr>
          <w:rFonts w:cstheme="minorHAnsi"/>
          <w:lang w:val="en-US"/>
        </w:rPr>
        <w:t xml:space="preserve">, which we would expect to </w:t>
      </w:r>
      <w:r w:rsidR="008818A8">
        <w:rPr>
          <w:rFonts w:cstheme="minorHAnsi"/>
          <w:lang w:val="en-US"/>
        </w:rPr>
        <w:t xml:space="preserve">disproportionally </w:t>
      </w:r>
      <w:r w:rsidR="005841C7">
        <w:rPr>
          <w:rFonts w:cstheme="minorHAnsi"/>
          <w:lang w:val="en-US"/>
        </w:rPr>
        <w:t>benefit pelagic perch</w:t>
      </w:r>
      <w:r w:rsidR="008818A8">
        <w:rPr>
          <w:rFonts w:cstheme="minorHAnsi"/>
          <w:lang w:val="en-US"/>
        </w:rPr>
        <w:t>.</w:t>
      </w:r>
      <w:r w:rsidR="00E454EA">
        <w:rPr>
          <w:rFonts w:cstheme="minorHAnsi"/>
          <w:lang w:val="en-US"/>
        </w:rPr>
        <w:t xml:space="preserve"> </w:t>
      </w:r>
      <w:r w:rsidR="008818A8">
        <w:rPr>
          <w:rFonts w:cstheme="minorHAnsi"/>
          <w:lang w:val="en-US"/>
        </w:rPr>
        <w:t>H</w:t>
      </w:r>
      <w:r w:rsidR="00E454EA">
        <w:rPr>
          <w:rFonts w:cstheme="minorHAnsi"/>
          <w:lang w:val="en-US"/>
        </w:rPr>
        <w:t>owever</w:t>
      </w:r>
      <w:r w:rsidR="005841C7">
        <w:rPr>
          <w:rFonts w:cstheme="minorHAnsi"/>
          <w:lang w:val="en-US"/>
        </w:rPr>
        <w:t>,</w:t>
      </w:r>
      <w:r w:rsidR="008818A8">
        <w:rPr>
          <w:rFonts w:cstheme="minorHAnsi"/>
          <w:lang w:val="en-US"/>
        </w:rPr>
        <w:t xml:space="preserve"> </w:t>
      </w:r>
      <w:r w:rsidR="004E0B8C">
        <w:rPr>
          <w:rFonts w:cstheme="minorHAnsi"/>
          <w:lang w:val="en-US"/>
        </w:rPr>
        <w:t>in our study</w:t>
      </w:r>
      <w:r w:rsidR="008818A8">
        <w:rPr>
          <w:rFonts w:cstheme="minorHAnsi"/>
          <w:lang w:val="en-US"/>
        </w:rPr>
        <w:t>,</w:t>
      </w:r>
      <w:r w:rsidR="005841C7">
        <w:rPr>
          <w:rFonts w:cstheme="minorHAnsi"/>
          <w:lang w:val="en-US"/>
        </w:rPr>
        <w:t xml:space="preserve"> MMR </w:t>
      </w:r>
      <w:r w:rsidR="00E454EA">
        <w:rPr>
          <w:rFonts w:cstheme="minorHAnsi"/>
          <w:lang w:val="en-US"/>
        </w:rPr>
        <w:t>did not</w:t>
      </w:r>
      <w:r w:rsidR="005841C7">
        <w:rPr>
          <w:rFonts w:cstheme="minorHAnsi"/>
          <w:lang w:val="en-US"/>
        </w:rPr>
        <w:t xml:space="preserve"> scale with SMR </w:t>
      </w:r>
      <w:r w:rsidR="008818A8">
        <w:rPr>
          <w:rFonts w:cstheme="minorHAnsi"/>
          <w:lang w:val="en-US"/>
        </w:rPr>
        <w:t xml:space="preserve">resulting in a </w:t>
      </w:r>
      <w:r w:rsidR="005841C7">
        <w:rPr>
          <w:rFonts w:cstheme="minorHAnsi"/>
          <w:lang w:val="en-US"/>
        </w:rPr>
        <w:t xml:space="preserve">lower AS in pelagic perch. This lack of flexibility in MMR has also been found </w:t>
      </w:r>
      <w:r w:rsidR="007751D5" w:rsidRPr="003F070C">
        <w:rPr>
          <w:rFonts w:cstheme="minorHAnsi"/>
          <w:lang w:val="en-US"/>
        </w:rPr>
        <w:t xml:space="preserve">under alternate thermal regimes </w:t>
      </w:r>
      <w:r w:rsidR="007751D5" w:rsidRPr="003F070C">
        <w:rPr>
          <w:rFonts w:cstheme="minorHAnsi"/>
          <w:lang w:val="en-US"/>
        </w:rPr>
        <w:fldChar w:fldCharType="begin" w:fldLock="1"/>
      </w:r>
      <w:r w:rsidR="002E4F95">
        <w:rPr>
          <w:rFonts w:cstheme="minorHAnsi"/>
          <w:lang w:val="en-US"/>
        </w:rPr>
        <w:instrText>ADDIN CSL_CITATION {"citationItems":[{"id":"ITEM-1","itemData":{"DOI":"10.1038/ncomms11447","ISSN":"2041-1723","author":[{"dropping-particle":"","family":"Sandblom","given":"Erik","non-dropping-particle":"","parse-names":false,"suffix":""},{"dropping-particle":"","family":"Clark","given":"Timothy D.","non-dropping-particle":"","parse-names":false,"suffix":""},{"dropping-particle":"","family":"Gräns","given":"Albin","non-dropping-particle":"","parse-names":false,"suffix":""},{"dropping-particle":"","family":"Ekström","given":"Andreas","non-dropping-particle":"","parse-names":false,"suffix":""},{"dropping-particle":"","family":"Brijs","given":"Jeroen","non-dropping-particle":"","parse-names":false,"suffix":""},{"dropping-particle":"","family":"Sundström","given":"L. Fredrik","non-dropping-particle":"","parse-names":false,"suffix":""},{"dropping-particle":"","family":"Odelström","given":"Anne","non-dropping-particle":"","parse-names":false,"suffix":""},{"dropping-particle":"","family":"Adill","given":"Anders","non-dropping-particle":"","parse-names":false,"suffix":""},{"dropping-particle":"","family":"Aho","given":"Teija","non-dropping-particle":"","parse-names":false,"suffix":""},{"dropping-particle":"","family":"Jutfelt","given":"Fredrik","non-dropping-particle":"","parse-names":false,"suffix":""}],"container-title":"Nature Communications","id":"ITEM-1","issue":"7491","issued":{"date-parts":[["2016"]]},"note":"Super applicable, also has a lot of the methods we are planning to use. I wonder if there are any other systems like this located further south.... Germany or France perhaps.","page":"1-8","title":"Physiological constraints to climate warming in fish follow principles of plastic floors and concrete ceilings","type":"article-journal","volume":"7"},"uris":["http://www.mendeley.com/documents/?uuid=ab949b0f-ce19-47f9-b3ff-11279214f0ca"]}],"mendeley":{"formattedCitation":"(Sandblom et al., 2016)","plainTextFormattedCitation":"(Sandblom et al., 2016)","previouslyFormattedCitation":"(Sandblom et al., 2016)"},"properties":{"noteIndex":0},"schema":"https://github.com/citation-style-language/schema/raw/master/csl-citation.json"}</w:instrText>
      </w:r>
      <w:r w:rsidR="007751D5" w:rsidRPr="003F070C">
        <w:rPr>
          <w:rFonts w:cstheme="minorHAnsi"/>
          <w:lang w:val="en-US"/>
        </w:rPr>
        <w:fldChar w:fldCharType="separate"/>
      </w:r>
      <w:r w:rsidR="00EF0DCC" w:rsidRPr="00EF0DCC">
        <w:rPr>
          <w:rFonts w:cstheme="minorHAnsi"/>
          <w:noProof/>
          <w:lang w:val="en-US"/>
        </w:rPr>
        <w:t>(Sandblom et al., 2016)</w:t>
      </w:r>
      <w:r w:rsidR="007751D5" w:rsidRPr="003F070C">
        <w:rPr>
          <w:rFonts w:cstheme="minorHAnsi"/>
          <w:lang w:val="en-US"/>
        </w:rPr>
        <w:fldChar w:fldCharType="end"/>
      </w:r>
      <w:r w:rsidR="007751D5" w:rsidRPr="003F070C">
        <w:rPr>
          <w:rFonts w:cstheme="minorHAnsi"/>
          <w:lang w:val="en-US"/>
        </w:rPr>
        <w:t xml:space="preserve"> </w:t>
      </w:r>
      <w:r w:rsidR="005841C7">
        <w:rPr>
          <w:rFonts w:cstheme="minorHAnsi"/>
          <w:lang w:val="en-US"/>
        </w:rPr>
        <w:t>and</w:t>
      </w:r>
      <w:r w:rsidR="007751D5" w:rsidRPr="003F070C">
        <w:rPr>
          <w:rFonts w:cstheme="minorHAnsi"/>
          <w:lang w:val="en-US"/>
        </w:rPr>
        <w:t xml:space="preserve"> food availability </w:t>
      </w:r>
      <w:r w:rsidR="007751D5" w:rsidRPr="003F070C">
        <w:rPr>
          <w:rFonts w:cstheme="minorHAnsi"/>
          <w:lang w:val="en-US"/>
        </w:rPr>
        <w:fldChar w:fldCharType="begin" w:fldLock="1"/>
      </w:r>
      <w:r w:rsidR="002E4F95">
        <w:rPr>
          <w:rFonts w:cstheme="minorHAnsi"/>
          <w:lang w:val="en-US"/>
        </w:rPr>
        <w:instrText>ADDIN CSL_CITATION {"citationItems":[{"id":"ITEM-1","itemData":{"DOI":"10.1098/rsbl.2016.0586","ISSN":"1744-9561","abstract":"Metabolic rates reflect the energetic cost of living but exhibit remarkable variation among conspecifics, partly as a result of the constraints imposed by environmental conditions. Metabolic rates are sensitive to changes in temperature and oxygen availability, but effects of food availability, particularly on maximum metabolic rates, are not well understood. Here, we show in brown trout ( Salmo trutta ) that maximum metabolic rates are immutable but minimum metabolic rates increase as a positive function of food availability. As a result, aerobic scope (i.e. the capacity to elevate metabolism above baseline requirements) declines as food availability increases. These differential changes in metabolic rates likely have important consequences for how organisms partition available metabolic power to different functions under the constraints imposed by food availability.","author":[{"dropping-particle":"","family":"Auer","given":"Sonya K.","non-dropping-particle":"","parse-names":false,"suffix":""},{"dropping-particle":"","family":"Salin","given":"Karine","non-dropping-particle":"","parse-names":false,"suffix":""},{"dropping-particle":"","family":"Rudolf","given":"Agata M.","non-dropping-particle":"","parse-names":false,"suffix":""},{"dropping-particle":"","family":"Anderson","given":"Graeme J.","non-dropping-particle":"","parse-names":false,"suffix":""},{"dropping-particle":"","family":"Metcalfe","given":"Neil B.","non-dropping-particle":"","parse-names":false,"suffix":""}],"container-title":"Biology Letters","id":"ITEM-1","issue":"10","issued":{"date-parts":[["2016","10"]]},"page":"20160586","title":"Differential effects of food availability on minimum and maximum rates of metabolism","type":"article-journal","volume":"12"},"uris":["http://www.mendeley.com/documents/?uuid=3e2da4ac-e5f2-4ca4-a1e0-26a969da080f"]}],"mendeley":{"formattedCitation":"(Auer et al., 2016)","plainTextFormattedCitation":"(Auer et al., 2016)","previouslyFormattedCitation":"(Auer et al., 2016)"},"properties":{"noteIndex":0},"schema":"https://github.com/citation-style-language/schema/raw/master/csl-citation.json"}</w:instrText>
      </w:r>
      <w:r w:rsidR="007751D5" w:rsidRPr="003F070C">
        <w:rPr>
          <w:rFonts w:cstheme="minorHAnsi"/>
          <w:lang w:val="en-US"/>
        </w:rPr>
        <w:fldChar w:fldCharType="separate"/>
      </w:r>
      <w:r w:rsidR="00EF0DCC" w:rsidRPr="00EF0DCC">
        <w:rPr>
          <w:rFonts w:cstheme="minorHAnsi"/>
          <w:noProof/>
          <w:lang w:val="en-US"/>
        </w:rPr>
        <w:t>(Auer et al., 2016)</w:t>
      </w:r>
      <w:r w:rsidR="007751D5" w:rsidRPr="003F070C">
        <w:rPr>
          <w:rFonts w:cstheme="minorHAnsi"/>
          <w:lang w:val="en-US"/>
        </w:rPr>
        <w:fldChar w:fldCharType="end"/>
      </w:r>
      <w:r w:rsidR="00E454EA">
        <w:rPr>
          <w:rFonts w:cstheme="minorHAnsi"/>
          <w:lang w:val="en-US"/>
        </w:rPr>
        <w:t xml:space="preserve"> </w:t>
      </w:r>
      <w:r w:rsidR="005841C7">
        <w:rPr>
          <w:rFonts w:cstheme="minorHAnsi"/>
          <w:lang w:val="en-US"/>
        </w:rPr>
        <w:t>and may</w:t>
      </w:r>
      <w:r w:rsidR="008818A8">
        <w:rPr>
          <w:rFonts w:cstheme="minorHAnsi"/>
          <w:lang w:val="en-US"/>
        </w:rPr>
        <w:t xml:space="preserve"> help determine </w:t>
      </w:r>
      <w:r w:rsidR="006C152A">
        <w:rPr>
          <w:rFonts w:cstheme="minorHAnsi"/>
          <w:lang w:val="en-US"/>
        </w:rPr>
        <w:t xml:space="preserve">the conditions for persistence of </w:t>
      </w:r>
      <w:r w:rsidR="00F227F0">
        <w:rPr>
          <w:rFonts w:cstheme="minorHAnsi"/>
          <w:lang w:val="en-US"/>
        </w:rPr>
        <w:t>pelagic perch populations.</w:t>
      </w:r>
    </w:p>
    <w:p w14:paraId="51515B51" w14:textId="7D0866EF" w:rsidR="0005311B" w:rsidRPr="003F070C" w:rsidRDefault="0005311B" w:rsidP="007F1711">
      <w:pPr>
        <w:spacing w:line="480" w:lineRule="auto"/>
        <w:jc w:val="both"/>
        <w:rPr>
          <w:rFonts w:cstheme="minorHAnsi"/>
          <w:lang w:val="en-US"/>
        </w:rPr>
      </w:pPr>
      <w:r w:rsidRPr="003F070C">
        <w:rPr>
          <w:rFonts w:cstheme="minorHAnsi"/>
          <w:lang w:val="en-US"/>
        </w:rPr>
        <w:t xml:space="preserve">Adaptive divergence and the development of </w:t>
      </w:r>
      <w:r w:rsidR="004E0B8C">
        <w:rPr>
          <w:rFonts w:cstheme="minorHAnsi"/>
          <w:lang w:val="en-US"/>
        </w:rPr>
        <w:t>distinct morphs</w:t>
      </w:r>
      <w:r w:rsidRPr="003F070C">
        <w:rPr>
          <w:rFonts w:cstheme="minorHAnsi"/>
          <w:lang w:val="en-US"/>
        </w:rPr>
        <w:t xml:space="preserve"> can be </w:t>
      </w:r>
      <w:r w:rsidR="00E454EA">
        <w:rPr>
          <w:rFonts w:cstheme="minorHAnsi"/>
          <w:lang w:val="en-US"/>
        </w:rPr>
        <w:t>the</w:t>
      </w:r>
      <w:r w:rsidRPr="003F070C">
        <w:rPr>
          <w:rFonts w:cstheme="minorHAnsi"/>
          <w:lang w:val="en-US"/>
        </w:rPr>
        <w:t xml:space="preserve"> first step </w:t>
      </w:r>
      <w:r w:rsidR="00E454EA">
        <w:rPr>
          <w:rFonts w:cstheme="minorHAnsi"/>
          <w:lang w:val="en-US"/>
        </w:rPr>
        <w:t>toward</w:t>
      </w:r>
      <w:r w:rsidRPr="003F070C">
        <w:rPr>
          <w:rFonts w:cstheme="minorHAnsi"/>
          <w:lang w:val="en-US"/>
        </w:rPr>
        <w:t xml:space="preserve"> speciation when followed by reproductive isolation</w:t>
      </w:r>
      <w:r w:rsidR="00E454EA">
        <w:rPr>
          <w:rFonts w:cstheme="minorHAnsi"/>
          <w:lang w:val="en-US"/>
        </w:rPr>
        <w:t>,</w:t>
      </w:r>
      <w:r w:rsidRPr="003F070C">
        <w:rPr>
          <w:rFonts w:cstheme="minorHAnsi"/>
          <w:lang w:val="en-US"/>
        </w:rPr>
        <w:t xml:space="preserve"> due </w:t>
      </w:r>
      <w:r w:rsidR="0062688B">
        <w:rPr>
          <w:rFonts w:cstheme="minorHAnsi"/>
          <w:lang w:val="en-US"/>
        </w:rPr>
        <w:t xml:space="preserve">either </w:t>
      </w:r>
      <w:r w:rsidRPr="003F070C">
        <w:rPr>
          <w:rFonts w:cstheme="minorHAnsi"/>
          <w:lang w:val="en-US"/>
        </w:rPr>
        <w:t xml:space="preserve">to selective mating or physical isolation. </w:t>
      </w:r>
      <w:r w:rsidRPr="003F070C">
        <w:rPr>
          <w:rFonts w:cstheme="minorHAnsi"/>
          <w:lang w:val="en-US"/>
        </w:rPr>
        <w:fldChar w:fldCharType="begin" w:fldLock="1"/>
      </w:r>
      <w:r w:rsidR="000B6581">
        <w:rPr>
          <w:rFonts w:cstheme="minorHAnsi"/>
          <w:lang w:val="en-US"/>
        </w:rPr>
        <w:instrText>ADDIN CSL_CITATION {"citationItems":[{"id":"ITEM-1","itemData":{"author":[{"dropping-particle":"","family":"Faulks","given":"Leanne","non-dropping-particle":"","parse-names":false,"suffix":""},{"dropping-particle":"","family":"Svanbäck","given":"Richard","non-dropping-particle":"","parse-names":false,"suffix":""},{"dropping-particle":"","family":"Eklöv","given":"Peter","non-dropping-particle":"","parse-names":false,"suffix":""},{"dropping-particle":"","family":"Östman","given":"Örjan","non-dropping-particle":"","parse-names":false,"suffix":""}],"container-title":"Biological Journal of the Linnean Society","id":"ITEM-1","issued":{"date-parts":[["2015"]]},"note":"yes assortive mating, but no sig coupling of morphology and genetic divergence. \nthe extent of resource polymorphism maybe largely caused by phenotypic plasticity\n\n###Results suggest that assortive mating does occur but not according to genetically fixed morph traits --- could there be a genetic basis for differences in metabolism?","page":"929-940","title":"Genetic and morphological divergence along the littoral – pelagic axis in two common and sympatric fishes : perch, &lt;i&gt;Perca fluviatilis&lt;/i&gt; (Percidae) and roach, &lt;i&gt;Rutilus rutilus&lt;/i&gt; (Cyprinidae)","type":"article-journal","volume":"114"},"uris":["http://www.mendeley.com/documents/?uuid=be627a53-03ad-4ccf-b1cb-600a20977761"]}],"mendeley":{"formattedCitation":"(Faulks et al., 2015)","manualFormatting":"Faulks et al. (2015)","plainTextFormattedCitation":"(Faulks et al., 2015)","previouslyFormattedCitation":"(Faulks et al., 2015)"},"properties":{"noteIndex":0},"schema":"https://github.com/citation-style-language/schema/raw/master/csl-citation.json"}</w:instrText>
      </w:r>
      <w:r w:rsidRPr="003F070C">
        <w:rPr>
          <w:rFonts w:cstheme="minorHAnsi"/>
          <w:lang w:val="en-US"/>
        </w:rPr>
        <w:fldChar w:fldCharType="separate"/>
      </w:r>
      <w:r w:rsidRPr="003F070C">
        <w:rPr>
          <w:rFonts w:cstheme="minorHAnsi"/>
          <w:noProof/>
          <w:lang w:val="en-US"/>
        </w:rPr>
        <w:t>Faulks et al. (2015)</w:t>
      </w:r>
      <w:r w:rsidRPr="003F070C">
        <w:rPr>
          <w:rFonts w:cstheme="minorHAnsi"/>
          <w:lang w:val="en-US"/>
        </w:rPr>
        <w:fldChar w:fldCharType="end"/>
      </w:r>
      <w:r w:rsidRPr="003F070C">
        <w:rPr>
          <w:rFonts w:cstheme="minorHAnsi"/>
          <w:lang w:val="en-US"/>
        </w:rPr>
        <w:t xml:space="preserve"> and </w:t>
      </w:r>
      <w:r w:rsidRPr="003F070C">
        <w:rPr>
          <w:rFonts w:cstheme="minorHAnsi"/>
          <w:lang w:val="en-US"/>
        </w:rPr>
        <w:fldChar w:fldCharType="begin" w:fldLock="1"/>
      </w:r>
      <w:r w:rsidR="000B6581">
        <w:rPr>
          <w:rFonts w:cstheme="minorHAnsi"/>
          <w:lang w:val="en-US"/>
        </w:rPr>
        <w:instrText>ADDIN CSL_CITATION {"citationItems":[{"id":"ITEM-1","itemData":{"DOI":"10.1111/j.1558-5646.2007.00163.x","ISSN":"00143820","PMID":"17683444","abstract":"Gene flow between coexisting or nearby populations normally prevents genetic divergence and local adaptation. Despite this, there are an increasing number of reports of sympatric sister taxa, indicating potential divergence and speciation in the face of gene flow. A large number of such reported cases involve lake-dwelling fish, which are expected to run into few physical barriers to dispersal within their aquatic habitat. However, such cases may not necessarily reflect sympatric speciation if cryptic dispersal barriers are common in lakes and other aquatic systems. In this study, we examined genetic differentiation in perch (Perca fluviatilis L.) from nine locations in a single, small lake (24 km2), using microsatellites. We detected significant genetic differentiation in all but two pairwise comparisons. These patterns were not consistent with divergence by distance or the existence of kin groups. Instead, they suggest that cryptic barriers to dispersal exist within the lake, allowing small-scale genetic divergence. Such an observation suggests that allopatric (or parapatric) divergence may be possible, even in small, apparently homogenous environments such as lakes. This has important consequences for how we currently view evidence from nature for sympatric speciation. © 2007 The Author(s).","author":[{"dropping-particle":"","family":"Bergek","given":"S.","non-dropping-particle":"","parse-names":false,"suffix":""},{"dropping-particle":"","family":"Björklund","given":"M.","non-dropping-particle":"","parse-names":false,"suffix":""}],"container-title":"Evolution","id":"ITEM-1","issue":"8","issued":{"date-parts":[["2007"]]},"page":"2035-2041","title":"Cryptic barriers to dispersal within a lake allow genetic differentiation of Eurasian perch","type":"article-journal","volume":"61"},"uris":["http://www.mendeley.com/documents/?uuid=f455f15f-d0a7-486c-8788-45b41cb6a50f"]}],"mendeley":{"formattedCitation":"(Bergek and Björklund, 2007)","manualFormatting":"Bergek and Björklund (2007)","plainTextFormattedCitation":"(Bergek and Björklund, 2007)","previouslyFormattedCitation":"(Bergek and Björklund, 2007)"},"properties":{"noteIndex":0},"schema":"https://github.com/citation-style-language/schema/raw/master/csl-citation.json"}</w:instrText>
      </w:r>
      <w:r w:rsidRPr="003F070C">
        <w:rPr>
          <w:rFonts w:cstheme="minorHAnsi"/>
          <w:lang w:val="en-US"/>
        </w:rPr>
        <w:fldChar w:fldCharType="separate"/>
      </w:r>
      <w:r w:rsidRPr="003F070C">
        <w:rPr>
          <w:rFonts w:cstheme="minorHAnsi"/>
          <w:noProof/>
          <w:lang w:val="en-US"/>
        </w:rPr>
        <w:t>Bergek and Björklund (2007)</w:t>
      </w:r>
      <w:r w:rsidRPr="003F070C">
        <w:rPr>
          <w:rFonts w:cstheme="minorHAnsi"/>
          <w:lang w:val="en-US"/>
        </w:rPr>
        <w:fldChar w:fldCharType="end"/>
      </w:r>
      <w:r w:rsidRPr="003F070C">
        <w:rPr>
          <w:rFonts w:cstheme="minorHAnsi"/>
          <w:lang w:val="en-US"/>
        </w:rPr>
        <w:t xml:space="preserve"> found evidence for assortative mating within littoral and pelagic perch </w:t>
      </w:r>
      <w:r w:rsidR="00AF0B25">
        <w:rPr>
          <w:rFonts w:cstheme="minorHAnsi"/>
          <w:lang w:val="en-US"/>
        </w:rPr>
        <w:t>ecotypes</w:t>
      </w:r>
      <w:r w:rsidRPr="003F070C">
        <w:rPr>
          <w:rFonts w:cstheme="minorHAnsi"/>
          <w:lang w:val="en-US"/>
        </w:rPr>
        <w:t xml:space="preserve"> and higher kinship values in the pelagic groups (but see </w:t>
      </w:r>
      <w:r w:rsidRPr="003F070C">
        <w:rPr>
          <w:rFonts w:cstheme="minorHAnsi"/>
          <w:lang w:val="en-US"/>
        </w:rPr>
        <w:fldChar w:fldCharType="begin" w:fldLock="1"/>
      </w:r>
      <w:r w:rsidR="002E4F95">
        <w:rPr>
          <w:rFonts w:cstheme="minorHAnsi"/>
          <w:lang w:val="en-US"/>
        </w:rPr>
        <w:instrText>ADDIN CSL_CITATION {"citationItems":[{"id":"ITEM-1","itemData":{"DOI":"10.1002/ece3.4973","ISSN":"20457758","abstract":"Predators should stabilize food webs because they can move between spatially separate habitats. However, predators adapted to forage on local resources may have a reduced ability to couple habitats. Here, we show clear asymmetry in the ability to couple habitats by Eurasian perch—a common polymorphic predator in European lakes. We sampled perch from two spatially separate habitats—pelagic and littoral zones—in Lake Erken, Sweden. Littoral perch showed stronger individual specialization, but they also used resources from the pelagic zone, indicating their ability to couple habitats. In contrast, pelagic perch showed weaker individual specialization but near complete reliance on pelagic resources, indicating their preference to one habitat. This asymmetry in the habitat coupling ability of perch challenges the expec‐ tation that, in general, predators should stabilize spatially separated food webs. Our results suggest that habitat coupling might be constrained by morphological adapta‐ tions, which in this case were not related to genetic differentiation but were more likely related to differences in individual specialization.","author":[{"dropping-particle":"","family":"Marklund","given":"Maria H.K.","non-dropping-particle":"","parse-names":false,"suffix":""},{"dropping-particle":"","family":"Svanbäck","given":"Richard","non-dropping-particle":"","parse-names":false,"suffix":""},{"dropping-particle":"","family":"Faulks","given":"Leanne","non-dropping-particle":"","parse-names":false,"suffix":""},{"dropping-particle":"","family":"Breed","given":"Martin F.","non-dropping-particle":"","parse-names":false,"suffix":""},{"dropping-particle":"","family":"Scharnweber","given":"Kristin","non-dropping-particle":"","parse-names":false,"suffix":""},{"dropping-particle":"","family":"Zha","given":"Yinghua","non-dropping-particle":"","parse-names":false,"suffix":""},{"dropping-particle":"","family":"Eklöv","given":"Peter","non-dropping-particle":"","parse-names":false,"suffix":""}],"container-title":"Ecology and Evolution","id":"ITEM-1","issue":"6","issued":{"date-parts":[["2019"]]},"page":"3405-3415","title":"Asymmetrical habitat coupling of an aquatic predator—The importance of individual specialization","type":"article-journal","volume":"9"},"uris":["http://www.mendeley.com/documents/?uuid=f2718611-8e12-410b-9c8c-6361a0667680"]}],"mendeley":{"formattedCitation":"(Marklund et al., 2019)","manualFormatting":"Marklund et al. (2019)","plainTextFormattedCitation":"(Marklund et al., 2019)","previouslyFormattedCitation":"(Marklund et al., 2019)"},"properties":{"noteIndex":0},"schema":"https://github.com/citation-style-language/schema/raw/master/csl-citation.json"}</w:instrText>
      </w:r>
      <w:r w:rsidRPr="003F070C">
        <w:rPr>
          <w:rFonts w:cstheme="minorHAnsi"/>
          <w:lang w:val="en-US"/>
        </w:rPr>
        <w:fldChar w:fldCharType="separate"/>
      </w:r>
      <w:r w:rsidR="00F43A3F" w:rsidRPr="003F070C">
        <w:rPr>
          <w:rFonts w:cstheme="minorHAnsi"/>
          <w:noProof/>
          <w:lang w:val="en-US"/>
        </w:rPr>
        <w:t xml:space="preserve">Marklund et al. </w:t>
      </w:r>
      <w:r w:rsidR="0017031A">
        <w:rPr>
          <w:rFonts w:cstheme="minorHAnsi"/>
          <w:noProof/>
          <w:lang w:val="en-US"/>
        </w:rPr>
        <w:t>(</w:t>
      </w:r>
      <w:r w:rsidR="00F43A3F" w:rsidRPr="003F070C">
        <w:rPr>
          <w:rFonts w:cstheme="minorHAnsi"/>
          <w:noProof/>
          <w:lang w:val="en-US"/>
        </w:rPr>
        <w:t>2019)</w:t>
      </w:r>
      <w:r w:rsidRPr="003F070C">
        <w:rPr>
          <w:rFonts w:cstheme="minorHAnsi"/>
          <w:lang w:val="en-US"/>
        </w:rPr>
        <w:fldChar w:fldCharType="end"/>
      </w:r>
      <w:r w:rsidRPr="003F070C">
        <w:rPr>
          <w:rFonts w:cstheme="minorHAnsi"/>
          <w:lang w:val="en-US"/>
        </w:rPr>
        <w:t xml:space="preserve">). Though the mechanism facilitating this assortative mating is unknown, differences in timing or spawning depth between </w:t>
      </w:r>
      <w:r w:rsidR="00AF0B25">
        <w:rPr>
          <w:rFonts w:cstheme="minorHAnsi"/>
          <w:lang w:val="en-US"/>
        </w:rPr>
        <w:t>ecotypes</w:t>
      </w:r>
      <w:r w:rsidRPr="003F070C">
        <w:rPr>
          <w:rFonts w:cstheme="minorHAnsi"/>
          <w:lang w:val="en-US"/>
        </w:rPr>
        <w:t xml:space="preserve"> </w:t>
      </w:r>
      <w:r w:rsidR="00E454EA">
        <w:rPr>
          <w:rFonts w:cstheme="minorHAnsi"/>
          <w:lang w:val="en-US"/>
        </w:rPr>
        <w:t>are</w:t>
      </w:r>
      <w:r w:rsidRPr="003F070C">
        <w:rPr>
          <w:rFonts w:cstheme="minorHAnsi"/>
          <w:lang w:val="en-US"/>
        </w:rPr>
        <w:t xml:space="preserve"> seen in coregonids </w:t>
      </w:r>
      <w:r w:rsidRPr="003F070C">
        <w:rPr>
          <w:rFonts w:cstheme="minorHAnsi"/>
          <w:lang w:val="en-US"/>
        </w:rPr>
        <w:fldChar w:fldCharType="begin" w:fldLock="1"/>
      </w:r>
      <w:r w:rsidR="000B6581">
        <w:rPr>
          <w:rFonts w:cstheme="minorHAnsi"/>
          <w:lang w:val="en-US"/>
        </w:rPr>
        <w:instrText>ADDIN CSL_CITATION {"citationItems":[{"id":"ITEM-1","itemData":{"ISBN":"3510470621","ISSN":"1612166X","abstract":"Coregonines are becoming a model system for studying rapid speciation and adaptive radiation. Radiations have occurred in large lakes throughout the Northern Hemisphere following deglaciation. Some radiations are characterized by limited genetic diversity and display either poorly and/or well differentiated ecotypes. Other radiations contain high levels of total genetic diversity, but little genetic differentiation between ecotypes. This variation in the relationship between total genetic diversity, the distribution of genetic variance and the degree of morphological divergence provides an interesting model for studying the origins of sympatric species diversity. We review the evidence for three alternative speciation scenarios within all three coregonine genera: Prosopium, Stenodus and Coregonus. Reviewing genetic, morphological and biogeographical data we estimate the relative importance of (i) geographic speciation where in situ diversity builds up by multiple invasions, (ii) speciation by divergent selection without geographical isolation from a single founder population, and (iii) speciation involving divergent selection during secondary contact with hybridization. In the context of this third scenario we discuss three alternative mechanisms: the maintenance and strengthening of allopatrically arisen reproductive isolation through classical reinforcement; the persistence of allopatrically arisen phenotypic differentiation in the absence of reproductive isolation; complete collapse of genetic and phenotypic structure into a hybrid swarm from which new incipient species arise in sympatry. Using the speciation mode predictions developed in this review, hybrid swarm and genomically-driven reinforcement appeared the most prevalent in the Coregoninae. Putative cases of sympatric speciation were also identified. © 2007 E. Schweizerbart'sche Verlagsbuchhandlung.","author":[{"dropping-particle":"","family":"Hudson","given":"Alan G.","non-dropping-particle":"","parse-names":false,"suffix":""},{"dropping-particle":"","family":"Vonlanthen","given":"Pascal","non-dropping-particle":"","parse-names":false,"suffix":""},{"dropping-particle":"","family":"Müller","given":"Rudolf","non-dropping-particle":"","parse-names":false,"suffix":""},{"dropping-particle":"","family":"Seehausen","given":"Ole","non-dropping-particle":"","parse-names":false,"suffix":""}],"container-title":"Advances in Limnology","id":"ITEM-1","issued":{"date-parts":[["2007"]]},"page":"111-146","title":"Review: The geography of speciation and adaptive radiation in coregonines","type":"article-journal","volume":"60"},"uris":["http://www.mendeley.com/documents/?uuid=2096408a-685c-4a6e-abd6-1e2375b28c45"]}],"mendeley":{"formattedCitation":"(Hudson et al., 2007)","plainTextFormattedCitation":"(Hudson et al., 2007)","previouslyFormattedCitation":"(Hudson et al., 2007)"},"properties":{"noteIndex":0},"schema":"https://github.com/citation-style-language/schema/raw/master/csl-citation.json"}</w:instrText>
      </w:r>
      <w:r w:rsidRPr="003F070C">
        <w:rPr>
          <w:rFonts w:cstheme="minorHAnsi"/>
          <w:lang w:val="en-US"/>
        </w:rPr>
        <w:fldChar w:fldCharType="separate"/>
      </w:r>
      <w:r w:rsidR="00C8169C" w:rsidRPr="00C8169C">
        <w:rPr>
          <w:rFonts w:cstheme="minorHAnsi"/>
          <w:noProof/>
          <w:lang w:val="en-US"/>
        </w:rPr>
        <w:t>(Hudson et al., 2007)</w:t>
      </w:r>
      <w:r w:rsidRPr="003F070C">
        <w:rPr>
          <w:rFonts w:cstheme="minorHAnsi"/>
          <w:lang w:val="en-US"/>
        </w:rPr>
        <w:fldChar w:fldCharType="end"/>
      </w:r>
      <w:r w:rsidRPr="003F070C">
        <w:rPr>
          <w:rFonts w:cstheme="minorHAnsi"/>
          <w:lang w:val="en-US"/>
        </w:rPr>
        <w:t xml:space="preserve"> and</w:t>
      </w:r>
      <w:r w:rsidR="00E454EA">
        <w:rPr>
          <w:rFonts w:cstheme="minorHAnsi"/>
          <w:lang w:val="en-US"/>
        </w:rPr>
        <w:t>,</w:t>
      </w:r>
      <w:r w:rsidRPr="003F070C">
        <w:rPr>
          <w:rFonts w:cstheme="minorHAnsi"/>
          <w:lang w:val="en-US"/>
        </w:rPr>
        <w:t xml:space="preserve"> along with spawning ground connectedness </w:t>
      </w:r>
      <w:r w:rsidRPr="003F070C">
        <w:rPr>
          <w:rFonts w:cstheme="minorHAnsi"/>
          <w:lang w:val="en-US"/>
        </w:rPr>
        <w:fldChar w:fldCharType="begin" w:fldLock="1"/>
      </w:r>
      <w:r w:rsidR="000B6581">
        <w:rPr>
          <w:rFonts w:cstheme="minorHAnsi"/>
          <w:lang w:val="en-US"/>
        </w:rPr>
        <w:instrText>ADDIN CSL_CITATION {"citationItems":[{"id":"ITEM-1","itemData":{"DOI":"10.1111/j.1558-5646.2007.00163.x","ISSN":"00143820","PMID":"17683444","abstract":"Gene flow between coexisting or nearby populations normally prevents genetic divergence and local adaptation. Despite this, there are an increasing number of reports of sympatric sister taxa, indicating potential divergence and speciation in the face of gene flow. A large number of such reported cases involve lake-dwelling fish, which are expected to run into few physical barriers to dispersal within their aquatic habitat. However, such cases may not necessarily reflect sympatric speciation if cryptic dispersal barriers are common in lakes and other aquatic systems. In this study, we examined genetic differentiation in perch (Perca fluviatilis L.) from nine locations in a single, small lake (24 km2), using microsatellites. We detected significant genetic differentiation in all but two pairwise comparisons. These patterns were not consistent with divergence by distance or the existence of kin groups. Instead, they suggest that cryptic barriers to dispersal exist within the lake, allowing small-scale genetic divergence. Such an observation suggests that allopatric (or parapatric) divergence may be possible, even in small, apparently homogenous environments such as lakes. This has important consequences for how we currently view evidence from nature for sympatric speciation. © 2007 The Author(s).","author":[{"dropping-particle":"","family":"Bergek","given":"S.","non-dropping-particle":"","parse-names":false,"suffix":""},{"dropping-particle":"","family":"Björklund","given":"M.","non-dropping-particle":"","parse-names":false,"suffix":""}],"container-title":"Evolution","id":"ITEM-1","issue":"8","issued":{"date-parts":[["2007"]]},"page":"2035-2041","title":"Cryptic barriers to dispersal within a lake allow genetic differentiation of Eurasian perch","type":"article-journal","volume":"61"},"uris":["http://www.mendeley.com/documents/?uuid=f455f15f-d0a7-486c-8788-45b41cb6a50f"]}],"mendeley":{"formattedCitation":"(Bergek and Björklund, 2007)","plainTextFormattedCitation":"(Bergek and Björklund, 2007)","previouslyFormattedCitation":"(Bergek and Björklund, 2007)"},"properties":{"noteIndex":0},"schema":"https://github.com/citation-style-language/schema/raw/master/csl-citation.json"}</w:instrText>
      </w:r>
      <w:r w:rsidRPr="003F070C">
        <w:rPr>
          <w:rFonts w:cstheme="minorHAnsi"/>
          <w:lang w:val="en-US"/>
        </w:rPr>
        <w:fldChar w:fldCharType="separate"/>
      </w:r>
      <w:r w:rsidR="00C8169C" w:rsidRPr="00C8169C">
        <w:rPr>
          <w:rFonts w:cstheme="minorHAnsi"/>
          <w:noProof/>
          <w:lang w:val="en-US"/>
        </w:rPr>
        <w:t>(Bergek and Björklund, 2007)</w:t>
      </w:r>
      <w:r w:rsidRPr="003F070C">
        <w:rPr>
          <w:rFonts w:cstheme="minorHAnsi"/>
          <w:lang w:val="en-US"/>
        </w:rPr>
        <w:fldChar w:fldCharType="end"/>
      </w:r>
      <w:r w:rsidRPr="003F070C">
        <w:rPr>
          <w:rFonts w:cstheme="minorHAnsi"/>
          <w:lang w:val="en-US"/>
        </w:rPr>
        <w:t xml:space="preserve">, have been offered as potential mechanisms </w:t>
      </w:r>
      <w:r w:rsidR="005B37FD">
        <w:rPr>
          <w:rFonts w:cstheme="minorHAnsi"/>
          <w:lang w:val="en-US"/>
        </w:rPr>
        <w:t xml:space="preserve">for assortative mating in </w:t>
      </w:r>
      <w:r w:rsidRPr="003F070C">
        <w:rPr>
          <w:rFonts w:cstheme="minorHAnsi"/>
          <w:lang w:val="en-US"/>
        </w:rPr>
        <w:t xml:space="preserve">perch as well </w:t>
      </w:r>
      <w:r w:rsidRPr="003F070C">
        <w:rPr>
          <w:rFonts w:cstheme="minorHAnsi"/>
          <w:lang w:val="en-US"/>
        </w:rPr>
        <w:fldChar w:fldCharType="begin" w:fldLock="1"/>
      </w:r>
      <w:r w:rsidR="002E4F95">
        <w:rPr>
          <w:rFonts w:cstheme="minorHAnsi"/>
          <w:lang w:val="en-US"/>
        </w:rPr>
        <w:instrText>ADDIN CSL_CITATION {"citationItems":[{"id":"ITEM-1","itemData":{"author":[{"dropping-particle":"","family":"Faulks","given":"Leanne","non-dropping-particle":"","parse-names":false,"suffix":""},{"dropping-particle":"","family":"Svanbäck","given":"Richard","non-dropping-particle":"","parse-names":false,"suffix":""},{"dropping-particle":"","family":"Eklöv","given":"Peter","non-dropping-particle":"","parse-names":false,"suffix":""},{"dropping-particle":"","family":"Östman","given":"Örjan","non-dropping-particle":"","parse-names":false,"suffix":""}],"container-title":"Biological Journal of the Linnean Society","id":"ITEM-1","issued":{"date-parts":[["2015"]]},"note":"yes assortive mating, but no sig coupling of morphology and genetic divergence. \nthe extent of resource polymorphism maybe largely caused by phenotypic plasticity\n\n###Results suggest that assortive mating does occur but not according to genetically fixed morph traits --- could there be a genetic basis for differences in metabolism?","page":"929-940","title":"Genetic and morphological divergence along the littoral – pelagic axis in two common and sympatric fishes : perch, &lt;i&gt;Perca fluviatilis&lt;/i&gt; (Percidae) and roach, &lt;i&gt;Rutilus rutilus&lt;/i&gt; (Cyprinidae)","type":"article-journal","volume":"114"},"uris":["http://www.mendeley.com/documents/?uuid=be627a53-03ad-4ccf-b1cb-600a20977761"]}],"mendeley":{"formattedCitation":"(Faulks et al., 2015)","plainTextFormattedCitation":"(Faulks et al., 2015)","previouslyFormattedCitation":"(Faulks et al., 2015)"},"properties":{"noteIndex":0},"schema":"https://github.com/citation-style-language/schema/raw/master/csl-citation.json"}</w:instrText>
      </w:r>
      <w:r w:rsidRPr="003F070C">
        <w:rPr>
          <w:rFonts w:cstheme="minorHAnsi"/>
          <w:lang w:val="en-US"/>
        </w:rPr>
        <w:fldChar w:fldCharType="separate"/>
      </w:r>
      <w:r w:rsidR="00EF0DCC" w:rsidRPr="00EF0DCC">
        <w:rPr>
          <w:rFonts w:cstheme="minorHAnsi"/>
          <w:noProof/>
          <w:lang w:val="en-US"/>
        </w:rPr>
        <w:t>(Faulks et al., 2015)</w:t>
      </w:r>
      <w:r w:rsidRPr="003F070C">
        <w:rPr>
          <w:rFonts w:cstheme="minorHAnsi"/>
          <w:lang w:val="en-US"/>
        </w:rPr>
        <w:fldChar w:fldCharType="end"/>
      </w:r>
      <w:r w:rsidRPr="003F070C">
        <w:rPr>
          <w:rFonts w:cstheme="minorHAnsi"/>
          <w:lang w:val="en-US"/>
        </w:rPr>
        <w:t xml:space="preserve">. Within coregonids, </w:t>
      </w:r>
      <w:r w:rsidR="00AF0B25">
        <w:rPr>
          <w:rFonts w:cstheme="minorHAnsi"/>
          <w:lang w:val="en-US"/>
        </w:rPr>
        <w:t>ecotypes</w:t>
      </w:r>
      <w:r w:rsidRPr="003F070C">
        <w:rPr>
          <w:rFonts w:cstheme="minorHAnsi"/>
          <w:lang w:val="en-US"/>
        </w:rPr>
        <w:t xml:space="preserve"> with high activity show over-</w:t>
      </w:r>
      <w:r w:rsidRPr="003F070C">
        <w:rPr>
          <w:rFonts w:cstheme="minorHAnsi"/>
          <w:lang w:val="en-US"/>
        </w:rPr>
        <w:lastRenderedPageBreak/>
        <w:t xml:space="preserve">expression of genes associated with metabolism </w:t>
      </w:r>
      <w:r w:rsidRPr="003F070C">
        <w:rPr>
          <w:rFonts w:cstheme="minorHAnsi"/>
          <w:lang w:val="en-US"/>
        </w:rPr>
        <w:fldChar w:fldCharType="begin" w:fldLock="1"/>
      </w:r>
      <w:r w:rsidR="000B6581">
        <w:rPr>
          <w:rFonts w:cstheme="minorHAnsi"/>
          <w:lang w:val="en-US"/>
        </w:rPr>
        <w:instrText>ADDIN CSL_CITATION {"citationItems":[{"id":"ITEM-1","itemData":{"DOI":"10.1098/rstb.2009.0274","ISSN":"0962-8436","PMID":"20439281","abstract":"In contrast to the large amount of ecological information supporting the role of natural selection as a main cause of population divergence and speciation, an understanding of the genomic basis underlying those processes is in its infancy. In this paper, we review the main findings of a long-term research programme that we have been conducting on the ecological genomics of sympatric forms of whitefish ( Coregonus spp.) engaged in the process of speciation. We present this system as an example of how applying a combination of approaches under the conceptual framework of the theory of adaptive radiation has yielded substantial insight into evolutionary processes in a non-model species. We also discuss how the joint use of recent biotechnological developments will provide a powerful means to address issues raised by observations made to date. Namely, we present data illustrating the potential offered by combining next generation sequencing technologies with other genomic approaches to reveal the genomic bases of adaptive divergence and reproductive isolation. Given increasing access to these new genomic tools, we argue that non-model species studied in their ecological context such as whitefish will play an increasingly important role in generalizing knowledge of speciation.","author":[{"dropping-particle":"","family":"Bernatchez","given":"Louis","non-dropping-particle":"","parse-names":false,"suffix":""},{"dropping-particle":"","family":"Renaut","given":"Sébastien","non-dropping-particle":"","parse-names":false,"suffix":""},{"dropping-particle":"","family":"Whiteley","given":"Andrew R.","non-dropping-particle":"","parse-names":false,"suffix":""},{"dropping-particle":"","family":"Derome","given":"Nicolas","non-dropping-particle":"","parse-names":false,"suffix":""},{"dropping-particle":"","family":"Jeukens","given":"Julie","non-dropping-particle":"","parse-names":false,"suffix":""},{"dropping-particle":"","family":"Landry","given":"Lysandre","non-dropping-particle":"","parse-names":false,"suffix":""},{"dropping-particle":"","family":"Lu","given":"Guoqing","non-dropping-particle":"","parse-names":false,"suffix":""},{"dropping-particle":"","family":"Nolte","given":"Arne W.","non-dropping-particle":"","parse-names":false,"suffix":""},{"dropping-particle":"","family":"Østbye","given":"Kjartan","non-dropping-particle":"","parse-names":false,"suffix":""},{"dropping-particle":"","family":"Rogers","given":"Sean M.","non-dropping-particle":"","parse-names":false,"suffix":""},{"dropping-particle":"","family":"St-Cyr","given":"Jérôme","non-dropping-particle":"","parse-names":false,"suffix":""}],"container-title":"Philosophical Transactions of the Royal Society B: Biological Sciences","id":"ITEM-1","issue":"1547","issued":{"date-parts":[["2010","6","12"]]},"page":"1783-1800","title":"On the origin of species: insights from the ecological genomics of lake whitefish","type":"article-journal","volume":"365"},"uris":["http://www.mendeley.com/documents/?uuid=a36182cc-bacd-45a6-a2e5-0b860da4ac75"]},{"id":"ITEM-2","itemData":{"DOI":"10.1111/j.1365-294X.2010.04934.x","ISSN":"09621083","PMID":"21087448","abstract":"Gene expression divergence is one of the mechanisms thought to be involved in the emergence of incipient species. Next-generation sequencing has become an extremely valuable tool for the study of this process by allowing whole transcriptome sequencing, or RNA-Seq. We have conducted a 454 GS-FLX pyrosequencing experiment to refine our understanding of adaptive divergence between dwarf and normal lake whitefish species (Coregonus clupeaformis spp.). The objectives were to: (i) investigate transcriptomic divergence as measured by liver RNA-Seq; (ii) test the correlation between divergence in expression and sequence polymorphism; and (iii) investigate the extent of allelic imbalance. We also compared the results of RNA-seq with those of a previous microarray study performed on the same fish. Following de novo assembly, results showed that normal whitefish overexpressed more contigs associated with protein synthesis while dwarf fish overexpressed more contigs related to energy metabolism, immunity and DNA replication and repair. Moreover, 63 SNPs showed significant allelic imbalance, and this phenomenon prevailed in the recently diverged dwarf whitefish. Results also showed an absence of correlation between gene expression divergence as measured by RNA-Seq and either polymorphism rate or sequence divergence between normal and dwarf whitefish. This study reiterates an important role for gene expression divergence, and provides evidence for allele-specific expression divergence as well as evolutionary decoupling of regulatory and coding sequences in the adaptive divergence of normal and dwarf whitefish. It also demonstrates how next-generation sequencing can lead to a more comprehensive understanding of transcriptomic divergence in a young species pair. © 2010 Blackwell Publishing Ltd.","author":[{"dropping-particle":"","family":"Jeukens","given":"Julie","non-dropping-particle":"","parse-names":false,"suffix":""},{"dropping-particle":"","family":"Renaut","given":"Sébastien","non-dropping-particle":"","parse-names":false,"suffix":""},{"dropping-particle":"","family":"St-Cyr","given":"Jérôme","non-dropping-particle":"","parse-names":false,"suffix":""},{"dropping-particle":"","family":"Nolte","given":"Arne W.","non-dropping-particle":"","parse-names":false,"suffix":""},{"dropping-particle":"","family":"Bernatchez","given":"Louis","non-dropping-particle":"","parse-names":false,"suffix":""}],"container-title":"Molecular Ecology","id":"ITEM-2","issue":"24","issued":{"date-parts":[["2010","12"]]},"page":"5389-5403","title":"The transcriptomics of sympatric dwarf and normal lake whitefish (&lt;i&gt;Coregonus clupeaformis&lt;/i&gt; spp., Salmonidae) divergence as revealed by next-generation sequencing","type":"article-journal","volume":"19"},"uris":["http://www.mendeley.com/documents/?uuid=e6083ffe-f64d-460e-ad92-5d59a14c275e"]}],"mendeley":{"formattedCitation":"(Bernatchez et al., 2010; Jeukens et al., 2010)","manualFormatting":"(Bernatchez et al., 2010; Jeukens et al., 2010),","plainTextFormattedCitation":"(Bernatchez et al., 2010; Jeukens et al., 2010)","previouslyFormattedCitation":"(Bernatchez et al., 2010; Jeukens et al., 2010)"},"properties":{"noteIndex":0},"schema":"https://github.com/citation-style-language/schema/raw/master/csl-citation.json"}</w:instrText>
      </w:r>
      <w:r w:rsidRPr="003F070C">
        <w:rPr>
          <w:rFonts w:cstheme="minorHAnsi"/>
          <w:lang w:val="en-US"/>
        </w:rPr>
        <w:fldChar w:fldCharType="separate"/>
      </w:r>
      <w:r w:rsidR="00F43A3F" w:rsidRPr="003F070C">
        <w:rPr>
          <w:rFonts w:cstheme="minorHAnsi"/>
          <w:noProof/>
          <w:lang w:val="en-US"/>
        </w:rPr>
        <w:t>(Bernatchez et al., 2010; Jeukens et al., 2010)</w:t>
      </w:r>
      <w:r w:rsidR="00E454EA">
        <w:rPr>
          <w:rFonts w:cstheme="minorHAnsi"/>
          <w:noProof/>
          <w:lang w:val="en-US"/>
        </w:rPr>
        <w:t>,</w:t>
      </w:r>
      <w:r w:rsidRPr="003F070C">
        <w:rPr>
          <w:rFonts w:cstheme="minorHAnsi"/>
          <w:lang w:val="en-US"/>
        </w:rPr>
        <w:fldChar w:fldCharType="end"/>
      </w:r>
      <w:r w:rsidRPr="003F070C">
        <w:rPr>
          <w:rFonts w:cstheme="minorHAnsi"/>
          <w:lang w:val="en-US"/>
        </w:rPr>
        <w:t xml:space="preserve"> and future studies on perch could use similar methods to examine whether the differences in SMR between </w:t>
      </w:r>
      <w:r w:rsidR="004E0B8C">
        <w:rPr>
          <w:rFonts w:cstheme="minorHAnsi"/>
          <w:lang w:val="en-US"/>
        </w:rPr>
        <w:t>littoral and pelagic fish</w:t>
      </w:r>
      <w:r w:rsidRPr="003F070C">
        <w:rPr>
          <w:rFonts w:cstheme="minorHAnsi"/>
          <w:lang w:val="en-US"/>
        </w:rPr>
        <w:t xml:space="preserve"> </w:t>
      </w:r>
      <w:r w:rsidR="0062688B">
        <w:rPr>
          <w:rFonts w:cstheme="minorHAnsi"/>
          <w:lang w:val="en-US"/>
        </w:rPr>
        <w:t>have</w:t>
      </w:r>
      <w:r w:rsidRPr="003F070C">
        <w:rPr>
          <w:rFonts w:cstheme="minorHAnsi"/>
          <w:lang w:val="en-US"/>
        </w:rPr>
        <w:t xml:space="preserve"> a genetic basis. </w:t>
      </w:r>
    </w:p>
    <w:p w14:paraId="0AB13290" w14:textId="6AAA8820" w:rsidR="001858D9" w:rsidRDefault="0005311B" w:rsidP="007F1711">
      <w:pPr>
        <w:spacing w:line="480" w:lineRule="auto"/>
        <w:jc w:val="both"/>
        <w:rPr>
          <w:rFonts w:cstheme="minorHAnsi"/>
          <w:lang w:val="en-US"/>
        </w:rPr>
      </w:pPr>
      <w:r w:rsidRPr="003F070C">
        <w:rPr>
          <w:rFonts w:cstheme="minorHAnsi"/>
          <w:lang w:val="en-US"/>
        </w:rPr>
        <w:t>As with morphology</w:t>
      </w:r>
      <w:r w:rsidR="007751D5">
        <w:rPr>
          <w:rFonts w:cstheme="minorHAnsi"/>
          <w:lang w:val="en-US"/>
        </w:rPr>
        <w:t>,</w:t>
      </w:r>
      <w:r w:rsidRPr="003F070C">
        <w:rPr>
          <w:rFonts w:cstheme="minorHAnsi"/>
          <w:lang w:val="en-US"/>
        </w:rPr>
        <w:t xml:space="preserve"> induced differences in metabolic rate may not be due to a single mechanism</w:t>
      </w:r>
      <w:r w:rsidR="001967CF">
        <w:rPr>
          <w:rFonts w:cstheme="minorHAnsi"/>
          <w:lang w:val="en-US"/>
        </w:rPr>
        <w:t xml:space="preserve"> and may be caused by an </w:t>
      </w:r>
      <w:r w:rsidR="001967CF">
        <w:rPr>
          <w:rFonts w:cstheme="minorHAnsi"/>
        </w:rPr>
        <w:t xml:space="preserve">interaction between genes and </w:t>
      </w:r>
      <w:r w:rsidR="00E454EA">
        <w:rPr>
          <w:rFonts w:cstheme="minorHAnsi"/>
        </w:rPr>
        <w:t xml:space="preserve">the </w:t>
      </w:r>
      <w:r w:rsidR="001967CF">
        <w:rPr>
          <w:rFonts w:cstheme="minorHAnsi"/>
        </w:rPr>
        <w:t>environment</w:t>
      </w:r>
      <w:r w:rsidR="00F227F0">
        <w:rPr>
          <w:rFonts w:cstheme="minorHAnsi"/>
        </w:rPr>
        <w:t xml:space="preserve"> </w:t>
      </w:r>
      <w:r w:rsidR="00F227F0">
        <w:rPr>
          <w:rFonts w:cstheme="minorHAnsi"/>
        </w:rPr>
        <w:fldChar w:fldCharType="begin" w:fldLock="1"/>
      </w:r>
      <w:r w:rsidR="000B6581">
        <w:rPr>
          <w:rFonts w:cstheme="minorHAnsi"/>
        </w:rPr>
        <w:instrText>ADDIN CSL_CITATION {"citationItems":[{"id":"ITEM-1","itemData":{"DOI":"10.1111/jfb.12699","abstract":"There is increasing interest in documenting and explaining the existence of marked intraspecific vari- ation in metabolic rate in animals, with fishes providing some of the best-studied examples. After accounting for variation due to other factors, there can typically be a two to three-fold variation among individual fishes for both standard and maximum metabolic rate (SMR and MMR). This variation is reasonably consistent over time (provided that conditions remain stable), and its underlying causes may be influenced by both genes and developmental conditions. In this paper, current knowledge of the extent and causes of individual variation in SMR, MMR and aerobic scope (AS), collectively its metabolic phenotype, is reviewed and potential links among metabolism, behaviour and performance are described. Intraspecific variation in metabolism has been found to be related to other traits: fishes with a relatively high SMR tend to be more dominant and grow faster in high food environments, but may lose their advantage and are more prone to risk-taking when conditions deteriorate. In contrast to the wide body of research examining links between SMR and behavioural traits, very little work has been directed towards understanding the ecological consequences of individual variation in MMR and AS. Although AS can differ among populations of the same species in response to performance demands, virtually nothing is known about the effects of AS on individual behaviours such as those associated with foraging or predator avoidance. Further, while factors such as food availability, temper- ature, hypoxia and the fish’s social environment are known to alter resting and MMRs in fishes, there is apaucity of studies examining how theseeffects vary among individuals,and howthisvariation relates to behaviour. Given the observed links between metabolism and measures of performance, understand- ing the metabolic responses of individuals to changing environments will be a key area for future research because the environment will have a strong influence on which animals survive predation, become dominant and ultimately have the highest reproductive success. Although current evidence suggests that variation in SMR may be maintained within populations via context-dependent fitness benefits, it is suggested that a more integrative approach is now required to fully understand how the environment can modulate individual performance via effects on metabolic phenotypes encompassing SMR…","author":[{"dropping-particle":"","family":"Metcalfe","given":"N.B.","non-dropping-particle":"","parse-names":false,"suffix":""},{"dropping-particle":"","family":"Leeuwen","given":"T.E.","non-dropping-particle":"Van","parse-names":false,"suffix":""},{"dropping-particle":"","family":"Killen","given":"Shaun S.","non-dropping-particle":"","parse-names":false,"suffix":""}],"container-title":"The Journal of Fish Biology","id":"ITEM-1","issued":{"date-parts":[["2016"]]},"page":"298-321","title":"Does individual variation in metabolic phenotype predict fish behaviour and performance?","type":"article-journal","volume":"88"},"uris":["http://www.mendeley.com/documents/?uuid=123fe13e-dd8f-4b2a-8ee8-797646fb63d1"]},{"id":"ITEM-2","itemData":{"DOI":"10.1007/s00442-020-04843-1","ISBN":"0123456789","ISSN":"0029-8549","abstract":"Phenotypic plasticity is common among animal taxa. While there are clearly limits and likely costs to plasticity, these costs are unknown for most organisms. Further, as plasticity is partially genetically determined, the potential magnitude of exhib- ited plasticity may vary among individuals. In addition to phenotypic plasticity, various animal taxa also display sexual size dimorphism, a feature ultimately thought to arise due to differential size-dependent fitness costs and benefits between sexes. We hypothesized that differential selection acting on males and females can indirectly select for unequal genetically defined plasticity potential between the sexes. We evaluate this possibility for Eurasian perch (Perca fluviatilis), a species that displays modest sexual size dimorphism and habitat-related morphological plasticity. Using 500-year simulations of an ecogenetic agent-based model, we demonstrate that genetically determined morphological plasticity potential may evolve differently for males and females, leading to greater realized morphological variation between habitats for one sex over the other. Genetically determined potential for plasticity evolved differently between sexes across (a) various sex-specific life-history differences and (b) a variety of assumed costs of plasticity acting on both growth and survival. Morphological analyses of Eurasian perch collected in situ were consistent with model predictions: realized morphological variation between habitats was greater for females than males. We suggest that due to sex-specific selective pressures, differences in male and female genetically defined potential for plasticity may be a common feature across organisms.","author":[{"dropping-particle":"","family":"Höök","given":"Tomas O","non-dropping-particle":"","parse-names":false,"suffix":""},{"dropping-particle":"","family":"Svanbäck","given":"Richard","non-dropping-particle":"","parse-names":false,"suffix":""},{"dropping-particle":"","family":"Eklöv","given":"Peter","non-dropping-particle":"","parse-names":false,"suffix":""}],"container-title":"Oecologia","id":"ITEM-2","issue":"2","issued":{"date-parts":[["2021","2","8"]]},"page":"341-354","publisher":"Springer Berlin Heidelberg","title":"Sex-specific plasticity in a trophic polymorphic aquatic predator: a modeling approach","type":"article-journal","volume":"195"},"uris":["http://www.mendeley.com/documents/?uuid=59996492-51f2-44e9-a45a-4990cf8c2f65"]}],"mendeley":{"formattedCitation":"(Metcalfe et al., 2016; Höök et al., 2021)","plainTextFormattedCitation":"(Metcalfe et al., 2016; Höök et al., 2021)","previouslyFormattedCitation":"(Metcalfe et al., 2016; Höök et al., 2021)"},"properties":{"noteIndex":0},"schema":"https://github.com/citation-style-language/schema/raw/master/csl-citation.json"}</w:instrText>
      </w:r>
      <w:r w:rsidR="00F227F0">
        <w:rPr>
          <w:rFonts w:cstheme="minorHAnsi"/>
        </w:rPr>
        <w:fldChar w:fldCharType="separate"/>
      </w:r>
      <w:r w:rsidR="00C8169C" w:rsidRPr="00C8169C">
        <w:rPr>
          <w:rFonts w:cstheme="minorHAnsi"/>
          <w:noProof/>
        </w:rPr>
        <w:t>(Metcalfe et al., 2016; Höök et al., 2021)</w:t>
      </w:r>
      <w:r w:rsidR="00F227F0">
        <w:rPr>
          <w:rFonts w:cstheme="minorHAnsi"/>
        </w:rPr>
        <w:fldChar w:fldCharType="end"/>
      </w:r>
      <w:r w:rsidRPr="003F070C">
        <w:rPr>
          <w:rFonts w:cstheme="minorHAnsi"/>
          <w:lang w:val="en-US"/>
        </w:rPr>
        <w:t>.</w:t>
      </w:r>
      <w:r w:rsidR="00F227F0">
        <w:rPr>
          <w:rFonts w:cstheme="minorHAnsi"/>
          <w:lang w:val="en-US"/>
        </w:rPr>
        <w:t xml:space="preserve"> Pelagic perch from the same Erken population still showed a higher average SMR than littoral perch when maintained under identical lab conditions for a year, though the difference was no longer significant</w:t>
      </w:r>
      <w:r w:rsidR="005B37FD">
        <w:rPr>
          <w:rFonts w:cstheme="minorHAnsi"/>
          <w:lang w:val="en-US"/>
        </w:rPr>
        <w:t xml:space="preserve"> (Figure S</w:t>
      </w:r>
      <w:r w:rsidR="00E020B2">
        <w:rPr>
          <w:rFonts w:cstheme="minorHAnsi"/>
          <w:lang w:val="en-US"/>
        </w:rPr>
        <w:t>4</w:t>
      </w:r>
      <w:r w:rsidR="005B37FD">
        <w:rPr>
          <w:rFonts w:cstheme="minorHAnsi"/>
          <w:lang w:val="en-US"/>
        </w:rPr>
        <w:t>)</w:t>
      </w:r>
      <w:r w:rsidRPr="003F070C">
        <w:rPr>
          <w:rFonts w:cstheme="minorHAnsi"/>
          <w:lang w:val="en-US"/>
        </w:rPr>
        <w:t xml:space="preserve">. </w:t>
      </w:r>
      <w:r w:rsidR="0044181F">
        <w:rPr>
          <w:rFonts w:cstheme="minorHAnsi"/>
          <w:lang w:val="en-US"/>
        </w:rPr>
        <w:t xml:space="preserve">This shows that perch SMR has a degree of plasticity but suggests that </w:t>
      </w:r>
      <w:r w:rsidR="00A3691B">
        <w:rPr>
          <w:rFonts w:cstheme="minorHAnsi"/>
          <w:lang w:val="en-US"/>
        </w:rPr>
        <w:t xml:space="preserve">either genetics or </w:t>
      </w:r>
      <w:r w:rsidR="0044181F">
        <w:rPr>
          <w:rFonts w:cstheme="minorHAnsi"/>
          <w:lang w:val="en-US"/>
        </w:rPr>
        <w:t>conditions during early development play a role in determining SMR</w:t>
      </w:r>
      <w:r w:rsidR="004E0B8C">
        <w:rPr>
          <w:rFonts w:cstheme="minorHAnsi"/>
          <w:lang w:val="en-US"/>
        </w:rPr>
        <w:t xml:space="preserve"> since </w:t>
      </w:r>
      <w:r w:rsidR="005B37FD">
        <w:rPr>
          <w:rFonts w:cstheme="minorHAnsi"/>
          <w:lang w:val="en-US"/>
        </w:rPr>
        <w:t xml:space="preserve">the pelagic </w:t>
      </w:r>
      <w:r w:rsidR="00856D40">
        <w:rPr>
          <w:rFonts w:cstheme="minorHAnsi"/>
          <w:lang w:val="en-US"/>
        </w:rPr>
        <w:t>group's</w:t>
      </w:r>
      <w:r w:rsidR="004E0B8C">
        <w:rPr>
          <w:rFonts w:cstheme="minorHAnsi"/>
          <w:lang w:val="en-US"/>
        </w:rPr>
        <w:t xml:space="preserve"> SMR was still higher at the end of the experiment</w:t>
      </w:r>
      <w:r w:rsidR="0044181F">
        <w:rPr>
          <w:rFonts w:cstheme="minorHAnsi"/>
          <w:lang w:val="en-US"/>
        </w:rPr>
        <w:t>.</w:t>
      </w:r>
      <w:r w:rsidR="005F350C">
        <w:rPr>
          <w:rFonts w:cstheme="minorHAnsi"/>
          <w:lang w:val="en-US"/>
        </w:rPr>
        <w:t xml:space="preserve"> </w:t>
      </w:r>
      <w:r w:rsidR="00065D5B">
        <w:rPr>
          <w:rFonts w:cstheme="minorHAnsi"/>
          <w:lang w:val="en-US"/>
        </w:rPr>
        <w:t xml:space="preserve">Future studies examining what is driving the differences in metabolism between habitats </w:t>
      </w:r>
      <w:r w:rsidR="005B37FD">
        <w:rPr>
          <w:rFonts w:cstheme="minorHAnsi"/>
          <w:lang w:val="en-US"/>
        </w:rPr>
        <w:t>can</w:t>
      </w:r>
      <w:r w:rsidR="00065D5B">
        <w:rPr>
          <w:rFonts w:cstheme="minorHAnsi"/>
          <w:lang w:val="en-US"/>
        </w:rPr>
        <w:t xml:space="preserve"> also help to explain how these differences will interact with climate change. If the differences are driven by metabolic cold adaptation</w:t>
      </w:r>
      <w:r w:rsidR="00E454EA">
        <w:rPr>
          <w:rFonts w:cstheme="minorHAnsi"/>
          <w:lang w:val="en-US"/>
        </w:rPr>
        <w:t>,</w:t>
      </w:r>
      <w:r w:rsidR="00065D5B">
        <w:rPr>
          <w:rFonts w:cstheme="minorHAnsi"/>
          <w:lang w:val="en-US"/>
        </w:rPr>
        <w:t xml:space="preserve"> </w:t>
      </w:r>
      <w:r w:rsidR="00475ED6">
        <w:rPr>
          <w:rFonts w:cstheme="minorHAnsi"/>
          <w:lang w:val="en-US"/>
        </w:rPr>
        <w:t>we may see less differentiation in the future as the duration of the thermocline increases</w:t>
      </w:r>
      <w:r w:rsidR="00075008">
        <w:rPr>
          <w:rFonts w:cstheme="minorHAnsi"/>
          <w:lang w:val="en-US"/>
        </w:rPr>
        <w:t>,</w:t>
      </w:r>
      <w:r w:rsidR="00475ED6">
        <w:rPr>
          <w:rFonts w:cstheme="minorHAnsi"/>
          <w:lang w:val="en-US"/>
        </w:rPr>
        <w:t xml:space="preserve"> and </w:t>
      </w:r>
      <w:r w:rsidR="00475ED6" w:rsidRPr="00475ED6">
        <w:rPr>
          <w:rFonts w:cstheme="minorHAnsi"/>
          <w:lang w:val="en-US"/>
        </w:rPr>
        <w:t>hypolimnetic oxygen</w:t>
      </w:r>
      <w:r w:rsidR="00475ED6">
        <w:rPr>
          <w:rFonts w:cstheme="minorHAnsi"/>
          <w:lang w:val="en-US"/>
        </w:rPr>
        <w:t xml:space="preserve"> decreases, limiting access to cooler</w:t>
      </w:r>
      <w:r w:rsidR="00E454EA">
        <w:rPr>
          <w:rFonts w:cstheme="minorHAnsi"/>
          <w:lang w:val="en-US"/>
        </w:rPr>
        <w:t>,</w:t>
      </w:r>
      <w:r w:rsidR="00475ED6">
        <w:rPr>
          <w:rFonts w:cstheme="minorHAnsi"/>
          <w:lang w:val="en-US"/>
        </w:rPr>
        <w:t xml:space="preserve"> deeper waters </w:t>
      </w:r>
      <w:r w:rsidR="00475ED6">
        <w:rPr>
          <w:rFonts w:cstheme="minorHAnsi"/>
          <w:lang w:val="en-US"/>
        </w:rPr>
        <w:fldChar w:fldCharType="begin" w:fldLock="1"/>
      </w:r>
      <w:r w:rsidR="002E4F95">
        <w:rPr>
          <w:rFonts w:cstheme="minorHAnsi"/>
          <w:lang w:val="en-US"/>
        </w:rPr>
        <w:instrText xml:space="preserve">ADDIN CSL_CITATION {"citationItems":[{"id":"ITEM-1","itemData":{"DOI":"10.5194/hess-23-5001-2019","ISSN":"16077938","abstract":"Historical lake water temperature records are a valuable source of information to assess the influence of climate change on lake thermal structure. However, in most cases such records span a short period of time and/or are incomplete, providing a less credible assessment of change. In this study, the hydrodynamic GOTM (General Ocean Turbulence Model, a hydrodynamic model configured in lake mode) was used to reconstruct daily profiles of water temperature in Lake Erken (Sweden) over the period 1961- 2017 using seven climatic parameters as forcing data: wind speed (WS), air temperature (Air T ), atmospheric pressure (Air P), relative humidity (RH), cloud cover (CC), precipitation (DP), and shortwave radiation (SWR). The model was calibrated against observed water temperature data collected during the study interval, and the calibrated model revealed a good match between modelled and observed temperature (RMSE = 1:089 °C). From the long-Term simulations of water temperature, this study focused on detecting possible trends in water temperature over the entire study interval 1961-2017 and in the sub-intervals 1961-1988 and 1989-2017, since an abrupt change in air temperature was detected in 1988. The analysis of the simulated temperature showed that epilimnetic temperature increased on average by 0.444 and 0.792 °C per decade in spring and autumn in the sub-interval 1989-2017. Summer epilimnetic temperature increased by 0.351 °C per decade over the entire interval 1961-2017. Hypolimnetic temperature increased significantly in spring over the entire interval 1961-2017, by 0.148 and by 0.816 °C per decade in autumn in the subinterval 1989-2016. Whole-lake temperature showed a significant increasing trend in the sub-interval 1989-2017 during spring (0.404 °C per decade) and autumn (0.789 °C per decade, interval 1989-2016), while a significant trend was detected in summer over the entire study interval 1961- 2017 (0.239 °C per decade). Moreover, this study showed that changes in the phenology of thermal stratification have occurred over the 57-year period of study. Since 1961, the stability of stratification (Schmidt stability) has increased by 5.365 Jm-2 per decade. The duration of thermal stratification has increased by 7.297 d per decade, corresponding to an earlier onset of stratification of </w:instrText>
      </w:r>
      <w:r w:rsidR="002E4F95">
        <w:rPr>
          <w:rFonts w:ascii="Cambria Math" w:hAnsi="Cambria Math" w:cs="Cambria Math"/>
          <w:lang w:val="en-US"/>
        </w:rPr>
        <w:instrText>∼</w:instrText>
      </w:r>
      <w:r w:rsidR="002E4F95">
        <w:rPr>
          <w:rFonts w:cstheme="minorHAnsi"/>
          <w:lang w:val="en-US"/>
        </w:rPr>
        <w:instrText xml:space="preserve"> 16 d and to a delay of stratification termination of </w:instrText>
      </w:r>
      <w:r w:rsidR="002E4F95">
        <w:rPr>
          <w:rFonts w:ascii="Cambria Math" w:hAnsi="Cambria Math" w:cs="Cambria Math"/>
          <w:lang w:val="en-US"/>
        </w:rPr>
        <w:instrText>∼</w:instrText>
      </w:r>
      <w:r w:rsidR="002E4F95">
        <w:rPr>
          <w:rFonts w:cstheme="minorHAnsi"/>
          <w:lang w:val="en-US"/>
        </w:rPr>
        <w:instrText xml:space="preserve"> 26 d. The average thermocline depth during stratification became shallower by </w:instrText>
      </w:r>
      <w:r w:rsidR="002E4F95">
        <w:rPr>
          <w:rFonts w:ascii="Cambria Math" w:hAnsi="Cambria Math" w:cs="Cambria Math"/>
          <w:lang w:val="en-US"/>
        </w:rPr>
        <w:instrText>∼</w:instrText>
      </w:r>
      <w:r w:rsidR="002E4F95">
        <w:rPr>
          <w:rFonts w:cstheme="minorHAnsi"/>
          <w:lang w:val="en-US"/>
        </w:rPr>
        <w:instrText xml:space="preserve"> 1:345 m, and surface-bottom temp…","author":[{"dropping-particle":"","family":"Moras","given":"Simone","non-dropping-particle":"","parse-names":false,"suffix":""},{"dropping-particle":"","family":"Ayala","given":"Ana I.","non-dropping-particle":"","parse-names":false,"suffix":""},{"dropping-particle":"","family":"Pierson","given":"Don C.","non-dropping-particle":"","parse-names":false,"suffix":""}],"container-title":"Hydrology and Earth System Sciences","id":"ITEM-1","issue":"12","issued":{"date-parts":[["2019"]]},"page":"5001-5016","title":"Historical modelling of changes in Lake Erken thermal conditions","type":"article-journal","volume":"23"},"uris":["http://www.mendeley.com/documents/?uuid=7b1dd87e-f987-44c4-8b60-49f63df24187"]}],"mendeley":{"formattedCitation":"(Moras et al., 2019)","plainTextFormattedCitation":"(Moras et al., 2019)","previouslyFormattedCitation":"(Moras et al., 2019)"},"properties":{"noteIndex":0},"schema":"https://github.com/citation-style-language/schema/raw/master/csl-citation.json"}</w:instrText>
      </w:r>
      <w:r w:rsidR="00475ED6">
        <w:rPr>
          <w:rFonts w:cstheme="minorHAnsi"/>
          <w:lang w:val="en-US"/>
        </w:rPr>
        <w:fldChar w:fldCharType="separate"/>
      </w:r>
      <w:r w:rsidR="00EF0DCC" w:rsidRPr="00EF0DCC">
        <w:rPr>
          <w:rFonts w:cstheme="minorHAnsi"/>
          <w:noProof/>
          <w:lang w:val="en-US"/>
        </w:rPr>
        <w:t>(Moras et al., 2019)</w:t>
      </w:r>
      <w:r w:rsidR="00475ED6">
        <w:rPr>
          <w:rFonts w:cstheme="minorHAnsi"/>
          <w:lang w:val="en-US"/>
        </w:rPr>
        <w:fldChar w:fldCharType="end"/>
      </w:r>
      <w:r w:rsidR="00475ED6">
        <w:rPr>
          <w:rFonts w:cstheme="minorHAnsi"/>
          <w:lang w:val="en-US"/>
        </w:rPr>
        <w:t xml:space="preserve">. </w:t>
      </w:r>
      <w:r w:rsidR="00011868">
        <w:rPr>
          <w:rFonts w:cstheme="minorHAnsi"/>
          <w:lang w:val="en-US"/>
        </w:rPr>
        <w:t>Alternatively,</w:t>
      </w:r>
      <w:r w:rsidR="00475ED6">
        <w:rPr>
          <w:rFonts w:cstheme="minorHAnsi"/>
          <w:lang w:val="en-US"/>
        </w:rPr>
        <w:t xml:space="preserve"> if differences are genetic</w:t>
      </w:r>
      <w:r w:rsidR="005E297D">
        <w:rPr>
          <w:rFonts w:cstheme="minorHAnsi"/>
          <w:lang w:val="en-US"/>
        </w:rPr>
        <w:t>ally fixed</w:t>
      </w:r>
      <w:r w:rsidR="00475ED6">
        <w:rPr>
          <w:rFonts w:cstheme="minorHAnsi"/>
          <w:lang w:val="en-US"/>
        </w:rPr>
        <w:t>,</w:t>
      </w:r>
      <w:r w:rsidR="00281C5D">
        <w:rPr>
          <w:rFonts w:cstheme="minorHAnsi"/>
          <w:lang w:val="en-US"/>
        </w:rPr>
        <w:t xml:space="preserve"> and the </w:t>
      </w:r>
      <w:r w:rsidR="005B37FD">
        <w:rPr>
          <w:rFonts w:cstheme="minorHAnsi"/>
          <w:lang w:val="en-US"/>
        </w:rPr>
        <w:t>species</w:t>
      </w:r>
      <w:r w:rsidR="00281C5D">
        <w:rPr>
          <w:rFonts w:cstheme="minorHAnsi"/>
          <w:lang w:val="en-US"/>
        </w:rPr>
        <w:t xml:space="preserve"> is less able to respond </w:t>
      </w:r>
      <w:r w:rsidR="005E297D">
        <w:rPr>
          <w:rFonts w:cstheme="minorHAnsi"/>
          <w:lang w:val="en-US"/>
        </w:rPr>
        <w:t>plastically to environmental change</w:t>
      </w:r>
      <w:r w:rsidR="0062688B">
        <w:rPr>
          <w:rFonts w:cstheme="minorHAnsi"/>
          <w:lang w:val="en-US"/>
        </w:rPr>
        <w:t>,</w:t>
      </w:r>
      <w:r w:rsidR="00475ED6">
        <w:rPr>
          <w:rFonts w:cstheme="minorHAnsi"/>
          <w:lang w:val="en-US"/>
        </w:rPr>
        <w:t xml:space="preserve"> the higher SMR of pelagic fish would make them more vulnerable to climate change</w:t>
      </w:r>
      <w:r w:rsidR="009F7ED9">
        <w:rPr>
          <w:rFonts w:cstheme="minorHAnsi"/>
          <w:lang w:val="en-US"/>
        </w:rPr>
        <w:t xml:space="preserve"> </w:t>
      </w:r>
      <w:r w:rsidR="00011868">
        <w:rPr>
          <w:rFonts w:cstheme="minorHAnsi"/>
          <w:lang w:val="en-US"/>
        </w:rPr>
        <w:t xml:space="preserve">if their consumption rate or the density of pelagic resources </w:t>
      </w:r>
      <w:r w:rsidR="00E454EA">
        <w:rPr>
          <w:rFonts w:cstheme="minorHAnsi"/>
          <w:lang w:val="en-US"/>
        </w:rPr>
        <w:t>does not</w:t>
      </w:r>
      <w:r w:rsidR="00011868">
        <w:rPr>
          <w:rFonts w:cstheme="minorHAnsi"/>
          <w:lang w:val="en-US"/>
        </w:rPr>
        <w:t xml:space="preserve"> scale with their </w:t>
      </w:r>
      <w:r w:rsidR="00544E5C">
        <w:rPr>
          <w:rFonts w:cstheme="minorHAnsi"/>
          <w:lang w:val="en-US"/>
        </w:rPr>
        <w:t>increased</w:t>
      </w:r>
      <w:r w:rsidR="00011868">
        <w:rPr>
          <w:rFonts w:cstheme="minorHAnsi"/>
          <w:lang w:val="en-US"/>
        </w:rPr>
        <w:t xml:space="preserve"> SMR. If the differences in SMR are a plastic response to the physical environment</w:t>
      </w:r>
      <w:r w:rsidR="00E454EA">
        <w:rPr>
          <w:rFonts w:cstheme="minorHAnsi"/>
          <w:lang w:val="en-US"/>
        </w:rPr>
        <w:t>,</w:t>
      </w:r>
      <w:r w:rsidR="00011868">
        <w:rPr>
          <w:rFonts w:cstheme="minorHAnsi"/>
          <w:lang w:val="en-US"/>
        </w:rPr>
        <w:t xml:space="preserve"> it is unclear how the benefits of a high metabolic rate in structurally simple habitats which require high activity will interact with thermal limitations</w:t>
      </w:r>
      <w:r w:rsidR="00FC060A">
        <w:rPr>
          <w:rFonts w:cstheme="minorHAnsi"/>
          <w:lang w:val="en-US"/>
        </w:rPr>
        <w:t xml:space="preserve"> and temperature acclimation as temperatures increase </w:t>
      </w:r>
      <w:r w:rsidR="00FC060A">
        <w:rPr>
          <w:rFonts w:cstheme="minorHAnsi"/>
          <w:lang w:val="en-US"/>
        </w:rPr>
        <w:fldChar w:fldCharType="begin" w:fldLock="1"/>
      </w:r>
      <w:r w:rsidR="000B6581">
        <w:rPr>
          <w:rFonts w:cstheme="minorHAnsi"/>
          <w:lang w:val="en-US"/>
        </w:rPr>
        <w:instrText>ADDIN CSL_CITATION {"citationItems":[{"id":"ITEM-1","itemData":{"DOI":"10.1098/rspb.2014.1490","ISBN":"0962-8452","ISSN":"1471-2954","PMID":"25232133","abstract":"Temperature acclimation may offset the increased energy expenditure (standard metabolic rate, SMR) and reduced scope for activity (aerobic scope, AS) predicted to occur with local and global warming in fishes and other ectotherms. Yet, the time course and mechanisms of this process is little understood. Acclimation dynamics of SMR, maximum metabolic rate, AS and the specific dynamic action of feeding (SDA) were determined in shorthorn sculpin (Myoxocephalus scorpius) after transfer from 10°C to 16°C. SMR increased in the first week by 82% reducing AS to 55% of initial values, while peak postprandial metabolism was initially greater. This meant that the estimated AS during peak SDA approached zero, constraining digestion and leaving little room for additional aerobic processes. After eight weeks at 16°C, SMR was restored, while AS and the estimated AS during peak SDA recovered partly. Collectively, this demonstrated a considerable capacity for metabolic thermal compensation, which should be better incorporated into future models on organismal responses to climate change. A mathematical model based on the empirical data suggested that phenotypes with fast acclimation rates may be favoured by natural selection as the accumulated energetic cost of a slow acclimation rate increases in a warmer future with exacerbated thermal variations.","author":[{"dropping-particle":"","family":"Sandblom","given":"Erik","non-dropping-particle":"","parse-names":false,"suffix":""},{"dropping-particle":"","family":"Gräns","given":"Albin","non-dropping-particle":"","parse-names":false,"suffix":""},{"dropping-particle":"","family":"Axelsson","given":"Michael","non-dropping-particle":"","parse-names":false,"suffix":""},{"dropping-particle":"","family":"Seth","given":"Henrik","non-dropping-particle":"","parse-names":false,"suffix":""}],"container-title":"Proceedings. Biological sciences / The Royal Society","id":"ITEM-1","issued":{"date-parts":[["2014"]]},"page":"1-9","title":"Temperature acclimation rate of aerobic scope and feeding metabolism in fishes: implications in a thermally extreme future","type":"article-journal","volume":"281"},"uris":["http://www.mendeley.com/documents/?uuid=869b0dfb-be8a-4d0b-81c5-5ba3f3e5e6c1"]},{"id":"ITEM-2","itemData":{"DOI":"10.1242/jeb.084251","ISBN":"0022-0949","ISSN":"1477-9145","PMID":"23842625","abstract":"Measurements of aerobic scope [the difference between minimum and maximum oxygen consumption rate ( and , respectively)] are increasing in prevalence as a tool to address questions relating to fish ecology and the effects of climate change. However, there are underlying issues regarding the array of methods used to measure aerobic scope across studies and species. In an attempt to enhance quality control before the diversity of issues becomes too great to remedy, this paper outlines common techniques and pitfalls associated with measurements of , and aerobic scope across species and under different experimental conditions. Additionally, we provide a brief critique of the oxygen- and capacity-limited thermal tolerance (OCLTT) hypothesis, a concept that is intricately dependent on aerobic scope measurements and is spreading wildly throughout the literature despite little evidence for its general applicability. It is the intention of this paper to encourage transparency and accuracy in future studies that measure the aerobic metabolism of fishes, and to highlight the fundamental issues with assuming broad relevance of the OCLTT hypothesis.","author":[{"dropping-particle":"","family":"Clark","given":"Timothy D.","non-dropping-particle":"","parse-names":false,"suffix":""},{"dropping-particle":"","family":"Sandblom","given":"Erik","non-dropping-particle":"","parse-names":false,"suffix":""},{"dropping-particle":"","family":"Jutfelt","given":"Fredrik","non-dropping-particle":"","parse-names":false,"suffix":""}],"container-title":"Journal of Experimental Biology","id":"ITEM-2","issue":"15","issued":{"date-parts":[["2013","8","1"]]},"page":"2771-2782","title":"Aerobic scope measurements of fishes in an era of climate change: respirometry, relevance and recommendations","type":"article-journal","volume":"216"},"uris":["http://www.mendeley.com/documents/?uuid=cf3e7f4a-19f5-4ef3-9ff9-37c4711e7839"]}],"mendeley":{"formattedCitation":"(Clark et al., 2013; Sandblom et al., 2014)","plainTextFormattedCitation":"(Clark et al., 2013; Sandblom et al., 2014)","previouslyFormattedCitation":"(Clark et al., 2013; Sandblom et al., 2014)"},"properties":{"noteIndex":0},"schema":"https://github.com/citation-style-language/schema/raw/master/csl-citation.json"}</w:instrText>
      </w:r>
      <w:r w:rsidR="00FC060A">
        <w:rPr>
          <w:rFonts w:cstheme="minorHAnsi"/>
          <w:lang w:val="en-US"/>
        </w:rPr>
        <w:fldChar w:fldCharType="separate"/>
      </w:r>
      <w:r w:rsidR="00C8169C" w:rsidRPr="00C8169C">
        <w:rPr>
          <w:rFonts w:cstheme="minorHAnsi"/>
          <w:noProof/>
          <w:lang w:val="en-US"/>
        </w:rPr>
        <w:t>(Clark et al., 2013; Sandblom et al., 2014)</w:t>
      </w:r>
      <w:r w:rsidR="00FC060A">
        <w:rPr>
          <w:rFonts w:cstheme="minorHAnsi"/>
          <w:lang w:val="en-US"/>
        </w:rPr>
        <w:fldChar w:fldCharType="end"/>
      </w:r>
      <w:r w:rsidR="00011868">
        <w:rPr>
          <w:rFonts w:cstheme="minorHAnsi"/>
          <w:lang w:val="en-US"/>
        </w:rPr>
        <w:t>.</w:t>
      </w:r>
      <w:r w:rsidR="009F7ED9">
        <w:rPr>
          <w:rFonts w:cstheme="minorHAnsi"/>
          <w:lang w:val="en-US"/>
        </w:rPr>
        <w:t xml:space="preserve"> The observed differences across habitats in our study</w:t>
      </w:r>
      <w:r w:rsidR="00C046E0">
        <w:rPr>
          <w:rFonts w:cstheme="minorHAnsi"/>
          <w:lang w:val="en-US"/>
        </w:rPr>
        <w:t xml:space="preserve"> </w:t>
      </w:r>
      <w:r w:rsidR="005B37FD">
        <w:rPr>
          <w:rFonts w:cstheme="minorHAnsi"/>
          <w:lang w:val="en-US"/>
        </w:rPr>
        <w:t>establish</w:t>
      </w:r>
      <w:r w:rsidR="00C046E0">
        <w:rPr>
          <w:rFonts w:cstheme="minorHAnsi"/>
          <w:lang w:val="en-US"/>
        </w:rPr>
        <w:t xml:space="preserve"> this as a valuable system for exploring drivers of intraspecific differences in metabolic rates and examining how the fitness consequences of alternate metabolic phenotypes maintain these patterns in a spatially constrained system. </w:t>
      </w:r>
    </w:p>
    <w:p w14:paraId="7A11D27E" w14:textId="34832EAA" w:rsidR="00065D5B" w:rsidRDefault="00065D5B" w:rsidP="007F1711">
      <w:pPr>
        <w:spacing w:line="480" w:lineRule="auto"/>
        <w:jc w:val="both"/>
        <w:rPr>
          <w:rFonts w:cstheme="minorHAnsi"/>
          <w:lang w:val="en-US"/>
        </w:rPr>
      </w:pPr>
    </w:p>
    <w:p w14:paraId="5F4355B3" w14:textId="0CE22542" w:rsidR="00FB2A33" w:rsidRPr="00FB2A33" w:rsidRDefault="00FB2A33" w:rsidP="007F1711">
      <w:pPr>
        <w:pStyle w:val="Heading1"/>
        <w:spacing w:line="480" w:lineRule="auto"/>
        <w:jc w:val="both"/>
        <w:rPr>
          <w:color w:val="000000" w:themeColor="text1"/>
          <w:lang w:val="en-US"/>
        </w:rPr>
      </w:pPr>
      <w:r w:rsidRPr="00FB2A33">
        <w:rPr>
          <w:color w:val="000000" w:themeColor="text1"/>
          <w:lang w:val="en-US"/>
        </w:rPr>
        <w:t>References</w:t>
      </w:r>
    </w:p>
    <w:p w14:paraId="2EE02997" w14:textId="67F73790" w:rsidR="0008325B" w:rsidRPr="0008325B" w:rsidRDefault="00FB2A33" w:rsidP="007F1711">
      <w:pPr>
        <w:widowControl w:val="0"/>
        <w:autoSpaceDE w:val="0"/>
        <w:autoSpaceDN w:val="0"/>
        <w:adjustRightInd w:val="0"/>
        <w:spacing w:line="480" w:lineRule="auto"/>
        <w:ind w:left="480" w:hanging="480"/>
        <w:rPr>
          <w:rFonts w:ascii="Calibri" w:hAnsi="Calibri" w:cs="Calibri"/>
          <w:noProof/>
          <w:lang w:val="en-US"/>
        </w:rPr>
      </w:pPr>
      <w:r>
        <w:rPr>
          <w:rFonts w:cstheme="minorHAnsi"/>
          <w:lang w:val="en-US"/>
        </w:rPr>
        <w:fldChar w:fldCharType="begin" w:fldLock="1"/>
      </w:r>
      <w:r>
        <w:rPr>
          <w:rFonts w:cstheme="minorHAnsi"/>
          <w:lang w:val="en-US"/>
        </w:rPr>
        <w:instrText xml:space="preserve">ADDIN Mendeley Bibliography CSL_BIBLIOGRAPHY </w:instrText>
      </w:r>
      <w:r>
        <w:rPr>
          <w:rFonts w:cstheme="minorHAnsi"/>
          <w:lang w:val="en-US"/>
        </w:rPr>
        <w:fldChar w:fldCharType="separate"/>
      </w:r>
      <w:r w:rsidR="0008325B" w:rsidRPr="0008325B">
        <w:rPr>
          <w:rFonts w:ascii="Calibri" w:hAnsi="Calibri" w:cs="Calibri"/>
          <w:noProof/>
          <w:lang w:val="en-US"/>
        </w:rPr>
        <w:t xml:space="preserve">Andersson, M. L., Sundberg, F., and Eklöv, P. (2020). Chasing away accurate results: exhaustive chase protocols underestimate maximum metabolic rate estimates in European perch </w:t>
      </w:r>
      <w:r w:rsidR="0008325B" w:rsidRPr="0008325B">
        <w:rPr>
          <w:rFonts w:ascii="Calibri" w:hAnsi="Calibri" w:cs="Calibri"/>
          <w:i/>
          <w:iCs/>
          <w:noProof/>
          <w:lang w:val="en-US"/>
        </w:rPr>
        <w:t>Perca fluviatilis</w:t>
      </w:r>
      <w:r w:rsidR="0008325B" w:rsidRPr="0008325B">
        <w:rPr>
          <w:rFonts w:ascii="Calibri" w:hAnsi="Calibri" w:cs="Calibri"/>
          <w:noProof/>
          <w:lang w:val="en-US"/>
        </w:rPr>
        <w:t xml:space="preserve">. </w:t>
      </w:r>
      <w:r w:rsidR="0008325B" w:rsidRPr="0008325B">
        <w:rPr>
          <w:rFonts w:ascii="Calibri" w:hAnsi="Calibri" w:cs="Calibri"/>
          <w:i/>
          <w:iCs/>
          <w:noProof/>
          <w:lang w:val="en-US"/>
        </w:rPr>
        <w:t>J. Fish Biol.</w:t>
      </w:r>
      <w:r w:rsidR="0008325B" w:rsidRPr="0008325B">
        <w:rPr>
          <w:rFonts w:ascii="Calibri" w:hAnsi="Calibri" w:cs="Calibri"/>
          <w:noProof/>
          <w:lang w:val="en-US"/>
        </w:rPr>
        <w:t xml:space="preserve"> doi:10.1111/jfb.14519.</w:t>
      </w:r>
    </w:p>
    <w:p w14:paraId="68A84A60"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Auer, S. K., Bassar, R. D., Turek, D., Anderson, G. J., McKelvey, S., Armstrong, J. D., et al. (2020a). Metabolic rate interacts with resource availability to determine individual variation in microhabitat use in the wild. </w:t>
      </w:r>
      <w:r w:rsidRPr="0008325B">
        <w:rPr>
          <w:rFonts w:ascii="Calibri" w:hAnsi="Calibri" w:cs="Calibri"/>
          <w:i/>
          <w:iCs/>
          <w:noProof/>
          <w:lang w:val="en-US"/>
        </w:rPr>
        <w:t>Am. Nat.</w:t>
      </w:r>
      <w:r w:rsidRPr="0008325B">
        <w:rPr>
          <w:rFonts w:ascii="Calibri" w:hAnsi="Calibri" w:cs="Calibri"/>
          <w:noProof/>
          <w:lang w:val="en-US"/>
        </w:rPr>
        <w:t xml:space="preserve"> 196, 132–144. doi:10.1086/709479.</w:t>
      </w:r>
    </w:p>
    <w:p w14:paraId="1B3A362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Auer, S. K., Dick, C. A., Metcalfe, N. B., and Reznick, D. N. (2018). Metabolic rate evolves </w:t>
      </w:r>
      <w:r w:rsidRPr="0008325B">
        <w:rPr>
          <w:rFonts w:ascii="Calibri" w:hAnsi="Calibri" w:cs="Calibri"/>
          <w:noProof/>
          <w:lang w:val="en-US"/>
        </w:rPr>
        <w:lastRenderedPageBreak/>
        <w:t xml:space="preserve">rapidly and in parallel with the pace of life history. </w:t>
      </w:r>
      <w:r w:rsidRPr="0008325B">
        <w:rPr>
          <w:rFonts w:ascii="Calibri" w:hAnsi="Calibri" w:cs="Calibri"/>
          <w:i/>
          <w:iCs/>
          <w:noProof/>
          <w:lang w:val="en-US"/>
        </w:rPr>
        <w:t>Nat. Commun.</w:t>
      </w:r>
      <w:r w:rsidRPr="0008325B">
        <w:rPr>
          <w:rFonts w:ascii="Calibri" w:hAnsi="Calibri" w:cs="Calibri"/>
          <w:noProof/>
          <w:lang w:val="en-US"/>
        </w:rPr>
        <w:t xml:space="preserve"> 9, 8–13. doi:10.1038/s41467-017-02514-z.</w:t>
      </w:r>
    </w:p>
    <w:p w14:paraId="233B6BB4"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Auer, S. K., Salin, K., Rudolf, A. M., Anderson, G. J., and Metcalfe, N. B. (2015). The optimal combination of standard metabolic rate and aerobic scope for somatic growth depends on food availability. </w:t>
      </w:r>
      <w:r w:rsidRPr="0008325B">
        <w:rPr>
          <w:rFonts w:ascii="Calibri" w:hAnsi="Calibri" w:cs="Calibri"/>
          <w:i/>
          <w:iCs/>
          <w:noProof/>
          <w:lang w:val="en-US"/>
        </w:rPr>
        <w:t>Funct. Ecol.</w:t>
      </w:r>
      <w:r w:rsidRPr="0008325B">
        <w:rPr>
          <w:rFonts w:ascii="Calibri" w:hAnsi="Calibri" w:cs="Calibri"/>
          <w:noProof/>
          <w:lang w:val="en-US"/>
        </w:rPr>
        <w:t xml:space="preserve"> 29, 479–486. doi:10.1111/1365-2435.12396.</w:t>
      </w:r>
    </w:p>
    <w:p w14:paraId="399F9874"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Auer, S. K., Salin, K., Rudolf, A. M., Anderson, G. J., and Metcalfe, N. B. (2016). Differential effects of food availability on minimum and maximum rates of metabolism. </w:t>
      </w:r>
      <w:r w:rsidRPr="0008325B">
        <w:rPr>
          <w:rFonts w:ascii="Calibri" w:hAnsi="Calibri" w:cs="Calibri"/>
          <w:i/>
          <w:iCs/>
          <w:noProof/>
          <w:lang w:val="en-US"/>
        </w:rPr>
        <w:t>Biol. Lett.</w:t>
      </w:r>
      <w:r w:rsidRPr="0008325B">
        <w:rPr>
          <w:rFonts w:ascii="Calibri" w:hAnsi="Calibri" w:cs="Calibri"/>
          <w:noProof/>
          <w:lang w:val="en-US"/>
        </w:rPr>
        <w:t xml:space="preserve"> 12, 20160586. doi:10.1098/rsbl.2016.0586.</w:t>
      </w:r>
    </w:p>
    <w:p w14:paraId="3AA87F98" w14:textId="77777777" w:rsidR="0008325B" w:rsidRPr="00E61040" w:rsidRDefault="0008325B" w:rsidP="007F1711">
      <w:pPr>
        <w:widowControl w:val="0"/>
        <w:autoSpaceDE w:val="0"/>
        <w:autoSpaceDN w:val="0"/>
        <w:adjustRightInd w:val="0"/>
        <w:spacing w:line="480" w:lineRule="auto"/>
        <w:ind w:left="480" w:hanging="480"/>
        <w:rPr>
          <w:rFonts w:ascii="Calibri" w:hAnsi="Calibri" w:cs="Calibri"/>
          <w:noProof/>
          <w:lang w:val="sv-SE"/>
        </w:rPr>
      </w:pPr>
      <w:r w:rsidRPr="0008325B">
        <w:rPr>
          <w:rFonts w:ascii="Calibri" w:hAnsi="Calibri" w:cs="Calibri"/>
          <w:noProof/>
          <w:lang w:val="en-US"/>
        </w:rPr>
        <w:t xml:space="preserve">Auer, S. K., Solowey, J. R., Rajesh, S., and Rezende, E. L. (2020b). Energetic mechanisms for coping with changes in resource availability. </w:t>
      </w:r>
      <w:r w:rsidRPr="0008325B">
        <w:rPr>
          <w:rFonts w:ascii="Calibri" w:hAnsi="Calibri" w:cs="Calibri"/>
          <w:i/>
          <w:iCs/>
          <w:noProof/>
          <w:lang w:val="en-US"/>
        </w:rPr>
        <w:t xml:space="preserve">Biol. </w:t>
      </w:r>
      <w:r w:rsidRPr="00E61040">
        <w:rPr>
          <w:rFonts w:ascii="Calibri" w:hAnsi="Calibri" w:cs="Calibri"/>
          <w:i/>
          <w:iCs/>
          <w:noProof/>
          <w:lang w:val="sv-SE"/>
        </w:rPr>
        <w:t>Lett.</w:t>
      </w:r>
      <w:r w:rsidRPr="00E61040">
        <w:rPr>
          <w:rFonts w:ascii="Calibri" w:hAnsi="Calibri" w:cs="Calibri"/>
          <w:noProof/>
          <w:lang w:val="sv-SE"/>
        </w:rPr>
        <w:t xml:space="preserve"> 16, 20200580. doi:10.1098/rsbl.2020.0580.</w:t>
      </w:r>
    </w:p>
    <w:p w14:paraId="6D33C1CF"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E61040">
        <w:rPr>
          <w:rFonts w:ascii="Calibri" w:hAnsi="Calibri" w:cs="Calibri"/>
          <w:noProof/>
          <w:lang w:val="sv-SE"/>
        </w:rPr>
        <w:t xml:space="preserve">Bartels, P., Hirsch, P. E., Svanbäck, R., and Eklöv, P. (2012). </w:t>
      </w:r>
      <w:r w:rsidRPr="0008325B">
        <w:rPr>
          <w:rFonts w:ascii="Calibri" w:hAnsi="Calibri" w:cs="Calibri"/>
          <w:noProof/>
          <w:lang w:val="en-US"/>
        </w:rPr>
        <w:t xml:space="preserve">Water transparency drives intra-population divergence in Eurasian perch (Perca fluviatilis). </w:t>
      </w:r>
      <w:r w:rsidRPr="0008325B">
        <w:rPr>
          <w:rFonts w:ascii="Calibri" w:hAnsi="Calibri" w:cs="Calibri"/>
          <w:i/>
          <w:iCs/>
          <w:noProof/>
          <w:lang w:val="en-US"/>
        </w:rPr>
        <w:t>PLoS One</w:t>
      </w:r>
      <w:r w:rsidRPr="0008325B">
        <w:rPr>
          <w:rFonts w:ascii="Calibri" w:hAnsi="Calibri" w:cs="Calibri"/>
          <w:noProof/>
          <w:lang w:val="en-US"/>
        </w:rPr>
        <w:t xml:space="preserve"> 7. doi:10.1371/journal.pone.0043641.</w:t>
      </w:r>
    </w:p>
    <w:p w14:paraId="759F08FF"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Bartels, P., Hirsch, P. E., Svanbäck, R., and Eklöv, P. (2016). Dissolved organic carbon reduces habitat coupling by top predators in lake ecosystems. </w:t>
      </w:r>
      <w:r w:rsidRPr="0008325B">
        <w:rPr>
          <w:rFonts w:ascii="Calibri" w:hAnsi="Calibri" w:cs="Calibri"/>
          <w:i/>
          <w:iCs/>
          <w:noProof/>
          <w:lang w:val="en-US"/>
        </w:rPr>
        <w:t>Ecosystems</w:t>
      </w:r>
      <w:r w:rsidRPr="0008325B">
        <w:rPr>
          <w:rFonts w:ascii="Calibri" w:hAnsi="Calibri" w:cs="Calibri"/>
          <w:noProof/>
          <w:lang w:val="en-US"/>
        </w:rPr>
        <w:t xml:space="preserve"> 19, 955–967. doi:10.1007/s10021-016-9978-x.</w:t>
      </w:r>
    </w:p>
    <w:p w14:paraId="712926EE"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Bergek, S., and Björklund, M. (2007). Cryptic barriers to dispersal within a lake allow genetic differentiation of Eurasian perch. </w:t>
      </w:r>
      <w:r w:rsidRPr="0008325B">
        <w:rPr>
          <w:rFonts w:ascii="Calibri" w:hAnsi="Calibri" w:cs="Calibri"/>
          <w:i/>
          <w:iCs/>
          <w:noProof/>
          <w:lang w:val="en-US"/>
        </w:rPr>
        <w:t>Evolution (N. Y).</w:t>
      </w:r>
      <w:r w:rsidRPr="0008325B">
        <w:rPr>
          <w:rFonts w:ascii="Calibri" w:hAnsi="Calibri" w:cs="Calibri"/>
          <w:noProof/>
          <w:lang w:val="en-US"/>
        </w:rPr>
        <w:t xml:space="preserve"> 61, 2035–2041. doi:10.1111/j.1558-5646.2007.00163.x.</w:t>
      </w:r>
    </w:p>
    <w:p w14:paraId="52C761E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Bergstrom, C. A., Alba, J. M., Pacheco, J., Fritz, T., and Tamone, S. L. (2019). Polymorphism and multiple correlated characters: Do flatfish asymmetry morphs also differ in swimming performance and metabolic rate? </w:t>
      </w:r>
      <w:r w:rsidRPr="0008325B">
        <w:rPr>
          <w:rFonts w:ascii="Calibri" w:hAnsi="Calibri" w:cs="Calibri"/>
          <w:i/>
          <w:iCs/>
          <w:noProof/>
          <w:lang w:val="en-US"/>
        </w:rPr>
        <w:t>Ecol. Evol.</w:t>
      </w:r>
      <w:r w:rsidRPr="0008325B">
        <w:rPr>
          <w:rFonts w:ascii="Calibri" w:hAnsi="Calibri" w:cs="Calibri"/>
          <w:noProof/>
          <w:lang w:val="en-US"/>
        </w:rPr>
        <w:t xml:space="preserve"> 9, 4772–4782. doi:10.1002/ece3.5080.</w:t>
      </w:r>
    </w:p>
    <w:p w14:paraId="46030AD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lastRenderedPageBreak/>
        <w:t xml:space="preserve">Bernatchez, L., Renaut, S., Whiteley, A. R., Derome, N., Jeukens, J., Landry, L., et al. (2010). On the origin of species: insights from the ecological genomics of lake whitefish. </w:t>
      </w:r>
      <w:r w:rsidRPr="0008325B">
        <w:rPr>
          <w:rFonts w:ascii="Calibri" w:hAnsi="Calibri" w:cs="Calibri"/>
          <w:i/>
          <w:iCs/>
          <w:noProof/>
          <w:lang w:val="en-US"/>
        </w:rPr>
        <w:t>Philos. Trans. R. Soc. B Biol. Sci.</w:t>
      </w:r>
      <w:r w:rsidRPr="0008325B">
        <w:rPr>
          <w:rFonts w:ascii="Calibri" w:hAnsi="Calibri" w:cs="Calibri"/>
          <w:noProof/>
          <w:lang w:val="en-US"/>
        </w:rPr>
        <w:t xml:space="preserve"> 365, 1783–1800. doi:10.1098/rstb.2009.0274.</w:t>
      </w:r>
    </w:p>
    <w:p w14:paraId="7DC2ED75"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Boily, P., and Magnan, P. (2002). Relationship between individual variation in morphological characters and swimming costs in brook charr (</w:t>
      </w:r>
      <w:r w:rsidRPr="0008325B">
        <w:rPr>
          <w:rFonts w:ascii="Calibri" w:hAnsi="Calibri" w:cs="Calibri"/>
          <w:i/>
          <w:iCs/>
          <w:noProof/>
          <w:lang w:val="en-US"/>
        </w:rPr>
        <w:t>Salvelinus fontinalis</w:t>
      </w:r>
      <w:r w:rsidRPr="0008325B">
        <w:rPr>
          <w:rFonts w:ascii="Calibri" w:hAnsi="Calibri" w:cs="Calibri"/>
          <w:noProof/>
          <w:lang w:val="en-US"/>
        </w:rPr>
        <w:t>) and yellow perch (</w:t>
      </w:r>
      <w:r w:rsidRPr="0008325B">
        <w:rPr>
          <w:rFonts w:ascii="Calibri" w:hAnsi="Calibri" w:cs="Calibri"/>
          <w:i/>
          <w:iCs/>
          <w:noProof/>
          <w:lang w:val="en-US"/>
        </w:rPr>
        <w:t>Perca flavescens</w:t>
      </w:r>
      <w:r w:rsidRPr="0008325B">
        <w:rPr>
          <w:rFonts w:ascii="Calibri" w:hAnsi="Calibri" w:cs="Calibri"/>
          <w:noProof/>
          <w:lang w:val="en-US"/>
        </w:rPr>
        <w:t xml:space="preserve">). </w:t>
      </w:r>
      <w:r w:rsidRPr="0008325B">
        <w:rPr>
          <w:rFonts w:ascii="Calibri" w:hAnsi="Calibri" w:cs="Calibri"/>
          <w:i/>
          <w:iCs/>
          <w:noProof/>
          <w:lang w:val="en-US"/>
        </w:rPr>
        <w:t>J. Exp. Biol.</w:t>
      </w:r>
      <w:r w:rsidRPr="0008325B">
        <w:rPr>
          <w:rFonts w:ascii="Calibri" w:hAnsi="Calibri" w:cs="Calibri"/>
          <w:noProof/>
          <w:lang w:val="en-US"/>
        </w:rPr>
        <w:t xml:space="preserve"> 205, 1031–1036. doi:10.1242/jeb.205.7.1031.</w:t>
      </w:r>
    </w:p>
    <w:p w14:paraId="3A1C932C"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Bourke, P., Magnan, P., and Rodríguez, M. A. (1999). Phenotypic responses of lacustrine brook charr in relation to the intensity of interspecific competition. </w:t>
      </w:r>
      <w:r w:rsidRPr="0008325B">
        <w:rPr>
          <w:rFonts w:ascii="Calibri" w:hAnsi="Calibri" w:cs="Calibri"/>
          <w:i/>
          <w:iCs/>
          <w:noProof/>
          <w:lang w:val="en-US"/>
        </w:rPr>
        <w:t>Evol. Ecol.</w:t>
      </w:r>
      <w:r w:rsidRPr="0008325B">
        <w:rPr>
          <w:rFonts w:ascii="Calibri" w:hAnsi="Calibri" w:cs="Calibri"/>
          <w:noProof/>
          <w:lang w:val="en-US"/>
        </w:rPr>
        <w:t xml:space="preserve"> 13, 19–31. doi:10.1023/A:1006530029418.</w:t>
      </w:r>
    </w:p>
    <w:p w14:paraId="7546C79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Brijs, J., Jutfelt, F., Clark, T. D., Gräns, A., Ekström, A., and Sandblom, E. (2015). Experimental manipulations of tissue oxygen supply do not affect warming tolerance of European perch. </w:t>
      </w:r>
      <w:r w:rsidRPr="0008325B">
        <w:rPr>
          <w:rFonts w:ascii="Calibri" w:hAnsi="Calibri" w:cs="Calibri"/>
          <w:i/>
          <w:iCs/>
          <w:noProof/>
          <w:lang w:val="en-US"/>
        </w:rPr>
        <w:t>J. Exp. Biol.</w:t>
      </w:r>
      <w:r w:rsidRPr="0008325B">
        <w:rPr>
          <w:rFonts w:ascii="Calibri" w:hAnsi="Calibri" w:cs="Calibri"/>
          <w:noProof/>
          <w:lang w:val="en-US"/>
        </w:rPr>
        <w:t xml:space="preserve"> 218, 2448–2454. doi:10.1242/jeb.121889.</w:t>
      </w:r>
    </w:p>
    <w:p w14:paraId="3763C61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Burton, T., Killen, S. S., Armstrong, J. D., and Metcalfe, N. B. (2011). What causes intraspecific variation in resting metabolic rate and what are its ecological consequences? </w:t>
      </w:r>
      <w:r w:rsidRPr="0008325B">
        <w:rPr>
          <w:rFonts w:ascii="Calibri" w:hAnsi="Calibri" w:cs="Calibri"/>
          <w:i/>
          <w:iCs/>
          <w:noProof/>
          <w:lang w:val="en-US"/>
        </w:rPr>
        <w:t>Proc. R. Soc. B Biol. Sci.</w:t>
      </w:r>
      <w:r w:rsidRPr="0008325B">
        <w:rPr>
          <w:rFonts w:ascii="Calibri" w:hAnsi="Calibri" w:cs="Calibri"/>
          <w:noProof/>
          <w:lang w:val="en-US"/>
        </w:rPr>
        <w:t xml:space="preserve"> 278, 3465–3473. doi:10.1098/rspb.2011.1778.</w:t>
      </w:r>
    </w:p>
    <w:p w14:paraId="09B26EB1"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Chaguaceda, F., Eklöv, P., and Scharnweber, K. (2020). Regulation of fatty acid composition related to ontogenetic changes and niche differentiation of a common aquatic consumer. </w:t>
      </w:r>
      <w:r w:rsidRPr="0008325B">
        <w:rPr>
          <w:rFonts w:ascii="Calibri" w:hAnsi="Calibri" w:cs="Calibri"/>
          <w:i/>
          <w:iCs/>
          <w:noProof/>
          <w:lang w:val="en-US"/>
        </w:rPr>
        <w:t>Oecologia</w:t>
      </w:r>
      <w:r w:rsidRPr="0008325B">
        <w:rPr>
          <w:rFonts w:ascii="Calibri" w:hAnsi="Calibri" w:cs="Calibri"/>
          <w:noProof/>
          <w:lang w:val="en-US"/>
        </w:rPr>
        <w:t xml:space="preserve"> 193, 325–336. doi:10.1007/s00442-020-04668-y.</w:t>
      </w:r>
    </w:p>
    <w:p w14:paraId="1D4D411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Clark, T. D., Sandblom, E., and Jutfelt, F. (2013). Aerobic scope measurements of fishes in an era of climate change: respirometry, relevance and recommendations. </w:t>
      </w:r>
      <w:r w:rsidRPr="0008325B">
        <w:rPr>
          <w:rFonts w:ascii="Calibri" w:hAnsi="Calibri" w:cs="Calibri"/>
          <w:i/>
          <w:iCs/>
          <w:noProof/>
          <w:lang w:val="en-US"/>
        </w:rPr>
        <w:t>J. Exp. Biol.</w:t>
      </w:r>
      <w:r w:rsidRPr="0008325B">
        <w:rPr>
          <w:rFonts w:ascii="Calibri" w:hAnsi="Calibri" w:cs="Calibri"/>
          <w:noProof/>
          <w:lang w:val="en-US"/>
        </w:rPr>
        <w:t xml:space="preserve"> 216, 2771–2782. doi:10.1242/jeb.084251.</w:t>
      </w:r>
    </w:p>
    <w:p w14:paraId="37C6B917"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Cruz‐Neto, A. P., and Bozinovic, F. (2004). The relationship between diet quality and basal metabolic rate in endotherms: insights from intraspecific analysis. </w:t>
      </w:r>
      <w:r w:rsidRPr="0008325B">
        <w:rPr>
          <w:rFonts w:ascii="Calibri" w:hAnsi="Calibri" w:cs="Calibri"/>
          <w:i/>
          <w:iCs/>
          <w:noProof/>
          <w:lang w:val="en-US"/>
        </w:rPr>
        <w:t>Physiol. Biochem. Zool.</w:t>
      </w:r>
      <w:r w:rsidRPr="0008325B">
        <w:rPr>
          <w:rFonts w:ascii="Calibri" w:hAnsi="Calibri" w:cs="Calibri"/>
          <w:noProof/>
          <w:lang w:val="en-US"/>
        </w:rPr>
        <w:t xml:space="preserve"> 77, 877–889. doi:10.1086/425187.</w:t>
      </w:r>
    </w:p>
    <w:p w14:paraId="5DB787DD"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lastRenderedPageBreak/>
        <w:t xml:space="preserve">Dolson, R., McCann, K., Rooney, N., and Ridgway, M. (2009). Lake morphometry predicts the degree of habitat coupling by a mobile predator. </w:t>
      </w:r>
      <w:r w:rsidRPr="0008325B">
        <w:rPr>
          <w:rFonts w:ascii="Calibri" w:hAnsi="Calibri" w:cs="Calibri"/>
          <w:i/>
          <w:iCs/>
          <w:noProof/>
          <w:lang w:val="en-US"/>
        </w:rPr>
        <w:t>Oikos</w:t>
      </w:r>
      <w:r w:rsidRPr="0008325B">
        <w:rPr>
          <w:rFonts w:ascii="Calibri" w:hAnsi="Calibri" w:cs="Calibri"/>
          <w:noProof/>
          <w:lang w:val="en-US"/>
        </w:rPr>
        <w:t xml:space="preserve"> 118, 1230–1238. doi:10.1111/j.1600-0706.2009.17351.x.</w:t>
      </w:r>
    </w:p>
    <w:p w14:paraId="64E40153"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Ducret, V., Videlier, M., Moureaux, C., Bonneaud, C., and Herrel, A. (2020). Do female frogs have higher resting metabolic rates than males? A case study with </w:t>
      </w:r>
      <w:r w:rsidRPr="0008325B">
        <w:rPr>
          <w:rFonts w:ascii="Calibri" w:hAnsi="Calibri" w:cs="Calibri"/>
          <w:i/>
          <w:iCs/>
          <w:noProof/>
          <w:lang w:val="en-US"/>
        </w:rPr>
        <w:t>Xenopus allofraseri</w:t>
      </w:r>
      <w:r w:rsidRPr="0008325B">
        <w:rPr>
          <w:rFonts w:ascii="Calibri" w:hAnsi="Calibri" w:cs="Calibri"/>
          <w:noProof/>
          <w:lang w:val="en-US"/>
        </w:rPr>
        <w:t xml:space="preserve">. </w:t>
      </w:r>
      <w:r w:rsidRPr="0008325B">
        <w:rPr>
          <w:rFonts w:ascii="Calibri" w:hAnsi="Calibri" w:cs="Calibri"/>
          <w:i/>
          <w:iCs/>
          <w:noProof/>
          <w:lang w:val="en-US"/>
        </w:rPr>
        <w:t>J. Zool.</w:t>
      </w:r>
      <w:r w:rsidRPr="0008325B">
        <w:rPr>
          <w:rFonts w:ascii="Calibri" w:hAnsi="Calibri" w:cs="Calibri"/>
          <w:noProof/>
          <w:lang w:val="en-US"/>
        </w:rPr>
        <w:t xml:space="preserve"> 312, 221–226. doi:10.1111/jzo.12820.</w:t>
      </w:r>
    </w:p>
    <w:p w14:paraId="1A13B767"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Eliason, E. J., Clark, T. D., Hague, M. J., Hanson, L. M., Gallagher, Z. S., Jeffries, K. M., et al. (2011). Differences in thermal tolerance among sockeye salmon populations. </w:t>
      </w:r>
      <w:r w:rsidRPr="0008325B">
        <w:rPr>
          <w:rFonts w:ascii="Calibri" w:hAnsi="Calibri" w:cs="Calibri"/>
          <w:i/>
          <w:iCs/>
          <w:noProof/>
          <w:lang w:val="en-US"/>
        </w:rPr>
        <w:t>Science (80-. ).</w:t>
      </w:r>
      <w:r w:rsidRPr="0008325B">
        <w:rPr>
          <w:rFonts w:ascii="Calibri" w:hAnsi="Calibri" w:cs="Calibri"/>
          <w:noProof/>
          <w:lang w:val="en-US"/>
        </w:rPr>
        <w:t xml:space="preserve"> 332, 109–112. doi:10.1126/science.1199158.</w:t>
      </w:r>
    </w:p>
    <w:p w14:paraId="016FB3A1"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E61040">
        <w:rPr>
          <w:rFonts w:ascii="Calibri" w:hAnsi="Calibri" w:cs="Calibri"/>
          <w:noProof/>
          <w:lang w:val="sv-SE"/>
        </w:rPr>
        <w:t xml:space="preserve">Faulks, L., Svanbäck, R., Eklöv, P., and Östman, Ö. (2015). </w:t>
      </w:r>
      <w:r w:rsidRPr="0008325B">
        <w:rPr>
          <w:rFonts w:ascii="Calibri" w:hAnsi="Calibri" w:cs="Calibri"/>
          <w:noProof/>
          <w:lang w:val="en-US"/>
        </w:rPr>
        <w:t xml:space="preserve">Genetic and morphological divergence along the littoral – pelagic axis in two common and sympatric fishes : perch, </w:t>
      </w:r>
      <w:r w:rsidRPr="0008325B">
        <w:rPr>
          <w:rFonts w:ascii="Calibri" w:hAnsi="Calibri" w:cs="Calibri"/>
          <w:i/>
          <w:iCs/>
          <w:noProof/>
          <w:lang w:val="en-US"/>
        </w:rPr>
        <w:t>Perca fluviatilis</w:t>
      </w:r>
      <w:r w:rsidRPr="0008325B">
        <w:rPr>
          <w:rFonts w:ascii="Calibri" w:hAnsi="Calibri" w:cs="Calibri"/>
          <w:noProof/>
          <w:lang w:val="en-US"/>
        </w:rPr>
        <w:t xml:space="preserve"> (Percidae) and roach, </w:t>
      </w:r>
      <w:r w:rsidRPr="0008325B">
        <w:rPr>
          <w:rFonts w:ascii="Calibri" w:hAnsi="Calibri" w:cs="Calibri"/>
          <w:i/>
          <w:iCs/>
          <w:noProof/>
          <w:lang w:val="en-US"/>
        </w:rPr>
        <w:t>Rutilus rutilus</w:t>
      </w:r>
      <w:r w:rsidRPr="0008325B">
        <w:rPr>
          <w:rFonts w:ascii="Calibri" w:hAnsi="Calibri" w:cs="Calibri"/>
          <w:noProof/>
          <w:lang w:val="en-US"/>
        </w:rPr>
        <w:t xml:space="preserve"> (Cyprinidae). </w:t>
      </w:r>
      <w:r w:rsidRPr="0008325B">
        <w:rPr>
          <w:rFonts w:ascii="Calibri" w:hAnsi="Calibri" w:cs="Calibri"/>
          <w:i/>
          <w:iCs/>
          <w:noProof/>
          <w:lang w:val="en-US"/>
        </w:rPr>
        <w:t>Biol. J. Linn. Soc.</w:t>
      </w:r>
      <w:r w:rsidRPr="0008325B">
        <w:rPr>
          <w:rFonts w:ascii="Calibri" w:hAnsi="Calibri" w:cs="Calibri"/>
          <w:noProof/>
          <w:lang w:val="en-US"/>
        </w:rPr>
        <w:t xml:space="preserve"> 114, 929–940.</w:t>
      </w:r>
    </w:p>
    <w:p w14:paraId="354AC65C"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Feiner, Z. S., Chong, S. C., Fielder, D. G., Hoyle, J. A., Knight, C., Lauer, T. E., et al. (2017). Sex-based trade-offs among growth, mortality, and maturation in Great Lakes yellow perch stocks. </w:t>
      </w:r>
      <w:r w:rsidRPr="0008325B">
        <w:rPr>
          <w:rFonts w:ascii="Calibri" w:hAnsi="Calibri" w:cs="Calibri"/>
          <w:i/>
          <w:iCs/>
          <w:noProof/>
          <w:lang w:val="en-US"/>
        </w:rPr>
        <w:t>Can. J. Fish. Aquat. Sci.</w:t>
      </w:r>
      <w:r w:rsidRPr="0008325B">
        <w:rPr>
          <w:rFonts w:ascii="Calibri" w:hAnsi="Calibri" w:cs="Calibri"/>
          <w:noProof/>
          <w:lang w:val="en-US"/>
        </w:rPr>
        <w:t xml:space="preserve"> 74, 2059–2072. doi:10.1139/cjfas-2016-0173.</w:t>
      </w:r>
    </w:p>
    <w:p w14:paraId="10A88AF9"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Glazier, D. S. (2015). Is metabolic rate a universal “pacemaker” for biological processes? </w:t>
      </w:r>
      <w:r w:rsidRPr="0008325B">
        <w:rPr>
          <w:rFonts w:ascii="Calibri" w:hAnsi="Calibri" w:cs="Calibri"/>
          <w:i/>
          <w:iCs/>
          <w:noProof/>
          <w:lang w:val="en-US"/>
        </w:rPr>
        <w:t>Biol. Rev.</w:t>
      </w:r>
      <w:r w:rsidRPr="0008325B">
        <w:rPr>
          <w:rFonts w:ascii="Calibri" w:hAnsi="Calibri" w:cs="Calibri"/>
          <w:noProof/>
          <w:lang w:val="en-US"/>
        </w:rPr>
        <w:t xml:space="preserve"> 90, 377–407. doi:10.1111/brv.12115.</w:t>
      </w:r>
    </w:p>
    <w:p w14:paraId="2CE81F61"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Henderson, B. A., Collins, N., Morgan, G. E., and Vaillancourt, A. (2003). Sexual size dimorphism of walleye (</w:t>
      </w:r>
      <w:r w:rsidRPr="0008325B">
        <w:rPr>
          <w:rFonts w:ascii="Calibri" w:hAnsi="Calibri" w:cs="Calibri"/>
          <w:i/>
          <w:iCs/>
          <w:noProof/>
          <w:lang w:val="en-US"/>
        </w:rPr>
        <w:t>Stizostedion vitreum vitreum</w:t>
      </w:r>
      <w:r w:rsidRPr="0008325B">
        <w:rPr>
          <w:rFonts w:ascii="Calibri" w:hAnsi="Calibri" w:cs="Calibri"/>
          <w:noProof/>
          <w:lang w:val="en-US"/>
        </w:rPr>
        <w:t xml:space="preserve">). </w:t>
      </w:r>
      <w:r w:rsidRPr="0008325B">
        <w:rPr>
          <w:rFonts w:ascii="Calibri" w:hAnsi="Calibri" w:cs="Calibri"/>
          <w:i/>
          <w:iCs/>
          <w:noProof/>
          <w:lang w:val="en-US"/>
        </w:rPr>
        <w:t>Can. J. Fish. Aquat. Sci.</w:t>
      </w:r>
      <w:r w:rsidRPr="0008325B">
        <w:rPr>
          <w:rFonts w:ascii="Calibri" w:hAnsi="Calibri" w:cs="Calibri"/>
          <w:noProof/>
          <w:lang w:val="en-US"/>
        </w:rPr>
        <w:t xml:space="preserve"> 60, 1345–1352. doi:10.1139/f03-115.</w:t>
      </w:r>
    </w:p>
    <w:p w14:paraId="60088ECF"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Höök, T. O., Svanbäck, R., and Eklöv, P. (2021). Sex-specific plasticity in a trophic polymorphic aquatic predator: a modeling approach. </w:t>
      </w:r>
      <w:r w:rsidRPr="0008325B">
        <w:rPr>
          <w:rFonts w:ascii="Calibri" w:hAnsi="Calibri" w:cs="Calibri"/>
          <w:i/>
          <w:iCs/>
          <w:noProof/>
          <w:lang w:val="en-US"/>
        </w:rPr>
        <w:t>Oecologia</w:t>
      </w:r>
      <w:r w:rsidRPr="0008325B">
        <w:rPr>
          <w:rFonts w:ascii="Calibri" w:hAnsi="Calibri" w:cs="Calibri"/>
          <w:noProof/>
          <w:lang w:val="en-US"/>
        </w:rPr>
        <w:t xml:space="preserve"> 195, 341–354. doi:10.1007/s00442-020-04843-1.</w:t>
      </w:r>
    </w:p>
    <w:p w14:paraId="435B9718"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lastRenderedPageBreak/>
        <w:t xml:space="preserve">Hudson, A. G., Vonlanthen, P., Müller, R., and Seehausen, O. (2007). Review: The geography of speciation and adaptive radiation in coregonines. </w:t>
      </w:r>
      <w:r w:rsidRPr="0008325B">
        <w:rPr>
          <w:rFonts w:ascii="Calibri" w:hAnsi="Calibri" w:cs="Calibri"/>
          <w:i/>
          <w:iCs/>
          <w:noProof/>
          <w:lang w:val="en-US"/>
        </w:rPr>
        <w:t>Adv. Limnol.</w:t>
      </w:r>
      <w:r w:rsidRPr="0008325B">
        <w:rPr>
          <w:rFonts w:ascii="Calibri" w:hAnsi="Calibri" w:cs="Calibri"/>
          <w:noProof/>
          <w:lang w:val="en-US"/>
        </w:rPr>
        <w:t xml:space="preserve"> 60, 111–146.</w:t>
      </w:r>
    </w:p>
    <w:p w14:paraId="2BC0477D"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Hulbert, A. J., and Else, P. L. (2000). Mechanisms underlying the cost of living in animals. </w:t>
      </w:r>
      <w:r w:rsidRPr="0008325B">
        <w:rPr>
          <w:rFonts w:ascii="Calibri" w:hAnsi="Calibri" w:cs="Calibri"/>
          <w:i/>
          <w:iCs/>
          <w:noProof/>
          <w:lang w:val="en-US"/>
        </w:rPr>
        <w:t>Annu. Rev. Physiol.</w:t>
      </w:r>
      <w:r w:rsidRPr="0008325B">
        <w:rPr>
          <w:rFonts w:ascii="Calibri" w:hAnsi="Calibri" w:cs="Calibri"/>
          <w:noProof/>
          <w:lang w:val="en-US"/>
        </w:rPr>
        <w:t xml:space="preserve"> 62, 207–235. doi:10.1146/annurev.physiol.62.1.207.</w:t>
      </w:r>
    </w:p>
    <w:p w14:paraId="0A83631A"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Jeukens, J., Renaut, S., St-Cyr, J., Nolte, A. W., and Bernatchez, L. (2010). The transcriptomics of sympatric dwarf and normal lake whitefish (</w:t>
      </w:r>
      <w:r w:rsidRPr="0008325B">
        <w:rPr>
          <w:rFonts w:ascii="Calibri" w:hAnsi="Calibri" w:cs="Calibri"/>
          <w:i/>
          <w:iCs/>
          <w:noProof/>
          <w:lang w:val="en-US"/>
        </w:rPr>
        <w:t>Coregonus clupeaformis</w:t>
      </w:r>
      <w:r w:rsidRPr="0008325B">
        <w:rPr>
          <w:rFonts w:ascii="Calibri" w:hAnsi="Calibri" w:cs="Calibri"/>
          <w:noProof/>
          <w:lang w:val="en-US"/>
        </w:rPr>
        <w:t xml:space="preserve"> spp., Salmonidae) divergence as revealed by next-generation sequencing. </w:t>
      </w:r>
      <w:r w:rsidRPr="0008325B">
        <w:rPr>
          <w:rFonts w:ascii="Calibri" w:hAnsi="Calibri" w:cs="Calibri"/>
          <w:i/>
          <w:iCs/>
          <w:noProof/>
          <w:lang w:val="en-US"/>
        </w:rPr>
        <w:t>Mol. Ecol.</w:t>
      </w:r>
      <w:r w:rsidRPr="0008325B">
        <w:rPr>
          <w:rFonts w:ascii="Calibri" w:hAnsi="Calibri" w:cs="Calibri"/>
          <w:noProof/>
          <w:lang w:val="en-US"/>
        </w:rPr>
        <w:t xml:space="preserve"> 19, 5389–5403. doi:10.1111/j.1365-294X.2010.04934.x.</w:t>
      </w:r>
    </w:p>
    <w:p w14:paraId="6D7D8401"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Kahilainen, K. K., Patterson, W. P., Sonninen, E., Harrod, C., and Kiljunen, M. (2014). Adaptive radiation along a thermal gradient: Preliminary results of habitat use and respiration rate divergence among whitefish morphs. </w:t>
      </w:r>
      <w:r w:rsidRPr="0008325B">
        <w:rPr>
          <w:rFonts w:ascii="Calibri" w:hAnsi="Calibri" w:cs="Calibri"/>
          <w:i/>
          <w:iCs/>
          <w:noProof/>
          <w:lang w:val="en-US"/>
        </w:rPr>
        <w:t>PLoS One</w:t>
      </w:r>
      <w:r w:rsidRPr="0008325B">
        <w:rPr>
          <w:rFonts w:ascii="Calibri" w:hAnsi="Calibri" w:cs="Calibri"/>
          <w:noProof/>
          <w:lang w:val="en-US"/>
        </w:rPr>
        <w:t xml:space="preserve"> 9. doi:10.1371/journal.pone.0112085.</w:t>
      </w:r>
    </w:p>
    <w:p w14:paraId="033E16F9"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Kiljunen, M., Grey, J., Sinisalo, T., Harrod, C., Immonen, H., and Jones, R. I. (2006). A revised model for lipid-normalizing δ</w:t>
      </w:r>
      <w:r w:rsidRPr="0008325B">
        <w:rPr>
          <w:rFonts w:ascii="Calibri" w:hAnsi="Calibri" w:cs="Calibri"/>
          <w:noProof/>
          <w:vertAlign w:val="superscript"/>
          <w:lang w:val="en-US"/>
        </w:rPr>
        <w:t xml:space="preserve"> 13</w:t>
      </w:r>
      <w:r w:rsidRPr="0008325B">
        <w:rPr>
          <w:rFonts w:ascii="Calibri" w:hAnsi="Calibri" w:cs="Calibri"/>
          <w:noProof/>
          <w:lang w:val="en-US"/>
        </w:rPr>
        <w:t xml:space="preserve">C values from aquatic organisms, with implications for isotope mixing models. </w:t>
      </w:r>
      <w:r w:rsidRPr="0008325B">
        <w:rPr>
          <w:rFonts w:ascii="Calibri" w:hAnsi="Calibri" w:cs="Calibri"/>
          <w:i/>
          <w:iCs/>
          <w:noProof/>
          <w:lang w:val="en-US"/>
        </w:rPr>
        <w:t>J. Appl. Ecol.</w:t>
      </w:r>
      <w:r w:rsidRPr="0008325B">
        <w:rPr>
          <w:rFonts w:ascii="Calibri" w:hAnsi="Calibri" w:cs="Calibri"/>
          <w:noProof/>
          <w:lang w:val="en-US"/>
        </w:rPr>
        <w:t xml:space="preserve"> 43, 1213–1222. doi:10.1111/j.1365-2664.2006.01224.x.</w:t>
      </w:r>
    </w:p>
    <w:p w14:paraId="000404A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Killen, S. S., Glazier, D. S., Rezende, E. L., Clark, T. D., Atkinson, D., Willener, A. S. T., et al. (2016). Ecological influences and morphological correlates of resting and maximal metabolic rates across teleost fish species. </w:t>
      </w:r>
      <w:r w:rsidRPr="0008325B">
        <w:rPr>
          <w:rFonts w:ascii="Calibri" w:hAnsi="Calibri" w:cs="Calibri"/>
          <w:i/>
          <w:iCs/>
          <w:noProof/>
          <w:lang w:val="en-US"/>
        </w:rPr>
        <w:t>Am. Nat.</w:t>
      </w:r>
      <w:r w:rsidRPr="0008325B">
        <w:rPr>
          <w:rFonts w:ascii="Calibri" w:hAnsi="Calibri" w:cs="Calibri"/>
          <w:noProof/>
          <w:lang w:val="en-US"/>
        </w:rPr>
        <w:t xml:space="preserve"> 187, 592–606. doi:10.1086/685893.</w:t>
      </w:r>
    </w:p>
    <w:p w14:paraId="35327AD8"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Kim, L. Y.-J. (2014). Effect of increased temperature and decreased food quality on metabolism and growth of an algivorous cichlid, </w:t>
      </w:r>
      <w:r w:rsidRPr="0008325B">
        <w:rPr>
          <w:rFonts w:ascii="Calibri" w:hAnsi="Calibri" w:cs="Calibri"/>
          <w:i/>
          <w:iCs/>
          <w:noProof/>
          <w:lang w:val="en-US"/>
        </w:rPr>
        <w:t>Tropheus duboisi</w:t>
      </w:r>
      <w:r w:rsidRPr="0008325B">
        <w:rPr>
          <w:rFonts w:ascii="Calibri" w:hAnsi="Calibri" w:cs="Calibri"/>
          <w:noProof/>
          <w:lang w:val="en-US"/>
        </w:rPr>
        <w:t xml:space="preserve"> and effect of food habit on the field metabolism of African Cichlids. </w:t>
      </w:r>
      <w:r w:rsidRPr="0008325B">
        <w:rPr>
          <w:rFonts w:ascii="Calibri" w:hAnsi="Calibri" w:cs="Calibri"/>
          <w:i/>
          <w:iCs/>
          <w:noProof/>
          <w:lang w:val="en-US"/>
        </w:rPr>
        <w:t>Wright State Univ.</w:t>
      </w:r>
    </w:p>
    <w:p w14:paraId="6C9F7F9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Klingenberg, C. P. (2016). Size, shape, and form: concepts of allometry in geometric </w:t>
      </w:r>
      <w:r w:rsidRPr="0008325B">
        <w:rPr>
          <w:rFonts w:ascii="Calibri" w:hAnsi="Calibri" w:cs="Calibri"/>
          <w:noProof/>
          <w:lang w:val="en-US"/>
        </w:rPr>
        <w:lastRenderedPageBreak/>
        <w:t xml:space="preserve">morphometrics. </w:t>
      </w:r>
      <w:r w:rsidRPr="0008325B">
        <w:rPr>
          <w:rFonts w:ascii="Calibri" w:hAnsi="Calibri" w:cs="Calibri"/>
          <w:i/>
          <w:iCs/>
          <w:noProof/>
          <w:lang w:val="en-US"/>
        </w:rPr>
        <w:t>Dev. Genes Evol.</w:t>
      </w:r>
      <w:r w:rsidRPr="0008325B">
        <w:rPr>
          <w:rFonts w:ascii="Calibri" w:hAnsi="Calibri" w:cs="Calibri"/>
          <w:noProof/>
          <w:lang w:val="en-US"/>
        </w:rPr>
        <w:t xml:space="preserve"> 226, 113–137. doi:10.1007/s00427-016-0539-2.</w:t>
      </w:r>
    </w:p>
    <w:p w14:paraId="3DEE85B8"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Ladds, M. A., Slip, D. J., and Harcourt, R. G. (2017). Swimming metabolic rates vary by sex and development stage, but not by species, in three species of Australian otariid seals. </w:t>
      </w:r>
      <w:r w:rsidRPr="0008325B">
        <w:rPr>
          <w:rFonts w:ascii="Calibri" w:hAnsi="Calibri" w:cs="Calibri"/>
          <w:i/>
          <w:iCs/>
          <w:noProof/>
          <w:lang w:val="en-US"/>
        </w:rPr>
        <w:t>J. Comp. Physiol. B</w:t>
      </w:r>
      <w:r w:rsidRPr="0008325B">
        <w:rPr>
          <w:rFonts w:ascii="Calibri" w:hAnsi="Calibri" w:cs="Calibri"/>
          <w:noProof/>
          <w:lang w:val="en-US"/>
        </w:rPr>
        <w:t xml:space="preserve"> 187, 503–516. doi:10.1007/s00360-016-1046-5.</w:t>
      </w:r>
    </w:p>
    <w:p w14:paraId="028CB0CD"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Loligo-Systems (2020). User manual AutoResp version 2.3.0. 1–74.</w:t>
      </w:r>
    </w:p>
    <w:p w14:paraId="6A674A7D"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Madenjian, C. P. (2011). Sex effect on polychlorinated biphenyl concentrations in fish: A synthesis. </w:t>
      </w:r>
      <w:r w:rsidRPr="0008325B">
        <w:rPr>
          <w:rFonts w:ascii="Calibri" w:hAnsi="Calibri" w:cs="Calibri"/>
          <w:i/>
          <w:iCs/>
          <w:noProof/>
          <w:lang w:val="en-US"/>
        </w:rPr>
        <w:t>Fish Fish.</w:t>
      </w:r>
      <w:r w:rsidRPr="0008325B">
        <w:rPr>
          <w:rFonts w:ascii="Calibri" w:hAnsi="Calibri" w:cs="Calibri"/>
          <w:noProof/>
          <w:lang w:val="en-US"/>
        </w:rPr>
        <w:t xml:space="preserve"> 12, 451–460. doi:10.1111/j.1467-2979.2011.00414.x.</w:t>
      </w:r>
    </w:p>
    <w:p w14:paraId="17A1891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Maechler, M., Rousseeuw, P., Struyf, A., Hubert, M., and Hornik, K. (2019). cluster: cluster analysis basics and extensions.</w:t>
      </w:r>
    </w:p>
    <w:p w14:paraId="2B14DC2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Makiguchi, Y., Nii, H., Nakao, K., and Ueda, H. (2017). Sex differences in metabolic rate and swimming performance in pink salmon (</w:t>
      </w:r>
      <w:r w:rsidRPr="0008325B">
        <w:rPr>
          <w:rFonts w:ascii="Calibri" w:hAnsi="Calibri" w:cs="Calibri"/>
          <w:i/>
          <w:iCs/>
          <w:noProof/>
          <w:lang w:val="en-US"/>
        </w:rPr>
        <w:t>Oncorhynchus gorbuscha</w:t>
      </w:r>
      <w:r w:rsidRPr="0008325B">
        <w:rPr>
          <w:rFonts w:ascii="Calibri" w:hAnsi="Calibri" w:cs="Calibri"/>
          <w:noProof/>
          <w:lang w:val="en-US"/>
        </w:rPr>
        <w:t xml:space="preserve">): the effect of male secondary sexual traits. </w:t>
      </w:r>
      <w:r w:rsidRPr="0008325B">
        <w:rPr>
          <w:rFonts w:ascii="Calibri" w:hAnsi="Calibri" w:cs="Calibri"/>
          <w:i/>
          <w:iCs/>
          <w:noProof/>
          <w:lang w:val="en-US"/>
        </w:rPr>
        <w:t>Ecol. Freshw. Fish</w:t>
      </w:r>
      <w:r w:rsidRPr="0008325B">
        <w:rPr>
          <w:rFonts w:ascii="Calibri" w:hAnsi="Calibri" w:cs="Calibri"/>
          <w:noProof/>
          <w:lang w:val="en-US"/>
        </w:rPr>
        <w:t xml:space="preserve"> 26, 322–332. doi:10.1111/eff.12278.</w:t>
      </w:r>
    </w:p>
    <w:p w14:paraId="5A4E586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Marklund, M. H. K., Svanbäck, R., Faulks, L., Breed, M. F., Scharnweber, K., Zha, Y., et al. (2019). Asymmetrical habitat coupling of an aquatic predator—The importance of individual specialization. </w:t>
      </w:r>
      <w:r w:rsidRPr="0008325B">
        <w:rPr>
          <w:rFonts w:ascii="Calibri" w:hAnsi="Calibri" w:cs="Calibri"/>
          <w:i/>
          <w:iCs/>
          <w:noProof/>
          <w:lang w:val="en-US"/>
        </w:rPr>
        <w:t>Ecol. Evol.</w:t>
      </w:r>
      <w:r w:rsidRPr="0008325B">
        <w:rPr>
          <w:rFonts w:ascii="Calibri" w:hAnsi="Calibri" w:cs="Calibri"/>
          <w:noProof/>
          <w:lang w:val="en-US"/>
        </w:rPr>
        <w:t xml:space="preserve"> 9, 3405–3415. doi:10.1002/ece3.4973.</w:t>
      </w:r>
    </w:p>
    <w:p w14:paraId="0AA21C8C"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Metcalfe, N. B., Van Leeuwen, T. E., and Killen, S. S. (2016). Does individual variation in metabolic phenotype predict fish behaviour and performance? </w:t>
      </w:r>
      <w:r w:rsidRPr="0008325B">
        <w:rPr>
          <w:rFonts w:ascii="Calibri" w:hAnsi="Calibri" w:cs="Calibri"/>
          <w:i/>
          <w:iCs/>
          <w:noProof/>
          <w:lang w:val="en-US"/>
        </w:rPr>
        <w:t>J. Fish Biol.</w:t>
      </w:r>
      <w:r w:rsidRPr="0008325B">
        <w:rPr>
          <w:rFonts w:ascii="Calibri" w:hAnsi="Calibri" w:cs="Calibri"/>
          <w:noProof/>
          <w:lang w:val="en-US"/>
        </w:rPr>
        <w:t xml:space="preserve"> 88, 298–321. doi:10.1111/jfb.12699.</w:t>
      </w:r>
    </w:p>
    <w:p w14:paraId="082DD20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Moras, S., Ayala, A. I., and Pierson, D. C. (2019). Historical modelling of changes in Lake Erken thermal conditions. </w:t>
      </w:r>
      <w:r w:rsidRPr="0008325B">
        <w:rPr>
          <w:rFonts w:ascii="Calibri" w:hAnsi="Calibri" w:cs="Calibri"/>
          <w:i/>
          <w:iCs/>
          <w:noProof/>
          <w:lang w:val="en-US"/>
        </w:rPr>
        <w:t>Hydrol. Earth Syst. Sci.</w:t>
      </w:r>
      <w:r w:rsidRPr="0008325B">
        <w:rPr>
          <w:rFonts w:ascii="Calibri" w:hAnsi="Calibri" w:cs="Calibri"/>
          <w:noProof/>
          <w:lang w:val="en-US"/>
        </w:rPr>
        <w:t xml:space="preserve"> 23, 5001–5016. doi:10.5194/hess-23-5001-2019.</w:t>
      </w:r>
    </w:p>
    <w:p w14:paraId="60DED544"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Norin, T., and Metcalfe, N. B. (2019). Ecological and evolutionary consequences of metabolic rate plasticity in response to environmental change. </w:t>
      </w:r>
      <w:r w:rsidRPr="0008325B">
        <w:rPr>
          <w:rFonts w:ascii="Calibri" w:hAnsi="Calibri" w:cs="Calibri"/>
          <w:i/>
          <w:iCs/>
          <w:noProof/>
          <w:lang w:val="en-US"/>
        </w:rPr>
        <w:t>Philos. Trans. R. Soc. B Biol. Sci.</w:t>
      </w:r>
      <w:r w:rsidRPr="0008325B">
        <w:rPr>
          <w:rFonts w:ascii="Calibri" w:hAnsi="Calibri" w:cs="Calibri"/>
          <w:noProof/>
          <w:lang w:val="en-US"/>
        </w:rPr>
        <w:t xml:space="preserve"> 374, 1–9. doi:10.1098/rstb.2018.0180.</w:t>
      </w:r>
    </w:p>
    <w:p w14:paraId="5FA88E88"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lastRenderedPageBreak/>
        <w:t xml:space="preserve">Olsson, J., and Eklöv, P. (2005). Habitat structure, feeding mode and morphological reversibility: factors influencing phenotypic plasticity in perch. </w:t>
      </w:r>
      <w:r w:rsidRPr="0008325B">
        <w:rPr>
          <w:rFonts w:ascii="Calibri" w:hAnsi="Calibri" w:cs="Calibri"/>
          <w:i/>
          <w:iCs/>
          <w:noProof/>
          <w:lang w:val="en-US"/>
        </w:rPr>
        <w:t>Evol. Ecol. Res.</w:t>
      </w:r>
      <w:r w:rsidRPr="0008325B">
        <w:rPr>
          <w:rFonts w:ascii="Calibri" w:hAnsi="Calibri" w:cs="Calibri"/>
          <w:noProof/>
          <w:lang w:val="en-US"/>
        </w:rPr>
        <w:t xml:space="preserve"> 7, 1109–1123.</w:t>
      </w:r>
    </w:p>
    <w:p w14:paraId="6070E8C5" w14:textId="77777777" w:rsidR="0008325B" w:rsidRPr="00E61040" w:rsidRDefault="0008325B" w:rsidP="007F1711">
      <w:pPr>
        <w:widowControl w:val="0"/>
        <w:autoSpaceDE w:val="0"/>
        <w:autoSpaceDN w:val="0"/>
        <w:adjustRightInd w:val="0"/>
        <w:spacing w:line="480" w:lineRule="auto"/>
        <w:ind w:left="480" w:hanging="480"/>
        <w:rPr>
          <w:rFonts w:ascii="Calibri" w:hAnsi="Calibri" w:cs="Calibri"/>
          <w:noProof/>
          <w:lang w:val="sv-SE"/>
        </w:rPr>
      </w:pPr>
      <w:r w:rsidRPr="0008325B">
        <w:rPr>
          <w:rFonts w:ascii="Calibri" w:hAnsi="Calibri" w:cs="Calibri"/>
          <w:noProof/>
          <w:lang w:val="en-US"/>
        </w:rPr>
        <w:t xml:space="preserve">Pettersson, L. B., and Brönmark, C. (1999). Energetic consequences of an inducible morphological defence in crucian carp. </w:t>
      </w:r>
      <w:r w:rsidRPr="00E61040">
        <w:rPr>
          <w:rFonts w:ascii="Calibri" w:hAnsi="Calibri" w:cs="Calibri"/>
          <w:i/>
          <w:iCs/>
          <w:noProof/>
          <w:lang w:val="sv-SE"/>
        </w:rPr>
        <w:t>Oecologia</w:t>
      </w:r>
      <w:r w:rsidRPr="00E61040">
        <w:rPr>
          <w:rFonts w:ascii="Calibri" w:hAnsi="Calibri" w:cs="Calibri"/>
          <w:noProof/>
          <w:lang w:val="sv-SE"/>
        </w:rPr>
        <w:t xml:space="preserve"> 121, 12–18. doi:10.1007/s004420050901.</w:t>
      </w:r>
    </w:p>
    <w:p w14:paraId="669EC6F3"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E61040">
        <w:rPr>
          <w:rFonts w:ascii="Calibri" w:hAnsi="Calibri" w:cs="Calibri"/>
          <w:noProof/>
          <w:lang w:val="sv-SE"/>
        </w:rPr>
        <w:t xml:space="preserve">Pilakouta, N., Killen, S. S., Kristjánsson, B. K., Skúlason, S., Lindström, J., Metcalfe, N. B., et al. </w:t>
      </w:r>
      <w:r w:rsidRPr="0008325B">
        <w:rPr>
          <w:rFonts w:ascii="Calibri" w:hAnsi="Calibri" w:cs="Calibri"/>
          <w:noProof/>
          <w:lang w:val="en-US"/>
        </w:rPr>
        <w:t xml:space="preserve">(2020). Multigenerational exposure to elevated temperatures leads to a reduction in standard metabolic rate in the wild. </w:t>
      </w:r>
      <w:r w:rsidRPr="0008325B">
        <w:rPr>
          <w:rFonts w:ascii="Calibri" w:hAnsi="Calibri" w:cs="Calibri"/>
          <w:i/>
          <w:iCs/>
          <w:noProof/>
          <w:lang w:val="en-US"/>
        </w:rPr>
        <w:t>Funct. Ecol.</w:t>
      </w:r>
      <w:r w:rsidRPr="0008325B">
        <w:rPr>
          <w:rFonts w:ascii="Calibri" w:hAnsi="Calibri" w:cs="Calibri"/>
          <w:noProof/>
          <w:lang w:val="en-US"/>
        </w:rPr>
        <w:t xml:space="preserve"> 34, 1205–1214. doi:10.1111/1365-2435.13538.</w:t>
      </w:r>
    </w:p>
    <w:p w14:paraId="74433C01"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Reid, D., Armstrong, J. D., and Metcalfe, N. B. (2012). The performance advantage of a high resting metabolic rate in juvenile salmon is habitat dependent. </w:t>
      </w:r>
      <w:r w:rsidRPr="0008325B">
        <w:rPr>
          <w:rFonts w:ascii="Calibri" w:hAnsi="Calibri" w:cs="Calibri"/>
          <w:i/>
          <w:iCs/>
          <w:noProof/>
          <w:lang w:val="en-US"/>
        </w:rPr>
        <w:t>J. Anim. Ecol.</w:t>
      </w:r>
      <w:r w:rsidRPr="0008325B">
        <w:rPr>
          <w:rFonts w:ascii="Calibri" w:hAnsi="Calibri" w:cs="Calibri"/>
          <w:noProof/>
          <w:lang w:val="en-US"/>
        </w:rPr>
        <w:t xml:space="preserve"> 81, 868–875. doi:10.1111/j.1365-2656.2012.01969.x.</w:t>
      </w:r>
    </w:p>
    <w:p w14:paraId="5261E980"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Reidy, S. P., Kerr, S. R., and Nelson, J. A. (2000). Aerobic and anaerobic swimming performance of individual Atlantic cod. </w:t>
      </w:r>
      <w:r w:rsidRPr="0008325B">
        <w:rPr>
          <w:rFonts w:ascii="Calibri" w:hAnsi="Calibri" w:cs="Calibri"/>
          <w:i/>
          <w:iCs/>
          <w:noProof/>
          <w:lang w:val="en-US"/>
        </w:rPr>
        <w:t>J. Exp. Biol.</w:t>
      </w:r>
      <w:r w:rsidRPr="0008325B">
        <w:rPr>
          <w:rFonts w:ascii="Calibri" w:hAnsi="Calibri" w:cs="Calibri"/>
          <w:noProof/>
          <w:lang w:val="en-US"/>
        </w:rPr>
        <w:t xml:space="preserve"> 203, 347–357. doi:10.1242/jeb.203.2.347.</w:t>
      </w:r>
    </w:p>
    <w:p w14:paraId="1147A62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Robinson, B. W., and Wilson, D. S. (1994). Character release and displacement in fishes: A neglected literature. </w:t>
      </w:r>
      <w:r w:rsidRPr="0008325B">
        <w:rPr>
          <w:rFonts w:ascii="Calibri" w:hAnsi="Calibri" w:cs="Calibri"/>
          <w:i/>
          <w:iCs/>
          <w:noProof/>
          <w:lang w:val="en-US"/>
        </w:rPr>
        <w:t>Am. Nat.</w:t>
      </w:r>
      <w:r w:rsidRPr="0008325B">
        <w:rPr>
          <w:rFonts w:ascii="Calibri" w:hAnsi="Calibri" w:cs="Calibri"/>
          <w:noProof/>
          <w:lang w:val="en-US"/>
        </w:rPr>
        <w:t xml:space="preserve"> 144, 596–627.</w:t>
      </w:r>
    </w:p>
    <w:p w14:paraId="04BDC0B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Rosenfeld, J., Van Leeuwen, T., Richards, J., and Allen, D. (2015). Relationship between growth and standard metabolic rate: measurement artefacts and implications for habitat use and life-history adaptation in salmonids. </w:t>
      </w:r>
      <w:r w:rsidRPr="0008325B">
        <w:rPr>
          <w:rFonts w:ascii="Calibri" w:hAnsi="Calibri" w:cs="Calibri"/>
          <w:i/>
          <w:iCs/>
          <w:noProof/>
          <w:lang w:val="en-US"/>
        </w:rPr>
        <w:t>J. Anim. Ecol.</w:t>
      </w:r>
      <w:r w:rsidRPr="0008325B">
        <w:rPr>
          <w:rFonts w:ascii="Calibri" w:hAnsi="Calibri" w:cs="Calibri"/>
          <w:noProof/>
          <w:lang w:val="en-US"/>
        </w:rPr>
        <w:t xml:space="preserve"> 84, 4–20. doi:10.1111/1365-2656.12260.</w:t>
      </w:r>
    </w:p>
    <w:p w14:paraId="7E962BAD"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Rouleau, S., Glémet, H., and Magnan, P. (2010). Effects of morphology on swimming performance in wild and laboratory crosses of brook trout ecotypes. </w:t>
      </w:r>
      <w:r w:rsidRPr="0008325B">
        <w:rPr>
          <w:rFonts w:ascii="Calibri" w:hAnsi="Calibri" w:cs="Calibri"/>
          <w:i/>
          <w:iCs/>
          <w:noProof/>
          <w:lang w:val="en-US"/>
        </w:rPr>
        <w:t>Funct. Ecol.</w:t>
      </w:r>
      <w:r w:rsidRPr="0008325B">
        <w:rPr>
          <w:rFonts w:ascii="Calibri" w:hAnsi="Calibri" w:cs="Calibri"/>
          <w:noProof/>
          <w:lang w:val="en-US"/>
        </w:rPr>
        <w:t xml:space="preserve"> 24, </w:t>
      </w:r>
      <w:r w:rsidRPr="0008325B">
        <w:rPr>
          <w:rFonts w:ascii="Calibri" w:hAnsi="Calibri" w:cs="Calibri"/>
          <w:noProof/>
          <w:lang w:val="en-US"/>
        </w:rPr>
        <w:lastRenderedPageBreak/>
        <w:t>310–321. doi:10.1111/j.1365-2435.2009.01636.x.</w:t>
      </w:r>
    </w:p>
    <w:p w14:paraId="621682D5"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Russell, L. V. (2020). emmeans: estimated marginal means, aka least-squares means. Available at: https://cran.r-project.org/package=emmeans.</w:t>
      </w:r>
    </w:p>
    <w:p w14:paraId="14A6104E"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Sandblom, E., Clark, T. D., Gräns, A., Ekström, A., Brijs, J., Sundström, L. F., et al. (2016). Physiological constraints to climate warming in fish follow principles of plastic floors and concrete ceilings. </w:t>
      </w:r>
      <w:r w:rsidRPr="0008325B">
        <w:rPr>
          <w:rFonts w:ascii="Calibri" w:hAnsi="Calibri" w:cs="Calibri"/>
          <w:i/>
          <w:iCs/>
          <w:noProof/>
          <w:lang w:val="en-US"/>
        </w:rPr>
        <w:t>Nat. Commun.</w:t>
      </w:r>
      <w:r w:rsidRPr="0008325B">
        <w:rPr>
          <w:rFonts w:ascii="Calibri" w:hAnsi="Calibri" w:cs="Calibri"/>
          <w:noProof/>
          <w:lang w:val="en-US"/>
        </w:rPr>
        <w:t xml:space="preserve"> 7, 1–8. doi:10.1038/ncomms11447.</w:t>
      </w:r>
    </w:p>
    <w:p w14:paraId="41CC3B88"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Sandblom, E., Gräns, A., Axelsson, M., and Seth, H. (2014). Temperature acclimation rate of aerobic scope and feeding metabolism in fishes: implications in a thermally extreme future. </w:t>
      </w:r>
      <w:r w:rsidRPr="0008325B">
        <w:rPr>
          <w:rFonts w:ascii="Calibri" w:hAnsi="Calibri" w:cs="Calibri"/>
          <w:i/>
          <w:iCs/>
          <w:noProof/>
          <w:lang w:val="en-US"/>
        </w:rPr>
        <w:t>Proc. Biol. Sci.</w:t>
      </w:r>
      <w:r w:rsidRPr="0008325B">
        <w:rPr>
          <w:rFonts w:ascii="Calibri" w:hAnsi="Calibri" w:cs="Calibri"/>
          <w:noProof/>
          <w:lang w:val="en-US"/>
        </w:rPr>
        <w:t xml:space="preserve"> 281, 1–9. doi:10.1098/rspb.2014.1490.</w:t>
      </w:r>
    </w:p>
    <w:p w14:paraId="531496EA"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Scharnweber, K., Strandberg, U., Karlsson, K., and Eklöv, P. (2016a). Decrease of population divergence in Eurasian perch (</w:t>
      </w:r>
      <w:r w:rsidRPr="0008325B">
        <w:rPr>
          <w:rFonts w:ascii="Calibri" w:hAnsi="Calibri" w:cs="Calibri"/>
          <w:i/>
          <w:iCs/>
          <w:noProof/>
          <w:lang w:val="en-US"/>
        </w:rPr>
        <w:t>Perca fluviatilis</w:t>
      </w:r>
      <w:r w:rsidRPr="0008325B">
        <w:rPr>
          <w:rFonts w:ascii="Calibri" w:hAnsi="Calibri" w:cs="Calibri"/>
          <w:noProof/>
          <w:lang w:val="en-US"/>
        </w:rPr>
        <w:t xml:space="preserve">) in browning waters: role of fatty acids and foraging efficiency. </w:t>
      </w:r>
      <w:r w:rsidRPr="0008325B">
        <w:rPr>
          <w:rFonts w:ascii="Calibri" w:hAnsi="Calibri" w:cs="Calibri"/>
          <w:i/>
          <w:iCs/>
          <w:noProof/>
          <w:lang w:val="en-US"/>
        </w:rPr>
        <w:t>PLoS One</w:t>
      </w:r>
      <w:r w:rsidRPr="0008325B">
        <w:rPr>
          <w:rFonts w:ascii="Calibri" w:hAnsi="Calibri" w:cs="Calibri"/>
          <w:noProof/>
          <w:lang w:val="en-US"/>
        </w:rPr>
        <w:t xml:space="preserve"> 11, e0162470. doi:10.1371/journal.pone.0162470.</w:t>
      </w:r>
    </w:p>
    <w:p w14:paraId="57EE65EC"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Scharnweber, K., Strandberg, U., Marklund, M. H. K., and Eklöv, P. (2016b). Combining resource use assessment techniques reveals trade ‐ offs in trophic specialization of polymorphic perch. </w:t>
      </w:r>
      <w:r w:rsidRPr="0008325B">
        <w:rPr>
          <w:rFonts w:ascii="Calibri" w:hAnsi="Calibri" w:cs="Calibri"/>
          <w:i/>
          <w:iCs/>
          <w:noProof/>
          <w:lang w:val="en-US"/>
        </w:rPr>
        <w:t>Ecosphere</w:t>
      </w:r>
      <w:r w:rsidRPr="0008325B">
        <w:rPr>
          <w:rFonts w:ascii="Calibri" w:hAnsi="Calibri" w:cs="Calibri"/>
          <w:noProof/>
          <w:lang w:val="en-US"/>
        </w:rPr>
        <w:t xml:space="preserve"> 7, 1–20. doi:10.1002/ecs2.1387.</w:t>
      </w:r>
    </w:p>
    <w:p w14:paraId="6FC9038C"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Seibel, B. A., and Drazen, J. C. (2007). The rate of metabolism in marine animals: environmental constraints, ecological demands and energetic opportunities. </w:t>
      </w:r>
      <w:r w:rsidRPr="0008325B">
        <w:rPr>
          <w:rFonts w:ascii="Calibri" w:hAnsi="Calibri" w:cs="Calibri"/>
          <w:i/>
          <w:iCs/>
          <w:noProof/>
          <w:lang w:val="en-US"/>
        </w:rPr>
        <w:t>Philos. Trans. R. Soc. B Biol. Sci.</w:t>
      </w:r>
      <w:r w:rsidRPr="0008325B">
        <w:rPr>
          <w:rFonts w:ascii="Calibri" w:hAnsi="Calibri" w:cs="Calibri"/>
          <w:noProof/>
          <w:lang w:val="en-US"/>
        </w:rPr>
        <w:t xml:space="preserve"> 362, 2061–2078. doi:10.1098/rstb.2007.2101.</w:t>
      </w:r>
    </w:p>
    <w:p w14:paraId="0D99F285"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Siwertsson, A., Knudsen, R., Adams, C. E., Præbel, K., and Amundsen, P. A. (2013). Parallel and non-parallel morphological divergence among foraging specialists in European whitefish (</w:t>
      </w:r>
      <w:r w:rsidRPr="0008325B">
        <w:rPr>
          <w:rFonts w:ascii="Calibri" w:hAnsi="Calibri" w:cs="Calibri"/>
          <w:i/>
          <w:iCs/>
          <w:noProof/>
          <w:lang w:val="en-US"/>
        </w:rPr>
        <w:t>Coregonus lavaretus</w:t>
      </w:r>
      <w:r w:rsidRPr="0008325B">
        <w:rPr>
          <w:rFonts w:ascii="Calibri" w:hAnsi="Calibri" w:cs="Calibri"/>
          <w:noProof/>
          <w:lang w:val="en-US"/>
        </w:rPr>
        <w:t xml:space="preserve">). </w:t>
      </w:r>
      <w:r w:rsidRPr="0008325B">
        <w:rPr>
          <w:rFonts w:ascii="Calibri" w:hAnsi="Calibri" w:cs="Calibri"/>
          <w:i/>
          <w:iCs/>
          <w:noProof/>
          <w:lang w:val="en-US"/>
        </w:rPr>
        <w:t>Ecol. Evol.</w:t>
      </w:r>
      <w:r w:rsidRPr="0008325B">
        <w:rPr>
          <w:rFonts w:ascii="Calibri" w:hAnsi="Calibri" w:cs="Calibri"/>
          <w:noProof/>
          <w:lang w:val="en-US"/>
        </w:rPr>
        <w:t xml:space="preserve"> 3, 1590–1602. doi:10.1002/ece3.562.</w:t>
      </w:r>
    </w:p>
    <w:p w14:paraId="65F99814"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Skúlason, S., Parsons, K. J., Svanbäck, R., Räsänen, K., Ferguson, M. M., Adams, C. E., et al. (2019). A way forward with eco evo devo: an extended theory of resource polymorphism with postglacial fishes as model systems. </w:t>
      </w:r>
      <w:r w:rsidRPr="0008325B">
        <w:rPr>
          <w:rFonts w:ascii="Calibri" w:hAnsi="Calibri" w:cs="Calibri"/>
          <w:i/>
          <w:iCs/>
          <w:noProof/>
          <w:lang w:val="en-US"/>
        </w:rPr>
        <w:t>Biol. Rev.</w:t>
      </w:r>
      <w:r w:rsidRPr="0008325B">
        <w:rPr>
          <w:rFonts w:ascii="Calibri" w:hAnsi="Calibri" w:cs="Calibri"/>
          <w:noProof/>
          <w:lang w:val="en-US"/>
        </w:rPr>
        <w:t xml:space="preserve"> 94, 1786–1808. </w:t>
      </w:r>
      <w:r w:rsidRPr="0008325B">
        <w:rPr>
          <w:rFonts w:ascii="Calibri" w:hAnsi="Calibri" w:cs="Calibri"/>
          <w:noProof/>
          <w:lang w:val="en-US"/>
        </w:rPr>
        <w:lastRenderedPageBreak/>
        <w:t>doi:10.1111/brv.12534.</w:t>
      </w:r>
    </w:p>
    <w:p w14:paraId="334C2736"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Skúlason, S., and Smith, T. B. (1995). Resource polymorphisms in vertebrates. </w:t>
      </w:r>
      <w:r w:rsidRPr="0008325B">
        <w:rPr>
          <w:rFonts w:ascii="Calibri" w:hAnsi="Calibri" w:cs="Calibri"/>
          <w:i/>
          <w:iCs/>
          <w:noProof/>
          <w:lang w:val="en-US"/>
        </w:rPr>
        <w:t>Trends Ecol. Evol.</w:t>
      </w:r>
      <w:r w:rsidRPr="0008325B">
        <w:rPr>
          <w:rFonts w:ascii="Calibri" w:hAnsi="Calibri" w:cs="Calibri"/>
          <w:noProof/>
          <w:lang w:val="en-US"/>
        </w:rPr>
        <w:t xml:space="preserve"> 10, 366–370. doi:10.1016/S0169-5347(00)89135-1.</w:t>
      </w:r>
    </w:p>
    <w:p w14:paraId="0B890455"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Somjee, U., Arthur Woods, H., Duell, M., and Miller, C. W. (2018). The hidden cost of sexually selected traits: The metabolic expense of maintaining a sexually selected weapon. </w:t>
      </w:r>
      <w:r w:rsidRPr="0008325B">
        <w:rPr>
          <w:rFonts w:ascii="Calibri" w:hAnsi="Calibri" w:cs="Calibri"/>
          <w:i/>
          <w:iCs/>
          <w:noProof/>
          <w:lang w:val="en-US"/>
        </w:rPr>
        <w:t>Proc. R. Soc. B Biol. Sci.</w:t>
      </w:r>
      <w:r w:rsidRPr="0008325B">
        <w:rPr>
          <w:rFonts w:ascii="Calibri" w:hAnsi="Calibri" w:cs="Calibri"/>
          <w:noProof/>
          <w:lang w:val="en-US"/>
        </w:rPr>
        <w:t xml:space="preserve"> 285, 10–12. doi:10.1098/rspb.2018.1685.</w:t>
      </w:r>
    </w:p>
    <w:p w14:paraId="2277EFD2"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Song, J., Brill, R. W., and McDowell, J. R. (2019). Plasticity in standard and maximum aerobic metabolic rates in two populations of an estuarine dependent teleost, spotted seatrout (</w:t>
      </w:r>
      <w:r w:rsidRPr="0008325B">
        <w:rPr>
          <w:rFonts w:ascii="Calibri" w:hAnsi="Calibri" w:cs="Calibri"/>
          <w:i/>
          <w:iCs/>
          <w:noProof/>
          <w:lang w:val="en-US"/>
        </w:rPr>
        <w:t>Cynoscion nebulosus</w:t>
      </w:r>
      <w:r w:rsidRPr="0008325B">
        <w:rPr>
          <w:rFonts w:ascii="Calibri" w:hAnsi="Calibri" w:cs="Calibri"/>
          <w:noProof/>
          <w:lang w:val="en-US"/>
        </w:rPr>
        <w:t xml:space="preserve">). </w:t>
      </w:r>
      <w:r w:rsidRPr="0008325B">
        <w:rPr>
          <w:rFonts w:ascii="Calibri" w:hAnsi="Calibri" w:cs="Calibri"/>
          <w:i/>
          <w:iCs/>
          <w:noProof/>
          <w:lang w:val="en-US"/>
        </w:rPr>
        <w:t>Biology (Basel).</w:t>
      </w:r>
      <w:r w:rsidRPr="0008325B">
        <w:rPr>
          <w:rFonts w:ascii="Calibri" w:hAnsi="Calibri" w:cs="Calibri"/>
          <w:noProof/>
          <w:lang w:val="en-US"/>
        </w:rPr>
        <w:t xml:space="preserve"> 8, 46. doi:10.3390/biology8020046.</w:t>
      </w:r>
    </w:p>
    <w:p w14:paraId="6E3814F1"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Steffensen, J. F., Bushnell, P. G., and Schurmann, H. (1994). Oxygen consumption in four species of teleosts from Greenland: no evidence of metabolic cold adaptation. </w:t>
      </w:r>
      <w:r w:rsidRPr="0008325B">
        <w:rPr>
          <w:rFonts w:ascii="Calibri" w:hAnsi="Calibri" w:cs="Calibri"/>
          <w:i/>
          <w:iCs/>
          <w:noProof/>
          <w:lang w:val="en-US"/>
        </w:rPr>
        <w:t>Polar Biol.</w:t>
      </w:r>
      <w:r w:rsidRPr="0008325B">
        <w:rPr>
          <w:rFonts w:ascii="Calibri" w:hAnsi="Calibri" w:cs="Calibri"/>
          <w:noProof/>
          <w:lang w:val="en-US"/>
        </w:rPr>
        <w:t xml:space="preserve"> 14. doi:10.1007/BF00240272.</w:t>
      </w:r>
    </w:p>
    <w:p w14:paraId="78885097"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Svanbäck, R., and Eklöv, P. (2002). Effects of habitat and food resources on morphology and ontogenetic growth trajectories in perch. </w:t>
      </w:r>
      <w:r w:rsidRPr="0008325B">
        <w:rPr>
          <w:rFonts w:ascii="Calibri" w:hAnsi="Calibri" w:cs="Calibri"/>
          <w:i/>
          <w:iCs/>
          <w:noProof/>
          <w:lang w:val="en-US"/>
        </w:rPr>
        <w:t>Oecologia</w:t>
      </w:r>
      <w:r w:rsidRPr="0008325B">
        <w:rPr>
          <w:rFonts w:ascii="Calibri" w:hAnsi="Calibri" w:cs="Calibri"/>
          <w:noProof/>
          <w:lang w:val="en-US"/>
        </w:rPr>
        <w:t xml:space="preserve"> 131, 61–70. doi:10.1007/s00442-001-0861-9.</w:t>
      </w:r>
    </w:p>
    <w:p w14:paraId="2088B88E"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Svanbäck, R., and Eklöv, P. (2003). Morphology dependent foraging efficiency in perch: a trade-off for ecological specialization? </w:t>
      </w:r>
      <w:r w:rsidRPr="0008325B">
        <w:rPr>
          <w:rFonts w:ascii="Calibri" w:hAnsi="Calibri" w:cs="Calibri"/>
          <w:i/>
          <w:iCs/>
          <w:noProof/>
          <w:lang w:val="en-US"/>
        </w:rPr>
        <w:t>Oikos</w:t>
      </w:r>
      <w:r w:rsidRPr="0008325B">
        <w:rPr>
          <w:rFonts w:ascii="Calibri" w:hAnsi="Calibri" w:cs="Calibri"/>
          <w:noProof/>
          <w:lang w:val="en-US"/>
        </w:rPr>
        <w:t xml:space="preserve"> 102, 273–284. doi:10.1034/j.1600-0706.2003.12657.x.</w:t>
      </w:r>
    </w:p>
    <w:p w14:paraId="381CD144"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Svanbäck, R., and Eklöv, P. (2004). Morphology in perch affects habitat specific feeding efficiency. </w:t>
      </w:r>
      <w:r w:rsidRPr="0008325B">
        <w:rPr>
          <w:rFonts w:ascii="Calibri" w:hAnsi="Calibri" w:cs="Calibri"/>
          <w:i/>
          <w:iCs/>
          <w:noProof/>
          <w:lang w:val="en-US"/>
        </w:rPr>
        <w:t>Funct. Ecol.</w:t>
      </w:r>
      <w:r w:rsidRPr="0008325B">
        <w:rPr>
          <w:rFonts w:ascii="Calibri" w:hAnsi="Calibri" w:cs="Calibri"/>
          <w:noProof/>
          <w:lang w:val="en-US"/>
        </w:rPr>
        <w:t xml:space="preserve"> 18, 503–510. doi:10.1111/j.0269-8463.2004.00858.x.</w:t>
      </w:r>
    </w:p>
    <w:p w14:paraId="4494E197"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Svanbäck, R., and Eklöv, P. (2006). Genetic variation and phenotypic plasticity: Causes of morphological and dietary variation in Eurasian perch. </w:t>
      </w:r>
      <w:r w:rsidRPr="0008325B">
        <w:rPr>
          <w:rFonts w:ascii="Calibri" w:hAnsi="Calibri" w:cs="Calibri"/>
          <w:i/>
          <w:iCs/>
          <w:noProof/>
          <w:lang w:val="en-US"/>
        </w:rPr>
        <w:t>Evol. Ecol. Res.</w:t>
      </w:r>
      <w:r w:rsidRPr="0008325B">
        <w:rPr>
          <w:rFonts w:ascii="Calibri" w:hAnsi="Calibri" w:cs="Calibri"/>
          <w:noProof/>
          <w:lang w:val="en-US"/>
        </w:rPr>
        <w:t xml:space="preserve"> 8, 37–49.</w:t>
      </w:r>
    </w:p>
    <w:p w14:paraId="1E9F2710"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Svendsen, M. B. S., Bushnell, P. G., and Steffensen, J. F. (2016). Design and setup of intermittent-flow respirometry system for aquatic organisms. </w:t>
      </w:r>
      <w:r w:rsidRPr="0008325B">
        <w:rPr>
          <w:rFonts w:ascii="Calibri" w:hAnsi="Calibri" w:cs="Calibri"/>
          <w:i/>
          <w:iCs/>
          <w:noProof/>
          <w:lang w:val="en-US"/>
        </w:rPr>
        <w:t>J. Fish Biol.</w:t>
      </w:r>
      <w:r w:rsidRPr="0008325B">
        <w:rPr>
          <w:rFonts w:ascii="Calibri" w:hAnsi="Calibri" w:cs="Calibri"/>
          <w:noProof/>
          <w:lang w:val="en-US"/>
        </w:rPr>
        <w:t xml:space="preserve"> 88, 26–50. </w:t>
      </w:r>
      <w:r w:rsidRPr="0008325B">
        <w:rPr>
          <w:rFonts w:ascii="Calibri" w:hAnsi="Calibri" w:cs="Calibri"/>
          <w:noProof/>
          <w:lang w:val="en-US"/>
        </w:rPr>
        <w:lastRenderedPageBreak/>
        <w:t>doi:10.1111/jfb.12797.</w:t>
      </w:r>
    </w:p>
    <w:p w14:paraId="5AAA560C"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Tunney, T. D., McCann, K. S., Lester, N. P., and Shuter, B. J. (2014). Effects of differential habitat warming on complex communities. </w:t>
      </w:r>
      <w:r w:rsidRPr="0008325B">
        <w:rPr>
          <w:rFonts w:ascii="Calibri" w:hAnsi="Calibri" w:cs="Calibri"/>
          <w:i/>
          <w:iCs/>
          <w:noProof/>
          <w:lang w:val="en-US"/>
        </w:rPr>
        <w:t>Proc. Natl. Acad. Sci. U. S. A.</w:t>
      </w:r>
      <w:r w:rsidRPr="0008325B">
        <w:rPr>
          <w:rFonts w:ascii="Calibri" w:hAnsi="Calibri" w:cs="Calibri"/>
          <w:noProof/>
          <w:lang w:val="en-US"/>
        </w:rPr>
        <w:t xml:space="preserve"> 111, 8077–82. doi:10.1073/pnas.1319618111.</w:t>
      </w:r>
    </w:p>
    <w:p w14:paraId="53B3DDE7"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Valentin, A. E., Penin, X., Chanut, J.-P., Sévigny, J.-M., and Rohlf, F. J. (2008). Arching effect on fish body shape in geometric morphometric studies. </w:t>
      </w:r>
      <w:r w:rsidRPr="0008325B">
        <w:rPr>
          <w:rFonts w:ascii="Calibri" w:hAnsi="Calibri" w:cs="Calibri"/>
          <w:i/>
          <w:iCs/>
          <w:noProof/>
          <w:lang w:val="en-US"/>
        </w:rPr>
        <w:t>J. Fish Biol.</w:t>
      </w:r>
      <w:r w:rsidRPr="0008325B">
        <w:rPr>
          <w:rFonts w:ascii="Calibri" w:hAnsi="Calibri" w:cs="Calibri"/>
          <w:noProof/>
          <w:lang w:val="en-US"/>
        </w:rPr>
        <w:t xml:space="preserve"> 73, 623–638. doi:10.1111/j.1095-8649.2008.01961.x.</w:t>
      </w:r>
    </w:p>
    <w:p w14:paraId="3654D510"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lang w:val="en-US"/>
        </w:rPr>
      </w:pPr>
      <w:r w:rsidRPr="0008325B">
        <w:rPr>
          <w:rFonts w:ascii="Calibri" w:hAnsi="Calibri" w:cs="Calibri"/>
          <w:noProof/>
          <w:lang w:val="en-US"/>
        </w:rPr>
        <w:t xml:space="preserve">Webb, P. W. (1984). Form and function in fish swimming. </w:t>
      </w:r>
      <w:r w:rsidRPr="0008325B">
        <w:rPr>
          <w:rFonts w:ascii="Calibri" w:hAnsi="Calibri" w:cs="Calibri"/>
          <w:i/>
          <w:iCs/>
          <w:noProof/>
          <w:lang w:val="en-US"/>
        </w:rPr>
        <w:t>Sci. Am.</w:t>
      </w:r>
      <w:r w:rsidRPr="0008325B">
        <w:rPr>
          <w:rFonts w:ascii="Calibri" w:hAnsi="Calibri" w:cs="Calibri"/>
          <w:noProof/>
          <w:lang w:val="en-US"/>
        </w:rPr>
        <w:t xml:space="preserve"> 251, 72–82. doi:10.1038/scientificamerican0784-72.</w:t>
      </w:r>
    </w:p>
    <w:p w14:paraId="6F7EA119" w14:textId="77777777" w:rsidR="0008325B" w:rsidRPr="0008325B" w:rsidRDefault="0008325B" w:rsidP="007F1711">
      <w:pPr>
        <w:widowControl w:val="0"/>
        <w:autoSpaceDE w:val="0"/>
        <w:autoSpaceDN w:val="0"/>
        <w:adjustRightInd w:val="0"/>
        <w:spacing w:line="480" w:lineRule="auto"/>
        <w:ind w:left="480" w:hanging="480"/>
        <w:rPr>
          <w:rFonts w:ascii="Calibri" w:hAnsi="Calibri" w:cs="Calibri"/>
          <w:noProof/>
        </w:rPr>
      </w:pPr>
      <w:r w:rsidRPr="0008325B">
        <w:rPr>
          <w:rFonts w:ascii="Calibri" w:hAnsi="Calibri" w:cs="Calibri"/>
          <w:noProof/>
          <w:lang w:val="en-US"/>
        </w:rPr>
        <w:t xml:space="preserve">Zelditch, M. L., Swiderski, D. L., and Sheets, H. D. (2004). </w:t>
      </w:r>
      <w:r w:rsidRPr="0008325B">
        <w:rPr>
          <w:rFonts w:ascii="Calibri" w:hAnsi="Calibri" w:cs="Calibri"/>
          <w:i/>
          <w:iCs/>
          <w:noProof/>
          <w:lang w:val="en-US"/>
        </w:rPr>
        <w:t>Geometric morphometrics for biologists</w:t>
      </w:r>
      <w:r w:rsidRPr="0008325B">
        <w:rPr>
          <w:rFonts w:ascii="Calibri" w:hAnsi="Calibri" w:cs="Calibri"/>
          <w:noProof/>
          <w:lang w:val="en-US"/>
        </w:rPr>
        <w:t>. Elsevier doi:10.1016/B978-0-12-778460-1.X5000-5.</w:t>
      </w:r>
    </w:p>
    <w:p w14:paraId="27A20B9F" w14:textId="42B2E605" w:rsidR="00FB2A33" w:rsidRDefault="00FB2A33" w:rsidP="007F1711">
      <w:pPr>
        <w:widowControl w:val="0"/>
        <w:autoSpaceDE w:val="0"/>
        <w:autoSpaceDN w:val="0"/>
        <w:adjustRightInd w:val="0"/>
        <w:spacing w:line="480" w:lineRule="auto"/>
        <w:ind w:left="480" w:hanging="480"/>
        <w:rPr>
          <w:rFonts w:cstheme="minorHAnsi"/>
          <w:lang w:val="en-US"/>
        </w:rPr>
      </w:pPr>
      <w:r>
        <w:rPr>
          <w:rFonts w:cstheme="minorHAnsi"/>
          <w:lang w:val="en-US"/>
        </w:rPr>
        <w:fldChar w:fldCharType="end"/>
      </w:r>
    </w:p>
    <w:p w14:paraId="4AED6307" w14:textId="77777777" w:rsidR="001858D9" w:rsidRPr="003F070C" w:rsidRDefault="001858D9" w:rsidP="007F1711">
      <w:pPr>
        <w:spacing w:line="480" w:lineRule="auto"/>
        <w:jc w:val="both"/>
        <w:rPr>
          <w:rFonts w:cstheme="minorHAnsi"/>
          <w:lang w:val="en-US"/>
        </w:rPr>
      </w:pPr>
    </w:p>
    <w:p w14:paraId="587F8A6D" w14:textId="77777777" w:rsidR="0088472E" w:rsidRDefault="001858D9" w:rsidP="007F1711">
      <w:pPr>
        <w:spacing w:line="480" w:lineRule="auto"/>
        <w:jc w:val="both"/>
        <w:rPr>
          <w:rFonts w:cstheme="minorHAnsi"/>
          <w:lang w:val="en-US"/>
        </w:rPr>
      </w:pPr>
      <w:r w:rsidRPr="003F070C">
        <w:rPr>
          <w:rFonts w:cstheme="minorHAnsi"/>
          <w:lang w:val="en-US"/>
        </w:rPr>
        <w:t xml:space="preserve"> </w:t>
      </w:r>
    </w:p>
    <w:p w14:paraId="48C102F9" w14:textId="4A057D0B" w:rsidR="00714D76" w:rsidRPr="003F070C" w:rsidRDefault="00714D76" w:rsidP="007F1711">
      <w:pPr>
        <w:spacing w:line="480" w:lineRule="auto"/>
        <w:jc w:val="both"/>
        <w:rPr>
          <w:rFonts w:cstheme="minorHAnsi"/>
          <w:lang w:val="en-US"/>
        </w:rPr>
      </w:pPr>
    </w:p>
    <w:sectPr w:rsidR="00714D76" w:rsidRPr="003F070C" w:rsidSect="00EF0DCC">
      <w:footerReference w:type="even" r:id="rId15"/>
      <w:footerReference w:type="default" r:id="rId16"/>
      <w:pgSz w:w="11900" w:h="16840"/>
      <w:pgMar w:top="1417" w:right="1417" w:bottom="1417"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D07403" w14:textId="77777777" w:rsidR="004E3508" w:rsidRDefault="004E3508" w:rsidP="005E205D">
      <w:r>
        <w:separator/>
      </w:r>
    </w:p>
  </w:endnote>
  <w:endnote w:type="continuationSeparator" w:id="0">
    <w:p w14:paraId="156AF750" w14:textId="77777777" w:rsidR="004E3508" w:rsidRDefault="004E3508" w:rsidP="005E20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05922212"/>
      <w:docPartObj>
        <w:docPartGallery w:val="Page Numbers (Bottom of Page)"/>
        <w:docPartUnique/>
      </w:docPartObj>
    </w:sdtPr>
    <w:sdtEndPr>
      <w:rPr>
        <w:rStyle w:val="PageNumber"/>
      </w:rPr>
    </w:sdtEndPr>
    <w:sdtContent>
      <w:p w14:paraId="79B76C0D" w14:textId="35923FB5" w:rsidR="004257DF" w:rsidRDefault="004257DF" w:rsidP="00D32E4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5990090" w14:textId="77777777" w:rsidR="004257DF" w:rsidRDefault="004257DF" w:rsidP="005E20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52408594"/>
      <w:docPartObj>
        <w:docPartGallery w:val="Page Numbers (Bottom of Page)"/>
        <w:docPartUnique/>
      </w:docPartObj>
    </w:sdtPr>
    <w:sdtEndPr>
      <w:rPr>
        <w:rStyle w:val="PageNumber"/>
      </w:rPr>
    </w:sdtEndPr>
    <w:sdtContent>
      <w:p w14:paraId="7013D9AB" w14:textId="48C7B97B" w:rsidR="004257DF" w:rsidRDefault="004257DF" w:rsidP="00D32E4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0824167" w14:textId="77777777" w:rsidR="004257DF" w:rsidRDefault="004257DF" w:rsidP="005E205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30B22E" w14:textId="77777777" w:rsidR="004E3508" w:rsidRDefault="004E3508" w:rsidP="005E205D">
      <w:r>
        <w:separator/>
      </w:r>
    </w:p>
  </w:footnote>
  <w:footnote w:type="continuationSeparator" w:id="0">
    <w:p w14:paraId="0995217E" w14:textId="77777777" w:rsidR="004E3508" w:rsidRDefault="004E3508" w:rsidP="005E20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2002C"/>
    <w:multiLevelType w:val="hybridMultilevel"/>
    <w:tmpl w:val="CC28AC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102586C"/>
    <w:multiLevelType w:val="hybridMultilevel"/>
    <w:tmpl w:val="93442212"/>
    <w:lvl w:ilvl="0" w:tplc="FCB0ABF0">
      <w:start w:val="1"/>
      <w:numFmt w:val="bullet"/>
      <w:lvlText w:val="-"/>
      <w:lvlJc w:val="left"/>
      <w:pPr>
        <w:ind w:left="1460" w:hanging="110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71CE"/>
    <w:rsid w:val="00000B09"/>
    <w:rsid w:val="00011868"/>
    <w:rsid w:val="000171AA"/>
    <w:rsid w:val="000260A3"/>
    <w:rsid w:val="000302AD"/>
    <w:rsid w:val="00050E25"/>
    <w:rsid w:val="00051D59"/>
    <w:rsid w:val="0005311B"/>
    <w:rsid w:val="0005476F"/>
    <w:rsid w:val="000574F1"/>
    <w:rsid w:val="00057D7D"/>
    <w:rsid w:val="00060163"/>
    <w:rsid w:val="0006164A"/>
    <w:rsid w:val="00062193"/>
    <w:rsid w:val="00065D5B"/>
    <w:rsid w:val="000673EF"/>
    <w:rsid w:val="00067FFE"/>
    <w:rsid w:val="00075008"/>
    <w:rsid w:val="00077270"/>
    <w:rsid w:val="00082B21"/>
    <w:rsid w:val="0008325B"/>
    <w:rsid w:val="000875A5"/>
    <w:rsid w:val="00096004"/>
    <w:rsid w:val="000A4E60"/>
    <w:rsid w:val="000A58B7"/>
    <w:rsid w:val="000A7BCA"/>
    <w:rsid w:val="000B6581"/>
    <w:rsid w:val="000C166E"/>
    <w:rsid w:val="000C44A2"/>
    <w:rsid w:val="000C45B1"/>
    <w:rsid w:val="000C6008"/>
    <w:rsid w:val="000D5827"/>
    <w:rsid w:val="000E6FD1"/>
    <w:rsid w:val="001071CE"/>
    <w:rsid w:val="001134F5"/>
    <w:rsid w:val="00114F68"/>
    <w:rsid w:val="0011724D"/>
    <w:rsid w:val="0013549A"/>
    <w:rsid w:val="00143246"/>
    <w:rsid w:val="00144B8B"/>
    <w:rsid w:val="0015127F"/>
    <w:rsid w:val="001547B3"/>
    <w:rsid w:val="00160D70"/>
    <w:rsid w:val="0017031A"/>
    <w:rsid w:val="00170657"/>
    <w:rsid w:val="001732DB"/>
    <w:rsid w:val="00173CBF"/>
    <w:rsid w:val="0017699E"/>
    <w:rsid w:val="00184AAF"/>
    <w:rsid w:val="001858D9"/>
    <w:rsid w:val="0018615C"/>
    <w:rsid w:val="00191D9B"/>
    <w:rsid w:val="001967CF"/>
    <w:rsid w:val="001A0D4C"/>
    <w:rsid w:val="001A271F"/>
    <w:rsid w:val="001A3866"/>
    <w:rsid w:val="001A7D25"/>
    <w:rsid w:val="001D0D8A"/>
    <w:rsid w:val="001D29B1"/>
    <w:rsid w:val="001D77A3"/>
    <w:rsid w:val="001E2201"/>
    <w:rsid w:val="00201646"/>
    <w:rsid w:val="0020245A"/>
    <w:rsid w:val="00202B9D"/>
    <w:rsid w:val="00206402"/>
    <w:rsid w:val="00215B54"/>
    <w:rsid w:val="002164AC"/>
    <w:rsid w:val="00217529"/>
    <w:rsid w:val="00224528"/>
    <w:rsid w:val="00230AC0"/>
    <w:rsid w:val="00236CEB"/>
    <w:rsid w:val="002468F4"/>
    <w:rsid w:val="002470CC"/>
    <w:rsid w:val="00247A66"/>
    <w:rsid w:val="002511D9"/>
    <w:rsid w:val="00270B78"/>
    <w:rsid w:val="00275E8A"/>
    <w:rsid w:val="00281C5D"/>
    <w:rsid w:val="0028323B"/>
    <w:rsid w:val="00290DCB"/>
    <w:rsid w:val="00294358"/>
    <w:rsid w:val="002A0ECB"/>
    <w:rsid w:val="002A4026"/>
    <w:rsid w:val="002B135F"/>
    <w:rsid w:val="002E333D"/>
    <w:rsid w:val="002E4F95"/>
    <w:rsid w:val="002E5950"/>
    <w:rsid w:val="002E667F"/>
    <w:rsid w:val="002F0EB8"/>
    <w:rsid w:val="002F11FE"/>
    <w:rsid w:val="00301960"/>
    <w:rsid w:val="0030518C"/>
    <w:rsid w:val="0031254A"/>
    <w:rsid w:val="00321D80"/>
    <w:rsid w:val="00326266"/>
    <w:rsid w:val="003340FA"/>
    <w:rsid w:val="00334C4D"/>
    <w:rsid w:val="00340938"/>
    <w:rsid w:val="003458F5"/>
    <w:rsid w:val="00353DC8"/>
    <w:rsid w:val="003619FB"/>
    <w:rsid w:val="003662ED"/>
    <w:rsid w:val="00376C23"/>
    <w:rsid w:val="00397A5A"/>
    <w:rsid w:val="003A174B"/>
    <w:rsid w:val="003A21AB"/>
    <w:rsid w:val="003B4399"/>
    <w:rsid w:val="003B461A"/>
    <w:rsid w:val="003B6604"/>
    <w:rsid w:val="003B6D35"/>
    <w:rsid w:val="003C55D6"/>
    <w:rsid w:val="003D7125"/>
    <w:rsid w:val="003E0AEF"/>
    <w:rsid w:val="003E211B"/>
    <w:rsid w:val="003F070C"/>
    <w:rsid w:val="003F58A4"/>
    <w:rsid w:val="004000FE"/>
    <w:rsid w:val="00407432"/>
    <w:rsid w:val="0042212C"/>
    <w:rsid w:val="00423ECB"/>
    <w:rsid w:val="00424ED8"/>
    <w:rsid w:val="004257DF"/>
    <w:rsid w:val="00431C29"/>
    <w:rsid w:val="00433E49"/>
    <w:rsid w:val="0043471E"/>
    <w:rsid w:val="00435FF8"/>
    <w:rsid w:val="004369B2"/>
    <w:rsid w:val="0044181F"/>
    <w:rsid w:val="00445E53"/>
    <w:rsid w:val="00451D8E"/>
    <w:rsid w:val="00453304"/>
    <w:rsid w:val="00456B7A"/>
    <w:rsid w:val="004618D4"/>
    <w:rsid w:val="00462F0C"/>
    <w:rsid w:val="004704C8"/>
    <w:rsid w:val="00472506"/>
    <w:rsid w:val="00473C91"/>
    <w:rsid w:val="00475ED6"/>
    <w:rsid w:val="0047716B"/>
    <w:rsid w:val="004826DD"/>
    <w:rsid w:val="00483541"/>
    <w:rsid w:val="004873C7"/>
    <w:rsid w:val="004A1530"/>
    <w:rsid w:val="004A731C"/>
    <w:rsid w:val="004B1214"/>
    <w:rsid w:val="004B2CAB"/>
    <w:rsid w:val="004B3009"/>
    <w:rsid w:val="004B51BD"/>
    <w:rsid w:val="004B7073"/>
    <w:rsid w:val="004C426F"/>
    <w:rsid w:val="004E0B8C"/>
    <w:rsid w:val="004E2E39"/>
    <w:rsid w:val="004E3508"/>
    <w:rsid w:val="004E4F13"/>
    <w:rsid w:val="004E5E7E"/>
    <w:rsid w:val="004F5CBA"/>
    <w:rsid w:val="00500D5F"/>
    <w:rsid w:val="00502A25"/>
    <w:rsid w:val="0052391A"/>
    <w:rsid w:val="00544DD2"/>
    <w:rsid w:val="00544E5C"/>
    <w:rsid w:val="00547204"/>
    <w:rsid w:val="005547AE"/>
    <w:rsid w:val="00567DC3"/>
    <w:rsid w:val="00573F4D"/>
    <w:rsid w:val="005841C7"/>
    <w:rsid w:val="005841EE"/>
    <w:rsid w:val="00584FDE"/>
    <w:rsid w:val="00587E7A"/>
    <w:rsid w:val="00591624"/>
    <w:rsid w:val="00597B39"/>
    <w:rsid w:val="005A14CB"/>
    <w:rsid w:val="005A16EF"/>
    <w:rsid w:val="005A26A3"/>
    <w:rsid w:val="005A5BF5"/>
    <w:rsid w:val="005B242B"/>
    <w:rsid w:val="005B37FD"/>
    <w:rsid w:val="005B77E1"/>
    <w:rsid w:val="005C1A8C"/>
    <w:rsid w:val="005C5689"/>
    <w:rsid w:val="005C63D2"/>
    <w:rsid w:val="005D3DB1"/>
    <w:rsid w:val="005D4A2B"/>
    <w:rsid w:val="005E205D"/>
    <w:rsid w:val="005E297D"/>
    <w:rsid w:val="005F26BE"/>
    <w:rsid w:val="005F350C"/>
    <w:rsid w:val="005F4F01"/>
    <w:rsid w:val="006012F9"/>
    <w:rsid w:val="00605075"/>
    <w:rsid w:val="006210BC"/>
    <w:rsid w:val="00623411"/>
    <w:rsid w:val="00624507"/>
    <w:rsid w:val="00625B87"/>
    <w:rsid w:val="0062657F"/>
    <w:rsid w:val="0062688B"/>
    <w:rsid w:val="00630A39"/>
    <w:rsid w:val="006343FB"/>
    <w:rsid w:val="006370DE"/>
    <w:rsid w:val="00640E48"/>
    <w:rsid w:val="0064258C"/>
    <w:rsid w:val="00642BA3"/>
    <w:rsid w:val="00650FFC"/>
    <w:rsid w:val="00651AE7"/>
    <w:rsid w:val="00653C06"/>
    <w:rsid w:val="0066189D"/>
    <w:rsid w:val="00670D3A"/>
    <w:rsid w:val="00676B14"/>
    <w:rsid w:val="00684F86"/>
    <w:rsid w:val="00687613"/>
    <w:rsid w:val="006A05E8"/>
    <w:rsid w:val="006A0970"/>
    <w:rsid w:val="006C152A"/>
    <w:rsid w:val="006C55A1"/>
    <w:rsid w:val="006D14E1"/>
    <w:rsid w:val="006D5DC9"/>
    <w:rsid w:val="006D689A"/>
    <w:rsid w:val="006E4737"/>
    <w:rsid w:val="006E4D37"/>
    <w:rsid w:val="00714D76"/>
    <w:rsid w:val="00715E6F"/>
    <w:rsid w:val="00716B8F"/>
    <w:rsid w:val="00740E32"/>
    <w:rsid w:val="00745E3E"/>
    <w:rsid w:val="00747032"/>
    <w:rsid w:val="0075046B"/>
    <w:rsid w:val="007573EC"/>
    <w:rsid w:val="00762B92"/>
    <w:rsid w:val="007665BD"/>
    <w:rsid w:val="007751D5"/>
    <w:rsid w:val="007754E6"/>
    <w:rsid w:val="007813EE"/>
    <w:rsid w:val="00790E1D"/>
    <w:rsid w:val="00793954"/>
    <w:rsid w:val="007A1470"/>
    <w:rsid w:val="007A3D91"/>
    <w:rsid w:val="007A4F8C"/>
    <w:rsid w:val="007B13B2"/>
    <w:rsid w:val="007B1BAF"/>
    <w:rsid w:val="007B7949"/>
    <w:rsid w:val="007C012B"/>
    <w:rsid w:val="007C702D"/>
    <w:rsid w:val="007D4735"/>
    <w:rsid w:val="007E0A8F"/>
    <w:rsid w:val="007E69C3"/>
    <w:rsid w:val="007F1711"/>
    <w:rsid w:val="007F2CE7"/>
    <w:rsid w:val="007F7EEC"/>
    <w:rsid w:val="00816E24"/>
    <w:rsid w:val="008242BD"/>
    <w:rsid w:val="008314E3"/>
    <w:rsid w:val="00847217"/>
    <w:rsid w:val="00856D40"/>
    <w:rsid w:val="008638BD"/>
    <w:rsid w:val="0086509D"/>
    <w:rsid w:val="008767BA"/>
    <w:rsid w:val="008818A8"/>
    <w:rsid w:val="0088472E"/>
    <w:rsid w:val="00893298"/>
    <w:rsid w:val="00894255"/>
    <w:rsid w:val="008A5CDB"/>
    <w:rsid w:val="008A622D"/>
    <w:rsid w:val="008A7FE7"/>
    <w:rsid w:val="008C539D"/>
    <w:rsid w:val="008C67BF"/>
    <w:rsid w:val="008C6B7D"/>
    <w:rsid w:val="008D08CF"/>
    <w:rsid w:val="008D51A3"/>
    <w:rsid w:val="008D6B67"/>
    <w:rsid w:val="008E3681"/>
    <w:rsid w:val="008E4FE2"/>
    <w:rsid w:val="008E7A19"/>
    <w:rsid w:val="008F1893"/>
    <w:rsid w:val="008F4975"/>
    <w:rsid w:val="008F50DC"/>
    <w:rsid w:val="00903210"/>
    <w:rsid w:val="009051E8"/>
    <w:rsid w:val="00914695"/>
    <w:rsid w:val="00921671"/>
    <w:rsid w:val="00935E45"/>
    <w:rsid w:val="00940A0C"/>
    <w:rsid w:val="0094351B"/>
    <w:rsid w:val="00944AA8"/>
    <w:rsid w:val="00953F19"/>
    <w:rsid w:val="009804F7"/>
    <w:rsid w:val="00985BD6"/>
    <w:rsid w:val="00986C4C"/>
    <w:rsid w:val="00990031"/>
    <w:rsid w:val="009A4131"/>
    <w:rsid w:val="009C124E"/>
    <w:rsid w:val="009D0103"/>
    <w:rsid w:val="009D117B"/>
    <w:rsid w:val="009D1571"/>
    <w:rsid w:val="009E22C7"/>
    <w:rsid w:val="009E686A"/>
    <w:rsid w:val="009F63BF"/>
    <w:rsid w:val="009F7ED9"/>
    <w:rsid w:val="009F7EDB"/>
    <w:rsid w:val="00A014F3"/>
    <w:rsid w:val="00A1138E"/>
    <w:rsid w:val="00A145E9"/>
    <w:rsid w:val="00A14615"/>
    <w:rsid w:val="00A14E2B"/>
    <w:rsid w:val="00A24447"/>
    <w:rsid w:val="00A248DE"/>
    <w:rsid w:val="00A340EC"/>
    <w:rsid w:val="00A3477B"/>
    <w:rsid w:val="00A3691B"/>
    <w:rsid w:val="00A36A38"/>
    <w:rsid w:val="00A45418"/>
    <w:rsid w:val="00A46483"/>
    <w:rsid w:val="00A47F3F"/>
    <w:rsid w:val="00A509F7"/>
    <w:rsid w:val="00A567D9"/>
    <w:rsid w:val="00A57A42"/>
    <w:rsid w:val="00A60CCD"/>
    <w:rsid w:val="00A6169B"/>
    <w:rsid w:val="00A74306"/>
    <w:rsid w:val="00A8553F"/>
    <w:rsid w:val="00A85DA8"/>
    <w:rsid w:val="00A86496"/>
    <w:rsid w:val="00AA4512"/>
    <w:rsid w:val="00AA5DBD"/>
    <w:rsid w:val="00AA6CA3"/>
    <w:rsid w:val="00AB1A20"/>
    <w:rsid w:val="00AB63AF"/>
    <w:rsid w:val="00AC4E82"/>
    <w:rsid w:val="00AE1BDE"/>
    <w:rsid w:val="00AF0B25"/>
    <w:rsid w:val="00AF22CC"/>
    <w:rsid w:val="00AF670C"/>
    <w:rsid w:val="00B01ADB"/>
    <w:rsid w:val="00B021CB"/>
    <w:rsid w:val="00B02BCE"/>
    <w:rsid w:val="00B04BCE"/>
    <w:rsid w:val="00B15B80"/>
    <w:rsid w:val="00B17A35"/>
    <w:rsid w:val="00B20D11"/>
    <w:rsid w:val="00B21990"/>
    <w:rsid w:val="00B56824"/>
    <w:rsid w:val="00B62E02"/>
    <w:rsid w:val="00B71D92"/>
    <w:rsid w:val="00B735FA"/>
    <w:rsid w:val="00B94513"/>
    <w:rsid w:val="00BA4C42"/>
    <w:rsid w:val="00BB6CB6"/>
    <w:rsid w:val="00BD4B18"/>
    <w:rsid w:val="00BF4653"/>
    <w:rsid w:val="00BF7C4D"/>
    <w:rsid w:val="00C046E0"/>
    <w:rsid w:val="00C050CB"/>
    <w:rsid w:val="00C07299"/>
    <w:rsid w:val="00C11BCF"/>
    <w:rsid w:val="00C13642"/>
    <w:rsid w:val="00C16731"/>
    <w:rsid w:val="00C41D78"/>
    <w:rsid w:val="00C428EA"/>
    <w:rsid w:val="00C44F0C"/>
    <w:rsid w:val="00C46F41"/>
    <w:rsid w:val="00C538FC"/>
    <w:rsid w:val="00C57371"/>
    <w:rsid w:val="00C579CA"/>
    <w:rsid w:val="00C62194"/>
    <w:rsid w:val="00C63F40"/>
    <w:rsid w:val="00C66DE2"/>
    <w:rsid w:val="00C75AFA"/>
    <w:rsid w:val="00C8169C"/>
    <w:rsid w:val="00CA0E01"/>
    <w:rsid w:val="00CA233C"/>
    <w:rsid w:val="00CA3FA2"/>
    <w:rsid w:val="00CC48FB"/>
    <w:rsid w:val="00CC5FC1"/>
    <w:rsid w:val="00CC6AEE"/>
    <w:rsid w:val="00CC7341"/>
    <w:rsid w:val="00CE59CB"/>
    <w:rsid w:val="00CE6C07"/>
    <w:rsid w:val="00CF24DC"/>
    <w:rsid w:val="00CF371C"/>
    <w:rsid w:val="00D02A05"/>
    <w:rsid w:val="00D1241F"/>
    <w:rsid w:val="00D32E45"/>
    <w:rsid w:val="00D44F26"/>
    <w:rsid w:val="00D44F7A"/>
    <w:rsid w:val="00D51E40"/>
    <w:rsid w:val="00D571A1"/>
    <w:rsid w:val="00D62F05"/>
    <w:rsid w:val="00D6483C"/>
    <w:rsid w:val="00D66281"/>
    <w:rsid w:val="00D70BFA"/>
    <w:rsid w:val="00D7238A"/>
    <w:rsid w:val="00D77A9D"/>
    <w:rsid w:val="00D84C9B"/>
    <w:rsid w:val="00D855FC"/>
    <w:rsid w:val="00D92EEF"/>
    <w:rsid w:val="00DA5495"/>
    <w:rsid w:val="00DB3465"/>
    <w:rsid w:val="00DB3BB9"/>
    <w:rsid w:val="00DB66AC"/>
    <w:rsid w:val="00DB7617"/>
    <w:rsid w:val="00DB76AF"/>
    <w:rsid w:val="00DC4E38"/>
    <w:rsid w:val="00DD6022"/>
    <w:rsid w:val="00DE13DF"/>
    <w:rsid w:val="00DF17D9"/>
    <w:rsid w:val="00DF2199"/>
    <w:rsid w:val="00E020B2"/>
    <w:rsid w:val="00E2083D"/>
    <w:rsid w:val="00E32A4A"/>
    <w:rsid w:val="00E3515C"/>
    <w:rsid w:val="00E42096"/>
    <w:rsid w:val="00E43ADF"/>
    <w:rsid w:val="00E454EA"/>
    <w:rsid w:val="00E47966"/>
    <w:rsid w:val="00E501F4"/>
    <w:rsid w:val="00E53F9B"/>
    <w:rsid w:val="00E56A56"/>
    <w:rsid w:val="00E60D87"/>
    <w:rsid w:val="00E61040"/>
    <w:rsid w:val="00E6431D"/>
    <w:rsid w:val="00E70B09"/>
    <w:rsid w:val="00E718DD"/>
    <w:rsid w:val="00E73D73"/>
    <w:rsid w:val="00E76D47"/>
    <w:rsid w:val="00E86C81"/>
    <w:rsid w:val="00E90AD3"/>
    <w:rsid w:val="00E97177"/>
    <w:rsid w:val="00EA040E"/>
    <w:rsid w:val="00EB56D5"/>
    <w:rsid w:val="00EC56FE"/>
    <w:rsid w:val="00EC710B"/>
    <w:rsid w:val="00ED1419"/>
    <w:rsid w:val="00ED1919"/>
    <w:rsid w:val="00EE1C05"/>
    <w:rsid w:val="00EE56C3"/>
    <w:rsid w:val="00EF0DCC"/>
    <w:rsid w:val="00F0521F"/>
    <w:rsid w:val="00F155A9"/>
    <w:rsid w:val="00F227F0"/>
    <w:rsid w:val="00F363ED"/>
    <w:rsid w:val="00F43A3F"/>
    <w:rsid w:val="00F459A8"/>
    <w:rsid w:val="00F57744"/>
    <w:rsid w:val="00F642B4"/>
    <w:rsid w:val="00F703D4"/>
    <w:rsid w:val="00F73C31"/>
    <w:rsid w:val="00F748EE"/>
    <w:rsid w:val="00F75135"/>
    <w:rsid w:val="00F77486"/>
    <w:rsid w:val="00F844BA"/>
    <w:rsid w:val="00F84DCB"/>
    <w:rsid w:val="00F95C1E"/>
    <w:rsid w:val="00FA18BF"/>
    <w:rsid w:val="00FA24B0"/>
    <w:rsid w:val="00FA3EFD"/>
    <w:rsid w:val="00FB2A33"/>
    <w:rsid w:val="00FB2C2A"/>
    <w:rsid w:val="00FC060A"/>
    <w:rsid w:val="00FD02E5"/>
    <w:rsid w:val="00FD0309"/>
    <w:rsid w:val="00FD3C81"/>
    <w:rsid w:val="00FD6BE4"/>
    <w:rsid w:val="00FD79CB"/>
    <w:rsid w:val="00FE6493"/>
    <w:rsid w:val="00FF7F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5B9741"/>
  <w14:defaultImageDpi w14:val="32767"/>
  <w15:chartTrackingRefBased/>
  <w15:docId w15:val="{B0EDF4C8-8EA5-BF47-A845-2CAE809D89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858D9"/>
  </w:style>
  <w:style w:type="paragraph" w:styleId="Heading1">
    <w:name w:val="heading 1"/>
    <w:basedOn w:val="Normal"/>
    <w:next w:val="Normal"/>
    <w:link w:val="Heading1Char"/>
    <w:uiPriority w:val="9"/>
    <w:qFormat/>
    <w:rsid w:val="001858D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858D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858D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858D9"/>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rsid w:val="001858D9"/>
    <w:pPr>
      <w:spacing w:before="100" w:beforeAutospacing="1" w:after="100" w:afterAutospacing="1"/>
    </w:pPr>
    <w:rPr>
      <w:rFonts w:ascii="Times New Roman" w:eastAsia="Times New Roman" w:hAnsi="Times New Roman" w:cs="Times New Roman"/>
      <w:lang w:val="sv-SE"/>
    </w:rPr>
  </w:style>
  <w:style w:type="character" w:customStyle="1" w:styleId="Standardstycketeckensnitt1">
    <w:name w:val="Standardstycketeckensnitt1"/>
    <w:rsid w:val="001858D9"/>
  </w:style>
  <w:style w:type="paragraph" w:styleId="HTMLPreformatted">
    <w:name w:val="HTML Preformatted"/>
    <w:basedOn w:val="Normal"/>
    <w:link w:val="HTMLPreformattedChar"/>
    <w:uiPriority w:val="99"/>
    <w:unhideWhenUsed/>
    <w:rsid w:val="000531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sv-SE"/>
    </w:rPr>
  </w:style>
  <w:style w:type="character" w:customStyle="1" w:styleId="HTMLPreformattedChar">
    <w:name w:val="HTML Preformatted Char"/>
    <w:basedOn w:val="DefaultParagraphFont"/>
    <w:link w:val="HTMLPreformatted"/>
    <w:uiPriority w:val="99"/>
    <w:rsid w:val="0005311B"/>
    <w:rPr>
      <w:rFonts w:ascii="Courier New" w:eastAsia="Times New Roman" w:hAnsi="Courier New" w:cs="Courier New"/>
      <w:sz w:val="20"/>
      <w:szCs w:val="20"/>
      <w:lang w:val="sv-SE"/>
    </w:rPr>
  </w:style>
  <w:style w:type="character" w:styleId="CommentReference">
    <w:name w:val="annotation reference"/>
    <w:basedOn w:val="DefaultParagraphFont"/>
    <w:uiPriority w:val="99"/>
    <w:semiHidden/>
    <w:unhideWhenUsed/>
    <w:rsid w:val="0005311B"/>
    <w:rPr>
      <w:sz w:val="16"/>
      <w:szCs w:val="16"/>
    </w:rPr>
  </w:style>
  <w:style w:type="paragraph" w:styleId="CommentText">
    <w:name w:val="annotation text"/>
    <w:basedOn w:val="Normal"/>
    <w:link w:val="CommentTextChar"/>
    <w:uiPriority w:val="99"/>
    <w:unhideWhenUsed/>
    <w:rsid w:val="0005311B"/>
    <w:rPr>
      <w:sz w:val="20"/>
      <w:szCs w:val="20"/>
    </w:rPr>
  </w:style>
  <w:style w:type="character" w:customStyle="1" w:styleId="CommentTextChar">
    <w:name w:val="Comment Text Char"/>
    <w:basedOn w:val="DefaultParagraphFont"/>
    <w:link w:val="CommentText"/>
    <w:uiPriority w:val="99"/>
    <w:rsid w:val="0005311B"/>
    <w:rPr>
      <w:sz w:val="20"/>
      <w:szCs w:val="20"/>
    </w:rPr>
  </w:style>
  <w:style w:type="paragraph" w:styleId="BalloonText">
    <w:name w:val="Balloon Text"/>
    <w:basedOn w:val="Normal"/>
    <w:link w:val="BalloonTextChar"/>
    <w:uiPriority w:val="99"/>
    <w:semiHidden/>
    <w:unhideWhenUsed/>
    <w:rsid w:val="0005311B"/>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5311B"/>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A14615"/>
    <w:rPr>
      <w:b/>
      <w:bCs/>
    </w:rPr>
  </w:style>
  <w:style w:type="character" w:customStyle="1" w:styleId="CommentSubjectChar">
    <w:name w:val="Comment Subject Char"/>
    <w:basedOn w:val="CommentTextChar"/>
    <w:link w:val="CommentSubject"/>
    <w:uiPriority w:val="99"/>
    <w:semiHidden/>
    <w:rsid w:val="00A14615"/>
    <w:rPr>
      <w:b/>
      <w:bCs/>
      <w:sz w:val="20"/>
      <w:szCs w:val="20"/>
    </w:rPr>
  </w:style>
  <w:style w:type="character" w:styleId="HTMLCite">
    <w:name w:val="HTML Cite"/>
    <w:basedOn w:val="DefaultParagraphFont"/>
    <w:uiPriority w:val="99"/>
    <w:semiHidden/>
    <w:unhideWhenUsed/>
    <w:rsid w:val="00096004"/>
    <w:rPr>
      <w:i/>
      <w:iCs/>
    </w:rPr>
  </w:style>
  <w:style w:type="character" w:customStyle="1" w:styleId="author">
    <w:name w:val="author"/>
    <w:basedOn w:val="DefaultParagraphFont"/>
    <w:rsid w:val="00096004"/>
  </w:style>
  <w:style w:type="character" w:customStyle="1" w:styleId="pubyear">
    <w:name w:val="pubyear"/>
    <w:basedOn w:val="DefaultParagraphFont"/>
    <w:rsid w:val="00096004"/>
  </w:style>
  <w:style w:type="character" w:customStyle="1" w:styleId="articletitle">
    <w:name w:val="articletitle"/>
    <w:basedOn w:val="DefaultParagraphFont"/>
    <w:rsid w:val="00096004"/>
  </w:style>
  <w:style w:type="character" w:customStyle="1" w:styleId="journaltitle">
    <w:name w:val="journaltitle"/>
    <w:basedOn w:val="DefaultParagraphFont"/>
    <w:rsid w:val="00096004"/>
  </w:style>
  <w:style w:type="character" w:customStyle="1" w:styleId="vol">
    <w:name w:val="vol"/>
    <w:basedOn w:val="DefaultParagraphFont"/>
    <w:rsid w:val="00096004"/>
  </w:style>
  <w:style w:type="character" w:customStyle="1" w:styleId="pagefirst">
    <w:name w:val="pagefirst"/>
    <w:basedOn w:val="DefaultParagraphFont"/>
    <w:rsid w:val="00096004"/>
  </w:style>
  <w:style w:type="character" w:customStyle="1" w:styleId="pagelast">
    <w:name w:val="pagelast"/>
    <w:basedOn w:val="DefaultParagraphFont"/>
    <w:rsid w:val="00096004"/>
  </w:style>
  <w:style w:type="character" w:styleId="Hyperlink">
    <w:name w:val="Hyperlink"/>
    <w:basedOn w:val="DefaultParagraphFont"/>
    <w:uiPriority w:val="99"/>
    <w:semiHidden/>
    <w:unhideWhenUsed/>
    <w:rsid w:val="00096004"/>
    <w:rPr>
      <w:color w:val="0000FF"/>
      <w:u w:val="single"/>
    </w:rPr>
  </w:style>
  <w:style w:type="paragraph" w:styleId="Revision">
    <w:name w:val="Revision"/>
    <w:hidden/>
    <w:uiPriority w:val="99"/>
    <w:semiHidden/>
    <w:rsid w:val="00D77A9D"/>
  </w:style>
  <w:style w:type="paragraph" w:styleId="Footer">
    <w:name w:val="footer"/>
    <w:basedOn w:val="Normal"/>
    <w:link w:val="FooterChar"/>
    <w:uiPriority w:val="99"/>
    <w:unhideWhenUsed/>
    <w:rsid w:val="005E205D"/>
    <w:pPr>
      <w:tabs>
        <w:tab w:val="center" w:pos="4536"/>
        <w:tab w:val="right" w:pos="9072"/>
      </w:tabs>
    </w:pPr>
  </w:style>
  <w:style w:type="character" w:customStyle="1" w:styleId="FooterChar">
    <w:name w:val="Footer Char"/>
    <w:basedOn w:val="DefaultParagraphFont"/>
    <w:link w:val="Footer"/>
    <w:uiPriority w:val="99"/>
    <w:rsid w:val="005E205D"/>
  </w:style>
  <w:style w:type="character" w:styleId="PageNumber">
    <w:name w:val="page number"/>
    <w:basedOn w:val="DefaultParagraphFont"/>
    <w:uiPriority w:val="99"/>
    <w:semiHidden/>
    <w:unhideWhenUsed/>
    <w:rsid w:val="005E205D"/>
  </w:style>
  <w:style w:type="character" w:customStyle="1" w:styleId="dttext">
    <w:name w:val="dttext"/>
    <w:basedOn w:val="DefaultParagraphFont"/>
    <w:rsid w:val="0006164A"/>
  </w:style>
  <w:style w:type="character" w:styleId="Strong">
    <w:name w:val="Strong"/>
    <w:basedOn w:val="DefaultParagraphFont"/>
    <w:uiPriority w:val="22"/>
    <w:qFormat/>
    <w:rsid w:val="0006164A"/>
    <w:rPr>
      <w:b/>
      <w:bCs/>
    </w:rPr>
  </w:style>
  <w:style w:type="character" w:customStyle="1" w:styleId="text-uppercase">
    <w:name w:val="text-uppercase"/>
    <w:basedOn w:val="DefaultParagraphFont"/>
    <w:rsid w:val="0006164A"/>
  </w:style>
  <w:style w:type="character" w:customStyle="1" w:styleId="mdash">
    <w:name w:val="mdash"/>
    <w:basedOn w:val="DefaultParagraphFont"/>
    <w:rsid w:val="0006164A"/>
  </w:style>
  <w:style w:type="character" w:customStyle="1" w:styleId="untext">
    <w:name w:val="untext"/>
    <w:basedOn w:val="DefaultParagraphFont"/>
    <w:rsid w:val="0006164A"/>
  </w:style>
  <w:style w:type="character" w:styleId="Emphasis">
    <w:name w:val="Emphasis"/>
    <w:basedOn w:val="DefaultParagraphFont"/>
    <w:uiPriority w:val="20"/>
    <w:qFormat/>
    <w:rsid w:val="0006164A"/>
    <w:rPr>
      <w:i/>
      <w:iCs/>
    </w:rPr>
  </w:style>
  <w:style w:type="character" w:customStyle="1" w:styleId="ex-sent">
    <w:name w:val="ex-sent"/>
    <w:basedOn w:val="DefaultParagraphFont"/>
    <w:rsid w:val="0006164A"/>
  </w:style>
  <w:style w:type="character" w:customStyle="1" w:styleId="mwtwi">
    <w:name w:val="mw_t_wi"/>
    <w:basedOn w:val="DefaultParagraphFont"/>
    <w:rsid w:val="0006164A"/>
  </w:style>
  <w:style w:type="character" w:styleId="LineNumber">
    <w:name w:val="line number"/>
    <w:basedOn w:val="DefaultParagraphFont"/>
    <w:uiPriority w:val="99"/>
    <w:semiHidden/>
    <w:unhideWhenUsed/>
    <w:rsid w:val="000C6008"/>
  </w:style>
  <w:style w:type="paragraph" w:styleId="ListParagraph">
    <w:name w:val="List Paragraph"/>
    <w:basedOn w:val="Normal"/>
    <w:uiPriority w:val="34"/>
    <w:qFormat/>
    <w:rsid w:val="00BB6CB6"/>
    <w:pPr>
      <w:ind w:left="720"/>
      <w:contextualSpacing/>
    </w:pPr>
  </w:style>
  <w:style w:type="character" w:styleId="PlaceholderText">
    <w:name w:val="Placeholder Text"/>
    <w:basedOn w:val="DefaultParagraphFont"/>
    <w:uiPriority w:val="99"/>
    <w:semiHidden/>
    <w:rsid w:val="005547AE"/>
    <w:rPr>
      <w:color w:val="808080"/>
    </w:rPr>
  </w:style>
  <w:style w:type="paragraph" w:styleId="Caption">
    <w:name w:val="caption"/>
    <w:basedOn w:val="Normal"/>
    <w:next w:val="Normal"/>
    <w:uiPriority w:val="35"/>
    <w:unhideWhenUsed/>
    <w:qFormat/>
    <w:rsid w:val="0020245A"/>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343258">
      <w:bodyDiv w:val="1"/>
      <w:marLeft w:val="0"/>
      <w:marRight w:val="0"/>
      <w:marTop w:val="0"/>
      <w:marBottom w:val="0"/>
      <w:divBdr>
        <w:top w:val="none" w:sz="0" w:space="0" w:color="auto"/>
        <w:left w:val="none" w:sz="0" w:space="0" w:color="auto"/>
        <w:bottom w:val="none" w:sz="0" w:space="0" w:color="auto"/>
        <w:right w:val="none" w:sz="0" w:space="0" w:color="auto"/>
      </w:divBdr>
    </w:div>
    <w:div w:id="261884009">
      <w:bodyDiv w:val="1"/>
      <w:marLeft w:val="0"/>
      <w:marRight w:val="0"/>
      <w:marTop w:val="0"/>
      <w:marBottom w:val="0"/>
      <w:divBdr>
        <w:top w:val="none" w:sz="0" w:space="0" w:color="auto"/>
        <w:left w:val="none" w:sz="0" w:space="0" w:color="auto"/>
        <w:bottom w:val="none" w:sz="0" w:space="0" w:color="auto"/>
        <w:right w:val="none" w:sz="0" w:space="0" w:color="auto"/>
      </w:divBdr>
    </w:div>
    <w:div w:id="382413391">
      <w:bodyDiv w:val="1"/>
      <w:marLeft w:val="0"/>
      <w:marRight w:val="0"/>
      <w:marTop w:val="0"/>
      <w:marBottom w:val="0"/>
      <w:divBdr>
        <w:top w:val="none" w:sz="0" w:space="0" w:color="auto"/>
        <w:left w:val="none" w:sz="0" w:space="0" w:color="auto"/>
        <w:bottom w:val="none" w:sz="0" w:space="0" w:color="auto"/>
        <w:right w:val="none" w:sz="0" w:space="0" w:color="auto"/>
      </w:divBdr>
    </w:div>
    <w:div w:id="453600232">
      <w:bodyDiv w:val="1"/>
      <w:marLeft w:val="0"/>
      <w:marRight w:val="0"/>
      <w:marTop w:val="0"/>
      <w:marBottom w:val="0"/>
      <w:divBdr>
        <w:top w:val="none" w:sz="0" w:space="0" w:color="auto"/>
        <w:left w:val="none" w:sz="0" w:space="0" w:color="auto"/>
        <w:bottom w:val="none" w:sz="0" w:space="0" w:color="auto"/>
        <w:right w:val="none" w:sz="0" w:space="0" w:color="auto"/>
      </w:divBdr>
    </w:div>
    <w:div w:id="1067534244">
      <w:bodyDiv w:val="1"/>
      <w:marLeft w:val="0"/>
      <w:marRight w:val="0"/>
      <w:marTop w:val="0"/>
      <w:marBottom w:val="0"/>
      <w:divBdr>
        <w:top w:val="none" w:sz="0" w:space="0" w:color="auto"/>
        <w:left w:val="none" w:sz="0" w:space="0" w:color="auto"/>
        <w:bottom w:val="none" w:sz="0" w:space="0" w:color="auto"/>
        <w:right w:val="none" w:sz="0" w:space="0" w:color="auto"/>
      </w:divBdr>
    </w:div>
    <w:div w:id="1400323942">
      <w:bodyDiv w:val="1"/>
      <w:marLeft w:val="0"/>
      <w:marRight w:val="0"/>
      <w:marTop w:val="0"/>
      <w:marBottom w:val="0"/>
      <w:divBdr>
        <w:top w:val="none" w:sz="0" w:space="0" w:color="auto"/>
        <w:left w:val="none" w:sz="0" w:space="0" w:color="auto"/>
        <w:bottom w:val="none" w:sz="0" w:space="0" w:color="auto"/>
        <w:right w:val="none" w:sz="0" w:space="0" w:color="auto"/>
      </w:divBdr>
    </w:div>
    <w:div w:id="1601260685">
      <w:bodyDiv w:val="1"/>
      <w:marLeft w:val="0"/>
      <w:marRight w:val="0"/>
      <w:marTop w:val="0"/>
      <w:marBottom w:val="0"/>
      <w:divBdr>
        <w:top w:val="none" w:sz="0" w:space="0" w:color="auto"/>
        <w:left w:val="none" w:sz="0" w:space="0" w:color="auto"/>
        <w:bottom w:val="none" w:sz="0" w:space="0" w:color="auto"/>
        <w:right w:val="none" w:sz="0" w:space="0" w:color="auto"/>
      </w:divBdr>
    </w:div>
    <w:div w:id="1615406668">
      <w:bodyDiv w:val="1"/>
      <w:marLeft w:val="0"/>
      <w:marRight w:val="0"/>
      <w:marTop w:val="0"/>
      <w:marBottom w:val="0"/>
      <w:divBdr>
        <w:top w:val="none" w:sz="0" w:space="0" w:color="auto"/>
        <w:left w:val="none" w:sz="0" w:space="0" w:color="auto"/>
        <w:bottom w:val="none" w:sz="0" w:space="0" w:color="auto"/>
        <w:right w:val="none" w:sz="0" w:space="0" w:color="auto"/>
      </w:divBdr>
    </w:div>
    <w:div w:id="1628850949">
      <w:bodyDiv w:val="1"/>
      <w:marLeft w:val="0"/>
      <w:marRight w:val="0"/>
      <w:marTop w:val="0"/>
      <w:marBottom w:val="0"/>
      <w:divBdr>
        <w:top w:val="none" w:sz="0" w:space="0" w:color="auto"/>
        <w:left w:val="none" w:sz="0" w:space="0" w:color="auto"/>
        <w:bottom w:val="none" w:sz="0" w:space="0" w:color="auto"/>
        <w:right w:val="none" w:sz="0" w:space="0" w:color="auto"/>
      </w:divBdr>
    </w:div>
    <w:div w:id="1857498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98988E9-AA6C-214E-9524-661CACFBE08B}">
  <we:reference id="wa200001011" version="1.2.0.0" store="en-US" storeType="OMEX"/>
  <we:alternateReferences>
    <we:reference id="wa200001011" version="1.2.0.0" store="WA200001011"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26DFC1-11D1-6448-BB72-B4402EF1B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27</Pages>
  <Words>45688</Words>
  <Characters>260428</Characters>
  <Application>Microsoft Office Word</Application>
  <DocSecurity>0</DocSecurity>
  <Lines>2170</Lines>
  <Paragraphs>611</Paragraphs>
  <ScaleCrop>false</ScaleCrop>
  <HeadingPairs>
    <vt:vector size="6" baseType="variant">
      <vt:variant>
        <vt:lpstr>Title</vt:lpstr>
      </vt:variant>
      <vt:variant>
        <vt:i4>1</vt:i4>
      </vt:variant>
      <vt:variant>
        <vt:lpstr>Titel</vt:lpstr>
      </vt:variant>
      <vt:variant>
        <vt:i4>1</vt:i4>
      </vt:variant>
      <vt:variant>
        <vt:lpstr>Rubrik</vt:lpstr>
      </vt:variant>
      <vt:variant>
        <vt:i4>1</vt:i4>
      </vt:variant>
    </vt:vector>
  </HeadingPairs>
  <TitlesOfParts>
    <vt:vector size="3" baseType="lpstr">
      <vt:lpstr/>
      <vt:lpstr/>
      <vt:lpstr/>
    </vt:vector>
  </TitlesOfParts>
  <Company/>
  <LinksUpToDate>false</LinksUpToDate>
  <CharactersWithSpaces>305505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Matilda Andersson</dc:creator>
  <cp:keywords/>
  <dc:description/>
  <cp:lastModifiedBy>Matilda Andersson</cp:lastModifiedBy>
  <cp:revision>17</cp:revision>
  <cp:lastPrinted>2021-06-14T11:32:00Z</cp:lastPrinted>
  <dcterms:created xsi:type="dcterms:W3CDTF">2021-06-22T09:12:00Z</dcterms:created>
  <dcterms:modified xsi:type="dcterms:W3CDTF">2021-06-24T11:08:00Z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documentId_7822</vt:lpwstr>
  </property>
  <property fmtid="{D5CDD505-2E9C-101B-9397-08002B2CF9AE}" pid="3" name="grammarly_documentContext">
    <vt:lpwstr>{"goals":["describe"],"domain":"academic","emotions":["neutral"],"dialect":"american","audience":"expert"}</vt:lpwstr>
  </property>
  <property fmtid="{D5CDD505-2E9C-101B-9397-08002B2CF9AE}" pid="4" name="Mendeley Recent Style Id 0_1">
    <vt:lpwstr>http://www.zotero.org/styles/american-sociological-association</vt:lpwstr>
  </property>
  <property fmtid="{D5CDD505-2E9C-101B-9397-08002B2CF9AE}" pid="5" name="Mendeley Recent Style Name 0_1">
    <vt:lpwstr>American Sociological Association</vt:lpwstr>
  </property>
  <property fmtid="{D5CDD505-2E9C-101B-9397-08002B2CF9AE}" pid="6" name="Mendeley Recent Style Id 1_1">
    <vt:lpwstr>http://www.zotero.org/styles/council-of-science-editors-author-date</vt:lpwstr>
  </property>
  <property fmtid="{D5CDD505-2E9C-101B-9397-08002B2CF9AE}" pid="7" name="Mendeley Recent Style Name 1_1">
    <vt:lpwstr>Council of Science Editors, Name-Year (author-date)</vt:lpwstr>
  </property>
  <property fmtid="{D5CDD505-2E9C-101B-9397-08002B2CF9AE}" pid="8" name="Mendeley Recent Style Id 2_1">
    <vt:lpwstr>http://www.zotero.org/styles/frontiers-in-ecology-and-evolution</vt:lpwstr>
  </property>
  <property fmtid="{D5CDD505-2E9C-101B-9397-08002B2CF9AE}" pid="9" name="Mendeley Recent Style Name 2_1">
    <vt:lpwstr>Frontiers in Ecology and Evolution</vt:lpwstr>
  </property>
  <property fmtid="{D5CDD505-2E9C-101B-9397-08002B2CF9AE}" pid="10" name="Mendeley Recent Style Id 3_1">
    <vt:lpwstr>http://www.zotero.org/styles/functional-ecology</vt:lpwstr>
  </property>
  <property fmtid="{D5CDD505-2E9C-101B-9397-08002B2CF9AE}" pid="11" name="Mendeley Recent Style Name 3_1">
    <vt:lpwstr>Functional Ecology</vt:lpwstr>
  </property>
  <property fmtid="{D5CDD505-2E9C-101B-9397-08002B2CF9AE}" pid="12" name="Mendeley Recent Style Id 4_1">
    <vt:lpwstr>http://www.zotero.org/styles/ieee</vt:lpwstr>
  </property>
  <property fmtid="{D5CDD505-2E9C-101B-9397-08002B2CF9AE}" pid="13" name="Mendeley Recent Style Name 4_1">
    <vt:lpwstr>IEEE</vt:lpwstr>
  </property>
  <property fmtid="{D5CDD505-2E9C-101B-9397-08002B2CF9AE}" pid="14" name="Mendeley Recent Style Id 5_1">
    <vt:lpwstr>http://www.zotero.org/styles/journal-of-fish-biology</vt:lpwstr>
  </property>
  <property fmtid="{D5CDD505-2E9C-101B-9397-08002B2CF9AE}" pid="15" name="Mendeley Recent Style Name 5_1">
    <vt:lpwstr>Journal of Fish Biology</vt:lpwstr>
  </property>
  <property fmtid="{D5CDD505-2E9C-101B-9397-08002B2CF9AE}" pid="16" name="Mendeley Recent Style Id 6_1">
    <vt:lpwstr>http://www.zotero.org/styles/modern-humanities-research-association</vt:lpwstr>
  </property>
  <property fmtid="{D5CDD505-2E9C-101B-9397-08002B2CF9AE}" pid="17" name="Mendeley Recent Style Name 6_1">
    <vt:lpwstr>Modern Humanities Research Association 3rd edition (note with bibliography)</vt:lpwstr>
  </property>
  <property fmtid="{D5CDD505-2E9C-101B-9397-08002B2CF9AE}" pid="18" name="Mendeley Recent Style Id 7_1">
    <vt:lpwstr>http://www.zotero.org/styles/modern-language-association</vt:lpwstr>
  </property>
  <property fmtid="{D5CDD505-2E9C-101B-9397-08002B2CF9AE}" pid="19" name="Mendeley Recent Style Name 7_1">
    <vt:lpwstr>Modern Language Association 8th edition</vt:lpwstr>
  </property>
  <property fmtid="{D5CDD505-2E9C-101B-9397-08002B2CF9AE}" pid="20" name="Mendeley Recent Style Id 8_1">
    <vt:lpwstr>http://www.zotero.org/styles/plos-one</vt:lpwstr>
  </property>
  <property fmtid="{D5CDD505-2E9C-101B-9397-08002B2CF9AE}" pid="21" name="Mendeley Recent Style Name 8_1">
    <vt:lpwstr>PLOS ONE</vt:lpwstr>
  </property>
  <property fmtid="{D5CDD505-2E9C-101B-9397-08002B2CF9AE}" pid="22" name="Mendeley Recent Style Id 9_1">
    <vt:lpwstr>http://www.zotero.org/styles/vancouver</vt:lpwstr>
  </property>
  <property fmtid="{D5CDD505-2E9C-101B-9397-08002B2CF9AE}" pid="23" name="Mendeley Recent Style Name 9_1">
    <vt:lpwstr>Vancouver</vt:lpwstr>
  </property>
  <property fmtid="{D5CDD505-2E9C-101B-9397-08002B2CF9AE}" pid="24" name="Mendeley Document_1">
    <vt:lpwstr>True</vt:lpwstr>
  </property>
  <property fmtid="{D5CDD505-2E9C-101B-9397-08002B2CF9AE}" pid="25" name="Mendeley Unique User Id_1">
    <vt:lpwstr>52af5bf3-4171-3eb8-816e-a06c6d88a71d</vt:lpwstr>
  </property>
  <property fmtid="{D5CDD505-2E9C-101B-9397-08002B2CF9AE}" pid="26" name="Mendeley Citation Style_1">
    <vt:lpwstr>http://www.zotero.org/styles/frontiers-in-ecology-and-evolution</vt:lpwstr>
  </property>
</Properties>
</file>