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5C" w:rsidRPr="0083785C" w:rsidRDefault="0083785C" w:rsidP="0083785C">
      <w:pPr>
        <w:rPr>
          <w:lang w:val="en-US"/>
        </w:rPr>
      </w:pPr>
      <w:r w:rsidRPr="0083785C">
        <w:rPr>
          <w:rFonts w:ascii="Times New Roman" w:hAnsi="Times New Roman"/>
          <w:b/>
          <w:bCs/>
          <w:sz w:val="20"/>
          <w:szCs w:val="20"/>
          <w:lang w:val="en-US"/>
        </w:rPr>
        <w:t>T</w:t>
      </w:r>
      <w:r w:rsidR="0099135E">
        <w:rPr>
          <w:rFonts w:ascii="Times New Roman" w:hAnsi="Times New Roman"/>
          <w:b/>
          <w:bCs/>
          <w:sz w:val="20"/>
          <w:szCs w:val="20"/>
          <w:lang w:val="en-US"/>
        </w:rPr>
        <w:t>ABLE</w:t>
      </w:r>
      <w:r w:rsidRPr="003F64FB">
        <w:rPr>
          <w:rFonts w:ascii="Times New Roman" w:hAnsi="Times New Roman"/>
          <w:b/>
          <w:bCs/>
          <w:sz w:val="20"/>
          <w:szCs w:val="20"/>
          <w:lang w:val="en-US"/>
        </w:rPr>
        <w:t xml:space="preserve"> 2</w:t>
      </w:r>
      <w:r w:rsidRPr="003F64FB">
        <w:rPr>
          <w:rFonts w:ascii="Times New Roman" w:hAnsi="Times New Roman"/>
          <w:sz w:val="20"/>
          <w:szCs w:val="20"/>
          <w:lang w:val="en-US"/>
        </w:rPr>
        <w:t xml:space="preserve"> T</w:t>
      </w:r>
      <w:r>
        <w:rPr>
          <w:rFonts w:ascii="Times New Roman" w:hAnsi="Times New Roman"/>
          <w:sz w:val="20"/>
          <w:szCs w:val="20"/>
          <w:lang w:val="en-US"/>
        </w:rPr>
        <w:t>he analyses on the</w:t>
      </w:r>
      <w:r w:rsidRPr="003F64FB">
        <w:rPr>
          <w:rFonts w:ascii="Times New Roman" w:hAnsi="Times New Roman"/>
          <w:sz w:val="20"/>
          <w:szCs w:val="20"/>
          <w:lang w:val="en-US"/>
        </w:rPr>
        <w:t xml:space="preserve"> association between </w:t>
      </w:r>
      <w:r>
        <w:rPr>
          <w:rFonts w:ascii="Times New Roman" w:hAnsi="Times New Roman"/>
          <w:sz w:val="20"/>
          <w:szCs w:val="20"/>
          <w:lang w:val="en-US"/>
        </w:rPr>
        <w:t xml:space="preserve">sensitization patterns of </w:t>
      </w:r>
      <w:r w:rsidRPr="003F64FB">
        <w:rPr>
          <w:rFonts w:ascii="Times New Roman" w:hAnsi="Times New Roman"/>
          <w:sz w:val="20"/>
          <w:szCs w:val="20"/>
          <w:lang w:val="en-US"/>
        </w:rPr>
        <w:t>molds and AH in AR children</w:t>
      </w:r>
    </w:p>
    <w:tbl>
      <w:tblPr>
        <w:tblStyle w:val="TableNormal"/>
        <w:tblW w:w="10720" w:type="dxa"/>
        <w:tblInd w:w="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280"/>
        <w:gridCol w:w="2480"/>
        <w:gridCol w:w="2620"/>
        <w:gridCol w:w="2460"/>
        <w:gridCol w:w="880"/>
      </w:tblGrid>
      <w:tr w:rsidR="0083785C" w:rsidTr="009800FC">
        <w:trPr>
          <w:trHeight w:val="457"/>
          <w:tblHeader/>
        </w:trPr>
        <w:tc>
          <w:tcPr>
            <w:tcW w:w="228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Pr="001E6637" w:rsidRDefault="0083785C" w:rsidP="009800FC">
            <w:pPr>
              <w:rPr>
                <w:lang w:val="en-US"/>
              </w:rPr>
            </w:pP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Poly-sensitized to molds</w:t>
            </w:r>
          </w:p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(n=573)</w:t>
            </w:r>
          </w:p>
        </w:tc>
        <w:tc>
          <w:tcPr>
            <w:tcW w:w="262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Mono-sensitized to molds</w:t>
            </w:r>
          </w:p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(n=334)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Non-sensitized to molds</w:t>
            </w:r>
          </w:p>
          <w:p w:rsidR="0083785C" w:rsidRDefault="0083785C" w:rsidP="009800FC">
            <w:pPr>
              <w:pStyle w:val="1"/>
              <w:jc w:val="center"/>
            </w:pPr>
            <w:r>
              <w:rPr>
                <w:rFonts w:ascii="Times New Roman" w:hAnsi="Times New Roman"/>
              </w:rPr>
              <w:t>(n=2077)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99135E" w:rsidP="009800FC">
            <w:pPr>
              <w:pStyle w:val="1"/>
              <w:jc w:val="center"/>
            </w:pPr>
            <w:r>
              <w:rPr>
                <w:rFonts w:ascii="Times New Roman" w:hAnsi="Times New Roman"/>
                <w:i/>
                <w:iCs/>
              </w:rPr>
              <w:t>p</w:t>
            </w:r>
          </w:p>
        </w:tc>
      </w:tr>
      <w:tr w:rsidR="0083785C" w:rsidTr="009800FC">
        <w:tblPrEx>
          <w:shd w:val="clear" w:color="auto" w:fill="auto"/>
        </w:tblPrEx>
        <w:trPr>
          <w:trHeight w:val="283"/>
        </w:trPr>
        <w:tc>
          <w:tcPr>
            <w:tcW w:w="22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1"/>
            </w:pPr>
            <w:r>
              <w:rPr>
                <w:rFonts w:ascii="Times New Roman" w:hAnsi="Times New Roman"/>
              </w:rPr>
              <w:t>Presence of AH [%]</w:t>
            </w:r>
          </w:p>
        </w:tc>
        <w:tc>
          <w:tcPr>
            <w:tcW w:w="24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387 (67.5%)</w:t>
            </w:r>
          </w:p>
        </w:tc>
        <w:tc>
          <w:tcPr>
            <w:tcW w:w="26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196 (58.7%)</w:t>
            </w:r>
          </w:p>
        </w:tc>
        <w:tc>
          <w:tcPr>
            <w:tcW w:w="24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1188 (57.2%)</w:t>
            </w:r>
          </w:p>
        </w:tc>
        <w:tc>
          <w:tcPr>
            <w:tcW w:w="8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&lt;0.001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83785C" w:rsidTr="009800FC">
        <w:tblPrEx>
          <w:shd w:val="clear" w:color="auto" w:fill="auto"/>
        </w:tblPrEx>
        <w:trPr>
          <w:trHeight w:val="295"/>
        </w:trPr>
        <w:tc>
          <w:tcPr>
            <w:tcW w:w="228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Elevated tIgE level [%]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397D4E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403 (70.3</w:t>
            </w:r>
            <w:r w:rsidR="0083785C">
              <w:rPr>
                <w:rFonts w:ascii="Times New Roman" w:hAnsi="Times New Roman"/>
              </w:rPr>
              <w:t>%)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397D4E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175</w:t>
            </w:r>
            <w:r w:rsidR="0099135E">
              <w:rPr>
                <w:rFonts w:ascii="Times New Roman" w:hAnsi="Times New Roman"/>
              </w:rPr>
              <w:t xml:space="preserve"> (52.4</w:t>
            </w:r>
            <w:r w:rsidR="0083785C">
              <w:rPr>
                <w:rFonts w:ascii="Times New Roman" w:hAnsi="Times New Roman"/>
              </w:rPr>
              <w:t>%)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99135E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1384 (66</w:t>
            </w:r>
            <w:r w:rsidR="0083785C">
              <w:rPr>
                <w:rFonts w:ascii="Times New Roman" w:hAnsi="Times New Roman"/>
              </w:rPr>
              <w:t>.6%)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a4"/>
              <w:spacing w:before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&lt;0.001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83785C" w:rsidTr="009800FC">
        <w:tblPrEx>
          <w:shd w:val="clear" w:color="auto" w:fill="auto"/>
        </w:tblPrEx>
        <w:trPr>
          <w:trHeight w:val="310"/>
        </w:trPr>
        <w:tc>
          <w:tcPr>
            <w:tcW w:w="2280" w:type="dxa"/>
            <w:tcBorders>
              <w:top w:val="single" w:sz="12" w:space="0" w:color="FFFFFF"/>
              <w:left w:val="single" w:sz="12" w:space="0" w:color="FFFFFF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1"/>
            </w:pPr>
            <w:r>
              <w:rPr>
                <w:rFonts w:ascii="Times New Roman" w:hAnsi="Times New Roman"/>
              </w:rPr>
              <w:t>High sIgE level [%]</w:t>
            </w:r>
          </w:p>
        </w:tc>
        <w:tc>
          <w:tcPr>
            <w:tcW w:w="2480" w:type="dxa"/>
            <w:tcBorders>
              <w:top w:val="single" w:sz="12" w:space="0" w:color="FFFFFF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45 (7.9%)</w:t>
            </w:r>
          </w:p>
        </w:tc>
        <w:tc>
          <w:tcPr>
            <w:tcW w:w="2620" w:type="dxa"/>
            <w:tcBorders>
              <w:top w:val="single" w:sz="12" w:space="0" w:color="FFFFFF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13 (3.9%)</w:t>
            </w:r>
          </w:p>
        </w:tc>
        <w:tc>
          <w:tcPr>
            <w:tcW w:w="2460" w:type="dxa"/>
            <w:tcBorders>
              <w:top w:val="single" w:sz="12" w:space="0" w:color="FFFFFF"/>
              <w:left w:val="nil"/>
              <w:bottom w:val="single" w:sz="8" w:space="0" w:color="000000"/>
              <w:right w:val="nil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2"/>
              <w:jc w:val="center"/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880" w:type="dxa"/>
            <w:tcBorders>
              <w:top w:val="single" w:sz="12" w:space="0" w:color="FFFFFF"/>
              <w:left w:val="nil"/>
              <w:bottom w:val="single" w:sz="8" w:space="0" w:color="000000"/>
              <w:right w:val="single" w:sz="12" w:space="0" w:color="FFFFFF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5C" w:rsidRDefault="0083785C" w:rsidP="009800FC">
            <w:pPr>
              <w:pStyle w:val="a4"/>
              <w:spacing w:before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0.019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a</w:t>
            </w:r>
          </w:p>
        </w:tc>
      </w:tr>
    </w:tbl>
    <w:p w:rsidR="00710561" w:rsidRPr="0083785C" w:rsidRDefault="0083785C" w:rsidP="0083785C">
      <w:pPr>
        <w:pStyle w:val="a4"/>
        <w:spacing w:before="0" w:line="240" w:lineRule="auto"/>
      </w:pPr>
      <w:r>
        <w:rPr>
          <w:rFonts w:ascii="Times New Roman" w:hAnsi="Times New Roman"/>
          <w:sz w:val="20"/>
          <w:szCs w:val="20"/>
          <w:vertAlign w:val="superscript"/>
        </w:rPr>
        <w:t>a</w:t>
      </w:r>
      <w:r w:rsidRPr="003F64FB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3F64FB"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hi-square test</w:t>
      </w:r>
      <w:r w:rsidRPr="003F64FB">
        <w:rPr>
          <w:rFonts w:ascii="Times New Roman" w:hAnsi="Times New Roman"/>
          <w:sz w:val="20"/>
          <w:szCs w:val="20"/>
        </w:rPr>
        <w:t xml:space="preserve">. A serum tIgE level </w:t>
      </w:r>
      <w:r>
        <w:rPr>
          <w:rFonts w:ascii="Times New Roman" w:hAnsi="Times New Roman"/>
          <w:sz w:val="20"/>
          <w:szCs w:val="20"/>
        </w:rPr>
        <w:t>≥</w:t>
      </w:r>
      <w:r w:rsidRPr="003F64FB">
        <w:rPr>
          <w:rFonts w:ascii="Times New Roman" w:hAnsi="Times New Roman"/>
          <w:sz w:val="20"/>
          <w:szCs w:val="20"/>
        </w:rPr>
        <w:t xml:space="preserve">60 </w:t>
      </w:r>
      <w:r w:rsidR="001E6637">
        <w:rPr>
          <w:rFonts w:ascii="Times New Roman" w:hAnsi="Times New Roman"/>
          <w:sz w:val="20"/>
          <w:szCs w:val="20"/>
        </w:rPr>
        <w:t>kU</w:t>
      </w:r>
      <w:r>
        <w:rPr>
          <w:rFonts w:ascii="Times New Roman" w:hAnsi="Times New Roman"/>
          <w:sz w:val="20"/>
          <w:szCs w:val="20"/>
        </w:rPr>
        <w:t>/L</w:t>
      </w:r>
      <w:r w:rsidRPr="003F64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was defined as</w:t>
      </w:r>
      <w:r w:rsidRPr="003F64FB">
        <w:rPr>
          <w:rFonts w:ascii="Times New Roman" w:hAnsi="Times New Roman"/>
          <w:sz w:val="20"/>
          <w:szCs w:val="20"/>
        </w:rPr>
        <w:t xml:space="preserve"> e</w:t>
      </w:r>
      <w:r>
        <w:rPr>
          <w:rFonts w:ascii="Times New Roman" w:hAnsi="Times New Roman"/>
          <w:sz w:val="20"/>
          <w:szCs w:val="20"/>
        </w:rPr>
        <w:t>levated</w:t>
      </w:r>
      <w:r w:rsidRPr="003F64FB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A serum sIgE </w:t>
      </w:r>
      <w:r>
        <w:rPr>
          <w:rFonts w:ascii="Times New Roman" w:hAnsi="Times New Roman"/>
          <w:sz w:val="20"/>
          <w:szCs w:val="20"/>
          <w:lang w:val="da-DK"/>
        </w:rPr>
        <w:t>level</w:t>
      </w:r>
      <w:r>
        <w:rPr>
          <w:rFonts w:ascii="Times New Roman" w:hAnsi="Times New Roman"/>
          <w:sz w:val="20"/>
          <w:szCs w:val="20"/>
        </w:rPr>
        <w:t xml:space="preserve"> ≥50</w:t>
      </w:r>
      <w:r>
        <w:rPr>
          <w:rFonts w:ascii="Times New Roman" w:hAnsi="Times New Roman"/>
          <w:sz w:val="20"/>
          <w:szCs w:val="20"/>
          <w:lang w:val="pt-PT"/>
        </w:rPr>
        <w:t xml:space="preserve"> kUA/L</w:t>
      </w:r>
      <w:r>
        <w:rPr>
          <w:rFonts w:ascii="Times New Roman" w:hAnsi="Times New Roman"/>
          <w:sz w:val="20"/>
          <w:szCs w:val="20"/>
        </w:rPr>
        <w:t xml:space="preserve"> was classified as a high level</w:t>
      </w:r>
      <w:r w:rsidR="00F94D8B">
        <w:rPr>
          <w:rFonts w:ascii="Times New Roman" w:hAnsi="Times New Roman"/>
          <w:sz w:val="20"/>
          <w:szCs w:val="20"/>
        </w:rPr>
        <w:t>.</w:t>
      </w:r>
      <w:bookmarkStart w:id="0" w:name="_GoBack"/>
      <w:bookmarkEnd w:id="0"/>
    </w:p>
    <w:sectPr w:rsidR="00710561" w:rsidRPr="0083785C"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ECB" w:rsidRDefault="00BA4CD4">
      <w:r>
        <w:separator/>
      </w:r>
    </w:p>
  </w:endnote>
  <w:endnote w:type="continuationSeparator" w:id="0">
    <w:p w:rsidR="00364ECB" w:rsidRDefault="00BA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 SC Regular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ingFang SC Semibold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ECB" w:rsidRDefault="00BA4CD4">
      <w:r>
        <w:separator/>
      </w:r>
    </w:p>
  </w:footnote>
  <w:footnote w:type="continuationSeparator" w:id="0">
    <w:p w:rsidR="00364ECB" w:rsidRDefault="00BA4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26"/>
    <w:rsid w:val="001E6637"/>
    <w:rsid w:val="00364ECB"/>
    <w:rsid w:val="00397D4E"/>
    <w:rsid w:val="00702F26"/>
    <w:rsid w:val="00710561"/>
    <w:rsid w:val="0083785C"/>
    <w:rsid w:val="0099135E"/>
    <w:rsid w:val="00BA4CD4"/>
    <w:rsid w:val="00C36414"/>
    <w:rsid w:val="00D13373"/>
    <w:rsid w:val="00F9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99DA99"/>
  <w15:docId w15:val="{C4E80C64-C6A0-45BA-920F-7D10CD80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PingFang SC Regular" w:eastAsia="Arial Unicode MS" w:hAnsi="PingFang SC Regular" w:cs="Arial Unicode MS"/>
      <w:color w:val="000000"/>
      <w:sz w:val="22"/>
      <w:szCs w:val="22"/>
      <w:lang w:val="zh-CN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默认"/>
    <w:pPr>
      <w:spacing w:before="160" w:line="288" w:lineRule="auto"/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说明"/>
    <w:pPr>
      <w:tabs>
        <w:tab w:val="left" w:pos="1150"/>
      </w:tabs>
    </w:pPr>
    <w:rPr>
      <w:rFonts w:ascii="PingFang SC Semibold" w:eastAsia="Arial Unicode MS" w:hAnsi="PingFang SC Semibold" w:cs="Arial Unicode MS"/>
      <w:caps/>
      <w:color w:val="000000"/>
      <w:lang w:val="zh-CN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837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3785C"/>
    <w:rPr>
      <w:rFonts w:ascii="PingFang SC Regular" w:eastAsia="Arial Unicode MS" w:hAnsi="PingFang SC Regular" w:cs="Arial Unicode MS"/>
      <w:color w:val="000000"/>
      <w:sz w:val="18"/>
      <w:szCs w:val="18"/>
      <w:lang w:val="zh-CN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footer"/>
    <w:basedOn w:val="a"/>
    <w:link w:val="a9"/>
    <w:uiPriority w:val="99"/>
    <w:unhideWhenUsed/>
    <w:rsid w:val="008378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3785C"/>
    <w:rPr>
      <w:rFonts w:ascii="PingFang SC Regular" w:eastAsia="Arial Unicode MS" w:hAnsi="PingFang SC Regular" w:cs="Arial Unicode MS"/>
      <w:color w:val="000000"/>
      <w:sz w:val="18"/>
      <w:szCs w:val="18"/>
      <w:lang w:val="zh-CN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表格样式 1"/>
    <w:rsid w:val="0083785C"/>
    <w:rPr>
      <w:rFonts w:ascii="PingFang SC Semibold" w:eastAsia="Arial Unicode MS" w:hAnsi="PingFang SC Semibold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表格样式 2"/>
    <w:rsid w:val="0083785C"/>
    <w:rPr>
      <w:rFonts w:ascii="PingFang SC Regular" w:eastAsia="Arial Unicode MS" w:hAnsi="PingFang SC Regular" w:cs="Arial Unicode M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11</cp:revision>
  <dcterms:created xsi:type="dcterms:W3CDTF">2023-09-13T16:14:00Z</dcterms:created>
  <dcterms:modified xsi:type="dcterms:W3CDTF">2023-10-12T14:24:00Z</dcterms:modified>
</cp:coreProperties>
</file>