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775" w:rsidRPr="007C7F02" w:rsidRDefault="00AA6775" w:rsidP="00AA6775">
      <w:pPr>
        <w:pStyle w:val="Sansinterligne"/>
        <w:widowControl w:val="0"/>
        <w:rPr>
          <w:lang w:val="en-GB"/>
        </w:rPr>
      </w:pPr>
      <w:r w:rsidRPr="007C7F02">
        <w:rPr>
          <w:b/>
          <w:bCs/>
          <w:u w:val="single"/>
          <w:lang w:val="en-GB"/>
        </w:rPr>
        <w:t>Table 1:</w:t>
      </w:r>
      <w:r w:rsidRPr="007C7F02">
        <w:rPr>
          <w:lang w:val="en-GB"/>
        </w:rPr>
        <w:t xml:space="preserve"> Clinical characteristics and histamine and tryptase concentrations in patients with anaphylactic reactions.</w:t>
      </w:r>
    </w:p>
    <w:p w:rsidR="00AA6775" w:rsidRPr="007C7F02" w:rsidRDefault="00AA6775" w:rsidP="00AA6775">
      <w:pPr>
        <w:pStyle w:val="Sansinterligne"/>
        <w:widowControl w:val="0"/>
        <w:rPr>
          <w:b/>
          <w:bCs/>
          <w:u w:val="single"/>
          <w:lang w:val="en-GB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865"/>
        <w:gridCol w:w="911"/>
        <w:gridCol w:w="634"/>
        <w:gridCol w:w="1985"/>
        <w:gridCol w:w="992"/>
        <w:gridCol w:w="1134"/>
        <w:gridCol w:w="1559"/>
        <w:gridCol w:w="1276"/>
        <w:gridCol w:w="1701"/>
      </w:tblGrid>
      <w:tr w:rsidR="00AA6775" w:rsidRPr="007C7F02" w:rsidTr="0076580B">
        <w:tc>
          <w:tcPr>
            <w:tcW w:w="865" w:type="dxa"/>
            <w:tcBorders>
              <w:bottom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>Case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>Gender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>Age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>Circumstances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>Severity grade*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>Time of sampling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 xml:space="preserve">Histamine 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>(nmol.L</w:t>
            </w:r>
            <w:r w:rsidRPr="007C7F02">
              <w:rPr>
                <w:b/>
                <w:bCs/>
                <w:vertAlign w:val="superscript"/>
                <w:lang w:val="en-GB"/>
              </w:rPr>
              <w:t>-1</w:t>
            </w:r>
            <w:r w:rsidRPr="007C7F02">
              <w:rPr>
                <w:b/>
                <w:bCs/>
                <w:lang w:val="en-GB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 xml:space="preserve">Tryptase 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>(µg.L</w:t>
            </w:r>
            <w:r w:rsidRPr="007C7F02">
              <w:rPr>
                <w:b/>
                <w:bCs/>
                <w:vertAlign w:val="superscript"/>
                <w:lang w:val="en-GB"/>
              </w:rPr>
              <w:t>-1</w:t>
            </w:r>
            <w:r w:rsidRPr="007C7F02">
              <w:rPr>
                <w:b/>
                <w:bCs/>
                <w:lang w:val="en-GB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b/>
                <w:bCs/>
                <w:lang w:val="en-GB"/>
              </w:rPr>
            </w:pPr>
            <w:r w:rsidRPr="007C7F02">
              <w:rPr>
                <w:b/>
                <w:bCs/>
                <w:lang w:val="en-GB"/>
              </w:rPr>
              <w:t xml:space="preserve">Responsible </w:t>
            </w:r>
            <w:r w:rsidRPr="007C7F02">
              <w:rPr>
                <w:b/>
                <w:bCs/>
              </w:rPr>
              <w:t>agent</w:t>
            </w:r>
          </w:p>
        </w:tc>
      </w:tr>
      <w:tr w:rsidR="00AA6775" w:rsidRPr="007C7F02" w:rsidTr="0076580B">
        <w:tc>
          <w:tcPr>
            <w:tcW w:w="865" w:type="dxa"/>
            <w:tcBorders>
              <w:top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F</w:t>
            </w: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Anaesthesia Induction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(NMBA)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20min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2h20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24h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574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42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104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79.3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4.5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Suxamethonium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F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60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Reintroduction test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(Bee venom)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5min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2h05min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44.1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5.5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22.1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15.7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Bee venom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F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48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Sting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(Wasp venom)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30m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2h30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9.4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5.1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9.1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5.2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Wasp venom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4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M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79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Anaesthesia Induction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(NMBA, cefazolin)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10min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2h20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26h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22.2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&lt; 1.1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6.9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5.5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2.5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t>No ST</w:t>
            </w: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F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57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Thyroid scintigraphy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30min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2h30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21h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5.1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3.2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6.2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4.9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2.7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No ST</w:t>
            </w: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6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F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58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Anaesthesia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1h delay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(without NMBA)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3h15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5h10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5.8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5.0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5.8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5.7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Negative ST</w:t>
            </w: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7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M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70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Anaesthesia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Induction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(NMBA)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1h30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3h30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25h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16.6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1.2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5.0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3.7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&lt;1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 xml:space="preserve">No ST </w:t>
            </w: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8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M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64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Gelatin infusion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45min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2h45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25h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34.6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3.5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5.1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5.3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2.0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US"/>
              </w:rPr>
            </w:pPr>
            <w:r w:rsidRPr="007C7F02">
              <w:t>No ST</w:t>
            </w:r>
            <w:r w:rsidRPr="007C7F02">
              <w:rPr>
                <w:lang w:val="en-US"/>
              </w:rPr>
              <w:t xml:space="preserve"> </w:t>
            </w: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9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F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76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Patent blue dye injection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55min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2h50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25h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159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70.3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4.0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4.8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2.7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No ST</w:t>
            </w: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10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M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67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US"/>
              </w:rPr>
            </w:pPr>
            <w:r w:rsidRPr="007C7F02">
              <w:rPr>
                <w:lang w:val="en-US"/>
              </w:rPr>
              <w:t>Anaesthesia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US"/>
              </w:rPr>
            </w:pPr>
            <w:r w:rsidRPr="007C7F02">
              <w:rPr>
                <w:lang w:val="en-US"/>
              </w:rPr>
              <w:t>(without NMBA)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5min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2h05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24h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4.5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9.6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IQ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16.5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4.0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No ST</w:t>
            </w: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11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M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65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Anaesthesia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lastRenderedPageBreak/>
              <w:t>Induction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(NMBA)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lastRenderedPageBreak/>
              <w:t>3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15min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lastRenderedPageBreak/>
              <w:t>2h15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24h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lastRenderedPageBreak/>
              <w:t>ND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lastRenderedPageBreak/>
              <w:t>ND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lastRenderedPageBreak/>
              <w:t>8.6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lastRenderedPageBreak/>
              <w:t>13.3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4.6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lastRenderedPageBreak/>
              <w:t>No ST</w:t>
            </w: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12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M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35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Anesthesia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Induction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(NMBA, cefazolin)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3min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2h48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22h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297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48.4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21.1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22.7</w:t>
            </w:r>
          </w:p>
          <w:p w:rsidR="00AA6775" w:rsidRPr="007C7F02" w:rsidRDefault="00AA6775" w:rsidP="0076580B">
            <w:pPr>
              <w:pStyle w:val="Sansinterligne"/>
              <w:widowControl w:val="0"/>
            </w:pPr>
            <w:r w:rsidRPr="007C7F02">
              <w:t>3.7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US"/>
              </w:rPr>
            </w:pPr>
            <w:r w:rsidRPr="007C7F02">
              <w:rPr>
                <w:lang w:val="en-US"/>
              </w:rPr>
              <w:t>Cefazolin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13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M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63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Anaesthesia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Induction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(NMBA)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4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45m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1h45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26h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17.7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12.5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13.1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16.8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5.8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Negative ST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</w:p>
        </w:tc>
      </w:tr>
      <w:tr w:rsidR="00AA6775" w:rsidRPr="007C7F02" w:rsidTr="0076580B">
        <w:tc>
          <w:tcPr>
            <w:tcW w:w="86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14</w:t>
            </w:r>
          </w:p>
        </w:tc>
        <w:tc>
          <w:tcPr>
            <w:tcW w:w="91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M</w:t>
            </w:r>
          </w:p>
        </w:tc>
        <w:tc>
          <w:tcPr>
            <w:tcW w:w="6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61</w:t>
            </w:r>
          </w:p>
        </w:tc>
        <w:tc>
          <w:tcPr>
            <w:tcW w:w="1985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Amoxicilline, clavulanic acid</w:t>
            </w:r>
          </w:p>
        </w:tc>
        <w:tc>
          <w:tcPr>
            <w:tcW w:w="992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</w:t>
            </w:r>
          </w:p>
        </w:tc>
        <w:tc>
          <w:tcPr>
            <w:tcW w:w="1134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1h25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3h15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24h</w:t>
            </w:r>
          </w:p>
        </w:tc>
        <w:tc>
          <w:tcPr>
            <w:tcW w:w="1559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239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43.1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-</w:t>
            </w:r>
          </w:p>
        </w:tc>
        <w:tc>
          <w:tcPr>
            <w:tcW w:w="1276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25.1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18.2</w:t>
            </w:r>
          </w:p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rPr>
                <w:lang w:val="en-GB"/>
              </w:rPr>
              <w:t>1.7</w:t>
            </w:r>
          </w:p>
        </w:tc>
        <w:tc>
          <w:tcPr>
            <w:tcW w:w="1701" w:type="dxa"/>
          </w:tcPr>
          <w:p w:rsidR="00AA6775" w:rsidRPr="007C7F02" w:rsidRDefault="00AA6775" w:rsidP="0076580B">
            <w:pPr>
              <w:pStyle w:val="Sansinterligne"/>
              <w:widowControl w:val="0"/>
              <w:rPr>
                <w:lang w:val="en-GB"/>
              </w:rPr>
            </w:pPr>
            <w:r w:rsidRPr="007C7F02">
              <w:t>No ST</w:t>
            </w:r>
          </w:p>
        </w:tc>
      </w:tr>
    </w:tbl>
    <w:p w:rsidR="00AA6775" w:rsidRPr="007C7F02" w:rsidRDefault="00AA6775" w:rsidP="00AA6775">
      <w:pPr>
        <w:pStyle w:val="Sansinterligne"/>
        <w:widowControl w:val="0"/>
        <w:rPr>
          <w:lang w:val="en-GB"/>
        </w:rPr>
      </w:pPr>
      <w:r w:rsidRPr="007C7F02">
        <w:rPr>
          <w:lang w:val="en-GB"/>
        </w:rPr>
        <w:t>*Ring and Messmer scale</w:t>
      </w:r>
      <w:r w:rsidRPr="007C7F02">
        <w:rPr>
          <w:vertAlign w:val="superscript"/>
          <w:lang w:val="en-GB"/>
        </w:rPr>
        <w:t>3</w:t>
      </w:r>
    </w:p>
    <w:p w:rsidR="00AA6775" w:rsidRPr="007C7F02" w:rsidRDefault="00AA6775" w:rsidP="00AA6775">
      <w:pPr>
        <w:pStyle w:val="Sansinterligne"/>
        <w:widowControl w:val="0"/>
        <w:rPr>
          <w:lang w:val="en-GB"/>
        </w:rPr>
      </w:pPr>
      <w:r w:rsidRPr="007C7F02">
        <w:rPr>
          <w:lang w:val="en-GB"/>
        </w:rPr>
        <w:t xml:space="preserve">Abbreviations: IQ, insufficient quantity; ND, not done; NMBA, neuromuscular blocking agents; ST, skin test. </w:t>
      </w:r>
    </w:p>
    <w:p w:rsidR="00AA6775" w:rsidRPr="007C7F02" w:rsidRDefault="00AA6775" w:rsidP="00AA6775">
      <w:pPr>
        <w:pStyle w:val="Sansinterligne"/>
        <w:widowControl w:val="0"/>
        <w:rPr>
          <w:lang w:val="en-GB"/>
        </w:rPr>
      </w:pPr>
    </w:p>
    <w:p w:rsidR="00AA6775" w:rsidRPr="007C7F02" w:rsidRDefault="00AA6775" w:rsidP="00AA6775">
      <w:pPr>
        <w:pStyle w:val="Sansinterligne"/>
        <w:widowControl w:val="0"/>
        <w:rPr>
          <w:lang w:val="en-GB"/>
        </w:rPr>
      </w:pPr>
    </w:p>
    <w:p w:rsidR="00AA6775" w:rsidRPr="007C7F02" w:rsidRDefault="00AA6775" w:rsidP="00AA6775">
      <w:pPr>
        <w:pStyle w:val="Sansinterligne"/>
        <w:widowControl w:val="0"/>
        <w:rPr>
          <w:lang w:val="en-GB"/>
        </w:rPr>
      </w:pPr>
    </w:p>
    <w:p w:rsidR="00AA6775" w:rsidRPr="007C7F02" w:rsidRDefault="00AA6775" w:rsidP="00AA6775">
      <w:pPr>
        <w:pStyle w:val="Sansinterligne"/>
        <w:widowControl w:val="0"/>
        <w:rPr>
          <w:lang w:val="en-GB"/>
        </w:rPr>
      </w:pPr>
    </w:p>
    <w:p w:rsidR="00961CD7" w:rsidRPr="00AA6775" w:rsidRDefault="00961CD7">
      <w:pPr>
        <w:rPr>
          <w:lang w:val="en-GB"/>
        </w:rPr>
      </w:pPr>
      <w:bookmarkStart w:id="0" w:name="_GoBack"/>
      <w:bookmarkEnd w:id="0"/>
    </w:p>
    <w:sectPr w:rsidR="00961CD7" w:rsidRPr="00AA6775" w:rsidSect="00EA3704">
      <w:pgSz w:w="16838" w:h="11906" w:orient="landscape" w:code="9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775"/>
    <w:rsid w:val="00961CD7"/>
    <w:rsid w:val="00AA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76640-B5E9-4DC7-9F01-1D54415E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77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99"/>
    <w:qFormat/>
    <w:rsid w:val="00AA6775"/>
    <w:pPr>
      <w:spacing w:after="0" w:line="240" w:lineRule="auto"/>
    </w:pPr>
    <w:rPr>
      <w:rFonts w:ascii="Calibri" w:eastAsia="Times New Roman" w:hAnsi="Calibri" w:cs="Times New Roman"/>
    </w:rPr>
  </w:style>
  <w:style w:type="character" w:styleId="Numrodeligne">
    <w:name w:val="line number"/>
    <w:basedOn w:val="Policepardfaut"/>
    <w:uiPriority w:val="99"/>
    <w:semiHidden/>
    <w:unhideWhenUsed/>
    <w:rsid w:val="00AA6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MARIOTTE DELPHINE</dc:creator>
  <cp:keywords/>
  <dc:description/>
  <cp:lastModifiedBy>MARIOTTE DELPHINE</cp:lastModifiedBy>
  <cp:revision>1</cp:revision>
  <dcterms:created xsi:type="dcterms:W3CDTF">2020-07-22T10:34:00Z</dcterms:created>
  <dcterms:modified xsi:type="dcterms:W3CDTF">2020-07-22T10:35:00Z</dcterms:modified>
</cp:coreProperties>
</file>