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8315EF" w14:textId="77777777" w:rsidR="00E60051" w:rsidRDefault="00E60051" w:rsidP="0091508F">
      <w:pPr>
        <w:spacing w:line="480" w:lineRule="auto"/>
        <w:jc w:val="center"/>
        <w:rPr>
          <w:b/>
          <w:bCs/>
        </w:rPr>
      </w:pPr>
      <w:r>
        <w:rPr>
          <w:b/>
          <w:bCs/>
        </w:rPr>
        <w:t>Power generation from waste heat: Ionic liquid-based absorption cycle vs. organic Rankine cycle</w:t>
      </w:r>
    </w:p>
    <w:p w14:paraId="5DED37E1" w14:textId="77777777" w:rsidR="00E60051" w:rsidRPr="00580545" w:rsidRDefault="00E60051" w:rsidP="00940816">
      <w:pPr>
        <w:spacing w:line="480" w:lineRule="auto"/>
        <w:jc w:val="center"/>
      </w:pPr>
      <w:r>
        <w:t>Jiaming Xu,</w:t>
      </w:r>
      <w:r w:rsidRPr="00580545">
        <w:rPr>
          <w:vertAlign w:val="superscript"/>
        </w:rPr>
        <w:t>1</w:t>
      </w:r>
      <w:r>
        <w:t xml:space="preserve"> Aaron M. Scurto,</w:t>
      </w:r>
      <w:r w:rsidRPr="00580545">
        <w:rPr>
          <w:vertAlign w:val="superscript"/>
        </w:rPr>
        <w:t>2</w:t>
      </w:r>
      <w:r>
        <w:t xml:space="preserve"> Mark B. Shiflett,</w:t>
      </w:r>
      <w:r w:rsidRPr="00580545">
        <w:rPr>
          <w:vertAlign w:val="superscript"/>
        </w:rPr>
        <w:t>2</w:t>
      </w:r>
      <w:r>
        <w:t xml:space="preserve"> Steven R. Lustig</w:t>
      </w:r>
      <w:r w:rsidRPr="00580545">
        <w:rPr>
          <w:vertAlign w:val="superscript"/>
        </w:rPr>
        <w:t>1</w:t>
      </w:r>
      <w:r>
        <w:t xml:space="preserve"> and Francisco R. Hung</w:t>
      </w:r>
      <w:proofErr w:type="gramStart"/>
      <w:r w:rsidRPr="00580545">
        <w:rPr>
          <w:vertAlign w:val="superscript"/>
        </w:rPr>
        <w:t>1</w:t>
      </w:r>
      <w:r>
        <w:rPr>
          <w:vertAlign w:val="superscript"/>
        </w:rPr>
        <w:t>,*</w:t>
      </w:r>
      <w:proofErr w:type="gramEnd"/>
    </w:p>
    <w:p w14:paraId="7085AC92" w14:textId="77777777" w:rsidR="00E60051" w:rsidRDefault="00E60051" w:rsidP="00940816">
      <w:pPr>
        <w:spacing w:line="480" w:lineRule="auto"/>
        <w:jc w:val="center"/>
      </w:pPr>
      <w:r w:rsidRPr="00A54B16">
        <w:rPr>
          <w:vertAlign w:val="superscript"/>
        </w:rPr>
        <w:t>1</w:t>
      </w:r>
      <w:r w:rsidRPr="00580545">
        <w:t xml:space="preserve"> </w:t>
      </w:r>
      <w:r>
        <w:t>Department of Chemical Engineering, Northeastern University, Boston, MA 02115</w:t>
      </w:r>
    </w:p>
    <w:p w14:paraId="533A4437" w14:textId="77777777" w:rsidR="00E60051" w:rsidRDefault="00E60051" w:rsidP="00940816">
      <w:pPr>
        <w:spacing w:line="480" w:lineRule="auto"/>
        <w:jc w:val="center"/>
      </w:pPr>
      <w:r w:rsidRPr="00A54B16">
        <w:rPr>
          <w:vertAlign w:val="superscript"/>
        </w:rPr>
        <w:t>2</w:t>
      </w:r>
      <w:r>
        <w:t xml:space="preserve"> Department of Chemical and Petroleum Engineering and Center for Sustainable Engineering, University of Kansas, Lawrence, KS 66045 </w:t>
      </w:r>
    </w:p>
    <w:p w14:paraId="7D57D076" w14:textId="77777777" w:rsidR="00E60051" w:rsidRPr="0061207D" w:rsidRDefault="00E60051" w:rsidP="002E2D41">
      <w:pPr>
        <w:spacing w:line="480" w:lineRule="auto"/>
        <w:jc w:val="center"/>
        <w:rPr>
          <w:vertAlign w:val="superscript"/>
        </w:rPr>
      </w:pPr>
      <w:r w:rsidRPr="0061207D">
        <w:rPr>
          <w:vertAlign w:val="superscript"/>
        </w:rPr>
        <w:t>*</w:t>
      </w:r>
      <w:r>
        <w:rPr>
          <w:vertAlign w:val="superscript"/>
        </w:rPr>
        <w:t xml:space="preserve"> </w:t>
      </w:r>
      <w:r>
        <w:t>Correspondence: f.hung@northeastern.edu; Tel.: +1-617-373-8619</w:t>
      </w:r>
      <w:r w:rsidRPr="0061207D">
        <w:rPr>
          <w:vertAlign w:val="superscript"/>
        </w:rPr>
        <w:t xml:space="preserve">  </w:t>
      </w:r>
    </w:p>
    <w:p w14:paraId="55DAE92A" w14:textId="77777777" w:rsidR="00B66789" w:rsidRDefault="00B66789" w:rsidP="00940816">
      <w:pPr>
        <w:spacing w:line="480" w:lineRule="auto"/>
        <w:jc w:val="both"/>
        <w:rPr>
          <w:b/>
          <w:bCs/>
        </w:rPr>
      </w:pPr>
    </w:p>
    <w:p w14:paraId="71F943FA" w14:textId="40714E70" w:rsidR="00E60051" w:rsidRDefault="00E60051" w:rsidP="00940816">
      <w:pPr>
        <w:spacing w:line="480" w:lineRule="auto"/>
        <w:jc w:val="both"/>
        <w:rPr>
          <w:b/>
          <w:bCs/>
        </w:rPr>
      </w:pPr>
      <w:r>
        <w:rPr>
          <w:b/>
          <w:bCs/>
        </w:rPr>
        <w:t>Abstract</w:t>
      </w:r>
    </w:p>
    <w:p w14:paraId="02B1B347" w14:textId="77777777" w:rsidR="00E60051" w:rsidRDefault="00E60051" w:rsidP="00E240C0">
      <w:pPr>
        <w:spacing w:line="480" w:lineRule="auto"/>
        <w:ind w:firstLine="720"/>
        <w:jc w:val="both"/>
      </w:pPr>
      <w:r>
        <w:t>Aspen Plus</w:t>
      </w:r>
      <w:r w:rsidRPr="00AE2BA5">
        <w:rPr>
          <w:vertAlign w:val="superscript"/>
        </w:rPr>
        <w:t>®</w:t>
      </w:r>
      <w:r>
        <w:t xml:space="preserve"> simulations using the Peng-Robinson (PR-EOS) and the COSMO-SAC models were performed to study absorption power cycles (APCs) using mixtures of R-134a with two ionic liquids, [C</w:t>
      </w:r>
      <w:r w:rsidRPr="00D23437">
        <w:rPr>
          <w:vertAlign w:val="subscript"/>
        </w:rPr>
        <w:t>2</w:t>
      </w:r>
      <w:r>
        <w:t>C</w:t>
      </w:r>
      <w:r w:rsidRPr="00D23437">
        <w:rPr>
          <w:vertAlign w:val="subscript"/>
        </w:rPr>
        <w:t>1</w:t>
      </w:r>
      <w:r>
        <w:t>im][Tf</w:t>
      </w:r>
      <w:r w:rsidRPr="00D23437">
        <w:rPr>
          <w:vertAlign w:val="subscript"/>
        </w:rPr>
        <w:t>2</w:t>
      </w:r>
      <w:r>
        <w:t>N] or [C</w:t>
      </w:r>
      <w:r w:rsidRPr="00D23437">
        <w:rPr>
          <w:vertAlign w:val="subscript"/>
        </w:rPr>
        <w:t>6</w:t>
      </w:r>
      <w:r>
        <w:t>C</w:t>
      </w:r>
      <w:r w:rsidRPr="00D23437">
        <w:rPr>
          <w:vertAlign w:val="subscript"/>
        </w:rPr>
        <w:t>1</w:t>
      </w:r>
      <w:r>
        <w:t>im][Tf</w:t>
      </w:r>
      <w:r w:rsidRPr="00D23437">
        <w:rPr>
          <w:vertAlign w:val="subscript"/>
        </w:rPr>
        <w:t>2</w:t>
      </w:r>
      <w:r>
        <w:t xml:space="preserve">N], and compared against an R-134a organic Rankine cycle (ORC) operating under similar conditions. The PR-EOS results were in agreement with calculations from a PR model fitted to the R-134a+IL experimental phase equilibrium data. The APCs have similar efficiencies and outperform the ORC by 3-46%, with the largest differences observed when operating with lower grade (lower </w:t>
      </w:r>
      <w:r w:rsidRPr="003E658A">
        <w:rPr>
          <w:i/>
          <w:iCs/>
        </w:rPr>
        <w:t>T</w:t>
      </w:r>
      <w:r w:rsidRPr="00E240C0">
        <w:rPr>
          <w:i/>
          <w:iCs/>
          <w:vertAlign w:val="subscript"/>
        </w:rPr>
        <w:t>H</w:t>
      </w:r>
      <w:r>
        <w:t xml:space="preserve">) heating sources, lower quality cooling (higher </w:t>
      </w:r>
      <w:r w:rsidRPr="003E658A">
        <w:rPr>
          <w:i/>
          <w:iCs/>
        </w:rPr>
        <w:t>T</w:t>
      </w:r>
      <w:r>
        <w:rPr>
          <w:i/>
          <w:iCs/>
          <w:vertAlign w:val="subscript"/>
        </w:rPr>
        <w:t>L</w:t>
      </w:r>
      <w:r>
        <w:t xml:space="preserve">) and lower subcooling in the pump inlet stream. The PR-EOS and the COSMO-SAC results follow similar trends, but numerical discrepancies are observed in the cycle efficiencies and stream flow rates and compositions due to differences in solubilities and enthalpy changes between both models, suggesting </w:t>
      </w:r>
      <w:r>
        <w:rPr>
          <w:bCs/>
        </w:rPr>
        <w:t>that</w:t>
      </w:r>
      <w:r w:rsidRPr="00655B9A">
        <w:rPr>
          <w:b/>
        </w:rPr>
        <w:t xml:space="preserve"> </w:t>
      </w:r>
      <w:r>
        <w:t xml:space="preserve">improvements are needed to increase the accuracy of COSMO-SAC for these systems. </w:t>
      </w:r>
    </w:p>
    <w:p w14:paraId="76375C2B" w14:textId="77777777" w:rsidR="00E60051" w:rsidRDefault="00E60051" w:rsidP="00940816">
      <w:pPr>
        <w:spacing w:line="480" w:lineRule="auto"/>
        <w:jc w:val="both"/>
        <w:rPr>
          <w:b/>
          <w:bCs/>
        </w:rPr>
      </w:pPr>
    </w:p>
    <w:p w14:paraId="44D7D25D" w14:textId="77777777" w:rsidR="00E60051" w:rsidRDefault="00E60051" w:rsidP="00940816">
      <w:pPr>
        <w:spacing w:line="480" w:lineRule="auto"/>
        <w:jc w:val="both"/>
        <w:rPr>
          <w:b/>
          <w:bCs/>
        </w:rPr>
      </w:pPr>
      <w:r>
        <w:rPr>
          <w:b/>
          <w:bCs/>
        </w:rPr>
        <w:t>1. Introduction</w:t>
      </w:r>
    </w:p>
    <w:p w14:paraId="26AE0431" w14:textId="77777777" w:rsidR="00E60051" w:rsidRDefault="00E60051" w:rsidP="006A5137">
      <w:pPr>
        <w:spacing w:line="480" w:lineRule="auto"/>
        <w:ind w:firstLine="720"/>
        <w:jc w:val="both"/>
      </w:pPr>
      <w:r w:rsidRPr="000A2DE1">
        <w:lastRenderedPageBreak/>
        <w:t xml:space="preserve">The </w:t>
      </w:r>
      <w:r>
        <w:t>o</w:t>
      </w:r>
      <w:r w:rsidRPr="000A2DE1">
        <w:t xml:space="preserve">rganic Rankine </w:t>
      </w:r>
      <w:r>
        <w:t>c</w:t>
      </w:r>
      <w:r w:rsidRPr="000A2DE1">
        <w:t>ycle (ORC</w:t>
      </w:r>
      <w:r>
        <w:t>, Figure 1a</w:t>
      </w:r>
      <w:r w:rsidRPr="000A2DE1">
        <w:t xml:space="preserve">) has been </w:t>
      </w:r>
      <w:r>
        <w:t>used</w:t>
      </w:r>
      <w:r w:rsidRPr="000A2DE1">
        <w:t xml:space="preserve"> over the past half</w:t>
      </w:r>
      <w:r>
        <w:t xml:space="preserve"> </w:t>
      </w:r>
      <w:r w:rsidRPr="000A2DE1">
        <w:t>century to generate power using lower</w:t>
      </w:r>
      <w:r>
        <w:t xml:space="preserve"> </w:t>
      </w:r>
      <w:r w:rsidRPr="000A2DE1">
        <w:t xml:space="preserve">grade </w:t>
      </w:r>
      <w:r>
        <w:t>(</w:t>
      </w:r>
      <w:r w:rsidRPr="000A2DE1">
        <w:t>lower temperature) heat sources than the typical steam temperatures in the common Rankine cycle (</w:t>
      </w:r>
      <w:r w:rsidRPr="00D31103">
        <w:rPr>
          <w:i/>
          <w:iCs/>
        </w:rPr>
        <w:t>T</w:t>
      </w:r>
      <w:r>
        <w:t xml:space="preserve"> </w:t>
      </w:r>
      <w:r w:rsidRPr="000A2DE1">
        <w:t>&gt;</w:t>
      </w:r>
      <w:r>
        <w:t xml:space="preserve"> </w:t>
      </w:r>
      <w:r w:rsidRPr="000A2DE1">
        <w:t xml:space="preserve">550°C). The use of ORC is an area of active research as it enables more “sustainable” engineering. The use of organic compounds as </w:t>
      </w:r>
      <w:r w:rsidRPr="000C3AF4">
        <w:rPr>
          <w:iCs/>
        </w:rPr>
        <w:t>working fluids</w:t>
      </w:r>
      <w:r w:rsidRPr="000A2DE1">
        <w:t xml:space="preserve"> offer a tremendous variety of physical properties to optimize power output to the specific heat </w:t>
      </w:r>
      <w:r>
        <w:t xml:space="preserve">and </w:t>
      </w:r>
      <w:r w:rsidRPr="000A2DE1">
        <w:t>cooling source</w:t>
      </w:r>
      <w:r>
        <w:t>s</w:t>
      </w:r>
      <w:r w:rsidRPr="000A2DE1">
        <w:t xml:space="preserve"> and other processing parameters</w:t>
      </w:r>
      <w:r>
        <w:t xml:space="preserve">; </w:t>
      </w:r>
      <w:r w:rsidRPr="000A2DE1">
        <w:t xml:space="preserve">some common examples are ammonia, </w:t>
      </w:r>
      <w:r>
        <w:t>R-134a</w:t>
      </w:r>
      <w:r w:rsidRPr="000A2DE1">
        <w:t xml:space="preserve"> (1,1,1,2-tetrafluoroethane)</w:t>
      </w:r>
      <w:r>
        <w:t xml:space="preserve">, </w:t>
      </w:r>
      <w:r w:rsidRPr="000A2DE1">
        <w:t>R</w:t>
      </w:r>
      <w:r>
        <w:t>-</w:t>
      </w:r>
      <w:r w:rsidRPr="000A2DE1">
        <w:t>245fa</w:t>
      </w:r>
      <w:r>
        <w:t xml:space="preserve"> (</w:t>
      </w:r>
      <w:r w:rsidRPr="00383FFB">
        <w:t>1,1,1,3,3,-pentafluoropropane</w:t>
      </w:r>
      <w:r>
        <w:t>)</w:t>
      </w:r>
      <w:r w:rsidRPr="000A2DE1">
        <w:t xml:space="preserve">, </w:t>
      </w:r>
      <w:r w:rsidRPr="00D23437">
        <w:rPr>
          <w:i/>
        </w:rPr>
        <w:t>n</w:t>
      </w:r>
      <w:r w:rsidRPr="000A2DE1">
        <w:t>-pentane, CO</w:t>
      </w:r>
      <w:r w:rsidRPr="000A2DE1">
        <w:rPr>
          <w:vertAlign w:val="subscript"/>
        </w:rPr>
        <w:t>2</w:t>
      </w:r>
      <w:r w:rsidRPr="000A2DE1">
        <w:t xml:space="preserve">, toluene, </w:t>
      </w:r>
      <w:proofErr w:type="spellStart"/>
      <w:r w:rsidRPr="000A2DE1">
        <w:t>octamethyltrisiloxane</w:t>
      </w:r>
      <w:proofErr w:type="spellEnd"/>
      <w:r w:rsidRPr="000A2DE1">
        <w:t xml:space="preserve"> (OMTS), </w:t>
      </w:r>
      <w:r w:rsidRPr="009B5953">
        <w:rPr>
          <w:iCs/>
        </w:rPr>
        <w:t>etc</w:t>
      </w:r>
      <w:r w:rsidRPr="000A2DE1">
        <w:rPr>
          <w:i/>
        </w:rPr>
        <w:t>.</w:t>
      </w:r>
      <w:r w:rsidRPr="000A2DE1">
        <w:rPr>
          <w:noProof/>
          <w:vertAlign w:val="superscript"/>
        </w:rPr>
        <w:t>1</w:t>
      </w:r>
      <w:r w:rsidRPr="000A2DE1">
        <w:t xml:space="preserve"> The ORC uses a vapor at high temperature and pressure to produce power in a turbine. The exhaust from the turbine is liquefied in a heat exchanger (condenser) using some type of cooling medium and is then </w:t>
      </w:r>
      <w:r w:rsidRPr="00B207A0">
        <w:rPr>
          <w:iCs/>
        </w:rPr>
        <w:t>pumped t</w:t>
      </w:r>
      <w:r w:rsidRPr="000A2DE1">
        <w:t>o high pressures. Pumping a liquid requires significantly less work than a cycle using compression (</w:t>
      </w:r>
      <w:r w:rsidRPr="00E92786">
        <w:rPr>
          <w:iCs/>
        </w:rPr>
        <w:t>e.g.</w:t>
      </w:r>
      <w:r w:rsidRPr="000A2DE1">
        <w:t xml:space="preserve"> Brayton </w:t>
      </w:r>
      <w:r>
        <w:t>c</w:t>
      </w:r>
      <w:r w:rsidRPr="000A2DE1">
        <w:t>ycle</w:t>
      </w:r>
      <w:r>
        <w:t xml:space="preserve"> and others</w:t>
      </w:r>
      <w:r w:rsidRPr="000A2DE1">
        <w:t>)</w:t>
      </w:r>
      <w:r>
        <w:t>.</w:t>
      </w:r>
      <w:r w:rsidRPr="000A2DE1">
        <w:t xml:space="preserve"> The high</w:t>
      </w:r>
      <w:r>
        <w:t>-</w:t>
      </w:r>
      <w:r w:rsidRPr="000A2DE1">
        <w:t>pressure liquid is vaporized in the evaporator using some source of heat. To improve thermal efficiency, an internal heat exchanger (</w:t>
      </w:r>
      <w:proofErr w:type="spellStart"/>
      <w:r w:rsidRPr="000A2DE1">
        <w:t>recuperator</w:t>
      </w:r>
      <w:proofErr w:type="spellEnd"/>
      <w:r w:rsidRPr="000A2DE1">
        <w:t>) is often employed.</w:t>
      </w:r>
      <w:r>
        <w:t xml:space="preserve"> </w:t>
      </w:r>
      <w:r w:rsidRPr="000A2DE1">
        <w:t>While often advertised as requiring only “waste” heat, most commercial ORC units require heat sources well in excess of 100°C, while extensive amounts of waste heat near 100°C are often vented to the atmosphere by industry.</w:t>
      </w:r>
      <w:r w:rsidRPr="000A2DE1">
        <w:rPr>
          <w:noProof/>
          <w:vertAlign w:val="superscript"/>
        </w:rPr>
        <w:t>1</w:t>
      </w:r>
      <w:r w:rsidRPr="000A2DE1">
        <w:t xml:space="preserve"> </w:t>
      </w:r>
      <w:r>
        <w:t>Furthermore, i</w:t>
      </w:r>
      <w:r w:rsidRPr="000A2DE1">
        <w:t xml:space="preserve">n order to prevent pump damage from a vapor/liquid mixture, the liquid in the condenser is </w:t>
      </w:r>
      <w:r>
        <w:t xml:space="preserve">usually </w:t>
      </w:r>
      <w:r w:rsidRPr="000A2DE1">
        <w:t>further subcooled beyond its saturation point (usu</w:t>
      </w:r>
      <w:r>
        <w:t>ally</w:t>
      </w:r>
      <w:r w:rsidRPr="000A2DE1">
        <w:t xml:space="preserve"> ~5°C) and a tank (receiver) is used to help direct only liquid to the pump</w:t>
      </w:r>
      <w:r>
        <w:t>; this adds both capital and operating (parasitic) costs.</w:t>
      </w:r>
      <w:r w:rsidRPr="000A2DE1">
        <w:t xml:space="preserve"> For a given cooling medium temperature, subcooling requires higher turbine exhaust pressures, which in turn </w:t>
      </w:r>
      <w:r>
        <w:t>reduces</w:t>
      </w:r>
      <w:r w:rsidRPr="000A2DE1">
        <w:t xml:space="preserve"> the potential work and efficiency from the turbine per unit mass of the working fluid. This </w:t>
      </w:r>
      <w:r>
        <w:t xml:space="preserve">limitation can </w:t>
      </w:r>
      <w:r w:rsidRPr="000A2DE1">
        <w:t>theoretically be overcome by using lower</w:t>
      </w:r>
      <w:r>
        <w:t xml:space="preserve"> </w:t>
      </w:r>
      <w:r w:rsidRPr="000A2DE1">
        <w:t>temperature cooling medi</w:t>
      </w:r>
      <w:r>
        <w:t>a</w:t>
      </w:r>
      <w:r w:rsidRPr="000A2DE1">
        <w:t xml:space="preserve"> and/or higher pump rates to achieve a desired power </w:t>
      </w:r>
      <w:r w:rsidRPr="000A2DE1">
        <w:lastRenderedPageBreak/>
        <w:t>production specification. However, these</w:t>
      </w:r>
      <w:r>
        <w:t xml:space="preserve"> factors</w:t>
      </w:r>
      <w:r w:rsidRPr="000A2DE1">
        <w:t xml:space="preserve"> add to the operating costs and lower the cycle efficiency.</w:t>
      </w:r>
    </w:p>
    <w:tbl>
      <w:tblPr>
        <w:tblStyle w:val="TableGrid"/>
        <w:tblW w:w="0" w:type="auto"/>
        <w:tblLook w:val="04A0" w:firstRow="1" w:lastRow="0" w:firstColumn="1" w:lastColumn="0" w:noHBand="0" w:noVBand="1"/>
      </w:tblPr>
      <w:tblGrid>
        <w:gridCol w:w="4608"/>
        <w:gridCol w:w="4742"/>
      </w:tblGrid>
      <w:tr w:rsidR="00E60051" w:rsidRPr="001F1FB4" w14:paraId="25AA334C" w14:textId="77777777" w:rsidTr="006664C1">
        <w:tc>
          <w:tcPr>
            <w:tcW w:w="4618" w:type="dxa"/>
          </w:tcPr>
          <w:p w14:paraId="7CE38D6F" w14:textId="77777777" w:rsidR="00E60051" w:rsidRPr="001F1FB4" w:rsidRDefault="00E60051" w:rsidP="006664C1">
            <w:pPr>
              <w:jc w:val="center"/>
              <w:rPr>
                <w:b/>
                <w:bCs/>
              </w:rPr>
            </w:pPr>
            <w:r w:rsidRPr="001F1FB4">
              <w:rPr>
                <w:b/>
                <w:bCs/>
                <w:noProof/>
              </w:rPr>
              <w:drawing>
                <wp:inline distT="0" distB="0" distL="0" distR="0" wp14:anchorId="4A2A3ACE" wp14:editId="511ECEDF">
                  <wp:extent cx="2834640" cy="32826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679"/>
                          <a:stretch/>
                        </pic:blipFill>
                        <pic:spPr bwMode="auto">
                          <a:xfrm>
                            <a:off x="0" y="0"/>
                            <a:ext cx="2834640" cy="3282696"/>
                          </a:xfrm>
                          <a:prstGeom prst="rect">
                            <a:avLst/>
                          </a:prstGeom>
                          <a:ln>
                            <a:noFill/>
                          </a:ln>
                          <a:extLst>
                            <a:ext uri="{53640926-AAD7-44D8-BBD7-CCE9431645EC}">
                              <a14:shadowObscured xmlns:a14="http://schemas.microsoft.com/office/drawing/2010/main"/>
                            </a:ext>
                          </a:extLst>
                        </pic:spPr>
                      </pic:pic>
                    </a:graphicData>
                  </a:graphic>
                </wp:inline>
              </w:drawing>
            </w:r>
          </w:p>
          <w:p w14:paraId="40B5E006" w14:textId="77777777" w:rsidR="00E60051" w:rsidRPr="001F1FB4" w:rsidRDefault="00E60051" w:rsidP="006664C1">
            <w:pPr>
              <w:jc w:val="center"/>
              <w:rPr>
                <w:b/>
                <w:bCs/>
              </w:rPr>
            </w:pPr>
            <w:r w:rsidRPr="001F1FB4">
              <w:rPr>
                <w:b/>
                <w:bCs/>
              </w:rPr>
              <w:t>(a)</w:t>
            </w:r>
          </w:p>
        </w:tc>
        <w:tc>
          <w:tcPr>
            <w:tcW w:w="4732" w:type="dxa"/>
          </w:tcPr>
          <w:p w14:paraId="1C601408" w14:textId="77777777" w:rsidR="00E60051" w:rsidRPr="001F1FB4" w:rsidRDefault="00E60051" w:rsidP="006664C1">
            <w:pPr>
              <w:jc w:val="center"/>
              <w:rPr>
                <w:b/>
                <w:bCs/>
              </w:rPr>
            </w:pPr>
            <w:r w:rsidRPr="001F1FB4">
              <w:rPr>
                <w:b/>
                <w:bCs/>
                <w:noProof/>
              </w:rPr>
              <w:drawing>
                <wp:inline distT="0" distB="0" distL="0" distR="0" wp14:anchorId="25F31947" wp14:editId="7A1D9194">
                  <wp:extent cx="2921998" cy="330041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612"/>
                          <a:stretch/>
                        </pic:blipFill>
                        <pic:spPr bwMode="auto">
                          <a:xfrm>
                            <a:off x="0" y="0"/>
                            <a:ext cx="2930917" cy="3310487"/>
                          </a:xfrm>
                          <a:prstGeom prst="rect">
                            <a:avLst/>
                          </a:prstGeom>
                          <a:ln>
                            <a:noFill/>
                          </a:ln>
                          <a:extLst>
                            <a:ext uri="{53640926-AAD7-44D8-BBD7-CCE9431645EC}">
                              <a14:shadowObscured xmlns:a14="http://schemas.microsoft.com/office/drawing/2010/main"/>
                            </a:ext>
                          </a:extLst>
                        </pic:spPr>
                      </pic:pic>
                    </a:graphicData>
                  </a:graphic>
                </wp:inline>
              </w:drawing>
            </w:r>
          </w:p>
          <w:p w14:paraId="2CED462F" w14:textId="77777777" w:rsidR="00E60051" w:rsidRPr="001F1FB4" w:rsidRDefault="00E60051" w:rsidP="006664C1">
            <w:pPr>
              <w:jc w:val="center"/>
              <w:rPr>
                <w:b/>
                <w:bCs/>
              </w:rPr>
            </w:pPr>
            <w:r w:rsidRPr="001F1FB4">
              <w:rPr>
                <w:b/>
                <w:bCs/>
              </w:rPr>
              <w:t>(b)</w:t>
            </w:r>
          </w:p>
        </w:tc>
      </w:tr>
    </w:tbl>
    <w:p w14:paraId="0D7EA342" w14:textId="77777777" w:rsidR="00E60051" w:rsidRPr="00E3624D" w:rsidRDefault="00E60051" w:rsidP="006A5137">
      <w:pPr>
        <w:spacing w:line="480" w:lineRule="auto"/>
        <w:jc w:val="both"/>
      </w:pPr>
      <w:r>
        <w:rPr>
          <w:b/>
          <w:bCs/>
        </w:rPr>
        <w:t xml:space="preserve">Figure 1. </w:t>
      </w:r>
      <w:r>
        <w:t>Schemes of</w:t>
      </w:r>
      <w:r>
        <w:rPr>
          <w:b/>
          <w:bCs/>
        </w:rPr>
        <w:t xml:space="preserve"> (a)</w:t>
      </w:r>
      <w:r>
        <w:t xml:space="preserve"> conventional organic Rankine cycle (ORC) with a </w:t>
      </w:r>
      <w:proofErr w:type="spellStart"/>
      <w:r>
        <w:t>recuperator</w:t>
      </w:r>
      <w:proofErr w:type="spellEnd"/>
      <w:r>
        <w:t xml:space="preserve"> (heat exchanger), and </w:t>
      </w:r>
      <w:r>
        <w:rPr>
          <w:b/>
          <w:bCs/>
        </w:rPr>
        <w:t>(b)</w:t>
      </w:r>
      <w:r>
        <w:t xml:space="preserve"> absorption power cycle (APC) studied in this work. </w:t>
      </w:r>
    </w:p>
    <w:p w14:paraId="4E49DABD" w14:textId="77777777" w:rsidR="00E60051" w:rsidRDefault="00E60051" w:rsidP="006A5137">
      <w:pPr>
        <w:spacing w:line="480" w:lineRule="auto"/>
        <w:ind w:firstLine="720"/>
        <w:jc w:val="both"/>
      </w:pPr>
      <w:r>
        <w:t>Absorption power cycles</w:t>
      </w:r>
      <w:r w:rsidRPr="009B66A2">
        <w:rPr>
          <w:noProof/>
          <w:vertAlign w:val="superscript"/>
        </w:rPr>
        <w:t>2</w:t>
      </w:r>
      <w:r>
        <w:t xml:space="preserve"> (APCs, Figure 1b) have been proposed to overcome these deficiencies of the ORC, especially when using waste heat sources at temperatures of </w:t>
      </w:r>
      <w:r w:rsidRPr="000A2DE1">
        <w:t>100°C</w:t>
      </w:r>
      <w:r>
        <w:t xml:space="preserve"> or lower. In a typical APC, a</w:t>
      </w:r>
      <w:r w:rsidRPr="00C14AD5">
        <w:t xml:space="preserve">n </w:t>
      </w:r>
      <w:r w:rsidRPr="00197DA5">
        <w:rPr>
          <w:iCs/>
        </w:rPr>
        <w:t>absorber</w:t>
      </w:r>
      <w:r w:rsidRPr="00C14AD5">
        <w:t xml:space="preserve"> receives the pure vapor working fluid from the turbine and contacts it with a solvent-rich liquid phase, to dissolve (</w:t>
      </w:r>
      <w:r>
        <w:t xml:space="preserve">i.e., </w:t>
      </w:r>
      <w:r w:rsidRPr="00B11709">
        <w:rPr>
          <w:iCs/>
        </w:rPr>
        <w:t>absorb rather than condense</w:t>
      </w:r>
      <w:r w:rsidRPr="00C14AD5">
        <w:t xml:space="preserve">) large quantities of the vapor working fluid into the liquid phase. The enthalpy of absorption of the gas into the </w:t>
      </w:r>
      <w:r>
        <w:t>solvent</w:t>
      </w:r>
      <w:r w:rsidRPr="00C14AD5">
        <w:t xml:space="preserve"> will need to be removed</w:t>
      </w:r>
      <w:r>
        <w:t xml:space="preserve"> in the absorber, but a</w:t>
      </w:r>
      <w:r w:rsidRPr="00C14AD5">
        <w:t>dvantageously th</w:t>
      </w:r>
      <w:r>
        <w:t xml:space="preserve">e </w:t>
      </w:r>
      <w:r w:rsidRPr="00C14AD5">
        <w:t>cooling source</w:t>
      </w:r>
      <w:r>
        <w:t xml:space="preserve"> used</w:t>
      </w:r>
      <w:r w:rsidRPr="00C14AD5">
        <w:t xml:space="preserve"> does </w:t>
      </w:r>
      <w:r w:rsidRPr="007F5A3D">
        <w:t>not</w:t>
      </w:r>
      <w:r w:rsidRPr="00C14AD5">
        <w:t xml:space="preserve"> need to be </w:t>
      </w:r>
      <w:r>
        <w:t xml:space="preserve">at temperatures </w:t>
      </w:r>
      <w:r w:rsidRPr="00C14AD5">
        <w:t xml:space="preserve">as low as the saturation </w:t>
      </w:r>
      <w:r>
        <w:t xml:space="preserve">conditions </w:t>
      </w:r>
      <w:r w:rsidRPr="00C14AD5">
        <w:t>of the pure working fluid as in the ORC. Thus, relatively higher cooling temperatures</w:t>
      </w:r>
      <w:r>
        <w:t xml:space="preserve"> or </w:t>
      </w:r>
      <w:r w:rsidRPr="00C14AD5">
        <w:t>air rather than water can be utilized and, importantly, fluctuations or loss</w:t>
      </w:r>
      <w:r>
        <w:t>es</w:t>
      </w:r>
      <w:r w:rsidRPr="00C14AD5">
        <w:t xml:space="preserve"> in the cooling medium or pump power will </w:t>
      </w:r>
      <w:r w:rsidRPr="002B01F1">
        <w:t>not</w:t>
      </w:r>
      <w:r w:rsidRPr="00C14AD5">
        <w:t xml:space="preserve"> result in danger to equipment</w:t>
      </w:r>
      <w:r>
        <w:t xml:space="preserve">, </w:t>
      </w:r>
      <w:r w:rsidRPr="00C14AD5">
        <w:t>negat</w:t>
      </w:r>
      <w:r>
        <w:t>ing</w:t>
      </w:r>
      <w:r w:rsidRPr="00C14AD5">
        <w:t xml:space="preserve"> the need for a receiver </w:t>
      </w:r>
      <w:r>
        <w:t xml:space="preserve">as </w:t>
      </w:r>
      <w:r w:rsidRPr="00C14AD5">
        <w:t>in the original ORC</w:t>
      </w:r>
      <w:r>
        <w:t xml:space="preserve">. </w:t>
      </w:r>
      <w:r w:rsidRPr="00C14AD5">
        <w:t xml:space="preserve">The liquid </w:t>
      </w:r>
      <w:r w:rsidRPr="00C14AD5">
        <w:lastRenderedPageBreak/>
        <w:t>phase, composed of a mixture of both solvent and working fluid, is pumped to a high</w:t>
      </w:r>
      <w:r>
        <w:t>-</w:t>
      </w:r>
      <w:r w:rsidRPr="00C14AD5">
        <w:t xml:space="preserve">pressure condition into the </w:t>
      </w:r>
      <w:proofErr w:type="spellStart"/>
      <w:r w:rsidRPr="00C14AD5">
        <w:t>desorber</w:t>
      </w:r>
      <w:proofErr w:type="spellEnd"/>
      <w:r w:rsidRPr="00C14AD5">
        <w:t xml:space="preserve">. Here, heat from </w:t>
      </w:r>
      <w:r w:rsidRPr="009A7F8E">
        <w:rPr>
          <w:iCs/>
        </w:rPr>
        <w:t>any</w:t>
      </w:r>
      <w:r w:rsidRPr="00C14AD5">
        <w:t xml:space="preserve"> source </w:t>
      </w:r>
      <w:r>
        <w:t>(</w:t>
      </w:r>
      <w:r w:rsidRPr="009A7F8E">
        <w:rPr>
          <w:iCs/>
        </w:rPr>
        <w:t>e.g.</w:t>
      </w:r>
      <w:r>
        <w:rPr>
          <w:iCs/>
        </w:rPr>
        <w:t>,</w:t>
      </w:r>
      <w:r w:rsidRPr="00C14AD5">
        <w:t xml:space="preserve"> industrial </w:t>
      </w:r>
      <w:r w:rsidRPr="009A7F8E">
        <w:rPr>
          <w:iCs/>
        </w:rPr>
        <w:t>waste heat</w:t>
      </w:r>
      <w:r w:rsidRPr="00C14AD5">
        <w:t>, solar, flue, geo,</w:t>
      </w:r>
      <w:r w:rsidRPr="00C14AD5">
        <w:rPr>
          <w:i/>
        </w:rPr>
        <w:t xml:space="preserve"> </w:t>
      </w:r>
      <w:r w:rsidRPr="00FE6C59">
        <w:rPr>
          <w:iCs/>
        </w:rPr>
        <w:t>etc.</w:t>
      </w:r>
      <w:r>
        <w:rPr>
          <w:iCs/>
        </w:rPr>
        <w:t>)</w:t>
      </w:r>
      <w:r>
        <w:t xml:space="preserve"> </w:t>
      </w:r>
      <w:r w:rsidRPr="00C14AD5">
        <w:t xml:space="preserve">and any temperature </w:t>
      </w:r>
      <w:r>
        <w:t>larger</w:t>
      </w:r>
      <w:r w:rsidRPr="00C14AD5">
        <w:t xml:space="preserve"> than the </w:t>
      </w:r>
      <w:proofErr w:type="spellStart"/>
      <w:r>
        <w:t>de</w:t>
      </w:r>
      <w:r w:rsidRPr="00C14AD5">
        <w:t>sorber</w:t>
      </w:r>
      <w:proofErr w:type="spellEnd"/>
      <w:r>
        <w:t xml:space="preserve"> </w:t>
      </w:r>
      <w:r w:rsidRPr="00C14AD5">
        <w:t xml:space="preserve">temperature can be used to </w:t>
      </w:r>
      <w:r>
        <w:t>release</w:t>
      </w:r>
      <w:r w:rsidRPr="00C14AD5">
        <w:t xml:space="preserve"> the working fluid out of the liquid phase. </w:t>
      </w:r>
      <w:r w:rsidRPr="009A7F8E">
        <w:t xml:space="preserve">Optimal </w:t>
      </w:r>
      <w:r>
        <w:t xml:space="preserve">APC </w:t>
      </w:r>
      <w:r w:rsidRPr="009A7F8E">
        <w:t>solvents would possess</w:t>
      </w:r>
      <w:r w:rsidRPr="00C14AD5">
        <w:t xml:space="preserve"> </w:t>
      </w:r>
      <w:r>
        <w:t>(</w:t>
      </w:r>
      <w:r w:rsidRPr="009A7F8E">
        <w:rPr>
          <w:bCs/>
        </w:rPr>
        <w:t>1)</w:t>
      </w:r>
      <w:r w:rsidRPr="00C14AD5">
        <w:t xml:space="preserve"> high solubility of the gas at lower temperatures and low solubility at high temperatures</w:t>
      </w:r>
      <w:r>
        <w:t>;</w:t>
      </w:r>
      <w:r w:rsidRPr="00C14AD5">
        <w:t xml:space="preserve"> </w:t>
      </w:r>
      <w:r>
        <w:t>(</w:t>
      </w:r>
      <w:r w:rsidRPr="009A7F8E">
        <w:rPr>
          <w:bCs/>
        </w:rPr>
        <w:t>2)</w:t>
      </w:r>
      <w:r w:rsidRPr="00C14AD5">
        <w:t xml:space="preserve"> extremely low to no volatility in the vapor phase to prevent diminished efficiency or damage to the turbine</w:t>
      </w:r>
      <w:r w:rsidRPr="00391F82">
        <w:rPr>
          <w:noProof/>
          <w:vertAlign w:val="superscript"/>
        </w:rPr>
        <w:t>3</w:t>
      </w:r>
      <w:r>
        <w:t xml:space="preserve"> (i</w:t>
      </w:r>
      <w:r w:rsidRPr="00C14AD5">
        <w:t xml:space="preserve">f the solvent were to have any amount of volatility, then a separate distillation unit would be required to </w:t>
      </w:r>
      <w:r w:rsidRPr="0038205B">
        <w:rPr>
          <w:iCs/>
        </w:rPr>
        <w:t>rectify</w:t>
      </w:r>
      <w:r w:rsidRPr="00C14AD5">
        <w:t xml:space="preserve"> the vapor into a pure gas</w:t>
      </w:r>
      <w:r>
        <w:t>);</w:t>
      </w:r>
      <w:r w:rsidRPr="00C14AD5">
        <w:t xml:space="preserve"> </w:t>
      </w:r>
      <w:r>
        <w:t>and (</w:t>
      </w:r>
      <w:r w:rsidRPr="00391F82">
        <w:rPr>
          <w:bCs/>
        </w:rPr>
        <w:t>3)</w:t>
      </w:r>
      <w:r w:rsidRPr="00C14AD5">
        <w:t xml:space="preserve"> </w:t>
      </w:r>
      <w:r>
        <w:t>good</w:t>
      </w:r>
      <w:r w:rsidRPr="00C14AD5">
        <w:t xml:space="preserve"> heat transport properties to reduce the size of the equipment.</w:t>
      </w:r>
      <w:r>
        <w:t xml:space="preserve"> </w:t>
      </w:r>
    </w:p>
    <w:p w14:paraId="0259749B" w14:textId="77777777" w:rsidR="00E60051" w:rsidRDefault="00E60051" w:rsidP="008C4B79">
      <w:pPr>
        <w:spacing w:line="480" w:lineRule="auto"/>
        <w:ind w:firstLine="720"/>
        <w:jc w:val="both"/>
      </w:pPr>
      <w:r w:rsidRPr="00391F82">
        <w:t xml:space="preserve">Nonvolatile and molecularly flexible </w:t>
      </w:r>
      <w:r w:rsidRPr="00391F82">
        <w:rPr>
          <w:iCs/>
        </w:rPr>
        <w:t>ionic liquids</w:t>
      </w:r>
      <w:r w:rsidRPr="00391F82">
        <w:t xml:space="preserve"> (ILs) may be the ideal solvents for </w:t>
      </w:r>
      <w:r>
        <w:t>the APC</w:t>
      </w:r>
      <w:r w:rsidRPr="00391F82">
        <w:t xml:space="preserve"> for a wide variety of working fluids.</w:t>
      </w:r>
      <w:r w:rsidRPr="00C14AD5">
        <w:t xml:space="preserve"> </w:t>
      </w:r>
      <w:r w:rsidRPr="00325823">
        <w:t xml:space="preserve">ILs are organic salts that are liquid at or near room temperature (currently the definition of “liquid” is </w:t>
      </w:r>
      <w:proofErr w:type="spellStart"/>
      <w:r w:rsidRPr="00325823">
        <w:rPr>
          <w:i/>
          <w:iCs/>
        </w:rPr>
        <w:t>T</w:t>
      </w:r>
      <w:r w:rsidRPr="00325823">
        <w:rPr>
          <w:i/>
          <w:iCs/>
          <w:vertAlign w:val="subscript"/>
        </w:rPr>
        <w:t>melt</w:t>
      </w:r>
      <w:proofErr w:type="spellEnd"/>
      <w:r w:rsidRPr="00325823">
        <w:rPr>
          <w:i/>
          <w:iCs/>
          <w:vertAlign w:val="subscript"/>
        </w:rPr>
        <w:t xml:space="preserve"> </w:t>
      </w:r>
      <w:r w:rsidRPr="00325823">
        <w:t xml:space="preserve">&lt; 100°C). These combinations can be molecularly engineered for specific physical or chemical tasks, </w:t>
      </w:r>
      <w:r w:rsidRPr="00F51C49">
        <w:t>e.g.</w:t>
      </w:r>
      <w:r w:rsidRPr="00325823">
        <w:t xml:space="preserve"> thermal conductivity, viscosity, heat capacity, solubility properties, </w:t>
      </w:r>
      <w:r w:rsidRPr="009C3EA6">
        <w:rPr>
          <w:iCs/>
        </w:rPr>
        <w:t>etc.</w:t>
      </w:r>
      <w:r w:rsidRPr="00325823">
        <w:t xml:space="preserve"> It has been estimated that nearly 10</w:t>
      </w:r>
      <w:r w:rsidRPr="00325823">
        <w:rPr>
          <w:vertAlign w:val="superscript"/>
        </w:rPr>
        <w:t>14</w:t>
      </w:r>
      <w:r w:rsidRPr="00325823">
        <w:t xml:space="preserve"> ILs are possible </w:t>
      </w:r>
      <w:r>
        <w:t xml:space="preserve">by varying the structure of the </w:t>
      </w:r>
      <w:r w:rsidRPr="00325823">
        <w:t xml:space="preserve">general cation classes and </w:t>
      </w:r>
      <w:r>
        <w:t xml:space="preserve">the </w:t>
      </w:r>
      <w:r w:rsidRPr="00325823">
        <w:t>anions</w:t>
      </w:r>
      <w:r>
        <w:t>;</w:t>
      </w:r>
      <w:r w:rsidRPr="006341A8">
        <w:rPr>
          <w:noProof/>
          <w:sz w:val="22"/>
          <w:szCs w:val="22"/>
          <w:vertAlign w:val="superscript"/>
        </w:rPr>
        <w:t>4, 5</w:t>
      </w:r>
      <w:r w:rsidRPr="00325823">
        <w:t xml:space="preserve"> </w:t>
      </w:r>
      <w:r>
        <w:t>t</w:t>
      </w:r>
      <w:r w:rsidRPr="006341A8">
        <w:t>hus, ILs with nearly any given specification can likely be created.</w:t>
      </w:r>
      <w:r w:rsidRPr="00325823">
        <w:t xml:space="preserve"> However, a combinatorial approach to determine the optimal ILs and working fluids at various conditions for the </w:t>
      </w:r>
      <w:r>
        <w:t>APC</w:t>
      </w:r>
      <w:r w:rsidRPr="00325823">
        <w:t xml:space="preserve"> would be physically impossible. Preliminary toxicology studies of ILs</w:t>
      </w:r>
      <w:r w:rsidRPr="006341A8">
        <w:rPr>
          <w:noProof/>
          <w:vertAlign w:val="superscript"/>
        </w:rPr>
        <w:t>6-10</w:t>
      </w:r>
      <w:r w:rsidRPr="00325823">
        <w:t xml:space="preserve"> indicate low to moderate toxicity on average, but most ILs have no measurable vapor pressure (volatility), thus eliminating air emissions</w:t>
      </w:r>
      <w:r>
        <w:t>, which is</w:t>
      </w:r>
      <w:r w:rsidRPr="00325823">
        <w:t xml:space="preserve"> a marked advantage over any other solvent. Negligible volatility also means flash points only appear at the decomposition temperatures</w:t>
      </w:r>
      <w:r>
        <w:t>,</w:t>
      </w:r>
      <w:r w:rsidRPr="00325823">
        <w:t xml:space="preserve"> usually </w:t>
      </w:r>
      <w:r>
        <w:t xml:space="preserve">above </w:t>
      </w:r>
      <w:r w:rsidRPr="00325823">
        <w:t>300-400</w:t>
      </w:r>
      <w:r w:rsidRPr="00325823">
        <w:sym w:font="Symbol" w:char="F0B0"/>
      </w:r>
      <w:r w:rsidRPr="00325823">
        <w:t xml:space="preserve">C. Despite early and narrowly defined information, ILs are not necessarily expensive. Some ILs cost as little as basic molecular solvents used in industry, </w:t>
      </w:r>
      <w:r w:rsidRPr="00127EAF">
        <w:rPr>
          <w:iCs/>
        </w:rPr>
        <w:t>e.g.</w:t>
      </w:r>
      <w:r w:rsidRPr="00325823">
        <w:t xml:space="preserve"> ~$1-10/</w:t>
      </w:r>
      <w:proofErr w:type="spellStart"/>
      <w:r w:rsidRPr="00325823">
        <w:t>lb</w:t>
      </w:r>
      <w:proofErr w:type="spellEnd"/>
      <w:r w:rsidRPr="00325823">
        <w:t xml:space="preserve">, while others ILs, especially those produced by small-scale, batch, boutique chemical suppliers, easily climb to much larger amounts. </w:t>
      </w:r>
      <w:r w:rsidRPr="00127EAF">
        <w:rPr>
          <w:iCs/>
        </w:rPr>
        <w:lastRenderedPageBreak/>
        <w:t>With 10</w:t>
      </w:r>
      <w:r w:rsidRPr="00127EAF">
        <w:rPr>
          <w:iCs/>
          <w:vertAlign w:val="superscript"/>
        </w:rPr>
        <w:t>14</w:t>
      </w:r>
      <w:r w:rsidRPr="00127EAF">
        <w:rPr>
          <w:iCs/>
        </w:rPr>
        <w:t xml:space="preserve"> possibilities, blanket statements as to ILs’ cost, or any property per se (e.g. “greenness”, toxicity, viscosity, etc.), are statistically</w:t>
      </w:r>
      <w:r>
        <w:rPr>
          <w:iCs/>
        </w:rPr>
        <w:t xml:space="preserve"> </w:t>
      </w:r>
      <w:r w:rsidRPr="00127EAF">
        <w:rPr>
          <w:iCs/>
        </w:rPr>
        <w:t>challenged.</w:t>
      </w:r>
      <w:r w:rsidRPr="00325823">
        <w:rPr>
          <w:i/>
        </w:rPr>
        <w:t xml:space="preserve"> </w:t>
      </w:r>
      <w:r w:rsidRPr="00325823">
        <w:t>Large-scale industrial uses of ILs continually grow even in commodity-based chemicals,</w:t>
      </w:r>
      <w:r w:rsidRPr="0065509C">
        <w:rPr>
          <w:noProof/>
          <w:vertAlign w:val="superscript"/>
        </w:rPr>
        <w:t>11, 12</w:t>
      </w:r>
      <w:r w:rsidRPr="00325823">
        <w:t xml:space="preserve"> </w:t>
      </w:r>
      <w:r w:rsidRPr="004218F3">
        <w:rPr>
          <w:iCs/>
        </w:rPr>
        <w:t>e.g.</w:t>
      </w:r>
      <w:r w:rsidRPr="00325823">
        <w:t xml:space="preserve"> reformulated gasoline at Chevron</w:t>
      </w:r>
      <w:r>
        <w:t>,</w:t>
      </w:r>
      <w:r w:rsidRPr="00325823">
        <w:t xml:space="preserve"> natural gas separations at Petronas</w:t>
      </w:r>
      <w:r>
        <w:t>,</w:t>
      </w:r>
      <w:r w:rsidRPr="00325823">
        <w:t xml:space="preserve"> </w:t>
      </w:r>
      <w:r w:rsidRPr="004218F3">
        <w:rPr>
          <w:iCs/>
        </w:rPr>
        <w:t>etc</w:t>
      </w:r>
      <w:r w:rsidRPr="00325823">
        <w:rPr>
          <w:i/>
        </w:rPr>
        <w:t>.</w:t>
      </w:r>
      <w:r w:rsidRPr="00325823">
        <w:t xml:space="preserve"> The IL 1-hexyl-3-methyl-</w:t>
      </w:r>
      <w:r>
        <w:t>i</w:t>
      </w:r>
      <w:r w:rsidRPr="00325823">
        <w:t>midazolium bis(</w:t>
      </w:r>
      <w:proofErr w:type="spellStart"/>
      <w:r w:rsidRPr="00325823">
        <w:t>trifluoromethylsulfonyl</w:t>
      </w:r>
      <w:proofErr w:type="spellEnd"/>
      <w:r w:rsidRPr="00325823">
        <w:t>)imide (</w:t>
      </w:r>
      <w:r>
        <w:t>[C</w:t>
      </w:r>
      <w:r>
        <w:rPr>
          <w:vertAlign w:val="subscript"/>
        </w:rPr>
        <w:t>6</w:t>
      </w:r>
      <w:r>
        <w:t>C</w:t>
      </w:r>
      <w:r w:rsidRPr="003316DB">
        <w:rPr>
          <w:vertAlign w:val="subscript"/>
        </w:rPr>
        <w:t>1</w:t>
      </w:r>
      <w:r>
        <w:t>im][Tf</w:t>
      </w:r>
      <w:r w:rsidRPr="003316DB">
        <w:rPr>
          <w:vertAlign w:val="subscript"/>
        </w:rPr>
        <w:t>2</w:t>
      </w:r>
      <w:r>
        <w:t>N],</w:t>
      </w:r>
      <w:r w:rsidRPr="00325823">
        <w:t xml:space="preserve"> see</w:t>
      </w:r>
      <w:r>
        <w:t xml:space="preserve"> </w:t>
      </w:r>
      <w:r w:rsidRPr="00C572BB">
        <w:t>Figure 2</w:t>
      </w:r>
      <w:r w:rsidRPr="00325823">
        <w:t xml:space="preserve">), has been chosen among the millions of possibilities by International Union of Pure and Applied Chemistry (IUPAC: [Committee on the ILs]) to be a </w:t>
      </w:r>
      <w:r w:rsidRPr="00E33E59">
        <w:rPr>
          <w:iCs/>
        </w:rPr>
        <w:t xml:space="preserve">reference </w:t>
      </w:r>
      <w:r w:rsidRPr="00325823">
        <w:t>IL for worldwide study.</w:t>
      </w:r>
      <w:r w:rsidRPr="0065509C">
        <w:rPr>
          <w:noProof/>
          <w:vertAlign w:val="superscript"/>
        </w:rPr>
        <w:t>13</w:t>
      </w:r>
      <w:r w:rsidRPr="00325823">
        <w:t xml:space="preserve"> </w:t>
      </w:r>
      <w:r>
        <w:t xml:space="preserve">This reason as well as </w:t>
      </w:r>
      <w:r w:rsidRPr="00325823">
        <w:t>abundance of data</w:t>
      </w:r>
      <w:r>
        <w:t xml:space="preserve"> motivated the choice of this particular IL with the chemically similar </w:t>
      </w:r>
      <w:r w:rsidRPr="00325823">
        <w:t>1-</w:t>
      </w:r>
      <w:r>
        <w:t>eth</w:t>
      </w:r>
      <w:r w:rsidRPr="00325823">
        <w:t>yl-3-methyl-</w:t>
      </w:r>
      <w:r>
        <w:t>i</w:t>
      </w:r>
      <w:r w:rsidRPr="00325823">
        <w:t>midazolium bis(</w:t>
      </w:r>
      <w:proofErr w:type="spellStart"/>
      <w:r w:rsidRPr="00325823">
        <w:t>trifluoromethylsulfonyl</w:t>
      </w:r>
      <w:proofErr w:type="spellEnd"/>
      <w:r w:rsidRPr="00325823">
        <w:t>)imide (</w:t>
      </w:r>
      <w:r>
        <w:t>[C</w:t>
      </w:r>
      <w:r w:rsidRPr="003316DB">
        <w:rPr>
          <w:vertAlign w:val="subscript"/>
        </w:rPr>
        <w:t>2</w:t>
      </w:r>
      <w:r>
        <w:t>C</w:t>
      </w:r>
      <w:r w:rsidRPr="003316DB">
        <w:rPr>
          <w:vertAlign w:val="subscript"/>
        </w:rPr>
        <w:t>1</w:t>
      </w:r>
      <w:r>
        <w:t>im][Tf</w:t>
      </w:r>
      <w:r w:rsidRPr="003316DB">
        <w:rPr>
          <w:vertAlign w:val="subscript"/>
        </w:rPr>
        <w:t>2</w:t>
      </w:r>
      <w:r>
        <w:t>N],</w:t>
      </w:r>
      <w:r w:rsidRPr="00325823">
        <w:t xml:space="preserve"> </w:t>
      </w:r>
      <w:r w:rsidRPr="00C572BB">
        <w:t>Figure 2</w:t>
      </w:r>
      <w:r w:rsidRPr="00325823">
        <w:t>),</w:t>
      </w:r>
      <w:r>
        <w:t xml:space="preserve"> as the two APC solvents for this study. Similar reasons motivated the choice of the standard hydrofluorocarbon R-134a as the fluid for the systems studied here. However, almost </w:t>
      </w:r>
      <w:r w:rsidRPr="00325823">
        <w:t>certain</w:t>
      </w:r>
      <w:r>
        <w:t>ly other combinations of fluids with ILs or solvents would provide even higher energy efficiency depending on the operating conditions of the cycle.</w:t>
      </w:r>
    </w:p>
    <w:p w14:paraId="3CDB2005" w14:textId="77777777" w:rsidR="00E60051" w:rsidRDefault="00E60051" w:rsidP="00940816">
      <w:pPr>
        <w:spacing w:line="480" w:lineRule="auto"/>
        <w:jc w:val="center"/>
      </w:pPr>
      <w:r w:rsidRPr="009A0955">
        <w:rPr>
          <w:noProof/>
        </w:rPr>
        <w:drawing>
          <wp:inline distT="0" distB="0" distL="0" distR="0" wp14:anchorId="5B66E455" wp14:editId="15527D9A">
            <wp:extent cx="3098800" cy="762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8800" cy="762000"/>
                    </a:xfrm>
                    <a:prstGeom prst="rect">
                      <a:avLst/>
                    </a:prstGeom>
                  </pic:spPr>
                </pic:pic>
              </a:graphicData>
            </a:graphic>
          </wp:inline>
        </w:drawing>
      </w:r>
    </w:p>
    <w:p w14:paraId="3D68451F" w14:textId="77777777" w:rsidR="00E60051" w:rsidRPr="0062042F" w:rsidRDefault="00E60051" w:rsidP="00940816">
      <w:pPr>
        <w:spacing w:line="480" w:lineRule="auto"/>
        <w:jc w:val="both"/>
      </w:pPr>
      <w:r>
        <w:rPr>
          <w:b/>
          <w:bCs/>
        </w:rPr>
        <w:t xml:space="preserve">Figure 2. </w:t>
      </w:r>
      <w:r>
        <w:t xml:space="preserve">Two cations (left) were considered in this work, </w:t>
      </w:r>
      <w:r w:rsidRPr="00325823">
        <w:t>1-</w:t>
      </w:r>
      <w:r>
        <w:t>ethyl</w:t>
      </w:r>
      <w:r w:rsidRPr="00325823">
        <w:t>-3-methyl-</w:t>
      </w:r>
      <w:r>
        <w:t>i</w:t>
      </w:r>
      <w:r w:rsidRPr="00325823">
        <w:t>midazolium</w:t>
      </w:r>
      <w:r>
        <w:t xml:space="preserve"> (R = -C</w:t>
      </w:r>
      <w:r w:rsidRPr="0062042F">
        <w:rPr>
          <w:vertAlign w:val="subscript"/>
        </w:rPr>
        <w:t>2</w:t>
      </w:r>
      <w:r>
        <w:t>H</w:t>
      </w:r>
      <w:r w:rsidRPr="0062042F">
        <w:rPr>
          <w:vertAlign w:val="subscript"/>
        </w:rPr>
        <w:t>5</w:t>
      </w:r>
      <w:r>
        <w:t xml:space="preserve">) and </w:t>
      </w:r>
      <w:r w:rsidRPr="00325823">
        <w:t>1-hexyl-3-methyl-</w:t>
      </w:r>
      <w:r>
        <w:t>i</w:t>
      </w:r>
      <w:r w:rsidRPr="00325823">
        <w:t>midazolium</w:t>
      </w:r>
      <w:r>
        <w:t xml:space="preserve"> (R = -</w:t>
      </w:r>
      <w:r w:rsidRPr="00D23437">
        <w:rPr>
          <w:i/>
        </w:rPr>
        <w:t>n</w:t>
      </w:r>
      <w:r>
        <w:t>-C</w:t>
      </w:r>
      <w:r w:rsidRPr="0062042F">
        <w:rPr>
          <w:vertAlign w:val="subscript"/>
        </w:rPr>
        <w:t>6</w:t>
      </w:r>
      <w:r>
        <w:t>H</w:t>
      </w:r>
      <w:r w:rsidRPr="0062042F">
        <w:rPr>
          <w:vertAlign w:val="subscript"/>
        </w:rPr>
        <w:t>13</w:t>
      </w:r>
      <w:r>
        <w:t xml:space="preserve">). The </w:t>
      </w:r>
      <w:r w:rsidRPr="00325823">
        <w:t>bis(</w:t>
      </w:r>
      <w:proofErr w:type="spellStart"/>
      <w:r w:rsidRPr="00325823">
        <w:t>trifluoromethylsulfonyl</w:t>
      </w:r>
      <w:proofErr w:type="spellEnd"/>
      <w:r w:rsidRPr="00325823">
        <w:t>)imide</w:t>
      </w:r>
      <w:r>
        <w:t xml:space="preserve"> anion (right) was combined with the two cations to form the two ionic liquids (ILs) considered in this work, [C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and [C</w:t>
      </w:r>
      <w:r>
        <w:rPr>
          <w:vertAlign w:val="subscript"/>
        </w:rPr>
        <w:t>6</w:t>
      </w:r>
      <w:r>
        <w:t>C</w:t>
      </w:r>
      <w:r w:rsidRPr="003316DB">
        <w:rPr>
          <w:vertAlign w:val="subscript"/>
        </w:rPr>
        <w:t>1</w:t>
      </w:r>
      <w:r>
        <w:t>im][Tf</w:t>
      </w:r>
      <w:r w:rsidRPr="003316DB">
        <w:rPr>
          <w:vertAlign w:val="subscript"/>
        </w:rPr>
        <w:t>2</w:t>
      </w:r>
      <w:r>
        <w:t>N].</w:t>
      </w:r>
    </w:p>
    <w:p w14:paraId="643096EB" w14:textId="77777777" w:rsidR="00E60051" w:rsidRPr="00325823" w:rsidRDefault="00E60051" w:rsidP="00DB5DF7">
      <w:pPr>
        <w:spacing w:line="480" w:lineRule="auto"/>
        <w:ind w:firstLine="720"/>
        <w:jc w:val="both"/>
      </w:pPr>
      <w:r>
        <w:t>In this work, simulations using Aspen Plus</w:t>
      </w:r>
      <w:r w:rsidRPr="00AE2BA5">
        <w:rPr>
          <w:vertAlign w:val="superscript"/>
        </w:rPr>
        <w:t>®</w:t>
      </w:r>
      <w:r>
        <w:t xml:space="preserve"> version 10 were performed to determine the efficiencies of APCs using mixtures of R-134a with the ILs [C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or [C</w:t>
      </w:r>
      <w:r>
        <w:rPr>
          <w:vertAlign w:val="subscript"/>
        </w:rPr>
        <w:t>6</w:t>
      </w:r>
      <w:r>
        <w:t>C</w:t>
      </w:r>
      <w:r w:rsidRPr="003316DB">
        <w:rPr>
          <w:vertAlign w:val="subscript"/>
        </w:rPr>
        <w:t>1</w:t>
      </w:r>
      <w:r>
        <w:t>im][Tf</w:t>
      </w:r>
      <w:r w:rsidRPr="003316DB">
        <w:rPr>
          <w:vertAlign w:val="subscript"/>
        </w:rPr>
        <w:t>2</w:t>
      </w:r>
      <w:r>
        <w:t>N]. The performance of these cycles was compared against the efficiency of an ORC working with R-134a under similar operating conditions. Two thermodynamic models within Aspen Plus</w:t>
      </w:r>
      <w:r w:rsidRPr="00AE2BA5">
        <w:rPr>
          <w:vertAlign w:val="superscript"/>
        </w:rPr>
        <w:t>®</w:t>
      </w:r>
      <w:r>
        <w:t xml:space="preserve"> were </w:t>
      </w:r>
      <w:r>
        <w:lastRenderedPageBreak/>
        <w:t>used for the calculations. The first one was the well-known Peng-Robinson equation of state (PR-EOS), as this equation of state was shown by Ren and Scurto</w:t>
      </w:r>
      <w:r w:rsidRPr="0065509C">
        <w:rPr>
          <w:noProof/>
          <w:vertAlign w:val="superscript"/>
        </w:rPr>
        <w:t>14</w:t>
      </w:r>
      <w:r>
        <w:t xml:space="preserve"> to be capable of correlating experimental measurements of phase equilibrium of mixtures of R-134a with the two ILs. The second chosen model was COSMO-SAC,</w:t>
      </w:r>
      <w:r w:rsidRPr="00AD01B4">
        <w:rPr>
          <w:noProof/>
          <w:vertAlign w:val="superscript"/>
        </w:rPr>
        <w:t>15-21</w:t>
      </w:r>
      <w:r>
        <w:t xml:space="preserve"> which does not have any adjustable parameters fitted to mixture-specific experimental data and is thus purely predictive. The COSMO-based approaches build on a continuum solvation model in which the parameters for any given species are determined from quantum chemistry calculations of that specific molecule in vacuum. </w:t>
      </w:r>
      <w:proofErr w:type="spellStart"/>
      <w:r w:rsidRPr="00417E53">
        <w:t>Klamt</w:t>
      </w:r>
      <w:proofErr w:type="spellEnd"/>
      <w:r w:rsidRPr="00417E53">
        <w:t xml:space="preserve"> and coworkers</w:t>
      </w:r>
      <w:r w:rsidRPr="00AD01B4">
        <w:rPr>
          <w:noProof/>
          <w:vertAlign w:val="superscript"/>
        </w:rPr>
        <w:t>22-24</w:t>
      </w:r>
      <w:r w:rsidRPr="00417E53">
        <w:t xml:space="preserve"> proposed the </w:t>
      </w:r>
      <w:proofErr w:type="spellStart"/>
      <w:r w:rsidRPr="00417E53">
        <w:t>COnductor</w:t>
      </w:r>
      <w:proofErr w:type="spellEnd"/>
      <w:r w:rsidRPr="00417E53">
        <w:t xml:space="preserve">-like Screening </w:t>
      </w:r>
      <w:proofErr w:type="spellStart"/>
      <w:r w:rsidRPr="00417E53">
        <w:t>MOdel</w:t>
      </w:r>
      <w:proofErr w:type="spellEnd"/>
      <w:r w:rsidRPr="00417E53">
        <w:t xml:space="preserve"> of Real Solvents (COSMO-RS) that divides a molecule’s electronic surface into tiles and calculates the electron density within the surface and polarization charges at the surface. </w:t>
      </w:r>
      <w:r>
        <w:t xml:space="preserve">Sandler </w:t>
      </w:r>
      <w:r>
        <w:rPr>
          <w:i/>
          <w:iCs/>
        </w:rPr>
        <w:t>et al</w:t>
      </w:r>
      <w:r>
        <w:t>.</w:t>
      </w:r>
      <w:r w:rsidRPr="00AD01B4">
        <w:rPr>
          <w:noProof/>
          <w:vertAlign w:val="superscript"/>
        </w:rPr>
        <w:t>15, 16, 18-21</w:t>
      </w:r>
      <w:r>
        <w:t xml:space="preserve"> </w:t>
      </w:r>
      <w:r w:rsidRPr="004414ED">
        <w:t xml:space="preserve">modified the COSMO-RS approach to remove some </w:t>
      </w:r>
      <w:r w:rsidRPr="004414ED">
        <w:rPr>
          <w:i/>
        </w:rPr>
        <w:t>ad hoc</w:t>
      </w:r>
      <w:r w:rsidRPr="004414ED">
        <w:t xml:space="preserve"> correlations </w:t>
      </w:r>
      <w:r>
        <w:t xml:space="preserve">to develop their COSMO-SAC approach, </w:t>
      </w:r>
      <w:r w:rsidRPr="004414ED">
        <w:t xml:space="preserve">which is currently available in common process simulators such as </w:t>
      </w:r>
      <w:r>
        <w:t>Aspen Plus</w:t>
      </w:r>
      <w:r w:rsidRPr="00AE2BA5">
        <w:rPr>
          <w:vertAlign w:val="superscript"/>
        </w:rPr>
        <w:t>®</w:t>
      </w:r>
      <w:r w:rsidRPr="004414ED">
        <w:t>.</w:t>
      </w:r>
      <w:r>
        <w:t xml:space="preserve"> The predictive nature of the COSMO-based approaches is appealing, for example to preliminary screen a large number of possible candidate systems for a given application. </w:t>
      </w:r>
      <w:r w:rsidRPr="002E7189">
        <w:t>COSMO-RS has been used in a number of studies focused on screening ILs for applications such as L-L extraction of different molecules from alkanes</w:t>
      </w:r>
      <w:r w:rsidRPr="00AD01B4">
        <w:rPr>
          <w:noProof/>
          <w:vertAlign w:val="superscript"/>
        </w:rPr>
        <w:t>25-33</w:t>
      </w:r>
      <w:r w:rsidRPr="002E7189">
        <w:t xml:space="preserve"> or water,</w:t>
      </w:r>
      <w:r w:rsidRPr="00AD01B4">
        <w:rPr>
          <w:noProof/>
          <w:vertAlign w:val="superscript"/>
        </w:rPr>
        <w:t>34</w:t>
      </w:r>
      <w:r w:rsidRPr="002E7189">
        <w:t xml:space="preserve"> and in the prediction of solubilities of different gases in a number of ILs.</w:t>
      </w:r>
      <w:r w:rsidRPr="00AD01B4">
        <w:rPr>
          <w:noProof/>
          <w:vertAlign w:val="superscript"/>
        </w:rPr>
        <w:t>35-37</w:t>
      </w:r>
      <w:hyperlink w:anchor="_ENREF_39" w:tooltip="Zhang, 2008 #117" w:history="1"/>
      <w:r>
        <w:t xml:space="preserve"> </w:t>
      </w:r>
      <w:r w:rsidRPr="002E7189">
        <w:t>COSMO-SAC was used to predict Henry’s law constants of CO</w:t>
      </w:r>
      <w:r w:rsidRPr="00D23437">
        <w:rPr>
          <w:vertAlign w:val="subscript"/>
        </w:rPr>
        <w:t>2</w:t>
      </w:r>
      <w:r w:rsidRPr="002E7189">
        <w:t xml:space="preserve"> in 2080 different ILs, finding reasonable agreement with available experimental data.</w:t>
      </w:r>
      <w:r w:rsidRPr="00E5273A">
        <w:rPr>
          <w:noProof/>
          <w:vertAlign w:val="superscript"/>
        </w:rPr>
        <w:t>38</w:t>
      </w:r>
      <w:r>
        <w:t xml:space="preserve"> However, when possible it is very important to assess the accuracy of the COSMO-based predictions against any existing data. </w:t>
      </w:r>
      <w:r>
        <w:rPr>
          <w:color w:val="000000" w:themeColor="text1"/>
        </w:rPr>
        <w:t>A</w:t>
      </w:r>
      <w:r w:rsidRPr="00803D41">
        <w:t xml:space="preserve"> couple of recent papers performed comparisons of COSMO-RS predictions vs</w:t>
      </w:r>
      <w:r>
        <w:t>.</w:t>
      </w:r>
      <w:r w:rsidRPr="00803D41">
        <w:t xml:space="preserve"> experimental data of activity coefficients of solutes at infinite dilution (</w:t>
      </w:r>
      <w:r w:rsidRPr="00803D41">
        <w:rPr>
          <w:i/>
          <w:iCs/>
        </w:rPr>
        <w:sym w:font="Symbol" w:char="F067"/>
      </w:r>
      <w:proofErr w:type="spellStart"/>
      <w:r w:rsidRPr="00803D41">
        <w:rPr>
          <w:i/>
          <w:iCs/>
          <w:vertAlign w:val="subscript"/>
        </w:rPr>
        <w:t>i</w:t>
      </w:r>
      <w:proofErr w:type="spellEnd"/>
      <w:r w:rsidRPr="00803D41">
        <w:rPr>
          <w:vertAlign w:val="superscript"/>
        </w:rPr>
        <w:sym w:font="Symbol" w:char="F0A5"/>
      </w:r>
      <w:r w:rsidRPr="00803D41">
        <w:t>) in ILs</w:t>
      </w:r>
      <w:r>
        <w:t>,</w:t>
      </w:r>
      <w:r w:rsidRPr="00E5273A">
        <w:rPr>
          <w:noProof/>
          <w:vertAlign w:val="superscript"/>
        </w:rPr>
        <w:t>39</w:t>
      </w:r>
      <w:r>
        <w:t xml:space="preserve"> a</w:t>
      </w:r>
      <w:r w:rsidRPr="00803D41">
        <w:t xml:space="preserve">s well as assessments of COSMO-SAC predictions for VLE and </w:t>
      </w:r>
      <w:r w:rsidRPr="00803D41">
        <w:rPr>
          <w:i/>
          <w:iCs/>
        </w:rPr>
        <w:sym w:font="Symbol" w:char="F067"/>
      </w:r>
      <w:proofErr w:type="spellStart"/>
      <w:r w:rsidRPr="00803D41">
        <w:rPr>
          <w:i/>
          <w:iCs/>
          <w:vertAlign w:val="subscript"/>
        </w:rPr>
        <w:t>i</w:t>
      </w:r>
      <w:proofErr w:type="spellEnd"/>
      <w:r w:rsidRPr="00803D41">
        <w:rPr>
          <w:vertAlign w:val="superscript"/>
        </w:rPr>
        <w:sym w:font="Symbol" w:char="F0A5"/>
      </w:r>
      <w:r w:rsidRPr="00803D41">
        <w:t xml:space="preserve"> for a large number of binary mixtures (not including ILs) against experimental data.</w:t>
      </w:r>
      <w:r w:rsidRPr="00E5273A">
        <w:rPr>
          <w:noProof/>
          <w:vertAlign w:val="superscript"/>
        </w:rPr>
        <w:t>40</w:t>
      </w:r>
      <w:r>
        <w:t xml:space="preserve"> In a recent study,</w:t>
      </w:r>
      <w:r w:rsidRPr="00E5273A">
        <w:rPr>
          <w:noProof/>
          <w:vertAlign w:val="superscript"/>
        </w:rPr>
        <w:t>41</w:t>
      </w:r>
      <w:r>
        <w:t xml:space="preserve"> Hung </w:t>
      </w:r>
      <w:r>
        <w:rPr>
          <w:i/>
          <w:iCs/>
        </w:rPr>
        <w:t>et al.</w:t>
      </w:r>
      <w:r>
        <w:t xml:space="preserve"> used  </w:t>
      </w:r>
      <w:r w:rsidRPr="002E7189">
        <w:t xml:space="preserve">the COSMO-RS approach </w:t>
      </w:r>
      <w:r w:rsidRPr="002E7189">
        <w:lastRenderedPageBreak/>
        <w:t xml:space="preserve">via the </w:t>
      </w:r>
      <w:proofErr w:type="spellStart"/>
      <w:r w:rsidRPr="002E7189">
        <w:t>COSMOtherm</w:t>
      </w:r>
      <w:proofErr w:type="spellEnd"/>
      <w:r w:rsidRPr="002E7189">
        <w:t>/</w:t>
      </w:r>
      <w:proofErr w:type="spellStart"/>
      <w:r w:rsidRPr="002E7189">
        <w:t>TmoleX</w:t>
      </w:r>
      <w:proofErr w:type="spellEnd"/>
      <w:r w:rsidRPr="002E7189">
        <w:t xml:space="preserve"> software,</w:t>
      </w:r>
      <w:r w:rsidRPr="00D919E7">
        <w:rPr>
          <w:noProof/>
          <w:vertAlign w:val="superscript"/>
        </w:rPr>
        <w:t>23, 42-47</w:t>
      </w:r>
      <w:r w:rsidRPr="002E7189">
        <w:t xml:space="preserve"> combined with refrigerant data from NIST/REFPROP,</w:t>
      </w:r>
      <w:r w:rsidRPr="00D919E7">
        <w:rPr>
          <w:noProof/>
          <w:vertAlign w:val="superscript"/>
        </w:rPr>
        <w:t>48, 49</w:t>
      </w:r>
      <w:r w:rsidRPr="002E7189">
        <w:t xml:space="preserve"> to compute the efficiency of absorption refrigeration cycles using binary mixtures of five common hydrofluorocarbons (</w:t>
      </w:r>
      <w:r>
        <w:t>difluoromethane (</w:t>
      </w:r>
      <w:r w:rsidRPr="002E7189">
        <w:t>R</w:t>
      </w:r>
      <w:r>
        <w:t>-</w:t>
      </w:r>
      <w:r w:rsidRPr="002E7189">
        <w:t>32</w:t>
      </w:r>
      <w:r>
        <w:t>)</w:t>
      </w:r>
      <w:r w:rsidRPr="002E7189">
        <w:t xml:space="preserve">, </w:t>
      </w:r>
      <w:proofErr w:type="spellStart"/>
      <w:r>
        <w:t>pentafluoroethane</w:t>
      </w:r>
      <w:proofErr w:type="spellEnd"/>
      <w:r>
        <w:t xml:space="preserve"> (</w:t>
      </w:r>
      <w:r w:rsidRPr="002E7189">
        <w:t>R</w:t>
      </w:r>
      <w:r>
        <w:t>-</w:t>
      </w:r>
      <w:r w:rsidRPr="002E7189">
        <w:t>125</w:t>
      </w:r>
      <w:r>
        <w:t>)</w:t>
      </w:r>
      <w:r w:rsidRPr="002E7189">
        <w:t>, R</w:t>
      </w:r>
      <w:r>
        <w:t>-</w:t>
      </w:r>
      <w:r w:rsidRPr="002E7189">
        <w:t xml:space="preserve">134a, </w:t>
      </w:r>
      <w:r>
        <w:t>1,1,1-trifluoroethane (</w:t>
      </w:r>
      <w:r w:rsidRPr="002E7189">
        <w:t>R</w:t>
      </w:r>
      <w:r>
        <w:t>-</w:t>
      </w:r>
      <w:r w:rsidRPr="002E7189">
        <w:t>143a</w:t>
      </w:r>
      <w:r>
        <w:t>)</w:t>
      </w:r>
      <w:r w:rsidRPr="002E7189">
        <w:t xml:space="preserve"> and </w:t>
      </w:r>
      <w:r>
        <w:t>1,1-difluoroethane (</w:t>
      </w:r>
      <w:r w:rsidRPr="002E7189">
        <w:t>R</w:t>
      </w:r>
      <w:r>
        <w:t>-</w:t>
      </w:r>
      <w:r w:rsidRPr="002E7189">
        <w:t>152a</w:t>
      </w:r>
      <w:r>
        <w:t>)</w:t>
      </w:r>
      <w:r w:rsidRPr="002E7189">
        <w:t xml:space="preserve">) with the common IL </w:t>
      </w:r>
      <w:r>
        <w:t>[C</w:t>
      </w:r>
      <w:r w:rsidRPr="00D23437">
        <w:rPr>
          <w:vertAlign w:val="subscript"/>
        </w:rPr>
        <w:t>4</w:t>
      </w:r>
      <w:r>
        <w:t>C</w:t>
      </w:r>
      <w:r w:rsidRPr="00D23437">
        <w:rPr>
          <w:vertAlign w:val="subscript"/>
        </w:rPr>
        <w:t>1</w:t>
      </w:r>
      <w:r>
        <w:t>im][PF</w:t>
      </w:r>
      <w:r w:rsidRPr="00D23437">
        <w:rPr>
          <w:vertAlign w:val="subscript"/>
        </w:rPr>
        <w:t>6</w:t>
      </w:r>
      <w:r>
        <w:t xml:space="preserve">]. </w:t>
      </w:r>
      <w:r w:rsidRPr="002E7189">
        <w:t xml:space="preserve">The predicted cycle efficiencies </w:t>
      </w:r>
      <w:r>
        <w:t xml:space="preserve">had numerical discrepancies with those computed by </w:t>
      </w:r>
      <w:r w:rsidRPr="002E7189">
        <w:t xml:space="preserve">Kim </w:t>
      </w:r>
      <w:r w:rsidRPr="002E7189">
        <w:rPr>
          <w:i/>
        </w:rPr>
        <w:t>et al</w:t>
      </w:r>
      <w:r w:rsidRPr="002E7189">
        <w:t>.</w:t>
      </w:r>
      <w:r w:rsidRPr="00D919E7">
        <w:rPr>
          <w:noProof/>
          <w:vertAlign w:val="superscript"/>
        </w:rPr>
        <w:t>50</w:t>
      </w:r>
      <w:r>
        <w:t xml:space="preserve"> using the </w:t>
      </w:r>
      <w:r w:rsidRPr="0062466C">
        <w:t>Redlich-</w:t>
      </w:r>
      <w:proofErr w:type="spellStart"/>
      <w:r w:rsidRPr="0062466C">
        <w:t>Kwong</w:t>
      </w:r>
      <w:proofErr w:type="spellEnd"/>
      <w:r w:rsidRPr="0062466C">
        <w:t xml:space="preserve"> equation of state</w:t>
      </w:r>
      <w:r>
        <w:t xml:space="preserve"> with parameters fitted to these specific systems, but the efficiency trends from both approaches were similar. </w:t>
      </w:r>
      <w:r w:rsidRPr="002E7189">
        <w:t xml:space="preserve">The same </w:t>
      </w:r>
      <w:r>
        <w:t xml:space="preserve">COSMO-based </w:t>
      </w:r>
      <w:r w:rsidRPr="002E7189">
        <w:t>tools were used</w:t>
      </w:r>
      <w:r w:rsidRPr="00E5273A">
        <w:rPr>
          <w:noProof/>
          <w:vertAlign w:val="superscript"/>
        </w:rPr>
        <w:t>41</w:t>
      </w:r>
      <w:r w:rsidRPr="002E7189">
        <w:t xml:space="preserve"> to evaluate the performance of</w:t>
      </w:r>
      <w:r>
        <w:t xml:space="preserve"> absorption refrigeration cycles using mixtures of</w:t>
      </w:r>
      <w:r w:rsidRPr="002E7189">
        <w:t xml:space="preserve"> R</w:t>
      </w:r>
      <w:r>
        <w:t>-</w:t>
      </w:r>
      <w:r w:rsidRPr="002E7189">
        <w:t xml:space="preserve">134a with common </w:t>
      </w:r>
      <w:r>
        <w:t xml:space="preserve">deep eutectic solvents </w:t>
      </w:r>
      <w:r w:rsidRPr="002E7189">
        <w:t>(</w:t>
      </w:r>
      <w:r>
        <w:t xml:space="preserve">DES, 1:2 molar mixtures of </w:t>
      </w:r>
      <w:r w:rsidRPr="002E7189">
        <w:t>choline chloride with either urea, glycerol or ethylene glycol).</w:t>
      </w:r>
      <w:r>
        <w:t xml:space="preserve"> </w:t>
      </w:r>
      <w:r>
        <w:rPr>
          <w:color w:val="000000" w:themeColor="text1"/>
        </w:rPr>
        <w:t xml:space="preserve">The </w:t>
      </w:r>
      <w:r w:rsidRPr="000A48E9">
        <w:rPr>
          <w:color w:val="000000" w:themeColor="text1"/>
        </w:rPr>
        <w:t>results for R</w:t>
      </w:r>
      <w:r>
        <w:rPr>
          <w:color w:val="000000" w:themeColor="text1"/>
        </w:rPr>
        <w:t>-</w:t>
      </w:r>
      <w:r w:rsidRPr="000A48E9">
        <w:rPr>
          <w:color w:val="000000" w:themeColor="text1"/>
        </w:rPr>
        <w:t xml:space="preserve">134a-DES </w:t>
      </w:r>
      <w:r w:rsidRPr="00A66B8E">
        <w:rPr>
          <w:color w:val="000000" w:themeColor="text1"/>
        </w:rPr>
        <w:t>mixtures</w:t>
      </w:r>
      <w:r w:rsidRPr="00E5273A">
        <w:rPr>
          <w:noProof/>
          <w:color w:val="000000" w:themeColor="text1"/>
          <w:vertAlign w:val="superscript"/>
        </w:rPr>
        <w:t>41</w:t>
      </w:r>
      <w:r w:rsidRPr="00A66B8E">
        <w:rPr>
          <w:color w:val="000000" w:themeColor="text1"/>
        </w:rPr>
        <w:t xml:space="preserve"> showed</w:t>
      </w:r>
      <w:r w:rsidRPr="000A48E9">
        <w:rPr>
          <w:color w:val="000000" w:themeColor="text1"/>
        </w:rPr>
        <w:t xml:space="preserve"> wide variations in the efficiencies of absorption refrigeration cycles computed using two standard parameterizations for COSMO-RS,</w:t>
      </w:r>
      <w:r>
        <w:rPr>
          <w:color w:val="000000" w:themeColor="text1"/>
        </w:rPr>
        <w:t xml:space="preserve"> </w:t>
      </w:r>
      <w:r w:rsidRPr="000A48E9">
        <w:rPr>
          <w:color w:val="000000" w:themeColor="text1"/>
        </w:rPr>
        <w:t>mainly because of disparate predictions for the refrigerant solubility in the DESs</w:t>
      </w:r>
      <w:r>
        <w:rPr>
          <w:color w:val="000000" w:themeColor="text1"/>
        </w:rPr>
        <w:t>. These COSMO-RS cycle efficiencies and refrigerant solubilities were also found to be significantly different from very recent calculations based on molecular simulations.</w:t>
      </w:r>
      <w:r w:rsidRPr="00D919E7">
        <w:rPr>
          <w:noProof/>
          <w:color w:val="000000" w:themeColor="text1"/>
          <w:vertAlign w:val="superscript"/>
        </w:rPr>
        <w:t>51</w:t>
      </w:r>
      <w:r>
        <w:rPr>
          <w:color w:val="000000" w:themeColor="text1"/>
        </w:rPr>
        <w:t xml:space="preserve"> </w:t>
      </w:r>
      <w:r w:rsidRPr="00803D41">
        <w:t xml:space="preserve">Although COSMO-based approaches are </w:t>
      </w:r>
      <w:r>
        <w:t xml:space="preserve">important </w:t>
      </w:r>
      <w:r w:rsidRPr="00803D41">
        <w:t>tools for rapid screening because they do not require experimental data or adjustable parameters, these recent assessments indicate that researchers should be aware of the limitations of these approaches, and more importantly, suggest that the reliability of COSMO-based approaches can be improved.</w:t>
      </w:r>
      <w:r>
        <w:t xml:space="preserve"> Hence the motivation to use the COSMO-SAC approach in the present study was to test the predictions of this model against the PR-EOS and PR-vdW2 models, which are capable of reproducing the phase equilibrium data for our refrigerant-IL systems. </w:t>
      </w:r>
      <w:r w:rsidRPr="00741EE1">
        <w:rPr>
          <w:color w:val="000000" w:themeColor="text1"/>
        </w:rPr>
        <w:t>The rest of this article is structured as follows: Section 2 contains computational details, main results are presented and discussed in Section 3 and our concluding remarks are presented in Section 4.</w:t>
      </w:r>
    </w:p>
    <w:p w14:paraId="371A9B59" w14:textId="77777777" w:rsidR="00E60051" w:rsidRDefault="00E60051" w:rsidP="00940816">
      <w:pPr>
        <w:spacing w:line="480" w:lineRule="auto"/>
        <w:jc w:val="both"/>
      </w:pPr>
      <w:r>
        <w:rPr>
          <w:b/>
          <w:bCs/>
        </w:rPr>
        <w:lastRenderedPageBreak/>
        <w:t>2. Models and methods</w:t>
      </w:r>
    </w:p>
    <w:p w14:paraId="12C68757" w14:textId="77777777" w:rsidR="00E60051" w:rsidRPr="004E46B1" w:rsidRDefault="00E60051" w:rsidP="00DB5DF7">
      <w:pPr>
        <w:spacing w:line="480" w:lineRule="auto"/>
        <w:ind w:firstLine="720"/>
        <w:jc w:val="both"/>
      </w:pPr>
      <w:r>
        <w:t xml:space="preserve">In this study a comparison of the performances of an ORC (Figure 1a) and an APC (Figure 1b) operating at similar conditions was performed. A parametric study of the efficiencies of both cycles as a function of different system variables, namely the operational temperatures at the ORC evaporator or APC </w:t>
      </w:r>
      <w:proofErr w:type="spellStart"/>
      <w:r>
        <w:t>desorber</w:t>
      </w:r>
      <w:proofErr w:type="spellEnd"/>
      <w:r>
        <w:t>, and at the ORC condenser or APC absorber, was also performed. The conventional hydrofluorocarbon R-134a was selected as the working fluid in the ORC. The APC was evaluated using two working fluid mixtures resulting from mixing R-134a with two different ionic liquids (ILs): [C</w:t>
      </w:r>
      <w:r w:rsidRPr="00D23437">
        <w:rPr>
          <w:vertAlign w:val="subscript"/>
        </w:rPr>
        <w:t>2</w:t>
      </w:r>
      <w:r>
        <w:t>C</w:t>
      </w:r>
      <w:r w:rsidRPr="00D23437">
        <w:rPr>
          <w:vertAlign w:val="subscript"/>
        </w:rPr>
        <w:t>1</w:t>
      </w:r>
      <w:proofErr w:type="gramStart"/>
      <w:r>
        <w:t>im][</w:t>
      </w:r>
      <w:proofErr w:type="gramEnd"/>
      <w:r>
        <w:t>Tf</w:t>
      </w:r>
      <w:r w:rsidRPr="00D23437">
        <w:rPr>
          <w:vertAlign w:val="subscript"/>
        </w:rPr>
        <w:t>2</w:t>
      </w:r>
      <w:r>
        <w:t>N] or [C</w:t>
      </w:r>
      <w:r w:rsidRPr="00D23437">
        <w:rPr>
          <w:vertAlign w:val="subscript"/>
        </w:rPr>
        <w:t>6</w:t>
      </w:r>
      <w:r>
        <w:t>C</w:t>
      </w:r>
      <w:r w:rsidRPr="00D23437">
        <w:rPr>
          <w:vertAlign w:val="subscript"/>
        </w:rPr>
        <w:t>1</w:t>
      </w:r>
      <w:r>
        <w:t>im][Tf</w:t>
      </w:r>
      <w:r w:rsidRPr="00D23437">
        <w:rPr>
          <w:vertAlign w:val="subscript"/>
        </w:rPr>
        <w:t>2</w:t>
      </w:r>
      <w:r>
        <w:t>N] (Figure 2). Both cycles were modeled in Aspen Plus</w:t>
      </w:r>
      <w:r w:rsidRPr="00AE2BA5">
        <w:rPr>
          <w:vertAlign w:val="superscript"/>
        </w:rPr>
        <w:t>®</w:t>
      </w:r>
      <w:r>
        <w:t xml:space="preserve"> version 10 using two different thermodynamic models within this process simulation software. The first model was the well-known Peng-Robinson equation of state (PR-EOS). Ren and Scurto</w:t>
      </w:r>
      <w:r w:rsidRPr="0065509C">
        <w:rPr>
          <w:noProof/>
          <w:vertAlign w:val="superscript"/>
        </w:rPr>
        <w:t>14</w:t>
      </w:r>
      <w:r>
        <w:t xml:space="preserve"> used this equation of state with van der Waals 2-parameter mixing rules (PR-vdW2) to satisfactorily correlate experimental measurements of vapor-liquid and vapor-liquid-liquid equilibrium of mixtures of R-134a with either [C</w:t>
      </w:r>
      <w:r w:rsidRPr="003316DB">
        <w:rPr>
          <w:vertAlign w:val="subscript"/>
        </w:rPr>
        <w:t>2</w:t>
      </w:r>
      <w:r>
        <w:t>C</w:t>
      </w:r>
      <w:r w:rsidRPr="003316DB">
        <w:rPr>
          <w:vertAlign w:val="subscript"/>
        </w:rPr>
        <w:t>1</w:t>
      </w:r>
      <w:r>
        <w:t>im][Tf</w:t>
      </w:r>
      <w:r w:rsidRPr="003316DB">
        <w:rPr>
          <w:vertAlign w:val="subscript"/>
        </w:rPr>
        <w:t>2</w:t>
      </w:r>
      <w:r>
        <w:t>N] or [C</w:t>
      </w:r>
      <w:r>
        <w:rPr>
          <w:vertAlign w:val="subscript"/>
        </w:rPr>
        <w:t>6</w:t>
      </w:r>
      <w:r>
        <w:t>C</w:t>
      </w:r>
      <w:r w:rsidRPr="003316DB">
        <w:rPr>
          <w:vertAlign w:val="subscript"/>
        </w:rPr>
        <w:t>1</w:t>
      </w:r>
      <w:r>
        <w:t>im][Tf</w:t>
      </w:r>
      <w:r w:rsidRPr="003316DB">
        <w:rPr>
          <w:vertAlign w:val="subscript"/>
        </w:rPr>
        <w:t>2</w:t>
      </w:r>
      <w:r>
        <w:t xml:space="preserve">N] </w:t>
      </w:r>
      <w:r w:rsidRPr="0062466C">
        <w:t>at temperatures ranging between 25</w:t>
      </w:r>
      <w:r w:rsidRPr="0062466C">
        <w:sym w:font="Symbol" w:char="F0B0"/>
      </w:r>
      <w:r w:rsidRPr="0062466C">
        <w:t>C and 75</w:t>
      </w:r>
      <w:r w:rsidRPr="0062466C">
        <w:sym w:font="Symbol" w:char="F0B0"/>
      </w:r>
      <w:r w:rsidRPr="0062466C">
        <w:t>C</w:t>
      </w:r>
      <w:r>
        <w:t xml:space="preserve"> (see Figures S1-S2, Supporting Information, and ref. </w:t>
      </w:r>
      <w:r w:rsidRPr="0065509C">
        <w:rPr>
          <w:noProof/>
          <w:vertAlign w:val="superscript"/>
        </w:rPr>
        <w:t>14</w:t>
      </w:r>
      <w:r>
        <w:t>). T</w:t>
      </w:r>
      <w:r w:rsidRPr="0062466C">
        <w:t xml:space="preserve">he binary interaction parameters </w:t>
      </w:r>
      <w:proofErr w:type="spellStart"/>
      <w:r w:rsidRPr="0062466C">
        <w:rPr>
          <w:i/>
          <w:iCs/>
        </w:rPr>
        <w:t>k</w:t>
      </w:r>
      <w:r w:rsidRPr="0062466C">
        <w:rPr>
          <w:i/>
          <w:iCs/>
          <w:vertAlign w:val="subscript"/>
        </w:rPr>
        <w:t>ij</w:t>
      </w:r>
      <w:proofErr w:type="spellEnd"/>
      <w:r w:rsidRPr="0062466C">
        <w:t xml:space="preserve"> and </w:t>
      </w:r>
      <w:proofErr w:type="spellStart"/>
      <w:r w:rsidRPr="0062466C">
        <w:rPr>
          <w:i/>
          <w:iCs/>
        </w:rPr>
        <w:t>l</w:t>
      </w:r>
      <w:r w:rsidRPr="0062466C">
        <w:rPr>
          <w:i/>
          <w:iCs/>
          <w:vertAlign w:val="subscript"/>
        </w:rPr>
        <w:t>ij</w:t>
      </w:r>
      <w:proofErr w:type="spellEnd"/>
      <w:r w:rsidRPr="0062466C">
        <w:t xml:space="preserve"> reported by Ren and Scurto</w:t>
      </w:r>
      <w:r w:rsidRPr="0065509C">
        <w:rPr>
          <w:noProof/>
          <w:vertAlign w:val="superscript"/>
        </w:rPr>
        <w:t>14</w:t>
      </w:r>
      <w:r w:rsidRPr="0062466C">
        <w:t xml:space="preserve"> for these mixtures are on the order of 10</w:t>
      </w:r>
      <w:r w:rsidRPr="0062466C">
        <w:rPr>
          <w:vertAlign w:val="superscript"/>
        </w:rPr>
        <w:t>-2</w:t>
      </w:r>
      <w:r w:rsidRPr="0062466C">
        <w:t xml:space="preserve"> - 10</w:t>
      </w:r>
      <w:r w:rsidRPr="0062466C">
        <w:rPr>
          <w:vertAlign w:val="superscript"/>
        </w:rPr>
        <w:t>-3</w:t>
      </w:r>
      <w:r>
        <w:t>.</w:t>
      </w:r>
      <w:r w:rsidRPr="0062466C">
        <w:t xml:space="preserve"> </w:t>
      </w:r>
      <w:r>
        <w:t xml:space="preserve">As an initial test of the accuracy of the </w:t>
      </w:r>
      <w:r w:rsidRPr="0062466C">
        <w:t xml:space="preserve">PR-EOS as implemented in </w:t>
      </w:r>
      <w:r>
        <w:t>Aspen Plus</w:t>
      </w:r>
      <w:r w:rsidRPr="00AE2BA5">
        <w:rPr>
          <w:vertAlign w:val="superscript"/>
        </w:rPr>
        <w:t>®</w:t>
      </w:r>
      <w:r w:rsidRPr="0062466C">
        <w:t xml:space="preserve"> </w:t>
      </w:r>
      <w:r>
        <w:t>(which assumes</w:t>
      </w:r>
      <w:r w:rsidRPr="0062466C">
        <w:t xml:space="preserve"> </w:t>
      </w:r>
      <w:proofErr w:type="spellStart"/>
      <w:r w:rsidRPr="0062466C">
        <w:rPr>
          <w:i/>
          <w:iCs/>
        </w:rPr>
        <w:t>k</w:t>
      </w:r>
      <w:r w:rsidRPr="0062466C">
        <w:rPr>
          <w:i/>
          <w:iCs/>
          <w:vertAlign w:val="subscript"/>
        </w:rPr>
        <w:t>ij</w:t>
      </w:r>
      <w:proofErr w:type="spellEnd"/>
      <w:r w:rsidRPr="0062466C">
        <w:t xml:space="preserve"> = </w:t>
      </w:r>
      <w:proofErr w:type="spellStart"/>
      <w:r w:rsidRPr="0062466C">
        <w:rPr>
          <w:i/>
          <w:iCs/>
        </w:rPr>
        <w:t>l</w:t>
      </w:r>
      <w:r w:rsidRPr="0062466C">
        <w:rPr>
          <w:i/>
          <w:iCs/>
          <w:vertAlign w:val="subscript"/>
        </w:rPr>
        <w:t>ij</w:t>
      </w:r>
      <w:proofErr w:type="spellEnd"/>
      <w:r w:rsidRPr="0062466C">
        <w:t xml:space="preserve"> = 0</w:t>
      </w:r>
      <w:r>
        <w:t>) for the refrigerant-IL systems, this model was used to compute t</w:t>
      </w:r>
      <w:r w:rsidRPr="0062466C">
        <w:t>he efficiencies of the ORC and APC</w:t>
      </w:r>
      <w:r>
        <w:t>, which then were compared against</w:t>
      </w:r>
      <w:r w:rsidRPr="0062466C">
        <w:t xml:space="preserve"> calculations of the cycle efficiencies using enthalpies and entropies determined from the PR-vdW2</w:t>
      </w:r>
      <w:r>
        <w:t xml:space="preserve"> from</w:t>
      </w:r>
      <w:r w:rsidRPr="0062466C">
        <w:t xml:space="preserve"> Ren and Scurto</w:t>
      </w:r>
      <w:r>
        <w:t>.</w:t>
      </w:r>
      <w:r w:rsidRPr="0065509C">
        <w:rPr>
          <w:noProof/>
          <w:vertAlign w:val="superscript"/>
        </w:rPr>
        <w:t>14</w:t>
      </w:r>
      <w:r w:rsidRPr="0062466C">
        <w:t xml:space="preserve"> </w:t>
      </w:r>
      <w:r>
        <w:t>T</w:t>
      </w:r>
      <w:r w:rsidRPr="0062466C">
        <w:t>h</w:t>
      </w:r>
      <w:r>
        <w:t>o</w:t>
      </w:r>
      <w:r w:rsidRPr="0062466C">
        <w:t>se calculations followed an approach similar to the one described in detail by Kim and Kohl</w:t>
      </w:r>
      <w:r w:rsidRPr="00D919E7">
        <w:rPr>
          <w:noProof/>
          <w:vertAlign w:val="superscript"/>
        </w:rPr>
        <w:t>52</w:t>
      </w:r>
      <w:r w:rsidRPr="0062466C">
        <w:t xml:space="preserve"> for the Redlich-</w:t>
      </w:r>
      <w:proofErr w:type="spellStart"/>
      <w:r w:rsidRPr="0062466C">
        <w:t>Kwong</w:t>
      </w:r>
      <w:proofErr w:type="spellEnd"/>
      <w:r w:rsidRPr="0062466C">
        <w:t xml:space="preserve"> equation of state</w:t>
      </w:r>
      <w:r>
        <w:t xml:space="preserve"> and absorption refrigeration cycles. A more comprehensive test of the accuracy of the PR-EOS from Aspen Plus</w:t>
      </w:r>
      <w:r w:rsidRPr="00AE2BA5">
        <w:rPr>
          <w:vertAlign w:val="superscript"/>
        </w:rPr>
        <w:t>®</w:t>
      </w:r>
      <w:r>
        <w:t xml:space="preserve"> would involve, e.g., </w:t>
      </w:r>
      <w:r>
        <w:lastRenderedPageBreak/>
        <w:t>comparing its predicted phase equilibrium data for the refrigerant-IL mixtures against reported experimental data and the results from the PR-vdW2 model,</w:t>
      </w:r>
      <w:r w:rsidRPr="0065509C">
        <w:rPr>
          <w:noProof/>
          <w:vertAlign w:val="superscript"/>
        </w:rPr>
        <w:t>14</w:t>
      </w:r>
      <w:r>
        <w:t xml:space="preserve"> which was not attempted here.  </w:t>
      </w:r>
    </w:p>
    <w:p w14:paraId="6542DE8F" w14:textId="77777777" w:rsidR="00E60051" w:rsidRPr="00F101C6" w:rsidRDefault="00E60051" w:rsidP="00345302">
      <w:pPr>
        <w:spacing w:line="480" w:lineRule="auto"/>
        <w:ind w:firstLine="720"/>
        <w:jc w:val="both"/>
      </w:pPr>
      <w:r>
        <w:t xml:space="preserve">The </w:t>
      </w:r>
      <w:r w:rsidRPr="00962BE7">
        <w:t xml:space="preserve">second </w:t>
      </w:r>
      <w:r>
        <w:t xml:space="preserve">thermodynamic </w:t>
      </w:r>
      <w:r w:rsidRPr="00962BE7">
        <w:t xml:space="preserve">model </w:t>
      </w:r>
      <w:r>
        <w:t xml:space="preserve">used in the calculations </w:t>
      </w:r>
      <w:r w:rsidRPr="00962BE7">
        <w:t xml:space="preserve">was </w:t>
      </w:r>
      <w:r>
        <w:t xml:space="preserve">the </w:t>
      </w:r>
      <w:proofErr w:type="spellStart"/>
      <w:r w:rsidRPr="00417E53">
        <w:t>COnductor</w:t>
      </w:r>
      <w:proofErr w:type="spellEnd"/>
      <w:r w:rsidRPr="00417E53">
        <w:t xml:space="preserve">-like Screening </w:t>
      </w:r>
      <w:proofErr w:type="spellStart"/>
      <w:r w:rsidRPr="00417E53">
        <w:t>M</w:t>
      </w:r>
      <w:r>
        <w:t>O</w:t>
      </w:r>
      <w:r w:rsidRPr="00417E53">
        <w:t>del</w:t>
      </w:r>
      <w:proofErr w:type="spellEnd"/>
      <w:r>
        <w:t>-Segment Activity Coefficient,</w:t>
      </w:r>
      <w:r w:rsidRPr="00417E53">
        <w:t xml:space="preserve"> </w:t>
      </w:r>
      <w:r w:rsidRPr="00962BE7">
        <w:t>COSMO-SAC</w:t>
      </w:r>
      <w:r>
        <w:t>,</w:t>
      </w:r>
      <w:r w:rsidRPr="00AD01B4">
        <w:rPr>
          <w:noProof/>
          <w:vertAlign w:val="superscript"/>
        </w:rPr>
        <w:t>15, 16, 18-21</w:t>
      </w:r>
      <w:r>
        <w:t xml:space="preserve"> which is available in current versions of Aspen Plus</w:t>
      </w:r>
      <w:r w:rsidRPr="00AE2BA5">
        <w:rPr>
          <w:vertAlign w:val="superscript"/>
        </w:rPr>
        <w:t>®</w:t>
      </w:r>
      <w:r>
        <w:t xml:space="preserve">. </w:t>
      </w:r>
      <w:r w:rsidRPr="00962BE7">
        <w:t xml:space="preserve"> </w:t>
      </w:r>
      <w:r>
        <w:t>The COSMO-based approaches build on a continuum solvation model in which the parameters for any given species are determined from quantum chemistry calculations of that specific molecule in vacuum. The</w:t>
      </w:r>
      <w:r w:rsidRPr="00417E53">
        <w:t xml:space="preserve"> molecule’s electronic surface</w:t>
      </w:r>
      <w:r>
        <w:t xml:space="preserve"> is divided</w:t>
      </w:r>
      <w:r w:rsidRPr="00417E53">
        <w:t xml:space="preserve"> into tiles </w:t>
      </w:r>
      <w:r>
        <w:t xml:space="preserve">to </w:t>
      </w:r>
      <w:r w:rsidRPr="00417E53">
        <w:t xml:space="preserve">calculate the electron density within the surface and polarization charges, </w:t>
      </w:r>
      <w:r w:rsidRPr="00417E53">
        <w:rPr>
          <w:i/>
        </w:rPr>
        <w:t>σ,</w:t>
      </w:r>
      <w:r w:rsidRPr="00417E53">
        <w:t xml:space="preserve"> at the surface</w:t>
      </w:r>
      <w:r>
        <w:t>; t</w:t>
      </w:r>
      <w:r w:rsidRPr="00417E53">
        <w:t xml:space="preserve">he </w:t>
      </w:r>
      <w:r w:rsidRPr="00417E53">
        <w:rPr>
          <w:i/>
        </w:rPr>
        <w:t>σ</w:t>
      </w:r>
      <w:r w:rsidRPr="00417E53">
        <w:t xml:space="preserve">-profile </w:t>
      </w:r>
      <w:r>
        <w:t xml:space="preserve">is the </w:t>
      </w:r>
      <w:r w:rsidRPr="00417E53">
        <w:t xml:space="preserve">distribution function of polarization charges per segment </w:t>
      </w:r>
      <w:r>
        <w:t xml:space="preserve">and </w:t>
      </w:r>
      <w:r w:rsidRPr="00417E53">
        <w:t>is unique to each molecule.</w:t>
      </w:r>
      <w:r w:rsidRPr="00AD01B4">
        <w:rPr>
          <w:noProof/>
          <w:vertAlign w:val="superscript"/>
        </w:rPr>
        <w:t>22-24</w:t>
      </w:r>
      <w:r w:rsidRPr="00417E53">
        <w:t xml:space="preserve"> </w:t>
      </w:r>
      <w:r>
        <w:t xml:space="preserve">The </w:t>
      </w:r>
      <w:r w:rsidRPr="00417E53">
        <w:rPr>
          <w:i/>
        </w:rPr>
        <w:t>σ</w:t>
      </w:r>
      <w:r w:rsidRPr="00417E53">
        <w:t>-profile</w:t>
      </w:r>
      <w:r>
        <w:t xml:space="preserve"> of R-134a and other relevant pure component properties were available in the databases of Aspen Plus</w:t>
      </w:r>
      <w:r w:rsidRPr="00AE2BA5">
        <w:rPr>
          <w:vertAlign w:val="superscript"/>
        </w:rPr>
        <w:t>®</w:t>
      </w:r>
      <w:r>
        <w:t xml:space="preserve"> v.10. The ILs [C</w:t>
      </w:r>
      <w:r w:rsidRPr="003316DB">
        <w:rPr>
          <w:vertAlign w:val="subscript"/>
        </w:rPr>
        <w:t>2</w:t>
      </w:r>
      <w:r>
        <w:t>C</w:t>
      </w:r>
      <w:r w:rsidRPr="003316DB">
        <w:rPr>
          <w:vertAlign w:val="subscript"/>
        </w:rPr>
        <w:t>1</w:t>
      </w:r>
      <w:r>
        <w:t>im][Tf</w:t>
      </w:r>
      <w:r w:rsidRPr="003316DB">
        <w:rPr>
          <w:vertAlign w:val="subscript"/>
        </w:rPr>
        <w:t>2</w:t>
      </w:r>
      <w:r>
        <w:t>N] and [C</w:t>
      </w:r>
      <w:r>
        <w:rPr>
          <w:vertAlign w:val="subscript"/>
        </w:rPr>
        <w:t>6</w:t>
      </w:r>
      <w:r>
        <w:t>C</w:t>
      </w:r>
      <w:r w:rsidRPr="003316DB">
        <w:rPr>
          <w:vertAlign w:val="subscript"/>
        </w:rPr>
        <w:t>1</w:t>
      </w:r>
      <w:r>
        <w:t>im][Tf</w:t>
      </w:r>
      <w:r w:rsidRPr="003316DB">
        <w:rPr>
          <w:vertAlign w:val="subscript"/>
        </w:rPr>
        <w:t>2</w:t>
      </w:r>
      <w:r>
        <w:t xml:space="preserve">N] were not present in these databases, therefore the relevant IL input files were obtained from the work of García-Gutiérrez </w:t>
      </w:r>
      <w:r>
        <w:rPr>
          <w:i/>
          <w:iCs/>
        </w:rPr>
        <w:t>et al</w:t>
      </w:r>
      <w:r>
        <w:t>.,</w:t>
      </w:r>
      <w:r w:rsidRPr="00D919E7">
        <w:rPr>
          <w:noProof/>
          <w:vertAlign w:val="superscript"/>
        </w:rPr>
        <w:t>53</w:t>
      </w:r>
      <w:r>
        <w:t xml:space="preserve"> which focused on modeling IL-based CO</w:t>
      </w:r>
      <w:r w:rsidRPr="002A2BC9">
        <w:rPr>
          <w:vertAlign w:val="subscript"/>
        </w:rPr>
        <w:t>2</w:t>
      </w:r>
      <w:r>
        <w:t xml:space="preserve"> capture processes from biogas streams using Aspen Plus</w:t>
      </w:r>
      <w:r w:rsidRPr="00AE2BA5">
        <w:rPr>
          <w:vertAlign w:val="superscript"/>
        </w:rPr>
        <w:t>®</w:t>
      </w:r>
      <w:r>
        <w:t xml:space="preserve"> and COSMO-SAC. Briefly, the Aspen Plus</w:t>
      </w:r>
      <w:r w:rsidRPr="00AE2BA5">
        <w:rPr>
          <w:vertAlign w:val="superscript"/>
        </w:rPr>
        <w:t>®</w:t>
      </w:r>
      <w:r>
        <w:t xml:space="preserve"> implementation of COSMO-SAC requires values for six component-specific parameters, namely the volume parameter and five sigma profile parameters; these six parameters for the two ILs were obtained by García-Gutiérrez </w:t>
      </w:r>
      <w:r>
        <w:rPr>
          <w:i/>
          <w:iCs/>
        </w:rPr>
        <w:t>et al</w:t>
      </w:r>
      <w:r>
        <w:t>.</w:t>
      </w:r>
      <w:r w:rsidRPr="00D919E7">
        <w:rPr>
          <w:noProof/>
          <w:vertAlign w:val="superscript"/>
        </w:rPr>
        <w:t>53</w:t>
      </w:r>
      <w:r>
        <w:t xml:space="preserve"> using </w:t>
      </w:r>
      <w:r w:rsidRPr="002E7C37">
        <w:rPr>
          <w:color w:val="000000" w:themeColor="text1"/>
        </w:rPr>
        <w:t>the COSMO-RS approach</w:t>
      </w:r>
      <w:r>
        <w:rPr>
          <w:color w:val="000000" w:themeColor="text1"/>
        </w:rPr>
        <w:t xml:space="preserve"> as implemented in the </w:t>
      </w:r>
      <w:proofErr w:type="spellStart"/>
      <w:r>
        <w:rPr>
          <w:color w:val="000000" w:themeColor="text1"/>
        </w:rPr>
        <w:t>COSMOthermX</w:t>
      </w:r>
      <w:proofErr w:type="spellEnd"/>
      <w:r>
        <w:rPr>
          <w:color w:val="000000" w:themeColor="text1"/>
        </w:rPr>
        <w:t xml:space="preserve"> software.</w:t>
      </w:r>
      <w:r w:rsidRPr="00D919E7">
        <w:rPr>
          <w:iCs/>
          <w:noProof/>
          <w:color w:val="000000" w:themeColor="text1"/>
          <w:vertAlign w:val="superscript"/>
        </w:rPr>
        <w:t>46, 47</w:t>
      </w:r>
      <w:r>
        <w:rPr>
          <w:iCs/>
          <w:color w:val="000000" w:themeColor="text1"/>
        </w:rPr>
        <w:t xml:space="preserve"> In addition, regression of literature data for the pure IL was used to obtain correlation parameters required by Aspen Plus</w:t>
      </w:r>
      <w:r w:rsidRPr="00AE2BA5">
        <w:rPr>
          <w:iCs/>
          <w:color w:val="000000" w:themeColor="text1"/>
          <w:vertAlign w:val="superscript"/>
        </w:rPr>
        <w:t>®</w:t>
      </w:r>
      <w:r>
        <w:rPr>
          <w:iCs/>
          <w:color w:val="000000" w:themeColor="text1"/>
        </w:rPr>
        <w:t xml:space="preserve"> to calculate the ideal gas heat capacity, the liquid molar volume and the liquid viscosity. Finally, values of additional properties such as molecular weight, boiling point, critical point temperature, pressure and volume and acentric factors were retrieved from the literature or estimated using group contribution methods and fed into Aspen Plus</w:t>
      </w:r>
      <w:r w:rsidRPr="00AE2BA5">
        <w:rPr>
          <w:iCs/>
          <w:color w:val="000000" w:themeColor="text1"/>
          <w:vertAlign w:val="superscript"/>
        </w:rPr>
        <w:t>®</w:t>
      </w:r>
      <w:r>
        <w:rPr>
          <w:iCs/>
          <w:color w:val="000000" w:themeColor="text1"/>
        </w:rPr>
        <w:t xml:space="preserve">. It is noted here that the COSMO-SAC model as implemented in Aspen Plus </w:t>
      </w:r>
      <w:r>
        <w:rPr>
          <w:iCs/>
          <w:color w:val="000000" w:themeColor="text1"/>
        </w:rPr>
        <w:lastRenderedPageBreak/>
        <w:t xml:space="preserve">assumes that vapor phases behave as ideal gases. Further details are provided in the </w:t>
      </w:r>
      <w:r>
        <w:t xml:space="preserve">paper of García-Gutiérrez </w:t>
      </w:r>
      <w:r>
        <w:rPr>
          <w:i/>
          <w:iCs/>
        </w:rPr>
        <w:t>et al</w:t>
      </w:r>
      <w:r>
        <w:t>;</w:t>
      </w:r>
      <w:r w:rsidRPr="00D919E7">
        <w:rPr>
          <w:noProof/>
          <w:vertAlign w:val="superscript"/>
        </w:rPr>
        <w:t>53</w:t>
      </w:r>
      <w:r>
        <w:t xml:space="preserve"> their COSMO-SAC model for the two ILs was able to predict solubility of CH</w:t>
      </w:r>
      <w:r w:rsidRPr="00545A43">
        <w:rPr>
          <w:vertAlign w:val="subscript"/>
        </w:rPr>
        <w:t>4</w:t>
      </w:r>
      <w:r>
        <w:t xml:space="preserve"> and CO</w:t>
      </w:r>
      <w:r w:rsidRPr="00545A43">
        <w:rPr>
          <w:vertAlign w:val="subscript"/>
        </w:rPr>
        <w:t>2</w:t>
      </w:r>
      <w:r>
        <w:t xml:space="preserve"> in agreement with experimental data.  </w:t>
      </w:r>
      <w:r>
        <w:rPr>
          <w:iCs/>
          <w:color w:val="000000" w:themeColor="text1"/>
        </w:rPr>
        <w:t xml:space="preserve"> </w:t>
      </w:r>
    </w:p>
    <w:p w14:paraId="5160F881" w14:textId="77777777" w:rsidR="00E60051" w:rsidRDefault="00E60051" w:rsidP="00345302">
      <w:pPr>
        <w:spacing w:line="480" w:lineRule="auto"/>
        <w:ind w:firstLine="720"/>
        <w:jc w:val="both"/>
      </w:pPr>
      <w:r>
        <w:t>The Aspen Plus</w:t>
      </w:r>
      <w:r w:rsidRPr="00AE2BA5">
        <w:rPr>
          <w:vertAlign w:val="superscript"/>
        </w:rPr>
        <w:t>®</w:t>
      </w:r>
      <w:r>
        <w:t xml:space="preserve"> implementations of the ORC and APC are shown in Figure 3. The thermodynamic efficiency of both cycles can be computed as </w:t>
      </w:r>
      <m:oMath>
        <m:r>
          <w:rPr>
            <w:rFonts w:ascii="Cambria Math" w:hAnsi="Cambria Math"/>
          </w:rPr>
          <m:t>η=</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net</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H</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turb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pump</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H</m:t>
                </m:r>
              </m:sub>
            </m:sSub>
          </m:den>
        </m:f>
      </m:oMath>
      <w:r>
        <w:rPr>
          <w:rFonts w:eastAsiaTheme="minorEastAsia"/>
        </w:rPr>
        <w:t>, w</w:t>
      </w:r>
      <w:r>
        <w:t xml:space="preserve">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turb</m:t>
            </m:r>
          </m:sub>
        </m:sSub>
      </m:oMath>
      <w:r>
        <w:rPr>
          <w:rFonts w:eastAsiaTheme="minorEastAsia"/>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pump</m:t>
            </m:r>
          </m:sub>
        </m:sSub>
      </m:oMath>
      <w:r>
        <w:rPr>
          <w:rFonts w:eastAsiaTheme="minorEastAsia"/>
        </w:rPr>
        <w:t xml:space="preserve"> represent the absolute values of the power generated by the turbine and consumed by the pump,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H</m:t>
            </m:r>
          </m:sub>
        </m:sSub>
      </m:oMath>
      <w:r>
        <w:t xml:space="preserve"> is the absolute value of the rate at which heat is taken from the hot (waste heat) temperature source, i.e., the rate of heat consumption at the evaporator (ORC) or desorber (APC). Both cycles were set to produce a turbine power output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turb</m:t>
            </m:r>
          </m:sub>
        </m:sSub>
      </m:oMath>
      <w:r>
        <w:rPr>
          <w:rFonts w:eastAsiaTheme="minorEastAsia"/>
        </w:rPr>
        <w:t>=</w:t>
      </w:r>
      <w:r>
        <w:t xml:space="preserve">10 kW. In the ORC (Figures 1a and 3a), the turbine and pump were modeled using the </w:t>
      </w:r>
      <w:proofErr w:type="spellStart"/>
      <w:r>
        <w:rPr>
          <w:i/>
          <w:iCs/>
        </w:rPr>
        <w:t>Compr</w:t>
      </w:r>
      <w:proofErr w:type="spellEnd"/>
      <w:r>
        <w:t xml:space="preserve"> and </w:t>
      </w:r>
      <w:r>
        <w:rPr>
          <w:i/>
          <w:iCs/>
        </w:rPr>
        <w:t xml:space="preserve">Pump </w:t>
      </w:r>
      <w:r>
        <w:t>blocks in Aspen Plus</w:t>
      </w:r>
      <w:r w:rsidRPr="00AE2BA5">
        <w:rPr>
          <w:vertAlign w:val="superscript"/>
        </w:rPr>
        <w:t>®</w:t>
      </w:r>
      <w:r>
        <w:t>, with an isentropic efficiency of 1.0 in both cases for simplicity.</w:t>
      </w:r>
      <w:r w:rsidRPr="001506B4">
        <w:rPr>
          <w:i/>
          <w:iCs/>
        </w:rPr>
        <w:t xml:space="preserve"> </w:t>
      </w:r>
      <w:r>
        <w:rPr>
          <w:i/>
          <w:iCs/>
        </w:rPr>
        <w:t>Heater</w:t>
      </w:r>
      <w:r>
        <w:t xml:space="preserve"> blocks were used in Aspen Plus</w:t>
      </w:r>
      <w:r w:rsidRPr="00AE2BA5">
        <w:rPr>
          <w:vertAlign w:val="superscript"/>
        </w:rPr>
        <w:t>®</w:t>
      </w:r>
      <w:r>
        <w:t xml:space="preserve"> to model the evaporator and the condenser where the outlet temperature and pressure were specified, assuming negligible pressure drops in both blocks. The heat rates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H</m:t>
            </m:r>
          </m:sub>
        </m:sSub>
      </m:oMath>
      <w:r>
        <w:rPr>
          <w:rFonts w:eastAsiaTheme="minorEastAsia"/>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L</m:t>
            </m:r>
          </m:sub>
        </m:sSub>
      </m:oMath>
      <w:r>
        <w:rPr>
          <w:rFonts w:eastAsiaTheme="minorEastAsia"/>
        </w:rPr>
        <w:t xml:space="preserve"> (absolute value of the heat rate removed at the condenser) were computed using the </w:t>
      </w:r>
      <w:r>
        <w:rPr>
          <w:rFonts w:eastAsiaTheme="minorEastAsia"/>
          <w:i/>
          <w:iCs/>
        </w:rPr>
        <w:t>Heater</w:t>
      </w:r>
      <w:r>
        <w:rPr>
          <w:rFonts w:eastAsiaTheme="minorEastAsia"/>
        </w:rPr>
        <w:t xml:space="preserve"> blocks for the evaporator and condenser, respectively. </w:t>
      </w:r>
      <w:r>
        <w:t>The receiver tank shown in the scheme of Figure 1a was not included in the Aspen Plus</w:t>
      </w:r>
      <w:r w:rsidRPr="00AE2BA5">
        <w:rPr>
          <w:vertAlign w:val="superscript"/>
        </w:rPr>
        <w:t>®</w:t>
      </w:r>
      <w:r>
        <w:t xml:space="preserve"> model of the ORC. R-134a leaving the evaporator was assumed to be 10</w:t>
      </w:r>
      <w:r w:rsidRPr="000A2DE1">
        <w:t>°C</w:t>
      </w:r>
      <w:r>
        <w:t xml:space="preserve"> superheated beyond its saturation temperature and </w:t>
      </w:r>
      <w:r w:rsidRPr="000A2DE1">
        <w:t>5°C</w:t>
      </w:r>
      <w:r>
        <w:t xml:space="preserve"> subcooled leaving the condenser, in order to prevent damages from possible liquid/vapor mixtures entering the turbine or the pump, respectively. Different temperatures for the streams leaving the evaporator and condenser were considered to calculate their effects on the cycle efficiency and on the flow rates of R-134a; here it is noted that decreasing the temperature of R-134a leaving the evaporator is equivalent to reducing the quality of the hot (waste heat) temperature source (i.e., making it colder). With the constraint of 10</w:t>
      </w:r>
      <w:r w:rsidRPr="000A2DE1">
        <w:t>°C</w:t>
      </w:r>
      <w:r>
        <w:t xml:space="preserve"> superheating leaving the evaporator and 5</w:t>
      </w:r>
      <w:r w:rsidRPr="000A2DE1">
        <w:t>°C</w:t>
      </w:r>
      <w:r>
        <w:t xml:space="preserve"> subcooling </w:t>
      </w:r>
      <w:r>
        <w:lastRenderedPageBreak/>
        <w:t xml:space="preserve">leaving the condenser, the operating pressures of these devices will depend on the computed saturation pressures, which will vary slightly depending if the PR-EOS or the COSMO-SAC model was used for the calculations (see pressures listed on </w:t>
      </w:r>
      <w:r w:rsidRPr="00E17812">
        <w:t xml:space="preserve">Tables </w:t>
      </w:r>
      <w:r>
        <w:t>S1 and S8</w:t>
      </w:r>
      <w:r w:rsidRPr="00E17812">
        <w:t xml:space="preserve">, </w:t>
      </w:r>
      <w:r>
        <w:t xml:space="preserve">Supporting Information). The ORC </w:t>
      </w:r>
      <w:proofErr w:type="spellStart"/>
      <w:r>
        <w:t>recuperator</w:t>
      </w:r>
      <w:proofErr w:type="spellEnd"/>
      <w:r>
        <w:t xml:space="preserve"> (heat exchanger) shown in Figure 1a was modeled for simplicity using a </w:t>
      </w:r>
      <w:r>
        <w:rPr>
          <w:i/>
          <w:iCs/>
        </w:rPr>
        <w:t>Heater</w:t>
      </w:r>
      <w:r>
        <w:t xml:space="preserve"> block, where it was arbitrarily assumed that this device would just preheat the stream entering the evaporator by </w:t>
      </w:r>
      <w:r w:rsidRPr="000A2DE1">
        <w:t>5°C</w:t>
      </w:r>
      <w:r>
        <w:t xml:space="preserve"> using any available (no cost) heat source. Pressure drop was neglected at the evaporator, condenser and </w:t>
      </w:r>
      <w:proofErr w:type="spellStart"/>
      <w:r>
        <w:t>recuperator</w:t>
      </w:r>
      <w:proofErr w:type="spellEnd"/>
      <w:r>
        <w:t>.</w:t>
      </w:r>
    </w:p>
    <w:tbl>
      <w:tblPr>
        <w:tblStyle w:val="TableGrid"/>
        <w:tblW w:w="0" w:type="auto"/>
        <w:jc w:val="center"/>
        <w:tblLook w:val="04A0" w:firstRow="1" w:lastRow="0" w:firstColumn="1" w:lastColumn="0" w:noHBand="0" w:noVBand="1"/>
      </w:tblPr>
      <w:tblGrid>
        <w:gridCol w:w="4575"/>
        <w:gridCol w:w="4775"/>
      </w:tblGrid>
      <w:tr w:rsidR="00E60051" w:rsidRPr="00841CBF" w14:paraId="3D23D0C9" w14:textId="77777777" w:rsidTr="006664C1">
        <w:trPr>
          <w:jc w:val="center"/>
        </w:trPr>
        <w:tc>
          <w:tcPr>
            <w:tcW w:w="4675" w:type="dxa"/>
          </w:tcPr>
          <w:p w14:paraId="102A3D90" w14:textId="77777777" w:rsidR="00E60051" w:rsidRPr="00841CBF" w:rsidRDefault="00E60051" w:rsidP="006664C1">
            <w:pPr>
              <w:jc w:val="center"/>
              <w:rPr>
                <w:b/>
                <w:bCs/>
              </w:rPr>
            </w:pPr>
            <w:r w:rsidRPr="00841CBF">
              <w:rPr>
                <w:b/>
                <w:bCs/>
                <w:noProof/>
              </w:rPr>
              <w:drawing>
                <wp:inline distT="0" distB="0" distL="0" distR="0" wp14:anchorId="18A945EE" wp14:editId="30EC6BCA">
                  <wp:extent cx="2798257" cy="2279212"/>
                  <wp:effectExtent l="0" t="0" r="0" b="0"/>
                  <wp:docPr id="4" name="Picture 4" descr="A picture containing clock, photo, different, hang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0-05-15 at 2.10.45 PM.png"/>
                          <pic:cNvPicPr/>
                        </pic:nvPicPr>
                        <pic:blipFill rotWithShape="1">
                          <a:blip r:embed="rId10">
                            <a:extLst>
                              <a:ext uri="{28A0092B-C50C-407E-A947-70E740481C1C}">
                                <a14:useLocalDpi xmlns:a14="http://schemas.microsoft.com/office/drawing/2010/main" val="0"/>
                              </a:ext>
                            </a:extLst>
                          </a:blip>
                          <a:srcRect l="2112" r="2231" b="2225"/>
                          <a:stretch/>
                        </pic:blipFill>
                        <pic:spPr bwMode="auto">
                          <a:xfrm>
                            <a:off x="0" y="0"/>
                            <a:ext cx="2799005" cy="2279822"/>
                          </a:xfrm>
                          <a:prstGeom prst="rect">
                            <a:avLst/>
                          </a:prstGeom>
                          <a:ln>
                            <a:noFill/>
                          </a:ln>
                          <a:extLst>
                            <a:ext uri="{53640926-AAD7-44D8-BBD7-CCE9431645EC}">
                              <a14:shadowObscured xmlns:a14="http://schemas.microsoft.com/office/drawing/2010/main"/>
                            </a:ext>
                          </a:extLst>
                        </pic:spPr>
                      </pic:pic>
                    </a:graphicData>
                  </a:graphic>
                </wp:inline>
              </w:drawing>
            </w:r>
          </w:p>
          <w:p w14:paraId="3F8888D7" w14:textId="77777777" w:rsidR="00E60051" w:rsidRPr="00841CBF" w:rsidRDefault="00E60051" w:rsidP="006664C1">
            <w:pPr>
              <w:jc w:val="center"/>
              <w:rPr>
                <w:b/>
                <w:bCs/>
              </w:rPr>
            </w:pPr>
            <w:r w:rsidRPr="00841CBF">
              <w:rPr>
                <w:b/>
                <w:bCs/>
              </w:rPr>
              <w:t>(a)</w:t>
            </w:r>
          </w:p>
        </w:tc>
        <w:tc>
          <w:tcPr>
            <w:tcW w:w="4675" w:type="dxa"/>
          </w:tcPr>
          <w:p w14:paraId="73F67D8A" w14:textId="77777777" w:rsidR="00E60051" w:rsidRPr="00841CBF" w:rsidRDefault="00E60051" w:rsidP="006664C1">
            <w:pPr>
              <w:jc w:val="center"/>
              <w:rPr>
                <w:b/>
                <w:bCs/>
              </w:rPr>
            </w:pPr>
            <w:r w:rsidRPr="00841CBF">
              <w:rPr>
                <w:b/>
                <w:bCs/>
                <w:noProof/>
              </w:rPr>
              <w:drawing>
                <wp:inline distT="0" distB="0" distL="0" distR="0" wp14:anchorId="78F0044A" wp14:editId="2AE177E8">
                  <wp:extent cx="2926080" cy="2276856"/>
                  <wp:effectExtent l="0" t="0" r="0" b="0"/>
                  <wp:docPr id="17" name="Picture 17"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20-05-20 at 4.03.37 PM.png"/>
                          <pic:cNvPicPr/>
                        </pic:nvPicPr>
                        <pic:blipFill>
                          <a:blip r:embed="rId11">
                            <a:extLst>
                              <a:ext uri="{28A0092B-C50C-407E-A947-70E740481C1C}">
                                <a14:useLocalDpi xmlns:a14="http://schemas.microsoft.com/office/drawing/2010/main" val="0"/>
                              </a:ext>
                            </a:extLst>
                          </a:blip>
                          <a:stretch>
                            <a:fillRect/>
                          </a:stretch>
                        </pic:blipFill>
                        <pic:spPr>
                          <a:xfrm>
                            <a:off x="0" y="0"/>
                            <a:ext cx="2926080" cy="2276856"/>
                          </a:xfrm>
                          <a:prstGeom prst="rect">
                            <a:avLst/>
                          </a:prstGeom>
                        </pic:spPr>
                      </pic:pic>
                    </a:graphicData>
                  </a:graphic>
                </wp:inline>
              </w:drawing>
            </w:r>
          </w:p>
          <w:p w14:paraId="523B0461" w14:textId="77777777" w:rsidR="00E60051" w:rsidRPr="00841CBF" w:rsidRDefault="00E60051" w:rsidP="006664C1">
            <w:pPr>
              <w:jc w:val="center"/>
              <w:rPr>
                <w:b/>
                <w:bCs/>
              </w:rPr>
            </w:pPr>
            <w:r w:rsidRPr="00841CBF">
              <w:rPr>
                <w:b/>
                <w:bCs/>
              </w:rPr>
              <w:t>(b)</w:t>
            </w:r>
          </w:p>
        </w:tc>
      </w:tr>
    </w:tbl>
    <w:p w14:paraId="220D76CE" w14:textId="77777777" w:rsidR="00E60051" w:rsidRDefault="00E60051" w:rsidP="00171E01">
      <w:pPr>
        <w:spacing w:line="480" w:lineRule="auto"/>
        <w:jc w:val="both"/>
      </w:pPr>
      <w:r>
        <w:rPr>
          <w:b/>
          <w:bCs/>
        </w:rPr>
        <w:t>Figure 3</w:t>
      </w:r>
      <w:r>
        <w:t>. Aspen Plus</w:t>
      </w:r>
      <w:r w:rsidRPr="00AE2BA5">
        <w:rPr>
          <w:vertAlign w:val="superscript"/>
        </w:rPr>
        <w:t>®</w:t>
      </w:r>
      <w:r>
        <w:t xml:space="preserve"> process flow diagrams of </w:t>
      </w:r>
      <w:r w:rsidRPr="00841CBF">
        <w:rPr>
          <w:b/>
          <w:bCs/>
        </w:rPr>
        <w:t>(a)</w:t>
      </w:r>
      <w:r>
        <w:t xml:space="preserve"> the ORC and </w:t>
      </w:r>
      <w:r w:rsidRPr="00841CBF">
        <w:rPr>
          <w:b/>
          <w:bCs/>
        </w:rPr>
        <w:t>(b)</w:t>
      </w:r>
      <w:r>
        <w:t xml:space="preserve"> the APC.</w:t>
      </w:r>
    </w:p>
    <w:p w14:paraId="799370C2" w14:textId="77777777" w:rsidR="00E60051" w:rsidRDefault="00E60051" w:rsidP="00345302">
      <w:pPr>
        <w:spacing w:line="480" w:lineRule="auto"/>
        <w:ind w:firstLine="720"/>
        <w:jc w:val="both"/>
      </w:pPr>
      <w:r>
        <w:t xml:space="preserve">In the APC (Figure 1b), pressure drops at the absorber, </w:t>
      </w:r>
      <w:proofErr w:type="spellStart"/>
      <w:r>
        <w:t>recuperator</w:t>
      </w:r>
      <w:proofErr w:type="spellEnd"/>
      <w:r>
        <w:t xml:space="preserve"> and </w:t>
      </w:r>
      <w:proofErr w:type="spellStart"/>
      <w:r>
        <w:t>desorber</w:t>
      </w:r>
      <w:proofErr w:type="spellEnd"/>
      <w:r>
        <w:t xml:space="preserve"> were neglected and it was again assumed that R-134a entering the turbine was 10</w:t>
      </w:r>
      <w:r w:rsidRPr="000A2DE1">
        <w:t>°C</w:t>
      </w:r>
      <w:r>
        <w:t xml:space="preserve"> superheated beyond its saturation temperature at the </w:t>
      </w:r>
      <w:proofErr w:type="spellStart"/>
      <w:r>
        <w:t>desorber</w:t>
      </w:r>
      <w:proofErr w:type="spellEnd"/>
      <w:r>
        <w:t xml:space="preserve"> operating pressure, to ensure only vapor enters the turbine. However, subcooling the stream entering the pump is in principle no longer needed in the APC. T</w:t>
      </w:r>
      <w:r>
        <w:rPr>
          <w:rFonts w:eastAsiaTheme="minorHAnsi"/>
        </w:rPr>
        <w:t xml:space="preserve">he </w:t>
      </w:r>
      <w:r>
        <w:t xml:space="preserve">lower critical end points (LCEPs) of the </w:t>
      </w:r>
      <w:r>
        <w:rPr>
          <w:rFonts w:eastAsiaTheme="minorHAnsi"/>
        </w:rPr>
        <w:t>refrigerant-IL mixtures studied here were determined experimentally</w:t>
      </w:r>
      <w:r w:rsidRPr="00E5273A">
        <w:rPr>
          <w:rFonts w:eastAsiaTheme="minorHAnsi"/>
          <w:noProof/>
          <w:vertAlign w:val="superscript"/>
        </w:rPr>
        <w:t>54</w:t>
      </w:r>
      <w:r>
        <w:rPr>
          <w:rFonts w:eastAsiaTheme="minorHAnsi"/>
        </w:rPr>
        <w:t xml:space="preserve"> and are equal to </w:t>
      </w:r>
      <w:r>
        <w:t>55.0</w:t>
      </w:r>
      <w:r w:rsidRPr="000A2DE1">
        <w:t>°C</w:t>
      </w:r>
      <w:r>
        <w:t xml:space="preserve"> and 15.0 bar for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 xml:space="preserve">N], and 62.6 </w:t>
      </w:r>
      <w:r w:rsidRPr="000A2DE1">
        <w:t>°C</w:t>
      </w:r>
      <w:r>
        <w:t xml:space="preserve"> and 19.0 bar for R-134a+[C</w:t>
      </w:r>
      <w:r>
        <w:rPr>
          <w:vertAlign w:val="subscript"/>
        </w:rPr>
        <w:t>6</w:t>
      </w:r>
      <w:r>
        <w:t>C</w:t>
      </w:r>
      <w:r w:rsidRPr="003316DB">
        <w:rPr>
          <w:vertAlign w:val="subscript"/>
        </w:rPr>
        <w:t>1</w:t>
      </w:r>
      <w:r>
        <w:t>im][Tf</w:t>
      </w:r>
      <w:r w:rsidRPr="003316DB">
        <w:rPr>
          <w:vertAlign w:val="subscript"/>
        </w:rPr>
        <w:t>2</w:t>
      </w:r>
      <w:r>
        <w:t xml:space="preserve">N]. As these LCEP temperatures are higher than </w:t>
      </w:r>
      <w:r w:rsidRPr="00720299">
        <w:rPr>
          <w:rFonts w:eastAsiaTheme="minorHAnsi"/>
        </w:rPr>
        <w:t>all of the absorber temperatures investigated</w:t>
      </w:r>
      <w:r>
        <w:rPr>
          <w:rFonts w:eastAsiaTheme="minorHAnsi"/>
        </w:rPr>
        <w:t xml:space="preserve"> in this study (30-45</w:t>
      </w:r>
      <w:r w:rsidRPr="000A2DE1">
        <w:t>°C</w:t>
      </w:r>
      <w:r>
        <w:t>)</w:t>
      </w:r>
      <w:r w:rsidRPr="00720299">
        <w:rPr>
          <w:rFonts w:eastAsiaTheme="minorHAnsi"/>
        </w:rPr>
        <w:t xml:space="preserve">, </w:t>
      </w:r>
      <w:r>
        <w:rPr>
          <w:rFonts w:eastAsiaTheme="minorHAnsi"/>
        </w:rPr>
        <w:t>the refrigerant will</w:t>
      </w:r>
      <w:r w:rsidRPr="00720299">
        <w:rPr>
          <w:rFonts w:eastAsiaTheme="minorHAnsi"/>
        </w:rPr>
        <w:t xml:space="preserve"> </w:t>
      </w:r>
      <w:r w:rsidRPr="00720299">
        <w:rPr>
          <w:rFonts w:eastAsiaTheme="minorHAnsi"/>
        </w:rPr>
        <w:lastRenderedPageBreak/>
        <w:t>become completely miscible</w:t>
      </w:r>
      <w:r>
        <w:rPr>
          <w:rFonts w:eastAsiaTheme="minorHAnsi"/>
        </w:rPr>
        <w:t xml:space="preserve"> in the IL and an homogeneous liquid phase will be formed, provided</w:t>
      </w:r>
      <w:r w:rsidRPr="00720299">
        <w:rPr>
          <w:rFonts w:eastAsiaTheme="minorHAnsi"/>
        </w:rPr>
        <w:t xml:space="preserve"> </w:t>
      </w:r>
      <w:r>
        <w:rPr>
          <w:rFonts w:eastAsiaTheme="minorHAnsi"/>
        </w:rPr>
        <w:t xml:space="preserve">that the pressure is </w:t>
      </w:r>
      <w:r w:rsidRPr="00720299">
        <w:rPr>
          <w:rFonts w:eastAsiaTheme="minorHAnsi"/>
        </w:rPr>
        <w:t xml:space="preserve">equal to or greater than </w:t>
      </w:r>
      <w:r>
        <w:rPr>
          <w:rFonts w:eastAsiaTheme="minorHAnsi"/>
        </w:rPr>
        <w:t xml:space="preserve">the vapor pressure of </w:t>
      </w:r>
      <w:r w:rsidRPr="00720299">
        <w:rPr>
          <w:rFonts w:eastAsiaTheme="minorHAnsi"/>
        </w:rPr>
        <w:t>R</w:t>
      </w:r>
      <w:r>
        <w:rPr>
          <w:rFonts w:eastAsiaTheme="minorHAnsi"/>
        </w:rPr>
        <w:t>-</w:t>
      </w:r>
      <w:r w:rsidRPr="00720299">
        <w:rPr>
          <w:rFonts w:eastAsiaTheme="minorHAnsi"/>
        </w:rPr>
        <w:t>134a</w:t>
      </w:r>
      <w:r>
        <w:rPr>
          <w:rFonts w:eastAsiaTheme="minorHAnsi"/>
        </w:rPr>
        <w:t xml:space="preserve">. </w:t>
      </w:r>
      <w:r w:rsidRPr="00720299">
        <w:rPr>
          <w:rFonts w:eastAsiaTheme="minorHAnsi"/>
        </w:rPr>
        <w:t> </w:t>
      </w:r>
      <w:r>
        <w:rPr>
          <w:rFonts w:eastAsiaTheme="minorHAnsi"/>
        </w:rPr>
        <w:t>However, s</w:t>
      </w:r>
      <w:r>
        <w:t>etting the turbine discharge pressure (which here is assumed equal to the operation pressure of the absorber and the inlet pressure to the pump) exactly equal to the vapor pressure of R-134a at the operation temperature of the absorber would be impractical and problematic from the operational point of view. This scenario (i.e., having a subcooling of 0</w:t>
      </w:r>
      <w:r w:rsidRPr="000A2DE1">
        <w:t>°C</w:t>
      </w:r>
      <w:r>
        <w:t xml:space="preserve"> at the pump inlet) was nevertheless considered in our study, together with cases where this stream was supercooled 2</w:t>
      </w:r>
      <w:r w:rsidRPr="000A2DE1">
        <w:t>°C</w:t>
      </w:r>
      <w:r>
        <w:t xml:space="preserve"> and 5</w:t>
      </w:r>
      <w:r w:rsidRPr="000A2DE1">
        <w:t>°C</w:t>
      </w:r>
      <w:r>
        <w:t xml:space="preserve"> for practical purposes (note that 5</w:t>
      </w:r>
      <w:r w:rsidRPr="000A2DE1">
        <w:t>°C</w:t>
      </w:r>
      <w:r>
        <w:t xml:space="preserve"> supercooling represents the same operation conditions considered for the ORC). For simplicity, the APC </w:t>
      </w:r>
      <w:proofErr w:type="spellStart"/>
      <w:r>
        <w:t>desorber</w:t>
      </w:r>
      <w:proofErr w:type="spellEnd"/>
      <w:r>
        <w:t xml:space="preserve"> was modeled in Aspen Plus</w:t>
      </w:r>
      <w:r w:rsidRPr="00AE2BA5">
        <w:rPr>
          <w:vertAlign w:val="superscript"/>
        </w:rPr>
        <w:t>®</w:t>
      </w:r>
      <w:r>
        <w:t xml:space="preserve"> using a </w:t>
      </w:r>
      <w:r>
        <w:rPr>
          <w:i/>
          <w:iCs/>
        </w:rPr>
        <w:t>Flash2</w:t>
      </w:r>
      <w:r>
        <w:t xml:space="preserve"> block (Figure 3b) with gas and liquid streams leaving the </w:t>
      </w:r>
      <w:proofErr w:type="spellStart"/>
      <w:r>
        <w:t>desorber</w:t>
      </w:r>
      <w:proofErr w:type="spellEnd"/>
      <w:r>
        <w:t xml:space="preserve">. The temperature and pressure of these streams were set to the same values considered for the stream leaving the evaporator in the ORC (compare </w:t>
      </w:r>
      <w:r w:rsidRPr="00E17812">
        <w:t xml:space="preserve">Tables </w:t>
      </w:r>
      <w:r>
        <w:t>S1-S7 and S8-S14</w:t>
      </w:r>
      <w:r w:rsidRPr="00E17812">
        <w:t xml:space="preserve">, </w:t>
      </w:r>
      <w:r>
        <w:t xml:space="preserve">Supporting Information), and the heat rate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H</m:t>
            </m:r>
          </m:sub>
        </m:sSub>
      </m:oMath>
      <w:r>
        <w:t xml:space="preserve"> input at the desorber was computed from the </w:t>
      </w:r>
      <w:r>
        <w:rPr>
          <w:i/>
          <w:iCs/>
        </w:rPr>
        <w:t xml:space="preserve">Flash2 </w:t>
      </w:r>
      <w:r>
        <w:t xml:space="preserve">block. The gas stream leaving the </w:t>
      </w:r>
      <w:proofErr w:type="spellStart"/>
      <w:r>
        <w:t>desorber</w:t>
      </w:r>
      <w:proofErr w:type="spellEnd"/>
      <w:r>
        <w:t xml:space="preserve"> goes into the turbine, which was modeled again using the </w:t>
      </w:r>
      <w:proofErr w:type="spellStart"/>
      <w:r>
        <w:rPr>
          <w:i/>
          <w:iCs/>
        </w:rPr>
        <w:t>Compr</w:t>
      </w:r>
      <w:proofErr w:type="spellEnd"/>
      <w:r>
        <w:t xml:space="preserve"> block in Aspen Plus</w:t>
      </w:r>
      <w:r w:rsidRPr="00AE2BA5">
        <w:rPr>
          <w:vertAlign w:val="superscript"/>
        </w:rPr>
        <w:t>®</w:t>
      </w:r>
      <w:r>
        <w:t xml:space="preserve"> with an isentropic efficiency of 1.0, as in the ORC model, and has an outlet discharge pressure equal to the operating pressure of the absorber. The liquid stream leaving the </w:t>
      </w:r>
      <w:proofErr w:type="spellStart"/>
      <w:r>
        <w:t>desorber</w:t>
      </w:r>
      <w:proofErr w:type="spellEnd"/>
      <w:r>
        <w:t xml:space="preserve"> goes into the expansion valve, which just drops the pressure to the operating pressure of the absorber (Figure 3b). This liquid stream and the gas stream leaving the turbine both enter the absorber, which in the Aspen Plus</w:t>
      </w:r>
      <w:r w:rsidRPr="00AE2BA5">
        <w:rPr>
          <w:vertAlign w:val="superscript"/>
        </w:rPr>
        <w:t>®</w:t>
      </w:r>
      <w:r>
        <w:t xml:space="preserve"> model for simplicity was represented using a combination of a </w:t>
      </w:r>
      <w:r>
        <w:rPr>
          <w:i/>
          <w:iCs/>
        </w:rPr>
        <w:t>Mixer</w:t>
      </w:r>
      <w:r>
        <w:t xml:space="preserve"> and a </w:t>
      </w:r>
      <w:r>
        <w:rPr>
          <w:i/>
          <w:iCs/>
        </w:rPr>
        <w:t xml:space="preserve">Heater </w:t>
      </w:r>
      <w:r>
        <w:t xml:space="preserve">blocks. The </w:t>
      </w:r>
      <w:r>
        <w:rPr>
          <w:i/>
          <w:iCs/>
        </w:rPr>
        <w:t>Mixer</w:t>
      </w:r>
      <w:r>
        <w:t xml:space="preserve"> block </w:t>
      </w:r>
      <w:proofErr w:type="spellStart"/>
      <w:r>
        <w:t>isobarically</w:t>
      </w:r>
      <w:proofErr w:type="spellEnd"/>
      <w:r>
        <w:t xml:space="preserve"> combines these two streams and the </w:t>
      </w:r>
      <w:r>
        <w:rPr>
          <w:i/>
          <w:iCs/>
        </w:rPr>
        <w:t>Heater</w:t>
      </w:r>
      <w:r>
        <w:t xml:space="preserve"> block sets the absorber outlet temperature and calculates the released heat rate of dissolution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L</m:t>
            </m:r>
          </m:sub>
        </m:sSub>
      </m:oMath>
      <w:r>
        <w:rPr>
          <w:rFonts w:eastAsiaTheme="minorEastAsia"/>
        </w:rPr>
        <w:t xml:space="preserve">. The mixed R-134a+IL stream then enters a pump, </w:t>
      </w:r>
      <w:r>
        <w:t xml:space="preserve">which was modeled using the </w:t>
      </w:r>
      <w:r>
        <w:rPr>
          <w:i/>
          <w:iCs/>
        </w:rPr>
        <w:t>Pump</w:t>
      </w:r>
      <w:r>
        <w:t xml:space="preserve"> block in Aspen Plus</w:t>
      </w:r>
      <w:r w:rsidRPr="00AE2BA5">
        <w:rPr>
          <w:vertAlign w:val="superscript"/>
        </w:rPr>
        <w:t>®</w:t>
      </w:r>
      <w:r>
        <w:t xml:space="preserve"> with an isentropic efficiency of 1.0, as done for the ORC model. As noted above, different supercooling scenarios </w:t>
      </w:r>
      <w:r>
        <w:lastRenderedPageBreak/>
        <w:t>for the stream entering the pump were considered (0</w:t>
      </w:r>
      <w:r w:rsidRPr="000A2DE1">
        <w:t>°C</w:t>
      </w:r>
      <w:r>
        <w:t>,</w:t>
      </w:r>
      <w:r w:rsidRPr="000A2DE1">
        <w:t xml:space="preserve"> </w:t>
      </w:r>
      <w:r>
        <w:t>2</w:t>
      </w:r>
      <w:r w:rsidRPr="000A2DE1">
        <w:t xml:space="preserve">°C </w:t>
      </w:r>
      <w:r>
        <w:t xml:space="preserve">and </w:t>
      </w:r>
      <w:r w:rsidRPr="000A2DE1">
        <w:t>5°C</w:t>
      </w:r>
      <w:r>
        <w:t>). In a previous study, Kim and Kohl determined that friction losses for the system R-134a+[C</w:t>
      </w:r>
      <w:r>
        <w:rPr>
          <w:vertAlign w:val="subscript"/>
        </w:rPr>
        <w:t>6</w:t>
      </w:r>
      <w:r>
        <w:t>C</w:t>
      </w:r>
      <w:r w:rsidRPr="003316DB">
        <w:rPr>
          <w:vertAlign w:val="subscript"/>
        </w:rPr>
        <w:t>1</w:t>
      </w:r>
      <w:r>
        <w:t>im][Tf</w:t>
      </w:r>
      <w:r w:rsidRPr="003316DB">
        <w:rPr>
          <w:vertAlign w:val="subscript"/>
        </w:rPr>
        <w:t>2</w:t>
      </w:r>
      <w:r>
        <w:t>N] correspond to less than 4% of the total pumping power.</w:t>
      </w:r>
      <w:r w:rsidRPr="00D919E7">
        <w:rPr>
          <w:noProof/>
          <w:vertAlign w:val="superscript"/>
        </w:rPr>
        <w:t>52</w:t>
      </w:r>
      <w:r>
        <w:t xml:space="preserve"> The pump outlet then enters the </w:t>
      </w:r>
      <w:proofErr w:type="spellStart"/>
      <w:r>
        <w:t>recuperator</w:t>
      </w:r>
      <w:proofErr w:type="spellEnd"/>
      <w:r>
        <w:t xml:space="preserve"> (Figure 1b), which for simplicity was modeled using a </w:t>
      </w:r>
      <w:r>
        <w:rPr>
          <w:i/>
          <w:iCs/>
        </w:rPr>
        <w:t>Heater</w:t>
      </w:r>
      <w:r>
        <w:t xml:space="preserve"> block that would preheat the stream entering the </w:t>
      </w:r>
      <w:proofErr w:type="spellStart"/>
      <w:r>
        <w:t>desorber</w:t>
      </w:r>
      <w:proofErr w:type="spellEnd"/>
      <w:r>
        <w:t xml:space="preserve"> by </w:t>
      </w:r>
      <w:r w:rsidRPr="000A2DE1">
        <w:t>5°C</w:t>
      </w:r>
      <w:r>
        <w:t xml:space="preserve"> using any available (no cost) heat source, in analogy to the Aspen Plus</w:t>
      </w:r>
      <w:r w:rsidRPr="00AE2BA5">
        <w:rPr>
          <w:vertAlign w:val="superscript"/>
        </w:rPr>
        <w:t>®</w:t>
      </w:r>
      <w:r>
        <w:t xml:space="preserve"> model of the ORC. These simple Aspen Plus</w:t>
      </w:r>
      <w:r w:rsidRPr="00AE2BA5">
        <w:rPr>
          <w:vertAlign w:val="superscript"/>
        </w:rPr>
        <w:t>®</w:t>
      </w:r>
      <w:r>
        <w:t xml:space="preserve"> models aimed mainly at modeling the thermodynamic performance of both cycles. More realistic models that include rigorously modeling the </w:t>
      </w:r>
      <w:proofErr w:type="spellStart"/>
      <w:r>
        <w:t>recuperator</w:t>
      </w:r>
      <w:proofErr w:type="spellEnd"/>
      <w:r>
        <w:t xml:space="preserve"> in both cycles as a heat exchanger, considering equipment sizing issues, plus including heat and mass transfer limitations could be considered in follow-up work.</w:t>
      </w:r>
    </w:p>
    <w:p w14:paraId="2859BDF6" w14:textId="77777777" w:rsidR="00E60051" w:rsidRDefault="00E60051" w:rsidP="00940816">
      <w:pPr>
        <w:spacing w:line="480" w:lineRule="auto"/>
        <w:jc w:val="both"/>
        <w:rPr>
          <w:b/>
          <w:bCs/>
        </w:rPr>
      </w:pPr>
    </w:p>
    <w:p w14:paraId="15D94709" w14:textId="77777777" w:rsidR="00E60051" w:rsidRDefault="00E60051" w:rsidP="00940816">
      <w:pPr>
        <w:spacing w:line="480" w:lineRule="auto"/>
        <w:jc w:val="both"/>
        <w:rPr>
          <w:b/>
          <w:bCs/>
        </w:rPr>
      </w:pPr>
      <w:r>
        <w:rPr>
          <w:b/>
          <w:bCs/>
        </w:rPr>
        <w:t>3. Results and discussion</w:t>
      </w:r>
    </w:p>
    <w:p w14:paraId="4B86CE61" w14:textId="77777777" w:rsidR="00E60051" w:rsidRDefault="00E60051" w:rsidP="00940816">
      <w:pPr>
        <w:spacing w:line="480" w:lineRule="auto"/>
        <w:jc w:val="both"/>
        <w:rPr>
          <w:b/>
          <w:bCs/>
        </w:rPr>
      </w:pPr>
      <w:r>
        <w:rPr>
          <w:b/>
          <w:bCs/>
        </w:rPr>
        <w:t xml:space="preserve">3.1. Effects of the turbine inlet temperature </w:t>
      </w:r>
      <w:r w:rsidRPr="00186F77">
        <w:rPr>
          <w:b/>
          <w:bCs/>
          <w:i/>
          <w:iCs/>
        </w:rPr>
        <w:t>T</w:t>
      </w:r>
      <w:r w:rsidRPr="00186F77">
        <w:rPr>
          <w:b/>
          <w:bCs/>
          <w:i/>
          <w:iCs/>
          <w:vertAlign w:val="subscript"/>
        </w:rPr>
        <w:t>H</w:t>
      </w:r>
      <w:r>
        <w:rPr>
          <w:b/>
          <w:bCs/>
        </w:rPr>
        <w:t xml:space="preserve"> </w:t>
      </w:r>
    </w:p>
    <w:p w14:paraId="0DA83C3A" w14:textId="77777777" w:rsidR="00E60051" w:rsidRDefault="00E60051" w:rsidP="00AA52AF">
      <w:pPr>
        <w:spacing w:line="480" w:lineRule="auto"/>
        <w:ind w:firstLine="720"/>
        <w:jc w:val="both"/>
      </w:pPr>
      <w:r>
        <w:t xml:space="preserve">Figure 4a represents results of the cycle efficiency </w:t>
      </w:r>
      <w:r w:rsidRPr="00383D43">
        <w:rPr>
          <w:rFonts w:ascii="Symbol" w:hAnsi="Symbol"/>
          <w:i/>
          <w:iCs/>
        </w:rPr>
        <w:t></w:t>
      </w:r>
      <w:r>
        <w:rPr>
          <w:rFonts w:ascii="Symbol" w:hAnsi="Symbol"/>
        </w:rPr>
        <w:t></w:t>
      </w:r>
      <w:r>
        <w:t xml:space="preserve">as the temperature </w:t>
      </w:r>
      <w:r w:rsidRPr="00D87D7F">
        <w:rPr>
          <w:i/>
          <w:iCs/>
        </w:rPr>
        <w:t>T</w:t>
      </w:r>
      <w:r w:rsidRPr="00D87D7F">
        <w:rPr>
          <w:i/>
          <w:iCs/>
          <w:vertAlign w:val="subscript"/>
        </w:rPr>
        <w:t>H</w:t>
      </w:r>
      <w:r>
        <w:t xml:space="preserve"> of the stream entering the turbine is varied, while keeping constant the temperature of </w:t>
      </w:r>
      <w:r w:rsidRPr="00D87D7F">
        <w:t xml:space="preserve">the stream </w:t>
      </w:r>
      <w:r>
        <w:t xml:space="preserve">entering the pump </w:t>
      </w:r>
      <w:r w:rsidRPr="00D87D7F">
        <w:t xml:space="preserve">at </w:t>
      </w:r>
      <w:r w:rsidRPr="00D87D7F">
        <w:rPr>
          <w:i/>
          <w:iCs/>
        </w:rPr>
        <w:t>T</w:t>
      </w:r>
      <w:r w:rsidRPr="00D87D7F">
        <w:rPr>
          <w:i/>
          <w:iCs/>
          <w:vertAlign w:val="subscript"/>
        </w:rPr>
        <w:t>L</w:t>
      </w:r>
      <w:r w:rsidRPr="00D87D7F">
        <w:t xml:space="preserve"> = 40°C</w:t>
      </w:r>
      <w:r>
        <w:t>. The data shown in Figure 4a assumes a 10</w:t>
      </w:r>
      <w:r w:rsidRPr="000A2DE1">
        <w:t>°C</w:t>
      </w:r>
      <w:r>
        <w:t xml:space="preserve"> superheat at the stream entering the turbine in both the ORC and APCs, a 5</w:t>
      </w:r>
      <w:r w:rsidRPr="000A2DE1">
        <w:t>°C</w:t>
      </w:r>
      <w:r>
        <w:t xml:space="preserve"> supercooling in the stream entering the pump in the ORC and no subcooling (0</w:t>
      </w:r>
      <w:r w:rsidRPr="000A2DE1">
        <w:t>°C</w:t>
      </w:r>
      <w:r>
        <w:t>) in any of the APCs. As a first test of the accuracy of the PR-EOS and COSMO-SAC models implemented in Aspen Plus</w:t>
      </w:r>
      <w:r w:rsidRPr="00AE2BA5">
        <w:rPr>
          <w:vertAlign w:val="superscript"/>
        </w:rPr>
        <w:t>®</w:t>
      </w:r>
      <w:r>
        <w:t>, efficiency results computed from these models are compared against similar calculations for the ORC and APC with R-134a+[C</w:t>
      </w:r>
      <w:r>
        <w:rPr>
          <w:vertAlign w:val="subscript"/>
        </w:rPr>
        <w:t>6</w:t>
      </w:r>
      <w:r>
        <w:t>C</w:t>
      </w:r>
      <w:r w:rsidRPr="003316DB">
        <w:rPr>
          <w:vertAlign w:val="subscript"/>
        </w:rPr>
        <w:t>1</w:t>
      </w:r>
      <w:r>
        <w:t>im][Tf</w:t>
      </w:r>
      <w:r w:rsidRPr="003316DB">
        <w:rPr>
          <w:vertAlign w:val="subscript"/>
        </w:rPr>
        <w:t>2</w:t>
      </w:r>
      <w:r>
        <w:t>N] using the PR-vdW2 model from Ren and Scurto,</w:t>
      </w:r>
      <w:r w:rsidRPr="0065509C">
        <w:rPr>
          <w:noProof/>
          <w:vertAlign w:val="superscript"/>
        </w:rPr>
        <w:t>14</w:t>
      </w:r>
      <w:r>
        <w:t xml:space="preserve"> with parameters </w:t>
      </w:r>
      <w:r w:rsidRPr="00E16120">
        <w:t>fitted to the experimental phase equilibrium data</w:t>
      </w:r>
      <w:r>
        <w:t xml:space="preserve"> (see ref.</w:t>
      </w:r>
      <w:r w:rsidRPr="0065509C">
        <w:rPr>
          <w:noProof/>
          <w:vertAlign w:val="superscript"/>
        </w:rPr>
        <w:t>14</w:t>
      </w:r>
      <w:r>
        <w:t xml:space="preserve"> and Figures S1-S2); these PR-vdW2 calculations were performed at </w:t>
      </w:r>
      <w:r w:rsidRPr="00D87D7F">
        <w:rPr>
          <w:i/>
          <w:iCs/>
        </w:rPr>
        <w:t>T</w:t>
      </w:r>
      <w:r w:rsidRPr="00D87D7F">
        <w:rPr>
          <w:i/>
          <w:iCs/>
          <w:vertAlign w:val="subscript"/>
        </w:rPr>
        <w:t>H</w:t>
      </w:r>
      <w:r>
        <w:t xml:space="preserve"> = 10</w:t>
      </w:r>
      <w:r w:rsidRPr="00D87D7F">
        <w:t>0°C</w:t>
      </w:r>
      <w:r>
        <w:t xml:space="preserve"> and 8</w:t>
      </w:r>
      <w:r w:rsidRPr="00D87D7F">
        <w:t>0°C</w:t>
      </w:r>
      <w:r>
        <w:t xml:space="preserve">, and are represented with green symbols in Figure 4a. These results agree well with the efficiencies computed from the PR-EOS in Aspen </w:t>
      </w:r>
      <w:r>
        <w:lastRenderedPageBreak/>
        <w:t>Plus</w:t>
      </w:r>
      <w:r w:rsidRPr="00AE2BA5">
        <w:rPr>
          <w:vertAlign w:val="superscript"/>
        </w:rPr>
        <w:t>®</w:t>
      </w:r>
      <w:r>
        <w:t>, where the slight discrepancies might be caused by the differences in binary interaction parameters. This comparison indicates that the PR-EOS as implemented in Aspen Plus</w:t>
      </w:r>
      <w:r w:rsidRPr="00AE2BA5">
        <w:rPr>
          <w:vertAlign w:val="superscript"/>
        </w:rPr>
        <w:t>®</w:t>
      </w:r>
      <w:r>
        <w:t xml:space="preserve"> (with </w:t>
      </w:r>
      <w:proofErr w:type="spellStart"/>
      <w:r w:rsidRPr="0062466C">
        <w:rPr>
          <w:i/>
          <w:iCs/>
        </w:rPr>
        <w:t>k</w:t>
      </w:r>
      <w:r w:rsidRPr="0062466C">
        <w:rPr>
          <w:i/>
          <w:iCs/>
          <w:vertAlign w:val="subscript"/>
        </w:rPr>
        <w:t>ij</w:t>
      </w:r>
      <w:proofErr w:type="spellEnd"/>
      <w:r w:rsidRPr="0062466C">
        <w:t xml:space="preserve"> = </w:t>
      </w:r>
      <w:proofErr w:type="spellStart"/>
      <w:r w:rsidRPr="0062466C">
        <w:rPr>
          <w:i/>
          <w:iCs/>
        </w:rPr>
        <w:t>l</w:t>
      </w:r>
      <w:r w:rsidRPr="0062466C">
        <w:rPr>
          <w:i/>
          <w:iCs/>
          <w:vertAlign w:val="subscript"/>
        </w:rPr>
        <w:t>ij</w:t>
      </w:r>
      <w:proofErr w:type="spellEnd"/>
      <w:r w:rsidRPr="0062466C">
        <w:t xml:space="preserve"> = 0</w:t>
      </w:r>
      <w:r>
        <w:t xml:space="preserve">) can provide somewhat accurate results for the refrigerant-IL mixtures studied here. In contrast, the computed COSMO-SAC efficiencies are significantly different from the values determined from the PR-vdW2 model (Fig. 4a). This observation is consistent with the phase equilibrium results shown in Figures S1-S2, which indicate that COSMO-SAC tends to overpredict the mole fraction of R-134a in the liquid phase; these results are further discussed below.   </w:t>
      </w:r>
    </w:p>
    <w:tbl>
      <w:tblPr>
        <w:tblStyle w:val="TableGrid"/>
        <w:tblW w:w="0" w:type="auto"/>
        <w:jc w:val="center"/>
        <w:tblLook w:val="04A0" w:firstRow="1" w:lastRow="0" w:firstColumn="1" w:lastColumn="0" w:noHBand="0" w:noVBand="1"/>
      </w:tblPr>
      <w:tblGrid>
        <w:gridCol w:w="4675"/>
        <w:gridCol w:w="4675"/>
      </w:tblGrid>
      <w:tr w:rsidR="00E60051" w:rsidRPr="00EA5719" w14:paraId="4C627697" w14:textId="77777777" w:rsidTr="00A3032D">
        <w:trPr>
          <w:jc w:val="center"/>
        </w:trPr>
        <w:tc>
          <w:tcPr>
            <w:tcW w:w="3189" w:type="dxa"/>
          </w:tcPr>
          <w:p w14:paraId="0A1B4082" w14:textId="77777777" w:rsidR="00E60051" w:rsidRPr="00EA5719" w:rsidRDefault="00E60051" w:rsidP="00AA52AF">
            <w:pPr>
              <w:jc w:val="both"/>
              <w:rPr>
                <w:b/>
                <w:bCs/>
              </w:rPr>
            </w:pPr>
            <w:r w:rsidRPr="00EA5719">
              <w:rPr>
                <w:b/>
                <w:bCs/>
                <w:noProof/>
              </w:rPr>
              <w:drawing>
                <wp:inline distT="0" distB="0" distL="0" distR="0" wp14:anchorId="26C1BDD9" wp14:editId="719CFB01">
                  <wp:extent cx="2880360" cy="2359152"/>
                  <wp:effectExtent l="0" t="0" r="2540" b="3175"/>
                  <wp:docPr id="1"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0360" cy="2359152"/>
                          </a:xfrm>
                          <a:prstGeom prst="rect">
                            <a:avLst/>
                          </a:prstGeom>
                        </pic:spPr>
                      </pic:pic>
                    </a:graphicData>
                  </a:graphic>
                </wp:inline>
              </w:drawing>
            </w:r>
          </w:p>
          <w:p w14:paraId="528680FC" w14:textId="77777777" w:rsidR="00E60051" w:rsidRPr="00EA5719" w:rsidRDefault="00E60051" w:rsidP="00AA52AF">
            <w:pPr>
              <w:jc w:val="center"/>
              <w:rPr>
                <w:b/>
                <w:bCs/>
              </w:rPr>
            </w:pPr>
            <w:r w:rsidRPr="00EA5719">
              <w:rPr>
                <w:b/>
                <w:bCs/>
              </w:rPr>
              <w:t>(a)</w:t>
            </w:r>
          </w:p>
        </w:tc>
        <w:tc>
          <w:tcPr>
            <w:tcW w:w="6161" w:type="dxa"/>
          </w:tcPr>
          <w:p w14:paraId="0D0F2183" w14:textId="77777777" w:rsidR="00E60051" w:rsidRPr="00EA5719" w:rsidRDefault="00E60051" w:rsidP="00AA52AF">
            <w:pPr>
              <w:jc w:val="both"/>
              <w:rPr>
                <w:b/>
                <w:bCs/>
                <w:noProof/>
              </w:rPr>
            </w:pPr>
            <w:r w:rsidRPr="00EA5719">
              <w:rPr>
                <w:b/>
                <w:bCs/>
                <w:noProof/>
              </w:rPr>
              <w:drawing>
                <wp:inline distT="0" distB="0" distL="0" distR="0" wp14:anchorId="2E565904" wp14:editId="41A1A779">
                  <wp:extent cx="2880360" cy="2359152"/>
                  <wp:effectExtent l="0" t="0" r="254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0360" cy="2359152"/>
                          </a:xfrm>
                          <a:prstGeom prst="rect">
                            <a:avLst/>
                          </a:prstGeom>
                        </pic:spPr>
                      </pic:pic>
                    </a:graphicData>
                  </a:graphic>
                </wp:inline>
              </w:drawing>
            </w:r>
          </w:p>
          <w:p w14:paraId="18854987" w14:textId="77777777" w:rsidR="00E60051" w:rsidRPr="00EA5719" w:rsidRDefault="00E60051" w:rsidP="00A3032D">
            <w:pPr>
              <w:jc w:val="center"/>
              <w:rPr>
                <w:b/>
                <w:bCs/>
              </w:rPr>
            </w:pPr>
            <w:r w:rsidRPr="00EA5719">
              <w:rPr>
                <w:b/>
                <w:bCs/>
                <w:noProof/>
              </w:rPr>
              <w:t>(b)</w:t>
            </w:r>
          </w:p>
        </w:tc>
      </w:tr>
    </w:tbl>
    <w:p w14:paraId="786C61AF" w14:textId="77777777" w:rsidR="00E60051" w:rsidRDefault="00E60051" w:rsidP="00EE5508">
      <w:pPr>
        <w:spacing w:line="480" w:lineRule="auto"/>
        <w:jc w:val="both"/>
      </w:pPr>
      <w:r>
        <w:rPr>
          <w:b/>
          <w:bCs/>
        </w:rPr>
        <w:t xml:space="preserve">Figure 4. </w:t>
      </w:r>
      <w:r>
        <w:t xml:space="preserve">Cycle efficiencies as a function of </w:t>
      </w:r>
      <w:r w:rsidRPr="00D87D7F">
        <w:rPr>
          <w:i/>
          <w:iCs/>
        </w:rPr>
        <w:t>T</w:t>
      </w:r>
      <w:r w:rsidRPr="00D87D7F">
        <w:rPr>
          <w:i/>
          <w:iCs/>
          <w:vertAlign w:val="subscript"/>
        </w:rPr>
        <w:t>H</w:t>
      </w:r>
      <w:r>
        <w:t xml:space="preserve">, the temperature of the stream entering the turbine, while keeping </w:t>
      </w:r>
      <w:r w:rsidRPr="00D87D7F">
        <w:rPr>
          <w:i/>
          <w:iCs/>
        </w:rPr>
        <w:t>T</w:t>
      </w:r>
      <w:r w:rsidRPr="00D87D7F">
        <w:rPr>
          <w:i/>
          <w:iCs/>
          <w:vertAlign w:val="subscript"/>
        </w:rPr>
        <w:t>L</w:t>
      </w:r>
      <w:r>
        <w:t xml:space="preserve">, the temperature of the stream entering the pump, constant at </w:t>
      </w:r>
      <w:r w:rsidRPr="00D87D7F">
        <w:t>40°C</w:t>
      </w:r>
      <w:r>
        <w:t>. A superheat of 10</w:t>
      </w:r>
      <w:r w:rsidRPr="000A2DE1">
        <w:t>°C</w:t>
      </w:r>
      <w:r>
        <w:t xml:space="preserve"> was applied to the stream entering the turbine in both the ORC and APCs; a 5</w:t>
      </w:r>
      <w:r w:rsidRPr="000A2DE1">
        <w:t>°C</w:t>
      </w:r>
      <w:r>
        <w:t xml:space="preserve"> supercooling is applied to the stream entering the pump in the ORC, and different supercooling scenarios for this stream were evaluated for the APCs. Blue diamonds, black/purple circles and red/green triangles correspond to the ORC, the APC with the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mixture and the APC with the R-134a+[C</w:t>
      </w:r>
      <w:r>
        <w:rPr>
          <w:vertAlign w:val="subscript"/>
        </w:rPr>
        <w:t>6</w:t>
      </w:r>
      <w:r>
        <w:t>C</w:t>
      </w:r>
      <w:r w:rsidRPr="003316DB">
        <w:rPr>
          <w:vertAlign w:val="subscript"/>
        </w:rPr>
        <w:t>1</w:t>
      </w:r>
      <w:r>
        <w:t>im][Tf</w:t>
      </w:r>
      <w:r w:rsidRPr="003316DB">
        <w:rPr>
          <w:vertAlign w:val="subscript"/>
        </w:rPr>
        <w:t>2</w:t>
      </w:r>
      <w:r>
        <w:t xml:space="preserve">N] mixture, respectively. </w:t>
      </w:r>
      <w:r w:rsidRPr="00EA5719">
        <w:rPr>
          <w:b/>
          <w:bCs/>
        </w:rPr>
        <w:t>(a)</w:t>
      </w:r>
      <w:r>
        <w:t xml:space="preserve"> Supercooling = 0</w:t>
      </w:r>
      <w:r w:rsidRPr="000A2DE1">
        <w:t>°C</w:t>
      </w:r>
      <w:r>
        <w:t xml:space="preserve"> for all APCs. Closed and open symbols represent results obtained with the PR-EOS and the COSMO-SAC models, respectively. The green symbols represent results from calculations for the ORC and </w:t>
      </w:r>
      <w:r>
        <w:lastRenderedPageBreak/>
        <w:t>APC with R-134a+[C</w:t>
      </w:r>
      <w:r>
        <w:rPr>
          <w:vertAlign w:val="subscript"/>
        </w:rPr>
        <w:t>6</w:t>
      </w:r>
      <w:r>
        <w:t>C</w:t>
      </w:r>
      <w:r w:rsidRPr="003316DB">
        <w:rPr>
          <w:vertAlign w:val="subscript"/>
        </w:rPr>
        <w:t>1</w:t>
      </w:r>
      <w:r>
        <w:t>im][Tf</w:t>
      </w:r>
      <w:r w:rsidRPr="003316DB">
        <w:rPr>
          <w:vertAlign w:val="subscript"/>
        </w:rPr>
        <w:t>2</w:t>
      </w:r>
      <w:r>
        <w:t xml:space="preserve">N], using the PR-vdW2 model with parameters </w:t>
      </w:r>
      <w:r w:rsidRPr="00E16120">
        <w:t xml:space="preserve">fitted to </w:t>
      </w:r>
      <w:r>
        <w:t xml:space="preserve">the </w:t>
      </w:r>
      <w:r w:rsidRPr="00E16120">
        <w:t>experimental phase equilibrium data</w:t>
      </w:r>
      <w:r>
        <w:t>.</w:t>
      </w:r>
      <w:r w:rsidRPr="0065509C">
        <w:rPr>
          <w:noProof/>
          <w:vertAlign w:val="superscript"/>
        </w:rPr>
        <w:t>14</w:t>
      </w:r>
      <w:r>
        <w:t xml:space="preserve"> The black dashed line represents the efficiency of the Carnot cycle operating between the same values of </w:t>
      </w:r>
      <w:r w:rsidRPr="00D87D7F">
        <w:rPr>
          <w:i/>
          <w:iCs/>
        </w:rPr>
        <w:t>T</w:t>
      </w:r>
      <w:r w:rsidRPr="00D87D7F">
        <w:rPr>
          <w:i/>
          <w:iCs/>
          <w:vertAlign w:val="subscript"/>
        </w:rPr>
        <w:t>H</w:t>
      </w:r>
      <w:r>
        <w:t xml:space="preserve"> and</w:t>
      </w:r>
      <w:r w:rsidRPr="001201DC">
        <w:rPr>
          <w:i/>
          <w:iCs/>
        </w:rPr>
        <w:t xml:space="preserve"> </w:t>
      </w:r>
      <w:r w:rsidRPr="00D87D7F">
        <w:rPr>
          <w:i/>
          <w:iCs/>
        </w:rPr>
        <w:t>T</w:t>
      </w:r>
      <w:r>
        <w:rPr>
          <w:i/>
          <w:iCs/>
          <w:vertAlign w:val="subscript"/>
        </w:rPr>
        <w:t>L</w:t>
      </w:r>
      <w:r>
        <w:t xml:space="preserve">. </w:t>
      </w:r>
      <w:r w:rsidRPr="00EA5719">
        <w:rPr>
          <w:b/>
          <w:bCs/>
        </w:rPr>
        <w:t>(b)</w:t>
      </w:r>
      <w:r>
        <w:t xml:space="preserve"> PR-EOS results of the ORC efficiencies compared against the performance of the APCs with different pump inlet </w:t>
      </w:r>
      <w:proofErr w:type="spellStart"/>
      <w:r>
        <w:t>supercoolings</w:t>
      </w:r>
      <w:proofErr w:type="spellEnd"/>
      <w:r>
        <w:t>: 0</w:t>
      </w:r>
      <w:r w:rsidRPr="000A2DE1">
        <w:t>°C</w:t>
      </w:r>
      <w:r>
        <w:t xml:space="preserve"> (black, red continuous lines with filled symbols), 2</w:t>
      </w:r>
      <w:r w:rsidRPr="000A2DE1">
        <w:t>°C</w:t>
      </w:r>
      <w:r>
        <w:t xml:space="preserve"> (purple, green dotted lines with open symbols) and 5</w:t>
      </w:r>
      <w:r w:rsidRPr="000A2DE1">
        <w:t>°C</w:t>
      </w:r>
      <w:r>
        <w:t xml:space="preserve"> (purple, green dashed lines with filled symbols); equivalent </w:t>
      </w:r>
      <w:r w:rsidRPr="00F2712E">
        <w:t>results from COSMO-SAC are presented in Figure S3. All data depicted in Figure 4 are presented in Tables S1-S10 of the Supporting Information.</w:t>
      </w:r>
    </w:p>
    <w:p w14:paraId="70EC66D0" w14:textId="77777777" w:rsidR="00E60051" w:rsidRPr="00A133C6" w:rsidRDefault="00E60051" w:rsidP="0045413E">
      <w:pPr>
        <w:spacing w:line="480" w:lineRule="auto"/>
        <w:ind w:firstLine="720"/>
        <w:jc w:val="both"/>
      </w:pPr>
      <w:r>
        <w:t xml:space="preserve">Focusing now on the PR-EOS results shown in Figure 4a, the data indicate that both the ORC and APC efficiencies increase as </w:t>
      </w:r>
      <w:r w:rsidRPr="00D87D7F">
        <w:rPr>
          <w:i/>
          <w:iCs/>
        </w:rPr>
        <w:t>T</w:t>
      </w:r>
      <w:r w:rsidRPr="00D87D7F">
        <w:rPr>
          <w:i/>
          <w:iCs/>
          <w:vertAlign w:val="subscript"/>
        </w:rPr>
        <w:t>H</w:t>
      </w:r>
      <w:r>
        <w:t xml:space="preserve"> increases while keeping </w:t>
      </w:r>
      <w:r w:rsidRPr="00D87D7F">
        <w:rPr>
          <w:i/>
          <w:iCs/>
        </w:rPr>
        <w:t>T</w:t>
      </w:r>
      <w:r w:rsidRPr="00D87D7F">
        <w:rPr>
          <w:i/>
          <w:iCs/>
          <w:vertAlign w:val="subscript"/>
        </w:rPr>
        <w:t>L</w:t>
      </w:r>
      <w:r>
        <w:t xml:space="preserve"> constant, which is consistent with the Carnot efficiency, </w:t>
      </w:r>
      <m:oMath>
        <m:sSub>
          <m:sSubPr>
            <m:ctrlPr>
              <w:rPr>
                <w:rFonts w:ascii="Cambria Math" w:hAnsi="Cambria Math"/>
                <w:i/>
              </w:rPr>
            </m:ctrlPr>
          </m:sSubPr>
          <m:e>
            <m:r>
              <w:rPr>
                <w:rFonts w:ascii="Cambria Math" w:hAnsi="Cambria Math"/>
              </w:rPr>
              <m:t>η</m:t>
            </m:r>
          </m:e>
          <m:sub>
            <m:r>
              <w:rPr>
                <w:rFonts w:ascii="Cambria Math" w:hAnsi="Cambria Math"/>
              </w:rPr>
              <m:t>Carnot</m:t>
            </m:r>
          </m:sub>
        </m:sSub>
        <m:r>
          <w:rPr>
            <w:rFonts w:ascii="Cambria Math" w:hAnsi="Cambria Math"/>
          </w:rPr>
          <m:t>=1-</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L</m:t>
                </m:r>
              </m:sub>
            </m:sSub>
          </m:num>
          <m:den>
            <m:sSub>
              <m:sSubPr>
                <m:ctrlPr>
                  <w:rPr>
                    <w:rFonts w:ascii="Cambria Math" w:hAnsi="Cambria Math"/>
                    <w:i/>
                  </w:rPr>
                </m:ctrlPr>
              </m:sSubPr>
              <m:e>
                <m:r>
                  <w:rPr>
                    <w:rFonts w:ascii="Cambria Math" w:hAnsi="Cambria Math"/>
                  </w:rPr>
                  <m:t>T</m:t>
                </m:r>
              </m:e>
              <m:sub>
                <m:r>
                  <w:rPr>
                    <w:rFonts w:ascii="Cambria Math" w:hAnsi="Cambria Math"/>
                  </w:rPr>
                  <m:t>H</m:t>
                </m:r>
              </m:sub>
            </m:sSub>
          </m:den>
        </m:f>
      </m:oMath>
      <w:r>
        <w:t xml:space="preserve"> (Figure 4a). The Carnot cycle provides the maximum theoretical efficiency possible for a heat engine, for any given values of </w:t>
      </w:r>
      <w:r w:rsidRPr="00D87D7F">
        <w:rPr>
          <w:i/>
          <w:iCs/>
        </w:rPr>
        <w:t>T</w:t>
      </w:r>
      <w:r w:rsidRPr="00D87D7F">
        <w:rPr>
          <w:i/>
          <w:iCs/>
          <w:vertAlign w:val="subscript"/>
        </w:rPr>
        <w:t>H</w:t>
      </w:r>
      <w:r>
        <w:t xml:space="preserve"> and </w:t>
      </w:r>
      <w:r w:rsidRPr="00D87D7F">
        <w:rPr>
          <w:i/>
          <w:iCs/>
        </w:rPr>
        <w:t>T</w:t>
      </w:r>
      <w:r w:rsidRPr="00D87D7F">
        <w:rPr>
          <w:i/>
          <w:iCs/>
          <w:vertAlign w:val="subscript"/>
        </w:rPr>
        <w:t>L</w:t>
      </w:r>
      <w:r>
        <w:t xml:space="preserve">. In general, as the turbine is set in this study to produce 10 kW of power, a reduction in </w:t>
      </w:r>
      <w:r w:rsidRPr="00D87D7F">
        <w:rPr>
          <w:i/>
          <w:iCs/>
        </w:rPr>
        <w:t>T</w:t>
      </w:r>
      <w:r w:rsidRPr="00D87D7F">
        <w:rPr>
          <w:i/>
          <w:iCs/>
          <w:vertAlign w:val="subscript"/>
        </w:rPr>
        <w:t>H</w:t>
      </w:r>
      <w:r>
        <w:t xml:space="preserve"> </w:t>
      </w:r>
      <w:r w:rsidRPr="00CA3EF5">
        <w:t xml:space="preserve">leads to smaller values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pump</m:t>
            </m:r>
          </m:sub>
        </m:sSub>
      </m:oMath>
      <w:r w:rsidRPr="00CA3EF5">
        <w:rPr>
          <w:rFonts w:eastAsiaTheme="minorEastAsia"/>
        </w:rPr>
        <w:t xml:space="preserve"> (power at</w:t>
      </w:r>
      <w:r>
        <w:rPr>
          <w:rFonts w:eastAsiaTheme="minorEastAsia"/>
        </w:rPr>
        <w:t xml:space="preserve"> the pump, </w:t>
      </w:r>
      <w:r w:rsidRPr="00E17812">
        <w:t xml:space="preserve">Tables </w:t>
      </w:r>
      <w:r>
        <w:t>S1-S3</w:t>
      </w:r>
      <w:r>
        <w:rPr>
          <w:rFonts w:eastAsiaTheme="minorEastAsia"/>
        </w:rPr>
        <w:t>) and to increasingly l</w:t>
      </w:r>
      <w:r>
        <w:t xml:space="preserve">arger values of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H</m:t>
            </m:r>
          </m:sub>
        </m:sSub>
      </m:oMath>
      <w:r>
        <w:t xml:space="preserve"> (heat rates at the ORC evaporator or APC desorber, </w:t>
      </w:r>
      <w:r w:rsidRPr="00E17812">
        <w:t xml:space="preserve">Tables </w:t>
      </w:r>
      <w:r>
        <w:t xml:space="preserve">S1-S3), with the overall effect of reducing the cycle efficiency. For given values of </w:t>
      </w:r>
      <w:r w:rsidRPr="00D87D7F">
        <w:rPr>
          <w:i/>
          <w:iCs/>
        </w:rPr>
        <w:t>T</w:t>
      </w:r>
      <w:r w:rsidRPr="00D87D7F">
        <w:rPr>
          <w:i/>
          <w:iCs/>
          <w:vertAlign w:val="subscript"/>
        </w:rPr>
        <w:t>H</w:t>
      </w:r>
      <w:r>
        <w:t xml:space="preserve"> and </w:t>
      </w:r>
      <w:r w:rsidRPr="00D87D7F">
        <w:rPr>
          <w:i/>
          <w:iCs/>
        </w:rPr>
        <w:t>T</w:t>
      </w:r>
      <w:r w:rsidRPr="00D87D7F">
        <w:rPr>
          <w:i/>
          <w:iCs/>
          <w:vertAlign w:val="subscript"/>
        </w:rPr>
        <w:t>L</w:t>
      </w:r>
      <w:r>
        <w:t>, the computed APC efficiencies are in general very similar for the mixtures of R-134a with either [C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or [C</w:t>
      </w:r>
      <w:r>
        <w:rPr>
          <w:vertAlign w:val="subscript"/>
        </w:rPr>
        <w:t>6</w:t>
      </w:r>
      <w:r>
        <w:t>C</w:t>
      </w:r>
      <w:r w:rsidRPr="003316DB">
        <w:rPr>
          <w:vertAlign w:val="subscript"/>
        </w:rPr>
        <w:t>1</w:t>
      </w:r>
      <w:r>
        <w:t>im][Tf</w:t>
      </w:r>
      <w:r w:rsidRPr="003316DB">
        <w:rPr>
          <w:vertAlign w:val="subscript"/>
        </w:rPr>
        <w:t>2</w:t>
      </w:r>
      <w:r>
        <w:t>N], although slightly higher for the former system compared to the latter (</w:t>
      </w:r>
      <w:r>
        <w:rPr>
          <w:rFonts w:eastAsiaTheme="minorEastAsia"/>
        </w:rPr>
        <w:t xml:space="preserve">see </w:t>
      </w:r>
      <w:r w:rsidRPr="00E17812">
        <w:t xml:space="preserve">Tables </w:t>
      </w:r>
      <w:r>
        <w:t xml:space="preserve">S2-S3). The results also indicate that for the combinations of </w:t>
      </w:r>
      <w:r w:rsidRPr="00D87D7F">
        <w:rPr>
          <w:i/>
          <w:iCs/>
        </w:rPr>
        <w:t>T</w:t>
      </w:r>
      <w:r w:rsidRPr="00D87D7F">
        <w:rPr>
          <w:i/>
          <w:iCs/>
          <w:vertAlign w:val="subscript"/>
        </w:rPr>
        <w:t>H</w:t>
      </w:r>
      <w:r>
        <w:t xml:space="preserve"> and </w:t>
      </w:r>
      <w:r w:rsidRPr="00D87D7F">
        <w:rPr>
          <w:i/>
          <w:iCs/>
        </w:rPr>
        <w:t>T</w:t>
      </w:r>
      <w:r w:rsidRPr="00D87D7F">
        <w:rPr>
          <w:i/>
          <w:iCs/>
          <w:vertAlign w:val="subscript"/>
        </w:rPr>
        <w:t>L</w:t>
      </w:r>
      <w:r>
        <w:t xml:space="preserve"> studied, the efficiency of the APC is always larger than that of the ORC, around 10-11% larger for the higher </w:t>
      </w:r>
      <w:r w:rsidRPr="00D87D7F">
        <w:rPr>
          <w:i/>
          <w:iCs/>
        </w:rPr>
        <w:t>T</w:t>
      </w:r>
      <w:r w:rsidRPr="00D87D7F">
        <w:rPr>
          <w:i/>
          <w:iCs/>
          <w:vertAlign w:val="subscript"/>
        </w:rPr>
        <w:t>H</w:t>
      </w:r>
      <w:r>
        <w:t xml:space="preserve"> studied (100</w:t>
      </w:r>
      <w:r w:rsidRPr="000A2DE1">
        <w:t>°C</w:t>
      </w:r>
      <w:r>
        <w:t xml:space="preserve">) but up to 45-46% larger for the lowest </w:t>
      </w:r>
      <w:r w:rsidRPr="00D87D7F">
        <w:rPr>
          <w:i/>
          <w:iCs/>
        </w:rPr>
        <w:t>T</w:t>
      </w:r>
      <w:r w:rsidRPr="00D87D7F">
        <w:rPr>
          <w:i/>
          <w:iCs/>
          <w:vertAlign w:val="subscript"/>
        </w:rPr>
        <w:t>H</w:t>
      </w:r>
      <w:r>
        <w:t xml:space="preserve"> considered (65</w:t>
      </w:r>
      <w:r w:rsidRPr="000A2DE1">
        <w:t>°C</w:t>
      </w:r>
      <w:r>
        <w:t xml:space="preserve">). For any given values of </w:t>
      </w:r>
      <w:r w:rsidRPr="00D87D7F">
        <w:rPr>
          <w:i/>
          <w:iCs/>
        </w:rPr>
        <w:t>T</w:t>
      </w:r>
      <w:r w:rsidRPr="00D87D7F">
        <w:rPr>
          <w:i/>
          <w:iCs/>
          <w:vertAlign w:val="subscript"/>
        </w:rPr>
        <w:t>H</w:t>
      </w:r>
      <w:r>
        <w:t xml:space="preserve"> and </w:t>
      </w:r>
      <w:r w:rsidRPr="00D87D7F">
        <w:rPr>
          <w:i/>
          <w:iCs/>
        </w:rPr>
        <w:t>T</w:t>
      </w:r>
      <w:r w:rsidRPr="00D87D7F">
        <w:rPr>
          <w:i/>
          <w:iCs/>
          <w:vertAlign w:val="subscript"/>
        </w:rPr>
        <w:t>L</w:t>
      </w:r>
      <w:r>
        <w:t xml:space="preserve">, while the values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pump</m:t>
            </m:r>
          </m:sub>
        </m:sSub>
      </m:oMath>
      <w:r>
        <w:t xml:space="preserve"> are comparatively similar between the ORC and the APCs (</w:t>
      </w:r>
      <w:r w:rsidRPr="00E17812">
        <w:t xml:space="preserve">Tables </w:t>
      </w:r>
      <w:r>
        <w:t xml:space="preserve">S1-S3), the value of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H</m:t>
            </m:r>
          </m:sub>
        </m:sSub>
      </m:oMath>
      <w:r>
        <w:t xml:space="preserve"> required at the APC desorber is always s</w:t>
      </w:r>
      <w:proofErr w:type="spellStart"/>
      <w:r>
        <w:t>maller</w:t>
      </w:r>
      <w:proofErr w:type="spellEnd"/>
      <w:r>
        <w:t xml:space="preserve"> than the heat rate required at the </w:t>
      </w:r>
      <w:r>
        <w:lastRenderedPageBreak/>
        <w:t xml:space="preserve">ORC evaporator, with this difference increasing as </w:t>
      </w:r>
      <w:r w:rsidRPr="00D87D7F">
        <w:rPr>
          <w:i/>
          <w:iCs/>
        </w:rPr>
        <w:t>T</w:t>
      </w:r>
      <w:r w:rsidRPr="00D87D7F">
        <w:rPr>
          <w:i/>
          <w:iCs/>
          <w:vertAlign w:val="subscript"/>
        </w:rPr>
        <w:t>H</w:t>
      </w:r>
      <w:r>
        <w:t xml:space="preserve"> is lowered. This observation suggests that for the range of </w:t>
      </w:r>
      <w:r w:rsidRPr="00D87D7F">
        <w:rPr>
          <w:i/>
          <w:iCs/>
        </w:rPr>
        <w:t>T</w:t>
      </w:r>
      <w:r w:rsidRPr="00D87D7F">
        <w:rPr>
          <w:i/>
          <w:iCs/>
          <w:vertAlign w:val="subscript"/>
        </w:rPr>
        <w:t>H</w:t>
      </w:r>
      <w:r>
        <w:t xml:space="preserve"> and corresponding pressures studied, t</w:t>
      </w:r>
      <w:r w:rsidRPr="00C14AD5">
        <w:t xml:space="preserve">he enthalpy of </w:t>
      </w:r>
      <w:r>
        <w:t>de</w:t>
      </w:r>
      <w:r w:rsidRPr="00C14AD5">
        <w:t xml:space="preserve">sorption of the </w:t>
      </w:r>
      <w:r>
        <w:t>refrigerant from</w:t>
      </w:r>
      <w:r w:rsidRPr="00C14AD5">
        <w:t xml:space="preserve"> the </w:t>
      </w:r>
      <w:r>
        <w:t>IL</w:t>
      </w:r>
      <w:r w:rsidRPr="00C14AD5">
        <w:t xml:space="preserve"> </w:t>
      </w:r>
      <w:r>
        <w:t xml:space="preserve">is smaller than the </w:t>
      </w:r>
      <w:r w:rsidRPr="00EC3846">
        <w:t>heat</w:t>
      </w:r>
      <w:r>
        <w:t xml:space="preserve"> needed to produce a superheated R-134a vapor from its subcooled liquid phase, with the flow rates also playing an important role (see Figure 5 and discussion below). These results indicate that the APC</w:t>
      </w:r>
      <w:r w:rsidRPr="00655B9A">
        <w:t xml:space="preserve"> becomes </w:t>
      </w:r>
      <w:r>
        <w:t xml:space="preserve">much </w:t>
      </w:r>
      <w:r w:rsidRPr="00655B9A">
        <w:t>better than the ORC</w:t>
      </w:r>
      <w:r>
        <w:t xml:space="preserve"> with worse grade heating </w:t>
      </w:r>
      <w:r w:rsidRPr="00655B9A">
        <w:t>sources</w:t>
      </w:r>
      <w:r>
        <w:t xml:space="preserve">. </w:t>
      </w:r>
      <w:r w:rsidRPr="00655B9A">
        <w:t xml:space="preserve">While </w:t>
      </w:r>
      <w:r>
        <w:t xml:space="preserve">the fractional </w:t>
      </w:r>
      <w:r w:rsidRPr="00655B9A">
        <w:t>improvement</w:t>
      </w:r>
      <w:r>
        <w:t>s in efficiency listed above</w:t>
      </w:r>
      <w:r w:rsidRPr="00655B9A">
        <w:t xml:space="preserve"> may not seem </w:t>
      </w:r>
      <w:r>
        <w:t xml:space="preserve">very </w:t>
      </w:r>
      <w:r w:rsidRPr="00655B9A">
        <w:t xml:space="preserve">sizeable, </w:t>
      </w:r>
      <w:r>
        <w:t xml:space="preserve">it is noted that here two standard ILs were chosen </w:t>
      </w:r>
      <w:r w:rsidRPr="00655B9A">
        <w:t>out of over a million theoretical possibilitie</w:t>
      </w:r>
      <w:r>
        <w:t>s.</w:t>
      </w:r>
      <w:r w:rsidRPr="00655B9A">
        <w:rPr>
          <w:b/>
        </w:rPr>
        <w:t xml:space="preserve"> </w:t>
      </w:r>
      <w:r w:rsidRPr="00655B9A">
        <w:rPr>
          <w:bCs/>
        </w:rPr>
        <w:t xml:space="preserve">These </w:t>
      </w:r>
      <w:r>
        <w:rPr>
          <w:bCs/>
        </w:rPr>
        <w:t xml:space="preserve">results </w:t>
      </w:r>
      <w:r w:rsidRPr="00655B9A">
        <w:rPr>
          <w:bCs/>
        </w:rPr>
        <w:t>are very encouraging</w:t>
      </w:r>
      <w:r>
        <w:rPr>
          <w:bCs/>
        </w:rPr>
        <w:t>, as the</w:t>
      </w:r>
      <w:r w:rsidRPr="00655B9A">
        <w:rPr>
          <w:bCs/>
        </w:rPr>
        <w:t xml:space="preserve"> </w:t>
      </w:r>
      <w:r>
        <w:rPr>
          <w:bCs/>
        </w:rPr>
        <w:t>R-134a+IL</w:t>
      </w:r>
      <w:r w:rsidRPr="00655B9A">
        <w:rPr>
          <w:bCs/>
        </w:rPr>
        <w:t xml:space="preserve"> mixture</w:t>
      </w:r>
      <w:r>
        <w:rPr>
          <w:bCs/>
        </w:rPr>
        <w:t xml:space="preserve">s considered here </w:t>
      </w:r>
      <w:r w:rsidRPr="00655B9A">
        <w:rPr>
          <w:bCs/>
        </w:rPr>
        <w:t>w</w:t>
      </w:r>
      <w:r>
        <w:rPr>
          <w:bCs/>
        </w:rPr>
        <w:t>ere basically</w:t>
      </w:r>
      <w:r w:rsidRPr="00655B9A">
        <w:rPr>
          <w:bCs/>
        </w:rPr>
        <w:t xml:space="preserve"> model system</w:t>
      </w:r>
      <w:r>
        <w:rPr>
          <w:bCs/>
        </w:rPr>
        <w:t xml:space="preserve">s, </w:t>
      </w:r>
      <w:r w:rsidRPr="00655B9A">
        <w:rPr>
          <w:bCs/>
        </w:rPr>
        <w:t>unoptimized neither for performance in th</w:t>
      </w:r>
      <w:r>
        <w:rPr>
          <w:bCs/>
        </w:rPr>
        <w:t>e</w:t>
      </w:r>
      <w:r w:rsidRPr="00655B9A">
        <w:rPr>
          <w:bCs/>
        </w:rPr>
        <w:t xml:space="preserve"> </w:t>
      </w:r>
      <w:r>
        <w:rPr>
          <w:bCs/>
        </w:rPr>
        <w:t xml:space="preserve">APC </w:t>
      </w:r>
      <w:r w:rsidRPr="00655B9A">
        <w:rPr>
          <w:bCs/>
        </w:rPr>
        <w:t>nor for matching heating and cooling temperatures.</w:t>
      </w:r>
      <w:r w:rsidRPr="00D23437">
        <w:t xml:space="preserve"> </w:t>
      </w:r>
      <w:r>
        <w:t>A</w:t>
      </w:r>
      <w:r w:rsidRPr="00655B9A">
        <w:t>t the very least</w:t>
      </w:r>
      <w:r>
        <w:t xml:space="preserve"> these results</w:t>
      </w:r>
      <w:r w:rsidRPr="00655B9A">
        <w:t xml:space="preserve"> confirm the proof</w:t>
      </w:r>
      <w:r>
        <w:t xml:space="preserve"> </w:t>
      </w:r>
      <w:r w:rsidRPr="00655B9A">
        <w:t>of</w:t>
      </w:r>
      <w:r>
        <w:t xml:space="preserve"> </w:t>
      </w:r>
      <w:r w:rsidRPr="00655B9A">
        <w:t xml:space="preserve">concept and </w:t>
      </w:r>
      <w:r>
        <w:t xml:space="preserve">can be used </w:t>
      </w:r>
      <w:r w:rsidRPr="00655B9A">
        <w:t>to further confirm, understand, optimize and develop the fundamentals</w:t>
      </w:r>
      <w:r>
        <w:t xml:space="preserve"> in follow up work.</w:t>
      </w:r>
      <w:r w:rsidRPr="00655B9A">
        <w:t xml:space="preserve"> Considering the staggering number of potential ILs and working fluid combinations, </w:t>
      </w:r>
      <w:r>
        <w:t xml:space="preserve">much larger </w:t>
      </w:r>
      <w:r w:rsidRPr="00655B9A">
        <w:t>improvement</w:t>
      </w:r>
      <w:r>
        <w:t>s</w:t>
      </w:r>
      <w:r w:rsidRPr="00655B9A">
        <w:t xml:space="preserve"> in </w:t>
      </w:r>
      <w:r>
        <w:t xml:space="preserve">cycle </w:t>
      </w:r>
      <w:r w:rsidRPr="00655B9A">
        <w:t>efficienc</w:t>
      </w:r>
      <w:r>
        <w:t>ies</w:t>
      </w:r>
      <w:r w:rsidRPr="00655B9A">
        <w:t xml:space="preserve"> </w:t>
      </w:r>
      <w:r>
        <w:t xml:space="preserve">could be </w:t>
      </w:r>
      <w:r w:rsidRPr="00655B9A">
        <w:t>anticipated.</w:t>
      </w:r>
    </w:p>
    <w:p w14:paraId="38313DA9" w14:textId="77777777" w:rsidR="00E60051" w:rsidRDefault="00E60051" w:rsidP="0045413E">
      <w:pPr>
        <w:spacing w:line="480" w:lineRule="auto"/>
        <w:ind w:firstLine="720"/>
        <w:jc w:val="both"/>
      </w:pPr>
      <w:r>
        <w:t xml:space="preserve">The trends described above for the PR-EOS results shown in Figure 4a are similar to the trends observed for the </w:t>
      </w:r>
      <w:r w:rsidRPr="00E16120">
        <w:t>COSMO-SAC</w:t>
      </w:r>
      <w:r>
        <w:t xml:space="preserve"> results. In </w:t>
      </w:r>
      <w:r w:rsidRPr="00E16120">
        <w:t>general</w:t>
      </w:r>
      <w:r>
        <w:t>,</w:t>
      </w:r>
      <w:r w:rsidRPr="00E16120">
        <w:t xml:space="preserve"> the cycle efficiencies computed from COSMO-SAC are </w:t>
      </w:r>
      <w:r>
        <w:t>larger</w:t>
      </w:r>
      <w:r w:rsidRPr="00E16120">
        <w:t xml:space="preserve"> than those</w:t>
      </w:r>
      <w:r>
        <w:t xml:space="preserve"> determined with </w:t>
      </w:r>
      <w:r w:rsidRPr="00E16120">
        <w:t>the PR-E</w:t>
      </w:r>
      <w:r>
        <w:t>O</w:t>
      </w:r>
      <w:r w:rsidRPr="00E16120">
        <w:t>S</w:t>
      </w:r>
      <w:r>
        <w:t xml:space="preserve">. These differences can be linked to the fact that </w:t>
      </w:r>
      <w:r w:rsidRPr="00E16120">
        <w:t xml:space="preserve">COSMO-SAC tends to overpredict the </w:t>
      </w:r>
      <w:r w:rsidRPr="00214131">
        <w:t>solubility</w:t>
      </w:r>
      <w:r w:rsidRPr="00E16120">
        <w:t xml:space="preserve"> of </w:t>
      </w:r>
      <w:r>
        <w:t>R-134a</w:t>
      </w:r>
      <w:r w:rsidRPr="00E16120">
        <w:t xml:space="preserve"> in the IL at any given </w:t>
      </w:r>
      <w:r w:rsidRPr="00AD49DB">
        <w:rPr>
          <w:i/>
          <w:iCs/>
        </w:rPr>
        <w:t>T</w:t>
      </w:r>
      <w:r>
        <w:t xml:space="preserve"> and </w:t>
      </w:r>
      <w:r w:rsidRPr="00AD49DB">
        <w:rPr>
          <w:i/>
          <w:iCs/>
        </w:rPr>
        <w:t>P</w:t>
      </w:r>
      <w:r w:rsidRPr="00E16120">
        <w:t>, as compared to the PR-</w:t>
      </w:r>
      <w:r>
        <w:t>vdW2 model</w:t>
      </w:r>
      <w:r w:rsidRPr="00E16120">
        <w:t xml:space="preserve"> </w:t>
      </w:r>
      <w:r>
        <w:t>and experimental data for the R-134a+IL systems</w:t>
      </w:r>
      <w:r w:rsidRPr="0065509C">
        <w:rPr>
          <w:noProof/>
          <w:vertAlign w:val="superscript"/>
        </w:rPr>
        <w:t>14</w:t>
      </w:r>
      <w:r>
        <w:t xml:space="preserve"> (</w:t>
      </w:r>
      <w:r w:rsidRPr="00B650F6">
        <w:t>Figures S1</w:t>
      </w:r>
      <w:r>
        <w:t>-</w:t>
      </w:r>
      <w:r w:rsidRPr="00B650F6">
        <w:t>S2</w:t>
      </w:r>
      <w:r>
        <w:t xml:space="preserve">). Both </w:t>
      </w:r>
      <w:r w:rsidRPr="00E16120">
        <w:t>PR-E</w:t>
      </w:r>
      <w:r>
        <w:t>O</w:t>
      </w:r>
      <w:r w:rsidRPr="00E16120">
        <w:t>S</w:t>
      </w:r>
      <w:r>
        <w:t xml:space="preserve"> and COSMO-SAC yield similar values for the saturation pressures of R-134a, which then were used in combination with the 10</w:t>
      </w:r>
      <w:r w:rsidRPr="000A2DE1">
        <w:t>°C</w:t>
      </w:r>
      <w:r>
        <w:t xml:space="preserve"> superheat at the turbine inlet in both ORC and APCs, and the 5</w:t>
      </w:r>
      <w:r w:rsidRPr="000A2DE1">
        <w:t>°C</w:t>
      </w:r>
      <w:r>
        <w:t xml:space="preserve"> supercooling at the inlet of the ORC pump, to calculate the operating pressures in the ORC and APCs for different values of </w:t>
      </w:r>
      <w:r w:rsidRPr="00D87D7F">
        <w:rPr>
          <w:i/>
          <w:iCs/>
        </w:rPr>
        <w:t>T</w:t>
      </w:r>
      <w:r w:rsidRPr="00D87D7F">
        <w:rPr>
          <w:i/>
          <w:iCs/>
          <w:vertAlign w:val="subscript"/>
        </w:rPr>
        <w:t>H</w:t>
      </w:r>
      <w:r>
        <w:t xml:space="preserve"> and </w:t>
      </w:r>
      <w:r w:rsidRPr="00D87D7F">
        <w:rPr>
          <w:i/>
          <w:iCs/>
        </w:rPr>
        <w:t>T</w:t>
      </w:r>
      <w:r w:rsidRPr="00D87D7F">
        <w:rPr>
          <w:i/>
          <w:iCs/>
          <w:vertAlign w:val="subscript"/>
        </w:rPr>
        <w:t>L</w:t>
      </w:r>
      <w:r>
        <w:t xml:space="preserve"> (compare pressures from PR-EOS and COSMO-SAC in </w:t>
      </w:r>
      <w:r w:rsidRPr="00E17812">
        <w:t xml:space="preserve">Tables </w:t>
      </w:r>
      <w:r>
        <w:t xml:space="preserve">S1-S3 and S8-S10). However, both models </w:t>
      </w:r>
      <w:r w:rsidRPr="00265477">
        <w:t xml:space="preserve">yield </w:t>
      </w:r>
      <w:r w:rsidRPr="00265477">
        <w:lastRenderedPageBreak/>
        <w:t xml:space="preserve">different values </w:t>
      </w:r>
      <w:r>
        <w:t xml:space="preserve">for the </w:t>
      </w:r>
      <w:r w:rsidRPr="00265477">
        <w:t xml:space="preserve">heat of evaporation </w:t>
      </w:r>
      <w:r>
        <w:t>of</w:t>
      </w:r>
      <w:r w:rsidRPr="00265477">
        <w:t xml:space="preserve"> pure R</w:t>
      </w:r>
      <w:r>
        <w:t>-</w:t>
      </w:r>
      <w:r w:rsidRPr="00265477">
        <w:t>134a</w:t>
      </w:r>
      <w:r>
        <w:t xml:space="preserve"> and</w:t>
      </w:r>
      <w:r w:rsidRPr="00265477">
        <w:t xml:space="preserve"> </w:t>
      </w:r>
      <w:r>
        <w:t>for the</w:t>
      </w:r>
      <w:r w:rsidRPr="00265477">
        <w:t xml:space="preserve"> enthalpy changes </w:t>
      </w:r>
      <w:r>
        <w:t xml:space="preserve">in </w:t>
      </w:r>
      <w:r w:rsidRPr="00265477">
        <w:t xml:space="preserve">the refrigerant-IL mixtures </w:t>
      </w:r>
      <w:r>
        <w:t>(</w:t>
      </w:r>
      <w:r w:rsidRPr="00265477">
        <w:t xml:space="preserve">compare values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H</m:t>
            </m:r>
          </m:sub>
        </m:sSub>
      </m:oMath>
      <w:r w:rsidRPr="0026547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pump</m:t>
            </m:r>
          </m:sub>
        </m:sSub>
      </m:oMath>
      <w:r w:rsidRPr="00265477">
        <w:t xml:space="preserve"> from PR-EOS and COSMO-SAC in </w:t>
      </w:r>
      <w:r w:rsidRPr="00E17812">
        <w:t xml:space="preserve">Tables </w:t>
      </w:r>
      <w:r>
        <w:t>S1-S3 and S8-S10</w:t>
      </w:r>
      <w:r w:rsidRPr="00E23F0D">
        <w:t>)</w:t>
      </w:r>
      <w:r>
        <w:t xml:space="preserve">. The differences between the cycle efficiencies determined from COSMO-SAC and PR-EOS increase as </w:t>
      </w:r>
      <w:r w:rsidRPr="00D87D7F">
        <w:rPr>
          <w:i/>
          <w:iCs/>
        </w:rPr>
        <w:t>T</w:t>
      </w:r>
      <w:r w:rsidRPr="00D87D7F">
        <w:rPr>
          <w:i/>
          <w:iCs/>
          <w:vertAlign w:val="subscript"/>
        </w:rPr>
        <w:t>H</w:t>
      </w:r>
      <w:r>
        <w:t xml:space="preserve"> is raised for both cycles. In analogy to the PR-EOS results, COSMO-SAC predicts that the differences between the APC and ORC efficiencies increase as </w:t>
      </w:r>
      <w:r w:rsidRPr="00D87D7F">
        <w:rPr>
          <w:i/>
          <w:iCs/>
        </w:rPr>
        <w:t>T</w:t>
      </w:r>
      <w:r w:rsidRPr="00D87D7F">
        <w:rPr>
          <w:i/>
          <w:iCs/>
          <w:vertAlign w:val="subscript"/>
        </w:rPr>
        <w:t>H</w:t>
      </w:r>
      <w:r>
        <w:t xml:space="preserve"> is lowered; however, the COSMO-SAC efficiencies for the APC and ORC are very similar at the highest </w:t>
      </w:r>
      <w:r w:rsidRPr="00D87D7F">
        <w:rPr>
          <w:i/>
          <w:iCs/>
        </w:rPr>
        <w:t>T</w:t>
      </w:r>
      <w:r w:rsidRPr="00D87D7F">
        <w:rPr>
          <w:i/>
          <w:iCs/>
          <w:vertAlign w:val="subscript"/>
        </w:rPr>
        <w:t>H</w:t>
      </w:r>
      <w:r>
        <w:t xml:space="preserve"> studied (100</w:t>
      </w:r>
      <w:r w:rsidRPr="000A2DE1">
        <w:t>°C</w:t>
      </w:r>
      <w:r>
        <w:t xml:space="preserve">), with the trends suggesting that increasing </w:t>
      </w:r>
      <w:r w:rsidRPr="00D87D7F">
        <w:rPr>
          <w:i/>
          <w:iCs/>
        </w:rPr>
        <w:t>T</w:t>
      </w:r>
      <w:r w:rsidRPr="00D87D7F">
        <w:rPr>
          <w:i/>
          <w:iCs/>
          <w:vertAlign w:val="subscript"/>
        </w:rPr>
        <w:t>H</w:t>
      </w:r>
      <w:r>
        <w:t xml:space="preserve"> beyond 100</w:t>
      </w:r>
      <w:r w:rsidRPr="000A2DE1">
        <w:t>°C</w:t>
      </w:r>
      <w:r>
        <w:t xml:space="preserve"> would lead to the ORC having larger efficiency than the APCs, according to COSMO-SAC. Despite these differences between the COSMO-SAC and PR-EOS results, both COSMO-SAC and PR-EOS models yield </w:t>
      </w:r>
      <w:r w:rsidRPr="00E16120">
        <w:t xml:space="preserve">trends for cycle efficiency </w:t>
      </w:r>
      <w:r>
        <w:t xml:space="preserve">that </w:t>
      </w:r>
      <w:r w:rsidRPr="00E16120">
        <w:t>are in qualitative agreement</w:t>
      </w:r>
      <w:r>
        <w:t xml:space="preserve"> for the range of </w:t>
      </w:r>
      <w:r w:rsidRPr="00D87D7F">
        <w:rPr>
          <w:i/>
          <w:iCs/>
        </w:rPr>
        <w:t>T</w:t>
      </w:r>
      <w:r w:rsidRPr="00D87D7F">
        <w:rPr>
          <w:i/>
          <w:iCs/>
          <w:vertAlign w:val="subscript"/>
        </w:rPr>
        <w:t>H</w:t>
      </w:r>
      <w:r>
        <w:t xml:space="preserve"> studied. These results are encouraging keeping in mind that COSMO-SAC is a purely predictive model, in contrast to the vdW2 </w:t>
      </w:r>
      <w:r w:rsidRPr="00E16120">
        <w:t>parameters of the PR</w:t>
      </w:r>
      <w:r>
        <w:t>-</w:t>
      </w:r>
      <w:r w:rsidRPr="00E16120">
        <w:t>E</w:t>
      </w:r>
      <w:r>
        <w:t>O</w:t>
      </w:r>
      <w:r w:rsidRPr="00E16120">
        <w:t>S</w:t>
      </w:r>
      <w:r>
        <w:t xml:space="preserve"> from ref. </w:t>
      </w:r>
      <w:proofErr w:type="gramStart"/>
      <w:r w:rsidRPr="0065509C">
        <w:rPr>
          <w:noProof/>
          <w:vertAlign w:val="superscript"/>
        </w:rPr>
        <w:t>14</w:t>
      </w:r>
      <w:r>
        <w:t xml:space="preserve"> </w:t>
      </w:r>
      <w:r w:rsidRPr="00E16120">
        <w:t xml:space="preserve"> </w:t>
      </w:r>
      <w:r>
        <w:t>which</w:t>
      </w:r>
      <w:proofErr w:type="gramEnd"/>
      <w:r>
        <w:t xml:space="preserve"> </w:t>
      </w:r>
      <w:r w:rsidRPr="00E16120">
        <w:t>were fitted to the experimental phase equilibrium data</w:t>
      </w:r>
      <w:r>
        <w:t>. The predictions of the COSMO-SAC model could in principle be improved. For example, a</w:t>
      </w:r>
      <w:r w:rsidRPr="00803D41">
        <w:t>ttempts such as using different quantum chemical calculations</w:t>
      </w:r>
      <w:r w:rsidRPr="00E5273A">
        <w:rPr>
          <w:noProof/>
          <w:vertAlign w:val="superscript"/>
        </w:rPr>
        <w:t>55</w:t>
      </w:r>
      <w:r w:rsidRPr="00803D41">
        <w:t xml:space="preserve"> and considering directional hydrogen bonding</w:t>
      </w:r>
      <w:r w:rsidRPr="00E5273A">
        <w:rPr>
          <w:noProof/>
          <w:vertAlign w:val="superscript"/>
        </w:rPr>
        <w:t>56</w:t>
      </w:r>
      <w:r w:rsidRPr="00803D41">
        <w:t xml:space="preserve"> in COSMO-SAC have been reported and </w:t>
      </w:r>
      <w:r>
        <w:t>could</w:t>
      </w:r>
      <w:r w:rsidRPr="00803D41">
        <w:t xml:space="preserve"> be considered in </w:t>
      </w:r>
      <w:r>
        <w:t xml:space="preserve">follow up studies. </w:t>
      </w:r>
    </w:p>
    <w:p w14:paraId="54175F39" w14:textId="77777777" w:rsidR="00E60051" w:rsidRPr="00306B11" w:rsidRDefault="00E60051" w:rsidP="00344B40">
      <w:pPr>
        <w:spacing w:line="480" w:lineRule="auto"/>
        <w:ind w:firstLine="720"/>
        <w:jc w:val="both"/>
      </w:pPr>
      <w:r>
        <w:t>A comparison of the performances of the ORC against the APCs with three different degrees of supercooling at the pump inlet stream (0</w:t>
      </w:r>
      <w:r w:rsidRPr="000A2DE1">
        <w:t>°C</w:t>
      </w:r>
      <w:r>
        <w:t>, 2</w:t>
      </w:r>
      <w:r w:rsidRPr="000A2DE1">
        <w:t>°C</w:t>
      </w:r>
      <w:r>
        <w:t xml:space="preserve"> and 5</w:t>
      </w:r>
      <w:r w:rsidRPr="000A2DE1">
        <w:t>°C</w:t>
      </w:r>
      <w:r>
        <w:t>), as computed using the PR-EOS, is shown in Figure 4b. It is noted again here that the pump inlet stream in the ORC has a supercooling of 5</w:t>
      </w:r>
      <w:r w:rsidRPr="000A2DE1">
        <w:t>°C</w:t>
      </w:r>
      <w:r>
        <w:t xml:space="preserve">. The data shown in Figure 4b indicate that increasing supercooling at the pump inlet in the APCs leads to reductions in the cycle efficiency. For all values of </w:t>
      </w:r>
      <w:r w:rsidRPr="00D87D7F">
        <w:rPr>
          <w:i/>
          <w:iCs/>
        </w:rPr>
        <w:t>T</w:t>
      </w:r>
      <w:r w:rsidRPr="00D87D7F">
        <w:rPr>
          <w:i/>
          <w:iCs/>
          <w:vertAlign w:val="subscript"/>
        </w:rPr>
        <w:t>H</w:t>
      </w:r>
      <w:r>
        <w:t xml:space="preserve"> examined, the APCs with 0</w:t>
      </w:r>
      <w:r w:rsidRPr="000A2DE1">
        <w:t>°C</w:t>
      </w:r>
      <w:r>
        <w:t xml:space="preserve"> and 2</w:t>
      </w:r>
      <w:r w:rsidRPr="000A2DE1">
        <w:t>°C</w:t>
      </w:r>
      <w:r>
        <w:t xml:space="preserve"> supercooling have higher efficiencies than the ORC (10-46% and 4-26% larger than the ORC, respectively, with the largest percentual differences observed at the </w:t>
      </w:r>
      <w:r>
        <w:lastRenderedPageBreak/>
        <w:t xml:space="preserve">lowest </w:t>
      </w:r>
      <w:r w:rsidRPr="00D87D7F">
        <w:rPr>
          <w:i/>
          <w:iCs/>
        </w:rPr>
        <w:t>T</w:t>
      </w:r>
      <w:r w:rsidRPr="00D87D7F">
        <w:rPr>
          <w:i/>
          <w:iCs/>
          <w:vertAlign w:val="subscript"/>
        </w:rPr>
        <w:t>H</w:t>
      </w:r>
      <w:r>
        <w:t xml:space="preserve"> considered, 65</w:t>
      </w:r>
      <w:r w:rsidRPr="000A2DE1">
        <w:t>°C</w:t>
      </w:r>
      <w:r>
        <w:t>). In contrast, the APCs with 5</w:t>
      </w:r>
      <w:r w:rsidRPr="000A2DE1">
        <w:t>°C</w:t>
      </w:r>
      <w:r>
        <w:t xml:space="preserve"> subcooling have lower efficiencies than the ORC, with the performance difference increasing in favor of the ORC as </w:t>
      </w:r>
      <w:r w:rsidRPr="00D87D7F">
        <w:rPr>
          <w:i/>
          <w:iCs/>
        </w:rPr>
        <w:t>T</w:t>
      </w:r>
      <w:r w:rsidRPr="00D87D7F">
        <w:rPr>
          <w:i/>
          <w:iCs/>
          <w:vertAlign w:val="subscript"/>
        </w:rPr>
        <w:t>H</w:t>
      </w:r>
      <w:r>
        <w:t xml:space="preserve"> increases. In analogy to what was presented in Figure 4a, the APCs operating with both refrigerant-IL mixtures have similar efficiencies. Keeping </w:t>
      </w:r>
      <w:r w:rsidRPr="00D87D7F">
        <w:rPr>
          <w:i/>
          <w:iCs/>
        </w:rPr>
        <w:t>T</w:t>
      </w:r>
      <w:r>
        <w:rPr>
          <w:i/>
          <w:iCs/>
          <w:vertAlign w:val="subscript"/>
        </w:rPr>
        <w:t>L</w:t>
      </w:r>
      <w:r>
        <w:t xml:space="preserve"> constant while applying higher degrees of s</w:t>
      </w:r>
      <w:r w:rsidRPr="000A2DE1">
        <w:t xml:space="preserve">ubcooling </w:t>
      </w:r>
      <w:r>
        <w:t>results in</w:t>
      </w:r>
      <w:r w:rsidRPr="000A2DE1">
        <w:t xml:space="preserve"> higher turbine </w:t>
      </w:r>
      <w:r>
        <w:t>discharge</w:t>
      </w:r>
      <w:r w:rsidRPr="000A2DE1">
        <w:t xml:space="preserve"> pressures, which in turn </w:t>
      </w:r>
      <w:r>
        <w:t>reduces</w:t>
      </w:r>
      <w:r w:rsidRPr="000A2DE1">
        <w:t xml:space="preserve"> t</w:t>
      </w:r>
      <w:r>
        <w:t>he ratio of the turbine power per mass flow rate, thus leading to a decrease in the cycle efficiency. An important advantage of the APCs over the ORC is that supercooling at the pump inlet stream is not required (see discussion in Section 2), however the results shown in Figure 4b indicate that operating the APCs with a modest supercooling of 2</w:t>
      </w:r>
      <w:r w:rsidRPr="000A2DE1">
        <w:t>°C</w:t>
      </w:r>
      <w:r>
        <w:t xml:space="preserve"> in this stream would still result in efficiency improvements over the ORC performance. Equivalent data as determined from COSMO-SAC are presented in </w:t>
      </w:r>
      <w:r w:rsidRPr="00660F11">
        <w:t>Figure S3 a</w:t>
      </w:r>
      <w:r>
        <w:t xml:space="preserve">nd in general follow the same trends as the results shown in Figure 4b. In contrast to the PR-EOS efficiencies that look approximately parallel to each other (Figure 4b), in the COSMO-SAC results the ORC efficiency curve crosses over the APC performance curves at </w:t>
      </w:r>
      <w:r w:rsidRPr="00D87D7F">
        <w:rPr>
          <w:i/>
          <w:iCs/>
        </w:rPr>
        <w:t>T</w:t>
      </w:r>
      <w:r w:rsidRPr="00D87D7F">
        <w:rPr>
          <w:i/>
          <w:iCs/>
          <w:vertAlign w:val="subscript"/>
        </w:rPr>
        <w:t>H</w:t>
      </w:r>
      <w:r>
        <w:t xml:space="preserve"> &gt; 100</w:t>
      </w:r>
      <w:r w:rsidRPr="000A2DE1">
        <w:t>°C</w:t>
      </w:r>
      <w:r>
        <w:t xml:space="preserve">, </w:t>
      </w:r>
      <w:r w:rsidRPr="00D87D7F">
        <w:rPr>
          <w:i/>
          <w:iCs/>
        </w:rPr>
        <w:t>T</w:t>
      </w:r>
      <w:r w:rsidRPr="00D87D7F">
        <w:rPr>
          <w:i/>
          <w:iCs/>
          <w:vertAlign w:val="subscript"/>
        </w:rPr>
        <w:t>H</w:t>
      </w:r>
      <w:r>
        <w:t xml:space="preserve"> ~ 90</w:t>
      </w:r>
      <w:r w:rsidRPr="000A2DE1">
        <w:t>°C</w:t>
      </w:r>
      <w:r>
        <w:t xml:space="preserve"> and </w:t>
      </w:r>
      <w:r w:rsidRPr="00D87D7F">
        <w:rPr>
          <w:i/>
          <w:iCs/>
        </w:rPr>
        <w:t>T</w:t>
      </w:r>
      <w:r w:rsidRPr="00D87D7F">
        <w:rPr>
          <w:i/>
          <w:iCs/>
          <w:vertAlign w:val="subscript"/>
        </w:rPr>
        <w:t>H</w:t>
      </w:r>
      <w:r>
        <w:t xml:space="preserve"> &lt; 65</w:t>
      </w:r>
      <w:r w:rsidRPr="000A2DE1">
        <w:t>°C</w:t>
      </w:r>
      <w:r>
        <w:t xml:space="preserve"> for 0</w:t>
      </w:r>
      <w:r w:rsidRPr="000A2DE1">
        <w:t>°C</w:t>
      </w:r>
      <w:r>
        <w:t>, 2</w:t>
      </w:r>
      <w:r w:rsidRPr="000A2DE1">
        <w:t>°C</w:t>
      </w:r>
      <w:r>
        <w:t xml:space="preserve"> and 5</w:t>
      </w:r>
      <w:r w:rsidRPr="000A2DE1">
        <w:t>°C</w:t>
      </w:r>
      <w:r>
        <w:t xml:space="preserve"> supercooling, respectively (Figure S3). </w:t>
      </w:r>
    </w:p>
    <w:p w14:paraId="1FACFDF4" w14:textId="77777777" w:rsidR="00E60051" w:rsidRDefault="00E60051" w:rsidP="0045413E">
      <w:pPr>
        <w:spacing w:line="480" w:lineRule="auto"/>
        <w:ind w:firstLine="720"/>
        <w:jc w:val="both"/>
        <w:rPr>
          <w:rFonts w:eastAsiaTheme="minorEastAsia"/>
        </w:rPr>
      </w:pPr>
      <w:r>
        <w:t xml:space="preserve">Figure 5a depicts the flow rates in the stream entering the turbine, as the temperature </w:t>
      </w:r>
      <w:r w:rsidRPr="00D87D7F">
        <w:rPr>
          <w:i/>
          <w:iCs/>
        </w:rPr>
        <w:t>T</w:t>
      </w:r>
      <w:r w:rsidRPr="00D87D7F">
        <w:rPr>
          <w:i/>
          <w:iCs/>
          <w:vertAlign w:val="subscript"/>
        </w:rPr>
        <w:t>H</w:t>
      </w:r>
      <w:r>
        <w:t xml:space="preserve"> of this stream is varied while keeping </w:t>
      </w:r>
      <w:r w:rsidRPr="00D87D7F">
        <w:rPr>
          <w:i/>
          <w:iCs/>
        </w:rPr>
        <w:t>T</w:t>
      </w:r>
      <w:r w:rsidRPr="00D87D7F">
        <w:rPr>
          <w:i/>
          <w:iCs/>
          <w:vertAlign w:val="subscript"/>
        </w:rPr>
        <w:t>L</w:t>
      </w:r>
      <w:r>
        <w:t xml:space="preserve"> constant at </w:t>
      </w:r>
      <w:r w:rsidRPr="00D87D7F">
        <w:t>40°C</w:t>
      </w:r>
      <w:r>
        <w:t>. All the data shown in Figure 5 assumes no supercooling applied to the stream entering the pump in the APCs, while this stream has 5</w:t>
      </w:r>
      <w:r w:rsidRPr="00D87D7F">
        <w:t>°C</w:t>
      </w:r>
      <w:r>
        <w:t xml:space="preserve"> supercooling in the ORC. In general, the flow rates of refrigerant computed with the PR-EOS are larger than those computed with the COSMO-SAC model. However, both the PR-EOS and COSMO-SAC results show similar trends, where the ORC flow rates are larger compared to those determined in the APCs. The flow rates of R-134a diminish as the temperature </w:t>
      </w:r>
      <w:r w:rsidRPr="00D87D7F">
        <w:rPr>
          <w:i/>
          <w:iCs/>
        </w:rPr>
        <w:t>T</w:t>
      </w:r>
      <w:r w:rsidRPr="00D87D7F">
        <w:rPr>
          <w:i/>
          <w:iCs/>
          <w:vertAlign w:val="subscript"/>
        </w:rPr>
        <w:t>H</w:t>
      </w:r>
      <w:r>
        <w:t xml:space="preserve"> is raised for the ORC and APCs. These results are consistent with the efficiency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H</m:t>
            </m:r>
          </m:sub>
        </m:sSub>
        <m:r>
          <w:rPr>
            <w:rFonts w:ascii="Cambria Math" w:hAnsi="Cambria Math"/>
          </w:rPr>
          <m:t xml:space="preserve"> </m:t>
        </m:r>
      </m:oMath>
      <w:r>
        <w:t xml:space="preserve">results shown in Figure 4 and Tables S1-S3 and S8-S10. </w:t>
      </w:r>
      <w:r>
        <w:rPr>
          <w:rFonts w:eastAsiaTheme="minorEastAsia"/>
        </w:rPr>
        <w:t xml:space="preserve">Reductions in </w:t>
      </w:r>
      <w:r w:rsidRPr="00D87D7F">
        <w:rPr>
          <w:i/>
          <w:iCs/>
        </w:rPr>
        <w:t>T</w:t>
      </w:r>
      <w:r w:rsidRPr="00D87D7F">
        <w:rPr>
          <w:i/>
          <w:iCs/>
          <w:vertAlign w:val="subscript"/>
        </w:rPr>
        <w:t>H</w:t>
      </w:r>
      <w:r>
        <w:t xml:space="preserve"> while keeping the 10</w:t>
      </w:r>
      <w:r w:rsidRPr="00D87D7F">
        <w:t>°C</w:t>
      </w:r>
      <w:r>
        <w:t xml:space="preserve"> superheating at the inlet </w:t>
      </w:r>
      <w:r>
        <w:lastRenderedPageBreak/>
        <w:t xml:space="preserve">of the turbine translates into a pressure reduction for the </w:t>
      </w:r>
      <w:r w:rsidRPr="00B85BA0">
        <w:t>gas flowing into the turbine</w:t>
      </w:r>
      <w:r>
        <w:t>, which in turn r</w:t>
      </w:r>
      <w:r w:rsidRPr="00B85BA0">
        <w:t>esults in larger</w:t>
      </w:r>
      <w:r>
        <w:t xml:space="preserve"> required</w:t>
      </w:r>
      <w:r w:rsidRPr="00B85BA0">
        <w:t xml:space="preserve"> flow</w:t>
      </w:r>
      <w:r>
        <w:t xml:space="preserve"> rates</w:t>
      </w:r>
      <w:r w:rsidRPr="00B85BA0">
        <w:t xml:space="preserve"> to produce the fixed target output of</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turb</m:t>
            </m:r>
          </m:sub>
        </m:sSub>
      </m:oMath>
      <w:r w:rsidRPr="00B85BA0">
        <w:t xml:space="preserve"> </w:t>
      </w:r>
      <w:r>
        <w:t xml:space="preserve">= </w:t>
      </w:r>
      <w:r w:rsidRPr="00B85BA0">
        <w:t>10 kW.</w:t>
      </w:r>
      <w:r>
        <w:t xml:space="preserve"> </w:t>
      </w:r>
    </w:p>
    <w:tbl>
      <w:tblPr>
        <w:tblStyle w:val="TableGrid"/>
        <w:tblW w:w="0" w:type="auto"/>
        <w:jc w:val="center"/>
        <w:tblLook w:val="04A0" w:firstRow="1" w:lastRow="0" w:firstColumn="1" w:lastColumn="0" w:noHBand="0" w:noVBand="1"/>
      </w:tblPr>
      <w:tblGrid>
        <w:gridCol w:w="4675"/>
        <w:gridCol w:w="4675"/>
      </w:tblGrid>
      <w:tr w:rsidR="00E60051" w:rsidRPr="007C550C" w14:paraId="271146A4" w14:textId="77777777" w:rsidTr="006664C1">
        <w:trPr>
          <w:jc w:val="center"/>
        </w:trPr>
        <w:tc>
          <w:tcPr>
            <w:tcW w:w="4675" w:type="dxa"/>
          </w:tcPr>
          <w:p w14:paraId="4A9730DD" w14:textId="77777777" w:rsidR="00E60051" w:rsidRPr="007C550C" w:rsidRDefault="00E60051" w:rsidP="006664C1">
            <w:pPr>
              <w:rPr>
                <w:b/>
                <w:bCs/>
              </w:rPr>
            </w:pPr>
            <w:r w:rsidRPr="007C550C">
              <w:rPr>
                <w:b/>
                <w:bCs/>
                <w:noProof/>
              </w:rPr>
              <w:drawing>
                <wp:inline distT="0" distB="0" distL="0" distR="0" wp14:anchorId="71A2AF8F" wp14:editId="093602A7">
                  <wp:extent cx="2834640" cy="2322576"/>
                  <wp:effectExtent l="0" t="0" r="0" b="1905"/>
                  <wp:docPr id="5" name="Picture 5" descr="A close up of a ma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34640" cy="2322576"/>
                          </a:xfrm>
                          <a:prstGeom prst="rect">
                            <a:avLst/>
                          </a:prstGeom>
                        </pic:spPr>
                      </pic:pic>
                    </a:graphicData>
                  </a:graphic>
                </wp:inline>
              </w:drawing>
            </w:r>
          </w:p>
          <w:p w14:paraId="253A631B" w14:textId="77777777" w:rsidR="00E60051" w:rsidRPr="007C550C" w:rsidRDefault="00E60051" w:rsidP="006664C1">
            <w:pPr>
              <w:jc w:val="center"/>
              <w:rPr>
                <w:b/>
                <w:bCs/>
              </w:rPr>
            </w:pPr>
            <w:r w:rsidRPr="007C550C">
              <w:rPr>
                <w:b/>
                <w:bCs/>
              </w:rPr>
              <w:t>(a)</w:t>
            </w:r>
          </w:p>
        </w:tc>
        <w:tc>
          <w:tcPr>
            <w:tcW w:w="4675" w:type="dxa"/>
          </w:tcPr>
          <w:p w14:paraId="4BF8CDF6" w14:textId="77777777" w:rsidR="00E60051" w:rsidRPr="007C550C" w:rsidRDefault="00E60051" w:rsidP="006664C1">
            <w:pPr>
              <w:jc w:val="both"/>
              <w:rPr>
                <w:b/>
                <w:bCs/>
              </w:rPr>
            </w:pPr>
            <w:r w:rsidRPr="007C550C">
              <w:rPr>
                <w:b/>
                <w:bCs/>
                <w:noProof/>
              </w:rPr>
              <w:drawing>
                <wp:inline distT="0" distB="0" distL="0" distR="0" wp14:anchorId="78108453" wp14:editId="2CB1652E">
                  <wp:extent cx="2834640" cy="2322576"/>
                  <wp:effectExtent l="0" t="0" r="0" b="1905"/>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34640" cy="2322576"/>
                          </a:xfrm>
                          <a:prstGeom prst="rect">
                            <a:avLst/>
                          </a:prstGeom>
                        </pic:spPr>
                      </pic:pic>
                    </a:graphicData>
                  </a:graphic>
                </wp:inline>
              </w:drawing>
            </w:r>
          </w:p>
          <w:p w14:paraId="23023754" w14:textId="77777777" w:rsidR="00E60051" w:rsidRPr="007C550C" w:rsidRDefault="00E60051" w:rsidP="006664C1">
            <w:pPr>
              <w:jc w:val="center"/>
              <w:rPr>
                <w:b/>
                <w:bCs/>
              </w:rPr>
            </w:pPr>
            <w:r w:rsidRPr="007C550C">
              <w:rPr>
                <w:b/>
                <w:bCs/>
              </w:rPr>
              <w:t>(b)</w:t>
            </w:r>
          </w:p>
        </w:tc>
      </w:tr>
    </w:tbl>
    <w:p w14:paraId="5CCFD319" w14:textId="77777777" w:rsidR="00E60051" w:rsidRDefault="00E60051" w:rsidP="00F435A9">
      <w:pPr>
        <w:spacing w:line="480" w:lineRule="auto"/>
        <w:jc w:val="both"/>
        <w:rPr>
          <w:rFonts w:eastAsiaTheme="minorEastAsia"/>
        </w:rPr>
      </w:pPr>
      <w:r>
        <w:rPr>
          <w:b/>
          <w:bCs/>
        </w:rPr>
        <w:t xml:space="preserve">Figure 5. </w:t>
      </w:r>
      <w:r w:rsidRPr="007C550C">
        <w:rPr>
          <w:b/>
          <w:bCs/>
        </w:rPr>
        <w:t>(a)</w:t>
      </w:r>
      <w:r w:rsidRPr="00280F73">
        <w:t xml:space="preserve"> </w:t>
      </w:r>
      <w:r>
        <w:t xml:space="preserve">Flow rate of the gas stream entering the turbine, and </w:t>
      </w:r>
      <w:r w:rsidRPr="007C550C">
        <w:rPr>
          <w:b/>
          <w:bCs/>
        </w:rPr>
        <w:t>(b)</w:t>
      </w:r>
      <w:r>
        <w:t xml:space="preserve"> flow rate of the liquid stream leaving the APC </w:t>
      </w:r>
      <w:proofErr w:type="spellStart"/>
      <w:r>
        <w:t>desorber</w:t>
      </w:r>
      <w:proofErr w:type="spellEnd"/>
      <w:r>
        <w:t xml:space="preserve">, both as a function of </w:t>
      </w:r>
      <w:r w:rsidRPr="00D87D7F">
        <w:rPr>
          <w:i/>
          <w:iCs/>
        </w:rPr>
        <w:t>T</w:t>
      </w:r>
      <w:r w:rsidRPr="00D87D7F">
        <w:rPr>
          <w:i/>
          <w:iCs/>
          <w:vertAlign w:val="subscript"/>
        </w:rPr>
        <w:t>H</w:t>
      </w:r>
      <w:r>
        <w:t xml:space="preserve">, the temperature of the stream entering the turbine, while keeping </w:t>
      </w:r>
      <w:r w:rsidRPr="00D87D7F">
        <w:rPr>
          <w:i/>
          <w:iCs/>
        </w:rPr>
        <w:t>T</w:t>
      </w:r>
      <w:r w:rsidRPr="00D87D7F">
        <w:rPr>
          <w:i/>
          <w:iCs/>
          <w:vertAlign w:val="subscript"/>
        </w:rPr>
        <w:t>L</w:t>
      </w:r>
      <w:r>
        <w:t xml:space="preserve"> (temperature of the stream entering the pump) constant at </w:t>
      </w:r>
      <w:r w:rsidRPr="00D87D7F">
        <w:t>40°C</w:t>
      </w:r>
      <w:r>
        <w:t>. A superheat of 10</w:t>
      </w:r>
      <w:r w:rsidRPr="000A2DE1">
        <w:t>°C</w:t>
      </w:r>
      <w:r>
        <w:t xml:space="preserve"> was applied to the stream entering the turbine in both the ORC and APCs; a 5</w:t>
      </w:r>
      <w:r w:rsidRPr="000A2DE1">
        <w:t>°C</w:t>
      </w:r>
      <w:r>
        <w:t xml:space="preserve"> supercooling is applied to the stream entering the pump in the ORC, whereas in the APCs this stream has no supercooling. The inset in </w:t>
      </w:r>
      <w:r w:rsidRPr="007C550C">
        <w:rPr>
          <w:b/>
          <w:bCs/>
        </w:rPr>
        <w:t>(b)</w:t>
      </w:r>
      <w:r>
        <w:t xml:space="preserve"> depicts the mole fraction of R-134a in the same liquid stream as a function of </w:t>
      </w:r>
      <w:r w:rsidRPr="00D87D7F">
        <w:rPr>
          <w:i/>
          <w:iCs/>
        </w:rPr>
        <w:t>T</w:t>
      </w:r>
      <w:r w:rsidRPr="00D87D7F">
        <w:rPr>
          <w:i/>
          <w:iCs/>
          <w:vertAlign w:val="subscript"/>
        </w:rPr>
        <w:t>H</w:t>
      </w:r>
      <w:r>
        <w:t>. Blue diamonds, black circles and red triangles correspond to the ORC, the APC with the R-134a+[C</w:t>
      </w:r>
      <w:r w:rsidRPr="003316DB">
        <w:rPr>
          <w:vertAlign w:val="subscript"/>
        </w:rPr>
        <w:t>2</w:t>
      </w:r>
      <w:r>
        <w:t>C</w:t>
      </w:r>
      <w:r w:rsidRPr="003316DB">
        <w:rPr>
          <w:vertAlign w:val="subscript"/>
        </w:rPr>
        <w:t>1</w:t>
      </w:r>
      <w:r>
        <w:t>im][Tf</w:t>
      </w:r>
      <w:r w:rsidRPr="003316DB">
        <w:rPr>
          <w:vertAlign w:val="subscript"/>
        </w:rPr>
        <w:t>2</w:t>
      </w:r>
      <w:r>
        <w:t>N] mixture and the APC with the R-134a+[C</w:t>
      </w:r>
      <w:r>
        <w:rPr>
          <w:vertAlign w:val="subscript"/>
        </w:rPr>
        <w:t>6</w:t>
      </w:r>
      <w:r>
        <w:t>C</w:t>
      </w:r>
      <w:r w:rsidRPr="003316DB">
        <w:rPr>
          <w:vertAlign w:val="subscript"/>
        </w:rPr>
        <w:t>1</w:t>
      </w:r>
      <w:r>
        <w:t>im][Tf</w:t>
      </w:r>
      <w:r w:rsidRPr="003316DB">
        <w:rPr>
          <w:vertAlign w:val="subscript"/>
        </w:rPr>
        <w:t>2</w:t>
      </w:r>
      <w:r>
        <w:t xml:space="preserve">N] mixture, respectively. Closed and open symbols represent results obtained with the PR-EOS and </w:t>
      </w:r>
      <w:r w:rsidRPr="00A56524">
        <w:t>the COSMO-SAC models. All data depicted are presented in Tables S1-S3</w:t>
      </w:r>
      <w:r>
        <w:t xml:space="preserve"> and</w:t>
      </w:r>
      <w:r w:rsidRPr="00A56524">
        <w:t xml:space="preserve"> S8-S10</w:t>
      </w:r>
      <w:r>
        <w:t>.</w:t>
      </w:r>
    </w:p>
    <w:p w14:paraId="2BE257E6" w14:textId="77777777" w:rsidR="00E60051" w:rsidRDefault="00E60051" w:rsidP="00940816">
      <w:pPr>
        <w:spacing w:line="480" w:lineRule="auto"/>
        <w:jc w:val="both"/>
      </w:pPr>
      <w:r>
        <w:tab/>
        <w:t xml:space="preserve">The behavior of the flow rate of the liquid stream leaving the APC </w:t>
      </w:r>
      <w:proofErr w:type="spellStart"/>
      <w:r>
        <w:t>desorber</w:t>
      </w:r>
      <w:proofErr w:type="spellEnd"/>
      <w:r>
        <w:t xml:space="preserve"> is shown in </w:t>
      </w:r>
      <w:r w:rsidRPr="00C13403">
        <w:t>Figure 5b</w:t>
      </w:r>
      <w:r>
        <w:t xml:space="preserve"> as the temperature </w:t>
      </w:r>
      <w:r w:rsidRPr="00D87D7F">
        <w:rPr>
          <w:i/>
          <w:iCs/>
        </w:rPr>
        <w:t>T</w:t>
      </w:r>
      <w:r w:rsidRPr="00D87D7F">
        <w:rPr>
          <w:i/>
          <w:iCs/>
          <w:vertAlign w:val="subscript"/>
        </w:rPr>
        <w:t>H</w:t>
      </w:r>
      <w:r>
        <w:t xml:space="preserve"> is varied while keeping </w:t>
      </w:r>
      <w:r w:rsidRPr="00D87D7F">
        <w:rPr>
          <w:i/>
          <w:iCs/>
        </w:rPr>
        <w:t>T</w:t>
      </w:r>
      <w:r w:rsidRPr="00D87D7F">
        <w:rPr>
          <w:i/>
          <w:iCs/>
          <w:vertAlign w:val="subscript"/>
        </w:rPr>
        <w:t>L</w:t>
      </w:r>
      <w:r>
        <w:t xml:space="preserve"> constant at </w:t>
      </w:r>
      <w:r w:rsidRPr="00D87D7F">
        <w:t>40°C</w:t>
      </w:r>
      <w:r>
        <w:t xml:space="preserve">. Both the PR-EOS and the COSMO-SAC model predict that the R-134a+IL flow rates increase as </w:t>
      </w:r>
      <w:r w:rsidRPr="00D87D7F">
        <w:rPr>
          <w:i/>
          <w:iCs/>
        </w:rPr>
        <w:t>T</w:t>
      </w:r>
      <w:r w:rsidRPr="00D87D7F">
        <w:rPr>
          <w:i/>
          <w:iCs/>
          <w:vertAlign w:val="subscript"/>
        </w:rPr>
        <w:t>H</w:t>
      </w:r>
      <w:r>
        <w:t xml:space="preserve"> is lowered, in analogy to the trends observed in Fig. 5a for the molar flow rates entering the turbine. In addition, </w:t>
      </w:r>
      <w:r>
        <w:lastRenderedPageBreak/>
        <w:t xml:space="preserve">both models predict that the liquid flow rates leaving the </w:t>
      </w:r>
      <w:proofErr w:type="spellStart"/>
      <w:r>
        <w:t>desorber</w:t>
      </w:r>
      <w:proofErr w:type="spellEnd"/>
      <w:r>
        <w:t xml:space="preserve"> are larger for R-134a+[C</w:t>
      </w:r>
      <w:r>
        <w:rPr>
          <w:vertAlign w:val="subscript"/>
        </w:rPr>
        <w:t>6</w:t>
      </w:r>
      <w:r>
        <w:t>C</w:t>
      </w:r>
      <w:r w:rsidRPr="003316DB">
        <w:rPr>
          <w:vertAlign w:val="subscript"/>
        </w:rPr>
        <w:t>1</w:t>
      </w:r>
      <w:r>
        <w:t>im][Tf</w:t>
      </w:r>
      <w:r w:rsidRPr="003316DB">
        <w:rPr>
          <w:vertAlign w:val="subscript"/>
        </w:rPr>
        <w:t>2</w:t>
      </w:r>
      <w:r>
        <w:t>N] than for the R-134a+[C</w:t>
      </w:r>
      <w:r w:rsidRPr="003316DB">
        <w:rPr>
          <w:vertAlign w:val="subscript"/>
        </w:rPr>
        <w:t>2</w:t>
      </w:r>
      <w:r>
        <w:t>C</w:t>
      </w:r>
      <w:r w:rsidRPr="003316DB">
        <w:rPr>
          <w:vertAlign w:val="subscript"/>
        </w:rPr>
        <w:t>1</w:t>
      </w:r>
      <w:r>
        <w:t>im][Tf</w:t>
      </w:r>
      <w:r w:rsidRPr="003316DB">
        <w:rPr>
          <w:vertAlign w:val="subscript"/>
        </w:rPr>
        <w:t>2</w:t>
      </w:r>
      <w:r>
        <w:t xml:space="preserve">N] mixture, whereas the refrigerant mole fraction (inset of Fig. 5b) is larger in the latter system than in the former at any given value of </w:t>
      </w:r>
      <w:r w:rsidRPr="00D87D7F">
        <w:rPr>
          <w:i/>
          <w:iCs/>
        </w:rPr>
        <w:t>T</w:t>
      </w:r>
      <w:r w:rsidRPr="00D87D7F">
        <w:rPr>
          <w:i/>
          <w:iCs/>
          <w:vertAlign w:val="subscript"/>
        </w:rPr>
        <w:t>H</w:t>
      </w:r>
      <w:r>
        <w:t xml:space="preserve">. However, for both APC systems the R-134a+IL flow rates determined from the COSMO-SAC model are larger than those computed from the PR-EOS. Furthermore, the PR-EOS predicts that the mole fractions of R-134a in this liquid stream will slightly increase with </w:t>
      </w:r>
      <w:r w:rsidRPr="00D87D7F">
        <w:rPr>
          <w:i/>
          <w:iCs/>
        </w:rPr>
        <w:t>T</w:t>
      </w:r>
      <w:r w:rsidRPr="00D87D7F">
        <w:rPr>
          <w:i/>
          <w:iCs/>
          <w:vertAlign w:val="subscript"/>
        </w:rPr>
        <w:t>H</w:t>
      </w:r>
      <w:r>
        <w:t xml:space="preserve"> (an increase of ~5 mol% over a temperature range of 35</w:t>
      </w:r>
      <w:r w:rsidRPr="00D87D7F">
        <w:t>°C</w:t>
      </w:r>
      <w:r>
        <w:t xml:space="preserve">), whereas the COSMO-SAC model yields slight reductions in the refrigerant mole fraction with increases in </w:t>
      </w:r>
      <w:r w:rsidRPr="00D87D7F">
        <w:rPr>
          <w:i/>
          <w:iCs/>
        </w:rPr>
        <w:t>T</w:t>
      </w:r>
      <w:r w:rsidRPr="00D87D7F">
        <w:rPr>
          <w:i/>
          <w:iCs/>
          <w:vertAlign w:val="subscript"/>
        </w:rPr>
        <w:t>H</w:t>
      </w:r>
      <w:r>
        <w:t xml:space="preserve"> (a decrease of ~3 mol% over the same temperature range mentioned above); however it is noted that the </w:t>
      </w:r>
      <w:proofErr w:type="spellStart"/>
      <w:r>
        <w:t>desorber</w:t>
      </w:r>
      <w:proofErr w:type="spellEnd"/>
      <w:r>
        <w:t xml:space="preserve"> pressure </w:t>
      </w:r>
      <w:r w:rsidRPr="004A6B3D">
        <w:rPr>
          <w:i/>
          <w:iCs/>
        </w:rPr>
        <w:t>P</w:t>
      </w:r>
      <w:r w:rsidRPr="004A6B3D">
        <w:rPr>
          <w:i/>
          <w:iCs/>
          <w:vertAlign w:val="subscript"/>
        </w:rPr>
        <w:t>H</w:t>
      </w:r>
      <w:r>
        <w:t xml:space="preserve"> also increases</w:t>
      </w:r>
      <w:r w:rsidRPr="006A5C2C">
        <w:t xml:space="preserve"> </w:t>
      </w:r>
      <w:r>
        <w:t xml:space="preserve">with </w:t>
      </w:r>
      <w:r w:rsidRPr="00D87D7F">
        <w:rPr>
          <w:i/>
          <w:iCs/>
        </w:rPr>
        <w:t>T</w:t>
      </w:r>
      <w:r w:rsidRPr="00D87D7F">
        <w:rPr>
          <w:i/>
          <w:iCs/>
          <w:vertAlign w:val="subscript"/>
        </w:rPr>
        <w:t>H</w:t>
      </w:r>
      <w:r>
        <w:t xml:space="preserve"> due to the superheating applied. This difference in solubility behavior between the COSMO-SAC and the PR-EOS (see also Figures S1 and S2) might be linked to the efficiency trends shown in Figure 4, where the trends from the COSMO-SAC results suggest that for </w:t>
      </w:r>
      <w:r w:rsidRPr="00D87D7F">
        <w:rPr>
          <w:i/>
          <w:iCs/>
        </w:rPr>
        <w:t>T</w:t>
      </w:r>
      <w:r w:rsidRPr="00D87D7F">
        <w:rPr>
          <w:i/>
          <w:iCs/>
          <w:vertAlign w:val="subscript"/>
        </w:rPr>
        <w:t>H</w:t>
      </w:r>
      <w:r>
        <w:t xml:space="preserve"> &gt; 100</w:t>
      </w:r>
      <w:r w:rsidRPr="00D87D7F">
        <w:t>°C</w:t>
      </w:r>
      <w:r>
        <w:t xml:space="preserve"> the ORC might have larger efficiency than the APCs.</w:t>
      </w:r>
    </w:p>
    <w:p w14:paraId="2552E906" w14:textId="77777777" w:rsidR="00E60051" w:rsidRDefault="00E60051" w:rsidP="00857B52">
      <w:pPr>
        <w:spacing w:line="480" w:lineRule="auto"/>
        <w:ind w:firstLine="720"/>
        <w:jc w:val="both"/>
      </w:pPr>
      <w:r>
        <w:t xml:space="preserve">How supercooling in the pump inlet stream in the APCs affects the flow rates of gas and liquid leaving the </w:t>
      </w:r>
      <w:proofErr w:type="spellStart"/>
      <w:r>
        <w:t>desorber</w:t>
      </w:r>
      <w:proofErr w:type="spellEnd"/>
      <w:r>
        <w:t xml:space="preserve"> is illustrated in the data shown in Figure 6, as computed with the PR-EOS. The flow rates of gas leaving the </w:t>
      </w:r>
      <w:proofErr w:type="spellStart"/>
      <w:r>
        <w:t>desorber</w:t>
      </w:r>
      <w:proofErr w:type="spellEnd"/>
      <w:r>
        <w:t xml:space="preserve"> (Figure 6a) for the APCs operating with the two refrigerant-IL mixtures studied here are very similar and increase with increasing supercooling at the pump inlet. When the subcooling is equal to 5</w:t>
      </w:r>
      <w:r w:rsidRPr="000A2DE1">
        <w:t>°C</w:t>
      </w:r>
      <w:r>
        <w:t>, these flow rates become very close to the values determined for the ORC, which also operates with 5</w:t>
      </w:r>
      <w:r w:rsidRPr="000A2DE1">
        <w:t>°C</w:t>
      </w:r>
      <w:r>
        <w:t xml:space="preserve"> supercooling in the pump inlet stream. The flow rates of liquid leaving the </w:t>
      </w:r>
      <w:proofErr w:type="spellStart"/>
      <w:r>
        <w:t>desorber</w:t>
      </w:r>
      <w:proofErr w:type="spellEnd"/>
      <w:r>
        <w:t xml:space="preserve"> (Figure 6b) follow similar trends, increasing as larger degrees of subcooling are applied to the pump inlet stream; however, the flow rates of liquid leaving the </w:t>
      </w:r>
      <w:proofErr w:type="spellStart"/>
      <w:r>
        <w:t>desorber</w:t>
      </w:r>
      <w:proofErr w:type="spellEnd"/>
      <w:r>
        <w:t xml:space="preserve"> are larger for the R-134a+[C</w:t>
      </w:r>
      <w:r>
        <w:rPr>
          <w:vertAlign w:val="subscript"/>
        </w:rPr>
        <w:t>6</w:t>
      </w:r>
      <w:r>
        <w:t>C</w:t>
      </w:r>
      <w:r w:rsidRPr="003316DB">
        <w:rPr>
          <w:vertAlign w:val="subscript"/>
        </w:rPr>
        <w:t>1</w:t>
      </w:r>
      <w:r>
        <w:t>im][Tf</w:t>
      </w:r>
      <w:r w:rsidRPr="003316DB">
        <w:rPr>
          <w:vertAlign w:val="subscript"/>
        </w:rPr>
        <w:t>2</w:t>
      </w:r>
      <w:r>
        <w:t>N] system than for the R-134a+[C</w:t>
      </w:r>
      <w:r w:rsidRPr="003316DB">
        <w:rPr>
          <w:vertAlign w:val="subscript"/>
        </w:rPr>
        <w:t>2</w:t>
      </w:r>
      <w:r>
        <w:t>C</w:t>
      </w:r>
      <w:r w:rsidRPr="003316DB">
        <w:rPr>
          <w:vertAlign w:val="subscript"/>
        </w:rPr>
        <w:t>1</w:t>
      </w:r>
      <w:r>
        <w:t>im][Tf</w:t>
      </w:r>
      <w:r w:rsidRPr="003316DB">
        <w:rPr>
          <w:vertAlign w:val="subscript"/>
        </w:rPr>
        <w:t>2</w:t>
      </w:r>
      <w:r>
        <w:t xml:space="preserve">N] mixture, in analogy to the data shown in Figure 5b. The mole fractions of </w:t>
      </w:r>
      <w:r>
        <w:lastRenderedPageBreak/>
        <w:t xml:space="preserve">refrigerant in the liquid leaving the </w:t>
      </w:r>
      <w:proofErr w:type="spellStart"/>
      <w:r>
        <w:t>desorber</w:t>
      </w:r>
      <w:proofErr w:type="spellEnd"/>
      <w:r>
        <w:t xml:space="preserve"> are not depicted because they seem to be unaffected by supercooling in the pump inlet </w:t>
      </w:r>
      <w:proofErr w:type="gramStart"/>
      <w:r>
        <w:t>stream, and</w:t>
      </w:r>
      <w:proofErr w:type="gramEnd"/>
      <w:r>
        <w:t xml:space="preserve"> have values equal to the ones shown by the filled data symbols in the inset of Figure 5b (see also </w:t>
      </w:r>
      <w:r w:rsidRPr="007E6BEB">
        <w:t>Tables S2-S7</w:t>
      </w:r>
      <w:r>
        <w:t xml:space="preserve">). Similar data computed with the COSMO-SAC model is shown in </w:t>
      </w:r>
      <w:r w:rsidRPr="007E6BEB">
        <w:t xml:space="preserve">Figure S4 </w:t>
      </w:r>
      <w:r>
        <w:t xml:space="preserve">and follow the same trends as in Figure 6.  </w:t>
      </w:r>
    </w:p>
    <w:tbl>
      <w:tblPr>
        <w:tblStyle w:val="TableGrid"/>
        <w:tblW w:w="0" w:type="auto"/>
        <w:jc w:val="center"/>
        <w:tblLook w:val="04A0" w:firstRow="1" w:lastRow="0" w:firstColumn="1" w:lastColumn="0" w:noHBand="0" w:noVBand="1"/>
      </w:tblPr>
      <w:tblGrid>
        <w:gridCol w:w="4675"/>
        <w:gridCol w:w="4675"/>
      </w:tblGrid>
      <w:tr w:rsidR="00E60051" w14:paraId="686737B7" w14:textId="77777777" w:rsidTr="006664C1">
        <w:trPr>
          <w:jc w:val="center"/>
        </w:trPr>
        <w:tc>
          <w:tcPr>
            <w:tcW w:w="4675" w:type="dxa"/>
          </w:tcPr>
          <w:p w14:paraId="78C2562E" w14:textId="77777777" w:rsidR="00E60051" w:rsidRDefault="00E60051" w:rsidP="006664C1">
            <w:pPr>
              <w:jc w:val="both"/>
            </w:pPr>
            <w:r>
              <w:rPr>
                <w:noProof/>
              </w:rPr>
              <w:drawing>
                <wp:inline distT="0" distB="0" distL="0" distR="0" wp14:anchorId="2C836776" wp14:editId="4824D3DD">
                  <wp:extent cx="2880360" cy="2359152"/>
                  <wp:effectExtent l="0" t="0" r="2540" b="3175"/>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80360" cy="2359152"/>
                          </a:xfrm>
                          <a:prstGeom prst="rect">
                            <a:avLst/>
                          </a:prstGeom>
                        </pic:spPr>
                      </pic:pic>
                    </a:graphicData>
                  </a:graphic>
                </wp:inline>
              </w:drawing>
            </w:r>
          </w:p>
          <w:p w14:paraId="52711C18" w14:textId="77777777" w:rsidR="00E60051" w:rsidRPr="009259A6" w:rsidRDefault="00E60051" w:rsidP="006664C1">
            <w:pPr>
              <w:jc w:val="center"/>
              <w:rPr>
                <w:b/>
                <w:bCs/>
              </w:rPr>
            </w:pPr>
            <w:r>
              <w:rPr>
                <w:b/>
                <w:bCs/>
              </w:rPr>
              <w:t>(a)</w:t>
            </w:r>
          </w:p>
        </w:tc>
        <w:tc>
          <w:tcPr>
            <w:tcW w:w="4675" w:type="dxa"/>
          </w:tcPr>
          <w:p w14:paraId="584FA872" w14:textId="77777777" w:rsidR="00E60051" w:rsidRDefault="00E60051" w:rsidP="006664C1">
            <w:pPr>
              <w:jc w:val="both"/>
            </w:pPr>
            <w:r>
              <w:rPr>
                <w:noProof/>
              </w:rPr>
              <w:drawing>
                <wp:inline distT="0" distB="0" distL="0" distR="0" wp14:anchorId="47E08F64" wp14:editId="0CE9BB75">
                  <wp:extent cx="2880360" cy="2359152"/>
                  <wp:effectExtent l="0" t="0" r="2540" b="3175"/>
                  <wp:docPr id="14" name="Picture 1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360" cy="2359152"/>
                          </a:xfrm>
                          <a:prstGeom prst="rect">
                            <a:avLst/>
                          </a:prstGeom>
                        </pic:spPr>
                      </pic:pic>
                    </a:graphicData>
                  </a:graphic>
                </wp:inline>
              </w:drawing>
            </w:r>
          </w:p>
          <w:p w14:paraId="02FE148E" w14:textId="77777777" w:rsidR="00E60051" w:rsidRPr="009259A6" w:rsidRDefault="00E60051" w:rsidP="006664C1">
            <w:pPr>
              <w:jc w:val="center"/>
              <w:rPr>
                <w:b/>
                <w:bCs/>
              </w:rPr>
            </w:pPr>
            <w:r>
              <w:rPr>
                <w:b/>
                <w:bCs/>
              </w:rPr>
              <w:t>(b)</w:t>
            </w:r>
          </w:p>
        </w:tc>
      </w:tr>
    </w:tbl>
    <w:p w14:paraId="5AD16729" w14:textId="77777777" w:rsidR="00E60051" w:rsidRDefault="00E60051" w:rsidP="00951416">
      <w:pPr>
        <w:spacing w:line="480" w:lineRule="auto"/>
        <w:jc w:val="both"/>
      </w:pPr>
      <w:r>
        <w:rPr>
          <w:b/>
          <w:bCs/>
        </w:rPr>
        <w:t xml:space="preserve">Figure 6. </w:t>
      </w:r>
      <w:r w:rsidRPr="007C550C">
        <w:rPr>
          <w:b/>
          <w:bCs/>
        </w:rPr>
        <w:t>(a)</w:t>
      </w:r>
      <w:r w:rsidRPr="00280F73">
        <w:t xml:space="preserve"> </w:t>
      </w:r>
      <w:r>
        <w:t xml:space="preserve">Flow rate of the gas stream entering the turbine, and </w:t>
      </w:r>
      <w:r w:rsidRPr="007C550C">
        <w:rPr>
          <w:b/>
          <w:bCs/>
        </w:rPr>
        <w:t>(b)</w:t>
      </w:r>
      <w:r>
        <w:t xml:space="preserve"> flow rate of the liquid stream leaving the APC </w:t>
      </w:r>
      <w:proofErr w:type="spellStart"/>
      <w:r>
        <w:t>desorber</w:t>
      </w:r>
      <w:proofErr w:type="spellEnd"/>
      <w:r>
        <w:t xml:space="preserve">, as computed with the PR-EOS and both as a function of </w:t>
      </w:r>
      <w:r w:rsidRPr="00D87D7F">
        <w:rPr>
          <w:i/>
          <w:iCs/>
        </w:rPr>
        <w:t>T</w:t>
      </w:r>
      <w:r w:rsidRPr="00D87D7F">
        <w:rPr>
          <w:i/>
          <w:iCs/>
          <w:vertAlign w:val="subscript"/>
        </w:rPr>
        <w:t>H</w:t>
      </w:r>
      <w:r>
        <w:t xml:space="preserve">, the temperature of the stream entering the turbine, while keeping </w:t>
      </w:r>
      <w:r w:rsidRPr="00D87D7F">
        <w:rPr>
          <w:i/>
          <w:iCs/>
        </w:rPr>
        <w:t>T</w:t>
      </w:r>
      <w:r w:rsidRPr="00D87D7F">
        <w:rPr>
          <w:i/>
          <w:iCs/>
          <w:vertAlign w:val="subscript"/>
        </w:rPr>
        <w:t>L</w:t>
      </w:r>
      <w:r>
        <w:t xml:space="preserve"> (temperature of the stream entering the pump) constant at </w:t>
      </w:r>
      <w:r w:rsidRPr="00D87D7F">
        <w:t>40°C</w:t>
      </w:r>
      <w:r>
        <w:t>. A 5</w:t>
      </w:r>
      <w:r w:rsidRPr="000A2DE1">
        <w:t>°C</w:t>
      </w:r>
      <w:r>
        <w:t xml:space="preserve"> supercooling is applied to the stream entering the pump in the ORC, and a superheat of 10</w:t>
      </w:r>
      <w:r w:rsidRPr="000A2DE1">
        <w:t>°C</w:t>
      </w:r>
      <w:r>
        <w:t xml:space="preserve"> was applied to the stream entering the turbine in both the ORC and APCs. Blue diamonds, black/purple circles and red/green triangles correspond to the ORC, the APC with the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mixture and the APC with the R-134a+[C</w:t>
      </w:r>
      <w:r>
        <w:rPr>
          <w:vertAlign w:val="subscript"/>
        </w:rPr>
        <w:t>6</w:t>
      </w:r>
      <w:r>
        <w:t>C</w:t>
      </w:r>
      <w:r w:rsidRPr="003316DB">
        <w:rPr>
          <w:vertAlign w:val="subscript"/>
        </w:rPr>
        <w:t>1</w:t>
      </w:r>
      <w:r>
        <w:t>im][Tf</w:t>
      </w:r>
      <w:r w:rsidRPr="003316DB">
        <w:rPr>
          <w:vertAlign w:val="subscript"/>
        </w:rPr>
        <w:t>2</w:t>
      </w:r>
      <w:r>
        <w:t xml:space="preserve">N] mixture, respectively. Different pump inlet </w:t>
      </w:r>
      <w:proofErr w:type="spellStart"/>
      <w:r>
        <w:t>supercoolings</w:t>
      </w:r>
      <w:proofErr w:type="spellEnd"/>
      <w:r>
        <w:t xml:space="preserve"> were considered for the APCs: 0</w:t>
      </w:r>
      <w:r w:rsidRPr="000A2DE1">
        <w:t>°C</w:t>
      </w:r>
      <w:r>
        <w:t xml:space="preserve"> (black, red continuous lines with filled symbols), 2</w:t>
      </w:r>
      <w:r w:rsidRPr="000A2DE1">
        <w:t>°C</w:t>
      </w:r>
      <w:r>
        <w:t xml:space="preserve"> (purple, green dotted lines with open symbols) and 5</w:t>
      </w:r>
      <w:r w:rsidRPr="000A2DE1">
        <w:t>°C</w:t>
      </w:r>
      <w:r>
        <w:t xml:space="preserve"> (purple, green dashed lines with filled symbols). </w:t>
      </w:r>
      <w:r w:rsidRPr="00CF67E1">
        <w:t>All data depicted are presented in Tables S1-S7</w:t>
      </w:r>
      <w:r>
        <w:t xml:space="preserve">. Equivalent results from COSMO-SAC are presented in </w:t>
      </w:r>
      <w:r w:rsidRPr="00CF67E1">
        <w:t xml:space="preserve">Figure S4. </w:t>
      </w:r>
    </w:p>
    <w:p w14:paraId="2E6F6E28" w14:textId="77777777" w:rsidR="00E60051" w:rsidRDefault="00E60051" w:rsidP="00940816">
      <w:pPr>
        <w:spacing w:line="480" w:lineRule="auto"/>
        <w:jc w:val="both"/>
        <w:rPr>
          <w:b/>
          <w:bCs/>
        </w:rPr>
      </w:pPr>
    </w:p>
    <w:p w14:paraId="03E1BB58" w14:textId="77777777" w:rsidR="00E60051" w:rsidRDefault="00E60051" w:rsidP="00940816">
      <w:pPr>
        <w:spacing w:line="480" w:lineRule="auto"/>
        <w:jc w:val="both"/>
        <w:rPr>
          <w:b/>
          <w:bCs/>
        </w:rPr>
      </w:pPr>
      <w:r>
        <w:rPr>
          <w:b/>
          <w:bCs/>
        </w:rPr>
        <w:lastRenderedPageBreak/>
        <w:t xml:space="preserve">3.2. Effects of the pump inlet temperature </w:t>
      </w:r>
      <w:r w:rsidRPr="00186F77">
        <w:rPr>
          <w:b/>
          <w:bCs/>
          <w:i/>
          <w:iCs/>
        </w:rPr>
        <w:t>T</w:t>
      </w:r>
      <w:r>
        <w:rPr>
          <w:b/>
          <w:bCs/>
          <w:i/>
          <w:iCs/>
          <w:vertAlign w:val="subscript"/>
        </w:rPr>
        <w:t>L</w:t>
      </w:r>
      <w:r>
        <w:rPr>
          <w:b/>
          <w:bCs/>
        </w:rPr>
        <w:t xml:space="preserve"> </w:t>
      </w:r>
    </w:p>
    <w:p w14:paraId="05DCC509" w14:textId="77777777" w:rsidR="00E60051" w:rsidRDefault="00E60051" w:rsidP="00E57643">
      <w:pPr>
        <w:spacing w:line="480" w:lineRule="auto"/>
        <w:ind w:firstLine="720"/>
        <w:jc w:val="both"/>
      </w:pPr>
      <w:r>
        <w:t xml:space="preserve">Figure 7a shows the variation of the cycle efficiency </w:t>
      </w:r>
      <w:r w:rsidRPr="00383D43">
        <w:rPr>
          <w:rFonts w:ascii="Symbol" w:hAnsi="Symbol"/>
          <w:i/>
          <w:iCs/>
        </w:rPr>
        <w:t></w:t>
      </w:r>
      <w:r>
        <w:rPr>
          <w:rFonts w:ascii="Symbol" w:hAnsi="Symbol"/>
        </w:rPr>
        <w:t></w:t>
      </w:r>
      <w:r>
        <w:t xml:space="preserve">with changes in the temperature </w:t>
      </w:r>
      <w:r w:rsidRPr="00D87D7F">
        <w:rPr>
          <w:i/>
          <w:iCs/>
        </w:rPr>
        <w:t>T</w:t>
      </w:r>
      <w:r>
        <w:rPr>
          <w:i/>
          <w:iCs/>
          <w:vertAlign w:val="subscript"/>
        </w:rPr>
        <w:t>L</w:t>
      </w:r>
      <w:r>
        <w:t xml:space="preserve"> of the stream entering the pump, while keeping the temperature of the stream entering the turbine constant at </w:t>
      </w:r>
      <w:r w:rsidRPr="00D87D7F">
        <w:rPr>
          <w:i/>
          <w:iCs/>
        </w:rPr>
        <w:t>T</w:t>
      </w:r>
      <w:r>
        <w:rPr>
          <w:i/>
          <w:iCs/>
          <w:vertAlign w:val="subscript"/>
        </w:rPr>
        <w:t>H</w:t>
      </w:r>
      <w:r>
        <w:t xml:space="preserve"> = 10</w:t>
      </w:r>
      <w:r w:rsidRPr="00D87D7F">
        <w:t>0°C</w:t>
      </w:r>
      <w:r>
        <w:t>. Here, a superheat of 10</w:t>
      </w:r>
      <w:r w:rsidRPr="000A2DE1">
        <w:t>°C</w:t>
      </w:r>
      <w:r>
        <w:t xml:space="preserve"> was applied to the stream entering the turbine in both the ORC and APCs, whereas a 5</w:t>
      </w:r>
      <w:r w:rsidRPr="000A2DE1">
        <w:t>°C</w:t>
      </w:r>
      <w:r>
        <w:t xml:space="preserve"> supercooling is applied to the stream entering the pump in the ORC with no supercooling for this stream in the APCs. Naturally, increasing the value of </w:t>
      </w:r>
      <w:r w:rsidRPr="00D87D7F">
        <w:rPr>
          <w:i/>
          <w:iCs/>
        </w:rPr>
        <w:t>T</w:t>
      </w:r>
      <w:r>
        <w:rPr>
          <w:i/>
          <w:iCs/>
          <w:vertAlign w:val="subscript"/>
        </w:rPr>
        <w:t>L</w:t>
      </w:r>
      <w:r>
        <w:t xml:space="preserve"> while keeping </w:t>
      </w:r>
      <w:r w:rsidRPr="00D87D7F">
        <w:rPr>
          <w:i/>
          <w:iCs/>
        </w:rPr>
        <w:t>T</w:t>
      </w:r>
      <w:r>
        <w:rPr>
          <w:i/>
          <w:iCs/>
          <w:vertAlign w:val="subscript"/>
        </w:rPr>
        <w:t>H</w:t>
      </w:r>
      <w:r>
        <w:t xml:space="preserve"> constant results in a decrease in the cycle efficiency, as predicted by the Carnot cycle, </w:t>
      </w:r>
      <m:oMath>
        <m:sSub>
          <m:sSubPr>
            <m:ctrlPr>
              <w:rPr>
                <w:rFonts w:ascii="Cambria Math" w:hAnsi="Cambria Math"/>
                <w:i/>
              </w:rPr>
            </m:ctrlPr>
          </m:sSubPr>
          <m:e>
            <m:r>
              <w:rPr>
                <w:rFonts w:ascii="Cambria Math" w:hAnsi="Cambria Math"/>
              </w:rPr>
              <m:t>η</m:t>
            </m:r>
          </m:e>
          <m:sub>
            <m:r>
              <w:rPr>
                <w:rFonts w:ascii="Cambria Math" w:hAnsi="Cambria Math"/>
              </w:rPr>
              <m:t>Carnot</m:t>
            </m:r>
          </m:sub>
        </m:sSub>
        <m:r>
          <w:rPr>
            <w:rFonts w:ascii="Cambria Math" w:hAnsi="Cambria Math"/>
          </w:rPr>
          <m:t>=1-</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L</m:t>
                </m:r>
              </m:sub>
            </m:sSub>
          </m:num>
          <m:den>
            <m:sSub>
              <m:sSubPr>
                <m:ctrlPr>
                  <w:rPr>
                    <w:rFonts w:ascii="Cambria Math" w:hAnsi="Cambria Math"/>
                    <w:i/>
                  </w:rPr>
                </m:ctrlPr>
              </m:sSubPr>
              <m:e>
                <m:r>
                  <w:rPr>
                    <w:rFonts w:ascii="Cambria Math" w:hAnsi="Cambria Math"/>
                  </w:rPr>
                  <m:t>T</m:t>
                </m:r>
              </m:e>
              <m:sub>
                <m:r>
                  <w:rPr>
                    <w:rFonts w:ascii="Cambria Math" w:hAnsi="Cambria Math"/>
                  </w:rPr>
                  <m:t>H</m:t>
                </m:r>
              </m:sub>
            </m:sSub>
          </m:den>
        </m:f>
      </m:oMath>
      <w:r>
        <w:t xml:space="preserve"> (also depicted in Figure 7a). However, increasing the value of </w:t>
      </w:r>
      <w:r w:rsidRPr="00D87D7F">
        <w:rPr>
          <w:i/>
          <w:iCs/>
        </w:rPr>
        <w:t>T</w:t>
      </w:r>
      <w:r>
        <w:rPr>
          <w:i/>
          <w:iCs/>
          <w:vertAlign w:val="subscript"/>
        </w:rPr>
        <w:t>L</w:t>
      </w:r>
      <w:r>
        <w:t xml:space="preserve"> accounts for operating the cycles with cooling media of lower quality (i.e., at higher temperatures, or using air instead of cooling water). Both the PR-EOS and COSMO-SAC results in general indicate that the APCs have larger efficiencies than the ORC for any given values of </w:t>
      </w:r>
      <w:r w:rsidRPr="00D87D7F">
        <w:rPr>
          <w:i/>
          <w:iCs/>
        </w:rPr>
        <w:t>T</w:t>
      </w:r>
      <w:r>
        <w:rPr>
          <w:i/>
          <w:iCs/>
          <w:vertAlign w:val="subscript"/>
        </w:rPr>
        <w:t>L</w:t>
      </w:r>
      <w:r>
        <w:t xml:space="preserve"> and </w:t>
      </w:r>
      <w:r w:rsidRPr="00D87D7F">
        <w:rPr>
          <w:i/>
          <w:iCs/>
        </w:rPr>
        <w:t>T</w:t>
      </w:r>
      <w:r>
        <w:rPr>
          <w:i/>
          <w:iCs/>
          <w:vertAlign w:val="subscript"/>
        </w:rPr>
        <w:t>H</w:t>
      </w:r>
      <w:r>
        <w:t xml:space="preserve">, with both models predicting slightly larger differences between the APCs and ORC efficiencies as </w:t>
      </w:r>
      <w:r w:rsidRPr="00D87D7F">
        <w:rPr>
          <w:i/>
          <w:iCs/>
        </w:rPr>
        <w:t>T</w:t>
      </w:r>
      <w:r>
        <w:rPr>
          <w:i/>
          <w:iCs/>
          <w:vertAlign w:val="subscript"/>
        </w:rPr>
        <w:t>L</w:t>
      </w:r>
      <w:r>
        <w:t xml:space="preserve"> is raised. This observation indicates that the APC becomes comparatively better than the ORC when using cooling sources of lower quality. Both models also predict that the efficiencies of the two APCs are very similar, with slightly higher efficiencies determined for the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mixture compared to the R-134a+[C</w:t>
      </w:r>
      <w:r>
        <w:rPr>
          <w:vertAlign w:val="subscript"/>
        </w:rPr>
        <w:t>6</w:t>
      </w:r>
      <w:r>
        <w:t>C</w:t>
      </w:r>
      <w:r w:rsidRPr="003316DB">
        <w:rPr>
          <w:vertAlign w:val="subscript"/>
        </w:rPr>
        <w:t>1</w:t>
      </w:r>
      <w:r>
        <w:t>im][Tf</w:t>
      </w:r>
      <w:r w:rsidRPr="003316DB">
        <w:rPr>
          <w:vertAlign w:val="subscript"/>
        </w:rPr>
        <w:t>2</w:t>
      </w:r>
      <w:r>
        <w:t xml:space="preserve">N] system. The PR-EOS results show larger differences in the efficiencies between the APCs and the ORCs (~9-10% larger) compared to the COSMO-SAC results, where the largest differences are on the order of 2-3%. The COSMO-SAC results show a crossover in the efficiency trends, with the ORC becoming slightly more efficient than the APCs at the lowest </w:t>
      </w:r>
      <w:r w:rsidRPr="00D87D7F">
        <w:rPr>
          <w:i/>
          <w:iCs/>
        </w:rPr>
        <w:t>T</w:t>
      </w:r>
      <w:r>
        <w:rPr>
          <w:i/>
          <w:iCs/>
          <w:vertAlign w:val="subscript"/>
        </w:rPr>
        <w:t>L</w:t>
      </w:r>
      <w:r>
        <w:t xml:space="preserve"> considered, 3</w:t>
      </w:r>
      <w:r w:rsidRPr="00D87D7F">
        <w:t>0°C</w:t>
      </w:r>
      <w:r>
        <w:t xml:space="preserve"> (</w:t>
      </w:r>
      <w:r w:rsidRPr="00C21D61">
        <w:t>Tables S1-S</w:t>
      </w:r>
      <w:r>
        <w:t xml:space="preserve">3 and S8-S10). This observation might be linked to the fact that the COSMO-SAC </w:t>
      </w:r>
      <w:r w:rsidRPr="007D410B">
        <w:t>efficiencies are numerically very close to each other</w:t>
      </w:r>
      <w:r>
        <w:t xml:space="preserve"> in the range of </w:t>
      </w:r>
      <w:r w:rsidRPr="00D87D7F">
        <w:rPr>
          <w:i/>
          <w:iCs/>
        </w:rPr>
        <w:t>T</w:t>
      </w:r>
      <w:r>
        <w:rPr>
          <w:i/>
          <w:iCs/>
          <w:vertAlign w:val="subscript"/>
        </w:rPr>
        <w:t>L</w:t>
      </w:r>
      <w:r>
        <w:t xml:space="preserve"> values considered. Further, and as discussed above, inaccuracies in the solubility and enthalpies computed from COSMO-SAC affect the computed </w:t>
      </w:r>
      <w:r>
        <w:lastRenderedPageBreak/>
        <w:t xml:space="preserve">efficiencies. Similar to the efficiency results shown in Figure 4, in general the efficiencies computed with COSMO-SAC are higher and closer to the Carnot efficiencies, compared to the efficiencies determined from the PR-EOS. </w:t>
      </w:r>
      <w:r w:rsidRPr="00525F2F">
        <w:t xml:space="preserve">The </w:t>
      </w:r>
      <w:r>
        <w:t xml:space="preserve">PR-EOS and COSMO-SAC </w:t>
      </w:r>
      <w:r w:rsidRPr="00525F2F">
        <w:t xml:space="preserve">results shown </w:t>
      </w:r>
      <w:r>
        <w:t xml:space="preserve">in </w:t>
      </w:r>
      <w:r w:rsidRPr="00E17812">
        <w:t xml:space="preserve">Tables </w:t>
      </w:r>
      <w:r>
        <w:t xml:space="preserve">S1-S3 and S8-S10 indicate that increases in </w:t>
      </w:r>
      <w:r w:rsidRPr="00D87D7F">
        <w:rPr>
          <w:i/>
          <w:iCs/>
        </w:rPr>
        <w:t>T</w:t>
      </w:r>
      <w:r>
        <w:rPr>
          <w:i/>
          <w:iCs/>
          <w:vertAlign w:val="subscript"/>
        </w:rPr>
        <w:t>L</w:t>
      </w:r>
      <w:r>
        <w:t xml:space="preserve"> lead to larger values of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H</m:t>
            </m:r>
          </m:sub>
        </m:sSub>
      </m:oMath>
      <w:r>
        <w:t xml:space="preserve">, the heat load at the ORC evaporator or APC </w:t>
      </w:r>
      <w:proofErr w:type="spellStart"/>
      <w:r>
        <w:t>desorber</w:t>
      </w:r>
      <w:proofErr w:type="spellEnd"/>
      <w:r>
        <w:t xml:space="preserve">, and to increases in the power required at the pump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pump</m:t>
            </m:r>
          </m:sub>
        </m:sSub>
      </m:oMath>
      <w:r>
        <w:t xml:space="preserve">, which for a fixed </w:t>
      </w:r>
      <w:r w:rsidRPr="00972E63">
        <w:t>10 kW of power output</w:t>
      </w:r>
      <w:r>
        <w:t xml:space="preserve"> at the turbine results in a decrease in the cycle efficiency </w:t>
      </w:r>
      <w:r w:rsidRPr="00383D43">
        <w:rPr>
          <w:rFonts w:ascii="Symbol" w:hAnsi="Symbol"/>
          <w:i/>
          <w:iCs/>
        </w:rPr>
        <w:t></w:t>
      </w:r>
      <w:r>
        <w:rPr>
          <w:rFonts w:ascii="Symbol" w:hAnsi="Symbol"/>
        </w:rPr>
        <w:t></w:t>
      </w:r>
      <w:r>
        <w:rPr>
          <w:rFonts w:ascii="Symbol" w:hAnsi="Symbol"/>
        </w:rPr>
        <w:t></w:t>
      </w:r>
      <w:r w:rsidRPr="00BB13E3">
        <w:t>I</w:t>
      </w:r>
      <w:r>
        <w:t xml:space="preserve">n general, the values of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H</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pump</m:t>
            </m:r>
          </m:sub>
        </m:sSub>
      </m:oMath>
      <w:r>
        <w:rPr>
          <w:rFonts w:eastAsiaTheme="minorEastAsia"/>
        </w:rPr>
        <w:t xml:space="preserve"> are the smallest for the APC with </w:t>
      </w:r>
      <w:r>
        <w:t>R-134a+[C</w:t>
      </w:r>
      <w:r w:rsidRPr="003316DB">
        <w:rPr>
          <w:vertAlign w:val="subscript"/>
        </w:rPr>
        <w:t>2</w:t>
      </w:r>
      <w:r>
        <w:t>C</w:t>
      </w:r>
      <w:r w:rsidRPr="003316DB">
        <w:rPr>
          <w:vertAlign w:val="subscript"/>
        </w:rPr>
        <w:t>1</w:t>
      </w:r>
      <w:r>
        <w:t>im][Tf</w:t>
      </w:r>
      <w:r w:rsidRPr="003316DB">
        <w:rPr>
          <w:vertAlign w:val="subscript"/>
        </w:rPr>
        <w:t>2</w:t>
      </w:r>
      <w:r>
        <w:t xml:space="preserve">N], followed by the </w:t>
      </w:r>
      <w:r>
        <w:rPr>
          <w:rFonts w:eastAsiaTheme="minorEastAsia"/>
        </w:rPr>
        <w:t xml:space="preserve">APC with </w:t>
      </w:r>
      <w:r>
        <w:t>R-134a+[C</w:t>
      </w:r>
      <w:r>
        <w:rPr>
          <w:vertAlign w:val="subscript"/>
        </w:rPr>
        <w:t>6</w:t>
      </w:r>
      <w:r>
        <w:t>C</w:t>
      </w:r>
      <w:r w:rsidRPr="003316DB">
        <w:rPr>
          <w:vertAlign w:val="subscript"/>
        </w:rPr>
        <w:t>1</w:t>
      </w:r>
      <w:r>
        <w:t>im][Tf</w:t>
      </w:r>
      <w:r w:rsidRPr="003316DB">
        <w:rPr>
          <w:vertAlign w:val="subscript"/>
        </w:rPr>
        <w:t>2</w:t>
      </w:r>
      <w:r>
        <w:t>N] and lastly the ORC with R-134a, with the PR-EOS calculations yielding larger differences between these quantities for the different cycles as compared to the COSMO-SAC results.</w:t>
      </w:r>
    </w:p>
    <w:tbl>
      <w:tblPr>
        <w:tblStyle w:val="TableGrid"/>
        <w:tblW w:w="0" w:type="auto"/>
        <w:tblLook w:val="04A0" w:firstRow="1" w:lastRow="0" w:firstColumn="1" w:lastColumn="0" w:noHBand="0" w:noVBand="1"/>
      </w:tblPr>
      <w:tblGrid>
        <w:gridCol w:w="4675"/>
        <w:gridCol w:w="4675"/>
      </w:tblGrid>
      <w:tr w:rsidR="00E60051" w14:paraId="530AF47A" w14:textId="77777777" w:rsidTr="009966CE">
        <w:tc>
          <w:tcPr>
            <w:tcW w:w="3189" w:type="dxa"/>
          </w:tcPr>
          <w:p w14:paraId="017FA83D" w14:textId="77777777" w:rsidR="00E60051" w:rsidRDefault="00E60051" w:rsidP="009966CE">
            <w:pPr>
              <w:jc w:val="both"/>
            </w:pPr>
            <w:r>
              <w:rPr>
                <w:noProof/>
              </w:rPr>
              <w:drawing>
                <wp:inline distT="0" distB="0" distL="0" distR="0" wp14:anchorId="7DC93FF5" wp14:editId="2CA78CA5">
                  <wp:extent cx="2880360" cy="2359152"/>
                  <wp:effectExtent l="0" t="0" r="2540" b="3175"/>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360" cy="2359152"/>
                          </a:xfrm>
                          <a:prstGeom prst="rect">
                            <a:avLst/>
                          </a:prstGeom>
                        </pic:spPr>
                      </pic:pic>
                    </a:graphicData>
                  </a:graphic>
                </wp:inline>
              </w:drawing>
            </w:r>
          </w:p>
          <w:p w14:paraId="1965E7F5" w14:textId="77777777" w:rsidR="00E60051" w:rsidRPr="009966CE" w:rsidRDefault="00E60051" w:rsidP="009966CE">
            <w:pPr>
              <w:jc w:val="center"/>
              <w:rPr>
                <w:b/>
                <w:bCs/>
              </w:rPr>
            </w:pPr>
            <w:r>
              <w:rPr>
                <w:b/>
                <w:bCs/>
              </w:rPr>
              <w:t>(a)</w:t>
            </w:r>
          </w:p>
        </w:tc>
        <w:tc>
          <w:tcPr>
            <w:tcW w:w="6161" w:type="dxa"/>
          </w:tcPr>
          <w:p w14:paraId="75805388" w14:textId="77777777" w:rsidR="00E60051" w:rsidRDefault="00E60051" w:rsidP="009966CE">
            <w:pPr>
              <w:jc w:val="both"/>
            </w:pPr>
            <w:r>
              <w:rPr>
                <w:noProof/>
              </w:rPr>
              <w:drawing>
                <wp:inline distT="0" distB="0" distL="0" distR="0" wp14:anchorId="32CB6C7C" wp14:editId="410DA305">
                  <wp:extent cx="2880360" cy="2359152"/>
                  <wp:effectExtent l="0" t="0" r="254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360" cy="2359152"/>
                          </a:xfrm>
                          <a:prstGeom prst="rect">
                            <a:avLst/>
                          </a:prstGeom>
                        </pic:spPr>
                      </pic:pic>
                    </a:graphicData>
                  </a:graphic>
                </wp:inline>
              </w:drawing>
            </w:r>
          </w:p>
          <w:p w14:paraId="57117038" w14:textId="77777777" w:rsidR="00E60051" w:rsidRPr="009966CE" w:rsidRDefault="00E60051" w:rsidP="009966CE">
            <w:pPr>
              <w:jc w:val="center"/>
              <w:rPr>
                <w:b/>
                <w:bCs/>
              </w:rPr>
            </w:pPr>
            <w:r>
              <w:rPr>
                <w:b/>
                <w:bCs/>
              </w:rPr>
              <w:t>(b)</w:t>
            </w:r>
          </w:p>
        </w:tc>
      </w:tr>
    </w:tbl>
    <w:p w14:paraId="6651C7E1" w14:textId="77777777" w:rsidR="00E60051" w:rsidRDefault="00E60051" w:rsidP="006D3B75">
      <w:pPr>
        <w:spacing w:line="480" w:lineRule="auto"/>
        <w:jc w:val="both"/>
      </w:pPr>
      <w:r>
        <w:rPr>
          <w:b/>
          <w:bCs/>
        </w:rPr>
        <w:t xml:space="preserve">Figure 7. </w:t>
      </w:r>
      <w:r>
        <w:t xml:space="preserve">Cycle efficiency as a function of </w:t>
      </w:r>
      <w:r w:rsidRPr="00D87D7F">
        <w:rPr>
          <w:i/>
          <w:iCs/>
        </w:rPr>
        <w:t>T</w:t>
      </w:r>
      <w:r>
        <w:rPr>
          <w:i/>
          <w:iCs/>
          <w:vertAlign w:val="subscript"/>
        </w:rPr>
        <w:t>L</w:t>
      </w:r>
      <w:r>
        <w:t xml:space="preserve">, the temperature of the stream entering the pump, while keeping </w:t>
      </w:r>
      <w:r w:rsidRPr="00D87D7F">
        <w:rPr>
          <w:i/>
          <w:iCs/>
        </w:rPr>
        <w:t>T</w:t>
      </w:r>
      <w:r>
        <w:rPr>
          <w:i/>
          <w:iCs/>
          <w:vertAlign w:val="subscript"/>
        </w:rPr>
        <w:t>H</w:t>
      </w:r>
      <w:r>
        <w:t>, the temperature of the stream entering the turbine, constant at 10</w:t>
      </w:r>
      <w:r w:rsidRPr="00D87D7F">
        <w:t>0°C</w:t>
      </w:r>
      <w:r>
        <w:t>. A superheat of 10</w:t>
      </w:r>
      <w:r w:rsidRPr="000A2DE1">
        <w:t>°C</w:t>
      </w:r>
      <w:r>
        <w:t xml:space="preserve"> was applied to the stream entering the turbine in both the ORC and APCs; a 5</w:t>
      </w:r>
      <w:r w:rsidRPr="000A2DE1">
        <w:t>°C</w:t>
      </w:r>
      <w:r>
        <w:t xml:space="preserve"> supercooling is applied to the stream entering the pump in the ORC, and different supercooling scenarios for this stream were evaluated for the APCs. Blue diamonds, black/purple circles and red/green triangles correspond to the ORC, the APC with the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 xml:space="preserve">N] mixture and </w:t>
      </w:r>
      <w:r>
        <w:lastRenderedPageBreak/>
        <w:t>the APC with the R-134a+[C</w:t>
      </w:r>
      <w:r>
        <w:rPr>
          <w:vertAlign w:val="subscript"/>
        </w:rPr>
        <w:t>6</w:t>
      </w:r>
      <w:r>
        <w:t>C</w:t>
      </w:r>
      <w:r w:rsidRPr="003316DB">
        <w:rPr>
          <w:vertAlign w:val="subscript"/>
        </w:rPr>
        <w:t>1</w:t>
      </w:r>
      <w:r>
        <w:t>im][Tf</w:t>
      </w:r>
      <w:r w:rsidRPr="003316DB">
        <w:rPr>
          <w:vertAlign w:val="subscript"/>
        </w:rPr>
        <w:t>2</w:t>
      </w:r>
      <w:r>
        <w:t xml:space="preserve">N] mixture, respectively. </w:t>
      </w:r>
      <w:r w:rsidRPr="00EA5719">
        <w:rPr>
          <w:b/>
          <w:bCs/>
        </w:rPr>
        <w:t>(a)</w:t>
      </w:r>
      <w:r>
        <w:t xml:space="preserve"> Supercooling = 0</w:t>
      </w:r>
      <w:r w:rsidRPr="000A2DE1">
        <w:t>°C</w:t>
      </w:r>
      <w:r>
        <w:t xml:space="preserve"> for all APCs. Closed and open symbols represent results obtained with the PR-EOS and the COSMO-SAC models, respectively. The black dashed line represents the efficiency of the Carnot cycle operating between the same values of </w:t>
      </w:r>
      <w:r w:rsidRPr="00D87D7F">
        <w:rPr>
          <w:i/>
          <w:iCs/>
        </w:rPr>
        <w:t>T</w:t>
      </w:r>
      <w:r w:rsidRPr="00D87D7F">
        <w:rPr>
          <w:i/>
          <w:iCs/>
          <w:vertAlign w:val="subscript"/>
        </w:rPr>
        <w:t>H</w:t>
      </w:r>
      <w:r>
        <w:t xml:space="preserve"> and</w:t>
      </w:r>
      <w:r w:rsidRPr="001201DC">
        <w:rPr>
          <w:i/>
          <w:iCs/>
        </w:rPr>
        <w:t xml:space="preserve"> </w:t>
      </w:r>
      <w:r w:rsidRPr="00D87D7F">
        <w:rPr>
          <w:i/>
          <w:iCs/>
        </w:rPr>
        <w:t>T</w:t>
      </w:r>
      <w:r>
        <w:rPr>
          <w:i/>
          <w:iCs/>
          <w:vertAlign w:val="subscript"/>
        </w:rPr>
        <w:t>L</w:t>
      </w:r>
      <w:r>
        <w:t xml:space="preserve">. </w:t>
      </w:r>
      <w:r w:rsidRPr="00EA5719">
        <w:rPr>
          <w:b/>
          <w:bCs/>
        </w:rPr>
        <w:t>(b)</w:t>
      </w:r>
      <w:r>
        <w:t xml:space="preserve"> PR-EOS results of the ORC efficiencies compared against the performance of the APCs with different pump inlet </w:t>
      </w:r>
      <w:proofErr w:type="spellStart"/>
      <w:r>
        <w:t>supercoolings</w:t>
      </w:r>
      <w:proofErr w:type="spellEnd"/>
      <w:r>
        <w:t>: 0</w:t>
      </w:r>
      <w:r w:rsidRPr="000A2DE1">
        <w:t>°C</w:t>
      </w:r>
      <w:r>
        <w:t xml:space="preserve"> (black, red continuous lines with filled symbols), 2</w:t>
      </w:r>
      <w:r w:rsidRPr="000A2DE1">
        <w:t>°C</w:t>
      </w:r>
      <w:r>
        <w:t xml:space="preserve"> (purple, green dotted lines with open symbols) and 5</w:t>
      </w:r>
      <w:r w:rsidRPr="000A2DE1">
        <w:t>°C</w:t>
      </w:r>
      <w:r>
        <w:t xml:space="preserve"> (purple, green dashed lines with filled symbols); equivalent results from </w:t>
      </w:r>
      <w:r w:rsidRPr="004E46FF">
        <w:t>COSMO-SAC are presented in Figure S5. All data depicted in Figure 7 are presented in Tables S1-S10.</w:t>
      </w:r>
    </w:p>
    <w:p w14:paraId="6A6E0197" w14:textId="77777777" w:rsidR="00E60051" w:rsidRDefault="00E60051" w:rsidP="00A17ECB">
      <w:pPr>
        <w:spacing w:line="480" w:lineRule="auto"/>
        <w:ind w:firstLine="720"/>
        <w:jc w:val="both"/>
      </w:pPr>
      <w:r>
        <w:t xml:space="preserve">Figure 7b illustrates how the efficiency of the APCs is affected by different degrees of supercooling in the pump inlet stream and as its temperature </w:t>
      </w:r>
      <w:r w:rsidRPr="00D87D7F">
        <w:rPr>
          <w:i/>
          <w:iCs/>
        </w:rPr>
        <w:t>T</w:t>
      </w:r>
      <w:r>
        <w:rPr>
          <w:i/>
          <w:iCs/>
          <w:vertAlign w:val="subscript"/>
        </w:rPr>
        <w:t>L</w:t>
      </w:r>
      <w:r>
        <w:t xml:space="preserve"> is varied, while keeping </w:t>
      </w:r>
      <w:r w:rsidRPr="00D87D7F">
        <w:rPr>
          <w:i/>
          <w:iCs/>
        </w:rPr>
        <w:t>T</w:t>
      </w:r>
      <w:r>
        <w:rPr>
          <w:i/>
          <w:iCs/>
          <w:vertAlign w:val="subscript"/>
        </w:rPr>
        <w:t>H</w:t>
      </w:r>
      <w:r>
        <w:t xml:space="preserve"> constant at 10</w:t>
      </w:r>
      <w:r w:rsidRPr="00D87D7F">
        <w:t>0°C</w:t>
      </w:r>
      <w:r>
        <w:t>. These results show that increasing supercooling leads to reductions in the APC efficiencies, in analogy to the results shown in Figure 4b. The APCs with 0</w:t>
      </w:r>
      <w:r w:rsidRPr="000A2DE1">
        <w:t>°C</w:t>
      </w:r>
      <w:r>
        <w:t xml:space="preserve"> and 2</w:t>
      </w:r>
      <w:r w:rsidRPr="000A2DE1">
        <w:t>°C</w:t>
      </w:r>
      <w:r>
        <w:t xml:space="preserve"> supercooling have higher efficiencies than the ORC (9-10% and 3-5% respectively, with the largest percentual differences observed at the highest </w:t>
      </w:r>
      <w:r w:rsidRPr="00D87D7F">
        <w:rPr>
          <w:i/>
          <w:iCs/>
        </w:rPr>
        <w:t>T</w:t>
      </w:r>
      <w:r>
        <w:rPr>
          <w:i/>
          <w:iCs/>
          <w:vertAlign w:val="subscript"/>
        </w:rPr>
        <w:t>L</w:t>
      </w:r>
      <w:r>
        <w:t xml:space="preserve"> considered, 45</w:t>
      </w:r>
      <w:r w:rsidRPr="000A2DE1">
        <w:t>°C</w:t>
      </w:r>
      <w:r>
        <w:t>). However, the APCs with 5</w:t>
      </w:r>
      <w:r w:rsidRPr="000A2DE1">
        <w:t>°C</w:t>
      </w:r>
      <w:r>
        <w:t xml:space="preserve"> subcooling have lower efficiency than the ORC, with the performance difference increasing in favor of the ORC as </w:t>
      </w:r>
      <w:r w:rsidRPr="00D87D7F">
        <w:rPr>
          <w:i/>
          <w:iCs/>
        </w:rPr>
        <w:t>T</w:t>
      </w:r>
      <w:r>
        <w:rPr>
          <w:i/>
          <w:iCs/>
          <w:vertAlign w:val="subscript"/>
        </w:rPr>
        <w:t>L</w:t>
      </w:r>
      <w:r>
        <w:t xml:space="preserve"> increases. The APC operating with the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mixture has slightly larger efficiencies compared to the APC operating with the other IL. In analogy to the discussion of Figure 4b, the results shown in Figure 7b again highlight the advantage that the APCs have compared to the ORC, of operating with low or no supercooling in the pump inlet stream. Higher degrees of s</w:t>
      </w:r>
      <w:r w:rsidRPr="000A2DE1">
        <w:t xml:space="preserve">ubcooling </w:t>
      </w:r>
      <w:r>
        <w:t>result in</w:t>
      </w:r>
      <w:r w:rsidRPr="000A2DE1">
        <w:t xml:space="preserve"> higher turbine </w:t>
      </w:r>
      <w:r>
        <w:t>outlet</w:t>
      </w:r>
      <w:r w:rsidRPr="000A2DE1">
        <w:t xml:space="preserve"> pressures, which in turn </w:t>
      </w:r>
      <w:r>
        <w:t>reduces</w:t>
      </w:r>
      <w:r w:rsidRPr="000A2DE1">
        <w:t xml:space="preserve"> the potential </w:t>
      </w:r>
      <w:r>
        <w:t xml:space="preserve">generated </w:t>
      </w:r>
      <w:r w:rsidRPr="000A2DE1">
        <w:t>work from the turbine per unit mass of the working fluid.</w:t>
      </w:r>
      <w:r>
        <w:t xml:space="preserve"> Equivalent results to Figure 7b as computed from the COSMO-SAC model are </w:t>
      </w:r>
      <w:r>
        <w:lastRenderedPageBreak/>
        <w:t xml:space="preserve">shown in </w:t>
      </w:r>
      <w:r w:rsidRPr="00825BB9">
        <w:t>Figure S5,</w:t>
      </w:r>
      <w:r>
        <w:t xml:space="preserve"> which in general follows similar trends. However, the ORC efficiency curve from COSMO-SAC has a different slope compared to the APC curves, whereas in Figure 7b all PR-EOS efficiency curves look approximately parallel. Another difference between </w:t>
      </w:r>
      <w:r w:rsidRPr="00825BB9">
        <w:t>Figure S5 and</w:t>
      </w:r>
      <w:r>
        <w:t xml:space="preserve"> Figure 7b is that COSMO-SAC predicts that even 2</w:t>
      </w:r>
      <w:r w:rsidRPr="000A2DE1">
        <w:t>°C</w:t>
      </w:r>
      <w:r>
        <w:t xml:space="preserve"> of supercooling will cause all APCs to have lower efficiencies than the ORC for the combinations of </w:t>
      </w:r>
      <w:r w:rsidRPr="00D87D7F">
        <w:rPr>
          <w:i/>
          <w:iCs/>
        </w:rPr>
        <w:t>T</w:t>
      </w:r>
      <w:r>
        <w:rPr>
          <w:i/>
          <w:iCs/>
          <w:vertAlign w:val="subscript"/>
        </w:rPr>
        <w:t>L</w:t>
      </w:r>
      <w:r>
        <w:t xml:space="preserve"> and </w:t>
      </w:r>
      <w:r w:rsidRPr="00D87D7F">
        <w:rPr>
          <w:i/>
          <w:iCs/>
        </w:rPr>
        <w:t>T</w:t>
      </w:r>
      <w:r w:rsidRPr="00D87D7F">
        <w:rPr>
          <w:i/>
          <w:iCs/>
          <w:vertAlign w:val="subscript"/>
        </w:rPr>
        <w:t>H</w:t>
      </w:r>
      <w:r>
        <w:t xml:space="preserve"> examined. </w:t>
      </w:r>
    </w:p>
    <w:p w14:paraId="193FEB8E" w14:textId="77777777" w:rsidR="00E60051" w:rsidRDefault="00E60051" w:rsidP="0004298C">
      <w:pPr>
        <w:spacing w:line="480" w:lineRule="auto"/>
        <w:ind w:firstLine="720"/>
        <w:jc w:val="both"/>
      </w:pPr>
      <w:r>
        <w:t xml:space="preserve">Figure 8a depicts the flow rates of the stream entering the turbine while keeping its temperature constant at </w:t>
      </w:r>
      <w:r w:rsidRPr="00D87D7F">
        <w:rPr>
          <w:i/>
          <w:iCs/>
        </w:rPr>
        <w:t>T</w:t>
      </w:r>
      <w:r>
        <w:rPr>
          <w:i/>
          <w:iCs/>
          <w:vertAlign w:val="subscript"/>
        </w:rPr>
        <w:t>H</w:t>
      </w:r>
      <w:r>
        <w:t xml:space="preserve"> = 10</w:t>
      </w:r>
      <w:r w:rsidRPr="00D87D7F">
        <w:t>0°C</w:t>
      </w:r>
      <w:r>
        <w:t xml:space="preserve">, as the temperature </w:t>
      </w:r>
      <w:r w:rsidRPr="00D87D7F">
        <w:rPr>
          <w:i/>
          <w:iCs/>
        </w:rPr>
        <w:t>T</w:t>
      </w:r>
      <w:r>
        <w:rPr>
          <w:i/>
          <w:iCs/>
          <w:vertAlign w:val="subscript"/>
        </w:rPr>
        <w:t>L</w:t>
      </w:r>
      <w:r>
        <w:t xml:space="preserve"> of the stream entering the pump is varied. All data shown in Figure 8 was computed with a superheat of 10</w:t>
      </w:r>
      <w:r w:rsidRPr="000A2DE1">
        <w:t>°C</w:t>
      </w:r>
      <w:r>
        <w:t xml:space="preserve"> in the stream entering the turbine in both the ORC and APCs, a 5</w:t>
      </w:r>
      <w:r w:rsidRPr="000A2DE1">
        <w:t>°C</w:t>
      </w:r>
      <w:r>
        <w:t xml:space="preserve"> supercooling in the stream entering the pump in the ORC and no supercooling in this stream for the APCs. In analogy to the discussion of Figure 5a, the flow rates obtained from the PR-EOS are larger than the COSMO-SAC flow rates, but again both the PR-EOS and the COSMO-SAC results show similar trends where the flow rates in the ORC are larger compared to those in the APCs, both APCs have similar flow rates entering the turbine, and the refrigerant flow rates increase as the temperature </w:t>
      </w:r>
      <w:r w:rsidRPr="00D87D7F">
        <w:rPr>
          <w:i/>
          <w:iCs/>
        </w:rPr>
        <w:t>T</w:t>
      </w:r>
      <w:r>
        <w:rPr>
          <w:i/>
          <w:iCs/>
          <w:vertAlign w:val="subscript"/>
        </w:rPr>
        <w:t>L</w:t>
      </w:r>
      <w:r>
        <w:t xml:space="preserve"> is raised for the ORC and APCs. Raising the value of </w:t>
      </w:r>
      <w:r w:rsidRPr="00D87D7F">
        <w:rPr>
          <w:i/>
          <w:iCs/>
        </w:rPr>
        <w:t>T</w:t>
      </w:r>
      <w:r>
        <w:rPr>
          <w:i/>
          <w:iCs/>
          <w:vertAlign w:val="subscript"/>
        </w:rPr>
        <w:t>L</w:t>
      </w:r>
      <w:r>
        <w:t xml:space="preserve"> leads to increases in the operating pressure of the condenser (ORC) or absorber (APC), </w:t>
      </w:r>
      <w:r w:rsidRPr="00972E63">
        <w:t>which is also equal to the discharge pressure of the turbine</w:t>
      </w:r>
      <w:r>
        <w:t xml:space="preserve">. Keeping </w:t>
      </w:r>
      <w:r w:rsidRPr="00D87D7F">
        <w:rPr>
          <w:i/>
          <w:iCs/>
        </w:rPr>
        <w:t>T</w:t>
      </w:r>
      <w:r>
        <w:rPr>
          <w:i/>
          <w:iCs/>
          <w:vertAlign w:val="subscript"/>
        </w:rPr>
        <w:t>H</w:t>
      </w:r>
      <w:r>
        <w:t xml:space="preserve"> constant while increasing </w:t>
      </w:r>
      <w:r w:rsidRPr="00D87D7F">
        <w:rPr>
          <w:i/>
          <w:iCs/>
        </w:rPr>
        <w:t>T</w:t>
      </w:r>
      <w:r>
        <w:rPr>
          <w:i/>
          <w:iCs/>
          <w:vertAlign w:val="subscript"/>
        </w:rPr>
        <w:t>L</w:t>
      </w:r>
      <w:r>
        <w:t xml:space="preserve"> thus produces a reduction in the pressure difference between the inlet and outlet streams of the turbine, </w:t>
      </w:r>
      <w:r w:rsidRPr="00972E63">
        <w:t xml:space="preserve">which </w:t>
      </w:r>
      <w:r>
        <w:t>results</w:t>
      </w:r>
      <w:r w:rsidRPr="00972E63">
        <w:t xml:space="preserve"> in the system requiring a </w:t>
      </w:r>
      <w:r>
        <w:t>larger</w:t>
      </w:r>
      <w:r w:rsidRPr="00972E63">
        <w:t xml:space="preserve"> flow rate of refrigerant gas to pass</w:t>
      </w:r>
      <w:r>
        <w:t xml:space="preserve"> </w:t>
      </w:r>
      <w:r w:rsidRPr="00972E63">
        <w:t>through the turbine to produce the fixed 10 kW of power output.</w:t>
      </w:r>
      <w:r>
        <w:t xml:space="preserve"> Figure 8b shows the flow rates of the liquid stream leaving the APC </w:t>
      </w:r>
      <w:proofErr w:type="spellStart"/>
      <w:r>
        <w:t>desorber</w:t>
      </w:r>
      <w:proofErr w:type="spellEnd"/>
      <w:r>
        <w:t xml:space="preserve"> as the temperature </w:t>
      </w:r>
      <w:r w:rsidRPr="00D87D7F">
        <w:rPr>
          <w:i/>
          <w:iCs/>
        </w:rPr>
        <w:t>T</w:t>
      </w:r>
      <w:r>
        <w:rPr>
          <w:i/>
          <w:iCs/>
          <w:vertAlign w:val="subscript"/>
        </w:rPr>
        <w:t>L</w:t>
      </w:r>
      <w:r>
        <w:t xml:space="preserve"> is varied while keeping </w:t>
      </w:r>
      <w:r w:rsidRPr="00D87D7F">
        <w:rPr>
          <w:i/>
          <w:iCs/>
        </w:rPr>
        <w:t>T</w:t>
      </w:r>
      <w:r>
        <w:rPr>
          <w:i/>
          <w:iCs/>
          <w:vertAlign w:val="subscript"/>
        </w:rPr>
        <w:t>H</w:t>
      </w:r>
      <w:r>
        <w:t xml:space="preserve"> constant at 10</w:t>
      </w:r>
      <w:r w:rsidRPr="00D87D7F">
        <w:t>0°C</w:t>
      </w:r>
      <w:r>
        <w:t xml:space="preserve">; the inset depicts the mole fraction of R-134a in this stream as a function of </w:t>
      </w:r>
      <w:r w:rsidRPr="00D87D7F">
        <w:rPr>
          <w:i/>
          <w:iCs/>
        </w:rPr>
        <w:t>T</w:t>
      </w:r>
      <w:r>
        <w:rPr>
          <w:i/>
          <w:iCs/>
          <w:vertAlign w:val="subscript"/>
        </w:rPr>
        <w:t>L</w:t>
      </w:r>
      <w:r>
        <w:t xml:space="preserve">. Both PR-EOS and COSMO-SAC yield similar trends where the flow rate of liquid leaving the </w:t>
      </w:r>
      <w:proofErr w:type="spellStart"/>
      <w:r>
        <w:t>desorber</w:t>
      </w:r>
      <w:proofErr w:type="spellEnd"/>
      <w:r>
        <w:t xml:space="preserve"> increase as </w:t>
      </w:r>
      <w:r w:rsidRPr="00D87D7F">
        <w:rPr>
          <w:i/>
          <w:iCs/>
        </w:rPr>
        <w:t>T</w:t>
      </w:r>
      <w:r>
        <w:rPr>
          <w:i/>
          <w:iCs/>
          <w:vertAlign w:val="subscript"/>
        </w:rPr>
        <w:t>L</w:t>
      </w:r>
      <w:r>
        <w:t xml:space="preserve"> is raised, with both models predicting that the flow rates are </w:t>
      </w:r>
      <w:r>
        <w:lastRenderedPageBreak/>
        <w:t>larger for the R-134a+[C</w:t>
      </w:r>
      <w:r>
        <w:rPr>
          <w:vertAlign w:val="subscript"/>
        </w:rPr>
        <w:t>6</w:t>
      </w:r>
      <w:r>
        <w:t>C</w:t>
      </w:r>
      <w:r w:rsidRPr="003316DB">
        <w:rPr>
          <w:vertAlign w:val="subscript"/>
        </w:rPr>
        <w:t>1</w:t>
      </w:r>
      <w:r>
        <w:t>im][Tf</w:t>
      </w:r>
      <w:r w:rsidRPr="003316DB">
        <w:rPr>
          <w:vertAlign w:val="subscript"/>
        </w:rPr>
        <w:t>2</w:t>
      </w:r>
      <w:r>
        <w:t>N] mixture compared to the R-134a+[C</w:t>
      </w:r>
      <w:r w:rsidRPr="003316DB">
        <w:rPr>
          <w:vertAlign w:val="subscript"/>
        </w:rPr>
        <w:t>2</w:t>
      </w:r>
      <w:r>
        <w:t>C</w:t>
      </w:r>
      <w:r w:rsidRPr="003316DB">
        <w:rPr>
          <w:vertAlign w:val="subscript"/>
        </w:rPr>
        <w:t>1</w:t>
      </w:r>
      <w:r>
        <w:t>im][Tf</w:t>
      </w:r>
      <w:r w:rsidRPr="003316DB">
        <w:rPr>
          <w:vertAlign w:val="subscript"/>
        </w:rPr>
        <w:t>2</w:t>
      </w:r>
      <w:r>
        <w:t>N] system. Results from both models also show that the refrigerant mole fraction is larger in the system with [C</w:t>
      </w:r>
      <w:r w:rsidRPr="003316DB">
        <w:rPr>
          <w:vertAlign w:val="subscript"/>
        </w:rPr>
        <w:t>2</w:t>
      </w:r>
      <w:r>
        <w:t>C</w:t>
      </w:r>
      <w:r w:rsidRPr="003316DB">
        <w:rPr>
          <w:vertAlign w:val="subscript"/>
        </w:rPr>
        <w:t>1</w:t>
      </w:r>
      <w:r>
        <w:t>im][Tf</w:t>
      </w:r>
      <w:r w:rsidRPr="003316DB">
        <w:rPr>
          <w:vertAlign w:val="subscript"/>
        </w:rPr>
        <w:t>2</w:t>
      </w:r>
      <w:r>
        <w:t>N] than in the [C</w:t>
      </w:r>
      <w:r>
        <w:rPr>
          <w:vertAlign w:val="subscript"/>
        </w:rPr>
        <w:t>6</w:t>
      </w:r>
      <w:r>
        <w:t>C</w:t>
      </w:r>
      <w:r w:rsidRPr="003316DB">
        <w:rPr>
          <w:vertAlign w:val="subscript"/>
        </w:rPr>
        <w:t>1</w:t>
      </w:r>
      <w:r>
        <w:t>im][Tf</w:t>
      </w:r>
      <w:r w:rsidRPr="003316DB">
        <w:rPr>
          <w:vertAlign w:val="subscript"/>
        </w:rPr>
        <w:t>2</w:t>
      </w:r>
      <w:r>
        <w:t xml:space="preserve">N] mixture (inset of Figure 8b), but this mole fraction seems to be unaffected by changes in </w:t>
      </w:r>
      <w:r w:rsidRPr="00D87D7F">
        <w:rPr>
          <w:i/>
          <w:iCs/>
        </w:rPr>
        <w:t>T</w:t>
      </w:r>
      <w:r>
        <w:rPr>
          <w:i/>
          <w:iCs/>
          <w:vertAlign w:val="subscript"/>
        </w:rPr>
        <w:t>L</w:t>
      </w:r>
      <w:r>
        <w:t xml:space="preserve"> in the examined temperature range. In analogy to what was found in Figure 5b, the flow rates of liquid leaving the </w:t>
      </w:r>
      <w:proofErr w:type="spellStart"/>
      <w:r>
        <w:t>desorber</w:t>
      </w:r>
      <w:proofErr w:type="spellEnd"/>
      <w:r>
        <w:t xml:space="preserve"> as determined from COSMO-SAC are larger than those computed from the PR-EOS.</w:t>
      </w:r>
    </w:p>
    <w:tbl>
      <w:tblPr>
        <w:tblStyle w:val="TableGrid"/>
        <w:tblW w:w="0" w:type="auto"/>
        <w:jc w:val="center"/>
        <w:tblLook w:val="04A0" w:firstRow="1" w:lastRow="0" w:firstColumn="1" w:lastColumn="0" w:noHBand="0" w:noVBand="1"/>
      </w:tblPr>
      <w:tblGrid>
        <w:gridCol w:w="4675"/>
        <w:gridCol w:w="4675"/>
      </w:tblGrid>
      <w:tr w:rsidR="00E60051" w:rsidRPr="0078774D" w14:paraId="5EB49F00" w14:textId="77777777" w:rsidTr="0026509B">
        <w:trPr>
          <w:jc w:val="center"/>
        </w:trPr>
        <w:tc>
          <w:tcPr>
            <w:tcW w:w="4675" w:type="dxa"/>
          </w:tcPr>
          <w:p w14:paraId="443C5711" w14:textId="77777777" w:rsidR="00E60051" w:rsidRPr="0078774D" w:rsidRDefault="00E60051" w:rsidP="0078774D">
            <w:pPr>
              <w:jc w:val="both"/>
              <w:rPr>
                <w:b/>
                <w:bCs/>
              </w:rPr>
            </w:pPr>
            <w:r w:rsidRPr="0078774D">
              <w:rPr>
                <w:b/>
                <w:bCs/>
                <w:noProof/>
              </w:rPr>
              <w:drawing>
                <wp:inline distT="0" distB="0" distL="0" distR="0" wp14:anchorId="4333C5B7" wp14:editId="3434E196">
                  <wp:extent cx="2834640" cy="2322576"/>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34640" cy="2322576"/>
                          </a:xfrm>
                          <a:prstGeom prst="rect">
                            <a:avLst/>
                          </a:prstGeom>
                        </pic:spPr>
                      </pic:pic>
                    </a:graphicData>
                  </a:graphic>
                </wp:inline>
              </w:drawing>
            </w:r>
          </w:p>
          <w:p w14:paraId="59E4EEA8" w14:textId="77777777" w:rsidR="00E60051" w:rsidRPr="0078774D" w:rsidRDefault="00E60051" w:rsidP="0078774D">
            <w:pPr>
              <w:jc w:val="center"/>
              <w:rPr>
                <w:b/>
                <w:bCs/>
              </w:rPr>
            </w:pPr>
            <w:r w:rsidRPr="0078774D">
              <w:rPr>
                <w:b/>
                <w:bCs/>
              </w:rPr>
              <w:t>(a)</w:t>
            </w:r>
          </w:p>
        </w:tc>
        <w:tc>
          <w:tcPr>
            <w:tcW w:w="4675" w:type="dxa"/>
          </w:tcPr>
          <w:p w14:paraId="3EA487CF" w14:textId="77777777" w:rsidR="00E60051" w:rsidRPr="0078774D" w:rsidRDefault="00E60051" w:rsidP="0078774D">
            <w:pPr>
              <w:jc w:val="center"/>
              <w:rPr>
                <w:b/>
                <w:bCs/>
              </w:rPr>
            </w:pPr>
            <w:r w:rsidRPr="0078774D">
              <w:rPr>
                <w:b/>
                <w:bCs/>
                <w:noProof/>
              </w:rPr>
              <w:drawing>
                <wp:inline distT="0" distB="0" distL="0" distR="0" wp14:anchorId="6BBF04BE" wp14:editId="1A25D148">
                  <wp:extent cx="2834640" cy="2322576"/>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34640" cy="2322576"/>
                          </a:xfrm>
                          <a:prstGeom prst="rect">
                            <a:avLst/>
                          </a:prstGeom>
                        </pic:spPr>
                      </pic:pic>
                    </a:graphicData>
                  </a:graphic>
                </wp:inline>
              </w:drawing>
            </w:r>
          </w:p>
          <w:p w14:paraId="48FAF5CD" w14:textId="77777777" w:rsidR="00E60051" w:rsidRPr="0078774D" w:rsidRDefault="00E60051" w:rsidP="0078774D">
            <w:pPr>
              <w:jc w:val="center"/>
              <w:rPr>
                <w:b/>
                <w:bCs/>
              </w:rPr>
            </w:pPr>
            <w:r w:rsidRPr="0078774D">
              <w:rPr>
                <w:b/>
                <w:bCs/>
              </w:rPr>
              <w:t>(b)</w:t>
            </w:r>
          </w:p>
        </w:tc>
      </w:tr>
    </w:tbl>
    <w:p w14:paraId="5244A18F" w14:textId="77777777" w:rsidR="00E60051" w:rsidRDefault="00E60051" w:rsidP="00940816">
      <w:pPr>
        <w:spacing w:line="480" w:lineRule="auto"/>
        <w:jc w:val="both"/>
      </w:pPr>
      <w:r>
        <w:rPr>
          <w:b/>
          <w:bCs/>
        </w:rPr>
        <w:t xml:space="preserve">Figure 8. </w:t>
      </w:r>
      <w:r w:rsidRPr="0078774D">
        <w:rPr>
          <w:b/>
          <w:bCs/>
        </w:rPr>
        <w:t>(a)</w:t>
      </w:r>
      <w:r w:rsidRPr="00280F73">
        <w:t xml:space="preserve"> </w:t>
      </w:r>
      <w:r>
        <w:t xml:space="preserve">Flow rate of the gas stream entering the turbine, and </w:t>
      </w:r>
      <w:r w:rsidRPr="0078774D">
        <w:rPr>
          <w:b/>
          <w:bCs/>
        </w:rPr>
        <w:t>(b)</w:t>
      </w:r>
      <w:r>
        <w:t xml:space="preserve"> flow rate of the liquid stream leaving the APC </w:t>
      </w:r>
      <w:proofErr w:type="spellStart"/>
      <w:r>
        <w:t>desorber</w:t>
      </w:r>
      <w:proofErr w:type="spellEnd"/>
      <w:r>
        <w:t xml:space="preserve">, both as a function of </w:t>
      </w:r>
      <w:r w:rsidRPr="00D87D7F">
        <w:rPr>
          <w:i/>
          <w:iCs/>
        </w:rPr>
        <w:t>T</w:t>
      </w:r>
      <w:r>
        <w:rPr>
          <w:i/>
          <w:iCs/>
          <w:vertAlign w:val="subscript"/>
        </w:rPr>
        <w:t>L</w:t>
      </w:r>
      <w:r>
        <w:t xml:space="preserve">, the temperature of the stream entering the pump, while keeping </w:t>
      </w:r>
      <w:r w:rsidRPr="00D87D7F">
        <w:rPr>
          <w:i/>
          <w:iCs/>
        </w:rPr>
        <w:t>T</w:t>
      </w:r>
      <w:r>
        <w:rPr>
          <w:i/>
          <w:iCs/>
          <w:vertAlign w:val="subscript"/>
        </w:rPr>
        <w:t>H</w:t>
      </w:r>
      <w:r>
        <w:t xml:space="preserve"> (temperature of the stream entering the turbine) constant at 10</w:t>
      </w:r>
      <w:r w:rsidRPr="00D87D7F">
        <w:t>0°C</w:t>
      </w:r>
      <w:r>
        <w:t>. A superheat of 10</w:t>
      </w:r>
      <w:r w:rsidRPr="000A2DE1">
        <w:t>°C</w:t>
      </w:r>
      <w:r>
        <w:t xml:space="preserve"> was applied to the stream entering the turbine in both the ORC and APCs; a 5</w:t>
      </w:r>
      <w:r w:rsidRPr="000A2DE1">
        <w:t>°C</w:t>
      </w:r>
      <w:r>
        <w:t xml:space="preserve"> supercooling is applied to the stream entering the pump in the ORC, whereas in the APCs this stream has no supercooling. The inset in (b) depicts the mole fraction of R-134a in the same liquid stream as a function of </w:t>
      </w:r>
      <w:r w:rsidRPr="00D87D7F">
        <w:rPr>
          <w:i/>
          <w:iCs/>
        </w:rPr>
        <w:t>T</w:t>
      </w:r>
      <w:r>
        <w:rPr>
          <w:i/>
          <w:iCs/>
          <w:vertAlign w:val="subscript"/>
        </w:rPr>
        <w:t>L</w:t>
      </w:r>
      <w:r>
        <w:t>. Blue diamonds, black circles and red triangles correspond to the ORC, the APC with the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mixture and the APC with the R-134a+[C</w:t>
      </w:r>
      <w:r>
        <w:rPr>
          <w:vertAlign w:val="subscript"/>
        </w:rPr>
        <w:t>6</w:t>
      </w:r>
      <w:r>
        <w:t>C</w:t>
      </w:r>
      <w:r w:rsidRPr="003316DB">
        <w:rPr>
          <w:vertAlign w:val="subscript"/>
        </w:rPr>
        <w:t>1</w:t>
      </w:r>
      <w:r>
        <w:t>im][Tf</w:t>
      </w:r>
      <w:r w:rsidRPr="003316DB">
        <w:rPr>
          <w:vertAlign w:val="subscript"/>
        </w:rPr>
        <w:t>2</w:t>
      </w:r>
      <w:r>
        <w:t xml:space="preserve">N] mixture, respectively. Closed and open symbols represent results obtained with the PR-EOS and the COSMO-SAC models. All data depicted are presented in </w:t>
      </w:r>
      <w:r w:rsidRPr="00825BB9">
        <w:t>Tables S1-S3 and S8-S10</w:t>
      </w:r>
      <w:r>
        <w:t>.</w:t>
      </w:r>
    </w:p>
    <w:p w14:paraId="2DF6CDA2" w14:textId="77777777" w:rsidR="00E60051" w:rsidRDefault="00E60051" w:rsidP="00BE61F8">
      <w:pPr>
        <w:spacing w:line="480" w:lineRule="auto"/>
        <w:jc w:val="both"/>
      </w:pPr>
      <w:r>
        <w:lastRenderedPageBreak/>
        <w:tab/>
      </w:r>
      <w:r w:rsidRPr="009925EA">
        <w:t>The data shown in</w:t>
      </w:r>
      <w:r>
        <w:rPr>
          <w:b/>
          <w:bCs/>
        </w:rPr>
        <w:t xml:space="preserve"> </w:t>
      </w:r>
      <w:r>
        <w:t xml:space="preserve">Figure 9 illustrate how the flow rates of the gas and liquid streams leaving the APC </w:t>
      </w:r>
      <w:proofErr w:type="spellStart"/>
      <w:r>
        <w:t>desorber</w:t>
      </w:r>
      <w:proofErr w:type="spellEnd"/>
      <w:r>
        <w:t xml:space="preserve"> are affected by subcooling in the pump inlet stream, as determined from the PR-EOS</w:t>
      </w:r>
      <w:r w:rsidRPr="00825BB9">
        <w:t xml:space="preserve">. As discussed before, for a given value of </w:t>
      </w:r>
      <w:r w:rsidRPr="00825BB9">
        <w:rPr>
          <w:i/>
          <w:iCs/>
        </w:rPr>
        <w:t>T</w:t>
      </w:r>
      <w:r w:rsidRPr="00825BB9">
        <w:rPr>
          <w:i/>
          <w:iCs/>
          <w:vertAlign w:val="subscript"/>
        </w:rPr>
        <w:t>L</w:t>
      </w:r>
      <w:r w:rsidRPr="00825BB9">
        <w:t>, applying higher degrees of subcooling results in higher turbine discharge pressures, which leads to higher required gas flow ra</w:t>
      </w:r>
      <w:r>
        <w:t>tes as the power produced by the turbine is kept fixed at 10 kW. When the subcooling in the APCs is equal to 5</w:t>
      </w:r>
      <w:r w:rsidRPr="000A2DE1">
        <w:t>°C</w:t>
      </w:r>
      <w:r>
        <w:t xml:space="preserve">, which is the same supercooling applied to the ORC, the gas flow rates for the three cycles are very similar. In addition, both APCs have similar flow rates of gas leaving the </w:t>
      </w:r>
      <w:proofErr w:type="spellStart"/>
      <w:r>
        <w:t>desorber</w:t>
      </w:r>
      <w:proofErr w:type="spellEnd"/>
      <w:r>
        <w:t xml:space="preserve">. The flow rates of liquid leaving the </w:t>
      </w:r>
      <w:proofErr w:type="spellStart"/>
      <w:r>
        <w:t>desorber</w:t>
      </w:r>
      <w:proofErr w:type="spellEnd"/>
      <w:r>
        <w:t xml:space="preserve"> (Figure 9b) also increase with larger degrees of subcooling, however for the same supercooling and same </w:t>
      </w:r>
      <w:r w:rsidRPr="00D87D7F">
        <w:rPr>
          <w:i/>
          <w:iCs/>
        </w:rPr>
        <w:t>T</w:t>
      </w:r>
      <w:r>
        <w:rPr>
          <w:i/>
          <w:iCs/>
          <w:vertAlign w:val="subscript"/>
        </w:rPr>
        <w:t>L</w:t>
      </w:r>
      <w:r>
        <w:t xml:space="preserve"> and </w:t>
      </w:r>
      <w:r w:rsidRPr="00D87D7F">
        <w:rPr>
          <w:i/>
          <w:iCs/>
        </w:rPr>
        <w:t>T</w:t>
      </w:r>
      <w:r>
        <w:rPr>
          <w:i/>
          <w:iCs/>
          <w:vertAlign w:val="subscript"/>
        </w:rPr>
        <w:t>H</w:t>
      </w:r>
      <w:r>
        <w:t>, the liquid flow rates are larger for the R-134a+[C</w:t>
      </w:r>
      <w:r>
        <w:rPr>
          <w:vertAlign w:val="subscript"/>
        </w:rPr>
        <w:t>6</w:t>
      </w:r>
      <w:r>
        <w:t>C</w:t>
      </w:r>
      <w:r w:rsidRPr="003316DB">
        <w:rPr>
          <w:vertAlign w:val="subscript"/>
        </w:rPr>
        <w:t>1</w:t>
      </w:r>
      <w:proofErr w:type="gramStart"/>
      <w:r>
        <w:t>im][</w:t>
      </w:r>
      <w:proofErr w:type="gramEnd"/>
      <w:r>
        <w:t>Tf</w:t>
      </w:r>
      <w:r w:rsidRPr="003316DB">
        <w:rPr>
          <w:vertAlign w:val="subscript"/>
        </w:rPr>
        <w:t>2</w:t>
      </w:r>
      <w:r>
        <w:t xml:space="preserve">N] system compared to the other refrigerant-IL mixture. In analogy to what was discussed in Figures 5b and 6b, the mole fractions of refrigerant in this liquid stream are not depicted in Figure 9b because they are not affected by variations in supercooling and have values equal to those shown in the inset of Figure 8b (filled symbols; see also </w:t>
      </w:r>
      <w:r w:rsidRPr="006A207C">
        <w:t>Tables S2-S7).</w:t>
      </w:r>
      <w:r>
        <w:t xml:space="preserve"> The equivalent COSMO-SAC results (</w:t>
      </w:r>
      <w:r w:rsidRPr="006A207C">
        <w:t>Figure S6)</w:t>
      </w:r>
      <w:r>
        <w:t xml:space="preserve"> follow the same trends as those described for Figure 9. </w:t>
      </w:r>
    </w:p>
    <w:tbl>
      <w:tblPr>
        <w:tblStyle w:val="TableGrid"/>
        <w:tblW w:w="0" w:type="auto"/>
        <w:tblLook w:val="04A0" w:firstRow="1" w:lastRow="0" w:firstColumn="1" w:lastColumn="0" w:noHBand="0" w:noVBand="1"/>
      </w:tblPr>
      <w:tblGrid>
        <w:gridCol w:w="4675"/>
        <w:gridCol w:w="4675"/>
      </w:tblGrid>
      <w:tr w:rsidR="00E60051" w:rsidRPr="007459CF" w14:paraId="7C09BCDC" w14:textId="77777777" w:rsidTr="0078690E">
        <w:tc>
          <w:tcPr>
            <w:tcW w:w="4675" w:type="dxa"/>
          </w:tcPr>
          <w:p w14:paraId="703B7BCB" w14:textId="77777777" w:rsidR="00E60051" w:rsidRPr="007459CF" w:rsidRDefault="00E60051" w:rsidP="0078690E">
            <w:pPr>
              <w:jc w:val="both"/>
              <w:rPr>
                <w:b/>
                <w:bCs/>
              </w:rPr>
            </w:pPr>
            <w:r>
              <w:rPr>
                <w:noProof/>
              </w:rPr>
              <w:drawing>
                <wp:inline distT="0" distB="0" distL="0" distR="0" wp14:anchorId="37DA6C22" wp14:editId="517317F0">
                  <wp:extent cx="2880360" cy="2359152"/>
                  <wp:effectExtent l="0" t="0" r="2540" b="3175"/>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80360" cy="2359152"/>
                          </a:xfrm>
                          <a:prstGeom prst="rect">
                            <a:avLst/>
                          </a:prstGeom>
                        </pic:spPr>
                      </pic:pic>
                    </a:graphicData>
                  </a:graphic>
                </wp:inline>
              </w:drawing>
            </w:r>
          </w:p>
          <w:p w14:paraId="35090093" w14:textId="77777777" w:rsidR="00E60051" w:rsidRPr="007459CF" w:rsidRDefault="00E60051" w:rsidP="0078690E">
            <w:pPr>
              <w:jc w:val="center"/>
              <w:rPr>
                <w:b/>
                <w:bCs/>
              </w:rPr>
            </w:pPr>
            <w:r w:rsidRPr="007459CF">
              <w:rPr>
                <w:b/>
                <w:bCs/>
              </w:rPr>
              <w:t>(a)</w:t>
            </w:r>
          </w:p>
        </w:tc>
        <w:tc>
          <w:tcPr>
            <w:tcW w:w="4675" w:type="dxa"/>
          </w:tcPr>
          <w:p w14:paraId="3567DB8C" w14:textId="77777777" w:rsidR="00E60051" w:rsidRPr="007459CF" w:rsidRDefault="00E60051" w:rsidP="0078690E">
            <w:pPr>
              <w:jc w:val="both"/>
              <w:rPr>
                <w:b/>
                <w:bCs/>
              </w:rPr>
            </w:pPr>
            <w:r>
              <w:rPr>
                <w:noProof/>
              </w:rPr>
              <w:drawing>
                <wp:inline distT="0" distB="0" distL="0" distR="0" wp14:anchorId="476A25E2" wp14:editId="4E3C24D2">
                  <wp:extent cx="2880360" cy="2359152"/>
                  <wp:effectExtent l="0" t="0" r="2540" b="3175"/>
                  <wp:docPr id="18" name="Picture 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0360" cy="2359152"/>
                          </a:xfrm>
                          <a:prstGeom prst="rect">
                            <a:avLst/>
                          </a:prstGeom>
                        </pic:spPr>
                      </pic:pic>
                    </a:graphicData>
                  </a:graphic>
                </wp:inline>
              </w:drawing>
            </w:r>
          </w:p>
          <w:p w14:paraId="6C5E6306" w14:textId="77777777" w:rsidR="00E60051" w:rsidRPr="007459CF" w:rsidRDefault="00E60051" w:rsidP="0078690E">
            <w:pPr>
              <w:jc w:val="center"/>
              <w:rPr>
                <w:b/>
                <w:bCs/>
              </w:rPr>
            </w:pPr>
            <w:r w:rsidRPr="007459CF">
              <w:rPr>
                <w:b/>
                <w:bCs/>
              </w:rPr>
              <w:t>(b)</w:t>
            </w:r>
          </w:p>
        </w:tc>
      </w:tr>
    </w:tbl>
    <w:p w14:paraId="1C9F427A" w14:textId="77777777" w:rsidR="00E60051" w:rsidRDefault="00E60051" w:rsidP="00E40A05">
      <w:pPr>
        <w:spacing w:line="480" w:lineRule="auto"/>
        <w:jc w:val="both"/>
      </w:pPr>
      <w:r>
        <w:rPr>
          <w:b/>
          <w:bCs/>
        </w:rPr>
        <w:lastRenderedPageBreak/>
        <w:t xml:space="preserve">Figure 9. </w:t>
      </w:r>
      <w:r w:rsidRPr="007C550C">
        <w:rPr>
          <w:b/>
          <w:bCs/>
        </w:rPr>
        <w:t>(a)</w:t>
      </w:r>
      <w:r w:rsidRPr="00280F73">
        <w:t xml:space="preserve"> </w:t>
      </w:r>
      <w:r>
        <w:t xml:space="preserve">Flow rate of the gas stream entering the turbine, and </w:t>
      </w:r>
      <w:r w:rsidRPr="007C550C">
        <w:rPr>
          <w:b/>
          <w:bCs/>
        </w:rPr>
        <w:t>(b)</w:t>
      </w:r>
      <w:r>
        <w:t xml:space="preserve"> flow rate of the liquid stream leaving the APC </w:t>
      </w:r>
      <w:proofErr w:type="spellStart"/>
      <w:r>
        <w:t>desorber</w:t>
      </w:r>
      <w:proofErr w:type="spellEnd"/>
      <w:r>
        <w:t xml:space="preserve">, as computed with the PR-EOS and both as a function of </w:t>
      </w:r>
      <w:r w:rsidRPr="00D87D7F">
        <w:rPr>
          <w:i/>
          <w:iCs/>
        </w:rPr>
        <w:t>T</w:t>
      </w:r>
      <w:r>
        <w:rPr>
          <w:i/>
          <w:iCs/>
          <w:vertAlign w:val="subscript"/>
        </w:rPr>
        <w:t>L</w:t>
      </w:r>
      <w:r>
        <w:t xml:space="preserve">, the temperature of the stream entering the pump, while keeping </w:t>
      </w:r>
      <w:r w:rsidRPr="00D87D7F">
        <w:rPr>
          <w:i/>
          <w:iCs/>
        </w:rPr>
        <w:t>T</w:t>
      </w:r>
      <w:r>
        <w:rPr>
          <w:i/>
          <w:iCs/>
          <w:vertAlign w:val="subscript"/>
        </w:rPr>
        <w:t>H</w:t>
      </w:r>
      <w:r>
        <w:t xml:space="preserve"> (temperature of the stream entering the turbine) constant at 10</w:t>
      </w:r>
      <w:r w:rsidRPr="00D87D7F">
        <w:t>0°C</w:t>
      </w:r>
      <w:r>
        <w:t>. A 5</w:t>
      </w:r>
      <w:r w:rsidRPr="000A2DE1">
        <w:t>°C</w:t>
      </w:r>
      <w:r>
        <w:t xml:space="preserve"> supercooling is applied to the stream entering the pump in the ORC, and a superheat of 10</w:t>
      </w:r>
      <w:r w:rsidRPr="000A2DE1">
        <w:t>°C</w:t>
      </w:r>
      <w:r>
        <w:t xml:space="preserve"> was applied to the stream entering the turbine in both the ORC and APCs. Blue diamonds, black/purple circles and red/green triangles correspond to the ORC, the APC with the R-134a+[C</w:t>
      </w:r>
      <w:r w:rsidRPr="003316DB">
        <w:rPr>
          <w:vertAlign w:val="subscript"/>
        </w:rPr>
        <w:t>2</w:t>
      </w:r>
      <w:r>
        <w:t>C</w:t>
      </w:r>
      <w:r w:rsidRPr="003316DB">
        <w:rPr>
          <w:vertAlign w:val="subscript"/>
        </w:rPr>
        <w:t>1</w:t>
      </w:r>
      <w:proofErr w:type="gramStart"/>
      <w:r>
        <w:t>im][</w:t>
      </w:r>
      <w:proofErr w:type="gramEnd"/>
      <w:r>
        <w:t>Tf</w:t>
      </w:r>
      <w:r w:rsidRPr="003316DB">
        <w:rPr>
          <w:vertAlign w:val="subscript"/>
        </w:rPr>
        <w:t>2</w:t>
      </w:r>
      <w:r>
        <w:t>N] mixture and the APC with the R-134a+[C</w:t>
      </w:r>
      <w:r>
        <w:rPr>
          <w:vertAlign w:val="subscript"/>
        </w:rPr>
        <w:t>6</w:t>
      </w:r>
      <w:r>
        <w:t>C</w:t>
      </w:r>
      <w:r w:rsidRPr="003316DB">
        <w:rPr>
          <w:vertAlign w:val="subscript"/>
        </w:rPr>
        <w:t>1</w:t>
      </w:r>
      <w:r>
        <w:t>im][Tf</w:t>
      </w:r>
      <w:r w:rsidRPr="003316DB">
        <w:rPr>
          <w:vertAlign w:val="subscript"/>
        </w:rPr>
        <w:t>2</w:t>
      </w:r>
      <w:r>
        <w:t xml:space="preserve">N] mixture, respectively. Different pump inlet </w:t>
      </w:r>
      <w:proofErr w:type="spellStart"/>
      <w:r>
        <w:t>supercoolings</w:t>
      </w:r>
      <w:proofErr w:type="spellEnd"/>
      <w:r>
        <w:t xml:space="preserve"> were considered for the APCs: 0</w:t>
      </w:r>
      <w:r w:rsidRPr="000A2DE1">
        <w:t>°C</w:t>
      </w:r>
      <w:r>
        <w:t xml:space="preserve"> (black, red continuous lines with filled symbols), 2</w:t>
      </w:r>
      <w:r w:rsidRPr="000A2DE1">
        <w:t>°C</w:t>
      </w:r>
      <w:r>
        <w:t xml:space="preserve"> (purple, green dotted lines with open symbols) and 5</w:t>
      </w:r>
      <w:r w:rsidRPr="000A2DE1">
        <w:t>°C</w:t>
      </w:r>
      <w:r>
        <w:t xml:space="preserve"> (purple, green dashed lines with filled symbols). Equivalent results from COSMO-SAC are presented in </w:t>
      </w:r>
      <w:r w:rsidRPr="006A207C">
        <w:t>Figure S6).</w:t>
      </w:r>
      <w:r>
        <w:t xml:space="preserve"> All data depicted are presented in </w:t>
      </w:r>
      <w:r w:rsidRPr="006A207C">
        <w:t>Tables S1-S7 of the</w:t>
      </w:r>
      <w:r>
        <w:t xml:space="preserve"> Supporting Information.</w:t>
      </w:r>
    </w:p>
    <w:p w14:paraId="24C61438" w14:textId="77777777" w:rsidR="00E60051" w:rsidRDefault="00E60051" w:rsidP="001B1C54">
      <w:pPr>
        <w:spacing w:line="480" w:lineRule="auto"/>
        <w:ind w:firstLine="720"/>
        <w:jc w:val="both"/>
      </w:pPr>
      <w:r>
        <w:t xml:space="preserve">As a first step to consider sizing of pump, pipes and other equipment in these systems, </w:t>
      </w:r>
      <w:r w:rsidRPr="00EF6594">
        <w:t>the volumetric flow rates</w:t>
      </w:r>
      <w:r>
        <w:t xml:space="preserve"> that enter the pump could be determined from t</w:t>
      </w:r>
      <w:r w:rsidRPr="00EF6594">
        <w:t>he</w:t>
      </w:r>
      <w:r>
        <w:t xml:space="preserve"> computed</w:t>
      </w:r>
      <w:r w:rsidRPr="00EF6594">
        <w:t xml:space="preserve"> molar flow rates and the estimated mixture densities </w:t>
      </w:r>
      <w:r>
        <w:t>using the</w:t>
      </w:r>
      <w:r w:rsidRPr="00EF6594">
        <w:t xml:space="preserve"> PR-EOS</w:t>
      </w:r>
      <w:r>
        <w:t xml:space="preserve">. Experimental measurements indicate that </w:t>
      </w:r>
      <w:r w:rsidRPr="00EF6594">
        <w:t xml:space="preserve">large </w:t>
      </w:r>
      <w:r>
        <w:t xml:space="preserve">expansion in the </w:t>
      </w:r>
      <w:r w:rsidRPr="00EF6594">
        <w:t>volume of the ILs</w:t>
      </w:r>
      <w:r>
        <w:t xml:space="preserve"> result from the addition of </w:t>
      </w:r>
      <w:r w:rsidRPr="00EF6594">
        <w:t>R-134a.</w:t>
      </w:r>
      <w:r w:rsidRPr="0065509C">
        <w:rPr>
          <w:noProof/>
          <w:vertAlign w:val="superscript"/>
        </w:rPr>
        <w:t>14</w:t>
      </w:r>
      <w:r w:rsidRPr="00EF6594">
        <w:t xml:space="preserve"> In general the results show that the largest volumetric flow rates </w:t>
      </w:r>
      <w:r>
        <w:t xml:space="preserve">at the pump inlet were </w:t>
      </w:r>
      <w:r w:rsidRPr="00EF6594">
        <w:t xml:space="preserve">found for the </w:t>
      </w:r>
      <w:r>
        <w:t xml:space="preserve">combination of the </w:t>
      </w:r>
      <w:r w:rsidRPr="00EF6594">
        <w:t xml:space="preserve">lowest </w:t>
      </w:r>
      <w:r w:rsidRPr="00EF6594">
        <w:rPr>
          <w:i/>
          <w:iCs/>
        </w:rPr>
        <w:t>T</w:t>
      </w:r>
      <w:r w:rsidRPr="00EF6594">
        <w:rPr>
          <w:i/>
          <w:iCs/>
          <w:vertAlign w:val="subscript"/>
        </w:rPr>
        <w:t>H</w:t>
      </w:r>
      <w:r w:rsidRPr="00EF6594">
        <w:t xml:space="preserve"> (65</w:t>
      </w:r>
      <w:r w:rsidRPr="000A2DE1">
        <w:t>°C</w:t>
      </w:r>
      <w:r w:rsidRPr="00EF6594">
        <w:t xml:space="preserve">) and the highest </w:t>
      </w:r>
      <w:r w:rsidRPr="00EF6594">
        <w:rPr>
          <w:i/>
          <w:iCs/>
        </w:rPr>
        <w:t>T</w:t>
      </w:r>
      <w:r>
        <w:rPr>
          <w:i/>
          <w:iCs/>
          <w:vertAlign w:val="subscript"/>
        </w:rPr>
        <w:t>L</w:t>
      </w:r>
      <w:r w:rsidRPr="00EF6594">
        <w:t xml:space="preserve"> studied</w:t>
      </w:r>
      <w:r>
        <w:t xml:space="preserve"> </w:t>
      </w:r>
      <w:r w:rsidRPr="00EF6594">
        <w:t>(4</w:t>
      </w:r>
      <w:r>
        <w:t>5</w:t>
      </w:r>
      <w:r w:rsidRPr="000A2DE1">
        <w:t>°C</w:t>
      </w:r>
      <w:r w:rsidRPr="00EF6594">
        <w:t xml:space="preserve">), for which </w:t>
      </w:r>
      <w:r>
        <w:t>a</w:t>
      </w:r>
      <w:r w:rsidRPr="00EF6594">
        <w:t xml:space="preserve"> flow rate </w:t>
      </w:r>
      <w:r>
        <w:t>of</w:t>
      </w:r>
      <w:r w:rsidRPr="00EF6594">
        <w:t xml:space="preserve"> </w:t>
      </w:r>
      <w:r>
        <w:t>~</w:t>
      </w:r>
      <w:r w:rsidRPr="00EF6594">
        <w:t>7.3 m</w:t>
      </w:r>
      <w:r w:rsidRPr="00EF6594">
        <w:rPr>
          <w:vertAlign w:val="superscript"/>
        </w:rPr>
        <w:t>3</w:t>
      </w:r>
      <w:r w:rsidRPr="00EF6594">
        <w:t xml:space="preserve">/h </w:t>
      </w:r>
      <w:r>
        <w:t xml:space="preserve">was observed </w:t>
      </w:r>
      <w:r w:rsidRPr="00EF6594">
        <w:t>for the R-134a</w:t>
      </w:r>
      <w:r>
        <w:t>+[C</w:t>
      </w:r>
      <w:r>
        <w:rPr>
          <w:vertAlign w:val="subscript"/>
        </w:rPr>
        <w:t>6</w:t>
      </w:r>
      <w:r>
        <w:t>C</w:t>
      </w:r>
      <w:r w:rsidRPr="003316DB">
        <w:rPr>
          <w:vertAlign w:val="subscript"/>
        </w:rPr>
        <w:t>1</w:t>
      </w:r>
      <w:r>
        <w:t>im][Tf</w:t>
      </w:r>
      <w:r w:rsidRPr="003316DB">
        <w:rPr>
          <w:vertAlign w:val="subscript"/>
        </w:rPr>
        <w:t>2</w:t>
      </w:r>
      <w:r>
        <w:t>N]</w:t>
      </w:r>
      <w:r w:rsidRPr="00EF6594">
        <w:t xml:space="preserve"> mixture with 2</w:t>
      </w:r>
      <w:r w:rsidRPr="000A2DE1">
        <w:t>°C</w:t>
      </w:r>
      <w:r w:rsidRPr="00EF6594">
        <w:t xml:space="preserve"> supercooling (slightly lower for the other system at similar conditions, 7.0 m</w:t>
      </w:r>
      <w:r w:rsidRPr="00EF6594">
        <w:rPr>
          <w:vertAlign w:val="superscript"/>
        </w:rPr>
        <w:t>3</w:t>
      </w:r>
      <w:r w:rsidRPr="00EF6594">
        <w:t>/h). The smallest volumetric flow rates for this stream were found at the</w:t>
      </w:r>
      <w:r>
        <w:t xml:space="preserve"> combination of the</w:t>
      </w:r>
      <w:r w:rsidRPr="00EF6594">
        <w:t xml:space="preserve"> highest </w:t>
      </w:r>
      <w:r w:rsidRPr="00EF6594">
        <w:rPr>
          <w:i/>
          <w:iCs/>
        </w:rPr>
        <w:t>T</w:t>
      </w:r>
      <w:r w:rsidRPr="00EF6594">
        <w:rPr>
          <w:i/>
          <w:iCs/>
          <w:vertAlign w:val="subscript"/>
        </w:rPr>
        <w:t>H</w:t>
      </w:r>
      <w:r w:rsidRPr="00EF6594">
        <w:t xml:space="preserve"> (100</w:t>
      </w:r>
      <w:r w:rsidRPr="000A2DE1">
        <w:t>°C</w:t>
      </w:r>
      <w:r w:rsidRPr="00EF6594">
        <w:t xml:space="preserve">) and the lowest </w:t>
      </w:r>
      <w:r w:rsidRPr="00EF6594">
        <w:rPr>
          <w:i/>
          <w:iCs/>
        </w:rPr>
        <w:t>T</w:t>
      </w:r>
      <w:r>
        <w:rPr>
          <w:i/>
          <w:iCs/>
          <w:vertAlign w:val="subscript"/>
        </w:rPr>
        <w:t>L</w:t>
      </w:r>
      <w:r w:rsidRPr="00EF6594">
        <w:t xml:space="preserve"> </w:t>
      </w:r>
      <w:r>
        <w:t>considered</w:t>
      </w:r>
      <w:r w:rsidRPr="00EF6594">
        <w:t xml:space="preserve"> (30</w:t>
      </w:r>
      <w:r w:rsidRPr="000A2DE1">
        <w:t>°C</w:t>
      </w:r>
      <w:r w:rsidRPr="00EF6594">
        <w:t xml:space="preserve">) </w:t>
      </w:r>
      <w:r>
        <w:t>with</w:t>
      </w:r>
      <w:r w:rsidRPr="00EF6594">
        <w:t xml:space="preserve"> no subcooling, </w:t>
      </w:r>
      <w:r>
        <w:t>~</w:t>
      </w:r>
      <w:r w:rsidRPr="00EF6594">
        <w:t>1.1 m</w:t>
      </w:r>
      <w:r w:rsidRPr="00EF6594">
        <w:rPr>
          <w:vertAlign w:val="superscript"/>
        </w:rPr>
        <w:t>3</w:t>
      </w:r>
      <w:r w:rsidRPr="00EF6594">
        <w:t>/h for both R-134a+IL mixtures. A more detailed analysis could be performed in follow up studies</w:t>
      </w:r>
      <w:r>
        <w:t xml:space="preserve">.  </w:t>
      </w:r>
    </w:p>
    <w:p w14:paraId="1E9A15A8" w14:textId="77777777" w:rsidR="00E60051" w:rsidRDefault="00E60051" w:rsidP="00940816">
      <w:pPr>
        <w:spacing w:line="480" w:lineRule="auto"/>
        <w:jc w:val="both"/>
        <w:rPr>
          <w:b/>
          <w:bCs/>
        </w:rPr>
      </w:pPr>
      <w:r>
        <w:rPr>
          <w:b/>
          <w:bCs/>
        </w:rPr>
        <w:lastRenderedPageBreak/>
        <w:t>4. Conclusions</w:t>
      </w:r>
    </w:p>
    <w:p w14:paraId="183D9AE9" w14:textId="77777777" w:rsidR="00E60051" w:rsidRDefault="00E60051" w:rsidP="00532521">
      <w:pPr>
        <w:spacing w:line="480" w:lineRule="auto"/>
        <w:ind w:firstLine="720"/>
        <w:jc w:val="both"/>
      </w:pPr>
      <w:r>
        <w:t>The efficiencies of absorption power cycles (APCs) using mixtures of R-134a with two ionic liquids (ILs), either [C</w:t>
      </w:r>
      <w:r w:rsidRPr="003316DB">
        <w:rPr>
          <w:vertAlign w:val="subscript"/>
        </w:rPr>
        <w:t>2</w:t>
      </w:r>
      <w:r>
        <w:t>C</w:t>
      </w:r>
      <w:r w:rsidRPr="003316DB">
        <w:rPr>
          <w:vertAlign w:val="subscript"/>
        </w:rPr>
        <w:t>1</w:t>
      </w:r>
      <w:r>
        <w:t>im][Tf</w:t>
      </w:r>
      <w:r w:rsidRPr="003316DB">
        <w:rPr>
          <w:vertAlign w:val="subscript"/>
        </w:rPr>
        <w:t>2</w:t>
      </w:r>
      <w:r>
        <w:t>N]</w:t>
      </w:r>
      <w:r w:rsidRPr="00325823" w:rsidDel="009A1173">
        <w:t xml:space="preserve"> </w:t>
      </w:r>
      <w:r>
        <w:t xml:space="preserve"> or [C</w:t>
      </w:r>
      <w:r>
        <w:rPr>
          <w:vertAlign w:val="subscript"/>
        </w:rPr>
        <w:t>6</w:t>
      </w:r>
      <w:r>
        <w:t>C</w:t>
      </w:r>
      <w:r w:rsidRPr="003316DB">
        <w:rPr>
          <w:vertAlign w:val="subscript"/>
        </w:rPr>
        <w:t>1</w:t>
      </w:r>
      <w:r>
        <w:t>im][Tf</w:t>
      </w:r>
      <w:r w:rsidRPr="003316DB">
        <w:rPr>
          <w:vertAlign w:val="subscript"/>
        </w:rPr>
        <w:t>2</w:t>
      </w:r>
      <w:r>
        <w:t>N], were determined from Aspen Plus</w:t>
      </w:r>
      <w:r w:rsidRPr="00AE2BA5">
        <w:rPr>
          <w:vertAlign w:val="superscript"/>
        </w:rPr>
        <w:t>®</w:t>
      </w:r>
      <w:r>
        <w:t xml:space="preserve"> simulations and compared against the performance of an organic Rankine cycle (ORC) working with R-134a under similar operating conditions. Two thermodynamic models within Aspen Plus</w:t>
      </w:r>
      <w:r w:rsidRPr="00AE2BA5">
        <w:rPr>
          <w:vertAlign w:val="superscript"/>
        </w:rPr>
        <w:t>®</w:t>
      </w:r>
      <w:r>
        <w:t xml:space="preserve"> were used, the Peng-Robinson equation of state (PR-EOS) and the COSMO-SAC model, with the IL parameters obtained from the work of García-Gutiérrez </w:t>
      </w:r>
      <w:r>
        <w:rPr>
          <w:i/>
          <w:iCs/>
        </w:rPr>
        <w:t>et al</w:t>
      </w:r>
      <w:r>
        <w:t>.</w:t>
      </w:r>
      <w:r w:rsidRPr="00D919E7">
        <w:rPr>
          <w:noProof/>
          <w:vertAlign w:val="superscript"/>
        </w:rPr>
        <w:t>53</w:t>
      </w:r>
      <w:r>
        <w:t xml:space="preserve"> The cycle efficiencies determined using the PR-EOS are in excellent agreement with calculations based on a Peng-Robinson model with van der Waals 2-parameter mixing rules (PR-vdW2),</w:t>
      </w:r>
      <w:r w:rsidRPr="0065509C">
        <w:rPr>
          <w:noProof/>
          <w:vertAlign w:val="superscript"/>
        </w:rPr>
        <w:t>14</w:t>
      </w:r>
      <w:r>
        <w:t xml:space="preserve"> which was fitted to experimental vapor-liquid phase equilibrium data for the R-134a+IL systems. Results obtained from the PR-EOS show that both of the APCs operating with the two refrigerant-IL mixtures have similar efficiencies, which in turn are larger than those determined for the ORC if the pump inlet stream in the APCs has modest or no supercooling (2</w:t>
      </w:r>
      <w:r w:rsidRPr="000A2DE1">
        <w:t>°</w:t>
      </w:r>
      <w:r>
        <w:t>C or 0</w:t>
      </w:r>
      <w:r w:rsidRPr="000A2DE1">
        <w:t>°C</w:t>
      </w:r>
      <w:r>
        <w:t xml:space="preserve">). Under these conditions, the efficiency differences between the APCs and the ORC range between 3 – 46%, with the gap becoming larger as </w:t>
      </w:r>
      <w:r w:rsidRPr="006405EE">
        <w:rPr>
          <w:i/>
          <w:iCs/>
        </w:rPr>
        <w:t>T</w:t>
      </w:r>
      <w:r w:rsidRPr="006405EE">
        <w:rPr>
          <w:i/>
          <w:iCs/>
          <w:vertAlign w:val="subscript"/>
        </w:rPr>
        <w:t>H</w:t>
      </w:r>
      <w:r>
        <w:t xml:space="preserve"> (the inlet temperature to the turbine) decreases, </w:t>
      </w:r>
      <w:r w:rsidRPr="006405EE">
        <w:rPr>
          <w:i/>
          <w:iCs/>
        </w:rPr>
        <w:t>T</w:t>
      </w:r>
      <w:r>
        <w:rPr>
          <w:i/>
          <w:iCs/>
          <w:vertAlign w:val="subscript"/>
        </w:rPr>
        <w:t>L</w:t>
      </w:r>
      <w:r>
        <w:t xml:space="preserve"> (the inlet temperature to the pump) increases and supercooling in the pump inlet stream decreases. These findings indicate that the APC becomes much more efficient compared to the ORC as lower grade (lower temperature) heating sources are used, and when operating with cooling sources of lower quality (at higher temperature or using air instead of cooling water). Results from the PR-EOS indicate that both APCs require similar flow rates of gas entering the turbine, which in turn are lower than those determined for the ORC; these flow rates increase as </w:t>
      </w:r>
      <w:r w:rsidRPr="006405EE">
        <w:rPr>
          <w:i/>
          <w:iCs/>
        </w:rPr>
        <w:t>T</w:t>
      </w:r>
      <w:r w:rsidRPr="006405EE">
        <w:rPr>
          <w:i/>
          <w:iCs/>
          <w:vertAlign w:val="subscript"/>
        </w:rPr>
        <w:t>H</w:t>
      </w:r>
      <w:r w:rsidRPr="00FD2610">
        <w:t xml:space="preserve"> </w:t>
      </w:r>
      <w:r>
        <w:t xml:space="preserve">is lowered, </w:t>
      </w:r>
      <w:r w:rsidRPr="006405EE">
        <w:rPr>
          <w:i/>
          <w:iCs/>
        </w:rPr>
        <w:t>T</w:t>
      </w:r>
      <w:r>
        <w:rPr>
          <w:i/>
          <w:iCs/>
          <w:vertAlign w:val="subscript"/>
        </w:rPr>
        <w:t>L</w:t>
      </w:r>
      <w:r>
        <w:t xml:space="preserve"> is raised and subcooling in the pump inlet increases. Similarly, the flow rates of the liquid mixture leaving the APC </w:t>
      </w:r>
      <w:proofErr w:type="spellStart"/>
      <w:r>
        <w:t>desorber</w:t>
      </w:r>
      <w:proofErr w:type="spellEnd"/>
      <w:r>
        <w:t xml:space="preserve"> increase as </w:t>
      </w:r>
      <w:r w:rsidRPr="006405EE">
        <w:rPr>
          <w:i/>
          <w:iCs/>
        </w:rPr>
        <w:t>T</w:t>
      </w:r>
      <w:r w:rsidRPr="006405EE">
        <w:rPr>
          <w:i/>
          <w:iCs/>
          <w:vertAlign w:val="subscript"/>
        </w:rPr>
        <w:t>H</w:t>
      </w:r>
      <w:r w:rsidRPr="00FD2610">
        <w:t xml:space="preserve"> </w:t>
      </w:r>
      <w:r>
        <w:t xml:space="preserve">decreases, </w:t>
      </w:r>
      <w:r w:rsidRPr="006405EE">
        <w:rPr>
          <w:i/>
          <w:iCs/>
        </w:rPr>
        <w:t>T</w:t>
      </w:r>
      <w:r>
        <w:rPr>
          <w:i/>
          <w:iCs/>
          <w:vertAlign w:val="subscript"/>
        </w:rPr>
        <w:t>L</w:t>
      </w:r>
      <w:r>
        <w:t xml:space="preserve"> increases and subcooling increases, with the R-</w:t>
      </w:r>
      <w:r>
        <w:lastRenderedPageBreak/>
        <w:t>134a+[C</w:t>
      </w:r>
      <w:r w:rsidRPr="003316DB">
        <w:rPr>
          <w:vertAlign w:val="subscript"/>
        </w:rPr>
        <w:t>2</w:t>
      </w:r>
      <w:r>
        <w:t>C</w:t>
      </w:r>
      <w:r w:rsidRPr="003316DB">
        <w:rPr>
          <w:vertAlign w:val="subscript"/>
        </w:rPr>
        <w:t>1</w:t>
      </w:r>
      <w:r>
        <w:t>im][Tf</w:t>
      </w:r>
      <w:r w:rsidRPr="003316DB">
        <w:rPr>
          <w:vertAlign w:val="subscript"/>
        </w:rPr>
        <w:t>2</w:t>
      </w:r>
      <w:r>
        <w:t>N] system having larger flow rates and smaller mole fractions of refrigerant compared to the R-134a+[C</w:t>
      </w:r>
      <w:r w:rsidRPr="003316DB">
        <w:rPr>
          <w:vertAlign w:val="subscript"/>
        </w:rPr>
        <w:t>2</w:t>
      </w:r>
      <w:r>
        <w:t>C</w:t>
      </w:r>
      <w:r w:rsidRPr="003316DB">
        <w:rPr>
          <w:vertAlign w:val="subscript"/>
        </w:rPr>
        <w:t>1</w:t>
      </w:r>
      <w:r>
        <w:t>im][Tf</w:t>
      </w:r>
      <w:r w:rsidRPr="003316DB">
        <w:rPr>
          <w:vertAlign w:val="subscript"/>
        </w:rPr>
        <w:t>2</w:t>
      </w:r>
      <w:r>
        <w:t xml:space="preserve">N] system. The mole fraction of refrigerant in this particular stream decrease as </w:t>
      </w:r>
      <w:r w:rsidRPr="006405EE">
        <w:rPr>
          <w:i/>
          <w:iCs/>
        </w:rPr>
        <w:t>T</w:t>
      </w:r>
      <w:r w:rsidRPr="006405EE">
        <w:rPr>
          <w:i/>
          <w:iCs/>
          <w:vertAlign w:val="subscript"/>
        </w:rPr>
        <w:t>H</w:t>
      </w:r>
      <w:r w:rsidRPr="00FD2610">
        <w:t xml:space="preserve"> </w:t>
      </w:r>
      <w:r>
        <w:t xml:space="preserve">is lowered and seem to be unaffected with changes in </w:t>
      </w:r>
      <w:r w:rsidRPr="006405EE">
        <w:rPr>
          <w:i/>
          <w:iCs/>
        </w:rPr>
        <w:t>T</w:t>
      </w:r>
      <w:r>
        <w:rPr>
          <w:i/>
          <w:iCs/>
          <w:vertAlign w:val="subscript"/>
        </w:rPr>
        <w:t>L</w:t>
      </w:r>
      <w:r>
        <w:t xml:space="preserve"> and in subcooling.</w:t>
      </w:r>
      <w:r w:rsidRPr="0078687D">
        <w:t xml:space="preserve"> </w:t>
      </w:r>
      <w:r>
        <w:t>One particular advantage of the APCs over the ORC is that it can be operated at comparatively lower levels of subcooling in the pump inlet stream; operating both the APCs and the ORC with 5</w:t>
      </w:r>
      <w:r w:rsidRPr="000A2DE1">
        <w:t>°</w:t>
      </w:r>
      <w:r>
        <w:t xml:space="preserve">C subcooling results in the APCs having lower efficiencies than the ORC at any given values of </w:t>
      </w:r>
      <w:r w:rsidRPr="006405EE">
        <w:rPr>
          <w:i/>
          <w:iCs/>
        </w:rPr>
        <w:t>T</w:t>
      </w:r>
      <w:r w:rsidRPr="006405EE">
        <w:rPr>
          <w:i/>
          <w:iCs/>
          <w:vertAlign w:val="subscript"/>
        </w:rPr>
        <w:t>H</w:t>
      </w:r>
      <w:r w:rsidRPr="00FD2610">
        <w:t xml:space="preserve"> </w:t>
      </w:r>
      <w:r>
        <w:t xml:space="preserve">and </w:t>
      </w:r>
      <w:r w:rsidRPr="006405EE">
        <w:rPr>
          <w:i/>
          <w:iCs/>
        </w:rPr>
        <w:t>T</w:t>
      </w:r>
      <w:r>
        <w:rPr>
          <w:i/>
          <w:iCs/>
          <w:vertAlign w:val="subscript"/>
        </w:rPr>
        <w:t>L</w:t>
      </w:r>
      <w:r>
        <w:t>, as h</w:t>
      </w:r>
      <w:r w:rsidRPr="00FC6412">
        <w:t>igher subcooling result</w:t>
      </w:r>
      <w:r>
        <w:t>s</w:t>
      </w:r>
      <w:r w:rsidRPr="00FC6412">
        <w:t xml:space="preserve"> in higher turbine outlet</w:t>
      </w:r>
      <w:r>
        <w:t xml:space="preserve"> </w:t>
      </w:r>
      <w:r w:rsidRPr="00FC6412">
        <w:t>pressures, which in turn reduces the turbine</w:t>
      </w:r>
      <w:r>
        <w:t xml:space="preserve"> power output</w:t>
      </w:r>
      <w:r w:rsidRPr="00FC6412">
        <w:t xml:space="preserve"> per unit mass of</w:t>
      </w:r>
      <w:r>
        <w:t xml:space="preserve"> </w:t>
      </w:r>
      <w:r w:rsidRPr="00FC6412">
        <w:t>working fluid</w:t>
      </w:r>
      <w:r>
        <w:t xml:space="preserve"> and thus the cycle efficiency. In general, the COSMO-SAC results follow similar trends, but for given combinations of </w:t>
      </w:r>
      <w:r w:rsidRPr="006405EE">
        <w:rPr>
          <w:i/>
          <w:iCs/>
        </w:rPr>
        <w:t>T</w:t>
      </w:r>
      <w:r w:rsidRPr="006405EE">
        <w:rPr>
          <w:i/>
          <w:iCs/>
          <w:vertAlign w:val="subscript"/>
        </w:rPr>
        <w:t>H</w:t>
      </w:r>
      <w:r w:rsidRPr="00FD2610">
        <w:t xml:space="preserve"> </w:t>
      </w:r>
      <w:r>
        <w:t xml:space="preserve">and </w:t>
      </w:r>
      <w:r w:rsidRPr="006405EE">
        <w:rPr>
          <w:i/>
          <w:iCs/>
        </w:rPr>
        <w:t>T</w:t>
      </w:r>
      <w:r>
        <w:rPr>
          <w:i/>
          <w:iCs/>
          <w:vertAlign w:val="subscript"/>
        </w:rPr>
        <w:t>L</w:t>
      </w:r>
      <w:r>
        <w:t xml:space="preserve"> the cycle efficiencies are larger, the flow rates of R-134a entering the turbine are smaller, the flow rates of refrigerant-IL leaving the </w:t>
      </w:r>
      <w:proofErr w:type="spellStart"/>
      <w:r>
        <w:t>desorber</w:t>
      </w:r>
      <w:proofErr w:type="spellEnd"/>
      <w:r>
        <w:t xml:space="preserve"> are larger and the mole fractions of R-134a in this stream are smaller compared to the PR-EOS results. Further, the COSMO-SAC trends suggest that for certain combinations of </w:t>
      </w:r>
      <w:r w:rsidRPr="006405EE">
        <w:rPr>
          <w:i/>
          <w:iCs/>
        </w:rPr>
        <w:t>T</w:t>
      </w:r>
      <w:r w:rsidRPr="006405EE">
        <w:rPr>
          <w:i/>
          <w:iCs/>
          <w:vertAlign w:val="subscript"/>
        </w:rPr>
        <w:t>H</w:t>
      </w:r>
      <w:r w:rsidRPr="00FD2610">
        <w:t xml:space="preserve"> </w:t>
      </w:r>
      <w:r>
        <w:t xml:space="preserve">and </w:t>
      </w:r>
      <w:r w:rsidRPr="006405EE">
        <w:rPr>
          <w:i/>
          <w:iCs/>
        </w:rPr>
        <w:t>T</w:t>
      </w:r>
      <w:r>
        <w:rPr>
          <w:i/>
          <w:iCs/>
          <w:vertAlign w:val="subscript"/>
        </w:rPr>
        <w:t>L</w:t>
      </w:r>
      <w:r>
        <w:t xml:space="preserve"> the ORC would have higher efficiencies than the APCs even with a modest subcooling of 2</w:t>
      </w:r>
      <w:r w:rsidRPr="000A2DE1">
        <w:t>°</w:t>
      </w:r>
      <w:r>
        <w:t>C, which differ from the PR-EOS trends. The differences between the COSMO-SAC and the PR-EOS results can be linked to discrepancies in the solubility of R-134a in the ILs, and to differences in the enthalpy changes for pure R-134a and refrigerant-IL mixtures.</w:t>
      </w:r>
    </w:p>
    <w:p w14:paraId="0E6C9E0F" w14:textId="77777777" w:rsidR="00E60051" w:rsidRDefault="00E60051" w:rsidP="00532521">
      <w:pPr>
        <w:spacing w:line="480" w:lineRule="auto"/>
        <w:ind w:firstLine="720"/>
        <w:jc w:val="both"/>
      </w:pPr>
      <w:r>
        <w:t xml:space="preserve">In regard to the APC-ORC comparison, the results presented here are encouraging and suggest that further </w:t>
      </w:r>
      <w:r w:rsidRPr="00655B9A">
        <w:t>i</w:t>
      </w:r>
      <w:r>
        <w:t>ncreases</w:t>
      </w:r>
      <w:r w:rsidRPr="00655B9A">
        <w:t xml:space="preserve"> in </w:t>
      </w:r>
      <w:r>
        <w:t xml:space="preserve">the APC </w:t>
      </w:r>
      <w:r w:rsidRPr="00655B9A">
        <w:t>efficienc</w:t>
      </w:r>
      <w:r>
        <w:t>ies</w:t>
      </w:r>
      <w:r w:rsidRPr="00655B9A">
        <w:t xml:space="preserve"> </w:t>
      </w:r>
      <w:r>
        <w:t xml:space="preserve">with respect to the ORC could be realized. This observation builds on the fact that </w:t>
      </w:r>
      <w:r>
        <w:rPr>
          <w:bCs/>
        </w:rPr>
        <w:t xml:space="preserve">the R-134a+IL </w:t>
      </w:r>
      <w:r w:rsidRPr="00655B9A">
        <w:rPr>
          <w:bCs/>
        </w:rPr>
        <w:t>mixture</w:t>
      </w:r>
      <w:r>
        <w:rPr>
          <w:bCs/>
        </w:rPr>
        <w:t xml:space="preserve">s studied here </w:t>
      </w:r>
      <w:r w:rsidRPr="00655B9A">
        <w:rPr>
          <w:bCs/>
        </w:rPr>
        <w:t>w</w:t>
      </w:r>
      <w:r>
        <w:rPr>
          <w:bCs/>
        </w:rPr>
        <w:t>ere basically</w:t>
      </w:r>
      <w:r w:rsidRPr="00655B9A">
        <w:rPr>
          <w:bCs/>
        </w:rPr>
        <w:t xml:space="preserve"> model system</w:t>
      </w:r>
      <w:r>
        <w:rPr>
          <w:bCs/>
        </w:rPr>
        <w:t xml:space="preserve">s, </w:t>
      </w:r>
      <w:r w:rsidRPr="00655B9A">
        <w:rPr>
          <w:bCs/>
        </w:rPr>
        <w:t>unoptimized neither for performance in th</w:t>
      </w:r>
      <w:r>
        <w:rPr>
          <w:bCs/>
        </w:rPr>
        <w:t>e</w:t>
      </w:r>
      <w:r w:rsidRPr="00655B9A">
        <w:rPr>
          <w:bCs/>
        </w:rPr>
        <w:t xml:space="preserve"> </w:t>
      </w:r>
      <w:r>
        <w:rPr>
          <w:bCs/>
        </w:rPr>
        <w:t xml:space="preserve">APC </w:t>
      </w:r>
      <w:r w:rsidRPr="00655B9A">
        <w:rPr>
          <w:bCs/>
        </w:rPr>
        <w:t>nor for matching heating and cooling temperatures.</w:t>
      </w:r>
      <w:r w:rsidRPr="00655B9A">
        <w:rPr>
          <w:b/>
        </w:rPr>
        <w:t xml:space="preserve"> </w:t>
      </w:r>
      <w:r>
        <w:t>T</w:t>
      </w:r>
      <w:r w:rsidRPr="00655B9A">
        <w:t>h</w:t>
      </w:r>
      <w:r>
        <w:t>ese initial results</w:t>
      </w:r>
      <w:r w:rsidRPr="00655B9A">
        <w:t xml:space="preserve"> </w:t>
      </w:r>
      <w:r>
        <w:t xml:space="preserve">can be used </w:t>
      </w:r>
      <w:r w:rsidRPr="00655B9A">
        <w:t>to further confirm, understand, optimize and develop the fundamentals</w:t>
      </w:r>
      <w:r>
        <w:t xml:space="preserve"> in follow up work.</w:t>
      </w:r>
      <w:r w:rsidRPr="00655B9A">
        <w:t xml:space="preserve"> </w:t>
      </w:r>
      <w:r>
        <w:t>C</w:t>
      </w:r>
      <w:r w:rsidRPr="00655B9A">
        <w:t xml:space="preserve">onsidering the staggering number of potential ILs and working fluid combinations, </w:t>
      </w:r>
      <w:r>
        <w:t xml:space="preserve">much larger </w:t>
      </w:r>
      <w:r w:rsidRPr="00655B9A">
        <w:t>improvement</w:t>
      </w:r>
      <w:r>
        <w:t>s</w:t>
      </w:r>
      <w:r w:rsidRPr="00655B9A">
        <w:t xml:space="preserve"> in </w:t>
      </w:r>
      <w:r>
        <w:t xml:space="preserve">APC </w:t>
      </w:r>
      <w:r w:rsidRPr="00655B9A">
        <w:t>efficienc</w:t>
      </w:r>
      <w:r>
        <w:t>ies</w:t>
      </w:r>
      <w:r w:rsidRPr="00655B9A">
        <w:t xml:space="preserve"> </w:t>
      </w:r>
      <w:r>
        <w:t xml:space="preserve">could be </w:t>
      </w:r>
      <w:r w:rsidRPr="00655B9A">
        <w:lastRenderedPageBreak/>
        <w:t>anticipated.</w:t>
      </w:r>
      <w:r>
        <w:t xml:space="preserve"> In that sense, COSMO-SAC represents an attractive tool to screen potential working fluid candidates due to its purely predictive nature, as no parameters are fitted to mixture-specific experimental data. However, the results shown here also suggest that improvements are needed to increase the accuracy of the COSMO-SAC calculations for these particular systems. In addition, we also note that </w:t>
      </w:r>
      <w:r w:rsidRPr="005A147C">
        <w:t xml:space="preserve">our </w:t>
      </w:r>
      <w:r>
        <w:t>Aspen Plus</w:t>
      </w:r>
      <w:r w:rsidRPr="00AE2BA5">
        <w:rPr>
          <w:vertAlign w:val="superscript"/>
        </w:rPr>
        <w:t>®</w:t>
      </w:r>
      <w:r w:rsidRPr="005A147C">
        <w:t xml:space="preserve"> models are very simplified and aimed mainly at modeling the</w:t>
      </w:r>
      <w:r>
        <w:t xml:space="preserve"> </w:t>
      </w:r>
      <w:r w:rsidRPr="005A147C">
        <w:t xml:space="preserve">thermodynamic performance of both cycles. More </w:t>
      </w:r>
      <w:r>
        <w:t xml:space="preserve">complex </w:t>
      </w:r>
      <w:r w:rsidRPr="005A147C">
        <w:t>models that include rigorously</w:t>
      </w:r>
      <w:r>
        <w:t xml:space="preserve"> </w:t>
      </w:r>
      <w:r w:rsidRPr="005A147C">
        <w:t xml:space="preserve">modeling the </w:t>
      </w:r>
      <w:proofErr w:type="spellStart"/>
      <w:r w:rsidRPr="005A147C">
        <w:t>recuperator</w:t>
      </w:r>
      <w:proofErr w:type="spellEnd"/>
      <w:r w:rsidRPr="005A147C">
        <w:t xml:space="preserve"> as a heat exchanger in both cycles</w:t>
      </w:r>
      <w:r>
        <w:t xml:space="preserve">, </w:t>
      </w:r>
      <w:r w:rsidRPr="005A147C">
        <w:t>consider equipment sizing</w:t>
      </w:r>
      <w:r>
        <w:t xml:space="preserve"> and costing</w:t>
      </w:r>
      <w:r w:rsidRPr="005A147C">
        <w:t xml:space="preserve"> issues, plus </w:t>
      </w:r>
      <w:r>
        <w:t>adding</w:t>
      </w:r>
      <w:r w:rsidRPr="005A147C">
        <w:t xml:space="preserve"> realistic heat and mass transfer limitations </w:t>
      </w:r>
      <w:r>
        <w:t xml:space="preserve">to </w:t>
      </w:r>
      <w:r w:rsidRPr="005A147C">
        <w:t xml:space="preserve">our </w:t>
      </w:r>
      <w:r>
        <w:t>simulations,</w:t>
      </w:r>
      <w:r w:rsidRPr="005A147C">
        <w:t xml:space="preserve"> could be considered in follow</w:t>
      </w:r>
      <w:r>
        <w:t xml:space="preserve"> </w:t>
      </w:r>
      <w:r w:rsidRPr="005A147C">
        <w:t xml:space="preserve">up </w:t>
      </w:r>
      <w:r>
        <w:t>studies</w:t>
      </w:r>
      <w:r w:rsidRPr="005A147C">
        <w:t>.</w:t>
      </w:r>
    </w:p>
    <w:p w14:paraId="77F86EE0" w14:textId="77777777" w:rsidR="00E60051" w:rsidRDefault="00E60051" w:rsidP="00940816">
      <w:pPr>
        <w:spacing w:line="480" w:lineRule="auto"/>
        <w:jc w:val="both"/>
        <w:rPr>
          <w:b/>
          <w:bCs/>
        </w:rPr>
      </w:pPr>
    </w:p>
    <w:p w14:paraId="10C287E1" w14:textId="77777777" w:rsidR="00E60051" w:rsidRDefault="00E60051" w:rsidP="00940816">
      <w:pPr>
        <w:spacing w:line="480" w:lineRule="auto"/>
        <w:jc w:val="both"/>
        <w:rPr>
          <w:b/>
          <w:bCs/>
        </w:rPr>
      </w:pPr>
      <w:r>
        <w:rPr>
          <w:b/>
          <w:bCs/>
        </w:rPr>
        <w:t>Acknowledgements</w:t>
      </w:r>
    </w:p>
    <w:p w14:paraId="11E38A00" w14:textId="5817B369" w:rsidR="00E60051" w:rsidRDefault="00E60051" w:rsidP="00532521">
      <w:pPr>
        <w:spacing w:line="480" w:lineRule="auto"/>
        <w:ind w:firstLine="720"/>
        <w:jc w:val="both"/>
      </w:pPr>
      <w:r w:rsidRPr="00710C3A">
        <w:t>This work was partially supported by the National Science Foundation (CAREER Award CBET-</w:t>
      </w:r>
      <w:r>
        <w:t>1649455</w:t>
      </w:r>
      <w:r w:rsidRPr="00710C3A">
        <w:t xml:space="preserve">), and by Northeastern University. </w:t>
      </w:r>
      <w:r>
        <w:t>C</w:t>
      </w:r>
      <w:r w:rsidRPr="00710C3A">
        <w:t>omputational resources for this research were provided by</w:t>
      </w:r>
      <w:r>
        <w:t xml:space="preserve"> the College of Engineering Computer Center and by Information Technology Services</w:t>
      </w:r>
      <w:r w:rsidR="009A6B46">
        <w:t xml:space="preserve"> </w:t>
      </w:r>
      <w:r>
        <w:t xml:space="preserve">at Northeastern University. F. R. H. is deeply grateful to Keith E. </w:t>
      </w:r>
      <w:proofErr w:type="spellStart"/>
      <w:r>
        <w:t>Gubbins</w:t>
      </w:r>
      <w:proofErr w:type="spellEnd"/>
      <w:r>
        <w:t xml:space="preserve">, his PhD advisor and friend and to whom this manuscript is dedicated, for all his support and the positive impact he has had in F. R. H.’s career and life. </w:t>
      </w:r>
    </w:p>
    <w:p w14:paraId="6131CB82" w14:textId="77777777" w:rsidR="00E60051" w:rsidRDefault="00E60051" w:rsidP="00940816">
      <w:pPr>
        <w:spacing w:line="480" w:lineRule="auto"/>
        <w:jc w:val="both"/>
        <w:rPr>
          <w:b/>
          <w:bCs/>
        </w:rPr>
      </w:pPr>
    </w:p>
    <w:p w14:paraId="4E592C31" w14:textId="77777777" w:rsidR="00E60051" w:rsidRDefault="00E60051" w:rsidP="00940816">
      <w:pPr>
        <w:spacing w:line="480" w:lineRule="auto"/>
        <w:jc w:val="both"/>
        <w:rPr>
          <w:b/>
          <w:bCs/>
        </w:rPr>
      </w:pPr>
      <w:r>
        <w:rPr>
          <w:b/>
          <w:bCs/>
        </w:rPr>
        <w:t>Supporting information available</w:t>
      </w:r>
    </w:p>
    <w:p w14:paraId="4E013834" w14:textId="77777777" w:rsidR="00E60051" w:rsidRPr="00532521" w:rsidRDefault="00E60051" w:rsidP="00532521">
      <w:pPr>
        <w:spacing w:line="480" w:lineRule="auto"/>
        <w:ind w:firstLine="720"/>
        <w:jc w:val="both"/>
        <w:rPr>
          <w:b/>
          <w:bCs/>
        </w:rPr>
      </w:pPr>
      <w:r>
        <w:t>Performance of the ORC and APCs at different operating conditions and as determined from the PR-EOS, PR-vdW2 and COSMO-SAC approaches; experimental vapor-liquid equilibrium data for the R-134a+[C</w:t>
      </w:r>
      <w:r w:rsidRPr="003316DB">
        <w:rPr>
          <w:vertAlign w:val="subscript"/>
        </w:rPr>
        <w:t>2</w:t>
      </w:r>
      <w:r>
        <w:t>C</w:t>
      </w:r>
      <w:r w:rsidRPr="003316DB">
        <w:rPr>
          <w:vertAlign w:val="subscript"/>
        </w:rPr>
        <w:t>1</w:t>
      </w:r>
      <w:r>
        <w:t>im][Tf</w:t>
      </w:r>
      <w:r w:rsidRPr="003316DB">
        <w:rPr>
          <w:vertAlign w:val="subscript"/>
        </w:rPr>
        <w:t>2</w:t>
      </w:r>
      <w:r>
        <w:t>N] and R-134a+[C</w:t>
      </w:r>
      <w:r>
        <w:rPr>
          <w:vertAlign w:val="subscript"/>
        </w:rPr>
        <w:t>6</w:t>
      </w:r>
      <w:r>
        <w:t>C</w:t>
      </w:r>
      <w:r w:rsidRPr="003316DB">
        <w:rPr>
          <w:vertAlign w:val="subscript"/>
        </w:rPr>
        <w:t>1</w:t>
      </w:r>
      <w:r>
        <w:t>im][Tf</w:t>
      </w:r>
      <w:r w:rsidRPr="003316DB">
        <w:rPr>
          <w:vertAlign w:val="subscript"/>
        </w:rPr>
        <w:t>2</w:t>
      </w:r>
      <w:r>
        <w:t xml:space="preserve">N] systems compared to calculations using the PR-vdW2 and COSMO-SAC approaches. </w:t>
      </w:r>
    </w:p>
    <w:p w14:paraId="7197C938" w14:textId="77777777" w:rsidR="00E60051" w:rsidRDefault="00E60051" w:rsidP="00940816">
      <w:pPr>
        <w:spacing w:line="480" w:lineRule="auto"/>
        <w:jc w:val="both"/>
        <w:rPr>
          <w:b/>
          <w:bCs/>
        </w:rPr>
      </w:pPr>
      <w:r>
        <w:rPr>
          <w:b/>
          <w:bCs/>
        </w:rPr>
        <w:lastRenderedPageBreak/>
        <w:t>References</w:t>
      </w:r>
    </w:p>
    <w:p w14:paraId="7CBD8A24" w14:textId="77777777" w:rsidR="00EA3BFB" w:rsidRPr="002D7AE9" w:rsidRDefault="00EA3BFB" w:rsidP="00EA3BFB">
      <w:pPr>
        <w:pStyle w:val="EndNoteBibliography"/>
        <w:jc w:val="left"/>
        <w:rPr>
          <w:noProof/>
        </w:rPr>
      </w:pPr>
      <w:r w:rsidRPr="002D7AE9">
        <w:rPr>
          <w:noProof/>
        </w:rPr>
        <w:t>1.</w:t>
      </w:r>
      <w:r w:rsidRPr="002D7AE9">
        <w:rPr>
          <w:noProof/>
        </w:rPr>
        <w:tab/>
        <w:t xml:space="preserve">Quoilin S, Broek MVD, Declaye S, Dewallef P, Lemort V. Techno-economic survey of Organic Rankine Cycle (ORC) systems. </w:t>
      </w:r>
      <w:r>
        <w:rPr>
          <w:i/>
          <w:noProof/>
        </w:rPr>
        <w:t>Renew. Sust. Energ. Rev.</w:t>
      </w:r>
      <w:r w:rsidRPr="002D7AE9">
        <w:rPr>
          <w:noProof/>
        </w:rPr>
        <w:t xml:space="preserve"> </w:t>
      </w:r>
      <w:r w:rsidRPr="00CA5FC6">
        <w:rPr>
          <w:b/>
          <w:bCs/>
          <w:noProof/>
        </w:rPr>
        <w:t>2013</w:t>
      </w:r>
      <w:r w:rsidRPr="002D7AE9">
        <w:rPr>
          <w:noProof/>
        </w:rPr>
        <w:t>;</w:t>
      </w:r>
      <w:r w:rsidRPr="00CA5FC6">
        <w:rPr>
          <w:i/>
          <w:iCs/>
          <w:noProof/>
        </w:rPr>
        <w:t>22</w:t>
      </w:r>
      <w:r w:rsidRPr="002D7AE9">
        <w:rPr>
          <w:noProof/>
        </w:rPr>
        <w:t xml:space="preserve">:168-186. </w:t>
      </w:r>
      <w:hyperlink r:id="rId24" w:history="1">
        <w:r w:rsidRPr="00456BB2">
          <w:rPr>
            <w:rStyle w:val="Hyperlink"/>
            <w:noProof/>
          </w:rPr>
          <w:t>https://doi.org/10.1016/j.rser.2013.01.028</w:t>
        </w:r>
      </w:hyperlink>
      <w:r>
        <w:rPr>
          <w:noProof/>
        </w:rPr>
        <w:t xml:space="preserve"> </w:t>
      </w:r>
    </w:p>
    <w:p w14:paraId="0E697E38" w14:textId="77777777" w:rsidR="00EA3BFB" w:rsidRPr="002D7AE9" w:rsidRDefault="00EA3BFB" w:rsidP="00EA3BFB">
      <w:pPr>
        <w:pStyle w:val="EndNoteBibliography"/>
        <w:jc w:val="left"/>
        <w:rPr>
          <w:noProof/>
        </w:rPr>
      </w:pPr>
      <w:r w:rsidRPr="002D7AE9">
        <w:rPr>
          <w:noProof/>
        </w:rPr>
        <w:t>2.</w:t>
      </w:r>
      <w:r w:rsidRPr="002D7AE9">
        <w:rPr>
          <w:noProof/>
        </w:rPr>
        <w:tab/>
        <w:t xml:space="preserve">Novotny V, Kolovratnik M. Absorption power cycles for low-temperature heat sources using aqueous salt solutions as working fluids. </w:t>
      </w:r>
      <w:r>
        <w:rPr>
          <w:i/>
          <w:noProof/>
        </w:rPr>
        <w:t>Int. J. Energ. Res.</w:t>
      </w:r>
      <w:r w:rsidRPr="002D7AE9">
        <w:rPr>
          <w:noProof/>
        </w:rPr>
        <w:t xml:space="preserve"> </w:t>
      </w:r>
      <w:r w:rsidRPr="00CA5FC6">
        <w:rPr>
          <w:b/>
          <w:bCs/>
          <w:noProof/>
        </w:rPr>
        <w:t>2017</w:t>
      </w:r>
      <w:r w:rsidRPr="002D7AE9">
        <w:rPr>
          <w:noProof/>
        </w:rPr>
        <w:t>;</w:t>
      </w:r>
      <w:r w:rsidRPr="00CA5FC6">
        <w:rPr>
          <w:i/>
          <w:iCs/>
          <w:noProof/>
        </w:rPr>
        <w:t>41</w:t>
      </w:r>
      <w:r w:rsidRPr="002D7AE9">
        <w:rPr>
          <w:noProof/>
        </w:rPr>
        <w:t xml:space="preserve">:952-975. </w:t>
      </w:r>
      <w:hyperlink r:id="rId25" w:history="1">
        <w:r w:rsidRPr="00456BB2">
          <w:rPr>
            <w:rStyle w:val="Hyperlink"/>
            <w:noProof/>
          </w:rPr>
          <w:t>https://doi.org/10.1002/er.3671</w:t>
        </w:r>
      </w:hyperlink>
      <w:r>
        <w:rPr>
          <w:noProof/>
        </w:rPr>
        <w:t xml:space="preserve"> </w:t>
      </w:r>
    </w:p>
    <w:p w14:paraId="001BD6A1" w14:textId="77777777" w:rsidR="00EA3BFB" w:rsidRPr="002D7AE9" w:rsidRDefault="00EA3BFB" w:rsidP="00EA3BFB">
      <w:pPr>
        <w:pStyle w:val="EndNoteBibliography"/>
        <w:jc w:val="left"/>
        <w:rPr>
          <w:noProof/>
        </w:rPr>
      </w:pPr>
      <w:r w:rsidRPr="002D7AE9">
        <w:rPr>
          <w:noProof/>
        </w:rPr>
        <w:t>3.</w:t>
      </w:r>
      <w:r w:rsidRPr="002D7AE9">
        <w:rPr>
          <w:noProof/>
        </w:rPr>
        <w:tab/>
        <w:t xml:space="preserve">Song P, Wei M, Shi L, Danish SN, Ma C. A review of scroll expanders for organic Rankine cycle systems. </w:t>
      </w:r>
      <w:r w:rsidRPr="002D7AE9">
        <w:rPr>
          <w:i/>
          <w:noProof/>
        </w:rPr>
        <w:t>Appl</w:t>
      </w:r>
      <w:r>
        <w:rPr>
          <w:i/>
          <w:noProof/>
        </w:rPr>
        <w:t>.</w:t>
      </w:r>
      <w:r w:rsidRPr="002D7AE9">
        <w:rPr>
          <w:i/>
          <w:noProof/>
        </w:rPr>
        <w:t xml:space="preserve"> Therm</w:t>
      </w:r>
      <w:r>
        <w:rPr>
          <w:i/>
          <w:noProof/>
        </w:rPr>
        <w:t xml:space="preserve">. </w:t>
      </w:r>
      <w:r w:rsidRPr="002D7AE9">
        <w:rPr>
          <w:i/>
          <w:noProof/>
        </w:rPr>
        <w:t>Eng</w:t>
      </w:r>
      <w:r w:rsidRPr="002D7AE9">
        <w:rPr>
          <w:noProof/>
        </w:rPr>
        <w:t xml:space="preserve">. </w:t>
      </w:r>
      <w:r w:rsidRPr="00CA5FC6">
        <w:rPr>
          <w:b/>
          <w:bCs/>
          <w:noProof/>
        </w:rPr>
        <w:t>2015</w:t>
      </w:r>
      <w:r w:rsidRPr="002D7AE9">
        <w:rPr>
          <w:noProof/>
        </w:rPr>
        <w:t>;</w:t>
      </w:r>
      <w:r w:rsidRPr="00CA5FC6">
        <w:rPr>
          <w:i/>
          <w:iCs/>
          <w:noProof/>
        </w:rPr>
        <w:t>75</w:t>
      </w:r>
      <w:r w:rsidRPr="002D7AE9">
        <w:rPr>
          <w:noProof/>
        </w:rPr>
        <w:t xml:space="preserve">:54-64. </w:t>
      </w:r>
      <w:hyperlink r:id="rId26" w:history="1">
        <w:r w:rsidRPr="00456BB2">
          <w:rPr>
            <w:rStyle w:val="Hyperlink"/>
            <w:noProof/>
          </w:rPr>
          <w:t>https://doi.org/10.1016/j.applthermaleng.2014.05.094</w:t>
        </w:r>
      </w:hyperlink>
      <w:r>
        <w:rPr>
          <w:noProof/>
        </w:rPr>
        <w:t xml:space="preserve"> </w:t>
      </w:r>
    </w:p>
    <w:p w14:paraId="47059F60" w14:textId="77777777" w:rsidR="00EA3BFB" w:rsidRPr="002D7AE9" w:rsidRDefault="00EA3BFB" w:rsidP="00EA3BFB">
      <w:pPr>
        <w:pStyle w:val="EndNoteBibliography"/>
        <w:jc w:val="left"/>
        <w:rPr>
          <w:noProof/>
        </w:rPr>
      </w:pPr>
      <w:r w:rsidRPr="002D7AE9">
        <w:rPr>
          <w:noProof/>
        </w:rPr>
        <w:t>4.</w:t>
      </w:r>
      <w:r w:rsidRPr="002D7AE9">
        <w:rPr>
          <w:noProof/>
        </w:rPr>
        <w:tab/>
        <w:t xml:space="preserve">Plechkova NV, Seddon KR. Applications of ionic liquids in the chemical industry. Review. </w:t>
      </w:r>
      <w:r w:rsidRPr="002D7AE9">
        <w:rPr>
          <w:i/>
          <w:noProof/>
        </w:rPr>
        <w:t>Chem</w:t>
      </w:r>
      <w:r>
        <w:rPr>
          <w:i/>
          <w:noProof/>
        </w:rPr>
        <w:t>.</w:t>
      </w:r>
      <w:r w:rsidRPr="002D7AE9">
        <w:rPr>
          <w:i/>
          <w:noProof/>
        </w:rPr>
        <w:t xml:space="preserve"> Soc</w:t>
      </w:r>
      <w:r>
        <w:rPr>
          <w:i/>
          <w:noProof/>
        </w:rPr>
        <w:t>.</w:t>
      </w:r>
      <w:r w:rsidRPr="002D7AE9">
        <w:rPr>
          <w:i/>
          <w:noProof/>
        </w:rPr>
        <w:t xml:space="preserve"> Rev</w:t>
      </w:r>
      <w:r w:rsidRPr="002D7AE9">
        <w:rPr>
          <w:noProof/>
        </w:rPr>
        <w:t xml:space="preserve">. </w:t>
      </w:r>
      <w:r w:rsidRPr="004665DC">
        <w:rPr>
          <w:b/>
          <w:bCs/>
          <w:noProof/>
        </w:rPr>
        <w:t>2008</w:t>
      </w:r>
      <w:r w:rsidRPr="002D7AE9">
        <w:rPr>
          <w:noProof/>
        </w:rPr>
        <w:t>;</w:t>
      </w:r>
      <w:r w:rsidRPr="004665DC">
        <w:rPr>
          <w:i/>
          <w:iCs/>
          <w:noProof/>
        </w:rPr>
        <w:t>37</w:t>
      </w:r>
      <w:r w:rsidRPr="002D7AE9">
        <w:rPr>
          <w:noProof/>
        </w:rPr>
        <w:t xml:space="preserve">:123-150. </w:t>
      </w:r>
      <w:hyperlink r:id="rId27" w:history="1">
        <w:r w:rsidRPr="00456BB2">
          <w:rPr>
            <w:rStyle w:val="Hyperlink"/>
            <w:noProof/>
          </w:rPr>
          <w:t>https://doi.org/10.1039/b006677j</w:t>
        </w:r>
      </w:hyperlink>
      <w:r>
        <w:rPr>
          <w:noProof/>
        </w:rPr>
        <w:t xml:space="preserve"> </w:t>
      </w:r>
    </w:p>
    <w:p w14:paraId="3DC00B41" w14:textId="77777777" w:rsidR="00EA3BFB" w:rsidRPr="002D7AE9" w:rsidRDefault="00EA3BFB" w:rsidP="00EA3BFB">
      <w:pPr>
        <w:pStyle w:val="EndNoteBibliography"/>
        <w:jc w:val="left"/>
        <w:rPr>
          <w:noProof/>
        </w:rPr>
      </w:pPr>
      <w:r w:rsidRPr="002D7AE9">
        <w:rPr>
          <w:noProof/>
        </w:rPr>
        <w:t>5.</w:t>
      </w:r>
      <w:r w:rsidRPr="002D7AE9">
        <w:rPr>
          <w:noProof/>
        </w:rPr>
        <w:tab/>
        <w:t xml:space="preserve">Wasserscheid P, Welton T, eds. </w:t>
      </w:r>
      <w:r w:rsidRPr="002D7AE9">
        <w:rPr>
          <w:i/>
          <w:noProof/>
        </w:rPr>
        <w:t>Ionic Liquids in Synthesis 2nd ed</w:t>
      </w:r>
      <w:r w:rsidRPr="002D7AE9">
        <w:rPr>
          <w:noProof/>
        </w:rPr>
        <w:t xml:space="preserve">. Wiley-VCH; </w:t>
      </w:r>
      <w:r w:rsidRPr="002D7AE9">
        <w:rPr>
          <w:b/>
          <w:noProof/>
        </w:rPr>
        <w:t>2008</w:t>
      </w:r>
      <w:r w:rsidRPr="002D7AE9">
        <w:rPr>
          <w:noProof/>
        </w:rPr>
        <w:t>.</w:t>
      </w:r>
    </w:p>
    <w:p w14:paraId="0B7C9BA0" w14:textId="77777777" w:rsidR="00EA3BFB" w:rsidRPr="002D7AE9" w:rsidRDefault="00EA3BFB" w:rsidP="00EA3BFB">
      <w:pPr>
        <w:pStyle w:val="EndNoteBibliography"/>
        <w:jc w:val="left"/>
        <w:rPr>
          <w:noProof/>
        </w:rPr>
      </w:pPr>
      <w:r w:rsidRPr="002D7AE9">
        <w:rPr>
          <w:noProof/>
        </w:rPr>
        <w:t>6.</w:t>
      </w:r>
      <w:r w:rsidRPr="002D7AE9">
        <w:rPr>
          <w:noProof/>
        </w:rPr>
        <w:tab/>
        <w:t xml:space="preserve">Bernot R, Brueseke M, Evans-White M, Lamberti G. Acute and chronic toxicity of imidazolium-based ionic liquids on Daphnia magna. </w:t>
      </w:r>
      <w:r w:rsidRPr="004665DC">
        <w:rPr>
          <w:i/>
          <w:iCs/>
          <w:noProof/>
        </w:rPr>
        <w:t>E</w:t>
      </w:r>
      <w:r w:rsidRPr="002D7AE9">
        <w:rPr>
          <w:i/>
          <w:noProof/>
        </w:rPr>
        <w:t>nviron</w:t>
      </w:r>
      <w:r>
        <w:rPr>
          <w:i/>
          <w:noProof/>
        </w:rPr>
        <w:t>.</w:t>
      </w:r>
      <w:r w:rsidRPr="002D7AE9">
        <w:rPr>
          <w:i/>
          <w:noProof/>
        </w:rPr>
        <w:t xml:space="preserve"> </w:t>
      </w:r>
      <w:r>
        <w:rPr>
          <w:i/>
          <w:noProof/>
        </w:rPr>
        <w:t>T</w:t>
      </w:r>
      <w:r w:rsidRPr="002D7AE9">
        <w:rPr>
          <w:i/>
          <w:noProof/>
        </w:rPr>
        <w:t>oxicol</w:t>
      </w:r>
      <w:r>
        <w:rPr>
          <w:i/>
          <w:noProof/>
        </w:rPr>
        <w:t>.</w:t>
      </w:r>
      <w:r w:rsidRPr="002D7AE9">
        <w:rPr>
          <w:i/>
          <w:noProof/>
        </w:rPr>
        <w:t xml:space="preserve"> </w:t>
      </w:r>
      <w:r>
        <w:rPr>
          <w:i/>
          <w:noProof/>
        </w:rPr>
        <w:t>C</w:t>
      </w:r>
      <w:r w:rsidRPr="002D7AE9">
        <w:rPr>
          <w:i/>
          <w:noProof/>
        </w:rPr>
        <w:t>hem</w:t>
      </w:r>
      <w:r w:rsidRPr="002D7AE9">
        <w:rPr>
          <w:noProof/>
        </w:rPr>
        <w:t xml:space="preserve">. </w:t>
      </w:r>
      <w:r w:rsidRPr="004665DC">
        <w:rPr>
          <w:b/>
          <w:bCs/>
          <w:noProof/>
        </w:rPr>
        <w:t>2005</w:t>
      </w:r>
      <w:r w:rsidRPr="002D7AE9">
        <w:rPr>
          <w:noProof/>
        </w:rPr>
        <w:t>;</w:t>
      </w:r>
      <w:r w:rsidRPr="004665DC">
        <w:rPr>
          <w:i/>
          <w:iCs/>
          <w:noProof/>
        </w:rPr>
        <w:t>24</w:t>
      </w:r>
      <w:r w:rsidRPr="002D7AE9">
        <w:rPr>
          <w:noProof/>
        </w:rPr>
        <w:t xml:space="preserve">:87-92. </w:t>
      </w:r>
      <w:hyperlink r:id="rId28" w:history="1">
        <w:r w:rsidRPr="00456BB2">
          <w:rPr>
            <w:rStyle w:val="Hyperlink"/>
            <w:noProof/>
          </w:rPr>
          <w:t>https://doi.org/10.1897/03-635.1</w:t>
        </w:r>
      </w:hyperlink>
      <w:r>
        <w:rPr>
          <w:noProof/>
        </w:rPr>
        <w:t xml:space="preserve"> </w:t>
      </w:r>
    </w:p>
    <w:p w14:paraId="466B08E4" w14:textId="77777777" w:rsidR="00EA3BFB" w:rsidRPr="002D7AE9" w:rsidRDefault="00EA3BFB" w:rsidP="00EA3BFB">
      <w:pPr>
        <w:pStyle w:val="EndNoteBibliography"/>
        <w:jc w:val="left"/>
        <w:rPr>
          <w:noProof/>
        </w:rPr>
      </w:pPr>
      <w:r w:rsidRPr="002D7AE9">
        <w:rPr>
          <w:noProof/>
        </w:rPr>
        <w:t>7.</w:t>
      </w:r>
      <w:r w:rsidRPr="002D7AE9">
        <w:rPr>
          <w:noProof/>
        </w:rPr>
        <w:tab/>
        <w:t xml:space="preserve">Garcia M, Gathergood N, Scammells P. Biodegradable ionic liquids - Part II. Effect of the anion and toxicology. </w:t>
      </w:r>
      <w:r>
        <w:rPr>
          <w:i/>
          <w:noProof/>
        </w:rPr>
        <w:t>G</w:t>
      </w:r>
      <w:r w:rsidRPr="002D7AE9">
        <w:rPr>
          <w:i/>
          <w:noProof/>
        </w:rPr>
        <w:t xml:space="preserve">reen </w:t>
      </w:r>
      <w:r>
        <w:rPr>
          <w:i/>
          <w:noProof/>
        </w:rPr>
        <w:t>C</w:t>
      </w:r>
      <w:r w:rsidRPr="002D7AE9">
        <w:rPr>
          <w:i/>
          <w:noProof/>
        </w:rPr>
        <w:t>hem</w:t>
      </w:r>
      <w:r w:rsidRPr="002D7AE9">
        <w:rPr>
          <w:noProof/>
        </w:rPr>
        <w:t xml:space="preserve">. </w:t>
      </w:r>
      <w:r w:rsidRPr="004665DC">
        <w:rPr>
          <w:b/>
          <w:bCs/>
          <w:noProof/>
        </w:rPr>
        <w:t>2005</w:t>
      </w:r>
      <w:r w:rsidRPr="002D7AE9">
        <w:rPr>
          <w:noProof/>
        </w:rPr>
        <w:t>;</w:t>
      </w:r>
      <w:r w:rsidRPr="004665DC">
        <w:rPr>
          <w:i/>
          <w:iCs/>
          <w:noProof/>
        </w:rPr>
        <w:t>7</w:t>
      </w:r>
      <w:r w:rsidRPr="002D7AE9">
        <w:rPr>
          <w:noProof/>
        </w:rPr>
        <w:t xml:space="preserve">:9-14. </w:t>
      </w:r>
      <w:hyperlink r:id="rId29" w:history="1">
        <w:r w:rsidRPr="00456BB2">
          <w:rPr>
            <w:rStyle w:val="Hyperlink"/>
            <w:noProof/>
          </w:rPr>
          <w:t>https://doi.org/10.1039/b411922c</w:t>
        </w:r>
      </w:hyperlink>
      <w:r>
        <w:rPr>
          <w:noProof/>
        </w:rPr>
        <w:t xml:space="preserve">  </w:t>
      </w:r>
    </w:p>
    <w:p w14:paraId="1340DC69" w14:textId="77777777" w:rsidR="00EA3BFB" w:rsidRPr="002D7AE9" w:rsidRDefault="00EA3BFB" w:rsidP="00EA3BFB">
      <w:pPr>
        <w:pStyle w:val="EndNoteBibliography"/>
        <w:jc w:val="left"/>
        <w:rPr>
          <w:noProof/>
        </w:rPr>
      </w:pPr>
      <w:r w:rsidRPr="002D7AE9">
        <w:rPr>
          <w:noProof/>
        </w:rPr>
        <w:t>8.</w:t>
      </w:r>
      <w:r w:rsidRPr="002D7AE9">
        <w:rPr>
          <w:noProof/>
        </w:rPr>
        <w:tab/>
        <w:t xml:space="preserve">Gathergood N, Garcia M, Scammells P. Biodegradable ionic liquids: Part I. Concept, preliminary targets and evaluation. </w:t>
      </w:r>
      <w:r>
        <w:rPr>
          <w:i/>
          <w:noProof/>
        </w:rPr>
        <w:t>G</w:t>
      </w:r>
      <w:r w:rsidRPr="002D7AE9">
        <w:rPr>
          <w:i/>
          <w:noProof/>
        </w:rPr>
        <w:t xml:space="preserve">reen </w:t>
      </w:r>
      <w:r>
        <w:rPr>
          <w:i/>
          <w:noProof/>
        </w:rPr>
        <w:t>C</w:t>
      </w:r>
      <w:r w:rsidRPr="002D7AE9">
        <w:rPr>
          <w:i/>
          <w:noProof/>
        </w:rPr>
        <w:t>hem</w:t>
      </w:r>
      <w:r w:rsidRPr="002D7AE9">
        <w:rPr>
          <w:noProof/>
        </w:rPr>
        <w:t xml:space="preserve">. </w:t>
      </w:r>
      <w:r w:rsidRPr="004665DC">
        <w:rPr>
          <w:b/>
          <w:bCs/>
          <w:noProof/>
        </w:rPr>
        <w:t>2004</w:t>
      </w:r>
      <w:r w:rsidRPr="002D7AE9">
        <w:rPr>
          <w:noProof/>
        </w:rPr>
        <w:t>;</w:t>
      </w:r>
      <w:r w:rsidRPr="004665DC">
        <w:rPr>
          <w:i/>
          <w:iCs/>
          <w:noProof/>
        </w:rPr>
        <w:t>6</w:t>
      </w:r>
      <w:r w:rsidRPr="002D7AE9">
        <w:rPr>
          <w:noProof/>
        </w:rPr>
        <w:t xml:space="preserve">:166-175. </w:t>
      </w:r>
      <w:hyperlink r:id="rId30" w:history="1">
        <w:r w:rsidRPr="00456BB2">
          <w:rPr>
            <w:rStyle w:val="Hyperlink"/>
            <w:noProof/>
          </w:rPr>
          <w:t>https://doi.org/10.1039/b315270g</w:t>
        </w:r>
      </w:hyperlink>
      <w:r>
        <w:rPr>
          <w:noProof/>
        </w:rPr>
        <w:t xml:space="preserve">  </w:t>
      </w:r>
    </w:p>
    <w:p w14:paraId="3A5469DB" w14:textId="77777777" w:rsidR="00EA3BFB" w:rsidRPr="002D7AE9" w:rsidRDefault="00EA3BFB" w:rsidP="00EA3BFB">
      <w:pPr>
        <w:pStyle w:val="EndNoteBibliography"/>
        <w:jc w:val="left"/>
        <w:rPr>
          <w:noProof/>
        </w:rPr>
      </w:pPr>
      <w:r w:rsidRPr="002D7AE9">
        <w:rPr>
          <w:noProof/>
        </w:rPr>
        <w:t>9.</w:t>
      </w:r>
      <w:r w:rsidRPr="002D7AE9">
        <w:rPr>
          <w:noProof/>
        </w:rPr>
        <w:tab/>
        <w:t xml:space="preserve">Jastorff B, Stormann R, Ranke J, et al. How hazardous are ionic liquids? Structure-activity relationships and biological testing as important elements for sustainability evaluation. </w:t>
      </w:r>
      <w:r>
        <w:rPr>
          <w:i/>
          <w:noProof/>
        </w:rPr>
        <w:t>G</w:t>
      </w:r>
      <w:r w:rsidRPr="002D7AE9">
        <w:rPr>
          <w:i/>
          <w:noProof/>
        </w:rPr>
        <w:t xml:space="preserve">reen </w:t>
      </w:r>
      <w:r>
        <w:rPr>
          <w:i/>
          <w:noProof/>
        </w:rPr>
        <w:t>C</w:t>
      </w:r>
      <w:r w:rsidRPr="002D7AE9">
        <w:rPr>
          <w:i/>
          <w:noProof/>
        </w:rPr>
        <w:t>hem</w:t>
      </w:r>
      <w:r w:rsidRPr="002D7AE9">
        <w:rPr>
          <w:noProof/>
        </w:rPr>
        <w:t xml:space="preserve">. </w:t>
      </w:r>
      <w:r w:rsidRPr="004665DC">
        <w:rPr>
          <w:b/>
          <w:bCs/>
          <w:noProof/>
        </w:rPr>
        <w:t>2003</w:t>
      </w:r>
      <w:r w:rsidRPr="002D7AE9">
        <w:rPr>
          <w:noProof/>
        </w:rPr>
        <w:t>;</w:t>
      </w:r>
      <w:r w:rsidRPr="004665DC">
        <w:rPr>
          <w:i/>
          <w:iCs/>
          <w:noProof/>
        </w:rPr>
        <w:t>5</w:t>
      </w:r>
      <w:r w:rsidRPr="002D7AE9">
        <w:rPr>
          <w:noProof/>
        </w:rPr>
        <w:t>:136-142.</w:t>
      </w:r>
      <w:r w:rsidRPr="004665DC">
        <w:t xml:space="preserve"> </w:t>
      </w:r>
      <w:hyperlink r:id="rId31" w:history="1">
        <w:r w:rsidRPr="00456BB2">
          <w:rPr>
            <w:rStyle w:val="Hyperlink"/>
            <w:noProof/>
          </w:rPr>
          <w:t>https://doi.org/10.1039/b211971d</w:t>
        </w:r>
      </w:hyperlink>
      <w:r>
        <w:rPr>
          <w:noProof/>
        </w:rPr>
        <w:t xml:space="preserve"> </w:t>
      </w:r>
      <w:r w:rsidRPr="004665DC">
        <w:rPr>
          <w:noProof/>
        </w:rPr>
        <w:t xml:space="preserve">   </w:t>
      </w:r>
    </w:p>
    <w:p w14:paraId="536DDBDC" w14:textId="77777777" w:rsidR="00EA3BFB" w:rsidRPr="002D7AE9" w:rsidRDefault="00EA3BFB" w:rsidP="00EA3BFB">
      <w:pPr>
        <w:pStyle w:val="EndNoteBibliography"/>
        <w:jc w:val="left"/>
        <w:rPr>
          <w:noProof/>
        </w:rPr>
      </w:pPr>
      <w:r w:rsidRPr="002D7AE9">
        <w:rPr>
          <w:noProof/>
        </w:rPr>
        <w:t>10.</w:t>
      </w:r>
      <w:r w:rsidRPr="002D7AE9">
        <w:rPr>
          <w:noProof/>
        </w:rPr>
        <w:tab/>
        <w:t xml:space="preserve">Stepnowski P, Skladanowski A, Ludwiczak A, Laczynska E. Evaluating the cytotoxicity of ionic liquids using human cell line HeLa. </w:t>
      </w:r>
      <w:r>
        <w:rPr>
          <w:i/>
          <w:noProof/>
        </w:rPr>
        <w:t>H</w:t>
      </w:r>
      <w:r w:rsidRPr="002D7AE9">
        <w:rPr>
          <w:i/>
          <w:noProof/>
        </w:rPr>
        <w:t>um</w:t>
      </w:r>
      <w:r>
        <w:rPr>
          <w:i/>
          <w:noProof/>
        </w:rPr>
        <w:t>.</w:t>
      </w:r>
      <w:r w:rsidRPr="002D7AE9">
        <w:rPr>
          <w:i/>
          <w:noProof/>
        </w:rPr>
        <w:t xml:space="preserve"> </w:t>
      </w:r>
      <w:r>
        <w:rPr>
          <w:i/>
          <w:noProof/>
        </w:rPr>
        <w:t>E</w:t>
      </w:r>
      <w:r w:rsidRPr="002D7AE9">
        <w:rPr>
          <w:i/>
          <w:noProof/>
        </w:rPr>
        <w:t>xp</w:t>
      </w:r>
      <w:r>
        <w:rPr>
          <w:i/>
          <w:noProof/>
        </w:rPr>
        <w:t>.</w:t>
      </w:r>
      <w:r w:rsidRPr="002D7AE9">
        <w:rPr>
          <w:i/>
          <w:noProof/>
        </w:rPr>
        <w:t xml:space="preserve"> </w:t>
      </w:r>
      <w:r>
        <w:rPr>
          <w:i/>
          <w:noProof/>
        </w:rPr>
        <w:t>T</w:t>
      </w:r>
      <w:r w:rsidRPr="002D7AE9">
        <w:rPr>
          <w:i/>
          <w:noProof/>
        </w:rPr>
        <w:t>oxicol</w:t>
      </w:r>
      <w:r w:rsidRPr="002D7AE9">
        <w:rPr>
          <w:noProof/>
        </w:rPr>
        <w:t xml:space="preserve">. </w:t>
      </w:r>
      <w:r w:rsidRPr="004665DC">
        <w:rPr>
          <w:b/>
          <w:bCs/>
          <w:noProof/>
        </w:rPr>
        <w:t>2004</w:t>
      </w:r>
      <w:r w:rsidRPr="002D7AE9">
        <w:rPr>
          <w:noProof/>
        </w:rPr>
        <w:t>;</w:t>
      </w:r>
      <w:r w:rsidRPr="004665DC">
        <w:rPr>
          <w:i/>
          <w:iCs/>
          <w:noProof/>
        </w:rPr>
        <w:t>23</w:t>
      </w:r>
      <w:r w:rsidRPr="002D7AE9">
        <w:rPr>
          <w:noProof/>
        </w:rPr>
        <w:t xml:space="preserve">:513-517. </w:t>
      </w:r>
      <w:hyperlink r:id="rId32" w:history="1">
        <w:r w:rsidRPr="00456BB2">
          <w:rPr>
            <w:rStyle w:val="Hyperlink"/>
            <w:noProof/>
          </w:rPr>
          <w:t>https://doi.org/10.1191/0960327104ht480oa</w:t>
        </w:r>
      </w:hyperlink>
      <w:r>
        <w:rPr>
          <w:noProof/>
        </w:rPr>
        <w:t xml:space="preserve"> </w:t>
      </w:r>
    </w:p>
    <w:p w14:paraId="389876F1" w14:textId="77777777" w:rsidR="00EA3BFB" w:rsidRPr="00DB6099" w:rsidRDefault="00EA3BFB" w:rsidP="00EA3BFB">
      <w:pPr>
        <w:pStyle w:val="EndNoteBibliography"/>
        <w:jc w:val="left"/>
        <w:rPr>
          <w:noProof/>
        </w:rPr>
      </w:pPr>
      <w:r w:rsidRPr="00DB6099">
        <w:rPr>
          <w:noProof/>
        </w:rPr>
        <w:t>11.</w:t>
      </w:r>
      <w:r w:rsidRPr="00DB6099">
        <w:rPr>
          <w:noProof/>
        </w:rPr>
        <w:tab/>
        <w:t>Shiflett MB</w:t>
      </w:r>
      <w:r>
        <w:rPr>
          <w:noProof/>
        </w:rPr>
        <w:t>, ed</w:t>
      </w:r>
      <w:r w:rsidRPr="00DB6099">
        <w:rPr>
          <w:noProof/>
        </w:rPr>
        <w:t xml:space="preserve">. </w:t>
      </w:r>
      <w:r w:rsidRPr="00DB6099">
        <w:rPr>
          <w:i/>
          <w:noProof/>
        </w:rPr>
        <w:t>Commercial Applications of Ionic Liquids</w:t>
      </w:r>
      <w:r w:rsidRPr="00DB6099">
        <w:rPr>
          <w:noProof/>
        </w:rPr>
        <w:t xml:space="preserve">. Springer International Publishing; </w:t>
      </w:r>
      <w:r w:rsidRPr="00EC4102">
        <w:rPr>
          <w:b/>
          <w:bCs/>
          <w:noProof/>
        </w:rPr>
        <w:t>2020</w:t>
      </w:r>
      <w:r w:rsidRPr="00DB6099">
        <w:rPr>
          <w:noProof/>
        </w:rPr>
        <w:t>.</w:t>
      </w:r>
    </w:p>
    <w:p w14:paraId="4C17C43B" w14:textId="77777777" w:rsidR="00EA3BFB" w:rsidRPr="0065509C" w:rsidRDefault="00EA3BFB" w:rsidP="00EA3BFB">
      <w:pPr>
        <w:pStyle w:val="EndNoteBibliography"/>
        <w:jc w:val="left"/>
        <w:rPr>
          <w:noProof/>
        </w:rPr>
      </w:pPr>
      <w:r w:rsidRPr="0065509C">
        <w:rPr>
          <w:noProof/>
        </w:rPr>
        <w:t>12.</w:t>
      </w:r>
      <w:r w:rsidRPr="0065509C">
        <w:rPr>
          <w:noProof/>
        </w:rPr>
        <w:tab/>
        <w:t>Shiflett MB, Scurto AM</w:t>
      </w:r>
      <w:r>
        <w:rPr>
          <w:noProof/>
        </w:rPr>
        <w:t>, eds.</w:t>
      </w:r>
      <w:r w:rsidRPr="0065509C">
        <w:rPr>
          <w:noProof/>
        </w:rPr>
        <w:t xml:space="preserve"> </w:t>
      </w:r>
      <w:r w:rsidRPr="0065509C">
        <w:rPr>
          <w:i/>
          <w:noProof/>
        </w:rPr>
        <w:t>Ionic Liquids: Current State and Future Directions</w:t>
      </w:r>
      <w:r w:rsidRPr="0065509C">
        <w:rPr>
          <w:noProof/>
        </w:rPr>
        <w:t xml:space="preserve">. </w:t>
      </w:r>
      <w:r w:rsidRPr="0065509C">
        <w:rPr>
          <w:i/>
          <w:noProof/>
        </w:rPr>
        <w:t>ACS Symposium Series</w:t>
      </w:r>
      <w:r w:rsidRPr="0065509C">
        <w:rPr>
          <w:noProof/>
        </w:rPr>
        <w:t>; vol. 1250</w:t>
      </w:r>
      <w:r>
        <w:rPr>
          <w:noProof/>
        </w:rPr>
        <w:t xml:space="preserve">. </w:t>
      </w:r>
      <w:r w:rsidRPr="0065509C">
        <w:rPr>
          <w:noProof/>
        </w:rPr>
        <w:t xml:space="preserve">American Chemical Society; </w:t>
      </w:r>
      <w:r w:rsidRPr="003E6B33">
        <w:rPr>
          <w:b/>
          <w:bCs/>
          <w:noProof/>
        </w:rPr>
        <w:t>2017</w:t>
      </w:r>
      <w:r>
        <w:rPr>
          <w:noProof/>
        </w:rPr>
        <w:t xml:space="preserve">. </w:t>
      </w:r>
      <w:hyperlink r:id="rId33" w:history="1">
        <w:r w:rsidRPr="00456BB2">
          <w:rPr>
            <w:rStyle w:val="Hyperlink"/>
            <w:noProof/>
          </w:rPr>
          <w:t>https://doi.org/10.1021/bk-2017-1250</w:t>
        </w:r>
      </w:hyperlink>
      <w:r>
        <w:rPr>
          <w:noProof/>
        </w:rPr>
        <w:t xml:space="preserve">  </w:t>
      </w:r>
    </w:p>
    <w:p w14:paraId="46CFEC9E" w14:textId="77777777" w:rsidR="00EA3BFB" w:rsidRPr="0065509C" w:rsidRDefault="00EA3BFB" w:rsidP="00EA3BFB">
      <w:pPr>
        <w:pStyle w:val="EndNoteBibliography"/>
        <w:jc w:val="left"/>
        <w:rPr>
          <w:noProof/>
        </w:rPr>
      </w:pPr>
      <w:r w:rsidRPr="0065509C">
        <w:rPr>
          <w:noProof/>
        </w:rPr>
        <w:t>13.</w:t>
      </w:r>
      <w:r w:rsidRPr="0065509C">
        <w:rPr>
          <w:noProof/>
        </w:rPr>
        <w:tab/>
        <w:t xml:space="preserve">Anon. </w:t>
      </w:r>
      <w:r>
        <w:rPr>
          <w:noProof/>
        </w:rPr>
        <w:t>T</w:t>
      </w:r>
      <w:r w:rsidRPr="0065509C">
        <w:rPr>
          <w:noProof/>
        </w:rPr>
        <w:t xml:space="preserve">hermodynamics of ionic liquids, ionic liquid mixtures, and the development of standardized systems. </w:t>
      </w:r>
      <w:r w:rsidRPr="0065509C">
        <w:rPr>
          <w:i/>
          <w:noProof/>
        </w:rPr>
        <w:t>Chem</w:t>
      </w:r>
      <w:r>
        <w:rPr>
          <w:i/>
          <w:noProof/>
        </w:rPr>
        <w:t>.</w:t>
      </w:r>
      <w:r w:rsidRPr="0065509C">
        <w:rPr>
          <w:i/>
          <w:noProof/>
        </w:rPr>
        <w:t xml:space="preserve"> Int</w:t>
      </w:r>
      <w:r w:rsidRPr="0065509C">
        <w:rPr>
          <w:noProof/>
        </w:rPr>
        <w:t xml:space="preserve">. </w:t>
      </w:r>
      <w:r w:rsidRPr="005B2CEE">
        <w:rPr>
          <w:b/>
          <w:bCs/>
          <w:noProof/>
        </w:rPr>
        <w:t>2005</w:t>
      </w:r>
      <w:r w:rsidRPr="0065509C">
        <w:rPr>
          <w:noProof/>
        </w:rPr>
        <w:t>;</w:t>
      </w:r>
      <w:r w:rsidRPr="005B2CEE">
        <w:rPr>
          <w:i/>
          <w:iCs/>
          <w:noProof/>
        </w:rPr>
        <w:t>27</w:t>
      </w:r>
      <w:r w:rsidRPr="0065509C">
        <w:rPr>
          <w:noProof/>
        </w:rPr>
        <w:t xml:space="preserve">(5):22-23. </w:t>
      </w:r>
      <w:hyperlink r:id="rId34" w:history="1">
        <w:r w:rsidRPr="00456BB2">
          <w:rPr>
            <w:rStyle w:val="Hyperlink"/>
            <w:noProof/>
          </w:rPr>
          <w:t>http://media.iupac.org/projects/2002/2002-005-1-100-publi070702.pdf</w:t>
        </w:r>
      </w:hyperlink>
      <w:r>
        <w:rPr>
          <w:noProof/>
        </w:rPr>
        <w:t xml:space="preserve"> </w:t>
      </w:r>
    </w:p>
    <w:p w14:paraId="31B5336E" w14:textId="77777777" w:rsidR="00EA3BFB" w:rsidRPr="0065509C" w:rsidRDefault="00EA3BFB" w:rsidP="00EA3BFB">
      <w:pPr>
        <w:pStyle w:val="EndNoteBibliography"/>
        <w:jc w:val="left"/>
        <w:rPr>
          <w:noProof/>
        </w:rPr>
      </w:pPr>
      <w:r w:rsidRPr="0065509C">
        <w:rPr>
          <w:noProof/>
        </w:rPr>
        <w:t>14.</w:t>
      </w:r>
      <w:r w:rsidRPr="0065509C">
        <w:rPr>
          <w:noProof/>
        </w:rPr>
        <w:tab/>
        <w:t xml:space="preserve">Ren W, Scurto AM. Phase equilibria of imidazolium ionic liquids and the refrigerant gas, 1,1,1,2-tetrafluoroethane (R-134a). </w:t>
      </w:r>
      <w:r>
        <w:rPr>
          <w:i/>
          <w:noProof/>
        </w:rPr>
        <w:t>Fluid Phase Equilibr.</w:t>
      </w:r>
      <w:r w:rsidRPr="0065509C">
        <w:rPr>
          <w:noProof/>
        </w:rPr>
        <w:t xml:space="preserve"> 2009;</w:t>
      </w:r>
      <w:r w:rsidRPr="005B2CEE">
        <w:rPr>
          <w:b/>
          <w:bCs/>
          <w:noProof/>
        </w:rPr>
        <w:t>286</w:t>
      </w:r>
      <w:r w:rsidRPr="0065509C">
        <w:rPr>
          <w:noProof/>
        </w:rPr>
        <w:t xml:space="preserve">:1-7. </w:t>
      </w:r>
      <w:hyperlink r:id="rId35" w:history="1">
        <w:r w:rsidRPr="00456BB2">
          <w:rPr>
            <w:rStyle w:val="Hyperlink"/>
            <w:noProof/>
          </w:rPr>
          <w:t>https://doi.org/10.1016/j.fluid.2009.07.007</w:t>
        </w:r>
      </w:hyperlink>
      <w:r>
        <w:rPr>
          <w:noProof/>
        </w:rPr>
        <w:t xml:space="preserve"> </w:t>
      </w:r>
    </w:p>
    <w:p w14:paraId="0F82C81F" w14:textId="77777777" w:rsidR="00EA3BFB" w:rsidRPr="0065509C" w:rsidRDefault="00EA3BFB" w:rsidP="00EA3BFB">
      <w:pPr>
        <w:pStyle w:val="EndNoteBibliography"/>
        <w:jc w:val="left"/>
        <w:rPr>
          <w:noProof/>
        </w:rPr>
      </w:pPr>
      <w:r w:rsidRPr="0065509C">
        <w:rPr>
          <w:noProof/>
        </w:rPr>
        <w:t>15.</w:t>
      </w:r>
      <w:r w:rsidRPr="0065509C">
        <w:rPr>
          <w:noProof/>
        </w:rPr>
        <w:tab/>
        <w:t>Lin S-T, Chang J, Wang S, Goddard WA, Sandler SI. Prediction of vapor pressures and enthalpies of vaporization using a COSMO solvation model.</w:t>
      </w:r>
      <w:r w:rsidRPr="0065509C">
        <w:rPr>
          <w:i/>
          <w:noProof/>
        </w:rPr>
        <w:t xml:space="preserve"> J</w:t>
      </w:r>
      <w:r>
        <w:rPr>
          <w:i/>
          <w:noProof/>
        </w:rPr>
        <w:t>.</w:t>
      </w:r>
      <w:r w:rsidRPr="0065509C">
        <w:rPr>
          <w:i/>
          <w:noProof/>
        </w:rPr>
        <w:t xml:space="preserve"> Phys</w:t>
      </w:r>
      <w:r>
        <w:rPr>
          <w:i/>
          <w:noProof/>
        </w:rPr>
        <w:t>.</w:t>
      </w:r>
      <w:r w:rsidRPr="0065509C">
        <w:rPr>
          <w:i/>
          <w:noProof/>
        </w:rPr>
        <w:t xml:space="preserve"> Chem</w:t>
      </w:r>
      <w:r w:rsidRPr="0065509C">
        <w:rPr>
          <w:noProof/>
        </w:rPr>
        <w:t xml:space="preserve">. </w:t>
      </w:r>
      <w:r w:rsidRPr="00C75DA6">
        <w:rPr>
          <w:b/>
          <w:bCs/>
          <w:noProof/>
        </w:rPr>
        <w:t>2004</w:t>
      </w:r>
      <w:r w:rsidRPr="0065509C">
        <w:rPr>
          <w:noProof/>
        </w:rPr>
        <w:t>;</w:t>
      </w:r>
      <w:r w:rsidRPr="00C75DA6">
        <w:rPr>
          <w:i/>
          <w:iCs/>
          <w:noProof/>
        </w:rPr>
        <w:t>108</w:t>
      </w:r>
      <w:r w:rsidRPr="0065509C">
        <w:rPr>
          <w:noProof/>
        </w:rPr>
        <w:t xml:space="preserve">:7429-7439. </w:t>
      </w:r>
      <w:hyperlink r:id="rId36" w:history="1">
        <w:r w:rsidRPr="00456BB2">
          <w:rPr>
            <w:rStyle w:val="Hyperlink"/>
            <w:noProof/>
          </w:rPr>
          <w:t>https://doi.org/10.1021/jp048813n</w:t>
        </w:r>
      </w:hyperlink>
      <w:r>
        <w:rPr>
          <w:noProof/>
        </w:rPr>
        <w:t xml:space="preserve"> </w:t>
      </w:r>
    </w:p>
    <w:p w14:paraId="274419D7" w14:textId="77777777" w:rsidR="00EA3BFB" w:rsidRPr="0065509C" w:rsidRDefault="00EA3BFB" w:rsidP="00EA3BFB">
      <w:pPr>
        <w:pStyle w:val="EndNoteBibliography"/>
        <w:jc w:val="left"/>
        <w:rPr>
          <w:noProof/>
        </w:rPr>
      </w:pPr>
      <w:r w:rsidRPr="0065509C">
        <w:rPr>
          <w:noProof/>
        </w:rPr>
        <w:t>16.</w:t>
      </w:r>
      <w:r w:rsidRPr="0065509C">
        <w:rPr>
          <w:noProof/>
        </w:rPr>
        <w:tab/>
        <w:t xml:space="preserve">Lin S-T, Sandler SI. A priori phase equilibrium prediction for a segment contribution solvation model. </w:t>
      </w:r>
      <w:r w:rsidRPr="0065509C">
        <w:rPr>
          <w:i/>
          <w:noProof/>
        </w:rPr>
        <w:t>Ind</w:t>
      </w:r>
      <w:r>
        <w:rPr>
          <w:i/>
          <w:noProof/>
        </w:rPr>
        <w:t>.</w:t>
      </w:r>
      <w:r w:rsidRPr="0065509C">
        <w:rPr>
          <w:i/>
          <w:noProof/>
        </w:rPr>
        <w:t xml:space="preserve"> Eng</w:t>
      </w:r>
      <w:r>
        <w:rPr>
          <w:i/>
          <w:noProof/>
        </w:rPr>
        <w:t>.</w:t>
      </w:r>
      <w:r w:rsidRPr="0065509C">
        <w:rPr>
          <w:i/>
          <w:noProof/>
        </w:rPr>
        <w:t xml:space="preserve"> Chem</w:t>
      </w:r>
      <w:r>
        <w:rPr>
          <w:i/>
          <w:noProof/>
        </w:rPr>
        <w:t>.</w:t>
      </w:r>
      <w:r w:rsidRPr="0065509C">
        <w:rPr>
          <w:i/>
          <w:noProof/>
        </w:rPr>
        <w:t xml:space="preserve"> Res</w:t>
      </w:r>
      <w:r>
        <w:rPr>
          <w:i/>
          <w:noProof/>
        </w:rPr>
        <w:t>.</w:t>
      </w:r>
      <w:r w:rsidRPr="0065509C">
        <w:rPr>
          <w:i/>
          <w:noProof/>
        </w:rPr>
        <w:t xml:space="preserve"> </w:t>
      </w:r>
      <w:r w:rsidRPr="00C75DA6">
        <w:rPr>
          <w:b/>
          <w:bCs/>
          <w:noProof/>
        </w:rPr>
        <w:t>2002</w:t>
      </w:r>
      <w:r w:rsidRPr="0065509C">
        <w:rPr>
          <w:noProof/>
        </w:rPr>
        <w:t>;</w:t>
      </w:r>
      <w:r w:rsidRPr="00C75DA6">
        <w:rPr>
          <w:i/>
          <w:iCs/>
          <w:noProof/>
        </w:rPr>
        <w:t>41</w:t>
      </w:r>
      <w:r w:rsidRPr="0065509C">
        <w:rPr>
          <w:noProof/>
        </w:rPr>
        <w:t xml:space="preserve">:899-913. </w:t>
      </w:r>
      <w:hyperlink r:id="rId37" w:history="1">
        <w:r w:rsidRPr="00456BB2">
          <w:rPr>
            <w:rStyle w:val="Hyperlink"/>
            <w:noProof/>
          </w:rPr>
          <w:t>https://doi.org/10.1021/ie001047w</w:t>
        </w:r>
      </w:hyperlink>
      <w:r>
        <w:rPr>
          <w:noProof/>
        </w:rPr>
        <w:t xml:space="preserve"> </w:t>
      </w:r>
    </w:p>
    <w:p w14:paraId="7AA01901" w14:textId="77777777" w:rsidR="00EA3BFB" w:rsidRPr="00AD01B4" w:rsidRDefault="00EA3BFB" w:rsidP="00EA3BFB">
      <w:pPr>
        <w:pStyle w:val="EndNoteBibliography"/>
        <w:jc w:val="left"/>
        <w:rPr>
          <w:noProof/>
        </w:rPr>
      </w:pPr>
      <w:r w:rsidRPr="00AD01B4">
        <w:rPr>
          <w:noProof/>
        </w:rPr>
        <w:t>17.</w:t>
      </w:r>
      <w:r w:rsidRPr="00AD01B4">
        <w:rPr>
          <w:noProof/>
        </w:rPr>
        <w:tab/>
        <w:t xml:space="preserve">Lin S-T, Sandler SI. A Priori Phase Equilibrium Prediction from a Segment Contribution Solvation Model. </w:t>
      </w:r>
      <w:r w:rsidRPr="0065509C">
        <w:rPr>
          <w:i/>
          <w:noProof/>
        </w:rPr>
        <w:t>Ind</w:t>
      </w:r>
      <w:r>
        <w:rPr>
          <w:i/>
          <w:noProof/>
        </w:rPr>
        <w:t>.</w:t>
      </w:r>
      <w:r w:rsidRPr="0065509C">
        <w:rPr>
          <w:i/>
          <w:noProof/>
        </w:rPr>
        <w:t xml:space="preserve"> Eng</w:t>
      </w:r>
      <w:r>
        <w:rPr>
          <w:i/>
          <w:noProof/>
        </w:rPr>
        <w:t>.</w:t>
      </w:r>
      <w:r w:rsidRPr="0065509C">
        <w:rPr>
          <w:i/>
          <w:noProof/>
        </w:rPr>
        <w:t xml:space="preserve"> Chem</w:t>
      </w:r>
      <w:r>
        <w:rPr>
          <w:i/>
          <w:noProof/>
        </w:rPr>
        <w:t>.</w:t>
      </w:r>
      <w:r w:rsidRPr="0065509C">
        <w:rPr>
          <w:i/>
          <w:noProof/>
        </w:rPr>
        <w:t xml:space="preserve"> Res</w:t>
      </w:r>
      <w:r>
        <w:rPr>
          <w:i/>
          <w:noProof/>
        </w:rPr>
        <w:t>.</w:t>
      </w:r>
      <w:r w:rsidRPr="0065509C">
        <w:rPr>
          <w:i/>
          <w:noProof/>
        </w:rPr>
        <w:t xml:space="preserve"> </w:t>
      </w:r>
      <w:r w:rsidRPr="009E29C8">
        <w:rPr>
          <w:b/>
          <w:bCs/>
          <w:noProof/>
        </w:rPr>
        <w:t>2004</w:t>
      </w:r>
      <w:r w:rsidRPr="00AD01B4">
        <w:rPr>
          <w:noProof/>
        </w:rPr>
        <w:t>;</w:t>
      </w:r>
      <w:r w:rsidRPr="009E29C8">
        <w:rPr>
          <w:i/>
          <w:iCs/>
          <w:noProof/>
        </w:rPr>
        <w:t>43</w:t>
      </w:r>
      <w:r w:rsidRPr="00AD01B4">
        <w:rPr>
          <w:noProof/>
        </w:rPr>
        <w:t xml:space="preserve">:1322-1322. </w:t>
      </w:r>
      <w:hyperlink r:id="rId38" w:history="1">
        <w:r w:rsidRPr="00456BB2">
          <w:rPr>
            <w:rStyle w:val="Hyperlink"/>
            <w:noProof/>
          </w:rPr>
          <w:t>https://doi.org/10.1021/ie0308689</w:t>
        </w:r>
      </w:hyperlink>
      <w:r>
        <w:rPr>
          <w:noProof/>
        </w:rPr>
        <w:t xml:space="preserve"> </w:t>
      </w:r>
    </w:p>
    <w:p w14:paraId="6AEC3BA3" w14:textId="77777777" w:rsidR="00EA3BFB" w:rsidRPr="0065509C" w:rsidRDefault="00EA3BFB" w:rsidP="00EA3BFB">
      <w:pPr>
        <w:pStyle w:val="EndNoteBibliography"/>
        <w:jc w:val="left"/>
        <w:rPr>
          <w:noProof/>
        </w:rPr>
      </w:pPr>
      <w:r w:rsidRPr="00AD01B4">
        <w:rPr>
          <w:noProof/>
        </w:rPr>
        <w:lastRenderedPageBreak/>
        <w:t>18.</w:t>
      </w:r>
      <w:r w:rsidRPr="00AD01B4">
        <w:rPr>
          <w:noProof/>
        </w:rPr>
        <w:tab/>
      </w:r>
      <w:r w:rsidRPr="0065509C">
        <w:rPr>
          <w:noProof/>
        </w:rPr>
        <w:t xml:space="preserve">Xiong R, Sandler SI, Burnett RI. An </w:t>
      </w:r>
      <w:r>
        <w:rPr>
          <w:noProof/>
        </w:rPr>
        <w:t>i</w:t>
      </w:r>
      <w:r w:rsidRPr="0065509C">
        <w:rPr>
          <w:noProof/>
        </w:rPr>
        <w:t xml:space="preserve">mprovement to COSMO-SAC for predicting thermodynamic properties. </w:t>
      </w:r>
      <w:r w:rsidRPr="0065509C">
        <w:rPr>
          <w:i/>
          <w:noProof/>
        </w:rPr>
        <w:t>Ind</w:t>
      </w:r>
      <w:r>
        <w:rPr>
          <w:i/>
          <w:noProof/>
        </w:rPr>
        <w:t>.</w:t>
      </w:r>
      <w:r w:rsidRPr="0065509C">
        <w:rPr>
          <w:i/>
          <w:noProof/>
        </w:rPr>
        <w:t xml:space="preserve"> Eng</w:t>
      </w:r>
      <w:r>
        <w:rPr>
          <w:i/>
          <w:noProof/>
        </w:rPr>
        <w:t>.</w:t>
      </w:r>
      <w:r w:rsidRPr="0065509C">
        <w:rPr>
          <w:i/>
          <w:noProof/>
        </w:rPr>
        <w:t xml:space="preserve"> Chem</w:t>
      </w:r>
      <w:r>
        <w:rPr>
          <w:i/>
          <w:noProof/>
        </w:rPr>
        <w:t>.</w:t>
      </w:r>
      <w:r w:rsidRPr="0065509C">
        <w:rPr>
          <w:i/>
          <w:noProof/>
        </w:rPr>
        <w:t xml:space="preserve"> Res</w:t>
      </w:r>
      <w:r w:rsidRPr="0065509C">
        <w:rPr>
          <w:noProof/>
        </w:rPr>
        <w:t xml:space="preserve">. </w:t>
      </w:r>
      <w:r w:rsidRPr="00C75DA6">
        <w:rPr>
          <w:b/>
          <w:bCs/>
          <w:noProof/>
        </w:rPr>
        <w:t>2014</w:t>
      </w:r>
      <w:r w:rsidRPr="0065509C">
        <w:rPr>
          <w:noProof/>
        </w:rPr>
        <w:t>;</w:t>
      </w:r>
      <w:r w:rsidRPr="00C75DA6">
        <w:rPr>
          <w:i/>
          <w:iCs/>
          <w:noProof/>
        </w:rPr>
        <w:t>53</w:t>
      </w:r>
      <w:r w:rsidRPr="0065509C">
        <w:rPr>
          <w:noProof/>
        </w:rPr>
        <w:t xml:space="preserve">:8265-8278. </w:t>
      </w:r>
      <w:hyperlink r:id="rId39" w:history="1">
        <w:r w:rsidRPr="00456BB2">
          <w:rPr>
            <w:rStyle w:val="Hyperlink"/>
            <w:noProof/>
          </w:rPr>
          <w:t>https://doi.org/10.1021/ie404410v</w:t>
        </w:r>
      </w:hyperlink>
      <w:r>
        <w:rPr>
          <w:noProof/>
        </w:rPr>
        <w:t xml:space="preserve"> </w:t>
      </w:r>
    </w:p>
    <w:p w14:paraId="03B8DB39" w14:textId="77777777" w:rsidR="00EA3BFB" w:rsidRPr="0065509C" w:rsidRDefault="00EA3BFB" w:rsidP="00EA3BFB">
      <w:pPr>
        <w:pStyle w:val="EndNoteBibliography"/>
        <w:jc w:val="left"/>
        <w:rPr>
          <w:noProof/>
        </w:rPr>
      </w:pPr>
      <w:r w:rsidRPr="00AD01B4">
        <w:rPr>
          <w:noProof/>
        </w:rPr>
        <w:t>19.</w:t>
      </w:r>
      <w:r w:rsidRPr="00AD01B4">
        <w:rPr>
          <w:noProof/>
        </w:rPr>
        <w:tab/>
      </w:r>
      <w:r w:rsidRPr="0065509C">
        <w:rPr>
          <w:noProof/>
        </w:rPr>
        <w:t xml:space="preserve">Hsieh C-M, Sandler SI, Lin S-T. Improvements of COSMO-SAC for vapor–liquid and liquid–liquid equilibrium predictions. </w:t>
      </w:r>
      <w:r>
        <w:rPr>
          <w:i/>
          <w:noProof/>
        </w:rPr>
        <w:t>Fluid Phase Equilibr.</w:t>
      </w:r>
      <w:r w:rsidRPr="0065509C">
        <w:rPr>
          <w:noProof/>
        </w:rPr>
        <w:t xml:space="preserve"> </w:t>
      </w:r>
      <w:r w:rsidRPr="00C75DA6">
        <w:rPr>
          <w:b/>
          <w:bCs/>
          <w:noProof/>
        </w:rPr>
        <w:t>2010</w:t>
      </w:r>
      <w:r w:rsidRPr="0065509C">
        <w:rPr>
          <w:noProof/>
        </w:rPr>
        <w:t>;</w:t>
      </w:r>
      <w:r w:rsidRPr="00C75DA6">
        <w:rPr>
          <w:i/>
          <w:iCs/>
          <w:noProof/>
        </w:rPr>
        <w:t>297</w:t>
      </w:r>
      <w:r w:rsidRPr="0065509C">
        <w:rPr>
          <w:noProof/>
        </w:rPr>
        <w:t xml:space="preserve">:90-97. </w:t>
      </w:r>
      <w:hyperlink r:id="rId40" w:history="1">
        <w:r w:rsidRPr="00456BB2">
          <w:rPr>
            <w:rStyle w:val="Hyperlink"/>
            <w:noProof/>
          </w:rPr>
          <w:t>https://doi.org/10.1016/j.fluid.2010.06.011</w:t>
        </w:r>
      </w:hyperlink>
      <w:r>
        <w:rPr>
          <w:noProof/>
        </w:rPr>
        <w:t xml:space="preserve"> </w:t>
      </w:r>
    </w:p>
    <w:p w14:paraId="65BEC8AF" w14:textId="77777777" w:rsidR="00EA3BFB" w:rsidRPr="0065509C" w:rsidRDefault="00EA3BFB" w:rsidP="00EA3BFB">
      <w:pPr>
        <w:pStyle w:val="EndNoteBibliography"/>
        <w:jc w:val="left"/>
        <w:rPr>
          <w:noProof/>
        </w:rPr>
      </w:pPr>
      <w:r w:rsidRPr="00AD01B4">
        <w:rPr>
          <w:noProof/>
        </w:rPr>
        <w:t>20.</w:t>
      </w:r>
      <w:r w:rsidRPr="00AD01B4">
        <w:rPr>
          <w:noProof/>
        </w:rPr>
        <w:tab/>
      </w:r>
      <w:r w:rsidRPr="0065509C">
        <w:rPr>
          <w:noProof/>
        </w:rPr>
        <w:t xml:space="preserve">Hsieh C-M, Lin S-T, Vrabec J. Considering the dispersive interactions in the COSMO-SAC model for more accurate predictions of fluid phase behavior. </w:t>
      </w:r>
      <w:r>
        <w:rPr>
          <w:i/>
          <w:noProof/>
        </w:rPr>
        <w:t>Fluid Phase Equilibr.</w:t>
      </w:r>
      <w:r w:rsidRPr="0065509C">
        <w:rPr>
          <w:noProof/>
        </w:rPr>
        <w:t xml:space="preserve"> </w:t>
      </w:r>
      <w:r>
        <w:rPr>
          <w:noProof/>
        </w:rPr>
        <w:t>i</w:t>
      </w:r>
      <w:r w:rsidRPr="0065509C">
        <w:rPr>
          <w:noProof/>
        </w:rPr>
        <w:t xml:space="preserve"> </w:t>
      </w:r>
      <w:r w:rsidRPr="00C75DA6">
        <w:rPr>
          <w:b/>
          <w:bCs/>
          <w:noProof/>
        </w:rPr>
        <w:t>2014</w:t>
      </w:r>
      <w:r w:rsidRPr="0065509C">
        <w:rPr>
          <w:noProof/>
        </w:rPr>
        <w:t>;</w:t>
      </w:r>
      <w:r w:rsidRPr="00C75DA6">
        <w:rPr>
          <w:i/>
          <w:iCs/>
          <w:noProof/>
        </w:rPr>
        <w:t>367</w:t>
      </w:r>
      <w:r w:rsidRPr="0065509C">
        <w:rPr>
          <w:noProof/>
        </w:rPr>
        <w:t xml:space="preserve">:109-116. </w:t>
      </w:r>
      <w:hyperlink r:id="rId41" w:history="1">
        <w:r w:rsidRPr="00456BB2">
          <w:rPr>
            <w:rStyle w:val="Hyperlink"/>
            <w:noProof/>
          </w:rPr>
          <w:t>https://doi.org/10.1016/j.fluid.2014.01.032</w:t>
        </w:r>
      </w:hyperlink>
      <w:r>
        <w:rPr>
          <w:noProof/>
        </w:rPr>
        <w:t xml:space="preserve"> </w:t>
      </w:r>
    </w:p>
    <w:p w14:paraId="6325DD81" w14:textId="77777777" w:rsidR="00EA3BFB" w:rsidRPr="00AD01B4" w:rsidRDefault="00EA3BFB" w:rsidP="00EA3BFB">
      <w:pPr>
        <w:pStyle w:val="EndNoteBibliography"/>
        <w:jc w:val="left"/>
        <w:rPr>
          <w:noProof/>
        </w:rPr>
      </w:pPr>
      <w:r w:rsidRPr="00AD01B4">
        <w:rPr>
          <w:noProof/>
        </w:rPr>
        <w:t>21.</w:t>
      </w:r>
      <w:r w:rsidRPr="00AD01B4">
        <w:rPr>
          <w:noProof/>
        </w:rPr>
        <w:tab/>
        <w:t xml:space="preserve">Hsieh C-M, Lin S-T, Vrabec J. Corrigendum to: Considering the dispersive interactions in the COSMO-SAC model for more accurate predictions of fluid phase behavior [Fluid Phase Equilib. 367 (2014) 109–116]. </w:t>
      </w:r>
      <w:r w:rsidRPr="00AD01B4">
        <w:rPr>
          <w:i/>
          <w:noProof/>
        </w:rPr>
        <w:t>Fluid Phase Equilibr</w:t>
      </w:r>
      <w:r w:rsidRPr="00AD01B4">
        <w:rPr>
          <w:noProof/>
        </w:rPr>
        <w:t xml:space="preserve">. </w:t>
      </w:r>
      <w:r w:rsidRPr="00156637">
        <w:rPr>
          <w:b/>
          <w:bCs/>
          <w:noProof/>
        </w:rPr>
        <w:t>2014</w:t>
      </w:r>
      <w:r w:rsidRPr="00AD01B4">
        <w:rPr>
          <w:noProof/>
        </w:rPr>
        <w:t>;</w:t>
      </w:r>
      <w:r w:rsidRPr="00156637">
        <w:rPr>
          <w:i/>
          <w:iCs/>
          <w:noProof/>
        </w:rPr>
        <w:t>384</w:t>
      </w:r>
      <w:r w:rsidRPr="00AD01B4">
        <w:rPr>
          <w:noProof/>
        </w:rPr>
        <w:t xml:space="preserve">:14-15. </w:t>
      </w:r>
      <w:hyperlink r:id="rId42" w:history="1">
        <w:r w:rsidRPr="00456BB2">
          <w:rPr>
            <w:rStyle w:val="Hyperlink"/>
            <w:noProof/>
          </w:rPr>
          <w:t>https://doi.org/10.1016/j.fluid.2014.10.019</w:t>
        </w:r>
      </w:hyperlink>
      <w:r>
        <w:rPr>
          <w:noProof/>
        </w:rPr>
        <w:t xml:space="preserve"> </w:t>
      </w:r>
    </w:p>
    <w:p w14:paraId="3EAF8856" w14:textId="77777777" w:rsidR="00EA3BFB" w:rsidRPr="00AD01B4" w:rsidRDefault="00EA3BFB" w:rsidP="00EA3BFB">
      <w:pPr>
        <w:pStyle w:val="EndNoteBibliography"/>
        <w:jc w:val="left"/>
        <w:rPr>
          <w:noProof/>
        </w:rPr>
      </w:pPr>
      <w:r w:rsidRPr="00AD01B4">
        <w:rPr>
          <w:noProof/>
        </w:rPr>
        <w:t>22.</w:t>
      </w:r>
      <w:r w:rsidRPr="00AD01B4">
        <w:rPr>
          <w:noProof/>
        </w:rPr>
        <w:tab/>
        <w:t xml:space="preserve">Klamt A, Jonas V, Burger T, Lohrenz JCW. Refinement and </w:t>
      </w:r>
      <w:r>
        <w:rPr>
          <w:noProof/>
        </w:rPr>
        <w:t>p</w:t>
      </w:r>
      <w:r w:rsidRPr="00AD01B4">
        <w:rPr>
          <w:noProof/>
        </w:rPr>
        <w:t xml:space="preserve">arametrization of COSMO-RS. </w:t>
      </w:r>
      <w:r w:rsidRPr="00AD01B4">
        <w:rPr>
          <w:i/>
          <w:noProof/>
        </w:rPr>
        <w:t>J</w:t>
      </w:r>
      <w:r>
        <w:rPr>
          <w:i/>
          <w:noProof/>
        </w:rPr>
        <w:t>.</w:t>
      </w:r>
      <w:r w:rsidRPr="00AD01B4">
        <w:rPr>
          <w:i/>
          <w:noProof/>
        </w:rPr>
        <w:t xml:space="preserve"> Phys</w:t>
      </w:r>
      <w:r>
        <w:rPr>
          <w:i/>
          <w:noProof/>
        </w:rPr>
        <w:t>.</w:t>
      </w:r>
      <w:r w:rsidRPr="00AD01B4">
        <w:rPr>
          <w:i/>
          <w:noProof/>
        </w:rPr>
        <w:t xml:space="preserve"> Chem</w:t>
      </w:r>
      <w:r>
        <w:rPr>
          <w:i/>
          <w:noProof/>
        </w:rPr>
        <w:t>.</w:t>
      </w:r>
      <w:r w:rsidRPr="00AD01B4">
        <w:rPr>
          <w:i/>
          <w:noProof/>
        </w:rPr>
        <w:t xml:space="preserve"> A</w:t>
      </w:r>
      <w:r w:rsidRPr="00AD01B4">
        <w:rPr>
          <w:noProof/>
        </w:rPr>
        <w:t xml:space="preserve">. </w:t>
      </w:r>
      <w:r w:rsidRPr="00091770">
        <w:rPr>
          <w:b/>
          <w:bCs/>
          <w:noProof/>
        </w:rPr>
        <w:t>1998</w:t>
      </w:r>
      <w:r w:rsidRPr="00AD01B4">
        <w:rPr>
          <w:noProof/>
        </w:rPr>
        <w:t>;</w:t>
      </w:r>
      <w:r w:rsidRPr="00091770">
        <w:rPr>
          <w:i/>
          <w:iCs/>
          <w:noProof/>
        </w:rPr>
        <w:t>102</w:t>
      </w:r>
      <w:r w:rsidRPr="00AD01B4">
        <w:rPr>
          <w:noProof/>
        </w:rPr>
        <w:t xml:space="preserve">:5074-5085. </w:t>
      </w:r>
      <w:hyperlink r:id="rId43" w:history="1">
        <w:r w:rsidRPr="00456BB2">
          <w:rPr>
            <w:rStyle w:val="Hyperlink"/>
            <w:noProof/>
          </w:rPr>
          <w:t>https://doi.org/10.1021/jp980017s</w:t>
        </w:r>
      </w:hyperlink>
      <w:r>
        <w:rPr>
          <w:noProof/>
        </w:rPr>
        <w:t xml:space="preserve"> </w:t>
      </w:r>
    </w:p>
    <w:p w14:paraId="6F0E2959" w14:textId="77777777" w:rsidR="00EA3BFB" w:rsidRPr="00AD01B4" w:rsidRDefault="00EA3BFB" w:rsidP="00EA3BFB">
      <w:pPr>
        <w:pStyle w:val="EndNoteBibliography"/>
        <w:jc w:val="left"/>
        <w:rPr>
          <w:noProof/>
        </w:rPr>
      </w:pPr>
      <w:r w:rsidRPr="00AD01B4">
        <w:rPr>
          <w:noProof/>
        </w:rPr>
        <w:t>23.</w:t>
      </w:r>
      <w:r w:rsidRPr="00AD01B4">
        <w:rPr>
          <w:noProof/>
        </w:rPr>
        <w:tab/>
        <w:t xml:space="preserve">Klamt A. Conductor-like screening model for real solvents - a new approach to the quantitative calculation of solvation phenomena. </w:t>
      </w:r>
      <w:r w:rsidRPr="00AD01B4">
        <w:rPr>
          <w:i/>
          <w:noProof/>
        </w:rPr>
        <w:t>J</w:t>
      </w:r>
      <w:r>
        <w:rPr>
          <w:i/>
          <w:noProof/>
        </w:rPr>
        <w:t>.</w:t>
      </w:r>
      <w:r w:rsidRPr="00AD01B4">
        <w:rPr>
          <w:i/>
          <w:noProof/>
        </w:rPr>
        <w:t xml:space="preserve"> Phys</w:t>
      </w:r>
      <w:r>
        <w:rPr>
          <w:i/>
          <w:noProof/>
        </w:rPr>
        <w:t>.</w:t>
      </w:r>
      <w:r w:rsidRPr="00AD01B4">
        <w:rPr>
          <w:i/>
          <w:noProof/>
        </w:rPr>
        <w:t xml:space="preserve"> Chem</w:t>
      </w:r>
      <w:r>
        <w:rPr>
          <w:i/>
          <w:noProof/>
        </w:rPr>
        <w:t>.</w:t>
      </w:r>
      <w:r w:rsidRPr="00AD01B4">
        <w:rPr>
          <w:noProof/>
        </w:rPr>
        <w:t xml:space="preserve"> </w:t>
      </w:r>
      <w:r w:rsidRPr="00091770">
        <w:rPr>
          <w:b/>
          <w:bCs/>
          <w:noProof/>
        </w:rPr>
        <w:t>1995</w:t>
      </w:r>
      <w:r w:rsidRPr="00AD01B4">
        <w:rPr>
          <w:noProof/>
        </w:rPr>
        <w:t>;</w:t>
      </w:r>
      <w:r w:rsidRPr="00091770">
        <w:rPr>
          <w:i/>
          <w:iCs/>
          <w:noProof/>
        </w:rPr>
        <w:t>99</w:t>
      </w:r>
      <w:r w:rsidRPr="00AD01B4">
        <w:rPr>
          <w:noProof/>
        </w:rPr>
        <w:t xml:space="preserve">:2224-2235. </w:t>
      </w:r>
      <w:hyperlink r:id="rId44" w:history="1">
        <w:r w:rsidRPr="00456BB2">
          <w:rPr>
            <w:rStyle w:val="Hyperlink"/>
            <w:noProof/>
          </w:rPr>
          <w:t>https://doi.org/10.1021/j100007a062</w:t>
        </w:r>
      </w:hyperlink>
      <w:r>
        <w:rPr>
          <w:noProof/>
        </w:rPr>
        <w:t xml:space="preserve"> </w:t>
      </w:r>
    </w:p>
    <w:p w14:paraId="0D5540EF" w14:textId="77777777" w:rsidR="00EA3BFB" w:rsidRPr="00AD01B4" w:rsidRDefault="00EA3BFB" w:rsidP="00EA3BFB">
      <w:pPr>
        <w:pStyle w:val="EndNoteBibliography"/>
        <w:jc w:val="left"/>
        <w:rPr>
          <w:noProof/>
        </w:rPr>
      </w:pPr>
      <w:r w:rsidRPr="00AD01B4">
        <w:rPr>
          <w:noProof/>
        </w:rPr>
        <w:t>24.</w:t>
      </w:r>
      <w:r w:rsidRPr="00AD01B4">
        <w:rPr>
          <w:noProof/>
        </w:rPr>
        <w:tab/>
        <w:t xml:space="preserve">Diedenhofen M, Klamt A. COSMO-RS as a tool for property prediction of IL mixtures—A review. </w:t>
      </w:r>
      <w:r w:rsidRPr="00AD01B4">
        <w:rPr>
          <w:i/>
          <w:noProof/>
        </w:rPr>
        <w:t>Fluid Phase Equilibr</w:t>
      </w:r>
      <w:r w:rsidRPr="00AD01B4">
        <w:rPr>
          <w:noProof/>
        </w:rPr>
        <w:t xml:space="preserve">. </w:t>
      </w:r>
      <w:r w:rsidRPr="00091770">
        <w:rPr>
          <w:b/>
          <w:bCs/>
          <w:noProof/>
        </w:rPr>
        <w:t>2010</w:t>
      </w:r>
      <w:r w:rsidRPr="00AD01B4">
        <w:rPr>
          <w:noProof/>
        </w:rPr>
        <w:t>;</w:t>
      </w:r>
      <w:r w:rsidRPr="00091770">
        <w:rPr>
          <w:i/>
          <w:iCs/>
          <w:noProof/>
        </w:rPr>
        <w:t>294</w:t>
      </w:r>
      <w:r w:rsidRPr="00AD01B4">
        <w:rPr>
          <w:noProof/>
        </w:rPr>
        <w:t xml:space="preserve">:31-38. </w:t>
      </w:r>
      <w:hyperlink r:id="rId45" w:history="1">
        <w:r w:rsidRPr="00456BB2">
          <w:rPr>
            <w:rStyle w:val="Hyperlink"/>
            <w:noProof/>
          </w:rPr>
          <w:t>https://doi.org/10.1016/j.fluid.2010.02.002</w:t>
        </w:r>
      </w:hyperlink>
      <w:r>
        <w:rPr>
          <w:noProof/>
        </w:rPr>
        <w:t xml:space="preserve"> </w:t>
      </w:r>
    </w:p>
    <w:p w14:paraId="1AA8BF35" w14:textId="77777777" w:rsidR="00EA3BFB" w:rsidRPr="00AD01B4" w:rsidRDefault="00EA3BFB" w:rsidP="00EA3BFB">
      <w:pPr>
        <w:pStyle w:val="EndNoteBibliography"/>
        <w:jc w:val="left"/>
        <w:rPr>
          <w:noProof/>
        </w:rPr>
      </w:pPr>
      <w:r w:rsidRPr="00AD01B4">
        <w:rPr>
          <w:noProof/>
        </w:rPr>
        <w:t>25.</w:t>
      </w:r>
      <w:r w:rsidRPr="00AD01B4">
        <w:rPr>
          <w:noProof/>
        </w:rPr>
        <w:tab/>
        <w:t xml:space="preserve">Ferreira AR, Freire MG, Ribeiro JC, Lopes FM, Crespo JG, Coutinho JAP. Overview of the liquid–liquid equilibria of ternary systems composed of ionic liquid and aromatic and aliphatic hydrocarbons, and their modeling by COSMO-RS. </w:t>
      </w:r>
      <w:r>
        <w:rPr>
          <w:i/>
          <w:noProof/>
        </w:rPr>
        <w:t>Ind. Eng. Chem. Res.</w:t>
      </w:r>
      <w:r w:rsidRPr="00AD01B4">
        <w:rPr>
          <w:noProof/>
        </w:rPr>
        <w:t xml:space="preserve"> </w:t>
      </w:r>
      <w:r w:rsidRPr="00F668C6">
        <w:rPr>
          <w:b/>
          <w:bCs/>
          <w:noProof/>
        </w:rPr>
        <w:t>2012</w:t>
      </w:r>
      <w:r w:rsidRPr="00AD01B4">
        <w:rPr>
          <w:noProof/>
        </w:rPr>
        <w:t>;</w:t>
      </w:r>
      <w:r w:rsidRPr="00F668C6">
        <w:rPr>
          <w:i/>
          <w:iCs/>
          <w:noProof/>
        </w:rPr>
        <w:t>51</w:t>
      </w:r>
      <w:r w:rsidRPr="00AD01B4">
        <w:rPr>
          <w:noProof/>
        </w:rPr>
        <w:t xml:space="preserve">:3483-3507. </w:t>
      </w:r>
      <w:hyperlink r:id="rId46" w:history="1">
        <w:r w:rsidRPr="00456BB2">
          <w:rPr>
            <w:rStyle w:val="Hyperlink"/>
            <w:noProof/>
          </w:rPr>
          <w:t>https://doi.org/10.1021/ie2025322</w:t>
        </w:r>
      </w:hyperlink>
      <w:r>
        <w:rPr>
          <w:noProof/>
        </w:rPr>
        <w:t xml:space="preserve"> </w:t>
      </w:r>
    </w:p>
    <w:p w14:paraId="56BC1870" w14:textId="77777777" w:rsidR="00EA3BFB" w:rsidRPr="00AD01B4" w:rsidRDefault="00EA3BFB" w:rsidP="00EA3BFB">
      <w:pPr>
        <w:pStyle w:val="EndNoteBibliography"/>
        <w:jc w:val="left"/>
        <w:rPr>
          <w:noProof/>
        </w:rPr>
      </w:pPr>
      <w:r w:rsidRPr="00AD01B4">
        <w:rPr>
          <w:noProof/>
        </w:rPr>
        <w:t>26.</w:t>
      </w:r>
      <w:r w:rsidRPr="00AD01B4">
        <w:rPr>
          <w:noProof/>
        </w:rPr>
        <w:tab/>
        <w:t xml:space="preserve">Gutiérrez JP, Meindersma GW, de Haan AB. COSMO-RS-based ionic-liquid selection for extractive distillation processes. </w:t>
      </w:r>
      <w:r>
        <w:rPr>
          <w:i/>
          <w:noProof/>
        </w:rPr>
        <w:t>Ind. Eng. Chem. Res.</w:t>
      </w:r>
      <w:r w:rsidRPr="00AD01B4">
        <w:rPr>
          <w:noProof/>
        </w:rPr>
        <w:t xml:space="preserve"> </w:t>
      </w:r>
      <w:r w:rsidRPr="00F668C6">
        <w:rPr>
          <w:b/>
          <w:bCs/>
          <w:noProof/>
        </w:rPr>
        <w:t>2012</w:t>
      </w:r>
      <w:r w:rsidRPr="00AD01B4">
        <w:rPr>
          <w:noProof/>
        </w:rPr>
        <w:t>;</w:t>
      </w:r>
      <w:r w:rsidRPr="00F668C6">
        <w:rPr>
          <w:i/>
          <w:iCs/>
          <w:noProof/>
        </w:rPr>
        <w:t>51</w:t>
      </w:r>
      <w:r w:rsidRPr="00AD01B4">
        <w:rPr>
          <w:noProof/>
        </w:rPr>
        <w:t xml:space="preserve">:11518-11529. </w:t>
      </w:r>
      <w:hyperlink r:id="rId47" w:history="1">
        <w:r w:rsidRPr="00456BB2">
          <w:rPr>
            <w:rStyle w:val="Hyperlink"/>
            <w:noProof/>
          </w:rPr>
          <w:t>https://doi.org/10.1021/ie301506n</w:t>
        </w:r>
      </w:hyperlink>
      <w:r>
        <w:rPr>
          <w:noProof/>
        </w:rPr>
        <w:t xml:space="preserve">  </w:t>
      </w:r>
    </w:p>
    <w:p w14:paraId="090265C5" w14:textId="77777777" w:rsidR="00EA3BFB" w:rsidRPr="00AD01B4" w:rsidRDefault="00EA3BFB" w:rsidP="00EA3BFB">
      <w:pPr>
        <w:pStyle w:val="EndNoteBibliography"/>
        <w:jc w:val="left"/>
        <w:rPr>
          <w:noProof/>
        </w:rPr>
      </w:pPr>
      <w:r w:rsidRPr="00AD01B4">
        <w:rPr>
          <w:noProof/>
        </w:rPr>
        <w:t>27.</w:t>
      </w:r>
      <w:r w:rsidRPr="00AD01B4">
        <w:rPr>
          <w:noProof/>
        </w:rPr>
        <w:tab/>
        <w:t xml:space="preserve">Potdar S, Anantharaj R, Banerjee T. Aromatic extraction using mixed ionic liquids: experiments and COSMO-RS </w:t>
      </w:r>
      <w:r>
        <w:rPr>
          <w:noProof/>
        </w:rPr>
        <w:t>p</w:t>
      </w:r>
      <w:r w:rsidRPr="00AD01B4">
        <w:rPr>
          <w:noProof/>
        </w:rPr>
        <w:t xml:space="preserve">redictions. </w:t>
      </w:r>
      <w:r>
        <w:rPr>
          <w:i/>
          <w:noProof/>
        </w:rPr>
        <w:t>J. Chem. Eng. Data.</w:t>
      </w:r>
      <w:r w:rsidRPr="00AD01B4">
        <w:rPr>
          <w:noProof/>
        </w:rPr>
        <w:t xml:space="preserve"> </w:t>
      </w:r>
      <w:r w:rsidRPr="003B43D9">
        <w:rPr>
          <w:b/>
          <w:bCs/>
          <w:noProof/>
        </w:rPr>
        <w:t>2012</w:t>
      </w:r>
      <w:r w:rsidRPr="00AD01B4">
        <w:rPr>
          <w:noProof/>
        </w:rPr>
        <w:t>;</w:t>
      </w:r>
      <w:r w:rsidRPr="003B43D9">
        <w:rPr>
          <w:i/>
          <w:iCs/>
          <w:noProof/>
        </w:rPr>
        <w:t>57</w:t>
      </w:r>
      <w:r w:rsidRPr="00AD01B4">
        <w:rPr>
          <w:noProof/>
        </w:rPr>
        <w:t xml:space="preserve">:1026-1035. </w:t>
      </w:r>
      <w:hyperlink r:id="rId48" w:history="1">
        <w:r w:rsidRPr="00456BB2">
          <w:rPr>
            <w:rStyle w:val="Hyperlink"/>
            <w:noProof/>
          </w:rPr>
          <w:t>https://doi.org/10.1021/je200924e</w:t>
        </w:r>
      </w:hyperlink>
      <w:r>
        <w:rPr>
          <w:noProof/>
        </w:rPr>
        <w:t xml:space="preserve"> </w:t>
      </w:r>
    </w:p>
    <w:p w14:paraId="3C06EB51" w14:textId="77777777" w:rsidR="00EA3BFB" w:rsidRPr="00AD01B4" w:rsidRDefault="00EA3BFB" w:rsidP="00EA3BFB">
      <w:pPr>
        <w:pStyle w:val="EndNoteBibliography"/>
        <w:jc w:val="left"/>
        <w:rPr>
          <w:noProof/>
        </w:rPr>
      </w:pPr>
      <w:r w:rsidRPr="00AD01B4">
        <w:rPr>
          <w:noProof/>
        </w:rPr>
        <w:t>28.</w:t>
      </w:r>
      <w:r w:rsidRPr="00AD01B4">
        <w:rPr>
          <w:noProof/>
        </w:rPr>
        <w:tab/>
        <w:t xml:space="preserve">Lyu Z, Zhou T, Chen L, Ye Y, Sundmacher K, Qi Z. Simulation based ionic liquid screening for benzene–cyclohexane extractive separation. </w:t>
      </w:r>
      <w:r>
        <w:rPr>
          <w:i/>
          <w:noProof/>
        </w:rPr>
        <w:t>Chem. Eng. Sci.</w:t>
      </w:r>
      <w:r w:rsidRPr="00AD01B4">
        <w:rPr>
          <w:noProof/>
        </w:rPr>
        <w:t xml:space="preserve"> </w:t>
      </w:r>
      <w:r w:rsidRPr="003B43D9">
        <w:rPr>
          <w:b/>
          <w:bCs/>
          <w:noProof/>
        </w:rPr>
        <w:t>2014</w:t>
      </w:r>
      <w:r w:rsidRPr="00AD01B4">
        <w:rPr>
          <w:noProof/>
        </w:rPr>
        <w:t>;</w:t>
      </w:r>
      <w:r w:rsidRPr="003B43D9">
        <w:rPr>
          <w:i/>
          <w:iCs/>
          <w:noProof/>
        </w:rPr>
        <w:t>113</w:t>
      </w:r>
      <w:r w:rsidRPr="00AD01B4">
        <w:rPr>
          <w:noProof/>
        </w:rPr>
        <w:t xml:space="preserve">:45-53. </w:t>
      </w:r>
      <w:hyperlink r:id="rId49" w:history="1">
        <w:r w:rsidRPr="00456BB2">
          <w:rPr>
            <w:rStyle w:val="Hyperlink"/>
            <w:noProof/>
          </w:rPr>
          <w:t>https://doi.org/10.1016/j.ces.2014.04.011</w:t>
        </w:r>
      </w:hyperlink>
      <w:r>
        <w:rPr>
          <w:noProof/>
        </w:rPr>
        <w:t xml:space="preserve"> </w:t>
      </w:r>
    </w:p>
    <w:p w14:paraId="707E5777" w14:textId="77777777" w:rsidR="00EA3BFB" w:rsidRPr="00AD01B4" w:rsidRDefault="00EA3BFB" w:rsidP="00EA3BFB">
      <w:pPr>
        <w:pStyle w:val="EndNoteBibliography"/>
        <w:jc w:val="left"/>
        <w:rPr>
          <w:noProof/>
        </w:rPr>
      </w:pPr>
      <w:r w:rsidRPr="00AD01B4">
        <w:rPr>
          <w:noProof/>
        </w:rPr>
        <w:t>29.</w:t>
      </w:r>
      <w:r w:rsidRPr="00AD01B4">
        <w:rPr>
          <w:noProof/>
        </w:rPr>
        <w:tab/>
        <w:t xml:space="preserve">Lei Z, Arlt W, Wasserscheid P. Separation of 1-hexene and n-hexane with ionic liquids. </w:t>
      </w:r>
      <w:r>
        <w:rPr>
          <w:i/>
          <w:noProof/>
        </w:rPr>
        <w:t>Fluid Phase Equilibr.</w:t>
      </w:r>
      <w:r w:rsidRPr="00AD01B4">
        <w:rPr>
          <w:noProof/>
        </w:rPr>
        <w:t xml:space="preserve"> </w:t>
      </w:r>
      <w:r w:rsidRPr="003B43D9">
        <w:rPr>
          <w:b/>
          <w:bCs/>
          <w:noProof/>
        </w:rPr>
        <w:t>2006</w:t>
      </w:r>
      <w:r w:rsidRPr="00AD01B4">
        <w:rPr>
          <w:noProof/>
        </w:rPr>
        <w:t>;</w:t>
      </w:r>
      <w:r w:rsidRPr="003B43D9">
        <w:rPr>
          <w:i/>
          <w:iCs/>
          <w:noProof/>
        </w:rPr>
        <w:t>241</w:t>
      </w:r>
      <w:r w:rsidRPr="00AD01B4">
        <w:rPr>
          <w:noProof/>
        </w:rPr>
        <w:t xml:space="preserve">:290-299. </w:t>
      </w:r>
      <w:hyperlink r:id="rId50" w:history="1">
        <w:r w:rsidRPr="00456BB2">
          <w:rPr>
            <w:rStyle w:val="Hyperlink"/>
            <w:noProof/>
          </w:rPr>
          <w:t>https://doi.org/10.1016/j.fluid.2005.12.024</w:t>
        </w:r>
      </w:hyperlink>
      <w:r>
        <w:rPr>
          <w:noProof/>
        </w:rPr>
        <w:t xml:space="preserve"> </w:t>
      </w:r>
    </w:p>
    <w:p w14:paraId="39EE76A7" w14:textId="77777777" w:rsidR="00EA3BFB" w:rsidRPr="00AD01B4" w:rsidRDefault="00EA3BFB" w:rsidP="00EA3BFB">
      <w:pPr>
        <w:pStyle w:val="EndNoteBibliography"/>
        <w:jc w:val="left"/>
        <w:rPr>
          <w:noProof/>
        </w:rPr>
      </w:pPr>
      <w:r w:rsidRPr="00AD01B4">
        <w:rPr>
          <w:noProof/>
        </w:rPr>
        <w:t>30.</w:t>
      </w:r>
      <w:r w:rsidRPr="00AD01B4">
        <w:rPr>
          <w:noProof/>
        </w:rPr>
        <w:tab/>
        <w:t xml:space="preserve">Anantharaj R, Banerjee T. Fast solvent screening for the simultaneous hydrodesulfurization and hydrodenitrification of diesel oil using ionic liquids. </w:t>
      </w:r>
      <w:r>
        <w:rPr>
          <w:i/>
          <w:noProof/>
        </w:rPr>
        <w:t>J. Chem. Eng. Data.</w:t>
      </w:r>
      <w:r w:rsidRPr="00AD01B4">
        <w:rPr>
          <w:noProof/>
        </w:rPr>
        <w:t xml:space="preserve"> </w:t>
      </w:r>
      <w:r w:rsidRPr="003B43D9">
        <w:rPr>
          <w:b/>
          <w:bCs/>
          <w:noProof/>
        </w:rPr>
        <w:t>2011</w:t>
      </w:r>
      <w:r w:rsidRPr="00AD01B4">
        <w:rPr>
          <w:noProof/>
        </w:rPr>
        <w:t>;</w:t>
      </w:r>
      <w:r w:rsidRPr="003B43D9">
        <w:rPr>
          <w:i/>
          <w:iCs/>
          <w:noProof/>
        </w:rPr>
        <w:t>56</w:t>
      </w:r>
      <w:r w:rsidRPr="00AD01B4">
        <w:rPr>
          <w:noProof/>
        </w:rPr>
        <w:t xml:space="preserve">:2770-2785. </w:t>
      </w:r>
      <w:hyperlink r:id="rId51" w:history="1">
        <w:r w:rsidRPr="00456BB2">
          <w:rPr>
            <w:rStyle w:val="Hyperlink"/>
            <w:noProof/>
          </w:rPr>
          <w:t>https://doi.org/10.1021/je1011289</w:t>
        </w:r>
      </w:hyperlink>
      <w:r>
        <w:rPr>
          <w:noProof/>
        </w:rPr>
        <w:t xml:space="preserve"> </w:t>
      </w:r>
    </w:p>
    <w:p w14:paraId="0C4AB96A" w14:textId="77777777" w:rsidR="00EA3BFB" w:rsidRPr="00AD01B4" w:rsidRDefault="00EA3BFB" w:rsidP="00EA3BFB">
      <w:pPr>
        <w:pStyle w:val="EndNoteBibliography"/>
        <w:jc w:val="left"/>
        <w:rPr>
          <w:noProof/>
        </w:rPr>
      </w:pPr>
      <w:r w:rsidRPr="00AD01B4">
        <w:rPr>
          <w:noProof/>
        </w:rPr>
        <w:t>31.</w:t>
      </w:r>
      <w:r w:rsidRPr="00AD01B4">
        <w:rPr>
          <w:noProof/>
        </w:rPr>
        <w:tab/>
        <w:t xml:space="preserve">Devi Wilfred C, Man Z, Phak Chan Z. Predicting methods for sulfur removal from model oils using COSMO-RS and partition coefficient. </w:t>
      </w:r>
      <w:r>
        <w:rPr>
          <w:i/>
          <w:noProof/>
        </w:rPr>
        <w:t>Chem. Eng. Sci.</w:t>
      </w:r>
      <w:r w:rsidRPr="00AD01B4">
        <w:rPr>
          <w:noProof/>
        </w:rPr>
        <w:t xml:space="preserve"> </w:t>
      </w:r>
      <w:r w:rsidRPr="003B43D9">
        <w:rPr>
          <w:b/>
          <w:bCs/>
          <w:noProof/>
        </w:rPr>
        <w:t>2013</w:t>
      </w:r>
      <w:r w:rsidRPr="00AD01B4">
        <w:rPr>
          <w:noProof/>
        </w:rPr>
        <w:t>;</w:t>
      </w:r>
      <w:r w:rsidRPr="003B43D9">
        <w:rPr>
          <w:i/>
          <w:iCs/>
          <w:noProof/>
        </w:rPr>
        <w:t>102</w:t>
      </w:r>
      <w:r w:rsidRPr="00AD01B4">
        <w:rPr>
          <w:noProof/>
        </w:rPr>
        <w:t xml:space="preserve">:373-377. </w:t>
      </w:r>
      <w:hyperlink r:id="rId52" w:history="1">
        <w:r w:rsidRPr="00456BB2">
          <w:rPr>
            <w:rStyle w:val="Hyperlink"/>
            <w:noProof/>
          </w:rPr>
          <w:t>https://doi.org/10.1016/j.ces.2013.08.032</w:t>
        </w:r>
      </w:hyperlink>
      <w:r>
        <w:rPr>
          <w:noProof/>
        </w:rPr>
        <w:t xml:space="preserve"> </w:t>
      </w:r>
    </w:p>
    <w:p w14:paraId="29B7DBB2" w14:textId="77777777" w:rsidR="00EA3BFB" w:rsidRPr="00AD01B4" w:rsidRDefault="00EA3BFB" w:rsidP="00EA3BFB">
      <w:pPr>
        <w:pStyle w:val="EndNoteBibliography"/>
        <w:jc w:val="left"/>
        <w:rPr>
          <w:noProof/>
        </w:rPr>
      </w:pPr>
      <w:r w:rsidRPr="00AD01B4">
        <w:rPr>
          <w:noProof/>
        </w:rPr>
        <w:t>32.</w:t>
      </w:r>
      <w:r w:rsidRPr="00AD01B4">
        <w:rPr>
          <w:noProof/>
        </w:rPr>
        <w:tab/>
        <w:t xml:space="preserve">Gao S, Chen X, Abro R, Abdeltawab AA, Al-Deyab SS, Yu G. Desulfurization of fuel oil: conductor-like screening model for real solvents study on capacity of ionic liquids for thiophene and dibenzothiophene. </w:t>
      </w:r>
      <w:r>
        <w:rPr>
          <w:i/>
          <w:noProof/>
        </w:rPr>
        <w:t>Ind. Eng. Chem. Res.</w:t>
      </w:r>
      <w:r w:rsidRPr="00AD01B4">
        <w:rPr>
          <w:noProof/>
        </w:rPr>
        <w:t xml:space="preserve"> </w:t>
      </w:r>
      <w:r w:rsidRPr="00CA6ABF">
        <w:rPr>
          <w:b/>
          <w:bCs/>
          <w:noProof/>
        </w:rPr>
        <w:t>2015</w:t>
      </w:r>
      <w:r w:rsidRPr="00AD01B4">
        <w:rPr>
          <w:noProof/>
        </w:rPr>
        <w:t>;</w:t>
      </w:r>
      <w:r w:rsidRPr="00CA6ABF">
        <w:rPr>
          <w:i/>
          <w:iCs/>
          <w:noProof/>
        </w:rPr>
        <w:t>54</w:t>
      </w:r>
      <w:r w:rsidRPr="00AD01B4">
        <w:rPr>
          <w:noProof/>
        </w:rPr>
        <w:t xml:space="preserve">:9421-9430. </w:t>
      </w:r>
      <w:hyperlink r:id="rId53" w:history="1">
        <w:r w:rsidRPr="00456BB2">
          <w:rPr>
            <w:rStyle w:val="Hyperlink"/>
            <w:noProof/>
          </w:rPr>
          <w:t>https://doi.org/10.1021/acs.iecr.5b01385</w:t>
        </w:r>
      </w:hyperlink>
      <w:r>
        <w:rPr>
          <w:noProof/>
        </w:rPr>
        <w:t xml:space="preserve"> </w:t>
      </w:r>
    </w:p>
    <w:p w14:paraId="0D73FA62" w14:textId="77777777" w:rsidR="00EA3BFB" w:rsidRPr="00AD01B4" w:rsidRDefault="00EA3BFB" w:rsidP="00EA3BFB">
      <w:pPr>
        <w:pStyle w:val="EndNoteBibliography"/>
        <w:jc w:val="left"/>
        <w:rPr>
          <w:noProof/>
        </w:rPr>
      </w:pPr>
      <w:r w:rsidRPr="00AD01B4">
        <w:rPr>
          <w:noProof/>
        </w:rPr>
        <w:lastRenderedPageBreak/>
        <w:t>33.</w:t>
      </w:r>
      <w:r w:rsidRPr="00AD01B4">
        <w:rPr>
          <w:noProof/>
        </w:rPr>
        <w:tab/>
        <w:t xml:space="preserve">Song Z, Zhou T, Zhang J, Cheng H, Chen L, Qi Z. Screening of ionic liquids for solvent-sensitive extraction –with deep desulfurization as an example. </w:t>
      </w:r>
      <w:r>
        <w:rPr>
          <w:i/>
          <w:noProof/>
        </w:rPr>
        <w:t>Chem. Eng. Sci.</w:t>
      </w:r>
      <w:r w:rsidRPr="00AD01B4">
        <w:rPr>
          <w:noProof/>
        </w:rPr>
        <w:t xml:space="preserve"> </w:t>
      </w:r>
      <w:r w:rsidRPr="00CA6ABF">
        <w:rPr>
          <w:b/>
          <w:bCs/>
          <w:noProof/>
        </w:rPr>
        <w:t>2015</w:t>
      </w:r>
      <w:r w:rsidRPr="00AD01B4">
        <w:rPr>
          <w:noProof/>
        </w:rPr>
        <w:t>;</w:t>
      </w:r>
      <w:r w:rsidRPr="00CA6ABF">
        <w:rPr>
          <w:i/>
          <w:iCs/>
          <w:noProof/>
        </w:rPr>
        <w:t>129</w:t>
      </w:r>
      <w:r w:rsidRPr="00AD01B4">
        <w:rPr>
          <w:noProof/>
        </w:rPr>
        <w:t xml:space="preserve">:69-77. </w:t>
      </w:r>
      <w:hyperlink r:id="rId54" w:history="1">
        <w:r w:rsidRPr="00456BB2">
          <w:rPr>
            <w:rStyle w:val="Hyperlink"/>
            <w:noProof/>
          </w:rPr>
          <w:t>https://doi.org/10.1016/j.ces.2015.02.023</w:t>
        </w:r>
      </w:hyperlink>
      <w:r>
        <w:rPr>
          <w:noProof/>
        </w:rPr>
        <w:t xml:space="preserve"> </w:t>
      </w:r>
    </w:p>
    <w:p w14:paraId="3559365A" w14:textId="77777777" w:rsidR="00EA3BFB" w:rsidRPr="00AD01B4" w:rsidRDefault="00EA3BFB" w:rsidP="00EA3BFB">
      <w:pPr>
        <w:pStyle w:val="EndNoteBibliography"/>
        <w:jc w:val="left"/>
        <w:rPr>
          <w:noProof/>
        </w:rPr>
      </w:pPr>
      <w:r w:rsidRPr="00AD01B4">
        <w:rPr>
          <w:noProof/>
        </w:rPr>
        <w:t>34.</w:t>
      </w:r>
      <w:r w:rsidRPr="00AD01B4">
        <w:rPr>
          <w:noProof/>
        </w:rPr>
        <w:tab/>
        <w:t xml:space="preserve">Mohanty S, Banerjee T, Mohanty K. Quantum chemical based screening of ionic liquids for the extraction of phenol from aqueous solution. </w:t>
      </w:r>
      <w:r>
        <w:rPr>
          <w:i/>
          <w:noProof/>
        </w:rPr>
        <w:t>Ind. Eng. Chem. Res.</w:t>
      </w:r>
      <w:r w:rsidRPr="00AD01B4">
        <w:rPr>
          <w:noProof/>
        </w:rPr>
        <w:t xml:space="preserve"> </w:t>
      </w:r>
      <w:r w:rsidRPr="00CA6ABF">
        <w:rPr>
          <w:b/>
          <w:bCs/>
          <w:noProof/>
        </w:rPr>
        <w:t>2010</w:t>
      </w:r>
      <w:r w:rsidRPr="00AD01B4">
        <w:rPr>
          <w:noProof/>
        </w:rPr>
        <w:t>;</w:t>
      </w:r>
      <w:r w:rsidRPr="00CA6ABF">
        <w:rPr>
          <w:i/>
          <w:iCs/>
          <w:noProof/>
        </w:rPr>
        <w:t>49</w:t>
      </w:r>
      <w:r w:rsidRPr="00AD01B4">
        <w:rPr>
          <w:noProof/>
        </w:rPr>
        <w:t xml:space="preserve">:2916-2925. </w:t>
      </w:r>
      <w:hyperlink r:id="rId55" w:history="1">
        <w:r w:rsidRPr="00456BB2">
          <w:rPr>
            <w:rStyle w:val="Hyperlink"/>
            <w:noProof/>
          </w:rPr>
          <w:t>https://doi.org/10.1021/ie901684q</w:t>
        </w:r>
      </w:hyperlink>
      <w:r>
        <w:rPr>
          <w:noProof/>
        </w:rPr>
        <w:t xml:space="preserve"> </w:t>
      </w:r>
    </w:p>
    <w:p w14:paraId="3A86EFBD" w14:textId="77777777" w:rsidR="00EA3BFB" w:rsidRPr="00AD01B4" w:rsidRDefault="00EA3BFB" w:rsidP="00EA3BFB">
      <w:pPr>
        <w:pStyle w:val="EndNoteBibliography"/>
        <w:jc w:val="left"/>
        <w:rPr>
          <w:noProof/>
        </w:rPr>
      </w:pPr>
      <w:r w:rsidRPr="00AD01B4">
        <w:rPr>
          <w:noProof/>
        </w:rPr>
        <w:t>35.</w:t>
      </w:r>
      <w:r w:rsidRPr="00AD01B4">
        <w:rPr>
          <w:noProof/>
        </w:rPr>
        <w:tab/>
        <w:t xml:space="preserve">Manan NA, Hardacre C, Jacquemin J, Rooney DW, Youngs TGA. Evaluation of gas solubility prediction in ionic liquids using COSMOthermX. </w:t>
      </w:r>
      <w:r>
        <w:rPr>
          <w:i/>
          <w:noProof/>
        </w:rPr>
        <w:t>J. Chem. Eng. Data.</w:t>
      </w:r>
      <w:r w:rsidRPr="00AD01B4">
        <w:rPr>
          <w:noProof/>
        </w:rPr>
        <w:t xml:space="preserve"> </w:t>
      </w:r>
      <w:r w:rsidRPr="00CA6ABF">
        <w:rPr>
          <w:b/>
          <w:bCs/>
          <w:noProof/>
        </w:rPr>
        <w:t>2009</w:t>
      </w:r>
      <w:r w:rsidRPr="00AD01B4">
        <w:rPr>
          <w:noProof/>
        </w:rPr>
        <w:t>;</w:t>
      </w:r>
      <w:r w:rsidRPr="00CA6ABF">
        <w:rPr>
          <w:i/>
          <w:iCs/>
          <w:noProof/>
        </w:rPr>
        <w:t>54</w:t>
      </w:r>
      <w:r w:rsidRPr="00AD01B4">
        <w:rPr>
          <w:noProof/>
        </w:rPr>
        <w:t xml:space="preserve">:2005-2022. </w:t>
      </w:r>
      <w:hyperlink r:id="rId56" w:history="1">
        <w:r w:rsidRPr="00456BB2">
          <w:rPr>
            <w:rStyle w:val="Hyperlink"/>
            <w:noProof/>
          </w:rPr>
          <w:t>https://doi.org/10.1021/je800857x</w:t>
        </w:r>
      </w:hyperlink>
      <w:r>
        <w:rPr>
          <w:noProof/>
        </w:rPr>
        <w:t xml:space="preserve"> </w:t>
      </w:r>
    </w:p>
    <w:p w14:paraId="65A805B7" w14:textId="77777777" w:rsidR="00EA3BFB" w:rsidRPr="00AD01B4" w:rsidRDefault="00EA3BFB" w:rsidP="00EA3BFB">
      <w:pPr>
        <w:pStyle w:val="EndNoteBibliography"/>
        <w:jc w:val="left"/>
        <w:rPr>
          <w:noProof/>
        </w:rPr>
      </w:pPr>
      <w:r w:rsidRPr="00AD01B4">
        <w:rPr>
          <w:noProof/>
        </w:rPr>
        <w:t>36.</w:t>
      </w:r>
      <w:r w:rsidRPr="00AD01B4">
        <w:rPr>
          <w:noProof/>
        </w:rPr>
        <w:tab/>
        <w:t xml:space="preserve">Zhang X, Liu Z, Wang W. Screening of ionic liquids to capture CO2 by COSMO-RS and experiments. </w:t>
      </w:r>
      <w:r>
        <w:rPr>
          <w:i/>
          <w:noProof/>
        </w:rPr>
        <w:t>AIChE J.</w:t>
      </w:r>
      <w:r w:rsidRPr="00AD01B4">
        <w:rPr>
          <w:noProof/>
        </w:rPr>
        <w:t xml:space="preserve"> </w:t>
      </w:r>
      <w:r w:rsidRPr="004D3CB9">
        <w:rPr>
          <w:b/>
          <w:bCs/>
          <w:noProof/>
        </w:rPr>
        <w:t>2008</w:t>
      </w:r>
      <w:r w:rsidRPr="00AD01B4">
        <w:rPr>
          <w:noProof/>
        </w:rPr>
        <w:t>;</w:t>
      </w:r>
      <w:r w:rsidRPr="004D3CB9">
        <w:rPr>
          <w:i/>
          <w:iCs/>
          <w:noProof/>
        </w:rPr>
        <w:t>54</w:t>
      </w:r>
      <w:r w:rsidRPr="00AD01B4">
        <w:rPr>
          <w:noProof/>
        </w:rPr>
        <w:t xml:space="preserve">:2717-2728. </w:t>
      </w:r>
      <w:hyperlink r:id="rId57" w:history="1">
        <w:r w:rsidRPr="00456BB2">
          <w:rPr>
            <w:rStyle w:val="Hyperlink"/>
            <w:noProof/>
          </w:rPr>
          <w:t>https://doi.org/10.1002/aic.11573</w:t>
        </w:r>
      </w:hyperlink>
      <w:r>
        <w:rPr>
          <w:noProof/>
        </w:rPr>
        <w:t xml:space="preserve">   </w:t>
      </w:r>
    </w:p>
    <w:p w14:paraId="79F0386F" w14:textId="77777777" w:rsidR="00EA3BFB" w:rsidRPr="00AD01B4" w:rsidRDefault="00EA3BFB" w:rsidP="00EA3BFB">
      <w:pPr>
        <w:pStyle w:val="EndNoteBibliography"/>
        <w:jc w:val="left"/>
        <w:rPr>
          <w:noProof/>
        </w:rPr>
      </w:pPr>
      <w:r w:rsidRPr="00AD01B4">
        <w:rPr>
          <w:noProof/>
        </w:rPr>
        <w:t>37.</w:t>
      </w:r>
      <w:r w:rsidRPr="00AD01B4">
        <w:rPr>
          <w:noProof/>
        </w:rPr>
        <w:tab/>
        <w:t xml:space="preserve">Sumon KZ, Henni A. Ionic liquids for CO2 capture using COSMO-RS: Effect of structure, properties and molecular interactions on solubility and selectivity. </w:t>
      </w:r>
      <w:r>
        <w:rPr>
          <w:i/>
          <w:noProof/>
        </w:rPr>
        <w:t>Fluid Phase Equilibr.</w:t>
      </w:r>
      <w:r w:rsidRPr="00AD01B4">
        <w:rPr>
          <w:noProof/>
        </w:rPr>
        <w:t xml:space="preserve"> </w:t>
      </w:r>
      <w:r w:rsidRPr="004D3CB9">
        <w:rPr>
          <w:b/>
          <w:bCs/>
          <w:noProof/>
        </w:rPr>
        <w:t>2011</w:t>
      </w:r>
      <w:r w:rsidRPr="00AD01B4">
        <w:rPr>
          <w:noProof/>
        </w:rPr>
        <w:t>;</w:t>
      </w:r>
      <w:r w:rsidRPr="004D3CB9">
        <w:rPr>
          <w:i/>
          <w:iCs/>
          <w:noProof/>
        </w:rPr>
        <w:t>310</w:t>
      </w:r>
      <w:r w:rsidRPr="00AD01B4">
        <w:rPr>
          <w:noProof/>
        </w:rPr>
        <w:t xml:space="preserve">:39-55. </w:t>
      </w:r>
      <w:hyperlink r:id="rId58" w:history="1">
        <w:r w:rsidRPr="00456BB2">
          <w:rPr>
            <w:rStyle w:val="Hyperlink"/>
            <w:noProof/>
          </w:rPr>
          <w:t>https://doi.org/10.1016/j.fluid.2011.06.038</w:t>
        </w:r>
      </w:hyperlink>
      <w:r>
        <w:rPr>
          <w:noProof/>
        </w:rPr>
        <w:t xml:space="preserve"> </w:t>
      </w:r>
    </w:p>
    <w:p w14:paraId="0FB1FD4D" w14:textId="77777777" w:rsidR="00EA3BFB" w:rsidRPr="00AD01B4" w:rsidRDefault="00EA3BFB" w:rsidP="00EA3BFB">
      <w:pPr>
        <w:pStyle w:val="EndNoteBibliography"/>
        <w:jc w:val="left"/>
        <w:rPr>
          <w:noProof/>
        </w:rPr>
      </w:pPr>
      <w:r w:rsidRPr="00AD01B4">
        <w:rPr>
          <w:noProof/>
        </w:rPr>
        <w:t>38.</w:t>
      </w:r>
      <w:r w:rsidRPr="00AD01B4">
        <w:rPr>
          <w:noProof/>
        </w:rPr>
        <w:tab/>
        <w:t xml:space="preserve">Lee B-S, Lin S-T. Screening of ionic liquids for CO2 capture using the COSMO-SAC model. </w:t>
      </w:r>
      <w:r>
        <w:rPr>
          <w:i/>
          <w:noProof/>
        </w:rPr>
        <w:t>Chem. Eng. Sci.</w:t>
      </w:r>
      <w:r w:rsidRPr="00AD01B4">
        <w:rPr>
          <w:noProof/>
        </w:rPr>
        <w:t xml:space="preserve"> </w:t>
      </w:r>
      <w:r w:rsidRPr="004D3CB9">
        <w:rPr>
          <w:b/>
          <w:bCs/>
          <w:noProof/>
        </w:rPr>
        <w:t>2015</w:t>
      </w:r>
      <w:r w:rsidRPr="00AD01B4">
        <w:rPr>
          <w:noProof/>
        </w:rPr>
        <w:t>;</w:t>
      </w:r>
      <w:r w:rsidRPr="004D3CB9">
        <w:rPr>
          <w:i/>
          <w:iCs/>
          <w:noProof/>
        </w:rPr>
        <w:t>121</w:t>
      </w:r>
      <w:r w:rsidRPr="00AD01B4">
        <w:rPr>
          <w:noProof/>
        </w:rPr>
        <w:t xml:space="preserve">:157-168. </w:t>
      </w:r>
      <w:hyperlink r:id="rId59" w:history="1">
        <w:r w:rsidRPr="00456BB2">
          <w:rPr>
            <w:rStyle w:val="Hyperlink"/>
            <w:noProof/>
          </w:rPr>
          <w:t>https://doi.org/10.1016/j.ces.2014.08.017</w:t>
        </w:r>
      </w:hyperlink>
      <w:r>
        <w:rPr>
          <w:noProof/>
        </w:rPr>
        <w:t xml:space="preserve"> </w:t>
      </w:r>
    </w:p>
    <w:p w14:paraId="3A4F39EE" w14:textId="77777777" w:rsidR="00EA3BFB" w:rsidRPr="00E5273A" w:rsidRDefault="00EA3BFB" w:rsidP="00EA3BFB">
      <w:pPr>
        <w:pStyle w:val="EndNoteBibliography"/>
        <w:jc w:val="left"/>
        <w:rPr>
          <w:noProof/>
        </w:rPr>
      </w:pPr>
      <w:r w:rsidRPr="00E5273A">
        <w:rPr>
          <w:noProof/>
        </w:rPr>
        <w:t>39.</w:t>
      </w:r>
      <w:r w:rsidRPr="00E5273A">
        <w:rPr>
          <w:noProof/>
        </w:rPr>
        <w:tab/>
        <w:t xml:space="preserve">Paduszyński K. An overview of the performance of the COSMO-RS approach in predicting the activity coefficients of molecular solutes in ionic liquids and derived properties at infinite dilution. </w:t>
      </w:r>
      <w:r w:rsidRPr="00E5273A">
        <w:rPr>
          <w:i/>
          <w:noProof/>
        </w:rPr>
        <w:t>Phys</w:t>
      </w:r>
      <w:r>
        <w:rPr>
          <w:i/>
          <w:noProof/>
        </w:rPr>
        <w:t>.</w:t>
      </w:r>
      <w:r w:rsidRPr="00E5273A">
        <w:rPr>
          <w:i/>
          <w:noProof/>
        </w:rPr>
        <w:t xml:space="preserve"> Chem</w:t>
      </w:r>
      <w:r>
        <w:rPr>
          <w:i/>
          <w:noProof/>
        </w:rPr>
        <w:t>.</w:t>
      </w:r>
      <w:r w:rsidRPr="00E5273A">
        <w:rPr>
          <w:i/>
          <w:noProof/>
        </w:rPr>
        <w:t xml:space="preserve"> Chem</w:t>
      </w:r>
      <w:r>
        <w:rPr>
          <w:i/>
          <w:noProof/>
        </w:rPr>
        <w:t>.</w:t>
      </w:r>
      <w:r w:rsidRPr="00E5273A">
        <w:rPr>
          <w:i/>
          <w:noProof/>
        </w:rPr>
        <w:t xml:space="preserve"> Phys</w:t>
      </w:r>
      <w:r w:rsidRPr="00E5273A">
        <w:rPr>
          <w:noProof/>
        </w:rPr>
        <w:t xml:space="preserve">. </w:t>
      </w:r>
      <w:r w:rsidRPr="00C014E8">
        <w:rPr>
          <w:b/>
          <w:bCs/>
          <w:noProof/>
        </w:rPr>
        <w:t>2017</w:t>
      </w:r>
      <w:r w:rsidRPr="00E5273A">
        <w:rPr>
          <w:noProof/>
        </w:rPr>
        <w:t>;</w:t>
      </w:r>
      <w:r w:rsidRPr="00C014E8">
        <w:rPr>
          <w:i/>
          <w:iCs/>
          <w:noProof/>
        </w:rPr>
        <w:t>19</w:t>
      </w:r>
      <w:r w:rsidRPr="00E5273A">
        <w:rPr>
          <w:noProof/>
        </w:rPr>
        <w:t xml:space="preserve">:11835-11850. </w:t>
      </w:r>
      <w:hyperlink r:id="rId60" w:history="1">
        <w:r w:rsidRPr="00456BB2">
          <w:rPr>
            <w:rStyle w:val="Hyperlink"/>
            <w:noProof/>
          </w:rPr>
          <w:t>https://doi.org/10.1039/c7cp00226b</w:t>
        </w:r>
      </w:hyperlink>
      <w:r>
        <w:rPr>
          <w:noProof/>
        </w:rPr>
        <w:t xml:space="preserve"> </w:t>
      </w:r>
    </w:p>
    <w:p w14:paraId="0C6E39D4" w14:textId="77777777" w:rsidR="00EA3BFB" w:rsidRPr="00E5273A" w:rsidRDefault="00EA3BFB" w:rsidP="00EA3BFB">
      <w:pPr>
        <w:pStyle w:val="EndNoteBibliography"/>
        <w:jc w:val="left"/>
        <w:rPr>
          <w:noProof/>
        </w:rPr>
      </w:pPr>
      <w:r w:rsidRPr="00E5273A">
        <w:rPr>
          <w:noProof/>
        </w:rPr>
        <w:t>40.</w:t>
      </w:r>
      <w:r w:rsidRPr="00E5273A">
        <w:rPr>
          <w:noProof/>
        </w:rPr>
        <w:tab/>
        <w:t xml:space="preserve">Fingerhut R, Chen W-L, Schedemann A, et al. Comprehensive </w:t>
      </w:r>
      <w:r>
        <w:rPr>
          <w:noProof/>
        </w:rPr>
        <w:t>a</w:t>
      </w:r>
      <w:r w:rsidRPr="00E5273A">
        <w:rPr>
          <w:noProof/>
        </w:rPr>
        <w:t xml:space="preserve">ssessment of COSMO-SAC models for predictions of fluid-phase equilibria. </w:t>
      </w:r>
      <w:r>
        <w:rPr>
          <w:i/>
          <w:noProof/>
        </w:rPr>
        <w:t>Ind. Eng. Chem. Res.</w:t>
      </w:r>
      <w:r w:rsidRPr="00E5273A">
        <w:rPr>
          <w:noProof/>
        </w:rPr>
        <w:t xml:space="preserve"> </w:t>
      </w:r>
      <w:r w:rsidRPr="006D492B">
        <w:rPr>
          <w:b/>
          <w:bCs/>
          <w:noProof/>
        </w:rPr>
        <w:t>2017</w:t>
      </w:r>
      <w:r w:rsidRPr="00E5273A">
        <w:rPr>
          <w:noProof/>
        </w:rPr>
        <w:t>;</w:t>
      </w:r>
      <w:r w:rsidRPr="006D492B">
        <w:rPr>
          <w:i/>
          <w:iCs/>
          <w:noProof/>
        </w:rPr>
        <w:t>56</w:t>
      </w:r>
      <w:r w:rsidRPr="00E5273A">
        <w:rPr>
          <w:noProof/>
        </w:rPr>
        <w:t xml:space="preserve">:9868-9884. </w:t>
      </w:r>
      <w:hyperlink r:id="rId61" w:history="1">
        <w:r w:rsidRPr="00456BB2">
          <w:rPr>
            <w:rStyle w:val="Hyperlink"/>
            <w:noProof/>
          </w:rPr>
          <w:t>https://doi.org/10.1021/acs.iecr.7b01360</w:t>
        </w:r>
      </w:hyperlink>
      <w:r>
        <w:rPr>
          <w:noProof/>
        </w:rPr>
        <w:t xml:space="preserve"> </w:t>
      </w:r>
    </w:p>
    <w:p w14:paraId="7BAD2FBC" w14:textId="77777777" w:rsidR="00EA3BFB" w:rsidRPr="00E5273A" w:rsidRDefault="00EA3BFB" w:rsidP="00EA3BFB">
      <w:pPr>
        <w:pStyle w:val="EndNoteBibliography"/>
        <w:jc w:val="left"/>
        <w:rPr>
          <w:noProof/>
        </w:rPr>
      </w:pPr>
      <w:r w:rsidRPr="00E5273A">
        <w:rPr>
          <w:noProof/>
        </w:rPr>
        <w:t>41.</w:t>
      </w:r>
      <w:r w:rsidRPr="00E5273A">
        <w:rPr>
          <w:noProof/>
        </w:rPr>
        <w:tab/>
        <w:t xml:space="preserve">Abedin R, Heidarian S, Flake JC, Hung FR. Computational evaluation of mixtures of hydrofluorocarbons and deep eutectic solvents for absorption refrigeration systems. </w:t>
      </w:r>
      <w:r w:rsidRPr="00E5273A">
        <w:rPr>
          <w:i/>
          <w:noProof/>
        </w:rPr>
        <w:t>Langmuir</w:t>
      </w:r>
      <w:r w:rsidRPr="00E5273A">
        <w:rPr>
          <w:noProof/>
        </w:rPr>
        <w:t xml:space="preserve">. </w:t>
      </w:r>
      <w:r w:rsidRPr="006D492B">
        <w:rPr>
          <w:b/>
          <w:bCs/>
          <w:noProof/>
        </w:rPr>
        <w:t>2017</w:t>
      </w:r>
      <w:r w:rsidRPr="00E5273A">
        <w:rPr>
          <w:noProof/>
        </w:rPr>
        <w:t>;</w:t>
      </w:r>
      <w:r w:rsidRPr="006D492B">
        <w:rPr>
          <w:i/>
          <w:iCs/>
          <w:noProof/>
        </w:rPr>
        <w:t>33</w:t>
      </w:r>
      <w:r w:rsidRPr="00E5273A">
        <w:rPr>
          <w:noProof/>
        </w:rPr>
        <w:t xml:space="preserve">:11611-11625. </w:t>
      </w:r>
      <w:hyperlink r:id="rId62" w:history="1">
        <w:r w:rsidRPr="00456BB2">
          <w:rPr>
            <w:rStyle w:val="Hyperlink"/>
            <w:noProof/>
          </w:rPr>
          <w:t>https://doi.org/10.1021/acs.langmuir.7b02003</w:t>
        </w:r>
      </w:hyperlink>
      <w:r>
        <w:rPr>
          <w:noProof/>
        </w:rPr>
        <w:t xml:space="preserve"> </w:t>
      </w:r>
    </w:p>
    <w:p w14:paraId="3E0D4891" w14:textId="77777777" w:rsidR="00EA3BFB" w:rsidRPr="00E5273A" w:rsidRDefault="00EA3BFB" w:rsidP="00EA3BFB">
      <w:pPr>
        <w:pStyle w:val="EndNoteBibliography"/>
        <w:jc w:val="left"/>
        <w:rPr>
          <w:noProof/>
        </w:rPr>
      </w:pPr>
      <w:r w:rsidRPr="00E5273A">
        <w:rPr>
          <w:noProof/>
        </w:rPr>
        <w:t>42.</w:t>
      </w:r>
      <w:r w:rsidRPr="00E5273A">
        <w:rPr>
          <w:noProof/>
        </w:rPr>
        <w:tab/>
        <w:t xml:space="preserve">Diedenhofen M, Klamt A. COSMO-RS as a tool for property prediction of IL mixtures-A review. </w:t>
      </w:r>
      <w:r w:rsidRPr="00E5273A">
        <w:rPr>
          <w:i/>
          <w:noProof/>
        </w:rPr>
        <w:t>Fluid Phase Equilibr</w:t>
      </w:r>
      <w:r w:rsidRPr="00E5273A">
        <w:rPr>
          <w:noProof/>
        </w:rPr>
        <w:t xml:space="preserve">. </w:t>
      </w:r>
      <w:r w:rsidRPr="006D492B">
        <w:rPr>
          <w:b/>
          <w:bCs/>
          <w:noProof/>
        </w:rPr>
        <w:t>2010</w:t>
      </w:r>
      <w:r w:rsidRPr="00E5273A">
        <w:rPr>
          <w:noProof/>
        </w:rPr>
        <w:t>;</w:t>
      </w:r>
      <w:r w:rsidRPr="006D492B">
        <w:rPr>
          <w:i/>
          <w:iCs/>
          <w:noProof/>
        </w:rPr>
        <w:t>294</w:t>
      </w:r>
      <w:r w:rsidRPr="00E5273A">
        <w:rPr>
          <w:noProof/>
        </w:rPr>
        <w:t xml:space="preserve">:31-38. </w:t>
      </w:r>
      <w:hyperlink r:id="rId63" w:history="1">
        <w:r w:rsidRPr="00456BB2">
          <w:rPr>
            <w:rStyle w:val="Hyperlink"/>
            <w:noProof/>
          </w:rPr>
          <w:t>https://doi.org/10.1016/j.fluid.2010.02.002</w:t>
        </w:r>
      </w:hyperlink>
      <w:r>
        <w:rPr>
          <w:noProof/>
        </w:rPr>
        <w:t xml:space="preserve"> </w:t>
      </w:r>
    </w:p>
    <w:p w14:paraId="1EA5B387" w14:textId="77777777" w:rsidR="00EA3BFB" w:rsidRPr="00E5273A" w:rsidRDefault="00EA3BFB" w:rsidP="00EA3BFB">
      <w:pPr>
        <w:pStyle w:val="EndNoteBibliography"/>
        <w:jc w:val="left"/>
        <w:rPr>
          <w:noProof/>
        </w:rPr>
      </w:pPr>
      <w:r w:rsidRPr="00E5273A">
        <w:rPr>
          <w:noProof/>
        </w:rPr>
        <w:t>43.</w:t>
      </w:r>
      <w:r w:rsidRPr="00E5273A">
        <w:rPr>
          <w:noProof/>
        </w:rPr>
        <w:tab/>
        <w:t xml:space="preserve">Eckert F, Klamt A. Fast solvent screening via quantum chemistry: COSMO-RS approach. </w:t>
      </w:r>
      <w:r>
        <w:rPr>
          <w:i/>
          <w:noProof/>
        </w:rPr>
        <w:t>AIChE J.</w:t>
      </w:r>
      <w:r w:rsidRPr="00E5273A">
        <w:rPr>
          <w:noProof/>
        </w:rPr>
        <w:t xml:space="preserve"> </w:t>
      </w:r>
      <w:r w:rsidRPr="006D492B">
        <w:rPr>
          <w:b/>
          <w:bCs/>
          <w:noProof/>
        </w:rPr>
        <w:t>2002</w:t>
      </w:r>
      <w:r w:rsidRPr="00E5273A">
        <w:rPr>
          <w:noProof/>
        </w:rPr>
        <w:t>;</w:t>
      </w:r>
      <w:r w:rsidRPr="006D492B">
        <w:rPr>
          <w:i/>
          <w:iCs/>
          <w:noProof/>
        </w:rPr>
        <w:t>48</w:t>
      </w:r>
      <w:r w:rsidRPr="00E5273A">
        <w:rPr>
          <w:noProof/>
        </w:rPr>
        <w:t xml:space="preserve">:369-385. </w:t>
      </w:r>
      <w:hyperlink r:id="rId64" w:history="1">
        <w:r w:rsidRPr="00456BB2">
          <w:rPr>
            <w:rStyle w:val="Hyperlink"/>
            <w:noProof/>
          </w:rPr>
          <w:t>https://doi.org/10.1002/aic.690480220</w:t>
        </w:r>
      </w:hyperlink>
      <w:r>
        <w:rPr>
          <w:noProof/>
        </w:rPr>
        <w:t xml:space="preserve"> </w:t>
      </w:r>
    </w:p>
    <w:p w14:paraId="55E4F525" w14:textId="77777777" w:rsidR="00EA3BFB" w:rsidRPr="00E5273A" w:rsidRDefault="00EA3BFB" w:rsidP="00EA3BFB">
      <w:pPr>
        <w:pStyle w:val="EndNoteBibliography"/>
        <w:jc w:val="left"/>
        <w:rPr>
          <w:noProof/>
        </w:rPr>
      </w:pPr>
      <w:r w:rsidRPr="00E5273A">
        <w:rPr>
          <w:noProof/>
        </w:rPr>
        <w:t>44.</w:t>
      </w:r>
      <w:r w:rsidRPr="00E5273A">
        <w:rPr>
          <w:noProof/>
        </w:rPr>
        <w:tab/>
        <w:t xml:space="preserve">Klamt A, Eckert F, Arlt W. COSMO-RS: an alternative to simulation for calculating thermodynamic properties of liquid mixtures. </w:t>
      </w:r>
      <w:r w:rsidRPr="00E5273A">
        <w:rPr>
          <w:i/>
          <w:noProof/>
        </w:rPr>
        <w:t>Annu</w:t>
      </w:r>
      <w:r>
        <w:rPr>
          <w:i/>
          <w:noProof/>
        </w:rPr>
        <w:t>.</w:t>
      </w:r>
      <w:r w:rsidRPr="00E5273A">
        <w:rPr>
          <w:i/>
          <w:noProof/>
        </w:rPr>
        <w:t xml:space="preserve"> Rev</w:t>
      </w:r>
      <w:r>
        <w:rPr>
          <w:i/>
          <w:noProof/>
        </w:rPr>
        <w:t xml:space="preserve">. </w:t>
      </w:r>
      <w:r w:rsidRPr="00E5273A">
        <w:rPr>
          <w:i/>
          <w:noProof/>
        </w:rPr>
        <w:t>Chem</w:t>
      </w:r>
      <w:r>
        <w:rPr>
          <w:i/>
          <w:noProof/>
        </w:rPr>
        <w:t>.</w:t>
      </w:r>
      <w:r w:rsidRPr="00E5273A">
        <w:rPr>
          <w:i/>
          <w:noProof/>
        </w:rPr>
        <w:t xml:space="preserve"> Biomol</w:t>
      </w:r>
      <w:r>
        <w:rPr>
          <w:i/>
          <w:noProof/>
        </w:rPr>
        <w:t>.</w:t>
      </w:r>
      <w:r w:rsidRPr="00E5273A">
        <w:rPr>
          <w:i/>
          <w:noProof/>
        </w:rPr>
        <w:t xml:space="preserve"> Eng</w:t>
      </w:r>
      <w:r>
        <w:rPr>
          <w:i/>
          <w:noProof/>
        </w:rPr>
        <w:t>.</w:t>
      </w:r>
      <w:r w:rsidRPr="00E5273A">
        <w:rPr>
          <w:i/>
          <w:noProof/>
        </w:rPr>
        <w:t xml:space="preserve"> </w:t>
      </w:r>
      <w:r w:rsidRPr="00585B67">
        <w:rPr>
          <w:b/>
          <w:bCs/>
          <w:noProof/>
        </w:rPr>
        <w:t>2010</w:t>
      </w:r>
      <w:r>
        <w:rPr>
          <w:noProof/>
        </w:rPr>
        <w:t>;</w:t>
      </w:r>
      <w:r w:rsidRPr="00585B67">
        <w:rPr>
          <w:i/>
          <w:iCs/>
          <w:noProof/>
        </w:rPr>
        <w:t>1</w:t>
      </w:r>
      <w:r>
        <w:rPr>
          <w:noProof/>
        </w:rPr>
        <w:t>:</w:t>
      </w:r>
      <w:r w:rsidRPr="00E5273A">
        <w:rPr>
          <w:noProof/>
        </w:rPr>
        <w:t xml:space="preserve">101-122. </w:t>
      </w:r>
      <w:hyperlink r:id="rId65" w:history="1">
        <w:r w:rsidRPr="00456BB2">
          <w:rPr>
            <w:rStyle w:val="Hyperlink"/>
            <w:noProof/>
          </w:rPr>
          <w:t>https://doi.org/10.1146/annurev-chembioeng-073009-100903</w:t>
        </w:r>
      </w:hyperlink>
      <w:r>
        <w:rPr>
          <w:noProof/>
        </w:rPr>
        <w:t xml:space="preserve"> </w:t>
      </w:r>
    </w:p>
    <w:p w14:paraId="4B9D61A2" w14:textId="77777777" w:rsidR="00EA3BFB" w:rsidRPr="00E5273A" w:rsidRDefault="00EA3BFB" w:rsidP="00EA3BFB">
      <w:pPr>
        <w:pStyle w:val="EndNoteBibliography"/>
        <w:jc w:val="left"/>
        <w:rPr>
          <w:noProof/>
        </w:rPr>
      </w:pPr>
      <w:r w:rsidRPr="00E5273A">
        <w:rPr>
          <w:noProof/>
        </w:rPr>
        <w:t>45.</w:t>
      </w:r>
      <w:r w:rsidRPr="00E5273A">
        <w:rPr>
          <w:noProof/>
        </w:rPr>
        <w:tab/>
        <w:t xml:space="preserve">Klamt A, Jonas V, Burger T, Lohrenz JCW. Refinement and parametrization of COSMO-RS. </w:t>
      </w:r>
      <w:r w:rsidRPr="00E5273A">
        <w:rPr>
          <w:i/>
          <w:noProof/>
        </w:rPr>
        <w:t>J</w:t>
      </w:r>
      <w:r>
        <w:rPr>
          <w:i/>
          <w:noProof/>
        </w:rPr>
        <w:t>.</w:t>
      </w:r>
      <w:r w:rsidRPr="00E5273A">
        <w:rPr>
          <w:i/>
          <w:noProof/>
        </w:rPr>
        <w:t xml:space="preserve"> Phys</w:t>
      </w:r>
      <w:r>
        <w:rPr>
          <w:i/>
          <w:noProof/>
        </w:rPr>
        <w:t>.</w:t>
      </w:r>
      <w:r w:rsidRPr="00E5273A">
        <w:rPr>
          <w:i/>
          <w:noProof/>
        </w:rPr>
        <w:t xml:space="preserve"> Chem</w:t>
      </w:r>
      <w:r>
        <w:rPr>
          <w:i/>
          <w:noProof/>
        </w:rPr>
        <w:t>.</w:t>
      </w:r>
      <w:r w:rsidRPr="00E5273A">
        <w:rPr>
          <w:i/>
          <w:noProof/>
        </w:rPr>
        <w:t xml:space="preserve"> A</w:t>
      </w:r>
      <w:r w:rsidRPr="00E5273A">
        <w:rPr>
          <w:noProof/>
        </w:rPr>
        <w:t xml:space="preserve">. </w:t>
      </w:r>
      <w:r w:rsidRPr="00585B67">
        <w:rPr>
          <w:b/>
          <w:bCs/>
          <w:noProof/>
        </w:rPr>
        <w:t>1998</w:t>
      </w:r>
      <w:r w:rsidRPr="00E5273A">
        <w:rPr>
          <w:noProof/>
        </w:rPr>
        <w:t>;</w:t>
      </w:r>
      <w:r w:rsidRPr="00585B67">
        <w:rPr>
          <w:i/>
          <w:iCs/>
          <w:noProof/>
        </w:rPr>
        <w:t>102</w:t>
      </w:r>
      <w:r w:rsidRPr="00E5273A">
        <w:rPr>
          <w:noProof/>
        </w:rPr>
        <w:t xml:space="preserve">:5074-5085. </w:t>
      </w:r>
      <w:hyperlink r:id="rId66" w:history="1">
        <w:r w:rsidRPr="00456BB2">
          <w:rPr>
            <w:rStyle w:val="Hyperlink"/>
            <w:noProof/>
          </w:rPr>
          <w:t>https://doi.org/10.1021/jp980017s</w:t>
        </w:r>
      </w:hyperlink>
      <w:r>
        <w:rPr>
          <w:noProof/>
        </w:rPr>
        <w:t xml:space="preserve"> </w:t>
      </w:r>
    </w:p>
    <w:p w14:paraId="4C062FBC" w14:textId="5FCC86A2" w:rsidR="00E60051" w:rsidRPr="00D919E7" w:rsidRDefault="00E60051" w:rsidP="00EA3BFB">
      <w:pPr>
        <w:pStyle w:val="EndNoteBibliography"/>
        <w:jc w:val="left"/>
        <w:rPr>
          <w:noProof/>
        </w:rPr>
      </w:pPr>
      <w:r w:rsidRPr="00D919E7">
        <w:rPr>
          <w:noProof/>
        </w:rPr>
        <w:t>46.</w:t>
      </w:r>
      <w:r w:rsidRPr="00D919E7">
        <w:rPr>
          <w:noProof/>
        </w:rPr>
        <w:tab/>
      </w:r>
      <w:r w:rsidR="00A51740" w:rsidRPr="00E5273A">
        <w:rPr>
          <w:noProof/>
        </w:rPr>
        <w:t xml:space="preserve">COSMOtherm C3.0, release 1601. </w:t>
      </w:r>
      <w:hyperlink r:id="rId67" w:history="1">
        <w:r w:rsidR="00A51740" w:rsidRPr="00456BB2">
          <w:rPr>
            <w:rStyle w:val="Hyperlink"/>
            <w:noProof/>
          </w:rPr>
          <w:t>http://www.cosmologic.de/products/cosmotherm.html</w:t>
        </w:r>
      </w:hyperlink>
      <w:r w:rsidR="00A51740">
        <w:rPr>
          <w:noProof/>
        </w:rPr>
        <w:t xml:space="preserve">. </w:t>
      </w:r>
      <w:r w:rsidR="00A51740" w:rsidRPr="00E5273A">
        <w:rPr>
          <w:noProof/>
        </w:rPr>
        <w:t>Accessed May 2020</w:t>
      </w:r>
      <w:r w:rsidR="00A51740">
        <w:rPr>
          <w:noProof/>
        </w:rPr>
        <w:t>.</w:t>
      </w:r>
    </w:p>
    <w:p w14:paraId="555E2471" w14:textId="77777777" w:rsidR="00A51740" w:rsidRDefault="00E60051" w:rsidP="00EA3BFB">
      <w:pPr>
        <w:pStyle w:val="EndNoteBibliography"/>
        <w:jc w:val="left"/>
        <w:rPr>
          <w:noProof/>
        </w:rPr>
      </w:pPr>
      <w:r w:rsidRPr="00D919E7">
        <w:rPr>
          <w:noProof/>
        </w:rPr>
        <w:t>47.</w:t>
      </w:r>
      <w:r w:rsidRPr="00D919E7">
        <w:rPr>
          <w:noProof/>
        </w:rPr>
        <w:tab/>
      </w:r>
      <w:r w:rsidR="00A51740">
        <w:rPr>
          <w:noProof/>
        </w:rPr>
        <w:t>Turbomole</w:t>
      </w:r>
      <w:r w:rsidR="00A51740" w:rsidRPr="00E5273A">
        <w:rPr>
          <w:noProof/>
        </w:rPr>
        <w:t xml:space="preserve"> Tmolex</w:t>
      </w:r>
      <w:r w:rsidR="00A51740">
        <w:rPr>
          <w:noProof/>
        </w:rPr>
        <w:t xml:space="preserve">. </w:t>
      </w:r>
      <w:hyperlink r:id="rId68" w:history="1">
        <w:r w:rsidR="00A51740" w:rsidRPr="00456BB2">
          <w:rPr>
            <w:rStyle w:val="Hyperlink"/>
            <w:noProof/>
          </w:rPr>
          <w:t>http://www.cosmologic.de/turbomole/tmolex.html</w:t>
        </w:r>
      </w:hyperlink>
      <w:r w:rsidR="00A51740">
        <w:rPr>
          <w:noProof/>
        </w:rPr>
        <w:t>.</w:t>
      </w:r>
      <w:r w:rsidR="00A51740" w:rsidRPr="00E5273A">
        <w:rPr>
          <w:noProof/>
        </w:rPr>
        <w:t xml:space="preserve"> Accessed May 2020</w:t>
      </w:r>
      <w:r w:rsidR="00A51740">
        <w:rPr>
          <w:noProof/>
        </w:rPr>
        <w:t>.</w:t>
      </w:r>
      <w:r w:rsidR="00A51740" w:rsidRPr="00E5273A">
        <w:rPr>
          <w:noProof/>
        </w:rPr>
        <w:t xml:space="preserve"> </w:t>
      </w:r>
    </w:p>
    <w:p w14:paraId="0E2E2CE2" w14:textId="50456AED" w:rsidR="00920966" w:rsidRPr="00E5273A" w:rsidRDefault="00920966" w:rsidP="00920966">
      <w:pPr>
        <w:pStyle w:val="EndNoteBibliography"/>
        <w:jc w:val="left"/>
        <w:rPr>
          <w:noProof/>
        </w:rPr>
      </w:pPr>
      <w:r w:rsidRPr="00E5273A">
        <w:rPr>
          <w:noProof/>
        </w:rPr>
        <w:t>4</w:t>
      </w:r>
      <w:r>
        <w:rPr>
          <w:noProof/>
        </w:rPr>
        <w:t>8</w:t>
      </w:r>
      <w:r w:rsidRPr="00E5273A">
        <w:rPr>
          <w:noProof/>
        </w:rPr>
        <w:t>.</w:t>
      </w:r>
      <w:r w:rsidRPr="00E5273A">
        <w:rPr>
          <w:noProof/>
        </w:rPr>
        <w:tab/>
        <w:t>NIST</w:t>
      </w:r>
      <w:r>
        <w:rPr>
          <w:noProof/>
        </w:rPr>
        <w:t xml:space="preserve"> </w:t>
      </w:r>
      <w:r w:rsidRPr="00E5273A">
        <w:rPr>
          <w:noProof/>
        </w:rPr>
        <w:t xml:space="preserve">Thermophysical Properties of Fluid Systems. </w:t>
      </w:r>
      <w:hyperlink r:id="rId69" w:history="1">
        <w:r w:rsidRPr="00456BB2">
          <w:rPr>
            <w:rStyle w:val="Hyperlink"/>
            <w:noProof/>
          </w:rPr>
          <w:t>http://webbook.nist.gov/chemistry/fluid/</w:t>
        </w:r>
      </w:hyperlink>
      <w:r>
        <w:rPr>
          <w:noProof/>
        </w:rPr>
        <w:t>. Accessed May 2020.</w:t>
      </w:r>
    </w:p>
    <w:p w14:paraId="1C7CA2A2" w14:textId="038120D0" w:rsidR="00920966" w:rsidRPr="00E5273A" w:rsidRDefault="00920966" w:rsidP="00920966">
      <w:pPr>
        <w:pStyle w:val="EndNoteBibliography"/>
        <w:jc w:val="left"/>
        <w:rPr>
          <w:noProof/>
        </w:rPr>
      </w:pPr>
      <w:r w:rsidRPr="00E5273A">
        <w:rPr>
          <w:noProof/>
        </w:rPr>
        <w:t>4</w:t>
      </w:r>
      <w:r>
        <w:rPr>
          <w:noProof/>
        </w:rPr>
        <w:t>9</w:t>
      </w:r>
      <w:r w:rsidRPr="00E5273A">
        <w:rPr>
          <w:noProof/>
        </w:rPr>
        <w:t>.</w:t>
      </w:r>
      <w:r w:rsidRPr="00E5273A">
        <w:rPr>
          <w:noProof/>
        </w:rPr>
        <w:tab/>
        <w:t>NIST</w:t>
      </w:r>
      <w:r>
        <w:rPr>
          <w:noProof/>
        </w:rPr>
        <w:t xml:space="preserve"> </w:t>
      </w:r>
      <w:r w:rsidRPr="00E5273A">
        <w:rPr>
          <w:noProof/>
        </w:rPr>
        <w:t xml:space="preserve">Reference Fluid Thermodynamic and Transport Properties Database (REFPROP) Version </w:t>
      </w:r>
      <w:r>
        <w:rPr>
          <w:noProof/>
        </w:rPr>
        <w:t>10</w:t>
      </w:r>
      <w:r w:rsidRPr="00E5273A">
        <w:rPr>
          <w:noProof/>
        </w:rPr>
        <w:t xml:space="preserve">. </w:t>
      </w:r>
      <w:hyperlink r:id="rId70" w:history="1">
        <w:r w:rsidRPr="00456BB2">
          <w:rPr>
            <w:rStyle w:val="Hyperlink"/>
            <w:noProof/>
          </w:rPr>
          <w:t>https://www.nist.gov/srd/refprop</w:t>
        </w:r>
      </w:hyperlink>
      <w:r>
        <w:rPr>
          <w:noProof/>
        </w:rPr>
        <w:t xml:space="preserve">. </w:t>
      </w:r>
      <w:r w:rsidRPr="00E5273A">
        <w:rPr>
          <w:noProof/>
        </w:rPr>
        <w:t>Accessed May 2020</w:t>
      </w:r>
      <w:r>
        <w:rPr>
          <w:noProof/>
        </w:rPr>
        <w:t>.</w:t>
      </w:r>
    </w:p>
    <w:p w14:paraId="7477F418" w14:textId="22EF67DC" w:rsidR="00920966" w:rsidRPr="00E5273A" w:rsidRDefault="00920966" w:rsidP="00920966">
      <w:pPr>
        <w:pStyle w:val="EndNoteBibliography"/>
        <w:jc w:val="left"/>
        <w:rPr>
          <w:noProof/>
        </w:rPr>
      </w:pPr>
      <w:r>
        <w:rPr>
          <w:noProof/>
        </w:rPr>
        <w:t>50</w:t>
      </w:r>
      <w:r w:rsidRPr="00E5273A">
        <w:rPr>
          <w:noProof/>
        </w:rPr>
        <w:t>.</w:t>
      </w:r>
      <w:r w:rsidRPr="00E5273A">
        <w:rPr>
          <w:noProof/>
        </w:rPr>
        <w:tab/>
        <w:t xml:space="preserve">Kim S, Kim YJ, Joshi YK, Kohl PA, Fedorov AG. Absorption heat pump/refrigeration system utilizing ionic liquid and hydrofluorocarbon refrigerants. </w:t>
      </w:r>
      <w:r w:rsidRPr="00E5273A">
        <w:rPr>
          <w:i/>
          <w:noProof/>
        </w:rPr>
        <w:t>J</w:t>
      </w:r>
      <w:r>
        <w:rPr>
          <w:i/>
          <w:noProof/>
        </w:rPr>
        <w:t>.</w:t>
      </w:r>
      <w:r w:rsidRPr="00E5273A">
        <w:rPr>
          <w:i/>
          <w:noProof/>
        </w:rPr>
        <w:t xml:space="preserve"> Electron</w:t>
      </w:r>
      <w:r>
        <w:rPr>
          <w:i/>
          <w:noProof/>
        </w:rPr>
        <w:t>.</w:t>
      </w:r>
      <w:r w:rsidRPr="00E5273A">
        <w:rPr>
          <w:i/>
          <w:noProof/>
        </w:rPr>
        <w:t xml:space="preserve"> Packaging</w:t>
      </w:r>
      <w:r w:rsidRPr="00E5273A">
        <w:rPr>
          <w:noProof/>
        </w:rPr>
        <w:t xml:space="preserve">. </w:t>
      </w:r>
      <w:r w:rsidRPr="002A2AFE">
        <w:rPr>
          <w:b/>
          <w:bCs/>
          <w:noProof/>
        </w:rPr>
        <w:t>2012</w:t>
      </w:r>
      <w:r w:rsidRPr="00E5273A">
        <w:rPr>
          <w:noProof/>
        </w:rPr>
        <w:t>;</w:t>
      </w:r>
      <w:r w:rsidRPr="002A2AFE">
        <w:rPr>
          <w:i/>
          <w:iCs/>
          <w:noProof/>
        </w:rPr>
        <w:t>134</w:t>
      </w:r>
      <w:r w:rsidRPr="00E5273A">
        <w:rPr>
          <w:noProof/>
        </w:rPr>
        <w:t xml:space="preserve">:031009. </w:t>
      </w:r>
      <w:hyperlink r:id="rId71" w:history="1">
        <w:r w:rsidRPr="00456BB2">
          <w:rPr>
            <w:rStyle w:val="Hyperlink"/>
            <w:noProof/>
          </w:rPr>
          <w:t>https://doi.org/10.1115/1.4007111</w:t>
        </w:r>
      </w:hyperlink>
      <w:r>
        <w:rPr>
          <w:noProof/>
        </w:rPr>
        <w:t xml:space="preserve"> </w:t>
      </w:r>
    </w:p>
    <w:p w14:paraId="38DC355B" w14:textId="4BD82D88" w:rsidR="00920966" w:rsidRPr="00E5273A" w:rsidRDefault="00920966" w:rsidP="00920966">
      <w:pPr>
        <w:pStyle w:val="EndNoteBibliography"/>
        <w:jc w:val="left"/>
        <w:rPr>
          <w:noProof/>
        </w:rPr>
      </w:pPr>
      <w:r w:rsidRPr="00E5273A">
        <w:rPr>
          <w:noProof/>
        </w:rPr>
        <w:lastRenderedPageBreak/>
        <w:t>5</w:t>
      </w:r>
      <w:r>
        <w:rPr>
          <w:noProof/>
        </w:rPr>
        <w:t>1</w:t>
      </w:r>
      <w:r w:rsidRPr="00E5273A">
        <w:rPr>
          <w:noProof/>
        </w:rPr>
        <w:t>.</w:t>
      </w:r>
      <w:r w:rsidRPr="00E5273A">
        <w:rPr>
          <w:noProof/>
        </w:rPr>
        <w:tab/>
        <w:t xml:space="preserve">Abedin R, Shen Y, Flake JC, Hung FR. Deep eutectic solvents mixed with fluorinated refrigerants for absorption refrigeration: a molecular simulation study. </w:t>
      </w:r>
      <w:r w:rsidRPr="00E5273A">
        <w:rPr>
          <w:i/>
          <w:noProof/>
        </w:rPr>
        <w:t>J</w:t>
      </w:r>
      <w:r>
        <w:rPr>
          <w:i/>
          <w:noProof/>
        </w:rPr>
        <w:t>.</w:t>
      </w:r>
      <w:r w:rsidRPr="00E5273A">
        <w:rPr>
          <w:i/>
          <w:noProof/>
        </w:rPr>
        <w:t xml:space="preserve"> Phys</w:t>
      </w:r>
      <w:r>
        <w:rPr>
          <w:i/>
          <w:noProof/>
        </w:rPr>
        <w:t>.</w:t>
      </w:r>
      <w:r w:rsidRPr="00E5273A">
        <w:rPr>
          <w:i/>
          <w:noProof/>
        </w:rPr>
        <w:t xml:space="preserve"> Chem</w:t>
      </w:r>
      <w:r>
        <w:rPr>
          <w:i/>
          <w:noProof/>
        </w:rPr>
        <w:t>.</w:t>
      </w:r>
      <w:r w:rsidRPr="00E5273A">
        <w:rPr>
          <w:i/>
          <w:noProof/>
        </w:rPr>
        <w:t xml:space="preserve"> B</w:t>
      </w:r>
      <w:r w:rsidRPr="00E5273A">
        <w:rPr>
          <w:noProof/>
        </w:rPr>
        <w:t xml:space="preserve">. </w:t>
      </w:r>
      <w:r w:rsidRPr="002A2AFE">
        <w:rPr>
          <w:b/>
          <w:bCs/>
          <w:noProof/>
        </w:rPr>
        <w:t>2020</w:t>
      </w:r>
      <w:r w:rsidRPr="00E5273A">
        <w:rPr>
          <w:noProof/>
        </w:rPr>
        <w:t>;</w:t>
      </w:r>
      <w:r>
        <w:rPr>
          <w:i/>
          <w:iCs/>
          <w:noProof/>
        </w:rPr>
        <w:t>124</w:t>
      </w:r>
      <w:r>
        <w:rPr>
          <w:noProof/>
        </w:rPr>
        <w:t xml:space="preserve">:4536-4550. </w:t>
      </w:r>
      <w:hyperlink r:id="rId72" w:history="1">
        <w:r w:rsidRPr="00456BB2">
          <w:rPr>
            <w:rStyle w:val="Hyperlink"/>
            <w:noProof/>
          </w:rPr>
          <w:t>https://doi.org/10.1021/acs.jpcb.0c01860</w:t>
        </w:r>
      </w:hyperlink>
      <w:r>
        <w:rPr>
          <w:noProof/>
        </w:rPr>
        <w:t xml:space="preserve"> </w:t>
      </w:r>
    </w:p>
    <w:p w14:paraId="72F7A89D" w14:textId="1E7FFF52" w:rsidR="00920966" w:rsidRPr="00E5273A" w:rsidRDefault="00920966" w:rsidP="00920966">
      <w:pPr>
        <w:pStyle w:val="EndNoteBibliography"/>
        <w:jc w:val="left"/>
        <w:rPr>
          <w:noProof/>
        </w:rPr>
      </w:pPr>
      <w:r w:rsidRPr="00E5273A">
        <w:rPr>
          <w:noProof/>
        </w:rPr>
        <w:t>5</w:t>
      </w:r>
      <w:r>
        <w:rPr>
          <w:noProof/>
        </w:rPr>
        <w:t>2</w:t>
      </w:r>
      <w:r w:rsidRPr="00E5273A">
        <w:rPr>
          <w:noProof/>
        </w:rPr>
        <w:t>.</w:t>
      </w:r>
      <w:r w:rsidRPr="00E5273A">
        <w:rPr>
          <w:noProof/>
        </w:rPr>
        <w:tab/>
        <w:t xml:space="preserve">Kim S, Kohl PA. Analysis of [hmim][PF6] and [hmim][Tf2N] ionic liquids as absorbents for an absorption refrigeration system. </w:t>
      </w:r>
      <w:r w:rsidRPr="00E5273A">
        <w:rPr>
          <w:i/>
          <w:noProof/>
        </w:rPr>
        <w:t>Int</w:t>
      </w:r>
      <w:r>
        <w:rPr>
          <w:i/>
          <w:noProof/>
        </w:rPr>
        <w:t>.</w:t>
      </w:r>
      <w:r w:rsidRPr="00E5273A">
        <w:rPr>
          <w:i/>
          <w:noProof/>
        </w:rPr>
        <w:t xml:space="preserve"> J</w:t>
      </w:r>
      <w:r>
        <w:rPr>
          <w:i/>
          <w:noProof/>
        </w:rPr>
        <w:t xml:space="preserve">. </w:t>
      </w:r>
      <w:r w:rsidRPr="00E5273A">
        <w:rPr>
          <w:i/>
          <w:noProof/>
        </w:rPr>
        <w:t>Refrig</w:t>
      </w:r>
      <w:r w:rsidRPr="00E5273A">
        <w:rPr>
          <w:noProof/>
        </w:rPr>
        <w:t xml:space="preserve">. </w:t>
      </w:r>
      <w:r w:rsidRPr="002A2AFE">
        <w:rPr>
          <w:b/>
          <w:bCs/>
          <w:noProof/>
        </w:rPr>
        <w:t>2014</w:t>
      </w:r>
      <w:r w:rsidRPr="00E5273A">
        <w:rPr>
          <w:noProof/>
        </w:rPr>
        <w:t>;</w:t>
      </w:r>
      <w:r w:rsidRPr="002A2AFE">
        <w:rPr>
          <w:i/>
          <w:iCs/>
          <w:noProof/>
        </w:rPr>
        <w:t>48</w:t>
      </w:r>
      <w:r w:rsidRPr="00E5273A">
        <w:rPr>
          <w:noProof/>
        </w:rPr>
        <w:t xml:space="preserve">:105-113. </w:t>
      </w:r>
      <w:hyperlink r:id="rId73" w:history="1">
        <w:r w:rsidRPr="00456BB2">
          <w:rPr>
            <w:rStyle w:val="Hyperlink"/>
            <w:noProof/>
          </w:rPr>
          <w:t>https://doi.org/10.1016/j.ijrefrig.2014.09.003</w:t>
        </w:r>
      </w:hyperlink>
      <w:r>
        <w:rPr>
          <w:noProof/>
        </w:rPr>
        <w:t xml:space="preserve"> </w:t>
      </w:r>
    </w:p>
    <w:p w14:paraId="220C96F5" w14:textId="5B52E42F" w:rsidR="00920966" w:rsidRPr="00E5273A" w:rsidRDefault="00920966" w:rsidP="00920966">
      <w:pPr>
        <w:pStyle w:val="EndNoteBibliography"/>
        <w:jc w:val="left"/>
        <w:rPr>
          <w:noProof/>
        </w:rPr>
      </w:pPr>
      <w:r w:rsidRPr="00E5273A">
        <w:rPr>
          <w:noProof/>
        </w:rPr>
        <w:t>5</w:t>
      </w:r>
      <w:r>
        <w:rPr>
          <w:noProof/>
        </w:rPr>
        <w:t>3</w:t>
      </w:r>
      <w:r w:rsidRPr="00E5273A">
        <w:rPr>
          <w:noProof/>
        </w:rPr>
        <w:t>.</w:t>
      </w:r>
      <w:r w:rsidRPr="00E5273A">
        <w:rPr>
          <w:noProof/>
        </w:rPr>
        <w:tab/>
        <w:t xml:space="preserve">García-Gutiérrez P, Jacquemin J, McCrellis C, et al. Techno-economic feasibility of selective CO2 capture processes from biogas streams using ionic liquids as physical absorbents. </w:t>
      </w:r>
      <w:r w:rsidRPr="00E5273A">
        <w:rPr>
          <w:i/>
          <w:noProof/>
        </w:rPr>
        <w:t>Energ</w:t>
      </w:r>
      <w:r>
        <w:rPr>
          <w:i/>
          <w:noProof/>
        </w:rPr>
        <w:t xml:space="preserve">. </w:t>
      </w:r>
      <w:r w:rsidRPr="00E5273A">
        <w:rPr>
          <w:i/>
          <w:noProof/>
        </w:rPr>
        <w:t>Fuel</w:t>
      </w:r>
      <w:r w:rsidRPr="00E5273A">
        <w:rPr>
          <w:noProof/>
        </w:rPr>
        <w:t xml:space="preserve">. </w:t>
      </w:r>
      <w:r w:rsidRPr="000127D7">
        <w:rPr>
          <w:b/>
          <w:bCs/>
          <w:noProof/>
        </w:rPr>
        <w:t>2016</w:t>
      </w:r>
      <w:r w:rsidRPr="00E5273A">
        <w:rPr>
          <w:noProof/>
        </w:rPr>
        <w:t>;</w:t>
      </w:r>
      <w:r w:rsidRPr="000127D7">
        <w:rPr>
          <w:i/>
          <w:iCs/>
          <w:noProof/>
        </w:rPr>
        <w:t>30</w:t>
      </w:r>
      <w:r w:rsidRPr="00E5273A">
        <w:rPr>
          <w:noProof/>
        </w:rPr>
        <w:t xml:space="preserve">:5052-5064. </w:t>
      </w:r>
      <w:hyperlink r:id="rId74" w:history="1">
        <w:r w:rsidRPr="00456BB2">
          <w:rPr>
            <w:rStyle w:val="Hyperlink"/>
            <w:noProof/>
          </w:rPr>
          <w:t>https://doi.org/10.1021/acs.energyfuels.6b00364</w:t>
        </w:r>
      </w:hyperlink>
      <w:r>
        <w:rPr>
          <w:noProof/>
        </w:rPr>
        <w:t xml:space="preserve"> </w:t>
      </w:r>
    </w:p>
    <w:p w14:paraId="5807FBA9" w14:textId="6A7F1A16" w:rsidR="00920966" w:rsidRPr="00E5273A" w:rsidRDefault="00920966" w:rsidP="00920966">
      <w:pPr>
        <w:pStyle w:val="EndNoteBibliography"/>
        <w:jc w:val="left"/>
        <w:rPr>
          <w:noProof/>
        </w:rPr>
      </w:pPr>
      <w:r w:rsidRPr="00E5273A">
        <w:rPr>
          <w:noProof/>
        </w:rPr>
        <w:t>5</w:t>
      </w:r>
      <w:r>
        <w:rPr>
          <w:noProof/>
        </w:rPr>
        <w:t>4</w:t>
      </w:r>
      <w:r w:rsidRPr="00E5273A">
        <w:rPr>
          <w:noProof/>
        </w:rPr>
        <w:t>.</w:t>
      </w:r>
      <w:r w:rsidRPr="00E5273A">
        <w:rPr>
          <w:noProof/>
        </w:rPr>
        <w:tab/>
        <w:t xml:space="preserve">Ren W, Scurto AM. Global phase behavior of imidazolium ionic liquids and compressed 1,1,1,2-tetrafluoroethane (R-134a). </w:t>
      </w:r>
      <w:r>
        <w:rPr>
          <w:i/>
          <w:noProof/>
        </w:rPr>
        <w:t>AIChE J.</w:t>
      </w:r>
      <w:r w:rsidRPr="00E5273A">
        <w:rPr>
          <w:noProof/>
        </w:rPr>
        <w:t xml:space="preserve"> </w:t>
      </w:r>
      <w:r w:rsidRPr="004415BE">
        <w:rPr>
          <w:b/>
          <w:bCs/>
          <w:noProof/>
        </w:rPr>
        <w:t>2009</w:t>
      </w:r>
      <w:r w:rsidRPr="00E5273A">
        <w:rPr>
          <w:noProof/>
        </w:rPr>
        <w:t>;</w:t>
      </w:r>
      <w:r w:rsidRPr="004415BE">
        <w:rPr>
          <w:i/>
          <w:iCs/>
          <w:noProof/>
        </w:rPr>
        <w:t>55</w:t>
      </w:r>
      <w:r w:rsidRPr="00E5273A">
        <w:rPr>
          <w:noProof/>
        </w:rPr>
        <w:t xml:space="preserve">:486-493. </w:t>
      </w:r>
      <w:hyperlink r:id="rId75" w:history="1">
        <w:r w:rsidRPr="00456BB2">
          <w:rPr>
            <w:rStyle w:val="Hyperlink"/>
            <w:noProof/>
          </w:rPr>
          <w:t>https://doi.org/10.1002/aic.11657</w:t>
        </w:r>
      </w:hyperlink>
      <w:r>
        <w:rPr>
          <w:noProof/>
        </w:rPr>
        <w:t xml:space="preserve"> </w:t>
      </w:r>
    </w:p>
    <w:p w14:paraId="454E673F" w14:textId="77777777" w:rsidR="00920966" w:rsidRPr="00E5273A" w:rsidRDefault="00920966" w:rsidP="00920966">
      <w:pPr>
        <w:pStyle w:val="EndNoteBibliography"/>
        <w:jc w:val="left"/>
        <w:rPr>
          <w:noProof/>
        </w:rPr>
      </w:pPr>
      <w:r w:rsidRPr="00E5273A">
        <w:rPr>
          <w:noProof/>
        </w:rPr>
        <w:t>55.</w:t>
      </w:r>
      <w:r w:rsidRPr="00E5273A">
        <w:rPr>
          <w:noProof/>
        </w:rPr>
        <w:tab/>
        <w:t xml:space="preserve">Chen W-L, Hsieh C-M, Yang L, Hsu C-C, Lin S-T. A critical evaluation on the performance of COSMO-SAC models for vapor–liquid and liquid–liquid equilibrium predictions based on different quantum chemical calculations. </w:t>
      </w:r>
      <w:r>
        <w:rPr>
          <w:i/>
          <w:noProof/>
        </w:rPr>
        <w:t>Ind. Eng. Chem. Res.</w:t>
      </w:r>
      <w:r w:rsidRPr="00E5273A">
        <w:rPr>
          <w:noProof/>
        </w:rPr>
        <w:t xml:space="preserve"> </w:t>
      </w:r>
      <w:r w:rsidRPr="004415BE">
        <w:rPr>
          <w:b/>
          <w:bCs/>
          <w:noProof/>
        </w:rPr>
        <w:t>2016</w:t>
      </w:r>
      <w:r w:rsidRPr="00E5273A">
        <w:rPr>
          <w:noProof/>
        </w:rPr>
        <w:t>;</w:t>
      </w:r>
      <w:r w:rsidRPr="004415BE">
        <w:rPr>
          <w:i/>
          <w:iCs/>
          <w:noProof/>
        </w:rPr>
        <w:t>55</w:t>
      </w:r>
      <w:r w:rsidRPr="00E5273A">
        <w:rPr>
          <w:noProof/>
        </w:rPr>
        <w:t xml:space="preserve">:9312-9322. </w:t>
      </w:r>
      <w:hyperlink r:id="rId76" w:history="1">
        <w:r w:rsidRPr="00456BB2">
          <w:rPr>
            <w:rStyle w:val="Hyperlink"/>
            <w:noProof/>
          </w:rPr>
          <w:t>https://doi.org/10.1021/acs.iecr.6b02345</w:t>
        </w:r>
      </w:hyperlink>
      <w:r>
        <w:rPr>
          <w:noProof/>
        </w:rPr>
        <w:t xml:space="preserve"> </w:t>
      </w:r>
    </w:p>
    <w:p w14:paraId="6BDBC875" w14:textId="77777777" w:rsidR="00920966" w:rsidRPr="00E5273A" w:rsidRDefault="00920966" w:rsidP="00920966">
      <w:pPr>
        <w:pStyle w:val="EndNoteBibliography"/>
        <w:jc w:val="left"/>
        <w:rPr>
          <w:noProof/>
        </w:rPr>
      </w:pPr>
      <w:r w:rsidRPr="00E5273A">
        <w:rPr>
          <w:noProof/>
        </w:rPr>
        <w:t>56.</w:t>
      </w:r>
      <w:r w:rsidRPr="00E5273A">
        <w:rPr>
          <w:noProof/>
        </w:rPr>
        <w:tab/>
        <w:t xml:space="preserve">Chang C-K, Chen W-L, Wu DT, Lin S-T. Improved directional hydrogen bonding interactions for the prediction of activity coefficients with COSMO-SAC. </w:t>
      </w:r>
      <w:r>
        <w:rPr>
          <w:i/>
          <w:noProof/>
        </w:rPr>
        <w:t>Ind. Eng. Chem. Res.</w:t>
      </w:r>
      <w:r w:rsidRPr="00E5273A">
        <w:rPr>
          <w:noProof/>
        </w:rPr>
        <w:t xml:space="preserve"> </w:t>
      </w:r>
      <w:r w:rsidRPr="004415BE">
        <w:rPr>
          <w:b/>
          <w:bCs/>
          <w:noProof/>
        </w:rPr>
        <w:t>2018</w:t>
      </w:r>
      <w:r w:rsidRPr="00E5273A">
        <w:rPr>
          <w:noProof/>
        </w:rPr>
        <w:t>;</w:t>
      </w:r>
      <w:r w:rsidRPr="004415BE">
        <w:rPr>
          <w:i/>
          <w:iCs/>
          <w:noProof/>
        </w:rPr>
        <w:t>57</w:t>
      </w:r>
      <w:r w:rsidRPr="00E5273A">
        <w:rPr>
          <w:noProof/>
        </w:rPr>
        <w:t xml:space="preserve">:11229-11238. </w:t>
      </w:r>
      <w:hyperlink r:id="rId77" w:history="1">
        <w:r w:rsidRPr="00456BB2">
          <w:rPr>
            <w:rStyle w:val="Hyperlink"/>
            <w:noProof/>
          </w:rPr>
          <w:t>https://doi.org/10.1021/acs.iecr.8b02493</w:t>
        </w:r>
      </w:hyperlink>
      <w:r>
        <w:rPr>
          <w:noProof/>
        </w:rPr>
        <w:t xml:space="preserve"> </w:t>
      </w:r>
    </w:p>
    <w:p w14:paraId="69A611E9" w14:textId="77777777" w:rsidR="00920966" w:rsidRPr="00BA5F35" w:rsidRDefault="00920966" w:rsidP="00920966">
      <w:pPr>
        <w:spacing w:line="480" w:lineRule="auto"/>
        <w:rPr>
          <w:b/>
          <w:bCs/>
        </w:rPr>
      </w:pPr>
    </w:p>
    <w:p w14:paraId="6516C841" w14:textId="77777777" w:rsidR="0048338B" w:rsidRDefault="00E969CE"/>
    <w:sectPr w:rsidR="0048338B" w:rsidSect="00661C08">
      <w:footerReference w:type="even" r:id="rId78"/>
      <w:footerReference w:type="default" r:id="rId7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E108C4" w14:textId="77777777" w:rsidR="00E969CE" w:rsidRDefault="00E969CE">
      <w:r>
        <w:separator/>
      </w:r>
    </w:p>
  </w:endnote>
  <w:endnote w:type="continuationSeparator" w:id="0">
    <w:p w14:paraId="5997FE7F" w14:textId="77777777" w:rsidR="00E969CE" w:rsidRDefault="00E969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New Roman (Body CS)">
    <w:altName w:val="Times New Roman"/>
    <w:panose1 w:val="020B0604020202020204"/>
    <w:charset w:val="00"/>
    <w:family w:val="roman"/>
    <w:pitch w:val="variable"/>
    <w:sig w:usb0="E0002AFF" w:usb1="C0007841"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305049387"/>
      <w:docPartObj>
        <w:docPartGallery w:val="Page Numbers (Bottom of Page)"/>
        <w:docPartUnique/>
      </w:docPartObj>
    </w:sdtPr>
    <w:sdtEndPr>
      <w:rPr>
        <w:rStyle w:val="PageNumber"/>
      </w:rPr>
    </w:sdtEndPr>
    <w:sdtContent>
      <w:p w14:paraId="635719D4" w14:textId="77777777" w:rsidR="00164375" w:rsidRDefault="00920966" w:rsidP="00E9284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F86B4AE" w14:textId="77777777" w:rsidR="00164375" w:rsidRDefault="00E969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59596448"/>
      <w:docPartObj>
        <w:docPartGallery w:val="Page Numbers (Bottom of Page)"/>
        <w:docPartUnique/>
      </w:docPartObj>
    </w:sdtPr>
    <w:sdtEndPr>
      <w:rPr>
        <w:rStyle w:val="PageNumber"/>
      </w:rPr>
    </w:sdtEndPr>
    <w:sdtContent>
      <w:p w14:paraId="3DCBFF9F" w14:textId="77777777" w:rsidR="00164375" w:rsidRDefault="00920966" w:rsidP="00E9284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61A491B" w14:textId="77777777" w:rsidR="00164375" w:rsidRDefault="00E969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55A593" w14:textId="77777777" w:rsidR="00E969CE" w:rsidRDefault="00E969CE">
      <w:r>
        <w:separator/>
      </w:r>
    </w:p>
  </w:footnote>
  <w:footnote w:type="continuationSeparator" w:id="0">
    <w:p w14:paraId="33FD6641" w14:textId="77777777" w:rsidR="00E969CE" w:rsidRDefault="00E969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A2942AF"/>
    <w:multiLevelType w:val="hybridMultilevel"/>
    <w:tmpl w:val="3D626A32"/>
    <w:lvl w:ilvl="0" w:tplc="3D7C44D0">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59E2D2A"/>
    <w:multiLevelType w:val="hybridMultilevel"/>
    <w:tmpl w:val="60005BE6"/>
    <w:lvl w:ilvl="0" w:tplc="C338DF3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20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E60051"/>
    <w:rsid w:val="000005EF"/>
    <w:rsid w:val="000012F5"/>
    <w:rsid w:val="0000180E"/>
    <w:rsid w:val="0000365F"/>
    <w:rsid w:val="00004DEF"/>
    <w:rsid w:val="0000793A"/>
    <w:rsid w:val="000106E7"/>
    <w:rsid w:val="00011589"/>
    <w:rsid w:val="00011B17"/>
    <w:rsid w:val="000120B5"/>
    <w:rsid w:val="00012B99"/>
    <w:rsid w:val="00013B34"/>
    <w:rsid w:val="000143D3"/>
    <w:rsid w:val="00017943"/>
    <w:rsid w:val="00017B5F"/>
    <w:rsid w:val="00020237"/>
    <w:rsid w:val="00021A4D"/>
    <w:rsid w:val="00022347"/>
    <w:rsid w:val="00022A7F"/>
    <w:rsid w:val="00022D93"/>
    <w:rsid w:val="0002309B"/>
    <w:rsid w:val="00027275"/>
    <w:rsid w:val="00031789"/>
    <w:rsid w:val="000332F8"/>
    <w:rsid w:val="0003463A"/>
    <w:rsid w:val="00036026"/>
    <w:rsid w:val="00036E98"/>
    <w:rsid w:val="0004098C"/>
    <w:rsid w:val="00040BD5"/>
    <w:rsid w:val="000416C7"/>
    <w:rsid w:val="00044693"/>
    <w:rsid w:val="00045BAF"/>
    <w:rsid w:val="00046683"/>
    <w:rsid w:val="000467E2"/>
    <w:rsid w:val="00046E0D"/>
    <w:rsid w:val="00047A6B"/>
    <w:rsid w:val="00051D19"/>
    <w:rsid w:val="00052477"/>
    <w:rsid w:val="000528BF"/>
    <w:rsid w:val="00054467"/>
    <w:rsid w:val="00055E99"/>
    <w:rsid w:val="0005753F"/>
    <w:rsid w:val="000610CB"/>
    <w:rsid w:val="00063B4A"/>
    <w:rsid w:val="00065552"/>
    <w:rsid w:val="00065F05"/>
    <w:rsid w:val="00066B37"/>
    <w:rsid w:val="00066E72"/>
    <w:rsid w:val="000671B4"/>
    <w:rsid w:val="0006720A"/>
    <w:rsid w:val="00067B2A"/>
    <w:rsid w:val="000704AD"/>
    <w:rsid w:val="000707C6"/>
    <w:rsid w:val="00070893"/>
    <w:rsid w:val="00070EA3"/>
    <w:rsid w:val="000735FD"/>
    <w:rsid w:val="00074AE4"/>
    <w:rsid w:val="000800AB"/>
    <w:rsid w:val="00081AEC"/>
    <w:rsid w:val="000853E8"/>
    <w:rsid w:val="0008757F"/>
    <w:rsid w:val="00091D5E"/>
    <w:rsid w:val="00096DD8"/>
    <w:rsid w:val="000A0ED4"/>
    <w:rsid w:val="000A1A8A"/>
    <w:rsid w:val="000A2F3A"/>
    <w:rsid w:val="000A40C3"/>
    <w:rsid w:val="000A610D"/>
    <w:rsid w:val="000A78A5"/>
    <w:rsid w:val="000A797E"/>
    <w:rsid w:val="000A7C9D"/>
    <w:rsid w:val="000B1536"/>
    <w:rsid w:val="000B28FA"/>
    <w:rsid w:val="000B3D0A"/>
    <w:rsid w:val="000B44F3"/>
    <w:rsid w:val="000B4F11"/>
    <w:rsid w:val="000B579F"/>
    <w:rsid w:val="000B7C86"/>
    <w:rsid w:val="000C2579"/>
    <w:rsid w:val="000C334D"/>
    <w:rsid w:val="000C624D"/>
    <w:rsid w:val="000C7341"/>
    <w:rsid w:val="000D0090"/>
    <w:rsid w:val="000D0763"/>
    <w:rsid w:val="000D0E9D"/>
    <w:rsid w:val="000D2A51"/>
    <w:rsid w:val="000D2C05"/>
    <w:rsid w:val="000D37C8"/>
    <w:rsid w:val="000D537F"/>
    <w:rsid w:val="000D62B6"/>
    <w:rsid w:val="000D62C4"/>
    <w:rsid w:val="000D65D1"/>
    <w:rsid w:val="000D677D"/>
    <w:rsid w:val="000D743A"/>
    <w:rsid w:val="000D780C"/>
    <w:rsid w:val="000E0659"/>
    <w:rsid w:val="000E0E26"/>
    <w:rsid w:val="000E2CD4"/>
    <w:rsid w:val="000E2EE6"/>
    <w:rsid w:val="000E32F2"/>
    <w:rsid w:val="000E3E33"/>
    <w:rsid w:val="000E57C2"/>
    <w:rsid w:val="000E6930"/>
    <w:rsid w:val="000E6B67"/>
    <w:rsid w:val="000E6FC9"/>
    <w:rsid w:val="000F25D7"/>
    <w:rsid w:val="000F2EF1"/>
    <w:rsid w:val="000F36EE"/>
    <w:rsid w:val="000F37D4"/>
    <w:rsid w:val="000F564A"/>
    <w:rsid w:val="000F5F69"/>
    <w:rsid w:val="000F79EB"/>
    <w:rsid w:val="00100B9C"/>
    <w:rsid w:val="001039E6"/>
    <w:rsid w:val="00104C99"/>
    <w:rsid w:val="00104F03"/>
    <w:rsid w:val="0010527B"/>
    <w:rsid w:val="0010572B"/>
    <w:rsid w:val="0010671A"/>
    <w:rsid w:val="00107FDD"/>
    <w:rsid w:val="001112B4"/>
    <w:rsid w:val="00111C32"/>
    <w:rsid w:val="00111EE1"/>
    <w:rsid w:val="00112975"/>
    <w:rsid w:val="00112C52"/>
    <w:rsid w:val="001143CE"/>
    <w:rsid w:val="00114A5F"/>
    <w:rsid w:val="001164C1"/>
    <w:rsid w:val="001179B9"/>
    <w:rsid w:val="00123C30"/>
    <w:rsid w:val="00123D83"/>
    <w:rsid w:val="00125073"/>
    <w:rsid w:val="001271D0"/>
    <w:rsid w:val="00127E71"/>
    <w:rsid w:val="00127EC0"/>
    <w:rsid w:val="0013291B"/>
    <w:rsid w:val="001333F8"/>
    <w:rsid w:val="001353E6"/>
    <w:rsid w:val="00140741"/>
    <w:rsid w:val="001411A7"/>
    <w:rsid w:val="001425D8"/>
    <w:rsid w:val="0014290F"/>
    <w:rsid w:val="00142AB9"/>
    <w:rsid w:val="00144005"/>
    <w:rsid w:val="001441D6"/>
    <w:rsid w:val="00147E88"/>
    <w:rsid w:val="00150787"/>
    <w:rsid w:val="00150D2C"/>
    <w:rsid w:val="0015179C"/>
    <w:rsid w:val="00151F19"/>
    <w:rsid w:val="00153F8D"/>
    <w:rsid w:val="00154886"/>
    <w:rsid w:val="00157D0F"/>
    <w:rsid w:val="00160B17"/>
    <w:rsid w:val="00163477"/>
    <w:rsid w:val="001674AB"/>
    <w:rsid w:val="00167611"/>
    <w:rsid w:val="00167A5D"/>
    <w:rsid w:val="0017142F"/>
    <w:rsid w:val="00171D6B"/>
    <w:rsid w:val="00173F3D"/>
    <w:rsid w:val="00174081"/>
    <w:rsid w:val="00177C58"/>
    <w:rsid w:val="001804F2"/>
    <w:rsid w:val="00180DFA"/>
    <w:rsid w:val="00180FEB"/>
    <w:rsid w:val="00182087"/>
    <w:rsid w:val="00182487"/>
    <w:rsid w:val="001829A1"/>
    <w:rsid w:val="00183BD9"/>
    <w:rsid w:val="00183DB0"/>
    <w:rsid w:val="0018519C"/>
    <w:rsid w:val="00185E4A"/>
    <w:rsid w:val="00192681"/>
    <w:rsid w:val="0019343C"/>
    <w:rsid w:val="00197CAA"/>
    <w:rsid w:val="001A1457"/>
    <w:rsid w:val="001A17F1"/>
    <w:rsid w:val="001A2338"/>
    <w:rsid w:val="001A29E5"/>
    <w:rsid w:val="001A39C1"/>
    <w:rsid w:val="001A3BC2"/>
    <w:rsid w:val="001A4FF2"/>
    <w:rsid w:val="001A6E71"/>
    <w:rsid w:val="001A6F69"/>
    <w:rsid w:val="001A7CA0"/>
    <w:rsid w:val="001B28AE"/>
    <w:rsid w:val="001B3D5C"/>
    <w:rsid w:val="001B4394"/>
    <w:rsid w:val="001B4413"/>
    <w:rsid w:val="001B505E"/>
    <w:rsid w:val="001B5BE9"/>
    <w:rsid w:val="001B62C0"/>
    <w:rsid w:val="001B6572"/>
    <w:rsid w:val="001B6B9F"/>
    <w:rsid w:val="001C073E"/>
    <w:rsid w:val="001C165F"/>
    <w:rsid w:val="001C1FC0"/>
    <w:rsid w:val="001C2214"/>
    <w:rsid w:val="001C2A8A"/>
    <w:rsid w:val="001C447E"/>
    <w:rsid w:val="001C6C12"/>
    <w:rsid w:val="001C6FB0"/>
    <w:rsid w:val="001C78E3"/>
    <w:rsid w:val="001C7C2A"/>
    <w:rsid w:val="001D1B60"/>
    <w:rsid w:val="001D24DC"/>
    <w:rsid w:val="001D46D0"/>
    <w:rsid w:val="001D51F6"/>
    <w:rsid w:val="001D7836"/>
    <w:rsid w:val="001E15F6"/>
    <w:rsid w:val="001E4358"/>
    <w:rsid w:val="001E6FE9"/>
    <w:rsid w:val="001E7087"/>
    <w:rsid w:val="001F20AE"/>
    <w:rsid w:val="001F395B"/>
    <w:rsid w:val="001F4E93"/>
    <w:rsid w:val="001F6E63"/>
    <w:rsid w:val="001F7AEE"/>
    <w:rsid w:val="002031B3"/>
    <w:rsid w:val="002054A4"/>
    <w:rsid w:val="00205C97"/>
    <w:rsid w:val="00207433"/>
    <w:rsid w:val="002127D2"/>
    <w:rsid w:val="002141E5"/>
    <w:rsid w:val="00214227"/>
    <w:rsid w:val="00214302"/>
    <w:rsid w:val="00215831"/>
    <w:rsid w:val="00220C14"/>
    <w:rsid w:val="00224151"/>
    <w:rsid w:val="00224E51"/>
    <w:rsid w:val="00227961"/>
    <w:rsid w:val="0023366C"/>
    <w:rsid w:val="00234A68"/>
    <w:rsid w:val="00235146"/>
    <w:rsid w:val="00235897"/>
    <w:rsid w:val="002368CB"/>
    <w:rsid w:val="00240F1D"/>
    <w:rsid w:val="00242DD5"/>
    <w:rsid w:val="0024301A"/>
    <w:rsid w:val="00243C3E"/>
    <w:rsid w:val="00245949"/>
    <w:rsid w:val="00247C40"/>
    <w:rsid w:val="002508C3"/>
    <w:rsid w:val="00251300"/>
    <w:rsid w:val="00253E03"/>
    <w:rsid w:val="002554D0"/>
    <w:rsid w:val="00260B85"/>
    <w:rsid w:val="0026149A"/>
    <w:rsid w:val="00262E21"/>
    <w:rsid w:val="00266CBD"/>
    <w:rsid w:val="00270389"/>
    <w:rsid w:val="00270DDB"/>
    <w:rsid w:val="00270EEF"/>
    <w:rsid w:val="00270F30"/>
    <w:rsid w:val="002714F3"/>
    <w:rsid w:val="00272876"/>
    <w:rsid w:val="00272F9B"/>
    <w:rsid w:val="00274A54"/>
    <w:rsid w:val="002761A6"/>
    <w:rsid w:val="002775D2"/>
    <w:rsid w:val="00277CC0"/>
    <w:rsid w:val="0028179E"/>
    <w:rsid w:val="0028214F"/>
    <w:rsid w:val="002825A7"/>
    <w:rsid w:val="00283010"/>
    <w:rsid w:val="002848A1"/>
    <w:rsid w:val="00285642"/>
    <w:rsid w:val="00286299"/>
    <w:rsid w:val="00286A98"/>
    <w:rsid w:val="0028734B"/>
    <w:rsid w:val="00290795"/>
    <w:rsid w:val="00290A5D"/>
    <w:rsid w:val="002913D5"/>
    <w:rsid w:val="00291609"/>
    <w:rsid w:val="00291EFF"/>
    <w:rsid w:val="00294460"/>
    <w:rsid w:val="00297282"/>
    <w:rsid w:val="002A04B1"/>
    <w:rsid w:val="002A17E3"/>
    <w:rsid w:val="002A2071"/>
    <w:rsid w:val="002A37EB"/>
    <w:rsid w:val="002A3D1E"/>
    <w:rsid w:val="002A4B36"/>
    <w:rsid w:val="002A6746"/>
    <w:rsid w:val="002A7540"/>
    <w:rsid w:val="002A7F3F"/>
    <w:rsid w:val="002A7F9F"/>
    <w:rsid w:val="002B1499"/>
    <w:rsid w:val="002B19D0"/>
    <w:rsid w:val="002B4B9F"/>
    <w:rsid w:val="002B54BB"/>
    <w:rsid w:val="002B6AC7"/>
    <w:rsid w:val="002B775E"/>
    <w:rsid w:val="002C1E4B"/>
    <w:rsid w:val="002C22D0"/>
    <w:rsid w:val="002C4693"/>
    <w:rsid w:val="002C60B8"/>
    <w:rsid w:val="002C6D60"/>
    <w:rsid w:val="002C7547"/>
    <w:rsid w:val="002D16B4"/>
    <w:rsid w:val="002D2639"/>
    <w:rsid w:val="002D46B4"/>
    <w:rsid w:val="002D5CFC"/>
    <w:rsid w:val="002D69CA"/>
    <w:rsid w:val="002D7EEF"/>
    <w:rsid w:val="002E0460"/>
    <w:rsid w:val="002E0F93"/>
    <w:rsid w:val="002E121A"/>
    <w:rsid w:val="002E1D78"/>
    <w:rsid w:val="002E2343"/>
    <w:rsid w:val="002E40FC"/>
    <w:rsid w:val="002E5D58"/>
    <w:rsid w:val="002E6021"/>
    <w:rsid w:val="002F0099"/>
    <w:rsid w:val="002F029A"/>
    <w:rsid w:val="002F2A42"/>
    <w:rsid w:val="002F37D2"/>
    <w:rsid w:val="002F6629"/>
    <w:rsid w:val="002F6A57"/>
    <w:rsid w:val="0030059F"/>
    <w:rsid w:val="00301E3D"/>
    <w:rsid w:val="003023D2"/>
    <w:rsid w:val="00304DB2"/>
    <w:rsid w:val="00306729"/>
    <w:rsid w:val="00306AB5"/>
    <w:rsid w:val="00306DC2"/>
    <w:rsid w:val="003071E6"/>
    <w:rsid w:val="0031019C"/>
    <w:rsid w:val="00311500"/>
    <w:rsid w:val="00313956"/>
    <w:rsid w:val="0031535C"/>
    <w:rsid w:val="00317C87"/>
    <w:rsid w:val="003254E7"/>
    <w:rsid w:val="00325EDA"/>
    <w:rsid w:val="00326195"/>
    <w:rsid w:val="003312D2"/>
    <w:rsid w:val="003313DB"/>
    <w:rsid w:val="003334E7"/>
    <w:rsid w:val="00335443"/>
    <w:rsid w:val="0033557B"/>
    <w:rsid w:val="00341360"/>
    <w:rsid w:val="00343533"/>
    <w:rsid w:val="00343848"/>
    <w:rsid w:val="00344CC1"/>
    <w:rsid w:val="0034681B"/>
    <w:rsid w:val="003470E0"/>
    <w:rsid w:val="00351257"/>
    <w:rsid w:val="00354637"/>
    <w:rsid w:val="003646AB"/>
    <w:rsid w:val="0036474C"/>
    <w:rsid w:val="00364D42"/>
    <w:rsid w:val="003666F7"/>
    <w:rsid w:val="00367BEF"/>
    <w:rsid w:val="00367E40"/>
    <w:rsid w:val="003708C9"/>
    <w:rsid w:val="00370C10"/>
    <w:rsid w:val="00372D8A"/>
    <w:rsid w:val="00373341"/>
    <w:rsid w:val="00374671"/>
    <w:rsid w:val="0037476C"/>
    <w:rsid w:val="00374876"/>
    <w:rsid w:val="003767DD"/>
    <w:rsid w:val="00377A19"/>
    <w:rsid w:val="003812E0"/>
    <w:rsid w:val="00381C3D"/>
    <w:rsid w:val="0038333D"/>
    <w:rsid w:val="00383589"/>
    <w:rsid w:val="003915A1"/>
    <w:rsid w:val="003918BF"/>
    <w:rsid w:val="00391C30"/>
    <w:rsid w:val="00392232"/>
    <w:rsid w:val="0039387F"/>
    <w:rsid w:val="003A36E5"/>
    <w:rsid w:val="003A4B69"/>
    <w:rsid w:val="003A5613"/>
    <w:rsid w:val="003A61F5"/>
    <w:rsid w:val="003A7215"/>
    <w:rsid w:val="003A7331"/>
    <w:rsid w:val="003B149F"/>
    <w:rsid w:val="003B15B5"/>
    <w:rsid w:val="003B196C"/>
    <w:rsid w:val="003B1F43"/>
    <w:rsid w:val="003B4510"/>
    <w:rsid w:val="003B779F"/>
    <w:rsid w:val="003B77DD"/>
    <w:rsid w:val="003B7FE7"/>
    <w:rsid w:val="003C05F7"/>
    <w:rsid w:val="003C0C12"/>
    <w:rsid w:val="003C0E15"/>
    <w:rsid w:val="003C15D4"/>
    <w:rsid w:val="003C4674"/>
    <w:rsid w:val="003C58B6"/>
    <w:rsid w:val="003C602A"/>
    <w:rsid w:val="003C6F06"/>
    <w:rsid w:val="003D0418"/>
    <w:rsid w:val="003D0618"/>
    <w:rsid w:val="003D1AED"/>
    <w:rsid w:val="003D21A7"/>
    <w:rsid w:val="003D21C1"/>
    <w:rsid w:val="003D226C"/>
    <w:rsid w:val="003D2412"/>
    <w:rsid w:val="003D2678"/>
    <w:rsid w:val="003D272B"/>
    <w:rsid w:val="003D49B0"/>
    <w:rsid w:val="003D5142"/>
    <w:rsid w:val="003D5188"/>
    <w:rsid w:val="003D527A"/>
    <w:rsid w:val="003D53EB"/>
    <w:rsid w:val="003E00C8"/>
    <w:rsid w:val="003E1CD2"/>
    <w:rsid w:val="003E321D"/>
    <w:rsid w:val="003E346E"/>
    <w:rsid w:val="003E37B0"/>
    <w:rsid w:val="003E4911"/>
    <w:rsid w:val="003E5AFD"/>
    <w:rsid w:val="003E6D08"/>
    <w:rsid w:val="003F02D3"/>
    <w:rsid w:val="003F0D0F"/>
    <w:rsid w:val="003F2EC0"/>
    <w:rsid w:val="003F7404"/>
    <w:rsid w:val="0040055B"/>
    <w:rsid w:val="00400ACB"/>
    <w:rsid w:val="00400CCA"/>
    <w:rsid w:val="00400CD6"/>
    <w:rsid w:val="0040136F"/>
    <w:rsid w:val="00401655"/>
    <w:rsid w:val="00402328"/>
    <w:rsid w:val="00402505"/>
    <w:rsid w:val="00402642"/>
    <w:rsid w:val="00402BA1"/>
    <w:rsid w:val="00403131"/>
    <w:rsid w:val="00404169"/>
    <w:rsid w:val="004055A9"/>
    <w:rsid w:val="00407E71"/>
    <w:rsid w:val="00410235"/>
    <w:rsid w:val="0041320E"/>
    <w:rsid w:val="00413389"/>
    <w:rsid w:val="004146BF"/>
    <w:rsid w:val="004152F4"/>
    <w:rsid w:val="00415D92"/>
    <w:rsid w:val="00416150"/>
    <w:rsid w:val="00417063"/>
    <w:rsid w:val="00423EEB"/>
    <w:rsid w:val="00424304"/>
    <w:rsid w:val="004244A6"/>
    <w:rsid w:val="00425C79"/>
    <w:rsid w:val="00425DFD"/>
    <w:rsid w:val="0042685E"/>
    <w:rsid w:val="004300E8"/>
    <w:rsid w:val="00430B05"/>
    <w:rsid w:val="00431ABF"/>
    <w:rsid w:val="00432200"/>
    <w:rsid w:val="00433CC3"/>
    <w:rsid w:val="00433F10"/>
    <w:rsid w:val="0043502E"/>
    <w:rsid w:val="00435EFB"/>
    <w:rsid w:val="0044445F"/>
    <w:rsid w:val="00445A02"/>
    <w:rsid w:val="00445AAD"/>
    <w:rsid w:val="00446583"/>
    <w:rsid w:val="004472BD"/>
    <w:rsid w:val="004478CD"/>
    <w:rsid w:val="00447BE3"/>
    <w:rsid w:val="004504E2"/>
    <w:rsid w:val="004507A8"/>
    <w:rsid w:val="00450DC7"/>
    <w:rsid w:val="00451BC6"/>
    <w:rsid w:val="00451CE4"/>
    <w:rsid w:val="00453291"/>
    <w:rsid w:val="0045429A"/>
    <w:rsid w:val="004554C6"/>
    <w:rsid w:val="00456A3F"/>
    <w:rsid w:val="0046044F"/>
    <w:rsid w:val="00460CC6"/>
    <w:rsid w:val="004621BB"/>
    <w:rsid w:val="00463301"/>
    <w:rsid w:val="00464DF1"/>
    <w:rsid w:val="0046745B"/>
    <w:rsid w:val="004722CB"/>
    <w:rsid w:val="004740B5"/>
    <w:rsid w:val="00476C67"/>
    <w:rsid w:val="00480B55"/>
    <w:rsid w:val="004821C6"/>
    <w:rsid w:val="004828B4"/>
    <w:rsid w:val="00484802"/>
    <w:rsid w:val="004902AC"/>
    <w:rsid w:val="0049084D"/>
    <w:rsid w:val="00491248"/>
    <w:rsid w:val="0049176F"/>
    <w:rsid w:val="004919D5"/>
    <w:rsid w:val="00493630"/>
    <w:rsid w:val="004936FF"/>
    <w:rsid w:val="004943C0"/>
    <w:rsid w:val="00494F9A"/>
    <w:rsid w:val="00496EAC"/>
    <w:rsid w:val="0049754C"/>
    <w:rsid w:val="004A089D"/>
    <w:rsid w:val="004A0F3D"/>
    <w:rsid w:val="004A1BB9"/>
    <w:rsid w:val="004A21A9"/>
    <w:rsid w:val="004A2B17"/>
    <w:rsid w:val="004A3ED9"/>
    <w:rsid w:val="004A4AAE"/>
    <w:rsid w:val="004A5525"/>
    <w:rsid w:val="004A6742"/>
    <w:rsid w:val="004B1F82"/>
    <w:rsid w:val="004B3EEA"/>
    <w:rsid w:val="004B427C"/>
    <w:rsid w:val="004B4325"/>
    <w:rsid w:val="004B7CBF"/>
    <w:rsid w:val="004C0DEF"/>
    <w:rsid w:val="004C6C0A"/>
    <w:rsid w:val="004D0591"/>
    <w:rsid w:val="004D0BC0"/>
    <w:rsid w:val="004D2710"/>
    <w:rsid w:val="004D3E63"/>
    <w:rsid w:val="004D4C9B"/>
    <w:rsid w:val="004D551D"/>
    <w:rsid w:val="004D677E"/>
    <w:rsid w:val="004E0088"/>
    <w:rsid w:val="004E1BDE"/>
    <w:rsid w:val="004E5A3B"/>
    <w:rsid w:val="004E65DA"/>
    <w:rsid w:val="004E6E27"/>
    <w:rsid w:val="004F4D17"/>
    <w:rsid w:val="004F7259"/>
    <w:rsid w:val="004F7AB5"/>
    <w:rsid w:val="004F7B2B"/>
    <w:rsid w:val="00501428"/>
    <w:rsid w:val="00501687"/>
    <w:rsid w:val="0050241A"/>
    <w:rsid w:val="005043DC"/>
    <w:rsid w:val="005059FC"/>
    <w:rsid w:val="00506513"/>
    <w:rsid w:val="00506D4C"/>
    <w:rsid w:val="005101B0"/>
    <w:rsid w:val="0051030D"/>
    <w:rsid w:val="00510471"/>
    <w:rsid w:val="00510CCB"/>
    <w:rsid w:val="00510F8D"/>
    <w:rsid w:val="005135BC"/>
    <w:rsid w:val="005161F1"/>
    <w:rsid w:val="00516F93"/>
    <w:rsid w:val="00517402"/>
    <w:rsid w:val="00520795"/>
    <w:rsid w:val="00524CD7"/>
    <w:rsid w:val="0052594B"/>
    <w:rsid w:val="0052641D"/>
    <w:rsid w:val="0052779C"/>
    <w:rsid w:val="00531867"/>
    <w:rsid w:val="00531AD9"/>
    <w:rsid w:val="0053419B"/>
    <w:rsid w:val="005346DA"/>
    <w:rsid w:val="00535B00"/>
    <w:rsid w:val="00540E1F"/>
    <w:rsid w:val="00543387"/>
    <w:rsid w:val="00544361"/>
    <w:rsid w:val="00544A3D"/>
    <w:rsid w:val="005453AD"/>
    <w:rsid w:val="00547D14"/>
    <w:rsid w:val="005508B5"/>
    <w:rsid w:val="005516AB"/>
    <w:rsid w:val="00551C62"/>
    <w:rsid w:val="00552557"/>
    <w:rsid w:val="00552A6E"/>
    <w:rsid w:val="0055438E"/>
    <w:rsid w:val="0056049D"/>
    <w:rsid w:val="005604B1"/>
    <w:rsid w:val="00560E47"/>
    <w:rsid w:val="00561269"/>
    <w:rsid w:val="005614DE"/>
    <w:rsid w:val="005621D1"/>
    <w:rsid w:val="00571077"/>
    <w:rsid w:val="005874B0"/>
    <w:rsid w:val="00587959"/>
    <w:rsid w:val="00591196"/>
    <w:rsid w:val="005932CC"/>
    <w:rsid w:val="00593FA5"/>
    <w:rsid w:val="005949F1"/>
    <w:rsid w:val="00595318"/>
    <w:rsid w:val="005958E8"/>
    <w:rsid w:val="005975B6"/>
    <w:rsid w:val="00597A45"/>
    <w:rsid w:val="00597AEF"/>
    <w:rsid w:val="005A1AE2"/>
    <w:rsid w:val="005A2400"/>
    <w:rsid w:val="005A4697"/>
    <w:rsid w:val="005A6370"/>
    <w:rsid w:val="005B0630"/>
    <w:rsid w:val="005B0BCE"/>
    <w:rsid w:val="005B0CF3"/>
    <w:rsid w:val="005B0EE8"/>
    <w:rsid w:val="005B3146"/>
    <w:rsid w:val="005B314C"/>
    <w:rsid w:val="005B3DD5"/>
    <w:rsid w:val="005B4204"/>
    <w:rsid w:val="005B438C"/>
    <w:rsid w:val="005B4462"/>
    <w:rsid w:val="005B4D5C"/>
    <w:rsid w:val="005B4D94"/>
    <w:rsid w:val="005B6858"/>
    <w:rsid w:val="005C4D09"/>
    <w:rsid w:val="005C5E59"/>
    <w:rsid w:val="005C6344"/>
    <w:rsid w:val="005C7A6D"/>
    <w:rsid w:val="005D1310"/>
    <w:rsid w:val="005D2F20"/>
    <w:rsid w:val="005D2F3A"/>
    <w:rsid w:val="005D3305"/>
    <w:rsid w:val="005D3732"/>
    <w:rsid w:val="005D522D"/>
    <w:rsid w:val="005D5B9D"/>
    <w:rsid w:val="005D7548"/>
    <w:rsid w:val="005E0254"/>
    <w:rsid w:val="005E1242"/>
    <w:rsid w:val="005E14BB"/>
    <w:rsid w:val="005E1733"/>
    <w:rsid w:val="005E1BBF"/>
    <w:rsid w:val="005E24B0"/>
    <w:rsid w:val="005E3E42"/>
    <w:rsid w:val="005E43DB"/>
    <w:rsid w:val="005E48E6"/>
    <w:rsid w:val="005E6810"/>
    <w:rsid w:val="005E7642"/>
    <w:rsid w:val="005E7AC4"/>
    <w:rsid w:val="005F04CB"/>
    <w:rsid w:val="005F1294"/>
    <w:rsid w:val="005F1975"/>
    <w:rsid w:val="005F1C11"/>
    <w:rsid w:val="005F240B"/>
    <w:rsid w:val="005F3496"/>
    <w:rsid w:val="0060095A"/>
    <w:rsid w:val="006013FC"/>
    <w:rsid w:val="00604338"/>
    <w:rsid w:val="00604CA7"/>
    <w:rsid w:val="006058AC"/>
    <w:rsid w:val="006100FB"/>
    <w:rsid w:val="00610D7E"/>
    <w:rsid w:val="00621291"/>
    <w:rsid w:val="00622966"/>
    <w:rsid w:val="00622B93"/>
    <w:rsid w:val="0062359E"/>
    <w:rsid w:val="00623B0A"/>
    <w:rsid w:val="00625000"/>
    <w:rsid w:val="0062502B"/>
    <w:rsid w:val="00625D77"/>
    <w:rsid w:val="00626A73"/>
    <w:rsid w:val="00632308"/>
    <w:rsid w:val="00632941"/>
    <w:rsid w:val="0063432C"/>
    <w:rsid w:val="006347AC"/>
    <w:rsid w:val="00637794"/>
    <w:rsid w:val="006378C5"/>
    <w:rsid w:val="00637DFF"/>
    <w:rsid w:val="00640DEC"/>
    <w:rsid w:val="0064144E"/>
    <w:rsid w:val="006414A3"/>
    <w:rsid w:val="00641694"/>
    <w:rsid w:val="0064444F"/>
    <w:rsid w:val="00644C66"/>
    <w:rsid w:val="00645F61"/>
    <w:rsid w:val="00646424"/>
    <w:rsid w:val="006466AC"/>
    <w:rsid w:val="00646929"/>
    <w:rsid w:val="0064769D"/>
    <w:rsid w:val="00652146"/>
    <w:rsid w:val="00653E8A"/>
    <w:rsid w:val="00653F2F"/>
    <w:rsid w:val="006546F7"/>
    <w:rsid w:val="006554EE"/>
    <w:rsid w:val="00657103"/>
    <w:rsid w:val="00657A1A"/>
    <w:rsid w:val="00657B67"/>
    <w:rsid w:val="006616AC"/>
    <w:rsid w:val="00661C08"/>
    <w:rsid w:val="006635D4"/>
    <w:rsid w:val="00664C9B"/>
    <w:rsid w:val="00665B2E"/>
    <w:rsid w:val="00666D86"/>
    <w:rsid w:val="00670B10"/>
    <w:rsid w:val="0067206C"/>
    <w:rsid w:val="0067781A"/>
    <w:rsid w:val="00680D43"/>
    <w:rsid w:val="0068438B"/>
    <w:rsid w:val="00684FC9"/>
    <w:rsid w:val="006868EF"/>
    <w:rsid w:val="00686E34"/>
    <w:rsid w:val="006871FB"/>
    <w:rsid w:val="006920D5"/>
    <w:rsid w:val="00694205"/>
    <w:rsid w:val="00694C42"/>
    <w:rsid w:val="006A0186"/>
    <w:rsid w:val="006A02F0"/>
    <w:rsid w:val="006A27D5"/>
    <w:rsid w:val="006A3376"/>
    <w:rsid w:val="006A4415"/>
    <w:rsid w:val="006A52D4"/>
    <w:rsid w:val="006A6505"/>
    <w:rsid w:val="006A7F16"/>
    <w:rsid w:val="006B01A1"/>
    <w:rsid w:val="006B26C0"/>
    <w:rsid w:val="006B4FB1"/>
    <w:rsid w:val="006B5D2E"/>
    <w:rsid w:val="006B77B2"/>
    <w:rsid w:val="006C0386"/>
    <w:rsid w:val="006C290D"/>
    <w:rsid w:val="006C3A5E"/>
    <w:rsid w:val="006C65F0"/>
    <w:rsid w:val="006C68CE"/>
    <w:rsid w:val="006D0E3A"/>
    <w:rsid w:val="006D19CC"/>
    <w:rsid w:val="006D2B64"/>
    <w:rsid w:val="006D4507"/>
    <w:rsid w:val="006D5328"/>
    <w:rsid w:val="006D78DC"/>
    <w:rsid w:val="006E08FD"/>
    <w:rsid w:val="006E1EEA"/>
    <w:rsid w:val="006E3173"/>
    <w:rsid w:val="006E324E"/>
    <w:rsid w:val="006E3D2E"/>
    <w:rsid w:val="006E53E9"/>
    <w:rsid w:val="006E5B0B"/>
    <w:rsid w:val="006E6633"/>
    <w:rsid w:val="006F0D58"/>
    <w:rsid w:val="006F3536"/>
    <w:rsid w:val="006F5C1F"/>
    <w:rsid w:val="006F6A23"/>
    <w:rsid w:val="006F72A7"/>
    <w:rsid w:val="006F7FA8"/>
    <w:rsid w:val="007000EE"/>
    <w:rsid w:val="007003CA"/>
    <w:rsid w:val="0070064A"/>
    <w:rsid w:val="007012AE"/>
    <w:rsid w:val="00702379"/>
    <w:rsid w:val="00702F30"/>
    <w:rsid w:val="00705DE1"/>
    <w:rsid w:val="00706796"/>
    <w:rsid w:val="00707CFB"/>
    <w:rsid w:val="00710CAC"/>
    <w:rsid w:val="00711949"/>
    <w:rsid w:val="00712DE7"/>
    <w:rsid w:val="00716383"/>
    <w:rsid w:val="00717A72"/>
    <w:rsid w:val="007207F3"/>
    <w:rsid w:val="00720BB7"/>
    <w:rsid w:val="00721103"/>
    <w:rsid w:val="007236F3"/>
    <w:rsid w:val="00724CC3"/>
    <w:rsid w:val="0072709C"/>
    <w:rsid w:val="00727F98"/>
    <w:rsid w:val="00730CFD"/>
    <w:rsid w:val="00731115"/>
    <w:rsid w:val="007311C5"/>
    <w:rsid w:val="007317E5"/>
    <w:rsid w:val="00731BFC"/>
    <w:rsid w:val="0073367E"/>
    <w:rsid w:val="00733ED8"/>
    <w:rsid w:val="00734557"/>
    <w:rsid w:val="007378A5"/>
    <w:rsid w:val="00742FAB"/>
    <w:rsid w:val="0074338F"/>
    <w:rsid w:val="007434DD"/>
    <w:rsid w:val="00743BAB"/>
    <w:rsid w:val="007440F5"/>
    <w:rsid w:val="0075069A"/>
    <w:rsid w:val="00752005"/>
    <w:rsid w:val="00752569"/>
    <w:rsid w:val="007535B9"/>
    <w:rsid w:val="0075579A"/>
    <w:rsid w:val="007566F0"/>
    <w:rsid w:val="0075724E"/>
    <w:rsid w:val="007577C7"/>
    <w:rsid w:val="00757B71"/>
    <w:rsid w:val="00760BA1"/>
    <w:rsid w:val="00762445"/>
    <w:rsid w:val="007625DE"/>
    <w:rsid w:val="00762D85"/>
    <w:rsid w:val="00763CF6"/>
    <w:rsid w:val="00763F75"/>
    <w:rsid w:val="007642C8"/>
    <w:rsid w:val="00764712"/>
    <w:rsid w:val="00766415"/>
    <w:rsid w:val="00773A14"/>
    <w:rsid w:val="00773E82"/>
    <w:rsid w:val="00774AAD"/>
    <w:rsid w:val="00775F95"/>
    <w:rsid w:val="00782D09"/>
    <w:rsid w:val="007830DC"/>
    <w:rsid w:val="007835FD"/>
    <w:rsid w:val="007900BA"/>
    <w:rsid w:val="00790234"/>
    <w:rsid w:val="00794C59"/>
    <w:rsid w:val="00796A18"/>
    <w:rsid w:val="007972F8"/>
    <w:rsid w:val="007975D4"/>
    <w:rsid w:val="007A0023"/>
    <w:rsid w:val="007A2F37"/>
    <w:rsid w:val="007A4652"/>
    <w:rsid w:val="007A4E1C"/>
    <w:rsid w:val="007A54AE"/>
    <w:rsid w:val="007A67B6"/>
    <w:rsid w:val="007A7DDF"/>
    <w:rsid w:val="007B036E"/>
    <w:rsid w:val="007B0F82"/>
    <w:rsid w:val="007B23FA"/>
    <w:rsid w:val="007B2C41"/>
    <w:rsid w:val="007B3237"/>
    <w:rsid w:val="007B65DF"/>
    <w:rsid w:val="007B7EC3"/>
    <w:rsid w:val="007C21CA"/>
    <w:rsid w:val="007C333C"/>
    <w:rsid w:val="007C3511"/>
    <w:rsid w:val="007C5A60"/>
    <w:rsid w:val="007C7746"/>
    <w:rsid w:val="007D19F3"/>
    <w:rsid w:val="007D1AE1"/>
    <w:rsid w:val="007D3670"/>
    <w:rsid w:val="007D6A03"/>
    <w:rsid w:val="007D7E00"/>
    <w:rsid w:val="007E3250"/>
    <w:rsid w:val="007E3589"/>
    <w:rsid w:val="007E3B83"/>
    <w:rsid w:val="007E44BB"/>
    <w:rsid w:val="007E6130"/>
    <w:rsid w:val="007F28F6"/>
    <w:rsid w:val="007F2A79"/>
    <w:rsid w:val="007F3081"/>
    <w:rsid w:val="007F391C"/>
    <w:rsid w:val="007F5807"/>
    <w:rsid w:val="007F6865"/>
    <w:rsid w:val="007F78F3"/>
    <w:rsid w:val="007F7CC6"/>
    <w:rsid w:val="007F7D2C"/>
    <w:rsid w:val="007F7D9A"/>
    <w:rsid w:val="0080039F"/>
    <w:rsid w:val="00800FA7"/>
    <w:rsid w:val="00803027"/>
    <w:rsid w:val="008036FA"/>
    <w:rsid w:val="00806DBD"/>
    <w:rsid w:val="008108C8"/>
    <w:rsid w:val="00810F48"/>
    <w:rsid w:val="0081361B"/>
    <w:rsid w:val="0081411C"/>
    <w:rsid w:val="00814C13"/>
    <w:rsid w:val="00817060"/>
    <w:rsid w:val="008176FA"/>
    <w:rsid w:val="0081790A"/>
    <w:rsid w:val="00826334"/>
    <w:rsid w:val="00830265"/>
    <w:rsid w:val="0083027F"/>
    <w:rsid w:val="00833B30"/>
    <w:rsid w:val="0083474C"/>
    <w:rsid w:val="00835130"/>
    <w:rsid w:val="00837F19"/>
    <w:rsid w:val="00842214"/>
    <w:rsid w:val="00842CD5"/>
    <w:rsid w:val="00843964"/>
    <w:rsid w:val="0084508B"/>
    <w:rsid w:val="00846C55"/>
    <w:rsid w:val="00846D5D"/>
    <w:rsid w:val="00852B0D"/>
    <w:rsid w:val="0085505C"/>
    <w:rsid w:val="00856D88"/>
    <w:rsid w:val="008579EC"/>
    <w:rsid w:val="00861FFB"/>
    <w:rsid w:val="008642B4"/>
    <w:rsid w:val="00865957"/>
    <w:rsid w:val="008668B8"/>
    <w:rsid w:val="00866B07"/>
    <w:rsid w:val="0087040F"/>
    <w:rsid w:val="008718C8"/>
    <w:rsid w:val="008734A6"/>
    <w:rsid w:val="008741EF"/>
    <w:rsid w:val="008763F6"/>
    <w:rsid w:val="00876940"/>
    <w:rsid w:val="0087695B"/>
    <w:rsid w:val="00876D92"/>
    <w:rsid w:val="00877DB6"/>
    <w:rsid w:val="00877E1E"/>
    <w:rsid w:val="00877E41"/>
    <w:rsid w:val="00881B52"/>
    <w:rsid w:val="0088316C"/>
    <w:rsid w:val="00885836"/>
    <w:rsid w:val="00890CBA"/>
    <w:rsid w:val="008920F6"/>
    <w:rsid w:val="008944BC"/>
    <w:rsid w:val="00895530"/>
    <w:rsid w:val="008A1AC8"/>
    <w:rsid w:val="008A1C10"/>
    <w:rsid w:val="008A2A9F"/>
    <w:rsid w:val="008A7D94"/>
    <w:rsid w:val="008B1560"/>
    <w:rsid w:val="008B64A8"/>
    <w:rsid w:val="008B6603"/>
    <w:rsid w:val="008B7862"/>
    <w:rsid w:val="008C18B5"/>
    <w:rsid w:val="008C3926"/>
    <w:rsid w:val="008C3D56"/>
    <w:rsid w:val="008C6200"/>
    <w:rsid w:val="008C7550"/>
    <w:rsid w:val="008D09D6"/>
    <w:rsid w:val="008D2A86"/>
    <w:rsid w:val="008D302C"/>
    <w:rsid w:val="008D30A1"/>
    <w:rsid w:val="008D35C0"/>
    <w:rsid w:val="008D43DA"/>
    <w:rsid w:val="008E14E1"/>
    <w:rsid w:val="008E2260"/>
    <w:rsid w:val="008E2448"/>
    <w:rsid w:val="008E2B3A"/>
    <w:rsid w:val="008E35B4"/>
    <w:rsid w:val="008E3A74"/>
    <w:rsid w:val="008E4090"/>
    <w:rsid w:val="008E4283"/>
    <w:rsid w:val="008E4BF2"/>
    <w:rsid w:val="008F05E9"/>
    <w:rsid w:val="008F183D"/>
    <w:rsid w:val="008F30AD"/>
    <w:rsid w:val="008F3326"/>
    <w:rsid w:val="008F44D8"/>
    <w:rsid w:val="008F4FA9"/>
    <w:rsid w:val="008F5D17"/>
    <w:rsid w:val="008F7803"/>
    <w:rsid w:val="008F7F10"/>
    <w:rsid w:val="00902DE6"/>
    <w:rsid w:val="009033CE"/>
    <w:rsid w:val="00903990"/>
    <w:rsid w:val="00904465"/>
    <w:rsid w:val="00904972"/>
    <w:rsid w:val="00904A9D"/>
    <w:rsid w:val="00905F31"/>
    <w:rsid w:val="00906B98"/>
    <w:rsid w:val="009072BE"/>
    <w:rsid w:val="00907FDC"/>
    <w:rsid w:val="00910966"/>
    <w:rsid w:val="00912C69"/>
    <w:rsid w:val="00913291"/>
    <w:rsid w:val="00913888"/>
    <w:rsid w:val="009149AC"/>
    <w:rsid w:val="00915106"/>
    <w:rsid w:val="00915F6B"/>
    <w:rsid w:val="00917267"/>
    <w:rsid w:val="00920966"/>
    <w:rsid w:val="009213E5"/>
    <w:rsid w:val="0092151B"/>
    <w:rsid w:val="00922895"/>
    <w:rsid w:val="00922E6A"/>
    <w:rsid w:val="00924502"/>
    <w:rsid w:val="00925630"/>
    <w:rsid w:val="0092797A"/>
    <w:rsid w:val="00930562"/>
    <w:rsid w:val="00932BF9"/>
    <w:rsid w:val="00933605"/>
    <w:rsid w:val="00933983"/>
    <w:rsid w:val="00934CDB"/>
    <w:rsid w:val="009364ED"/>
    <w:rsid w:val="00937F7A"/>
    <w:rsid w:val="009406F2"/>
    <w:rsid w:val="009410A2"/>
    <w:rsid w:val="009419C6"/>
    <w:rsid w:val="00942435"/>
    <w:rsid w:val="00943557"/>
    <w:rsid w:val="00945B7C"/>
    <w:rsid w:val="00947B20"/>
    <w:rsid w:val="00953BAE"/>
    <w:rsid w:val="00954112"/>
    <w:rsid w:val="00954128"/>
    <w:rsid w:val="0095481A"/>
    <w:rsid w:val="0095539C"/>
    <w:rsid w:val="00956980"/>
    <w:rsid w:val="00956F67"/>
    <w:rsid w:val="00956FD5"/>
    <w:rsid w:val="00960A1C"/>
    <w:rsid w:val="00960FAA"/>
    <w:rsid w:val="00961AF1"/>
    <w:rsid w:val="00961DC5"/>
    <w:rsid w:val="00964059"/>
    <w:rsid w:val="009641D6"/>
    <w:rsid w:val="009642FD"/>
    <w:rsid w:val="009645F7"/>
    <w:rsid w:val="0096583C"/>
    <w:rsid w:val="0096606C"/>
    <w:rsid w:val="009670A0"/>
    <w:rsid w:val="00967B8A"/>
    <w:rsid w:val="009705D6"/>
    <w:rsid w:val="00970A30"/>
    <w:rsid w:val="00970A42"/>
    <w:rsid w:val="00970E18"/>
    <w:rsid w:val="00975A18"/>
    <w:rsid w:val="00975AEA"/>
    <w:rsid w:val="00977560"/>
    <w:rsid w:val="0097756E"/>
    <w:rsid w:val="00980864"/>
    <w:rsid w:val="00981053"/>
    <w:rsid w:val="009849F3"/>
    <w:rsid w:val="009866CF"/>
    <w:rsid w:val="0098690F"/>
    <w:rsid w:val="00987DA8"/>
    <w:rsid w:val="0099078C"/>
    <w:rsid w:val="00991662"/>
    <w:rsid w:val="00992067"/>
    <w:rsid w:val="00993AC9"/>
    <w:rsid w:val="00993EFE"/>
    <w:rsid w:val="0099786A"/>
    <w:rsid w:val="009A0163"/>
    <w:rsid w:val="009A022F"/>
    <w:rsid w:val="009A1383"/>
    <w:rsid w:val="009A310E"/>
    <w:rsid w:val="009A42E7"/>
    <w:rsid w:val="009A4416"/>
    <w:rsid w:val="009A5B32"/>
    <w:rsid w:val="009A6B46"/>
    <w:rsid w:val="009A6C5A"/>
    <w:rsid w:val="009A7614"/>
    <w:rsid w:val="009A7E58"/>
    <w:rsid w:val="009B1496"/>
    <w:rsid w:val="009B25D5"/>
    <w:rsid w:val="009B348E"/>
    <w:rsid w:val="009B3762"/>
    <w:rsid w:val="009B5BDF"/>
    <w:rsid w:val="009B61B4"/>
    <w:rsid w:val="009C0AD1"/>
    <w:rsid w:val="009C0B32"/>
    <w:rsid w:val="009C266E"/>
    <w:rsid w:val="009C512E"/>
    <w:rsid w:val="009C7D4D"/>
    <w:rsid w:val="009D0F59"/>
    <w:rsid w:val="009D1BF4"/>
    <w:rsid w:val="009D320C"/>
    <w:rsid w:val="009D6066"/>
    <w:rsid w:val="009E0EF4"/>
    <w:rsid w:val="009E41AC"/>
    <w:rsid w:val="009E4609"/>
    <w:rsid w:val="009E4DE8"/>
    <w:rsid w:val="009E535F"/>
    <w:rsid w:val="009E646C"/>
    <w:rsid w:val="009E6657"/>
    <w:rsid w:val="009E7AC9"/>
    <w:rsid w:val="009F0286"/>
    <w:rsid w:val="009F08E7"/>
    <w:rsid w:val="009F0C48"/>
    <w:rsid w:val="009F12F8"/>
    <w:rsid w:val="009F28A8"/>
    <w:rsid w:val="009F5202"/>
    <w:rsid w:val="009F5C52"/>
    <w:rsid w:val="009F631C"/>
    <w:rsid w:val="009F64D2"/>
    <w:rsid w:val="009F6669"/>
    <w:rsid w:val="00A01A79"/>
    <w:rsid w:val="00A01C73"/>
    <w:rsid w:val="00A02137"/>
    <w:rsid w:val="00A03473"/>
    <w:rsid w:val="00A06157"/>
    <w:rsid w:val="00A07F56"/>
    <w:rsid w:val="00A11234"/>
    <w:rsid w:val="00A11695"/>
    <w:rsid w:val="00A11CD9"/>
    <w:rsid w:val="00A1273C"/>
    <w:rsid w:val="00A142B7"/>
    <w:rsid w:val="00A14DCA"/>
    <w:rsid w:val="00A15BCC"/>
    <w:rsid w:val="00A16A2E"/>
    <w:rsid w:val="00A1751D"/>
    <w:rsid w:val="00A17972"/>
    <w:rsid w:val="00A202E7"/>
    <w:rsid w:val="00A207EF"/>
    <w:rsid w:val="00A23BA3"/>
    <w:rsid w:val="00A24B3B"/>
    <w:rsid w:val="00A27A29"/>
    <w:rsid w:val="00A27F18"/>
    <w:rsid w:val="00A301BC"/>
    <w:rsid w:val="00A341ED"/>
    <w:rsid w:val="00A36033"/>
    <w:rsid w:val="00A36864"/>
    <w:rsid w:val="00A375EE"/>
    <w:rsid w:val="00A41D3C"/>
    <w:rsid w:val="00A42872"/>
    <w:rsid w:val="00A432D7"/>
    <w:rsid w:val="00A4370A"/>
    <w:rsid w:val="00A44883"/>
    <w:rsid w:val="00A45B95"/>
    <w:rsid w:val="00A462E6"/>
    <w:rsid w:val="00A46360"/>
    <w:rsid w:val="00A4747B"/>
    <w:rsid w:val="00A50717"/>
    <w:rsid w:val="00A51740"/>
    <w:rsid w:val="00A5220A"/>
    <w:rsid w:val="00A523A2"/>
    <w:rsid w:val="00A52828"/>
    <w:rsid w:val="00A57100"/>
    <w:rsid w:val="00A612FE"/>
    <w:rsid w:val="00A6167B"/>
    <w:rsid w:val="00A62E44"/>
    <w:rsid w:val="00A63E27"/>
    <w:rsid w:val="00A63EEF"/>
    <w:rsid w:val="00A647ED"/>
    <w:rsid w:val="00A702AD"/>
    <w:rsid w:val="00A74D75"/>
    <w:rsid w:val="00A76DC2"/>
    <w:rsid w:val="00A8176D"/>
    <w:rsid w:val="00A84507"/>
    <w:rsid w:val="00A84E4B"/>
    <w:rsid w:val="00A85747"/>
    <w:rsid w:val="00A87EBD"/>
    <w:rsid w:val="00A92344"/>
    <w:rsid w:val="00A926E5"/>
    <w:rsid w:val="00A93544"/>
    <w:rsid w:val="00A93770"/>
    <w:rsid w:val="00A9416B"/>
    <w:rsid w:val="00A944F0"/>
    <w:rsid w:val="00A9467E"/>
    <w:rsid w:val="00A953EE"/>
    <w:rsid w:val="00A964A4"/>
    <w:rsid w:val="00A970CD"/>
    <w:rsid w:val="00A979FC"/>
    <w:rsid w:val="00AA2121"/>
    <w:rsid w:val="00AA34C6"/>
    <w:rsid w:val="00AB026B"/>
    <w:rsid w:val="00AB5A74"/>
    <w:rsid w:val="00AC1A7F"/>
    <w:rsid w:val="00AC3312"/>
    <w:rsid w:val="00AC4B14"/>
    <w:rsid w:val="00AC5C1D"/>
    <w:rsid w:val="00AD073D"/>
    <w:rsid w:val="00AD3465"/>
    <w:rsid w:val="00AD39D4"/>
    <w:rsid w:val="00AD3AE1"/>
    <w:rsid w:val="00AD4F72"/>
    <w:rsid w:val="00AD6C4C"/>
    <w:rsid w:val="00AE18CA"/>
    <w:rsid w:val="00AE1B8B"/>
    <w:rsid w:val="00AE1DF8"/>
    <w:rsid w:val="00AE22EE"/>
    <w:rsid w:val="00AE3CA4"/>
    <w:rsid w:val="00AE3DBB"/>
    <w:rsid w:val="00AE4139"/>
    <w:rsid w:val="00AE5A03"/>
    <w:rsid w:val="00AE68A8"/>
    <w:rsid w:val="00AE7E00"/>
    <w:rsid w:val="00AF02D3"/>
    <w:rsid w:val="00AF1418"/>
    <w:rsid w:val="00AF1CCC"/>
    <w:rsid w:val="00AF4B7B"/>
    <w:rsid w:val="00AF5318"/>
    <w:rsid w:val="00B004CD"/>
    <w:rsid w:val="00B00626"/>
    <w:rsid w:val="00B02DDD"/>
    <w:rsid w:val="00B0739D"/>
    <w:rsid w:val="00B10119"/>
    <w:rsid w:val="00B10E15"/>
    <w:rsid w:val="00B16375"/>
    <w:rsid w:val="00B16A39"/>
    <w:rsid w:val="00B16DA2"/>
    <w:rsid w:val="00B2146F"/>
    <w:rsid w:val="00B220DD"/>
    <w:rsid w:val="00B23CCC"/>
    <w:rsid w:val="00B2578F"/>
    <w:rsid w:val="00B26592"/>
    <w:rsid w:val="00B2673A"/>
    <w:rsid w:val="00B301A6"/>
    <w:rsid w:val="00B310FF"/>
    <w:rsid w:val="00B31F48"/>
    <w:rsid w:val="00B31F91"/>
    <w:rsid w:val="00B323B9"/>
    <w:rsid w:val="00B33612"/>
    <w:rsid w:val="00B34C21"/>
    <w:rsid w:val="00B358B8"/>
    <w:rsid w:val="00B35B0F"/>
    <w:rsid w:val="00B378E6"/>
    <w:rsid w:val="00B40A51"/>
    <w:rsid w:val="00B413E3"/>
    <w:rsid w:val="00B42ABB"/>
    <w:rsid w:val="00B44EBD"/>
    <w:rsid w:val="00B50B74"/>
    <w:rsid w:val="00B517E3"/>
    <w:rsid w:val="00B52143"/>
    <w:rsid w:val="00B522B3"/>
    <w:rsid w:val="00B5394A"/>
    <w:rsid w:val="00B54B1C"/>
    <w:rsid w:val="00B555A3"/>
    <w:rsid w:val="00B55D99"/>
    <w:rsid w:val="00B5664A"/>
    <w:rsid w:val="00B56D5E"/>
    <w:rsid w:val="00B57948"/>
    <w:rsid w:val="00B6360B"/>
    <w:rsid w:val="00B638EC"/>
    <w:rsid w:val="00B64786"/>
    <w:rsid w:val="00B64B3C"/>
    <w:rsid w:val="00B6530D"/>
    <w:rsid w:val="00B661DA"/>
    <w:rsid w:val="00B66789"/>
    <w:rsid w:val="00B6682D"/>
    <w:rsid w:val="00B66DBB"/>
    <w:rsid w:val="00B67C26"/>
    <w:rsid w:val="00B7279F"/>
    <w:rsid w:val="00B72E6F"/>
    <w:rsid w:val="00B7310F"/>
    <w:rsid w:val="00B74967"/>
    <w:rsid w:val="00B76F42"/>
    <w:rsid w:val="00B77D43"/>
    <w:rsid w:val="00B819AC"/>
    <w:rsid w:val="00B81FE3"/>
    <w:rsid w:val="00B85AF7"/>
    <w:rsid w:val="00B866A5"/>
    <w:rsid w:val="00B8675F"/>
    <w:rsid w:val="00B91F09"/>
    <w:rsid w:val="00B934DF"/>
    <w:rsid w:val="00B957B0"/>
    <w:rsid w:val="00BA0181"/>
    <w:rsid w:val="00BA20D6"/>
    <w:rsid w:val="00BA7F82"/>
    <w:rsid w:val="00BB38C4"/>
    <w:rsid w:val="00BB4335"/>
    <w:rsid w:val="00BB4351"/>
    <w:rsid w:val="00BB45A4"/>
    <w:rsid w:val="00BB487C"/>
    <w:rsid w:val="00BB4BA2"/>
    <w:rsid w:val="00BB53E4"/>
    <w:rsid w:val="00BB58A9"/>
    <w:rsid w:val="00BB58AC"/>
    <w:rsid w:val="00BB5AC6"/>
    <w:rsid w:val="00BB7124"/>
    <w:rsid w:val="00BB7550"/>
    <w:rsid w:val="00BB7853"/>
    <w:rsid w:val="00BC4E98"/>
    <w:rsid w:val="00BC78D4"/>
    <w:rsid w:val="00BD0183"/>
    <w:rsid w:val="00BD0569"/>
    <w:rsid w:val="00BD0D4D"/>
    <w:rsid w:val="00BD1826"/>
    <w:rsid w:val="00BD3B7D"/>
    <w:rsid w:val="00BD7AD1"/>
    <w:rsid w:val="00BE0046"/>
    <w:rsid w:val="00BE0F70"/>
    <w:rsid w:val="00BE1C24"/>
    <w:rsid w:val="00BE3D0A"/>
    <w:rsid w:val="00BE45E9"/>
    <w:rsid w:val="00BE4D63"/>
    <w:rsid w:val="00BE5391"/>
    <w:rsid w:val="00BE6F34"/>
    <w:rsid w:val="00BE7130"/>
    <w:rsid w:val="00BF0D99"/>
    <w:rsid w:val="00BF22FB"/>
    <w:rsid w:val="00BF24FC"/>
    <w:rsid w:val="00BF2577"/>
    <w:rsid w:val="00BF4677"/>
    <w:rsid w:val="00BF52B4"/>
    <w:rsid w:val="00C003E6"/>
    <w:rsid w:val="00C0138D"/>
    <w:rsid w:val="00C01A2A"/>
    <w:rsid w:val="00C03D40"/>
    <w:rsid w:val="00C06048"/>
    <w:rsid w:val="00C0687E"/>
    <w:rsid w:val="00C073BA"/>
    <w:rsid w:val="00C07F2E"/>
    <w:rsid w:val="00C13137"/>
    <w:rsid w:val="00C13482"/>
    <w:rsid w:val="00C135FD"/>
    <w:rsid w:val="00C13C3A"/>
    <w:rsid w:val="00C145C1"/>
    <w:rsid w:val="00C14DBF"/>
    <w:rsid w:val="00C15B61"/>
    <w:rsid w:val="00C16FDC"/>
    <w:rsid w:val="00C173ED"/>
    <w:rsid w:val="00C17799"/>
    <w:rsid w:val="00C17900"/>
    <w:rsid w:val="00C21761"/>
    <w:rsid w:val="00C21835"/>
    <w:rsid w:val="00C21ED6"/>
    <w:rsid w:val="00C220CC"/>
    <w:rsid w:val="00C243C1"/>
    <w:rsid w:val="00C2471E"/>
    <w:rsid w:val="00C25A50"/>
    <w:rsid w:val="00C2647D"/>
    <w:rsid w:val="00C3380C"/>
    <w:rsid w:val="00C33AC2"/>
    <w:rsid w:val="00C33CF0"/>
    <w:rsid w:val="00C343EC"/>
    <w:rsid w:val="00C365E6"/>
    <w:rsid w:val="00C37436"/>
    <w:rsid w:val="00C420B5"/>
    <w:rsid w:val="00C4363E"/>
    <w:rsid w:val="00C44537"/>
    <w:rsid w:val="00C4510E"/>
    <w:rsid w:val="00C45992"/>
    <w:rsid w:val="00C4642B"/>
    <w:rsid w:val="00C46A09"/>
    <w:rsid w:val="00C4717F"/>
    <w:rsid w:val="00C503BF"/>
    <w:rsid w:val="00C51083"/>
    <w:rsid w:val="00C52526"/>
    <w:rsid w:val="00C5385E"/>
    <w:rsid w:val="00C54461"/>
    <w:rsid w:val="00C55B1F"/>
    <w:rsid w:val="00C61E02"/>
    <w:rsid w:val="00C643F6"/>
    <w:rsid w:val="00C6481E"/>
    <w:rsid w:val="00C653FB"/>
    <w:rsid w:val="00C703D7"/>
    <w:rsid w:val="00C73134"/>
    <w:rsid w:val="00C74129"/>
    <w:rsid w:val="00C7413A"/>
    <w:rsid w:val="00C74CF7"/>
    <w:rsid w:val="00C759F1"/>
    <w:rsid w:val="00C75CE7"/>
    <w:rsid w:val="00C75F36"/>
    <w:rsid w:val="00C76014"/>
    <w:rsid w:val="00C76AD7"/>
    <w:rsid w:val="00C775F3"/>
    <w:rsid w:val="00C83577"/>
    <w:rsid w:val="00C83DF1"/>
    <w:rsid w:val="00C84815"/>
    <w:rsid w:val="00C853E9"/>
    <w:rsid w:val="00C85D1C"/>
    <w:rsid w:val="00C8765C"/>
    <w:rsid w:val="00C90526"/>
    <w:rsid w:val="00C90DF7"/>
    <w:rsid w:val="00C90F06"/>
    <w:rsid w:val="00C9307D"/>
    <w:rsid w:val="00C93828"/>
    <w:rsid w:val="00C93A72"/>
    <w:rsid w:val="00C93E12"/>
    <w:rsid w:val="00C94705"/>
    <w:rsid w:val="00C9508E"/>
    <w:rsid w:val="00C9567E"/>
    <w:rsid w:val="00C95D60"/>
    <w:rsid w:val="00C96D98"/>
    <w:rsid w:val="00C96F18"/>
    <w:rsid w:val="00C978E2"/>
    <w:rsid w:val="00CA0713"/>
    <w:rsid w:val="00CA118E"/>
    <w:rsid w:val="00CA16BC"/>
    <w:rsid w:val="00CA1C11"/>
    <w:rsid w:val="00CA4006"/>
    <w:rsid w:val="00CA4274"/>
    <w:rsid w:val="00CA4468"/>
    <w:rsid w:val="00CA4785"/>
    <w:rsid w:val="00CA6303"/>
    <w:rsid w:val="00CB12D6"/>
    <w:rsid w:val="00CB3A77"/>
    <w:rsid w:val="00CB4643"/>
    <w:rsid w:val="00CB5675"/>
    <w:rsid w:val="00CB7237"/>
    <w:rsid w:val="00CB7557"/>
    <w:rsid w:val="00CB75BB"/>
    <w:rsid w:val="00CB77D8"/>
    <w:rsid w:val="00CC06F6"/>
    <w:rsid w:val="00CC0979"/>
    <w:rsid w:val="00CC307A"/>
    <w:rsid w:val="00CC5989"/>
    <w:rsid w:val="00CC5996"/>
    <w:rsid w:val="00CC6E84"/>
    <w:rsid w:val="00CC7105"/>
    <w:rsid w:val="00CD0A27"/>
    <w:rsid w:val="00CD0D9A"/>
    <w:rsid w:val="00CD6368"/>
    <w:rsid w:val="00CD666F"/>
    <w:rsid w:val="00CD66CA"/>
    <w:rsid w:val="00CE066B"/>
    <w:rsid w:val="00CE1A31"/>
    <w:rsid w:val="00CE1E95"/>
    <w:rsid w:val="00CE2E48"/>
    <w:rsid w:val="00CE357B"/>
    <w:rsid w:val="00CE492A"/>
    <w:rsid w:val="00CE4CF5"/>
    <w:rsid w:val="00CE6958"/>
    <w:rsid w:val="00CE781A"/>
    <w:rsid w:val="00CF0378"/>
    <w:rsid w:val="00CF098C"/>
    <w:rsid w:val="00CF0AD6"/>
    <w:rsid w:val="00CF1C49"/>
    <w:rsid w:val="00CF1DA6"/>
    <w:rsid w:val="00CF5C97"/>
    <w:rsid w:val="00CF5F4E"/>
    <w:rsid w:val="00D0090E"/>
    <w:rsid w:val="00D00D9F"/>
    <w:rsid w:val="00D01AA1"/>
    <w:rsid w:val="00D020AF"/>
    <w:rsid w:val="00D020B4"/>
    <w:rsid w:val="00D047E3"/>
    <w:rsid w:val="00D05A1F"/>
    <w:rsid w:val="00D067B3"/>
    <w:rsid w:val="00D071B0"/>
    <w:rsid w:val="00D07A31"/>
    <w:rsid w:val="00D07F94"/>
    <w:rsid w:val="00D120FB"/>
    <w:rsid w:val="00D1222B"/>
    <w:rsid w:val="00D12408"/>
    <w:rsid w:val="00D131FD"/>
    <w:rsid w:val="00D152B3"/>
    <w:rsid w:val="00D205F2"/>
    <w:rsid w:val="00D228BF"/>
    <w:rsid w:val="00D22F27"/>
    <w:rsid w:val="00D23C89"/>
    <w:rsid w:val="00D24A7A"/>
    <w:rsid w:val="00D272BF"/>
    <w:rsid w:val="00D27FCF"/>
    <w:rsid w:val="00D30AE1"/>
    <w:rsid w:val="00D31492"/>
    <w:rsid w:val="00D315D3"/>
    <w:rsid w:val="00D33DF1"/>
    <w:rsid w:val="00D36C61"/>
    <w:rsid w:val="00D37685"/>
    <w:rsid w:val="00D4217E"/>
    <w:rsid w:val="00D42B0F"/>
    <w:rsid w:val="00D44541"/>
    <w:rsid w:val="00D44A57"/>
    <w:rsid w:val="00D46F24"/>
    <w:rsid w:val="00D50DE5"/>
    <w:rsid w:val="00D52697"/>
    <w:rsid w:val="00D52A22"/>
    <w:rsid w:val="00D52B03"/>
    <w:rsid w:val="00D53559"/>
    <w:rsid w:val="00D54C4D"/>
    <w:rsid w:val="00D57717"/>
    <w:rsid w:val="00D60551"/>
    <w:rsid w:val="00D61147"/>
    <w:rsid w:val="00D630E2"/>
    <w:rsid w:val="00D63838"/>
    <w:rsid w:val="00D63AB6"/>
    <w:rsid w:val="00D640C7"/>
    <w:rsid w:val="00D66D92"/>
    <w:rsid w:val="00D67FFE"/>
    <w:rsid w:val="00D70639"/>
    <w:rsid w:val="00D72F2C"/>
    <w:rsid w:val="00D73C92"/>
    <w:rsid w:val="00D74628"/>
    <w:rsid w:val="00D7533F"/>
    <w:rsid w:val="00D7700C"/>
    <w:rsid w:val="00D82208"/>
    <w:rsid w:val="00D849DB"/>
    <w:rsid w:val="00D84DC0"/>
    <w:rsid w:val="00D8615D"/>
    <w:rsid w:val="00D8658E"/>
    <w:rsid w:val="00D8718E"/>
    <w:rsid w:val="00D913BF"/>
    <w:rsid w:val="00D913DC"/>
    <w:rsid w:val="00D92516"/>
    <w:rsid w:val="00D93406"/>
    <w:rsid w:val="00D93AD7"/>
    <w:rsid w:val="00D9415F"/>
    <w:rsid w:val="00D9454C"/>
    <w:rsid w:val="00D94D9A"/>
    <w:rsid w:val="00D956A8"/>
    <w:rsid w:val="00D97399"/>
    <w:rsid w:val="00DA05DD"/>
    <w:rsid w:val="00DA0985"/>
    <w:rsid w:val="00DA0C06"/>
    <w:rsid w:val="00DA378B"/>
    <w:rsid w:val="00DA4677"/>
    <w:rsid w:val="00DA5F22"/>
    <w:rsid w:val="00DA7B0B"/>
    <w:rsid w:val="00DA7E66"/>
    <w:rsid w:val="00DB2BB4"/>
    <w:rsid w:val="00DB49AB"/>
    <w:rsid w:val="00DB4E60"/>
    <w:rsid w:val="00DB50B1"/>
    <w:rsid w:val="00DB53AD"/>
    <w:rsid w:val="00DB6C5C"/>
    <w:rsid w:val="00DC1145"/>
    <w:rsid w:val="00DC2059"/>
    <w:rsid w:val="00DC4B43"/>
    <w:rsid w:val="00DC51FB"/>
    <w:rsid w:val="00DC56C9"/>
    <w:rsid w:val="00DC5DFB"/>
    <w:rsid w:val="00DC6134"/>
    <w:rsid w:val="00DD1914"/>
    <w:rsid w:val="00DD254F"/>
    <w:rsid w:val="00DD293F"/>
    <w:rsid w:val="00DD3F9A"/>
    <w:rsid w:val="00DD4B9C"/>
    <w:rsid w:val="00DD7191"/>
    <w:rsid w:val="00DE04C0"/>
    <w:rsid w:val="00DE36E1"/>
    <w:rsid w:val="00DE3A1E"/>
    <w:rsid w:val="00DE41F2"/>
    <w:rsid w:val="00DE4E87"/>
    <w:rsid w:val="00DF1AB6"/>
    <w:rsid w:val="00DF3887"/>
    <w:rsid w:val="00DF3CA2"/>
    <w:rsid w:val="00DF4054"/>
    <w:rsid w:val="00DF56FE"/>
    <w:rsid w:val="00DF5963"/>
    <w:rsid w:val="00DF6387"/>
    <w:rsid w:val="00DF6543"/>
    <w:rsid w:val="00DF76D8"/>
    <w:rsid w:val="00E0056B"/>
    <w:rsid w:val="00E01016"/>
    <w:rsid w:val="00E014F9"/>
    <w:rsid w:val="00E02430"/>
    <w:rsid w:val="00E042FB"/>
    <w:rsid w:val="00E07BC5"/>
    <w:rsid w:val="00E10C0C"/>
    <w:rsid w:val="00E17C58"/>
    <w:rsid w:val="00E20599"/>
    <w:rsid w:val="00E22013"/>
    <w:rsid w:val="00E23657"/>
    <w:rsid w:val="00E23D0A"/>
    <w:rsid w:val="00E24919"/>
    <w:rsid w:val="00E2666C"/>
    <w:rsid w:val="00E2670A"/>
    <w:rsid w:val="00E3062D"/>
    <w:rsid w:val="00E33826"/>
    <w:rsid w:val="00E357D2"/>
    <w:rsid w:val="00E359A4"/>
    <w:rsid w:val="00E35AE8"/>
    <w:rsid w:val="00E3706D"/>
    <w:rsid w:val="00E37AA0"/>
    <w:rsid w:val="00E37C1A"/>
    <w:rsid w:val="00E37DED"/>
    <w:rsid w:val="00E40974"/>
    <w:rsid w:val="00E40D53"/>
    <w:rsid w:val="00E41413"/>
    <w:rsid w:val="00E41E7A"/>
    <w:rsid w:val="00E450BF"/>
    <w:rsid w:val="00E508D8"/>
    <w:rsid w:val="00E53150"/>
    <w:rsid w:val="00E5322B"/>
    <w:rsid w:val="00E5475B"/>
    <w:rsid w:val="00E560C8"/>
    <w:rsid w:val="00E57829"/>
    <w:rsid w:val="00E60051"/>
    <w:rsid w:val="00E6048D"/>
    <w:rsid w:val="00E60FEC"/>
    <w:rsid w:val="00E624F6"/>
    <w:rsid w:val="00E63090"/>
    <w:rsid w:val="00E635FB"/>
    <w:rsid w:val="00E65003"/>
    <w:rsid w:val="00E65366"/>
    <w:rsid w:val="00E678D7"/>
    <w:rsid w:val="00E71812"/>
    <w:rsid w:val="00E77AB0"/>
    <w:rsid w:val="00E80D5C"/>
    <w:rsid w:val="00E80D5F"/>
    <w:rsid w:val="00E82A1A"/>
    <w:rsid w:val="00E83469"/>
    <w:rsid w:val="00E84A2A"/>
    <w:rsid w:val="00E8506B"/>
    <w:rsid w:val="00E879E2"/>
    <w:rsid w:val="00E87C85"/>
    <w:rsid w:val="00E90AF6"/>
    <w:rsid w:val="00E90B9A"/>
    <w:rsid w:val="00E92DF2"/>
    <w:rsid w:val="00E935BB"/>
    <w:rsid w:val="00E969CE"/>
    <w:rsid w:val="00E96C75"/>
    <w:rsid w:val="00E97AE0"/>
    <w:rsid w:val="00EA3144"/>
    <w:rsid w:val="00EA3BFB"/>
    <w:rsid w:val="00EA3F2D"/>
    <w:rsid w:val="00EA548C"/>
    <w:rsid w:val="00EA6980"/>
    <w:rsid w:val="00EA69E0"/>
    <w:rsid w:val="00EA7090"/>
    <w:rsid w:val="00EA71F7"/>
    <w:rsid w:val="00EB14F0"/>
    <w:rsid w:val="00EB15A2"/>
    <w:rsid w:val="00EB7D0A"/>
    <w:rsid w:val="00EC0926"/>
    <w:rsid w:val="00EC23B7"/>
    <w:rsid w:val="00EC24AB"/>
    <w:rsid w:val="00EC261D"/>
    <w:rsid w:val="00EC69AD"/>
    <w:rsid w:val="00ED1C61"/>
    <w:rsid w:val="00ED1F79"/>
    <w:rsid w:val="00ED25E8"/>
    <w:rsid w:val="00ED269D"/>
    <w:rsid w:val="00ED2C27"/>
    <w:rsid w:val="00EE021B"/>
    <w:rsid w:val="00EE219E"/>
    <w:rsid w:val="00EE2FB8"/>
    <w:rsid w:val="00EE42A6"/>
    <w:rsid w:val="00EE5D44"/>
    <w:rsid w:val="00EE7302"/>
    <w:rsid w:val="00EE7E88"/>
    <w:rsid w:val="00EF5180"/>
    <w:rsid w:val="00EF557C"/>
    <w:rsid w:val="00EF74BA"/>
    <w:rsid w:val="00F03DB2"/>
    <w:rsid w:val="00F042DC"/>
    <w:rsid w:val="00F109AF"/>
    <w:rsid w:val="00F10B2A"/>
    <w:rsid w:val="00F10DF6"/>
    <w:rsid w:val="00F14A1E"/>
    <w:rsid w:val="00F15341"/>
    <w:rsid w:val="00F16031"/>
    <w:rsid w:val="00F21409"/>
    <w:rsid w:val="00F222D3"/>
    <w:rsid w:val="00F23FB4"/>
    <w:rsid w:val="00F257E4"/>
    <w:rsid w:val="00F26D42"/>
    <w:rsid w:val="00F278CB"/>
    <w:rsid w:val="00F27BDF"/>
    <w:rsid w:val="00F3041E"/>
    <w:rsid w:val="00F30B1B"/>
    <w:rsid w:val="00F30F00"/>
    <w:rsid w:val="00F3235C"/>
    <w:rsid w:val="00F324B6"/>
    <w:rsid w:val="00F3263D"/>
    <w:rsid w:val="00F35964"/>
    <w:rsid w:val="00F35E09"/>
    <w:rsid w:val="00F35E8F"/>
    <w:rsid w:val="00F35EEE"/>
    <w:rsid w:val="00F3623C"/>
    <w:rsid w:val="00F41951"/>
    <w:rsid w:val="00F426F2"/>
    <w:rsid w:val="00F42F2A"/>
    <w:rsid w:val="00F44CCF"/>
    <w:rsid w:val="00F4699C"/>
    <w:rsid w:val="00F542D5"/>
    <w:rsid w:val="00F56807"/>
    <w:rsid w:val="00F573D7"/>
    <w:rsid w:val="00F61B7F"/>
    <w:rsid w:val="00F637B3"/>
    <w:rsid w:val="00F63A7D"/>
    <w:rsid w:val="00F6481D"/>
    <w:rsid w:val="00F65C1C"/>
    <w:rsid w:val="00F65ED6"/>
    <w:rsid w:val="00F67B1E"/>
    <w:rsid w:val="00F71434"/>
    <w:rsid w:val="00F71E2A"/>
    <w:rsid w:val="00F726BC"/>
    <w:rsid w:val="00F72AB3"/>
    <w:rsid w:val="00F74223"/>
    <w:rsid w:val="00F76170"/>
    <w:rsid w:val="00F76D86"/>
    <w:rsid w:val="00F80989"/>
    <w:rsid w:val="00F81688"/>
    <w:rsid w:val="00F828CB"/>
    <w:rsid w:val="00F8385B"/>
    <w:rsid w:val="00F875CF"/>
    <w:rsid w:val="00F875D4"/>
    <w:rsid w:val="00F87916"/>
    <w:rsid w:val="00F91045"/>
    <w:rsid w:val="00F930B8"/>
    <w:rsid w:val="00F9352F"/>
    <w:rsid w:val="00F960A9"/>
    <w:rsid w:val="00F97975"/>
    <w:rsid w:val="00FA0BEC"/>
    <w:rsid w:val="00FA170F"/>
    <w:rsid w:val="00FA2693"/>
    <w:rsid w:val="00FA2AA7"/>
    <w:rsid w:val="00FA2C94"/>
    <w:rsid w:val="00FA2E51"/>
    <w:rsid w:val="00FA3092"/>
    <w:rsid w:val="00FA358F"/>
    <w:rsid w:val="00FA3BBD"/>
    <w:rsid w:val="00FA5333"/>
    <w:rsid w:val="00FA6779"/>
    <w:rsid w:val="00FA72B4"/>
    <w:rsid w:val="00FB03C0"/>
    <w:rsid w:val="00FB03DC"/>
    <w:rsid w:val="00FB109A"/>
    <w:rsid w:val="00FB12C1"/>
    <w:rsid w:val="00FB2197"/>
    <w:rsid w:val="00FB21CB"/>
    <w:rsid w:val="00FB397B"/>
    <w:rsid w:val="00FB46D1"/>
    <w:rsid w:val="00FB501E"/>
    <w:rsid w:val="00FB57BD"/>
    <w:rsid w:val="00FB5B3B"/>
    <w:rsid w:val="00FB6CBB"/>
    <w:rsid w:val="00FB75CD"/>
    <w:rsid w:val="00FB77F3"/>
    <w:rsid w:val="00FC2810"/>
    <w:rsid w:val="00FC2C50"/>
    <w:rsid w:val="00FC2F13"/>
    <w:rsid w:val="00FC3762"/>
    <w:rsid w:val="00FC498A"/>
    <w:rsid w:val="00FC4ADF"/>
    <w:rsid w:val="00FC6D98"/>
    <w:rsid w:val="00FD0D77"/>
    <w:rsid w:val="00FD1636"/>
    <w:rsid w:val="00FD2A63"/>
    <w:rsid w:val="00FD2C2A"/>
    <w:rsid w:val="00FD3346"/>
    <w:rsid w:val="00FD35FE"/>
    <w:rsid w:val="00FD7441"/>
    <w:rsid w:val="00FE0E20"/>
    <w:rsid w:val="00FE198F"/>
    <w:rsid w:val="00FE2765"/>
    <w:rsid w:val="00FE6DC9"/>
    <w:rsid w:val="00FE70DB"/>
    <w:rsid w:val="00FF0B03"/>
    <w:rsid w:val="00FF10B5"/>
    <w:rsid w:val="00FF1AEE"/>
    <w:rsid w:val="00FF2571"/>
    <w:rsid w:val="00FF3D1C"/>
    <w:rsid w:val="00FF4727"/>
    <w:rsid w:val="00FF647A"/>
    <w:rsid w:val="00FF75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7A7B6A9"/>
  <w14:defaultImageDpi w14:val="32767"/>
  <w15:chartTrackingRefBased/>
  <w15:docId w15:val="{8CBDB118-7019-9C45-82C5-430EA049C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Body CS)"/>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E60051"/>
    <w:rPr>
      <w:rFonts w:eastAsia="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E60051"/>
    <w:rPr>
      <w:rFonts w:eastAsiaTheme="minorHAnsi" w:cs="Times New Roman (Body CS)"/>
      <w:sz w:val="20"/>
      <w:szCs w:val="20"/>
    </w:rPr>
  </w:style>
  <w:style w:type="character" w:customStyle="1" w:styleId="FootnoteTextChar">
    <w:name w:val="Footnote Text Char"/>
    <w:basedOn w:val="DefaultParagraphFont"/>
    <w:link w:val="FootnoteText"/>
    <w:uiPriority w:val="99"/>
    <w:semiHidden/>
    <w:rsid w:val="00E60051"/>
    <w:rPr>
      <w:sz w:val="20"/>
      <w:szCs w:val="20"/>
    </w:rPr>
  </w:style>
  <w:style w:type="character" w:styleId="FootnoteReference">
    <w:name w:val="footnote reference"/>
    <w:basedOn w:val="DefaultParagraphFont"/>
    <w:uiPriority w:val="99"/>
    <w:semiHidden/>
    <w:unhideWhenUsed/>
    <w:rsid w:val="00E60051"/>
    <w:rPr>
      <w:vertAlign w:val="superscript"/>
    </w:rPr>
  </w:style>
  <w:style w:type="paragraph" w:styleId="BalloonText">
    <w:name w:val="Balloon Text"/>
    <w:basedOn w:val="Normal"/>
    <w:link w:val="BalloonTextChar"/>
    <w:uiPriority w:val="99"/>
    <w:semiHidden/>
    <w:unhideWhenUsed/>
    <w:rsid w:val="00E60051"/>
    <w:rPr>
      <w:rFonts w:eastAsiaTheme="minorHAnsi"/>
      <w:sz w:val="18"/>
      <w:szCs w:val="18"/>
    </w:rPr>
  </w:style>
  <w:style w:type="character" w:customStyle="1" w:styleId="BalloonTextChar">
    <w:name w:val="Balloon Text Char"/>
    <w:basedOn w:val="DefaultParagraphFont"/>
    <w:link w:val="BalloonText"/>
    <w:uiPriority w:val="99"/>
    <w:semiHidden/>
    <w:rsid w:val="00E60051"/>
    <w:rPr>
      <w:rFonts w:cs="Times New Roman"/>
      <w:sz w:val="18"/>
      <w:szCs w:val="18"/>
    </w:rPr>
  </w:style>
  <w:style w:type="paragraph" w:customStyle="1" w:styleId="EndNoteBibliographyTitle">
    <w:name w:val="EndNote Bibliography Title"/>
    <w:basedOn w:val="Normal"/>
    <w:link w:val="EndNoteBibliographyTitleChar"/>
    <w:rsid w:val="00E60051"/>
    <w:pPr>
      <w:jc w:val="center"/>
    </w:pPr>
    <w:rPr>
      <w:rFonts w:eastAsiaTheme="minorHAnsi"/>
    </w:rPr>
  </w:style>
  <w:style w:type="character" w:customStyle="1" w:styleId="EndNoteBibliographyTitleChar">
    <w:name w:val="EndNote Bibliography Title Char"/>
    <w:basedOn w:val="DefaultParagraphFont"/>
    <w:link w:val="EndNoteBibliographyTitle"/>
    <w:rsid w:val="00E60051"/>
    <w:rPr>
      <w:rFonts w:cs="Times New Roman"/>
    </w:rPr>
  </w:style>
  <w:style w:type="paragraph" w:customStyle="1" w:styleId="EndNoteBibliography">
    <w:name w:val="EndNote Bibliography"/>
    <w:basedOn w:val="Normal"/>
    <w:link w:val="EndNoteBibliographyChar"/>
    <w:rsid w:val="00E60051"/>
    <w:pPr>
      <w:jc w:val="both"/>
    </w:pPr>
    <w:rPr>
      <w:rFonts w:eastAsiaTheme="minorHAnsi"/>
    </w:rPr>
  </w:style>
  <w:style w:type="character" w:customStyle="1" w:styleId="EndNoteBibliographyChar">
    <w:name w:val="EndNote Bibliography Char"/>
    <w:basedOn w:val="DefaultParagraphFont"/>
    <w:link w:val="EndNoteBibliography"/>
    <w:rsid w:val="00E60051"/>
    <w:rPr>
      <w:rFonts w:cs="Times New Roman"/>
    </w:rPr>
  </w:style>
  <w:style w:type="paragraph" w:styleId="Caption">
    <w:name w:val="caption"/>
    <w:basedOn w:val="Normal"/>
    <w:next w:val="Normal"/>
    <w:link w:val="CaptionChar"/>
    <w:unhideWhenUsed/>
    <w:qFormat/>
    <w:rsid w:val="00E60051"/>
    <w:pPr>
      <w:spacing w:after="200"/>
    </w:pPr>
    <w:rPr>
      <w:rFonts w:eastAsiaTheme="minorHAnsi" w:cstheme="minorBidi"/>
      <w:b/>
      <w:bCs/>
      <w:sz w:val="18"/>
      <w:szCs w:val="18"/>
    </w:rPr>
  </w:style>
  <w:style w:type="character" w:customStyle="1" w:styleId="CaptionChar">
    <w:name w:val="Caption Char"/>
    <w:basedOn w:val="DefaultParagraphFont"/>
    <w:link w:val="Caption"/>
    <w:rsid w:val="00E60051"/>
    <w:rPr>
      <w:rFonts w:cstheme="minorBidi"/>
      <w:b/>
      <w:bCs/>
      <w:sz w:val="18"/>
      <w:szCs w:val="18"/>
    </w:rPr>
  </w:style>
  <w:style w:type="table" w:styleId="TableGrid">
    <w:name w:val="Table Grid"/>
    <w:basedOn w:val="TableNormal"/>
    <w:uiPriority w:val="39"/>
    <w:rsid w:val="00E600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60051"/>
    <w:rPr>
      <w:color w:val="0563C1" w:themeColor="hyperlink"/>
      <w:u w:val="single"/>
    </w:rPr>
  </w:style>
  <w:style w:type="character" w:styleId="UnresolvedMention">
    <w:name w:val="Unresolved Mention"/>
    <w:basedOn w:val="DefaultParagraphFont"/>
    <w:uiPriority w:val="99"/>
    <w:rsid w:val="00E60051"/>
    <w:rPr>
      <w:color w:val="605E5C"/>
      <w:shd w:val="clear" w:color="auto" w:fill="E1DFDD"/>
    </w:rPr>
  </w:style>
  <w:style w:type="paragraph" w:styleId="ListParagraph">
    <w:name w:val="List Paragraph"/>
    <w:basedOn w:val="Normal"/>
    <w:uiPriority w:val="34"/>
    <w:qFormat/>
    <w:rsid w:val="00E60051"/>
    <w:pPr>
      <w:ind w:left="720"/>
      <w:contextualSpacing/>
    </w:pPr>
    <w:rPr>
      <w:rFonts w:eastAsiaTheme="minorHAnsi" w:cs="Times New Roman (Body CS)"/>
    </w:rPr>
  </w:style>
  <w:style w:type="character" w:styleId="PlaceholderText">
    <w:name w:val="Placeholder Text"/>
    <w:basedOn w:val="DefaultParagraphFont"/>
    <w:uiPriority w:val="99"/>
    <w:semiHidden/>
    <w:rsid w:val="00E60051"/>
    <w:rPr>
      <w:color w:val="808080"/>
    </w:rPr>
  </w:style>
  <w:style w:type="paragraph" w:styleId="BodyText">
    <w:name w:val="Body Text"/>
    <w:basedOn w:val="Normal"/>
    <w:link w:val="BodyTextChar"/>
    <w:uiPriority w:val="1"/>
    <w:qFormat/>
    <w:rsid w:val="00E60051"/>
    <w:pPr>
      <w:autoSpaceDE w:val="0"/>
      <w:autoSpaceDN w:val="0"/>
      <w:adjustRightInd w:val="0"/>
    </w:pPr>
    <w:rPr>
      <w:rFonts w:eastAsiaTheme="minorHAnsi"/>
      <w:sz w:val="18"/>
      <w:szCs w:val="18"/>
    </w:rPr>
  </w:style>
  <w:style w:type="character" w:customStyle="1" w:styleId="BodyTextChar">
    <w:name w:val="Body Text Char"/>
    <w:basedOn w:val="DefaultParagraphFont"/>
    <w:link w:val="BodyText"/>
    <w:uiPriority w:val="1"/>
    <w:rsid w:val="00E60051"/>
    <w:rPr>
      <w:rFonts w:cs="Times New Roman"/>
      <w:sz w:val="18"/>
      <w:szCs w:val="18"/>
    </w:rPr>
  </w:style>
  <w:style w:type="paragraph" w:customStyle="1" w:styleId="TableParagraph">
    <w:name w:val="Table Paragraph"/>
    <w:basedOn w:val="Normal"/>
    <w:uiPriority w:val="1"/>
    <w:qFormat/>
    <w:rsid w:val="00E60051"/>
    <w:pPr>
      <w:autoSpaceDE w:val="0"/>
      <w:autoSpaceDN w:val="0"/>
      <w:adjustRightInd w:val="0"/>
      <w:spacing w:before="10" w:line="203" w:lineRule="exact"/>
      <w:jc w:val="center"/>
    </w:pPr>
    <w:rPr>
      <w:rFonts w:eastAsiaTheme="minorHAnsi"/>
    </w:rPr>
  </w:style>
  <w:style w:type="paragraph" w:styleId="Footer">
    <w:name w:val="footer"/>
    <w:basedOn w:val="Normal"/>
    <w:link w:val="FooterChar"/>
    <w:uiPriority w:val="99"/>
    <w:unhideWhenUsed/>
    <w:rsid w:val="00E60051"/>
    <w:pPr>
      <w:tabs>
        <w:tab w:val="center" w:pos="4680"/>
        <w:tab w:val="right" w:pos="9360"/>
      </w:tabs>
    </w:pPr>
    <w:rPr>
      <w:rFonts w:eastAsiaTheme="minorHAnsi" w:cs="Times New Roman (Body CS)"/>
    </w:rPr>
  </w:style>
  <w:style w:type="character" w:customStyle="1" w:styleId="FooterChar">
    <w:name w:val="Footer Char"/>
    <w:basedOn w:val="DefaultParagraphFont"/>
    <w:link w:val="Footer"/>
    <w:uiPriority w:val="99"/>
    <w:rsid w:val="00E60051"/>
  </w:style>
  <w:style w:type="character" w:styleId="PageNumber">
    <w:name w:val="page number"/>
    <w:basedOn w:val="DefaultParagraphFont"/>
    <w:uiPriority w:val="99"/>
    <w:semiHidden/>
    <w:unhideWhenUsed/>
    <w:rsid w:val="00E60051"/>
  </w:style>
  <w:style w:type="character" w:styleId="CommentReference">
    <w:name w:val="annotation reference"/>
    <w:basedOn w:val="DefaultParagraphFont"/>
    <w:uiPriority w:val="99"/>
    <w:semiHidden/>
    <w:unhideWhenUsed/>
    <w:rsid w:val="00E60051"/>
    <w:rPr>
      <w:sz w:val="16"/>
      <w:szCs w:val="16"/>
    </w:rPr>
  </w:style>
  <w:style w:type="paragraph" w:styleId="CommentText">
    <w:name w:val="annotation text"/>
    <w:basedOn w:val="Normal"/>
    <w:link w:val="CommentTextChar"/>
    <w:uiPriority w:val="99"/>
    <w:semiHidden/>
    <w:unhideWhenUsed/>
    <w:rsid w:val="00E60051"/>
    <w:rPr>
      <w:rFonts w:eastAsiaTheme="minorHAnsi" w:cs="Times New Roman (Body CS)"/>
      <w:sz w:val="20"/>
      <w:szCs w:val="20"/>
    </w:rPr>
  </w:style>
  <w:style w:type="character" w:customStyle="1" w:styleId="CommentTextChar">
    <w:name w:val="Comment Text Char"/>
    <w:basedOn w:val="DefaultParagraphFont"/>
    <w:link w:val="CommentText"/>
    <w:uiPriority w:val="99"/>
    <w:semiHidden/>
    <w:rsid w:val="00E60051"/>
    <w:rPr>
      <w:sz w:val="20"/>
      <w:szCs w:val="20"/>
    </w:rPr>
  </w:style>
  <w:style w:type="paragraph" w:styleId="CommentSubject">
    <w:name w:val="annotation subject"/>
    <w:basedOn w:val="CommentText"/>
    <w:next w:val="CommentText"/>
    <w:link w:val="CommentSubjectChar"/>
    <w:uiPriority w:val="99"/>
    <w:semiHidden/>
    <w:unhideWhenUsed/>
    <w:rsid w:val="00E60051"/>
    <w:rPr>
      <w:b/>
      <w:bCs/>
    </w:rPr>
  </w:style>
  <w:style w:type="character" w:customStyle="1" w:styleId="CommentSubjectChar">
    <w:name w:val="Comment Subject Char"/>
    <w:basedOn w:val="CommentTextChar"/>
    <w:link w:val="CommentSubject"/>
    <w:uiPriority w:val="99"/>
    <w:semiHidden/>
    <w:rsid w:val="00E60051"/>
    <w:rPr>
      <w:b/>
      <w:bCs/>
      <w:sz w:val="20"/>
      <w:szCs w:val="20"/>
    </w:rPr>
  </w:style>
  <w:style w:type="character" w:styleId="FollowedHyperlink">
    <w:name w:val="FollowedHyperlink"/>
    <w:basedOn w:val="DefaultParagraphFont"/>
    <w:uiPriority w:val="99"/>
    <w:semiHidden/>
    <w:unhideWhenUsed/>
    <w:rsid w:val="00EA3BF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16/j.applthermaleng.2014.05.094" TargetMode="External"/><Relationship Id="rId21" Type="http://schemas.openxmlformats.org/officeDocument/2006/relationships/image" Target="media/image15.tiff"/><Relationship Id="rId42" Type="http://schemas.openxmlformats.org/officeDocument/2006/relationships/hyperlink" Target="https://doi.org/10.1016/j.fluid.2014.10.019" TargetMode="External"/><Relationship Id="rId47" Type="http://schemas.openxmlformats.org/officeDocument/2006/relationships/hyperlink" Target="https://doi.org/10.1021/ie301506n" TargetMode="External"/><Relationship Id="rId63" Type="http://schemas.openxmlformats.org/officeDocument/2006/relationships/hyperlink" Target="https://doi.org/10.1016/j.fluid.2010.02.002" TargetMode="External"/><Relationship Id="rId68" Type="http://schemas.openxmlformats.org/officeDocument/2006/relationships/hyperlink" Target="http://www.cosmologic.de/turbomole/tmolex.html" TargetMode="External"/><Relationship Id="rId16" Type="http://schemas.openxmlformats.org/officeDocument/2006/relationships/image" Target="media/image10.tiff"/><Relationship Id="rId11" Type="http://schemas.openxmlformats.org/officeDocument/2006/relationships/image" Target="media/image5.png"/><Relationship Id="rId32" Type="http://schemas.openxmlformats.org/officeDocument/2006/relationships/hyperlink" Target="https://doi.org/10.1191/0960327104ht480oa" TargetMode="External"/><Relationship Id="rId37" Type="http://schemas.openxmlformats.org/officeDocument/2006/relationships/hyperlink" Target="https://doi.org/10.1021/ie001047w" TargetMode="External"/><Relationship Id="rId53" Type="http://schemas.openxmlformats.org/officeDocument/2006/relationships/hyperlink" Target="https://doi.org/10.1021/acs.iecr.5b01385" TargetMode="External"/><Relationship Id="rId58" Type="http://schemas.openxmlformats.org/officeDocument/2006/relationships/hyperlink" Target="https://doi.org/10.1016/j.fluid.2011.06.038" TargetMode="External"/><Relationship Id="rId74" Type="http://schemas.openxmlformats.org/officeDocument/2006/relationships/hyperlink" Target="https://doi.org/10.1021/acs.energyfuels.6b00364" TargetMode="External"/><Relationship Id="rId79"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hyperlink" Target="https://doi.org/10.1021/acs.iecr.7b01360" TargetMode="External"/><Relationship Id="rId19" Type="http://schemas.openxmlformats.org/officeDocument/2006/relationships/image" Target="media/image13.tiff"/><Relationship Id="rId14" Type="http://schemas.openxmlformats.org/officeDocument/2006/relationships/image" Target="media/image8.tiff"/><Relationship Id="rId22" Type="http://schemas.openxmlformats.org/officeDocument/2006/relationships/image" Target="media/image16.tiff"/><Relationship Id="rId27" Type="http://schemas.openxmlformats.org/officeDocument/2006/relationships/hyperlink" Target="https://doi.org/10.1039/b006677j" TargetMode="External"/><Relationship Id="rId30" Type="http://schemas.openxmlformats.org/officeDocument/2006/relationships/hyperlink" Target="https://doi.org/10.1039/b315270g" TargetMode="External"/><Relationship Id="rId35" Type="http://schemas.openxmlformats.org/officeDocument/2006/relationships/hyperlink" Target="https://doi.org/10.1016/j.fluid.2009.07.007" TargetMode="External"/><Relationship Id="rId43" Type="http://schemas.openxmlformats.org/officeDocument/2006/relationships/hyperlink" Target="https://doi.org/10.1021/jp980017s" TargetMode="External"/><Relationship Id="rId48" Type="http://schemas.openxmlformats.org/officeDocument/2006/relationships/hyperlink" Target="https://doi.org/10.1021/je200924e" TargetMode="External"/><Relationship Id="rId56" Type="http://schemas.openxmlformats.org/officeDocument/2006/relationships/hyperlink" Target="https://doi.org/10.1021/je800857x" TargetMode="External"/><Relationship Id="rId64" Type="http://schemas.openxmlformats.org/officeDocument/2006/relationships/hyperlink" Target="https://doi.org/10.1002/aic.690480220" TargetMode="External"/><Relationship Id="rId69" Type="http://schemas.openxmlformats.org/officeDocument/2006/relationships/hyperlink" Target="http://webbook.nist.gov/chemistry/fluid/" TargetMode="External"/><Relationship Id="rId77" Type="http://schemas.openxmlformats.org/officeDocument/2006/relationships/hyperlink" Target="https://doi.org/10.1021/acs.iecr.8b02493" TargetMode="External"/><Relationship Id="rId8" Type="http://schemas.openxmlformats.org/officeDocument/2006/relationships/image" Target="media/image2.emf"/><Relationship Id="rId51" Type="http://schemas.openxmlformats.org/officeDocument/2006/relationships/hyperlink" Target="https://doi.org/10.1021/je1011289" TargetMode="External"/><Relationship Id="rId72" Type="http://schemas.openxmlformats.org/officeDocument/2006/relationships/hyperlink" Target="https://doi.org/10.1021/acs.jpcb.0c01860" TargetMode="External"/><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tiff"/><Relationship Id="rId17" Type="http://schemas.openxmlformats.org/officeDocument/2006/relationships/image" Target="media/image11.tiff"/><Relationship Id="rId25" Type="http://schemas.openxmlformats.org/officeDocument/2006/relationships/hyperlink" Target="https://doi.org/10.1002/er.3671" TargetMode="External"/><Relationship Id="rId33" Type="http://schemas.openxmlformats.org/officeDocument/2006/relationships/hyperlink" Target="https://doi.org/10.1021/bk-2017-1250" TargetMode="External"/><Relationship Id="rId38" Type="http://schemas.openxmlformats.org/officeDocument/2006/relationships/hyperlink" Target="https://doi.org/10.1021/ie0308689" TargetMode="External"/><Relationship Id="rId46" Type="http://schemas.openxmlformats.org/officeDocument/2006/relationships/hyperlink" Target="https://doi.org/10.1021/ie2025322" TargetMode="External"/><Relationship Id="rId59" Type="http://schemas.openxmlformats.org/officeDocument/2006/relationships/hyperlink" Target="https://doi.org/10.1016/j.ces.2014.08.017" TargetMode="External"/><Relationship Id="rId67" Type="http://schemas.openxmlformats.org/officeDocument/2006/relationships/hyperlink" Target="http://www.cosmologic.de/products/cosmotherm.html" TargetMode="External"/><Relationship Id="rId20" Type="http://schemas.openxmlformats.org/officeDocument/2006/relationships/image" Target="media/image14.tiff"/><Relationship Id="rId41" Type="http://schemas.openxmlformats.org/officeDocument/2006/relationships/hyperlink" Target="https://doi.org/10.1016/j.fluid.2014.01.032" TargetMode="External"/><Relationship Id="rId54" Type="http://schemas.openxmlformats.org/officeDocument/2006/relationships/hyperlink" Target="https://doi.org/10.1016/j.ces.2015.02.023" TargetMode="External"/><Relationship Id="rId62" Type="http://schemas.openxmlformats.org/officeDocument/2006/relationships/hyperlink" Target="https://doi.org/10.1021/acs.langmuir.7b02003" TargetMode="External"/><Relationship Id="rId70" Type="http://schemas.openxmlformats.org/officeDocument/2006/relationships/hyperlink" Target="https://www.nist.gov/srd/refprop" TargetMode="External"/><Relationship Id="rId75" Type="http://schemas.openxmlformats.org/officeDocument/2006/relationships/hyperlink" Target="https://doi.org/10.1002/aic.11657"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tiff"/><Relationship Id="rId23" Type="http://schemas.openxmlformats.org/officeDocument/2006/relationships/image" Target="media/image17.tiff"/><Relationship Id="rId28" Type="http://schemas.openxmlformats.org/officeDocument/2006/relationships/hyperlink" Target="https://doi.org/10.1897/03-635.1" TargetMode="External"/><Relationship Id="rId36" Type="http://schemas.openxmlformats.org/officeDocument/2006/relationships/hyperlink" Target="https://doi.org/10.1021/jp048813n" TargetMode="External"/><Relationship Id="rId49" Type="http://schemas.openxmlformats.org/officeDocument/2006/relationships/hyperlink" Target="https://doi.org/10.1016/j.ces.2014.04.011" TargetMode="External"/><Relationship Id="rId57" Type="http://schemas.openxmlformats.org/officeDocument/2006/relationships/hyperlink" Target="https://doi.org/10.1002/aic.11573" TargetMode="External"/><Relationship Id="rId10" Type="http://schemas.openxmlformats.org/officeDocument/2006/relationships/image" Target="media/image4.png"/><Relationship Id="rId31" Type="http://schemas.openxmlformats.org/officeDocument/2006/relationships/hyperlink" Target="https://doi.org/10.1039/b211971d" TargetMode="External"/><Relationship Id="rId44" Type="http://schemas.openxmlformats.org/officeDocument/2006/relationships/hyperlink" Target="https://doi.org/10.1021/j100007a062" TargetMode="External"/><Relationship Id="rId52" Type="http://schemas.openxmlformats.org/officeDocument/2006/relationships/hyperlink" Target="https://doi.org/10.1016/j.ces.2013.08.032" TargetMode="External"/><Relationship Id="rId60" Type="http://schemas.openxmlformats.org/officeDocument/2006/relationships/hyperlink" Target="https://doi.org/10.1039/c7cp00226b" TargetMode="External"/><Relationship Id="rId65" Type="http://schemas.openxmlformats.org/officeDocument/2006/relationships/hyperlink" Target="https://doi.org/10.1146/annurev-chembioeng-073009-100903" TargetMode="External"/><Relationship Id="rId73" Type="http://schemas.openxmlformats.org/officeDocument/2006/relationships/hyperlink" Target="https://doi.org/10.1016/j.ijrefrig.2014.09.003"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tiff"/><Relationship Id="rId18" Type="http://schemas.openxmlformats.org/officeDocument/2006/relationships/image" Target="media/image12.tiff"/><Relationship Id="rId39" Type="http://schemas.openxmlformats.org/officeDocument/2006/relationships/hyperlink" Target="https://doi.org/10.1021/ie404410v" TargetMode="External"/><Relationship Id="rId34" Type="http://schemas.openxmlformats.org/officeDocument/2006/relationships/hyperlink" Target="http://media.iupac.org/projects/2002/2002-005-1-100-publi070702.pdf" TargetMode="External"/><Relationship Id="rId50" Type="http://schemas.openxmlformats.org/officeDocument/2006/relationships/hyperlink" Target="https://doi.org/10.1016/j.fluid.2005.12.024" TargetMode="External"/><Relationship Id="rId55" Type="http://schemas.openxmlformats.org/officeDocument/2006/relationships/hyperlink" Target="https://doi.org/10.1021/ie901684q" TargetMode="External"/><Relationship Id="rId76" Type="http://schemas.openxmlformats.org/officeDocument/2006/relationships/hyperlink" Target="https://doi.org/10.1021/acs.iecr.6b02345" TargetMode="External"/><Relationship Id="rId7" Type="http://schemas.openxmlformats.org/officeDocument/2006/relationships/image" Target="media/image1.emf"/><Relationship Id="rId71" Type="http://schemas.openxmlformats.org/officeDocument/2006/relationships/hyperlink" Target="https://doi.org/10.1115/1.4007111" TargetMode="External"/><Relationship Id="rId2" Type="http://schemas.openxmlformats.org/officeDocument/2006/relationships/styles" Target="styles.xml"/><Relationship Id="rId29" Type="http://schemas.openxmlformats.org/officeDocument/2006/relationships/hyperlink" Target="https://doi.org/10.1039/b411922c" TargetMode="External"/><Relationship Id="rId24" Type="http://schemas.openxmlformats.org/officeDocument/2006/relationships/hyperlink" Target="https://doi.org/10.1016/j.rser.2013.01.028" TargetMode="External"/><Relationship Id="rId40" Type="http://schemas.openxmlformats.org/officeDocument/2006/relationships/hyperlink" Target="https://doi.org/10.1016/j.fluid.2010.06.011" TargetMode="External"/><Relationship Id="rId45" Type="http://schemas.openxmlformats.org/officeDocument/2006/relationships/hyperlink" Target="https://doi.org/10.1016/j.fluid.2010.02.002" TargetMode="External"/><Relationship Id="rId66" Type="http://schemas.openxmlformats.org/officeDocument/2006/relationships/hyperlink" Target="https://doi.org/10.1021/jp980017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35</Pages>
  <Words>10936</Words>
  <Characters>62340</Characters>
  <Application>Microsoft Office Word</Application>
  <DocSecurity>0</DocSecurity>
  <Lines>519</Lines>
  <Paragraphs>146</Paragraphs>
  <ScaleCrop>false</ScaleCrop>
  <Company/>
  <LinksUpToDate>false</LinksUpToDate>
  <CharactersWithSpaces>73130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Hung, Francisco</dc:creator>
  <cp:keywords/>
  <dc:description/>
  <cp:lastModifiedBy>Hung, Francisco</cp:lastModifiedBy>
  <cp:revision>8</cp:revision>
  <dcterms:created xsi:type="dcterms:W3CDTF">2020-06-09T20:24:00Z</dcterms:created>
  <dcterms:modified xsi:type="dcterms:W3CDTF">2020-06-10T12:23:00Z</dcterms:modified>
</cp:coreProperties>
</file>