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FDDF6" w14:textId="3D8C8197" w:rsidR="0079769D" w:rsidRPr="00BA37A1" w:rsidRDefault="00854BBC" w:rsidP="00D36DCD">
      <w:pPr>
        <w:pStyle w:val="Heading1"/>
        <w:numPr>
          <w:ilvl w:val="0"/>
          <w:numId w:val="0"/>
        </w:numPr>
        <w:spacing w:line="480" w:lineRule="auto"/>
        <w:ind w:left="720" w:hanging="360"/>
        <w:jc w:val="center"/>
        <w:rPr>
          <w:rFonts w:ascii="Times New Roman" w:hAnsi="Times New Roman" w:cs="Times New Roman"/>
          <w:b w:val="0"/>
          <w:iCs/>
          <w:sz w:val="32"/>
          <w:lang w:val="en-US"/>
        </w:rPr>
      </w:pPr>
      <w:r w:rsidRPr="00BA37A1">
        <w:rPr>
          <w:rFonts w:ascii="Times New Roman" w:hAnsi="Times New Roman" w:cs="Times New Roman"/>
          <w:b w:val="0"/>
          <w:iCs/>
          <w:sz w:val="32"/>
          <w:lang w:val="en-US"/>
        </w:rPr>
        <w:t>Definitive screening for accelerated</w:t>
      </w:r>
      <w:r w:rsidR="00C92EC5" w:rsidRPr="00BA37A1">
        <w:rPr>
          <w:rFonts w:ascii="Times New Roman" w:hAnsi="Times New Roman" w:cs="Times New Roman"/>
          <w:b w:val="0"/>
          <w:iCs/>
          <w:sz w:val="32"/>
          <w:lang w:val="en-US"/>
        </w:rPr>
        <w:t xml:space="preserve"> </w:t>
      </w:r>
      <w:r w:rsidR="0079769D" w:rsidRPr="00BA37A1">
        <w:rPr>
          <w:rFonts w:ascii="Times New Roman" w:hAnsi="Times New Roman" w:cs="Times New Roman"/>
          <w:b w:val="0"/>
          <w:iCs/>
          <w:sz w:val="32"/>
          <w:lang w:val="en-US"/>
        </w:rPr>
        <w:t xml:space="preserve">Taxol biosynthetic pathway </w:t>
      </w:r>
      <w:r w:rsidR="00BA37A1" w:rsidRPr="00BA37A1">
        <w:rPr>
          <w:rFonts w:ascii="Times New Roman" w:hAnsi="Times New Roman" w:cs="Times New Roman"/>
          <w:b w:val="0"/>
          <w:iCs/>
          <w:sz w:val="32"/>
          <w:lang w:val="en-US"/>
        </w:rPr>
        <w:t>optimization</w:t>
      </w:r>
      <w:r w:rsidR="00C92EC5" w:rsidRPr="00BA37A1">
        <w:rPr>
          <w:rFonts w:ascii="Times New Roman" w:hAnsi="Times New Roman" w:cs="Times New Roman"/>
          <w:b w:val="0"/>
          <w:iCs/>
          <w:sz w:val="32"/>
          <w:lang w:val="en-US"/>
        </w:rPr>
        <w:t xml:space="preserve"> </w:t>
      </w:r>
      <w:r w:rsidRPr="00BA37A1">
        <w:rPr>
          <w:rFonts w:ascii="Times New Roman" w:hAnsi="Times New Roman" w:cs="Times New Roman"/>
          <w:b w:val="0"/>
          <w:iCs/>
          <w:sz w:val="32"/>
          <w:lang w:val="en-US"/>
        </w:rPr>
        <w:t xml:space="preserve">and scale up </w:t>
      </w:r>
      <w:r w:rsidR="0079769D" w:rsidRPr="00BA37A1">
        <w:rPr>
          <w:rFonts w:ascii="Times New Roman" w:hAnsi="Times New Roman" w:cs="Times New Roman"/>
          <w:b w:val="0"/>
          <w:iCs/>
          <w:sz w:val="32"/>
          <w:lang w:val="en-US"/>
        </w:rPr>
        <w:t xml:space="preserve">in </w:t>
      </w:r>
      <w:r w:rsidR="0079769D" w:rsidRPr="00BA37A1">
        <w:rPr>
          <w:rFonts w:ascii="Times New Roman" w:hAnsi="Times New Roman" w:cs="Times New Roman"/>
          <w:b w:val="0"/>
          <w:i/>
          <w:iCs/>
          <w:sz w:val="32"/>
          <w:lang w:val="en-US"/>
        </w:rPr>
        <w:t>S</w:t>
      </w:r>
      <w:r w:rsidR="007E17D9" w:rsidRPr="00BA37A1">
        <w:rPr>
          <w:rFonts w:ascii="Times New Roman" w:hAnsi="Times New Roman" w:cs="Times New Roman"/>
          <w:b w:val="0"/>
          <w:i/>
          <w:iCs/>
          <w:sz w:val="32"/>
          <w:lang w:val="en-US"/>
        </w:rPr>
        <w:t>accharomyces</w:t>
      </w:r>
      <w:r w:rsidR="0079769D" w:rsidRPr="00BA37A1">
        <w:rPr>
          <w:rFonts w:ascii="Times New Roman" w:hAnsi="Times New Roman" w:cs="Times New Roman"/>
          <w:b w:val="0"/>
          <w:i/>
          <w:iCs/>
          <w:sz w:val="32"/>
          <w:lang w:val="en-US"/>
        </w:rPr>
        <w:t xml:space="preserve"> cerevisiae</w:t>
      </w:r>
      <w:r w:rsidR="0079769D" w:rsidRPr="00BA37A1">
        <w:rPr>
          <w:rFonts w:ascii="Times New Roman" w:hAnsi="Times New Roman" w:cs="Times New Roman"/>
          <w:b w:val="0"/>
          <w:iCs/>
          <w:sz w:val="32"/>
          <w:lang w:val="en-US"/>
        </w:rPr>
        <w:t xml:space="preserve"> cell factories</w:t>
      </w:r>
    </w:p>
    <w:p w14:paraId="5CE212D7" w14:textId="39D2E83E" w:rsidR="00BB100B" w:rsidRPr="00BA37A1" w:rsidRDefault="002410E3" w:rsidP="00D36DCD">
      <w:pPr>
        <w:spacing w:line="480" w:lineRule="auto"/>
        <w:rPr>
          <w:rFonts w:ascii="Times New Roman" w:hAnsi="Times New Roman" w:cs="Times New Roman"/>
          <w:lang w:val="en-US"/>
        </w:rPr>
      </w:pPr>
      <w:r w:rsidRPr="00BA37A1">
        <w:rPr>
          <w:rFonts w:ascii="Times New Roman" w:hAnsi="Times New Roman" w:cs="Times New Roman"/>
          <w:lang w:val="en-US"/>
        </w:rPr>
        <w:t>Laura E. Walls</w:t>
      </w:r>
      <w:r w:rsidR="00BB100B" w:rsidRPr="00BA37A1">
        <w:rPr>
          <w:rFonts w:ascii="Times New Roman" w:hAnsi="Times New Roman" w:cs="Times New Roman"/>
          <w:vertAlign w:val="superscript"/>
          <w:lang w:val="en-US"/>
        </w:rPr>
        <w:t>1,2,3</w:t>
      </w:r>
      <w:r w:rsidRPr="00BA37A1">
        <w:rPr>
          <w:rFonts w:ascii="Times New Roman" w:hAnsi="Times New Roman" w:cs="Times New Roman"/>
          <w:lang w:val="en-US"/>
        </w:rPr>
        <w:t>, José L. Martinez</w:t>
      </w:r>
      <w:r w:rsidR="00BB100B" w:rsidRPr="00BA37A1">
        <w:rPr>
          <w:rFonts w:ascii="Times New Roman" w:hAnsi="Times New Roman" w:cs="Times New Roman"/>
          <w:vertAlign w:val="superscript"/>
          <w:lang w:val="en-US"/>
        </w:rPr>
        <w:t>3</w:t>
      </w:r>
      <w:r w:rsidRPr="00BA37A1">
        <w:rPr>
          <w:rFonts w:ascii="Times New Roman" w:hAnsi="Times New Roman" w:cs="Times New Roman"/>
          <w:lang w:val="en-US"/>
        </w:rPr>
        <w:t xml:space="preserve">, </w:t>
      </w:r>
      <w:r w:rsidR="00A65336" w:rsidRPr="00BA37A1">
        <w:rPr>
          <w:rFonts w:ascii="Times New Roman" w:hAnsi="Times New Roman" w:cs="Times New Roman"/>
          <w:lang w:val="en-US"/>
        </w:rPr>
        <w:t xml:space="preserve">E. </w:t>
      </w:r>
      <w:r w:rsidRPr="00BA37A1">
        <w:rPr>
          <w:rFonts w:ascii="Times New Roman" w:hAnsi="Times New Roman" w:cs="Times New Roman"/>
          <w:lang w:val="en-US"/>
        </w:rPr>
        <w:t>Antonio del Rio Chanona</w:t>
      </w:r>
      <w:r w:rsidR="00BB100B" w:rsidRPr="00BA37A1">
        <w:rPr>
          <w:rFonts w:ascii="Times New Roman" w:hAnsi="Times New Roman" w:cs="Times New Roman"/>
          <w:vertAlign w:val="superscript"/>
          <w:lang w:val="en-US"/>
        </w:rPr>
        <w:t>4</w:t>
      </w:r>
      <w:r w:rsidRPr="00BA37A1">
        <w:rPr>
          <w:rFonts w:ascii="Times New Roman" w:hAnsi="Times New Roman" w:cs="Times New Roman"/>
          <w:lang w:val="en-US"/>
        </w:rPr>
        <w:t>, Leonardo Rios-Solis</w:t>
      </w:r>
      <w:r w:rsidR="00BB100B" w:rsidRPr="00BA37A1">
        <w:rPr>
          <w:rFonts w:ascii="Times New Roman" w:hAnsi="Times New Roman" w:cs="Times New Roman"/>
          <w:vertAlign w:val="superscript"/>
          <w:lang w:val="en-US"/>
        </w:rPr>
        <w:t>1,2</w:t>
      </w:r>
      <w:r w:rsidR="008302AC" w:rsidRPr="00BA37A1">
        <w:rPr>
          <w:rFonts w:ascii="Times New Roman" w:hAnsi="Times New Roman" w:cs="Times New Roman"/>
          <w:vertAlign w:val="superscript"/>
          <w:lang w:val="en-US"/>
        </w:rPr>
        <w:t>*</w:t>
      </w:r>
      <w:r w:rsidRPr="00BA37A1">
        <w:rPr>
          <w:rFonts w:ascii="Times New Roman" w:hAnsi="Times New Roman" w:cs="Times New Roman"/>
          <w:lang w:val="en-US"/>
        </w:rPr>
        <w:t xml:space="preserve"> </w:t>
      </w:r>
    </w:p>
    <w:p w14:paraId="5A3CCA6E" w14:textId="6A6E1A94" w:rsidR="002410E3" w:rsidRPr="00BA37A1" w:rsidRDefault="002410E3" w:rsidP="00D36DCD">
      <w:pPr>
        <w:pStyle w:val="ListParagraph"/>
        <w:numPr>
          <w:ilvl w:val="0"/>
          <w:numId w:val="5"/>
        </w:numPr>
        <w:spacing w:line="480" w:lineRule="auto"/>
        <w:rPr>
          <w:rFonts w:ascii="Times New Roman" w:hAnsi="Times New Roman" w:cs="Times New Roman"/>
          <w:sz w:val="20"/>
          <w:lang w:val="en-US"/>
        </w:rPr>
      </w:pPr>
      <w:r w:rsidRPr="00BA37A1">
        <w:rPr>
          <w:rFonts w:ascii="Times New Roman" w:hAnsi="Times New Roman" w:cs="Times New Roman"/>
          <w:i/>
          <w:sz w:val="20"/>
          <w:lang w:val="en-US"/>
        </w:rPr>
        <w:t>Institute for Bioengineering, School of Engineering, University of Edinburgh,</w:t>
      </w:r>
      <w:r w:rsidRPr="00BA37A1">
        <w:rPr>
          <w:rFonts w:ascii="Times New Roman" w:hAnsi="Times New Roman" w:cs="Times New Roman"/>
          <w:i/>
          <w:sz w:val="20"/>
          <w:vertAlign w:val="superscript"/>
          <w:lang w:val="en-US"/>
        </w:rPr>
        <w:t xml:space="preserve"> </w:t>
      </w:r>
      <w:r w:rsidRPr="00BA37A1">
        <w:rPr>
          <w:rFonts w:ascii="Times New Roman" w:hAnsi="Times New Roman" w:cs="Times New Roman"/>
          <w:i/>
          <w:sz w:val="20"/>
          <w:lang w:val="en-US"/>
        </w:rPr>
        <w:t>Edinburgh, UK</w:t>
      </w:r>
    </w:p>
    <w:p w14:paraId="523220A9" w14:textId="77777777" w:rsidR="00BB100B" w:rsidRPr="00BA37A1" w:rsidRDefault="002410E3" w:rsidP="00D36DCD">
      <w:pPr>
        <w:pStyle w:val="ListParagraph"/>
        <w:numPr>
          <w:ilvl w:val="0"/>
          <w:numId w:val="5"/>
        </w:numPr>
        <w:spacing w:line="480" w:lineRule="auto"/>
        <w:rPr>
          <w:rFonts w:ascii="Times New Roman" w:hAnsi="Times New Roman" w:cs="Times New Roman"/>
          <w:i/>
          <w:sz w:val="20"/>
          <w:lang w:val="en-US"/>
        </w:rPr>
      </w:pPr>
      <w:r w:rsidRPr="00BA37A1">
        <w:rPr>
          <w:rFonts w:ascii="Times New Roman" w:hAnsi="Times New Roman" w:cs="Times New Roman"/>
          <w:i/>
          <w:sz w:val="20"/>
          <w:lang w:val="en-US"/>
        </w:rPr>
        <w:t>Centre for Synthetic and Systems Biology (SynthSys), University of Edinburgh, Edinburgh, UK</w:t>
      </w:r>
    </w:p>
    <w:p w14:paraId="3B7BE56A" w14:textId="77777777" w:rsidR="00BB100B" w:rsidRPr="00BA37A1" w:rsidRDefault="002410E3" w:rsidP="00D36DCD">
      <w:pPr>
        <w:pStyle w:val="ListParagraph"/>
        <w:numPr>
          <w:ilvl w:val="0"/>
          <w:numId w:val="5"/>
        </w:numPr>
        <w:spacing w:line="480" w:lineRule="auto"/>
        <w:rPr>
          <w:rFonts w:ascii="Times New Roman" w:hAnsi="Times New Roman" w:cs="Times New Roman"/>
          <w:i/>
          <w:sz w:val="20"/>
          <w:lang w:val="en-US"/>
        </w:rPr>
      </w:pPr>
      <w:r w:rsidRPr="00BA37A1">
        <w:rPr>
          <w:rFonts w:ascii="Times New Roman" w:hAnsi="Times New Roman" w:cs="Times New Roman"/>
          <w:i/>
          <w:sz w:val="20"/>
          <w:lang w:val="en-US"/>
        </w:rPr>
        <w:t>Department of Biotechnology and Biomedicine, Section for Synthetic Biology, Technical University of Denmark, Kongens Lyngby, Denmark</w:t>
      </w:r>
    </w:p>
    <w:p w14:paraId="00B274E8" w14:textId="4EB03192" w:rsidR="008302AC" w:rsidRPr="00BA37A1" w:rsidRDefault="008302AC" w:rsidP="008302AC">
      <w:pPr>
        <w:pStyle w:val="ListParagraph"/>
        <w:numPr>
          <w:ilvl w:val="0"/>
          <w:numId w:val="5"/>
        </w:numPr>
        <w:spacing w:after="0" w:line="240" w:lineRule="auto"/>
        <w:jc w:val="left"/>
        <w:rPr>
          <w:rFonts w:ascii="Times New Roman" w:eastAsia="Times New Roman" w:hAnsi="Times New Roman" w:cs="Times New Roman"/>
          <w:i/>
          <w:iCs/>
          <w:sz w:val="21"/>
          <w:szCs w:val="21"/>
          <w:lang w:val="en-US" w:eastAsia="en-GB"/>
        </w:rPr>
      </w:pPr>
      <w:r w:rsidRPr="00BA37A1">
        <w:rPr>
          <w:rFonts w:ascii="Times New Roman" w:eastAsia="Times New Roman" w:hAnsi="Times New Roman" w:cs="Times New Roman"/>
          <w:i/>
          <w:iCs/>
          <w:color w:val="000000"/>
          <w:sz w:val="21"/>
          <w:szCs w:val="21"/>
          <w:lang w:val="en-US" w:eastAsia="en-GB"/>
        </w:rPr>
        <w:t>Sargent Centre for Process Systems Engineering, Department of Chemical Engineering, Imperial College London, UK</w:t>
      </w:r>
    </w:p>
    <w:p w14:paraId="586A8C86" w14:textId="77777777" w:rsidR="008302AC" w:rsidRPr="00BA37A1" w:rsidRDefault="008302AC" w:rsidP="008302AC">
      <w:pPr>
        <w:pStyle w:val="ListParagraph"/>
        <w:spacing w:after="0" w:line="240" w:lineRule="auto"/>
        <w:ind w:left="644"/>
        <w:jc w:val="left"/>
        <w:rPr>
          <w:rFonts w:ascii="Times New Roman" w:eastAsia="Times New Roman" w:hAnsi="Times New Roman" w:cs="Times New Roman"/>
          <w:i/>
          <w:iCs/>
          <w:sz w:val="21"/>
          <w:szCs w:val="21"/>
          <w:lang w:val="en-US" w:eastAsia="en-GB"/>
        </w:rPr>
      </w:pPr>
    </w:p>
    <w:p w14:paraId="0322BF47" w14:textId="344E8938" w:rsidR="00BB100B" w:rsidRPr="00BA37A1" w:rsidRDefault="00BB100B" w:rsidP="00D36DCD">
      <w:pPr>
        <w:spacing w:line="480" w:lineRule="auto"/>
        <w:ind w:left="284"/>
        <w:rPr>
          <w:rFonts w:ascii="Times New Roman" w:hAnsi="Times New Roman" w:cs="Times New Roman"/>
          <w:i/>
          <w:sz w:val="20"/>
          <w:lang w:val="en-US"/>
        </w:rPr>
      </w:pPr>
      <w:r w:rsidRPr="00BA37A1">
        <w:rPr>
          <w:rFonts w:ascii="Times New Roman" w:hAnsi="Times New Roman" w:cs="Times New Roman"/>
          <w:i/>
          <w:sz w:val="20"/>
          <w:szCs w:val="20"/>
          <w:vertAlign w:val="superscript"/>
          <w:lang w:val="en-US" w:eastAsia="en-GB"/>
        </w:rPr>
        <w:t>*</w:t>
      </w:r>
      <w:r w:rsidRPr="00BA37A1">
        <w:rPr>
          <w:rFonts w:ascii="Times New Roman" w:hAnsi="Times New Roman" w:cs="Times New Roman"/>
          <w:i/>
          <w:sz w:val="20"/>
          <w:szCs w:val="20"/>
          <w:lang w:val="en-US" w:eastAsia="en-GB"/>
        </w:rPr>
        <w:t xml:space="preserve"> Corresponding author: Leo.Rios@ed.ac.uk</w:t>
      </w:r>
    </w:p>
    <w:p w14:paraId="5FB773AE" w14:textId="0337C97F" w:rsidR="00981BE2" w:rsidRPr="00BA37A1" w:rsidRDefault="00981BE2" w:rsidP="00D36DCD">
      <w:pPr>
        <w:pStyle w:val="Heading1"/>
        <w:numPr>
          <w:ilvl w:val="0"/>
          <w:numId w:val="0"/>
        </w:numPr>
        <w:spacing w:line="480" w:lineRule="auto"/>
        <w:ind w:left="720"/>
        <w:rPr>
          <w:rFonts w:ascii="Times New Roman" w:hAnsi="Times New Roman" w:cs="Times New Roman"/>
          <w:lang w:val="en-US"/>
        </w:rPr>
      </w:pPr>
      <w:r w:rsidRPr="00BA37A1">
        <w:rPr>
          <w:rFonts w:ascii="Times New Roman" w:hAnsi="Times New Roman" w:cs="Times New Roman"/>
          <w:lang w:val="en-US"/>
        </w:rPr>
        <w:t xml:space="preserve">Abstract </w:t>
      </w:r>
    </w:p>
    <w:p w14:paraId="1A784480" w14:textId="272E8C43" w:rsidR="00906DE0" w:rsidRDefault="00906DE0"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Recent technological advancements in synthetic and systems biology have enabled the construction of microbial cell factories expressing diverse heterologous pathways in unprecedentedly short time scales. However, the translation of such laboratory scale breakthroughs to industrial bioprocesses remains a major bottleneck. In this study, </w:t>
      </w:r>
      <w:r w:rsidR="00F14085" w:rsidRPr="00BA37A1">
        <w:rPr>
          <w:rFonts w:ascii="Times New Roman" w:hAnsi="Times New Roman" w:cs="Times New Roman"/>
          <w:lang w:val="en-US"/>
        </w:rPr>
        <w:t>an accelerated bioprocess development</w:t>
      </w:r>
      <w:r w:rsidRPr="00BA37A1">
        <w:rPr>
          <w:rFonts w:ascii="Times New Roman" w:hAnsi="Times New Roman" w:cs="Times New Roman"/>
          <w:lang w:val="en-US"/>
        </w:rPr>
        <w:t xml:space="preserve"> approach was employed to </w:t>
      </w:r>
      <w:r w:rsidR="00BA37A1" w:rsidRPr="00BA37A1">
        <w:rPr>
          <w:rFonts w:ascii="Times New Roman" w:hAnsi="Times New Roman" w:cs="Times New Roman"/>
          <w:lang w:val="en-US"/>
        </w:rPr>
        <w:t>optimize</w:t>
      </w:r>
      <w:r w:rsidRPr="00BA37A1">
        <w:rPr>
          <w:rFonts w:ascii="Times New Roman" w:hAnsi="Times New Roman" w:cs="Times New Roman"/>
          <w:lang w:val="en-US"/>
        </w:rPr>
        <w:t xml:space="preserve"> the biosynthetic pathway of the blockbuster chemotherapy drug, Taxol. Statistical design of experiments approaches were coupled with </w:t>
      </w:r>
      <w:r w:rsidR="001771D7" w:rsidRPr="00BA37A1">
        <w:rPr>
          <w:rFonts w:ascii="Times New Roman" w:hAnsi="Times New Roman" w:cs="Times New Roman"/>
          <w:lang w:val="en-US"/>
        </w:rPr>
        <w:t>an</w:t>
      </w:r>
      <w:r w:rsidRPr="00BA37A1">
        <w:rPr>
          <w:rFonts w:ascii="Times New Roman" w:hAnsi="Times New Roman" w:cs="Times New Roman"/>
          <w:lang w:val="en-US"/>
        </w:rPr>
        <w:t xml:space="preserve"> industrially relevant </w:t>
      </w:r>
      <w:r w:rsidR="001771D7" w:rsidRPr="00BA37A1">
        <w:rPr>
          <w:rFonts w:ascii="Times New Roman" w:hAnsi="Times New Roman" w:cs="Times New Roman"/>
          <w:lang w:val="en-US"/>
        </w:rPr>
        <w:t>hig</w:t>
      </w:r>
      <w:r w:rsidR="00740BAC">
        <w:rPr>
          <w:rFonts w:ascii="Times New Roman" w:hAnsi="Times New Roman" w:cs="Times New Roman"/>
          <w:lang w:val="en-US"/>
        </w:rPr>
        <w:t>h-</w:t>
      </w:r>
      <w:r w:rsidR="00BA37A1" w:rsidRPr="00BA37A1">
        <w:rPr>
          <w:rFonts w:ascii="Times New Roman" w:hAnsi="Times New Roman" w:cs="Times New Roman"/>
          <w:lang w:val="en-US"/>
        </w:rPr>
        <w:t>throughput microbioreactor</w:t>
      </w:r>
      <w:r w:rsidRPr="00BA37A1">
        <w:rPr>
          <w:rFonts w:ascii="Times New Roman" w:hAnsi="Times New Roman" w:cs="Times New Roman"/>
          <w:lang w:val="en-US"/>
        </w:rPr>
        <w:t xml:space="preserve"> system to </w:t>
      </w:r>
      <w:r w:rsidR="00BA37A1" w:rsidRPr="00BA37A1">
        <w:rPr>
          <w:rFonts w:ascii="Times New Roman" w:hAnsi="Times New Roman" w:cs="Times New Roman"/>
          <w:lang w:val="en-US"/>
        </w:rPr>
        <w:t>optimize</w:t>
      </w:r>
      <w:r w:rsidRPr="00BA37A1">
        <w:rPr>
          <w:rFonts w:ascii="Times New Roman" w:hAnsi="Times New Roman" w:cs="Times New Roman"/>
          <w:lang w:val="en-US"/>
        </w:rPr>
        <w:t xml:space="preserve"> production of key Taxol intermediates</w:t>
      </w:r>
      <w:r w:rsidR="00501062" w:rsidRPr="00BA37A1">
        <w:rPr>
          <w:rFonts w:ascii="Times New Roman" w:hAnsi="Times New Roman" w:cs="Times New Roman"/>
          <w:lang w:val="en-US"/>
        </w:rPr>
        <w:t>,</w:t>
      </w:r>
      <w:r w:rsidRPr="00BA37A1">
        <w:rPr>
          <w:rFonts w:ascii="Times New Roman" w:hAnsi="Times New Roman" w:cs="Times New Roman"/>
          <w:lang w:val="en-US"/>
        </w:rPr>
        <w:t xml:space="preserve"> </w:t>
      </w:r>
      <w:r w:rsidR="00816DB1" w:rsidRPr="00BA37A1">
        <w:rPr>
          <w:rFonts w:ascii="Times New Roman" w:hAnsi="Times New Roman" w:cs="Times New Roman"/>
          <w:lang w:val="en-US"/>
        </w:rPr>
        <w:t>Taxadien-5α-ol and Taxadien-5α-yl-acetate</w:t>
      </w:r>
      <w:r w:rsidR="00501062" w:rsidRPr="00BA37A1">
        <w:rPr>
          <w:rFonts w:ascii="Times New Roman" w:hAnsi="Times New Roman" w:cs="Times New Roman"/>
          <w:lang w:val="en-US"/>
        </w:rPr>
        <w:t>,</w:t>
      </w:r>
      <w:r w:rsidR="00816DB1" w:rsidRPr="00BA37A1">
        <w:rPr>
          <w:rFonts w:ascii="Times New Roman" w:hAnsi="Times New Roman" w:cs="Times New Roman"/>
          <w:lang w:val="en-US"/>
        </w:rPr>
        <w:t xml:space="preserve"> </w:t>
      </w:r>
      <w:r w:rsidRPr="00BA37A1">
        <w:rPr>
          <w:rFonts w:ascii="Times New Roman" w:hAnsi="Times New Roman" w:cs="Times New Roman"/>
          <w:lang w:val="en-US"/>
        </w:rPr>
        <w:t xml:space="preserve">in </w:t>
      </w:r>
      <w:r w:rsidR="00595486" w:rsidRPr="00BA37A1">
        <w:rPr>
          <w:rFonts w:ascii="Times New Roman" w:hAnsi="Times New Roman" w:cs="Times New Roman"/>
          <w:lang w:val="en-US"/>
        </w:rPr>
        <w:t xml:space="preserve">engineered </w:t>
      </w:r>
      <w:r w:rsidRPr="00BA37A1">
        <w:rPr>
          <w:rFonts w:ascii="Times New Roman" w:hAnsi="Times New Roman" w:cs="Times New Roman"/>
          <w:lang w:val="en-US"/>
        </w:rPr>
        <w:t>yeast cell factories. The optimal factor combination was determined via data driven statistical modelling and validated in 1L bioreactors leading to a 2.1-fold improvement in taxane production compared to</w:t>
      </w:r>
      <w:r w:rsidR="00501062" w:rsidRPr="00BA37A1">
        <w:rPr>
          <w:rFonts w:ascii="Times New Roman" w:hAnsi="Times New Roman" w:cs="Times New Roman"/>
          <w:lang w:val="en-US"/>
        </w:rPr>
        <w:t xml:space="preserve"> a</w:t>
      </w:r>
      <w:r w:rsidRPr="00BA37A1">
        <w:rPr>
          <w:rFonts w:ascii="Times New Roman" w:hAnsi="Times New Roman" w:cs="Times New Roman"/>
          <w:lang w:val="en-US"/>
        </w:rPr>
        <w:t xml:space="preserve"> </w:t>
      </w:r>
      <w:r w:rsidR="003A2A78" w:rsidRPr="00BA37A1">
        <w:rPr>
          <w:rFonts w:ascii="Times New Roman" w:hAnsi="Times New Roman" w:cs="Times New Roman"/>
          <w:lang w:val="en-US"/>
        </w:rPr>
        <w:t xml:space="preserve">typical </w:t>
      </w:r>
      <w:r w:rsidRPr="00BA37A1">
        <w:rPr>
          <w:rFonts w:ascii="Times New Roman" w:hAnsi="Times New Roman" w:cs="Times New Roman"/>
          <w:lang w:val="en-US"/>
        </w:rPr>
        <w:t xml:space="preserve">defined media. Elucidation and mitigation of a nutrient limitation enhanced product </w:t>
      </w:r>
      <w:r w:rsidR="00BA37A1" w:rsidRPr="00BA37A1">
        <w:rPr>
          <w:rFonts w:ascii="Times New Roman" w:hAnsi="Times New Roman" w:cs="Times New Roman"/>
          <w:lang w:val="en-US"/>
        </w:rPr>
        <w:t>titers</w:t>
      </w:r>
      <w:r w:rsidRPr="00BA37A1">
        <w:rPr>
          <w:rFonts w:ascii="Times New Roman" w:hAnsi="Times New Roman" w:cs="Times New Roman"/>
          <w:lang w:val="en-US"/>
        </w:rPr>
        <w:t xml:space="preserve"> a further two-fold and </w:t>
      </w:r>
      <w:r w:rsidR="00BA37A1" w:rsidRPr="00BA37A1">
        <w:rPr>
          <w:rFonts w:ascii="Times New Roman" w:hAnsi="Times New Roman" w:cs="Times New Roman"/>
          <w:lang w:val="en-US"/>
        </w:rPr>
        <w:t>titers</w:t>
      </w:r>
      <w:r w:rsidRPr="00BA37A1">
        <w:rPr>
          <w:rFonts w:ascii="Times New Roman" w:hAnsi="Times New Roman" w:cs="Times New Roman"/>
          <w:lang w:val="en-US"/>
        </w:rPr>
        <w:t xml:space="preserve"> of the critical Taxol precursors, Taxadien-5α-ol and Taxadien-5α-yl-acetate were improved to 34 and 11 mg/L, representing a three-fold improvement compared to the highest literature </w:t>
      </w:r>
      <w:r w:rsidR="00BA37A1" w:rsidRPr="00BA37A1">
        <w:rPr>
          <w:rFonts w:ascii="Times New Roman" w:hAnsi="Times New Roman" w:cs="Times New Roman"/>
          <w:lang w:val="en-US"/>
        </w:rPr>
        <w:t>titers</w:t>
      </w:r>
      <w:r w:rsidRPr="00BA37A1">
        <w:rPr>
          <w:rFonts w:ascii="Times New Roman" w:hAnsi="Times New Roman" w:cs="Times New Roman"/>
          <w:lang w:val="en-US"/>
        </w:rPr>
        <w:t xml:space="preserve"> in </w:t>
      </w:r>
      <w:r w:rsidRPr="00BA37A1">
        <w:rPr>
          <w:rFonts w:ascii="Times New Roman" w:hAnsi="Times New Roman" w:cs="Times New Roman"/>
          <w:i/>
          <w:lang w:val="en-US"/>
        </w:rPr>
        <w:t>S. cerevisiae</w:t>
      </w:r>
      <w:r w:rsidRPr="00BA37A1">
        <w:rPr>
          <w:rFonts w:ascii="Times New Roman" w:hAnsi="Times New Roman" w:cs="Times New Roman"/>
          <w:lang w:val="en-US"/>
        </w:rPr>
        <w:t>.</w:t>
      </w:r>
      <w:r w:rsidR="0066535C" w:rsidRPr="00BA37A1">
        <w:rPr>
          <w:rFonts w:ascii="Times New Roman" w:hAnsi="Times New Roman" w:cs="Times New Roman"/>
          <w:lang w:val="en-US"/>
        </w:rPr>
        <w:t xml:space="preserve"> Comparable </w:t>
      </w:r>
      <w:r w:rsidR="00BA37A1" w:rsidRPr="00BA37A1">
        <w:rPr>
          <w:rFonts w:ascii="Times New Roman" w:hAnsi="Times New Roman" w:cs="Times New Roman"/>
          <w:lang w:val="en-US"/>
        </w:rPr>
        <w:t>titers</w:t>
      </w:r>
      <w:r w:rsidR="0066535C" w:rsidRPr="00BA37A1">
        <w:rPr>
          <w:rFonts w:ascii="Times New Roman" w:hAnsi="Times New Roman" w:cs="Times New Roman"/>
          <w:lang w:val="en-US"/>
        </w:rPr>
        <w:t xml:space="preserve"> were obtained when the process was scaled up a further five-fold using 5 L bioreactors.</w:t>
      </w:r>
      <w:r w:rsidRPr="00BA37A1">
        <w:rPr>
          <w:rFonts w:ascii="Times New Roman" w:hAnsi="Times New Roman" w:cs="Times New Roman"/>
          <w:lang w:val="en-US"/>
        </w:rPr>
        <w:t xml:space="preserve"> The results of this </w:t>
      </w:r>
      <w:r w:rsidRPr="00BA37A1">
        <w:rPr>
          <w:rFonts w:ascii="Times New Roman" w:hAnsi="Times New Roman" w:cs="Times New Roman"/>
          <w:lang w:val="en-US"/>
        </w:rPr>
        <w:lastRenderedPageBreak/>
        <w:t xml:space="preserve">study highlight the benefits of a holistic </w:t>
      </w:r>
      <w:r w:rsidR="00F14085" w:rsidRPr="00BA37A1">
        <w:rPr>
          <w:rFonts w:ascii="Times New Roman" w:hAnsi="Times New Roman" w:cs="Times New Roman"/>
          <w:lang w:val="en-US"/>
        </w:rPr>
        <w:t>design of experiment</w:t>
      </w:r>
      <w:r w:rsidR="00984021" w:rsidRPr="00BA37A1">
        <w:rPr>
          <w:rFonts w:ascii="Times New Roman" w:hAnsi="Times New Roman" w:cs="Times New Roman"/>
          <w:lang w:val="en-US"/>
        </w:rPr>
        <w:t>s</w:t>
      </w:r>
      <w:r w:rsidR="00F14085" w:rsidRPr="00BA37A1">
        <w:rPr>
          <w:rFonts w:ascii="Times New Roman" w:hAnsi="Times New Roman" w:cs="Times New Roman"/>
          <w:lang w:val="en-US"/>
        </w:rPr>
        <w:t xml:space="preserve"> guided </w:t>
      </w:r>
      <w:r w:rsidRPr="00BA37A1">
        <w:rPr>
          <w:rFonts w:ascii="Times New Roman" w:hAnsi="Times New Roman" w:cs="Times New Roman"/>
          <w:lang w:val="en-US"/>
        </w:rPr>
        <w:t xml:space="preserve">approach to expedite early stage bioprocess development. </w:t>
      </w:r>
    </w:p>
    <w:p w14:paraId="3FC7B0AB" w14:textId="0ECFF821" w:rsidR="00663A9B" w:rsidRPr="00663A9B" w:rsidRDefault="00663A9B" w:rsidP="00D36DCD">
      <w:pPr>
        <w:spacing w:line="480" w:lineRule="auto"/>
        <w:ind w:firstLine="360"/>
        <w:rPr>
          <w:rFonts w:ascii="Times New Roman" w:hAnsi="Times New Roman" w:cs="Times New Roman"/>
          <w:b/>
          <w:sz w:val="24"/>
          <w:u w:val="single"/>
          <w:lang w:val="en-US"/>
        </w:rPr>
      </w:pPr>
      <w:r w:rsidRPr="00663A9B">
        <w:rPr>
          <w:rFonts w:ascii="Times New Roman" w:hAnsi="Times New Roman" w:cs="Times New Roman"/>
          <w:b/>
          <w:sz w:val="24"/>
          <w:u w:val="single"/>
          <w:lang w:val="en-US"/>
        </w:rPr>
        <w:t>K</w:t>
      </w:r>
      <w:r>
        <w:rPr>
          <w:rFonts w:ascii="Times New Roman" w:hAnsi="Times New Roman" w:cs="Times New Roman"/>
          <w:b/>
          <w:sz w:val="24"/>
          <w:u w:val="single"/>
          <w:lang w:val="en-US"/>
        </w:rPr>
        <w:t>eywords</w:t>
      </w:r>
      <w:r w:rsidRPr="00663A9B">
        <w:rPr>
          <w:rFonts w:ascii="Times New Roman" w:hAnsi="Times New Roman" w:cs="Times New Roman"/>
          <w:b/>
          <w:sz w:val="24"/>
          <w:lang w:val="en-US"/>
        </w:rPr>
        <w:t xml:space="preserve">: </w:t>
      </w:r>
      <w:r>
        <w:rPr>
          <w:rFonts w:ascii="Times New Roman" w:hAnsi="Times New Roman" w:cs="Times New Roman"/>
          <w:lang w:val="en-US"/>
        </w:rPr>
        <w:t xml:space="preserve">Definitive screening design, Bioprocess optimization, Saccharomyces cerevisiae, Taxol, High-throughput microbioreactor </w:t>
      </w:r>
    </w:p>
    <w:p w14:paraId="34878154" w14:textId="7115195E" w:rsidR="00FB54F9" w:rsidRPr="00BA37A1" w:rsidRDefault="00220E1B" w:rsidP="00D36DCD">
      <w:pPr>
        <w:pStyle w:val="Heading1"/>
        <w:spacing w:line="480" w:lineRule="auto"/>
        <w:rPr>
          <w:rFonts w:ascii="Times New Roman" w:hAnsi="Times New Roman" w:cs="Times New Roman"/>
          <w:lang w:val="en-US"/>
        </w:rPr>
      </w:pPr>
      <w:r w:rsidRPr="00BA37A1">
        <w:rPr>
          <w:rFonts w:ascii="Times New Roman" w:hAnsi="Times New Roman" w:cs="Times New Roman"/>
          <w:lang w:val="en-US"/>
        </w:rPr>
        <w:t>Introduction</w:t>
      </w:r>
    </w:p>
    <w:p w14:paraId="39599019" w14:textId="6E165453" w:rsidR="007A2DA3" w:rsidRPr="00BA37A1" w:rsidRDefault="007A2DA3"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The construction of microbial cell factories for the sustainable bioconversion of renewable feedstocks into complex natural products represents an auspicious alternative approach to traditional organic synthesis routes. Recent advances in synthetic and systems biology have accelerated progress towards this through enabling the construction of strains expressing wide ranging heterologous pathways in unprecedentedly short timescales</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{"citationItems":[{"id":"ITEM-1","itemData":{"ISBN":"2296-4185","abstract":"As biotechnological applications of synthetic biology tools including multiplex genome engineering are expanding rapidly, the construction of strategically designed yeast cell factories becomes increasingly possible. This is largely due to recent advancements in genome editing methods like CRISPR/Cas tech and high-throughput omics tools. The model organism, baker’s yeast (Saccharomyces cerevisiae) is an important synthetic biology chassis for high-value metabolite production. Multiplex genome engineering approaches can expedite the construction and fine tuning of effective heterologous pathways in yeast cell factories. Numerous multiplex genome editing techniques have emerged to capitalize on this recently. This review focuses on recent advancements in such tools, such as delta integration and rDNA cluster integration coupled with CRISPR-Cas tools to greatly enhance multi-integration efficiency. Examples of pre-placed gate systems which are an innovative alternative approach for multi-copy gene integration were also reviewed. In addition to multiple integration studies, multiplexing of alternative genome editing methods are also discussed. Finally, multiplex genome editing studies involving non-conventional yeasts and the importance of automation for efficient cell factory design and construction are considered. Coupling the CRISPR/Cas system with traditional yeast multiplex genome integration or donor DNA delivery methods expedites strain development through increased efficiency and accuracy. Novel approaches such as pre-placing synthetic sequences in the genome along with improved bioinformatics tools and automation technologies have the potential to further streamline the strain development process. In addition, the techniques discussed to engineer S. cerevisiae, can be adapted for use in other industrially important yeast species for cell factory development.","author":[{"dropping-particle":"","family":"Malcı","given":"Koray","non-dropping-particle":"","parse-names":false,"suffix":""},{"dropping-particle":"","family":"Walls","given":"Laura E","non-dropping-particle":"","parse-names":false,"suffix":""},{"dropping-particle":"","family":"Rios-Solis","given":"Leonardo","non-dropping-particle":"","parse-names":false,"suffix":""}],"container-title":"Frontiers in Bioengineering and Biotechnology  ","id":"ITEM-1","issued":{"date-parts":[["2020"]]},"page":"1264","title":"Multiplex Genome Engineering Methods for Yeast Cell Factory Development   ","type":"article","volume":"8      "},"uris":["http://www.mendeley.com/documents/?uuid=0b5fb8a5-ce03-40cf-a09b-945e9a51331e"]}],"mendeley":{"formattedCitation":"&lt;sup&gt;[1]&lt;/sup&gt;","plainTextFormattedCitation":"[1]","previouslyFormattedCitation":"&lt;sup&gt;[1]&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However, the translation of such laboratory scale breakthroughs to industrial scale bioprocess remains a major challenge</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{"citationItems":[{"id":"ITEM-1","itemData":{"DOI":"10.1038/npjsba.2016.9","ISSN":"2056-7189","abstract":"The combination of synthetic and systems biology is a powerful framework to study fundamental questions in biology and produce chemicals of immediate practical application such as biofuels, polymers, or therapeutics. However, we cannot yet engineer biological systems as easily and precisely as we engineer physical systems. In this review, we describe the path from the choice of target molecule to scaling production up to commercial volumes. We present and explain some of the current challenges and gaps in our knowledge that must be overcome in order to bring our bioengineering capabilities to the level of other engineering disciplines. Challenges start at molecule selection, where a difficult balance between economic potential and biological feasibility must be struck. Pathway design and construction have recently been revolutionized by next-generation sequencing and exponentially improving DNA synthesis capabilities. Although pathway optimization can be significantly aided by enzyme expression characterization through proteomics, choosing optimal relative protein expression levels for maximum production is still the subject of heuristic, non-systematic approaches. Toxic metabolic intermediates and proteins can significantly affect production, and dynamic pathway regulation emerges as a powerful but yet immature tool to prevent it. Host engineering arises as a much needed complement to pathway engineering for high bioproduct yields; and systems biology approaches such as stoichiometric modeling or growth coupling strategies are required. A final, and often underestimated, challenge is the successful scale up of processes to commercial volumes. Sustained efforts in improving reproducibility and predictability are needed for further development of bioengineering.","author":[{"dropping-particle":"","family":"Chubukov","given":"Victor","non-dropping-particle":"","parse-names":false,"suffix":""},{"dropping-particle":"","family":"Mukhopadhyay","given":"Aindrila","non-dropping-particle":"","parse-names":false,"suffix":""},{"dropping-particle":"","family":"Petzold","given":"Christopher J","non-dropping-particle":"","parse-names":false,"suffix":""},{"dropping-particle":"","family":"Keasling","given":"Jay D","non-dropping-particle":"","parse-names":false,"suffix":""},{"dropping-particle":"","family":"Martín","given":"Héctor García","non-dropping-particle":"","parse-names":false,"suffix":""}],"container-title":"npj Systems Biology and Applications","id":"ITEM-1","issue":"1","issued":{"date-parts":[["2016"]]},"page":"16009","title":"Synthetic and systems biology for microbial production of commodity chemicals","type":"article-journal","volume":"2"},"uris":["http://www.mendeley.com/documents/?uuid=d40be6b8-4223-4f53-8a26-a5b869ca692c"]}],"mendeley":{"formattedCitation":"&lt;sup&gt;[2]&lt;/sup&gt;","plainTextFormattedCitation":"[2]","previouslyFormattedCitation":"&lt;sup&gt;[2]&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Despite lacking infrastructure for online monitoring and control of parameters such as pH and dissolved oxygen</w:t>
      </w:r>
      <w:r w:rsidR="00501062" w:rsidRPr="00BA37A1">
        <w:rPr>
          <w:rFonts w:ascii="Times New Roman" w:hAnsi="Times New Roman" w:cs="Times New Roman"/>
          <w:lang w:val="en-US"/>
        </w:rPr>
        <w:t xml:space="preserve"> (DO)</w:t>
      </w:r>
      <w:r w:rsidRPr="00BA37A1">
        <w:rPr>
          <w:rFonts w:ascii="Times New Roman" w:hAnsi="Times New Roman" w:cs="Times New Roman"/>
          <w:lang w:val="en-US"/>
        </w:rPr>
        <w:t>, which are deemed critical to product quality at industri</w:t>
      </w:r>
      <w:r w:rsidR="00BA37A1">
        <w:rPr>
          <w:rFonts w:ascii="Times New Roman" w:hAnsi="Times New Roman" w:cs="Times New Roman"/>
          <w:lang w:val="en-US"/>
        </w:rPr>
        <w:t>al scale, simple batch microtit</w:t>
      </w:r>
      <w:r w:rsidRPr="00BA37A1">
        <w:rPr>
          <w:rFonts w:ascii="Times New Roman" w:hAnsi="Times New Roman" w:cs="Times New Roman"/>
          <w:lang w:val="en-US"/>
        </w:rPr>
        <w:t>e</w:t>
      </w:r>
      <w:r w:rsidR="00BA37A1">
        <w:rPr>
          <w:rFonts w:ascii="Times New Roman" w:hAnsi="Times New Roman" w:cs="Times New Roman"/>
          <w:lang w:val="en-US"/>
        </w:rPr>
        <w:t>r</w:t>
      </w:r>
      <w:r w:rsidRPr="00BA37A1">
        <w:rPr>
          <w:rFonts w:ascii="Times New Roman" w:hAnsi="Times New Roman" w:cs="Times New Roman"/>
          <w:lang w:val="en-US"/>
        </w:rPr>
        <w:t xml:space="preserve"> plate or shake flask cultivations are ubiquitously employed in the early stages of bioprocess development. In addition, the largely discredited intuition led one-factor-at-a-time (OFAT) approach is typically employed to guide screening experiments, further limiting process insight during this crucial developmental stage</w:t>
      </w:r>
      <w:r w:rsidR="005E6A4C">
        <w:rPr>
          <w:rFonts w:ascii="Times New Roman" w:hAnsi="Times New Roman" w:cs="Times New Roman"/>
          <w:lang w:val="en-US"/>
        </w:rPr>
        <w:t>.</w:t>
      </w:r>
      <w:r w:rsidRPr="00BA37A1">
        <w:rPr>
          <w:rFonts w:ascii="Times New Roman" w:hAnsi="Times New Roman" w:cs="Times New Roman"/>
          <w:lang w:val="en-US"/>
        </w:rPr>
        <w:t xml:space="preserve"> </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https://doi.org/10.1201/9780429506987","author":[{"dropping-particle":"","family":"Wilk","given":"Patrick","non-dropping-particle":"","parse-names":false,"suffix":""},{"dropping-particle":"","family":"Halim","given":"Murni","non-dropping-particle":"","parse-names":false,"suffix":""},{"dropping-particle":"","family":"Rios-Solis","given":"Leonardo","non-dropping-particle":"","parse-names":false,"suffix":""}],"chapter-number":"18","container-title":"Fermentation Microbiology and Biotechnology, Fourth Edition","edition":"Fourth","editor":[{"dropping-particle":"","family":"El-Mansi","given":"E.M.T.","non-dropping-particle":"","parse-names":false,"suffix":""},{"dropping-particle":"","family":"Nielsen","given":"J.","non-dropping-particle":"","parse-names":false,"suffix":""},{"dropping-particle":"","family":"Mousdale","given":"D.","non-dropping-particle":"","parse-names":false,"suffix":""},{"dropping-particle":"","family":"Carlson","given":"R.P.","non-dropping-particle":"","parse-names":false,"suffix":""}],"id":"ITEM-1","issued":{"date-parts":[["2019"]]},"page":"14","publisher":"CRC Press","title":"Recent Advances and Impacts of Microtiter Plate-Based Fermentations in Synthetic Biology and Bioprocess Development","type":"chapter"},"uris":["http://www.mendeley.com/documents/?uuid=70698a5a-e65d-47f0-b694-6a6003af83f1"]},{"id":"ITEM-2","itemData":{"DOI":"10.1021/acssynbio.0c00385","author":[{"dropping-particle":"","family":"Gilman","given":"James","non-dropping-particle":"","parse-names":false,"suffix":""},{"dropping-particle":"","family":"Walls","given":"Laura","non-dropping-particle":"","parse-names":false,"suffix":""},{"dropping-particle":"","family":"Bandiera","given":"Lucia","non-dropping-particle":"","parse-names":false,"suffix":""},{"dropping-particle":"","family":"Menolascina","given":"Filippo","non-dropping-particle":"","parse-names":false,"suffix":""}],"container-title":"ACS Synthetic Biology","id":"ITEM-2","issue":"1","issued":{"date-parts":[["2021","1","15"]]},"note":"doi: 10.1021/acssynbio.0c00385","page":"1-18","publisher":"American Chemical Society","title":"Statistical Design of Experiments for Synthetic Biology","type":"article-journal","volume":"10"},"uris":["http://www.mendeley.com/documents/?uuid=05f43aa4-64af-4ebe-95ce-52725c45ddf2"]},{"id":"ITEM-3","itemData":{"DOI":"10.1002/pst.1932","ISSN":"1539-1612","author":[{"dropping-particle":"","family":"Fellermann","given":"Harold","non-dropping-particle":"","parse-names":false,"suffix":""},{"dropping-particle":"","family":"Shirt-Ediss","given":"Ben","non-dropping-particle":"","parse-names":false,"suffix":""},{"dropping-particle":"","family":"Kozyra","given":"Jerzy","non-dropping-particle":"","parse-names":false,"suffix":""},{"dropping-particle":"","family":"Linsley","given":"Matt","non-dropping-particle":"","parse-names":false,"suffix":""},{"dropping-particle":"","family":"Lendrem","given":"Dennis","non-dropping-particle":"","parse-names":false,"suffix":""},{"dropping-particle":"","family":"Isaacs","given":"John","non-dropping-particle":"","parse-names":false,"suffix":""},{"dropping-particle":"","family":"Howard","given":"Thomas","non-dropping-particle":"","parse-names":false,"suffix":""}],"container-title":"Pharmaceutical statistics","edition":"2019/02/21","id":"ITEM-3","issue":"4","issued":{"date-parts":[["2019","7"]]},"language":"eng","page":"402-406","publisher":"John Wiley and Sons Inc.","title":"Design of experiments and the virtual PCR simulator: An online game for pharmaceutical scientists and biotechnologists","type":"article-journal","volume":"18"},"uris":["http://www.mendeley.com/documents/?uuid=10dc5e20-aa83-46a2-adf0-15df86b6bfc7","http://www.mendeley.com/documents/?uuid=6366a0e3-35a6-4cc5-bc07-988f884da970"]}],"mendeley":{"formattedCitation":"&lt;sup&gt;[3–5]&lt;/sup&gt;","plainTextFormattedCitation":"[3–5]","previouslyFormattedCitation":"&lt;sup&gt;[3–5]&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[3–5]</w:t>
      </w:r>
      <w:r w:rsidRPr="00BA37A1">
        <w:rPr>
          <w:rFonts w:ascii="Times New Roman" w:hAnsi="Times New Roman" w:cs="Times New Roman"/>
          <w:lang w:val="en-US"/>
        </w:rPr>
        <w:fldChar w:fldCharType="end"/>
      </w:r>
    </w:p>
    <w:p w14:paraId="3BF9D9C9" w14:textId="66756459" w:rsidR="007A2DA3" w:rsidRPr="00BA37A1" w:rsidRDefault="007A2DA3"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Efficient, </w:t>
      </w:r>
      <w:r w:rsidR="00BA37A1" w:rsidRPr="00BA37A1">
        <w:rPr>
          <w:rFonts w:ascii="Times New Roman" w:hAnsi="Times New Roman" w:cs="Times New Roman"/>
          <w:lang w:val="en-US"/>
        </w:rPr>
        <w:t>standardized</w:t>
      </w:r>
      <w:r w:rsidRPr="00BA37A1">
        <w:rPr>
          <w:rFonts w:ascii="Times New Roman" w:hAnsi="Times New Roman" w:cs="Times New Roman"/>
          <w:lang w:val="en-US"/>
        </w:rPr>
        <w:t xml:space="preserve"> methods for the detailed </w:t>
      </w:r>
      <w:r w:rsidR="00BA37A1" w:rsidRPr="00BA37A1">
        <w:rPr>
          <w:rFonts w:ascii="Times New Roman" w:hAnsi="Times New Roman" w:cs="Times New Roman"/>
          <w:lang w:val="en-US"/>
        </w:rPr>
        <w:t>characterization</w:t>
      </w:r>
      <w:r w:rsidRPr="00BA37A1">
        <w:rPr>
          <w:rFonts w:ascii="Times New Roman" w:hAnsi="Times New Roman" w:cs="Times New Roman"/>
          <w:lang w:val="en-US"/>
        </w:rPr>
        <w:t xml:space="preserve"> of candidate strains under process relevant conditions are</w:t>
      </w:r>
      <w:r w:rsidR="0004166A" w:rsidRPr="00BA37A1">
        <w:rPr>
          <w:rFonts w:ascii="Times New Roman" w:hAnsi="Times New Roman" w:cs="Times New Roman"/>
          <w:lang w:val="en-US"/>
        </w:rPr>
        <w:t xml:space="preserve"> critical to alleviating key </w:t>
      </w:r>
      <w:r w:rsidRPr="00BA37A1">
        <w:rPr>
          <w:rFonts w:ascii="Times New Roman" w:hAnsi="Times New Roman" w:cs="Times New Roman"/>
          <w:lang w:val="en-US"/>
        </w:rPr>
        <w:t>bottlenecks and accelerating bioprocess development</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10.1016/j.tibtech.2017.08.011","ISSN":"0167-7799","author":[{"dropping-particle":"","family":"Campbell","given":"Kate","non-dropping-particle":"","parse-names":false,"suffix":""},{"dropping-particle":"","family":"Xia","given":"Jianye","non-dropping-particle":"","parse-names":false,"suffix":""},{"dropping-particle":"","family":"Nielsen","given":"Jens","non-dropping-particle":"","parse-names":false,"suffix":""}],"container-title":"Trends in Biotechnology","id":"ITEM-1","issue":"12","issued":{"date-parts":[["2017","12","1"]]},"note":"doi: 10.1016/j.tibtech.2017.08.011","page":"1156-1168","publisher":"Elsevier","title":"The Impact of Systems Biology on Bioprocessing","type":"article-journal","volume":"35"},"uris":["http://www.mendeley.com/documents/?uuid=bcbf5b2f-48fd-441d-8c2d-ca2fbea89d6f"]},{"id":"ITEM-2","itemData":{"DOI":"https://doi.org/10.1002/biot.201700141","ISSN":"1860-6768","abstract":"In recent years, microbioreactor (MBR) systems have evolved towards versatile bioprocess engineering tools. They provide a unique solution to combine higher experimental throughput with extensive bioprocess monitoring and control, which is indispensable to develop economically and ecologically competitive bioproduction processes. MBR systems are based either on down-scaled stirred tank reactors or on advanced shaken microtiter plate cultivation devices. Importantly, MBR systems make use of optical measurements for non-invasive, online monitoring of important process variables like biomass concentration, dissolved oxygen, pH, and fluorescence. The application range of MBR systems can be further increased by integration into liquid handling robots, enabling automatization and, thus standardization, of various handling and operation procedures. Finally, the tight integration of quantitative strain phenotyping with bioprocess development under industrially relevant conditions greatly increases the probability of finding the right combination of producer strain and bioprocess control strategy. This review will discuss the current state of the art in the field of MBR systems and we can readily conclude that their importance for industrial biotechnology will further increase in the near future.","author":[{"dropping-particle":"","family":"Hemmerich","given":"Johannes","non-dropping-particle":"","parse-names":false,"suffix":""},{"dropping-particle":"","family":"Noack","given":"Stephan","non-dropping-particle":"","parse-names":false,"suffix":""},{"dropping-particle":"","family":"Wiechert","given":"Wolfgang","non-dropping-particle":"","parse-names":false,"suffix":""},{"dropping-particle":"","family":"Oldiges","given":"Marco","non-dropping-particle":"","parse-names":false,"suffix":""}],"container-title":"Biotechnology Journal","id":"ITEM-2","issue":"4","issued":{"date-parts":[["2018","4","1"]]},"note":"https://doi.org/10.1002/biot.201700141","page":"1700141","publisher":"John Wiley &amp; Sons, Ltd","title":"Microbioreactor Systems for Accelerated Bioprocess Development","type":"article-journal","volume":"13"},"uris":["http://www.mendeley.com/documents/?uuid=6523c1c1-49a3-4dda-b4c1-283eb9e0934f"]},{"id":"ITEM-3","itemData":{"DOI":"10.1038/s41598-021-81633-6","ISSN":"2045-2322","abstract":"Tremendous advancements in cell and protein engineering methodologies and bioinformatics have led to a vast increase in bacterial production clones and recombinant protein variants to be screened and evaluated. Consequently, an urgent need exists for efficient high-throughput (HTP) screening approaches to improve the efficiency in early process development as a basis to speed-up all subsequent steps in the course of process design and engineering. In this study, we selected the BioLector micro-bioreactor (µ-bioreactor) system as an HTP cultivation platform to screen E. coli expression clones producing representative protein candidates for biopharmaceutical applications. We evaluated the extent to which generated clones and condition screening results were transferable and comparable to results from fully controlled bioreactor systems operated in fed-batch mode at moderate or high cell densities. Direct comparison of 22 different production clones showed great transferability. We observed the same growth and expression characteristics, and identical clone rankings except one host-Fab-leader combination. This outcome demonstrates the explanatory power of HTP µ-bioreactor data and the suitability of this platform as a screening tool in upstream development of microbial systems. Fast, reliable, and transferable screening data significantly reduce experiments in fully controlled bioreactor systems and accelerate process development at lower cost.","author":[{"dropping-particle":"","family":"Fink","given":"Mathias","non-dropping-particle":"","parse-names":false,"suffix":""},{"dropping-particle":"","family":"Cserjan-Puschmann","given":"Monika","non-dropping-particle":"","parse-names":false,"suffix":""},{"dropping-particle":"","family":"Reinisch","given":"Daniela","non-dropping-particle":"","parse-names":false,"suffix":""},{"dropping-particle":"","family":"Striedner","given":"Gerald","non-dropping-particle":"","parse-names":false,"suffix":""}],"container-title":"Scientific Reports","id":"ITEM-3","issue":"1","issued":{"date-parts":[["2021"]]},"page":"2056","title":"High-throughput microbioreactor provides a capable tool for early stage bioprocess development","type":"article-journal","volume":"11"},"uris":["http://www.mendeley.com/documents/?uuid=58264c96-cd3a-4584-ae83-fa93e2d3c996"]}],"mendeley":{"formattedCitation":"&lt;sup&gt;[6–8]&lt;/sup&gt;","plainTextFormattedCitation":"[6–8]","previouslyFormattedCitation":"&lt;sup&gt;[6–8]&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[6–8]</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Quality by design is a strategic approach, which aims to </w:t>
      </w:r>
      <w:r w:rsidR="00BA37A1" w:rsidRPr="00BA37A1">
        <w:rPr>
          <w:rFonts w:ascii="Times New Roman" w:hAnsi="Times New Roman" w:cs="Times New Roman"/>
          <w:lang w:val="en-US"/>
        </w:rPr>
        <w:t>maximize</w:t>
      </w:r>
      <w:r w:rsidRPr="00BA37A1">
        <w:rPr>
          <w:rFonts w:ascii="Times New Roman" w:hAnsi="Times New Roman" w:cs="Times New Roman"/>
          <w:lang w:val="en-US"/>
        </w:rPr>
        <w:t xml:space="preserve"> process insight and understanding from the outset to </w:t>
      </w:r>
      <w:r w:rsidR="00BA37A1" w:rsidRPr="00BA37A1">
        <w:rPr>
          <w:rFonts w:ascii="Times New Roman" w:hAnsi="Times New Roman" w:cs="Times New Roman"/>
          <w:lang w:val="en-US"/>
        </w:rPr>
        <w:t>minimize</w:t>
      </w:r>
      <w:r w:rsidRPr="00BA37A1">
        <w:rPr>
          <w:rFonts w:ascii="Times New Roman" w:hAnsi="Times New Roman" w:cs="Times New Roman"/>
          <w:lang w:val="en-US"/>
        </w:rPr>
        <w:t xml:space="preserve"> the risks associated with bioprocess scale-up. Statistical design of experiments (DoE</w:t>
      </w:r>
      <w:r w:rsidR="00C92A8E" w:rsidRPr="00BA37A1">
        <w:rPr>
          <w:rFonts w:ascii="Times New Roman" w:hAnsi="Times New Roman" w:cs="Times New Roman"/>
          <w:lang w:val="en-US"/>
        </w:rPr>
        <w:t>)</w:t>
      </w:r>
      <w:r w:rsidR="00501062" w:rsidRPr="00BA37A1">
        <w:rPr>
          <w:rFonts w:ascii="Times New Roman" w:hAnsi="Times New Roman" w:cs="Times New Roman"/>
          <w:lang w:val="en-US"/>
        </w:rPr>
        <w:t>, a key tool in the implementation of quality by design,</w:t>
      </w:r>
      <w:r w:rsidR="00C92A8E" w:rsidRPr="00BA37A1">
        <w:rPr>
          <w:rFonts w:ascii="Times New Roman" w:hAnsi="Times New Roman" w:cs="Times New Roman"/>
          <w:lang w:val="en-US"/>
        </w:rPr>
        <w:t xml:space="preserve"> </w:t>
      </w:r>
      <w:r w:rsidRPr="00BA37A1">
        <w:rPr>
          <w:rFonts w:ascii="Times New Roman" w:hAnsi="Times New Roman" w:cs="Times New Roman"/>
          <w:lang w:val="en-US"/>
        </w:rPr>
        <w:t>provide a structured approach to exploring relationships between factors of interest and the measured response</w:t>
      </w:r>
      <w:r w:rsidR="005E6A4C">
        <w:rPr>
          <w:rFonts w:ascii="Times New Roman" w:hAnsi="Times New Roman" w:cs="Times New Roman"/>
          <w:lang w:val="en-US"/>
        </w:rPr>
        <w:t>.</w:t>
      </w:r>
      <w:r w:rsidR="003947E5"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10.1021/acssynbio.0c00385","author":[{"dropping-particle":"","family":"Gilman","given":"James","non-dropping-particle":"","parse-names":false,"suffix":""},{"dropping-particle":"","family":"Walls","given":"Laura","non-dropping-particle":"","parse-names":false,"suffix":""},{"dropping-particle":"","family":"Bandiera","given":"Lucia","non-dropping-particle":"","parse-names":false,"suffix":""},{"dropping-particle":"","family":"Menolascina","given":"Filippo","non-dropping-particle":"","parse-names":false,"suffix":""}],"container-title":"ACS Synthetic Biology","id":"ITEM-1","issue":"1","issued":{"date-parts":[["2021","1","15"]]},"note":"doi: 10.1021/acssynbio.0c00385","page":"1-18","publisher":"American Chemical Society","title":"Statistical Design of Experiments for Synthetic Biology","type":"article-journal","volume":"10"},"uris":["http://www.mendeley.com/documents/?uuid=05f43aa4-64af-4ebe-95ce-52725c45ddf2"]}],"mendeley":{"formattedCitation":"&lt;sup&gt;[4]&lt;/sup&gt;","plainTextFormattedCitation":"[4]","previouslyFormattedCitation":"&lt;sup&gt;[4]&lt;/sup&gt;"},"properties":{"noteIndex":0},"schema":"https://github.com/citation-style-language/schema/raw/master/csl-citation.json"}</w:instrText>
      </w:r>
      <w:r w:rsidR="003947E5"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[4]</w:t>
      </w:r>
      <w:r w:rsidR="003947E5" w:rsidRPr="00BA37A1">
        <w:rPr>
          <w:rFonts w:ascii="Times New Roman" w:hAnsi="Times New Roman" w:cs="Times New Roman"/>
          <w:lang w:val="en-US"/>
        </w:rPr>
        <w:fldChar w:fldCharType="end"/>
      </w:r>
      <w:r w:rsidRPr="00BA37A1">
        <w:rPr>
          <w:rFonts w:ascii="Times New Roman" w:hAnsi="Times New Roman" w:cs="Times New Roman"/>
          <w:lang w:val="en-US"/>
        </w:rPr>
        <w:t xml:space="preserve"> As factors are varied systematically and simultaneously, interaction effects, which are omnipresent in biological systems and neglected by OFAT approaches, can be estimated. The resulting data may be used to drive the derivation of statistical models to </w:t>
      </w:r>
      <w:r w:rsidR="00BA37A1" w:rsidRPr="00BA37A1">
        <w:rPr>
          <w:rFonts w:ascii="Times New Roman" w:hAnsi="Times New Roman" w:cs="Times New Roman"/>
          <w:lang w:val="en-US"/>
        </w:rPr>
        <w:t>maximize</w:t>
      </w:r>
      <w:r w:rsidRPr="00BA37A1">
        <w:rPr>
          <w:rFonts w:ascii="Times New Roman" w:hAnsi="Times New Roman" w:cs="Times New Roman"/>
          <w:lang w:val="en-US"/>
        </w:rPr>
        <w:t xml:space="preserve"> process understanding and expedite the </w:t>
      </w:r>
      <w:r w:rsidR="00BA37A1" w:rsidRPr="00BA37A1">
        <w:rPr>
          <w:rFonts w:ascii="Times New Roman" w:hAnsi="Times New Roman" w:cs="Times New Roman"/>
          <w:lang w:val="en-US"/>
        </w:rPr>
        <w:t>optimization</w:t>
      </w:r>
      <w:r w:rsidRPr="00BA37A1">
        <w:rPr>
          <w:rFonts w:ascii="Times New Roman" w:hAnsi="Times New Roman" w:cs="Times New Roman"/>
          <w:lang w:val="en-US"/>
        </w:rPr>
        <w:t xml:space="preserve"> process, whilst </w:t>
      </w:r>
      <w:r w:rsidR="00BA37A1" w:rsidRPr="00BA37A1">
        <w:rPr>
          <w:rFonts w:ascii="Times New Roman" w:hAnsi="Times New Roman" w:cs="Times New Roman"/>
          <w:lang w:val="en-US"/>
        </w:rPr>
        <w:t>minimizing</w:t>
      </w:r>
      <w:r w:rsidRPr="00BA37A1">
        <w:rPr>
          <w:rFonts w:ascii="Times New Roman" w:hAnsi="Times New Roman" w:cs="Times New Roman"/>
          <w:lang w:val="en-US"/>
        </w:rPr>
        <w:t xml:space="preserve"> the experimental burden. Such DoE approaches can be readily coupled with </w:t>
      </w:r>
      <w:r w:rsidRPr="00BA37A1">
        <w:rPr>
          <w:rFonts w:ascii="Times New Roman" w:hAnsi="Times New Roman" w:cs="Times New Roman"/>
          <w:lang w:val="en-US"/>
        </w:rPr>
        <w:lastRenderedPageBreak/>
        <w:t>recently developed advanced microbioreactor tools to facilitate high-throughput screening with dramatically increased process insight and closer mimicry of larger scale conditions compa</w:t>
      </w:r>
      <w:r w:rsidR="005E6A4C">
        <w:rPr>
          <w:rFonts w:ascii="Times New Roman" w:hAnsi="Times New Roman" w:cs="Times New Roman"/>
          <w:lang w:val="en-US"/>
        </w:rPr>
        <w:t>red to traditional microplates.</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{"citationItems":[{"id":"ITEM-1","itemData":{"DOI":"10.1007/s10616-012-9446-1","ISSN":"1573-0778","abstract":"In recent years, several automated scale-down bioreactor systems have been developed to increase efficiency in cell culture process development. ambr™ is an automated workstation that provides individual monitoring and control of culture dissolved oxygen and pH in single-use, stirred-tank bioreactors at a working volume of 10–15 mL. To evaluate the ambr™ system, we compared the performance of four recombinant Chinese hamster ovary cell lines in a fed-batch process in parallel ambr™, 2-L bench-top bioreactors, and shake flasks. Cultures in ambr™ matched 2-L bioreactors in controlling the environment (temperature, dissolved oxygen, and pH) and in culture performance (growth, viability, glucose, lactate, Na+, osmolality, titer, and product quality). However, cultures in shake flasks did not show comparable performance to the ambr™ and 2-L bioreactors.","author":[{"dropping-particle":"","family":"Hsu","given":"Wei-Ting","non-dropping-particle":"","parse-names":false,"suffix":""},{"dropping-particle":"","family":"Aulakh","given":"Rigzen P S","non-dropping-particle":"","parse-names":false,"suffix":""},{"dropping-particle":"","family":"Traul","given":"Donald L","non-dropping-particle":"","parse-names":false,"suffix":""},{"dropping-particle":"","family":"Yuk","given":"Inn H","non-dropping-particle":"","parse-names":false,"suffix":""}],"container-title":"Cytotechnology","id":"ITEM-1","issue":"6","issued":{"date-parts":[["2012"]]},"page":"667-678","title":"Advanced microscale bioreactor system: a representative scale-down model for bench-top bioreactors","type":"article-journal","volume":"64"},"uris":["http://www.mendeley.com/documents/?uuid=cdafd116-0600-4f5f-b38d-53e1f131c78d"]},{"id":"ITEM-2","itemData":{"DOI":"10.1002/bit.22341","ISSN":"0006-3592","abstract":"Abstract Most experiments in screening and process development are performed in shaken bioreactors. Today, microtiter plates are the preferred vessels for small-scale microbial cultivations in high throughput, even though they have never been optimized for this purpose. To interpret the experimental results correctly and to obtain a base for a meaningful scale-up, sufficient oxygen supply to the culture liquid is crucial. For shaken bioreactors this problem can generally be addressed by the introduction of baffles. Therefore, the focus of this study is to investigate how baffling and the well geometry affect the maximum oxygen transfer capacity (OTRmax) in microtiter plates. On a 48-well plate scale, 30 different cross-section geometries of a well were studied. It could be shown that the introduction of baffles into the common circular cylinder of a microtiter plate well doubles the maximum oxygen transfer capacity, resulting in values above 100 mmol/L/h (kLa?&gt;?600 1/h). To also guarantee a high volume for microbial cultivation, it is important to maximize the filling volume, applicable during orbital shaking. Additionally, the liquid height at the well bottom was examined, which is a decisive parameter for online-monitoring systems such as the BioLector. This technology performs fiber-optical measurements through the well bottom, therefore requires a constant liquid height at all shaking frequencies. Ultimately, a six-petal flower-shaped well geometry was shown to be the optimal solution taking into account all aforementioned criteria. With its favorable culture conditions and the possibility for unrestricted online monitoring, this novel microtiter plate is an efficient tool to gain meaningful results for interpreting and scaling-up experiments in clone screening and bioprocess development. Biotechnol. Bioeng. 2009;103: 1118?1128. ? 2009 Wiley Periodicals, Inc.","author":[{"dropping-particle":"","family":"Funke","given":"Matthias","non-dropping-particle":"","parse-names":false,"suffix":""},{"dropping-particle":"","family":"Diederichs","given":"Sylvia","non-dropping-particle":"","parse-names":false,"suffix":""},{"dropping-particle":"","family":"Kensy","given":"Frank","non-dropping-particle":"","parse-names":false,"suffix":""},{"dropping-particle":"","family":"Müller","given":"Carsten","non-dropping-particle":"","parse-names":false,"suffix":""},{"dropping-particle":"","family":"Büchs","given":"Jochen","non-dropping-particle":"","parse-names":false,"suffix":""}],"container-title":"Biotechnology and Bioengineering","id":"ITEM-2","issue":"6","issued":{"date-parts":[["2009","8"]]},"page":"1118-1128","publisher":"John Wiley &amp; Sons, Ltd","title":"The baffled microtiter plate: Increased oxygen transfer and improved online monitoring in small scale fermentations","type":"article-journal","volume":"103"},"uris":["http://www.mendeley.com/documents/?uuid=e0338a89-daf3-4c6e-ba7d-f45fa0dbcaaf"]}],"mendeley":{"formattedCitation":"&lt;sup&gt;[9,10]&lt;/sup&gt;","plainTextFormattedCitation":"[9,10]","previouslyFormattedCitation":"&lt;sup&gt;[9,10]&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[9,10]</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The</w:t>
      </w:r>
      <w:r w:rsidR="00C92A8E" w:rsidRPr="00BA37A1">
        <w:rPr>
          <w:rFonts w:ascii="Times New Roman" w:hAnsi="Times New Roman" w:cs="Times New Roman"/>
          <w:lang w:val="en-US"/>
        </w:rPr>
        <w:t xml:space="preserve"> microscale</w:t>
      </w:r>
      <w:r w:rsidRPr="00BA37A1">
        <w:rPr>
          <w:rFonts w:ascii="Times New Roman" w:hAnsi="Times New Roman" w:cs="Times New Roman"/>
          <w:lang w:val="en-US"/>
        </w:rPr>
        <w:t xml:space="preserve"> BioLector platform, for example, enables the online monitoring of critical process parameters such as pH, </w:t>
      </w:r>
      <w:r w:rsidR="00501062" w:rsidRPr="00BA37A1">
        <w:rPr>
          <w:rFonts w:ascii="Times New Roman" w:hAnsi="Times New Roman" w:cs="Times New Roman"/>
          <w:lang w:val="en-US"/>
        </w:rPr>
        <w:t>DO</w:t>
      </w:r>
      <w:r w:rsidRPr="00BA37A1">
        <w:rPr>
          <w:rFonts w:ascii="Times New Roman" w:hAnsi="Times New Roman" w:cs="Times New Roman"/>
          <w:lang w:val="en-US"/>
        </w:rPr>
        <w:t xml:space="preserve">, fluorescence and cell growth for 48 simultaneous fermentations. Such data is extremely beneficial for bioprocess </w:t>
      </w:r>
      <w:r w:rsidR="00BA37A1" w:rsidRPr="00BA37A1">
        <w:rPr>
          <w:rFonts w:ascii="Times New Roman" w:hAnsi="Times New Roman" w:cs="Times New Roman"/>
          <w:lang w:val="en-US"/>
        </w:rPr>
        <w:t>characterization</w:t>
      </w:r>
      <w:r w:rsidRPr="00BA37A1">
        <w:rPr>
          <w:rFonts w:ascii="Times New Roman" w:hAnsi="Times New Roman" w:cs="Times New Roman"/>
          <w:lang w:val="en-US"/>
        </w:rPr>
        <w:t xml:space="preserve">, rendering the BioLector an excellent instrument for the execution of design of experiments studies. The platform has been successfully employed to screen the effect of media and processing conditions on recombinant β-carotene production in </w:t>
      </w:r>
      <w:r w:rsidRPr="00BA37A1">
        <w:rPr>
          <w:rFonts w:ascii="Times New Roman" w:hAnsi="Times New Roman" w:cs="Times New Roman"/>
          <w:i/>
          <w:lang w:val="en-US"/>
        </w:rPr>
        <w:t>Yarrowia lipolytica</w:t>
      </w:r>
      <w:r w:rsidR="005E6A4C">
        <w:rPr>
          <w:rFonts w:ascii="Times New Roman" w:hAnsi="Times New Roman" w:cs="Times New Roman"/>
          <w:i/>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{"citationItems":[{"id":"ITEM-1","itemData":{"ISBN":"2296-4185","abstract":"The production of β-carotene has become increasingly interesting within the biotechnological industry due to a rising demand for safer and more natural colorants, nutritional supplements, and antioxidants. A recent study has described the potential of Yarrowia lipolytica as a β-carotene-producing cell factory, reporting the highest titer of recombinant β-carotene produced to date. Finding the best conditions to maximize production and scaling up the process to full scale, a costly and time-consuming process, it is often a bottleneck in biotechnology. In this work, we explored the benefits of using micro-fermentation equipment to significantly reduce the time spent on design and optimization of bioreaction conditions, especially in the early stages of process development. In this proof-of-concept study, a β-carotene producing Y. lipolytica strain was tested in micro-fermentations partly to assess the robustness of the cell factory design and partly to perform media optimization. The medium optimization led us to an improvement of up to 50% in the yield of β-carotene production in the best of the conditions. Overall, the micro-fermentation system had a high degree of reliability in all tests.","author":[{"dropping-particle":"","family":"Jacobsen","given":"Irene Hjorth","non-dropping-particle":"","parse-names":false,"suffix":""},{"dropping-particle":"","family":"Ledesma-Amaro","given":"Rodrigo","non-dropping-particle":"","parse-names":false,"suffix":""},{"dropping-particle":"","family":"Martinez","given":"José Luis","non-dropping-particle":"","parse-names":false,"suffix":""}],"container-title":"Frontiers in Bioengineering and Biotechnology  ","id":"ITEM-1","issued":{"date-parts":[["2020"]]},"page":"29","title":"Recombinant β-Carotene Production by Yarrowia lipolytica – Assessing the Potential of Micro-Scale Fermentation Analysis in Cell Factory Design and Bioreaction Optimization   ","type":"article","volume":"8      "},"uris":["http://www.mendeley.com/documents/?uuid=39e60760-9a9b-4583-baf7-6076ba148bd5"]},{"id":"ITEM-2","itemData":{"DOI":"10.1186/s12934-016-0546-z","ISSN":"1475-2859","abstract":"Because the model yeast Yarrowia lipolytica can synthesize and store lipids in quantities up to 20 % of its dry weight, it is a promising microorganism for oil production at an industrial scale. Typically, optimization of the lipid production process is performed in the laboratory and later scaled up for industrial production. However, the scale-up process can be complicated by genetic modifications that are optimized for one set of growing conditions can confer a less-than-optimal phenotype in a different environment. To address this issue, small cultivation systems have been developed that mimic the conditions in benchtop bioreactors. In this work, we used one such microbioreactor system, the BioLector, to develop high-throughput fermentation procedures that optimize growth and lipid accumulation in Y. lipolytica. Using this system, we were able to monitor lipid and biomass production in real time throughout the culture duration.","author":[{"dropping-particle":"","family":"Back","given":"Alexandre","non-dropping-particle":"","parse-names":false,"suffix":""},{"dropping-particle":"","family":"Rossignol","given":"Tristan","non-dropping-particle":"","parse-names":false,"suffix":""},{"dropping-particle":"","family":"Krier","given":"François","non-dropping-particle":"","parse-names":false,"suffix":""},{"dropping-particle":"","family":"Nicaud","given":"Jean-Marc","non-dropping-particle":"","parse-names":false,"suffix":""},{"dropping-particle":"","family":"Dhulster","given":"Pascal","non-dropping-particle":"","parse-names":false,"suffix":""}],"container-title":"Microbial Cell Factories","id":"ITEM-2","issue":"1","issued":{"date-parts":[["2016","8"]]},"page":"147","title":"High-throughput fermentation screening for the yeast Yarrowia lipolytica with real-time monitoring of biomass and lipid production","type":"article-journal","volume":"15"},"uris":["http://www.mendeley.com/documents/?uuid=e6dccc86-98c0-4ab1-a591-1f80246e6edb"]}],"mendeley":{"formattedCitation":"&lt;sup&gt;[11,12]&lt;/sup&gt;","plainTextFormattedCitation":"[11,12]","previouslyFormattedCitation":"&lt;sup&gt;[11,12]&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[11,12]</w:t>
      </w:r>
      <w:r w:rsidRPr="00BA37A1">
        <w:rPr>
          <w:rFonts w:ascii="Times New Roman" w:hAnsi="Times New Roman" w:cs="Times New Roman"/>
          <w:lang w:val="en-US"/>
        </w:rPr>
        <w:fldChar w:fldCharType="end"/>
      </w:r>
      <w:r w:rsidRPr="00BA37A1">
        <w:rPr>
          <w:rFonts w:ascii="Times New Roman" w:hAnsi="Times New Roman" w:cs="Times New Roman"/>
          <w:i/>
          <w:lang w:val="en-US"/>
        </w:rPr>
        <w:t xml:space="preserve"> </w:t>
      </w:r>
      <w:r w:rsidRPr="00BA37A1">
        <w:rPr>
          <w:rFonts w:ascii="Times New Roman" w:hAnsi="Times New Roman" w:cs="Times New Roman"/>
          <w:lang w:val="en-US"/>
        </w:rPr>
        <w:t xml:space="preserve">Comparable trends were observed in the microscale platform and larger bench top bioreactor (0.5-1L) cultivations, highlighting scalability. </w:t>
      </w:r>
    </w:p>
    <w:p w14:paraId="7B24D187" w14:textId="0CEE2991" w:rsidR="007A2DA3" w:rsidRPr="00BA37A1" w:rsidRDefault="007A2DA3"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The densely </w:t>
      </w:r>
      <w:r w:rsidR="00BA37A1" w:rsidRPr="00BA37A1">
        <w:rPr>
          <w:rFonts w:ascii="Times New Roman" w:hAnsi="Times New Roman" w:cs="Times New Roman"/>
          <w:lang w:val="en-US"/>
        </w:rPr>
        <w:t>functionalized</w:t>
      </w:r>
      <w:r w:rsidRPr="00BA37A1">
        <w:rPr>
          <w:rFonts w:ascii="Times New Roman" w:hAnsi="Times New Roman" w:cs="Times New Roman"/>
          <w:lang w:val="en-US"/>
        </w:rPr>
        <w:t xml:space="preserve"> and intricate structure of the highly effective chemotherapy drug, </w:t>
      </w:r>
      <w:r w:rsidR="00501062" w:rsidRPr="00BA37A1">
        <w:rPr>
          <w:rFonts w:ascii="Times New Roman" w:hAnsi="Times New Roman" w:cs="Times New Roman"/>
          <w:lang w:val="en-US"/>
        </w:rPr>
        <w:t>Taxol</w:t>
      </w:r>
      <w:r w:rsidRPr="00BA37A1">
        <w:rPr>
          <w:rFonts w:ascii="Times New Roman" w:hAnsi="Times New Roman" w:cs="Times New Roman"/>
          <w:lang w:val="en-US"/>
        </w:rPr>
        <w:t>, renders it an excellent model compound for metabolic engineering studies. As a result, its microbial synthesis has been a major research focus for decades</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{"citationItems":[{"id":"ITEM-1","itemData":{"DOI":"https://doi.org/10.1006/prep.1998.0870","ISSN":"1046-5928","abstract":"Taxadiene synthase catalyzes the conversion of the universal precursor of diterpenoids, geranylgeranyl diphosphate, to taxadiene, a key intermediate in Taxol (paclitaxel) biosynthesis. The gene encoding taxadiene synthase was cloned recently. Here we report a method for the heterologous overexpression of cDNA encoding taxadiene synthase inEscherichia coliusing a thioredoxin fusion expression system, which increases the solubility of expressed protein. Taxadiene synthase cDNA was amplified by polymerase chain reaction and then subcloned into pET3d and pET32a(+) to form pET3dTX and pET32TX, respectively. The expressed taxadiene synthase fromE. coliBL21(DE3)/pET3dTX was present completely as inclusion bodies. The transformantE. coliBL21(DE3)/pET32TX produced a thioredoxin fusion taxadiene synthase (15–20% of total soluble protein) when induced with isopropyl β-d-thiogalactopyranoside at low temperature (20°C). The recombinant enzyme was purified by a single step with a His-binding metal affinity column. The maximal production attained was 13 mg of purified, active fusion protein per 500 ml culture ofE. coliBL21(DE3)/pET32TX. The purified recombinant taxadiene synthase fusion protein was similar to native protein in steady-state kinetic parameters and mobility on sodium sulfate–polyacrylamide gel electrophoresis. The protein purified fromE. coliBL21(DE3)/pET3dTX had the expected N-terminal (AQLSFNA) sequence.","author":[{"dropping-particle":"","family":"Huang","given":"Ke-xue","non-dropping-particle":"","parse-names":false,"suffix":""},{"dropping-particle":"","family":"Huang","given":"Qiu-long","non-dropping-particle":"","parse-names":false,"suffix":""},{"dropping-particle":"","family":"Wildung","given":"Mark R","non-dropping-particle":"","parse-names":false,"suffix":""},{"dropping-particle":"","family":"Croteau","given":"Rodney","non-dropping-particle":"","parse-names":false,"suffix":""},{"dropping-particle":"","family":"Scott","given":"A I","non-dropping-particle":"","parse-names":false,"suffix":""}],"container-title":"Protein Expression and Purification","id":"ITEM-1","issue":"1","issued":{"date-parts":[["1998"]]},"page":"90-96","title":"Overproduction, inEscherichia coli,of Soluble Taxadiene Synthase, a Key Enzyme in the Taxol Biosynthetic Pathway","type":"article-journal","volume":"13"},"uris":["http://www.mendeley.com/documents/?uuid=924acd40-7f82-43fb-bb5a-668a14e47dfd"]},{"id":"ITEM-2","itemData":{"DOI":"https://doi.org/10.1006/abbi.1999.1125","ISSN":"0003-9861","abstract":"The acetylation of taxa-4(20),11(12)-dien-5α-ol is considered to be the third specific step of Taxol biosynthesis that precedes further hydroxylation of the taxane nucleus. An operationally soluble acetyl CoA:taxadienol-O-acetyl transferase was demonstrated in extracts ofTaxus canadensisandTaxus cuspidatacells induced with methyl jasmonate to produce Taxol. The reaction was dependent on both cosubstrates and active enzyme, and the product of this acetyl transferase was identified by radiochromatographic and GC-MS analysis. Following determination of the time course of acetyl transferase appearance in induced cell cultures, the operationally soluble enzyme was partially purified by a combination of anion exchange, hydrophobic interaction, and affinity chromatography on immobilized coenzyme A resin. This acetyl transferase has a pIand pH optimum of 4.7 and 9.0, respectively, and a molecular weight of about 50,000 as determined by gel permeation chromatography. The enzyme shows high selectivity and high affinity for both cosubstrates, withKmvalues of 4.2 and 5.5 μM for taxadienol and acetyl CoA, respectively. The enzyme does not acetylate the more advanced Taxol precursors, 10-deacetylbaccatin III or baccatin III. This acetyl transferase is insensitive to monovalent and divalent metal ions, is only weakly inhibited byp-hydroxymercuribenzoate,N-ethylmaleimide, and coenzyme A, and resembles in general properties the few otherO-acetyl transferases of higher plant origin that have been examined.","author":[{"dropping-particle":"","family":"Walker","given":"Kevin","non-dropping-particle":"","parse-names":false,"suffix":""},{"dropping-particle":"","family":"Ketchum","given":"Raymond E B","non-dropping-particle":"","parse-names":false,"suffix":""},{"dropping-particle":"","family":"Hezari","given":"Mehri","non-dropping-particle":"","parse-names":false,"suffix":""},{"dropping-particle":"","family":"Gatfield","given":"David","non-dropping-particle":"","parse-names":false,"suffix":""},{"dropping-particle":"","family":"Goleniowski","given":"Marta","non-dropping-particle":"","parse-names":false,"suffix":""},{"dropping-particle":"","family":"Barthol","given":"Ann","non-dropping-particle":"","parse-names":false,"suffix":""},{"dropping-particle":"","family":"Croteau","given":"Rodney","non-dropping-particle":"","parse-names":false,"suffix":""}],"container-title":"Archives of Biochemistry and Biophysics","id":"ITEM-2","issue":"2","issued":{"date-parts":[["1999"]]},"page":"273-279","title":"Partial Purification and Characterization of Acetyl Coenzyme A: Taxa-4(20),11(12)-dien-5α-olO-Acetyl Transferase That Catalyzes the First Acylation Step of Taxol Biosynthesis","type":"article-journal","volume":"364"},"uris":["http://www.mendeley.com/documents/?uuid=2e21e3e3-49fd-4fa4-82c0-d37ffc218313"]},{"id":"ITEM-3","itemData":{"DOI":"10.1007/978-3-319-67903-7_7","ISBN":"978-3-319-67903-7","abstract":"Taxol® (paclitaxel) has fascinated researchers, medical professionals, politicians and entrepreneurs for almost half a century. Its medicinal value as a potent anti-cancer compound has expanded greatly over time as new applications have been identified for the treatment of diverse indications. Knowledge of its complex biosynthesis pathway remains incomplete, with only 14 of the 19 genes well characterized. Despite this disadvantage, huge strides have been taken towards improving access to this diterpenoid compound and meeting the ever increasing demand. Productivity has increased thanks to the development of new methods, from the pioneering bark extraction techniques and complete chemical synthesis, to semi-synthesis from precursors such as baccatin III extracted from Taxus spp. plant cultures and the first attempts to produce taxol in non-native platforms. The entire pathway should be elucidated within the next decade, perhaps allowing its introduction into a host capable of gram per litre productivity. This review outlines major and recent findings related to the characterization of the taxol biosynthesis pathway, the evolution of production methods and future prospects for exploitation by metabolic engineering of a designed microbial chassis.","author":[{"dropping-particle":"","family":"McElroy","given":"Christopher","non-dropping-particle":"","parse-names":false,"suffix":""},{"dropping-particle":"","family":"Jennewein","given":"Stefan","non-dropping-particle":"","parse-names":false,"suffix":""}],"container-title":"Biotechnology of Natural Products","editor":[{"dropping-particle":"","family":"Schwab","given":"Wilfried","non-dropping-particle":"","parse-names":false,"suffix":""},{"dropping-particle":"","family":"Lange","given":"Bernd Markus","non-dropping-particle":"","parse-names":false,"suffix":""},{"dropping-particle":"","family":"Wüst","given":"Matthias","non-dropping-particle":"","parse-names":false,"suffix":""}],"id":"ITEM-3","issued":{"date-parts":[["2018"]]},"page":"145-185","publisher":"Springer International Publishing","publisher-place":"Cham","title":"Taxol® Biosynthesis and Production: From Forests to Fermenters","type":"chapter"},"uris":["http://www.mendeley.com/documents/?uuid=51eec4d9-bf55-4c0a-9f9a-cf1347a47990"]}],"mendeley":{"formattedCitation":"&lt;sup&gt;[13–15]&lt;/sup&gt;","plainTextFormattedCitation":"[13–15]","previouslyFormattedCitation":"&lt;sup&gt;[13–15]&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[13–15]</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However, the pathway (Figure 1B) is yet to be fully elucidated and low and variable yields of early </w:t>
      </w:r>
      <w:r w:rsidR="00501062" w:rsidRPr="00BA37A1">
        <w:rPr>
          <w:rFonts w:ascii="Times New Roman" w:hAnsi="Times New Roman" w:cs="Times New Roman"/>
          <w:lang w:val="en-US"/>
        </w:rPr>
        <w:t>Taxol</w:t>
      </w:r>
      <w:r w:rsidRPr="00BA37A1">
        <w:rPr>
          <w:rFonts w:ascii="Times New Roman" w:hAnsi="Times New Roman" w:cs="Times New Roman"/>
          <w:lang w:val="en-US"/>
        </w:rPr>
        <w:t xml:space="preserve"> precursors have been achieved in microbial hosts to date. The highly promiscuous and multi-specific enzyme, taxadiene-5α-hydroxylase (CYP725A4), which is responsible for </w:t>
      </w:r>
      <w:r w:rsidR="00BA37A1" w:rsidRPr="00BA37A1">
        <w:rPr>
          <w:rFonts w:ascii="Times New Roman" w:hAnsi="Times New Roman" w:cs="Times New Roman"/>
          <w:lang w:val="en-US"/>
        </w:rPr>
        <w:t>catalyzing</w:t>
      </w:r>
      <w:r w:rsidRPr="00BA37A1">
        <w:rPr>
          <w:rFonts w:ascii="Times New Roman" w:hAnsi="Times New Roman" w:cs="Times New Roman"/>
          <w:lang w:val="en-US"/>
        </w:rPr>
        <w:t xml:space="preserve"> the first oxidation step (Figure 1B), is a particular bottleneck. Both the activity and selectivity of the enzyme are highly sensitive to external conditions. Substantial differences in product spectra and overall </w:t>
      </w:r>
      <w:r w:rsidR="00BA37A1" w:rsidRPr="00BA37A1">
        <w:rPr>
          <w:rFonts w:ascii="Times New Roman" w:hAnsi="Times New Roman" w:cs="Times New Roman"/>
          <w:lang w:val="en-US"/>
        </w:rPr>
        <w:t>titer</w:t>
      </w:r>
      <w:r w:rsidRPr="00BA37A1">
        <w:rPr>
          <w:rFonts w:ascii="Times New Roman" w:hAnsi="Times New Roman" w:cs="Times New Roman"/>
          <w:lang w:val="en-US"/>
        </w:rPr>
        <w:t xml:space="preserve"> have been observed in response to deviations in medium composition, pH, extraction solvent and production host</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10.1021/acschembio.5b00767","ISSN":"1554-8929","author":[{"dropping-particle":"","family":"Edgar","given":"Steven","non-dropping-particle":"","parse-names":false,"suffix":""},{"dropping-particle":"","family":"Zhou","given":"Kang","non-dropping-particle":"","parse-names":false,"suffix":""},{"dropping-particle":"","family":"Qiao","given":"Kangjian","non-dropping-particle":"","parse-names":false,"suffix":""},{"dropping-particle":"","family":"King","given":"Jason R","non-dropping-particle":"","parse-names":false,"suffix":""},{"dropping-particle":"","family":"Simpson","given":"Jeffrey H","non-dropping-particle":"","parse-names":false,"suffix":""},{"dropping-particle":"","family":"Stephanopoulos","given":"Gregory","non-dropping-particle":"","parse-names":false,"suffix":""}],"container-title":"ACS Chemical Biology","id":"ITEM-1","issue":"2","issued":{"date-parts":[["2016","2"]]},"page":"460-469","publisher":"American Chemical Society","title":"Mechanistic Insights into Taxadiene Epoxidation by Taxadiene-5α-Hydroxylase","type":"article-journal","volume":"11"},"uris":["http://www.mendeley.com/documents/?uuid=da813869-3299-4e46-858b-86fcf650f0e8"]},{"id":"ITEM-2","itemData":{"DOI":"10.1002/bit.27569","ISSN":"0006-3592","abstract":"Abstract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Bioengineering","id":"ITEM-2","issue":"n/a","issued":{"date-parts":[["2020","9","16"]]},"note":"doi: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[16,17]&lt;/sup&gt;","plainTextFormattedCitation":"[16,17]","previouslyFormattedCitation":"&lt;sup&gt;[16,17]&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[16,17]</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The </w:t>
      </w:r>
      <w:r w:rsidR="00BA37A1" w:rsidRPr="00BA37A1">
        <w:rPr>
          <w:rFonts w:ascii="Times New Roman" w:hAnsi="Times New Roman" w:cs="Times New Roman"/>
          <w:lang w:val="en-US"/>
        </w:rPr>
        <w:t>characterization</w:t>
      </w:r>
      <w:r w:rsidRPr="00BA37A1">
        <w:rPr>
          <w:rFonts w:ascii="Times New Roman" w:hAnsi="Times New Roman" w:cs="Times New Roman"/>
          <w:lang w:val="en-US"/>
        </w:rPr>
        <w:t xml:space="preserve"> of the superfluous side products generated during this initial oxidation step is desirable for future metabolic engineering efforts to improve enzyme selectivity. Nevertheless, current production </w:t>
      </w:r>
      <w:r w:rsidR="00BA37A1" w:rsidRPr="00BA37A1">
        <w:rPr>
          <w:rFonts w:ascii="Times New Roman" w:hAnsi="Times New Roman" w:cs="Times New Roman"/>
          <w:lang w:val="en-US"/>
        </w:rPr>
        <w:t>titers</w:t>
      </w:r>
      <w:r w:rsidRPr="00BA37A1">
        <w:rPr>
          <w:rFonts w:ascii="Times New Roman" w:hAnsi="Times New Roman" w:cs="Times New Roman"/>
          <w:lang w:val="en-US"/>
        </w:rPr>
        <w:t xml:space="preserve"> are insufficient for purification</w:t>
      </w:r>
      <w:r w:rsidR="00501062" w:rsidRPr="00BA37A1">
        <w:rPr>
          <w:rFonts w:ascii="Times New Roman" w:hAnsi="Times New Roman" w:cs="Times New Roman"/>
          <w:lang w:val="en-US"/>
        </w:rPr>
        <w:t>,</w:t>
      </w:r>
      <w:r w:rsidRPr="00BA37A1">
        <w:rPr>
          <w:rFonts w:ascii="Times New Roman" w:hAnsi="Times New Roman" w:cs="Times New Roman"/>
          <w:lang w:val="en-US"/>
        </w:rPr>
        <w:t xml:space="preserve"> hindering such </w:t>
      </w:r>
      <w:r w:rsidR="00BA37A1" w:rsidRPr="00BA37A1">
        <w:rPr>
          <w:rFonts w:ascii="Times New Roman" w:hAnsi="Times New Roman" w:cs="Times New Roman"/>
          <w:lang w:val="en-US"/>
        </w:rPr>
        <w:t>characterization</w:t>
      </w:r>
      <w:r w:rsidRPr="00BA37A1">
        <w:rPr>
          <w:rFonts w:ascii="Times New Roman" w:hAnsi="Times New Roman" w:cs="Times New Roman"/>
          <w:lang w:val="en-US"/>
        </w:rPr>
        <w:t xml:space="preserve">. The development of an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and scalable bioprocess for the robust production of </w:t>
      </w:r>
      <w:r w:rsidR="00501062" w:rsidRPr="00BA37A1">
        <w:rPr>
          <w:rFonts w:ascii="Times New Roman" w:hAnsi="Times New Roman" w:cs="Times New Roman"/>
          <w:lang w:val="en-US"/>
        </w:rPr>
        <w:t>Taxol</w:t>
      </w:r>
      <w:r w:rsidRPr="00BA37A1">
        <w:rPr>
          <w:rFonts w:ascii="Times New Roman" w:hAnsi="Times New Roman" w:cs="Times New Roman"/>
          <w:lang w:val="en-US"/>
        </w:rPr>
        <w:t xml:space="preserve"> precursors and the corresponding side products is critical to accelerating pathway development. </w:t>
      </w:r>
    </w:p>
    <w:p w14:paraId="4C4BBE37" w14:textId="3F0DB23A" w:rsidR="007A2DA3" w:rsidRPr="00BA37A1" w:rsidRDefault="007A2DA3"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Previous studies involving </w:t>
      </w:r>
      <w:r w:rsidR="00501062" w:rsidRPr="00BA37A1">
        <w:rPr>
          <w:rFonts w:ascii="Times New Roman" w:hAnsi="Times New Roman" w:cs="Times New Roman"/>
          <w:lang w:val="en-US"/>
        </w:rPr>
        <w:t>Taxol</w:t>
      </w:r>
      <w:r w:rsidRPr="00BA37A1">
        <w:rPr>
          <w:rFonts w:ascii="Times New Roman" w:hAnsi="Times New Roman" w:cs="Times New Roman"/>
          <w:lang w:val="en-US"/>
        </w:rPr>
        <w:t xml:space="preserve"> precursor production in </w:t>
      </w:r>
      <w:r w:rsidRPr="00BA37A1">
        <w:rPr>
          <w:rFonts w:ascii="Times New Roman" w:hAnsi="Times New Roman" w:cs="Times New Roman"/>
          <w:i/>
          <w:lang w:val="en-US"/>
        </w:rPr>
        <w:t xml:space="preserve">S. cerevisiae </w:t>
      </w:r>
      <w:r w:rsidRPr="00BA37A1">
        <w:rPr>
          <w:rFonts w:ascii="Times New Roman" w:hAnsi="Times New Roman" w:cs="Times New Roman"/>
          <w:lang w:val="en-US"/>
        </w:rPr>
        <w:t>have predominantly been performed in complex media</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strategies","type":"article-journal","volume":"n/a"},"uris":["http://www.mendeley.com/documents/?uuid=94a1bb11-afa8-4d69-ad26-1d662ede604d"]},{"id":"ITEM-2","itemData":{"DOI":"10.1186/s12934-020-01458-2","abstract":"Background: Cost‐effective production of the highly effective anti‐cancer drug, paclitaxel (Taxol®), remains limited despite growing global demands. Low yields of the critical taxadiene precursor remains a key bottleneck in microbial production. In this study, the key challenge of poor taxadiene synthase (TASY) solubility in S. cerevisiae was revealed, and the strains were strategically engineered to relieve this bottleneck. Results: Multi‐copy chromosomal integration of TASY harbouring a selection of fusion solubility tags improved taxa‐ diene titres 22‐fold, up to 57 ± 3 mg/L at 30 °C at microscale, compared to expressing a single episomal copy of TASY. The scalability of the process was highlighted through achieving similar titres during scale up to 25 mL and 250 mL in shake flask and bioreactor cultivations, respectively at 20 and 30 °C. Maximum taxadiene titres of 129 ± 15 mg/L and 127 mg/L were achieved through shake flask and bioreactor cultivations, respectively, of the optimal strain at a reduced temperature of 20 °C. Conclusions: The results of this study highlight the benefit of employing a combination of molecular biology and bioprocess tools during synthetic pathway development, with which TASY activity was successfully improved by 6.5‐ fold compared to the highest literature titre in S. cerevisiae cell factories.","author":[{"dropping-particle":"","family":"Nowrouzi","given":"Behnaz","non-dropping-particle":"","parse-names":false,"suffix":""},{"dropping-particle":"","family":"Li","given":"Rachel A","non-dropping-particle":"","parse-names":false,"suffix":""},{"dropping-particle":"","family":"Walls","given":"Laura E.","non-dropping-particle":"","parse-names":false,"suffix":""},{"dropping-particle":"","family":"d’Espaux","given":"Leo","non-dropping-particle":"","parse-names":false,"suffix":""},{"dropping-particle":"","family":"Malcı","given":"Koray","non-dropping-particle":"","parse-names":false,"suffix":""},{"dropping-particle":"","family":"Lungang","given":"Liang","non-dropping-particle":"","parse-names":false,"suffix":""},{"dropping-particle":"","family":"Borrego","given":"Nestor Jonguitud","non-dropping-particle":"","parse-names":false,"suffix":""},{"dropping-particle":"","family":"Escalera","given":"Albert","non-dropping-particle":"","parse-names":false,"suffix":""},{"dropping-particle":"","family":"Morones-Ramirez","given":"Jose R","non-dropping-particle":"","parse-names":false,"suffix":""},{"dropping-particle":"","family":"Keasling","given":"Jay","non-dropping-particle":"","parse-names":false,"suffix":""},{"dropping-particle":"","family":"Rios-Solis","given":"Leonardo","non-dropping-particle":"","parse-names":false,"suffix":""}],"container-title":"Microbial Cell Factories","id":"ITEM-2","issue":"200","issued":{"date-parts":[["2020","11"]]},"title":"Enhanced production of taxadiene in Saccharomyces cerevisiae","type":"article-journal","volume":"19"},"uris":["http://www.mendeley.com/documents/?uuid=5f0a0b96-c747-4eb0-a60c-c284527d5834"]}],"mendeley":{"formattedCitation":"&lt;sup&gt;[17,18]&lt;/sup&gt;","plainTextFormattedCitation":"[17,18]","previouslyFormattedCitation":"&lt;sup&gt;[17,18]&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[17,18]</w:t>
      </w:r>
      <w:r w:rsidRPr="00BA37A1">
        <w:rPr>
          <w:rFonts w:ascii="Times New Roman" w:hAnsi="Times New Roman" w:cs="Times New Roman"/>
          <w:lang w:val="en-US"/>
        </w:rPr>
        <w:fldChar w:fldCharType="end"/>
      </w:r>
      <w:r w:rsidR="005E6A4C">
        <w:rPr>
          <w:rFonts w:ascii="Times New Roman" w:hAnsi="Times New Roman" w:cs="Times New Roman"/>
          <w:lang w:val="en-US"/>
        </w:rPr>
        <w:t xml:space="preserve"> </w:t>
      </w:r>
      <w:r w:rsidRPr="00BA37A1">
        <w:rPr>
          <w:rFonts w:ascii="Times New Roman" w:hAnsi="Times New Roman" w:cs="Times New Roman"/>
          <w:lang w:val="en-US"/>
        </w:rPr>
        <w:t>Chemically defined media are inherently more desirable as they allow precise metabolic analysis of the production host and greater reproducibility compared to complex media</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{"citationItems":[{"id":"ITEM-1","itemData":{"DOI":"10.1038/nbt.3365","ISSN":"1546-1696","abstract":"Ten general strategies for the development of industrial microbial strains, together with selected case studies, are discussed.","author":[{"dropping-particle":"","family":"Lee","given":"Sang Yup","non-dropping-particle":"","parse-names":false,"suffix":""},{"dropping-particle":"","family":"Kim","given":"Hyun Uk","non-dropping-particle":"","parse-names":false,"suffix":""}],"container-title":"Nature Biotechnology","id":"ITEM-1","issue":"10","issued":{"date-parts":[["2015"]]},"page":"1061-1072","title":"Systems strategies for developing industrial microbial strains","type":"article-journal","volume":"33"},"uris":["http://www.mendeley.com/documents/?uuid=89764d2c-ee01-4fd4-97ab-c19cd46768d0"]},{"id":"ITEM-2","itemData":{"DOI":"https://doi.org/10.1002/bbb.2127","ISSN":"1932-104X","abstract":"Abstract Microbial cell factories have been used for the production of valuable chemical compounds using a classical metabolic engineering approach, but this requires much time and cost, and labor-intensive processes to make cell factories industrially competitive. Systems metabolic engineering is an upgraded version, which understands the cell as a complex system in which networks of genes, transcripts, proteins, and metabolites are connected, facilitating the analysis of potential cell factories. However, efficient cell factory design, which aims for industrial-scale production, requires a comprehensive system, which goes beyond metabolism and considers industrial production challenges. A review is provided here of the developments and challenges in the application of systems biology for metabolic engineering and in recovery and purification processes for scaling up bio-based chemical production. Then, a new design, build, test, and learn prediction cycle for metabolic engineering is proposed, for the design of efficient cell factories. This considers system-wide characteristics and relies upon the integration of upstream (strain development), midstream (fermentation), and downstream (recovery and purification) analysis for strain design. In addition to this cycle, three issues should be taken into consideration: (i) The use of simple, available, and inexpensive materials; (ii) the identification and elimination of bottlenecks using non-complex recovery and purification processes; (iii) the assessment of commercial and chemical industry requirements from the perspective of system efficiency. In this context, highly efficient microbial cell factories should be developed to produce compounds with improved production performance to meet industrial application requirements. ? 2020 Society of Chemical Industry and John Wiley &amp; Sons, Ltd","author":[{"dropping-particle":"","family":"Rangel","given":"Albert E T","non-dropping-particle":"","parse-names":false,"suffix":""},{"dropping-particle":"","family":"Gómez Ramírez","given":"Jorge Mario","non-dropping-particle":"","parse-names":false,"suffix":""},{"dropping-particle":"","family":"González Barrios","given":"Andrés Fernando","non-dropping-particle":"","parse-names":false,"suffix":""}],"container-title":"Biofuels, Bioproducts and Biorefining","id":"ITEM-2","issue":"6","issued":{"date-parts":[["2020","11","1"]]},"note":"https://doi.org/10.1002/bbb.2127","page":"1228-1238","publisher":"John Wiley &amp; Sons, Ltd","title":"From industrial by-products to value-added compounds: the design of efficient microbial cell factories by coupling systems metabolic engineering and bioprocesses","type":"article-journal","volume":"14"},"uris":["http://www.mendeley.com/documents/?uuid=3e390bdb-b8e5-4a21-ba2f-20b8e43107f0"]}],"mendeley":{"formattedCitation":"&lt;sup&gt;[19,20]&lt;/sup&gt;","plainTextFormattedCitation":"[19,20]","previouslyFormattedCitation":"&lt;sup&gt;[19,20]&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[19,20]</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Uncontrollable variables such as batch-batch variation in media can pose a major </w:t>
      </w:r>
      <w:r w:rsidRPr="00BA37A1">
        <w:rPr>
          <w:rFonts w:ascii="Times New Roman" w:hAnsi="Times New Roman" w:cs="Times New Roman"/>
          <w:lang w:val="en-US"/>
        </w:rPr>
        <w:lastRenderedPageBreak/>
        <w:t>reproducibi</w:t>
      </w:r>
      <w:r w:rsidR="005E6A4C">
        <w:rPr>
          <w:rFonts w:ascii="Times New Roman" w:hAnsi="Times New Roman" w:cs="Times New Roman"/>
          <w:lang w:val="en-US"/>
        </w:rPr>
        <w:t>lity challenge in complex media.</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{"citationItems":[{"id":"ITEM-1","itemData":{"DOI":"10.1002/bit.10608","ISSN":"0006-3592","abstract":"Abstract Yeast extract (YE) is commonly used as a key component in the complex media for industrial fermentations. However, the lot-to-lot variation of this raw material frequently requires extensive ?use testing? of many lots to identify only the few that support desired fermentation performance. Through extensive fermentation studies and chemical analyses, we have identified adenine and two metabolizable carbon sources, trehalose and lactate, as the principle components in YE that affect the production of a recombinant protein antigen by a yeast strain. Adenine is required for culture growth and the relationship between biomass and measured adenine can be expressed by a Michaelis-Menten model, while the slowly metabolized trehalose serves to maintain the energy supply to the continued antigen synthesis. The rapidly utilized lactate exerts an indirect positive effect by sparing some of the accumulated ethanol from being consumed for growth to being utilized in the product formation. The effects of these YE components are mutually dependent. Based on the database generated from 40 lots at laboratory scale, a relatively high level of carbon sources in YE (trehalose plus lactate, &gt;9.5% w/w) and an intermediate level of adenine (0.14?0.24% w/w) appear to be the minimal requirement of a good lot for this recombinant yeast fermentation. Many poor lots were improved in lab fermenters by rational supplementation of trehalose, lactate, or adenine to compensate for their insufficiencies. At the large production scale, predictions based on adenine and trehalose/lactate contents in various YE lots used correlated reasonably well with culture growth and antigen yield, illustrating the feasibility of such a simple chemical/biochemical analysis as a rapid and reliable initial screening tool. Without incurring any compositional change to an established manufacturing medium, this study demonstrates an effective approach to achieve consistency in fermentations employing complex nutrients and to improve fermentation productivities supported by suboptimal lots of raw material. ? 2003 Wiley Periodicals, Inc. Biotechnol Bioeng 82: 640?652, 2003.","author":[{"dropping-particle":"","family":"Zhang","given":"Jinyou","non-dropping-particle":"","parse-names":false,"suffix":""},{"dropping-particle":"","family":"Reddy","given":"Jayanthi","non-dropping-particle":"","parse-names":false,"suffix":""},{"dropping-particle":"","family":"Buckland","given":"Barry","non-dropping-particle":"","parse-names":false,"suffix":""},{"dropping-particle":"","family":"Greasham","given":"Randolph","non-dropping-particle":"","parse-names":false,"suffix":""}],"container-title":"Biotechnology and Bioengineering","id":"ITEM-1","issue":"6","issued":{"date-parts":[["2003","6","20"]]},"note":"doi: 10.1002/bit.10608","page":"640-652","publisher":"John Wiley &amp; Sons, Ltd","title":"Toward consistent and productive complex media for industrial fermentations: Studies on yeast extract for a recombinant yeast fermentation process","type":"article-journal","volume":"82"},"uris":["http://www.mendeley.com/documents/?uuid=97cf58fe-8eed-42cf-b869-24ee73153eb3"]}],"mendeley":{"formattedCitation":"&lt;sup&gt;[21]&lt;/sup&gt;","plainTextFormattedCitation":"[21]","previouslyFormattedCitation":"&lt;sup&gt;[21]&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[21]</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It was therefore </w:t>
      </w:r>
      <w:r w:rsidR="00BA37A1" w:rsidRPr="00BA37A1">
        <w:rPr>
          <w:rFonts w:ascii="Times New Roman" w:hAnsi="Times New Roman" w:cs="Times New Roman"/>
          <w:lang w:val="en-US"/>
        </w:rPr>
        <w:t>hypothesized</w:t>
      </w:r>
      <w:r w:rsidRPr="00BA37A1">
        <w:rPr>
          <w:rFonts w:ascii="Times New Roman" w:hAnsi="Times New Roman" w:cs="Times New Roman"/>
          <w:lang w:val="en-US"/>
        </w:rPr>
        <w:t xml:space="preserve"> that the development of an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chemically defined cultivation medium could be beneficial for </w:t>
      </w:r>
      <w:r w:rsidR="00501062" w:rsidRPr="00BA37A1">
        <w:rPr>
          <w:rFonts w:ascii="Times New Roman" w:hAnsi="Times New Roman" w:cs="Times New Roman"/>
          <w:lang w:val="en-US"/>
        </w:rPr>
        <w:t>Taxol</w:t>
      </w:r>
      <w:r w:rsidRPr="00BA37A1">
        <w:rPr>
          <w:rFonts w:ascii="Times New Roman" w:hAnsi="Times New Roman" w:cs="Times New Roman"/>
          <w:lang w:val="en-US"/>
        </w:rPr>
        <w:t xml:space="preserve"> precursor overproduction. </w:t>
      </w:r>
    </w:p>
    <w:p w14:paraId="2796579E" w14:textId="16F799D0" w:rsidR="007A2DA3" w:rsidRPr="00BA37A1" w:rsidRDefault="007A2DA3" w:rsidP="00501062">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In this work, a DoE guided accelerated bioprocess development approach (Figure 1A) was employed with the aim of alleviating a key bottleneck in the biosynthetic pathway of the complex diterpenoid chemotherapy drug, </w:t>
      </w:r>
      <w:r w:rsidR="00501062" w:rsidRPr="00BA37A1">
        <w:rPr>
          <w:rFonts w:ascii="Times New Roman" w:hAnsi="Times New Roman" w:cs="Times New Roman"/>
          <w:lang w:val="en-US"/>
        </w:rPr>
        <w:t>Taxol</w:t>
      </w:r>
      <w:r w:rsidRPr="00BA37A1">
        <w:rPr>
          <w:rFonts w:ascii="Times New Roman" w:hAnsi="Times New Roman" w:cs="Times New Roman"/>
          <w:lang w:val="en-US"/>
        </w:rPr>
        <w:t xml:space="preserve">. Statistical design of experiments were coupled with a high-throughput microbioreactor screening platform to </w:t>
      </w:r>
      <w:r w:rsidR="00BA37A1" w:rsidRPr="00BA37A1">
        <w:rPr>
          <w:rFonts w:ascii="Times New Roman" w:hAnsi="Times New Roman" w:cs="Times New Roman"/>
          <w:lang w:val="en-US"/>
        </w:rPr>
        <w:t>optimize</w:t>
      </w:r>
      <w:r w:rsidRPr="00BA37A1">
        <w:rPr>
          <w:rFonts w:ascii="Times New Roman" w:hAnsi="Times New Roman" w:cs="Times New Roman"/>
          <w:lang w:val="en-US"/>
        </w:rPr>
        <w:t xml:space="preserve"> production of taxadien-5α-ol and the subsequent </w:t>
      </w:r>
      <w:r w:rsidR="00501062" w:rsidRPr="00BA37A1">
        <w:rPr>
          <w:rFonts w:ascii="Times New Roman" w:hAnsi="Times New Roman" w:cs="Times New Roman"/>
          <w:lang w:val="en-US"/>
        </w:rPr>
        <w:t>Taxol</w:t>
      </w:r>
      <w:r w:rsidRPr="00BA37A1">
        <w:rPr>
          <w:rFonts w:ascii="Times New Roman" w:hAnsi="Times New Roman" w:cs="Times New Roman"/>
          <w:lang w:val="en-US"/>
        </w:rPr>
        <w:t xml:space="preserve"> intermediate, taxadien-5α-yl-acetate, in yeast cell factories. Critical process parameters in</w:t>
      </w:r>
      <w:r w:rsidR="00501062" w:rsidRPr="00BA37A1">
        <w:rPr>
          <w:rFonts w:ascii="Times New Roman" w:hAnsi="Times New Roman" w:cs="Times New Roman"/>
          <w:lang w:val="en-US"/>
        </w:rPr>
        <w:t xml:space="preserve">cluding pH and DO </w:t>
      </w:r>
      <w:r w:rsidRPr="00BA37A1">
        <w:rPr>
          <w:rFonts w:ascii="Times New Roman" w:hAnsi="Times New Roman" w:cs="Times New Roman"/>
          <w:lang w:val="en-US"/>
        </w:rPr>
        <w:t xml:space="preserve">were monitored online for 48 simultaneous cultivations to enhance process insight. Statistical modelling was employed to identify and </w:t>
      </w:r>
      <w:r w:rsidR="00BA37A1" w:rsidRPr="00BA37A1">
        <w:rPr>
          <w:rFonts w:ascii="Times New Roman" w:hAnsi="Times New Roman" w:cs="Times New Roman"/>
          <w:lang w:val="en-US"/>
        </w:rPr>
        <w:t>optimize</w:t>
      </w:r>
      <w:r w:rsidRPr="00BA37A1">
        <w:rPr>
          <w:rFonts w:ascii="Times New Roman" w:hAnsi="Times New Roman" w:cs="Times New Roman"/>
          <w:lang w:val="en-US"/>
        </w:rPr>
        <w:t xml:space="preserve"> factors significantly affecting productivity and the optimal combination was validated at 1L and 5L bioreactor scales under industrially relevant, controlled conditions. </w:t>
      </w:r>
    </w:p>
    <w:p w14:paraId="5FC2F0F6" w14:textId="14AD72E6" w:rsidR="00BA37A1" w:rsidRPr="00BA37A1" w:rsidRDefault="00BA37A1" w:rsidP="00BA37A1">
      <w:pPr>
        <w:pStyle w:val="Heading1"/>
        <w:spacing w:line="480" w:lineRule="auto"/>
        <w:rPr>
          <w:rFonts w:ascii="Times New Roman" w:hAnsi="Times New Roman" w:cs="Times New Roman"/>
          <w:lang w:val="en-US"/>
        </w:rPr>
      </w:pPr>
      <w:r w:rsidRPr="00BA37A1">
        <w:rPr>
          <w:rFonts w:ascii="Times New Roman" w:hAnsi="Times New Roman" w:cs="Times New Roman"/>
          <w:lang w:val="en-US"/>
        </w:rPr>
        <w:t xml:space="preserve">Materials and Methods </w:t>
      </w:r>
    </w:p>
    <w:p w14:paraId="54A2F1D8" w14:textId="77777777" w:rsidR="00BA37A1" w:rsidRPr="00BA37A1" w:rsidRDefault="00BA37A1" w:rsidP="00BA37A1">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t>Yeast strains</w:t>
      </w:r>
    </w:p>
    <w:p w14:paraId="0A24DB91" w14:textId="375A11BB"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The </w:t>
      </w:r>
      <w:r w:rsidRPr="00BA37A1">
        <w:rPr>
          <w:rFonts w:ascii="Times New Roman" w:hAnsi="Times New Roman" w:cs="Times New Roman"/>
          <w:i/>
          <w:iCs/>
          <w:lang w:val="en-US"/>
        </w:rPr>
        <w:t>Saccharomyces cerevisiae</w:t>
      </w:r>
      <w:r w:rsidRPr="00BA37A1">
        <w:rPr>
          <w:rFonts w:ascii="Times New Roman" w:hAnsi="Times New Roman" w:cs="Times New Roman"/>
          <w:lang w:val="en-US"/>
        </w:rPr>
        <w:t xml:space="preserve"> strains used in this study were </w:t>
      </w:r>
      <w:r w:rsidRPr="00BA37A1">
        <w:rPr>
          <w:rFonts w:ascii="Times New Roman" w:hAnsi="Times New Roman" w:cs="Times New Roman"/>
          <w:i/>
          <w:lang w:val="en-US"/>
        </w:rPr>
        <w:t>LRS5 (MATa, leu2‐3, 112::HIS3MX6‐GAL1p‐ERG19/GAL10p‐ERG8;ura3‐52::URA3‐GAL1p‐MvaSA110G/GAL10p‐MvaE [codon optimized]; his3Δ1::hphMX4‐GAL1p‐ERG12/GAL10p‐IDI1; trp1‐289::TRP1_GAL1p‐CrtE(X.den)/GAL10p‐ERG20;YPRCdelta15::NatMX‐GAL1p‐CrtE(opt)/GAL10p‐CrtE; ARS1014::GAL1p‐TASY‐GFP; ARS1622b::GAL1p‐MBP‐TASY‐ERG20; ARS1114a::TDH3p‐MBP‐TASY‐ERG20)</w:t>
      </w:r>
      <w:r w:rsidRPr="00BA37A1">
        <w:rPr>
          <w:rFonts w:ascii="Times New Roman" w:hAnsi="Times New Roman" w:cs="Times New Roman"/>
          <w:lang w:val="en-US"/>
        </w:rPr>
        <w:t xml:space="preserve"> and </w:t>
      </w:r>
      <w:r w:rsidRPr="00BA37A1">
        <w:rPr>
          <w:rFonts w:ascii="Times New Roman" w:hAnsi="Times New Roman" w:cs="Times New Roman"/>
          <w:i/>
          <w:lang w:val="en-US"/>
        </w:rPr>
        <w:t xml:space="preserve">LRS6 </w:t>
      </w:r>
      <w:r w:rsidRPr="00BA37A1">
        <w:rPr>
          <w:rFonts w:ascii="Times New Roman" w:hAnsi="Times New Roman" w:cs="Times New Roman"/>
          <w:lang w:val="en-US"/>
        </w:rPr>
        <w:t>(</w:t>
      </w:r>
      <w:r w:rsidRPr="00BA37A1">
        <w:rPr>
          <w:rFonts w:ascii="Times New Roman" w:hAnsi="Times New Roman" w:cs="Times New Roman"/>
          <w:i/>
          <w:lang w:val="en-US"/>
        </w:rPr>
        <w:t xml:space="preserve">LRS5 </w:t>
      </w:r>
      <w:r w:rsidRPr="00BA37A1">
        <w:rPr>
          <w:rFonts w:ascii="Times New Roman" w:hAnsi="Times New Roman" w:cs="Times New Roman"/>
          <w:lang w:val="en-US"/>
        </w:rPr>
        <w:t>ARS511b::GAL1p-CYP725A4-PGK1t/GAL3p-CPR-ENO2t; RKC3::GAL1p-TAT-CYC1t) as described previously</w:t>
      </w:r>
      <w:r w:rsidR="005E6A4C">
        <w:rPr>
          <w:rFonts w:ascii="Times New Roman" w:hAnsi="Times New Roman" w:cs="Times New Roman"/>
          <w:lang w:val="en-US"/>
        </w:rPr>
        <w:t>,</w:t>
      </w:r>
      <w:r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strategies","type":"article-journal","volume":"n/a"},"uris":["http://www.mendeley.com/documents/?uuid=94a1bb11-afa8-4d69-ad26-1d662ede604d"]},{"id":"ITEM-2","itemData":{"DOI":"10.1186/s12934-020-01458-2","abstract":"Background: Cost‐effective production of the highly effective anti‐cancer drug, paclitaxel (Taxol®), remains limited despite growing global demands. Low yields of the critical taxadiene precursor remains a key bottleneck in microbial production. In this study, the key challenge of poor taxadiene synthase (TASY) solubility in S. cerevisiae was revealed, and the strains were strategically engineered to relieve this bottleneck. Results: Multi‐copy chromosomal integration of TASY harbouring a selection of fusion solubility tags improved taxa‐ diene titres 22‐fold, up to 57 ± 3 mg/L at 30 °C at microscale, compared to expressing a single episomal copy of TASY. The scalability of the process was highlighted through achieving similar titres during scale up to 25 mL and 250 mL in shake flask and bioreactor cultivations, respectively at 20 and 30 °C. Maximum taxadiene titres of 129 ± 15 mg/L and 127 mg/L were achieved through shake flask and bioreactor cultivations, respectively, of the optimal strain at a reduced temperature of 20 °C. Conclusions: The results of this study highlight the benefit of employing a combination of molecular biology and bioprocess tools during synthetic pathway development, with which TASY activity was successfully improved by 6.5‐ fold compared to the highest literature titre in S. cerevisiae cell factories.","author":[{"dropping-particle":"","family":"Nowrouzi","given":"Behnaz","non-dropping-particle":"","parse-names":false,"suffix":""},{"dropping-particle":"","family":"Li","given":"Rachel A","non-dropping-particle":"","parse-names":false,"suffix":""},{"dropping-particle":"","family":"Walls","given":"Laura E.","non-dropping-particle":"","parse-names":false,"suffix":""},{"dropping-particle":"","family":"d’Espaux","given":"Leo","non-dropping-particle":"","parse-names":false,"suffix":""},{"dropping-particle":"","family":"Malcı","given":"Koray","non-dropping-particle":"","parse-names":false,"suffix":""},{"dropping-particle":"","family":"Lungang","given":"Liang","non-dropping-particle":"","parse-names":false,"suffix":""},{"dropping-particle":"","family":"Borrego","given":"Nestor Jonguitud","non-dropping-particle":"","parse-names":false,"suffix":""},{"dropping-particle":"","family":"Escalera","given":"Albert","non-dropping-particle":"","parse-names":false,"suffix":""},{"dropping-particle":"","family":"Morones-Ramirez","given":"Jose R","non-dropping-particle":"","parse-names":false,"suffix":""},{"dropping-particle":"","family":"Keasling","given":"Jay","non-dropping-particle":"","parse-names":false,"suffix":""},{"dropping-particle":"","family":"Rios-Solis","given":"Leonardo","non-dropping-particle":"","parse-names":false,"suffix":""}],"container-title":"Microbial Cell Factories","id":"ITEM-2","issue":"200","issued":{"date-parts":[["2020","11"]]},"title":"Enhanced production of taxadiene in Saccharomyces cerevisiae","type":"article-journal","volume":"19"},"uris":["http://www.mendeley.com/documents/?uuid=5f0a0b96-c747-4eb0-a60c-c284527d5834"]}],"mendeley":{"formattedCitation":"&lt;sup&gt;[17,18]&lt;/sup&gt;","plainTextFormattedCitation":"[17,18]","previouslyFormattedCitation":"&lt;sup&gt;[17,18]&lt;/sup&gt;"},"properties":{"noteIndex":0},"schema":"https://github.com/citation-style-language/schema/raw/master/csl-citation.json"}</w:instrText>
      </w:r>
      <w:r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[17,18]</w:t>
      </w:r>
      <w:r w:rsidRPr="00BA37A1">
        <w:rPr>
          <w:rFonts w:ascii="Times New Roman" w:hAnsi="Times New Roman" w:cs="Times New Roman"/>
          <w:lang w:val="en-US"/>
        </w:rPr>
        <w:fldChar w:fldCharType="end"/>
      </w:r>
      <w:r w:rsidRPr="00BA37A1">
        <w:rPr>
          <w:rFonts w:ascii="Times New Roman" w:hAnsi="Times New Roman" w:cs="Times New Roman"/>
          <w:lang w:val="en-US"/>
        </w:rPr>
        <w:t xml:space="preserve"> originating from CEN.PK2-1C (EUROSCARF collection). All reagents were obtained from Fisher Scientific UK at the highest available purity unless otherwise stated. </w:t>
      </w:r>
    </w:p>
    <w:p w14:paraId="4307F2F6" w14:textId="77777777" w:rsidR="00BA37A1" w:rsidRPr="00BA37A1" w:rsidRDefault="00BA37A1" w:rsidP="00BA37A1">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lastRenderedPageBreak/>
        <w:t xml:space="preserve">Experimental design and scoping </w:t>
      </w:r>
    </w:p>
    <w:p w14:paraId="2300A46E" w14:textId="77777777" w:rsidR="00BA37A1" w:rsidRPr="00BA37A1" w:rsidRDefault="00BA37A1" w:rsidP="00BA37A1">
      <w:pPr>
        <w:pStyle w:val="Heading3"/>
        <w:numPr>
          <w:ilvl w:val="2"/>
          <w:numId w:val="1"/>
        </w:numPr>
        <w:spacing w:line="480" w:lineRule="auto"/>
        <w:rPr>
          <w:rFonts w:ascii="Times New Roman" w:hAnsi="Times New Roman" w:cs="Times New Roman"/>
          <w:lang w:val="en-US"/>
        </w:rPr>
      </w:pPr>
      <w:r w:rsidRPr="00BA37A1">
        <w:rPr>
          <w:rFonts w:ascii="Times New Roman" w:hAnsi="Times New Roman" w:cs="Times New Roman"/>
          <w:lang w:val="en-US"/>
        </w:rPr>
        <w:t xml:space="preserve">Definitive screening design </w:t>
      </w:r>
    </w:p>
    <w:p w14:paraId="6AB0DA5D" w14:textId="77777777"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Following the preliminary microscale cultivations (Section 2.3.1.), the CSM-URA was replaced with Yeast Synthetic Drop-out Medium Supplements without uracil (YSM, Sigma-Aldrich, UK). Uracil was added at a concentration of 40 mg/g YSM. The effect of six factors: initial OD</w:t>
      </w:r>
      <w:r w:rsidRPr="00BA37A1">
        <w:rPr>
          <w:rFonts w:ascii="Times New Roman" w:hAnsi="Times New Roman" w:cs="Times New Roman"/>
          <w:vertAlign w:val="subscript"/>
          <w:lang w:val="en-US"/>
        </w:rPr>
        <w:t xml:space="preserve">600 </w:t>
      </w:r>
      <w:r w:rsidRPr="00BA37A1">
        <w:rPr>
          <w:rFonts w:ascii="Times New Roman" w:hAnsi="Times New Roman" w:cs="Times New Roman"/>
          <w:lang w:val="en-US"/>
        </w:rPr>
        <w:t>along with the initial concentrations of galactose, Yeast Nitrogen Base without Amino Acids and Ammonium Sulphate (YNB), ammonium sulphate, additional MgSO</w:t>
      </w:r>
      <w:r w:rsidRPr="00BA37A1">
        <w:rPr>
          <w:rFonts w:ascii="Times New Roman" w:hAnsi="Times New Roman" w:cs="Times New Roman"/>
          <w:vertAlign w:val="subscript"/>
          <w:lang w:val="en-US"/>
        </w:rPr>
        <w:t>4</w:t>
      </w:r>
      <w:r w:rsidRPr="00BA37A1">
        <w:rPr>
          <w:rFonts w:ascii="Times New Roman" w:hAnsi="Times New Roman" w:cs="Times New Roman"/>
          <w:lang w:val="en-US"/>
        </w:rPr>
        <w:t xml:space="preserve"> and YSM) on </w:t>
      </w:r>
      <w:r w:rsidRPr="00BA37A1">
        <w:rPr>
          <w:rFonts w:ascii="Times New Roman" w:hAnsi="Times New Roman" w:cs="Times New Roman"/>
          <w:i/>
          <w:lang w:val="en-US"/>
        </w:rPr>
        <w:t xml:space="preserve">LRS6 </w:t>
      </w:r>
      <w:r w:rsidRPr="00BA37A1">
        <w:rPr>
          <w:rFonts w:ascii="Times New Roman" w:hAnsi="Times New Roman" w:cs="Times New Roman"/>
          <w:lang w:val="en-US"/>
        </w:rPr>
        <w:t xml:space="preserve">productivity was investigated. A three-level definitive screening design (DSD) was selected to investigate the effect of the six factors on </w:t>
      </w:r>
      <w:r w:rsidRPr="00BA37A1">
        <w:rPr>
          <w:rFonts w:ascii="Times New Roman" w:hAnsi="Times New Roman" w:cs="Times New Roman"/>
          <w:i/>
          <w:lang w:val="en-US"/>
        </w:rPr>
        <w:t>LRS6</w:t>
      </w:r>
      <w:r w:rsidRPr="00BA37A1">
        <w:rPr>
          <w:rFonts w:ascii="Times New Roman" w:hAnsi="Times New Roman" w:cs="Times New Roman"/>
          <w:lang w:val="en-US"/>
        </w:rPr>
        <w:t xml:space="preserve"> productivity as shown in Table 1. </w:t>
      </w:r>
    </w:p>
    <w:p w14:paraId="1DB609CA" w14:textId="77777777" w:rsidR="00BA37A1" w:rsidRPr="00BA37A1" w:rsidRDefault="00BA37A1" w:rsidP="00BA37A1">
      <w:pPr>
        <w:pStyle w:val="Heading3"/>
        <w:numPr>
          <w:ilvl w:val="2"/>
          <w:numId w:val="1"/>
        </w:numPr>
        <w:spacing w:line="480" w:lineRule="auto"/>
        <w:rPr>
          <w:rFonts w:ascii="Times New Roman" w:hAnsi="Times New Roman" w:cs="Times New Roman"/>
          <w:lang w:val="en-US"/>
        </w:rPr>
      </w:pPr>
      <w:r w:rsidRPr="00BA37A1">
        <w:rPr>
          <w:rFonts w:ascii="Times New Roman" w:hAnsi="Times New Roman" w:cs="Times New Roman"/>
          <w:lang w:val="en-US"/>
        </w:rPr>
        <w:t>Shake flask scoping experiment</w:t>
      </w:r>
    </w:p>
    <w:p w14:paraId="6BA2425A" w14:textId="77777777"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The </w:t>
      </w:r>
      <w:r w:rsidRPr="00BA37A1">
        <w:rPr>
          <w:rFonts w:ascii="Times New Roman" w:hAnsi="Times New Roman" w:cs="Times New Roman"/>
          <w:i/>
          <w:lang w:val="en-US"/>
        </w:rPr>
        <w:t>LRS6</w:t>
      </w:r>
      <w:r w:rsidRPr="00BA37A1">
        <w:rPr>
          <w:rFonts w:ascii="Times New Roman" w:hAnsi="Times New Roman" w:cs="Times New Roman"/>
          <w:lang w:val="en-US"/>
        </w:rPr>
        <w:t xml:space="preserve"> strain was cultivated in 250 mL Erlenmeyer flasks for 3 days. Inocula preparation was achieved by transferring single colonies to 5 mL of rich YPD medium (1% yeast extract; 2% peptone; and 2% glucose) and incubating at 30 °C and 250 rpm overnight. The scoping trial involved the following three media compositions:  </w:t>
      </w:r>
    </w:p>
    <w:p w14:paraId="4AD86AD5" w14:textId="77777777" w:rsidR="00BA37A1" w:rsidRPr="00BA37A1" w:rsidRDefault="00BA37A1" w:rsidP="00BA37A1">
      <w:pPr>
        <w:pStyle w:val="ListParagraph"/>
        <w:numPr>
          <w:ilvl w:val="0"/>
          <w:numId w:val="3"/>
        </w:numPr>
        <w:spacing w:line="480" w:lineRule="auto"/>
        <w:rPr>
          <w:rFonts w:ascii="Times New Roman" w:hAnsi="Times New Roman" w:cs="Times New Roman"/>
          <w:lang w:val="en-US"/>
        </w:rPr>
      </w:pPr>
      <w:r w:rsidRPr="00BA37A1">
        <w:rPr>
          <w:rFonts w:ascii="Times New Roman" w:hAnsi="Times New Roman" w:cs="Times New Roman"/>
          <w:lang w:val="en-US"/>
        </w:rPr>
        <w:t>Least forcing: all factors set to their lowest level – Galactose 10 g/L, YNB 1.7 g/L, Nitrogen 1 g/L, MgSO</w:t>
      </w:r>
      <w:r w:rsidRPr="00BA37A1">
        <w:rPr>
          <w:rFonts w:ascii="Times New Roman" w:hAnsi="Times New Roman" w:cs="Times New Roman"/>
          <w:vertAlign w:val="subscript"/>
          <w:lang w:val="en-US"/>
        </w:rPr>
        <w:t>4</w:t>
      </w:r>
      <w:r w:rsidRPr="00BA37A1">
        <w:rPr>
          <w:rFonts w:ascii="Times New Roman" w:hAnsi="Times New Roman" w:cs="Times New Roman"/>
          <w:lang w:val="en-US"/>
        </w:rPr>
        <w:t xml:space="preserve"> 0 g/L, YSM 2 g/L, Initial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 0.1 </w:t>
      </w:r>
    </w:p>
    <w:p w14:paraId="6B875C32" w14:textId="77777777" w:rsidR="00BA37A1" w:rsidRPr="00BA37A1" w:rsidRDefault="00BA37A1" w:rsidP="00BA37A1">
      <w:pPr>
        <w:pStyle w:val="ListParagraph"/>
        <w:numPr>
          <w:ilvl w:val="0"/>
          <w:numId w:val="3"/>
        </w:numPr>
        <w:spacing w:line="480" w:lineRule="auto"/>
        <w:rPr>
          <w:rFonts w:ascii="Times New Roman" w:hAnsi="Times New Roman" w:cs="Times New Roman"/>
          <w:lang w:val="en-US"/>
        </w:rPr>
      </w:pPr>
      <w:r w:rsidRPr="00BA37A1">
        <w:rPr>
          <w:rFonts w:ascii="Times New Roman" w:hAnsi="Times New Roman" w:cs="Times New Roman"/>
          <w:lang w:val="en-US"/>
        </w:rPr>
        <w:t>Centre point: all factors set halfway between the low and high range – Galactose 30 g/L, YNB 2.55 g/L, Nitrogen 4.5 g/L, MgSO</w:t>
      </w:r>
      <w:r w:rsidRPr="00BA37A1">
        <w:rPr>
          <w:rFonts w:ascii="Times New Roman" w:hAnsi="Times New Roman" w:cs="Times New Roman"/>
          <w:vertAlign w:val="subscript"/>
          <w:lang w:val="en-US"/>
        </w:rPr>
        <w:t>4</w:t>
      </w:r>
      <w:r w:rsidRPr="00BA37A1">
        <w:rPr>
          <w:rFonts w:ascii="Times New Roman" w:hAnsi="Times New Roman" w:cs="Times New Roman"/>
          <w:lang w:val="en-US"/>
        </w:rPr>
        <w:t xml:space="preserve"> 0.3 g/L, YSM 3 g/L, Initial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 0.55</w:t>
      </w:r>
    </w:p>
    <w:p w14:paraId="42E8DCCE" w14:textId="77777777" w:rsidR="00BA37A1" w:rsidRPr="00BA37A1" w:rsidRDefault="00BA37A1" w:rsidP="00BA37A1">
      <w:pPr>
        <w:pStyle w:val="ListParagraph"/>
        <w:numPr>
          <w:ilvl w:val="0"/>
          <w:numId w:val="3"/>
        </w:numPr>
        <w:spacing w:line="480" w:lineRule="auto"/>
        <w:rPr>
          <w:rFonts w:ascii="Times New Roman" w:hAnsi="Times New Roman" w:cs="Times New Roman"/>
          <w:lang w:val="en-US"/>
        </w:rPr>
      </w:pPr>
      <w:r w:rsidRPr="00BA37A1">
        <w:rPr>
          <w:rFonts w:ascii="Times New Roman" w:hAnsi="Times New Roman" w:cs="Times New Roman"/>
          <w:lang w:val="en-US"/>
        </w:rPr>
        <w:t>Most forcing: all factors set to their highest level – Galactose 50 g/L, YNB 3.4 g/L, Nitrogen 10 g/L, MgSO</w:t>
      </w:r>
      <w:r w:rsidRPr="00BA37A1">
        <w:rPr>
          <w:rFonts w:ascii="Times New Roman" w:hAnsi="Times New Roman" w:cs="Times New Roman"/>
          <w:vertAlign w:val="subscript"/>
          <w:lang w:val="en-US"/>
        </w:rPr>
        <w:t>4</w:t>
      </w:r>
      <w:r w:rsidRPr="00BA37A1">
        <w:rPr>
          <w:rFonts w:ascii="Times New Roman" w:hAnsi="Times New Roman" w:cs="Times New Roman"/>
          <w:lang w:val="en-US"/>
        </w:rPr>
        <w:t xml:space="preserve"> 0.6 g/L, YSM 4 g/L, Initial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 1 </w:t>
      </w:r>
    </w:p>
    <w:p w14:paraId="7A6BA160" w14:textId="6D86E519"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Each condition was tested in duplicate 250 mL flasks, each with a culture volume of 20 mL. Uracil was added at a concentration of 40 mg/g YSM. A 5 mL dodecane overlay was also added giving a final working volume of 25 mL. Taxane production was analyzed via gas chromatography‐mass spectrometry (GC‐MS) at the end of the cultivation.</w:t>
      </w:r>
    </w:p>
    <w:p w14:paraId="0E1AD837" w14:textId="77777777" w:rsidR="00BA37A1" w:rsidRPr="00BA37A1" w:rsidRDefault="00BA37A1" w:rsidP="00BA37A1">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lastRenderedPageBreak/>
        <w:t>Microbioreactor cultivation</w:t>
      </w:r>
    </w:p>
    <w:p w14:paraId="36E55EAB" w14:textId="44AD3609"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Microscale cultivations were performed using a BioLector Pro (mp2‐labs) microbioreactor‐screening platform. Inocula were prepared as described for the shake flasks. The temperature was maintained at 30 °C under agitation of 1000 rpm with a shaking diameter of 3 mm in 48‐well FlowerPlates (mp2‐labs). Temperature, biomass, dissolved oxygen (DO), and pH were monitored online using the inbuilt optical sensors. Taxane production was analyzed via GC‐MS at the end of the cultivation.</w:t>
      </w:r>
    </w:p>
    <w:p w14:paraId="186D91CD" w14:textId="77777777" w:rsidR="00BA37A1" w:rsidRPr="00BA37A1" w:rsidRDefault="00BA37A1" w:rsidP="00BA37A1">
      <w:pPr>
        <w:pStyle w:val="Heading3"/>
        <w:numPr>
          <w:ilvl w:val="2"/>
          <w:numId w:val="1"/>
        </w:numPr>
        <w:spacing w:line="480" w:lineRule="auto"/>
        <w:rPr>
          <w:rFonts w:ascii="Times New Roman" w:hAnsi="Times New Roman" w:cs="Times New Roman"/>
          <w:lang w:val="en-US"/>
        </w:rPr>
      </w:pPr>
      <w:r w:rsidRPr="00BA37A1">
        <w:rPr>
          <w:rFonts w:ascii="Times New Roman" w:hAnsi="Times New Roman" w:cs="Times New Roman"/>
          <w:lang w:val="en-US"/>
        </w:rPr>
        <w:t xml:space="preserve">Preliminary scoping trials </w:t>
      </w:r>
    </w:p>
    <w:p w14:paraId="3E7F2A7B" w14:textId="77777777"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Preliminary cultivation experiments were performed in the BioLector FlowerPlates using a typical synthetic defined galactose (SDG) medium (Yeast Nitrogen Base without Amino Acids, 6.7 g/L; Complete Supplement Mixture minus Uracil (CSM-URA), 0.77 g/L; Uracil, 20 mg/L; galactose, 20 g/L). Control cultivations were performed with YPG (yeast extract, 10g/L; peptone, 20 g/L; galactose 20 g/L).  Aliquots of the preculture were diluted to give an 800 µL culture with an initial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 1. A 200‐µL dodecane overlay was also added to each well giving a total working volume of 1 mL.</w:t>
      </w:r>
    </w:p>
    <w:p w14:paraId="2F8D95B0" w14:textId="77777777" w:rsidR="00BA37A1" w:rsidRPr="00BA37A1" w:rsidRDefault="00BA37A1" w:rsidP="00BA37A1">
      <w:pPr>
        <w:pStyle w:val="Heading3"/>
        <w:numPr>
          <w:ilvl w:val="2"/>
          <w:numId w:val="1"/>
        </w:numPr>
        <w:spacing w:line="480" w:lineRule="auto"/>
        <w:rPr>
          <w:rFonts w:ascii="Times New Roman" w:hAnsi="Times New Roman" w:cs="Times New Roman"/>
          <w:lang w:val="en-US"/>
        </w:rPr>
      </w:pPr>
      <w:r w:rsidRPr="00BA37A1">
        <w:rPr>
          <w:rFonts w:ascii="Times New Roman" w:hAnsi="Times New Roman" w:cs="Times New Roman"/>
          <w:lang w:val="en-US"/>
        </w:rPr>
        <w:t>High-throughput screening</w:t>
      </w:r>
    </w:p>
    <w:p w14:paraId="65B45514" w14:textId="77777777"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For the high-throughput screening experiments, aliquots of the preculture were diluted with each of the medium combinations indicated in Table 1 to give 800 μL cultures with the appropriate initial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A 200 µL dodecane overlay was also added to each well giving a total working volume of 1 mL. Each factor combination was tested in duplicate or triplicate in a 48-well FlowerPlate.  </w:t>
      </w:r>
    </w:p>
    <w:p w14:paraId="5230DFCB" w14:textId="77777777" w:rsidR="00BA37A1" w:rsidRPr="00BA37A1" w:rsidRDefault="00BA37A1" w:rsidP="00BA37A1">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lastRenderedPageBreak/>
        <w:t xml:space="preserve">Bioreactor cultivation </w:t>
      </w:r>
    </w:p>
    <w:p w14:paraId="38064E6E" w14:textId="4DD6304F" w:rsidR="00BA37A1" w:rsidRPr="00BA37A1" w:rsidRDefault="00BA37A1" w:rsidP="00BA37A1">
      <w:pPr>
        <w:pStyle w:val="Heading2"/>
        <w:spacing w:line="480" w:lineRule="auto"/>
        <w:ind w:firstLine="360"/>
        <w:rPr>
          <w:rFonts w:ascii="Times New Roman" w:eastAsiaTheme="minorHAnsi" w:hAnsi="Times New Roman" w:cs="Times New Roman"/>
          <w:szCs w:val="22"/>
          <w:u w:val="none"/>
          <w:lang w:val="en-US"/>
        </w:rPr>
      </w:pPr>
      <w:r w:rsidRPr="00BA37A1">
        <w:rPr>
          <w:rFonts w:ascii="Times New Roman" w:eastAsiaTheme="minorHAnsi" w:hAnsi="Times New Roman" w:cs="Times New Roman"/>
          <w:szCs w:val="22"/>
          <w:u w:val="none"/>
          <w:lang w:val="en-US"/>
        </w:rPr>
        <w:t>Larger scale cultivations were conducted in 1  L and 5 L BIOSTAT Q plus bioreactors (Sartorius‐Stedim Biotech S.A.) with working volumes of 500 mL and 2.5 L, respectively. Pre-inoculum cultures were prepared by transferring from a single colony to 5 mL of YPD and incubating at 30 ℃ and 250 rpm for 24 hours. The resulting culture was subsequently used to inoculate a secondary 50 mL culture to an OD</w:t>
      </w:r>
      <w:r w:rsidRPr="00BA37A1">
        <w:rPr>
          <w:rFonts w:ascii="Times New Roman" w:eastAsiaTheme="minorHAnsi" w:hAnsi="Times New Roman" w:cs="Times New Roman"/>
          <w:szCs w:val="22"/>
          <w:u w:val="none"/>
          <w:vertAlign w:val="subscript"/>
          <w:lang w:val="en-US"/>
        </w:rPr>
        <w:t>600</w:t>
      </w:r>
      <w:r w:rsidRPr="00BA37A1">
        <w:rPr>
          <w:rFonts w:ascii="Times New Roman" w:eastAsiaTheme="minorHAnsi" w:hAnsi="Times New Roman" w:cs="Times New Roman"/>
          <w:szCs w:val="22"/>
          <w:u w:val="none"/>
          <w:lang w:val="en-US"/>
        </w:rPr>
        <w:t> = 1 and incubated overnight. An aliquot of the resulting culture was diluted with the optimized medium to give a culture with an initial OD</w:t>
      </w:r>
      <w:r w:rsidRPr="00BA37A1">
        <w:rPr>
          <w:rFonts w:ascii="Times New Roman" w:eastAsiaTheme="minorHAnsi" w:hAnsi="Times New Roman" w:cs="Times New Roman"/>
          <w:szCs w:val="22"/>
          <w:u w:val="none"/>
          <w:vertAlign w:val="subscript"/>
          <w:lang w:val="en-US"/>
        </w:rPr>
        <w:t>600</w:t>
      </w:r>
      <w:r w:rsidRPr="00BA37A1">
        <w:rPr>
          <w:rFonts w:ascii="Times New Roman" w:eastAsiaTheme="minorHAnsi" w:hAnsi="Times New Roman" w:cs="Times New Roman"/>
          <w:szCs w:val="22"/>
          <w:u w:val="none"/>
          <w:lang w:val="en-US"/>
        </w:rPr>
        <w:t> = 1.</w:t>
      </w:r>
    </w:p>
    <w:p w14:paraId="64FBAA13" w14:textId="77777777" w:rsidR="00BA37A1" w:rsidRPr="00BA37A1" w:rsidRDefault="00BA37A1" w:rsidP="00BA37A1">
      <w:pPr>
        <w:spacing w:line="480" w:lineRule="auto"/>
        <w:ind w:firstLine="360"/>
        <w:rPr>
          <w:rFonts w:ascii="Times New Roman" w:hAnsi="Times New Roman" w:cs="Times New Roman"/>
          <w:lang w:val="en-US"/>
        </w:rPr>
      </w:pPr>
      <w:r w:rsidRPr="00BA37A1">
        <w:rPr>
          <w:rFonts w:ascii="Times New Roman" w:hAnsi="Times New Roman" w:cs="Times New Roman"/>
          <w:lang w:val="en-US"/>
        </w:rPr>
        <w:t>Antifoam 204 (Sigma Aldrich, Denmark) was added to prevent excess foam production. A 20 % dodecane overlay was also added. Temperature, DO, and pH were measured online. MFCS software (version 3.0, Sartorius‐Stedim Biotech S.A.) was employed to control the cultivation, pH was maintained at six through the automatic addition of 2 M NaOH or 2 M H</w:t>
      </w:r>
      <w:r w:rsidRPr="00BA37A1">
        <w:rPr>
          <w:rFonts w:ascii="Times New Roman" w:hAnsi="Times New Roman" w:cs="Times New Roman"/>
          <w:vertAlign w:val="subscript"/>
          <w:lang w:val="en-US"/>
        </w:rPr>
        <w:t>2</w:t>
      </w:r>
      <w:r w:rsidRPr="00BA37A1">
        <w:rPr>
          <w:rFonts w:ascii="Times New Roman" w:hAnsi="Times New Roman" w:cs="Times New Roman"/>
          <w:lang w:val="en-US"/>
        </w:rPr>
        <w:t>SO</w:t>
      </w:r>
      <w:r w:rsidRPr="00BA37A1">
        <w:rPr>
          <w:rFonts w:ascii="Times New Roman" w:hAnsi="Times New Roman" w:cs="Times New Roman"/>
          <w:vertAlign w:val="subscript"/>
          <w:lang w:val="en-US"/>
        </w:rPr>
        <w:t>4</w:t>
      </w:r>
      <w:r w:rsidRPr="00BA37A1">
        <w:rPr>
          <w:rFonts w:ascii="Times New Roman" w:hAnsi="Times New Roman" w:cs="Times New Roman"/>
          <w:lang w:val="en-US"/>
        </w:rPr>
        <w:t>, and temperature was maintained at 30 ℃. A constant airflow of 1 vvm was maintained and stirrer speed was adjusted manually to maintain DO above 30 %. Off‐gas analysis was performed online via mass spectrometry (Prima Pro, Thermo Fisher Scientific). Samples were taken twice daily for taxane and metabolite quantification via GC‐MS and high‐performance liquid chromatography (HPLC).</w:t>
      </w:r>
    </w:p>
    <w:p w14:paraId="25B88C1F" w14:textId="77777777" w:rsidR="00BA37A1" w:rsidRPr="00BA37A1" w:rsidRDefault="00BA37A1" w:rsidP="00BA37A1">
      <w:pPr>
        <w:pStyle w:val="Heading2"/>
        <w:numPr>
          <w:ilvl w:val="1"/>
          <w:numId w:val="1"/>
        </w:numPr>
        <w:spacing w:line="480" w:lineRule="auto"/>
        <w:rPr>
          <w:rFonts w:ascii="Times New Roman" w:hAnsi="Times New Roman" w:cs="Times New Roman"/>
          <w:shd w:val="clear" w:color="auto" w:fill="FFFFFF"/>
          <w:lang w:val="en-US"/>
        </w:rPr>
      </w:pPr>
      <w:r w:rsidRPr="00BA37A1">
        <w:rPr>
          <w:rFonts w:ascii="Times New Roman" w:hAnsi="Times New Roman" w:cs="Times New Roman"/>
          <w:shd w:val="clear" w:color="auto" w:fill="FFFFFF"/>
          <w:lang w:val="en-US"/>
        </w:rPr>
        <w:t xml:space="preserve">Taxane and metabolite identification and quantification </w:t>
      </w:r>
    </w:p>
    <w:p w14:paraId="33E44659" w14:textId="25064B5A" w:rsidR="00BA37A1" w:rsidRPr="00BA37A1" w:rsidRDefault="00BA37A1" w:rsidP="00BA37A1">
      <w:pPr>
        <w:spacing w:line="480" w:lineRule="auto"/>
        <w:ind w:firstLine="360"/>
        <w:rPr>
          <w:rFonts w:ascii="Times New Roman" w:hAnsi="Times New Roman" w:cs="Times New Roman"/>
          <w:shd w:val="clear" w:color="auto" w:fill="FFFFFF"/>
          <w:lang w:val="en-US"/>
        </w:rPr>
      </w:pPr>
      <w:r w:rsidRPr="00BA37A1">
        <w:rPr>
          <w:rFonts w:ascii="Times New Roman" w:hAnsi="Times New Roman" w:cs="Times New Roman"/>
          <w:shd w:val="clear" w:color="auto" w:fill="FFFFFF"/>
          <w:lang w:val="en-US"/>
        </w:rPr>
        <w:t>Taxane identification and quantification was achieved via GC‐MS. The organic dodecane layer was separated from the culture medium through centrifugation and a 1‐μl sample was injected into a TRACE™ 1300 Gas Chromatograph (Thermo Fisher Scientific) coupled to an ISQ LT single quadrupole mass spectrometer (Thermo Fisher Scientific). Chromatographic separation was achieved using a Trace Gold TG‐SQC gas chromatography column using a previously described method</w:t>
      </w:r>
      <w:r w:rsidR="005E6A4C">
        <w:rPr>
          <w:rFonts w:ascii="Times New Roman" w:hAnsi="Times New Roman" w:cs="Times New Roman"/>
          <w:shd w:val="clear" w:color="auto" w:fill="FFFFFF"/>
          <w:lang w:val="en-US"/>
        </w:rPr>
        <w:t>.</w:t>
      </w:r>
      <w:r w:rsidRPr="00BA37A1">
        <w:rPr>
          <w:rFonts w:ascii="Times New Roman" w:hAnsi="Times New Roman" w:cs="Times New Roman"/>
          <w:shd w:val="clear" w:color="auto" w:fill="FFFFFF"/>
          <w:lang w:val="en-US"/>
        </w:rPr>
        <w:fldChar w:fldCharType="begin" w:fldLock="1"/>
      </w:r>
      <w:r w:rsidR="005E6A4C">
        <w:rPr>
          <w:rFonts w:ascii="Times New Roman" w:hAnsi="Times New Roman" w:cs="Times New Roman"/>
          <w:shd w:val="clear" w:color="auto" w:fill="FFFFFF"/>
          <w:lang w:val="en-US"/>
        </w:rPr>
        <w:instrText>ADDIN CSL_CITATION {"citationItems":[{"id":"ITEM-1","itemData":{"DOI":"10.1093/nar/gkw1023","ISSN":"0305-1048","abstract":"Despite the extensive use of Saccharomyces cerevisiae as a platform for synthetic biology, strain engineering remains slow and laborious. Here, we employ CRISPR/Cas9 technology to build a cloning-free toolkit that addresses commonly encountered obstacles in metabolic engineering, including chromosomal integration locus and promoter selection, as well as protein localization and solubility. The toolkit includes 23 Cas9-sgRNA plasmids, 37 promoters of various strengths and temporal expression profiles, and 10 protein-localization, degradation and solubility tags. We facilitated the use of these parts via a web-based tool, that automates the generation of DNA fragments for integration. Our system builds upon existing gene editing methods in the thoroughness with which the parts are standardized and characterized, the types and number of parts available and the ease with which our methodology can be used to perform genetic edits in yeast. We demonstrated the applicability of this toolkit by optimizing the expression of a challenging but industrially important enzyme, taxadiene synthase (TXS). This approach enabled us to diagnose an issue with TXS solubility, the resolution of which yielded a 25-fold improvement in taxadiene production.","author":[{"dropping-particle":"","family":"Reider Apel","given":"Amanda","non-dropping-particle":"","parse-names":false,"suffix":""},{"dropping-particle":"","family":"Sachs","given":"Daniel","non-dropping-particle":"","parse-names":false,"suffix":""},{"dropping-particle":"","family":"Tong","given":"Gary J","non-dropping-particle":"","parse-names":false,"suffix":""},{"dropping-particle":"","family":"d'Espaux","given":"Leo","non-dropping-particle":"","parse-names":false,"suffix":""},{"dropping-particle":"","family":"Wehrs","given":"Maren","non-dropping-particle":"","parse-names":false,"suffix":""},{"dropping-particle":"","family":"Garber","given":"Megan","non-dropping-particle":"","parse-names":false,"suffix":""},{"dropping-particle":"","family":"Nnadi","given":"Oge","non-dropping-particle":"","parse-names":false,"suffix":""},{"dropping-particle":"","family":"Mukhopadhyay","given":"Aindrila","non-dropping-particle":"","parse-names":false,"suffix":""},{"dropping-particle":"","family":"Keasling","given":"Jay D","non-dropping-particle":"","parse-names":false,"suffix":""},{"dropping-particle":"","family":"Hillson","given":"Nathan J","non-dropping-particle":"","parse-names":false,"suffix":""},{"dropping-particle":"","family":"Li","given":"Rachel A","non-dropping-particle":"","parse-names":false,"suffix":""},{"dropping-particle":"","family":"Zhuang","given":"William","non-dropping-particle":"","parse-names":false,"suffix":""}],"container-title":"Nucleic Acids Research","id":"ITEM-1","issue":"1","issued":{"date-parts":[["2016"]]},"page":"496-508","title":"A Cas9-based toolkit to program gene expression in Saccharomyces cerevisiae","type":"article-journal","volume":"45"},"uris":["http://www.mendeley.com/documents/?uuid=3576f4e7-8dc8-4c34-a646-f5486876f2d4"]}],"mendeley":{"formattedCitation":"&lt;sup&gt;[22]&lt;/sup&gt;","plainTextFormattedCitation":"[22]","previouslyFormattedCitation":"&lt;sup&gt;[22]&lt;/sup&gt;"},"properties":{"noteIndex":0},"schema":"https://github.com/citation-style-language/schema/raw/master/csl-citation.json"}</w:instrText>
      </w:r>
      <w:r w:rsidRPr="00BA37A1">
        <w:rPr>
          <w:rFonts w:ascii="Times New Roman" w:hAnsi="Times New Roman" w:cs="Times New Roman"/>
          <w:shd w:val="clear" w:color="auto" w:fill="FFFFFF"/>
          <w:lang w:val="en-US"/>
        </w:rPr>
        <w:fldChar w:fldCharType="separate"/>
      </w:r>
      <w:r w:rsidR="00362160" w:rsidRPr="00362160">
        <w:rPr>
          <w:rFonts w:ascii="Times New Roman" w:hAnsi="Times New Roman" w:cs="Times New Roman"/>
          <w:noProof/>
          <w:shd w:val="clear" w:color="auto" w:fill="FFFFFF"/>
          <w:vertAlign w:val="superscript"/>
          <w:lang w:val="en-US"/>
        </w:rPr>
        <w:t>[22]</w:t>
      </w:r>
      <w:r w:rsidRPr="00BA37A1">
        <w:rPr>
          <w:rFonts w:ascii="Times New Roman" w:hAnsi="Times New Roman" w:cs="Times New Roman"/>
          <w:shd w:val="clear" w:color="auto" w:fill="FFFFFF"/>
          <w:lang w:val="en-US"/>
        </w:rPr>
        <w:fldChar w:fldCharType="end"/>
      </w:r>
      <w:r w:rsidRPr="00BA37A1">
        <w:rPr>
          <w:rFonts w:ascii="Times New Roman" w:hAnsi="Times New Roman" w:cs="Times New Roman"/>
          <w:shd w:val="clear" w:color="auto" w:fill="FFFFFF"/>
          <w:lang w:val="en-US"/>
        </w:rPr>
        <w:t xml:space="preserve"> To identify and quantify the production of compounds by </w:t>
      </w:r>
      <w:r w:rsidRPr="00BA37A1">
        <w:rPr>
          <w:rFonts w:ascii="Times New Roman" w:hAnsi="Times New Roman" w:cs="Times New Roman"/>
          <w:i/>
          <w:iCs/>
          <w:shd w:val="clear" w:color="auto" w:fill="FFFFFF"/>
          <w:lang w:val="en-US"/>
        </w:rPr>
        <w:t>LRS5</w:t>
      </w:r>
      <w:r w:rsidRPr="00BA37A1">
        <w:rPr>
          <w:rFonts w:ascii="Times New Roman" w:hAnsi="Times New Roman" w:cs="Times New Roman"/>
          <w:shd w:val="clear" w:color="auto" w:fill="FFFFFF"/>
          <w:lang w:val="en-US"/>
        </w:rPr>
        <w:t> and </w:t>
      </w:r>
      <w:r w:rsidRPr="00BA37A1">
        <w:rPr>
          <w:rFonts w:ascii="Times New Roman" w:hAnsi="Times New Roman" w:cs="Times New Roman"/>
          <w:i/>
          <w:iCs/>
          <w:shd w:val="clear" w:color="auto" w:fill="FFFFFF"/>
          <w:lang w:val="en-US"/>
        </w:rPr>
        <w:t>LRS6</w:t>
      </w:r>
      <w:r w:rsidRPr="00BA37A1">
        <w:rPr>
          <w:rFonts w:ascii="Times New Roman" w:hAnsi="Times New Roman" w:cs="Times New Roman"/>
          <w:shd w:val="clear" w:color="auto" w:fill="FFFFFF"/>
          <w:lang w:val="en-US"/>
        </w:rPr>
        <w:t xml:space="preserve">, pure standards of taxadiene, kindly supplied by Baran Lab (The Scripps Research Institute) and GGOH, obtained from Sigma Aldrich (UK), were used. Additional product concentrations were estimated relative to standard taxadiene concentrations. In the bioreactor cultivation, ethanol, acetate, and glycerol production were analyzed via ion‐exchange HPLC. Following filtration using a 0.45‐μm filter, 20 μl samples were </w:t>
      </w:r>
      <w:r w:rsidRPr="00BA37A1">
        <w:rPr>
          <w:rFonts w:ascii="Times New Roman" w:hAnsi="Times New Roman" w:cs="Times New Roman"/>
          <w:shd w:val="clear" w:color="auto" w:fill="FFFFFF"/>
          <w:lang w:val="en-US"/>
        </w:rPr>
        <w:lastRenderedPageBreak/>
        <w:t>injected into a Bio‐Rad Aminex HPX‐87H column for analysis. The eluent was 5 mM H</w:t>
      </w:r>
      <w:r w:rsidRPr="00BA37A1">
        <w:rPr>
          <w:rFonts w:ascii="Times New Roman" w:hAnsi="Times New Roman" w:cs="Times New Roman"/>
          <w:shd w:val="clear" w:color="auto" w:fill="FFFFFF"/>
          <w:vertAlign w:val="subscript"/>
          <w:lang w:val="en-US"/>
        </w:rPr>
        <w:t>2</w:t>
      </w:r>
      <w:r w:rsidRPr="00BA37A1">
        <w:rPr>
          <w:rFonts w:ascii="Times New Roman" w:hAnsi="Times New Roman" w:cs="Times New Roman"/>
          <w:shd w:val="clear" w:color="auto" w:fill="FFFFFF"/>
          <w:lang w:val="en-US"/>
        </w:rPr>
        <w:t>SO</w:t>
      </w:r>
      <w:r w:rsidRPr="00BA37A1">
        <w:rPr>
          <w:rFonts w:ascii="Times New Roman" w:hAnsi="Times New Roman" w:cs="Times New Roman"/>
          <w:shd w:val="clear" w:color="auto" w:fill="FFFFFF"/>
          <w:vertAlign w:val="subscript"/>
          <w:lang w:val="en-US"/>
        </w:rPr>
        <w:t>4</w:t>
      </w:r>
      <w:r w:rsidRPr="00BA37A1">
        <w:rPr>
          <w:rFonts w:ascii="Times New Roman" w:hAnsi="Times New Roman" w:cs="Times New Roman"/>
          <w:shd w:val="clear" w:color="auto" w:fill="FFFFFF"/>
          <w:lang w:val="en-US"/>
        </w:rPr>
        <w:t>, flowrate 0.6 mL/min, and the temperature was 60 °C. A RID‐detector was used for quantification.</w:t>
      </w:r>
    </w:p>
    <w:p w14:paraId="576B89F0" w14:textId="77777777" w:rsidR="00BA37A1" w:rsidRPr="00BA37A1" w:rsidRDefault="00BA37A1" w:rsidP="00BA37A1">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t xml:space="preserve">Statistical analysis </w:t>
      </w:r>
    </w:p>
    <w:p w14:paraId="14C817D0" w14:textId="633A8839" w:rsidR="00BA37A1" w:rsidRPr="00BA37A1" w:rsidRDefault="00BA37A1" w:rsidP="005E6A4C">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Design of experiments and statistical modelling were performed using JMP Pro 15 statistical software. Forward stepwise regression with a p-value to enter of 0.1 was performed using JMP to fit the regression model for the definitive screening design. A full quadratic analysis was performed, thereby considering all main effects and any second order interactions. The resulting model contained those factors which produced a significant effect on the response. The prediction profiler was then used to optimize the settings of these factors. </w:t>
      </w:r>
    </w:p>
    <w:p w14:paraId="4011502C" w14:textId="4B24BFC4" w:rsidR="00FB54F9" w:rsidRPr="00BA37A1" w:rsidRDefault="00FB54F9" w:rsidP="00D36DCD">
      <w:pPr>
        <w:pStyle w:val="Heading1"/>
        <w:spacing w:line="480" w:lineRule="auto"/>
        <w:rPr>
          <w:rFonts w:ascii="Times New Roman" w:hAnsi="Times New Roman" w:cs="Times New Roman"/>
          <w:lang w:val="en-US"/>
        </w:rPr>
      </w:pPr>
      <w:r w:rsidRPr="00BA37A1">
        <w:rPr>
          <w:rFonts w:ascii="Times New Roman" w:hAnsi="Times New Roman" w:cs="Times New Roman"/>
          <w:lang w:val="en-US"/>
        </w:rPr>
        <w:t xml:space="preserve">Results and </w:t>
      </w:r>
      <w:r w:rsidR="00B96B2C" w:rsidRPr="00BA37A1">
        <w:rPr>
          <w:rFonts w:ascii="Times New Roman" w:hAnsi="Times New Roman" w:cs="Times New Roman"/>
          <w:lang w:val="en-US"/>
        </w:rPr>
        <w:t>d</w:t>
      </w:r>
      <w:r w:rsidRPr="00BA37A1">
        <w:rPr>
          <w:rFonts w:ascii="Times New Roman" w:hAnsi="Times New Roman" w:cs="Times New Roman"/>
          <w:lang w:val="en-US"/>
        </w:rPr>
        <w:t>iscussion</w:t>
      </w:r>
    </w:p>
    <w:p w14:paraId="6104A74F" w14:textId="3DEBFA56" w:rsidR="006C2C6E" w:rsidRPr="00BA37A1" w:rsidRDefault="006C2C6E" w:rsidP="00D36DCD">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t xml:space="preserve">Preliminary microscale growth experiments </w:t>
      </w:r>
    </w:p>
    <w:p w14:paraId="4B62BBBC" w14:textId="49936C1F" w:rsidR="007D4F61" w:rsidRPr="00BA37A1" w:rsidRDefault="0069437C"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Previous studies </w:t>
      </w:r>
      <w:r w:rsidR="003F7784" w:rsidRPr="00BA37A1">
        <w:rPr>
          <w:rFonts w:ascii="Times New Roman" w:hAnsi="Times New Roman" w:cs="Times New Roman"/>
          <w:lang w:val="en-US"/>
        </w:rPr>
        <w:t xml:space="preserve">at micro (1 mL) and bioreactor (0.5-1 L) scale </w:t>
      </w:r>
      <w:r w:rsidRPr="00BA37A1">
        <w:rPr>
          <w:rFonts w:ascii="Times New Roman" w:hAnsi="Times New Roman" w:cs="Times New Roman"/>
          <w:lang w:val="en-US"/>
        </w:rPr>
        <w:t xml:space="preserve">involving the cultivation </w:t>
      </w:r>
      <w:r w:rsidR="002A620D" w:rsidRPr="00BA37A1">
        <w:rPr>
          <w:rFonts w:ascii="Times New Roman" w:hAnsi="Times New Roman" w:cs="Times New Roman"/>
          <w:lang w:val="en-US"/>
        </w:rPr>
        <w:t xml:space="preserve">of </w:t>
      </w:r>
      <w:r w:rsidR="002A620D" w:rsidRPr="00BA37A1">
        <w:rPr>
          <w:rFonts w:ascii="Times New Roman" w:hAnsi="Times New Roman" w:cs="Times New Roman"/>
          <w:i/>
          <w:lang w:val="en-US"/>
        </w:rPr>
        <w:t xml:space="preserve">S. cerevisiae </w:t>
      </w:r>
      <w:r w:rsidR="002A620D" w:rsidRPr="00BA37A1">
        <w:rPr>
          <w:rFonts w:ascii="Times New Roman" w:hAnsi="Times New Roman" w:cs="Times New Roman"/>
          <w:lang w:val="en-US"/>
        </w:rPr>
        <w:t xml:space="preserve">strain, </w:t>
      </w:r>
      <w:r w:rsidRPr="00BA37A1">
        <w:rPr>
          <w:rFonts w:ascii="Times New Roman" w:hAnsi="Times New Roman" w:cs="Times New Roman"/>
          <w:i/>
          <w:lang w:val="en-US"/>
        </w:rPr>
        <w:t>LRS6</w:t>
      </w:r>
      <w:r w:rsidR="002A620D" w:rsidRPr="00BA37A1">
        <w:rPr>
          <w:rFonts w:ascii="Times New Roman" w:hAnsi="Times New Roman" w:cs="Times New Roman"/>
          <w:i/>
          <w:lang w:val="en-US"/>
        </w:rPr>
        <w:t>,</w:t>
      </w:r>
      <w:r w:rsidRPr="00BA37A1">
        <w:rPr>
          <w:rFonts w:ascii="Times New Roman" w:hAnsi="Times New Roman" w:cs="Times New Roman"/>
          <w:lang w:val="en-US"/>
        </w:rPr>
        <w:t xml:space="preserve"> </w:t>
      </w:r>
      <w:r w:rsidR="00366635" w:rsidRPr="00BA37A1">
        <w:rPr>
          <w:rFonts w:ascii="Times New Roman" w:hAnsi="Times New Roman" w:cs="Times New Roman"/>
          <w:lang w:val="en-US"/>
        </w:rPr>
        <w:t>which has been engineered for heterologous  expression of the first three genes of the Taxol biosynthetic pathway</w:t>
      </w:r>
      <w:r w:rsidR="005B4F51" w:rsidRPr="00BA37A1">
        <w:rPr>
          <w:rFonts w:ascii="Times New Roman" w:hAnsi="Times New Roman" w:cs="Times New Roman"/>
          <w:lang w:val="en-US"/>
        </w:rPr>
        <w:t xml:space="preserve"> (Figure 1B)</w:t>
      </w:r>
      <w:r w:rsidR="002A620D" w:rsidRPr="00BA37A1">
        <w:rPr>
          <w:rFonts w:ascii="Times New Roman" w:hAnsi="Times New Roman" w:cs="Times New Roman"/>
          <w:lang w:val="en-US"/>
        </w:rPr>
        <w:t>,</w:t>
      </w:r>
      <w:r w:rsidRPr="00BA37A1">
        <w:rPr>
          <w:rFonts w:ascii="Times New Roman" w:hAnsi="Times New Roman" w:cs="Times New Roman"/>
          <w:lang w:val="en-US"/>
        </w:rPr>
        <w:t xml:space="preserve"> were performed </w:t>
      </w:r>
      <w:r w:rsidR="00E93E27" w:rsidRPr="00BA37A1">
        <w:rPr>
          <w:rFonts w:ascii="Times New Roman" w:hAnsi="Times New Roman" w:cs="Times New Roman"/>
          <w:lang w:val="en-US"/>
        </w:rPr>
        <w:t xml:space="preserve">exclusively </w:t>
      </w:r>
      <w:r w:rsidRPr="00BA37A1">
        <w:rPr>
          <w:rFonts w:ascii="Times New Roman" w:hAnsi="Times New Roman" w:cs="Times New Roman"/>
          <w:lang w:val="en-US"/>
        </w:rPr>
        <w:t>i</w:t>
      </w:r>
      <w:r w:rsidR="00E93E27" w:rsidRPr="00BA37A1">
        <w:rPr>
          <w:rFonts w:ascii="Times New Roman" w:hAnsi="Times New Roman" w:cs="Times New Roman"/>
          <w:lang w:val="en-US"/>
        </w:rPr>
        <w:t>n complex media</w:t>
      </w:r>
      <w:r w:rsidR="005E6A4C">
        <w:rPr>
          <w:rFonts w:ascii="Times New Roman" w:hAnsi="Times New Roman" w:cs="Times New Roman"/>
          <w:lang w:val="en-US"/>
        </w:rPr>
        <w:t>.</w:t>
      </w:r>
      <w:r w:rsidR="007209DB"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7209DB"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7209DB" w:rsidRPr="00BA37A1">
        <w:rPr>
          <w:rFonts w:ascii="Times New Roman" w:hAnsi="Times New Roman" w:cs="Times New Roman"/>
          <w:lang w:val="en-US"/>
        </w:rPr>
        <w:fldChar w:fldCharType="end"/>
      </w:r>
      <w:r w:rsidR="00E93E27" w:rsidRPr="00BA37A1">
        <w:rPr>
          <w:rFonts w:ascii="Times New Roman" w:hAnsi="Times New Roman" w:cs="Times New Roman"/>
          <w:lang w:val="en-US"/>
        </w:rPr>
        <w:t xml:space="preserve"> In order to </w:t>
      </w:r>
      <w:r w:rsidR="00BA37A1" w:rsidRPr="00BA37A1">
        <w:rPr>
          <w:rFonts w:ascii="Times New Roman" w:hAnsi="Times New Roman" w:cs="Times New Roman"/>
          <w:lang w:val="en-US"/>
        </w:rPr>
        <w:t>characterize</w:t>
      </w:r>
      <w:r w:rsidR="00E93E27" w:rsidRPr="00BA37A1">
        <w:rPr>
          <w:rFonts w:ascii="Times New Roman" w:hAnsi="Times New Roman" w:cs="Times New Roman"/>
          <w:lang w:val="en-US"/>
        </w:rPr>
        <w:t xml:space="preserve"> </w:t>
      </w:r>
      <w:r w:rsidRPr="00BA37A1">
        <w:rPr>
          <w:rFonts w:ascii="Times New Roman" w:hAnsi="Times New Roman" w:cs="Times New Roman"/>
          <w:lang w:val="en-US"/>
        </w:rPr>
        <w:t>performance in defined</w:t>
      </w:r>
      <w:r w:rsidR="00E93E27" w:rsidRPr="00BA37A1">
        <w:rPr>
          <w:rFonts w:ascii="Times New Roman" w:hAnsi="Times New Roman" w:cs="Times New Roman"/>
          <w:lang w:val="en-US"/>
        </w:rPr>
        <w:t xml:space="preserve"> media</w:t>
      </w:r>
      <w:r w:rsidRPr="00BA37A1">
        <w:rPr>
          <w:rFonts w:ascii="Times New Roman" w:hAnsi="Times New Roman" w:cs="Times New Roman"/>
          <w:lang w:val="en-US"/>
        </w:rPr>
        <w:t xml:space="preserve"> </w:t>
      </w:r>
      <w:r w:rsidR="00E93E27" w:rsidRPr="00BA37A1">
        <w:rPr>
          <w:rFonts w:ascii="Times New Roman" w:hAnsi="Times New Roman" w:cs="Times New Roman"/>
          <w:lang w:val="en-US"/>
        </w:rPr>
        <w:t xml:space="preserve">preliminary microscale growth experiments were </w:t>
      </w:r>
      <w:r w:rsidRPr="00BA37A1">
        <w:rPr>
          <w:rFonts w:ascii="Times New Roman" w:hAnsi="Times New Roman" w:cs="Times New Roman"/>
          <w:lang w:val="en-US"/>
        </w:rPr>
        <w:t xml:space="preserve">performed </w:t>
      </w:r>
      <w:r w:rsidR="00E93E27" w:rsidRPr="00BA37A1">
        <w:rPr>
          <w:rFonts w:ascii="Times New Roman" w:hAnsi="Times New Roman" w:cs="Times New Roman"/>
          <w:lang w:val="en-US"/>
        </w:rPr>
        <w:t>using a typical</w:t>
      </w:r>
      <w:r w:rsidRPr="00BA37A1">
        <w:rPr>
          <w:rFonts w:ascii="Times New Roman" w:hAnsi="Times New Roman" w:cs="Times New Roman"/>
          <w:lang w:val="en-US"/>
        </w:rPr>
        <w:t xml:space="preserve"> synthetic</w:t>
      </w:r>
      <w:r w:rsidR="00E93E27" w:rsidRPr="00BA37A1">
        <w:rPr>
          <w:rFonts w:ascii="Times New Roman" w:hAnsi="Times New Roman" w:cs="Times New Roman"/>
          <w:lang w:val="en-US"/>
        </w:rPr>
        <w:t xml:space="preserve"> defined</w:t>
      </w:r>
      <w:r w:rsidRPr="00BA37A1">
        <w:rPr>
          <w:rFonts w:ascii="Times New Roman" w:hAnsi="Times New Roman" w:cs="Times New Roman"/>
          <w:lang w:val="en-US"/>
        </w:rPr>
        <w:t xml:space="preserve"> media</w:t>
      </w:r>
      <w:r w:rsidR="00302EBB" w:rsidRPr="00BA37A1">
        <w:rPr>
          <w:rFonts w:ascii="Times New Roman" w:hAnsi="Times New Roman" w:cs="Times New Roman"/>
          <w:lang w:val="en-US"/>
        </w:rPr>
        <w:t xml:space="preserve"> (SDG</w:t>
      </w:r>
      <w:r w:rsidR="00366635" w:rsidRPr="00BA37A1">
        <w:rPr>
          <w:rFonts w:ascii="Times New Roman" w:hAnsi="Times New Roman" w:cs="Times New Roman"/>
          <w:lang w:val="en-US"/>
        </w:rPr>
        <w:t>, Section 2.3.1</w:t>
      </w:r>
      <w:r w:rsidR="00302EBB" w:rsidRPr="00BA37A1">
        <w:rPr>
          <w:rFonts w:ascii="Times New Roman" w:hAnsi="Times New Roman" w:cs="Times New Roman"/>
          <w:lang w:val="en-US"/>
        </w:rPr>
        <w:t>)</w:t>
      </w:r>
      <w:r w:rsidR="00E93E27" w:rsidRPr="00BA37A1">
        <w:rPr>
          <w:rFonts w:ascii="Times New Roman" w:hAnsi="Times New Roman" w:cs="Times New Roman"/>
          <w:lang w:val="en-US"/>
        </w:rPr>
        <w:t xml:space="preserve">. </w:t>
      </w:r>
      <w:r w:rsidR="001C2444" w:rsidRPr="00BA37A1">
        <w:rPr>
          <w:rFonts w:ascii="Times New Roman" w:hAnsi="Times New Roman" w:cs="Times New Roman"/>
          <w:lang w:val="en-US"/>
        </w:rPr>
        <w:t xml:space="preserve">Galactose was selected as the carbon source to </w:t>
      </w:r>
      <w:r w:rsidR="00BA37A1" w:rsidRPr="00BA37A1">
        <w:rPr>
          <w:rFonts w:ascii="Times New Roman" w:hAnsi="Times New Roman" w:cs="Times New Roman"/>
          <w:lang w:val="en-US"/>
        </w:rPr>
        <w:t>maximize</w:t>
      </w:r>
      <w:r w:rsidR="001C2444" w:rsidRPr="00BA37A1">
        <w:rPr>
          <w:rFonts w:ascii="Times New Roman" w:hAnsi="Times New Roman" w:cs="Times New Roman"/>
          <w:lang w:val="en-US"/>
        </w:rPr>
        <w:t xml:space="preserve"> expression of the heterologous pathway, which was under the control of galactose inducible promoters (Figure 1B) </w:t>
      </w:r>
      <w:r w:rsidR="00E93E27" w:rsidRPr="00BA37A1">
        <w:rPr>
          <w:rFonts w:ascii="Times New Roman" w:hAnsi="Times New Roman" w:cs="Times New Roman"/>
          <w:lang w:val="en-US"/>
        </w:rPr>
        <w:t xml:space="preserve">Control experiments using </w:t>
      </w:r>
      <w:r w:rsidR="00366635" w:rsidRPr="00BA37A1">
        <w:rPr>
          <w:rFonts w:ascii="Times New Roman" w:hAnsi="Times New Roman" w:cs="Times New Roman"/>
          <w:lang w:val="en-US"/>
        </w:rPr>
        <w:t>a typical complex media (</w:t>
      </w:r>
      <w:r w:rsidR="00E93E27" w:rsidRPr="00BA37A1">
        <w:rPr>
          <w:rFonts w:ascii="Times New Roman" w:hAnsi="Times New Roman" w:cs="Times New Roman"/>
          <w:lang w:val="en-US"/>
        </w:rPr>
        <w:t>Y</w:t>
      </w:r>
      <w:r w:rsidRPr="00BA37A1">
        <w:rPr>
          <w:rFonts w:ascii="Times New Roman" w:hAnsi="Times New Roman" w:cs="Times New Roman"/>
          <w:lang w:val="en-US"/>
        </w:rPr>
        <w:t>PG</w:t>
      </w:r>
      <w:r w:rsidR="00366635" w:rsidRPr="00BA37A1">
        <w:rPr>
          <w:rFonts w:ascii="Times New Roman" w:hAnsi="Times New Roman" w:cs="Times New Roman"/>
          <w:lang w:val="en-US"/>
        </w:rPr>
        <w:t>, Section 2.3.1.)</w:t>
      </w:r>
      <w:r w:rsidR="00E93E27" w:rsidRPr="00BA37A1">
        <w:rPr>
          <w:rFonts w:ascii="Times New Roman" w:hAnsi="Times New Roman" w:cs="Times New Roman"/>
          <w:lang w:val="en-US"/>
        </w:rPr>
        <w:t xml:space="preserve"> were included for comparison. </w:t>
      </w:r>
      <w:r w:rsidRPr="00BA37A1">
        <w:rPr>
          <w:rFonts w:ascii="Times New Roman" w:hAnsi="Times New Roman" w:cs="Times New Roman"/>
          <w:lang w:val="en-US"/>
        </w:rPr>
        <w:t>The results of this</w:t>
      </w:r>
      <w:r w:rsidR="00E93E27" w:rsidRPr="00BA37A1">
        <w:rPr>
          <w:rFonts w:ascii="Times New Roman" w:hAnsi="Times New Roman" w:cs="Times New Roman"/>
          <w:lang w:val="en-US"/>
        </w:rPr>
        <w:t xml:space="preserve"> investigation </w:t>
      </w:r>
      <w:r w:rsidRPr="00BA37A1">
        <w:rPr>
          <w:rFonts w:ascii="Times New Roman" w:hAnsi="Times New Roman" w:cs="Times New Roman"/>
          <w:lang w:val="en-US"/>
        </w:rPr>
        <w:t xml:space="preserve">are </w:t>
      </w:r>
      <w:r w:rsidR="00BA37A1" w:rsidRPr="00BA37A1">
        <w:rPr>
          <w:rFonts w:ascii="Times New Roman" w:hAnsi="Times New Roman" w:cs="Times New Roman"/>
          <w:lang w:val="en-US"/>
        </w:rPr>
        <w:t>summarized</w:t>
      </w:r>
      <w:r w:rsidRPr="00BA37A1">
        <w:rPr>
          <w:rFonts w:ascii="Times New Roman" w:hAnsi="Times New Roman" w:cs="Times New Roman"/>
          <w:lang w:val="en-US"/>
        </w:rPr>
        <w:t xml:space="preserve"> in </w:t>
      </w:r>
      <w:r w:rsidR="008C101C" w:rsidRPr="00BA37A1">
        <w:rPr>
          <w:rFonts w:ascii="Times New Roman" w:hAnsi="Times New Roman" w:cs="Times New Roman"/>
          <w:lang w:val="en-US"/>
        </w:rPr>
        <w:t>Figure 2</w:t>
      </w:r>
      <w:r w:rsidR="003A7F4D" w:rsidRPr="00BA37A1">
        <w:rPr>
          <w:rFonts w:ascii="Times New Roman" w:hAnsi="Times New Roman" w:cs="Times New Roman"/>
          <w:lang w:val="en-US"/>
        </w:rPr>
        <w:t xml:space="preserve">. </w:t>
      </w:r>
    </w:p>
    <w:p w14:paraId="591CA89E" w14:textId="40B59B44" w:rsidR="006C2C6E" w:rsidRPr="00BA37A1" w:rsidRDefault="003A7F4D"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The initial pH of the SDG</w:t>
      </w:r>
      <w:r w:rsidR="0069437C" w:rsidRPr="00BA37A1">
        <w:rPr>
          <w:rFonts w:ascii="Times New Roman" w:hAnsi="Times New Roman" w:cs="Times New Roman"/>
          <w:lang w:val="en-US"/>
        </w:rPr>
        <w:t xml:space="preserve"> media was significantly lower than that of YPG at around 5.2</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 xml:space="preserve">compared to 6.5. </w:t>
      </w:r>
      <w:r w:rsidR="00D005C1" w:rsidRPr="00BA37A1">
        <w:rPr>
          <w:rFonts w:ascii="Times New Roman" w:hAnsi="Times New Roman" w:cs="Times New Roman"/>
          <w:lang w:val="en-US"/>
        </w:rPr>
        <w:t>Previous studies revealed that the CYP725A4 is sensitive to deviations in external pH</w:t>
      </w:r>
      <w:r w:rsidR="005E6A4C">
        <w:rPr>
          <w:rFonts w:ascii="Times New Roman" w:hAnsi="Times New Roman" w:cs="Times New Roman"/>
          <w:lang w:val="en-US"/>
        </w:rPr>
        <w:t>,</w:t>
      </w:r>
      <w:r w:rsidR="00D005C1"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D005C1"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D005C1" w:rsidRPr="00BA37A1">
        <w:rPr>
          <w:rFonts w:ascii="Times New Roman" w:hAnsi="Times New Roman" w:cs="Times New Roman"/>
          <w:lang w:val="en-US"/>
        </w:rPr>
        <w:fldChar w:fldCharType="end"/>
      </w:r>
      <w:r w:rsidR="00D005C1" w:rsidRPr="00BA37A1">
        <w:rPr>
          <w:rFonts w:ascii="Times New Roman" w:hAnsi="Times New Roman" w:cs="Times New Roman"/>
          <w:lang w:val="en-US"/>
        </w:rPr>
        <w:t xml:space="preserve"> indicating pH adjustment may be beneficial in future runs. CYP725A4 has an optimal pH of 7.2 </w:t>
      </w:r>
      <w:r w:rsidR="00D005C1"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{"citationItems":[{"id":"ITEM-1","itemData":{"DOI":"https://doi.org/10.1016/S1074-5521(96)90096-4","ISSN":"1074-5521","abstract":"Background: The structural complexity of taxol dictates continued reliance on biological production methods, which may be improved by a detailed understanding of taxol biosynthesis, especially the rate-limiting steps. The biosynthesis of taxol involves the cyclization of the common isoprenoid intermediate geranylgeranyl diphosphate to taxa-4(5),11(12)-diene followed by extensive, largely oxidative, modification of this diterpene olefin. We set out to define the first oxygenation step in taxol biosynthesis. Results: Microsomal enzymes from Taxus stem and cultured cells were used to define the first hydroxylation of taxadiene. We confirmed the structure of the reaction product (taxa-4(20),11(12)-dien-5α-ol) by synthesizing this compound. The responsible biological catalyst was characterized as a cytochrome P450 (heme thiolate protein). In vivo studies confirmed that taxadienol is a biosynthetic intermediate and indicated that the hydroxylation step that produces this product is slow relative to subsequent metabolic transformations. Conclusions: The structure of the first oxygenated intermediate on the taxol pathway establishes that the hydroxylation reaction proceeds with an unusual double bond migration that limits the mechanistic possibilities for subsequent elaboration of the oxetane moiety of taxol. The reaction is catalyzed by a cytochrome P450, suggesting that the seven remaining oxygenation steps in taxol biosynthesis may involve similar catalysts. Because the first oxygenation step is slow relative to subsequent metabolic transformations, it may be possible to speed taxol biosynthesis by isolating and manipulating the gene for the taxadiene-5-hydroxylase that catalyzes this reaction.","author":[{"dropping-particle":"","family":"Hefner","given":"Jerry","non-dropping-particle":"","parse-names":false,"suffix":""},{"dropping-particle":"","family":"Rubenstein","given":"Steven M","non-dropping-particle":"","parse-names":false,"suffix":""},{"dropping-particle":"","family":"Ketchum","given":"Raymond E B","non-dropping-particle":"","parse-names":false,"suffix":""},{"dropping-particle":"","family":"Gibson","given":"Donna M","non-dropping-particle":"","parse-names":false,"suffix":""},{"dropping-particle":"","family":"Williams","given":"Robert M","non-dropping-particle":"","parse-names":false,"suffix":""},{"dropping-particle":"","family":"Croteau","given":"Rodney","non-dropping-particle":"","parse-names":false,"suffix":""}],"container-title":"Chemistry &amp; Biology","id":"ITEM-1","issue":"6","issued":{"date-parts":[["1996"]]},"page":"479-489","title":"Cytochrome P450-catalyzed hydroxylation of taxa-4(5),11(12)-diene to taxa-4(20),11(12)-dien-5a-o1: the first oxygenation step in taxol biosynthesis","type":"article-journal","volume":"3"},"uris":["http://www.mendeley.com/documents/?uuid=23a6f396-7777-47ba-90be-b7cee17c5737"]}],"mendeley":{"formattedCitation":"&lt;sup&gt;[23]&lt;/sup&gt;","plainTextFormattedCitation":"[23]","previouslyFormattedCitation":"&lt;sup&gt;[23]&lt;/sup&gt;"},"properties":{"noteIndex":0},"schema":"https://github.com/citation-style-language/schema/raw/master/csl-citation.json"}</w:instrText>
      </w:r>
      <w:r w:rsidR="00D005C1"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[23]</w:t>
      </w:r>
      <w:r w:rsidR="00D005C1" w:rsidRPr="00BA37A1">
        <w:rPr>
          <w:rFonts w:ascii="Times New Roman" w:hAnsi="Times New Roman" w:cs="Times New Roman"/>
          <w:lang w:val="en-US"/>
        </w:rPr>
        <w:fldChar w:fldCharType="end"/>
      </w:r>
      <w:r w:rsidR="00D005C1" w:rsidRPr="00BA37A1">
        <w:rPr>
          <w:rFonts w:ascii="Times New Roman" w:hAnsi="Times New Roman" w:cs="Times New Roman"/>
          <w:lang w:val="en-US"/>
        </w:rPr>
        <w:t xml:space="preserve"> and little activity was observed in cultivations where the pH dropped below 5</w:t>
      </w:r>
      <w:r w:rsidR="005E6A4C">
        <w:rPr>
          <w:rFonts w:ascii="Times New Roman" w:hAnsi="Times New Roman" w:cs="Times New Roman"/>
          <w:lang w:val="en-US"/>
        </w:rPr>
        <w:t>.</w:t>
      </w:r>
      <w:r w:rsidR="00D005C1" w:rsidRPr="00BA37A1">
        <w:rPr>
          <w:rFonts w:ascii="Times New Roman" w:hAnsi="Times New Roman" w:cs="Times New Roman"/>
          <w:i/>
          <w:lang w:val="en-US"/>
        </w:rPr>
        <w:t xml:space="preserve"> </w:t>
      </w:r>
      <w:r w:rsidR="00D005C1" w:rsidRPr="00BA37A1">
        <w:rPr>
          <w:rFonts w:ascii="Times New Roman" w:hAnsi="Times New Roman" w:cs="Times New Roman"/>
          <w:i/>
          <w:lang w:val="en-US"/>
        </w:rPr>
        <w:fldChar w:fldCharType="begin" w:fldLock="1"/>
      </w:r>
      <w:r w:rsidR="005E6A4C">
        <w:rPr>
          <w:rFonts w:ascii="Times New Roman" w:hAnsi="Times New Roman" w:cs="Times New Roman"/>
          <w:i/>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D005C1" w:rsidRPr="00BA37A1">
        <w:rPr>
          <w:rFonts w:ascii="Times New Roman" w:hAnsi="Times New Roman" w:cs="Times New Roman"/>
          <w:i/>
          <w:lang w:val="en-US"/>
        </w:rPr>
        <w:fldChar w:fldCharType="separate"/>
      </w:r>
      <w:r w:rsidR="00362160" w:rsidRPr="00362160">
        <w:rPr>
          <w:rFonts w:ascii="Times New Roman" w:hAnsi="Times New Roman" w:cs="Times New Roman"/>
          <w:noProof/>
          <w:vertAlign w:val="superscript"/>
          <w:lang w:val="en-US"/>
        </w:rPr>
        <w:t>[17]</w:t>
      </w:r>
      <w:r w:rsidR="00D005C1" w:rsidRPr="00BA37A1">
        <w:rPr>
          <w:rFonts w:ascii="Times New Roman" w:hAnsi="Times New Roman" w:cs="Times New Roman"/>
          <w:i/>
          <w:lang w:val="en-US"/>
        </w:rPr>
        <w:fldChar w:fldCharType="end"/>
      </w:r>
      <w:r w:rsidR="00D005C1" w:rsidRPr="00BA37A1">
        <w:rPr>
          <w:rFonts w:ascii="Times New Roman" w:hAnsi="Times New Roman" w:cs="Times New Roman"/>
          <w:lang w:val="en-US"/>
        </w:rPr>
        <w:t xml:space="preserve"> However, as </w:t>
      </w:r>
      <w:r w:rsidR="00A900F1" w:rsidRPr="00BA37A1">
        <w:rPr>
          <w:rFonts w:ascii="Times New Roman" w:hAnsi="Times New Roman" w:cs="Times New Roman"/>
          <w:i/>
          <w:lang w:val="en-US"/>
        </w:rPr>
        <w:t xml:space="preserve">LRS6 </w:t>
      </w:r>
      <w:r w:rsidR="00A900F1" w:rsidRPr="00BA37A1">
        <w:rPr>
          <w:rFonts w:ascii="Times New Roman" w:hAnsi="Times New Roman" w:cs="Times New Roman"/>
          <w:lang w:val="en-US"/>
        </w:rPr>
        <w:t>growth</w:t>
      </w:r>
      <w:r w:rsidR="00D005C1" w:rsidRPr="00BA37A1">
        <w:rPr>
          <w:rFonts w:ascii="Times New Roman" w:hAnsi="Times New Roman" w:cs="Times New Roman"/>
          <w:lang w:val="en-US"/>
        </w:rPr>
        <w:t xml:space="preserve"> </w:t>
      </w:r>
      <w:r w:rsidR="005B125A" w:rsidRPr="00BA37A1">
        <w:rPr>
          <w:rFonts w:ascii="Times New Roman" w:hAnsi="Times New Roman" w:cs="Times New Roman"/>
          <w:lang w:val="en-US"/>
        </w:rPr>
        <w:t xml:space="preserve">has been found to be </w:t>
      </w:r>
      <w:r w:rsidR="001C2444" w:rsidRPr="00BA37A1">
        <w:rPr>
          <w:rFonts w:ascii="Times New Roman" w:hAnsi="Times New Roman" w:cs="Times New Roman"/>
          <w:lang w:val="en-US"/>
        </w:rPr>
        <w:t xml:space="preserve">dramatically reduced </w:t>
      </w:r>
      <w:r w:rsidR="00D005C1" w:rsidRPr="00BA37A1">
        <w:rPr>
          <w:rFonts w:ascii="Times New Roman" w:hAnsi="Times New Roman" w:cs="Times New Roman"/>
          <w:lang w:val="en-US"/>
        </w:rPr>
        <w:t>at neutral pH</w:t>
      </w:r>
      <w:r w:rsidR="005E6A4C">
        <w:rPr>
          <w:rFonts w:ascii="Times New Roman" w:hAnsi="Times New Roman" w:cs="Times New Roman"/>
          <w:lang w:val="en-US"/>
        </w:rPr>
        <w:t>,</w:t>
      </w:r>
      <w:r w:rsidR="001C2444" w:rsidRPr="00BA37A1">
        <w:rPr>
          <w:rFonts w:ascii="Times New Roman" w:hAnsi="Times New Roman" w:cs="Times New Roman"/>
          <w:i/>
          <w:lang w:val="en-US"/>
        </w:rPr>
        <w:fldChar w:fldCharType="begin" w:fldLock="1"/>
      </w:r>
      <w:r w:rsidR="005E6A4C">
        <w:rPr>
          <w:rFonts w:ascii="Times New Roman" w:hAnsi="Times New Roman" w:cs="Times New Roman"/>
          <w:i/>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1C2444" w:rsidRPr="00BA37A1">
        <w:rPr>
          <w:rFonts w:ascii="Times New Roman" w:hAnsi="Times New Roman" w:cs="Times New Roman"/>
          <w:i/>
          <w:lang w:val="en-US"/>
        </w:rPr>
        <w:fldChar w:fldCharType="separate"/>
      </w:r>
      <w:r w:rsidR="00362160" w:rsidRPr="00362160">
        <w:rPr>
          <w:rFonts w:ascii="Times New Roman" w:hAnsi="Times New Roman" w:cs="Times New Roman"/>
          <w:noProof/>
          <w:vertAlign w:val="superscript"/>
          <w:lang w:val="en-US"/>
        </w:rPr>
        <w:t>[17]</w:t>
      </w:r>
      <w:r w:rsidR="001C2444" w:rsidRPr="00BA37A1">
        <w:rPr>
          <w:rFonts w:ascii="Times New Roman" w:hAnsi="Times New Roman" w:cs="Times New Roman"/>
          <w:i/>
          <w:lang w:val="en-US"/>
        </w:rPr>
        <w:fldChar w:fldCharType="end"/>
      </w:r>
      <w:r w:rsidR="001C2444" w:rsidRPr="00BA37A1">
        <w:rPr>
          <w:rFonts w:ascii="Times New Roman" w:hAnsi="Times New Roman" w:cs="Times New Roman"/>
          <w:lang w:val="en-US"/>
        </w:rPr>
        <w:t xml:space="preserve"> </w:t>
      </w:r>
      <w:r w:rsidR="00D005C1" w:rsidRPr="00BA37A1">
        <w:rPr>
          <w:rFonts w:ascii="Times New Roman" w:hAnsi="Times New Roman" w:cs="Times New Roman"/>
          <w:lang w:val="en-US"/>
        </w:rPr>
        <w:t xml:space="preserve">a pH of 6 was deemed </w:t>
      </w:r>
      <w:r w:rsidR="002F7AA9" w:rsidRPr="00BA37A1">
        <w:rPr>
          <w:rFonts w:ascii="Times New Roman" w:hAnsi="Times New Roman" w:cs="Times New Roman"/>
          <w:lang w:val="en-US"/>
        </w:rPr>
        <w:t xml:space="preserve">adequate </w:t>
      </w:r>
      <w:r w:rsidR="00D005C1" w:rsidRPr="00BA37A1">
        <w:rPr>
          <w:rFonts w:ascii="Times New Roman" w:hAnsi="Times New Roman" w:cs="Times New Roman"/>
          <w:lang w:val="en-US"/>
        </w:rPr>
        <w:t xml:space="preserve">for this process to </w:t>
      </w:r>
      <w:r w:rsidR="00BA37A1" w:rsidRPr="00BA37A1">
        <w:rPr>
          <w:rFonts w:ascii="Times New Roman" w:hAnsi="Times New Roman" w:cs="Times New Roman"/>
          <w:lang w:val="en-US"/>
        </w:rPr>
        <w:t>maximize</w:t>
      </w:r>
      <w:r w:rsidR="00D005C1" w:rsidRPr="00BA37A1">
        <w:rPr>
          <w:rFonts w:ascii="Times New Roman" w:hAnsi="Times New Roman" w:cs="Times New Roman"/>
          <w:lang w:val="en-US"/>
        </w:rPr>
        <w:t xml:space="preserve"> productivity. </w:t>
      </w:r>
      <w:r w:rsidR="0069437C" w:rsidRPr="00BA37A1">
        <w:rPr>
          <w:rFonts w:ascii="Times New Roman" w:hAnsi="Times New Roman" w:cs="Times New Roman"/>
          <w:lang w:val="en-US"/>
        </w:rPr>
        <w:t>After 48 hours of</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cultivation the</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OD</w:t>
      </w:r>
      <w:r w:rsidR="0069437C"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values were 31.2</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 xml:space="preserve">4.0 and </w:t>
      </w:r>
      <w:r w:rsidR="0069437C" w:rsidRPr="00BA37A1">
        <w:rPr>
          <w:rFonts w:ascii="Times New Roman" w:hAnsi="Times New Roman" w:cs="Times New Roman"/>
          <w:lang w:val="en-US"/>
        </w:rPr>
        <w:lastRenderedPageBreak/>
        <w:t>19.9</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w:t>
      </w:r>
      <w:r w:rsidRPr="00BA37A1">
        <w:rPr>
          <w:rFonts w:ascii="Times New Roman" w:hAnsi="Times New Roman" w:cs="Times New Roman"/>
          <w:lang w:val="en-US"/>
        </w:rPr>
        <w:t xml:space="preserve"> 2.0 for the YPG and SDG</w:t>
      </w:r>
      <w:r w:rsidR="0069437C" w:rsidRPr="00BA37A1">
        <w:rPr>
          <w:rFonts w:ascii="Times New Roman" w:hAnsi="Times New Roman" w:cs="Times New Roman"/>
          <w:lang w:val="en-US"/>
        </w:rPr>
        <w:t xml:space="preserve"> cultures</w:t>
      </w:r>
      <w:r w:rsidRPr="00BA37A1">
        <w:rPr>
          <w:rFonts w:ascii="Times New Roman" w:hAnsi="Times New Roman" w:cs="Times New Roman"/>
          <w:lang w:val="en-US"/>
        </w:rPr>
        <w:t xml:space="preserve"> respectively. Although SDG</w:t>
      </w:r>
      <w:r w:rsidR="0069437C" w:rsidRPr="00BA37A1">
        <w:rPr>
          <w:rFonts w:ascii="Times New Roman" w:hAnsi="Times New Roman" w:cs="Times New Roman"/>
          <w:lang w:val="en-US"/>
        </w:rPr>
        <w:t xml:space="preserve"> was supplemented with a source of amino acids and vitamins, the</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complex YPD media is a much richer source. The reduced nutrient availability likely contributed</w:t>
      </w:r>
      <w:r w:rsidRPr="00BA37A1">
        <w:rPr>
          <w:rFonts w:ascii="Times New Roman" w:hAnsi="Times New Roman" w:cs="Times New Roman"/>
          <w:lang w:val="en-US"/>
        </w:rPr>
        <w:t xml:space="preserve"> </w:t>
      </w:r>
      <w:r w:rsidR="0069437C" w:rsidRPr="00BA37A1">
        <w:rPr>
          <w:rFonts w:ascii="Times New Roman" w:hAnsi="Times New Roman" w:cs="Times New Roman"/>
          <w:lang w:val="en-US"/>
        </w:rPr>
        <w:t xml:space="preserve">the </w:t>
      </w:r>
      <w:r w:rsidR="001C2444" w:rsidRPr="00BA37A1">
        <w:rPr>
          <w:rFonts w:ascii="Times New Roman" w:hAnsi="Times New Roman" w:cs="Times New Roman"/>
          <w:lang w:val="en-US"/>
        </w:rPr>
        <w:t>reduced biomass accumulation</w:t>
      </w:r>
      <w:r w:rsidR="0069437C" w:rsidRPr="00BA37A1">
        <w:rPr>
          <w:rFonts w:ascii="Times New Roman" w:hAnsi="Times New Roman" w:cs="Times New Roman"/>
          <w:lang w:val="en-US"/>
        </w:rPr>
        <w:t xml:space="preserve"> observe</w:t>
      </w:r>
      <w:r w:rsidR="006C2C6E" w:rsidRPr="00BA37A1">
        <w:rPr>
          <w:rFonts w:ascii="Times New Roman" w:hAnsi="Times New Roman" w:cs="Times New Roman"/>
          <w:lang w:val="en-US"/>
        </w:rPr>
        <w:t xml:space="preserve">d. </w:t>
      </w:r>
      <w:r w:rsidR="00302EBB" w:rsidRPr="00BA37A1">
        <w:rPr>
          <w:rFonts w:ascii="Times New Roman" w:hAnsi="Times New Roman" w:cs="Times New Roman"/>
          <w:lang w:val="en-US"/>
        </w:rPr>
        <w:t xml:space="preserve">This is consistent with previous studies which demonstrated that the growth rate of </w:t>
      </w:r>
      <w:r w:rsidR="00302EBB" w:rsidRPr="00BA37A1">
        <w:rPr>
          <w:rFonts w:ascii="Times New Roman" w:hAnsi="Times New Roman" w:cs="Times New Roman"/>
          <w:i/>
          <w:lang w:val="en-US"/>
        </w:rPr>
        <w:t xml:space="preserve">S. cerevisiae </w:t>
      </w:r>
      <w:r w:rsidR="00302EBB" w:rsidRPr="00BA37A1">
        <w:rPr>
          <w:rFonts w:ascii="Times New Roman" w:hAnsi="Times New Roman" w:cs="Times New Roman"/>
          <w:lang w:val="en-US"/>
        </w:rPr>
        <w:t xml:space="preserve"> is reduced in standard defined media compared to complex YPD</w:t>
      </w:r>
      <w:r w:rsidR="005E6A4C">
        <w:rPr>
          <w:rFonts w:ascii="Times New Roman" w:hAnsi="Times New Roman" w:cs="Times New Roman"/>
          <w:lang w:val="en-US"/>
        </w:rPr>
        <w:t>.</w:t>
      </w:r>
      <w:r w:rsidR="00302EBB"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{"citationItems":[{"id":"ITEM-1","itemData":{"DOI":"https://doi.org/10.1002/yea.3464","ISSN":"0749-503X","abstract":"Abstract Saccharomyces cerevisiae cells grown in a small volume of chemically defined media neither reach the desired cell density nor grow at a fast enough rate to scale down the volume and increase the sample number of classical biochemical assays, as the detection limit of the readout often requires a high number of cells as an input. To ameliorate this problem, we developed and optimised a new high cell density (HCD) medium for S. cerevisiae. Starting from a widely used synthetic medium composition, we systematically varied the concentrations of all components without the addition of other compounds. We used response surface methodology to develop and optimise the five components of the medium: glucose, yeast nitrogen base, amino acids, monosodium glutamate, and inositol. We monitored growth, cell number, and cell size to ensure that the optimisation was towards a greater density of cells rather than just towards an increase in biomass (i.e., larger cells). Cells grown in the final medium, HCD, exhibit growth more similar to the complex medium yeast extract peptone dextrose (YPD) than to the synthetic defined (SD) medium. Whereas the final cell density of HCD prior to the diauxic shift is increased compared with YPD and SD about threefold and tenfold, respectively. We found normal cell-cycle behaviour throughout the growth phases by monitoring DNA content and protein expression using fluorescent reporters. We also ensured that HCD media could be used with a variety of strains and that they allow selection for all common yeast auxotrophic markers.","author":[{"dropping-particle":"","family":"Roberts","given":"Tania Michelle","non-dropping-particle":"","parse-names":false,"suffix":""},{"dropping-particle":"","family":"Kaltenbach","given":"Hans-Michael","non-dropping-particle":"","parse-names":false,"suffix":""},{"dropping-particle":"","family":"Rudolf","given":"Fabian","non-dropping-particle":"","parse-names":false,"suffix":""}],"container-title":"Yeast","id":"ITEM-1","issue":"5-6","issued":{"date-parts":[["2020","5","1"]]},"note":"https://doi.org/10.1002/yea.3464","page":"336-347","publisher":"John Wiley &amp; Sons, Ltd","title":"Development and optimisation of a defined high cell density yeast medium","type":"article-journal","volume":"37"},"uris":["http://www.mendeley.com/documents/?uuid=b84b589c-8ebb-472d-b11b-5bd7502dc6a0"]}],"mendeley":{"formattedCitation":"&lt;sup&gt;[24]&lt;/sup&gt;","plainTextFormattedCitation":"[24]","previouslyFormattedCitation":"&lt;sup&gt;[24]&lt;/sup&gt;"},"properties":{"noteIndex":0},"schema":"https://github.com/citation-style-language/schema/raw/master/csl-citation.json"}</w:instrText>
      </w:r>
      <w:r w:rsidR="00302EBB"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[24]</w:t>
      </w:r>
      <w:r w:rsidR="00302EBB" w:rsidRPr="00BA37A1">
        <w:rPr>
          <w:rFonts w:ascii="Times New Roman" w:hAnsi="Times New Roman" w:cs="Times New Roman"/>
          <w:lang w:val="en-US"/>
        </w:rPr>
        <w:fldChar w:fldCharType="end"/>
      </w:r>
      <w:r w:rsidR="00302EBB" w:rsidRPr="00BA37A1">
        <w:rPr>
          <w:rFonts w:ascii="Times New Roman" w:hAnsi="Times New Roman" w:cs="Times New Roman"/>
          <w:lang w:val="en-US"/>
        </w:rPr>
        <w:t xml:space="preserve"> </w:t>
      </w:r>
      <w:r w:rsidR="006C2C6E" w:rsidRPr="00BA37A1">
        <w:rPr>
          <w:rFonts w:ascii="Times New Roman" w:hAnsi="Times New Roman" w:cs="Times New Roman"/>
          <w:lang w:val="en-US"/>
        </w:rPr>
        <w:t xml:space="preserve">Total taxane yields were 81 </w:t>
      </w:r>
      <w:r w:rsidR="0069437C" w:rsidRPr="00BA37A1">
        <w:rPr>
          <w:rFonts w:ascii="Times New Roman" w:hAnsi="Times New Roman" w:cs="Times New Roman"/>
          <w:lang w:val="en-US"/>
        </w:rPr>
        <w:t>±</w:t>
      </w:r>
      <w:r w:rsidR="006C2C6E" w:rsidRPr="00BA37A1">
        <w:rPr>
          <w:rFonts w:ascii="Times New Roman" w:hAnsi="Times New Roman" w:cs="Times New Roman"/>
          <w:lang w:val="en-US"/>
        </w:rPr>
        <w:t xml:space="preserve"> 17 and 46 </w:t>
      </w:r>
      <w:r w:rsidR="0069437C" w:rsidRPr="00BA37A1">
        <w:rPr>
          <w:rFonts w:ascii="Times New Roman" w:hAnsi="Times New Roman" w:cs="Times New Roman"/>
          <w:lang w:val="en-US"/>
        </w:rPr>
        <w:t>±</w:t>
      </w:r>
      <w:r w:rsidR="006C2C6E" w:rsidRPr="00BA37A1">
        <w:rPr>
          <w:rFonts w:ascii="Times New Roman" w:hAnsi="Times New Roman" w:cs="Times New Roman"/>
          <w:lang w:val="en-US"/>
        </w:rPr>
        <w:t xml:space="preserve"> 8</w:t>
      </w:r>
      <w:r w:rsidR="0069437C" w:rsidRPr="00BA37A1">
        <w:rPr>
          <w:rFonts w:ascii="Times New Roman" w:hAnsi="Times New Roman" w:cs="Times New Roman"/>
          <w:lang w:val="en-US"/>
        </w:rPr>
        <w:t xml:space="preserve"> for the YPG</w:t>
      </w:r>
      <w:r w:rsidR="006C2C6E" w:rsidRPr="00BA37A1">
        <w:rPr>
          <w:rFonts w:ascii="Times New Roman" w:hAnsi="Times New Roman" w:cs="Times New Roman"/>
          <w:lang w:val="en-US"/>
        </w:rPr>
        <w:t xml:space="preserve"> and SDG</w:t>
      </w:r>
      <w:r w:rsidR="0069437C" w:rsidRPr="00BA37A1">
        <w:rPr>
          <w:rFonts w:ascii="Times New Roman" w:hAnsi="Times New Roman" w:cs="Times New Roman"/>
          <w:lang w:val="en-US"/>
        </w:rPr>
        <w:t xml:space="preserve"> cultures</w:t>
      </w:r>
      <w:r w:rsidR="006C2C6E" w:rsidRPr="00BA37A1">
        <w:rPr>
          <w:rFonts w:ascii="Times New Roman" w:hAnsi="Times New Roman" w:cs="Times New Roman"/>
          <w:lang w:val="en-US"/>
        </w:rPr>
        <w:t>,</w:t>
      </w:r>
      <w:r w:rsidR="0069437C" w:rsidRPr="00BA37A1">
        <w:rPr>
          <w:rFonts w:ascii="Times New Roman" w:hAnsi="Times New Roman" w:cs="Times New Roman"/>
          <w:lang w:val="en-US"/>
        </w:rPr>
        <w:t xml:space="preserve"> respectively. The lower </w:t>
      </w:r>
      <w:r w:rsidR="00BA37A1">
        <w:rPr>
          <w:rFonts w:ascii="Times New Roman" w:hAnsi="Times New Roman" w:cs="Times New Roman"/>
          <w:lang w:val="en-US"/>
        </w:rPr>
        <w:t>taxane tit</w:t>
      </w:r>
      <w:r w:rsidR="006C2C6E" w:rsidRPr="00BA37A1">
        <w:rPr>
          <w:rFonts w:ascii="Times New Roman" w:hAnsi="Times New Roman" w:cs="Times New Roman"/>
          <w:lang w:val="en-US"/>
        </w:rPr>
        <w:t>e</w:t>
      </w:r>
      <w:r w:rsidR="00BA37A1">
        <w:rPr>
          <w:rFonts w:ascii="Times New Roman" w:hAnsi="Times New Roman" w:cs="Times New Roman"/>
          <w:lang w:val="en-US"/>
        </w:rPr>
        <w:t>r</w:t>
      </w:r>
      <w:r w:rsidR="006C2C6E" w:rsidRPr="00BA37A1">
        <w:rPr>
          <w:rFonts w:ascii="Times New Roman" w:hAnsi="Times New Roman" w:cs="Times New Roman"/>
          <w:lang w:val="en-US"/>
        </w:rPr>
        <w:t xml:space="preserve"> observed in the SDG</w:t>
      </w:r>
      <w:r w:rsidR="0069437C" w:rsidRPr="00BA37A1">
        <w:rPr>
          <w:rFonts w:ascii="Times New Roman" w:hAnsi="Times New Roman" w:cs="Times New Roman"/>
          <w:lang w:val="en-US"/>
        </w:rPr>
        <w:t xml:space="preserve"> cultures was expected</w:t>
      </w:r>
      <w:r w:rsidR="006C2C6E" w:rsidRPr="00BA37A1">
        <w:rPr>
          <w:rFonts w:ascii="Times New Roman" w:hAnsi="Times New Roman" w:cs="Times New Roman"/>
          <w:lang w:val="en-US"/>
        </w:rPr>
        <w:t xml:space="preserve"> </w:t>
      </w:r>
      <w:r w:rsidR="0069437C" w:rsidRPr="00BA37A1">
        <w:rPr>
          <w:rFonts w:ascii="Times New Roman" w:hAnsi="Times New Roman" w:cs="Times New Roman"/>
          <w:lang w:val="en-US"/>
        </w:rPr>
        <w:t>as a strong positive correlation has been elucidated between biomass and taxane accumulation</w:t>
      </w:r>
      <w:r w:rsidR="005E6A4C">
        <w:rPr>
          <w:rFonts w:ascii="Times New Roman" w:hAnsi="Times New Roman" w:cs="Times New Roman"/>
          <w:lang w:val="en-US"/>
        </w:rPr>
        <w:t>.</w:t>
      </w:r>
      <w:r w:rsidR="006C2C6E"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strategies","type":"article-journal","volume":"n/a"},"uris":["http://www.mendeley.com/documents/?uuid=94a1bb11-afa8-4d69-ad26-1d662ede604d"]},{"id":"ITEM-2","itemData":{"DOI":"10.1186/s12934-020-01458-2","abstract":"Background: Cost‐effective production of the highly effective anti‐cancer drug, paclitaxel (Taxol®), remains limited despite growing global demands. Low yields of the critical taxadiene precursor remains a key bottleneck in microbial production. In this study, the key challenge of poor taxadiene synthase (TASY) solubility in S. cerevisiae was revealed, and the strains were strategically engineered to relieve this bottleneck. Results: Multi‐copy chromosomal integration of TASY harbouring a selection of fusion solubility tags improved taxa‐ diene titres 22‐fold, up to 57 ± 3 mg/L at 30 °C at microscale, compared to expressing a single episomal copy of TASY. The scalability of the process was highlighted through achieving similar titres during scale up to 25 mL and 250 mL in shake flask and bioreactor cultivations, respectively at 20 and 30 °C. Maximum taxadiene titres of 129 ± 15 mg/L and 127 mg/L were achieved through shake flask and bioreactor cultivations, respectively, of the optimal strain at a reduced temperature of 20 °C. Conclusions: The results of this study highlight the benefit of employing a combination of molecular biology and bioprocess tools during synthetic pathway development, with which TASY activity was successfully improved by 6.5‐ fold compared to the highest literature titre in S. cerevisiae cell factories.","author":[{"dropping-particle":"","family":"Nowrouzi","given":"Behnaz","non-dropping-particle":"","parse-names":false,"suffix":""},{"dropping-particle":"","family":"Li","given":"Rachel A","non-dropping-particle":"","parse-names":false,"suffix":""},{"dropping-particle":"","family":"Walls","given":"Laura E.","non-dropping-particle":"","parse-names":false,"suffix":""},{"dropping-particle":"","family":"d’Espaux","given":"Leo","non-dropping-particle":"","parse-names":false,"suffix":""},{"dropping-particle":"","family":"Malcı","given":"Koray","non-dropping-particle":"","parse-names":false,"suffix":""},{"dropping-particle":"","family":"Lungang","given":"Liang","non-dropping-particle":"","parse-names":false,"suffix":""},{"dropping-particle":"","family":"Borrego","given":"Nestor Jonguitud","non-dropping-particle":"","parse-names":false,"suffix":""},{"dropping-particle":"","family":"Escalera","given":"Albert","non-dropping-particle":"","parse-names":false,"suffix":""},{"dropping-particle":"","family":"Morones-Ramirez","given":"Jose R","non-dropping-particle":"","parse-names":false,"suffix":""},{"dropping-particle":"","family":"Keasling","given":"Jay","non-dropping-particle":"","parse-names":false,"suffix":""},{"dropping-particle":"","family":"Rios-Solis","given":"Leonardo","non-dropping-particle":"","parse-names":false,"suffix":""}],"container-title":"Microbial Cell Factories","id":"ITEM-2","issue":"200","issued":{"date-parts":[["2020","11"]]},"title":"Enhanced production of taxadiene in Saccharomyces cerevisiae","type":"article-journal","volume":"19"},"uris":["http://www.mendeley.com/documents/?uuid=5f0a0b96-c747-4eb0-a60c-c284527d5834"]}],"mendeley":{"formattedCitation":"&lt;sup&gt;[17,18]&lt;/sup&gt;","plainTextFormattedCitation":"[17,18]","previouslyFormattedCitation":"&lt;sup&gt;[17,18]&lt;/sup&gt;"},"properties":{"noteIndex":0},"schema":"https://github.com/citation-style-language/schema/raw/master/csl-citation.json"}</w:instrText>
      </w:r>
      <w:r w:rsidR="006C2C6E"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[17,18]</w:t>
      </w:r>
      <w:r w:rsidR="006C2C6E" w:rsidRPr="00BA37A1">
        <w:rPr>
          <w:rFonts w:ascii="Times New Roman" w:hAnsi="Times New Roman" w:cs="Times New Roman"/>
          <w:lang w:val="en-US"/>
        </w:rPr>
        <w:fldChar w:fldCharType="end"/>
      </w:r>
    </w:p>
    <w:p w14:paraId="733D82DF" w14:textId="63A149A3" w:rsidR="00FB54F9" w:rsidRPr="00BA37A1" w:rsidRDefault="006C2C6E" w:rsidP="00D36DCD">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t>D</w:t>
      </w:r>
      <w:r w:rsidR="00302EBB" w:rsidRPr="00BA37A1">
        <w:rPr>
          <w:rFonts w:ascii="Times New Roman" w:hAnsi="Times New Roman" w:cs="Times New Roman"/>
          <w:lang w:val="en-US"/>
        </w:rPr>
        <w:t>efinitive screening design</w:t>
      </w:r>
      <w:r w:rsidRPr="00BA37A1">
        <w:rPr>
          <w:rFonts w:ascii="Times New Roman" w:hAnsi="Times New Roman" w:cs="Times New Roman"/>
          <w:lang w:val="en-US"/>
        </w:rPr>
        <w:t xml:space="preserve"> development and validation  </w:t>
      </w:r>
    </w:p>
    <w:p w14:paraId="19D28B84" w14:textId="1B72DB92" w:rsidR="00FB54F9" w:rsidRPr="00BA37A1" w:rsidRDefault="00FB54F9"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In order to improve taxane productivity</w:t>
      </w:r>
      <w:r w:rsidR="0021252E" w:rsidRPr="00BA37A1">
        <w:rPr>
          <w:rFonts w:ascii="Times New Roman" w:hAnsi="Times New Roman" w:cs="Times New Roman"/>
          <w:lang w:val="en-US"/>
        </w:rPr>
        <w:t>,</w:t>
      </w:r>
      <w:r w:rsidRPr="00BA37A1">
        <w:rPr>
          <w:rFonts w:ascii="Times New Roman" w:hAnsi="Times New Roman" w:cs="Times New Roman"/>
          <w:lang w:val="en-US"/>
        </w:rPr>
        <w:t xml:space="preserve"> a</w:t>
      </w:r>
      <w:r w:rsidR="001C2444" w:rsidRPr="00BA37A1">
        <w:rPr>
          <w:rFonts w:ascii="Times New Roman" w:hAnsi="Times New Roman" w:cs="Times New Roman"/>
          <w:lang w:val="en-US"/>
        </w:rPr>
        <w:t xml:space="preserve"> definitive screening design (DSD)</w:t>
      </w:r>
      <w:r w:rsidRPr="00BA37A1">
        <w:rPr>
          <w:rFonts w:ascii="Times New Roman" w:hAnsi="Times New Roman" w:cs="Times New Roman"/>
          <w:lang w:val="en-US"/>
        </w:rPr>
        <w:t xml:space="preserve"> was developed to screen a range of de</w:t>
      </w:r>
      <w:r w:rsidR="006C2C6E" w:rsidRPr="00BA37A1">
        <w:rPr>
          <w:rFonts w:ascii="Times New Roman" w:hAnsi="Times New Roman" w:cs="Times New Roman"/>
          <w:lang w:val="en-US"/>
        </w:rPr>
        <w:t>fined media compositions. Using a</w:t>
      </w:r>
      <w:r w:rsidRPr="00BA37A1">
        <w:rPr>
          <w:rFonts w:ascii="Times New Roman" w:hAnsi="Times New Roman" w:cs="Times New Roman"/>
          <w:lang w:val="en-US"/>
        </w:rPr>
        <w:t xml:space="preserve"> synthetic complete media as a basis, a range of media compositions were screened </w:t>
      </w:r>
      <w:r w:rsidR="000A7C18" w:rsidRPr="00BA37A1">
        <w:rPr>
          <w:rFonts w:ascii="Times New Roman" w:hAnsi="Times New Roman" w:cs="Times New Roman"/>
          <w:lang w:val="en-US"/>
        </w:rPr>
        <w:t>to</w:t>
      </w:r>
      <w:r w:rsidRPr="00BA37A1">
        <w:rPr>
          <w:rFonts w:ascii="Times New Roman" w:hAnsi="Times New Roman" w:cs="Times New Roman"/>
          <w:lang w:val="en-US"/>
        </w:rPr>
        <w:t xml:space="preserve"> determine the optimal for taxane accumulation.</w:t>
      </w:r>
      <w:r w:rsidR="00D23D9A" w:rsidRPr="00BA37A1">
        <w:rPr>
          <w:rFonts w:ascii="Times New Roman" w:hAnsi="Times New Roman" w:cs="Times New Roman"/>
          <w:lang w:val="en-US"/>
        </w:rPr>
        <w:t xml:space="preserve"> Preliminary studies revealed a significantly reduced growth rate in synthetic compared to complex media (</w:t>
      </w:r>
      <w:r w:rsidR="005E6A4C">
        <w:rPr>
          <w:rFonts w:ascii="Times New Roman" w:hAnsi="Times New Roman" w:cs="Times New Roman"/>
          <w:lang w:val="en-US"/>
        </w:rPr>
        <w:t>Figure 2</w:t>
      </w:r>
      <w:r w:rsidR="00023E1B" w:rsidRPr="00BA37A1">
        <w:rPr>
          <w:rFonts w:ascii="Times New Roman" w:hAnsi="Times New Roman" w:cs="Times New Roman"/>
          <w:lang w:val="en-US"/>
        </w:rPr>
        <w:t>A</w:t>
      </w:r>
      <w:r w:rsidR="00D23D9A" w:rsidRPr="00BA37A1">
        <w:rPr>
          <w:rFonts w:ascii="Times New Roman" w:hAnsi="Times New Roman" w:cs="Times New Roman"/>
          <w:lang w:val="en-US"/>
        </w:rPr>
        <w:t>). As the reduced amino acid and nutrient availability likely contributed, an alternative supplement mixture (YSM</w:t>
      </w:r>
      <w:r w:rsidR="00023E1B" w:rsidRPr="00BA37A1">
        <w:rPr>
          <w:rFonts w:ascii="Times New Roman" w:hAnsi="Times New Roman" w:cs="Times New Roman"/>
          <w:lang w:val="en-US"/>
        </w:rPr>
        <w:t>, Sigma-Aldrich, UK</w:t>
      </w:r>
      <w:r w:rsidR="00D23D9A" w:rsidRPr="00BA37A1">
        <w:rPr>
          <w:rFonts w:ascii="Times New Roman" w:hAnsi="Times New Roman" w:cs="Times New Roman"/>
          <w:lang w:val="en-US"/>
        </w:rPr>
        <w:t xml:space="preserve">) with a richer supply of amino acids was used and its concentration along with that of </w:t>
      </w:r>
      <w:r w:rsidR="001C2444" w:rsidRPr="00BA37A1">
        <w:rPr>
          <w:rFonts w:ascii="Times New Roman" w:hAnsi="Times New Roman" w:cs="Times New Roman"/>
          <w:lang w:val="en-US"/>
        </w:rPr>
        <w:t>yeast nitrogen base</w:t>
      </w:r>
      <w:r w:rsidR="00D23D9A" w:rsidRPr="00BA37A1">
        <w:rPr>
          <w:rFonts w:ascii="Times New Roman" w:hAnsi="Times New Roman" w:cs="Times New Roman"/>
          <w:lang w:val="en-US"/>
        </w:rPr>
        <w:t xml:space="preserve"> were included as factors in the DSD. </w:t>
      </w:r>
      <w:r w:rsidRPr="00BA37A1">
        <w:rPr>
          <w:rFonts w:ascii="Times New Roman" w:hAnsi="Times New Roman" w:cs="Times New Roman"/>
          <w:lang w:val="en-US"/>
        </w:rPr>
        <w:t xml:space="preserve">As the critical taxadiene synthase </w:t>
      </w:r>
      <w:r w:rsidR="006C2C6E" w:rsidRPr="00BA37A1">
        <w:rPr>
          <w:rFonts w:ascii="Times New Roman" w:hAnsi="Times New Roman" w:cs="Times New Roman"/>
          <w:lang w:val="en-US"/>
        </w:rPr>
        <w:t>enzyme relies on the co-factor Mg</w:t>
      </w:r>
      <w:r w:rsidR="006C2C6E" w:rsidRPr="00BA37A1">
        <w:rPr>
          <w:rFonts w:ascii="Times New Roman" w:hAnsi="Times New Roman" w:cs="Times New Roman"/>
          <w:vertAlign w:val="superscript"/>
          <w:lang w:val="en-US"/>
        </w:rPr>
        <w:t>2+</w:t>
      </w:r>
      <w:r w:rsidRPr="00BA37A1">
        <w:rPr>
          <w:rFonts w:ascii="Times New Roman" w:hAnsi="Times New Roman" w:cs="Times New Roman"/>
          <w:lang w:val="en-US"/>
        </w:rPr>
        <w:t xml:space="preserve"> for activation, it was </w:t>
      </w:r>
      <w:r w:rsidR="00BA37A1" w:rsidRPr="00BA37A1">
        <w:rPr>
          <w:rFonts w:ascii="Times New Roman" w:hAnsi="Times New Roman" w:cs="Times New Roman"/>
          <w:lang w:val="en-US"/>
        </w:rPr>
        <w:t>hypothesized</w:t>
      </w:r>
      <w:r w:rsidRPr="00BA37A1">
        <w:rPr>
          <w:rFonts w:ascii="Times New Roman" w:hAnsi="Times New Roman" w:cs="Times New Roman"/>
          <w:lang w:val="en-US"/>
        </w:rPr>
        <w:t xml:space="preserve"> that supplementing the media with an additional magnesium supply may improve activity. The highest reported oxygenated taxane yields reported in </w:t>
      </w:r>
      <w:r w:rsidRPr="00BA37A1">
        <w:rPr>
          <w:rFonts w:ascii="Times New Roman" w:hAnsi="Times New Roman" w:cs="Times New Roman"/>
          <w:i/>
          <w:lang w:val="en-US"/>
        </w:rPr>
        <w:t>E. coli</w:t>
      </w:r>
      <w:r w:rsidRPr="00BA37A1">
        <w:rPr>
          <w:rFonts w:ascii="Times New Roman" w:hAnsi="Times New Roman" w:cs="Times New Roman"/>
          <w:lang w:val="en-US"/>
        </w:rPr>
        <w:t xml:space="preserve"> were achieved using an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media supplemented with around 0.6 g/L </w:t>
      </w:r>
      <w:r w:rsidR="00D23D9A" w:rsidRPr="00BA37A1">
        <w:rPr>
          <w:rFonts w:ascii="Times New Roman" w:hAnsi="Times New Roman" w:cs="Times New Roman"/>
          <w:lang w:val="en-US"/>
        </w:rPr>
        <w:t>MgSO</w:t>
      </w:r>
      <w:r w:rsidR="00D23D9A" w:rsidRPr="00BA37A1">
        <w:rPr>
          <w:rFonts w:ascii="Times New Roman" w:hAnsi="Times New Roman" w:cs="Times New Roman"/>
          <w:vertAlign w:val="subscript"/>
          <w:lang w:val="en-US"/>
        </w:rPr>
        <w:t>4</w:t>
      </w:r>
      <w:r w:rsidR="005E6A4C">
        <w:rPr>
          <w:rFonts w:ascii="Times New Roman" w:hAnsi="Times New Roman" w:cs="Times New Roman"/>
          <w:vertAlign w:val="subscript"/>
          <w:lang w:val="en-US"/>
        </w:rPr>
        <w:t>.</w:t>
      </w:r>
      <w:r w:rsidR="00D23D9A"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{"citationItems":[{"id":"ITEM-1","itemData":{"DOI":"10.1021/acschembio.5b00968","author":[{"dropping-particle":"","family":"Biggs","given":"Bradley Walters","non-dropping-particle":"","parse-names":false,"suffix":""},{"dropping-particle":"","family":"Rouck","given":"John Edward","non-dropping-particle":"","parse-names":false,"suffix":""},{"dropping-particle":"","family":"Kambalyal","given":"Amogh","non-dropping-particle":"","parse-names":false,"suffix":""},{"dropping-particle":"","family":"Arnold","given":"William","non-dropping-particle":"","parse-names":false,"suffix":""},{"dropping-particle":"","family":"Lim","given":"Chin Giaw","non-dropping-particle":"","parse-names":false,"suffix":""},{"dropping-particle":"De","family":"Mey","given":"Marjan","non-dropping-particle":"","parse-names":false,"suffix":""},{"dropping-particle":"","family":"Neil-johnson","given":"Mark O","non-dropping-particle":"","parse-names":false,"suffix":""},{"dropping-particle":"","family":"Starks","given":"Courtney M","non-dropping-particle":"","parse-names":false,"suffix":""},{"dropping-particle":"","family":"Das","given":"Aditi","non-dropping-particle":"","parse-names":false,"suffix":""},{"dropping-particle":"","family":"Ajikumar","given":"Parayil Kumaran","non-dropping-particle":"","parse-names":false,"suffix":""}],"container-title":"ACS Chemical Biology","id":"ITEM-1","issued":{"date-parts":[["2016"]]},"page":"1445-1451","title":"Orthogonal Assays Clarify the Oxidative Biochemistry of Taxol P450 CYP725A4","type":"article-journal","volume":"11"},"uris":["http://www.mendeley.com/documents/?uuid=db45b541-0226-491a-878d-bc93386e3b32"]}],"mendeley":{"formattedCitation":"&lt;sup&gt;[25]&lt;/sup&gt;","plainTextFormattedCitation":"[25]","previouslyFormattedCitation":"&lt;sup&gt;[25]&lt;/sup&gt;"},"properties":{"noteIndex":0},"schema":"https://github.com/citation-style-language/schema/raw/master/csl-citation.json"}</w:instrText>
      </w:r>
      <w:r w:rsidR="00D23D9A"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[25]</w:t>
      </w:r>
      <w:r w:rsidR="00D23D9A" w:rsidRPr="00BA37A1">
        <w:rPr>
          <w:rFonts w:ascii="Times New Roman" w:hAnsi="Times New Roman" w:cs="Times New Roman"/>
          <w:lang w:val="en-US"/>
        </w:rPr>
        <w:fldChar w:fldCharType="end"/>
      </w:r>
      <w:r w:rsidRPr="00BA37A1">
        <w:rPr>
          <w:rFonts w:ascii="Times New Roman" w:hAnsi="Times New Roman" w:cs="Times New Roman"/>
          <w:lang w:val="en-US"/>
        </w:rPr>
        <w:t xml:space="preserve"> This concentration was therefore selected for this </w:t>
      </w:r>
      <w:r w:rsidR="00BA37A1" w:rsidRPr="00BA37A1">
        <w:rPr>
          <w:rFonts w:ascii="Times New Roman" w:hAnsi="Times New Roman" w:cs="Times New Roman"/>
          <w:lang w:val="en-US"/>
        </w:rPr>
        <w:t>optimization</w:t>
      </w:r>
      <w:r w:rsidR="003F7784" w:rsidRPr="00BA37A1">
        <w:rPr>
          <w:rFonts w:ascii="Times New Roman" w:hAnsi="Times New Roman" w:cs="Times New Roman"/>
          <w:lang w:val="en-US"/>
        </w:rPr>
        <w:t xml:space="preserve"> study. As taxane accumulation has been found to be strongly correlated to </w:t>
      </w:r>
      <w:r w:rsidR="003F7784" w:rsidRPr="00BA37A1">
        <w:rPr>
          <w:rFonts w:ascii="Times New Roman" w:hAnsi="Times New Roman" w:cs="Times New Roman"/>
          <w:i/>
          <w:lang w:val="en-US"/>
        </w:rPr>
        <w:t xml:space="preserve">LRS6 </w:t>
      </w:r>
      <w:r w:rsidR="003F7784" w:rsidRPr="00BA37A1">
        <w:rPr>
          <w:rFonts w:ascii="Times New Roman" w:hAnsi="Times New Roman" w:cs="Times New Roman"/>
          <w:lang w:val="en-US"/>
        </w:rPr>
        <w:t>growth</w:t>
      </w:r>
      <w:r w:rsidR="005E6A4C">
        <w:rPr>
          <w:rFonts w:ascii="Times New Roman" w:hAnsi="Times New Roman" w:cs="Times New Roman"/>
          <w:lang w:val="en-US"/>
        </w:rPr>
        <w:t>,</w:t>
      </w:r>
      <w:r w:rsidR="003F7784" w:rsidRPr="00BA37A1">
        <w:rPr>
          <w:rFonts w:ascii="Times New Roman" w:hAnsi="Times New Roman" w:cs="Times New Roman"/>
          <w:i/>
          <w:lang w:val="en-US"/>
        </w:rPr>
        <w:fldChar w:fldCharType="begin" w:fldLock="1"/>
      </w:r>
      <w:r w:rsidR="005E6A4C">
        <w:rPr>
          <w:rFonts w:ascii="Times New Roman" w:hAnsi="Times New Roman" w:cs="Times New Roman"/>
          <w:i/>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3F7784" w:rsidRPr="00BA37A1">
        <w:rPr>
          <w:rFonts w:ascii="Times New Roman" w:hAnsi="Times New Roman" w:cs="Times New Roman"/>
          <w:i/>
          <w:lang w:val="en-US"/>
        </w:rPr>
        <w:fldChar w:fldCharType="separate"/>
      </w:r>
      <w:r w:rsidR="00362160" w:rsidRPr="00362160">
        <w:rPr>
          <w:rFonts w:ascii="Times New Roman" w:hAnsi="Times New Roman" w:cs="Times New Roman"/>
          <w:noProof/>
          <w:vertAlign w:val="superscript"/>
          <w:lang w:val="en-US"/>
        </w:rPr>
        <w:t>[17]</w:t>
      </w:r>
      <w:r w:rsidR="003F7784" w:rsidRPr="00BA37A1">
        <w:rPr>
          <w:rFonts w:ascii="Times New Roman" w:hAnsi="Times New Roman" w:cs="Times New Roman"/>
          <w:i/>
          <w:lang w:val="en-US"/>
        </w:rPr>
        <w:fldChar w:fldCharType="end"/>
      </w:r>
      <w:r w:rsidR="003F7784" w:rsidRPr="00BA37A1">
        <w:rPr>
          <w:rFonts w:ascii="Times New Roman" w:hAnsi="Times New Roman" w:cs="Times New Roman"/>
          <w:i/>
          <w:lang w:val="en-US"/>
        </w:rPr>
        <w:t xml:space="preserve"> </w:t>
      </w:r>
      <w:r w:rsidR="003F7784" w:rsidRPr="00BA37A1">
        <w:rPr>
          <w:rFonts w:ascii="Times New Roman" w:hAnsi="Times New Roman" w:cs="Times New Roman"/>
          <w:lang w:val="en-US"/>
        </w:rPr>
        <w:t xml:space="preserve">it was </w:t>
      </w:r>
      <w:r w:rsidR="00BA37A1" w:rsidRPr="00BA37A1">
        <w:rPr>
          <w:rFonts w:ascii="Times New Roman" w:hAnsi="Times New Roman" w:cs="Times New Roman"/>
          <w:lang w:val="en-US"/>
        </w:rPr>
        <w:t>hypothesized</w:t>
      </w:r>
      <w:r w:rsidR="003F7784" w:rsidRPr="00BA37A1">
        <w:rPr>
          <w:rFonts w:ascii="Times New Roman" w:hAnsi="Times New Roman" w:cs="Times New Roman"/>
          <w:lang w:val="en-US"/>
        </w:rPr>
        <w:t xml:space="preserve"> that the initial OD</w:t>
      </w:r>
      <w:r w:rsidR="003F7784" w:rsidRPr="00BA37A1">
        <w:rPr>
          <w:rFonts w:ascii="Times New Roman" w:hAnsi="Times New Roman" w:cs="Times New Roman"/>
          <w:vertAlign w:val="subscript"/>
          <w:lang w:val="en-US"/>
        </w:rPr>
        <w:t>600</w:t>
      </w:r>
      <w:r w:rsidR="003F7784" w:rsidRPr="00BA37A1">
        <w:rPr>
          <w:rFonts w:ascii="Times New Roman" w:hAnsi="Times New Roman" w:cs="Times New Roman"/>
          <w:lang w:val="en-US"/>
        </w:rPr>
        <w:t xml:space="preserve"> of the cultivation may</w:t>
      </w:r>
      <w:r w:rsidR="003A2A78" w:rsidRPr="00BA37A1">
        <w:rPr>
          <w:rFonts w:ascii="Times New Roman" w:hAnsi="Times New Roman" w:cs="Times New Roman"/>
          <w:lang w:val="en-US"/>
        </w:rPr>
        <w:t xml:space="preserve"> influence taxane accumulation and i</w:t>
      </w:r>
      <w:r w:rsidR="003F7784" w:rsidRPr="00BA37A1">
        <w:rPr>
          <w:rFonts w:ascii="Times New Roman" w:hAnsi="Times New Roman" w:cs="Times New Roman"/>
          <w:lang w:val="en-US"/>
        </w:rPr>
        <w:t>nitial OD</w:t>
      </w:r>
      <w:r w:rsidR="003F7784" w:rsidRPr="00BA37A1">
        <w:rPr>
          <w:rFonts w:ascii="Times New Roman" w:hAnsi="Times New Roman" w:cs="Times New Roman"/>
          <w:vertAlign w:val="subscript"/>
          <w:lang w:val="en-US"/>
        </w:rPr>
        <w:t>600</w:t>
      </w:r>
      <w:r w:rsidR="003F7784" w:rsidRPr="00BA37A1">
        <w:rPr>
          <w:rFonts w:ascii="Times New Roman" w:hAnsi="Times New Roman" w:cs="Times New Roman"/>
          <w:lang w:val="en-US"/>
        </w:rPr>
        <w:t xml:space="preserve"> was therefore included as a factor. </w:t>
      </w:r>
      <w:r w:rsidR="00D23D9A" w:rsidRPr="00BA37A1">
        <w:rPr>
          <w:rFonts w:ascii="Times New Roman" w:hAnsi="Times New Roman" w:cs="Times New Roman"/>
          <w:lang w:val="en-US"/>
        </w:rPr>
        <w:t>The carbon to nitrogen</w:t>
      </w:r>
      <w:r w:rsidR="0069443E" w:rsidRPr="00BA37A1">
        <w:rPr>
          <w:rFonts w:ascii="Times New Roman" w:hAnsi="Times New Roman" w:cs="Times New Roman"/>
          <w:lang w:val="en-US"/>
        </w:rPr>
        <w:t xml:space="preserve"> (C/N)</w:t>
      </w:r>
      <w:r w:rsidR="00D23D9A" w:rsidRPr="00BA37A1">
        <w:rPr>
          <w:rFonts w:ascii="Times New Roman" w:hAnsi="Times New Roman" w:cs="Times New Roman"/>
          <w:lang w:val="en-US"/>
        </w:rPr>
        <w:t xml:space="preserve"> ratio of the growth media </w:t>
      </w:r>
      <w:r w:rsidR="001A0C10" w:rsidRPr="00BA37A1">
        <w:rPr>
          <w:rFonts w:ascii="Times New Roman" w:hAnsi="Times New Roman" w:cs="Times New Roman"/>
          <w:lang w:val="en-US"/>
        </w:rPr>
        <w:t xml:space="preserve">can have a major influence on cellular metabolism. It is widely accepted that increasing the </w:t>
      </w:r>
      <w:r w:rsidR="0069443E" w:rsidRPr="00BA37A1">
        <w:rPr>
          <w:rFonts w:ascii="Times New Roman" w:hAnsi="Times New Roman" w:cs="Times New Roman"/>
          <w:lang w:val="en-US"/>
        </w:rPr>
        <w:t>C/N</w:t>
      </w:r>
      <w:r w:rsidR="001A0C10" w:rsidRPr="00BA37A1">
        <w:rPr>
          <w:rFonts w:ascii="Times New Roman" w:hAnsi="Times New Roman" w:cs="Times New Roman"/>
          <w:lang w:val="en-US"/>
        </w:rPr>
        <w:t xml:space="preserve"> ratio has a positive effect on lipid accumulation by oleaginous </w:t>
      </w:r>
      <w:r w:rsidR="0069443E" w:rsidRPr="00BA37A1">
        <w:rPr>
          <w:rFonts w:ascii="Times New Roman" w:hAnsi="Times New Roman" w:cs="Times New Roman"/>
          <w:lang w:val="en-US"/>
        </w:rPr>
        <w:t>yeast</w:t>
      </w:r>
      <w:r w:rsidR="005E6A4C">
        <w:rPr>
          <w:rFonts w:ascii="Times New Roman" w:hAnsi="Times New Roman" w:cs="Times New Roman"/>
          <w:lang w:val="en-US"/>
        </w:rPr>
        <w:t>;</w:t>
      </w:r>
      <w:r w:rsidR="0069443E"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{"citationItems":[{"id":"ITEM-1","itemData":{"DOI":"10.1007/s00253-011-3212-8","ISSN":"1432-0614","abstract":"High energy prices, depletion of crude oil supplies, and price imbalance created by the increasing demand of plant oils or animal fat for biodiesel and specific lipid derivatives such as lubricants, adhesives, and plastics have given rise to heated debates on land-use practices and to environmental concerns about oil production strategies. However, commercialization of microbial oils with similar composition and energy value to plant and animal oils could have many advantages, such as being non-competitive with food, having shorter process cycle and being independent of season and climate factors. This review focuses on the ongoing research on different oleaginous yeasts producing high added value lipids and on the prospects of such microbial oils to be used in different biotechnological processes and applications. It covers the basic biochemical mechanisms of lipid synthesis and accumulation in these organisms, along with the latest insights on the metabolic processes involved. The key elements of lipid accumulation, the mechanisms suspected to confer the oleaginous character of the cell, and the potential metabolic routes enhancing lipid production are also extensively discussed.","author":[{"dropping-particle":"","family":"Beopoulos","given":"Athanasios","non-dropping-particle":"","parse-names":false,"suffix":""},{"dropping-particle":"","family":"Nicaud","given":"Jean-Marc","non-dropping-particle":"","parse-names":false,"suffix":""},{"dropping-particle":"","family":"Gaillardin","given":"Claude","non-dropping-particle":"","parse-names":false,"suffix":""}],"container-title":"Applied Microbiology and Biotechnology","id":"ITEM-1","issue":"4","issued":{"date-parts":[["2011"]]},"page":"1193-1206","title":"An overview of lipid metabolism in yeasts and its impact on biotechnological processes","type":"article-journal","volume":"90"},"uris":["http://www.mendeley.com/documents/?uuid=9c71ec58-6bd4-471c-9d71-f273309a62dc"]}],"mendeley":{"formattedCitation":"&lt;sup&gt;[26]&lt;/sup&gt;","plainTextFormattedCitation":"[26]","previouslyFormattedCitation":"&lt;sup&gt;[26]&lt;/sup&gt;"},"properties":{"noteIndex":0},"schema":"https://github.com/citation-style-language/schema/raw/master/csl-citation.json"}</w:instrText>
      </w:r>
      <w:r w:rsidR="0069443E"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[26]</w:t>
      </w:r>
      <w:r w:rsidR="0069443E" w:rsidRPr="00BA37A1">
        <w:rPr>
          <w:rFonts w:ascii="Times New Roman" w:hAnsi="Times New Roman" w:cs="Times New Roman"/>
          <w:lang w:val="en-US"/>
        </w:rPr>
        <w:fldChar w:fldCharType="end"/>
      </w:r>
      <w:r w:rsidR="001A0C10" w:rsidRPr="00BA37A1">
        <w:rPr>
          <w:rFonts w:ascii="Times New Roman" w:hAnsi="Times New Roman" w:cs="Times New Roman"/>
          <w:lang w:val="en-US"/>
        </w:rPr>
        <w:t xml:space="preserve"> however, the effect on </w:t>
      </w:r>
      <w:r w:rsidR="0069443E" w:rsidRPr="00BA37A1">
        <w:rPr>
          <w:rFonts w:ascii="Times New Roman" w:hAnsi="Times New Roman" w:cs="Times New Roman"/>
          <w:lang w:val="en-US"/>
        </w:rPr>
        <w:t>isoprenoid production is more ambiguous</w:t>
      </w:r>
      <w:r w:rsidR="005E6A4C">
        <w:rPr>
          <w:rFonts w:ascii="Times New Roman" w:hAnsi="Times New Roman" w:cs="Times New Roman"/>
          <w:lang w:val="en-US"/>
        </w:rPr>
        <w:t>.</w:t>
      </w:r>
      <w:r w:rsidR="0069443E"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{"citationItems":[{"id":"ITEM-1","itemData":{"DOI":"10.1007/s00253-013-5005-8","ISSN":"1432-0614","abstract":"Due to the increasing demand for sustainable biofuels, microbial oils as feedstock for the transesterification into biodiesel have gained scientific and commercial interest. Also, microbial carotenoids have a considerable market potential as natural colorants. The carbon to nitrogen (C/N) ratio of the respective cultivation media is one of the most important parameters that influence the production of microbial lipids and carotenoids. Thus, in the present experiment, the influence of different C/N ratios, initial glucose loadings, and ammonium concentrations of the cultivation medium on microbial cell growth and lipid and carotenoid production by the oleaginous red yeast Rhodotorula glutinis has been assessed. As a general trend, both lipid and carotenoid production increased at high C/N ratios. It was shown that not only the final C/N ratio but also the respectively applied initial carbon and nitrogen contents influenced the observed parameters. The lipid yield was not affected by different ammonium contents, while the carotenoid production significantly decreased both at low and high levels of ammonium supply. A glucose-based increase from C/N 70 to 120 did not lead to an increased lipid production, while carotenoid synthesis was positively affected. Generally, it can be asserted that lipid and carotenoid synthesis are stimulated at higher C/N ratios.","author":[{"dropping-particle":"","family":"Braunwald","given":"Teresa","non-dropping-particle":"","parse-names":false,"suffix":""},{"dropping-particle":"","family":"Schwemmlein","given":"Lisa","non-dropping-particle":"","parse-names":false,"suffix":""},{"dropping-particle":"","family":"Graeff-Hönninger","given":"Simone","non-dropping-particle":"","parse-names":false,"suffix":""},{"dropping-particle":"","family":"French","given":"William Todd","non-dropping-particle":"","parse-names":false,"suffix":""},{"dropping-particle":"","family":"Hernandez","given":"Rafael","non-dropping-particle":"","parse-names":false,"suffix":""},{"dropping-particle":"","family":"Holmes","given":"William E","non-dropping-particle":"","parse-names":false,"suffix":""},{"dropping-particle":"","family":"Claupein","given":"Wilhelm","non-dropping-particle":"","parse-names":false,"suffix":""}],"container-title":"Applied Microbiology and Biotechnology","id":"ITEM-1","issue":"14","issued":{"date-parts":[["2013"]]},"page":"6581-6588","title":"Effect of different C/N ratios on carotenoid and lipid production by Rhodotorula glutinis","type":"article-journal","volume":"97"},"uris":["http://www.mendeley.com/documents/?uuid=0eea861d-177e-4dc6-8ca5-b0f27cd00a5f"]}],"mendeley":{"formattedCitation":"&lt;sup&gt;[27]&lt;/sup&gt;","plainTextFormattedCitation":"[27]","previouslyFormattedCitation":"&lt;sup&gt;[27]&lt;/sup&gt;"},"properties":{"noteIndex":0},"schema":"https://github.com/citation-style-language/schema/raw/master/csl-citation.json"}</w:instrText>
      </w:r>
      <w:r w:rsidR="0069443E"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[27]</w:t>
      </w:r>
      <w:r w:rsidR="0069443E" w:rsidRPr="00BA37A1">
        <w:rPr>
          <w:rFonts w:ascii="Times New Roman" w:hAnsi="Times New Roman" w:cs="Times New Roman"/>
          <w:lang w:val="en-US"/>
        </w:rPr>
        <w:fldChar w:fldCharType="end"/>
      </w:r>
      <w:r w:rsidR="0069443E" w:rsidRPr="00BA37A1">
        <w:rPr>
          <w:rFonts w:ascii="Times New Roman" w:hAnsi="Times New Roman" w:cs="Times New Roman"/>
          <w:lang w:val="en-US"/>
        </w:rPr>
        <w:t xml:space="preserve"> </w:t>
      </w:r>
      <w:r w:rsidR="00897A52" w:rsidRPr="00BA37A1">
        <w:rPr>
          <w:rFonts w:ascii="Times New Roman" w:hAnsi="Times New Roman" w:cs="Times New Roman"/>
          <w:lang w:val="en-US"/>
        </w:rPr>
        <w:t>Like lipids</w:t>
      </w:r>
      <w:r w:rsidR="00A900F1" w:rsidRPr="00BA37A1">
        <w:rPr>
          <w:rFonts w:ascii="Times New Roman" w:hAnsi="Times New Roman" w:cs="Times New Roman"/>
          <w:lang w:val="en-US"/>
        </w:rPr>
        <w:t>,</w:t>
      </w:r>
      <w:r w:rsidR="00897A52" w:rsidRPr="00BA37A1">
        <w:rPr>
          <w:rFonts w:ascii="Times New Roman" w:hAnsi="Times New Roman" w:cs="Times New Roman"/>
          <w:lang w:val="en-US"/>
        </w:rPr>
        <w:t xml:space="preserve"> isoprenoids rely on acetyl-CoA as a universal precurso</w:t>
      </w:r>
      <w:r w:rsidR="00C754CA" w:rsidRPr="00BA37A1">
        <w:rPr>
          <w:rFonts w:ascii="Times New Roman" w:hAnsi="Times New Roman" w:cs="Times New Roman"/>
          <w:lang w:val="en-US"/>
        </w:rPr>
        <w:t xml:space="preserve">r. In addition, </w:t>
      </w:r>
      <w:r w:rsidR="00C33C6A" w:rsidRPr="00BA37A1">
        <w:rPr>
          <w:rFonts w:ascii="Times New Roman" w:hAnsi="Times New Roman" w:cs="Times New Roman"/>
          <w:lang w:val="en-US"/>
        </w:rPr>
        <w:t xml:space="preserve">as </w:t>
      </w:r>
      <w:r w:rsidR="00C754CA" w:rsidRPr="00BA37A1">
        <w:rPr>
          <w:rFonts w:ascii="Times New Roman" w:hAnsi="Times New Roman" w:cs="Times New Roman"/>
          <w:lang w:val="en-US"/>
        </w:rPr>
        <w:t>hydrophobic isoprenoids s</w:t>
      </w:r>
      <w:r w:rsidR="005E6A4C">
        <w:rPr>
          <w:rFonts w:ascii="Times New Roman" w:hAnsi="Times New Roman" w:cs="Times New Roman"/>
          <w:lang w:val="en-US"/>
        </w:rPr>
        <w:t>uch as the triterpene, squalene</w:t>
      </w:r>
      <w:r w:rsidR="00C754CA"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{"citationItems":[{"id":"ITEM-1","itemData":{"DOI":"10.1074/jbc.M109.074229","abstract":"Squalene belongs to the group of isoprenoids and is a precursor for the synthesis of sterols, steroids, and ubiquinons. In the yeast Saccharomyces cerevisiae, the amount of squalene can be increased by variation of growth conditions or by genetic manipulation. In this report, we show that a hem1Δ mutant accumulated a large amount of squalene, which was stored almost exclusively in cytoplasmic lipid particles/droplets. Interestingly, a strain bearing a hem1Δ deletion in a dga1Δlro1Δare1Δare2Δ quadruple mutant background (QMhem1Δ), which is devoid of the classical storage lipids, triacylglycerols and steryl esters, and lacks lipid particles, accumulated squalene at similar amounts as the hem1Δ mutant in a wild type background. In QMhem1Δ, however, increased amounts of squalene were found in cellular membranes, especially in microsomes. The fact that QMhem1Δ did not form lipid particles indicated that accumulation of squalene solely was not sufficient to initiate proliferation of lipid particles. Most importantly, these results also demonstrated that (i) squalene was not lipotoxic under the conditions tested, and (ii) organelle membranes in yeast can accommodate relatively large quantities of this non-polar lipid without compromising cellular functions. In summary, localization of squalene as described here can be regarded as an unconventional example of non-polar lipid storage in cellular membranes. ","author":[{"dropping-particle":"","family":"Spanova","given":"Miroslava","non-dropping-particle":"","parse-names":false,"suffix":""},{"dropping-particle":"","family":"Czabany","given":"Tibor","non-dropping-particle":"","parse-names":false,"suffix":""},{"dropping-particle":"","family":"Zellnig","given":"Günther","non-dropping-particle":"","parse-names":false,"suffix":""},{"dropping-particle":"","family":"Leitner","given":"Erich","non-dropping-particle":"","parse-names":false,"suffix":""},{"dropping-particle":"","family":"Hapala","given":"Ivan","non-dropping-particle":"","parse-names":false,"suffix":""},{"dropping-particle":"","family":"Daum","given":"Günther","non-dropping-particle":"","parse-names":false,"suffix":""}],"container-title":"Journal of Biological Chemistry ","id":"ITEM-1","issue":"9 ","issued":{"date-parts":[["2010","2","26"]]},"note":"10.1074/jbc.M109.074229","page":"6127-6133","title":"Effect of Lipid Particle Biogenesis on the Subcellular Distribution of Squalene in the Yeast Saccharomyces cerevisiae","type":"article-journal","volume":"285 "},"uris":["http://www.mendeley.com/documents/?uuid=e6b15d8a-c38f-43af-ad4c-7be5cecff0ea"]}],"mendeley":{"formattedCitation":"&lt;sup&gt;[28]&lt;/sup&gt;","plainTextFormattedCitation":"[28]","previouslyFormattedCitation":"&lt;sup&gt;[28]&lt;/sup&gt;"},"properties":{"noteIndex":0},"schema":"https://github.com/citation-style-language/schema/raw/master/csl-citation.json"}</w:instrText>
      </w:r>
      <w:r w:rsidR="00C754CA"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[28]</w:t>
      </w:r>
      <w:r w:rsidR="00C754CA" w:rsidRPr="00BA37A1">
        <w:rPr>
          <w:rFonts w:ascii="Times New Roman" w:hAnsi="Times New Roman" w:cs="Times New Roman"/>
          <w:lang w:val="en-US"/>
        </w:rPr>
        <w:fldChar w:fldCharType="end"/>
      </w:r>
      <w:r w:rsidR="00C754CA" w:rsidRPr="00BA37A1">
        <w:rPr>
          <w:rFonts w:ascii="Times New Roman" w:hAnsi="Times New Roman" w:cs="Times New Roman"/>
          <w:lang w:val="en-US"/>
        </w:rPr>
        <w:t xml:space="preserve"> and carotene, β-carotene</w:t>
      </w:r>
      <w:r w:rsidR="00C33C6A"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{"citationItems":[{"id":"ITEM-1","itemData":{"DOI":"10.1007/s10295-016-1808-9","ISSN":"1476-5535","abstract":"An evolutionary engineering approach for enhancing heterologous carotenoids production in an engineered Saccharomyces cerevisiae strain was used previously to isolate several carotenoids hyper-producers from the evolved populations. β-Carotene production was characterized in the parental and one of the evolved carotenoids hyper-producers (SM14) using bench-top bioreactors to assess the impact of pH, aeration, and media composition on β-carotene production levels. The results show that with maintaining a low pH and increasing the carbon-to-nitrogen ratio (C:N) from 8.8 to 50 in standard YNB medium, a higher β-carotene production level at 25.52 ± 2.15 mg β-carotene g−1 (dry cell weight) in the carotenoids hyper-producer was obtained. The increase in C:N ratio also significantly increased carotenoids production in the parental strain by 298 % [from 5.68 ± 1.24 to 22.58 ± 0.11 mg β-carotene g−1 (dcw)]. In this study, it was shown that Raman spectroscopy is capable of monitoring β-carotene production in these cultures. Raman spectroscopy is adaptable to large-scale fermentations and can give results in near real-time. Furthermore, we found that Raman spectroscopy was also able to measure the relative lipid compositions and protein content of the parental and SM14 strains at two different C:N ratios in the bioreactor. The Raman analysis showed a higher total fatty acid content in the SM14 compared with the parental strain and that an increased C:N ratio resulted in significant increase in total fatty acid content of both strains. The data suggest a positive correlation between the yield of β-carotene per biomass and total fatty acid content of the cell.","author":[{"dropping-particle":"","family":"Olson","given":"Michelle L","non-dropping-particle":"","parse-names":false,"suffix":""},{"dropping-particle":"","family":"Johnson","given":"James","non-dropping-particle":"","parse-names":false,"suffix":""},{"dropping-particle":"","family":"Carswell","given":"William F","non-dropping-particle":"","parse-names":false,"suffix":""},{"dropping-particle":"","family":"Reyes","given":"Luis H","non-dropping-particle":"","parse-names":false,"suffix":""},{"dropping-particle":"","family":"Senger","given":"Ryan S","non-dropping-particle":"","parse-names":false,"suffix":""},{"dropping-particle":"","family":"Kao","given":"Katy C","non-dropping-particle":"","parse-names":false,"suffix":""}],"container-title":"Journal of Industrial Microbiology &amp; Biotechnology","id":"ITEM-1","issue":"10","issued":{"date-parts":[["2016"]]},"page":"1355-1363","title":"Characterization of an evolved carotenoids hyper-producer of Saccharomyces cerevisiae through bioreactor parameter optimization and Raman spectroscopy","type":"article-journal","volume":"43"},"uris":["http://www.mendeley.com/documents/?uuid=a0ccfa8e-7c4b-4981-ba6f-64d696b006b4"]}],"mendeley":{"formattedCitation":"&lt;sup&gt;[29]&lt;/sup&gt;","plainTextFormattedCitation":"[29]","previouslyFormattedCitation":"&lt;sup&gt;[29]&lt;/sup&gt;"},"properties":{"noteIndex":0},"schema":"https://github.com/citation-style-language/schema/raw/master/csl-citation.json"}</w:instrText>
      </w:r>
      <w:r w:rsidR="00C33C6A"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[29]</w:t>
      </w:r>
      <w:r w:rsidR="00C33C6A" w:rsidRPr="00BA37A1">
        <w:rPr>
          <w:rFonts w:ascii="Times New Roman" w:hAnsi="Times New Roman" w:cs="Times New Roman"/>
          <w:lang w:val="en-US"/>
        </w:rPr>
        <w:fldChar w:fldCharType="end"/>
      </w:r>
      <w:r w:rsidR="00C754CA" w:rsidRPr="00BA37A1">
        <w:rPr>
          <w:rFonts w:ascii="Times New Roman" w:hAnsi="Times New Roman" w:cs="Times New Roman"/>
          <w:lang w:val="en-US"/>
        </w:rPr>
        <w:t xml:space="preserve"> have been found to accumulate in cytoplasmic lipid particles</w:t>
      </w:r>
      <w:r w:rsidR="00C33C6A" w:rsidRPr="00BA37A1">
        <w:rPr>
          <w:rFonts w:ascii="Times New Roman" w:hAnsi="Times New Roman" w:cs="Times New Roman"/>
          <w:lang w:val="en-US"/>
        </w:rPr>
        <w:t xml:space="preserve">, increasing the C/N ratio may be beneficial. </w:t>
      </w:r>
      <w:r w:rsidR="0069443E" w:rsidRPr="00BA37A1">
        <w:rPr>
          <w:rFonts w:ascii="Times New Roman" w:hAnsi="Times New Roman" w:cs="Times New Roman"/>
          <w:lang w:val="en-US"/>
        </w:rPr>
        <w:t xml:space="preserve">In a study by </w:t>
      </w:r>
      <w:r w:rsidR="0069443E" w:rsidRPr="00BA37A1">
        <w:rPr>
          <w:rFonts w:ascii="Times New Roman" w:hAnsi="Times New Roman" w:cs="Times New Roman"/>
          <w:lang w:val="en-US"/>
        </w:rPr>
        <w:lastRenderedPageBreak/>
        <w:fldChar w:fldCharType="begin" w:fldLock="1"/>
      </w:r>
      <w:r w:rsidR="005E6A4C">
        <w:rPr>
          <w:rFonts w:ascii="Times New Roman" w:hAnsi="Times New Roman" w:cs="Times New Roman"/>
          <w:lang w:val="en-US"/>
        </w:rPr>
        <w:instrText>ADDIN CSL_CITATION {"citationItems":[{"id":"ITEM-1","itemData":{"DOI":"10.1007/s10295-016-1808-9","ISSN":"1476-5535","abstract":"An evolutionary engineering approach for enhancing heterologous carotenoids production in an engineered Saccharomyces cerevisiae strain was used previously to isolate several carotenoids hyper-producers from the evolved populations. β-Carotene production was characterized in the parental and one of the evolved carotenoids hyper-producers (SM14) using bench-top bioreactors to assess the impact of pH, aeration, and media composition on β-carotene production levels. The results show that with maintaining a low pH and increasing the carbon-to-nitrogen ratio (C:N) from 8.8 to 50 in standard YNB medium, a higher β-carotene production level at 25.52 ± 2.15 mg β-carotene g−1 (dry cell weight) in the carotenoids hyper-producer was obtained. The increase in C:N ratio also significantly increased carotenoids production in the parental strain by 298 % [from 5.68 ± 1.24 to 22.58 ± 0.11 mg β-carotene g−1 (dcw)]. In this study, it was shown that Raman spectroscopy is capable of monitoring β-carotene production in these cultures. Raman spectroscopy is adaptable to large-scale fermentations and can give results in near real-time. Furthermore, we found that Raman spectroscopy was also able to measure the relative lipid compositions and protein content of the parental and SM14 strains at two different C:N ratios in the bioreactor. The Raman analysis showed a higher total fatty acid content in the SM14 compared with the parental strain and that an increased C:N ratio resulted in significant increase in total fatty acid content of both strains. The data suggest a positive correlation between the yield of β-carotene per biomass and total fatty acid content of the cell.","author":[{"dropping-particle":"","family":"Olson","given":"Michelle L","non-dropping-particle":"","parse-names":false,"suffix":""},{"dropping-particle":"","family":"Johnson","given":"James","non-dropping-particle":"","parse-names":false,"suffix":""},{"dropping-particle":"","family":"Carswell","given":"William F","non-dropping-particle":"","parse-names":false,"suffix":""},{"dropping-particle":"","family":"Reyes","given":"Luis H","non-dropping-particle":"","parse-names":false,"suffix":""},{"dropping-particle":"","family":"Senger","given":"Ryan S","non-dropping-particle":"","parse-names":false,"suffix":""},{"dropping-particle":"","family":"Kao","given":"Katy C","non-dropping-particle":"","parse-names":false,"suffix":""}],"container-title":"Journal of Industrial Microbiology &amp; Biotechnology","id":"ITEM-1","issue":"10","issued":{"date-parts":[["2016"]]},"page":"1355-1363","title":"Characterization of an evolved carotenoids hyper-producer of Saccharomyces cerevisiae through bioreactor parameter optimization and Raman spectroscopy","type":"article-journal","volume":"43"},"uris":["http://www.mendeley.com/documents/?uuid=a0ccfa8e-7c4b-4981-ba6f-64d696b006b4"]}],"mendeley":{"formattedCitation":"&lt;sup&gt;[29]&lt;/sup&gt;","manualFormatting":"Olson et al., 2016","plainTextFormattedCitation":"[29]","previouslyFormattedCitation":"&lt;sup&gt;[29]&lt;/sup&gt;"},"properties":{"noteIndex":0},"schema":"https://github.com/citation-style-language/schema/raw/master/csl-citation.json"}</w:instrText>
      </w:r>
      <w:r w:rsidR="0069443E" w:rsidRPr="00BA37A1">
        <w:rPr>
          <w:rFonts w:ascii="Times New Roman" w:hAnsi="Times New Roman" w:cs="Times New Roman"/>
          <w:lang w:val="en-US"/>
        </w:rPr>
        <w:fldChar w:fldCharType="separate"/>
      </w:r>
      <w:r w:rsidR="0069443E" w:rsidRPr="00BA37A1">
        <w:rPr>
          <w:rFonts w:ascii="Times New Roman" w:hAnsi="Times New Roman" w:cs="Times New Roman"/>
          <w:noProof/>
          <w:lang w:val="en-US"/>
        </w:rPr>
        <w:t>Olson et al., 2016</w:t>
      </w:r>
      <w:r w:rsidR="0069443E" w:rsidRPr="00BA37A1">
        <w:rPr>
          <w:rFonts w:ascii="Times New Roman" w:hAnsi="Times New Roman" w:cs="Times New Roman"/>
          <w:lang w:val="en-US"/>
        </w:rPr>
        <w:fldChar w:fldCharType="end"/>
      </w:r>
      <w:r w:rsidR="0069443E" w:rsidRPr="00BA37A1">
        <w:rPr>
          <w:rFonts w:ascii="Times New Roman" w:hAnsi="Times New Roman" w:cs="Times New Roman"/>
          <w:lang w:val="en-US"/>
        </w:rPr>
        <w:t xml:space="preserve">, β-carotene production was found to increase up to fourfold when the C/N ratio was increased 5.7-fold in an engineered </w:t>
      </w:r>
      <w:r w:rsidR="0069443E" w:rsidRPr="00BA37A1">
        <w:rPr>
          <w:rFonts w:ascii="Times New Roman" w:hAnsi="Times New Roman" w:cs="Times New Roman"/>
          <w:i/>
          <w:lang w:val="en-US"/>
        </w:rPr>
        <w:t xml:space="preserve">S. cerevisiae </w:t>
      </w:r>
      <w:r w:rsidR="0069443E" w:rsidRPr="00BA37A1">
        <w:rPr>
          <w:rFonts w:ascii="Times New Roman" w:hAnsi="Times New Roman" w:cs="Times New Roman"/>
          <w:lang w:val="en-US"/>
        </w:rPr>
        <w:t>strain.</w:t>
      </w:r>
      <w:r w:rsidR="00897A52" w:rsidRPr="00BA37A1">
        <w:rPr>
          <w:rFonts w:ascii="Times New Roman" w:hAnsi="Times New Roman" w:cs="Times New Roman"/>
          <w:lang w:val="en-US"/>
        </w:rPr>
        <w:t xml:space="preserve"> </w:t>
      </w:r>
      <w:r w:rsidR="00C33C6A" w:rsidRPr="00BA37A1">
        <w:rPr>
          <w:rFonts w:ascii="Times New Roman" w:hAnsi="Times New Roman" w:cs="Times New Roman"/>
          <w:lang w:val="en-US"/>
        </w:rPr>
        <w:t xml:space="preserve">Similarly, increasing lipid accumulation has been found to improve lycopene accumulation in </w:t>
      </w:r>
      <w:r w:rsidR="00C33C6A" w:rsidRPr="00BA37A1">
        <w:rPr>
          <w:rFonts w:ascii="Times New Roman" w:hAnsi="Times New Roman" w:cs="Times New Roman"/>
          <w:i/>
          <w:lang w:val="en-US"/>
        </w:rPr>
        <w:t>S. cerevisiae</w:t>
      </w:r>
      <w:r w:rsidR="005E6A4C">
        <w:rPr>
          <w:rFonts w:ascii="Times New Roman" w:hAnsi="Times New Roman" w:cs="Times New Roman"/>
          <w:i/>
          <w:lang w:val="en-US"/>
        </w:rPr>
        <w:t>.</w:t>
      </w:r>
      <w:r w:rsidR="00C33C6A" w:rsidRPr="00BA37A1">
        <w:rPr>
          <w:rFonts w:ascii="Times New Roman" w:hAnsi="Times New Roman" w:cs="Times New Roman"/>
          <w:i/>
          <w:lang w:val="en-US"/>
        </w:rPr>
        <w:fldChar w:fldCharType="begin" w:fldLock="1"/>
      </w:r>
      <w:r w:rsidR="005E6A4C">
        <w:rPr>
          <w:rFonts w:ascii="Times New Roman" w:hAnsi="Times New Roman" w:cs="Times New Roman"/>
          <w:i/>
          <w:lang w:val="en-US"/>
        </w:rPr>
        <w:instrText>ADDIN CSL_CITATION {"citationItems":[{"id":"ITEM-1","itemData":{"DOI":"https://doi.org/10.1016/j.ymben.2018.11.009","ISSN":"1096-7176","abstract":"Saccharomyces cerevisiae is an efficient host for natural-compound production and preferentially employed in academic studies and bioindustries. However, S. cerevisiae exhibits limited production capacity for lipophilic natural products, especially compounds that accumulate intracellularly, such as polyketides and carotenoids, with some engineered compounds displaying cytotoxicity. In this study, we used a nature-inspired strategy to establish an effective platform to improve lipid oil–triacylglycerol (TAG) metabolism and enable increased lycopene accumulation. Through systematic traditional engineering methods, we achieved relatively high-level production at 56.2 mg lycopene/g cell dry weight (cdw). To focus on TAG metabolism in order to increase lycopene accumulation, we overexpressed key genes associated with fatty acid synthesis and TAG production, followed by modulation of TAG fatty acyl composition by overexpressing a fatty acid desaturase (OLE1) and deletion of Seipin (FLD1), which regulates lipid-droplet size. Results showed that the engineered strain produced 70.5 mg lycopene/g cdw, a 25% increase relative to the original high-yield strain, with lycopene production reaching 2.37 g/L and 73.3 mg/g cdw in fed-batch fermentation and representing the highest lycopene yield in S. cerevisiae reported to date. These findings offer an effective strategy for extended systematic metabolic engineering through lipid engineering.","author":[{"dropping-particle":"","family":"Ma","given":"Tian","non-dropping-particle":"","parse-names":false,"suffix":""},{"dropping-particle":"","family":"Shi","given":"Bin","non-dropping-particle":"","parse-names":false,"suffix":""},{"dropping-particle":"","family":"Ye","given":"Ziling","non-dropping-particle":"","parse-names":false,"suffix":""},{"dropping-particle":"","family":"Li","given":"Xiaowei","non-dropping-particle":"","parse-names":false,"suffix":""},{"dropping-particle":"","family":"Liu","given":"Min","non-dropping-particle":"","parse-names":false,"suffix":""},{"dropping-particle":"","family":"Chen","given":"Yun","non-dropping-particle":"","parse-names":false,"suffix":""},{"dropping-particle":"","family":"Xia","given":"Jiang","non-dropping-particle":"","parse-names":false,"suffix":""},{"dropping-particle":"","family":"Nielsen","given":"Jens","non-dropping-particle":"","parse-names":false,"suffix":""},{"dropping-particle":"","family":"Deng","given":"Zixin","non-dropping-particle":"","parse-names":false,"suffix":""},{"dropping-particle":"","family":"Liu","given":"Tiangang","non-dropping-particle":"","parse-names":false,"suffix":""}],"container-title":"Metabolic Engineering","id":"ITEM-1","issued":{"date-parts":[["2019"]]},"page":"134-142","title":"Lipid engineering combined with systematic metabolic engineering of Saccharomyces cerevisiae for high-yield production of lycopene","type":"article-journal","volume":"52"},"uris":["http://www.mendeley.com/documents/?uuid=82c8f4f2-8015-4c66-a29e-4700e1920a82"]}],"mendeley":{"formattedCitation":"&lt;sup&gt;[30]&lt;/sup&gt;","plainTextFormattedCitation":"[30]","previouslyFormattedCitation":"&lt;sup&gt;[30]&lt;/sup&gt;"},"properties":{"noteIndex":0},"schema":"https://github.com/citation-style-language/schema/raw/master/csl-citation.json"}</w:instrText>
      </w:r>
      <w:r w:rsidR="00C33C6A" w:rsidRPr="00BA37A1">
        <w:rPr>
          <w:rFonts w:ascii="Times New Roman" w:hAnsi="Times New Roman" w:cs="Times New Roman"/>
          <w:i/>
          <w:lang w:val="en-US"/>
        </w:rPr>
        <w:fldChar w:fldCharType="separate"/>
      </w:r>
      <w:r w:rsidR="00362160" w:rsidRPr="00362160">
        <w:rPr>
          <w:rFonts w:ascii="Times New Roman" w:hAnsi="Times New Roman" w:cs="Times New Roman"/>
          <w:noProof/>
          <w:vertAlign w:val="superscript"/>
          <w:lang w:val="en-US"/>
        </w:rPr>
        <w:t>[30]</w:t>
      </w:r>
      <w:r w:rsidR="00C33C6A" w:rsidRPr="00BA37A1">
        <w:rPr>
          <w:rFonts w:ascii="Times New Roman" w:hAnsi="Times New Roman" w:cs="Times New Roman"/>
          <w:i/>
          <w:lang w:val="en-US"/>
        </w:rPr>
        <w:fldChar w:fldCharType="end"/>
      </w:r>
      <w:r w:rsidR="00C33C6A" w:rsidRPr="00BA37A1">
        <w:rPr>
          <w:rFonts w:ascii="Times New Roman" w:hAnsi="Times New Roman" w:cs="Times New Roman"/>
          <w:lang w:val="en-US"/>
        </w:rPr>
        <w:t xml:space="preserve"> The concentrations of the carbon (galactose) and nitrogen (ammonium sulphate) were therefore deemed important factors in this study. A six factor, three-level DSD was created as </w:t>
      </w:r>
      <w:r w:rsidR="00BA37A1" w:rsidRPr="00BA37A1">
        <w:rPr>
          <w:rFonts w:ascii="Times New Roman" w:hAnsi="Times New Roman" w:cs="Times New Roman"/>
          <w:lang w:val="en-US"/>
        </w:rPr>
        <w:t>summarized</w:t>
      </w:r>
      <w:r w:rsidR="00C33C6A" w:rsidRPr="00BA37A1">
        <w:rPr>
          <w:rFonts w:ascii="Times New Roman" w:hAnsi="Times New Roman" w:cs="Times New Roman"/>
          <w:lang w:val="en-US"/>
        </w:rPr>
        <w:t xml:space="preserve"> in </w:t>
      </w:r>
      <w:r w:rsidR="0006634F" w:rsidRPr="00BA37A1">
        <w:rPr>
          <w:rFonts w:ascii="Times New Roman" w:hAnsi="Times New Roman" w:cs="Times New Roman"/>
          <w:lang w:val="en-US"/>
        </w:rPr>
        <w:t>Table 1</w:t>
      </w:r>
      <w:r w:rsidR="00A900F1" w:rsidRPr="00BA37A1">
        <w:rPr>
          <w:rFonts w:ascii="Times New Roman" w:hAnsi="Times New Roman" w:cs="Times New Roman"/>
          <w:lang w:val="en-US"/>
        </w:rPr>
        <w:t xml:space="preserve"> (Section 2.2.1)</w:t>
      </w:r>
      <w:r w:rsidR="00C33C6A" w:rsidRPr="00BA37A1">
        <w:rPr>
          <w:rFonts w:ascii="Times New Roman" w:hAnsi="Times New Roman" w:cs="Times New Roman"/>
          <w:lang w:val="en-US"/>
        </w:rPr>
        <w:t>. In order to validate the design a scoping experiment was performed in shake flasks. This involved three conditions in which, the levels of each factor were set to their low (least forcing), medium (</w:t>
      </w:r>
      <w:r w:rsidR="00BA37A1" w:rsidRPr="00BA37A1">
        <w:rPr>
          <w:rFonts w:ascii="Times New Roman" w:hAnsi="Times New Roman" w:cs="Times New Roman"/>
          <w:lang w:val="en-US"/>
        </w:rPr>
        <w:t>center</w:t>
      </w:r>
      <w:r w:rsidR="00C33C6A" w:rsidRPr="00BA37A1">
        <w:rPr>
          <w:rFonts w:ascii="Times New Roman" w:hAnsi="Times New Roman" w:cs="Times New Roman"/>
          <w:lang w:val="en-US"/>
        </w:rPr>
        <w:t xml:space="preserve"> point) and high (most forcing) levels, respectively</w:t>
      </w:r>
      <w:r w:rsidR="003F7784" w:rsidRPr="00BA37A1">
        <w:rPr>
          <w:rFonts w:ascii="Times New Roman" w:hAnsi="Times New Roman" w:cs="Times New Roman"/>
          <w:lang w:val="en-US"/>
        </w:rPr>
        <w:t>, as described in section 2.2.2</w:t>
      </w:r>
      <w:r w:rsidR="00C33C6A" w:rsidRPr="00BA37A1">
        <w:rPr>
          <w:rFonts w:ascii="Times New Roman" w:hAnsi="Times New Roman" w:cs="Times New Roman"/>
          <w:lang w:val="en-US"/>
        </w:rPr>
        <w:t xml:space="preserve">. The results of the scoping trial are </w:t>
      </w:r>
      <w:r w:rsidR="00BA37A1" w:rsidRPr="00BA37A1">
        <w:rPr>
          <w:rFonts w:ascii="Times New Roman" w:hAnsi="Times New Roman" w:cs="Times New Roman"/>
          <w:lang w:val="en-US"/>
        </w:rPr>
        <w:t>summarized</w:t>
      </w:r>
      <w:r w:rsidR="00C33C6A" w:rsidRPr="00BA37A1">
        <w:rPr>
          <w:rFonts w:ascii="Times New Roman" w:hAnsi="Times New Roman" w:cs="Times New Roman"/>
          <w:lang w:val="en-US"/>
        </w:rPr>
        <w:t xml:space="preserve"> in</w:t>
      </w:r>
      <w:r w:rsidR="002E1AF3" w:rsidRPr="00BA37A1">
        <w:rPr>
          <w:rFonts w:ascii="Times New Roman" w:hAnsi="Times New Roman" w:cs="Times New Roman"/>
          <w:lang w:val="en-US"/>
        </w:rPr>
        <w:t xml:space="preserve"> Figure 3</w:t>
      </w:r>
      <w:r w:rsidR="00756C72" w:rsidRPr="00BA37A1">
        <w:rPr>
          <w:rFonts w:ascii="Times New Roman" w:hAnsi="Times New Roman" w:cs="Times New Roman"/>
          <w:lang w:val="en-US"/>
        </w:rPr>
        <w:t>.</w:t>
      </w:r>
    </w:p>
    <w:p w14:paraId="4222E527" w14:textId="1D302F4A" w:rsidR="008F640E" w:rsidRPr="00BA37A1" w:rsidRDefault="003643ED" w:rsidP="00D36DCD">
      <w:pPr>
        <w:spacing w:line="480" w:lineRule="auto"/>
        <w:ind w:firstLine="360"/>
        <w:rPr>
          <w:rFonts w:ascii="Times New Roman" w:hAnsi="Times New Roman" w:cs="Times New Roman"/>
          <w:lang w:val="en-US"/>
        </w:rPr>
      </w:pPr>
      <w:r w:rsidRPr="00BA37A1">
        <w:rPr>
          <w:rFonts w:ascii="Times New Roman" w:hAnsi="Times New Roman" w:cs="Times New Roman"/>
          <w:sz w:val="32"/>
          <w:lang w:val="en-US" w:eastAsia="en-GB"/>
        </w:rPr>
        <w:t xml:space="preserve"> </w:t>
      </w:r>
      <w:r w:rsidRPr="00BA37A1">
        <w:rPr>
          <w:rFonts w:ascii="Times New Roman" w:hAnsi="Times New Roman" w:cs="Times New Roman"/>
          <w:lang w:val="en-US"/>
        </w:rPr>
        <w:t xml:space="preserve"> </w:t>
      </w:r>
      <w:r w:rsidR="00FB54F9" w:rsidRPr="00BA37A1">
        <w:rPr>
          <w:rFonts w:ascii="Times New Roman" w:hAnsi="Times New Roman" w:cs="Times New Roman"/>
          <w:lang w:val="en-US"/>
        </w:rPr>
        <w:t xml:space="preserve">The least and most forcing conditions gave rise to the lowest and highest taxane </w:t>
      </w:r>
      <w:r w:rsidR="00BA37A1" w:rsidRPr="00BA37A1">
        <w:rPr>
          <w:rFonts w:ascii="Times New Roman" w:hAnsi="Times New Roman" w:cs="Times New Roman"/>
          <w:lang w:val="en-US"/>
        </w:rPr>
        <w:t>titers</w:t>
      </w:r>
      <w:r w:rsidR="00FB54F9" w:rsidRPr="00BA37A1">
        <w:rPr>
          <w:rFonts w:ascii="Times New Roman" w:hAnsi="Times New Roman" w:cs="Times New Roman"/>
          <w:lang w:val="en-US"/>
        </w:rPr>
        <w:t>, respectively</w:t>
      </w:r>
      <w:r w:rsidR="002955C2" w:rsidRPr="00BA37A1">
        <w:rPr>
          <w:rFonts w:ascii="Times New Roman" w:hAnsi="Times New Roman" w:cs="Times New Roman"/>
          <w:lang w:val="en-US"/>
        </w:rPr>
        <w:t xml:space="preserve">. </w:t>
      </w:r>
      <w:r w:rsidR="00FB54F9" w:rsidRPr="00BA37A1">
        <w:rPr>
          <w:rFonts w:ascii="Times New Roman" w:hAnsi="Times New Roman" w:cs="Times New Roman"/>
          <w:lang w:val="en-US"/>
        </w:rPr>
        <w:t xml:space="preserve">The </w:t>
      </w:r>
      <w:r w:rsidR="00BA37A1" w:rsidRPr="00BA37A1">
        <w:rPr>
          <w:rFonts w:ascii="Times New Roman" w:hAnsi="Times New Roman" w:cs="Times New Roman"/>
          <w:lang w:val="en-US"/>
        </w:rPr>
        <w:t>center</w:t>
      </w:r>
      <w:r w:rsidR="00FB54F9" w:rsidRPr="00BA37A1">
        <w:rPr>
          <w:rFonts w:ascii="Times New Roman" w:hAnsi="Times New Roman" w:cs="Times New Roman"/>
          <w:lang w:val="en-US"/>
        </w:rPr>
        <w:t xml:space="preserve"> point </w:t>
      </w:r>
      <w:r w:rsidR="00BA37A1" w:rsidRPr="00BA37A1">
        <w:rPr>
          <w:rFonts w:ascii="Times New Roman" w:hAnsi="Times New Roman" w:cs="Times New Roman"/>
          <w:lang w:val="en-US"/>
        </w:rPr>
        <w:t>titer</w:t>
      </w:r>
      <w:r w:rsidR="00FB54F9" w:rsidRPr="00BA37A1">
        <w:rPr>
          <w:rFonts w:ascii="Times New Roman" w:hAnsi="Times New Roman" w:cs="Times New Roman"/>
          <w:lang w:val="en-US"/>
        </w:rPr>
        <w:t xml:space="preserve"> was between that of the least and most forcing condition</w:t>
      </w:r>
      <w:r w:rsidR="002955C2" w:rsidRPr="00BA37A1">
        <w:rPr>
          <w:rFonts w:ascii="Times New Roman" w:hAnsi="Times New Roman" w:cs="Times New Roman"/>
          <w:lang w:val="en-US"/>
        </w:rPr>
        <w:t xml:space="preserve"> (Figure 3A)</w:t>
      </w:r>
      <w:r w:rsidR="00FB54F9" w:rsidRPr="00BA37A1">
        <w:rPr>
          <w:rFonts w:ascii="Times New Roman" w:hAnsi="Times New Roman" w:cs="Times New Roman"/>
          <w:lang w:val="en-US"/>
        </w:rPr>
        <w:t>. In addition, there was little variation between the duplicate shake flasks, the experimental factors were therefore deemed appropriate. The use of defined media resulted in substantial changes in product spectra</w:t>
      </w:r>
      <w:r w:rsidR="00E92308" w:rsidRPr="00BA37A1">
        <w:rPr>
          <w:rFonts w:ascii="Times New Roman" w:hAnsi="Times New Roman" w:cs="Times New Roman"/>
          <w:lang w:val="en-US"/>
        </w:rPr>
        <w:t xml:space="preserve"> in comparison to complex media</w:t>
      </w:r>
      <w:r w:rsidR="00FB54F9" w:rsidRPr="00BA37A1">
        <w:rPr>
          <w:rFonts w:ascii="Times New Roman" w:hAnsi="Times New Roman" w:cs="Times New Roman"/>
          <w:lang w:val="en-US"/>
        </w:rPr>
        <w:t xml:space="preserve"> (</w:t>
      </w:r>
      <w:r w:rsidR="00217B1C" w:rsidRPr="00BA37A1">
        <w:rPr>
          <w:rFonts w:ascii="Times New Roman" w:hAnsi="Times New Roman" w:cs="Times New Roman"/>
          <w:lang w:val="en-US"/>
        </w:rPr>
        <w:t>Figure 3</w:t>
      </w:r>
      <w:r w:rsidRPr="00BA37A1">
        <w:rPr>
          <w:rFonts w:ascii="Times New Roman" w:hAnsi="Times New Roman" w:cs="Times New Roman"/>
          <w:lang w:val="en-US"/>
        </w:rPr>
        <w:t>C</w:t>
      </w:r>
      <w:r w:rsidR="00FB54F9" w:rsidRPr="00BA37A1">
        <w:rPr>
          <w:rFonts w:ascii="Times New Roman" w:hAnsi="Times New Roman" w:cs="Times New Roman"/>
          <w:lang w:val="en-US"/>
        </w:rPr>
        <w:t xml:space="preserve">). The </w:t>
      </w:r>
      <w:r w:rsidR="00BA37A1" w:rsidRPr="00BA37A1">
        <w:rPr>
          <w:rFonts w:ascii="Times New Roman" w:hAnsi="Times New Roman" w:cs="Times New Roman"/>
          <w:lang w:val="en-US"/>
        </w:rPr>
        <w:t>titer</w:t>
      </w:r>
      <w:r w:rsidR="00FB54F9" w:rsidRPr="00BA37A1">
        <w:rPr>
          <w:rFonts w:ascii="Times New Roman" w:hAnsi="Times New Roman" w:cs="Times New Roman"/>
          <w:lang w:val="en-US"/>
        </w:rPr>
        <w:t xml:space="preserve"> of diterpenoid 1, </w:t>
      </w:r>
      <w:r w:rsidR="00074A30" w:rsidRPr="00BA37A1">
        <w:rPr>
          <w:rFonts w:ascii="Times New Roman" w:hAnsi="Times New Roman" w:cs="Times New Roman"/>
          <w:lang w:val="en-US"/>
        </w:rPr>
        <w:t>a</w:t>
      </w:r>
      <w:r w:rsidR="00840B2D" w:rsidRPr="00BA37A1">
        <w:rPr>
          <w:rFonts w:ascii="Times New Roman" w:hAnsi="Times New Roman" w:cs="Times New Roman"/>
          <w:lang w:val="en-US"/>
        </w:rPr>
        <w:t>n</w:t>
      </w:r>
      <w:r w:rsidR="00612A1B" w:rsidRPr="00BA37A1">
        <w:rPr>
          <w:rFonts w:ascii="Times New Roman" w:hAnsi="Times New Roman" w:cs="Times New Roman"/>
          <w:lang w:val="en-US"/>
        </w:rPr>
        <w:t xml:space="preserve"> isomer of </w:t>
      </w:r>
      <w:r w:rsidR="00840B2D" w:rsidRPr="00BA37A1">
        <w:rPr>
          <w:rFonts w:ascii="Times New Roman" w:hAnsi="Times New Roman" w:cs="Times New Roman"/>
          <w:lang w:val="en-US"/>
        </w:rPr>
        <w:t xml:space="preserve">the </w:t>
      </w:r>
      <w:r w:rsidR="00A64F70" w:rsidRPr="00BA37A1">
        <w:rPr>
          <w:rFonts w:ascii="Times New Roman" w:hAnsi="Times New Roman" w:cs="Times New Roman"/>
          <w:lang w:val="en-US"/>
        </w:rPr>
        <w:t xml:space="preserve">first oxygenated Taxol intermediate, </w:t>
      </w:r>
      <w:r w:rsidR="0013604B" w:rsidRPr="00BA37A1">
        <w:rPr>
          <w:rFonts w:ascii="Times New Roman" w:hAnsi="Times New Roman" w:cs="Times New Roman"/>
          <w:lang w:val="en-US"/>
        </w:rPr>
        <w:t xml:space="preserve">taxadien-5α-ol (T5αol), </w:t>
      </w:r>
      <w:r w:rsidR="00FB54F9" w:rsidRPr="00BA37A1">
        <w:rPr>
          <w:rFonts w:ascii="Times New Roman" w:hAnsi="Times New Roman" w:cs="Times New Roman"/>
          <w:lang w:val="en-US"/>
        </w:rPr>
        <w:t>which was the major oxygenated</w:t>
      </w:r>
      <w:r w:rsidR="00A900F1" w:rsidRPr="00BA37A1">
        <w:rPr>
          <w:rFonts w:ascii="Times New Roman" w:hAnsi="Times New Roman" w:cs="Times New Roman"/>
          <w:lang w:val="en-US"/>
        </w:rPr>
        <w:t xml:space="preserve"> product of the strain in </w:t>
      </w:r>
      <w:r w:rsidR="00FB54F9" w:rsidRPr="00BA37A1">
        <w:rPr>
          <w:rFonts w:ascii="Times New Roman" w:hAnsi="Times New Roman" w:cs="Times New Roman"/>
          <w:lang w:val="en-US"/>
        </w:rPr>
        <w:t xml:space="preserve"> complex media investigations</w:t>
      </w:r>
      <w:r w:rsidR="005E6A4C">
        <w:rPr>
          <w:rFonts w:ascii="Times New Roman" w:hAnsi="Times New Roman" w:cs="Times New Roman"/>
          <w:lang w:val="en-US"/>
        </w:rPr>
        <w:t>,</w:t>
      </w:r>
      <w:r w:rsidR="00A900F1"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A900F1"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A900F1" w:rsidRPr="00BA37A1">
        <w:rPr>
          <w:rFonts w:ascii="Times New Roman" w:hAnsi="Times New Roman" w:cs="Times New Roman"/>
          <w:lang w:val="en-US"/>
        </w:rPr>
        <w:fldChar w:fldCharType="end"/>
      </w:r>
      <w:r w:rsidR="00FB54F9" w:rsidRPr="00BA37A1">
        <w:rPr>
          <w:rFonts w:ascii="Times New Roman" w:hAnsi="Times New Roman" w:cs="Times New Roman"/>
          <w:lang w:val="en-US"/>
        </w:rPr>
        <w:t xml:space="preserve"> was negligible. The main oxygenated</w:t>
      </w:r>
      <w:r w:rsidR="008F640E" w:rsidRPr="00BA37A1">
        <w:rPr>
          <w:rFonts w:ascii="Times New Roman" w:hAnsi="Times New Roman" w:cs="Times New Roman"/>
          <w:lang w:val="en-US"/>
        </w:rPr>
        <w:t xml:space="preserve"> products were OCT and Iso-OCT. </w:t>
      </w:r>
      <w:r w:rsidR="00FB54F9" w:rsidRPr="00BA37A1">
        <w:rPr>
          <w:rFonts w:ascii="Times New Roman" w:hAnsi="Times New Roman" w:cs="Times New Roman"/>
          <w:lang w:val="en-US"/>
        </w:rPr>
        <w:t>Relative production of the di-oxygenated taxadiendiol compound was enhanced</w:t>
      </w:r>
      <w:r w:rsidR="008F640E" w:rsidRPr="00BA37A1">
        <w:rPr>
          <w:rFonts w:ascii="Times New Roman" w:hAnsi="Times New Roman" w:cs="Times New Roman"/>
          <w:lang w:val="en-US"/>
        </w:rPr>
        <w:t>,</w:t>
      </w:r>
      <w:r w:rsidR="00FB54F9" w:rsidRPr="00BA37A1">
        <w:rPr>
          <w:rFonts w:ascii="Times New Roman" w:hAnsi="Times New Roman" w:cs="Times New Roman"/>
          <w:lang w:val="en-US"/>
        </w:rPr>
        <w:t xml:space="preserve"> and additional </w:t>
      </w:r>
      <w:r w:rsidR="008F640E" w:rsidRPr="00BA37A1">
        <w:rPr>
          <w:rFonts w:ascii="Times New Roman" w:hAnsi="Times New Roman" w:cs="Times New Roman"/>
          <w:lang w:val="en-US"/>
        </w:rPr>
        <w:t>products were observed at 8.67 and</w:t>
      </w:r>
      <w:r w:rsidR="00FB54F9" w:rsidRPr="00BA37A1">
        <w:rPr>
          <w:rFonts w:ascii="Times New Roman" w:hAnsi="Times New Roman" w:cs="Times New Roman"/>
          <w:lang w:val="en-US"/>
        </w:rPr>
        <w:t xml:space="preserve"> 9.70</w:t>
      </w:r>
      <w:r w:rsidR="008F640E" w:rsidRPr="00BA37A1">
        <w:rPr>
          <w:rFonts w:ascii="Times New Roman" w:hAnsi="Times New Roman" w:cs="Times New Roman"/>
          <w:lang w:val="en-US"/>
        </w:rPr>
        <w:t xml:space="preserve"> minut</w:t>
      </w:r>
      <w:r w:rsidR="00FB54F9" w:rsidRPr="00BA37A1">
        <w:rPr>
          <w:rFonts w:ascii="Times New Roman" w:hAnsi="Times New Roman" w:cs="Times New Roman"/>
          <w:lang w:val="en-US"/>
        </w:rPr>
        <w:t xml:space="preserve">es as shown in </w:t>
      </w:r>
      <w:r w:rsidR="00F769A6" w:rsidRPr="00BA37A1">
        <w:rPr>
          <w:rFonts w:ascii="Times New Roman" w:hAnsi="Times New Roman" w:cs="Times New Roman"/>
          <w:lang w:val="en-US"/>
        </w:rPr>
        <w:t>Figure 3</w:t>
      </w:r>
      <w:r w:rsidR="008F640E" w:rsidRPr="00BA37A1">
        <w:rPr>
          <w:rFonts w:ascii="Times New Roman" w:hAnsi="Times New Roman" w:cs="Times New Roman"/>
          <w:lang w:val="en-US"/>
        </w:rPr>
        <w:t>C and</w:t>
      </w:r>
      <w:r w:rsidR="00045EFD" w:rsidRPr="00BA37A1">
        <w:rPr>
          <w:rFonts w:ascii="Times New Roman" w:hAnsi="Times New Roman" w:cs="Times New Roman"/>
          <w:color w:val="FF0000"/>
          <w:lang w:val="en-US"/>
        </w:rPr>
        <w:t xml:space="preserve"> </w:t>
      </w:r>
      <w:r w:rsidR="00F769A6" w:rsidRPr="00BA37A1">
        <w:rPr>
          <w:rFonts w:ascii="Times New Roman" w:hAnsi="Times New Roman" w:cs="Times New Roman"/>
          <w:lang w:val="en-US"/>
        </w:rPr>
        <w:t>Supplementary Figure 1</w:t>
      </w:r>
      <w:r w:rsidR="00FB54F9" w:rsidRPr="00BA37A1">
        <w:rPr>
          <w:rFonts w:ascii="Times New Roman" w:hAnsi="Times New Roman" w:cs="Times New Roman"/>
          <w:lang w:val="en-US"/>
        </w:rPr>
        <w:t xml:space="preserve">. Although the mass spectra corresponding to these peaks was similar to the other oxygenated compounds it is possible that they could be endogenous products. In order to determine whether the compounds were products of the heterologous CYP725A4 or TAT enzymes rather than endogenous gene products a further experiment was </w:t>
      </w:r>
      <w:r w:rsidR="00CA294E" w:rsidRPr="00BA37A1">
        <w:rPr>
          <w:rFonts w:ascii="Times New Roman" w:hAnsi="Times New Roman" w:cs="Times New Roman"/>
          <w:lang w:val="en-US"/>
        </w:rPr>
        <w:t>performed</w:t>
      </w:r>
      <w:r w:rsidR="00FB54F9" w:rsidRPr="00BA37A1">
        <w:rPr>
          <w:rFonts w:ascii="Times New Roman" w:hAnsi="Times New Roman" w:cs="Times New Roman"/>
          <w:lang w:val="en-US"/>
        </w:rPr>
        <w:t xml:space="preserve">. The </w:t>
      </w:r>
      <w:r w:rsidR="004B20FA" w:rsidRPr="00BA37A1">
        <w:rPr>
          <w:rFonts w:ascii="Times New Roman" w:hAnsi="Times New Roman" w:cs="Times New Roman"/>
          <w:i/>
          <w:lang w:val="en-US"/>
        </w:rPr>
        <w:t>LRS5</w:t>
      </w:r>
      <w:r w:rsidR="00FB54F9" w:rsidRPr="00BA37A1">
        <w:rPr>
          <w:rFonts w:ascii="Times New Roman" w:hAnsi="Times New Roman" w:cs="Times New Roman"/>
          <w:lang w:val="en-US"/>
        </w:rPr>
        <w:t xml:space="preserve"> strain which expresses TASY alone was also cultivated in the most forcing media</w:t>
      </w:r>
      <w:r w:rsidR="001C2444" w:rsidRPr="00BA37A1">
        <w:rPr>
          <w:rFonts w:ascii="Times New Roman" w:hAnsi="Times New Roman" w:cs="Times New Roman"/>
          <w:lang w:val="en-US"/>
        </w:rPr>
        <w:t xml:space="preserve"> as a control</w:t>
      </w:r>
      <w:r w:rsidR="00FB54F9" w:rsidRPr="00BA37A1">
        <w:rPr>
          <w:rFonts w:ascii="Times New Roman" w:hAnsi="Times New Roman" w:cs="Times New Roman"/>
          <w:lang w:val="en-US"/>
        </w:rPr>
        <w:t xml:space="preserve">. The resulting gas chromatogram is shown in </w:t>
      </w:r>
      <w:r w:rsidR="009F5B9B" w:rsidRPr="00BA37A1">
        <w:rPr>
          <w:rFonts w:ascii="Times New Roman" w:hAnsi="Times New Roman" w:cs="Times New Roman"/>
          <w:lang w:val="en-US"/>
        </w:rPr>
        <w:t>Figure 3B</w:t>
      </w:r>
      <w:r w:rsidR="00FB54F9" w:rsidRPr="00BA37A1">
        <w:rPr>
          <w:rFonts w:ascii="Times New Roman" w:hAnsi="Times New Roman" w:cs="Times New Roman"/>
          <w:lang w:val="en-US"/>
        </w:rPr>
        <w:t>.</w:t>
      </w:r>
      <w:r w:rsidR="00F004CD" w:rsidRPr="00BA37A1">
        <w:rPr>
          <w:rFonts w:ascii="Times New Roman" w:hAnsi="Times New Roman" w:cs="Times New Roman"/>
          <w:lang w:val="en-US"/>
        </w:rPr>
        <w:t xml:space="preserve"> </w:t>
      </w:r>
      <w:r w:rsidR="00756C72" w:rsidRPr="00BA37A1">
        <w:rPr>
          <w:rFonts w:ascii="Times New Roman" w:hAnsi="Times New Roman" w:cs="Times New Roman"/>
          <w:lang w:val="en-US"/>
        </w:rPr>
        <w:t xml:space="preserve">The product spectra for </w:t>
      </w:r>
      <w:r w:rsidR="00FB54F9" w:rsidRPr="00BA37A1">
        <w:rPr>
          <w:rFonts w:ascii="Times New Roman" w:hAnsi="Times New Roman" w:cs="Times New Roman"/>
          <w:i/>
          <w:lang w:val="en-US"/>
        </w:rPr>
        <w:t>LRS5</w:t>
      </w:r>
      <w:r w:rsidR="00FB54F9" w:rsidRPr="00BA37A1">
        <w:rPr>
          <w:rFonts w:ascii="Times New Roman" w:hAnsi="Times New Roman" w:cs="Times New Roman"/>
          <w:lang w:val="en-US"/>
        </w:rPr>
        <w:t xml:space="preserve"> grown in the most forcing synthetic media was very similar to that observed in complex media</w:t>
      </w:r>
      <w:r w:rsidR="005E6A4C">
        <w:rPr>
          <w:rFonts w:ascii="Times New Roman" w:hAnsi="Times New Roman" w:cs="Times New Roman"/>
          <w:lang w:val="en-US"/>
        </w:rPr>
        <w:t>.</w:t>
      </w:r>
      <w:r w:rsidR="00756C72"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strategies","type":"article-journal","volume":"n/a"},"uris":["http://www.mendeley.com/documents/?uuid=94a1bb11-afa8-4d69-ad26-1d662ede604d"]},{"id":"ITEM-2","itemData":{"DOI":"10.1186/s12934-020-01458-2","abstract":"Background: Cost‐effective production of the highly effective anti‐cancer drug, paclitaxel (Taxol®), remains limited despite growing global demands. Low yields of the critical taxadiene precursor remains a key bottleneck in microbial production. In this study, the key challenge of poor taxadiene synthase (TASY) solubility in S. cerevisiae was revealed, and the strains were strategically engineered to relieve this bottleneck. Results: Multi‐copy chromosomal integration of TASY harbouring a selection of fusion solubility tags improved taxa‐ diene titres 22‐fold, up to 57 ± 3 mg/L at 30 °C at microscale, compared to expressing a single episomal copy of TASY. The scalability of the process was highlighted through achieving similar titres during scale up to 25 mL and 250 mL in shake flask and bioreactor cultivations, respectively at 20 and 30 °C. Maximum taxadiene titres of 129 ± 15 mg/L and 127 mg/L were achieved through shake flask and bioreactor cultivations, respectively, of the optimal strain at a reduced temperature of 20 °C. Conclusions: The results of this study highlight the benefit of employing a combination of molecular biology and bioprocess tools during synthetic pathway development, with which TASY activity was successfully improved by 6.5‐ fold compared to the highest literature titre in S. cerevisiae cell factories.","author":[{"dropping-particle":"","family":"Nowrouzi","given":"Behnaz","non-dropping-particle":"","parse-names":false,"suffix":""},{"dropping-particle":"","family":"Li","given":"Rachel A","non-dropping-particle":"","parse-names":false,"suffix":""},{"dropping-particle":"","family":"Walls","given":"Laura E.","non-dropping-particle":"","parse-names":false,"suffix":""},{"dropping-particle":"","family":"d’Espaux","given":"Leo","non-dropping-particle":"","parse-names":false,"suffix":""},{"dropping-particle":"","family":"Malcı","given":"Koray","non-dropping-particle":"","parse-names":false,"suffix":""},{"dropping-particle":"","family":"Lungang","given":"Liang","non-dropping-particle":"","parse-names":false,"suffix":""},{"dropping-particle":"","family":"Borrego","given":"Nestor Jonguitud","non-dropping-particle":"","parse-names":false,"suffix":""},{"dropping-particle":"","family":"Escalera","given":"Albert","non-dropping-particle":"","parse-names":false,"suffix":""},{"dropping-particle":"","family":"Morones-Ramirez","given":"Jose R","non-dropping-particle":"","parse-names":false,"suffix":""},{"dropping-particle":"","family":"Keasling","given":"Jay","non-dropping-particle":"","parse-names":false,"suffix":""},{"dropping-particle":"","family":"Rios-Solis","given":"Leonardo","non-dropping-particle":"","parse-names":false,"suffix":""}],"container-title":"Microbial Cell Factories","id":"ITEM-2","issue":"200","issued":{"date-parts":[["2020","11"]]},"title":"Enhanced production of taxadiene in Saccharomyces cerevisiae","type":"article-journal","volume":"19"},"uris":["http://www.mendeley.com/documents/?uuid=5f0a0b96-c747-4eb0-a60c-c284527d5834"]}],"mendeley":{"formattedCitation":"&lt;sup&gt;[17,18]&lt;/sup&gt;","plainTextFormattedCitation":"[17,18]","previouslyFormattedCitation":"&lt;sup&gt;[17,18]&lt;/sup&gt;"},"properties":{"noteIndex":0},"schema":"https://github.com/citation-style-language/schema/raw/master/csl-citation.json"}</w:instrText>
      </w:r>
      <w:r w:rsidR="00756C72"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[17,18]</w:t>
      </w:r>
      <w:r w:rsidR="00756C72" w:rsidRPr="00BA37A1">
        <w:rPr>
          <w:rFonts w:ascii="Times New Roman" w:hAnsi="Times New Roman" w:cs="Times New Roman"/>
          <w:lang w:val="en-US"/>
        </w:rPr>
        <w:fldChar w:fldCharType="end"/>
      </w:r>
      <w:r w:rsidR="00FB54F9" w:rsidRPr="00BA37A1">
        <w:rPr>
          <w:rFonts w:ascii="Times New Roman" w:hAnsi="Times New Roman" w:cs="Times New Roman"/>
          <w:lang w:val="en-US"/>
        </w:rPr>
        <w:t xml:space="preserve"> Taxadiene was the main product of the strain and the addit</w:t>
      </w:r>
      <w:r w:rsidR="00756C72" w:rsidRPr="00BA37A1">
        <w:rPr>
          <w:rFonts w:ascii="Times New Roman" w:hAnsi="Times New Roman" w:cs="Times New Roman"/>
          <w:lang w:val="en-US"/>
        </w:rPr>
        <w:t xml:space="preserve">ional products observed in the </w:t>
      </w:r>
      <w:r w:rsidR="00FB54F9" w:rsidRPr="00BA37A1">
        <w:rPr>
          <w:rFonts w:ascii="Times New Roman" w:hAnsi="Times New Roman" w:cs="Times New Roman"/>
          <w:i/>
          <w:lang w:val="en-US"/>
        </w:rPr>
        <w:t>LRS6</w:t>
      </w:r>
      <w:r w:rsidR="00FB54F9" w:rsidRPr="00BA37A1">
        <w:rPr>
          <w:rFonts w:ascii="Times New Roman" w:hAnsi="Times New Roman" w:cs="Times New Roman"/>
          <w:lang w:val="en-US"/>
        </w:rPr>
        <w:t xml:space="preserve"> cultures were not observed. This indicates</w:t>
      </w:r>
      <w:r w:rsidR="004B20FA" w:rsidRPr="00BA37A1">
        <w:rPr>
          <w:rFonts w:ascii="Times New Roman" w:hAnsi="Times New Roman" w:cs="Times New Roman"/>
          <w:lang w:val="en-US"/>
        </w:rPr>
        <w:t xml:space="preserve"> that the additional peaks likely resulted from CYP725A4 or TAT enzymatic</w:t>
      </w:r>
      <w:r w:rsidR="00D129D6" w:rsidRPr="00BA37A1">
        <w:rPr>
          <w:rFonts w:ascii="Times New Roman" w:hAnsi="Times New Roman" w:cs="Times New Roman"/>
          <w:lang w:val="en-US"/>
        </w:rPr>
        <w:t xml:space="preserve"> activity or</w:t>
      </w:r>
      <w:r w:rsidR="004B20FA" w:rsidRPr="00BA37A1">
        <w:rPr>
          <w:rFonts w:ascii="Times New Roman" w:hAnsi="Times New Roman" w:cs="Times New Roman"/>
          <w:lang w:val="en-US"/>
        </w:rPr>
        <w:t xml:space="preserve"> products. </w:t>
      </w:r>
    </w:p>
    <w:p w14:paraId="2BB84DCC" w14:textId="1061FF11" w:rsidR="00CF2199" w:rsidRPr="00BA37A1" w:rsidRDefault="00FB54F9" w:rsidP="00D36DCD">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lastRenderedPageBreak/>
        <w:t xml:space="preserve">Defined medium </w:t>
      </w:r>
      <w:r w:rsidR="00BA37A1" w:rsidRPr="00BA37A1">
        <w:rPr>
          <w:rFonts w:ascii="Times New Roman" w:hAnsi="Times New Roman" w:cs="Times New Roman"/>
          <w:lang w:val="en-US"/>
        </w:rPr>
        <w:t>optimization</w:t>
      </w:r>
      <w:r w:rsidRPr="00BA37A1">
        <w:rPr>
          <w:rFonts w:ascii="Times New Roman" w:hAnsi="Times New Roman" w:cs="Times New Roman"/>
          <w:lang w:val="en-US"/>
        </w:rPr>
        <w:t xml:space="preserve"> using definitive screening design </w:t>
      </w:r>
      <w:r w:rsidR="00CF2199" w:rsidRPr="00BA37A1">
        <w:rPr>
          <w:rFonts w:ascii="Times New Roman" w:hAnsi="Times New Roman" w:cs="Times New Roman"/>
          <w:lang w:val="en-US"/>
        </w:rPr>
        <w:t xml:space="preserve">of </w:t>
      </w:r>
      <w:r w:rsidR="00F73D54" w:rsidRPr="00BA37A1">
        <w:rPr>
          <w:rFonts w:ascii="Times New Roman" w:hAnsi="Times New Roman" w:cs="Times New Roman"/>
          <w:lang w:val="en-US"/>
        </w:rPr>
        <w:t>experiments</w:t>
      </w:r>
    </w:p>
    <w:p w14:paraId="59B12A2C" w14:textId="6DD0CBBE" w:rsidR="00FB54F9" w:rsidRPr="00BA37A1" w:rsidRDefault="00F004CD"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F</w:t>
      </w:r>
      <w:r w:rsidR="00CF2199" w:rsidRPr="00BA37A1">
        <w:rPr>
          <w:rFonts w:ascii="Times New Roman" w:hAnsi="Times New Roman" w:cs="Times New Roman"/>
          <w:lang w:val="en-US"/>
        </w:rPr>
        <w:t xml:space="preserve">ollowing validation, the DSD </w:t>
      </w:r>
      <w:r w:rsidRPr="00BA37A1">
        <w:rPr>
          <w:rFonts w:ascii="Times New Roman" w:hAnsi="Times New Roman" w:cs="Times New Roman"/>
          <w:lang w:val="en-US"/>
        </w:rPr>
        <w:t>outlined in</w:t>
      </w:r>
      <w:r w:rsidR="00C742F8" w:rsidRPr="00BA37A1">
        <w:rPr>
          <w:rFonts w:ascii="Times New Roman" w:hAnsi="Times New Roman" w:cs="Times New Roman"/>
          <w:lang w:val="en-US"/>
        </w:rPr>
        <w:t xml:space="preserve"> Table 1</w:t>
      </w:r>
      <w:r w:rsidRPr="00BA37A1">
        <w:rPr>
          <w:rFonts w:ascii="Times New Roman" w:hAnsi="Times New Roman" w:cs="Times New Roman"/>
          <w:lang w:val="en-US"/>
        </w:rPr>
        <w:t xml:space="preserve"> </w:t>
      </w:r>
      <w:r w:rsidR="00CF2199" w:rsidRPr="00BA37A1">
        <w:rPr>
          <w:rFonts w:ascii="Times New Roman" w:hAnsi="Times New Roman" w:cs="Times New Roman"/>
          <w:lang w:val="en-US"/>
        </w:rPr>
        <w:t>was implemented at microscale using the BioLector microbioreactor screening platform.</w:t>
      </w:r>
      <w:r w:rsidR="00E516CD" w:rsidRPr="00BA37A1">
        <w:rPr>
          <w:rFonts w:ascii="Times New Roman" w:hAnsi="Times New Roman" w:cs="Times New Roman"/>
          <w:lang w:val="en-US"/>
        </w:rPr>
        <w:t xml:space="preserve"> The key response variable, </w:t>
      </w:r>
      <w:r w:rsidR="003643ED" w:rsidRPr="00BA37A1">
        <w:rPr>
          <w:rFonts w:ascii="Times New Roman" w:hAnsi="Times New Roman" w:cs="Times New Roman"/>
          <w:lang w:val="en-US"/>
        </w:rPr>
        <w:t xml:space="preserve">total </w:t>
      </w:r>
      <w:r w:rsidR="00E516CD" w:rsidRPr="00BA37A1">
        <w:rPr>
          <w:rFonts w:ascii="Times New Roman" w:hAnsi="Times New Roman" w:cs="Times New Roman"/>
          <w:lang w:val="en-US"/>
        </w:rPr>
        <w:t xml:space="preserve">taxane accumulation was evaluated at the end of the cultivation as </w:t>
      </w:r>
      <w:r w:rsidR="00BA37A1" w:rsidRPr="00BA37A1">
        <w:rPr>
          <w:rFonts w:ascii="Times New Roman" w:hAnsi="Times New Roman" w:cs="Times New Roman"/>
          <w:lang w:val="en-US"/>
        </w:rPr>
        <w:t>summarized</w:t>
      </w:r>
      <w:r w:rsidR="00E516CD" w:rsidRPr="00BA37A1">
        <w:rPr>
          <w:rFonts w:ascii="Times New Roman" w:hAnsi="Times New Roman" w:cs="Times New Roman"/>
          <w:lang w:val="en-US"/>
        </w:rPr>
        <w:t xml:space="preserve"> in </w:t>
      </w:r>
      <w:r w:rsidR="00C742F8" w:rsidRPr="00BA37A1">
        <w:rPr>
          <w:rFonts w:ascii="Times New Roman" w:hAnsi="Times New Roman" w:cs="Times New Roman"/>
          <w:lang w:val="en-US"/>
        </w:rPr>
        <w:t>Figure 4</w:t>
      </w:r>
      <w:r w:rsidR="005B125A" w:rsidRPr="00BA37A1">
        <w:rPr>
          <w:rFonts w:ascii="Times New Roman" w:hAnsi="Times New Roman" w:cs="Times New Roman"/>
          <w:lang w:val="en-US"/>
        </w:rPr>
        <w:t>B</w:t>
      </w:r>
      <w:r w:rsidR="007B6194" w:rsidRPr="00BA37A1">
        <w:rPr>
          <w:rFonts w:ascii="Times New Roman" w:hAnsi="Times New Roman" w:cs="Times New Roman"/>
          <w:lang w:val="en-US"/>
        </w:rPr>
        <w:t xml:space="preserve">. </w:t>
      </w:r>
    </w:p>
    <w:p w14:paraId="3612B84F" w14:textId="19228DDF" w:rsidR="00FB54F9" w:rsidRPr="00BA37A1" w:rsidRDefault="00B616A1" w:rsidP="00D36DCD">
      <w:pPr>
        <w:spacing w:line="480" w:lineRule="auto"/>
        <w:rPr>
          <w:rFonts w:ascii="Times New Roman" w:hAnsi="Times New Roman" w:cs="Times New Roman"/>
          <w:lang w:val="en-US"/>
        </w:rPr>
      </w:pPr>
      <w:r w:rsidRPr="00BA37A1">
        <w:rPr>
          <w:rFonts w:ascii="Times New Roman" w:hAnsi="Times New Roman" w:cs="Times New Roman"/>
          <w:lang w:val="en-US"/>
        </w:rPr>
        <w:tab/>
      </w:r>
      <w:r w:rsidR="00FB54F9" w:rsidRPr="00BA37A1">
        <w:rPr>
          <w:rFonts w:ascii="Times New Roman" w:hAnsi="Times New Roman" w:cs="Times New Roman"/>
          <w:lang w:val="en-US"/>
        </w:rPr>
        <w:t xml:space="preserve">Of the 17 </w:t>
      </w:r>
      <w:r w:rsidR="007B6194" w:rsidRPr="00BA37A1">
        <w:rPr>
          <w:rFonts w:ascii="Times New Roman" w:hAnsi="Times New Roman" w:cs="Times New Roman"/>
          <w:lang w:val="en-US"/>
        </w:rPr>
        <w:t>conditions tested</w:t>
      </w:r>
      <w:r w:rsidR="00467672" w:rsidRPr="00BA37A1">
        <w:rPr>
          <w:rFonts w:ascii="Times New Roman" w:hAnsi="Times New Roman" w:cs="Times New Roman"/>
          <w:lang w:val="en-US"/>
        </w:rPr>
        <w:t>,</w:t>
      </w:r>
      <w:r w:rsidR="007B6194" w:rsidRPr="00BA37A1">
        <w:rPr>
          <w:rFonts w:ascii="Times New Roman" w:hAnsi="Times New Roman" w:cs="Times New Roman"/>
          <w:lang w:val="en-US"/>
        </w:rPr>
        <w:t xml:space="preserve"> factor combinations six, nine and eleven</w:t>
      </w:r>
      <w:r w:rsidR="00FB54F9" w:rsidRPr="00BA37A1">
        <w:rPr>
          <w:rFonts w:ascii="Times New Roman" w:hAnsi="Times New Roman" w:cs="Times New Roman"/>
          <w:lang w:val="en-US"/>
        </w:rPr>
        <w:t xml:space="preserve"> gave</w:t>
      </w:r>
      <w:r w:rsidR="007B6194" w:rsidRPr="00BA37A1">
        <w:rPr>
          <w:rFonts w:ascii="Times New Roman" w:hAnsi="Times New Roman" w:cs="Times New Roman"/>
          <w:lang w:val="en-US"/>
        </w:rPr>
        <w:t xml:space="preserve"> rise to the</w:t>
      </w:r>
      <w:r w:rsidR="00FB54F9" w:rsidRPr="00BA37A1">
        <w:rPr>
          <w:rFonts w:ascii="Times New Roman" w:hAnsi="Times New Roman" w:cs="Times New Roman"/>
          <w:lang w:val="en-US"/>
        </w:rPr>
        <w:t xml:space="preserve"> hig</w:t>
      </w:r>
      <w:r w:rsidR="007B6194" w:rsidRPr="00BA37A1">
        <w:rPr>
          <w:rFonts w:ascii="Times New Roman" w:hAnsi="Times New Roman" w:cs="Times New Roman"/>
          <w:lang w:val="en-US"/>
        </w:rPr>
        <w:t xml:space="preserve">hest total taxane </w:t>
      </w:r>
      <w:r w:rsidR="00BA37A1" w:rsidRPr="00BA37A1">
        <w:rPr>
          <w:rFonts w:ascii="Times New Roman" w:hAnsi="Times New Roman" w:cs="Times New Roman"/>
          <w:lang w:val="en-US"/>
        </w:rPr>
        <w:t>titers</w:t>
      </w:r>
      <w:r w:rsidR="007B6194" w:rsidRPr="00BA37A1">
        <w:rPr>
          <w:rFonts w:ascii="Times New Roman" w:hAnsi="Times New Roman" w:cs="Times New Roman"/>
          <w:lang w:val="en-US"/>
        </w:rPr>
        <w:t xml:space="preserve"> of 155 ± 3, 194 ± 46 and 145 ± 12</w:t>
      </w:r>
      <w:r w:rsidR="00FB54F9" w:rsidRPr="00BA37A1">
        <w:rPr>
          <w:rFonts w:ascii="Times New Roman" w:hAnsi="Times New Roman" w:cs="Times New Roman"/>
          <w:lang w:val="en-US"/>
        </w:rPr>
        <w:t xml:space="preserve"> mg/L</w:t>
      </w:r>
      <w:r w:rsidR="007B6194" w:rsidRPr="00BA37A1">
        <w:rPr>
          <w:rFonts w:ascii="Times New Roman" w:hAnsi="Times New Roman" w:cs="Times New Roman"/>
          <w:lang w:val="en-US"/>
        </w:rPr>
        <w:t xml:space="preserve">, respectively. </w:t>
      </w:r>
      <w:r w:rsidR="00EB24E0" w:rsidRPr="00BA37A1">
        <w:rPr>
          <w:rFonts w:ascii="Times New Roman" w:hAnsi="Times New Roman" w:cs="Times New Roman"/>
          <w:lang w:val="en-US"/>
        </w:rPr>
        <w:t xml:space="preserve">The product </w:t>
      </w:r>
      <w:r w:rsidR="00F004CD" w:rsidRPr="00BA37A1">
        <w:rPr>
          <w:rFonts w:ascii="Times New Roman" w:hAnsi="Times New Roman" w:cs="Times New Roman"/>
          <w:lang w:val="en-US"/>
        </w:rPr>
        <w:t>profile</w:t>
      </w:r>
      <w:r w:rsidR="00EB24E0" w:rsidRPr="00BA37A1">
        <w:rPr>
          <w:rFonts w:ascii="Times New Roman" w:hAnsi="Times New Roman" w:cs="Times New Roman"/>
          <w:lang w:val="en-US"/>
        </w:rPr>
        <w:t xml:space="preserve"> obtained for these factor combinations were highly similar to </w:t>
      </w:r>
      <w:r w:rsidR="00C075B9" w:rsidRPr="00BA37A1">
        <w:rPr>
          <w:rFonts w:ascii="Times New Roman" w:hAnsi="Times New Roman" w:cs="Times New Roman"/>
          <w:lang w:val="en-US"/>
        </w:rPr>
        <w:t xml:space="preserve">those </w:t>
      </w:r>
      <w:r w:rsidR="00FB54F9" w:rsidRPr="00BA37A1">
        <w:rPr>
          <w:rFonts w:ascii="Times New Roman" w:hAnsi="Times New Roman" w:cs="Times New Roman"/>
          <w:lang w:val="en-US"/>
        </w:rPr>
        <w:t>observed in the most forcing shake flask cultivations (</w:t>
      </w:r>
      <w:r w:rsidR="00A04D5B" w:rsidRPr="00BA37A1">
        <w:rPr>
          <w:rFonts w:ascii="Times New Roman" w:hAnsi="Times New Roman" w:cs="Times New Roman"/>
          <w:lang w:val="en-US"/>
        </w:rPr>
        <w:t>Figure 3</w:t>
      </w:r>
      <w:r w:rsidR="00F004CD" w:rsidRPr="00BA37A1">
        <w:rPr>
          <w:rFonts w:ascii="Times New Roman" w:hAnsi="Times New Roman" w:cs="Times New Roman"/>
          <w:lang w:val="en-US"/>
        </w:rPr>
        <w:t>C</w:t>
      </w:r>
      <w:r w:rsidR="00FB54F9" w:rsidRPr="00BA37A1">
        <w:rPr>
          <w:rFonts w:ascii="Times New Roman" w:hAnsi="Times New Roman" w:cs="Times New Roman"/>
          <w:lang w:val="en-US"/>
        </w:rPr>
        <w:t xml:space="preserve">). The effect of each of the six factors on taxane production was evaluated via forward stepwise regression using JMP with a p-value to enter of 0.1. A full quadratic </w:t>
      </w:r>
      <w:r w:rsidR="00464EF0" w:rsidRPr="00BA37A1">
        <w:rPr>
          <w:rFonts w:ascii="Times New Roman" w:hAnsi="Times New Roman" w:cs="Times New Roman"/>
          <w:lang w:val="en-US"/>
        </w:rPr>
        <w:t>model was derived</w:t>
      </w:r>
      <w:r w:rsidR="00FB54F9" w:rsidRPr="00BA37A1">
        <w:rPr>
          <w:rFonts w:ascii="Times New Roman" w:hAnsi="Times New Roman" w:cs="Times New Roman"/>
          <w:lang w:val="en-US"/>
        </w:rPr>
        <w:t>, thereby considering all main effects and any second order interactions. Th</w:t>
      </w:r>
      <w:r w:rsidR="00464EF0" w:rsidRPr="00BA37A1">
        <w:rPr>
          <w:rFonts w:ascii="Times New Roman" w:hAnsi="Times New Roman" w:cs="Times New Roman"/>
          <w:lang w:val="en-US"/>
        </w:rPr>
        <w:t>e resulting statistical model</w:t>
      </w:r>
      <w:r w:rsidR="00FB54F9" w:rsidRPr="00BA37A1">
        <w:rPr>
          <w:rFonts w:ascii="Times New Roman" w:hAnsi="Times New Roman" w:cs="Times New Roman"/>
          <w:lang w:val="en-US"/>
        </w:rPr>
        <w:t xml:space="preserve"> revealed</w:t>
      </w:r>
      <w:r w:rsidR="00F004CD" w:rsidRPr="00BA37A1">
        <w:rPr>
          <w:rFonts w:ascii="Times New Roman" w:hAnsi="Times New Roman" w:cs="Times New Roman"/>
          <w:lang w:val="en-US"/>
        </w:rPr>
        <w:t xml:space="preserve"> </w:t>
      </w:r>
      <w:r w:rsidR="00AA4F1F" w:rsidRPr="00BA37A1">
        <w:rPr>
          <w:rFonts w:ascii="Times New Roman" w:hAnsi="Times New Roman" w:cs="Times New Roman"/>
          <w:lang w:val="en-US"/>
        </w:rPr>
        <w:t>initial</w:t>
      </w:r>
      <w:r w:rsidR="00FB54F9" w:rsidRPr="00BA37A1">
        <w:rPr>
          <w:rFonts w:ascii="Times New Roman" w:hAnsi="Times New Roman" w:cs="Times New Roman"/>
          <w:lang w:val="en-US"/>
        </w:rPr>
        <w:t xml:space="preserve"> </w:t>
      </w:r>
      <w:r w:rsidR="00EB24E0" w:rsidRPr="00BA37A1">
        <w:rPr>
          <w:rFonts w:ascii="Times New Roman" w:hAnsi="Times New Roman" w:cs="Times New Roman"/>
          <w:lang w:val="en-US"/>
        </w:rPr>
        <w:t>OD</w:t>
      </w:r>
      <w:r w:rsidR="00EB24E0" w:rsidRPr="00BA37A1">
        <w:rPr>
          <w:rFonts w:ascii="Times New Roman" w:hAnsi="Times New Roman" w:cs="Times New Roman"/>
          <w:vertAlign w:val="subscript"/>
          <w:lang w:val="en-US"/>
        </w:rPr>
        <w:t>600</w:t>
      </w:r>
      <w:r w:rsidR="00EB24E0" w:rsidRPr="00BA37A1">
        <w:rPr>
          <w:rFonts w:ascii="Times New Roman" w:hAnsi="Times New Roman" w:cs="Times New Roman"/>
          <w:lang w:val="en-US"/>
        </w:rPr>
        <w:t xml:space="preserve"> </w:t>
      </w:r>
      <w:r w:rsidR="00FB54F9" w:rsidRPr="00BA37A1">
        <w:rPr>
          <w:rFonts w:ascii="Times New Roman" w:hAnsi="Times New Roman" w:cs="Times New Roman"/>
          <w:lang w:val="en-US"/>
        </w:rPr>
        <w:t>(p</w:t>
      </w:r>
      <w:r w:rsidR="00EB24E0" w:rsidRPr="00BA37A1">
        <w:rPr>
          <w:rFonts w:ascii="Times New Roman" w:hAnsi="Times New Roman" w:cs="Times New Roman"/>
          <w:lang w:val="en-US"/>
        </w:rPr>
        <w:t xml:space="preserve"> </w:t>
      </w:r>
      <w:r w:rsidR="00FB54F9" w:rsidRPr="00BA37A1">
        <w:rPr>
          <w:rFonts w:ascii="Times New Roman" w:hAnsi="Times New Roman" w:cs="Times New Roman"/>
          <w:lang w:val="en-US"/>
        </w:rPr>
        <w:t>=</w:t>
      </w:r>
      <w:r w:rsidR="00EB24E0" w:rsidRPr="00BA37A1">
        <w:rPr>
          <w:rFonts w:ascii="Times New Roman" w:hAnsi="Times New Roman" w:cs="Times New Roman"/>
          <w:lang w:val="en-US"/>
        </w:rPr>
        <w:t xml:space="preserve"> </w:t>
      </w:r>
      <w:r w:rsidR="00FB54F9" w:rsidRPr="00BA37A1">
        <w:rPr>
          <w:rFonts w:ascii="Times New Roman" w:hAnsi="Times New Roman" w:cs="Times New Roman"/>
          <w:lang w:val="en-US"/>
        </w:rPr>
        <w:t>6</w:t>
      </w:r>
      <w:r w:rsidR="00EB24E0" w:rsidRPr="00BA37A1">
        <w:rPr>
          <w:rFonts w:ascii="Times New Roman" w:hAnsi="Times New Roman" w:cs="Times New Roman"/>
          <w:lang w:val="en-US"/>
        </w:rPr>
        <w:t xml:space="preserve"> </w:t>
      </w:r>
      <w:r w:rsidR="00FB54F9" w:rsidRPr="00BA37A1">
        <w:rPr>
          <w:rFonts w:ascii="Times New Roman" w:hAnsi="Times New Roman" w:cs="Times New Roman"/>
          <w:lang w:val="en-US"/>
        </w:rPr>
        <w:t>x</w:t>
      </w:r>
      <w:r w:rsidR="00EB24E0" w:rsidRPr="00BA37A1">
        <w:rPr>
          <w:rFonts w:ascii="Times New Roman" w:hAnsi="Times New Roman" w:cs="Times New Roman"/>
          <w:lang w:val="en-US"/>
        </w:rPr>
        <w:t xml:space="preserve"> 10</w:t>
      </w:r>
      <w:r w:rsidR="00EB24E0" w:rsidRPr="00BA37A1">
        <w:rPr>
          <w:rFonts w:ascii="Times New Roman" w:hAnsi="Times New Roman" w:cs="Times New Roman"/>
          <w:vertAlign w:val="superscript"/>
          <w:lang w:val="en-US"/>
        </w:rPr>
        <w:t>-6</w:t>
      </w:r>
      <w:r w:rsidR="00EB24E0" w:rsidRPr="00BA37A1">
        <w:rPr>
          <w:rFonts w:ascii="Times New Roman" w:hAnsi="Times New Roman" w:cs="Times New Roman"/>
          <w:lang w:val="en-US"/>
        </w:rPr>
        <w:t xml:space="preserve">) along with </w:t>
      </w:r>
      <w:r w:rsidR="00F004CD" w:rsidRPr="00BA37A1">
        <w:rPr>
          <w:rFonts w:ascii="Times New Roman" w:hAnsi="Times New Roman" w:cs="Times New Roman"/>
          <w:lang w:val="en-US"/>
        </w:rPr>
        <w:t xml:space="preserve">initial </w:t>
      </w:r>
      <w:r w:rsidR="00EB24E0" w:rsidRPr="00BA37A1">
        <w:rPr>
          <w:rFonts w:ascii="Times New Roman" w:hAnsi="Times New Roman" w:cs="Times New Roman"/>
          <w:lang w:val="en-US"/>
        </w:rPr>
        <w:t xml:space="preserve">YNB </w:t>
      </w:r>
      <w:r w:rsidR="00FB54F9" w:rsidRPr="00BA37A1">
        <w:rPr>
          <w:rFonts w:ascii="Times New Roman" w:hAnsi="Times New Roman" w:cs="Times New Roman"/>
          <w:lang w:val="en-US"/>
        </w:rPr>
        <w:t>(p</w:t>
      </w:r>
      <w:r w:rsidR="00EB24E0" w:rsidRPr="00BA37A1">
        <w:rPr>
          <w:rFonts w:ascii="Times New Roman" w:hAnsi="Times New Roman" w:cs="Times New Roman"/>
          <w:lang w:val="en-US"/>
        </w:rPr>
        <w:t xml:space="preserve"> </w:t>
      </w:r>
      <w:r w:rsidR="00FB54F9" w:rsidRPr="00BA37A1">
        <w:rPr>
          <w:rFonts w:ascii="Times New Roman" w:hAnsi="Times New Roman" w:cs="Times New Roman"/>
          <w:lang w:val="en-US"/>
        </w:rPr>
        <w:t>=</w:t>
      </w:r>
      <w:r w:rsidR="00EB24E0" w:rsidRPr="00BA37A1">
        <w:rPr>
          <w:rFonts w:ascii="Times New Roman" w:hAnsi="Times New Roman" w:cs="Times New Roman"/>
          <w:lang w:val="en-US"/>
        </w:rPr>
        <w:t xml:space="preserve"> </w:t>
      </w:r>
      <w:r w:rsidR="00183F80" w:rsidRPr="00BA37A1">
        <w:rPr>
          <w:rFonts w:ascii="Times New Roman" w:hAnsi="Times New Roman" w:cs="Times New Roman"/>
          <w:lang w:val="en-US"/>
        </w:rPr>
        <w:t xml:space="preserve">0.021) and galactose (p = 0.011) concentrations </w:t>
      </w:r>
      <w:r w:rsidR="00FB54F9" w:rsidRPr="00BA37A1">
        <w:rPr>
          <w:rFonts w:ascii="Times New Roman" w:hAnsi="Times New Roman" w:cs="Times New Roman"/>
          <w:lang w:val="en-US"/>
        </w:rPr>
        <w:t>were significant main effects. According to the statistical model the optimal galactose</w:t>
      </w:r>
      <w:r w:rsidR="004B20FA" w:rsidRPr="00BA37A1">
        <w:rPr>
          <w:rFonts w:ascii="Times New Roman" w:hAnsi="Times New Roman" w:cs="Times New Roman"/>
          <w:lang w:val="en-US"/>
        </w:rPr>
        <w:t>, YNB and initial OD</w:t>
      </w:r>
      <w:r w:rsidR="004B20FA" w:rsidRPr="00BA37A1">
        <w:rPr>
          <w:rFonts w:ascii="Times New Roman" w:hAnsi="Times New Roman" w:cs="Times New Roman"/>
          <w:vertAlign w:val="subscript"/>
          <w:lang w:val="en-US"/>
        </w:rPr>
        <w:t>600</w:t>
      </w:r>
      <w:r w:rsidR="00FB54F9" w:rsidRPr="00BA37A1">
        <w:rPr>
          <w:rFonts w:ascii="Times New Roman" w:hAnsi="Times New Roman" w:cs="Times New Roman"/>
          <w:lang w:val="en-US"/>
        </w:rPr>
        <w:t xml:space="preserve"> settings were 50 g/L, 3.4 g/L and 1, respectively (</w:t>
      </w:r>
      <w:r w:rsidR="00F769A6" w:rsidRPr="00BA37A1">
        <w:rPr>
          <w:rFonts w:ascii="Times New Roman" w:hAnsi="Times New Roman" w:cs="Times New Roman"/>
          <w:lang w:val="en-US"/>
        </w:rPr>
        <w:t>Supplementary Figure 2</w:t>
      </w:r>
      <w:r w:rsidR="00FB54F9" w:rsidRPr="00BA37A1">
        <w:rPr>
          <w:rFonts w:ascii="Times New Roman" w:hAnsi="Times New Roman" w:cs="Times New Roman"/>
          <w:lang w:val="en-US"/>
        </w:rPr>
        <w:t>). As the concentrations of ammonium sulphate</w:t>
      </w:r>
      <w:r w:rsidR="00AE181C" w:rsidRPr="00BA37A1">
        <w:rPr>
          <w:rFonts w:ascii="Times New Roman" w:hAnsi="Times New Roman" w:cs="Times New Roman"/>
          <w:lang w:val="en-US"/>
        </w:rPr>
        <w:t xml:space="preserve"> (p = 0.285)</w:t>
      </w:r>
      <w:r w:rsidR="00FB54F9" w:rsidRPr="00BA37A1">
        <w:rPr>
          <w:rFonts w:ascii="Times New Roman" w:hAnsi="Times New Roman" w:cs="Times New Roman"/>
          <w:lang w:val="en-US"/>
        </w:rPr>
        <w:t xml:space="preserve">, YSM </w:t>
      </w:r>
      <w:r w:rsidR="00AE181C" w:rsidRPr="00BA37A1">
        <w:rPr>
          <w:rFonts w:ascii="Times New Roman" w:hAnsi="Times New Roman" w:cs="Times New Roman"/>
          <w:lang w:val="en-US"/>
        </w:rPr>
        <w:t>(p = 0.990)</w:t>
      </w:r>
      <w:r w:rsidR="00FB54F9" w:rsidRPr="00BA37A1">
        <w:rPr>
          <w:rFonts w:ascii="Times New Roman" w:hAnsi="Times New Roman" w:cs="Times New Roman"/>
          <w:lang w:val="en-US"/>
        </w:rPr>
        <w:t xml:space="preserve"> and </w:t>
      </w:r>
      <w:r w:rsidR="004B20FA" w:rsidRPr="00BA37A1">
        <w:rPr>
          <w:rFonts w:ascii="Times New Roman" w:hAnsi="Times New Roman" w:cs="Times New Roman"/>
          <w:lang w:val="en-US"/>
        </w:rPr>
        <w:t>MgSO</w:t>
      </w:r>
      <w:r w:rsidR="00FB54F9" w:rsidRPr="00BA37A1">
        <w:rPr>
          <w:rFonts w:ascii="Times New Roman" w:hAnsi="Times New Roman" w:cs="Times New Roman"/>
          <w:vertAlign w:val="subscript"/>
          <w:lang w:val="en-US"/>
        </w:rPr>
        <w:t>4</w:t>
      </w:r>
      <w:r w:rsidR="00FB54F9" w:rsidRPr="00BA37A1">
        <w:rPr>
          <w:rFonts w:ascii="Times New Roman" w:hAnsi="Times New Roman" w:cs="Times New Roman"/>
          <w:lang w:val="en-US"/>
        </w:rPr>
        <w:t xml:space="preserve"> </w:t>
      </w:r>
      <w:r w:rsidR="00AE181C" w:rsidRPr="00BA37A1">
        <w:rPr>
          <w:rFonts w:ascii="Times New Roman" w:hAnsi="Times New Roman" w:cs="Times New Roman"/>
          <w:lang w:val="en-US"/>
        </w:rPr>
        <w:t>(p = 0.690)</w:t>
      </w:r>
      <w:r w:rsidR="00FB54F9" w:rsidRPr="00BA37A1">
        <w:rPr>
          <w:rFonts w:ascii="Times New Roman" w:hAnsi="Times New Roman" w:cs="Times New Roman"/>
          <w:lang w:val="en-US"/>
        </w:rPr>
        <w:t xml:space="preserve"> did not significantly affect productivity, the lowest values of 1, 2 and 0 g/L </w:t>
      </w:r>
      <w:r w:rsidR="00F004CD" w:rsidRPr="00BA37A1">
        <w:rPr>
          <w:rFonts w:ascii="Times New Roman" w:hAnsi="Times New Roman" w:cs="Times New Roman"/>
          <w:lang w:val="en-US"/>
        </w:rPr>
        <w:t>were</w:t>
      </w:r>
      <w:r w:rsidR="00FB54F9" w:rsidRPr="00BA37A1">
        <w:rPr>
          <w:rFonts w:ascii="Times New Roman" w:hAnsi="Times New Roman" w:cs="Times New Roman"/>
          <w:lang w:val="en-US"/>
        </w:rPr>
        <w:t xml:space="preserve"> used </w:t>
      </w:r>
      <w:r w:rsidR="004B20FA" w:rsidRPr="00BA37A1">
        <w:rPr>
          <w:rFonts w:ascii="Times New Roman" w:hAnsi="Times New Roman" w:cs="Times New Roman"/>
          <w:lang w:val="en-US"/>
        </w:rPr>
        <w:t xml:space="preserve">in subsequent cultivations </w:t>
      </w:r>
      <w:r w:rsidR="00FB54F9" w:rsidRPr="00BA37A1">
        <w:rPr>
          <w:rFonts w:ascii="Times New Roman" w:hAnsi="Times New Roman" w:cs="Times New Roman"/>
          <w:lang w:val="en-US"/>
        </w:rPr>
        <w:t xml:space="preserve">to conserve resources.  </w:t>
      </w:r>
    </w:p>
    <w:p w14:paraId="74E60507" w14:textId="24C9494E" w:rsidR="00541785" w:rsidRPr="00BA37A1" w:rsidRDefault="00D030C5" w:rsidP="00D36DCD">
      <w:pPr>
        <w:spacing w:line="480" w:lineRule="auto"/>
        <w:ind w:firstLine="360"/>
        <w:rPr>
          <w:rFonts w:ascii="Times New Roman" w:hAnsi="Times New Roman" w:cs="Times New Roman"/>
          <w:color w:val="FF0000"/>
          <w:lang w:val="en-US"/>
        </w:rPr>
      </w:pPr>
      <w:r w:rsidRPr="00BA37A1">
        <w:rPr>
          <w:rFonts w:ascii="Times New Roman" w:hAnsi="Times New Roman" w:cs="Times New Roman"/>
          <w:lang w:val="en-US"/>
        </w:rPr>
        <w:t xml:space="preserve">The final </w:t>
      </w:r>
      <w:r w:rsidR="00BA37A1" w:rsidRPr="00BA37A1">
        <w:rPr>
          <w:rFonts w:ascii="Times New Roman" w:hAnsi="Times New Roman" w:cs="Times New Roman"/>
          <w:lang w:val="en-US"/>
        </w:rPr>
        <w:t>titer</w:t>
      </w:r>
      <w:r w:rsidRPr="00BA37A1">
        <w:rPr>
          <w:rFonts w:ascii="Times New Roman" w:hAnsi="Times New Roman" w:cs="Times New Roman"/>
          <w:lang w:val="en-US"/>
        </w:rPr>
        <w:t xml:space="preserve"> of the key products, iso-taxadiene, taxadiene, iso-OCT, diterpenoid 1, OCT and T5αol were plotted for each of the 17 factor combinations as shown in </w:t>
      </w:r>
      <w:r w:rsidR="00C742F8" w:rsidRPr="00BA37A1">
        <w:rPr>
          <w:rFonts w:ascii="Times New Roman" w:hAnsi="Times New Roman" w:cs="Times New Roman"/>
          <w:lang w:val="en-US"/>
        </w:rPr>
        <w:t>Figure 4</w:t>
      </w:r>
      <w:r w:rsidR="00747B85" w:rsidRPr="00BA37A1">
        <w:rPr>
          <w:rFonts w:ascii="Times New Roman" w:hAnsi="Times New Roman" w:cs="Times New Roman"/>
          <w:lang w:val="en-US"/>
        </w:rPr>
        <w:t>D</w:t>
      </w:r>
      <w:r w:rsidRPr="00BA37A1">
        <w:rPr>
          <w:rFonts w:ascii="Times New Roman" w:hAnsi="Times New Roman" w:cs="Times New Roman"/>
          <w:lang w:val="en-US"/>
        </w:rPr>
        <w:t>.</w:t>
      </w:r>
      <w:r w:rsidR="002D2316" w:rsidRPr="00BA37A1">
        <w:rPr>
          <w:rFonts w:ascii="Times New Roman" w:hAnsi="Times New Roman" w:cs="Times New Roman"/>
          <w:lang w:val="en-US"/>
        </w:rPr>
        <w:t xml:space="preserve"> The observed product spectra in the high yielding defined media (factor combinations 6, 9, 11, 11 and 12; </w:t>
      </w:r>
      <w:r w:rsidR="00C742F8" w:rsidRPr="00BA37A1">
        <w:rPr>
          <w:rFonts w:ascii="Times New Roman" w:hAnsi="Times New Roman" w:cs="Times New Roman"/>
          <w:lang w:val="en-US"/>
        </w:rPr>
        <w:t>Figure 4</w:t>
      </w:r>
      <w:r w:rsidR="00747B85" w:rsidRPr="00BA37A1">
        <w:rPr>
          <w:rFonts w:ascii="Times New Roman" w:hAnsi="Times New Roman" w:cs="Times New Roman"/>
          <w:lang w:val="en-US"/>
        </w:rPr>
        <w:t>D</w:t>
      </w:r>
      <w:r w:rsidR="002D2316" w:rsidRPr="00BA37A1">
        <w:rPr>
          <w:rFonts w:ascii="Times New Roman" w:hAnsi="Times New Roman" w:cs="Times New Roman"/>
          <w:lang w:val="en-US"/>
        </w:rPr>
        <w:t>) were highly different to those observed in the YPG control (</w:t>
      </w:r>
      <w:r w:rsidR="00CC64BA" w:rsidRPr="00BA37A1">
        <w:rPr>
          <w:rFonts w:ascii="Times New Roman" w:hAnsi="Times New Roman" w:cs="Times New Roman"/>
          <w:lang w:val="en-US"/>
        </w:rPr>
        <w:t>Figure 2</w:t>
      </w:r>
      <w:r w:rsidR="002D2316" w:rsidRPr="00BA37A1">
        <w:rPr>
          <w:rFonts w:ascii="Times New Roman" w:hAnsi="Times New Roman" w:cs="Times New Roman"/>
          <w:lang w:val="en-US"/>
        </w:rPr>
        <w:t xml:space="preserve">) and previous cultivations with complex </w:t>
      </w:r>
      <w:r w:rsidR="005E6A4C">
        <w:rPr>
          <w:rFonts w:ascii="Times New Roman" w:hAnsi="Times New Roman" w:cs="Times New Roman"/>
          <w:lang w:val="en-US"/>
        </w:rPr>
        <w:t>media in BioLector FlowerPlates.</w:t>
      </w:r>
      <w:r w:rsidR="002D2316"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2D2316"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2D2316" w:rsidRPr="00BA37A1">
        <w:rPr>
          <w:rFonts w:ascii="Times New Roman" w:hAnsi="Times New Roman" w:cs="Times New Roman"/>
          <w:lang w:val="en-US"/>
        </w:rPr>
        <w:fldChar w:fldCharType="end"/>
      </w:r>
      <w:r w:rsidR="002D2316" w:rsidRPr="00BA37A1">
        <w:rPr>
          <w:rFonts w:ascii="Times New Roman" w:hAnsi="Times New Roman" w:cs="Times New Roman"/>
          <w:lang w:val="en-US"/>
        </w:rPr>
        <w:t xml:space="preserve"> CYP725A4 activity and selectivity has been previously found to be highly sensitive to media composition. </w:t>
      </w:r>
      <w:r w:rsidR="002D2316"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10.1021/acschembio.5b00767","ISSN":"1554-8929","author":[{"dropping-particle":"","family":"Edgar","given":"Steven","non-dropping-particle":"","parse-names":false,"suffix":""},{"dropping-particle":"","family":"Zhou","given":"Kang","non-dropping-particle":"","parse-names":false,"suffix":""},{"dropping-particle":"","family":"Qiao","given":"Kangjian","non-dropping-particle":"","parse-names":false,"suffix":""},{"dropping-particle":"","family":"King","given":"Jason R","non-dropping-particle":"","parse-names":false,"suffix":""},{"dropping-particle":"","family":"Simpson","given":"Jeffrey H","non-dropping-particle":"","parse-names":false,"suffix":""},{"dropping-particle":"","family":"Stephanopoulos","given":"Gregory","non-dropping-particle":"","parse-names":false,"suffix":""}],"container-title":"ACS Chemical Biology","id":"ITEM-1","issue":"2","issued":{"date-parts":[["2016","2"]]},"page":"460-469","publisher":"American Chemical Society","title":"Mechanistic Insights into Taxadiene Epoxidation by Taxadiene-5α-Hydroxylase","type":"article-journal","volume":"11"},"uris":["http://www.mendeley.com/documents/?uuid=da813869-3299-4e46-858b-86fcf650f0e8"]}],"mendeley":{"formattedCitation":"&lt;sup&gt;[16]&lt;/sup&gt;","manualFormatting":"Edgar et al., 2016","plainTextFormattedCitation":"[16]","previouslyFormattedCitation":"&lt;sup&gt;[16]&lt;/sup&gt;"},"properties":{"noteIndex":0},"schema":"https://github.com/citation-style-language/schema/raw/master/csl-citation.json"}</w:instrText>
      </w:r>
      <w:r w:rsidR="002D2316" w:rsidRPr="00BA37A1">
        <w:rPr>
          <w:rFonts w:ascii="Times New Roman" w:hAnsi="Times New Roman" w:cs="Times New Roman"/>
          <w:lang w:val="en-US"/>
        </w:rPr>
        <w:fldChar w:fldCharType="separate"/>
      </w:r>
      <w:r w:rsidR="002D2316" w:rsidRPr="00BA37A1">
        <w:rPr>
          <w:rFonts w:ascii="Times New Roman" w:hAnsi="Times New Roman" w:cs="Times New Roman"/>
          <w:noProof/>
          <w:lang w:val="en-US"/>
        </w:rPr>
        <w:t>Edgar et al., 2016</w:t>
      </w:r>
      <w:r w:rsidR="002D2316" w:rsidRPr="00BA37A1">
        <w:rPr>
          <w:rFonts w:ascii="Times New Roman" w:hAnsi="Times New Roman" w:cs="Times New Roman"/>
          <w:lang w:val="en-US"/>
        </w:rPr>
        <w:fldChar w:fldCharType="end"/>
      </w:r>
      <w:r w:rsidR="002D2316" w:rsidRPr="00BA37A1">
        <w:rPr>
          <w:rFonts w:ascii="Times New Roman" w:hAnsi="Times New Roman" w:cs="Times New Roman"/>
          <w:lang w:val="en-US"/>
        </w:rPr>
        <w:t xml:space="preserve">, reported a relative increase in iso-OCT production in minimal media compared to rich media when the pathway was expressed in </w:t>
      </w:r>
      <w:r w:rsidR="002D2316" w:rsidRPr="00BA37A1">
        <w:rPr>
          <w:rFonts w:ascii="Times New Roman" w:hAnsi="Times New Roman" w:cs="Times New Roman"/>
          <w:i/>
          <w:lang w:val="en-US"/>
        </w:rPr>
        <w:t xml:space="preserve">S. cerevisiae </w:t>
      </w:r>
      <w:r w:rsidR="002D2316" w:rsidRPr="00BA37A1">
        <w:rPr>
          <w:rFonts w:ascii="Times New Roman" w:hAnsi="Times New Roman" w:cs="Times New Roman"/>
          <w:lang w:val="en-US"/>
        </w:rPr>
        <w:t xml:space="preserve">and </w:t>
      </w:r>
      <w:r w:rsidR="002D2316" w:rsidRPr="00BA37A1">
        <w:rPr>
          <w:rFonts w:ascii="Times New Roman" w:hAnsi="Times New Roman" w:cs="Times New Roman"/>
          <w:i/>
          <w:lang w:val="en-US"/>
        </w:rPr>
        <w:t>Yarrowia lipolytica</w:t>
      </w:r>
      <w:r w:rsidR="002D2316" w:rsidRPr="00BA37A1">
        <w:rPr>
          <w:rFonts w:ascii="Times New Roman" w:hAnsi="Times New Roman" w:cs="Times New Roman"/>
          <w:lang w:val="en-US"/>
        </w:rPr>
        <w:t>. Differences in media composition may have therefore contributed to the deviations in product spectra observed in this study. As</w:t>
      </w:r>
      <w:r w:rsidR="003C288C" w:rsidRPr="00BA37A1">
        <w:rPr>
          <w:rFonts w:ascii="Times New Roman" w:hAnsi="Times New Roman" w:cs="Times New Roman"/>
          <w:lang w:val="en-US"/>
        </w:rPr>
        <w:t xml:space="preserve"> in the shake flask cultivations (</w:t>
      </w:r>
      <w:r w:rsidR="00CC64BA" w:rsidRPr="00BA37A1">
        <w:rPr>
          <w:rFonts w:ascii="Times New Roman" w:hAnsi="Times New Roman" w:cs="Times New Roman"/>
          <w:lang w:val="en-US"/>
        </w:rPr>
        <w:t>Figure 3</w:t>
      </w:r>
      <w:r w:rsidR="003C288C" w:rsidRPr="00BA37A1">
        <w:rPr>
          <w:rFonts w:ascii="Times New Roman" w:hAnsi="Times New Roman" w:cs="Times New Roman"/>
          <w:lang w:val="en-US"/>
        </w:rPr>
        <w:t xml:space="preserve">C), the major oxygenated products were OCT and </w:t>
      </w:r>
      <w:r w:rsidR="009B5BA3" w:rsidRPr="00BA37A1">
        <w:rPr>
          <w:rFonts w:ascii="Times New Roman" w:hAnsi="Times New Roman" w:cs="Times New Roman"/>
          <w:lang w:val="en-US"/>
        </w:rPr>
        <w:t xml:space="preserve">Iso-OCT along with smaller quantities of diterpenoid 1 and </w:t>
      </w:r>
      <w:r w:rsidR="006F0724" w:rsidRPr="00BA37A1">
        <w:rPr>
          <w:rFonts w:ascii="Times New Roman" w:hAnsi="Times New Roman" w:cs="Times New Roman"/>
          <w:lang w:val="en-US"/>
        </w:rPr>
        <w:t xml:space="preserve">T5αol. The novel diterpenoids with retention times of 8.67 and 9.70 minutes were also detected along </w:t>
      </w:r>
      <w:r w:rsidR="006F0724" w:rsidRPr="00BA37A1">
        <w:rPr>
          <w:rFonts w:ascii="Times New Roman" w:hAnsi="Times New Roman" w:cs="Times New Roman"/>
          <w:lang w:val="en-US"/>
        </w:rPr>
        <w:lastRenderedPageBreak/>
        <w:t>with two additional peaks at 10.23 and 10.57 minutes (</w:t>
      </w:r>
      <w:r w:rsidR="00F769A6" w:rsidRPr="00BA37A1">
        <w:rPr>
          <w:rFonts w:ascii="Times New Roman" w:hAnsi="Times New Roman" w:cs="Times New Roman"/>
          <w:lang w:val="en-US"/>
        </w:rPr>
        <w:t>Supplementary Figure 3</w:t>
      </w:r>
      <w:r w:rsidR="002D2316" w:rsidRPr="00BA37A1">
        <w:rPr>
          <w:rFonts w:ascii="Times New Roman" w:hAnsi="Times New Roman" w:cs="Times New Roman"/>
          <w:lang w:val="en-US"/>
        </w:rPr>
        <w:t xml:space="preserve">). </w:t>
      </w:r>
      <w:r w:rsidR="00886851" w:rsidRPr="00BA37A1">
        <w:rPr>
          <w:rFonts w:ascii="Times New Roman" w:hAnsi="Times New Roman" w:cs="Times New Roman"/>
          <w:lang w:val="en-US"/>
        </w:rPr>
        <w:t xml:space="preserve">The </w:t>
      </w:r>
      <w:r w:rsidR="009D2607" w:rsidRPr="00BA37A1">
        <w:rPr>
          <w:rFonts w:ascii="Times New Roman" w:hAnsi="Times New Roman" w:cs="Times New Roman"/>
          <w:lang w:val="en-US"/>
        </w:rPr>
        <w:t>diagnostic T5αAc peaks at m/z 287 (P</w:t>
      </w:r>
      <w:r w:rsidR="009D2607" w:rsidRPr="00BA37A1">
        <w:rPr>
          <w:rFonts w:ascii="Times New Roman" w:hAnsi="Times New Roman" w:cs="Times New Roman"/>
          <w:vertAlign w:val="superscript"/>
          <w:lang w:val="en-US"/>
        </w:rPr>
        <w:t xml:space="preserve">+ </w:t>
      </w:r>
      <w:r w:rsidR="009D2607" w:rsidRPr="00BA37A1">
        <w:rPr>
          <w:rFonts w:ascii="Times New Roman" w:hAnsi="Times New Roman" w:cs="Times New Roman"/>
          <w:lang w:val="en-US"/>
        </w:rPr>
        <w:t>- CH</w:t>
      </w:r>
      <w:r w:rsidR="009D2607" w:rsidRPr="00BA37A1">
        <w:rPr>
          <w:rFonts w:ascii="Times New Roman" w:hAnsi="Times New Roman" w:cs="Times New Roman"/>
          <w:vertAlign w:val="subscript"/>
          <w:lang w:val="en-US"/>
        </w:rPr>
        <w:t>3</w:t>
      </w:r>
      <w:r w:rsidR="009D2607" w:rsidRPr="00BA37A1">
        <w:rPr>
          <w:rFonts w:ascii="Times New Roman" w:hAnsi="Times New Roman" w:cs="Times New Roman"/>
          <w:lang w:val="en-US"/>
        </w:rPr>
        <w:t>CO), 270 (P</w:t>
      </w:r>
      <w:r w:rsidR="009D2607" w:rsidRPr="00BA37A1">
        <w:rPr>
          <w:rFonts w:ascii="Times New Roman" w:hAnsi="Times New Roman" w:cs="Times New Roman"/>
          <w:vertAlign w:val="superscript"/>
          <w:lang w:val="en-US"/>
        </w:rPr>
        <w:t>+</w:t>
      </w:r>
      <w:r w:rsidR="009D2607" w:rsidRPr="00BA37A1">
        <w:rPr>
          <w:rFonts w:ascii="Times New Roman" w:hAnsi="Times New Roman" w:cs="Times New Roman"/>
          <w:lang w:val="en-US"/>
        </w:rPr>
        <w:t xml:space="preserve"> - CH</w:t>
      </w:r>
      <w:r w:rsidR="009D2607" w:rsidRPr="00BA37A1">
        <w:rPr>
          <w:rFonts w:ascii="Times New Roman" w:hAnsi="Times New Roman" w:cs="Times New Roman"/>
          <w:vertAlign w:val="subscript"/>
          <w:lang w:val="en-US"/>
        </w:rPr>
        <w:t>3</w:t>
      </w:r>
      <w:r w:rsidR="009D2607" w:rsidRPr="00BA37A1">
        <w:rPr>
          <w:rFonts w:ascii="Times New Roman" w:hAnsi="Times New Roman" w:cs="Times New Roman"/>
          <w:lang w:val="en-US"/>
        </w:rPr>
        <w:t>COOH) and 255 (P</w:t>
      </w:r>
      <w:r w:rsidR="009D2607" w:rsidRPr="00BA37A1">
        <w:rPr>
          <w:rFonts w:ascii="Times New Roman" w:hAnsi="Times New Roman" w:cs="Times New Roman"/>
          <w:vertAlign w:val="superscript"/>
          <w:lang w:val="en-US"/>
        </w:rPr>
        <w:t>+</w:t>
      </w:r>
      <w:r w:rsidR="009D2607" w:rsidRPr="00BA37A1">
        <w:rPr>
          <w:rFonts w:ascii="Times New Roman" w:hAnsi="Times New Roman" w:cs="Times New Roman"/>
          <w:lang w:val="en-US"/>
        </w:rPr>
        <w:t>-CH</w:t>
      </w:r>
      <w:r w:rsidR="009D2607" w:rsidRPr="00BA37A1">
        <w:rPr>
          <w:rFonts w:ascii="Times New Roman" w:hAnsi="Times New Roman" w:cs="Times New Roman"/>
          <w:vertAlign w:val="subscript"/>
          <w:lang w:val="en-US"/>
        </w:rPr>
        <w:t>3</w:t>
      </w:r>
      <w:r w:rsidR="009D2607" w:rsidRPr="00BA37A1">
        <w:rPr>
          <w:rFonts w:ascii="Times New Roman" w:hAnsi="Times New Roman" w:cs="Times New Roman"/>
          <w:lang w:val="en-US"/>
        </w:rPr>
        <w:t>COOHCH</w:t>
      </w:r>
      <w:r w:rsidR="009D2607" w:rsidRPr="00BA37A1">
        <w:rPr>
          <w:rFonts w:ascii="Times New Roman" w:hAnsi="Times New Roman" w:cs="Times New Roman"/>
          <w:vertAlign w:val="subscript"/>
          <w:lang w:val="en-US"/>
        </w:rPr>
        <w:t>3</w:t>
      </w:r>
      <w:r w:rsidR="009D2607" w:rsidRPr="00BA37A1">
        <w:rPr>
          <w:rFonts w:ascii="Times New Roman" w:hAnsi="Times New Roman" w:cs="Times New Roman"/>
          <w:lang w:val="en-US"/>
        </w:rPr>
        <w:t xml:space="preserve">) </w:t>
      </w:r>
      <w:r w:rsidR="009D2607"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{"citationItems":[{"id":"ITEM-1","itemData":{"DOI":"https://doi.org/10.1006/abbi.1999.1125","ISSN":"0003-9861","abstract":"The acetylation of taxa-4(20),11(12)-dien-5α-ol is considered to be the third specific step of Taxol biosynthesis that precedes further hydroxylation of the taxane nucleus. An operationally soluble acetyl CoA:taxadienol-O-acetyl transferase was demonstrated in extracts ofTaxus canadensisandTaxus cuspidatacells induced with methyl jasmonate to produce Taxol. The reaction was dependent on both cosubstrates and active enzyme, and the product of this acetyl transferase was identified by radiochromatographic and GC-MS analysis. Following determination of the time course of acetyl transferase appearance in induced cell cultures, the operationally soluble enzyme was partially purified by a combination of anion exchange, hydrophobic interaction, and affinity chromatography on immobilized coenzyme A resin. This acetyl transferase has a pIand pH optimum of 4.7 and 9.0, respectively, and a molecular weight of about 50,000 as determined by gel permeation chromatography. The enzyme shows high selectivity and high affinity for both cosubstrates, withKmvalues of 4.2 and 5.5 μM for taxadienol and acetyl CoA, respectively. The enzyme does not acetylate the more advanced Taxol precursors, 10-deacetylbaccatin III or baccatin III. This acetyl transferase is insensitive to monovalent and divalent metal ions, is only weakly inhibited byp-hydroxymercuribenzoate,N-ethylmaleimide, and coenzyme A, and resembles in general properties the few otherO-acetyl transferases of higher plant origin that have been examined.","author":[{"dropping-particle":"","family":"Walker","given":"Kevin","non-dropping-particle":"","parse-names":false,"suffix":""},{"dropping-particle":"","family":"Ketchum","given":"Raymond E B","non-dropping-particle":"","parse-names":false,"suffix":""},{"dropping-particle":"","family":"Hezari","given":"Mehri","non-dropping-particle":"","parse-names":false,"suffix":""},{"dropping-particle":"","family":"Gatfield","given":"David","non-dropping-particle":"","parse-names":false,"suffix":""},{"dropping-particle":"","family":"Goleniowski","given":"Marta","non-dropping-particle":"","parse-names":false,"suffix":""},{"dropping-particle":"","family":"Barthol","given":"Ann","non-dropping-particle":"","parse-names":false,"suffix":""},{"dropping-particle":"","family":"Croteau","given":"Rodney","non-dropping-particle":"","parse-names":false,"suffix":""}],"container-title":"Archives of Biochemistry and Biophysics","id":"ITEM-1","issue":"2","issued":{"date-parts":[["1999"]]},"page":"273-279","title":"Partial Purification and Characterization of Acetyl Coenzyme A: Taxa-4(20),11(12)-dien-5α-olO-Acetyl Transferase That Catalyzes the First Acylation Step of Taxol Biosynthesis","type":"article-journal","volume":"364"},"uris":["http://www.mendeley.com/documents/?uuid=2e21e3e3-49fd-4fa4-82c0-d37ffc218313"]}],"mendeley":{"formattedCitation":"&lt;sup&gt;[14]&lt;/sup&gt;","plainTextFormattedCitation":"[14]","previouslyFormattedCitation":"&lt;sup&gt;[14]&lt;/sup&gt;"},"properties":{"noteIndex":0},"schema":"https://github.com/citation-style-language/schema/raw/master/csl-citation.json"}</w:instrText>
      </w:r>
      <w:r w:rsidR="009D2607"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[14]</w:t>
      </w:r>
      <w:r w:rsidR="009D2607" w:rsidRPr="00BA37A1">
        <w:rPr>
          <w:rFonts w:ascii="Times New Roman" w:hAnsi="Times New Roman" w:cs="Times New Roman"/>
          <w:lang w:val="en-US"/>
        </w:rPr>
        <w:fldChar w:fldCharType="end"/>
      </w:r>
      <w:r w:rsidR="009D2607" w:rsidRPr="00BA37A1">
        <w:rPr>
          <w:rFonts w:ascii="Times New Roman" w:hAnsi="Times New Roman" w:cs="Times New Roman"/>
          <w:lang w:val="en-US"/>
        </w:rPr>
        <w:t xml:space="preserve"> were observed in the  </w:t>
      </w:r>
      <w:r w:rsidR="00886851" w:rsidRPr="00BA37A1">
        <w:rPr>
          <w:rFonts w:ascii="Times New Roman" w:hAnsi="Times New Roman" w:cs="Times New Roman"/>
          <w:lang w:val="en-US"/>
        </w:rPr>
        <w:t>mass spectra of the peak at 9.43</w:t>
      </w:r>
      <w:r w:rsidR="00541785" w:rsidRPr="00BA37A1">
        <w:rPr>
          <w:rFonts w:ascii="Times New Roman" w:hAnsi="Times New Roman" w:cs="Times New Roman"/>
          <w:lang w:val="en-US"/>
        </w:rPr>
        <w:t xml:space="preserve"> (</w:t>
      </w:r>
      <w:r w:rsidR="00F769A6" w:rsidRPr="00BA37A1">
        <w:rPr>
          <w:rFonts w:ascii="Times New Roman" w:hAnsi="Times New Roman" w:cs="Times New Roman"/>
          <w:lang w:val="en-US"/>
        </w:rPr>
        <w:t>Supplementary Figure 4</w:t>
      </w:r>
      <w:r w:rsidR="00541785" w:rsidRPr="00BA37A1">
        <w:rPr>
          <w:rFonts w:ascii="Times New Roman" w:hAnsi="Times New Roman" w:cs="Times New Roman"/>
          <w:lang w:val="en-US"/>
        </w:rPr>
        <w:t>)</w:t>
      </w:r>
      <w:r w:rsidR="003A2A78" w:rsidRPr="00BA37A1">
        <w:rPr>
          <w:rFonts w:ascii="Times New Roman" w:hAnsi="Times New Roman" w:cs="Times New Roman"/>
          <w:lang w:val="en-US"/>
        </w:rPr>
        <w:t>. However, a</w:t>
      </w:r>
      <w:r w:rsidR="009D2607" w:rsidRPr="00BA37A1">
        <w:rPr>
          <w:rFonts w:ascii="Times New Roman" w:hAnsi="Times New Roman" w:cs="Times New Roman"/>
          <w:lang w:val="en-US"/>
        </w:rPr>
        <w:t xml:space="preserve"> large peak at</w:t>
      </w:r>
      <w:r w:rsidR="00886851" w:rsidRPr="00BA37A1">
        <w:rPr>
          <w:rFonts w:ascii="Times New Roman" w:hAnsi="Times New Roman" w:cs="Times New Roman"/>
          <w:lang w:val="en-US"/>
        </w:rPr>
        <w:t xml:space="preserve"> </w:t>
      </w:r>
      <w:r w:rsidR="009D2607" w:rsidRPr="00BA37A1">
        <w:rPr>
          <w:rFonts w:ascii="Times New Roman" w:hAnsi="Times New Roman" w:cs="Times New Roman"/>
          <w:lang w:val="en-US"/>
        </w:rPr>
        <w:t>245 was also detected along with peaks at m/z 304 and 286 (P</w:t>
      </w:r>
      <w:r w:rsidR="009D2607" w:rsidRPr="00BA37A1">
        <w:rPr>
          <w:rFonts w:ascii="Times New Roman" w:hAnsi="Times New Roman" w:cs="Times New Roman"/>
          <w:vertAlign w:val="superscript"/>
          <w:lang w:val="en-US"/>
        </w:rPr>
        <w:t>+</w:t>
      </w:r>
      <w:r w:rsidR="009D2607" w:rsidRPr="00BA37A1">
        <w:rPr>
          <w:rFonts w:ascii="Times New Roman" w:hAnsi="Times New Roman" w:cs="Times New Roman"/>
          <w:lang w:val="en-US"/>
        </w:rPr>
        <w:t>-H</w:t>
      </w:r>
      <w:r w:rsidR="009D2607" w:rsidRPr="00BA37A1">
        <w:rPr>
          <w:rFonts w:ascii="Times New Roman" w:hAnsi="Times New Roman" w:cs="Times New Roman"/>
          <w:vertAlign w:val="subscript"/>
          <w:lang w:val="en-US"/>
        </w:rPr>
        <w:t>2</w:t>
      </w:r>
      <w:r w:rsidR="009D2607" w:rsidRPr="00BA37A1">
        <w:rPr>
          <w:rFonts w:ascii="Times New Roman" w:hAnsi="Times New Roman" w:cs="Times New Roman"/>
          <w:lang w:val="en-US"/>
        </w:rPr>
        <w:t>O), which are characteristic of taxa</w:t>
      </w:r>
      <w:r w:rsidR="00541785" w:rsidRPr="00BA37A1">
        <w:rPr>
          <w:rFonts w:ascii="Times New Roman" w:hAnsi="Times New Roman" w:cs="Times New Roman"/>
          <w:lang w:val="en-US"/>
        </w:rPr>
        <w:t>diendiol. Therefore, although T5αAc was likely produced in the BioLector cultivations, accurate quantification was not possible due to co-elution with the di-oxygenated compound</w:t>
      </w:r>
      <w:r w:rsidR="005E6A4C">
        <w:rPr>
          <w:rFonts w:ascii="Times New Roman" w:hAnsi="Times New Roman" w:cs="Times New Roman"/>
          <w:lang w:val="en-US"/>
        </w:rPr>
        <w:t>.</w:t>
      </w:r>
      <w:r w:rsidR="00F004CD"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F004CD"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F004CD" w:rsidRPr="00BA37A1">
        <w:rPr>
          <w:rFonts w:ascii="Times New Roman" w:hAnsi="Times New Roman" w:cs="Times New Roman"/>
          <w:lang w:val="en-US"/>
        </w:rPr>
        <w:fldChar w:fldCharType="end"/>
      </w:r>
    </w:p>
    <w:p w14:paraId="785DC4BF" w14:textId="6AAD533C" w:rsidR="003C288C" w:rsidRPr="00BA37A1" w:rsidRDefault="002D2316"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Although the initial pH of the cultivation medium was adjusted to pH 6,</w:t>
      </w:r>
      <w:r w:rsidR="00225CD5" w:rsidRPr="00BA37A1">
        <w:rPr>
          <w:rFonts w:ascii="Times New Roman" w:hAnsi="Times New Roman" w:cs="Times New Roman"/>
          <w:lang w:val="en-US"/>
        </w:rPr>
        <w:t xml:space="preserve"> </w:t>
      </w:r>
      <w:r w:rsidRPr="00BA37A1">
        <w:rPr>
          <w:rFonts w:ascii="Times New Roman" w:hAnsi="Times New Roman" w:cs="Times New Roman"/>
          <w:lang w:val="en-US"/>
        </w:rPr>
        <w:t xml:space="preserve">acidification of the cultivation medium </w:t>
      </w:r>
      <w:r w:rsidR="00225CD5" w:rsidRPr="00BA37A1">
        <w:rPr>
          <w:rFonts w:ascii="Times New Roman" w:hAnsi="Times New Roman" w:cs="Times New Roman"/>
          <w:lang w:val="en-US"/>
        </w:rPr>
        <w:t>was observed</w:t>
      </w:r>
      <w:r w:rsidRPr="00BA37A1">
        <w:rPr>
          <w:rFonts w:ascii="Times New Roman" w:hAnsi="Times New Roman" w:cs="Times New Roman"/>
          <w:lang w:val="en-US"/>
        </w:rPr>
        <w:t xml:space="preserve"> </w:t>
      </w:r>
      <w:r w:rsidR="000D7383" w:rsidRPr="00BA37A1">
        <w:rPr>
          <w:rFonts w:ascii="Times New Roman" w:hAnsi="Times New Roman" w:cs="Times New Roman"/>
          <w:lang w:val="en-US"/>
        </w:rPr>
        <w:t>(Figure 4C</w:t>
      </w:r>
      <w:r w:rsidRPr="00BA37A1">
        <w:rPr>
          <w:rFonts w:ascii="Times New Roman" w:hAnsi="Times New Roman" w:cs="Times New Roman"/>
          <w:lang w:val="en-US"/>
        </w:rPr>
        <w:t>).</w:t>
      </w:r>
      <w:r w:rsidR="00225CD5" w:rsidRPr="00BA37A1">
        <w:rPr>
          <w:rFonts w:ascii="Times New Roman" w:hAnsi="Times New Roman" w:cs="Times New Roman"/>
          <w:lang w:val="en-US"/>
        </w:rPr>
        <w:t xml:space="preserve"> The rate of acidification was greater in the higher yielding treatments (6,9,11,12), with a rapid decrease in pH to between 5.1 and 5.3 observed in the first 30 hours of cultivation.</w:t>
      </w:r>
      <w:r w:rsidR="00970E2E" w:rsidRPr="00BA37A1">
        <w:rPr>
          <w:rFonts w:ascii="Times New Roman" w:hAnsi="Times New Roman" w:cs="Times New Roman"/>
          <w:lang w:val="en-US"/>
        </w:rPr>
        <w:t xml:space="preserve"> This was considerably lower than the minimum pH of 5.98 ± 0.04 detected in the standard YPG cultivation (</w:t>
      </w:r>
      <w:r w:rsidR="00F769A6" w:rsidRPr="00BA37A1">
        <w:rPr>
          <w:rFonts w:ascii="Times New Roman" w:hAnsi="Times New Roman" w:cs="Times New Roman"/>
          <w:lang w:val="en-US"/>
        </w:rPr>
        <w:t>Figure 2</w:t>
      </w:r>
      <w:r w:rsidR="00970E2E" w:rsidRPr="00BA37A1">
        <w:rPr>
          <w:rFonts w:ascii="Times New Roman" w:hAnsi="Times New Roman" w:cs="Times New Roman"/>
          <w:lang w:val="en-US"/>
        </w:rPr>
        <w:t>).</w:t>
      </w:r>
      <w:r w:rsidR="008C4DAA" w:rsidRPr="00BA37A1">
        <w:rPr>
          <w:rFonts w:ascii="Times New Roman" w:hAnsi="Times New Roman" w:cs="Times New Roman"/>
          <w:lang w:val="en-US"/>
        </w:rPr>
        <w:t xml:space="preserve"> </w:t>
      </w:r>
      <w:r w:rsidR="00A73A44" w:rsidRPr="00BA37A1">
        <w:rPr>
          <w:rFonts w:ascii="Times New Roman" w:hAnsi="Times New Roman" w:cs="Times New Roman"/>
          <w:lang w:val="en-US"/>
        </w:rPr>
        <w:t xml:space="preserve">Metabolism of galactose by </w:t>
      </w:r>
      <w:r w:rsidR="00A73A44" w:rsidRPr="00BA37A1">
        <w:rPr>
          <w:rFonts w:ascii="Times New Roman" w:hAnsi="Times New Roman" w:cs="Times New Roman"/>
          <w:i/>
          <w:lang w:val="en-US"/>
        </w:rPr>
        <w:t>LRS6</w:t>
      </w:r>
      <w:r w:rsidR="00A73A44" w:rsidRPr="00BA37A1">
        <w:rPr>
          <w:rFonts w:ascii="Times New Roman" w:hAnsi="Times New Roman" w:cs="Times New Roman"/>
          <w:lang w:val="en-US"/>
        </w:rPr>
        <w:t xml:space="preserve"> is respiratory-fermentative, during fermentative growth the yeast acidifies the cultivation medium through a combination of proton pumping and organic acid secretion</w:t>
      </w:r>
      <w:r w:rsidR="005E6A4C">
        <w:rPr>
          <w:rFonts w:ascii="Times New Roman" w:hAnsi="Times New Roman" w:cs="Times New Roman"/>
          <w:lang w:val="en-US"/>
        </w:rPr>
        <w:t>.</w:t>
      </w:r>
      <w:r w:rsidR="00A73A44"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{"citationItems":[{"id":"ITEM-1","itemData":{"DOI":"10.3390/beverages2040030","ISBN":"2306-5710","abstract":"Alcoholic beverages are produced following the fermentation of sugars by yeasts, mainly (but not exclusively) strains of the species, Saccharomyces cerevisiae. The sugary starting materials may emanate from cereal starches (which require enzymatic pre-hydrolysis) in the case of beers and whiskies, sucrose-rich plants (molasses or sugar juice from sugarcane) in the case of rums, or from fruits (which do not require pre-hydrolysis) in the case of wines and brandies. In the presence of sugars, together with other essential nutrients such as amino acids, minerals and vitamins, S. cerevisiae will conduct fermentative metabolism to ethanol and carbon dioxide (as the primary fermentation metabolites) as the cells strive to make energy and regenerate the coenzyme NAD+ under anaerobic conditions. Yeasts will also produce numerous secondary metabolites which act as important beverage flavour congeners, including higher alcohols, esters, carbonyls and sulphur compounds. These are very important in dictating the final flavour and aroma characteristics of beverages such as beer and wine, but also in distilled beverages such as whisky, rum and brandy. Therefore, yeasts are of vital importance in providing the alcohol content and the sensory profiles of such beverages. This Introductory Chapter reviews, in general, the growth, physiology and metabolism of S. cerevisiae in alcoholic beverage fermentations.","author":[{"dropping-particle":"","family":"Walker","given":"M Graeme","non-dropping-particle":"","parse-names":false,"suffix":""},{"dropping-particle":"","family":"Stewart","given":"G Graham","non-dropping-particle":"","parse-names":false,"suffix":""}],"container-title":"Beverages ","id":"ITEM-1","issue":"4","issued":{"date-parts":[["2016"]]},"title":"Saccharomyces cerevisiae in the Production of Fermented Beverages","type":"article","volume":"2"},"uris":["http://www.mendeley.com/documents/?uuid=112ea27a-71b7-442b-be0d-4794360b2c92"]}],"mendeley":{"formattedCitation":"&lt;sup&gt;[31]&lt;/sup&gt;","plainTextFormattedCitation":"[31]","previouslyFormattedCitation":"&lt;sup&gt;[31]&lt;/sup&gt;"},"properties":{"noteIndex":0},"schema":"https://github.com/citation-style-language/schema/raw/master/csl-citation.json"}</w:instrText>
      </w:r>
      <w:r w:rsidR="00A73A44"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[31]</w:t>
      </w:r>
      <w:r w:rsidR="00A73A44" w:rsidRPr="00BA37A1">
        <w:rPr>
          <w:rFonts w:ascii="Times New Roman" w:hAnsi="Times New Roman" w:cs="Times New Roman"/>
          <w:lang w:val="en-US"/>
        </w:rPr>
        <w:fldChar w:fldCharType="end"/>
      </w:r>
      <w:r w:rsidR="00A73A44" w:rsidRPr="00BA37A1">
        <w:rPr>
          <w:rFonts w:ascii="Times New Roman" w:hAnsi="Times New Roman" w:cs="Times New Roman"/>
          <w:lang w:val="en-US"/>
        </w:rPr>
        <w:t xml:space="preserve"> As t</w:t>
      </w:r>
      <w:r w:rsidR="004D4FE9" w:rsidRPr="00BA37A1">
        <w:rPr>
          <w:rFonts w:ascii="Times New Roman" w:hAnsi="Times New Roman" w:cs="Times New Roman"/>
          <w:lang w:val="en-US"/>
        </w:rPr>
        <w:t>he</w:t>
      </w:r>
      <w:r w:rsidR="00A73A44" w:rsidRPr="00BA37A1">
        <w:rPr>
          <w:rFonts w:ascii="Times New Roman" w:hAnsi="Times New Roman" w:cs="Times New Roman"/>
          <w:lang w:val="en-US"/>
        </w:rPr>
        <w:t xml:space="preserve"> initial concentrations of galactose and biomass were at the high level of 50 g/L and OD</w:t>
      </w:r>
      <w:r w:rsidR="00A73A44" w:rsidRPr="00BA37A1">
        <w:rPr>
          <w:rFonts w:ascii="Times New Roman" w:hAnsi="Times New Roman" w:cs="Times New Roman"/>
          <w:vertAlign w:val="subscript"/>
          <w:lang w:val="en-US"/>
        </w:rPr>
        <w:t xml:space="preserve">600 </w:t>
      </w:r>
      <w:r w:rsidR="00A73A44" w:rsidRPr="00BA37A1">
        <w:rPr>
          <w:rFonts w:ascii="Times New Roman" w:hAnsi="Times New Roman" w:cs="Times New Roman"/>
          <w:lang w:val="en-US"/>
        </w:rPr>
        <w:t>= 1 for factor combinations 6, 9, 11 and 12, the rate of fermentation was likely greater in these cultiva</w:t>
      </w:r>
      <w:r w:rsidR="008C4DAA" w:rsidRPr="00BA37A1">
        <w:rPr>
          <w:rFonts w:ascii="Times New Roman" w:hAnsi="Times New Roman" w:cs="Times New Roman"/>
          <w:lang w:val="en-US"/>
        </w:rPr>
        <w:t xml:space="preserve">tions resulting in an increased rate of acidification. </w:t>
      </w:r>
      <w:r w:rsidR="004A7AA1" w:rsidRPr="00BA37A1">
        <w:rPr>
          <w:rFonts w:ascii="Times New Roman" w:hAnsi="Times New Roman" w:cs="Times New Roman"/>
          <w:lang w:val="en-US"/>
        </w:rPr>
        <w:t>The rate of acidification was much lower during the lower yielding treatments (4, 5, 13, 14, 15, 17), likely due to the reduced growth and fermentation rates, with the minimum pH observed at the end of the 72 hour cultivation.</w:t>
      </w:r>
      <w:r w:rsidR="00541785" w:rsidRPr="00BA37A1">
        <w:rPr>
          <w:rFonts w:ascii="Times New Roman" w:hAnsi="Times New Roman" w:cs="Times New Roman"/>
          <w:lang w:val="en-US"/>
        </w:rPr>
        <w:t xml:space="preserve"> Interestingly, diterpenoid 1 was the sole oxygenated product detected</w:t>
      </w:r>
      <w:r w:rsidR="00934498" w:rsidRPr="00BA37A1">
        <w:rPr>
          <w:rFonts w:ascii="Times New Roman" w:hAnsi="Times New Roman" w:cs="Times New Roman"/>
          <w:lang w:val="en-US"/>
        </w:rPr>
        <w:t xml:space="preserve"> in</w:t>
      </w:r>
      <w:r w:rsidR="00541785" w:rsidRPr="00BA37A1">
        <w:rPr>
          <w:rFonts w:ascii="Times New Roman" w:hAnsi="Times New Roman" w:cs="Times New Roman"/>
          <w:lang w:val="en-US"/>
        </w:rPr>
        <w:t xml:space="preserve"> these cultivations (4, 5, 13, 14, 15, 17; </w:t>
      </w:r>
      <w:r w:rsidR="00541785" w:rsidRPr="00BA37A1">
        <w:rPr>
          <w:rFonts w:ascii="Times New Roman" w:hAnsi="Times New Roman" w:cs="Times New Roman"/>
          <w:lang w:val="en-US"/>
        </w:rPr>
        <w:fldChar w:fldCharType="begin"/>
      </w:r>
      <w:r w:rsidR="00541785" w:rsidRPr="00BA37A1">
        <w:rPr>
          <w:rFonts w:ascii="Times New Roman" w:hAnsi="Times New Roman" w:cs="Times New Roman"/>
          <w:lang w:val="en-US"/>
        </w:rPr>
        <w:instrText xml:space="preserve"> REF _Ref60750669 \h </w:instrText>
      </w:r>
      <w:r w:rsidR="00906DE0" w:rsidRPr="00BA37A1">
        <w:rPr>
          <w:rFonts w:ascii="Times New Roman" w:hAnsi="Times New Roman" w:cs="Times New Roman"/>
          <w:lang w:val="en-US"/>
        </w:rPr>
        <w:instrText xml:space="preserve"> \* MERGEFORMAT </w:instrText>
      </w:r>
      <w:r w:rsidR="00541785" w:rsidRPr="00BA37A1">
        <w:rPr>
          <w:rFonts w:ascii="Times New Roman" w:hAnsi="Times New Roman" w:cs="Times New Roman"/>
          <w:lang w:val="en-US"/>
        </w:rPr>
      </w:r>
      <w:r w:rsidR="00541785" w:rsidRPr="00BA37A1">
        <w:rPr>
          <w:rFonts w:ascii="Times New Roman" w:hAnsi="Times New Roman" w:cs="Times New Roman"/>
          <w:lang w:val="en-US"/>
        </w:rPr>
        <w:fldChar w:fldCharType="separate"/>
      </w:r>
      <w:r w:rsidR="00747B85" w:rsidRPr="00BA37A1">
        <w:rPr>
          <w:rFonts w:ascii="Times New Roman" w:hAnsi="Times New Roman" w:cs="Times New Roman"/>
          <w:lang w:val="en-US"/>
        </w:rPr>
        <w:t>Figure 4</w:t>
      </w:r>
      <w:r w:rsidR="00541785" w:rsidRPr="00BA37A1">
        <w:rPr>
          <w:rFonts w:ascii="Times New Roman" w:hAnsi="Times New Roman" w:cs="Times New Roman"/>
          <w:lang w:val="en-US"/>
        </w:rPr>
        <w:fldChar w:fldCharType="end"/>
      </w:r>
      <w:r w:rsidR="00747B85" w:rsidRPr="00BA37A1">
        <w:rPr>
          <w:rFonts w:ascii="Times New Roman" w:hAnsi="Times New Roman" w:cs="Times New Roman"/>
          <w:lang w:val="en-US"/>
        </w:rPr>
        <w:t>D</w:t>
      </w:r>
      <w:r w:rsidR="001D2153" w:rsidRPr="00BA37A1">
        <w:rPr>
          <w:rFonts w:ascii="Times New Roman" w:hAnsi="Times New Roman" w:cs="Times New Roman"/>
          <w:lang w:val="en-US"/>
        </w:rPr>
        <w:t xml:space="preserve"> and </w:t>
      </w:r>
      <w:r w:rsidR="00356FB5" w:rsidRPr="00BA37A1">
        <w:rPr>
          <w:rFonts w:ascii="Times New Roman" w:hAnsi="Times New Roman" w:cs="Times New Roman"/>
          <w:lang w:val="en-US"/>
        </w:rPr>
        <w:t>Supplementary Figure 5A</w:t>
      </w:r>
      <w:r w:rsidR="00541785" w:rsidRPr="00BA37A1">
        <w:rPr>
          <w:rFonts w:ascii="Times New Roman" w:hAnsi="Times New Roman" w:cs="Times New Roman"/>
          <w:lang w:val="en-US"/>
        </w:rPr>
        <w:t>).</w:t>
      </w:r>
      <w:r w:rsidR="004A7AA1" w:rsidRPr="00BA37A1">
        <w:rPr>
          <w:rFonts w:ascii="Times New Roman" w:hAnsi="Times New Roman" w:cs="Times New Roman"/>
          <w:lang w:val="en-US"/>
        </w:rPr>
        <w:t xml:space="preserve"> </w:t>
      </w:r>
      <w:r w:rsidR="008C4DAA" w:rsidRPr="00BA37A1">
        <w:rPr>
          <w:rFonts w:ascii="Times New Roman" w:hAnsi="Times New Roman" w:cs="Times New Roman"/>
          <w:lang w:val="en-US"/>
        </w:rPr>
        <w:t xml:space="preserve">In addition, the </w:t>
      </w:r>
      <w:r w:rsidR="004D4FE9" w:rsidRPr="00BA37A1">
        <w:rPr>
          <w:rFonts w:ascii="Times New Roman" w:hAnsi="Times New Roman" w:cs="Times New Roman"/>
          <w:lang w:val="en-US"/>
        </w:rPr>
        <w:t xml:space="preserve">buffering capacity of yeast extract peptone medium has been found to be greater than that of defined medium supplemented with amino acids </w:t>
      </w:r>
      <w:r w:rsidR="004D4FE9"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{"citationItems":[{"id":"ITEM-1","itemData":{"DOI":"10.1128/aem.68.4.1616-1623.2002","ISSN":"0099-2240","abstract":"Acetic acid (167 mM) and lactic acid (548 mM) completely inhibited growth of Saccharomyces cerevisiae both in minimal medium and in media which contained supplements, such as yeast extract, corn steep powder, or a mixture of amino acids. However, the yeast grew when the pH of the medium containing acetic acid or lactic acid was adjusted to 4.5, even though the medium still contained the undissociated form of either acid at a concentration of 102 mM. The results indicated that the buffer pair formed when the pH was adjusted to 4.5 stabilized the pH of the medium by sequestering protons and by lessening the negative impact of the pH drop on yeast growth, and it also decreased the difference between the extracellular and intracellular pH values (Delta(pH)), the driving force for the intracellular accumulation of acid. Increasing the undissociated acetic acid concentration at pH 4.5 to 163 mM by raising the concentration of the total acid to 267 mM did not increase inhibition. It is suggested that this may be the direct result of decreased acidification of the cytosol because of the intracellular buffering by the buffer pair formed from the acid already accumulated. At a concentration of 102 mM undissociated acetic acid, the yeast grew to higher cell density at pH 3.0 than at pH 4.5, suggesting that it is the total concentration of acetic acid (104 mM at pH 3.0 and 167 mM at pH 4.5) that determines the extent of growth inhibition, not the concentration of undissociated acid alone.","author":[{"dropping-particle":"","family":"Thomas","given":"K C","non-dropping-particle":"","parse-names":false,"suffix":""},{"dropping-particle":"","family":"Hynes","given":"S H","non-dropping-particle":"","parse-names":false,"suffix":""},{"dropping-particle":"","family":"Ingledew","given":"W M","non-dropping-particle":"","parse-names":false,"suffix":""}],"container-title":"Applied and environmental microbiology","id":"ITEM-1","issue":"4","issued":{"date-parts":[["2002","4"]]},"language":"eng","page":"1616-1623","publisher":"American Society for Microbiology","title":"Influence of medium buffering capacity on inhibition of Saccharomyces cerevisiae growth by acetic and lactic acids","type":"article-journal","volume":"68"},"uris":["http://www.mendeley.com/documents/?uuid=97cbb421-db5d-4c34-ae40-d17eda321c97"]}],"mendeley":{"formattedCitation":"&lt;sup&gt;[32]&lt;/sup&gt;","plainTextFormattedCitation":"[32]","previouslyFormattedCitation":"&lt;sup&gt;[32]&lt;/sup&gt;"},"properties":{"noteIndex":0},"schema":"https://github.com/citation-style-language/schema/raw/master/csl-citation.json"}</w:instrText>
      </w:r>
      <w:r w:rsidR="004D4FE9"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[32]</w:t>
      </w:r>
      <w:r w:rsidR="004D4FE9" w:rsidRPr="00BA37A1">
        <w:rPr>
          <w:rFonts w:ascii="Times New Roman" w:hAnsi="Times New Roman" w:cs="Times New Roman"/>
          <w:lang w:val="en-US"/>
        </w:rPr>
        <w:fldChar w:fldCharType="end"/>
      </w:r>
      <w:r w:rsidR="008C4DAA" w:rsidRPr="00BA37A1">
        <w:rPr>
          <w:rFonts w:ascii="Times New Roman" w:hAnsi="Times New Roman" w:cs="Times New Roman"/>
          <w:lang w:val="en-US"/>
        </w:rPr>
        <w:t>, which may have contributed to the increased acidification.</w:t>
      </w:r>
      <w:r w:rsidR="004A7AA1" w:rsidRPr="00BA37A1">
        <w:rPr>
          <w:rFonts w:ascii="Times New Roman" w:hAnsi="Times New Roman" w:cs="Times New Roman"/>
          <w:lang w:val="en-US"/>
        </w:rPr>
        <w:t xml:space="preserve"> </w:t>
      </w:r>
      <w:r w:rsidR="006C7246" w:rsidRPr="00BA37A1">
        <w:rPr>
          <w:rFonts w:ascii="Times New Roman" w:hAnsi="Times New Roman" w:cs="Times New Roman"/>
          <w:lang w:val="en-US"/>
        </w:rPr>
        <w:t xml:space="preserve">The </w:t>
      </w:r>
      <w:r w:rsidR="006C7246" w:rsidRPr="00BA37A1">
        <w:rPr>
          <w:rFonts w:ascii="Times New Roman" w:hAnsi="Times New Roman" w:cs="Times New Roman"/>
          <w:i/>
          <w:lang w:val="en-US"/>
        </w:rPr>
        <w:t xml:space="preserve">CYP725A4 </w:t>
      </w:r>
      <w:r w:rsidR="006C7246" w:rsidRPr="00BA37A1">
        <w:rPr>
          <w:rFonts w:ascii="Times New Roman" w:hAnsi="Times New Roman" w:cs="Times New Roman"/>
          <w:lang w:val="en-US"/>
        </w:rPr>
        <w:t>enzyme has been previously found to be highly sensitive to deviations in pH. A dramatic reduction in enzyme activity was observed when the pH of the cultivation medium dropped to 4.9 during an uncontrolled bioreactor cultivation of the strain</w:t>
      </w:r>
      <w:r w:rsidR="005E6A4C">
        <w:rPr>
          <w:rFonts w:ascii="Times New Roman" w:hAnsi="Times New Roman" w:cs="Times New Roman"/>
          <w:lang w:val="en-US"/>
        </w:rPr>
        <w:t>.</w:t>
      </w:r>
      <w:r w:rsidR="006C7246"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6C7246"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6C7246" w:rsidRPr="00BA37A1">
        <w:rPr>
          <w:rFonts w:ascii="Times New Roman" w:hAnsi="Times New Roman" w:cs="Times New Roman"/>
          <w:lang w:val="en-US"/>
        </w:rPr>
        <w:fldChar w:fldCharType="end"/>
      </w:r>
      <w:r w:rsidR="006C7246" w:rsidRPr="00BA37A1">
        <w:rPr>
          <w:rFonts w:ascii="Times New Roman" w:hAnsi="Times New Roman" w:cs="Times New Roman"/>
          <w:lang w:val="en-US"/>
        </w:rPr>
        <w:t xml:space="preserve"> The fluctuations in the external pH of the cultivation medium may have therefore contributed to the deviations in enzyme selectivity observed in </w:t>
      </w:r>
      <w:r w:rsidR="00536D82" w:rsidRPr="00BA37A1">
        <w:rPr>
          <w:rFonts w:ascii="Times New Roman" w:hAnsi="Times New Roman" w:cs="Times New Roman"/>
          <w:lang w:val="en-US"/>
        </w:rPr>
        <w:t xml:space="preserve">defined medium at microscale. </w:t>
      </w:r>
      <w:r w:rsidR="008C4DAA" w:rsidRPr="00BA37A1">
        <w:rPr>
          <w:rFonts w:ascii="Times New Roman" w:hAnsi="Times New Roman" w:cs="Times New Roman"/>
          <w:lang w:val="en-US"/>
        </w:rPr>
        <w:t>Be</w:t>
      </w:r>
      <w:r w:rsidR="00103463" w:rsidRPr="00BA37A1">
        <w:rPr>
          <w:rFonts w:ascii="Times New Roman" w:hAnsi="Times New Roman" w:cs="Times New Roman"/>
          <w:lang w:val="en-US"/>
        </w:rPr>
        <w:t>tween 30 and 72 hours a gradual increase in pH toward the initial pH of 6 was</w:t>
      </w:r>
      <w:r w:rsidR="00636A41" w:rsidRPr="00BA37A1">
        <w:rPr>
          <w:rFonts w:ascii="Times New Roman" w:hAnsi="Times New Roman" w:cs="Times New Roman"/>
          <w:lang w:val="en-US"/>
        </w:rPr>
        <w:t xml:space="preserve"> observed </w:t>
      </w:r>
      <w:r w:rsidR="00636A41" w:rsidRPr="00BA37A1">
        <w:rPr>
          <w:rFonts w:ascii="Times New Roman" w:hAnsi="Times New Roman" w:cs="Times New Roman"/>
          <w:lang w:val="en-US"/>
        </w:rPr>
        <w:lastRenderedPageBreak/>
        <w:t>for treatments</w:t>
      </w:r>
      <w:r w:rsidR="006C7246" w:rsidRPr="00BA37A1">
        <w:rPr>
          <w:rFonts w:ascii="Times New Roman" w:hAnsi="Times New Roman" w:cs="Times New Roman"/>
          <w:lang w:val="en-US"/>
        </w:rPr>
        <w:t xml:space="preserve"> 6, 9, 11 and 12</w:t>
      </w:r>
      <w:r w:rsidR="00636A41" w:rsidRPr="00BA37A1">
        <w:rPr>
          <w:rFonts w:ascii="Times New Roman" w:hAnsi="Times New Roman" w:cs="Times New Roman"/>
          <w:lang w:val="en-US"/>
        </w:rPr>
        <w:t xml:space="preserve">. </w:t>
      </w:r>
      <w:r w:rsidR="004C65BA" w:rsidRPr="00BA37A1">
        <w:rPr>
          <w:rFonts w:ascii="Times New Roman" w:hAnsi="Times New Roman" w:cs="Times New Roman"/>
          <w:lang w:val="en-US"/>
        </w:rPr>
        <w:t xml:space="preserve">This </w:t>
      </w:r>
      <w:r w:rsidR="004D4FE9" w:rsidRPr="00BA37A1">
        <w:rPr>
          <w:rFonts w:ascii="Times New Roman" w:hAnsi="Times New Roman" w:cs="Times New Roman"/>
          <w:lang w:val="en-US"/>
        </w:rPr>
        <w:t xml:space="preserve">was likely </w:t>
      </w:r>
      <w:r w:rsidR="00636A41" w:rsidRPr="00BA37A1">
        <w:rPr>
          <w:rFonts w:ascii="Times New Roman" w:hAnsi="Times New Roman" w:cs="Times New Roman"/>
          <w:lang w:val="en-US"/>
        </w:rPr>
        <w:t xml:space="preserve">due to the assimilation of less </w:t>
      </w:r>
      <w:r w:rsidR="00BA37A1" w:rsidRPr="00BA37A1">
        <w:rPr>
          <w:rFonts w:ascii="Times New Roman" w:hAnsi="Times New Roman" w:cs="Times New Roman"/>
          <w:lang w:val="en-US"/>
        </w:rPr>
        <w:t>favorable</w:t>
      </w:r>
      <w:r w:rsidR="00636A41" w:rsidRPr="00BA37A1">
        <w:rPr>
          <w:rFonts w:ascii="Times New Roman" w:hAnsi="Times New Roman" w:cs="Times New Roman"/>
          <w:lang w:val="en-US"/>
        </w:rPr>
        <w:t xml:space="preserve"> carbon and nitrogen sources in the later stages of the cultivation. </w:t>
      </w:r>
    </w:p>
    <w:p w14:paraId="5DB23E09" w14:textId="07307F09" w:rsidR="00FB54F9" w:rsidRPr="00BA37A1" w:rsidRDefault="00FB54F9" w:rsidP="00D36DCD">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t xml:space="preserve">Scale up of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defined media in 1</w:t>
      </w:r>
      <w:r w:rsidR="00934498" w:rsidRPr="00BA37A1">
        <w:rPr>
          <w:rFonts w:ascii="Times New Roman" w:hAnsi="Times New Roman" w:cs="Times New Roman"/>
          <w:lang w:val="en-US"/>
        </w:rPr>
        <w:t xml:space="preserve"> </w:t>
      </w:r>
      <w:r w:rsidRPr="00BA37A1">
        <w:rPr>
          <w:rFonts w:ascii="Times New Roman" w:hAnsi="Times New Roman" w:cs="Times New Roman"/>
          <w:lang w:val="en-US"/>
        </w:rPr>
        <w:t>L bioreactor</w:t>
      </w:r>
      <w:r w:rsidR="004B20FA" w:rsidRPr="00BA37A1">
        <w:rPr>
          <w:rFonts w:ascii="Times New Roman" w:hAnsi="Times New Roman" w:cs="Times New Roman"/>
          <w:lang w:val="en-US"/>
        </w:rPr>
        <w:t>s</w:t>
      </w:r>
    </w:p>
    <w:p w14:paraId="05E916AD" w14:textId="7B1F3E1C" w:rsidR="00B616A1" w:rsidRPr="00BA37A1" w:rsidRDefault="00FB54F9"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The optimal conditions elucidated at m</w:t>
      </w:r>
      <w:r w:rsidR="004B20FA" w:rsidRPr="00BA37A1">
        <w:rPr>
          <w:rFonts w:ascii="Times New Roman" w:hAnsi="Times New Roman" w:cs="Times New Roman"/>
          <w:lang w:val="en-US"/>
        </w:rPr>
        <w:t>icroscale (</w:t>
      </w:r>
      <w:r w:rsidR="00356FB5" w:rsidRPr="00BA37A1">
        <w:rPr>
          <w:rFonts w:ascii="Times New Roman" w:hAnsi="Times New Roman" w:cs="Times New Roman"/>
          <w:lang w:val="en-US"/>
        </w:rPr>
        <w:t>Supplementary Figure 2</w:t>
      </w:r>
      <w:r w:rsidRPr="00BA37A1">
        <w:rPr>
          <w:rFonts w:ascii="Times New Roman" w:hAnsi="Times New Roman" w:cs="Times New Roman"/>
          <w:lang w:val="en-US"/>
        </w:rPr>
        <w:t>) were s</w:t>
      </w:r>
      <w:r w:rsidR="00934498" w:rsidRPr="00BA37A1">
        <w:rPr>
          <w:rFonts w:ascii="Times New Roman" w:hAnsi="Times New Roman" w:cs="Times New Roman"/>
          <w:lang w:val="en-US"/>
        </w:rPr>
        <w:t xml:space="preserve">ubsequently scaled up using </w:t>
      </w:r>
      <w:r w:rsidRPr="00BA37A1">
        <w:rPr>
          <w:rFonts w:ascii="Times New Roman" w:hAnsi="Times New Roman" w:cs="Times New Roman"/>
          <w:lang w:val="en-US"/>
        </w:rPr>
        <w:t>1</w:t>
      </w:r>
      <w:r w:rsidR="00934498" w:rsidRPr="00BA37A1">
        <w:rPr>
          <w:rFonts w:ascii="Times New Roman" w:hAnsi="Times New Roman" w:cs="Times New Roman"/>
          <w:lang w:val="en-US"/>
        </w:rPr>
        <w:t xml:space="preserve"> </w:t>
      </w:r>
      <w:r w:rsidRPr="00BA37A1">
        <w:rPr>
          <w:rFonts w:ascii="Times New Roman" w:hAnsi="Times New Roman" w:cs="Times New Roman"/>
          <w:lang w:val="en-US"/>
        </w:rPr>
        <w:t>L bioreactor</w:t>
      </w:r>
      <w:r w:rsidR="00934498" w:rsidRPr="00BA37A1">
        <w:rPr>
          <w:rFonts w:ascii="Times New Roman" w:hAnsi="Times New Roman" w:cs="Times New Roman"/>
          <w:lang w:val="en-US"/>
        </w:rPr>
        <w:t>s</w:t>
      </w:r>
      <w:r w:rsidRPr="00BA37A1">
        <w:rPr>
          <w:rFonts w:ascii="Times New Roman" w:hAnsi="Times New Roman" w:cs="Times New Roman"/>
          <w:lang w:val="en-US"/>
        </w:rPr>
        <w:t>. A control was also r</w:t>
      </w:r>
      <w:r w:rsidR="009E0605" w:rsidRPr="00BA37A1">
        <w:rPr>
          <w:rFonts w:ascii="Times New Roman" w:hAnsi="Times New Roman" w:cs="Times New Roman"/>
          <w:lang w:val="en-US"/>
        </w:rPr>
        <w:t>an</w:t>
      </w:r>
      <w:r w:rsidRPr="00BA37A1">
        <w:rPr>
          <w:rFonts w:ascii="Times New Roman" w:hAnsi="Times New Roman" w:cs="Times New Roman"/>
          <w:lang w:val="en-US"/>
        </w:rPr>
        <w:t xml:space="preserve"> with </w:t>
      </w:r>
      <w:r w:rsidR="00934498" w:rsidRPr="00BA37A1">
        <w:rPr>
          <w:rFonts w:ascii="Times New Roman" w:hAnsi="Times New Roman" w:cs="Times New Roman"/>
          <w:lang w:val="en-US"/>
        </w:rPr>
        <w:t xml:space="preserve">a </w:t>
      </w:r>
      <w:r w:rsidRPr="00BA37A1">
        <w:rPr>
          <w:rFonts w:ascii="Times New Roman" w:hAnsi="Times New Roman" w:cs="Times New Roman"/>
          <w:lang w:val="en-US"/>
        </w:rPr>
        <w:t>standard defined media</w:t>
      </w:r>
      <w:r w:rsidR="00A871FF" w:rsidRPr="00BA37A1">
        <w:rPr>
          <w:rFonts w:ascii="Times New Roman" w:hAnsi="Times New Roman" w:cs="Times New Roman"/>
          <w:lang w:val="en-US"/>
        </w:rPr>
        <w:t xml:space="preserve"> </w:t>
      </w:r>
      <w:r w:rsidR="0055107A" w:rsidRPr="00BA37A1">
        <w:rPr>
          <w:rFonts w:ascii="Times New Roman" w:hAnsi="Times New Roman" w:cs="Times New Roman"/>
          <w:lang w:val="en-US"/>
        </w:rPr>
        <w:t xml:space="preserve">similar to </w:t>
      </w:r>
      <w:r w:rsidR="00B50882" w:rsidRPr="00BA37A1">
        <w:rPr>
          <w:rFonts w:ascii="Times New Roman" w:hAnsi="Times New Roman" w:cs="Times New Roman"/>
          <w:lang w:val="en-US"/>
        </w:rPr>
        <w:t xml:space="preserve">the </w:t>
      </w:r>
      <w:r w:rsidR="0055107A" w:rsidRPr="00BA37A1">
        <w:rPr>
          <w:rFonts w:ascii="Times New Roman" w:hAnsi="Times New Roman" w:cs="Times New Roman"/>
          <w:lang w:val="en-US"/>
        </w:rPr>
        <w:t>SD</w:t>
      </w:r>
      <w:r w:rsidR="00B50882" w:rsidRPr="00BA37A1">
        <w:rPr>
          <w:rFonts w:ascii="Times New Roman" w:hAnsi="Times New Roman" w:cs="Times New Roman"/>
          <w:lang w:val="en-US"/>
        </w:rPr>
        <w:t>G</w:t>
      </w:r>
      <w:r w:rsidR="0055107A" w:rsidRPr="00BA37A1">
        <w:rPr>
          <w:rFonts w:ascii="Times New Roman" w:hAnsi="Times New Roman" w:cs="Times New Roman"/>
          <w:lang w:val="en-US"/>
        </w:rPr>
        <w:t xml:space="preserve"> </w:t>
      </w:r>
      <w:r w:rsidR="00B50882" w:rsidRPr="00BA37A1">
        <w:rPr>
          <w:rFonts w:ascii="Times New Roman" w:hAnsi="Times New Roman" w:cs="Times New Roman"/>
          <w:lang w:val="en-US"/>
        </w:rPr>
        <w:t xml:space="preserve">media (Figure </w:t>
      </w:r>
      <w:r w:rsidR="004876B1" w:rsidRPr="00BA37A1">
        <w:rPr>
          <w:rFonts w:ascii="Times New Roman" w:hAnsi="Times New Roman" w:cs="Times New Roman"/>
          <w:lang w:val="en-US"/>
        </w:rPr>
        <w:t>2</w:t>
      </w:r>
      <w:r w:rsidR="00B50882" w:rsidRPr="00BA37A1">
        <w:rPr>
          <w:rFonts w:ascii="Times New Roman" w:hAnsi="Times New Roman" w:cs="Times New Roman"/>
          <w:lang w:val="en-US"/>
        </w:rPr>
        <w:t xml:space="preserve">), </w:t>
      </w:r>
      <w:r w:rsidR="0055107A" w:rsidRPr="00BA37A1">
        <w:rPr>
          <w:rFonts w:ascii="Times New Roman" w:hAnsi="Times New Roman" w:cs="Times New Roman"/>
          <w:lang w:val="en-US"/>
        </w:rPr>
        <w:t xml:space="preserve">except the CSM supplement was replaced with </w:t>
      </w:r>
      <w:r w:rsidR="00B50882" w:rsidRPr="00BA37A1">
        <w:rPr>
          <w:rFonts w:ascii="Times New Roman" w:hAnsi="Times New Roman" w:cs="Times New Roman"/>
          <w:lang w:val="en-US"/>
        </w:rPr>
        <w:t>the more nutrient rich YSM</w:t>
      </w:r>
      <w:r w:rsidRPr="00BA37A1">
        <w:rPr>
          <w:rFonts w:ascii="Times New Roman" w:hAnsi="Times New Roman" w:cs="Times New Roman"/>
          <w:lang w:val="en-US"/>
        </w:rPr>
        <w:t xml:space="preserve">. The results of this investigation are </w:t>
      </w:r>
      <w:r w:rsidR="00BA37A1" w:rsidRPr="00BA37A1">
        <w:rPr>
          <w:rFonts w:ascii="Times New Roman" w:hAnsi="Times New Roman" w:cs="Times New Roman"/>
          <w:lang w:val="en-US"/>
        </w:rPr>
        <w:t>summarized</w:t>
      </w:r>
      <w:r w:rsidRPr="00BA37A1">
        <w:rPr>
          <w:rFonts w:ascii="Times New Roman" w:hAnsi="Times New Roman" w:cs="Times New Roman"/>
          <w:lang w:val="en-US"/>
        </w:rPr>
        <w:t xml:space="preserve"> in </w:t>
      </w:r>
      <w:r w:rsidR="005E6A4C">
        <w:rPr>
          <w:rFonts w:ascii="Times New Roman" w:hAnsi="Times New Roman" w:cs="Times New Roman"/>
          <w:lang w:val="en-US"/>
        </w:rPr>
        <w:t>Figure 5</w:t>
      </w:r>
      <w:r w:rsidR="004B20FA" w:rsidRPr="00BA37A1">
        <w:rPr>
          <w:rFonts w:ascii="Times New Roman" w:hAnsi="Times New Roman" w:cs="Times New Roman"/>
          <w:lang w:val="en-US"/>
        </w:rPr>
        <w:t>.</w:t>
      </w:r>
    </w:p>
    <w:p w14:paraId="12D88BE2" w14:textId="10DDE3AF" w:rsidR="00FB54F9" w:rsidRPr="00BA37A1" w:rsidRDefault="00FB54F9"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At</w:t>
      </w:r>
      <w:r w:rsidR="004B20FA" w:rsidRPr="00BA37A1">
        <w:rPr>
          <w:rFonts w:ascii="Times New Roman" w:hAnsi="Times New Roman" w:cs="Times New Roman"/>
          <w:lang w:val="en-US"/>
        </w:rPr>
        <w:t xml:space="preserve"> bioreactor scale the total taxane </w:t>
      </w:r>
      <w:r w:rsidR="00BA37A1" w:rsidRPr="00BA37A1">
        <w:rPr>
          <w:rFonts w:ascii="Times New Roman" w:hAnsi="Times New Roman" w:cs="Times New Roman"/>
          <w:lang w:val="en-US"/>
        </w:rPr>
        <w:t>titer</w:t>
      </w:r>
      <w:r w:rsidR="004B20FA" w:rsidRPr="00BA37A1">
        <w:rPr>
          <w:rFonts w:ascii="Times New Roman" w:hAnsi="Times New Roman" w:cs="Times New Roman"/>
          <w:lang w:val="en-US"/>
        </w:rPr>
        <w:t xml:space="preserve"> was </w:t>
      </w:r>
      <w:r w:rsidR="008671DA" w:rsidRPr="00BA37A1">
        <w:rPr>
          <w:rFonts w:ascii="Times New Roman" w:hAnsi="Times New Roman" w:cs="Times New Roman"/>
          <w:lang w:val="en-US"/>
        </w:rPr>
        <w:t xml:space="preserve">164 mg/L, this represented a 2.1-fold improvement in </w:t>
      </w:r>
      <w:r w:rsidR="00BA37A1" w:rsidRPr="00BA37A1">
        <w:rPr>
          <w:rFonts w:ascii="Times New Roman" w:hAnsi="Times New Roman" w:cs="Times New Roman"/>
          <w:lang w:val="en-US"/>
        </w:rPr>
        <w:t>titer</w:t>
      </w:r>
      <w:r w:rsidR="008671DA" w:rsidRPr="00BA37A1">
        <w:rPr>
          <w:rFonts w:ascii="Times New Roman" w:hAnsi="Times New Roman" w:cs="Times New Roman"/>
          <w:lang w:val="en-US"/>
        </w:rPr>
        <w:t xml:space="preserve"> compared to the control (</w:t>
      </w:r>
      <w:r w:rsidR="005E6A4C">
        <w:rPr>
          <w:rFonts w:ascii="Times New Roman" w:hAnsi="Times New Roman" w:cs="Times New Roman"/>
          <w:lang w:val="en-US"/>
        </w:rPr>
        <w:t>Figure 5</w:t>
      </w:r>
      <w:r w:rsidR="00747B85" w:rsidRPr="00BA37A1">
        <w:rPr>
          <w:rFonts w:ascii="Times New Roman" w:hAnsi="Times New Roman" w:cs="Times New Roman"/>
          <w:lang w:val="en-US"/>
        </w:rPr>
        <w:t>F</w:t>
      </w:r>
      <w:r w:rsidR="008671DA" w:rsidRPr="00BA37A1">
        <w:rPr>
          <w:rFonts w:ascii="Times New Roman" w:hAnsi="Times New Roman" w:cs="Times New Roman"/>
          <w:lang w:val="en-US"/>
        </w:rPr>
        <w:t>) and was just 13% lower than that predicted by the statistical model (</w:t>
      </w:r>
      <w:r w:rsidR="00356FB5" w:rsidRPr="00BA37A1">
        <w:rPr>
          <w:rFonts w:ascii="Times New Roman" w:hAnsi="Times New Roman" w:cs="Times New Roman"/>
          <w:lang w:val="en-US"/>
        </w:rPr>
        <w:t>Supplementary Figure 2</w:t>
      </w:r>
      <w:r w:rsidR="008671DA" w:rsidRPr="00BA37A1">
        <w:rPr>
          <w:rFonts w:ascii="Times New Roman" w:hAnsi="Times New Roman" w:cs="Times New Roman"/>
          <w:lang w:val="en-US"/>
        </w:rPr>
        <w:t>)</w:t>
      </w:r>
      <w:r w:rsidR="005C2DC7" w:rsidRPr="00BA37A1">
        <w:rPr>
          <w:rFonts w:ascii="Times New Roman" w:hAnsi="Times New Roman" w:cs="Times New Roman"/>
          <w:lang w:val="en-US"/>
        </w:rPr>
        <w:t xml:space="preserve"> derived from the microscale cultivation data</w:t>
      </w:r>
      <w:r w:rsidR="008671DA" w:rsidRPr="00BA37A1">
        <w:rPr>
          <w:rFonts w:ascii="Times New Roman" w:hAnsi="Times New Roman" w:cs="Times New Roman"/>
          <w:lang w:val="en-US"/>
        </w:rPr>
        <w:t>. However, t</w:t>
      </w:r>
      <w:r w:rsidRPr="00BA37A1">
        <w:rPr>
          <w:rFonts w:ascii="Times New Roman" w:hAnsi="Times New Roman" w:cs="Times New Roman"/>
          <w:lang w:val="en-US"/>
        </w:rPr>
        <w:t xml:space="preserve">he </w:t>
      </w:r>
      <w:r w:rsidR="008671DA" w:rsidRPr="00BA37A1">
        <w:rPr>
          <w:rFonts w:ascii="Times New Roman" w:hAnsi="Times New Roman" w:cs="Times New Roman"/>
          <w:lang w:val="en-US"/>
        </w:rPr>
        <w:t>maximum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value was</w:t>
      </w:r>
      <w:r w:rsidR="008671DA" w:rsidRPr="00BA37A1">
        <w:rPr>
          <w:rFonts w:ascii="Times New Roman" w:hAnsi="Times New Roman" w:cs="Times New Roman"/>
          <w:lang w:val="en-US"/>
        </w:rPr>
        <w:t xml:space="preserve"> just 22.5,</w:t>
      </w:r>
      <w:r w:rsidRPr="00BA37A1">
        <w:rPr>
          <w:rFonts w:ascii="Times New Roman" w:hAnsi="Times New Roman" w:cs="Times New Roman"/>
          <w:lang w:val="en-US"/>
        </w:rPr>
        <w:t xml:space="preserve"> </w:t>
      </w:r>
      <w:r w:rsidR="008671DA" w:rsidRPr="00BA37A1">
        <w:rPr>
          <w:rFonts w:ascii="Times New Roman" w:hAnsi="Times New Roman" w:cs="Times New Roman"/>
          <w:lang w:val="en-US"/>
        </w:rPr>
        <w:t xml:space="preserve">significantly lower than those obtained in the higher yielding </w:t>
      </w:r>
      <w:r w:rsidRPr="00BA37A1">
        <w:rPr>
          <w:rFonts w:ascii="Times New Roman" w:hAnsi="Times New Roman" w:cs="Times New Roman"/>
          <w:lang w:val="en-US"/>
        </w:rPr>
        <w:t>BioLector cultivation</w:t>
      </w:r>
      <w:r w:rsidR="008671DA" w:rsidRPr="00BA37A1">
        <w:rPr>
          <w:rFonts w:ascii="Times New Roman" w:hAnsi="Times New Roman" w:cs="Times New Roman"/>
          <w:lang w:val="en-US"/>
        </w:rPr>
        <w:t>s (</w:t>
      </w:r>
      <w:r w:rsidR="001F3B51" w:rsidRPr="00BA37A1">
        <w:rPr>
          <w:rFonts w:ascii="Times New Roman" w:hAnsi="Times New Roman" w:cs="Times New Roman"/>
          <w:lang w:val="en-US"/>
        </w:rPr>
        <w:t>Figure 4</w:t>
      </w:r>
      <w:r w:rsidR="008671DA" w:rsidRPr="00BA37A1">
        <w:rPr>
          <w:rFonts w:ascii="Times New Roman" w:hAnsi="Times New Roman" w:cs="Times New Roman"/>
          <w:lang w:val="en-US"/>
        </w:rPr>
        <w:t xml:space="preserve">). </w:t>
      </w:r>
      <w:r w:rsidRPr="00BA37A1">
        <w:rPr>
          <w:rFonts w:ascii="Times New Roman" w:hAnsi="Times New Roman" w:cs="Times New Roman"/>
          <w:lang w:val="en-US"/>
        </w:rPr>
        <w:t>Biomass accumulation (</w:t>
      </w:r>
      <w:r w:rsidR="001F3B51" w:rsidRPr="00BA37A1">
        <w:rPr>
          <w:rFonts w:ascii="Times New Roman" w:hAnsi="Times New Roman" w:cs="Times New Roman"/>
          <w:lang w:val="en-US"/>
        </w:rPr>
        <w:t>Figure 5</w:t>
      </w:r>
      <w:r w:rsidRPr="00BA37A1">
        <w:rPr>
          <w:rFonts w:ascii="Times New Roman" w:hAnsi="Times New Roman" w:cs="Times New Roman"/>
          <w:lang w:val="en-US"/>
        </w:rPr>
        <w:t xml:space="preserve">A </w:t>
      </w:r>
      <w:r w:rsidR="006035A1" w:rsidRPr="00BA37A1">
        <w:rPr>
          <w:rFonts w:ascii="Times New Roman" w:hAnsi="Times New Roman" w:cs="Times New Roman"/>
          <w:lang w:val="en-US"/>
        </w:rPr>
        <w:t>and C) and CO</w:t>
      </w:r>
      <w:r w:rsidR="006035A1" w:rsidRPr="00BA37A1">
        <w:rPr>
          <w:rFonts w:ascii="Times New Roman" w:hAnsi="Times New Roman" w:cs="Times New Roman"/>
          <w:vertAlign w:val="subscript"/>
          <w:lang w:val="en-US"/>
        </w:rPr>
        <w:t>2</w:t>
      </w:r>
      <w:r w:rsidRPr="00BA37A1">
        <w:rPr>
          <w:rFonts w:ascii="Times New Roman" w:hAnsi="Times New Roman" w:cs="Times New Roman"/>
          <w:lang w:val="en-US"/>
        </w:rPr>
        <w:t xml:space="preserve"> </w:t>
      </w:r>
      <w:r w:rsidR="006035A1" w:rsidRPr="00BA37A1">
        <w:rPr>
          <w:rFonts w:ascii="Times New Roman" w:hAnsi="Times New Roman" w:cs="Times New Roman"/>
          <w:lang w:val="en-US"/>
        </w:rPr>
        <w:t>production (</w:t>
      </w:r>
      <w:r w:rsidR="000D7383" w:rsidRPr="00BA37A1">
        <w:rPr>
          <w:rFonts w:ascii="Times New Roman" w:hAnsi="Times New Roman" w:cs="Times New Roman"/>
          <w:lang w:val="en-US"/>
        </w:rPr>
        <w:t>Figure 5E</w:t>
      </w:r>
      <w:r w:rsidRPr="00BA37A1">
        <w:rPr>
          <w:rFonts w:ascii="Times New Roman" w:hAnsi="Times New Roman" w:cs="Times New Roman"/>
          <w:lang w:val="en-US"/>
        </w:rPr>
        <w:t xml:space="preserve">) were similar for the control and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w:t>
      </w:r>
      <w:r w:rsidR="006035A1" w:rsidRPr="00BA37A1">
        <w:rPr>
          <w:rFonts w:ascii="Times New Roman" w:hAnsi="Times New Roman" w:cs="Times New Roman"/>
          <w:lang w:val="en-US"/>
        </w:rPr>
        <w:t>cultivations</w:t>
      </w:r>
      <w:r w:rsidRPr="00BA37A1">
        <w:rPr>
          <w:rFonts w:ascii="Times New Roman" w:hAnsi="Times New Roman" w:cs="Times New Roman"/>
          <w:lang w:val="en-US"/>
        </w:rPr>
        <w:t xml:space="preserve"> during the first 24 hours. How</w:t>
      </w:r>
      <w:r w:rsidR="006035A1" w:rsidRPr="00BA37A1">
        <w:rPr>
          <w:rFonts w:ascii="Times New Roman" w:hAnsi="Times New Roman" w:cs="Times New Roman"/>
          <w:lang w:val="en-US"/>
        </w:rPr>
        <w:t>ever, after 24 hours a drop in CO</w:t>
      </w:r>
      <w:r w:rsidR="006035A1" w:rsidRPr="00BA37A1">
        <w:rPr>
          <w:rFonts w:ascii="Times New Roman" w:hAnsi="Times New Roman" w:cs="Times New Roman"/>
          <w:vertAlign w:val="subscript"/>
          <w:lang w:val="en-US"/>
        </w:rPr>
        <w:t>2</w:t>
      </w:r>
      <w:r w:rsidRPr="00BA37A1">
        <w:rPr>
          <w:rFonts w:ascii="Times New Roman" w:hAnsi="Times New Roman" w:cs="Times New Roman"/>
          <w:lang w:val="en-US"/>
        </w:rPr>
        <w:t xml:space="preserve"> production was observed in the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cultivation (</w:t>
      </w:r>
      <w:r w:rsidR="000D7383" w:rsidRPr="00BA37A1">
        <w:rPr>
          <w:rFonts w:ascii="Times New Roman" w:hAnsi="Times New Roman" w:cs="Times New Roman"/>
          <w:lang w:val="en-US"/>
        </w:rPr>
        <w:t>Figure 5E</w:t>
      </w:r>
      <w:r w:rsidRPr="00BA37A1">
        <w:rPr>
          <w:rFonts w:ascii="Times New Roman" w:hAnsi="Times New Roman" w:cs="Times New Roman"/>
          <w:lang w:val="en-US"/>
        </w:rPr>
        <w:t xml:space="preserve">) despite </w:t>
      </w:r>
      <w:r w:rsidR="006035A1" w:rsidRPr="00BA37A1">
        <w:rPr>
          <w:rFonts w:ascii="Times New Roman" w:hAnsi="Times New Roman" w:cs="Times New Roman"/>
          <w:lang w:val="en-US"/>
        </w:rPr>
        <w:t>excess galactose availability</w:t>
      </w:r>
      <w:r w:rsidRPr="00BA37A1">
        <w:rPr>
          <w:rFonts w:ascii="Times New Roman" w:hAnsi="Times New Roman" w:cs="Times New Roman"/>
          <w:lang w:val="en-US"/>
        </w:rPr>
        <w:t xml:space="preserve"> (</w:t>
      </w:r>
      <w:r w:rsidR="001F3B51" w:rsidRPr="00BA37A1">
        <w:rPr>
          <w:rFonts w:ascii="Times New Roman" w:hAnsi="Times New Roman" w:cs="Times New Roman"/>
          <w:lang w:val="en-US"/>
        </w:rPr>
        <w:t>Figure 5</w:t>
      </w:r>
      <w:r w:rsidRPr="00BA37A1">
        <w:rPr>
          <w:rFonts w:ascii="Times New Roman" w:hAnsi="Times New Roman" w:cs="Times New Roman"/>
          <w:lang w:val="en-US"/>
        </w:rPr>
        <w:t>A), this was indicative of nutrient limitation. As ammonium sulphate concentration did not have a significant effect on taxane accumulation at microscale</w:t>
      </w:r>
      <w:r w:rsidR="00F42A10" w:rsidRPr="00BA37A1">
        <w:rPr>
          <w:rFonts w:ascii="Times New Roman" w:hAnsi="Times New Roman" w:cs="Times New Roman"/>
          <w:lang w:val="en-US"/>
        </w:rPr>
        <w:t xml:space="preserve"> (p = 0.285)</w:t>
      </w:r>
      <w:r w:rsidRPr="00BA37A1">
        <w:rPr>
          <w:rFonts w:ascii="Times New Roman" w:hAnsi="Times New Roman" w:cs="Times New Roman"/>
          <w:lang w:val="en-US"/>
        </w:rPr>
        <w:t xml:space="preserve">, the concentration was set to the low level of 1 g/L at this scale. As all other nutrients were in excess it was </w:t>
      </w:r>
      <w:r w:rsidR="00BA37A1" w:rsidRPr="00BA37A1">
        <w:rPr>
          <w:rFonts w:ascii="Times New Roman" w:hAnsi="Times New Roman" w:cs="Times New Roman"/>
          <w:lang w:val="en-US"/>
        </w:rPr>
        <w:t>hypothesized</w:t>
      </w:r>
      <w:r w:rsidRPr="00BA37A1">
        <w:rPr>
          <w:rFonts w:ascii="Times New Roman" w:hAnsi="Times New Roman" w:cs="Times New Roman"/>
          <w:lang w:val="en-US"/>
        </w:rPr>
        <w:t xml:space="preserve"> that nitrogen limitation may </w:t>
      </w:r>
      <w:r w:rsidR="00F056FF" w:rsidRPr="00BA37A1">
        <w:rPr>
          <w:rFonts w:ascii="Times New Roman" w:hAnsi="Times New Roman" w:cs="Times New Roman"/>
          <w:lang w:val="en-US"/>
        </w:rPr>
        <w:t>have been responsible for the</w:t>
      </w:r>
      <w:r w:rsidRPr="00BA37A1">
        <w:rPr>
          <w:rFonts w:ascii="Times New Roman" w:hAnsi="Times New Roman" w:cs="Times New Roman"/>
          <w:lang w:val="en-US"/>
        </w:rPr>
        <w:t xml:space="preserve"> reduced growth</w:t>
      </w:r>
      <w:r w:rsidR="00F056FF" w:rsidRPr="00BA37A1">
        <w:rPr>
          <w:rFonts w:ascii="Times New Roman" w:hAnsi="Times New Roman" w:cs="Times New Roman"/>
          <w:lang w:val="en-US"/>
        </w:rPr>
        <w:t xml:space="preserve"> rate</w:t>
      </w:r>
      <w:r w:rsidRPr="00BA37A1">
        <w:rPr>
          <w:rFonts w:ascii="Times New Roman" w:hAnsi="Times New Roman" w:cs="Times New Roman"/>
          <w:lang w:val="en-US"/>
        </w:rPr>
        <w:t xml:space="preserve"> observed. A second fermentation was therefore performed with an inc</w:t>
      </w:r>
      <w:r w:rsidR="00F056FF" w:rsidRPr="00BA37A1">
        <w:rPr>
          <w:rFonts w:ascii="Times New Roman" w:hAnsi="Times New Roman" w:cs="Times New Roman"/>
          <w:lang w:val="en-US"/>
        </w:rPr>
        <w:t>reased initial ammonium</w:t>
      </w:r>
      <w:r w:rsidR="00027636" w:rsidRPr="00BA37A1">
        <w:rPr>
          <w:rFonts w:ascii="Times New Roman" w:hAnsi="Times New Roman" w:cs="Times New Roman"/>
          <w:lang w:val="en-US"/>
        </w:rPr>
        <w:t xml:space="preserve"> sulphate as </w:t>
      </w:r>
      <w:r w:rsidR="00BA37A1" w:rsidRPr="00BA37A1">
        <w:rPr>
          <w:rFonts w:ascii="Times New Roman" w:hAnsi="Times New Roman" w:cs="Times New Roman"/>
          <w:lang w:val="en-US"/>
        </w:rPr>
        <w:t>summarized</w:t>
      </w:r>
      <w:r w:rsidR="00027636" w:rsidRPr="00BA37A1">
        <w:rPr>
          <w:rFonts w:ascii="Times New Roman" w:hAnsi="Times New Roman" w:cs="Times New Roman"/>
          <w:lang w:val="en-US"/>
        </w:rPr>
        <w:t xml:space="preserve"> in</w:t>
      </w:r>
      <w:r w:rsidR="001F3B51" w:rsidRPr="00BA37A1">
        <w:rPr>
          <w:rFonts w:ascii="Times New Roman" w:hAnsi="Times New Roman" w:cs="Times New Roman"/>
          <w:lang w:val="en-US"/>
        </w:rPr>
        <w:t xml:space="preserve"> Figure 6</w:t>
      </w:r>
      <w:r w:rsidR="00027636" w:rsidRPr="00BA37A1">
        <w:rPr>
          <w:rFonts w:ascii="Times New Roman" w:hAnsi="Times New Roman" w:cs="Times New Roman"/>
          <w:lang w:val="en-US"/>
        </w:rPr>
        <w:t>.</w:t>
      </w:r>
    </w:p>
    <w:p w14:paraId="100C1BD2" w14:textId="1E91154F" w:rsidR="000B5D71" w:rsidRPr="00BA37A1" w:rsidRDefault="000B5D71"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T</w:t>
      </w:r>
      <w:r w:rsidR="00FB54F9" w:rsidRPr="00BA37A1">
        <w:rPr>
          <w:rFonts w:ascii="Times New Roman" w:hAnsi="Times New Roman" w:cs="Times New Roman"/>
          <w:lang w:val="en-US"/>
        </w:rPr>
        <w:t xml:space="preserve">hrough increasing the initial </w:t>
      </w:r>
      <w:r w:rsidR="00934498" w:rsidRPr="00BA37A1">
        <w:rPr>
          <w:rFonts w:ascii="Times New Roman" w:hAnsi="Times New Roman" w:cs="Times New Roman"/>
          <w:lang w:val="en-US"/>
        </w:rPr>
        <w:t xml:space="preserve">ammonium </w:t>
      </w:r>
      <w:r w:rsidR="00FB54F9" w:rsidRPr="00BA37A1">
        <w:rPr>
          <w:rFonts w:ascii="Times New Roman" w:hAnsi="Times New Roman" w:cs="Times New Roman"/>
          <w:lang w:val="en-US"/>
        </w:rPr>
        <w:t>concentration,</w:t>
      </w:r>
      <w:r w:rsidR="00F056FF" w:rsidRPr="00BA37A1">
        <w:rPr>
          <w:rFonts w:ascii="Times New Roman" w:hAnsi="Times New Roman" w:cs="Times New Roman"/>
          <w:lang w:val="en-US"/>
        </w:rPr>
        <w:t xml:space="preserve"> the nutrient limitation was effectively eliminated</w:t>
      </w:r>
      <w:r w:rsidR="00F82CD5" w:rsidRPr="00BA37A1">
        <w:rPr>
          <w:rFonts w:ascii="Times New Roman" w:hAnsi="Times New Roman" w:cs="Times New Roman"/>
          <w:lang w:val="en-US"/>
        </w:rPr>
        <w:t>. B</w:t>
      </w:r>
      <w:r w:rsidR="00FB54F9" w:rsidRPr="00BA37A1">
        <w:rPr>
          <w:rFonts w:ascii="Times New Roman" w:hAnsi="Times New Roman" w:cs="Times New Roman"/>
          <w:lang w:val="en-US"/>
        </w:rPr>
        <w:t xml:space="preserve">iomass accumulation was improved </w:t>
      </w:r>
      <w:r w:rsidR="00F056FF" w:rsidRPr="00BA37A1">
        <w:rPr>
          <w:rFonts w:ascii="Times New Roman" w:hAnsi="Times New Roman" w:cs="Times New Roman"/>
          <w:lang w:val="en-US"/>
        </w:rPr>
        <w:t xml:space="preserve">fourfold with a </w:t>
      </w:r>
      <w:r w:rsidR="00F82CD5" w:rsidRPr="00BA37A1">
        <w:rPr>
          <w:rFonts w:ascii="Times New Roman" w:hAnsi="Times New Roman" w:cs="Times New Roman"/>
          <w:lang w:val="en-US"/>
        </w:rPr>
        <w:t xml:space="preserve">maximum </w:t>
      </w:r>
      <w:r w:rsidR="00FB54F9" w:rsidRPr="00BA37A1">
        <w:rPr>
          <w:rFonts w:ascii="Times New Roman" w:hAnsi="Times New Roman" w:cs="Times New Roman"/>
          <w:lang w:val="en-US"/>
        </w:rPr>
        <w:t>OD</w:t>
      </w:r>
      <w:r w:rsidR="00FB54F9" w:rsidRPr="00BA37A1">
        <w:rPr>
          <w:rFonts w:ascii="Times New Roman" w:hAnsi="Times New Roman" w:cs="Times New Roman"/>
          <w:vertAlign w:val="subscript"/>
          <w:lang w:val="en-US"/>
        </w:rPr>
        <w:t>600</w:t>
      </w:r>
      <w:r w:rsidR="00FB54F9" w:rsidRPr="00BA37A1">
        <w:rPr>
          <w:rFonts w:ascii="Times New Roman" w:hAnsi="Times New Roman" w:cs="Times New Roman"/>
          <w:lang w:val="en-US"/>
        </w:rPr>
        <w:t xml:space="preserve"> of</w:t>
      </w:r>
      <w:r w:rsidR="00CD358F" w:rsidRPr="00BA37A1">
        <w:rPr>
          <w:rFonts w:ascii="Times New Roman" w:hAnsi="Times New Roman" w:cs="Times New Roman"/>
          <w:lang w:val="en-US"/>
        </w:rPr>
        <w:t xml:space="preserve"> </w:t>
      </w:r>
      <w:r w:rsidR="007C382F" w:rsidRPr="00BA37A1">
        <w:rPr>
          <w:rFonts w:ascii="Times New Roman" w:hAnsi="Times New Roman" w:cs="Times New Roman"/>
          <w:lang w:val="en-US"/>
        </w:rPr>
        <w:t>84</w:t>
      </w:r>
      <w:r w:rsidR="00F82CD5" w:rsidRPr="00BA37A1">
        <w:rPr>
          <w:rFonts w:ascii="Times New Roman" w:hAnsi="Times New Roman" w:cs="Times New Roman"/>
          <w:lang w:val="en-US"/>
        </w:rPr>
        <w:t xml:space="preserve"> </w:t>
      </w:r>
      <w:r w:rsidR="00FB54F9" w:rsidRPr="00BA37A1">
        <w:rPr>
          <w:rFonts w:ascii="Times New Roman" w:hAnsi="Times New Roman" w:cs="Times New Roman"/>
          <w:lang w:val="en-US"/>
        </w:rPr>
        <w:t>at the end of the 120 hour</w:t>
      </w:r>
      <w:r w:rsidR="00F056FF" w:rsidRPr="00BA37A1">
        <w:rPr>
          <w:rFonts w:ascii="Times New Roman" w:hAnsi="Times New Roman" w:cs="Times New Roman"/>
          <w:lang w:val="en-US"/>
        </w:rPr>
        <w:t xml:space="preserve"> cultivation</w:t>
      </w:r>
      <w:r w:rsidR="00FB54F9" w:rsidRPr="00BA37A1">
        <w:rPr>
          <w:rFonts w:ascii="Times New Roman" w:hAnsi="Times New Roman" w:cs="Times New Roman"/>
          <w:lang w:val="en-US"/>
        </w:rPr>
        <w:t xml:space="preserve"> </w:t>
      </w:r>
      <w:r w:rsidR="00F82CD5" w:rsidRPr="00BA37A1">
        <w:rPr>
          <w:rFonts w:ascii="Times New Roman" w:hAnsi="Times New Roman" w:cs="Times New Roman"/>
          <w:lang w:val="en-US"/>
        </w:rPr>
        <w:t>(</w:t>
      </w:r>
      <w:r w:rsidR="004B3E16" w:rsidRPr="00BA37A1">
        <w:rPr>
          <w:rFonts w:ascii="Times New Roman" w:hAnsi="Times New Roman" w:cs="Times New Roman"/>
          <w:lang w:val="en-US"/>
        </w:rPr>
        <w:t>Figure 6</w:t>
      </w:r>
      <w:r w:rsidR="00F056FF" w:rsidRPr="00BA37A1">
        <w:rPr>
          <w:rFonts w:ascii="Times New Roman" w:hAnsi="Times New Roman" w:cs="Times New Roman"/>
          <w:lang w:val="en-US"/>
        </w:rPr>
        <w:t>A</w:t>
      </w:r>
      <w:r w:rsidR="00F82CD5" w:rsidRPr="00BA37A1">
        <w:rPr>
          <w:rFonts w:ascii="Times New Roman" w:hAnsi="Times New Roman" w:cs="Times New Roman"/>
          <w:lang w:val="en-US"/>
        </w:rPr>
        <w:t>)</w:t>
      </w:r>
      <w:r w:rsidR="00F056FF" w:rsidRPr="00BA37A1">
        <w:rPr>
          <w:rFonts w:ascii="Times New Roman" w:hAnsi="Times New Roman" w:cs="Times New Roman"/>
          <w:lang w:val="en-US"/>
        </w:rPr>
        <w:t>. Total taxane production was also impro</w:t>
      </w:r>
      <w:r w:rsidR="00F82CD5" w:rsidRPr="00BA37A1">
        <w:rPr>
          <w:rFonts w:ascii="Times New Roman" w:hAnsi="Times New Roman" w:cs="Times New Roman"/>
          <w:lang w:val="en-US"/>
        </w:rPr>
        <w:t xml:space="preserve">ved </w:t>
      </w:r>
      <w:r w:rsidR="00CD358F" w:rsidRPr="00BA37A1">
        <w:rPr>
          <w:rFonts w:ascii="Times New Roman" w:hAnsi="Times New Roman" w:cs="Times New Roman"/>
          <w:lang w:val="en-US"/>
        </w:rPr>
        <w:t>1.8</w:t>
      </w:r>
      <w:r w:rsidR="00F82CD5" w:rsidRPr="00BA37A1">
        <w:rPr>
          <w:rFonts w:ascii="Times New Roman" w:hAnsi="Times New Roman" w:cs="Times New Roman"/>
          <w:lang w:val="en-US"/>
        </w:rPr>
        <w:t xml:space="preserve">-fold, with </w:t>
      </w:r>
      <w:r w:rsidR="00F056FF" w:rsidRPr="00BA37A1">
        <w:rPr>
          <w:rFonts w:ascii="Times New Roman" w:hAnsi="Times New Roman" w:cs="Times New Roman"/>
          <w:lang w:val="en-US"/>
        </w:rPr>
        <w:t xml:space="preserve">a maximum </w:t>
      </w:r>
      <w:r w:rsidR="00BA37A1" w:rsidRPr="00BA37A1">
        <w:rPr>
          <w:rFonts w:ascii="Times New Roman" w:hAnsi="Times New Roman" w:cs="Times New Roman"/>
          <w:lang w:val="en-US"/>
        </w:rPr>
        <w:t>titer</w:t>
      </w:r>
      <w:r w:rsidR="00F056FF" w:rsidRPr="00BA37A1">
        <w:rPr>
          <w:rFonts w:ascii="Times New Roman" w:hAnsi="Times New Roman" w:cs="Times New Roman"/>
          <w:lang w:val="en-US"/>
        </w:rPr>
        <w:t xml:space="preserve"> of </w:t>
      </w:r>
      <w:r w:rsidR="00FB54F9" w:rsidRPr="00BA37A1">
        <w:rPr>
          <w:rFonts w:ascii="Times New Roman" w:hAnsi="Times New Roman" w:cs="Times New Roman"/>
          <w:lang w:val="en-US"/>
        </w:rPr>
        <w:t>3</w:t>
      </w:r>
      <w:r w:rsidR="00CD358F" w:rsidRPr="00BA37A1">
        <w:rPr>
          <w:rFonts w:ascii="Times New Roman" w:hAnsi="Times New Roman" w:cs="Times New Roman"/>
          <w:lang w:val="en-US"/>
        </w:rPr>
        <w:t>02</w:t>
      </w:r>
      <w:r w:rsidR="00FB54F9" w:rsidRPr="00BA37A1">
        <w:rPr>
          <w:rFonts w:ascii="Times New Roman" w:hAnsi="Times New Roman" w:cs="Times New Roman"/>
          <w:lang w:val="en-US"/>
        </w:rPr>
        <w:t xml:space="preserve"> mg/L </w:t>
      </w:r>
      <w:r w:rsidR="00164597" w:rsidRPr="00BA37A1">
        <w:rPr>
          <w:rFonts w:ascii="Times New Roman" w:hAnsi="Times New Roman" w:cs="Times New Roman"/>
          <w:lang w:val="en-US"/>
        </w:rPr>
        <w:t>obtained at</w:t>
      </w:r>
      <w:r w:rsidR="00F82CD5" w:rsidRPr="00BA37A1">
        <w:rPr>
          <w:rFonts w:ascii="Times New Roman" w:hAnsi="Times New Roman" w:cs="Times New Roman"/>
          <w:lang w:val="en-US"/>
        </w:rPr>
        <w:t xml:space="preserve"> </w:t>
      </w:r>
      <w:r w:rsidR="00164597" w:rsidRPr="00BA37A1">
        <w:rPr>
          <w:rFonts w:ascii="Times New Roman" w:hAnsi="Times New Roman" w:cs="Times New Roman"/>
          <w:lang w:val="en-US"/>
        </w:rPr>
        <w:t xml:space="preserve">54 </w:t>
      </w:r>
      <w:r w:rsidR="00F82CD5" w:rsidRPr="00BA37A1">
        <w:rPr>
          <w:rFonts w:ascii="Times New Roman" w:hAnsi="Times New Roman" w:cs="Times New Roman"/>
          <w:lang w:val="en-US"/>
        </w:rPr>
        <w:t>hours (</w:t>
      </w:r>
      <w:r w:rsidR="005B712A" w:rsidRPr="00BA37A1">
        <w:rPr>
          <w:rFonts w:ascii="Times New Roman" w:hAnsi="Times New Roman" w:cs="Times New Roman"/>
          <w:lang w:val="en-US"/>
        </w:rPr>
        <w:t>Figure 6</w:t>
      </w:r>
      <w:r w:rsidR="00164597" w:rsidRPr="00BA37A1">
        <w:rPr>
          <w:rFonts w:ascii="Times New Roman" w:hAnsi="Times New Roman" w:cs="Times New Roman"/>
          <w:lang w:val="en-US"/>
        </w:rPr>
        <w:t xml:space="preserve">B). At 54 hours the galactose had been depleted and the yeast </w:t>
      </w:r>
      <w:r w:rsidR="00BA37A1" w:rsidRPr="00BA37A1">
        <w:rPr>
          <w:rFonts w:ascii="Times New Roman" w:hAnsi="Times New Roman" w:cs="Times New Roman"/>
          <w:lang w:val="en-US"/>
        </w:rPr>
        <w:t>metabolized</w:t>
      </w:r>
      <w:r w:rsidR="00164597" w:rsidRPr="00BA37A1">
        <w:rPr>
          <w:rFonts w:ascii="Times New Roman" w:hAnsi="Times New Roman" w:cs="Times New Roman"/>
          <w:lang w:val="en-US"/>
        </w:rPr>
        <w:t xml:space="preserve"> the produced ethanol in the subsequent 55 hours of cultivation (</w:t>
      </w:r>
      <w:r w:rsidR="005B712A" w:rsidRPr="00BA37A1">
        <w:rPr>
          <w:rFonts w:ascii="Times New Roman" w:hAnsi="Times New Roman" w:cs="Times New Roman"/>
          <w:lang w:val="en-US"/>
        </w:rPr>
        <w:t>Figure 6</w:t>
      </w:r>
      <w:r w:rsidR="00423714" w:rsidRPr="00BA37A1">
        <w:rPr>
          <w:rFonts w:ascii="Times New Roman" w:hAnsi="Times New Roman" w:cs="Times New Roman"/>
          <w:lang w:val="en-US"/>
        </w:rPr>
        <w:t xml:space="preserve">A). As the heterologous pathway was expressed under the control of galactose </w:t>
      </w:r>
      <w:r w:rsidR="00006203" w:rsidRPr="00BA37A1">
        <w:rPr>
          <w:rFonts w:ascii="Times New Roman" w:hAnsi="Times New Roman" w:cs="Times New Roman"/>
          <w:lang w:val="en-US"/>
        </w:rPr>
        <w:t>inducible</w:t>
      </w:r>
      <w:r w:rsidR="00423714" w:rsidRPr="00BA37A1">
        <w:rPr>
          <w:rFonts w:ascii="Times New Roman" w:hAnsi="Times New Roman" w:cs="Times New Roman"/>
          <w:lang w:val="en-US"/>
        </w:rPr>
        <w:t xml:space="preserve"> promoters, </w:t>
      </w:r>
      <w:r w:rsidR="00164597" w:rsidRPr="00BA37A1">
        <w:rPr>
          <w:rFonts w:ascii="Times New Roman" w:hAnsi="Times New Roman" w:cs="Times New Roman"/>
          <w:lang w:val="en-US"/>
        </w:rPr>
        <w:t xml:space="preserve">no additional taxanes were produced </w:t>
      </w:r>
      <w:r w:rsidR="00423714" w:rsidRPr="00BA37A1">
        <w:rPr>
          <w:rFonts w:ascii="Times New Roman" w:hAnsi="Times New Roman" w:cs="Times New Roman"/>
          <w:lang w:val="en-US"/>
        </w:rPr>
        <w:t xml:space="preserve">during growth on ethanol </w:t>
      </w:r>
      <w:r w:rsidR="00164597" w:rsidRPr="00BA37A1">
        <w:rPr>
          <w:rFonts w:ascii="Times New Roman" w:hAnsi="Times New Roman" w:cs="Times New Roman"/>
          <w:lang w:val="en-US"/>
        </w:rPr>
        <w:t xml:space="preserve">and the total </w:t>
      </w:r>
      <w:r w:rsidR="00BA37A1" w:rsidRPr="00BA37A1">
        <w:rPr>
          <w:rFonts w:ascii="Times New Roman" w:hAnsi="Times New Roman" w:cs="Times New Roman"/>
          <w:lang w:val="en-US"/>
        </w:rPr>
        <w:t>titer</w:t>
      </w:r>
      <w:r w:rsidR="00164597" w:rsidRPr="00BA37A1">
        <w:rPr>
          <w:rFonts w:ascii="Times New Roman" w:hAnsi="Times New Roman" w:cs="Times New Roman"/>
          <w:lang w:val="en-US"/>
        </w:rPr>
        <w:t xml:space="preserve"> declined to</w:t>
      </w:r>
      <w:r w:rsidR="00FB54F9" w:rsidRPr="00BA37A1">
        <w:rPr>
          <w:rFonts w:ascii="Times New Roman" w:hAnsi="Times New Roman" w:cs="Times New Roman"/>
          <w:lang w:val="en-US"/>
        </w:rPr>
        <w:t xml:space="preserve"> </w:t>
      </w:r>
      <w:r w:rsidR="00FB54F9" w:rsidRPr="00BA37A1">
        <w:rPr>
          <w:rFonts w:ascii="Times New Roman" w:hAnsi="Times New Roman" w:cs="Times New Roman"/>
          <w:lang w:val="en-US"/>
        </w:rPr>
        <w:lastRenderedPageBreak/>
        <w:t>around 2</w:t>
      </w:r>
      <w:r w:rsidR="00CD358F" w:rsidRPr="00BA37A1">
        <w:rPr>
          <w:rFonts w:ascii="Times New Roman" w:hAnsi="Times New Roman" w:cs="Times New Roman"/>
          <w:lang w:val="en-US"/>
        </w:rPr>
        <w:t>18</w:t>
      </w:r>
      <w:r w:rsidR="00FB54F9" w:rsidRPr="00BA37A1">
        <w:rPr>
          <w:rFonts w:ascii="Times New Roman" w:hAnsi="Times New Roman" w:cs="Times New Roman"/>
          <w:lang w:val="en-US"/>
        </w:rPr>
        <w:t xml:space="preserve"> mg/L</w:t>
      </w:r>
      <w:r w:rsidR="00F82CD5" w:rsidRPr="00BA37A1">
        <w:rPr>
          <w:rFonts w:ascii="Times New Roman" w:hAnsi="Times New Roman" w:cs="Times New Roman"/>
          <w:lang w:val="en-US"/>
        </w:rPr>
        <w:t xml:space="preserve"> </w:t>
      </w:r>
      <w:r w:rsidR="00164597" w:rsidRPr="00BA37A1">
        <w:rPr>
          <w:rFonts w:ascii="Times New Roman" w:hAnsi="Times New Roman" w:cs="Times New Roman"/>
          <w:lang w:val="en-US"/>
        </w:rPr>
        <w:t>at the end of the cultivation.</w:t>
      </w:r>
      <w:r w:rsidR="00BC6773" w:rsidRPr="00BA37A1">
        <w:rPr>
          <w:rFonts w:ascii="Times New Roman" w:hAnsi="Times New Roman" w:cs="Times New Roman"/>
          <w:lang w:val="en-US"/>
        </w:rPr>
        <w:t xml:space="preserve"> As this</w:t>
      </w:r>
      <w:r w:rsidR="00164597" w:rsidRPr="00BA37A1">
        <w:rPr>
          <w:rFonts w:ascii="Times New Roman" w:hAnsi="Times New Roman" w:cs="Times New Roman"/>
          <w:lang w:val="en-US"/>
        </w:rPr>
        <w:t xml:space="preserve"> drop in </w:t>
      </w:r>
      <w:r w:rsidR="00BA37A1" w:rsidRPr="00BA37A1">
        <w:rPr>
          <w:rFonts w:ascii="Times New Roman" w:hAnsi="Times New Roman" w:cs="Times New Roman"/>
          <w:lang w:val="en-US"/>
        </w:rPr>
        <w:t>titer</w:t>
      </w:r>
      <w:r w:rsidR="00164597" w:rsidRPr="00BA37A1">
        <w:rPr>
          <w:rFonts w:ascii="Times New Roman" w:hAnsi="Times New Roman" w:cs="Times New Roman"/>
          <w:lang w:val="en-US"/>
        </w:rPr>
        <w:t xml:space="preserve"> was proportional for each of the key products (</w:t>
      </w:r>
      <w:r w:rsidR="005A1323" w:rsidRPr="00BA37A1">
        <w:rPr>
          <w:rFonts w:ascii="Times New Roman" w:hAnsi="Times New Roman" w:cs="Times New Roman"/>
          <w:lang w:val="en-US"/>
        </w:rPr>
        <w:t>Figure 6</w:t>
      </w:r>
      <w:r w:rsidR="00164597" w:rsidRPr="00BA37A1">
        <w:rPr>
          <w:rFonts w:ascii="Times New Roman" w:hAnsi="Times New Roman" w:cs="Times New Roman"/>
          <w:lang w:val="en-US"/>
        </w:rPr>
        <w:t>C)</w:t>
      </w:r>
      <w:r w:rsidR="00BC6773" w:rsidRPr="00BA37A1">
        <w:rPr>
          <w:rFonts w:ascii="Times New Roman" w:hAnsi="Times New Roman" w:cs="Times New Roman"/>
          <w:lang w:val="en-US"/>
        </w:rPr>
        <w:t xml:space="preserve">, it may have been due to loss via air stripping. Although the addition of a dodecane overlay has been found to reduce dramatically reduce air-stripping of volatile taxane compounds, with the relatively high air flow rate (1 vvm) and long cultivation time in the bioreactor, its application may not have been sufficient to eliminate the phenomenon entirely. </w:t>
      </w:r>
    </w:p>
    <w:p w14:paraId="095D5FD2" w14:textId="03FA4D4D" w:rsidR="008C4DAA" w:rsidRPr="00BA37A1" w:rsidRDefault="00F82CD5" w:rsidP="00D36DCD">
      <w:pPr>
        <w:spacing w:line="480" w:lineRule="auto"/>
        <w:ind w:firstLine="360"/>
        <w:rPr>
          <w:rFonts w:ascii="Times New Roman" w:hAnsi="Times New Roman" w:cs="Times New Roman"/>
          <w:lang w:val="en-US"/>
        </w:rPr>
      </w:pPr>
      <w:r w:rsidRPr="00BA37A1">
        <w:rPr>
          <w:rFonts w:ascii="Times New Roman" w:hAnsi="Times New Roman" w:cs="Times New Roman"/>
          <w:lang w:val="en-US"/>
        </w:rPr>
        <w:t xml:space="preserve"> </w:t>
      </w:r>
      <w:r w:rsidR="00FB54F9" w:rsidRPr="00BA37A1">
        <w:rPr>
          <w:rFonts w:ascii="Times New Roman" w:hAnsi="Times New Roman" w:cs="Times New Roman"/>
          <w:lang w:val="en-US"/>
        </w:rPr>
        <w:t>Interestingly, the nature of the taxane products generated</w:t>
      </w:r>
      <w:r w:rsidR="008C4DAA" w:rsidRPr="00BA37A1">
        <w:rPr>
          <w:rFonts w:ascii="Times New Roman" w:hAnsi="Times New Roman" w:cs="Times New Roman"/>
          <w:lang w:val="en-US"/>
        </w:rPr>
        <w:t xml:space="preserve"> in the 1L bioreactors</w:t>
      </w:r>
      <w:r w:rsidR="00FB54F9" w:rsidRPr="00BA37A1">
        <w:rPr>
          <w:rFonts w:ascii="Times New Roman" w:hAnsi="Times New Roman" w:cs="Times New Roman"/>
          <w:lang w:val="en-US"/>
        </w:rPr>
        <w:t xml:space="preserve"> (</w:t>
      </w:r>
      <w:r w:rsidR="00356FB5" w:rsidRPr="00BA37A1">
        <w:rPr>
          <w:rFonts w:ascii="Times New Roman" w:hAnsi="Times New Roman" w:cs="Times New Roman"/>
          <w:lang w:val="en-US"/>
        </w:rPr>
        <w:t xml:space="preserve">Supplementary Figure </w:t>
      </w:r>
      <w:r w:rsidR="00E7200D" w:rsidRPr="00BA37A1">
        <w:rPr>
          <w:rFonts w:ascii="Times New Roman" w:hAnsi="Times New Roman" w:cs="Times New Roman"/>
          <w:lang w:val="en-US"/>
        </w:rPr>
        <w:t>6</w:t>
      </w:r>
      <w:r w:rsidR="00FB54F9" w:rsidRPr="00BA37A1">
        <w:rPr>
          <w:rFonts w:ascii="Times New Roman" w:hAnsi="Times New Roman" w:cs="Times New Roman"/>
          <w:lang w:val="en-US"/>
        </w:rPr>
        <w:t xml:space="preserve">) was highly similar to those obtained </w:t>
      </w:r>
      <w:r w:rsidR="00E3088C" w:rsidRPr="00BA37A1">
        <w:rPr>
          <w:rFonts w:ascii="Times New Roman" w:hAnsi="Times New Roman" w:cs="Times New Roman"/>
          <w:lang w:val="en-US"/>
        </w:rPr>
        <w:t xml:space="preserve">for </w:t>
      </w:r>
      <w:r w:rsidR="00E3088C" w:rsidRPr="00BA37A1">
        <w:rPr>
          <w:rFonts w:ascii="Times New Roman" w:hAnsi="Times New Roman" w:cs="Times New Roman"/>
          <w:i/>
          <w:lang w:val="en-US"/>
        </w:rPr>
        <w:t xml:space="preserve">LRS6 </w:t>
      </w:r>
      <w:r w:rsidR="00E3088C" w:rsidRPr="00BA37A1">
        <w:rPr>
          <w:rFonts w:ascii="Times New Roman" w:hAnsi="Times New Roman" w:cs="Times New Roman"/>
          <w:lang w:val="en-US"/>
        </w:rPr>
        <w:t xml:space="preserve">grown </w:t>
      </w:r>
      <w:r w:rsidR="00027636" w:rsidRPr="00BA37A1">
        <w:rPr>
          <w:rFonts w:ascii="Times New Roman" w:hAnsi="Times New Roman" w:cs="Times New Roman"/>
          <w:lang w:val="en-US"/>
        </w:rPr>
        <w:t xml:space="preserve">in complex </w:t>
      </w:r>
      <w:r w:rsidR="00E3088C" w:rsidRPr="00BA37A1">
        <w:rPr>
          <w:rFonts w:ascii="Times New Roman" w:hAnsi="Times New Roman" w:cs="Times New Roman"/>
          <w:lang w:val="en-US"/>
        </w:rPr>
        <w:t>media in 1L BIOSTAT reactors</w:t>
      </w:r>
      <w:r w:rsidR="005E6A4C">
        <w:rPr>
          <w:rFonts w:ascii="Times New Roman" w:hAnsi="Times New Roman" w:cs="Times New Roman"/>
          <w:lang w:val="en-US"/>
        </w:rPr>
        <w:t>.</w:t>
      </w:r>
      <w:r w:rsidR="00E3088C"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E3088C"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E3088C" w:rsidRPr="00BA37A1">
        <w:rPr>
          <w:rFonts w:ascii="Times New Roman" w:hAnsi="Times New Roman" w:cs="Times New Roman"/>
          <w:lang w:val="en-US"/>
        </w:rPr>
        <w:fldChar w:fldCharType="end"/>
      </w:r>
      <w:r w:rsidR="008C4DAA" w:rsidRPr="00BA37A1">
        <w:rPr>
          <w:rFonts w:ascii="Times New Roman" w:hAnsi="Times New Roman" w:cs="Times New Roman"/>
          <w:lang w:val="en-US"/>
        </w:rPr>
        <w:t xml:space="preserve"> The major product of CYP725A4 was </w:t>
      </w:r>
      <w:r w:rsidR="006C7246" w:rsidRPr="00BA37A1">
        <w:rPr>
          <w:rFonts w:ascii="Times New Roman" w:hAnsi="Times New Roman" w:cs="Times New Roman"/>
          <w:lang w:val="en-US"/>
        </w:rPr>
        <w:t>diterpenoid 1 under each of the three conditions tested in the bioreactor (</w:t>
      </w:r>
      <w:r w:rsidR="00AC41EB" w:rsidRPr="00BA37A1">
        <w:rPr>
          <w:rFonts w:ascii="Times New Roman" w:hAnsi="Times New Roman" w:cs="Times New Roman"/>
          <w:lang w:val="en-US"/>
        </w:rPr>
        <w:t>Figure 5</w:t>
      </w:r>
      <w:r w:rsidR="00747B85" w:rsidRPr="00BA37A1">
        <w:rPr>
          <w:rFonts w:ascii="Times New Roman" w:hAnsi="Times New Roman" w:cs="Times New Roman"/>
          <w:lang w:val="en-US"/>
        </w:rPr>
        <w:t>B</w:t>
      </w:r>
      <w:r w:rsidR="006C7246" w:rsidRPr="00BA37A1">
        <w:rPr>
          <w:rFonts w:ascii="Times New Roman" w:hAnsi="Times New Roman" w:cs="Times New Roman"/>
          <w:lang w:val="en-US"/>
        </w:rPr>
        <w:t xml:space="preserve"> and </w:t>
      </w:r>
      <w:r w:rsidR="00747B85" w:rsidRPr="00BA37A1">
        <w:rPr>
          <w:rFonts w:ascii="Times New Roman" w:hAnsi="Times New Roman" w:cs="Times New Roman"/>
          <w:lang w:val="en-US"/>
        </w:rPr>
        <w:t>D</w:t>
      </w:r>
      <w:r w:rsidR="006C7246" w:rsidRPr="00BA37A1">
        <w:rPr>
          <w:rFonts w:ascii="Times New Roman" w:hAnsi="Times New Roman" w:cs="Times New Roman"/>
          <w:lang w:val="en-US"/>
        </w:rPr>
        <w:t xml:space="preserve">, </w:t>
      </w:r>
      <w:r w:rsidR="00AC41EB" w:rsidRPr="00BA37A1">
        <w:rPr>
          <w:rFonts w:ascii="Times New Roman" w:hAnsi="Times New Roman" w:cs="Times New Roman"/>
          <w:lang w:val="en-US"/>
        </w:rPr>
        <w:t>Figure 6</w:t>
      </w:r>
      <w:r w:rsidR="006C7246" w:rsidRPr="00BA37A1">
        <w:rPr>
          <w:rFonts w:ascii="Times New Roman" w:hAnsi="Times New Roman" w:cs="Times New Roman"/>
          <w:lang w:val="en-US"/>
        </w:rPr>
        <w:t xml:space="preserve">C). Under the </w:t>
      </w:r>
      <w:r w:rsidR="00BA37A1" w:rsidRPr="00BA37A1">
        <w:rPr>
          <w:rFonts w:ascii="Times New Roman" w:hAnsi="Times New Roman" w:cs="Times New Roman"/>
          <w:lang w:val="en-US"/>
        </w:rPr>
        <w:t>optimized</w:t>
      </w:r>
      <w:r w:rsidR="006C7246" w:rsidRPr="00BA37A1">
        <w:rPr>
          <w:rFonts w:ascii="Times New Roman" w:hAnsi="Times New Roman" w:cs="Times New Roman"/>
          <w:lang w:val="en-US"/>
        </w:rPr>
        <w:t xml:space="preserve"> condition with increased ammonium sulphate a maximum diterpenoid 1 </w:t>
      </w:r>
      <w:r w:rsidR="00BA37A1" w:rsidRPr="00BA37A1">
        <w:rPr>
          <w:rFonts w:ascii="Times New Roman" w:hAnsi="Times New Roman" w:cs="Times New Roman"/>
          <w:lang w:val="en-US"/>
        </w:rPr>
        <w:t>titer</w:t>
      </w:r>
      <w:r w:rsidR="006C7246" w:rsidRPr="00BA37A1">
        <w:rPr>
          <w:rFonts w:ascii="Times New Roman" w:hAnsi="Times New Roman" w:cs="Times New Roman"/>
          <w:lang w:val="en-US"/>
        </w:rPr>
        <w:t xml:space="preserve"> of 73 mg/L was achieved (</w:t>
      </w:r>
      <w:r w:rsidR="00AC41EB" w:rsidRPr="00BA37A1">
        <w:rPr>
          <w:rFonts w:ascii="Times New Roman" w:hAnsi="Times New Roman" w:cs="Times New Roman"/>
          <w:lang w:val="en-US"/>
        </w:rPr>
        <w:t>Figure 6</w:t>
      </w:r>
      <w:r w:rsidR="006C7246" w:rsidRPr="00BA37A1">
        <w:rPr>
          <w:rFonts w:ascii="Times New Roman" w:hAnsi="Times New Roman" w:cs="Times New Roman"/>
          <w:lang w:val="en-US"/>
        </w:rPr>
        <w:t>C)</w:t>
      </w:r>
      <w:r w:rsidR="00375ACB" w:rsidRPr="00BA37A1">
        <w:rPr>
          <w:rFonts w:ascii="Times New Roman" w:hAnsi="Times New Roman" w:cs="Times New Roman"/>
          <w:lang w:val="en-US"/>
        </w:rPr>
        <w:t xml:space="preserve">. The confirmed Taxol intermediates taxadiene, iso-taxadiene, T5αol and T5αAc were also detected with maximum </w:t>
      </w:r>
      <w:r w:rsidR="00BA37A1" w:rsidRPr="00BA37A1">
        <w:rPr>
          <w:rFonts w:ascii="Times New Roman" w:hAnsi="Times New Roman" w:cs="Times New Roman"/>
          <w:lang w:val="en-US"/>
        </w:rPr>
        <w:t>titers</w:t>
      </w:r>
      <w:r w:rsidR="00375ACB" w:rsidRPr="00BA37A1">
        <w:rPr>
          <w:rFonts w:ascii="Times New Roman" w:hAnsi="Times New Roman" w:cs="Times New Roman"/>
          <w:lang w:val="en-US"/>
        </w:rPr>
        <w:t xml:space="preserve"> of 63, 6, 35 and 12 mg/L, respectively. This represent</w:t>
      </w:r>
      <w:r w:rsidR="00423714" w:rsidRPr="00BA37A1">
        <w:rPr>
          <w:rFonts w:ascii="Times New Roman" w:hAnsi="Times New Roman" w:cs="Times New Roman"/>
          <w:lang w:val="en-US"/>
        </w:rPr>
        <w:t>ed</w:t>
      </w:r>
      <w:r w:rsidR="00375ACB" w:rsidRPr="00BA37A1">
        <w:rPr>
          <w:rFonts w:ascii="Times New Roman" w:hAnsi="Times New Roman" w:cs="Times New Roman"/>
          <w:lang w:val="en-US"/>
        </w:rPr>
        <w:t xml:space="preserve"> 1.5 and 3.2-fold improvements in</w:t>
      </w:r>
      <w:r w:rsidR="005617EB" w:rsidRPr="00BA37A1">
        <w:rPr>
          <w:rFonts w:ascii="Times New Roman" w:hAnsi="Times New Roman" w:cs="Times New Roman"/>
          <w:lang w:val="en-US"/>
        </w:rPr>
        <w:t xml:space="preserve"> </w:t>
      </w:r>
      <w:r w:rsidR="00BA37A1" w:rsidRPr="00BA37A1">
        <w:rPr>
          <w:rFonts w:ascii="Times New Roman" w:hAnsi="Times New Roman" w:cs="Times New Roman"/>
          <w:lang w:val="en-US"/>
        </w:rPr>
        <w:t>titers</w:t>
      </w:r>
      <w:r w:rsidR="005617EB" w:rsidRPr="00BA37A1">
        <w:rPr>
          <w:rFonts w:ascii="Times New Roman" w:hAnsi="Times New Roman" w:cs="Times New Roman"/>
          <w:lang w:val="en-US"/>
        </w:rPr>
        <w:t xml:space="preserve"> of the critical Taxol precursors,</w:t>
      </w:r>
      <w:r w:rsidR="00375ACB" w:rsidRPr="00BA37A1">
        <w:rPr>
          <w:rFonts w:ascii="Times New Roman" w:hAnsi="Times New Roman" w:cs="Times New Roman"/>
          <w:lang w:val="en-US"/>
        </w:rPr>
        <w:t xml:space="preserve"> T5αol and T5αAc</w:t>
      </w:r>
      <w:r w:rsidR="005617EB" w:rsidRPr="00BA37A1">
        <w:rPr>
          <w:rFonts w:ascii="Times New Roman" w:hAnsi="Times New Roman" w:cs="Times New Roman"/>
          <w:lang w:val="en-US"/>
        </w:rPr>
        <w:t xml:space="preserve">, </w:t>
      </w:r>
      <w:r w:rsidR="00375ACB" w:rsidRPr="00BA37A1">
        <w:rPr>
          <w:rFonts w:ascii="Times New Roman" w:hAnsi="Times New Roman" w:cs="Times New Roman"/>
          <w:lang w:val="en-US"/>
        </w:rPr>
        <w:t xml:space="preserve">compared to the highest reported literature </w:t>
      </w:r>
      <w:r w:rsidR="00BA37A1" w:rsidRPr="00BA37A1">
        <w:rPr>
          <w:rFonts w:ascii="Times New Roman" w:hAnsi="Times New Roman" w:cs="Times New Roman"/>
          <w:lang w:val="en-US"/>
        </w:rPr>
        <w:t>titers</w:t>
      </w:r>
      <w:r w:rsidR="00375ACB" w:rsidRPr="00BA37A1">
        <w:rPr>
          <w:rFonts w:ascii="Times New Roman" w:hAnsi="Times New Roman" w:cs="Times New Roman"/>
          <w:lang w:val="en-US"/>
        </w:rPr>
        <w:t xml:space="preserve"> in </w:t>
      </w:r>
      <w:r w:rsidR="00375ACB" w:rsidRPr="00BA37A1">
        <w:rPr>
          <w:rFonts w:ascii="Times New Roman" w:hAnsi="Times New Roman" w:cs="Times New Roman"/>
          <w:i/>
          <w:lang w:val="en-US"/>
        </w:rPr>
        <w:t>S. cerevisiae</w:t>
      </w:r>
      <w:r w:rsidR="005E6A4C">
        <w:rPr>
          <w:rFonts w:ascii="Times New Roman" w:hAnsi="Times New Roman" w:cs="Times New Roman"/>
          <w:i/>
          <w:lang w:val="en-US"/>
        </w:rPr>
        <w:t>.</w:t>
      </w:r>
      <w:r w:rsidR="00375ACB"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375ACB"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375ACB" w:rsidRPr="00BA37A1">
        <w:rPr>
          <w:rFonts w:ascii="Times New Roman" w:hAnsi="Times New Roman" w:cs="Times New Roman"/>
          <w:lang w:val="en-US"/>
        </w:rPr>
        <w:fldChar w:fldCharType="end"/>
      </w:r>
      <w:r w:rsidR="00375ACB" w:rsidRPr="00BA37A1">
        <w:rPr>
          <w:rFonts w:ascii="Times New Roman" w:hAnsi="Times New Roman" w:cs="Times New Roman"/>
          <w:lang w:val="en-US"/>
        </w:rPr>
        <w:t xml:space="preserve"> OCT and iso-OCT were also produced, however, the additional compounds observed in the BioLector and shake flask cultivations were not detected.</w:t>
      </w:r>
      <w:r w:rsidR="005617EB" w:rsidRPr="00BA37A1">
        <w:rPr>
          <w:rFonts w:ascii="Times New Roman" w:hAnsi="Times New Roman" w:cs="Times New Roman"/>
          <w:lang w:val="en-US"/>
        </w:rPr>
        <w:t xml:space="preserve"> A further diterpenoid compound, diterpenoid 4 (</w:t>
      </w:r>
      <w:r w:rsidR="00E7200D" w:rsidRPr="00BA37A1">
        <w:rPr>
          <w:rFonts w:ascii="Times New Roman" w:hAnsi="Times New Roman" w:cs="Times New Roman"/>
          <w:lang w:val="en-US"/>
        </w:rPr>
        <w:t>Supplementary Figure 6</w:t>
      </w:r>
      <w:r w:rsidR="005617EB" w:rsidRPr="00BA37A1">
        <w:rPr>
          <w:rFonts w:ascii="Times New Roman" w:hAnsi="Times New Roman" w:cs="Times New Roman"/>
          <w:lang w:val="en-US"/>
        </w:rPr>
        <w:t>), which was previously produced by the strain in bioreactor cultivations with complex media</w:t>
      </w:r>
      <w:r w:rsidR="005617EB" w:rsidRPr="00BA37A1">
        <w:rPr>
          <w:rFonts w:ascii="Times New Roman" w:hAnsi="Times New Roman" w:cs="Times New Roman"/>
          <w:lang w:val="en-US"/>
        </w:rPr>
        <w:fldChar w:fldCharType="begin" w:fldLock="1"/>
      </w:r>
      <w:r w:rsidR="005E6A4C">
        <w:rPr>
          <w:rFonts w:ascii="Times New Roman" w:hAnsi="Times New Roman" w:cs="Times New Roman"/>
          <w:lang w:val="en-US"/>
        </w:rPr>
        <w:instrText>ADDIN CSL_CITATION {"citationItems":[{"id":"ITEM-1","itemData":{"DOI":"10.1002/bit.27569","ISSN":"0006-3592","abstract":"Abstract Taxadien-5α-hydroxylase and taxadien-5α-ol O-acetyltransferase catalyze the oxidation of taxadiene to taxadien-5α-ol and subsequent acetylation to taxadien-5α-yl-acetate in the biosynthesis of the blockbuster anticancer drug, paclitaxel (Taxol?). Despite decades of research, the promiscuous and multispecific CYP725A4 enzyme remains a major bottleneck in microbial biosynthetic pathway development. In this study, an interdisciplinary approach was applied for the construction and optimization of the early pathway in Saccharomyces cerevisiae, across a range of bioreactor scales. High-throughput microscale optimization enhanced total oxygenated taxane titer to 39.0?±?5.7?mg/L and total taxane product titers were comparable at micro and minibioreactor scale at 95.4?±?18.0 and 98.9?mg/L, respectively. The introduction of pH control successfully mitigated a reduction of oxygenated taxane production, enhancing the potential taxadien-5α-ol isomer titer to 19.2?mg/L, comparable with the 23.8?±?3.7?mg/L achieved at microscale. A combination of bioprocess optimization and increased gas chromatography-mass spectrometry resolution at 1?L bioreactor scale facilitated taxadien-5α-yl-acetate detection with a final titer of 3.7?mg/L. Total oxygenated taxane titers were improved 2.7-fold at this scale to 78?mg/L, the highest reported titer in yeast. Critical parameters affecting the productivity of the engineered strain were identified across a range of scales, providing a foundation for the development of robust integrated bioprocess control systems.","author":[{"dropping-particle":"","family":"Walls","given":"Laura E","non-dropping-particle":"","parse-names":false,"suffix":""},{"dropping-particle":"","family":"Malcı","given":"Koray","non-dropping-particle":"","parse-names":false,"suffix":""},{"dropping-particle":"","family":"Nowrouzi","given":"Behnaz","non-dropping-particle":"","parse-names":false,"suffix":""},{"dropping-particle":"","family":"Li","given":"Rachel A","non-dropping-particle":"","parse-names":false,"suffix":""},{"dropping-particle":"","family":"d'Espaux","given":"Leo","non-dropping-particle":"","parse-names":false,"suffix":""},{"dropping-particle":"","family":"Wong","given":"Jeff","non-dropping-particle":"","parse-names":false,"suffix":""},{"dropping-particle":"","family":"Dennis","given":"Jonathan A","non-dropping-particle":"","parse-names":false,"suffix":""},{"dropping-particle":"","family":"Semião","given":"Andrea J C","non-dropping-particle":"","parse-names":false,"suffix":""},{"dropping-particle":"","family":"Wallace","given":"Stephen","non-dropping-particle":"","parse-names":false,"suffix":""},{"dropping-particle":"","family":"Martinez","given":"José L","non-dropping-particle":"","parse-names":false,"suffix":""},{"dropping-particle":"","family":"Keasling","given":"Jay D","non-dropping-particle":"","parse-names":false,"suffix":""},{"dropping-particle":"","family":"Rios-Solis","given":"Leonardo","non-dropping-particle":"","parse-names":false,"suffix":""}],"container-title":"Biotechnology and Bioengineering","id":"ITEM-1","issue":"n/a","issued":{"date-parts":[["2020","9","16"]]},"note":"doi: 10.1002/bit.27569","publisher":"John Wiley &amp; Sons, Ltd","title":"Optimizing the biosynthesis of oxygenated and acetylated Taxol precursors in Saccharomyces cerevisiae using advanced bioprocessing strategies","type":"article-journal","volume":"n/a"},"uris":["http://www.mendeley.com/documents/?uuid=94a1bb11-afa8-4d69-ad26-1d662ede604d"]}],"mendeley":{"formattedCitation":"&lt;sup&gt;[17]&lt;/sup&gt;","plainTextFormattedCitation":"[17]","previouslyFormattedCitation":"&lt;sup&gt;[17]&lt;/sup&gt;"},"properties":{"noteIndex":0},"schema":"https://github.com/citation-style-language/schema/raw/master/csl-citation.json"}</w:instrText>
      </w:r>
      <w:r w:rsidR="005617EB" w:rsidRPr="00BA37A1">
        <w:rPr>
          <w:rFonts w:ascii="Times New Roman" w:hAnsi="Times New Roman" w:cs="Times New Roman"/>
          <w:lang w:val="en-US"/>
        </w:rPr>
        <w:fldChar w:fldCharType="separate"/>
      </w:r>
      <w:r w:rsidR="00362160" w:rsidRPr="00362160">
        <w:rPr>
          <w:rFonts w:ascii="Times New Roman" w:hAnsi="Times New Roman" w:cs="Times New Roman"/>
          <w:noProof/>
          <w:vertAlign w:val="superscript"/>
          <w:lang w:val="en-US"/>
        </w:rPr>
        <w:t>[17]</w:t>
      </w:r>
      <w:r w:rsidR="005617EB" w:rsidRPr="00BA37A1">
        <w:rPr>
          <w:rFonts w:ascii="Times New Roman" w:hAnsi="Times New Roman" w:cs="Times New Roman"/>
          <w:lang w:val="en-US"/>
        </w:rPr>
        <w:fldChar w:fldCharType="end"/>
      </w:r>
      <w:r w:rsidR="005617EB" w:rsidRPr="00BA37A1">
        <w:rPr>
          <w:rFonts w:ascii="Times New Roman" w:hAnsi="Times New Roman" w:cs="Times New Roman"/>
          <w:lang w:val="en-US"/>
        </w:rPr>
        <w:t xml:space="preserve"> was also detected. </w:t>
      </w:r>
      <w:r w:rsidR="00861D5C" w:rsidRPr="00BA37A1">
        <w:rPr>
          <w:rFonts w:ascii="Times New Roman" w:hAnsi="Times New Roman" w:cs="Times New Roman"/>
          <w:lang w:val="en-US"/>
        </w:rPr>
        <w:t xml:space="preserve">The differences in product spectra observed in the smaller scale cultivations were therefore unlikely to be </w:t>
      </w:r>
      <w:r w:rsidR="00423714" w:rsidRPr="00BA37A1">
        <w:rPr>
          <w:rFonts w:ascii="Times New Roman" w:hAnsi="Times New Roman" w:cs="Times New Roman"/>
          <w:lang w:val="en-US"/>
        </w:rPr>
        <w:t xml:space="preserve">solely </w:t>
      </w:r>
      <w:r w:rsidR="00861D5C" w:rsidRPr="00BA37A1">
        <w:rPr>
          <w:rFonts w:ascii="Times New Roman" w:hAnsi="Times New Roman" w:cs="Times New Roman"/>
          <w:lang w:val="en-US"/>
        </w:rPr>
        <w:t xml:space="preserve">the result of the differences in medium composition. The acidification of the cultivation medium in the absence of pH control at smaller scale likely contributed to the deviations in selectivity. </w:t>
      </w:r>
    </w:p>
    <w:p w14:paraId="65808C1D" w14:textId="2F21CB21" w:rsidR="00F42A10" w:rsidRPr="00BA37A1" w:rsidRDefault="00F42A10" w:rsidP="00D36DCD">
      <w:pPr>
        <w:pStyle w:val="Heading2"/>
        <w:numPr>
          <w:ilvl w:val="1"/>
          <w:numId w:val="1"/>
        </w:numPr>
        <w:spacing w:line="480" w:lineRule="auto"/>
        <w:rPr>
          <w:rFonts w:ascii="Times New Roman" w:hAnsi="Times New Roman" w:cs="Times New Roman"/>
          <w:lang w:val="en-US"/>
        </w:rPr>
      </w:pPr>
      <w:r w:rsidRPr="00BA37A1">
        <w:rPr>
          <w:rFonts w:ascii="Times New Roman" w:hAnsi="Times New Roman" w:cs="Times New Roman"/>
          <w:lang w:val="en-US"/>
        </w:rPr>
        <w:lastRenderedPageBreak/>
        <w:t xml:space="preserve">Further scale up of the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defined media cultivation in 5 L bioreactor</w:t>
      </w:r>
    </w:p>
    <w:p w14:paraId="4F384C20" w14:textId="643E8F7F" w:rsidR="001C2444" w:rsidRPr="00BA37A1" w:rsidRDefault="00F42A10" w:rsidP="00D36DCD">
      <w:pPr>
        <w:spacing w:line="480" w:lineRule="auto"/>
        <w:rPr>
          <w:rFonts w:ascii="Times New Roman" w:hAnsi="Times New Roman" w:cs="Times New Roman"/>
          <w:lang w:val="en-US"/>
        </w:rPr>
      </w:pPr>
      <w:r w:rsidRPr="00BA37A1">
        <w:rPr>
          <w:rFonts w:ascii="Times New Roman" w:hAnsi="Times New Roman" w:cs="Times New Roman"/>
          <w:lang w:val="en-US"/>
        </w:rPr>
        <w:t xml:space="preserve">To further investigate the scalability of the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w:t>
      </w:r>
      <w:r w:rsidR="00D02DBB" w:rsidRPr="00BA37A1">
        <w:rPr>
          <w:rFonts w:ascii="Times New Roman" w:hAnsi="Times New Roman" w:cs="Times New Roman"/>
          <w:lang w:val="en-US"/>
        </w:rPr>
        <w:t xml:space="preserve">1L </w:t>
      </w:r>
      <w:r w:rsidRPr="00BA37A1">
        <w:rPr>
          <w:rFonts w:ascii="Times New Roman" w:hAnsi="Times New Roman" w:cs="Times New Roman"/>
          <w:lang w:val="en-US"/>
        </w:rPr>
        <w:t xml:space="preserve">process, a further fivefold scale up was performed </w:t>
      </w:r>
      <w:r w:rsidR="00D02DBB" w:rsidRPr="00BA37A1">
        <w:rPr>
          <w:rFonts w:ascii="Times New Roman" w:hAnsi="Times New Roman" w:cs="Times New Roman"/>
          <w:lang w:val="en-US"/>
        </w:rPr>
        <w:t xml:space="preserve">using a 5L bioreactor. The results of this experiment are </w:t>
      </w:r>
      <w:r w:rsidR="00BA37A1" w:rsidRPr="00BA37A1">
        <w:rPr>
          <w:rFonts w:ascii="Times New Roman" w:hAnsi="Times New Roman" w:cs="Times New Roman"/>
          <w:lang w:val="en-US"/>
        </w:rPr>
        <w:t>summarized</w:t>
      </w:r>
      <w:r w:rsidR="00D02DBB" w:rsidRPr="00BA37A1">
        <w:rPr>
          <w:rFonts w:ascii="Times New Roman" w:hAnsi="Times New Roman" w:cs="Times New Roman"/>
          <w:lang w:val="en-US"/>
        </w:rPr>
        <w:t xml:space="preserve"> in Figure 7.  </w:t>
      </w:r>
    </w:p>
    <w:p w14:paraId="5FCC5EB0" w14:textId="4FFAA60F" w:rsidR="00F42A10" w:rsidRPr="00BA37A1" w:rsidRDefault="00D02DBB" w:rsidP="00D36DCD">
      <w:pPr>
        <w:spacing w:line="480" w:lineRule="auto"/>
        <w:rPr>
          <w:rFonts w:ascii="Times New Roman" w:hAnsi="Times New Roman" w:cs="Times New Roman"/>
          <w:lang w:val="en-US"/>
        </w:rPr>
      </w:pPr>
      <w:r w:rsidRPr="00BA37A1">
        <w:rPr>
          <w:rFonts w:ascii="Times New Roman" w:hAnsi="Times New Roman" w:cs="Times New Roman"/>
          <w:lang w:val="en-US"/>
        </w:rPr>
        <w:t>At 5</w:t>
      </w:r>
      <w:r w:rsidR="00801E23" w:rsidRPr="00BA37A1">
        <w:rPr>
          <w:rFonts w:ascii="Times New Roman" w:hAnsi="Times New Roman" w:cs="Times New Roman"/>
          <w:lang w:val="en-US"/>
        </w:rPr>
        <w:t xml:space="preserve"> </w:t>
      </w:r>
      <w:r w:rsidRPr="00BA37A1">
        <w:rPr>
          <w:rFonts w:ascii="Times New Roman" w:hAnsi="Times New Roman" w:cs="Times New Roman"/>
          <w:lang w:val="en-US"/>
        </w:rPr>
        <w:t>L</w:t>
      </w:r>
      <w:r w:rsidR="00801E23" w:rsidRPr="00BA37A1">
        <w:rPr>
          <w:rFonts w:ascii="Times New Roman" w:hAnsi="Times New Roman" w:cs="Times New Roman"/>
          <w:lang w:val="en-US"/>
        </w:rPr>
        <w:t xml:space="preserve"> scale the </w:t>
      </w:r>
      <w:r w:rsidRPr="00BA37A1">
        <w:rPr>
          <w:rFonts w:ascii="Times New Roman" w:hAnsi="Times New Roman" w:cs="Times New Roman"/>
          <w:lang w:val="en-US"/>
        </w:rPr>
        <w:t>lag phase</w:t>
      </w:r>
      <w:r w:rsidR="00801E23" w:rsidRPr="00BA37A1">
        <w:rPr>
          <w:rFonts w:ascii="Times New Roman" w:hAnsi="Times New Roman" w:cs="Times New Roman"/>
          <w:lang w:val="en-US"/>
        </w:rPr>
        <w:t xml:space="preserve"> of growth</w:t>
      </w:r>
      <w:r w:rsidRPr="00BA37A1">
        <w:rPr>
          <w:rFonts w:ascii="Times New Roman" w:hAnsi="Times New Roman" w:cs="Times New Roman"/>
          <w:lang w:val="en-US"/>
        </w:rPr>
        <w:t xml:space="preserve"> was increased to around 72 hours (Figure 7A). Despite this, the final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was 87.5, highly comparable to the final OD</w:t>
      </w:r>
      <w:r w:rsidRPr="00BA37A1">
        <w:rPr>
          <w:rFonts w:ascii="Times New Roman" w:hAnsi="Times New Roman" w:cs="Times New Roman"/>
          <w:vertAlign w:val="subscript"/>
          <w:lang w:val="en-US"/>
        </w:rPr>
        <w:t>600</w:t>
      </w:r>
      <w:r w:rsidRPr="00BA37A1">
        <w:rPr>
          <w:rFonts w:ascii="Times New Roman" w:hAnsi="Times New Roman" w:cs="Times New Roman"/>
          <w:lang w:val="en-US"/>
        </w:rPr>
        <w:t xml:space="preserve"> of 84 obtained in the 1 L bioreactor cultivation (Figure 6</w:t>
      </w:r>
      <w:r w:rsidR="00801E23" w:rsidRPr="00BA37A1">
        <w:rPr>
          <w:rFonts w:ascii="Times New Roman" w:hAnsi="Times New Roman" w:cs="Times New Roman"/>
          <w:lang w:val="en-US"/>
        </w:rPr>
        <w:t>A</w:t>
      </w:r>
      <w:r w:rsidRPr="00BA37A1">
        <w:rPr>
          <w:rFonts w:ascii="Times New Roman" w:hAnsi="Times New Roman" w:cs="Times New Roman"/>
          <w:lang w:val="en-US"/>
        </w:rPr>
        <w:t xml:space="preserve">). A maximum total taxane </w:t>
      </w:r>
      <w:r w:rsidR="00BA37A1" w:rsidRPr="00BA37A1">
        <w:rPr>
          <w:rFonts w:ascii="Times New Roman" w:hAnsi="Times New Roman" w:cs="Times New Roman"/>
          <w:lang w:val="en-US"/>
        </w:rPr>
        <w:t>titer</w:t>
      </w:r>
      <w:r w:rsidRPr="00BA37A1">
        <w:rPr>
          <w:rFonts w:ascii="Times New Roman" w:hAnsi="Times New Roman" w:cs="Times New Roman"/>
          <w:lang w:val="en-US"/>
        </w:rPr>
        <w:t xml:space="preserve"> of 270 mg/L was observed at </w:t>
      </w:r>
      <w:r w:rsidR="00801E23" w:rsidRPr="00BA37A1">
        <w:rPr>
          <w:rFonts w:ascii="Times New Roman" w:hAnsi="Times New Roman" w:cs="Times New Roman"/>
          <w:lang w:val="en-US"/>
        </w:rPr>
        <w:t>126 hours (Figure 7</w:t>
      </w:r>
      <w:r w:rsidR="00747B85" w:rsidRPr="00BA37A1">
        <w:rPr>
          <w:rFonts w:ascii="Times New Roman" w:hAnsi="Times New Roman" w:cs="Times New Roman"/>
          <w:lang w:val="en-US"/>
        </w:rPr>
        <w:t>B</w:t>
      </w:r>
      <w:r w:rsidR="00801E23" w:rsidRPr="00BA37A1">
        <w:rPr>
          <w:rFonts w:ascii="Times New Roman" w:hAnsi="Times New Roman" w:cs="Times New Roman"/>
          <w:lang w:val="en-US"/>
        </w:rPr>
        <w:t xml:space="preserve">), just 10 % lower than the maximum </w:t>
      </w:r>
      <w:r w:rsidR="00BA37A1" w:rsidRPr="00BA37A1">
        <w:rPr>
          <w:rFonts w:ascii="Times New Roman" w:hAnsi="Times New Roman" w:cs="Times New Roman"/>
          <w:lang w:val="en-US"/>
        </w:rPr>
        <w:t>titer</w:t>
      </w:r>
      <w:r w:rsidR="00801E23" w:rsidRPr="00BA37A1">
        <w:rPr>
          <w:rFonts w:ascii="Times New Roman" w:hAnsi="Times New Roman" w:cs="Times New Roman"/>
          <w:lang w:val="en-US"/>
        </w:rPr>
        <w:t xml:space="preserve"> of 302 mg/L obtained at 1 L scale (Figure 6B). A slight decrease in </w:t>
      </w:r>
      <w:r w:rsidR="00BA37A1" w:rsidRPr="00BA37A1">
        <w:rPr>
          <w:rFonts w:ascii="Times New Roman" w:hAnsi="Times New Roman" w:cs="Times New Roman"/>
          <w:lang w:val="en-US"/>
        </w:rPr>
        <w:t>titer</w:t>
      </w:r>
      <w:r w:rsidR="00801E23" w:rsidRPr="00BA37A1">
        <w:rPr>
          <w:rFonts w:ascii="Times New Roman" w:hAnsi="Times New Roman" w:cs="Times New Roman"/>
          <w:lang w:val="en-US"/>
        </w:rPr>
        <w:t xml:space="preserve"> to 260 mg/L was observed in the final 17 hours of the cultivation.</w:t>
      </w:r>
      <w:r w:rsidR="003A0422" w:rsidRPr="00BA37A1">
        <w:rPr>
          <w:rFonts w:ascii="Times New Roman" w:hAnsi="Times New Roman" w:cs="Times New Roman"/>
          <w:lang w:val="en-US"/>
        </w:rPr>
        <w:t xml:space="preserve"> The investigated process was demonstrated to be robust despite a 2500-fold scale up in cultivation volume from micro- to 5 L bioreactor scale. To our knowledge this represents the greatest scale-up in production of oxygenated and acetylated taxanes by yeast microbial cell factories. </w:t>
      </w:r>
    </w:p>
    <w:p w14:paraId="73CA9FD8" w14:textId="47642459" w:rsidR="00396613" w:rsidRPr="00BA37A1" w:rsidRDefault="0079769D" w:rsidP="00D36DCD">
      <w:pPr>
        <w:pStyle w:val="Heading1"/>
        <w:spacing w:line="480" w:lineRule="auto"/>
        <w:rPr>
          <w:rFonts w:ascii="Times New Roman" w:hAnsi="Times New Roman" w:cs="Times New Roman"/>
          <w:lang w:val="en-US"/>
        </w:rPr>
      </w:pPr>
      <w:r w:rsidRPr="00BA37A1">
        <w:rPr>
          <w:rFonts w:ascii="Times New Roman" w:hAnsi="Times New Roman" w:cs="Times New Roman"/>
          <w:lang w:val="en-US"/>
        </w:rPr>
        <w:t>Conclu</w:t>
      </w:r>
      <w:r w:rsidR="00362160">
        <w:rPr>
          <w:rFonts w:ascii="Times New Roman" w:hAnsi="Times New Roman" w:cs="Times New Roman"/>
          <w:lang w:val="en-US"/>
        </w:rPr>
        <w:t>ding remarks</w:t>
      </w:r>
    </w:p>
    <w:p w14:paraId="225871FB" w14:textId="0EFEDE0D" w:rsidR="00A64299" w:rsidRPr="00BA37A1" w:rsidRDefault="00936C2E" w:rsidP="00D36DCD">
      <w:pPr>
        <w:spacing w:line="480" w:lineRule="auto"/>
        <w:rPr>
          <w:rFonts w:ascii="Times New Roman" w:hAnsi="Times New Roman" w:cs="Times New Roman"/>
          <w:lang w:val="en-US"/>
        </w:rPr>
      </w:pPr>
      <w:r w:rsidRPr="00BA37A1">
        <w:rPr>
          <w:rFonts w:ascii="Times New Roman" w:hAnsi="Times New Roman" w:cs="Times New Roman"/>
          <w:lang w:val="en-US"/>
        </w:rPr>
        <w:t>In this study, a</w:t>
      </w:r>
      <w:r w:rsidR="001A1D42" w:rsidRPr="00BA37A1">
        <w:rPr>
          <w:rFonts w:ascii="Times New Roman" w:hAnsi="Times New Roman" w:cs="Times New Roman"/>
          <w:lang w:val="en-US"/>
        </w:rPr>
        <w:t xml:space="preserve"> design of experiments guided </w:t>
      </w:r>
      <w:r w:rsidRPr="00BA37A1">
        <w:rPr>
          <w:rFonts w:ascii="Times New Roman" w:hAnsi="Times New Roman" w:cs="Times New Roman"/>
          <w:lang w:val="en-US"/>
        </w:rPr>
        <w:t xml:space="preserve">approach was applied to develop an </w:t>
      </w:r>
      <w:r w:rsidR="00BA37A1" w:rsidRPr="00BA37A1">
        <w:rPr>
          <w:rFonts w:ascii="Times New Roman" w:hAnsi="Times New Roman" w:cs="Times New Roman"/>
          <w:lang w:val="en-US"/>
        </w:rPr>
        <w:t>optimized</w:t>
      </w:r>
      <w:r w:rsidRPr="00BA37A1">
        <w:rPr>
          <w:rFonts w:ascii="Times New Roman" w:hAnsi="Times New Roman" w:cs="Times New Roman"/>
          <w:lang w:val="en-US"/>
        </w:rPr>
        <w:t xml:space="preserve"> bioprocess </w:t>
      </w:r>
      <w:r w:rsidR="00FE625B" w:rsidRPr="00BA37A1">
        <w:rPr>
          <w:rFonts w:ascii="Times New Roman" w:hAnsi="Times New Roman" w:cs="Times New Roman"/>
          <w:lang w:val="en-US"/>
        </w:rPr>
        <w:t>to produce</w:t>
      </w:r>
      <w:r w:rsidRPr="00BA37A1">
        <w:rPr>
          <w:rFonts w:ascii="Times New Roman" w:hAnsi="Times New Roman" w:cs="Times New Roman"/>
          <w:lang w:val="en-US"/>
        </w:rPr>
        <w:t xml:space="preserve"> Taxol precursors </w:t>
      </w:r>
      <w:r w:rsidR="00FE625B" w:rsidRPr="00BA37A1">
        <w:rPr>
          <w:rFonts w:ascii="Times New Roman" w:hAnsi="Times New Roman" w:cs="Times New Roman"/>
          <w:lang w:val="en-US"/>
        </w:rPr>
        <w:t>using an</w:t>
      </w:r>
      <w:r w:rsidRPr="00BA37A1">
        <w:rPr>
          <w:rFonts w:ascii="Times New Roman" w:hAnsi="Times New Roman" w:cs="Times New Roman"/>
          <w:lang w:val="en-US"/>
        </w:rPr>
        <w:t xml:space="preserve"> engineered </w:t>
      </w:r>
      <w:r w:rsidRPr="00BA37A1">
        <w:rPr>
          <w:rFonts w:ascii="Times New Roman" w:hAnsi="Times New Roman" w:cs="Times New Roman"/>
          <w:i/>
          <w:lang w:val="en-US"/>
        </w:rPr>
        <w:t xml:space="preserve">S. cerevisiae </w:t>
      </w:r>
      <w:r w:rsidRPr="00BA37A1">
        <w:rPr>
          <w:rFonts w:ascii="Times New Roman" w:hAnsi="Times New Roman" w:cs="Times New Roman"/>
          <w:lang w:val="en-US"/>
        </w:rPr>
        <w:t>strain. A definitive screening design elucidated key factors affecting taxane accumulation</w:t>
      </w:r>
      <w:r w:rsidR="00D45693" w:rsidRPr="00BA37A1">
        <w:rPr>
          <w:rFonts w:ascii="Times New Roman" w:hAnsi="Times New Roman" w:cs="Times New Roman"/>
          <w:lang w:val="en-US"/>
        </w:rPr>
        <w:t xml:space="preserve"> in the strain at microscale, facilitating s</w:t>
      </w:r>
      <w:r w:rsidR="00D66A48" w:rsidRPr="00BA37A1">
        <w:rPr>
          <w:rFonts w:ascii="Times New Roman" w:hAnsi="Times New Roman" w:cs="Times New Roman"/>
          <w:lang w:val="en-US"/>
        </w:rPr>
        <w:t>tatistical model derivation. The</w:t>
      </w:r>
      <w:r w:rsidR="00D45693" w:rsidRPr="00BA37A1">
        <w:rPr>
          <w:rFonts w:ascii="Times New Roman" w:hAnsi="Times New Roman" w:cs="Times New Roman"/>
          <w:lang w:val="en-US"/>
        </w:rPr>
        <w:t xml:space="preserve"> optimal factor combination predicted by the statistical model </w:t>
      </w:r>
      <w:r w:rsidR="00D66A48" w:rsidRPr="00BA37A1">
        <w:rPr>
          <w:rFonts w:ascii="Times New Roman" w:hAnsi="Times New Roman" w:cs="Times New Roman"/>
          <w:lang w:val="en-US"/>
        </w:rPr>
        <w:t xml:space="preserve">was validated </w:t>
      </w:r>
      <w:r w:rsidR="00D45693" w:rsidRPr="00BA37A1">
        <w:rPr>
          <w:rFonts w:ascii="Times New Roman" w:hAnsi="Times New Roman" w:cs="Times New Roman"/>
          <w:lang w:val="en-US"/>
        </w:rPr>
        <w:t>in high</w:t>
      </w:r>
      <w:r w:rsidR="00D66A48" w:rsidRPr="00BA37A1">
        <w:rPr>
          <w:rFonts w:ascii="Times New Roman" w:hAnsi="Times New Roman" w:cs="Times New Roman"/>
          <w:lang w:val="en-US"/>
        </w:rPr>
        <w:t>ly instrumented 1</w:t>
      </w:r>
      <w:r w:rsidR="00D44469" w:rsidRPr="00BA37A1">
        <w:rPr>
          <w:rFonts w:ascii="Times New Roman" w:hAnsi="Times New Roman" w:cs="Times New Roman"/>
          <w:lang w:val="en-US"/>
        </w:rPr>
        <w:t xml:space="preserve"> </w:t>
      </w:r>
      <w:r w:rsidR="00D66A48" w:rsidRPr="00BA37A1">
        <w:rPr>
          <w:rFonts w:ascii="Times New Roman" w:hAnsi="Times New Roman" w:cs="Times New Roman"/>
          <w:lang w:val="en-US"/>
        </w:rPr>
        <w:t xml:space="preserve">L bioreactors with comparable total taxane </w:t>
      </w:r>
      <w:r w:rsidR="00BA37A1" w:rsidRPr="00BA37A1">
        <w:rPr>
          <w:rFonts w:ascii="Times New Roman" w:hAnsi="Times New Roman" w:cs="Times New Roman"/>
          <w:lang w:val="en-US"/>
        </w:rPr>
        <w:t>titers</w:t>
      </w:r>
      <w:r w:rsidR="00D66A48" w:rsidRPr="00BA37A1">
        <w:rPr>
          <w:rFonts w:ascii="Times New Roman" w:hAnsi="Times New Roman" w:cs="Times New Roman"/>
          <w:lang w:val="en-US"/>
        </w:rPr>
        <w:t xml:space="preserve"> of 164 mg/L and </w:t>
      </w:r>
      <w:r w:rsidR="00D45693" w:rsidRPr="00BA37A1">
        <w:rPr>
          <w:rFonts w:ascii="Times New Roman" w:hAnsi="Times New Roman" w:cs="Times New Roman"/>
          <w:lang w:val="en-US"/>
        </w:rPr>
        <w:t>189 mg/L</w:t>
      </w:r>
      <w:r w:rsidR="00D66A48" w:rsidRPr="00BA37A1">
        <w:rPr>
          <w:rFonts w:ascii="Times New Roman" w:hAnsi="Times New Roman" w:cs="Times New Roman"/>
          <w:lang w:val="en-US"/>
        </w:rPr>
        <w:t xml:space="preserve"> achieved. This </w:t>
      </w:r>
      <w:r w:rsidR="00BA37A1" w:rsidRPr="00BA37A1">
        <w:rPr>
          <w:rFonts w:ascii="Times New Roman" w:hAnsi="Times New Roman" w:cs="Times New Roman"/>
          <w:lang w:val="en-US"/>
        </w:rPr>
        <w:t>titer</w:t>
      </w:r>
      <w:r w:rsidR="00D66A48" w:rsidRPr="00BA37A1">
        <w:rPr>
          <w:rFonts w:ascii="Times New Roman" w:hAnsi="Times New Roman" w:cs="Times New Roman"/>
          <w:lang w:val="en-US"/>
        </w:rPr>
        <w:t xml:space="preserve"> was 2.1-fold higher than that in the parallel control cultivation in standard defined media. </w:t>
      </w:r>
      <w:r w:rsidR="00D45693" w:rsidRPr="00BA37A1">
        <w:rPr>
          <w:rFonts w:ascii="Times New Roman" w:hAnsi="Times New Roman" w:cs="Times New Roman"/>
          <w:lang w:val="en-US"/>
        </w:rPr>
        <w:t>However,</w:t>
      </w:r>
      <w:r w:rsidR="007C41A1" w:rsidRPr="00BA37A1">
        <w:rPr>
          <w:rFonts w:ascii="Times New Roman" w:hAnsi="Times New Roman" w:cs="Times New Roman"/>
          <w:lang w:val="en-US"/>
        </w:rPr>
        <w:t xml:space="preserve"> </w:t>
      </w:r>
      <w:r w:rsidR="00EE4E66" w:rsidRPr="00BA37A1">
        <w:rPr>
          <w:rFonts w:ascii="Times New Roman" w:hAnsi="Times New Roman" w:cs="Times New Roman"/>
          <w:lang w:val="en-US"/>
        </w:rPr>
        <w:t>the final OD</w:t>
      </w:r>
      <w:r w:rsidR="00EE4E66" w:rsidRPr="00BA37A1">
        <w:rPr>
          <w:rFonts w:ascii="Times New Roman" w:hAnsi="Times New Roman" w:cs="Times New Roman"/>
          <w:vertAlign w:val="subscript"/>
          <w:lang w:val="en-US"/>
        </w:rPr>
        <w:t>600</w:t>
      </w:r>
      <w:r w:rsidR="00EE4E66" w:rsidRPr="00BA37A1">
        <w:rPr>
          <w:rFonts w:ascii="Times New Roman" w:hAnsi="Times New Roman" w:cs="Times New Roman"/>
          <w:lang w:val="en-US"/>
        </w:rPr>
        <w:t xml:space="preserve"> was just 19.0, 2.6-fold lower than the highest yi</w:t>
      </w:r>
      <w:r w:rsidR="00E27BFF" w:rsidRPr="00BA37A1">
        <w:rPr>
          <w:rFonts w:ascii="Times New Roman" w:hAnsi="Times New Roman" w:cs="Times New Roman"/>
          <w:lang w:val="en-US"/>
        </w:rPr>
        <w:t>elding microscale cultivation and c</w:t>
      </w:r>
      <w:r w:rsidR="00EE4E66" w:rsidRPr="00BA37A1">
        <w:rPr>
          <w:rFonts w:ascii="Times New Roman" w:hAnsi="Times New Roman" w:cs="Times New Roman"/>
          <w:lang w:val="en-US"/>
        </w:rPr>
        <w:t xml:space="preserve">loser inspection of the offgas data revealed nitrogen </w:t>
      </w:r>
      <w:r w:rsidR="00E27BFF" w:rsidRPr="00BA37A1">
        <w:rPr>
          <w:rFonts w:ascii="Times New Roman" w:hAnsi="Times New Roman" w:cs="Times New Roman"/>
          <w:lang w:val="en-US"/>
        </w:rPr>
        <w:t xml:space="preserve">limitation. Mitigation of this nutrient limitation led to maximum total and oxygenated taxane </w:t>
      </w:r>
      <w:r w:rsidR="00BA37A1" w:rsidRPr="00BA37A1">
        <w:rPr>
          <w:rFonts w:ascii="Times New Roman" w:hAnsi="Times New Roman" w:cs="Times New Roman"/>
          <w:lang w:val="en-US"/>
        </w:rPr>
        <w:t>titers</w:t>
      </w:r>
      <w:r w:rsidR="00E27BFF" w:rsidRPr="00BA37A1">
        <w:rPr>
          <w:rFonts w:ascii="Times New Roman" w:hAnsi="Times New Roman" w:cs="Times New Roman"/>
          <w:lang w:val="en-US"/>
        </w:rPr>
        <w:t xml:space="preserve"> of 302 and 197 mg/L,</w:t>
      </w:r>
      <w:r w:rsidR="00D66A48" w:rsidRPr="00BA37A1">
        <w:rPr>
          <w:rFonts w:ascii="Times New Roman" w:hAnsi="Times New Roman" w:cs="Times New Roman"/>
          <w:lang w:val="en-US"/>
        </w:rPr>
        <w:t xml:space="preserve"> respectively. This</w:t>
      </w:r>
      <w:r w:rsidR="00E27BFF" w:rsidRPr="00BA37A1">
        <w:rPr>
          <w:rFonts w:ascii="Times New Roman" w:hAnsi="Times New Roman" w:cs="Times New Roman"/>
          <w:lang w:val="en-US"/>
        </w:rPr>
        <w:t xml:space="preserve"> repr</w:t>
      </w:r>
      <w:r w:rsidR="00D66A48" w:rsidRPr="00BA37A1">
        <w:rPr>
          <w:rFonts w:ascii="Times New Roman" w:hAnsi="Times New Roman" w:cs="Times New Roman"/>
          <w:lang w:val="en-US"/>
        </w:rPr>
        <w:t>esented</w:t>
      </w:r>
      <w:r w:rsidR="00E27BFF" w:rsidRPr="00BA37A1">
        <w:rPr>
          <w:rFonts w:ascii="Times New Roman" w:hAnsi="Times New Roman" w:cs="Times New Roman"/>
          <w:lang w:val="en-US"/>
        </w:rPr>
        <w:t xml:space="preserve"> 1.8 and 2.5-fold improvements compared to the highest reported </w:t>
      </w:r>
      <w:r w:rsidR="00BA37A1" w:rsidRPr="00BA37A1">
        <w:rPr>
          <w:rFonts w:ascii="Times New Roman" w:hAnsi="Times New Roman" w:cs="Times New Roman"/>
          <w:lang w:val="en-US"/>
        </w:rPr>
        <w:t>titers</w:t>
      </w:r>
      <w:r w:rsidR="00E27BFF" w:rsidRPr="00BA37A1">
        <w:rPr>
          <w:rFonts w:ascii="Times New Roman" w:hAnsi="Times New Roman" w:cs="Times New Roman"/>
          <w:lang w:val="en-US"/>
        </w:rPr>
        <w:t xml:space="preserve"> for yeast, achieved in rich media. </w:t>
      </w:r>
      <w:r w:rsidR="00801E23" w:rsidRPr="00BA37A1">
        <w:rPr>
          <w:rFonts w:ascii="Times New Roman" w:hAnsi="Times New Roman" w:cs="Times New Roman"/>
          <w:lang w:val="en-US"/>
        </w:rPr>
        <w:t xml:space="preserve">A further fivefold scale up of this </w:t>
      </w:r>
      <w:r w:rsidR="00BA37A1" w:rsidRPr="00BA37A1">
        <w:rPr>
          <w:rFonts w:ascii="Times New Roman" w:hAnsi="Times New Roman" w:cs="Times New Roman"/>
          <w:lang w:val="en-US"/>
        </w:rPr>
        <w:t>optimized</w:t>
      </w:r>
      <w:r w:rsidR="00801E23" w:rsidRPr="00BA37A1">
        <w:rPr>
          <w:rFonts w:ascii="Times New Roman" w:hAnsi="Times New Roman" w:cs="Times New Roman"/>
          <w:lang w:val="en-US"/>
        </w:rPr>
        <w:t xml:space="preserve"> process was </w:t>
      </w:r>
      <w:r w:rsidR="00F14085" w:rsidRPr="00BA37A1">
        <w:rPr>
          <w:rFonts w:ascii="Times New Roman" w:hAnsi="Times New Roman" w:cs="Times New Roman"/>
          <w:lang w:val="en-US"/>
        </w:rPr>
        <w:t>performed</w:t>
      </w:r>
      <w:r w:rsidR="00801E23" w:rsidRPr="00BA37A1">
        <w:rPr>
          <w:rFonts w:ascii="Times New Roman" w:hAnsi="Times New Roman" w:cs="Times New Roman"/>
          <w:lang w:val="en-US"/>
        </w:rPr>
        <w:t xml:space="preserve"> using 5</w:t>
      </w:r>
      <w:r w:rsidR="00D44469" w:rsidRPr="00BA37A1">
        <w:rPr>
          <w:rFonts w:ascii="Times New Roman" w:hAnsi="Times New Roman" w:cs="Times New Roman"/>
          <w:lang w:val="en-US"/>
        </w:rPr>
        <w:t xml:space="preserve"> </w:t>
      </w:r>
      <w:r w:rsidR="00801E23" w:rsidRPr="00BA37A1">
        <w:rPr>
          <w:rFonts w:ascii="Times New Roman" w:hAnsi="Times New Roman" w:cs="Times New Roman"/>
          <w:lang w:val="en-US"/>
        </w:rPr>
        <w:t>L bioreactors. At this scale a final OD</w:t>
      </w:r>
      <w:r w:rsidR="00801E23" w:rsidRPr="00BA37A1">
        <w:rPr>
          <w:rFonts w:ascii="Times New Roman" w:hAnsi="Times New Roman" w:cs="Times New Roman"/>
          <w:vertAlign w:val="subscript"/>
          <w:lang w:val="en-US"/>
        </w:rPr>
        <w:t xml:space="preserve">600 </w:t>
      </w:r>
      <w:r w:rsidR="00801E23" w:rsidRPr="00BA37A1">
        <w:rPr>
          <w:rFonts w:ascii="Times New Roman" w:hAnsi="Times New Roman" w:cs="Times New Roman"/>
          <w:lang w:val="en-US"/>
        </w:rPr>
        <w:t>of 87.5 and maximum</w:t>
      </w:r>
      <w:r w:rsidR="00D66A48" w:rsidRPr="00BA37A1">
        <w:rPr>
          <w:rFonts w:ascii="Times New Roman" w:hAnsi="Times New Roman" w:cs="Times New Roman"/>
          <w:lang w:val="en-US"/>
        </w:rPr>
        <w:t xml:space="preserve"> total taxane </w:t>
      </w:r>
      <w:r w:rsidR="00BA37A1" w:rsidRPr="00BA37A1">
        <w:rPr>
          <w:rFonts w:ascii="Times New Roman" w:hAnsi="Times New Roman" w:cs="Times New Roman"/>
          <w:lang w:val="en-US"/>
        </w:rPr>
        <w:t>titer</w:t>
      </w:r>
      <w:r w:rsidR="00801E23" w:rsidRPr="00BA37A1">
        <w:rPr>
          <w:rFonts w:ascii="Times New Roman" w:hAnsi="Times New Roman" w:cs="Times New Roman"/>
          <w:lang w:val="en-US"/>
        </w:rPr>
        <w:t xml:space="preserve"> of 270 mg/L was achieved, highly comparable to the 84 and 302 mg/L obtained at 1</w:t>
      </w:r>
      <w:r w:rsidR="00D44469" w:rsidRPr="00BA37A1">
        <w:rPr>
          <w:rFonts w:ascii="Times New Roman" w:hAnsi="Times New Roman" w:cs="Times New Roman"/>
          <w:lang w:val="en-US"/>
        </w:rPr>
        <w:t xml:space="preserve"> </w:t>
      </w:r>
      <w:r w:rsidR="00801E23" w:rsidRPr="00BA37A1">
        <w:rPr>
          <w:rFonts w:ascii="Times New Roman" w:hAnsi="Times New Roman" w:cs="Times New Roman"/>
          <w:lang w:val="en-US"/>
        </w:rPr>
        <w:t>L scale.</w:t>
      </w:r>
      <w:r w:rsidR="00D66A48" w:rsidRPr="00BA37A1">
        <w:rPr>
          <w:rFonts w:ascii="Times New Roman" w:hAnsi="Times New Roman" w:cs="Times New Roman"/>
          <w:lang w:val="en-US"/>
        </w:rPr>
        <w:t xml:space="preserve"> </w:t>
      </w:r>
      <w:r w:rsidR="00536D82" w:rsidRPr="00BA37A1">
        <w:rPr>
          <w:rFonts w:ascii="Times New Roman" w:hAnsi="Times New Roman" w:cs="Times New Roman"/>
          <w:lang w:val="en-US"/>
        </w:rPr>
        <w:t>The ability of s</w:t>
      </w:r>
      <w:r w:rsidR="00A64299" w:rsidRPr="00BA37A1">
        <w:rPr>
          <w:rFonts w:ascii="Times New Roman" w:hAnsi="Times New Roman" w:cs="Times New Roman"/>
          <w:lang w:val="en-US"/>
        </w:rPr>
        <w:t>trate</w:t>
      </w:r>
      <w:r w:rsidR="00536D82" w:rsidRPr="00BA37A1">
        <w:rPr>
          <w:rFonts w:ascii="Times New Roman" w:hAnsi="Times New Roman" w:cs="Times New Roman"/>
          <w:lang w:val="en-US"/>
        </w:rPr>
        <w:t>gic quality by design approaches to dramatically improve</w:t>
      </w:r>
      <w:r w:rsidR="00A64299" w:rsidRPr="00BA37A1">
        <w:rPr>
          <w:rFonts w:ascii="Times New Roman" w:hAnsi="Times New Roman" w:cs="Times New Roman"/>
          <w:lang w:val="en-US"/>
        </w:rPr>
        <w:t xml:space="preserve"> the efficiency of </w:t>
      </w:r>
      <w:r w:rsidR="00536D82" w:rsidRPr="00BA37A1">
        <w:rPr>
          <w:rFonts w:ascii="Times New Roman" w:hAnsi="Times New Roman" w:cs="Times New Roman"/>
          <w:lang w:val="en-US"/>
        </w:rPr>
        <w:t xml:space="preserve">the early phases of </w:t>
      </w:r>
      <w:r w:rsidR="00A64299" w:rsidRPr="00BA37A1">
        <w:rPr>
          <w:rFonts w:ascii="Times New Roman" w:hAnsi="Times New Roman" w:cs="Times New Roman"/>
          <w:lang w:val="en-US"/>
        </w:rPr>
        <w:t>bio</w:t>
      </w:r>
      <w:r w:rsidR="00536D82" w:rsidRPr="00BA37A1">
        <w:rPr>
          <w:rFonts w:ascii="Times New Roman" w:hAnsi="Times New Roman" w:cs="Times New Roman"/>
          <w:lang w:val="en-US"/>
        </w:rPr>
        <w:t>process development was demonstrated</w:t>
      </w:r>
      <w:r w:rsidR="00A64299" w:rsidRPr="00BA37A1">
        <w:rPr>
          <w:rFonts w:ascii="Times New Roman" w:hAnsi="Times New Roman" w:cs="Times New Roman"/>
          <w:lang w:val="en-US"/>
        </w:rPr>
        <w:t xml:space="preserve"> in this study</w:t>
      </w:r>
      <w:r w:rsidR="00536D82" w:rsidRPr="00BA37A1">
        <w:rPr>
          <w:rFonts w:ascii="Times New Roman" w:hAnsi="Times New Roman" w:cs="Times New Roman"/>
          <w:lang w:val="en-US"/>
        </w:rPr>
        <w:t>.</w:t>
      </w:r>
      <w:r w:rsidR="00161B2E" w:rsidRPr="00BA37A1">
        <w:rPr>
          <w:rFonts w:ascii="Times New Roman" w:hAnsi="Times New Roman" w:cs="Times New Roman"/>
          <w:lang w:val="en-US"/>
        </w:rPr>
        <w:t xml:space="preserve"> Production of critical oxygenated and acetylated Taxol </w:t>
      </w:r>
      <w:r w:rsidR="00161B2E" w:rsidRPr="00BA37A1">
        <w:rPr>
          <w:rFonts w:ascii="Times New Roman" w:hAnsi="Times New Roman" w:cs="Times New Roman"/>
          <w:lang w:val="en-US"/>
        </w:rPr>
        <w:lastRenderedPageBreak/>
        <w:t xml:space="preserve">intermediates was successfully scaled up 2500-fold in yeast cell factories. </w:t>
      </w:r>
      <w:r w:rsidR="00536D82" w:rsidRPr="00BA37A1">
        <w:rPr>
          <w:rFonts w:ascii="Times New Roman" w:hAnsi="Times New Roman" w:cs="Times New Roman"/>
          <w:lang w:val="en-US"/>
        </w:rPr>
        <w:t xml:space="preserve">Future work should focus on the incorporation of such methods during microbial cell factory construction and </w:t>
      </w:r>
      <w:r w:rsidR="00BA37A1" w:rsidRPr="00BA37A1">
        <w:rPr>
          <w:rFonts w:ascii="Times New Roman" w:hAnsi="Times New Roman" w:cs="Times New Roman"/>
          <w:lang w:val="en-US"/>
        </w:rPr>
        <w:t>optimization</w:t>
      </w:r>
      <w:r w:rsidR="00536D82" w:rsidRPr="00BA37A1">
        <w:rPr>
          <w:rFonts w:ascii="Times New Roman" w:hAnsi="Times New Roman" w:cs="Times New Roman"/>
          <w:lang w:val="en-US"/>
        </w:rPr>
        <w:t xml:space="preserve"> to ensure robust growth under industrially relevant conditions and further reduce the risks associated with bioprocess scale up.  </w:t>
      </w:r>
      <w:r w:rsidR="00A64299" w:rsidRPr="00BA37A1">
        <w:rPr>
          <w:rFonts w:ascii="Times New Roman" w:hAnsi="Times New Roman" w:cs="Times New Roman"/>
          <w:lang w:val="en-US"/>
        </w:rPr>
        <w:t xml:space="preserve"> </w:t>
      </w:r>
    </w:p>
    <w:p w14:paraId="2ABFE44A" w14:textId="5CA80A29" w:rsidR="00387D41" w:rsidRPr="00BA37A1" w:rsidRDefault="00D90A5D" w:rsidP="000F25B6">
      <w:pPr>
        <w:pStyle w:val="Heading1"/>
        <w:spacing w:line="480" w:lineRule="auto"/>
        <w:rPr>
          <w:rFonts w:ascii="Times New Roman" w:hAnsi="Times New Roman" w:cs="Times New Roman"/>
          <w:lang w:val="en-US"/>
        </w:rPr>
      </w:pPr>
      <w:r w:rsidRPr="00BA37A1">
        <w:rPr>
          <w:rFonts w:ascii="Times New Roman" w:hAnsi="Times New Roman" w:cs="Times New Roman"/>
          <w:lang w:val="en-US"/>
        </w:rPr>
        <w:t xml:space="preserve">Acknowledgements </w:t>
      </w:r>
    </w:p>
    <w:p w14:paraId="4F924711" w14:textId="3A8D3108" w:rsidR="00D90A5D" w:rsidRPr="00BA37A1" w:rsidRDefault="000F25B6" w:rsidP="000F25B6">
      <w:pPr>
        <w:spacing w:line="480" w:lineRule="auto"/>
        <w:ind w:firstLine="360"/>
        <w:rPr>
          <w:rFonts w:ascii="Times New Roman" w:hAnsi="Times New Roman" w:cs="Times New Roman"/>
          <w:lang w:val="en-US"/>
        </w:rPr>
      </w:pPr>
      <w:r w:rsidRPr="00BA37A1">
        <w:rPr>
          <w:rFonts w:ascii="Times New Roman" w:hAnsi="Times New Roman" w:cs="Times New Roman"/>
          <w:lang w:val="en-US"/>
        </w:rPr>
        <w:t>The authors would like to thank Ms. Caroline Delahoyde and Mr. Stuart Martin at The School of Engineering, University of Edinburgh, UK and Dr Aaron John Christian Andersen and Mette Amfelt at the DTU Metabolomics Core, DTU, Denmark for their kind assistance and technical support with GC-MS analysis. Thanks to Tina Johansen at the DTU Fermentation Core, DTU, Denmark for her</w:t>
      </w:r>
      <w:r w:rsidR="007211C9" w:rsidRPr="00BA37A1">
        <w:rPr>
          <w:rFonts w:ascii="Times New Roman" w:hAnsi="Times New Roman" w:cs="Times New Roman"/>
          <w:lang w:val="en-US"/>
        </w:rPr>
        <w:t xml:space="preserve"> </w:t>
      </w:r>
      <w:r w:rsidRPr="00BA37A1">
        <w:rPr>
          <w:rFonts w:ascii="Times New Roman" w:hAnsi="Times New Roman" w:cs="Times New Roman"/>
          <w:lang w:val="en-US"/>
        </w:rPr>
        <w:t xml:space="preserve">assistance with the BIOSTAT cultivations and HPLC analyses. Thanks to Professor Phil Baran's Lab at The Scripps Research Institute, San Diego, California for providing the taxadiene standard. </w:t>
      </w:r>
      <w:r w:rsidR="00E976B4" w:rsidRPr="00BA37A1">
        <w:rPr>
          <w:rFonts w:ascii="Times New Roman" w:hAnsi="Times New Roman" w:cs="Times New Roman"/>
          <w:lang w:val="en-US"/>
        </w:rPr>
        <w:t xml:space="preserve">Thanks to </w:t>
      </w:r>
      <w:r w:rsidR="00863779" w:rsidRPr="00BA37A1">
        <w:rPr>
          <w:rFonts w:ascii="Times New Roman" w:hAnsi="Times New Roman" w:cs="Times New Roman"/>
          <w:lang w:val="en-US"/>
        </w:rPr>
        <w:t>the Edinburgh</w:t>
      </w:r>
      <w:r w:rsidRPr="00BA37A1">
        <w:rPr>
          <w:rFonts w:ascii="Times New Roman" w:hAnsi="Times New Roman" w:cs="Times New Roman"/>
          <w:lang w:val="en-US"/>
        </w:rPr>
        <w:t xml:space="preserve"> Genome Foundry</w:t>
      </w:r>
      <w:r w:rsidR="00E976B4" w:rsidRPr="00BA37A1">
        <w:rPr>
          <w:rFonts w:ascii="Times New Roman" w:hAnsi="Times New Roman" w:cs="Times New Roman"/>
          <w:lang w:val="en-US"/>
        </w:rPr>
        <w:t xml:space="preserve"> </w:t>
      </w:r>
      <w:r w:rsidRPr="00BA37A1">
        <w:rPr>
          <w:rFonts w:ascii="Times New Roman" w:hAnsi="Times New Roman" w:cs="Times New Roman"/>
          <w:lang w:val="en-US"/>
        </w:rPr>
        <w:t>at the University of Edinburgh</w:t>
      </w:r>
      <w:r w:rsidR="00E976B4" w:rsidRPr="00BA37A1">
        <w:rPr>
          <w:rFonts w:ascii="Times New Roman" w:hAnsi="Times New Roman" w:cs="Times New Roman"/>
          <w:lang w:val="en-US"/>
        </w:rPr>
        <w:t xml:space="preserve"> for providing access to the BioLector platform</w:t>
      </w:r>
      <w:r w:rsidRPr="00BA37A1">
        <w:rPr>
          <w:rFonts w:ascii="Times New Roman" w:hAnsi="Times New Roman" w:cs="Times New Roman"/>
          <w:lang w:val="en-US"/>
        </w:rPr>
        <w:t xml:space="preserve">. This work was supported by the Engineering and Physical Sciences Research Council (Grant number EP/R513209/1), the Royal Society (Grant Number RSG\R1\180345), The </w:t>
      </w:r>
      <w:r w:rsidR="00D44469" w:rsidRPr="00BA37A1">
        <w:rPr>
          <w:rFonts w:ascii="Times New Roman" w:hAnsi="Times New Roman" w:cs="Times New Roman"/>
          <w:lang w:val="en-US"/>
        </w:rPr>
        <w:t xml:space="preserve">British Council (Grant Number: </w:t>
      </w:r>
      <w:r w:rsidR="00653115" w:rsidRPr="00BA37A1">
        <w:rPr>
          <w:rFonts w:ascii="Times New Roman" w:hAnsi="Times New Roman" w:cs="Times New Roman"/>
          <w:lang w:val="en-US"/>
        </w:rPr>
        <w:t>527429894</w:t>
      </w:r>
      <w:r w:rsidR="00D44469" w:rsidRPr="00BA37A1">
        <w:rPr>
          <w:rFonts w:ascii="Times New Roman" w:hAnsi="Times New Roman" w:cs="Times New Roman"/>
          <w:lang w:val="en-US"/>
        </w:rPr>
        <w:t xml:space="preserve">) </w:t>
      </w:r>
      <w:r w:rsidRPr="00BA37A1">
        <w:rPr>
          <w:rFonts w:ascii="Times New Roman" w:hAnsi="Times New Roman" w:cs="Times New Roman"/>
          <w:lang w:val="en-US"/>
        </w:rPr>
        <w:t>and the Novo Nordisk Foundation within the frame of the Fermentation Based Biomanufacturing initiative (Grant Number: NNF17SA0031362).</w:t>
      </w:r>
    </w:p>
    <w:p w14:paraId="086954A3" w14:textId="0D94BB1F" w:rsidR="00B578FB" w:rsidRPr="00BA37A1" w:rsidRDefault="00B578FB" w:rsidP="00B578FB">
      <w:pPr>
        <w:pStyle w:val="Heading1"/>
        <w:rPr>
          <w:rFonts w:ascii="Times New Roman" w:hAnsi="Times New Roman" w:cs="Times New Roman"/>
          <w:lang w:val="en-US"/>
        </w:rPr>
      </w:pPr>
      <w:r w:rsidRPr="00BA37A1">
        <w:rPr>
          <w:rFonts w:ascii="Times New Roman" w:hAnsi="Times New Roman" w:cs="Times New Roman"/>
          <w:lang w:val="en-US"/>
        </w:rPr>
        <w:t>Conflicts of interest</w:t>
      </w:r>
    </w:p>
    <w:p w14:paraId="1DDB5D78" w14:textId="5FC4E498" w:rsidR="00B578FB" w:rsidRDefault="00B578FB" w:rsidP="00B578FB">
      <w:pPr>
        <w:rPr>
          <w:rFonts w:ascii="Times New Roman" w:hAnsi="Times New Roman" w:cs="Times New Roman"/>
          <w:lang w:val="en-US"/>
        </w:rPr>
      </w:pPr>
      <w:r w:rsidRPr="00BA37A1">
        <w:rPr>
          <w:rFonts w:ascii="Times New Roman" w:hAnsi="Times New Roman" w:cs="Times New Roman"/>
          <w:lang w:val="en-US"/>
        </w:rPr>
        <w:t xml:space="preserve">The authors declare no conflict of interest. </w:t>
      </w:r>
    </w:p>
    <w:p w14:paraId="18D3BBBA" w14:textId="4DD882AD" w:rsidR="005C7B60" w:rsidRDefault="005C7B60" w:rsidP="005C7B60">
      <w:pPr>
        <w:pStyle w:val="Heading1"/>
        <w:rPr>
          <w:rFonts w:ascii="Times New Roman" w:hAnsi="Times New Roman" w:cs="Times New Roman"/>
          <w:lang w:val="en-US"/>
        </w:rPr>
      </w:pPr>
      <w:r w:rsidRPr="005C7B60">
        <w:rPr>
          <w:rFonts w:ascii="Times New Roman" w:hAnsi="Times New Roman" w:cs="Times New Roman"/>
          <w:lang w:val="en-US"/>
        </w:rPr>
        <w:t xml:space="preserve">Author contributions </w:t>
      </w:r>
    </w:p>
    <w:p w14:paraId="1F827B6E" w14:textId="1EDC24B1" w:rsidR="005C7B60" w:rsidRPr="00BA37A1" w:rsidRDefault="005C7B60" w:rsidP="00C8508E">
      <w:pPr>
        <w:spacing w:line="480" w:lineRule="auto"/>
        <w:rPr>
          <w:rFonts w:ascii="Times New Roman" w:hAnsi="Times New Roman" w:cs="Times New Roman"/>
          <w:lang w:val="en-US"/>
        </w:rPr>
      </w:pPr>
      <w:r w:rsidRPr="005C7B60">
        <w:rPr>
          <w:rFonts w:ascii="Times New Roman" w:hAnsi="Times New Roman" w:cs="Times New Roman"/>
          <w:lang w:val="en-US"/>
        </w:rPr>
        <w:t xml:space="preserve">Laura E. Walls designed and performed the </w:t>
      </w:r>
      <w:r>
        <w:rPr>
          <w:rFonts w:ascii="Times New Roman" w:hAnsi="Times New Roman" w:cs="Times New Roman"/>
          <w:lang w:val="en-US"/>
        </w:rPr>
        <w:t>experiments and all of</w:t>
      </w:r>
      <w:r w:rsidRPr="005C7B60">
        <w:rPr>
          <w:rFonts w:ascii="Times New Roman" w:hAnsi="Times New Roman" w:cs="Times New Roman"/>
          <w:lang w:val="en-US"/>
        </w:rPr>
        <w:t xml:space="preserve"> the data analysis. Laura E. Walls wrote the manuscript with input from all authors.</w:t>
      </w:r>
      <w:r>
        <w:rPr>
          <w:rFonts w:ascii="Times New Roman" w:hAnsi="Times New Roman" w:cs="Times New Roman"/>
          <w:lang w:val="en-US"/>
        </w:rPr>
        <w:t xml:space="preserve"> </w:t>
      </w:r>
      <w:r w:rsidR="00C8508E" w:rsidRPr="00C8508E">
        <w:rPr>
          <w:rFonts w:ascii="Times New Roman" w:hAnsi="Times New Roman" w:cs="Times New Roman"/>
          <w:lang w:val="en-US"/>
        </w:rPr>
        <w:t>E. Antonio del Rio Chanona</w:t>
      </w:r>
      <w:r w:rsidR="00C8508E">
        <w:rPr>
          <w:rFonts w:ascii="Times New Roman" w:hAnsi="Times New Roman" w:cs="Times New Roman"/>
          <w:lang w:val="en-US"/>
        </w:rPr>
        <w:t xml:space="preserve"> provided support with design of experiments, statistical modelling and reviewing the manuscript.</w:t>
      </w:r>
      <w:r w:rsidR="00883EF4">
        <w:rPr>
          <w:rFonts w:ascii="Times New Roman" w:hAnsi="Times New Roman" w:cs="Times New Roman"/>
          <w:lang w:val="en-US"/>
        </w:rPr>
        <w:t xml:space="preserve"> </w:t>
      </w:r>
      <w:r w:rsidR="00C8508E">
        <w:rPr>
          <w:rFonts w:ascii="Times New Roman" w:hAnsi="Times New Roman" w:cs="Times New Roman"/>
          <w:lang w:val="en-US"/>
        </w:rPr>
        <w:t xml:space="preserve">Leonardo Rios-Solis </w:t>
      </w:r>
      <w:r w:rsidR="00883EF4">
        <w:rPr>
          <w:rFonts w:ascii="Times New Roman" w:hAnsi="Times New Roman" w:cs="Times New Roman"/>
          <w:lang w:val="en-US"/>
        </w:rPr>
        <w:t xml:space="preserve">and </w:t>
      </w:r>
      <w:r w:rsidR="00883EF4" w:rsidRPr="00BA37A1">
        <w:rPr>
          <w:rFonts w:ascii="Times New Roman" w:hAnsi="Times New Roman" w:cs="Times New Roman"/>
          <w:lang w:val="en-US"/>
        </w:rPr>
        <w:t>José L. Martinez</w:t>
      </w:r>
      <w:r w:rsidR="00883EF4">
        <w:rPr>
          <w:rFonts w:ascii="Times New Roman" w:hAnsi="Times New Roman" w:cs="Times New Roman"/>
          <w:lang w:val="en-US"/>
        </w:rPr>
        <w:t xml:space="preserve">  supervised</w:t>
      </w:r>
      <w:r w:rsidR="00C8508E" w:rsidRPr="00C8508E">
        <w:rPr>
          <w:rFonts w:ascii="Times New Roman" w:hAnsi="Times New Roman" w:cs="Times New Roman"/>
          <w:lang w:val="en-US"/>
        </w:rPr>
        <w:t xml:space="preserve"> and coordinated the study</w:t>
      </w:r>
      <w:r w:rsidR="00C8508E">
        <w:rPr>
          <w:rFonts w:ascii="Times New Roman" w:hAnsi="Times New Roman" w:cs="Times New Roman"/>
          <w:lang w:val="en-US"/>
        </w:rPr>
        <w:t xml:space="preserve">.  </w:t>
      </w:r>
    </w:p>
    <w:p w14:paraId="50AABAAA" w14:textId="206B4DBE" w:rsidR="008671DA" w:rsidRPr="00BA37A1" w:rsidRDefault="0079769D" w:rsidP="00D36DCD">
      <w:pPr>
        <w:pStyle w:val="Heading1"/>
        <w:spacing w:line="480" w:lineRule="auto"/>
        <w:rPr>
          <w:rFonts w:ascii="Times New Roman" w:hAnsi="Times New Roman" w:cs="Times New Roman"/>
          <w:lang w:val="en-US"/>
        </w:rPr>
      </w:pPr>
      <w:r w:rsidRPr="00BA37A1">
        <w:rPr>
          <w:rFonts w:ascii="Times New Roman" w:hAnsi="Times New Roman" w:cs="Times New Roman"/>
          <w:lang w:val="en-US"/>
        </w:rPr>
        <w:t xml:space="preserve">References </w:t>
      </w:r>
    </w:p>
    <w:p w14:paraId="05A658F0" w14:textId="54254696" w:rsidR="005E6A4C" w:rsidRPr="005E6A4C" w:rsidRDefault="00362160"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lang w:val="en-US"/>
        </w:rPr>
        <w:t>[</w:t>
      </w:r>
      <w:bookmarkStart w:id="0" w:name="_GoBack"/>
      <w:r w:rsidR="007A4BF9" w:rsidRPr="00BA37A1">
        <w:rPr>
          <w:rFonts w:ascii="Times New Roman" w:hAnsi="Times New Roman" w:cs="Times New Roman"/>
          <w:lang w:val="en-US"/>
        </w:rPr>
        <w:fldChar w:fldCharType="begin" w:fldLock="1"/>
      </w:r>
      <w:r w:rsidR="007A4BF9" w:rsidRPr="00BA37A1">
        <w:rPr>
          <w:rFonts w:ascii="Times New Roman" w:hAnsi="Times New Roman" w:cs="Times New Roman"/>
          <w:lang w:val="en-US"/>
        </w:rPr>
        <w:instrText xml:space="preserve">ADDIN Mendeley Bibliography CSL_BIBLIOGRAPHY </w:instrText>
      </w:r>
      <w:r w:rsidR="007A4BF9" w:rsidRPr="00BA37A1">
        <w:rPr>
          <w:rFonts w:ascii="Times New Roman" w:hAnsi="Times New Roman" w:cs="Times New Roman"/>
          <w:lang w:val="en-US"/>
        </w:rPr>
        <w:fldChar w:fldCharType="separate"/>
      </w:r>
      <w:r w:rsidR="005E6A4C">
        <w:rPr>
          <w:rFonts w:ascii="Times New Roman" w:hAnsi="Times New Roman" w:cs="Times New Roman"/>
          <w:noProof/>
          <w:szCs w:val="24"/>
        </w:rPr>
        <w:t>1]</w:t>
      </w:r>
      <w:r w:rsidR="005E6A4C" w:rsidRPr="005E6A4C">
        <w:rPr>
          <w:rFonts w:ascii="Times New Roman" w:hAnsi="Times New Roman" w:cs="Times New Roman"/>
          <w:noProof/>
          <w:szCs w:val="24"/>
        </w:rPr>
        <w:t xml:space="preserve"> Malcı, K., Walls, L. E., &amp; Rios-Solis, L. (2020). Multiplex Genome Engineering Methods for Yeast Cell Factory Development   . In </w:t>
      </w:r>
      <w:r w:rsidR="005E6A4C" w:rsidRPr="005E6A4C">
        <w:rPr>
          <w:rFonts w:ascii="Times New Roman" w:hAnsi="Times New Roman" w:cs="Times New Roman"/>
          <w:i/>
          <w:iCs/>
          <w:noProof/>
          <w:szCs w:val="24"/>
        </w:rPr>
        <w:t xml:space="preserve">Frontiers in Bioengineering and Biotechnology  </w:t>
      </w:r>
      <w:r w:rsidR="005E6A4C" w:rsidRPr="005E6A4C">
        <w:rPr>
          <w:rFonts w:ascii="Times New Roman" w:hAnsi="Times New Roman" w:cs="Times New Roman"/>
          <w:noProof/>
          <w:szCs w:val="24"/>
        </w:rPr>
        <w:t xml:space="preserve"> (Vol. 8, p. 1264). https://www.frontiersin.org/article/10.3389/fbioe.2020.589468</w:t>
      </w:r>
    </w:p>
    <w:p w14:paraId="59AEB432" w14:textId="1B0D8E8D"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w:t>
      </w:r>
      <w:r w:rsidRPr="005E6A4C">
        <w:rPr>
          <w:rFonts w:ascii="Times New Roman" w:hAnsi="Times New Roman" w:cs="Times New Roman"/>
          <w:noProof/>
          <w:szCs w:val="24"/>
        </w:rPr>
        <w:t xml:space="preserve"> Chubukov, V., Mukhopadhyay, A., Petzold, C. J., Keasling, J. D., &amp; Martín, H. G. (2016). Synthetic and systems biology for microbial production of commodity chemicals. </w:t>
      </w:r>
      <w:r w:rsidRPr="005E6A4C">
        <w:rPr>
          <w:rFonts w:ascii="Times New Roman" w:hAnsi="Times New Roman" w:cs="Times New Roman"/>
          <w:i/>
          <w:iCs/>
          <w:noProof/>
          <w:szCs w:val="24"/>
        </w:rPr>
        <w:t>Npj Systems Biology and Applications</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2</w:t>
      </w:r>
      <w:r w:rsidRPr="005E6A4C">
        <w:rPr>
          <w:rFonts w:ascii="Times New Roman" w:hAnsi="Times New Roman" w:cs="Times New Roman"/>
          <w:noProof/>
          <w:szCs w:val="24"/>
        </w:rPr>
        <w:t>(1), 16009. https://doi.org/10.1038/npjsba.2016.9</w:t>
      </w:r>
    </w:p>
    <w:p w14:paraId="1E43C72B" w14:textId="79F0705D"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[3]</w:t>
      </w:r>
      <w:r w:rsidRPr="005E6A4C">
        <w:rPr>
          <w:rFonts w:ascii="Times New Roman" w:hAnsi="Times New Roman" w:cs="Times New Roman"/>
          <w:noProof/>
          <w:szCs w:val="24"/>
        </w:rPr>
        <w:t xml:space="preserve"> Wilk, P., Halim, M., &amp; Rios-Solis, L. (2019). Recent Advances and Impacts of Microtiter Plate-Based Fermentations in Synthetic Biology and Bioprocess Development. In E. M. T. El-Mansi, J. Nielsen, D. Mousdale, &amp; R. P. Carlson (Eds.), </w:t>
      </w:r>
      <w:r w:rsidRPr="005E6A4C">
        <w:rPr>
          <w:rFonts w:ascii="Times New Roman" w:hAnsi="Times New Roman" w:cs="Times New Roman"/>
          <w:i/>
          <w:iCs/>
          <w:noProof/>
          <w:szCs w:val="24"/>
        </w:rPr>
        <w:t>Fermentation Microbiology and Biotechnology, Fourth Edition</w:t>
      </w:r>
      <w:r w:rsidRPr="005E6A4C">
        <w:rPr>
          <w:rFonts w:ascii="Times New Roman" w:hAnsi="Times New Roman" w:cs="Times New Roman"/>
          <w:noProof/>
          <w:szCs w:val="24"/>
        </w:rPr>
        <w:t xml:space="preserve"> (Fourth, p. 14). CRC Press. https://doi.org/https://doi.org/10.1201/9780429506987</w:t>
      </w:r>
    </w:p>
    <w:p w14:paraId="293C90C4" w14:textId="0C3F66C8"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[4]</w:t>
      </w:r>
      <w:r w:rsidRPr="005E6A4C">
        <w:rPr>
          <w:rFonts w:ascii="Times New Roman" w:hAnsi="Times New Roman" w:cs="Times New Roman"/>
          <w:noProof/>
          <w:szCs w:val="24"/>
        </w:rPr>
        <w:t xml:space="preserve"> Gilman, J., Walls, L., Bandiera, L., &amp; Menolascina, F. (2021). Statistical Design of Experiments for Synthetic Biology. </w:t>
      </w:r>
      <w:r w:rsidRPr="005E6A4C">
        <w:rPr>
          <w:rFonts w:ascii="Times New Roman" w:hAnsi="Times New Roman" w:cs="Times New Roman"/>
          <w:i/>
          <w:iCs/>
          <w:noProof/>
          <w:szCs w:val="24"/>
        </w:rPr>
        <w:t>ACS Synthetic Biology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10</w:t>
      </w:r>
      <w:r w:rsidRPr="005E6A4C">
        <w:rPr>
          <w:rFonts w:ascii="Times New Roman" w:hAnsi="Times New Roman" w:cs="Times New Roman"/>
          <w:noProof/>
          <w:szCs w:val="24"/>
        </w:rPr>
        <w:t>(1), 1–18. https://doi.org/10.1021/acssynbio.0c00385</w:t>
      </w:r>
    </w:p>
    <w:p w14:paraId="138A885F" w14:textId="13698396"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[5]</w:t>
      </w:r>
      <w:r w:rsidRPr="005E6A4C">
        <w:rPr>
          <w:rFonts w:ascii="Times New Roman" w:hAnsi="Times New Roman" w:cs="Times New Roman"/>
          <w:noProof/>
          <w:szCs w:val="24"/>
        </w:rPr>
        <w:t xml:space="preserve"> Fellermann, H., Shirt-Ediss, B., Kozyra, J., Linsley, M., Lendrem, D., Isaacs, J., &amp; Howard, T. (2019). Design of experiments and the virtual PCR simulator: An online game for pharmaceutical scientists and biotechnologists. </w:t>
      </w:r>
      <w:r w:rsidRPr="005E6A4C">
        <w:rPr>
          <w:rFonts w:ascii="Times New Roman" w:hAnsi="Times New Roman" w:cs="Times New Roman"/>
          <w:i/>
          <w:iCs/>
          <w:noProof/>
          <w:szCs w:val="24"/>
        </w:rPr>
        <w:t>Pharmaceutical Statistics</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18</w:t>
      </w:r>
      <w:r w:rsidRPr="005E6A4C">
        <w:rPr>
          <w:rFonts w:ascii="Times New Roman" w:hAnsi="Times New Roman" w:cs="Times New Roman"/>
          <w:noProof/>
          <w:szCs w:val="24"/>
        </w:rPr>
        <w:t>(4), 402–406. https://doi.org/10.1002/pst.1932</w:t>
      </w:r>
    </w:p>
    <w:p w14:paraId="449E5DD5" w14:textId="4AE5146F"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[6]</w:t>
      </w:r>
      <w:r w:rsidRPr="005E6A4C">
        <w:rPr>
          <w:rFonts w:ascii="Times New Roman" w:hAnsi="Times New Roman" w:cs="Times New Roman"/>
          <w:noProof/>
          <w:szCs w:val="24"/>
        </w:rPr>
        <w:t xml:space="preserve"> Campbell, K., Xia, J., &amp; Nielsen, J. (2017). The Impact of Systems Biology on Bioprocessing. </w:t>
      </w:r>
      <w:r w:rsidRPr="005E6A4C">
        <w:rPr>
          <w:rFonts w:ascii="Times New Roman" w:hAnsi="Times New Roman" w:cs="Times New Roman"/>
          <w:i/>
          <w:iCs/>
          <w:noProof/>
          <w:szCs w:val="24"/>
        </w:rPr>
        <w:t>Trends in Biotechnology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35</w:t>
      </w:r>
      <w:r w:rsidRPr="005E6A4C">
        <w:rPr>
          <w:rFonts w:ascii="Times New Roman" w:hAnsi="Times New Roman" w:cs="Times New Roman"/>
          <w:noProof/>
          <w:szCs w:val="24"/>
        </w:rPr>
        <w:t>(12), 1156–1168. https://doi.org/10.1016/j.tibtech.2017.08.011</w:t>
      </w:r>
    </w:p>
    <w:p w14:paraId="0A828C80" w14:textId="6F3106F6"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w:t>
      </w:r>
      <w:r w:rsidRPr="005E6A4C">
        <w:rPr>
          <w:rFonts w:ascii="Times New Roman" w:hAnsi="Times New Roman" w:cs="Times New Roman"/>
          <w:noProof/>
          <w:szCs w:val="24"/>
        </w:rPr>
        <w:t>7</w:t>
      </w:r>
      <w:r>
        <w:rPr>
          <w:rFonts w:ascii="Times New Roman" w:hAnsi="Times New Roman" w:cs="Times New Roman"/>
          <w:noProof/>
          <w:szCs w:val="24"/>
        </w:rPr>
        <w:t>]</w:t>
      </w:r>
      <w:r w:rsidRPr="005E6A4C">
        <w:rPr>
          <w:rFonts w:ascii="Times New Roman" w:hAnsi="Times New Roman" w:cs="Times New Roman"/>
          <w:noProof/>
          <w:szCs w:val="24"/>
        </w:rPr>
        <w:t xml:space="preserve"> Hemmerich, J., Noack, S., Wiechert, W., &amp; Oldiges, M. (2018). Microbioreactor Systems for Accelerated Bioprocess Development. </w:t>
      </w:r>
      <w:r w:rsidRPr="005E6A4C">
        <w:rPr>
          <w:rFonts w:ascii="Times New Roman" w:hAnsi="Times New Roman" w:cs="Times New Roman"/>
          <w:i/>
          <w:iCs/>
          <w:noProof/>
          <w:szCs w:val="24"/>
        </w:rPr>
        <w:t>Biotechnology Journal</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13</w:t>
      </w:r>
      <w:r w:rsidRPr="005E6A4C">
        <w:rPr>
          <w:rFonts w:ascii="Times New Roman" w:hAnsi="Times New Roman" w:cs="Times New Roman"/>
          <w:noProof/>
          <w:szCs w:val="24"/>
        </w:rPr>
        <w:t>(4), 1700141. https://doi.org/https://doi.org/10.1002/biot.201700141</w:t>
      </w:r>
    </w:p>
    <w:p w14:paraId="4D54AEFD" w14:textId="30E1ED00"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[8]</w:t>
      </w:r>
      <w:r w:rsidRPr="005E6A4C">
        <w:rPr>
          <w:rFonts w:ascii="Times New Roman" w:hAnsi="Times New Roman" w:cs="Times New Roman"/>
          <w:noProof/>
          <w:szCs w:val="24"/>
        </w:rPr>
        <w:t xml:space="preserve"> Fink, M., Cserjan-Puschmann, M., Reinisch, D., &amp; Striedner, G. (2021). High-throughput microbioreactor provides a capable tool for early stage bioprocess development. </w:t>
      </w:r>
      <w:r w:rsidRPr="005E6A4C">
        <w:rPr>
          <w:rFonts w:ascii="Times New Roman" w:hAnsi="Times New Roman" w:cs="Times New Roman"/>
          <w:i/>
          <w:iCs/>
          <w:noProof/>
          <w:szCs w:val="24"/>
        </w:rPr>
        <w:t>Scientific Reports</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11</w:t>
      </w:r>
      <w:r w:rsidRPr="005E6A4C">
        <w:rPr>
          <w:rFonts w:ascii="Times New Roman" w:hAnsi="Times New Roman" w:cs="Times New Roman"/>
          <w:noProof/>
          <w:szCs w:val="24"/>
        </w:rPr>
        <w:t>(1), 2056. https://doi.org/10.1038/s41598-021-81633-6</w:t>
      </w:r>
    </w:p>
    <w:p w14:paraId="44CA0B5B" w14:textId="520BF358"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[9]</w:t>
      </w:r>
      <w:r w:rsidRPr="005E6A4C">
        <w:rPr>
          <w:rFonts w:ascii="Times New Roman" w:hAnsi="Times New Roman" w:cs="Times New Roman"/>
          <w:noProof/>
          <w:szCs w:val="24"/>
        </w:rPr>
        <w:t xml:space="preserve"> Hsu, W.-T., Aulakh, R. P. S., Traul, D. L., &amp; Yuk, I. H. (2012). Advanced microscale bioreactor system: a representative scale-down model for bench-top bioreactors. </w:t>
      </w:r>
      <w:r w:rsidRPr="005E6A4C">
        <w:rPr>
          <w:rFonts w:ascii="Times New Roman" w:hAnsi="Times New Roman" w:cs="Times New Roman"/>
          <w:i/>
          <w:iCs/>
          <w:noProof/>
          <w:szCs w:val="24"/>
        </w:rPr>
        <w:t>Cytotechnology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64</w:t>
      </w:r>
      <w:r w:rsidRPr="005E6A4C">
        <w:rPr>
          <w:rFonts w:ascii="Times New Roman" w:hAnsi="Times New Roman" w:cs="Times New Roman"/>
          <w:noProof/>
          <w:szCs w:val="24"/>
        </w:rPr>
        <w:t>(6), 667–678. https://doi.org/10.1007/s10616-012-9446-1</w:t>
      </w:r>
    </w:p>
    <w:p w14:paraId="16228E08" w14:textId="01B4F359"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[10]</w:t>
      </w:r>
      <w:r w:rsidRPr="005E6A4C">
        <w:rPr>
          <w:rFonts w:ascii="Times New Roman" w:hAnsi="Times New Roman" w:cs="Times New Roman"/>
          <w:noProof/>
          <w:szCs w:val="24"/>
        </w:rPr>
        <w:t xml:space="preserve"> Funke, M., Diederichs, S., Kensy, F., Müller, C., &amp; Büchs, J. (2009). The baffled microtiter plate: Increased oxygen transfer and improved online monitoring in small scale fermentations. </w:t>
      </w:r>
      <w:r w:rsidRPr="005E6A4C">
        <w:rPr>
          <w:rFonts w:ascii="Times New Roman" w:hAnsi="Times New Roman" w:cs="Times New Roman"/>
          <w:i/>
          <w:iCs/>
          <w:noProof/>
          <w:szCs w:val="24"/>
        </w:rPr>
        <w:t>Biotechnology and Bioengineering</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103</w:t>
      </w:r>
      <w:r w:rsidRPr="005E6A4C">
        <w:rPr>
          <w:rFonts w:ascii="Times New Roman" w:hAnsi="Times New Roman" w:cs="Times New Roman"/>
          <w:noProof/>
          <w:szCs w:val="24"/>
        </w:rPr>
        <w:t>(6), 1118–1128. https://doi.org/10.1002/bit.22341</w:t>
      </w:r>
    </w:p>
    <w:p w14:paraId="46AF98EE" w14:textId="068438CB"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w:t>
      </w:r>
      <w:r w:rsidRPr="005E6A4C">
        <w:rPr>
          <w:rFonts w:ascii="Times New Roman" w:hAnsi="Times New Roman" w:cs="Times New Roman"/>
          <w:noProof/>
          <w:szCs w:val="24"/>
        </w:rPr>
        <w:t>11</w:t>
      </w:r>
      <w:r>
        <w:rPr>
          <w:rFonts w:ascii="Times New Roman" w:hAnsi="Times New Roman" w:cs="Times New Roman"/>
          <w:noProof/>
          <w:szCs w:val="24"/>
        </w:rPr>
        <w:t>]</w:t>
      </w:r>
      <w:r w:rsidRPr="005E6A4C">
        <w:rPr>
          <w:rFonts w:ascii="Times New Roman" w:hAnsi="Times New Roman" w:cs="Times New Roman"/>
          <w:noProof/>
          <w:szCs w:val="24"/>
        </w:rPr>
        <w:t xml:space="preserve"> Jacobsen, I. H., Ledesma-Amaro, R., &amp; Martinez, J. L. (2020). Recombinant β-Carotene Production by Yarrowia lipolytica – Assessing the Potential of Micro-Scale Fermentation Analysis in Cell Factory Design and Bioreaction Optimization   . In </w:t>
      </w:r>
      <w:r w:rsidRPr="005E6A4C">
        <w:rPr>
          <w:rFonts w:ascii="Times New Roman" w:hAnsi="Times New Roman" w:cs="Times New Roman"/>
          <w:i/>
          <w:iCs/>
          <w:noProof/>
          <w:szCs w:val="24"/>
        </w:rPr>
        <w:t xml:space="preserve">Frontiers in Bioengineering and Biotechnology  </w:t>
      </w:r>
      <w:r w:rsidRPr="005E6A4C">
        <w:rPr>
          <w:rFonts w:ascii="Times New Roman" w:hAnsi="Times New Roman" w:cs="Times New Roman"/>
          <w:noProof/>
          <w:szCs w:val="24"/>
        </w:rPr>
        <w:t xml:space="preserve"> (Vol. 8, p. 29). https://www.frontiersin.org/article/10.3389/fbioe.2020.00029</w:t>
      </w:r>
    </w:p>
    <w:p w14:paraId="598ABC00" w14:textId="53F62DD9"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[12]</w:t>
      </w:r>
      <w:r w:rsidRPr="005E6A4C">
        <w:rPr>
          <w:rFonts w:ascii="Times New Roman" w:hAnsi="Times New Roman" w:cs="Times New Roman"/>
          <w:noProof/>
          <w:szCs w:val="24"/>
        </w:rPr>
        <w:t xml:space="preserve"> Back, A., Rossignol, T., Krier, F., Nicaud, J.-M., &amp; Dhulster, P. (2016). High-throughput fermentation screening for the yeast Yarrowia lipolytica with real-time monitoring of biomass and lipid production. </w:t>
      </w:r>
      <w:r w:rsidRPr="005E6A4C">
        <w:rPr>
          <w:rFonts w:ascii="Times New Roman" w:hAnsi="Times New Roman" w:cs="Times New Roman"/>
          <w:i/>
          <w:iCs/>
          <w:noProof/>
          <w:szCs w:val="24"/>
        </w:rPr>
        <w:t>Microbial Cell Factories</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15</w:t>
      </w:r>
      <w:r w:rsidRPr="005E6A4C">
        <w:rPr>
          <w:rFonts w:ascii="Times New Roman" w:hAnsi="Times New Roman" w:cs="Times New Roman"/>
          <w:noProof/>
          <w:szCs w:val="24"/>
        </w:rPr>
        <w:t>(1), 147. https://doi.org/10.1186/s12934-016-0546-z</w:t>
      </w:r>
    </w:p>
    <w:p w14:paraId="3A5B282A" w14:textId="13FFB3CB"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[13]</w:t>
      </w:r>
      <w:r w:rsidRPr="005E6A4C">
        <w:rPr>
          <w:rFonts w:ascii="Times New Roman" w:hAnsi="Times New Roman" w:cs="Times New Roman"/>
          <w:noProof/>
          <w:szCs w:val="24"/>
        </w:rPr>
        <w:t xml:space="preserve"> Huang, K., Huang, Q., Wildung, M. R., Croteau, R., &amp; Scott, A. I. (1998). Overproduction, inEscherichia coli,of Soluble Taxadiene Synthase, a Key Enzyme in the Taxol Biosynthetic Pathway. </w:t>
      </w:r>
      <w:r w:rsidRPr="005E6A4C">
        <w:rPr>
          <w:rFonts w:ascii="Times New Roman" w:hAnsi="Times New Roman" w:cs="Times New Roman"/>
          <w:i/>
          <w:iCs/>
          <w:noProof/>
          <w:szCs w:val="24"/>
        </w:rPr>
        <w:t>Protein Expression and Purification</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13</w:t>
      </w:r>
      <w:r w:rsidRPr="005E6A4C">
        <w:rPr>
          <w:rFonts w:ascii="Times New Roman" w:hAnsi="Times New Roman" w:cs="Times New Roman"/>
          <w:noProof/>
          <w:szCs w:val="24"/>
        </w:rPr>
        <w:t>(1), 90–96. https://doi.org/https://doi.org/10.1006/prep.1998.0870</w:t>
      </w:r>
    </w:p>
    <w:p w14:paraId="562096C4" w14:textId="7F1258BC"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[14]</w:t>
      </w:r>
      <w:r w:rsidRPr="005E6A4C">
        <w:rPr>
          <w:rFonts w:ascii="Times New Roman" w:hAnsi="Times New Roman" w:cs="Times New Roman"/>
          <w:noProof/>
          <w:szCs w:val="24"/>
        </w:rPr>
        <w:t xml:space="preserve"> Walker, K., Ketchum, R. E. B., Hezari, M., Gatfield, D., Goleniowski, M., Barthol, A., &amp; Croteau, R. (1999). Partial Purification and Characterization of Acetyl Coenzyme A: Taxa-4(20),11(12)-dien-5α-olO-Acetyl Transferase That Catalyzes the First Acylation Step of Taxol Biosynthesis. </w:t>
      </w:r>
      <w:r w:rsidRPr="005E6A4C">
        <w:rPr>
          <w:rFonts w:ascii="Times New Roman" w:hAnsi="Times New Roman" w:cs="Times New Roman"/>
          <w:i/>
          <w:iCs/>
          <w:noProof/>
          <w:szCs w:val="24"/>
        </w:rPr>
        <w:t>Archives of Biochemistry and Biophysics</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364</w:t>
      </w:r>
      <w:r w:rsidRPr="005E6A4C">
        <w:rPr>
          <w:rFonts w:ascii="Times New Roman" w:hAnsi="Times New Roman" w:cs="Times New Roman"/>
          <w:noProof/>
          <w:szCs w:val="24"/>
        </w:rPr>
        <w:t>(2), 273–279. https://doi.org/https://doi.org/10.1006/abbi.1999.1125</w:t>
      </w:r>
    </w:p>
    <w:p w14:paraId="3B44D04B" w14:textId="3F116D16"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[15]</w:t>
      </w:r>
      <w:r w:rsidRPr="005E6A4C">
        <w:rPr>
          <w:rFonts w:ascii="Times New Roman" w:hAnsi="Times New Roman" w:cs="Times New Roman"/>
          <w:noProof/>
          <w:szCs w:val="24"/>
        </w:rPr>
        <w:t xml:space="preserve"> McElroy, C., &amp; Jennewein, S. (2018). Taxol® Biosynthesis and Production: From Forests to Fermenters. In W. Schwab, B. M. Lange, &amp; M. Wüst (Eds.), </w:t>
      </w:r>
      <w:r w:rsidRPr="005E6A4C">
        <w:rPr>
          <w:rFonts w:ascii="Times New Roman" w:hAnsi="Times New Roman" w:cs="Times New Roman"/>
          <w:i/>
          <w:iCs/>
          <w:noProof/>
          <w:szCs w:val="24"/>
        </w:rPr>
        <w:t>Biotechnology of Natural Products</w:t>
      </w:r>
      <w:r w:rsidRPr="005E6A4C">
        <w:rPr>
          <w:rFonts w:ascii="Times New Roman" w:hAnsi="Times New Roman" w:cs="Times New Roman"/>
          <w:noProof/>
          <w:szCs w:val="24"/>
        </w:rPr>
        <w:t xml:space="preserve"> (pp. 145–185). Springer International Publishing. https://doi.org/10.1007/978-3-319-67903-7_7</w:t>
      </w:r>
    </w:p>
    <w:p w14:paraId="59F7A715" w14:textId="1D6D1776"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[16]</w:t>
      </w:r>
      <w:r w:rsidRPr="005E6A4C">
        <w:rPr>
          <w:rFonts w:ascii="Times New Roman" w:hAnsi="Times New Roman" w:cs="Times New Roman"/>
          <w:noProof/>
          <w:szCs w:val="24"/>
        </w:rPr>
        <w:t xml:space="preserve"> Edgar, S., Zhou, K., Qiao, K., King, J. R., Simpson, J. H., &amp; Stephanopoulos, G. (2016). Mechanistic Insights into Taxadiene Epoxidation by Taxadiene-5α-Hydroxylase. </w:t>
      </w:r>
      <w:r w:rsidRPr="005E6A4C">
        <w:rPr>
          <w:rFonts w:ascii="Times New Roman" w:hAnsi="Times New Roman" w:cs="Times New Roman"/>
          <w:i/>
          <w:iCs/>
          <w:noProof/>
          <w:szCs w:val="24"/>
        </w:rPr>
        <w:t>ACS Chemical Biology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11</w:t>
      </w:r>
      <w:r w:rsidRPr="005E6A4C">
        <w:rPr>
          <w:rFonts w:ascii="Times New Roman" w:hAnsi="Times New Roman" w:cs="Times New Roman"/>
          <w:noProof/>
          <w:szCs w:val="24"/>
        </w:rPr>
        <w:t>(2), 460–469. https://doi.org/10.1021/acschembio.5b00767</w:t>
      </w:r>
    </w:p>
    <w:p w14:paraId="0CD1C8AB" w14:textId="345BC1EA"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[17]</w:t>
      </w:r>
      <w:r w:rsidRPr="005E6A4C">
        <w:rPr>
          <w:rFonts w:ascii="Times New Roman" w:hAnsi="Times New Roman" w:cs="Times New Roman"/>
          <w:noProof/>
          <w:szCs w:val="24"/>
        </w:rPr>
        <w:t xml:space="preserve"> Walls, L. E., Malcı, K., Nowrouzi, B., Li, R. A., d’Espaux, L., Wong, J., Dennis, J. A., Semião, A. J. C., Wallace, S., Martinez, J. L., Keasling, J. D., &amp; Rios-Solis, L. (2020). Optimizing the biosynthesis of oxygenated and acetylated Taxol precursors in Saccharomyces cerevisiae using advanced bioprocessing strategies. </w:t>
      </w:r>
      <w:r w:rsidRPr="005E6A4C">
        <w:rPr>
          <w:rFonts w:ascii="Times New Roman" w:hAnsi="Times New Roman" w:cs="Times New Roman"/>
          <w:i/>
          <w:iCs/>
          <w:noProof/>
          <w:szCs w:val="24"/>
        </w:rPr>
        <w:t>Biotechnology and Bioengineering</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n/a</w:t>
      </w:r>
      <w:r w:rsidRPr="005E6A4C">
        <w:rPr>
          <w:rFonts w:ascii="Times New Roman" w:hAnsi="Times New Roman" w:cs="Times New Roman"/>
          <w:noProof/>
          <w:szCs w:val="24"/>
        </w:rPr>
        <w:t>(n/a). https://doi.org/10.1002/bit.27569</w:t>
      </w:r>
    </w:p>
    <w:p w14:paraId="670BFB25" w14:textId="232E981E"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[18]</w:t>
      </w:r>
      <w:r w:rsidRPr="005E6A4C">
        <w:rPr>
          <w:rFonts w:ascii="Times New Roman" w:hAnsi="Times New Roman" w:cs="Times New Roman"/>
          <w:noProof/>
          <w:szCs w:val="24"/>
        </w:rPr>
        <w:t xml:space="preserve"> Nowrouzi, B., Li, R. A., Walls, L. E., d’Espaux, L., Malcı, K., Lungang, L., Borrego, N. J., Escalera, A., Morones-Ramirez, J. R., Keasling, J., &amp; Rios-Solis, L. (2020). Enhanced production of taxadiene in Saccharomyces cerevisiae. </w:t>
      </w:r>
      <w:r w:rsidRPr="005E6A4C">
        <w:rPr>
          <w:rFonts w:ascii="Times New Roman" w:hAnsi="Times New Roman" w:cs="Times New Roman"/>
          <w:i/>
          <w:iCs/>
          <w:noProof/>
          <w:szCs w:val="24"/>
        </w:rPr>
        <w:t>Microbial Cell Factories</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19</w:t>
      </w:r>
      <w:r w:rsidRPr="005E6A4C">
        <w:rPr>
          <w:rFonts w:ascii="Times New Roman" w:hAnsi="Times New Roman" w:cs="Times New Roman"/>
          <w:noProof/>
          <w:szCs w:val="24"/>
        </w:rPr>
        <w:t>(200). https://doi.org/10.1186/s12934-020-01458-2</w:t>
      </w:r>
    </w:p>
    <w:p w14:paraId="51AEAF07" w14:textId="03552E8D"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[19]</w:t>
      </w:r>
      <w:r w:rsidRPr="005E6A4C">
        <w:rPr>
          <w:rFonts w:ascii="Times New Roman" w:hAnsi="Times New Roman" w:cs="Times New Roman"/>
          <w:noProof/>
          <w:szCs w:val="24"/>
        </w:rPr>
        <w:t xml:space="preserve"> Lee, S. Y., &amp; Kim, H. U. (2015). Systems strategies for developing industrial microbial strains. </w:t>
      </w:r>
      <w:r w:rsidRPr="005E6A4C">
        <w:rPr>
          <w:rFonts w:ascii="Times New Roman" w:hAnsi="Times New Roman" w:cs="Times New Roman"/>
          <w:i/>
          <w:iCs/>
          <w:noProof/>
          <w:szCs w:val="24"/>
        </w:rPr>
        <w:t>Nature Biotechnology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33</w:t>
      </w:r>
      <w:r w:rsidRPr="005E6A4C">
        <w:rPr>
          <w:rFonts w:ascii="Times New Roman" w:hAnsi="Times New Roman" w:cs="Times New Roman"/>
          <w:noProof/>
          <w:szCs w:val="24"/>
        </w:rPr>
        <w:t>(10), 1061–1072. https://doi.org/10.1038/nbt.3365</w:t>
      </w:r>
    </w:p>
    <w:p w14:paraId="357D91A9" w14:textId="36AF00CD"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[20]</w:t>
      </w:r>
      <w:r w:rsidRPr="005E6A4C">
        <w:rPr>
          <w:rFonts w:ascii="Times New Roman" w:hAnsi="Times New Roman" w:cs="Times New Roman"/>
          <w:noProof/>
          <w:szCs w:val="24"/>
        </w:rPr>
        <w:t xml:space="preserve"> Rangel, A. E. T., Gómez Ramírez, J. M., &amp; González Barrios, A. F. (2020). From industrial by-products to value-added compounds: the design of efficient microbial cell factories by coupling systems metabolic engineering and bioprocesses. </w:t>
      </w:r>
      <w:r w:rsidRPr="005E6A4C">
        <w:rPr>
          <w:rFonts w:ascii="Times New Roman" w:hAnsi="Times New Roman" w:cs="Times New Roman"/>
          <w:i/>
          <w:iCs/>
          <w:noProof/>
          <w:szCs w:val="24"/>
        </w:rPr>
        <w:t>Biofuels, Bioproducts and Biorefining</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14</w:t>
      </w:r>
      <w:r w:rsidRPr="005E6A4C">
        <w:rPr>
          <w:rFonts w:ascii="Times New Roman" w:hAnsi="Times New Roman" w:cs="Times New Roman"/>
          <w:noProof/>
          <w:szCs w:val="24"/>
        </w:rPr>
        <w:t>(6), 1228–1238. https://doi.org/https://doi.org/10.1002/bbb.2127</w:t>
      </w:r>
    </w:p>
    <w:p w14:paraId="2D49CC60" w14:textId="1E6BA829"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[21]</w:t>
      </w:r>
      <w:r w:rsidRPr="005E6A4C">
        <w:rPr>
          <w:rFonts w:ascii="Times New Roman" w:hAnsi="Times New Roman" w:cs="Times New Roman"/>
          <w:noProof/>
          <w:szCs w:val="24"/>
        </w:rPr>
        <w:t xml:space="preserve"> Zhang, J., Reddy, J., Buckland, B., &amp; Greasham, R. (2003). Toward consistent and productive complex media for industrial fermentations: Studies on yeast extract for a recombinant yeast fermentation process. </w:t>
      </w:r>
      <w:r w:rsidRPr="005E6A4C">
        <w:rPr>
          <w:rFonts w:ascii="Times New Roman" w:hAnsi="Times New Roman" w:cs="Times New Roman"/>
          <w:i/>
          <w:iCs/>
          <w:noProof/>
          <w:szCs w:val="24"/>
        </w:rPr>
        <w:t>Biotechnology and Bioengineering</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82</w:t>
      </w:r>
      <w:r w:rsidRPr="005E6A4C">
        <w:rPr>
          <w:rFonts w:ascii="Times New Roman" w:hAnsi="Times New Roman" w:cs="Times New Roman"/>
          <w:noProof/>
          <w:szCs w:val="24"/>
        </w:rPr>
        <w:t>(6), 640–652. https://doi.org/10.1002/bit.10608</w:t>
      </w:r>
    </w:p>
    <w:p w14:paraId="03323966" w14:textId="5A50D483"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[22]</w:t>
      </w:r>
      <w:r w:rsidRPr="005E6A4C">
        <w:rPr>
          <w:rFonts w:ascii="Times New Roman" w:hAnsi="Times New Roman" w:cs="Times New Roman"/>
          <w:noProof/>
          <w:szCs w:val="24"/>
        </w:rPr>
        <w:t xml:space="preserve"> Reider Apel, A., Sachs, D., Tong, G. J., d’Espaux, L., Wehrs, M., Garber, M., Nnadi, O., Mukhopadhyay, A., Keasling, J. D., Hillson, N. J., Li, R. A., &amp; Zhuang, W. (2016). A Cas9-based toolkit to program gene expression in Saccharomyces cerevisiae. </w:t>
      </w:r>
      <w:r w:rsidRPr="005E6A4C">
        <w:rPr>
          <w:rFonts w:ascii="Times New Roman" w:hAnsi="Times New Roman" w:cs="Times New Roman"/>
          <w:i/>
          <w:iCs/>
          <w:noProof/>
          <w:szCs w:val="24"/>
        </w:rPr>
        <w:t>Nucleic Acids Research</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45</w:t>
      </w:r>
      <w:r w:rsidRPr="005E6A4C">
        <w:rPr>
          <w:rFonts w:ascii="Times New Roman" w:hAnsi="Times New Roman" w:cs="Times New Roman"/>
          <w:noProof/>
          <w:szCs w:val="24"/>
        </w:rPr>
        <w:t>(1), 496–508. https://doi.org/10.1093/nar/gkw1023</w:t>
      </w:r>
    </w:p>
    <w:p w14:paraId="38D0AC36" w14:textId="71629493"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[23]</w:t>
      </w:r>
      <w:r w:rsidRPr="005E6A4C">
        <w:rPr>
          <w:rFonts w:ascii="Times New Roman" w:hAnsi="Times New Roman" w:cs="Times New Roman"/>
          <w:noProof/>
          <w:szCs w:val="24"/>
        </w:rPr>
        <w:t xml:space="preserve"> Hefner, J., Rubenstein, S. M., Ketchum, R. E. B., Gibson, D. M., Williams, R. M., &amp; Croteau, R. (1996). Cytochrome P450-catalyzed hydroxylation of taxa-4(5),11(12)-diene to taxa-4(20),11(12)-dien-5a-o1: the first oxygenation step in taxol biosynthesis. </w:t>
      </w:r>
      <w:r w:rsidRPr="005E6A4C">
        <w:rPr>
          <w:rFonts w:ascii="Times New Roman" w:hAnsi="Times New Roman" w:cs="Times New Roman"/>
          <w:i/>
          <w:iCs/>
          <w:noProof/>
          <w:szCs w:val="24"/>
        </w:rPr>
        <w:t>Chemistry &amp; Biology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3</w:t>
      </w:r>
      <w:r w:rsidRPr="005E6A4C">
        <w:rPr>
          <w:rFonts w:ascii="Times New Roman" w:hAnsi="Times New Roman" w:cs="Times New Roman"/>
          <w:noProof/>
          <w:szCs w:val="24"/>
        </w:rPr>
        <w:t>(6), 479–489. https://doi.org/https://doi.org/10.1016/S1074-5521(96)90096-4</w:t>
      </w:r>
    </w:p>
    <w:p w14:paraId="386B6943" w14:textId="4D4A3F6A"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[24]</w:t>
      </w:r>
      <w:r w:rsidRPr="005E6A4C">
        <w:rPr>
          <w:rFonts w:ascii="Times New Roman" w:hAnsi="Times New Roman" w:cs="Times New Roman"/>
          <w:noProof/>
          <w:szCs w:val="24"/>
        </w:rPr>
        <w:t xml:space="preserve"> Roberts, T. M., Kaltenbach, H.-M., &amp; Rudolf, F. (2020). Development and optimisation of a defined high cell density yeast medium. </w:t>
      </w:r>
      <w:r w:rsidRPr="005E6A4C">
        <w:rPr>
          <w:rFonts w:ascii="Times New Roman" w:hAnsi="Times New Roman" w:cs="Times New Roman"/>
          <w:i/>
          <w:iCs/>
          <w:noProof/>
          <w:szCs w:val="24"/>
        </w:rPr>
        <w:t>Yeast</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37</w:t>
      </w:r>
      <w:r w:rsidRPr="005E6A4C">
        <w:rPr>
          <w:rFonts w:ascii="Times New Roman" w:hAnsi="Times New Roman" w:cs="Times New Roman"/>
          <w:noProof/>
          <w:szCs w:val="24"/>
        </w:rPr>
        <w:t>(5–6), 336–347. https://doi.org/https://doi.org/10.1002/yea.3464</w:t>
      </w:r>
    </w:p>
    <w:p w14:paraId="0BB2116D" w14:textId="5F43E64A"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[25]</w:t>
      </w:r>
      <w:r w:rsidRPr="005E6A4C">
        <w:rPr>
          <w:rFonts w:ascii="Times New Roman" w:hAnsi="Times New Roman" w:cs="Times New Roman"/>
          <w:noProof/>
          <w:szCs w:val="24"/>
        </w:rPr>
        <w:t xml:space="preserve"> Biggs, B. W., Rouck, J. E., Kambalyal, A., Arnold, W., Lim, C. G., Mey, M. De, Neil-johnson, M. O., Starks, C. M., Das, A., &amp; Ajikumar, P. K. (2016). Orthogonal Assays Clarify the Oxidative Biochemistry of Taxol P450 CYP725A4. </w:t>
      </w:r>
      <w:r w:rsidRPr="005E6A4C">
        <w:rPr>
          <w:rFonts w:ascii="Times New Roman" w:hAnsi="Times New Roman" w:cs="Times New Roman"/>
          <w:i/>
          <w:iCs/>
          <w:noProof/>
          <w:szCs w:val="24"/>
        </w:rPr>
        <w:t>ACS Chemical Biology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11</w:t>
      </w:r>
      <w:r w:rsidRPr="005E6A4C">
        <w:rPr>
          <w:rFonts w:ascii="Times New Roman" w:hAnsi="Times New Roman" w:cs="Times New Roman"/>
          <w:noProof/>
          <w:szCs w:val="24"/>
        </w:rPr>
        <w:t>, 1445–1451. https://doi.org/10.1021/acschembio.5b00968</w:t>
      </w:r>
    </w:p>
    <w:p w14:paraId="49532D28" w14:textId="3E521D97"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[26]</w:t>
      </w:r>
      <w:r w:rsidRPr="005E6A4C">
        <w:rPr>
          <w:rFonts w:ascii="Times New Roman" w:hAnsi="Times New Roman" w:cs="Times New Roman"/>
          <w:noProof/>
          <w:szCs w:val="24"/>
        </w:rPr>
        <w:t xml:space="preserve"> Beopoulos, A., Nicaud, J.-M., &amp; Gaillardin, C. (2011). An overview of lipid metabolism in yeasts and its impact on biotechnological processes. </w:t>
      </w:r>
      <w:r w:rsidRPr="005E6A4C">
        <w:rPr>
          <w:rFonts w:ascii="Times New Roman" w:hAnsi="Times New Roman" w:cs="Times New Roman"/>
          <w:i/>
          <w:iCs/>
          <w:noProof/>
          <w:szCs w:val="24"/>
        </w:rPr>
        <w:t>Applied Microbiology and Biotechnology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90</w:t>
      </w:r>
      <w:r w:rsidRPr="005E6A4C">
        <w:rPr>
          <w:rFonts w:ascii="Times New Roman" w:hAnsi="Times New Roman" w:cs="Times New Roman"/>
          <w:noProof/>
          <w:szCs w:val="24"/>
        </w:rPr>
        <w:t>(4), 1193–1206. https://doi.org/10.1007/s00253-011-3212-8</w:t>
      </w:r>
    </w:p>
    <w:p w14:paraId="16F837F7" w14:textId="4257444B"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[27]</w:t>
      </w:r>
      <w:r w:rsidRPr="005E6A4C">
        <w:rPr>
          <w:rFonts w:ascii="Times New Roman" w:hAnsi="Times New Roman" w:cs="Times New Roman"/>
          <w:noProof/>
          <w:szCs w:val="24"/>
        </w:rPr>
        <w:t xml:space="preserve"> Braunwald, T., Schwemmlein, L., Graeff-Hönninger, S., French, W. T., Hernandez, R., Holmes, W. E., &amp; Claupein, W. (2013). Effect of different C/N ratios on carotenoid and lipid production by Rhodotorula glutinis. </w:t>
      </w:r>
      <w:r w:rsidRPr="005E6A4C">
        <w:rPr>
          <w:rFonts w:ascii="Times New Roman" w:hAnsi="Times New Roman" w:cs="Times New Roman"/>
          <w:i/>
          <w:iCs/>
          <w:noProof/>
          <w:szCs w:val="24"/>
        </w:rPr>
        <w:t>Applied Microbiology and Biotechnology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97</w:t>
      </w:r>
      <w:r w:rsidRPr="005E6A4C">
        <w:rPr>
          <w:rFonts w:ascii="Times New Roman" w:hAnsi="Times New Roman" w:cs="Times New Roman"/>
          <w:noProof/>
          <w:szCs w:val="24"/>
        </w:rPr>
        <w:t>(14), 6581–6588. https://doi.org/10.1007/s00253-013-5005-8</w:t>
      </w:r>
    </w:p>
    <w:p w14:paraId="4B87CFCD" w14:textId="6C0186EF"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[28]</w:t>
      </w:r>
      <w:r w:rsidRPr="005E6A4C">
        <w:rPr>
          <w:rFonts w:ascii="Times New Roman" w:hAnsi="Times New Roman" w:cs="Times New Roman"/>
          <w:noProof/>
          <w:szCs w:val="24"/>
        </w:rPr>
        <w:t xml:space="preserve"> Spanova, M., Czabany, T., Zellnig, G., Leitner, E., Hapala, I., &amp; Daum, G. (2010). Effect of Lipid Particle Biogenesis on the Subcellular Distribution of Squalene in the Yeast Saccharomyces cerevisiae. </w:t>
      </w:r>
      <w:r w:rsidRPr="005E6A4C">
        <w:rPr>
          <w:rFonts w:ascii="Times New Roman" w:hAnsi="Times New Roman" w:cs="Times New Roman"/>
          <w:i/>
          <w:iCs/>
          <w:noProof/>
          <w:szCs w:val="24"/>
        </w:rPr>
        <w:t xml:space="preserve">Journal of Biological Chemistry </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285</w:t>
      </w:r>
      <w:r w:rsidRPr="005E6A4C">
        <w:rPr>
          <w:rFonts w:ascii="Times New Roman" w:hAnsi="Times New Roman" w:cs="Times New Roman"/>
          <w:noProof/>
          <w:szCs w:val="24"/>
        </w:rPr>
        <w:t>(9), 6127–6133. https://doi.org/10.1074/jbc.M109.074229</w:t>
      </w:r>
    </w:p>
    <w:p w14:paraId="343BD9D8" w14:textId="2CD4EFCB"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[29]</w:t>
      </w:r>
      <w:r w:rsidRPr="005E6A4C">
        <w:rPr>
          <w:rFonts w:ascii="Times New Roman" w:hAnsi="Times New Roman" w:cs="Times New Roman"/>
          <w:noProof/>
          <w:szCs w:val="24"/>
        </w:rPr>
        <w:t xml:space="preserve"> Olson, M. L., Johnson, J., Carswell, W. F., Reyes, L. H., Senger, R. S., &amp; Kao, K. C. (2016). Characterization of an evolved carotenoids hyper-producer of Saccharomyces cerevisiae through bioreactor parameter optimization and Raman spectroscopy. </w:t>
      </w:r>
      <w:r w:rsidRPr="005E6A4C">
        <w:rPr>
          <w:rFonts w:ascii="Times New Roman" w:hAnsi="Times New Roman" w:cs="Times New Roman"/>
          <w:i/>
          <w:iCs/>
          <w:noProof/>
          <w:szCs w:val="24"/>
        </w:rPr>
        <w:t>Journal of Industrial Microbiology &amp; Biotechnology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43</w:t>
      </w:r>
      <w:r w:rsidRPr="005E6A4C">
        <w:rPr>
          <w:rFonts w:ascii="Times New Roman" w:hAnsi="Times New Roman" w:cs="Times New Roman"/>
          <w:noProof/>
          <w:szCs w:val="24"/>
        </w:rPr>
        <w:t>(10), 1355–1363. https://doi.org/10.1007/s10295-016-1808-9</w:t>
      </w:r>
    </w:p>
    <w:p w14:paraId="7720FC4C" w14:textId="71D0AE8D"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[30]</w:t>
      </w:r>
      <w:r w:rsidRPr="005E6A4C">
        <w:rPr>
          <w:rFonts w:ascii="Times New Roman" w:hAnsi="Times New Roman" w:cs="Times New Roman"/>
          <w:noProof/>
          <w:szCs w:val="24"/>
        </w:rPr>
        <w:t xml:space="preserve"> Ma, T., Shi, B., Ye, Z., Li, X., Liu, M., Chen, Y., Xia, J., Nielsen, J., Deng, Z., &amp; Liu, T. (2019). Lipid engineering combined with systematic metabolic engineering of Saccharomyces cerevisiae for high-yield production of lycopene. </w:t>
      </w:r>
      <w:r w:rsidRPr="005E6A4C">
        <w:rPr>
          <w:rFonts w:ascii="Times New Roman" w:hAnsi="Times New Roman" w:cs="Times New Roman"/>
          <w:i/>
          <w:iCs/>
          <w:noProof/>
          <w:szCs w:val="24"/>
        </w:rPr>
        <w:t>Metabolic Engineering</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52</w:t>
      </w:r>
      <w:r w:rsidRPr="005E6A4C">
        <w:rPr>
          <w:rFonts w:ascii="Times New Roman" w:hAnsi="Times New Roman" w:cs="Times New Roman"/>
          <w:noProof/>
          <w:szCs w:val="24"/>
        </w:rPr>
        <w:t>, 134–142. https://doi.org/https://doi.org/10.1016/j.ymben.2018.11.009</w:t>
      </w:r>
    </w:p>
    <w:p w14:paraId="477BDEBA" w14:textId="0AF07D08"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szCs w:val="24"/>
        </w:rPr>
      </w:pPr>
      <w:r>
        <w:rPr>
          <w:rFonts w:ascii="Times New Roman" w:hAnsi="Times New Roman" w:cs="Times New Roman"/>
          <w:noProof/>
          <w:szCs w:val="24"/>
        </w:rPr>
        <w:t>[31]</w:t>
      </w:r>
      <w:r w:rsidRPr="005E6A4C">
        <w:rPr>
          <w:rFonts w:ascii="Times New Roman" w:hAnsi="Times New Roman" w:cs="Times New Roman"/>
          <w:noProof/>
          <w:szCs w:val="24"/>
        </w:rPr>
        <w:t xml:space="preserve"> Walker, M. G., &amp; Stewart, G. G. (2016). Saccharomyces cerevisiae in the Production of Fermented Beverages. In </w:t>
      </w:r>
      <w:r w:rsidRPr="005E6A4C">
        <w:rPr>
          <w:rFonts w:ascii="Times New Roman" w:hAnsi="Times New Roman" w:cs="Times New Roman"/>
          <w:i/>
          <w:iCs/>
          <w:noProof/>
          <w:szCs w:val="24"/>
        </w:rPr>
        <w:t xml:space="preserve">Beverages </w:t>
      </w:r>
      <w:r w:rsidRPr="005E6A4C">
        <w:rPr>
          <w:rFonts w:ascii="Times New Roman" w:hAnsi="Times New Roman" w:cs="Times New Roman"/>
          <w:noProof/>
          <w:szCs w:val="24"/>
        </w:rPr>
        <w:t xml:space="preserve"> (Vol. 2, Issue 4). https://doi.org/10.3390/beverages2040030</w:t>
      </w:r>
    </w:p>
    <w:p w14:paraId="761C6DCB" w14:textId="7E9E3D14" w:rsidR="005E6A4C" w:rsidRPr="005E6A4C" w:rsidRDefault="005E6A4C" w:rsidP="005E6A4C">
      <w:pPr>
        <w:widowControl w:val="0"/>
        <w:autoSpaceDE w:val="0"/>
        <w:autoSpaceDN w:val="0"/>
        <w:adjustRightInd w:val="0"/>
        <w:spacing w:line="480" w:lineRule="auto"/>
        <w:ind w:left="480" w:hanging="480"/>
        <w:rPr>
          <w:rFonts w:ascii="Times New Roman" w:hAnsi="Times New Roman" w:cs="Times New Roman"/>
          <w:noProof/>
        </w:rPr>
      </w:pPr>
      <w:r>
        <w:rPr>
          <w:rFonts w:ascii="Times New Roman" w:hAnsi="Times New Roman" w:cs="Times New Roman"/>
          <w:noProof/>
          <w:szCs w:val="24"/>
        </w:rPr>
        <w:t>[32]</w:t>
      </w:r>
      <w:r w:rsidRPr="005E6A4C">
        <w:rPr>
          <w:rFonts w:ascii="Times New Roman" w:hAnsi="Times New Roman" w:cs="Times New Roman"/>
          <w:noProof/>
          <w:szCs w:val="24"/>
        </w:rPr>
        <w:t xml:space="preserve"> Thomas, K. C., Hynes, S. H., &amp; Ingledew, W. M. (2002). Influence of medium buffering capacity on inhibition of Saccharomyces cerevisiae growth by acetic and lactic acids. </w:t>
      </w:r>
      <w:r w:rsidRPr="005E6A4C">
        <w:rPr>
          <w:rFonts w:ascii="Times New Roman" w:hAnsi="Times New Roman" w:cs="Times New Roman"/>
          <w:i/>
          <w:iCs/>
          <w:noProof/>
          <w:szCs w:val="24"/>
        </w:rPr>
        <w:t>Applied and Environmental Microbiology</w:t>
      </w:r>
      <w:r w:rsidRPr="005E6A4C">
        <w:rPr>
          <w:rFonts w:ascii="Times New Roman" w:hAnsi="Times New Roman" w:cs="Times New Roman"/>
          <w:noProof/>
          <w:szCs w:val="24"/>
        </w:rPr>
        <w:t xml:space="preserve">, </w:t>
      </w:r>
      <w:r w:rsidRPr="005E6A4C">
        <w:rPr>
          <w:rFonts w:ascii="Times New Roman" w:hAnsi="Times New Roman" w:cs="Times New Roman"/>
          <w:i/>
          <w:iCs/>
          <w:noProof/>
          <w:szCs w:val="24"/>
        </w:rPr>
        <w:t>68</w:t>
      </w:r>
      <w:r w:rsidRPr="005E6A4C">
        <w:rPr>
          <w:rFonts w:ascii="Times New Roman" w:hAnsi="Times New Roman" w:cs="Times New Roman"/>
          <w:noProof/>
          <w:szCs w:val="24"/>
        </w:rPr>
        <w:t>(4), 1616–1623. https://doi.org/10.1128/aem.68.4.1616-1623.2002</w:t>
      </w:r>
    </w:p>
    <w:p w14:paraId="2C085CE1" w14:textId="1F06F6F0" w:rsidR="00C16E81" w:rsidRPr="00BA37A1" w:rsidRDefault="007A4BF9" w:rsidP="00D36DCD">
      <w:pPr>
        <w:spacing w:line="480" w:lineRule="auto"/>
        <w:rPr>
          <w:rFonts w:ascii="Times New Roman" w:hAnsi="Times New Roman" w:cs="Times New Roman"/>
          <w:lang w:val="en-US"/>
        </w:rPr>
      </w:pPr>
      <w:r w:rsidRPr="00BA37A1">
        <w:rPr>
          <w:rFonts w:ascii="Times New Roman" w:hAnsi="Times New Roman" w:cs="Times New Roman"/>
          <w:lang w:val="en-US"/>
        </w:rPr>
        <w:fldChar w:fldCharType="end"/>
      </w:r>
      <w:bookmarkEnd w:id="0"/>
    </w:p>
    <w:p w14:paraId="693C1626" w14:textId="73E425AD" w:rsidR="00387D41" w:rsidRPr="00BA37A1" w:rsidRDefault="00387D41" w:rsidP="00D36DCD">
      <w:pPr>
        <w:spacing w:line="480" w:lineRule="auto"/>
        <w:rPr>
          <w:rFonts w:ascii="Times New Roman" w:hAnsi="Times New Roman" w:cs="Times New Roman"/>
          <w:u w:val="single"/>
          <w:lang w:val="en-US"/>
        </w:rPr>
      </w:pPr>
      <w:r w:rsidRPr="00BA37A1">
        <w:rPr>
          <w:rFonts w:ascii="Times New Roman" w:hAnsi="Times New Roman" w:cs="Times New Roman"/>
          <w:u w:val="single"/>
          <w:lang w:val="en-US"/>
        </w:rPr>
        <w:t>Table</w:t>
      </w:r>
      <w:r w:rsidR="00EB062B">
        <w:rPr>
          <w:rFonts w:ascii="Times New Roman" w:hAnsi="Times New Roman" w:cs="Times New Roman"/>
          <w:u w:val="single"/>
          <w:lang w:val="en-US"/>
        </w:rPr>
        <w:t>s</w:t>
      </w:r>
      <w:r w:rsidRPr="00BA37A1">
        <w:rPr>
          <w:rFonts w:ascii="Times New Roman" w:hAnsi="Times New Roman" w:cs="Times New Roman"/>
          <w:u w:val="single"/>
          <w:lang w:val="en-US"/>
        </w:rPr>
        <w:t xml:space="preserve"> </w:t>
      </w:r>
    </w:p>
    <w:p w14:paraId="4F82D0F3" w14:textId="6E606784" w:rsidR="00387D41" w:rsidRDefault="00387D41" w:rsidP="00D36DCD">
      <w:pPr>
        <w:spacing w:line="480" w:lineRule="auto"/>
        <w:rPr>
          <w:rFonts w:ascii="Times New Roman" w:hAnsi="Times New Roman" w:cs="Times New Roman"/>
          <w:b/>
          <w:bCs/>
          <w:sz w:val="18"/>
          <w:szCs w:val="18"/>
          <w:lang w:val="en-US"/>
        </w:rPr>
      </w:pPr>
      <w:r w:rsidRPr="00BA37A1">
        <w:rPr>
          <w:rFonts w:ascii="Times New Roman" w:hAnsi="Times New Roman" w:cs="Times New Roman"/>
          <w:b/>
          <w:bCs/>
          <w:sz w:val="18"/>
          <w:szCs w:val="18"/>
          <w:lang w:val="en-US"/>
        </w:rPr>
        <w:t xml:space="preserve">Table 1: DSD experimental design for defined media </w:t>
      </w:r>
      <w:r w:rsidR="00EB062B" w:rsidRPr="00BA37A1">
        <w:rPr>
          <w:rFonts w:ascii="Times New Roman" w:hAnsi="Times New Roman" w:cs="Times New Roman"/>
          <w:b/>
          <w:bCs/>
          <w:sz w:val="18"/>
          <w:szCs w:val="18"/>
          <w:lang w:val="en-US"/>
        </w:rPr>
        <w:t>optimization</w:t>
      </w:r>
    </w:p>
    <w:tbl>
      <w:tblPr>
        <w:tblStyle w:val="TableGrid"/>
        <w:tblW w:w="7988" w:type="dxa"/>
        <w:tblLook w:val="04A0" w:firstRow="1" w:lastRow="0" w:firstColumn="1" w:lastColumn="0" w:noHBand="0" w:noVBand="1"/>
      </w:tblPr>
      <w:tblGrid>
        <w:gridCol w:w="1106"/>
        <w:gridCol w:w="1249"/>
        <w:gridCol w:w="1027"/>
        <w:gridCol w:w="1631"/>
        <w:gridCol w:w="896"/>
        <w:gridCol w:w="1052"/>
        <w:gridCol w:w="1027"/>
      </w:tblGrid>
      <w:tr w:rsidR="00EB062B" w:rsidRPr="00EB062B" w14:paraId="70B46584" w14:textId="77777777" w:rsidTr="00EB062B">
        <w:trPr>
          <w:trHeight w:val="502"/>
        </w:trPr>
        <w:tc>
          <w:tcPr>
            <w:tcW w:w="1106" w:type="dxa"/>
            <w:tcBorders>
              <w:top w:val="single" w:sz="4" w:space="0" w:color="auto"/>
              <w:left w:val="nil"/>
              <w:bottom w:val="single" w:sz="4" w:space="0" w:color="auto"/>
              <w:right w:val="nil"/>
            </w:tcBorders>
          </w:tcPr>
          <w:p w14:paraId="0793FDE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lastRenderedPageBreak/>
              <w:t>Medium Number</w:t>
            </w:r>
          </w:p>
        </w:tc>
        <w:tc>
          <w:tcPr>
            <w:tcW w:w="1249" w:type="dxa"/>
            <w:tcBorders>
              <w:top w:val="single" w:sz="4" w:space="0" w:color="auto"/>
              <w:left w:val="nil"/>
              <w:bottom w:val="single" w:sz="4" w:space="0" w:color="auto"/>
              <w:right w:val="nil"/>
            </w:tcBorders>
          </w:tcPr>
          <w:p w14:paraId="5381200C"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 xml:space="preserve">Galactose (g/L) </w:t>
            </w:r>
          </w:p>
        </w:tc>
        <w:tc>
          <w:tcPr>
            <w:tcW w:w="1027" w:type="dxa"/>
            <w:tcBorders>
              <w:top w:val="single" w:sz="4" w:space="0" w:color="auto"/>
              <w:left w:val="nil"/>
              <w:bottom w:val="single" w:sz="4" w:space="0" w:color="auto"/>
              <w:right w:val="nil"/>
            </w:tcBorders>
          </w:tcPr>
          <w:p w14:paraId="1BB759FB"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YNB (g/L)</w:t>
            </w:r>
          </w:p>
        </w:tc>
        <w:tc>
          <w:tcPr>
            <w:tcW w:w="1631" w:type="dxa"/>
            <w:tcBorders>
              <w:top w:val="single" w:sz="4" w:space="0" w:color="auto"/>
              <w:left w:val="nil"/>
              <w:bottom w:val="single" w:sz="4" w:space="0" w:color="auto"/>
              <w:right w:val="nil"/>
            </w:tcBorders>
          </w:tcPr>
          <w:p w14:paraId="6403C20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Ammonium Sulphate (g/L)</w:t>
            </w:r>
          </w:p>
        </w:tc>
        <w:tc>
          <w:tcPr>
            <w:tcW w:w="896" w:type="dxa"/>
            <w:tcBorders>
              <w:top w:val="single" w:sz="4" w:space="0" w:color="auto"/>
              <w:left w:val="nil"/>
              <w:bottom w:val="single" w:sz="4" w:space="0" w:color="auto"/>
              <w:right w:val="nil"/>
            </w:tcBorders>
          </w:tcPr>
          <w:p w14:paraId="7F38850C"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MgSO</w:t>
            </w:r>
            <w:r w:rsidRPr="00EB062B">
              <w:rPr>
                <w:rFonts w:ascii="Times New Roman" w:hAnsi="Times New Roman" w:cs="Times New Roman"/>
                <w:vertAlign w:val="subscript"/>
              </w:rPr>
              <w:t>4</w:t>
            </w:r>
            <w:r w:rsidRPr="00EB062B">
              <w:rPr>
                <w:rFonts w:ascii="Times New Roman" w:hAnsi="Times New Roman" w:cs="Times New Roman"/>
              </w:rPr>
              <w:t xml:space="preserve"> (g/L)</w:t>
            </w:r>
          </w:p>
        </w:tc>
        <w:tc>
          <w:tcPr>
            <w:tcW w:w="1052" w:type="dxa"/>
            <w:tcBorders>
              <w:top w:val="single" w:sz="4" w:space="0" w:color="auto"/>
              <w:left w:val="nil"/>
              <w:bottom w:val="single" w:sz="4" w:space="0" w:color="auto"/>
              <w:right w:val="nil"/>
            </w:tcBorders>
          </w:tcPr>
          <w:p w14:paraId="3655282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Initial OD</w:t>
            </w:r>
            <w:r w:rsidRPr="00EB062B">
              <w:rPr>
                <w:rFonts w:ascii="Times New Roman" w:hAnsi="Times New Roman" w:cs="Times New Roman"/>
                <w:vertAlign w:val="subscript"/>
              </w:rPr>
              <w:t>600</w:t>
            </w:r>
            <w:r w:rsidRPr="00EB062B">
              <w:rPr>
                <w:rFonts w:ascii="Times New Roman" w:hAnsi="Times New Roman" w:cs="Times New Roman"/>
              </w:rPr>
              <w:t xml:space="preserve"> </w:t>
            </w:r>
          </w:p>
        </w:tc>
        <w:tc>
          <w:tcPr>
            <w:tcW w:w="1027" w:type="dxa"/>
            <w:tcBorders>
              <w:top w:val="single" w:sz="4" w:space="0" w:color="auto"/>
              <w:left w:val="nil"/>
              <w:bottom w:val="single" w:sz="4" w:space="0" w:color="auto"/>
              <w:right w:val="nil"/>
            </w:tcBorders>
          </w:tcPr>
          <w:p w14:paraId="7BF13CBF"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 xml:space="preserve">YSM (g/L) </w:t>
            </w:r>
          </w:p>
        </w:tc>
      </w:tr>
      <w:tr w:rsidR="00EB062B" w:rsidRPr="00EB062B" w14:paraId="16983AC5" w14:textId="77777777" w:rsidTr="00EB062B">
        <w:trPr>
          <w:trHeight w:val="230"/>
        </w:trPr>
        <w:tc>
          <w:tcPr>
            <w:tcW w:w="1106" w:type="dxa"/>
            <w:tcBorders>
              <w:top w:val="single" w:sz="4" w:space="0" w:color="auto"/>
              <w:left w:val="nil"/>
              <w:bottom w:val="nil"/>
              <w:right w:val="nil"/>
            </w:tcBorders>
          </w:tcPr>
          <w:p w14:paraId="53A77C2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w:t>
            </w:r>
          </w:p>
        </w:tc>
        <w:tc>
          <w:tcPr>
            <w:tcW w:w="1249" w:type="dxa"/>
            <w:tcBorders>
              <w:top w:val="single" w:sz="4" w:space="0" w:color="auto"/>
              <w:left w:val="nil"/>
              <w:bottom w:val="nil"/>
              <w:right w:val="nil"/>
            </w:tcBorders>
          </w:tcPr>
          <w:p w14:paraId="5B52C01B"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027" w:type="dxa"/>
            <w:tcBorders>
              <w:top w:val="single" w:sz="4" w:space="0" w:color="auto"/>
              <w:left w:val="nil"/>
              <w:bottom w:val="nil"/>
              <w:right w:val="nil"/>
            </w:tcBorders>
          </w:tcPr>
          <w:p w14:paraId="10A0A0C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3.40</w:t>
            </w:r>
          </w:p>
        </w:tc>
        <w:tc>
          <w:tcPr>
            <w:tcW w:w="1631" w:type="dxa"/>
            <w:tcBorders>
              <w:top w:val="single" w:sz="4" w:space="0" w:color="auto"/>
              <w:left w:val="nil"/>
              <w:bottom w:val="nil"/>
              <w:right w:val="nil"/>
            </w:tcBorders>
          </w:tcPr>
          <w:p w14:paraId="7D44CB6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896" w:type="dxa"/>
            <w:tcBorders>
              <w:top w:val="single" w:sz="4" w:space="0" w:color="auto"/>
              <w:left w:val="nil"/>
              <w:bottom w:val="nil"/>
              <w:right w:val="nil"/>
            </w:tcBorders>
          </w:tcPr>
          <w:p w14:paraId="533B475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0.6</w:t>
            </w:r>
          </w:p>
        </w:tc>
        <w:tc>
          <w:tcPr>
            <w:tcW w:w="1052" w:type="dxa"/>
            <w:tcBorders>
              <w:top w:val="single" w:sz="4" w:space="0" w:color="auto"/>
              <w:left w:val="nil"/>
              <w:bottom w:val="nil"/>
              <w:right w:val="nil"/>
            </w:tcBorders>
          </w:tcPr>
          <w:p w14:paraId="242BCAAA"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0.55</w:t>
            </w:r>
          </w:p>
        </w:tc>
        <w:tc>
          <w:tcPr>
            <w:tcW w:w="1027" w:type="dxa"/>
            <w:tcBorders>
              <w:top w:val="single" w:sz="4" w:space="0" w:color="auto"/>
              <w:left w:val="nil"/>
              <w:bottom w:val="nil"/>
              <w:right w:val="nil"/>
            </w:tcBorders>
          </w:tcPr>
          <w:p w14:paraId="3F0AA63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r>
      <w:tr w:rsidR="00EB062B" w:rsidRPr="00EB062B" w14:paraId="2FC86B21" w14:textId="77777777" w:rsidTr="00EB062B">
        <w:trPr>
          <w:trHeight w:val="230"/>
        </w:trPr>
        <w:tc>
          <w:tcPr>
            <w:tcW w:w="1106" w:type="dxa"/>
            <w:tcBorders>
              <w:top w:val="nil"/>
              <w:left w:val="nil"/>
              <w:bottom w:val="nil"/>
              <w:right w:val="nil"/>
            </w:tcBorders>
          </w:tcPr>
          <w:p w14:paraId="69134B6A"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c>
          <w:tcPr>
            <w:tcW w:w="1249" w:type="dxa"/>
            <w:tcBorders>
              <w:top w:val="nil"/>
              <w:left w:val="nil"/>
              <w:bottom w:val="nil"/>
              <w:right w:val="nil"/>
            </w:tcBorders>
          </w:tcPr>
          <w:p w14:paraId="24411606"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30</w:t>
            </w:r>
          </w:p>
        </w:tc>
        <w:tc>
          <w:tcPr>
            <w:tcW w:w="1027" w:type="dxa"/>
            <w:tcBorders>
              <w:top w:val="nil"/>
              <w:left w:val="nil"/>
              <w:bottom w:val="nil"/>
              <w:right w:val="nil"/>
            </w:tcBorders>
          </w:tcPr>
          <w:p w14:paraId="6FF6A8F6"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2.55</w:t>
            </w:r>
          </w:p>
        </w:tc>
        <w:tc>
          <w:tcPr>
            <w:tcW w:w="1631" w:type="dxa"/>
            <w:tcBorders>
              <w:top w:val="nil"/>
              <w:left w:val="nil"/>
              <w:bottom w:val="nil"/>
              <w:right w:val="nil"/>
            </w:tcBorders>
          </w:tcPr>
          <w:p w14:paraId="64BCDBD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5.5</w:t>
            </w:r>
          </w:p>
        </w:tc>
        <w:tc>
          <w:tcPr>
            <w:tcW w:w="896" w:type="dxa"/>
            <w:tcBorders>
              <w:top w:val="nil"/>
              <w:left w:val="nil"/>
              <w:bottom w:val="nil"/>
              <w:right w:val="nil"/>
            </w:tcBorders>
          </w:tcPr>
          <w:p w14:paraId="3C4A3499"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0.3</w:t>
            </w:r>
          </w:p>
        </w:tc>
        <w:tc>
          <w:tcPr>
            <w:tcW w:w="1052" w:type="dxa"/>
            <w:tcBorders>
              <w:top w:val="nil"/>
              <w:left w:val="nil"/>
              <w:bottom w:val="nil"/>
              <w:right w:val="nil"/>
            </w:tcBorders>
          </w:tcPr>
          <w:p w14:paraId="05D0B09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0.55</w:t>
            </w:r>
          </w:p>
        </w:tc>
        <w:tc>
          <w:tcPr>
            <w:tcW w:w="1027" w:type="dxa"/>
            <w:tcBorders>
              <w:top w:val="nil"/>
              <w:left w:val="nil"/>
              <w:bottom w:val="nil"/>
              <w:right w:val="nil"/>
            </w:tcBorders>
          </w:tcPr>
          <w:p w14:paraId="321376FC"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w:t>
            </w:r>
          </w:p>
        </w:tc>
      </w:tr>
      <w:tr w:rsidR="00EB062B" w:rsidRPr="00EB062B" w14:paraId="65867BB4" w14:textId="77777777" w:rsidTr="00EB062B">
        <w:trPr>
          <w:trHeight w:val="230"/>
        </w:trPr>
        <w:tc>
          <w:tcPr>
            <w:tcW w:w="1106" w:type="dxa"/>
            <w:tcBorders>
              <w:top w:val="nil"/>
              <w:left w:val="nil"/>
              <w:bottom w:val="nil"/>
              <w:right w:val="nil"/>
            </w:tcBorders>
          </w:tcPr>
          <w:p w14:paraId="36C292B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w:t>
            </w:r>
          </w:p>
        </w:tc>
        <w:tc>
          <w:tcPr>
            <w:tcW w:w="1249" w:type="dxa"/>
            <w:tcBorders>
              <w:top w:val="nil"/>
              <w:left w:val="nil"/>
              <w:bottom w:val="nil"/>
              <w:right w:val="nil"/>
            </w:tcBorders>
          </w:tcPr>
          <w:p w14:paraId="6182C25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027" w:type="dxa"/>
            <w:tcBorders>
              <w:top w:val="nil"/>
              <w:left w:val="nil"/>
              <w:bottom w:val="nil"/>
              <w:right w:val="nil"/>
            </w:tcBorders>
          </w:tcPr>
          <w:p w14:paraId="7066008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3.40</w:t>
            </w:r>
          </w:p>
        </w:tc>
        <w:tc>
          <w:tcPr>
            <w:tcW w:w="1631" w:type="dxa"/>
            <w:tcBorders>
              <w:top w:val="nil"/>
              <w:left w:val="nil"/>
              <w:bottom w:val="nil"/>
              <w:right w:val="nil"/>
            </w:tcBorders>
          </w:tcPr>
          <w:p w14:paraId="142F507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896" w:type="dxa"/>
            <w:tcBorders>
              <w:top w:val="nil"/>
              <w:left w:val="nil"/>
              <w:bottom w:val="nil"/>
              <w:right w:val="nil"/>
            </w:tcBorders>
          </w:tcPr>
          <w:p w14:paraId="762E2D1B"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0.0</w:t>
            </w:r>
          </w:p>
        </w:tc>
        <w:tc>
          <w:tcPr>
            <w:tcW w:w="1052" w:type="dxa"/>
            <w:tcBorders>
              <w:top w:val="nil"/>
              <w:left w:val="nil"/>
              <w:bottom w:val="nil"/>
              <w:right w:val="nil"/>
            </w:tcBorders>
          </w:tcPr>
          <w:p w14:paraId="6485632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1027" w:type="dxa"/>
            <w:tcBorders>
              <w:top w:val="nil"/>
              <w:left w:val="nil"/>
              <w:bottom w:val="nil"/>
              <w:right w:val="nil"/>
            </w:tcBorders>
          </w:tcPr>
          <w:p w14:paraId="6C39192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r>
      <w:tr w:rsidR="00EB062B" w:rsidRPr="00EB062B" w14:paraId="6FA35999" w14:textId="77777777" w:rsidTr="00EB062B">
        <w:trPr>
          <w:trHeight w:val="230"/>
        </w:trPr>
        <w:tc>
          <w:tcPr>
            <w:tcW w:w="1106" w:type="dxa"/>
            <w:tcBorders>
              <w:top w:val="nil"/>
              <w:left w:val="nil"/>
              <w:bottom w:val="nil"/>
              <w:right w:val="nil"/>
            </w:tcBorders>
          </w:tcPr>
          <w:p w14:paraId="73448B8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c>
          <w:tcPr>
            <w:tcW w:w="1249" w:type="dxa"/>
            <w:tcBorders>
              <w:top w:val="nil"/>
              <w:left w:val="nil"/>
              <w:bottom w:val="nil"/>
              <w:right w:val="nil"/>
            </w:tcBorders>
          </w:tcPr>
          <w:p w14:paraId="27A95312"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25E4A6CB"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3.40</w:t>
            </w:r>
          </w:p>
        </w:tc>
        <w:tc>
          <w:tcPr>
            <w:tcW w:w="1631" w:type="dxa"/>
            <w:tcBorders>
              <w:top w:val="nil"/>
              <w:left w:val="nil"/>
              <w:bottom w:val="nil"/>
              <w:right w:val="nil"/>
            </w:tcBorders>
          </w:tcPr>
          <w:p w14:paraId="4FDF77A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896" w:type="dxa"/>
            <w:tcBorders>
              <w:top w:val="nil"/>
              <w:left w:val="nil"/>
              <w:bottom w:val="nil"/>
              <w:right w:val="nil"/>
            </w:tcBorders>
          </w:tcPr>
          <w:p w14:paraId="4AFD836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0.0</w:t>
            </w:r>
          </w:p>
        </w:tc>
        <w:tc>
          <w:tcPr>
            <w:tcW w:w="1052" w:type="dxa"/>
            <w:tcBorders>
              <w:top w:val="nil"/>
              <w:left w:val="nil"/>
              <w:bottom w:val="nil"/>
              <w:right w:val="nil"/>
            </w:tcBorders>
          </w:tcPr>
          <w:p w14:paraId="7AA6E26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0.10</w:t>
            </w:r>
          </w:p>
        </w:tc>
        <w:tc>
          <w:tcPr>
            <w:tcW w:w="1027" w:type="dxa"/>
            <w:tcBorders>
              <w:top w:val="nil"/>
              <w:left w:val="nil"/>
              <w:bottom w:val="nil"/>
              <w:right w:val="nil"/>
            </w:tcBorders>
          </w:tcPr>
          <w:p w14:paraId="6F4971E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r>
      <w:tr w:rsidR="00EB062B" w:rsidRPr="00EB062B" w14:paraId="43BAE292" w14:textId="77777777" w:rsidTr="00EB062B">
        <w:trPr>
          <w:trHeight w:val="230"/>
        </w:trPr>
        <w:tc>
          <w:tcPr>
            <w:tcW w:w="1106" w:type="dxa"/>
            <w:tcBorders>
              <w:top w:val="nil"/>
              <w:left w:val="nil"/>
              <w:bottom w:val="nil"/>
              <w:right w:val="nil"/>
            </w:tcBorders>
          </w:tcPr>
          <w:p w14:paraId="68B122B6"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w:t>
            </w:r>
          </w:p>
        </w:tc>
        <w:tc>
          <w:tcPr>
            <w:tcW w:w="1249" w:type="dxa"/>
            <w:tcBorders>
              <w:top w:val="nil"/>
              <w:left w:val="nil"/>
              <w:bottom w:val="nil"/>
              <w:right w:val="nil"/>
            </w:tcBorders>
          </w:tcPr>
          <w:p w14:paraId="6E8DA21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30</w:t>
            </w:r>
          </w:p>
        </w:tc>
        <w:tc>
          <w:tcPr>
            <w:tcW w:w="1027" w:type="dxa"/>
            <w:tcBorders>
              <w:top w:val="nil"/>
              <w:left w:val="nil"/>
              <w:bottom w:val="nil"/>
              <w:right w:val="nil"/>
            </w:tcBorders>
          </w:tcPr>
          <w:p w14:paraId="4A91385B"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1.70</w:t>
            </w:r>
          </w:p>
        </w:tc>
        <w:tc>
          <w:tcPr>
            <w:tcW w:w="1631" w:type="dxa"/>
            <w:tcBorders>
              <w:top w:val="nil"/>
              <w:left w:val="nil"/>
              <w:bottom w:val="nil"/>
              <w:right w:val="nil"/>
            </w:tcBorders>
          </w:tcPr>
          <w:p w14:paraId="402BE4C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896" w:type="dxa"/>
            <w:tcBorders>
              <w:top w:val="nil"/>
              <w:left w:val="nil"/>
              <w:bottom w:val="nil"/>
              <w:right w:val="nil"/>
            </w:tcBorders>
          </w:tcPr>
          <w:p w14:paraId="6EF4B1CF"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0.0</w:t>
            </w:r>
          </w:p>
        </w:tc>
        <w:tc>
          <w:tcPr>
            <w:tcW w:w="1052" w:type="dxa"/>
            <w:tcBorders>
              <w:top w:val="nil"/>
              <w:left w:val="nil"/>
              <w:bottom w:val="nil"/>
              <w:right w:val="nil"/>
            </w:tcBorders>
          </w:tcPr>
          <w:p w14:paraId="3C56344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0.10</w:t>
            </w:r>
          </w:p>
        </w:tc>
        <w:tc>
          <w:tcPr>
            <w:tcW w:w="1027" w:type="dxa"/>
            <w:tcBorders>
              <w:top w:val="nil"/>
              <w:left w:val="nil"/>
              <w:bottom w:val="nil"/>
              <w:right w:val="nil"/>
            </w:tcBorders>
          </w:tcPr>
          <w:p w14:paraId="52207F2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r>
      <w:tr w:rsidR="00EB062B" w:rsidRPr="00EB062B" w14:paraId="407169E7" w14:textId="77777777" w:rsidTr="00EB062B">
        <w:trPr>
          <w:trHeight w:val="230"/>
        </w:trPr>
        <w:tc>
          <w:tcPr>
            <w:tcW w:w="1106" w:type="dxa"/>
            <w:tcBorders>
              <w:top w:val="nil"/>
              <w:left w:val="nil"/>
              <w:bottom w:val="nil"/>
              <w:right w:val="nil"/>
            </w:tcBorders>
          </w:tcPr>
          <w:p w14:paraId="7392C7F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6</w:t>
            </w:r>
          </w:p>
        </w:tc>
        <w:tc>
          <w:tcPr>
            <w:tcW w:w="1249" w:type="dxa"/>
            <w:tcBorders>
              <w:top w:val="nil"/>
              <w:left w:val="nil"/>
              <w:bottom w:val="nil"/>
              <w:right w:val="nil"/>
            </w:tcBorders>
          </w:tcPr>
          <w:p w14:paraId="610F23A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1CD7A97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2.55</w:t>
            </w:r>
          </w:p>
        </w:tc>
        <w:tc>
          <w:tcPr>
            <w:tcW w:w="1631" w:type="dxa"/>
            <w:tcBorders>
              <w:top w:val="nil"/>
              <w:left w:val="nil"/>
              <w:bottom w:val="nil"/>
              <w:right w:val="nil"/>
            </w:tcBorders>
          </w:tcPr>
          <w:p w14:paraId="188E08D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896" w:type="dxa"/>
            <w:tcBorders>
              <w:top w:val="nil"/>
              <w:left w:val="nil"/>
              <w:bottom w:val="nil"/>
              <w:right w:val="nil"/>
            </w:tcBorders>
          </w:tcPr>
          <w:p w14:paraId="1BF6C1B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0.6</w:t>
            </w:r>
          </w:p>
        </w:tc>
        <w:tc>
          <w:tcPr>
            <w:tcW w:w="1052" w:type="dxa"/>
            <w:tcBorders>
              <w:top w:val="nil"/>
              <w:left w:val="nil"/>
              <w:bottom w:val="nil"/>
              <w:right w:val="nil"/>
            </w:tcBorders>
          </w:tcPr>
          <w:p w14:paraId="6471F1C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1027" w:type="dxa"/>
            <w:tcBorders>
              <w:top w:val="nil"/>
              <w:left w:val="nil"/>
              <w:bottom w:val="nil"/>
              <w:right w:val="nil"/>
            </w:tcBorders>
          </w:tcPr>
          <w:p w14:paraId="0256366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r>
      <w:tr w:rsidR="00EB062B" w:rsidRPr="00EB062B" w14:paraId="578A7074" w14:textId="77777777" w:rsidTr="00EB062B">
        <w:trPr>
          <w:trHeight w:val="216"/>
        </w:trPr>
        <w:tc>
          <w:tcPr>
            <w:tcW w:w="1106" w:type="dxa"/>
            <w:tcBorders>
              <w:top w:val="nil"/>
              <w:left w:val="nil"/>
              <w:bottom w:val="nil"/>
              <w:right w:val="nil"/>
            </w:tcBorders>
          </w:tcPr>
          <w:p w14:paraId="59F8990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7</w:t>
            </w:r>
          </w:p>
        </w:tc>
        <w:tc>
          <w:tcPr>
            <w:tcW w:w="1249" w:type="dxa"/>
            <w:tcBorders>
              <w:top w:val="nil"/>
              <w:left w:val="nil"/>
              <w:bottom w:val="nil"/>
              <w:right w:val="nil"/>
            </w:tcBorders>
          </w:tcPr>
          <w:p w14:paraId="3112ED9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027" w:type="dxa"/>
            <w:tcBorders>
              <w:top w:val="nil"/>
              <w:left w:val="nil"/>
              <w:bottom w:val="nil"/>
              <w:right w:val="nil"/>
            </w:tcBorders>
          </w:tcPr>
          <w:p w14:paraId="3E32A4F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1.70</w:t>
            </w:r>
          </w:p>
        </w:tc>
        <w:tc>
          <w:tcPr>
            <w:tcW w:w="1631" w:type="dxa"/>
            <w:tcBorders>
              <w:top w:val="nil"/>
              <w:left w:val="nil"/>
              <w:bottom w:val="nil"/>
              <w:right w:val="nil"/>
            </w:tcBorders>
          </w:tcPr>
          <w:p w14:paraId="37EF2DAF"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5.5</w:t>
            </w:r>
          </w:p>
        </w:tc>
        <w:tc>
          <w:tcPr>
            <w:tcW w:w="896" w:type="dxa"/>
            <w:tcBorders>
              <w:top w:val="nil"/>
              <w:left w:val="nil"/>
              <w:bottom w:val="nil"/>
              <w:right w:val="nil"/>
            </w:tcBorders>
          </w:tcPr>
          <w:p w14:paraId="6DB874E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0.0</w:t>
            </w:r>
          </w:p>
        </w:tc>
        <w:tc>
          <w:tcPr>
            <w:tcW w:w="1052" w:type="dxa"/>
            <w:tcBorders>
              <w:top w:val="nil"/>
              <w:left w:val="nil"/>
              <w:bottom w:val="nil"/>
              <w:right w:val="nil"/>
            </w:tcBorders>
          </w:tcPr>
          <w:p w14:paraId="5868C19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1027" w:type="dxa"/>
            <w:tcBorders>
              <w:top w:val="nil"/>
              <w:left w:val="nil"/>
              <w:bottom w:val="nil"/>
              <w:right w:val="nil"/>
            </w:tcBorders>
          </w:tcPr>
          <w:p w14:paraId="45D6ABD2"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r>
      <w:tr w:rsidR="00EB062B" w:rsidRPr="00EB062B" w14:paraId="4A65855E" w14:textId="77777777" w:rsidTr="00EB062B">
        <w:trPr>
          <w:trHeight w:val="230"/>
        </w:trPr>
        <w:tc>
          <w:tcPr>
            <w:tcW w:w="1106" w:type="dxa"/>
            <w:tcBorders>
              <w:top w:val="nil"/>
              <w:left w:val="nil"/>
              <w:bottom w:val="nil"/>
              <w:right w:val="nil"/>
            </w:tcBorders>
          </w:tcPr>
          <w:p w14:paraId="7508F1D2"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8</w:t>
            </w:r>
          </w:p>
        </w:tc>
        <w:tc>
          <w:tcPr>
            <w:tcW w:w="1249" w:type="dxa"/>
            <w:tcBorders>
              <w:top w:val="nil"/>
              <w:left w:val="nil"/>
              <w:bottom w:val="nil"/>
              <w:right w:val="nil"/>
            </w:tcBorders>
          </w:tcPr>
          <w:p w14:paraId="733203C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027" w:type="dxa"/>
            <w:tcBorders>
              <w:top w:val="nil"/>
              <w:left w:val="nil"/>
              <w:bottom w:val="nil"/>
              <w:right w:val="nil"/>
            </w:tcBorders>
          </w:tcPr>
          <w:p w14:paraId="60C7676B"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1.70</w:t>
            </w:r>
          </w:p>
        </w:tc>
        <w:tc>
          <w:tcPr>
            <w:tcW w:w="1631" w:type="dxa"/>
            <w:tcBorders>
              <w:top w:val="nil"/>
              <w:left w:val="nil"/>
              <w:bottom w:val="nil"/>
              <w:right w:val="nil"/>
            </w:tcBorders>
          </w:tcPr>
          <w:p w14:paraId="5CD75F6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896" w:type="dxa"/>
            <w:tcBorders>
              <w:top w:val="nil"/>
              <w:left w:val="nil"/>
              <w:bottom w:val="nil"/>
              <w:right w:val="nil"/>
            </w:tcBorders>
          </w:tcPr>
          <w:p w14:paraId="4D73724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0.6</w:t>
            </w:r>
          </w:p>
        </w:tc>
        <w:tc>
          <w:tcPr>
            <w:tcW w:w="1052" w:type="dxa"/>
            <w:tcBorders>
              <w:top w:val="nil"/>
              <w:left w:val="nil"/>
              <w:bottom w:val="nil"/>
              <w:right w:val="nil"/>
            </w:tcBorders>
          </w:tcPr>
          <w:p w14:paraId="60F38CF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1027" w:type="dxa"/>
            <w:tcBorders>
              <w:top w:val="nil"/>
              <w:left w:val="nil"/>
              <w:bottom w:val="nil"/>
              <w:right w:val="nil"/>
            </w:tcBorders>
          </w:tcPr>
          <w:p w14:paraId="7A73E00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r>
      <w:tr w:rsidR="00EB062B" w:rsidRPr="00EB062B" w14:paraId="018B8613" w14:textId="77777777" w:rsidTr="00EB062B">
        <w:trPr>
          <w:trHeight w:val="230"/>
        </w:trPr>
        <w:tc>
          <w:tcPr>
            <w:tcW w:w="1106" w:type="dxa"/>
            <w:tcBorders>
              <w:top w:val="nil"/>
              <w:left w:val="nil"/>
              <w:bottom w:val="nil"/>
              <w:right w:val="nil"/>
            </w:tcBorders>
          </w:tcPr>
          <w:p w14:paraId="33BA3C7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9</w:t>
            </w:r>
          </w:p>
        </w:tc>
        <w:tc>
          <w:tcPr>
            <w:tcW w:w="1249" w:type="dxa"/>
            <w:tcBorders>
              <w:top w:val="nil"/>
              <w:left w:val="nil"/>
              <w:bottom w:val="nil"/>
              <w:right w:val="nil"/>
            </w:tcBorders>
          </w:tcPr>
          <w:p w14:paraId="0AAF835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0A4E8B1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3.40</w:t>
            </w:r>
          </w:p>
        </w:tc>
        <w:tc>
          <w:tcPr>
            <w:tcW w:w="1631" w:type="dxa"/>
            <w:tcBorders>
              <w:top w:val="nil"/>
              <w:left w:val="nil"/>
              <w:bottom w:val="nil"/>
              <w:right w:val="nil"/>
            </w:tcBorders>
          </w:tcPr>
          <w:p w14:paraId="023A5C6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896" w:type="dxa"/>
            <w:tcBorders>
              <w:top w:val="nil"/>
              <w:left w:val="nil"/>
              <w:bottom w:val="nil"/>
              <w:right w:val="nil"/>
            </w:tcBorders>
          </w:tcPr>
          <w:p w14:paraId="13F6AE1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0.0</w:t>
            </w:r>
          </w:p>
        </w:tc>
        <w:tc>
          <w:tcPr>
            <w:tcW w:w="1052" w:type="dxa"/>
            <w:tcBorders>
              <w:top w:val="nil"/>
              <w:left w:val="nil"/>
              <w:bottom w:val="nil"/>
              <w:right w:val="nil"/>
            </w:tcBorders>
          </w:tcPr>
          <w:p w14:paraId="79823CD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1027" w:type="dxa"/>
            <w:tcBorders>
              <w:top w:val="nil"/>
              <w:left w:val="nil"/>
              <w:bottom w:val="nil"/>
              <w:right w:val="nil"/>
            </w:tcBorders>
          </w:tcPr>
          <w:p w14:paraId="1464FEB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w:t>
            </w:r>
          </w:p>
        </w:tc>
      </w:tr>
      <w:tr w:rsidR="00EB062B" w:rsidRPr="00EB062B" w14:paraId="69FF43A5" w14:textId="77777777" w:rsidTr="00EB062B">
        <w:trPr>
          <w:trHeight w:val="230"/>
        </w:trPr>
        <w:tc>
          <w:tcPr>
            <w:tcW w:w="1106" w:type="dxa"/>
            <w:tcBorders>
              <w:top w:val="nil"/>
              <w:left w:val="nil"/>
              <w:bottom w:val="nil"/>
              <w:right w:val="nil"/>
            </w:tcBorders>
          </w:tcPr>
          <w:p w14:paraId="60A33C1A"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249" w:type="dxa"/>
            <w:tcBorders>
              <w:top w:val="nil"/>
              <w:left w:val="nil"/>
              <w:bottom w:val="nil"/>
              <w:right w:val="nil"/>
            </w:tcBorders>
          </w:tcPr>
          <w:p w14:paraId="714589EF"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13C98EFC"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3.40</w:t>
            </w:r>
          </w:p>
        </w:tc>
        <w:tc>
          <w:tcPr>
            <w:tcW w:w="1631" w:type="dxa"/>
            <w:tcBorders>
              <w:top w:val="nil"/>
              <w:left w:val="nil"/>
              <w:bottom w:val="nil"/>
              <w:right w:val="nil"/>
            </w:tcBorders>
          </w:tcPr>
          <w:p w14:paraId="367F287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5.5</w:t>
            </w:r>
          </w:p>
        </w:tc>
        <w:tc>
          <w:tcPr>
            <w:tcW w:w="896" w:type="dxa"/>
            <w:tcBorders>
              <w:top w:val="nil"/>
              <w:left w:val="nil"/>
              <w:bottom w:val="nil"/>
              <w:right w:val="nil"/>
            </w:tcBorders>
          </w:tcPr>
          <w:p w14:paraId="473F818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0.6</w:t>
            </w:r>
          </w:p>
        </w:tc>
        <w:tc>
          <w:tcPr>
            <w:tcW w:w="1052" w:type="dxa"/>
            <w:tcBorders>
              <w:top w:val="nil"/>
              <w:left w:val="nil"/>
              <w:bottom w:val="nil"/>
              <w:right w:val="nil"/>
            </w:tcBorders>
          </w:tcPr>
          <w:p w14:paraId="6A58989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0.10</w:t>
            </w:r>
          </w:p>
        </w:tc>
        <w:tc>
          <w:tcPr>
            <w:tcW w:w="1027" w:type="dxa"/>
            <w:tcBorders>
              <w:top w:val="nil"/>
              <w:left w:val="nil"/>
              <w:bottom w:val="nil"/>
              <w:right w:val="nil"/>
            </w:tcBorders>
          </w:tcPr>
          <w:p w14:paraId="63E1D6E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r>
      <w:tr w:rsidR="00EB062B" w:rsidRPr="00EB062B" w14:paraId="7238B88E" w14:textId="77777777" w:rsidTr="00EB062B">
        <w:trPr>
          <w:trHeight w:val="230"/>
        </w:trPr>
        <w:tc>
          <w:tcPr>
            <w:tcW w:w="1106" w:type="dxa"/>
            <w:tcBorders>
              <w:top w:val="nil"/>
              <w:left w:val="nil"/>
              <w:bottom w:val="nil"/>
              <w:right w:val="nil"/>
            </w:tcBorders>
          </w:tcPr>
          <w:p w14:paraId="00D31352"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11</w:t>
            </w:r>
          </w:p>
        </w:tc>
        <w:tc>
          <w:tcPr>
            <w:tcW w:w="1249" w:type="dxa"/>
            <w:tcBorders>
              <w:top w:val="nil"/>
              <w:left w:val="nil"/>
              <w:bottom w:val="nil"/>
              <w:right w:val="nil"/>
            </w:tcBorders>
          </w:tcPr>
          <w:p w14:paraId="3C98E65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50CA52C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3.40</w:t>
            </w:r>
          </w:p>
        </w:tc>
        <w:tc>
          <w:tcPr>
            <w:tcW w:w="1631" w:type="dxa"/>
            <w:tcBorders>
              <w:top w:val="nil"/>
              <w:left w:val="nil"/>
              <w:bottom w:val="nil"/>
              <w:right w:val="nil"/>
            </w:tcBorders>
          </w:tcPr>
          <w:p w14:paraId="7CD59AAA"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896" w:type="dxa"/>
            <w:tcBorders>
              <w:top w:val="nil"/>
              <w:left w:val="nil"/>
              <w:bottom w:val="nil"/>
              <w:right w:val="nil"/>
            </w:tcBorders>
          </w:tcPr>
          <w:p w14:paraId="299B62D2"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0.6</w:t>
            </w:r>
          </w:p>
        </w:tc>
        <w:tc>
          <w:tcPr>
            <w:tcW w:w="1052" w:type="dxa"/>
            <w:tcBorders>
              <w:top w:val="nil"/>
              <w:left w:val="nil"/>
              <w:bottom w:val="nil"/>
              <w:right w:val="nil"/>
            </w:tcBorders>
          </w:tcPr>
          <w:p w14:paraId="492ADDE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1027" w:type="dxa"/>
            <w:tcBorders>
              <w:top w:val="nil"/>
              <w:left w:val="nil"/>
              <w:bottom w:val="nil"/>
              <w:right w:val="nil"/>
            </w:tcBorders>
          </w:tcPr>
          <w:p w14:paraId="0C8F583C"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r>
      <w:tr w:rsidR="00EB062B" w:rsidRPr="00EB062B" w14:paraId="4606E883" w14:textId="77777777" w:rsidTr="00EB062B">
        <w:trPr>
          <w:trHeight w:val="230"/>
        </w:trPr>
        <w:tc>
          <w:tcPr>
            <w:tcW w:w="1106" w:type="dxa"/>
            <w:tcBorders>
              <w:top w:val="nil"/>
              <w:left w:val="nil"/>
              <w:bottom w:val="nil"/>
              <w:right w:val="nil"/>
            </w:tcBorders>
          </w:tcPr>
          <w:p w14:paraId="050D19B9"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12</w:t>
            </w:r>
          </w:p>
        </w:tc>
        <w:tc>
          <w:tcPr>
            <w:tcW w:w="1249" w:type="dxa"/>
            <w:tcBorders>
              <w:top w:val="nil"/>
              <w:left w:val="nil"/>
              <w:bottom w:val="nil"/>
              <w:right w:val="nil"/>
            </w:tcBorders>
          </w:tcPr>
          <w:p w14:paraId="62A084A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430EE31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1.70</w:t>
            </w:r>
          </w:p>
        </w:tc>
        <w:tc>
          <w:tcPr>
            <w:tcW w:w="1631" w:type="dxa"/>
            <w:tcBorders>
              <w:top w:val="nil"/>
              <w:left w:val="nil"/>
              <w:bottom w:val="nil"/>
              <w:right w:val="nil"/>
            </w:tcBorders>
          </w:tcPr>
          <w:p w14:paraId="2D2A1DE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896" w:type="dxa"/>
            <w:tcBorders>
              <w:top w:val="nil"/>
              <w:left w:val="nil"/>
              <w:bottom w:val="nil"/>
              <w:right w:val="nil"/>
            </w:tcBorders>
          </w:tcPr>
          <w:p w14:paraId="43CA042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0.3</w:t>
            </w:r>
          </w:p>
        </w:tc>
        <w:tc>
          <w:tcPr>
            <w:tcW w:w="1052" w:type="dxa"/>
            <w:tcBorders>
              <w:top w:val="nil"/>
              <w:left w:val="nil"/>
              <w:bottom w:val="nil"/>
              <w:right w:val="nil"/>
            </w:tcBorders>
          </w:tcPr>
          <w:p w14:paraId="380D3E54"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1027" w:type="dxa"/>
            <w:tcBorders>
              <w:top w:val="nil"/>
              <w:left w:val="nil"/>
              <w:bottom w:val="nil"/>
              <w:right w:val="nil"/>
            </w:tcBorders>
          </w:tcPr>
          <w:p w14:paraId="6F1CFC4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r>
      <w:tr w:rsidR="00EB062B" w:rsidRPr="00EB062B" w14:paraId="2482952A" w14:textId="77777777" w:rsidTr="00EB062B">
        <w:trPr>
          <w:trHeight w:val="230"/>
        </w:trPr>
        <w:tc>
          <w:tcPr>
            <w:tcW w:w="1106" w:type="dxa"/>
            <w:tcBorders>
              <w:top w:val="nil"/>
              <w:left w:val="nil"/>
              <w:bottom w:val="nil"/>
              <w:right w:val="nil"/>
            </w:tcBorders>
          </w:tcPr>
          <w:p w14:paraId="1212D6C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13</w:t>
            </w:r>
          </w:p>
        </w:tc>
        <w:tc>
          <w:tcPr>
            <w:tcW w:w="1249" w:type="dxa"/>
            <w:tcBorders>
              <w:top w:val="nil"/>
              <w:left w:val="nil"/>
              <w:bottom w:val="nil"/>
              <w:right w:val="nil"/>
            </w:tcBorders>
          </w:tcPr>
          <w:p w14:paraId="77C5C34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027" w:type="dxa"/>
            <w:tcBorders>
              <w:top w:val="nil"/>
              <w:left w:val="nil"/>
              <w:bottom w:val="nil"/>
              <w:right w:val="nil"/>
            </w:tcBorders>
          </w:tcPr>
          <w:p w14:paraId="78E0EC0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3.40</w:t>
            </w:r>
          </w:p>
        </w:tc>
        <w:tc>
          <w:tcPr>
            <w:tcW w:w="1631" w:type="dxa"/>
            <w:tcBorders>
              <w:top w:val="nil"/>
              <w:left w:val="nil"/>
              <w:bottom w:val="nil"/>
              <w:right w:val="nil"/>
            </w:tcBorders>
          </w:tcPr>
          <w:p w14:paraId="67CBD12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896" w:type="dxa"/>
            <w:tcBorders>
              <w:top w:val="nil"/>
              <w:left w:val="nil"/>
              <w:bottom w:val="nil"/>
              <w:right w:val="nil"/>
            </w:tcBorders>
          </w:tcPr>
          <w:p w14:paraId="11230AA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0.3</w:t>
            </w:r>
          </w:p>
        </w:tc>
        <w:tc>
          <w:tcPr>
            <w:tcW w:w="1052" w:type="dxa"/>
            <w:tcBorders>
              <w:top w:val="nil"/>
              <w:left w:val="nil"/>
              <w:bottom w:val="nil"/>
              <w:right w:val="nil"/>
            </w:tcBorders>
          </w:tcPr>
          <w:p w14:paraId="085C617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0.10</w:t>
            </w:r>
          </w:p>
        </w:tc>
        <w:tc>
          <w:tcPr>
            <w:tcW w:w="1027" w:type="dxa"/>
            <w:tcBorders>
              <w:top w:val="nil"/>
              <w:left w:val="nil"/>
              <w:bottom w:val="nil"/>
              <w:right w:val="nil"/>
            </w:tcBorders>
          </w:tcPr>
          <w:p w14:paraId="5B13DFE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r>
      <w:tr w:rsidR="00EB062B" w:rsidRPr="00EB062B" w14:paraId="224CE4A9" w14:textId="77777777" w:rsidTr="00EB062B">
        <w:trPr>
          <w:trHeight w:val="230"/>
        </w:trPr>
        <w:tc>
          <w:tcPr>
            <w:tcW w:w="1106" w:type="dxa"/>
            <w:tcBorders>
              <w:top w:val="nil"/>
              <w:left w:val="nil"/>
              <w:bottom w:val="nil"/>
              <w:right w:val="nil"/>
            </w:tcBorders>
          </w:tcPr>
          <w:p w14:paraId="40A12EB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14</w:t>
            </w:r>
          </w:p>
        </w:tc>
        <w:tc>
          <w:tcPr>
            <w:tcW w:w="1249" w:type="dxa"/>
            <w:tcBorders>
              <w:top w:val="nil"/>
              <w:left w:val="nil"/>
              <w:bottom w:val="nil"/>
              <w:right w:val="nil"/>
            </w:tcBorders>
          </w:tcPr>
          <w:p w14:paraId="028A271C"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090AFD9F"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1.70</w:t>
            </w:r>
          </w:p>
        </w:tc>
        <w:tc>
          <w:tcPr>
            <w:tcW w:w="1631" w:type="dxa"/>
            <w:tcBorders>
              <w:top w:val="nil"/>
              <w:left w:val="nil"/>
              <w:bottom w:val="nil"/>
              <w:right w:val="nil"/>
            </w:tcBorders>
          </w:tcPr>
          <w:p w14:paraId="05B062D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896" w:type="dxa"/>
            <w:tcBorders>
              <w:top w:val="nil"/>
              <w:left w:val="nil"/>
              <w:bottom w:val="nil"/>
              <w:right w:val="nil"/>
            </w:tcBorders>
          </w:tcPr>
          <w:p w14:paraId="5ACC33F9"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0.6</w:t>
            </w:r>
          </w:p>
        </w:tc>
        <w:tc>
          <w:tcPr>
            <w:tcW w:w="1052" w:type="dxa"/>
            <w:tcBorders>
              <w:top w:val="nil"/>
              <w:left w:val="nil"/>
              <w:bottom w:val="nil"/>
              <w:right w:val="nil"/>
            </w:tcBorders>
          </w:tcPr>
          <w:p w14:paraId="66F2C7A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0.10</w:t>
            </w:r>
          </w:p>
        </w:tc>
        <w:tc>
          <w:tcPr>
            <w:tcW w:w="1027" w:type="dxa"/>
            <w:tcBorders>
              <w:top w:val="nil"/>
              <w:left w:val="nil"/>
              <w:bottom w:val="nil"/>
              <w:right w:val="nil"/>
            </w:tcBorders>
          </w:tcPr>
          <w:p w14:paraId="0AE22FB5"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r>
      <w:tr w:rsidR="00EB062B" w:rsidRPr="00EB062B" w14:paraId="75BB2913" w14:textId="77777777" w:rsidTr="00EB062B">
        <w:trPr>
          <w:trHeight w:val="230"/>
        </w:trPr>
        <w:tc>
          <w:tcPr>
            <w:tcW w:w="1106" w:type="dxa"/>
            <w:tcBorders>
              <w:top w:val="nil"/>
              <w:left w:val="nil"/>
              <w:bottom w:val="nil"/>
              <w:right w:val="nil"/>
            </w:tcBorders>
          </w:tcPr>
          <w:p w14:paraId="7AECD9D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15</w:t>
            </w:r>
          </w:p>
        </w:tc>
        <w:tc>
          <w:tcPr>
            <w:tcW w:w="1249" w:type="dxa"/>
            <w:tcBorders>
              <w:top w:val="nil"/>
              <w:left w:val="nil"/>
              <w:bottom w:val="nil"/>
              <w:right w:val="nil"/>
            </w:tcBorders>
          </w:tcPr>
          <w:p w14:paraId="6B6D307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027" w:type="dxa"/>
            <w:tcBorders>
              <w:top w:val="nil"/>
              <w:left w:val="nil"/>
              <w:bottom w:val="nil"/>
              <w:right w:val="nil"/>
            </w:tcBorders>
          </w:tcPr>
          <w:p w14:paraId="56EA3E7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1.70</w:t>
            </w:r>
          </w:p>
        </w:tc>
        <w:tc>
          <w:tcPr>
            <w:tcW w:w="1631" w:type="dxa"/>
            <w:tcBorders>
              <w:top w:val="nil"/>
              <w:left w:val="nil"/>
              <w:bottom w:val="nil"/>
              <w:right w:val="nil"/>
            </w:tcBorders>
          </w:tcPr>
          <w:p w14:paraId="736C5730"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10.0</w:t>
            </w:r>
          </w:p>
        </w:tc>
        <w:tc>
          <w:tcPr>
            <w:tcW w:w="896" w:type="dxa"/>
            <w:tcBorders>
              <w:top w:val="nil"/>
              <w:left w:val="nil"/>
              <w:bottom w:val="nil"/>
              <w:right w:val="nil"/>
            </w:tcBorders>
          </w:tcPr>
          <w:p w14:paraId="1E59D077"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0.6</w:t>
            </w:r>
          </w:p>
        </w:tc>
        <w:tc>
          <w:tcPr>
            <w:tcW w:w="1052" w:type="dxa"/>
            <w:tcBorders>
              <w:top w:val="nil"/>
              <w:left w:val="nil"/>
              <w:bottom w:val="nil"/>
              <w:right w:val="nil"/>
            </w:tcBorders>
          </w:tcPr>
          <w:p w14:paraId="769F1AC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0.10</w:t>
            </w:r>
          </w:p>
        </w:tc>
        <w:tc>
          <w:tcPr>
            <w:tcW w:w="1027" w:type="dxa"/>
            <w:tcBorders>
              <w:top w:val="nil"/>
              <w:left w:val="nil"/>
              <w:bottom w:val="nil"/>
              <w:right w:val="nil"/>
            </w:tcBorders>
          </w:tcPr>
          <w:p w14:paraId="50D425C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3</w:t>
            </w:r>
          </w:p>
        </w:tc>
      </w:tr>
      <w:tr w:rsidR="00EB062B" w:rsidRPr="00EB062B" w14:paraId="711FC6AB" w14:textId="77777777" w:rsidTr="00EB062B">
        <w:trPr>
          <w:trHeight w:val="216"/>
        </w:trPr>
        <w:tc>
          <w:tcPr>
            <w:tcW w:w="1106" w:type="dxa"/>
            <w:tcBorders>
              <w:top w:val="nil"/>
              <w:left w:val="nil"/>
              <w:bottom w:val="nil"/>
              <w:right w:val="nil"/>
            </w:tcBorders>
          </w:tcPr>
          <w:p w14:paraId="2823A48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16</w:t>
            </w:r>
          </w:p>
        </w:tc>
        <w:tc>
          <w:tcPr>
            <w:tcW w:w="1249" w:type="dxa"/>
            <w:tcBorders>
              <w:top w:val="nil"/>
              <w:left w:val="nil"/>
              <w:bottom w:val="nil"/>
              <w:right w:val="nil"/>
            </w:tcBorders>
          </w:tcPr>
          <w:p w14:paraId="7A6CAFBA"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50</w:t>
            </w:r>
          </w:p>
        </w:tc>
        <w:tc>
          <w:tcPr>
            <w:tcW w:w="1027" w:type="dxa"/>
            <w:tcBorders>
              <w:top w:val="nil"/>
              <w:left w:val="nil"/>
              <w:bottom w:val="nil"/>
              <w:right w:val="nil"/>
            </w:tcBorders>
          </w:tcPr>
          <w:p w14:paraId="369E7219"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1.70</w:t>
            </w:r>
          </w:p>
        </w:tc>
        <w:tc>
          <w:tcPr>
            <w:tcW w:w="1631" w:type="dxa"/>
            <w:tcBorders>
              <w:top w:val="nil"/>
              <w:left w:val="nil"/>
              <w:bottom w:val="nil"/>
              <w:right w:val="nil"/>
            </w:tcBorders>
          </w:tcPr>
          <w:p w14:paraId="778C08EA"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896" w:type="dxa"/>
            <w:tcBorders>
              <w:top w:val="nil"/>
              <w:left w:val="nil"/>
              <w:bottom w:val="nil"/>
              <w:right w:val="nil"/>
            </w:tcBorders>
          </w:tcPr>
          <w:p w14:paraId="523EDF0F"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0.0</w:t>
            </w:r>
          </w:p>
        </w:tc>
        <w:tc>
          <w:tcPr>
            <w:tcW w:w="1052" w:type="dxa"/>
            <w:tcBorders>
              <w:top w:val="nil"/>
              <w:left w:val="nil"/>
              <w:bottom w:val="nil"/>
              <w:right w:val="nil"/>
            </w:tcBorders>
          </w:tcPr>
          <w:p w14:paraId="51002B9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0.55</w:t>
            </w:r>
          </w:p>
        </w:tc>
        <w:tc>
          <w:tcPr>
            <w:tcW w:w="1027" w:type="dxa"/>
            <w:tcBorders>
              <w:top w:val="nil"/>
              <w:left w:val="nil"/>
              <w:bottom w:val="nil"/>
              <w:right w:val="nil"/>
            </w:tcBorders>
          </w:tcPr>
          <w:p w14:paraId="0E947A2D"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4</w:t>
            </w:r>
          </w:p>
        </w:tc>
      </w:tr>
      <w:tr w:rsidR="00EB062B" w:rsidRPr="00EB062B" w14:paraId="5610BD3D" w14:textId="77777777" w:rsidTr="00EB062B">
        <w:trPr>
          <w:trHeight w:val="230"/>
        </w:trPr>
        <w:tc>
          <w:tcPr>
            <w:tcW w:w="1106" w:type="dxa"/>
            <w:tcBorders>
              <w:top w:val="nil"/>
              <w:left w:val="nil"/>
              <w:bottom w:val="nil"/>
              <w:right w:val="nil"/>
            </w:tcBorders>
          </w:tcPr>
          <w:p w14:paraId="6B15826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17</w:t>
            </w:r>
          </w:p>
        </w:tc>
        <w:tc>
          <w:tcPr>
            <w:tcW w:w="1249" w:type="dxa"/>
            <w:tcBorders>
              <w:top w:val="nil"/>
              <w:left w:val="nil"/>
              <w:bottom w:val="nil"/>
              <w:right w:val="nil"/>
            </w:tcBorders>
          </w:tcPr>
          <w:p w14:paraId="3338CC63"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1027" w:type="dxa"/>
            <w:tcBorders>
              <w:top w:val="nil"/>
              <w:left w:val="nil"/>
              <w:bottom w:val="nil"/>
              <w:right w:val="nil"/>
            </w:tcBorders>
          </w:tcPr>
          <w:p w14:paraId="2505CE81"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2.55</w:t>
            </w:r>
          </w:p>
        </w:tc>
        <w:tc>
          <w:tcPr>
            <w:tcW w:w="1631" w:type="dxa"/>
            <w:tcBorders>
              <w:top w:val="nil"/>
              <w:left w:val="nil"/>
              <w:bottom w:val="nil"/>
              <w:right w:val="nil"/>
            </w:tcBorders>
          </w:tcPr>
          <w:p w14:paraId="6ACFEADA"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1.0</w:t>
            </w:r>
          </w:p>
        </w:tc>
        <w:tc>
          <w:tcPr>
            <w:tcW w:w="896" w:type="dxa"/>
            <w:tcBorders>
              <w:top w:val="nil"/>
              <w:left w:val="nil"/>
              <w:bottom w:val="nil"/>
              <w:right w:val="nil"/>
            </w:tcBorders>
          </w:tcPr>
          <w:p w14:paraId="45718BAE"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0.0</w:t>
            </w:r>
          </w:p>
        </w:tc>
        <w:tc>
          <w:tcPr>
            <w:tcW w:w="1052" w:type="dxa"/>
            <w:tcBorders>
              <w:top w:val="nil"/>
              <w:left w:val="nil"/>
              <w:bottom w:val="nil"/>
              <w:right w:val="nil"/>
            </w:tcBorders>
          </w:tcPr>
          <w:p w14:paraId="30086E00"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0.10</w:t>
            </w:r>
          </w:p>
        </w:tc>
        <w:tc>
          <w:tcPr>
            <w:tcW w:w="1027" w:type="dxa"/>
            <w:tcBorders>
              <w:top w:val="nil"/>
              <w:left w:val="nil"/>
              <w:bottom w:val="nil"/>
              <w:right w:val="nil"/>
            </w:tcBorders>
          </w:tcPr>
          <w:p w14:paraId="4E70BD08" w14:textId="77777777" w:rsidR="00EB062B" w:rsidRPr="00EB062B" w:rsidRDefault="00EB062B" w:rsidP="00AE33DC">
            <w:pPr>
              <w:spacing w:line="480" w:lineRule="auto"/>
              <w:jc w:val="center"/>
              <w:rPr>
                <w:rFonts w:ascii="Times New Roman" w:hAnsi="Times New Roman" w:cs="Times New Roman"/>
              </w:rPr>
            </w:pPr>
            <w:r w:rsidRPr="00EB062B">
              <w:rPr>
                <w:rFonts w:ascii="Times New Roman" w:hAnsi="Times New Roman" w:cs="Times New Roman"/>
              </w:rPr>
              <w:t>2</w:t>
            </w:r>
          </w:p>
        </w:tc>
      </w:tr>
    </w:tbl>
    <w:p w14:paraId="5B38A520" w14:textId="77777777" w:rsidR="00EB062B" w:rsidRDefault="00EB062B" w:rsidP="00EB062B"/>
    <w:p w14:paraId="0AF16477" w14:textId="77777777" w:rsidR="00EB062B" w:rsidRPr="00BA37A1" w:rsidRDefault="00EB062B" w:rsidP="00D36DCD">
      <w:pPr>
        <w:spacing w:line="480" w:lineRule="auto"/>
        <w:rPr>
          <w:rFonts w:ascii="Times New Roman" w:hAnsi="Times New Roman" w:cs="Times New Roman"/>
          <w:b/>
          <w:bCs/>
          <w:sz w:val="18"/>
          <w:szCs w:val="18"/>
          <w:lang w:val="en-US"/>
        </w:rPr>
      </w:pPr>
    </w:p>
    <w:p w14:paraId="18A9850C" w14:textId="0E8FC908" w:rsidR="00586A71" w:rsidRPr="00BA37A1" w:rsidRDefault="00586A71" w:rsidP="00D36DCD">
      <w:pPr>
        <w:spacing w:line="480" w:lineRule="auto"/>
        <w:rPr>
          <w:rFonts w:ascii="Times New Roman" w:hAnsi="Times New Roman" w:cs="Times New Roman"/>
          <w:u w:val="single"/>
          <w:lang w:val="en-US"/>
        </w:rPr>
      </w:pPr>
      <w:r w:rsidRPr="00BA37A1">
        <w:rPr>
          <w:rFonts w:ascii="Times New Roman" w:hAnsi="Times New Roman" w:cs="Times New Roman"/>
          <w:u w:val="single"/>
          <w:lang w:val="en-US"/>
        </w:rPr>
        <w:t xml:space="preserve">Figure legends </w:t>
      </w:r>
    </w:p>
    <w:p w14:paraId="31CA51E4" w14:textId="7BF1585F" w:rsidR="00586A71" w:rsidRPr="00BA37A1" w:rsidRDefault="00586A71" w:rsidP="00586A71">
      <w:pPr>
        <w:pStyle w:val="Caption"/>
        <w:spacing w:line="480" w:lineRule="auto"/>
        <w:jc w:val="both"/>
        <w:rPr>
          <w:rFonts w:ascii="Times New Roman" w:hAnsi="Times New Roman" w:cs="Times New Roman"/>
          <w:lang w:val="en-US"/>
        </w:rPr>
      </w:pPr>
      <w:r w:rsidRPr="00BA37A1">
        <w:rPr>
          <w:rFonts w:ascii="Times New Roman" w:hAnsi="Times New Roman" w:cs="Times New Roman"/>
          <w:b/>
          <w:bCs/>
          <w:lang w:val="en-US"/>
        </w:rPr>
        <w:t xml:space="preserve">Figure </w:t>
      </w:r>
      <w:r w:rsidRPr="00BA37A1">
        <w:rPr>
          <w:rFonts w:ascii="Times New Roman" w:hAnsi="Times New Roman" w:cs="Times New Roman"/>
          <w:b/>
          <w:bCs/>
          <w:lang w:val="en-US"/>
        </w:rPr>
        <w:fldChar w:fldCharType="begin"/>
      </w:r>
      <w:r w:rsidRPr="00BA37A1">
        <w:rPr>
          <w:rFonts w:ascii="Times New Roman" w:hAnsi="Times New Roman" w:cs="Times New Roman"/>
          <w:b/>
          <w:bCs/>
          <w:lang w:val="en-US"/>
        </w:rPr>
        <w:instrText xml:space="preserve"> SEQ Figure \* ARABIC </w:instrText>
      </w:r>
      <w:r w:rsidRPr="00BA37A1">
        <w:rPr>
          <w:rFonts w:ascii="Times New Roman" w:hAnsi="Times New Roman" w:cs="Times New Roman"/>
          <w:b/>
          <w:bCs/>
          <w:lang w:val="en-US"/>
        </w:rPr>
        <w:fldChar w:fldCharType="separate"/>
      </w:r>
      <w:r w:rsidRPr="00BA37A1">
        <w:rPr>
          <w:rFonts w:ascii="Times New Roman" w:hAnsi="Times New Roman" w:cs="Times New Roman"/>
          <w:b/>
          <w:bCs/>
          <w:lang w:val="en-US"/>
        </w:rPr>
        <w:t>1</w:t>
      </w:r>
      <w:r w:rsidRPr="00BA37A1">
        <w:rPr>
          <w:rFonts w:ascii="Times New Roman" w:hAnsi="Times New Roman" w:cs="Times New Roman"/>
          <w:b/>
          <w:bCs/>
          <w:lang w:val="en-US"/>
        </w:rPr>
        <w:fldChar w:fldCharType="end"/>
      </w:r>
      <w:r w:rsidRPr="00BA37A1">
        <w:rPr>
          <w:rFonts w:ascii="Times New Roman" w:hAnsi="Times New Roman" w:cs="Times New Roman"/>
          <w:b/>
          <w:bCs/>
          <w:lang w:val="en-US"/>
        </w:rPr>
        <w:t xml:space="preserve">: Summary of the accelerated bioprocess development approach and Taxol biosynthetic pathway. </w:t>
      </w:r>
      <w:r w:rsidRPr="00BA37A1">
        <w:rPr>
          <w:rFonts w:ascii="Times New Roman" w:hAnsi="Times New Roman" w:cs="Times New Roman"/>
          <w:lang w:val="en-US"/>
        </w:rPr>
        <w:t xml:space="preserve">A) The accelerated process </w:t>
      </w:r>
      <w:r w:rsidR="00EB062B" w:rsidRPr="00BA37A1">
        <w:rPr>
          <w:rFonts w:ascii="Times New Roman" w:hAnsi="Times New Roman" w:cs="Times New Roman"/>
          <w:lang w:val="en-US"/>
        </w:rPr>
        <w:t>optimization</w:t>
      </w:r>
      <w:r w:rsidRPr="00BA37A1">
        <w:rPr>
          <w:rFonts w:ascii="Times New Roman" w:hAnsi="Times New Roman" w:cs="Times New Roman"/>
          <w:lang w:val="en-US"/>
        </w:rPr>
        <w:t xml:space="preserve"> and scale up approach involved DoE guided screening of a range of process parameters using advanced high-throughput microbioreactors (1 mL). The optimal factor combination was then elucidated via statistical modelling and validated at 1L and 5L scale. B) Heterologous Taxol pathway in </w:t>
      </w:r>
      <w:r w:rsidRPr="00BA37A1">
        <w:rPr>
          <w:rFonts w:ascii="Times New Roman" w:hAnsi="Times New Roman" w:cs="Times New Roman"/>
          <w:i/>
          <w:lang w:val="en-US"/>
        </w:rPr>
        <w:t xml:space="preserve">S. cerevisiae </w:t>
      </w:r>
      <w:r w:rsidRPr="00BA37A1">
        <w:rPr>
          <w:rFonts w:ascii="Times New Roman" w:hAnsi="Times New Roman" w:cs="Times New Roman"/>
          <w:lang w:val="en-US"/>
        </w:rPr>
        <w:t>cell factories. Galactose is converted into the universal diterpenoid precursor, GGPP, via the mevalonate pathway. Taxadiene synthase (</w:t>
      </w:r>
      <w:r w:rsidRPr="00BA37A1">
        <w:rPr>
          <w:rFonts w:ascii="Times New Roman" w:hAnsi="Times New Roman" w:cs="Times New Roman"/>
          <w:i/>
          <w:lang w:val="en-US"/>
        </w:rPr>
        <w:t>TASY</w:t>
      </w:r>
      <w:r w:rsidRPr="00BA37A1">
        <w:rPr>
          <w:rFonts w:ascii="Times New Roman" w:hAnsi="Times New Roman" w:cs="Times New Roman"/>
          <w:lang w:val="en-US"/>
        </w:rPr>
        <w:t xml:space="preserve">), expressed by both strains </w:t>
      </w:r>
      <w:r w:rsidRPr="00BA37A1">
        <w:rPr>
          <w:rFonts w:ascii="Times New Roman" w:hAnsi="Times New Roman" w:cs="Times New Roman"/>
          <w:i/>
          <w:lang w:val="en-US"/>
        </w:rPr>
        <w:t xml:space="preserve">LRS5 </w:t>
      </w:r>
      <w:r w:rsidRPr="00BA37A1">
        <w:rPr>
          <w:rFonts w:ascii="Times New Roman" w:hAnsi="Times New Roman" w:cs="Times New Roman"/>
          <w:lang w:val="en-US"/>
        </w:rPr>
        <w:t xml:space="preserve">and LRS6 </w:t>
      </w:r>
      <w:r w:rsidR="00EB062B" w:rsidRPr="00BA37A1">
        <w:rPr>
          <w:rFonts w:ascii="Times New Roman" w:hAnsi="Times New Roman" w:cs="Times New Roman"/>
          <w:lang w:val="en-US"/>
        </w:rPr>
        <w:t>catalyzes</w:t>
      </w:r>
      <w:r w:rsidRPr="00BA37A1">
        <w:rPr>
          <w:rFonts w:ascii="Times New Roman" w:hAnsi="Times New Roman" w:cs="Times New Roman"/>
          <w:lang w:val="en-US"/>
        </w:rPr>
        <w:t xml:space="preserve"> the cyclisation of GGPP to taxadiene, along with small amounts of iso-taxadiene and </w:t>
      </w:r>
      <w:r w:rsidRPr="00BA37A1">
        <w:rPr>
          <w:rFonts w:ascii="Times New Roman" w:hAnsi="Times New Roman" w:cs="Times New Roman"/>
          <w:lang w:val="en-US"/>
        </w:rPr>
        <w:lastRenderedPageBreak/>
        <w:t xml:space="preserve">additional diterpene side products. CYP725A4 and TAT, expressed by </w:t>
      </w:r>
      <w:r w:rsidRPr="00BA37A1">
        <w:rPr>
          <w:rFonts w:ascii="Times New Roman" w:hAnsi="Times New Roman" w:cs="Times New Roman"/>
          <w:i/>
          <w:lang w:val="en-US"/>
        </w:rPr>
        <w:t>LRS6</w:t>
      </w:r>
      <w:r w:rsidRPr="00BA37A1">
        <w:rPr>
          <w:rFonts w:ascii="Times New Roman" w:hAnsi="Times New Roman" w:cs="Times New Roman"/>
          <w:lang w:val="en-US"/>
        </w:rPr>
        <w:t xml:space="preserve"> only, </w:t>
      </w:r>
      <w:r w:rsidR="00EB062B" w:rsidRPr="00BA37A1">
        <w:rPr>
          <w:rFonts w:ascii="Times New Roman" w:hAnsi="Times New Roman" w:cs="Times New Roman"/>
          <w:lang w:val="en-US"/>
        </w:rPr>
        <w:t>catalyze</w:t>
      </w:r>
      <w:r w:rsidRPr="00BA37A1">
        <w:rPr>
          <w:rFonts w:ascii="Times New Roman" w:hAnsi="Times New Roman" w:cs="Times New Roman"/>
          <w:lang w:val="en-US"/>
        </w:rPr>
        <w:t xml:space="preserve"> the subsequent hydroxylation and acetylation reactions, respectively. A further 16 enzymatic steps are believed to be required for the conversion of taxadiene-5</w:t>
      </w:r>
      <m:oMath>
        <m:r>
          <w:rPr>
            <w:rFonts w:ascii="Cambria Math" w:hAnsi="Cambria Math" w:cs="Times New Roman"/>
            <w:lang w:val="en-US"/>
          </w:rPr>
          <m:t>α</m:t>
        </m:r>
      </m:oMath>
      <w:r w:rsidRPr="00BA37A1">
        <w:rPr>
          <w:rFonts w:ascii="Times New Roman" w:eastAsiaTheme="minorEastAsia" w:hAnsi="Times New Roman" w:cs="Times New Roman"/>
          <w:lang w:val="en-US"/>
        </w:rPr>
        <w:t xml:space="preserve">-yl acetate to Taxol. </w:t>
      </w:r>
      <w:r w:rsidRPr="00BA37A1">
        <w:rPr>
          <w:rFonts w:ascii="Times New Roman" w:hAnsi="Times New Roman" w:cs="Times New Roman"/>
          <w:lang w:val="en-US"/>
        </w:rPr>
        <w:t xml:space="preserve">  </w:t>
      </w:r>
    </w:p>
    <w:p w14:paraId="578CD6A6" w14:textId="4B1322FF" w:rsidR="00586A71" w:rsidRPr="00BA37A1" w:rsidRDefault="00586A71" w:rsidP="00586A71">
      <w:pPr>
        <w:pStyle w:val="Caption"/>
        <w:spacing w:line="480" w:lineRule="auto"/>
        <w:jc w:val="both"/>
        <w:rPr>
          <w:rFonts w:ascii="Times New Roman" w:hAnsi="Times New Roman" w:cs="Times New Roman"/>
          <w:lang w:val="en-US"/>
        </w:rPr>
      </w:pPr>
      <w:bookmarkStart w:id="1" w:name="_Ref60742545"/>
      <w:r w:rsidRPr="00BA37A1">
        <w:rPr>
          <w:rFonts w:ascii="Times New Roman" w:hAnsi="Times New Roman" w:cs="Times New Roman"/>
          <w:b/>
          <w:bCs/>
          <w:lang w:val="en-US"/>
        </w:rPr>
        <w:t xml:space="preserve">Figure </w:t>
      </w:r>
      <w:r w:rsidRPr="00BA37A1">
        <w:rPr>
          <w:rFonts w:ascii="Times New Roman" w:hAnsi="Times New Roman" w:cs="Times New Roman"/>
          <w:b/>
          <w:bCs/>
          <w:lang w:val="en-US"/>
        </w:rPr>
        <w:fldChar w:fldCharType="begin"/>
      </w:r>
      <w:r w:rsidRPr="00BA37A1">
        <w:rPr>
          <w:rFonts w:ascii="Times New Roman" w:hAnsi="Times New Roman" w:cs="Times New Roman"/>
          <w:b/>
          <w:bCs/>
          <w:lang w:val="en-US"/>
        </w:rPr>
        <w:instrText xml:space="preserve"> SEQ Figure \* ARABIC </w:instrText>
      </w:r>
      <w:r w:rsidRPr="00BA37A1">
        <w:rPr>
          <w:rFonts w:ascii="Times New Roman" w:hAnsi="Times New Roman" w:cs="Times New Roman"/>
          <w:b/>
          <w:bCs/>
          <w:lang w:val="en-US"/>
        </w:rPr>
        <w:fldChar w:fldCharType="separate"/>
      </w:r>
      <w:r w:rsidRPr="00BA37A1">
        <w:rPr>
          <w:rFonts w:ascii="Times New Roman" w:hAnsi="Times New Roman" w:cs="Times New Roman"/>
          <w:b/>
          <w:bCs/>
          <w:lang w:val="en-US"/>
        </w:rPr>
        <w:t>2</w:t>
      </w:r>
      <w:r w:rsidRPr="00BA37A1">
        <w:rPr>
          <w:rFonts w:ascii="Times New Roman" w:hAnsi="Times New Roman" w:cs="Times New Roman"/>
          <w:b/>
          <w:bCs/>
          <w:lang w:val="en-US"/>
        </w:rPr>
        <w:fldChar w:fldCharType="end"/>
      </w:r>
      <w:bookmarkEnd w:id="1"/>
      <w:r w:rsidRPr="00BA37A1">
        <w:rPr>
          <w:rFonts w:ascii="Times New Roman" w:hAnsi="Times New Roman" w:cs="Times New Roman"/>
          <w:b/>
          <w:bCs/>
          <w:lang w:val="en-US"/>
        </w:rPr>
        <w:t>: Preliminary</w:t>
      </w:r>
      <w:r w:rsidRPr="00BA37A1">
        <w:rPr>
          <w:rFonts w:ascii="Times New Roman" w:hAnsi="Times New Roman" w:cs="Times New Roman"/>
          <w:b/>
          <w:lang w:val="en-US"/>
        </w:rPr>
        <w:t xml:space="preserve"> microscale cultivation of </w:t>
      </w:r>
      <w:r w:rsidRPr="00BA37A1">
        <w:rPr>
          <w:rFonts w:ascii="Times New Roman" w:hAnsi="Times New Roman" w:cs="Times New Roman"/>
          <w:b/>
          <w:i/>
          <w:lang w:val="en-US"/>
        </w:rPr>
        <w:t>LRS6</w:t>
      </w:r>
      <w:r w:rsidRPr="00BA37A1">
        <w:rPr>
          <w:rFonts w:ascii="Times New Roman" w:hAnsi="Times New Roman" w:cs="Times New Roman"/>
          <w:lang w:val="en-US"/>
        </w:rPr>
        <w:t>. LRS6 was cultivated in SDG (Yeast Nitrogen Base without Amino Acids, 6.7 g/L; Complete Supplement Mixture minus Uracil (CSM-URA), 0.77 g/L; Uracil, 20 mg/L; galactose, 20 g/L) and YPG (Yeast extract, 10 g/L; Peptone 20 g/L; Galactose, 20 g/L). (A) Biomass measured as optical density at 600nm, B) Taxane prod</w:t>
      </w:r>
      <w:r w:rsidR="00501062" w:rsidRPr="00BA37A1">
        <w:rPr>
          <w:rFonts w:ascii="Times New Roman" w:hAnsi="Times New Roman" w:cs="Times New Roman"/>
          <w:lang w:val="en-US"/>
        </w:rPr>
        <w:t>uction C) pH D) DO</w:t>
      </w:r>
      <w:r w:rsidRPr="00BA37A1">
        <w:rPr>
          <w:rFonts w:ascii="Times New Roman" w:hAnsi="Times New Roman" w:cs="Times New Roman"/>
          <w:lang w:val="en-US"/>
        </w:rPr>
        <w:t xml:space="preserve">. Measurements are mean ± standard deviation for triplicate cultivations. </w:t>
      </w:r>
    </w:p>
    <w:p w14:paraId="148FFD0A" w14:textId="77777777" w:rsidR="00586A71" w:rsidRPr="00BA37A1" w:rsidRDefault="00586A71" w:rsidP="00586A71">
      <w:pPr>
        <w:pStyle w:val="Caption"/>
        <w:spacing w:line="480" w:lineRule="auto"/>
        <w:jc w:val="both"/>
        <w:rPr>
          <w:rFonts w:ascii="Times New Roman" w:hAnsi="Times New Roman" w:cs="Times New Roman"/>
          <w:iCs w:val="0"/>
          <w:lang w:val="en-US"/>
        </w:rPr>
      </w:pPr>
      <w:r w:rsidRPr="00BA37A1">
        <w:rPr>
          <w:rFonts w:ascii="Times New Roman" w:hAnsi="Times New Roman" w:cs="Times New Roman"/>
          <w:b/>
          <w:bCs/>
          <w:lang w:val="en-US"/>
        </w:rPr>
        <w:t xml:space="preserve">Figure </w:t>
      </w:r>
      <w:r w:rsidRPr="00BA37A1">
        <w:rPr>
          <w:rFonts w:ascii="Times New Roman" w:hAnsi="Times New Roman" w:cs="Times New Roman"/>
          <w:b/>
          <w:bCs/>
          <w:lang w:val="en-US"/>
        </w:rPr>
        <w:fldChar w:fldCharType="begin"/>
      </w:r>
      <w:r w:rsidRPr="00BA37A1">
        <w:rPr>
          <w:rFonts w:ascii="Times New Roman" w:hAnsi="Times New Roman" w:cs="Times New Roman"/>
          <w:b/>
          <w:bCs/>
          <w:lang w:val="en-US"/>
        </w:rPr>
        <w:instrText xml:space="preserve"> SEQ Figure \* ARABIC </w:instrText>
      </w:r>
      <w:r w:rsidRPr="00BA37A1">
        <w:rPr>
          <w:rFonts w:ascii="Times New Roman" w:hAnsi="Times New Roman" w:cs="Times New Roman"/>
          <w:b/>
          <w:bCs/>
          <w:lang w:val="en-US"/>
        </w:rPr>
        <w:fldChar w:fldCharType="separate"/>
      </w:r>
      <w:r w:rsidRPr="00BA37A1">
        <w:rPr>
          <w:rFonts w:ascii="Times New Roman" w:hAnsi="Times New Roman" w:cs="Times New Roman"/>
          <w:b/>
          <w:bCs/>
          <w:lang w:val="en-US"/>
        </w:rPr>
        <w:t>3</w:t>
      </w:r>
      <w:r w:rsidRPr="00BA37A1">
        <w:rPr>
          <w:rFonts w:ascii="Times New Roman" w:hAnsi="Times New Roman" w:cs="Times New Roman"/>
          <w:b/>
          <w:bCs/>
          <w:lang w:val="en-US"/>
        </w:rPr>
        <w:fldChar w:fldCharType="end"/>
      </w:r>
      <w:r w:rsidRPr="00BA37A1">
        <w:rPr>
          <w:rFonts w:ascii="Times New Roman" w:hAnsi="Times New Roman" w:cs="Times New Roman"/>
          <w:b/>
          <w:bCs/>
          <w:lang w:val="en-US"/>
        </w:rPr>
        <w:t>: Scoping</w:t>
      </w:r>
      <w:r w:rsidRPr="00BA37A1">
        <w:rPr>
          <w:rFonts w:ascii="Times New Roman" w:hAnsi="Times New Roman" w:cs="Times New Roman"/>
          <w:b/>
          <w:lang w:val="en-US"/>
        </w:rPr>
        <w:t xml:space="preserve"> trial: validation of the definitive screening design.</w:t>
      </w:r>
      <w:r w:rsidRPr="00BA37A1">
        <w:rPr>
          <w:rFonts w:ascii="Times New Roman" w:hAnsi="Times New Roman" w:cs="Times New Roman"/>
          <w:lang w:val="en-US"/>
        </w:rPr>
        <w:t xml:space="preserve"> A) Total taxane production was evaluated for shake flask cultivation of </w:t>
      </w:r>
      <w:r w:rsidRPr="00BA37A1">
        <w:rPr>
          <w:rFonts w:ascii="Times New Roman" w:hAnsi="Times New Roman" w:cs="Times New Roman"/>
          <w:i/>
          <w:lang w:val="en-US"/>
        </w:rPr>
        <w:t>LRS6</w:t>
      </w:r>
      <w:r w:rsidRPr="00BA37A1">
        <w:rPr>
          <w:rFonts w:ascii="Times New Roman" w:hAnsi="Times New Roman" w:cs="Times New Roman"/>
          <w:lang w:val="en-US"/>
        </w:rPr>
        <w:t xml:space="preserve"> under least forcing (all factors set to low level), centre point (all factors set to mid-point) and most forcing (all factors set to high level) conditions. Gas chromatographs resulting from cultivation under most forcing condition. B) Gas chromatograph resulting from control cultivation of </w:t>
      </w:r>
      <w:r w:rsidRPr="00BA37A1">
        <w:rPr>
          <w:rFonts w:ascii="Times New Roman" w:hAnsi="Times New Roman" w:cs="Times New Roman"/>
          <w:i/>
          <w:lang w:val="en-US"/>
        </w:rPr>
        <w:t xml:space="preserve">LRS5 (expressing TASY only) </w:t>
      </w:r>
      <w:r w:rsidRPr="00BA37A1">
        <w:rPr>
          <w:rFonts w:ascii="Times New Roman" w:hAnsi="Times New Roman" w:cs="Times New Roman"/>
          <w:iCs w:val="0"/>
          <w:lang w:val="en-US"/>
        </w:rPr>
        <w:t>in the most forcing medium</w:t>
      </w:r>
      <w:r w:rsidRPr="00BA37A1">
        <w:rPr>
          <w:rFonts w:ascii="Times New Roman" w:hAnsi="Times New Roman" w:cs="Times New Roman"/>
          <w:lang w:val="en-US"/>
        </w:rPr>
        <w:t xml:space="preserve">, C) Gas chromatograph resulting from cultivation of </w:t>
      </w:r>
      <w:r w:rsidRPr="00BA37A1">
        <w:rPr>
          <w:rFonts w:ascii="Times New Roman" w:hAnsi="Times New Roman" w:cs="Times New Roman"/>
          <w:i/>
          <w:lang w:val="en-US"/>
        </w:rPr>
        <w:t xml:space="preserve">LRS6 (expressing TASY, CYP725A4 + CPR and TAT) </w:t>
      </w:r>
      <w:r w:rsidRPr="00BA37A1">
        <w:rPr>
          <w:rFonts w:ascii="Times New Roman" w:hAnsi="Times New Roman" w:cs="Times New Roman"/>
          <w:iCs w:val="0"/>
          <w:lang w:val="en-US"/>
        </w:rPr>
        <w:t xml:space="preserve">in the most forcing medium. </w:t>
      </w:r>
    </w:p>
    <w:p w14:paraId="392C0CB2" w14:textId="2F51801D" w:rsidR="00586A71" w:rsidRPr="00BA37A1" w:rsidRDefault="00586A71" w:rsidP="00586A71">
      <w:pPr>
        <w:pStyle w:val="Caption"/>
        <w:spacing w:line="480" w:lineRule="auto"/>
        <w:jc w:val="both"/>
        <w:rPr>
          <w:rFonts w:ascii="Times New Roman" w:hAnsi="Times New Roman" w:cs="Times New Roman"/>
          <w:lang w:val="en-US"/>
        </w:rPr>
      </w:pPr>
      <w:bookmarkStart w:id="2" w:name="_Ref60750669"/>
      <w:r w:rsidRPr="00BA37A1">
        <w:rPr>
          <w:rFonts w:ascii="Times New Roman" w:hAnsi="Times New Roman" w:cs="Times New Roman"/>
          <w:b/>
          <w:bCs/>
          <w:lang w:val="en-US"/>
        </w:rPr>
        <w:t xml:space="preserve">Figure </w:t>
      </w:r>
      <w:r w:rsidRPr="00BA37A1">
        <w:rPr>
          <w:rFonts w:ascii="Times New Roman" w:hAnsi="Times New Roman" w:cs="Times New Roman"/>
          <w:b/>
          <w:bCs/>
          <w:lang w:val="en-US"/>
        </w:rPr>
        <w:fldChar w:fldCharType="begin"/>
      </w:r>
      <w:r w:rsidRPr="00BA37A1">
        <w:rPr>
          <w:rFonts w:ascii="Times New Roman" w:hAnsi="Times New Roman" w:cs="Times New Roman"/>
          <w:b/>
          <w:bCs/>
          <w:lang w:val="en-US"/>
        </w:rPr>
        <w:instrText xml:space="preserve"> SEQ Figure \* ARABIC </w:instrText>
      </w:r>
      <w:r w:rsidRPr="00BA37A1">
        <w:rPr>
          <w:rFonts w:ascii="Times New Roman" w:hAnsi="Times New Roman" w:cs="Times New Roman"/>
          <w:b/>
          <w:bCs/>
          <w:lang w:val="en-US"/>
        </w:rPr>
        <w:fldChar w:fldCharType="separate"/>
      </w:r>
      <w:r w:rsidRPr="00BA37A1">
        <w:rPr>
          <w:rFonts w:ascii="Times New Roman" w:hAnsi="Times New Roman" w:cs="Times New Roman"/>
          <w:b/>
          <w:bCs/>
          <w:lang w:val="en-US"/>
        </w:rPr>
        <w:t>4</w:t>
      </w:r>
      <w:r w:rsidRPr="00BA37A1">
        <w:rPr>
          <w:rFonts w:ascii="Times New Roman" w:hAnsi="Times New Roman" w:cs="Times New Roman"/>
          <w:b/>
          <w:bCs/>
          <w:lang w:val="en-US"/>
        </w:rPr>
        <w:fldChar w:fldCharType="end"/>
      </w:r>
      <w:bookmarkEnd w:id="2"/>
      <w:r w:rsidRPr="00BA37A1">
        <w:rPr>
          <w:rFonts w:ascii="Times New Roman" w:hAnsi="Times New Roman" w:cs="Times New Roman"/>
          <w:b/>
          <w:bCs/>
          <w:lang w:val="en-US"/>
        </w:rPr>
        <w:t>: Definitive screening design results</w:t>
      </w:r>
      <w:r w:rsidRPr="00BA37A1">
        <w:rPr>
          <w:rFonts w:ascii="Times New Roman" w:hAnsi="Times New Roman" w:cs="Times New Roman"/>
          <w:lang w:val="en-US"/>
        </w:rPr>
        <w:t xml:space="preserve">. A) Online biomass data, B) Final total taxane </w:t>
      </w:r>
      <w:r w:rsidR="00EB062B" w:rsidRPr="00BA37A1">
        <w:rPr>
          <w:rFonts w:ascii="Times New Roman" w:hAnsi="Times New Roman" w:cs="Times New Roman"/>
          <w:lang w:val="en-US"/>
        </w:rPr>
        <w:t>titer</w:t>
      </w:r>
      <w:r w:rsidRPr="00BA37A1">
        <w:rPr>
          <w:rFonts w:ascii="Times New Roman" w:hAnsi="Times New Roman" w:cs="Times New Roman"/>
          <w:lang w:val="en-US"/>
        </w:rPr>
        <w:t xml:space="preserve"> and optical density values, C) Online pH data D) Final </w:t>
      </w:r>
      <w:r w:rsidR="00EB062B" w:rsidRPr="00BA37A1">
        <w:rPr>
          <w:rFonts w:ascii="Times New Roman" w:hAnsi="Times New Roman" w:cs="Times New Roman"/>
          <w:lang w:val="en-US"/>
        </w:rPr>
        <w:t>titer</w:t>
      </w:r>
      <w:r w:rsidRPr="00BA37A1">
        <w:rPr>
          <w:rFonts w:ascii="Times New Roman" w:hAnsi="Times New Roman" w:cs="Times New Roman"/>
          <w:lang w:val="en-US"/>
        </w:rPr>
        <w:t xml:space="preserve"> of each of the key pathway intermediates. Data is mean ± standard deviation for duplicate or triplicate cultivations under each of the 17 factor combinations of the DSD as described in Table 1 (Section 2.2.1.) at microscale. </w:t>
      </w:r>
    </w:p>
    <w:p w14:paraId="10209979" w14:textId="77777777" w:rsidR="00586A71" w:rsidRPr="00BA37A1" w:rsidRDefault="00586A71" w:rsidP="00586A71">
      <w:pPr>
        <w:pStyle w:val="Caption"/>
        <w:spacing w:after="0" w:line="480" w:lineRule="auto"/>
        <w:ind w:left="720" w:hanging="720"/>
        <w:jc w:val="left"/>
        <w:rPr>
          <w:rFonts w:ascii="Times New Roman" w:hAnsi="Times New Roman" w:cs="Times New Roman"/>
          <w:lang w:val="en-US"/>
        </w:rPr>
      </w:pPr>
      <w:bookmarkStart w:id="3" w:name="_Ref60752152"/>
      <w:r w:rsidRPr="00BA37A1">
        <w:rPr>
          <w:rFonts w:ascii="Times New Roman" w:hAnsi="Times New Roman" w:cs="Times New Roman"/>
          <w:b/>
          <w:bCs/>
          <w:lang w:val="en-US"/>
        </w:rPr>
        <w:t xml:space="preserve">Figure </w:t>
      </w:r>
      <w:r w:rsidRPr="00BA37A1">
        <w:rPr>
          <w:rFonts w:ascii="Times New Roman" w:hAnsi="Times New Roman" w:cs="Times New Roman"/>
          <w:b/>
          <w:bCs/>
          <w:lang w:val="en-US"/>
        </w:rPr>
        <w:fldChar w:fldCharType="begin"/>
      </w:r>
      <w:r w:rsidRPr="00BA37A1">
        <w:rPr>
          <w:rFonts w:ascii="Times New Roman" w:hAnsi="Times New Roman" w:cs="Times New Roman"/>
          <w:b/>
          <w:bCs/>
          <w:lang w:val="en-US"/>
        </w:rPr>
        <w:instrText xml:space="preserve"> SEQ Figure \* ARABIC </w:instrText>
      </w:r>
      <w:r w:rsidRPr="00BA37A1">
        <w:rPr>
          <w:rFonts w:ascii="Times New Roman" w:hAnsi="Times New Roman" w:cs="Times New Roman"/>
          <w:b/>
          <w:bCs/>
          <w:lang w:val="en-US"/>
        </w:rPr>
        <w:fldChar w:fldCharType="separate"/>
      </w:r>
      <w:r w:rsidRPr="00BA37A1">
        <w:rPr>
          <w:rFonts w:ascii="Times New Roman" w:hAnsi="Times New Roman" w:cs="Times New Roman"/>
          <w:b/>
          <w:bCs/>
          <w:lang w:val="en-US"/>
        </w:rPr>
        <w:t>5</w:t>
      </w:r>
      <w:r w:rsidRPr="00BA37A1">
        <w:rPr>
          <w:rFonts w:ascii="Times New Roman" w:hAnsi="Times New Roman" w:cs="Times New Roman"/>
          <w:b/>
          <w:bCs/>
          <w:lang w:val="en-US"/>
        </w:rPr>
        <w:fldChar w:fldCharType="end"/>
      </w:r>
      <w:bookmarkEnd w:id="3"/>
      <w:r w:rsidRPr="00BA37A1">
        <w:rPr>
          <w:rFonts w:ascii="Times New Roman" w:hAnsi="Times New Roman" w:cs="Times New Roman"/>
          <w:b/>
          <w:bCs/>
          <w:lang w:val="en-US"/>
        </w:rPr>
        <w:t>: Defined media validation in</w:t>
      </w:r>
      <w:r w:rsidRPr="00BA37A1">
        <w:rPr>
          <w:rFonts w:ascii="Times New Roman" w:hAnsi="Times New Roman" w:cs="Times New Roman"/>
          <w:b/>
          <w:lang w:val="en-US"/>
        </w:rPr>
        <w:t xml:space="preserve"> 1L bioreactors.</w:t>
      </w:r>
      <w:r w:rsidRPr="00BA37A1">
        <w:rPr>
          <w:rFonts w:ascii="Times New Roman" w:hAnsi="Times New Roman" w:cs="Times New Roman"/>
          <w:lang w:val="en-US"/>
        </w:rPr>
        <w:t xml:space="preserve"> Biomass, galactose and secondary metabolite</w:t>
      </w:r>
    </w:p>
    <w:p w14:paraId="4DAC76B8" w14:textId="30F9BE86" w:rsidR="00586A71" w:rsidRPr="00BA37A1" w:rsidRDefault="00586A71" w:rsidP="00586A71">
      <w:pPr>
        <w:pStyle w:val="Caption"/>
        <w:spacing w:after="0" w:line="480" w:lineRule="auto"/>
        <w:jc w:val="left"/>
        <w:rPr>
          <w:rFonts w:ascii="Times New Roman" w:hAnsi="Times New Roman" w:cs="Times New Roman"/>
          <w:lang w:val="en-US"/>
        </w:rPr>
      </w:pPr>
      <w:r w:rsidRPr="00BA37A1">
        <w:rPr>
          <w:rFonts w:ascii="Times New Roman" w:hAnsi="Times New Roman" w:cs="Times New Roman"/>
          <w:lang w:val="en-US"/>
        </w:rPr>
        <w:t xml:space="preserve">concentrations were monitored for </w:t>
      </w:r>
      <w:r w:rsidRPr="00BA37A1">
        <w:rPr>
          <w:rFonts w:ascii="Times New Roman" w:hAnsi="Times New Roman" w:cs="Times New Roman"/>
          <w:i/>
          <w:lang w:val="en-US"/>
        </w:rPr>
        <w:t>LRS6</w:t>
      </w:r>
      <w:r w:rsidRPr="00BA37A1">
        <w:rPr>
          <w:rFonts w:ascii="Times New Roman" w:hAnsi="Times New Roman" w:cs="Times New Roman"/>
          <w:lang w:val="en-US"/>
        </w:rPr>
        <w:t xml:space="preserve"> cultivations using (A) </w:t>
      </w:r>
      <w:r w:rsidR="00EB062B" w:rsidRPr="00BA37A1">
        <w:rPr>
          <w:rFonts w:ascii="Times New Roman" w:hAnsi="Times New Roman" w:cs="Times New Roman"/>
          <w:lang w:val="en-US"/>
        </w:rPr>
        <w:t>optimized</w:t>
      </w:r>
      <w:r w:rsidRPr="00BA37A1">
        <w:rPr>
          <w:rFonts w:ascii="Times New Roman" w:hAnsi="Times New Roman" w:cs="Times New Roman"/>
          <w:lang w:val="en-US"/>
        </w:rPr>
        <w:t xml:space="preserve"> defined (3.4 g/L, ammonium sulphate 1 g/L, YSM 2 g/L, galactose 50g/L) and (B) standard defined media (YNB 1.7 g/L, ammonium sulphate 5 g/L, YSM 2 g/L, galactose 20g/L). Total taxane production was also monitored for the two cultivations (F). Accumulation of the key Taxol precursors and side products was also plotted for the </w:t>
      </w:r>
      <w:r w:rsidR="00EB062B" w:rsidRPr="00BA37A1">
        <w:rPr>
          <w:rFonts w:ascii="Times New Roman" w:hAnsi="Times New Roman" w:cs="Times New Roman"/>
          <w:lang w:val="en-US"/>
        </w:rPr>
        <w:t>optimized</w:t>
      </w:r>
      <w:r w:rsidRPr="00BA37A1">
        <w:rPr>
          <w:rFonts w:ascii="Times New Roman" w:hAnsi="Times New Roman" w:cs="Times New Roman"/>
          <w:lang w:val="en-US"/>
        </w:rPr>
        <w:t xml:space="preserve"> (B) and control (D) cultivations. Offgas CO</w:t>
      </w:r>
      <w:r w:rsidRPr="00BA37A1">
        <w:rPr>
          <w:rFonts w:ascii="Times New Roman" w:hAnsi="Times New Roman" w:cs="Times New Roman"/>
          <w:vertAlign w:val="subscript"/>
          <w:lang w:val="en-US"/>
        </w:rPr>
        <w:t>2</w:t>
      </w:r>
      <w:r w:rsidRPr="00BA37A1">
        <w:rPr>
          <w:rFonts w:ascii="Times New Roman" w:hAnsi="Times New Roman" w:cs="Times New Roman"/>
          <w:lang w:val="en-US"/>
        </w:rPr>
        <w:t xml:space="preserve"> data is also shown for both the control and </w:t>
      </w:r>
      <w:r w:rsidR="00EB062B" w:rsidRPr="00BA37A1">
        <w:rPr>
          <w:rFonts w:ascii="Times New Roman" w:hAnsi="Times New Roman" w:cs="Times New Roman"/>
          <w:lang w:val="en-US"/>
        </w:rPr>
        <w:t>optimized</w:t>
      </w:r>
      <w:r w:rsidR="00EB062B">
        <w:rPr>
          <w:rFonts w:ascii="Times New Roman" w:hAnsi="Times New Roman" w:cs="Times New Roman"/>
          <w:lang w:val="en-US"/>
        </w:rPr>
        <w:t xml:space="preserve"> </w:t>
      </w:r>
      <w:r w:rsidRPr="00BA37A1">
        <w:rPr>
          <w:rFonts w:ascii="Times New Roman" w:hAnsi="Times New Roman" w:cs="Times New Roman"/>
          <w:lang w:val="en-US"/>
        </w:rPr>
        <w:t xml:space="preserve">cultivations (E). </w:t>
      </w:r>
    </w:p>
    <w:p w14:paraId="39380CCD" w14:textId="096C4C72" w:rsidR="00586A71" w:rsidRPr="00BA37A1" w:rsidRDefault="00586A71" w:rsidP="00586A71">
      <w:pPr>
        <w:pStyle w:val="Caption"/>
        <w:spacing w:line="480" w:lineRule="auto"/>
        <w:jc w:val="both"/>
        <w:rPr>
          <w:rFonts w:ascii="Times New Roman" w:hAnsi="Times New Roman" w:cs="Times New Roman"/>
          <w:lang w:val="en-US"/>
        </w:rPr>
      </w:pPr>
      <w:bookmarkStart w:id="4" w:name="_Ref65001660"/>
      <w:r w:rsidRPr="00BA37A1">
        <w:rPr>
          <w:rFonts w:ascii="Times New Roman" w:hAnsi="Times New Roman" w:cs="Times New Roman"/>
          <w:lang w:val="en-US"/>
        </w:rPr>
        <w:t xml:space="preserve">Figure </w:t>
      </w:r>
      <w:r w:rsidRPr="00BA37A1">
        <w:rPr>
          <w:rFonts w:ascii="Times New Roman" w:hAnsi="Times New Roman" w:cs="Times New Roman"/>
          <w:lang w:val="en-US"/>
        </w:rPr>
        <w:fldChar w:fldCharType="begin"/>
      </w:r>
      <w:r w:rsidRPr="00BA37A1">
        <w:rPr>
          <w:rFonts w:ascii="Times New Roman" w:hAnsi="Times New Roman" w:cs="Times New Roman"/>
          <w:lang w:val="en-US"/>
        </w:rPr>
        <w:instrText xml:space="preserve"> SEQ Figure \* ARABIC </w:instrText>
      </w:r>
      <w:r w:rsidRPr="00BA37A1">
        <w:rPr>
          <w:rFonts w:ascii="Times New Roman" w:hAnsi="Times New Roman" w:cs="Times New Roman"/>
          <w:lang w:val="en-US"/>
        </w:rPr>
        <w:fldChar w:fldCharType="separate"/>
      </w:r>
      <w:r w:rsidRPr="00BA37A1">
        <w:rPr>
          <w:rFonts w:ascii="Times New Roman" w:hAnsi="Times New Roman" w:cs="Times New Roman"/>
          <w:lang w:val="en-US"/>
        </w:rPr>
        <w:t>6</w:t>
      </w:r>
      <w:r w:rsidRPr="00BA37A1">
        <w:rPr>
          <w:rFonts w:ascii="Times New Roman" w:hAnsi="Times New Roman" w:cs="Times New Roman"/>
          <w:lang w:val="en-US"/>
        </w:rPr>
        <w:fldChar w:fldCharType="end"/>
      </w:r>
      <w:bookmarkEnd w:id="4"/>
      <w:r w:rsidRPr="00BA37A1">
        <w:rPr>
          <w:rFonts w:ascii="Times New Roman" w:hAnsi="Times New Roman" w:cs="Times New Roman"/>
          <w:lang w:val="en-US"/>
        </w:rPr>
        <w:t xml:space="preserve">: </w:t>
      </w:r>
      <w:r w:rsidR="00EB062B" w:rsidRPr="00BA37A1">
        <w:rPr>
          <w:rFonts w:ascii="Times New Roman" w:hAnsi="Times New Roman" w:cs="Times New Roman"/>
          <w:b/>
          <w:lang w:val="en-US"/>
        </w:rPr>
        <w:t>Optimized</w:t>
      </w:r>
      <w:r w:rsidRPr="00BA37A1">
        <w:rPr>
          <w:rFonts w:ascii="Times New Roman" w:hAnsi="Times New Roman" w:cs="Times New Roman"/>
          <w:b/>
          <w:lang w:val="en-US"/>
        </w:rPr>
        <w:t xml:space="preserve"> defined media with increased ammonium sulphate</w:t>
      </w:r>
      <w:r w:rsidRPr="00BA37A1">
        <w:rPr>
          <w:rFonts w:ascii="Times New Roman" w:hAnsi="Times New Roman" w:cs="Times New Roman"/>
          <w:lang w:val="en-US"/>
        </w:rPr>
        <w:t xml:space="preserve">. </w:t>
      </w:r>
      <w:r w:rsidRPr="00BA37A1">
        <w:rPr>
          <w:rFonts w:ascii="Times New Roman" w:hAnsi="Times New Roman" w:cs="Times New Roman"/>
          <w:i/>
          <w:lang w:val="en-US"/>
        </w:rPr>
        <w:t xml:space="preserve">LRS6 </w:t>
      </w:r>
      <w:r w:rsidRPr="00BA37A1">
        <w:rPr>
          <w:rFonts w:ascii="Times New Roman" w:hAnsi="Times New Roman" w:cs="Times New Roman"/>
          <w:lang w:val="en-US"/>
        </w:rPr>
        <w:t xml:space="preserve">was cultivated in the optimal defined media with a higher initial ammonium sulphate concentration (YNB 3.4 g/L, ammonium sulphate 10 g/L, YSM 2 g/L, galactose 50g/L). A) Biomass, galactose and secondary metabolite concentration. B) Total taxane accumulation. C) Accumulation of key products in the Taxol pathway. </w:t>
      </w:r>
    </w:p>
    <w:p w14:paraId="5955EECA" w14:textId="1D53FC41" w:rsidR="00586A71" w:rsidRPr="00BA37A1" w:rsidRDefault="00586A71" w:rsidP="00586A71">
      <w:pPr>
        <w:pStyle w:val="Caption"/>
        <w:spacing w:line="480" w:lineRule="auto"/>
        <w:jc w:val="both"/>
        <w:rPr>
          <w:rFonts w:ascii="Times New Roman" w:hAnsi="Times New Roman" w:cs="Times New Roman"/>
          <w:lang w:val="en-US"/>
        </w:rPr>
      </w:pPr>
      <w:r w:rsidRPr="00BA37A1">
        <w:rPr>
          <w:rFonts w:ascii="Times New Roman" w:hAnsi="Times New Roman" w:cs="Times New Roman"/>
          <w:lang w:val="en-US"/>
        </w:rPr>
        <w:t xml:space="preserve">Figure </w:t>
      </w:r>
      <w:r w:rsidRPr="00BA37A1">
        <w:rPr>
          <w:rFonts w:ascii="Times New Roman" w:hAnsi="Times New Roman" w:cs="Times New Roman"/>
          <w:lang w:val="en-US"/>
        </w:rPr>
        <w:fldChar w:fldCharType="begin"/>
      </w:r>
      <w:r w:rsidRPr="00BA37A1">
        <w:rPr>
          <w:rFonts w:ascii="Times New Roman" w:hAnsi="Times New Roman" w:cs="Times New Roman"/>
          <w:lang w:val="en-US"/>
        </w:rPr>
        <w:instrText xml:space="preserve"> SEQ Figure \* ARABIC </w:instrText>
      </w:r>
      <w:r w:rsidRPr="00BA37A1">
        <w:rPr>
          <w:rFonts w:ascii="Times New Roman" w:hAnsi="Times New Roman" w:cs="Times New Roman"/>
          <w:lang w:val="en-US"/>
        </w:rPr>
        <w:fldChar w:fldCharType="separate"/>
      </w:r>
      <w:r w:rsidRPr="00BA37A1">
        <w:rPr>
          <w:rFonts w:ascii="Times New Roman" w:hAnsi="Times New Roman" w:cs="Times New Roman"/>
          <w:lang w:val="en-US"/>
        </w:rPr>
        <w:t>7</w:t>
      </w:r>
      <w:r w:rsidRPr="00BA37A1">
        <w:rPr>
          <w:rFonts w:ascii="Times New Roman" w:hAnsi="Times New Roman" w:cs="Times New Roman"/>
          <w:lang w:val="en-US"/>
        </w:rPr>
        <w:fldChar w:fldCharType="end"/>
      </w:r>
      <w:r w:rsidRPr="00BA37A1">
        <w:rPr>
          <w:rFonts w:ascii="Times New Roman" w:hAnsi="Times New Roman" w:cs="Times New Roman"/>
          <w:lang w:val="en-US"/>
        </w:rPr>
        <w:t>:</w:t>
      </w:r>
      <w:r w:rsidRPr="00BA37A1">
        <w:rPr>
          <w:rFonts w:ascii="Times New Roman" w:hAnsi="Times New Roman" w:cs="Times New Roman"/>
          <w:b/>
          <w:lang w:val="en-US"/>
        </w:rPr>
        <w:t xml:space="preserve"> </w:t>
      </w:r>
      <w:r w:rsidR="00EB062B" w:rsidRPr="00BA37A1">
        <w:rPr>
          <w:rFonts w:ascii="Times New Roman" w:hAnsi="Times New Roman" w:cs="Times New Roman"/>
          <w:b/>
          <w:lang w:val="en-US"/>
        </w:rPr>
        <w:t>Optimized</w:t>
      </w:r>
      <w:r w:rsidRPr="00BA37A1">
        <w:rPr>
          <w:rFonts w:ascii="Times New Roman" w:hAnsi="Times New Roman" w:cs="Times New Roman"/>
          <w:b/>
          <w:lang w:val="en-US"/>
        </w:rPr>
        <w:t xml:space="preserve"> defined media with increased ammonium sulphate at 5L scale</w:t>
      </w:r>
      <w:r w:rsidRPr="00BA37A1">
        <w:rPr>
          <w:rFonts w:ascii="Times New Roman" w:hAnsi="Times New Roman" w:cs="Times New Roman"/>
          <w:lang w:val="en-US"/>
        </w:rPr>
        <w:t xml:space="preserve">. </w:t>
      </w:r>
      <w:r w:rsidRPr="00BA37A1">
        <w:rPr>
          <w:rFonts w:ascii="Times New Roman" w:hAnsi="Times New Roman" w:cs="Times New Roman"/>
          <w:i/>
          <w:lang w:val="en-US"/>
        </w:rPr>
        <w:t xml:space="preserve">LRS6 </w:t>
      </w:r>
      <w:r w:rsidRPr="00BA37A1">
        <w:rPr>
          <w:rFonts w:ascii="Times New Roman" w:hAnsi="Times New Roman" w:cs="Times New Roman"/>
          <w:lang w:val="en-US"/>
        </w:rPr>
        <w:t>was cultivated in the optimal defined media with a higher initial ammonium sulphate concentration (YNB 3.4 g/L, ammonium sulphate 10 g/L, YSM 2 g/L, galactose 50g/L). A) Biomass and galactose concentration, B) Total taxane concentration, C) Accumulation of key products in the Taxol pathway.</w:t>
      </w:r>
    </w:p>
    <w:p w14:paraId="11E29B03" w14:textId="77777777" w:rsidR="00586A71" w:rsidRPr="00BA37A1" w:rsidRDefault="00586A71" w:rsidP="00586A71">
      <w:pPr>
        <w:spacing w:line="480" w:lineRule="auto"/>
        <w:rPr>
          <w:rFonts w:ascii="Times New Roman" w:hAnsi="Times New Roman" w:cs="Times New Roman"/>
          <w:lang w:val="en-US"/>
        </w:rPr>
      </w:pPr>
    </w:p>
    <w:p w14:paraId="3D1FF593" w14:textId="77777777" w:rsidR="00586A71" w:rsidRPr="00BA37A1" w:rsidRDefault="00586A71" w:rsidP="00586A71">
      <w:pPr>
        <w:spacing w:line="480" w:lineRule="auto"/>
        <w:rPr>
          <w:rFonts w:ascii="Times New Roman" w:hAnsi="Times New Roman" w:cs="Times New Roman"/>
          <w:u w:val="single"/>
          <w:lang w:val="en-US"/>
        </w:rPr>
      </w:pPr>
    </w:p>
    <w:sectPr w:rsidR="00586A71" w:rsidRPr="00BA37A1" w:rsidSect="00EB2641">
      <w:footerReference w:type="default" r:id="rId11"/>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8AA02" w14:textId="77777777" w:rsidR="007A2C89" w:rsidRDefault="007A2C89" w:rsidP="003643ED">
      <w:pPr>
        <w:spacing w:after="0" w:line="240" w:lineRule="auto"/>
      </w:pPr>
      <w:r>
        <w:separator/>
      </w:r>
    </w:p>
  </w:endnote>
  <w:endnote w:type="continuationSeparator" w:id="0">
    <w:p w14:paraId="0ABA986B" w14:textId="77777777" w:rsidR="007A2C89" w:rsidRDefault="007A2C89" w:rsidP="003643ED">
      <w:pPr>
        <w:spacing w:after="0" w:line="240" w:lineRule="auto"/>
      </w:pPr>
      <w:r>
        <w:continuationSeparator/>
      </w:r>
    </w:p>
  </w:endnote>
  <w:endnote w:type="continuationNotice" w:id="1">
    <w:p w14:paraId="4CE16663" w14:textId="77777777" w:rsidR="007A2C89" w:rsidRDefault="007A2C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3359672"/>
      <w:docPartObj>
        <w:docPartGallery w:val="Page Numbers (Bottom of Page)"/>
        <w:docPartUnique/>
      </w:docPartObj>
    </w:sdtPr>
    <w:sdtEndPr>
      <w:rPr>
        <w:noProof/>
      </w:rPr>
    </w:sdtEndPr>
    <w:sdtContent>
      <w:p w14:paraId="369693D7" w14:textId="22A12008" w:rsidR="00387D41" w:rsidRDefault="00387D41">
        <w:pPr>
          <w:pStyle w:val="Footer"/>
          <w:jc w:val="center"/>
        </w:pPr>
        <w:r>
          <w:fldChar w:fldCharType="begin"/>
        </w:r>
        <w:r>
          <w:instrText xml:space="preserve"> PAGE   \* MERGEFORMAT </w:instrText>
        </w:r>
        <w:r>
          <w:fldChar w:fldCharType="separate"/>
        </w:r>
        <w:r w:rsidR="005E6A4C">
          <w:rPr>
            <w:noProof/>
          </w:rPr>
          <w:t>17</w:t>
        </w:r>
        <w:r>
          <w:rPr>
            <w:noProof/>
          </w:rPr>
          <w:fldChar w:fldCharType="end"/>
        </w:r>
      </w:p>
    </w:sdtContent>
  </w:sdt>
  <w:p w14:paraId="7FB7456E" w14:textId="77777777" w:rsidR="00387D41" w:rsidRDefault="00387D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2A804" w14:textId="77777777" w:rsidR="007A2C89" w:rsidRDefault="007A2C89" w:rsidP="003643ED">
      <w:pPr>
        <w:spacing w:after="0" w:line="240" w:lineRule="auto"/>
      </w:pPr>
      <w:r>
        <w:separator/>
      </w:r>
    </w:p>
  </w:footnote>
  <w:footnote w:type="continuationSeparator" w:id="0">
    <w:p w14:paraId="5C810470" w14:textId="77777777" w:rsidR="007A2C89" w:rsidRDefault="007A2C89" w:rsidP="003643ED">
      <w:pPr>
        <w:spacing w:after="0" w:line="240" w:lineRule="auto"/>
      </w:pPr>
      <w:r>
        <w:continuationSeparator/>
      </w:r>
    </w:p>
  </w:footnote>
  <w:footnote w:type="continuationNotice" w:id="1">
    <w:p w14:paraId="3CF0F403" w14:textId="77777777" w:rsidR="007A2C89" w:rsidRDefault="007A2C8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26EF"/>
    <w:multiLevelType w:val="hybridMultilevel"/>
    <w:tmpl w:val="0E26132E"/>
    <w:lvl w:ilvl="0" w:tplc="4AECC8E8">
      <w:start w:val="1"/>
      <w:numFmt w:val="decimal"/>
      <w:lvlText w:val="%1."/>
      <w:lvlJc w:val="left"/>
      <w:pPr>
        <w:ind w:left="644" w:hanging="360"/>
      </w:pPr>
      <w:rPr>
        <w:vertAlign w:val="superscrip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BB55947"/>
    <w:multiLevelType w:val="multilevel"/>
    <w:tmpl w:val="3516DA1E"/>
    <w:lvl w:ilvl="0">
      <w:start w:val="1"/>
      <w:numFmt w:val="decimal"/>
      <w:pStyle w:val="Heading1"/>
      <w:lvlText w:val="%1."/>
      <w:lvlJc w:val="left"/>
      <w:pPr>
        <w:ind w:left="643"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2A04F1"/>
    <w:multiLevelType w:val="multilevel"/>
    <w:tmpl w:val="2FA66078"/>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0DC17E6"/>
    <w:multiLevelType w:val="hybridMultilevel"/>
    <w:tmpl w:val="ED347438"/>
    <w:lvl w:ilvl="0" w:tplc="5664C8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140EE0"/>
    <w:multiLevelType w:val="multilevel"/>
    <w:tmpl w:val="6FC2F61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FA33E6E"/>
    <w:multiLevelType w:val="hybridMultilevel"/>
    <w:tmpl w:val="7A187CF2"/>
    <w:lvl w:ilvl="0" w:tplc="C5863840">
      <w:start w:val="4"/>
      <w:numFmt w:val="bullet"/>
      <w:lvlText w:val=""/>
      <w:lvlJc w:val="left"/>
      <w:pPr>
        <w:ind w:left="644" w:hanging="360"/>
      </w:pPr>
      <w:rPr>
        <w:rFonts w:ascii="Symbol" w:eastAsiaTheme="minorHAnsi" w:hAnsi="Symbol" w:cstheme="minorBid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s-ES" w:vendorID="64" w:dllVersion="4096" w:nlCheck="1" w:checkStyle="0"/>
  <w:activeWritingStyle w:appName="MSWord" w:lang="en-GB"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4F9"/>
    <w:rsid w:val="00003335"/>
    <w:rsid w:val="00003340"/>
    <w:rsid w:val="000051F9"/>
    <w:rsid w:val="00005F05"/>
    <w:rsid w:val="00006203"/>
    <w:rsid w:val="00013239"/>
    <w:rsid w:val="00014857"/>
    <w:rsid w:val="00022E86"/>
    <w:rsid w:val="00022F4D"/>
    <w:rsid w:val="00023E1B"/>
    <w:rsid w:val="000257EF"/>
    <w:rsid w:val="00027636"/>
    <w:rsid w:val="0002765A"/>
    <w:rsid w:val="00030013"/>
    <w:rsid w:val="00030E0E"/>
    <w:rsid w:val="00040347"/>
    <w:rsid w:val="0004166A"/>
    <w:rsid w:val="00045EFD"/>
    <w:rsid w:val="00050CC1"/>
    <w:rsid w:val="000526A7"/>
    <w:rsid w:val="000625E9"/>
    <w:rsid w:val="00063D86"/>
    <w:rsid w:val="0006634F"/>
    <w:rsid w:val="00074A30"/>
    <w:rsid w:val="00080340"/>
    <w:rsid w:val="000812FA"/>
    <w:rsid w:val="0008547D"/>
    <w:rsid w:val="00086D01"/>
    <w:rsid w:val="0009360A"/>
    <w:rsid w:val="00094770"/>
    <w:rsid w:val="000A625D"/>
    <w:rsid w:val="000A683D"/>
    <w:rsid w:val="000A7C18"/>
    <w:rsid w:val="000B30B1"/>
    <w:rsid w:val="000B3118"/>
    <w:rsid w:val="000B5D71"/>
    <w:rsid w:val="000B7BCE"/>
    <w:rsid w:val="000C447A"/>
    <w:rsid w:val="000C5816"/>
    <w:rsid w:val="000C7446"/>
    <w:rsid w:val="000D0271"/>
    <w:rsid w:val="000D0D11"/>
    <w:rsid w:val="000D7383"/>
    <w:rsid w:val="000E5F8D"/>
    <w:rsid w:val="000F25B6"/>
    <w:rsid w:val="00103463"/>
    <w:rsid w:val="001161CD"/>
    <w:rsid w:val="00131D52"/>
    <w:rsid w:val="0013287B"/>
    <w:rsid w:val="0013604B"/>
    <w:rsid w:val="0013762A"/>
    <w:rsid w:val="001401A5"/>
    <w:rsid w:val="00150609"/>
    <w:rsid w:val="00155505"/>
    <w:rsid w:val="00155832"/>
    <w:rsid w:val="00156EA1"/>
    <w:rsid w:val="00161B2E"/>
    <w:rsid w:val="00164597"/>
    <w:rsid w:val="00171D09"/>
    <w:rsid w:val="00175915"/>
    <w:rsid w:val="00176A22"/>
    <w:rsid w:val="001771D7"/>
    <w:rsid w:val="00183F80"/>
    <w:rsid w:val="00190623"/>
    <w:rsid w:val="001922D3"/>
    <w:rsid w:val="001937EF"/>
    <w:rsid w:val="00196FFC"/>
    <w:rsid w:val="001A022E"/>
    <w:rsid w:val="001A0C10"/>
    <w:rsid w:val="001A1D42"/>
    <w:rsid w:val="001B03B5"/>
    <w:rsid w:val="001B2870"/>
    <w:rsid w:val="001C1EAE"/>
    <w:rsid w:val="001C2444"/>
    <w:rsid w:val="001C3BBF"/>
    <w:rsid w:val="001C570A"/>
    <w:rsid w:val="001C698C"/>
    <w:rsid w:val="001D2153"/>
    <w:rsid w:val="001D6297"/>
    <w:rsid w:val="001E4F10"/>
    <w:rsid w:val="001E62B8"/>
    <w:rsid w:val="001E65E5"/>
    <w:rsid w:val="001F3B51"/>
    <w:rsid w:val="0020284B"/>
    <w:rsid w:val="00202B69"/>
    <w:rsid w:val="002043B7"/>
    <w:rsid w:val="00206799"/>
    <w:rsid w:val="0021252E"/>
    <w:rsid w:val="00216230"/>
    <w:rsid w:val="00216A0C"/>
    <w:rsid w:val="00217B1C"/>
    <w:rsid w:val="0022042F"/>
    <w:rsid w:val="00220E1B"/>
    <w:rsid w:val="00225CD5"/>
    <w:rsid w:val="00227AC7"/>
    <w:rsid w:val="00233F9A"/>
    <w:rsid w:val="002368CE"/>
    <w:rsid w:val="002410E3"/>
    <w:rsid w:val="00252BD8"/>
    <w:rsid w:val="002558B5"/>
    <w:rsid w:val="00271EC6"/>
    <w:rsid w:val="002766DA"/>
    <w:rsid w:val="00276926"/>
    <w:rsid w:val="002852E3"/>
    <w:rsid w:val="002939F3"/>
    <w:rsid w:val="002955C2"/>
    <w:rsid w:val="00296B2B"/>
    <w:rsid w:val="002A2504"/>
    <w:rsid w:val="002A4CDF"/>
    <w:rsid w:val="002A620D"/>
    <w:rsid w:val="002A6864"/>
    <w:rsid w:val="002B3D20"/>
    <w:rsid w:val="002C22B5"/>
    <w:rsid w:val="002D07B6"/>
    <w:rsid w:val="002D2316"/>
    <w:rsid w:val="002E1AF3"/>
    <w:rsid w:val="002E360F"/>
    <w:rsid w:val="002E3AC3"/>
    <w:rsid w:val="002E3BC5"/>
    <w:rsid w:val="002E6D9C"/>
    <w:rsid w:val="002F7AA9"/>
    <w:rsid w:val="00302EBB"/>
    <w:rsid w:val="00303495"/>
    <w:rsid w:val="00310E8F"/>
    <w:rsid w:val="0032149A"/>
    <w:rsid w:val="00323F25"/>
    <w:rsid w:val="00330EC7"/>
    <w:rsid w:val="00333B52"/>
    <w:rsid w:val="00336E58"/>
    <w:rsid w:val="00346F57"/>
    <w:rsid w:val="00347A7E"/>
    <w:rsid w:val="003514E8"/>
    <w:rsid w:val="0035470E"/>
    <w:rsid w:val="00356FB5"/>
    <w:rsid w:val="00362160"/>
    <w:rsid w:val="0036243D"/>
    <w:rsid w:val="003625AF"/>
    <w:rsid w:val="003643ED"/>
    <w:rsid w:val="0036621D"/>
    <w:rsid w:val="00366635"/>
    <w:rsid w:val="00375ACB"/>
    <w:rsid w:val="00376740"/>
    <w:rsid w:val="0038076A"/>
    <w:rsid w:val="00387B8A"/>
    <w:rsid w:val="00387D41"/>
    <w:rsid w:val="003947E5"/>
    <w:rsid w:val="00396613"/>
    <w:rsid w:val="003A0422"/>
    <w:rsid w:val="003A2133"/>
    <w:rsid w:val="003A2A78"/>
    <w:rsid w:val="003A7F4D"/>
    <w:rsid w:val="003B225A"/>
    <w:rsid w:val="003B251F"/>
    <w:rsid w:val="003B4965"/>
    <w:rsid w:val="003B682C"/>
    <w:rsid w:val="003C149F"/>
    <w:rsid w:val="003C288C"/>
    <w:rsid w:val="003C48CA"/>
    <w:rsid w:val="003D0EB8"/>
    <w:rsid w:val="003D3C7A"/>
    <w:rsid w:val="003E45AB"/>
    <w:rsid w:val="003F2132"/>
    <w:rsid w:val="003F7784"/>
    <w:rsid w:val="004028A1"/>
    <w:rsid w:val="004111CF"/>
    <w:rsid w:val="00411B4B"/>
    <w:rsid w:val="00416DD0"/>
    <w:rsid w:val="00417328"/>
    <w:rsid w:val="00422687"/>
    <w:rsid w:val="00423714"/>
    <w:rsid w:val="004241D4"/>
    <w:rsid w:val="00427F29"/>
    <w:rsid w:val="00430165"/>
    <w:rsid w:val="00434C9E"/>
    <w:rsid w:val="00434F63"/>
    <w:rsid w:val="00435335"/>
    <w:rsid w:val="004406C7"/>
    <w:rsid w:val="0044238E"/>
    <w:rsid w:val="00442D91"/>
    <w:rsid w:val="004447A2"/>
    <w:rsid w:val="0045463B"/>
    <w:rsid w:val="00456004"/>
    <w:rsid w:val="00456595"/>
    <w:rsid w:val="00457A91"/>
    <w:rsid w:val="00457ABC"/>
    <w:rsid w:val="00457EC0"/>
    <w:rsid w:val="00464EF0"/>
    <w:rsid w:val="00466BFB"/>
    <w:rsid w:val="00466F80"/>
    <w:rsid w:val="00467672"/>
    <w:rsid w:val="00471021"/>
    <w:rsid w:val="00472918"/>
    <w:rsid w:val="00482E9D"/>
    <w:rsid w:val="00486966"/>
    <w:rsid w:val="004876AA"/>
    <w:rsid w:val="004876B1"/>
    <w:rsid w:val="004956F2"/>
    <w:rsid w:val="004A1BA8"/>
    <w:rsid w:val="004A4FD0"/>
    <w:rsid w:val="004A7AA1"/>
    <w:rsid w:val="004B1E4A"/>
    <w:rsid w:val="004B20FA"/>
    <w:rsid w:val="004B3E16"/>
    <w:rsid w:val="004B46BE"/>
    <w:rsid w:val="004C0AC9"/>
    <w:rsid w:val="004C65BA"/>
    <w:rsid w:val="004C7DE1"/>
    <w:rsid w:val="004D2522"/>
    <w:rsid w:val="004D4F07"/>
    <w:rsid w:val="004D4FE9"/>
    <w:rsid w:val="004D73F1"/>
    <w:rsid w:val="004E04B8"/>
    <w:rsid w:val="004E1917"/>
    <w:rsid w:val="004F029A"/>
    <w:rsid w:val="004F08E5"/>
    <w:rsid w:val="004F4DBC"/>
    <w:rsid w:val="00501062"/>
    <w:rsid w:val="005011B8"/>
    <w:rsid w:val="005064B0"/>
    <w:rsid w:val="005141A1"/>
    <w:rsid w:val="0051564E"/>
    <w:rsid w:val="005162D0"/>
    <w:rsid w:val="00522388"/>
    <w:rsid w:val="0052607D"/>
    <w:rsid w:val="00527945"/>
    <w:rsid w:val="0053218D"/>
    <w:rsid w:val="00533BAF"/>
    <w:rsid w:val="005345EC"/>
    <w:rsid w:val="0053597C"/>
    <w:rsid w:val="00536D82"/>
    <w:rsid w:val="005375BD"/>
    <w:rsid w:val="0053763E"/>
    <w:rsid w:val="00541785"/>
    <w:rsid w:val="00546FE4"/>
    <w:rsid w:val="0055107A"/>
    <w:rsid w:val="00557E67"/>
    <w:rsid w:val="005617EB"/>
    <w:rsid w:val="00570D72"/>
    <w:rsid w:val="00574F34"/>
    <w:rsid w:val="005821A8"/>
    <w:rsid w:val="00584AC2"/>
    <w:rsid w:val="00586A71"/>
    <w:rsid w:val="00587BD1"/>
    <w:rsid w:val="00595486"/>
    <w:rsid w:val="005A1323"/>
    <w:rsid w:val="005B0BBD"/>
    <w:rsid w:val="005B125A"/>
    <w:rsid w:val="005B4F51"/>
    <w:rsid w:val="005B6E65"/>
    <w:rsid w:val="005B712A"/>
    <w:rsid w:val="005B7421"/>
    <w:rsid w:val="005C2DC7"/>
    <w:rsid w:val="005C6608"/>
    <w:rsid w:val="005C7B60"/>
    <w:rsid w:val="005D0F36"/>
    <w:rsid w:val="005D5FB5"/>
    <w:rsid w:val="005E0DF9"/>
    <w:rsid w:val="005E49A0"/>
    <w:rsid w:val="005E6A4C"/>
    <w:rsid w:val="005F15B7"/>
    <w:rsid w:val="005F2A10"/>
    <w:rsid w:val="005F769A"/>
    <w:rsid w:val="00602ECB"/>
    <w:rsid w:val="00602F28"/>
    <w:rsid w:val="006035A1"/>
    <w:rsid w:val="006063C9"/>
    <w:rsid w:val="00606D9F"/>
    <w:rsid w:val="00610399"/>
    <w:rsid w:val="00612A1B"/>
    <w:rsid w:val="00613E75"/>
    <w:rsid w:val="0061723C"/>
    <w:rsid w:val="006258D8"/>
    <w:rsid w:val="0063041F"/>
    <w:rsid w:val="00634B90"/>
    <w:rsid w:val="006356A5"/>
    <w:rsid w:val="00636A41"/>
    <w:rsid w:val="00636D5A"/>
    <w:rsid w:val="00642685"/>
    <w:rsid w:val="00644131"/>
    <w:rsid w:val="00644E4A"/>
    <w:rsid w:val="00653115"/>
    <w:rsid w:val="00663A9B"/>
    <w:rsid w:val="0066535C"/>
    <w:rsid w:val="0067306F"/>
    <w:rsid w:val="00674831"/>
    <w:rsid w:val="00674A99"/>
    <w:rsid w:val="00674CB7"/>
    <w:rsid w:val="00675BA0"/>
    <w:rsid w:val="006820C8"/>
    <w:rsid w:val="0068227F"/>
    <w:rsid w:val="00683DCD"/>
    <w:rsid w:val="00691A43"/>
    <w:rsid w:val="0069437C"/>
    <w:rsid w:val="0069443E"/>
    <w:rsid w:val="006A1526"/>
    <w:rsid w:val="006A3D34"/>
    <w:rsid w:val="006A5CF8"/>
    <w:rsid w:val="006A7F4E"/>
    <w:rsid w:val="006C123A"/>
    <w:rsid w:val="006C2C6E"/>
    <w:rsid w:val="006C7246"/>
    <w:rsid w:val="006C7E97"/>
    <w:rsid w:val="006D53AB"/>
    <w:rsid w:val="006D784F"/>
    <w:rsid w:val="006E249C"/>
    <w:rsid w:val="006E5197"/>
    <w:rsid w:val="006F0001"/>
    <w:rsid w:val="006F0724"/>
    <w:rsid w:val="006F0F4F"/>
    <w:rsid w:val="006F45E1"/>
    <w:rsid w:val="006F5E37"/>
    <w:rsid w:val="006F7EBE"/>
    <w:rsid w:val="007014C9"/>
    <w:rsid w:val="0070201F"/>
    <w:rsid w:val="007036B6"/>
    <w:rsid w:val="00711C1E"/>
    <w:rsid w:val="007158D0"/>
    <w:rsid w:val="00715A9D"/>
    <w:rsid w:val="007209DB"/>
    <w:rsid w:val="007211C9"/>
    <w:rsid w:val="00732321"/>
    <w:rsid w:val="00736300"/>
    <w:rsid w:val="00740BAC"/>
    <w:rsid w:val="00743B49"/>
    <w:rsid w:val="007462C9"/>
    <w:rsid w:val="00747B85"/>
    <w:rsid w:val="0075125A"/>
    <w:rsid w:val="00751D01"/>
    <w:rsid w:val="00756C72"/>
    <w:rsid w:val="0076232D"/>
    <w:rsid w:val="00766681"/>
    <w:rsid w:val="00770A50"/>
    <w:rsid w:val="00773BAA"/>
    <w:rsid w:val="00773BD3"/>
    <w:rsid w:val="00774BE2"/>
    <w:rsid w:val="00781E48"/>
    <w:rsid w:val="007941B1"/>
    <w:rsid w:val="007959DB"/>
    <w:rsid w:val="0079769D"/>
    <w:rsid w:val="007A08EF"/>
    <w:rsid w:val="007A2C89"/>
    <w:rsid w:val="007A2DA3"/>
    <w:rsid w:val="007A3C75"/>
    <w:rsid w:val="007A4BF9"/>
    <w:rsid w:val="007B5B4D"/>
    <w:rsid w:val="007B6194"/>
    <w:rsid w:val="007C382F"/>
    <w:rsid w:val="007C41A1"/>
    <w:rsid w:val="007C6E72"/>
    <w:rsid w:val="007D11F2"/>
    <w:rsid w:val="007D4F61"/>
    <w:rsid w:val="007E17D9"/>
    <w:rsid w:val="007E2E24"/>
    <w:rsid w:val="007E44EE"/>
    <w:rsid w:val="007F313C"/>
    <w:rsid w:val="007F593A"/>
    <w:rsid w:val="007F72E5"/>
    <w:rsid w:val="007F732C"/>
    <w:rsid w:val="00801E23"/>
    <w:rsid w:val="00812BC9"/>
    <w:rsid w:val="00813165"/>
    <w:rsid w:val="00815465"/>
    <w:rsid w:val="00816DB1"/>
    <w:rsid w:val="00820531"/>
    <w:rsid w:val="0082195A"/>
    <w:rsid w:val="00822431"/>
    <w:rsid w:val="00822EF5"/>
    <w:rsid w:val="008302AC"/>
    <w:rsid w:val="00836185"/>
    <w:rsid w:val="00840B2D"/>
    <w:rsid w:val="0084502D"/>
    <w:rsid w:val="00853FA8"/>
    <w:rsid w:val="00854BBC"/>
    <w:rsid w:val="00857A41"/>
    <w:rsid w:val="00861D5C"/>
    <w:rsid w:val="00861DA5"/>
    <w:rsid w:val="00863779"/>
    <w:rsid w:val="00864C98"/>
    <w:rsid w:val="00865834"/>
    <w:rsid w:val="008669B6"/>
    <w:rsid w:val="008671DA"/>
    <w:rsid w:val="00871881"/>
    <w:rsid w:val="0087276A"/>
    <w:rsid w:val="008729E9"/>
    <w:rsid w:val="00875551"/>
    <w:rsid w:val="00880F2A"/>
    <w:rsid w:val="00883EF4"/>
    <w:rsid w:val="0088456A"/>
    <w:rsid w:val="00886851"/>
    <w:rsid w:val="00890382"/>
    <w:rsid w:val="0089587B"/>
    <w:rsid w:val="00896C35"/>
    <w:rsid w:val="00897A52"/>
    <w:rsid w:val="008A24E1"/>
    <w:rsid w:val="008A370B"/>
    <w:rsid w:val="008B7029"/>
    <w:rsid w:val="008C101C"/>
    <w:rsid w:val="008C3769"/>
    <w:rsid w:val="008C4DAA"/>
    <w:rsid w:val="008D46FC"/>
    <w:rsid w:val="008E1440"/>
    <w:rsid w:val="008E22A1"/>
    <w:rsid w:val="008E400D"/>
    <w:rsid w:val="008F640E"/>
    <w:rsid w:val="009026DE"/>
    <w:rsid w:val="00902E92"/>
    <w:rsid w:val="009056E5"/>
    <w:rsid w:val="00906DE0"/>
    <w:rsid w:val="009127A3"/>
    <w:rsid w:val="00917134"/>
    <w:rsid w:val="009179EB"/>
    <w:rsid w:val="009211C2"/>
    <w:rsid w:val="0092148A"/>
    <w:rsid w:val="00922962"/>
    <w:rsid w:val="00923338"/>
    <w:rsid w:val="00924A7A"/>
    <w:rsid w:val="0092600E"/>
    <w:rsid w:val="00926344"/>
    <w:rsid w:val="00934498"/>
    <w:rsid w:val="00936C2E"/>
    <w:rsid w:val="00940023"/>
    <w:rsid w:val="009478D4"/>
    <w:rsid w:val="00956A2B"/>
    <w:rsid w:val="00957D26"/>
    <w:rsid w:val="0096430B"/>
    <w:rsid w:val="00970E0C"/>
    <w:rsid w:val="00970E2E"/>
    <w:rsid w:val="00981BE2"/>
    <w:rsid w:val="00982B08"/>
    <w:rsid w:val="00982E50"/>
    <w:rsid w:val="00983C21"/>
    <w:rsid w:val="00984021"/>
    <w:rsid w:val="00987CB2"/>
    <w:rsid w:val="0099135D"/>
    <w:rsid w:val="0099776A"/>
    <w:rsid w:val="009A0F2D"/>
    <w:rsid w:val="009A1A51"/>
    <w:rsid w:val="009A1B2C"/>
    <w:rsid w:val="009A236F"/>
    <w:rsid w:val="009A4CEE"/>
    <w:rsid w:val="009A53D0"/>
    <w:rsid w:val="009B5BA3"/>
    <w:rsid w:val="009B5E95"/>
    <w:rsid w:val="009B66E4"/>
    <w:rsid w:val="009C1C00"/>
    <w:rsid w:val="009C4ADE"/>
    <w:rsid w:val="009C6273"/>
    <w:rsid w:val="009C7B76"/>
    <w:rsid w:val="009D096B"/>
    <w:rsid w:val="009D231D"/>
    <w:rsid w:val="009D2607"/>
    <w:rsid w:val="009D41B2"/>
    <w:rsid w:val="009D7287"/>
    <w:rsid w:val="009E033F"/>
    <w:rsid w:val="009E0605"/>
    <w:rsid w:val="009F00CD"/>
    <w:rsid w:val="009F066A"/>
    <w:rsid w:val="009F3980"/>
    <w:rsid w:val="009F4341"/>
    <w:rsid w:val="009F5B9B"/>
    <w:rsid w:val="00A04D5B"/>
    <w:rsid w:val="00A05177"/>
    <w:rsid w:val="00A10686"/>
    <w:rsid w:val="00A121C4"/>
    <w:rsid w:val="00A145E2"/>
    <w:rsid w:val="00A16E7A"/>
    <w:rsid w:val="00A223E5"/>
    <w:rsid w:val="00A25360"/>
    <w:rsid w:val="00A30E70"/>
    <w:rsid w:val="00A33B60"/>
    <w:rsid w:val="00A45432"/>
    <w:rsid w:val="00A476FC"/>
    <w:rsid w:val="00A5206E"/>
    <w:rsid w:val="00A53A0B"/>
    <w:rsid w:val="00A56E23"/>
    <w:rsid w:val="00A57838"/>
    <w:rsid w:val="00A61B89"/>
    <w:rsid w:val="00A62D95"/>
    <w:rsid w:val="00A64299"/>
    <w:rsid w:val="00A64F70"/>
    <w:rsid w:val="00A65336"/>
    <w:rsid w:val="00A67C5D"/>
    <w:rsid w:val="00A702CC"/>
    <w:rsid w:val="00A737B7"/>
    <w:rsid w:val="00A73A44"/>
    <w:rsid w:val="00A73DB7"/>
    <w:rsid w:val="00A871FF"/>
    <w:rsid w:val="00A900F1"/>
    <w:rsid w:val="00A90508"/>
    <w:rsid w:val="00A95C3A"/>
    <w:rsid w:val="00AA0816"/>
    <w:rsid w:val="00AA13FE"/>
    <w:rsid w:val="00AA273F"/>
    <w:rsid w:val="00AA4F1F"/>
    <w:rsid w:val="00AA70E0"/>
    <w:rsid w:val="00AB1AD0"/>
    <w:rsid w:val="00AB7411"/>
    <w:rsid w:val="00AC41EB"/>
    <w:rsid w:val="00AD1112"/>
    <w:rsid w:val="00AD1E24"/>
    <w:rsid w:val="00AD36F6"/>
    <w:rsid w:val="00AD4EB2"/>
    <w:rsid w:val="00AE181C"/>
    <w:rsid w:val="00AE2C12"/>
    <w:rsid w:val="00AE4BEC"/>
    <w:rsid w:val="00AE5D7C"/>
    <w:rsid w:val="00AF072C"/>
    <w:rsid w:val="00AF1B02"/>
    <w:rsid w:val="00AF3FF5"/>
    <w:rsid w:val="00AF40C0"/>
    <w:rsid w:val="00AF7DBD"/>
    <w:rsid w:val="00B104C5"/>
    <w:rsid w:val="00B1597D"/>
    <w:rsid w:val="00B20537"/>
    <w:rsid w:val="00B2312D"/>
    <w:rsid w:val="00B243E2"/>
    <w:rsid w:val="00B25D82"/>
    <w:rsid w:val="00B342C1"/>
    <w:rsid w:val="00B413C8"/>
    <w:rsid w:val="00B44C68"/>
    <w:rsid w:val="00B4509D"/>
    <w:rsid w:val="00B467B2"/>
    <w:rsid w:val="00B50882"/>
    <w:rsid w:val="00B50BB5"/>
    <w:rsid w:val="00B54063"/>
    <w:rsid w:val="00B560F8"/>
    <w:rsid w:val="00B578FB"/>
    <w:rsid w:val="00B616A1"/>
    <w:rsid w:val="00B64353"/>
    <w:rsid w:val="00B66823"/>
    <w:rsid w:val="00B66D17"/>
    <w:rsid w:val="00B67E95"/>
    <w:rsid w:val="00B729E7"/>
    <w:rsid w:val="00B72B05"/>
    <w:rsid w:val="00B80AD4"/>
    <w:rsid w:val="00B82434"/>
    <w:rsid w:val="00B83D5B"/>
    <w:rsid w:val="00B84A5D"/>
    <w:rsid w:val="00B84A73"/>
    <w:rsid w:val="00B9216F"/>
    <w:rsid w:val="00B95AFB"/>
    <w:rsid w:val="00B96974"/>
    <w:rsid w:val="00B96B2C"/>
    <w:rsid w:val="00BA02D1"/>
    <w:rsid w:val="00BA37A1"/>
    <w:rsid w:val="00BA5B1D"/>
    <w:rsid w:val="00BA6498"/>
    <w:rsid w:val="00BB100B"/>
    <w:rsid w:val="00BB5B5A"/>
    <w:rsid w:val="00BC17E9"/>
    <w:rsid w:val="00BC6773"/>
    <w:rsid w:val="00BD46A4"/>
    <w:rsid w:val="00BE1789"/>
    <w:rsid w:val="00BE768E"/>
    <w:rsid w:val="00BE7EB0"/>
    <w:rsid w:val="00BF02C8"/>
    <w:rsid w:val="00BF1CEA"/>
    <w:rsid w:val="00BF5EF0"/>
    <w:rsid w:val="00BF6D7A"/>
    <w:rsid w:val="00BF6DCC"/>
    <w:rsid w:val="00C075B9"/>
    <w:rsid w:val="00C12CCB"/>
    <w:rsid w:val="00C16E81"/>
    <w:rsid w:val="00C2048A"/>
    <w:rsid w:val="00C23ACA"/>
    <w:rsid w:val="00C30008"/>
    <w:rsid w:val="00C31E61"/>
    <w:rsid w:val="00C33C6A"/>
    <w:rsid w:val="00C416D8"/>
    <w:rsid w:val="00C524E7"/>
    <w:rsid w:val="00C54E13"/>
    <w:rsid w:val="00C55A10"/>
    <w:rsid w:val="00C70461"/>
    <w:rsid w:val="00C71D54"/>
    <w:rsid w:val="00C742F8"/>
    <w:rsid w:val="00C754CA"/>
    <w:rsid w:val="00C8219C"/>
    <w:rsid w:val="00C822A7"/>
    <w:rsid w:val="00C8508E"/>
    <w:rsid w:val="00C91534"/>
    <w:rsid w:val="00C921B2"/>
    <w:rsid w:val="00C92A8E"/>
    <w:rsid w:val="00C92EC5"/>
    <w:rsid w:val="00C94B8A"/>
    <w:rsid w:val="00C97EF8"/>
    <w:rsid w:val="00CA294E"/>
    <w:rsid w:val="00CA3CFB"/>
    <w:rsid w:val="00CA535B"/>
    <w:rsid w:val="00CB32F4"/>
    <w:rsid w:val="00CC053C"/>
    <w:rsid w:val="00CC1B01"/>
    <w:rsid w:val="00CC426B"/>
    <w:rsid w:val="00CC45E3"/>
    <w:rsid w:val="00CC64BA"/>
    <w:rsid w:val="00CD358F"/>
    <w:rsid w:val="00CD47D3"/>
    <w:rsid w:val="00CD5508"/>
    <w:rsid w:val="00CD5B4E"/>
    <w:rsid w:val="00CE3A5A"/>
    <w:rsid w:val="00CF2199"/>
    <w:rsid w:val="00CF7058"/>
    <w:rsid w:val="00D005C1"/>
    <w:rsid w:val="00D02DBB"/>
    <w:rsid w:val="00D030C5"/>
    <w:rsid w:val="00D073CA"/>
    <w:rsid w:val="00D073EC"/>
    <w:rsid w:val="00D108FB"/>
    <w:rsid w:val="00D11CDD"/>
    <w:rsid w:val="00D129D6"/>
    <w:rsid w:val="00D13D92"/>
    <w:rsid w:val="00D15695"/>
    <w:rsid w:val="00D23D9A"/>
    <w:rsid w:val="00D25807"/>
    <w:rsid w:val="00D27C7A"/>
    <w:rsid w:val="00D35B38"/>
    <w:rsid w:val="00D36DCD"/>
    <w:rsid w:val="00D41FAD"/>
    <w:rsid w:val="00D44469"/>
    <w:rsid w:val="00D4506B"/>
    <w:rsid w:val="00D45693"/>
    <w:rsid w:val="00D472F9"/>
    <w:rsid w:val="00D50B0C"/>
    <w:rsid w:val="00D6491A"/>
    <w:rsid w:val="00D64F58"/>
    <w:rsid w:val="00D654FC"/>
    <w:rsid w:val="00D66A48"/>
    <w:rsid w:val="00D70449"/>
    <w:rsid w:val="00D70D8C"/>
    <w:rsid w:val="00D74BA9"/>
    <w:rsid w:val="00D806C1"/>
    <w:rsid w:val="00D90A5D"/>
    <w:rsid w:val="00D918FB"/>
    <w:rsid w:val="00DA2521"/>
    <w:rsid w:val="00DA7A47"/>
    <w:rsid w:val="00DB33BF"/>
    <w:rsid w:val="00DB3FF2"/>
    <w:rsid w:val="00DB4F4A"/>
    <w:rsid w:val="00DC40A4"/>
    <w:rsid w:val="00DC7956"/>
    <w:rsid w:val="00DD47D1"/>
    <w:rsid w:val="00DE084B"/>
    <w:rsid w:val="00DE0C4C"/>
    <w:rsid w:val="00DE2A22"/>
    <w:rsid w:val="00DE3C47"/>
    <w:rsid w:val="00DE5C2A"/>
    <w:rsid w:val="00DF10DB"/>
    <w:rsid w:val="00E068A7"/>
    <w:rsid w:val="00E077AA"/>
    <w:rsid w:val="00E21A62"/>
    <w:rsid w:val="00E2515D"/>
    <w:rsid w:val="00E25FDB"/>
    <w:rsid w:val="00E27BFF"/>
    <w:rsid w:val="00E3088C"/>
    <w:rsid w:val="00E310C8"/>
    <w:rsid w:val="00E346EC"/>
    <w:rsid w:val="00E40E6B"/>
    <w:rsid w:val="00E4560E"/>
    <w:rsid w:val="00E46A84"/>
    <w:rsid w:val="00E516CD"/>
    <w:rsid w:val="00E568B9"/>
    <w:rsid w:val="00E67A6C"/>
    <w:rsid w:val="00E7200D"/>
    <w:rsid w:val="00E7270C"/>
    <w:rsid w:val="00E7455D"/>
    <w:rsid w:val="00E76741"/>
    <w:rsid w:val="00E76ED2"/>
    <w:rsid w:val="00E805CA"/>
    <w:rsid w:val="00E80791"/>
    <w:rsid w:val="00E92308"/>
    <w:rsid w:val="00E93D3C"/>
    <w:rsid w:val="00E93E27"/>
    <w:rsid w:val="00E976B4"/>
    <w:rsid w:val="00EA04D0"/>
    <w:rsid w:val="00EA1468"/>
    <w:rsid w:val="00EB062B"/>
    <w:rsid w:val="00EB24E0"/>
    <w:rsid w:val="00EB2503"/>
    <w:rsid w:val="00EB2641"/>
    <w:rsid w:val="00EB2CB3"/>
    <w:rsid w:val="00EB318D"/>
    <w:rsid w:val="00EB5685"/>
    <w:rsid w:val="00EB6040"/>
    <w:rsid w:val="00EC01CC"/>
    <w:rsid w:val="00EC69B0"/>
    <w:rsid w:val="00ED4593"/>
    <w:rsid w:val="00EE1109"/>
    <w:rsid w:val="00EE1BF2"/>
    <w:rsid w:val="00EE2413"/>
    <w:rsid w:val="00EE4E66"/>
    <w:rsid w:val="00EE6B3E"/>
    <w:rsid w:val="00EF2292"/>
    <w:rsid w:val="00EF775C"/>
    <w:rsid w:val="00F0045E"/>
    <w:rsid w:val="00F004CD"/>
    <w:rsid w:val="00F056FF"/>
    <w:rsid w:val="00F0610A"/>
    <w:rsid w:val="00F10071"/>
    <w:rsid w:val="00F14085"/>
    <w:rsid w:val="00F1782D"/>
    <w:rsid w:val="00F216BA"/>
    <w:rsid w:val="00F225E9"/>
    <w:rsid w:val="00F2376A"/>
    <w:rsid w:val="00F273CB"/>
    <w:rsid w:val="00F27F6D"/>
    <w:rsid w:val="00F347F0"/>
    <w:rsid w:val="00F36C89"/>
    <w:rsid w:val="00F42A10"/>
    <w:rsid w:val="00F43775"/>
    <w:rsid w:val="00F43B6F"/>
    <w:rsid w:val="00F56A69"/>
    <w:rsid w:val="00F65E96"/>
    <w:rsid w:val="00F671EF"/>
    <w:rsid w:val="00F73D54"/>
    <w:rsid w:val="00F769A6"/>
    <w:rsid w:val="00F776AD"/>
    <w:rsid w:val="00F82CD5"/>
    <w:rsid w:val="00F85CDA"/>
    <w:rsid w:val="00F85F4D"/>
    <w:rsid w:val="00F92EF7"/>
    <w:rsid w:val="00FA0573"/>
    <w:rsid w:val="00FA6903"/>
    <w:rsid w:val="00FB54F9"/>
    <w:rsid w:val="00FC1C83"/>
    <w:rsid w:val="00FC28D0"/>
    <w:rsid w:val="00FC720E"/>
    <w:rsid w:val="00FC783F"/>
    <w:rsid w:val="00FD3960"/>
    <w:rsid w:val="00FE1EA8"/>
    <w:rsid w:val="00FE37E8"/>
    <w:rsid w:val="00FE44B7"/>
    <w:rsid w:val="00FE625B"/>
    <w:rsid w:val="00FE71AB"/>
    <w:rsid w:val="00FF0BFE"/>
    <w:rsid w:val="00FF1AB0"/>
    <w:rsid w:val="00FF4CDD"/>
    <w:rsid w:val="00FF4E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1B053C"/>
  <w15:chartTrackingRefBased/>
  <w15:docId w15:val="{B4662D3E-B09D-4D68-933F-C5B3BE8D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5BD"/>
    <w:pPr>
      <w:jc w:val="both"/>
    </w:pPr>
    <w:rPr>
      <w:rFonts w:ascii="Bookman Old Style" w:hAnsi="Bookman Old Style"/>
    </w:rPr>
  </w:style>
  <w:style w:type="paragraph" w:styleId="Heading1">
    <w:name w:val="heading 1"/>
    <w:basedOn w:val="Normal"/>
    <w:next w:val="Normal"/>
    <w:link w:val="Heading1Char"/>
    <w:uiPriority w:val="9"/>
    <w:qFormat/>
    <w:rsid w:val="00220E1B"/>
    <w:pPr>
      <w:keepNext/>
      <w:keepLines/>
      <w:numPr>
        <w:numId w:val="1"/>
      </w:numPr>
      <w:spacing w:before="240" w:after="0"/>
      <w:outlineLvl w:val="0"/>
    </w:pPr>
    <w:rPr>
      <w:rFonts w:eastAsiaTheme="majorEastAsia" w:cstheme="majorBidi"/>
      <w:b/>
      <w:sz w:val="24"/>
      <w:szCs w:val="32"/>
      <w:u w:val="single"/>
    </w:rPr>
  </w:style>
  <w:style w:type="paragraph" w:styleId="Heading2">
    <w:name w:val="heading 2"/>
    <w:basedOn w:val="Normal"/>
    <w:next w:val="Normal"/>
    <w:link w:val="Heading2Char"/>
    <w:uiPriority w:val="9"/>
    <w:unhideWhenUsed/>
    <w:qFormat/>
    <w:rsid w:val="009F066A"/>
    <w:pPr>
      <w:keepNext/>
      <w:keepLines/>
      <w:spacing w:before="40" w:after="0"/>
      <w:outlineLvl w:val="1"/>
    </w:pPr>
    <w:rPr>
      <w:rFonts w:eastAsiaTheme="majorEastAsia" w:cstheme="majorBidi"/>
      <w:szCs w:val="26"/>
      <w:u w:val="single"/>
    </w:rPr>
  </w:style>
  <w:style w:type="paragraph" w:styleId="Heading3">
    <w:name w:val="heading 3"/>
    <w:basedOn w:val="Normal"/>
    <w:next w:val="Normal"/>
    <w:link w:val="Heading3Char"/>
    <w:uiPriority w:val="9"/>
    <w:unhideWhenUsed/>
    <w:qFormat/>
    <w:rsid w:val="000625E9"/>
    <w:pPr>
      <w:keepNext/>
      <w:keepLines/>
      <w:spacing w:before="40" w:after="0"/>
      <w:outlineLvl w:val="2"/>
    </w:pPr>
    <w:rPr>
      <w:rFonts w:eastAsiaTheme="majorEastAsia" w:cstheme="majorBidi"/>
      <w:i/>
      <w:szCs w:val="24"/>
      <w:u w:val="single"/>
    </w:rPr>
  </w:style>
  <w:style w:type="paragraph" w:styleId="Heading4">
    <w:name w:val="heading 4"/>
    <w:basedOn w:val="Normal"/>
    <w:next w:val="Normal"/>
    <w:link w:val="Heading4Char"/>
    <w:uiPriority w:val="9"/>
    <w:unhideWhenUsed/>
    <w:qFormat/>
    <w:rsid w:val="009C6273"/>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E1B"/>
    <w:rPr>
      <w:rFonts w:ascii="Bookman Old Style" w:eastAsiaTheme="majorEastAsia" w:hAnsi="Bookman Old Style" w:cstheme="majorBidi"/>
      <w:b/>
      <w:sz w:val="24"/>
      <w:szCs w:val="32"/>
      <w:u w:val="single"/>
    </w:rPr>
  </w:style>
  <w:style w:type="character" w:customStyle="1" w:styleId="Heading2Char">
    <w:name w:val="Heading 2 Char"/>
    <w:basedOn w:val="DefaultParagraphFont"/>
    <w:link w:val="Heading2"/>
    <w:uiPriority w:val="9"/>
    <w:rsid w:val="009F066A"/>
    <w:rPr>
      <w:rFonts w:ascii="Bookman Old Style" w:eastAsiaTheme="majorEastAsia" w:hAnsi="Bookman Old Style" w:cstheme="majorBidi"/>
      <w:szCs w:val="26"/>
      <w:u w:val="single"/>
    </w:rPr>
  </w:style>
  <w:style w:type="character" w:styleId="CommentReference">
    <w:name w:val="annotation reference"/>
    <w:basedOn w:val="DefaultParagraphFont"/>
    <w:uiPriority w:val="99"/>
    <w:semiHidden/>
    <w:unhideWhenUsed/>
    <w:rsid w:val="00456595"/>
    <w:rPr>
      <w:sz w:val="16"/>
      <w:szCs w:val="16"/>
    </w:rPr>
  </w:style>
  <w:style w:type="paragraph" w:styleId="CommentText">
    <w:name w:val="annotation text"/>
    <w:basedOn w:val="Normal"/>
    <w:link w:val="CommentTextChar"/>
    <w:uiPriority w:val="99"/>
    <w:semiHidden/>
    <w:unhideWhenUsed/>
    <w:rsid w:val="00456595"/>
    <w:pPr>
      <w:spacing w:line="240" w:lineRule="auto"/>
    </w:pPr>
    <w:rPr>
      <w:sz w:val="20"/>
      <w:szCs w:val="20"/>
    </w:rPr>
  </w:style>
  <w:style w:type="character" w:customStyle="1" w:styleId="CommentTextChar">
    <w:name w:val="Comment Text Char"/>
    <w:basedOn w:val="DefaultParagraphFont"/>
    <w:link w:val="CommentText"/>
    <w:uiPriority w:val="99"/>
    <w:semiHidden/>
    <w:rsid w:val="00456595"/>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unhideWhenUsed/>
    <w:rsid w:val="00456595"/>
    <w:rPr>
      <w:b/>
      <w:bCs/>
    </w:rPr>
  </w:style>
  <w:style w:type="character" w:customStyle="1" w:styleId="CommentSubjectChar">
    <w:name w:val="Comment Subject Char"/>
    <w:basedOn w:val="CommentTextChar"/>
    <w:link w:val="CommentSubject"/>
    <w:uiPriority w:val="99"/>
    <w:semiHidden/>
    <w:rsid w:val="00456595"/>
    <w:rPr>
      <w:rFonts w:ascii="Bookman Old Style" w:hAnsi="Bookman Old Style"/>
      <w:b/>
      <w:bCs/>
      <w:sz w:val="20"/>
      <w:szCs w:val="20"/>
    </w:rPr>
  </w:style>
  <w:style w:type="paragraph" w:styleId="BalloonText">
    <w:name w:val="Balloon Text"/>
    <w:basedOn w:val="Normal"/>
    <w:link w:val="BalloonTextChar"/>
    <w:uiPriority w:val="99"/>
    <w:semiHidden/>
    <w:unhideWhenUsed/>
    <w:rsid w:val="004565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6595"/>
    <w:rPr>
      <w:rFonts w:ascii="Segoe UI" w:hAnsi="Segoe UI" w:cs="Segoe UI"/>
      <w:sz w:val="18"/>
      <w:szCs w:val="18"/>
    </w:rPr>
  </w:style>
  <w:style w:type="paragraph" w:styleId="ListParagraph">
    <w:name w:val="List Paragraph"/>
    <w:basedOn w:val="Normal"/>
    <w:uiPriority w:val="34"/>
    <w:qFormat/>
    <w:rsid w:val="0069437C"/>
    <w:pPr>
      <w:ind w:left="720"/>
      <w:contextualSpacing/>
    </w:pPr>
  </w:style>
  <w:style w:type="table" w:styleId="TableGrid">
    <w:name w:val="Table Grid"/>
    <w:basedOn w:val="TableNormal"/>
    <w:uiPriority w:val="39"/>
    <w:rsid w:val="0077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C48CA"/>
    <w:pPr>
      <w:spacing w:after="200" w:line="240" w:lineRule="auto"/>
      <w:jc w:val="center"/>
    </w:pPr>
    <w:rPr>
      <w:iCs/>
      <w:sz w:val="18"/>
      <w:szCs w:val="18"/>
    </w:rPr>
  </w:style>
  <w:style w:type="character" w:customStyle="1" w:styleId="Heading3Char">
    <w:name w:val="Heading 3 Char"/>
    <w:basedOn w:val="DefaultParagraphFont"/>
    <w:link w:val="Heading3"/>
    <w:uiPriority w:val="9"/>
    <w:rsid w:val="000625E9"/>
    <w:rPr>
      <w:rFonts w:ascii="Bookman Old Style" w:eastAsiaTheme="majorEastAsia" w:hAnsi="Bookman Old Style" w:cstheme="majorBidi"/>
      <w:i/>
      <w:szCs w:val="24"/>
      <w:u w:val="single"/>
    </w:rPr>
  </w:style>
  <w:style w:type="character" w:styleId="Hyperlink">
    <w:name w:val="Hyperlink"/>
    <w:basedOn w:val="DefaultParagraphFont"/>
    <w:uiPriority w:val="99"/>
    <w:unhideWhenUsed/>
    <w:rsid w:val="0013762A"/>
    <w:rPr>
      <w:color w:val="0000FF"/>
      <w:u w:val="single"/>
    </w:rPr>
  </w:style>
  <w:style w:type="character" w:customStyle="1" w:styleId="Heading4Char">
    <w:name w:val="Heading 4 Char"/>
    <w:basedOn w:val="DefaultParagraphFont"/>
    <w:link w:val="Heading4"/>
    <w:uiPriority w:val="9"/>
    <w:rsid w:val="009C6273"/>
    <w:rPr>
      <w:rFonts w:ascii="Bookman Old Style" w:eastAsiaTheme="majorEastAsia" w:hAnsi="Bookman Old Style" w:cstheme="majorBidi"/>
      <w:i/>
      <w:iCs/>
    </w:rPr>
  </w:style>
  <w:style w:type="character" w:styleId="PlaceholderText">
    <w:name w:val="Placeholder Text"/>
    <w:basedOn w:val="DefaultParagraphFont"/>
    <w:uiPriority w:val="99"/>
    <w:semiHidden/>
    <w:rsid w:val="004241D4"/>
    <w:rPr>
      <w:color w:val="808080"/>
    </w:rPr>
  </w:style>
  <w:style w:type="paragraph" w:styleId="NormalWeb">
    <w:name w:val="Normal (Web)"/>
    <w:basedOn w:val="Normal"/>
    <w:uiPriority w:val="99"/>
    <w:semiHidden/>
    <w:unhideWhenUsed/>
    <w:rsid w:val="0079769D"/>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3643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43ED"/>
    <w:rPr>
      <w:rFonts w:ascii="Bookman Old Style" w:hAnsi="Bookman Old Style"/>
    </w:rPr>
  </w:style>
  <w:style w:type="paragraph" w:styleId="Footer">
    <w:name w:val="footer"/>
    <w:basedOn w:val="Normal"/>
    <w:link w:val="FooterChar"/>
    <w:uiPriority w:val="99"/>
    <w:unhideWhenUsed/>
    <w:rsid w:val="003643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43ED"/>
    <w:rPr>
      <w:rFonts w:ascii="Bookman Old Style" w:hAnsi="Bookman Old Style"/>
    </w:rPr>
  </w:style>
  <w:style w:type="character" w:styleId="LineNumber">
    <w:name w:val="line number"/>
    <w:basedOn w:val="DefaultParagraphFont"/>
    <w:uiPriority w:val="99"/>
    <w:semiHidden/>
    <w:unhideWhenUsed/>
    <w:rsid w:val="00940023"/>
  </w:style>
  <w:style w:type="paragraph" w:styleId="TableofFigures">
    <w:name w:val="table of figures"/>
    <w:basedOn w:val="Normal"/>
    <w:next w:val="Normal"/>
    <w:uiPriority w:val="99"/>
    <w:unhideWhenUsed/>
    <w:rsid w:val="009D728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398168">
      <w:bodyDiv w:val="1"/>
      <w:marLeft w:val="0"/>
      <w:marRight w:val="0"/>
      <w:marTop w:val="0"/>
      <w:marBottom w:val="0"/>
      <w:divBdr>
        <w:top w:val="none" w:sz="0" w:space="0" w:color="auto"/>
        <w:left w:val="none" w:sz="0" w:space="0" w:color="auto"/>
        <w:bottom w:val="none" w:sz="0" w:space="0" w:color="auto"/>
        <w:right w:val="none" w:sz="0" w:space="0" w:color="auto"/>
      </w:divBdr>
    </w:div>
    <w:div w:id="990334011">
      <w:bodyDiv w:val="1"/>
      <w:marLeft w:val="0"/>
      <w:marRight w:val="0"/>
      <w:marTop w:val="0"/>
      <w:marBottom w:val="0"/>
      <w:divBdr>
        <w:top w:val="none" w:sz="0" w:space="0" w:color="auto"/>
        <w:left w:val="none" w:sz="0" w:space="0" w:color="auto"/>
        <w:bottom w:val="none" w:sz="0" w:space="0" w:color="auto"/>
        <w:right w:val="none" w:sz="0" w:space="0" w:color="auto"/>
      </w:divBdr>
    </w:div>
    <w:div w:id="1144541296">
      <w:bodyDiv w:val="1"/>
      <w:marLeft w:val="0"/>
      <w:marRight w:val="0"/>
      <w:marTop w:val="0"/>
      <w:marBottom w:val="0"/>
      <w:divBdr>
        <w:top w:val="none" w:sz="0" w:space="0" w:color="auto"/>
        <w:left w:val="none" w:sz="0" w:space="0" w:color="auto"/>
        <w:bottom w:val="none" w:sz="0" w:space="0" w:color="auto"/>
        <w:right w:val="none" w:sz="0" w:space="0" w:color="auto"/>
      </w:divBdr>
      <w:divsChild>
        <w:div w:id="1076247791">
          <w:marLeft w:val="0"/>
          <w:marRight w:val="0"/>
          <w:marTop w:val="0"/>
          <w:marBottom w:val="0"/>
          <w:divBdr>
            <w:top w:val="none" w:sz="0" w:space="0" w:color="auto"/>
            <w:left w:val="none" w:sz="0" w:space="0" w:color="auto"/>
            <w:bottom w:val="none" w:sz="0" w:space="0" w:color="auto"/>
            <w:right w:val="none" w:sz="0" w:space="0" w:color="auto"/>
          </w:divBdr>
        </w:div>
      </w:divsChild>
    </w:div>
    <w:div w:id="1168059393">
      <w:bodyDiv w:val="1"/>
      <w:marLeft w:val="0"/>
      <w:marRight w:val="0"/>
      <w:marTop w:val="0"/>
      <w:marBottom w:val="0"/>
      <w:divBdr>
        <w:top w:val="none" w:sz="0" w:space="0" w:color="auto"/>
        <w:left w:val="none" w:sz="0" w:space="0" w:color="auto"/>
        <w:bottom w:val="none" w:sz="0" w:space="0" w:color="auto"/>
        <w:right w:val="none" w:sz="0" w:space="0" w:color="auto"/>
      </w:divBdr>
    </w:div>
    <w:div w:id="1281300476">
      <w:bodyDiv w:val="1"/>
      <w:marLeft w:val="0"/>
      <w:marRight w:val="0"/>
      <w:marTop w:val="0"/>
      <w:marBottom w:val="0"/>
      <w:divBdr>
        <w:top w:val="none" w:sz="0" w:space="0" w:color="auto"/>
        <w:left w:val="none" w:sz="0" w:space="0" w:color="auto"/>
        <w:bottom w:val="none" w:sz="0" w:space="0" w:color="auto"/>
        <w:right w:val="none" w:sz="0" w:space="0" w:color="auto"/>
      </w:divBdr>
    </w:div>
    <w:div w:id="1389376902">
      <w:bodyDiv w:val="1"/>
      <w:marLeft w:val="0"/>
      <w:marRight w:val="0"/>
      <w:marTop w:val="0"/>
      <w:marBottom w:val="0"/>
      <w:divBdr>
        <w:top w:val="none" w:sz="0" w:space="0" w:color="auto"/>
        <w:left w:val="none" w:sz="0" w:space="0" w:color="auto"/>
        <w:bottom w:val="none" w:sz="0" w:space="0" w:color="auto"/>
        <w:right w:val="none" w:sz="0" w:space="0" w:color="auto"/>
      </w:divBdr>
    </w:div>
    <w:div w:id="1396126532">
      <w:bodyDiv w:val="1"/>
      <w:marLeft w:val="0"/>
      <w:marRight w:val="0"/>
      <w:marTop w:val="0"/>
      <w:marBottom w:val="0"/>
      <w:divBdr>
        <w:top w:val="none" w:sz="0" w:space="0" w:color="auto"/>
        <w:left w:val="none" w:sz="0" w:space="0" w:color="auto"/>
        <w:bottom w:val="none" w:sz="0" w:space="0" w:color="auto"/>
        <w:right w:val="none" w:sz="0" w:space="0" w:color="auto"/>
      </w:divBdr>
    </w:div>
    <w:div w:id="1716663898">
      <w:bodyDiv w:val="1"/>
      <w:marLeft w:val="0"/>
      <w:marRight w:val="0"/>
      <w:marTop w:val="0"/>
      <w:marBottom w:val="0"/>
      <w:divBdr>
        <w:top w:val="none" w:sz="0" w:space="0" w:color="auto"/>
        <w:left w:val="none" w:sz="0" w:space="0" w:color="auto"/>
        <w:bottom w:val="none" w:sz="0" w:space="0" w:color="auto"/>
        <w:right w:val="none" w:sz="0" w:space="0" w:color="auto"/>
      </w:divBdr>
    </w:div>
    <w:div w:id="1976834600">
      <w:bodyDiv w:val="1"/>
      <w:marLeft w:val="0"/>
      <w:marRight w:val="0"/>
      <w:marTop w:val="0"/>
      <w:marBottom w:val="0"/>
      <w:divBdr>
        <w:top w:val="none" w:sz="0" w:space="0" w:color="auto"/>
        <w:left w:val="none" w:sz="0" w:space="0" w:color="auto"/>
        <w:bottom w:val="none" w:sz="0" w:space="0" w:color="auto"/>
        <w:right w:val="none" w:sz="0" w:space="0" w:color="auto"/>
      </w:divBdr>
      <w:divsChild>
        <w:div w:id="459808263">
          <w:marLeft w:val="0"/>
          <w:marRight w:val="0"/>
          <w:marTop w:val="0"/>
          <w:marBottom w:val="0"/>
          <w:divBdr>
            <w:top w:val="none" w:sz="0" w:space="0" w:color="auto"/>
            <w:left w:val="none" w:sz="0" w:space="0" w:color="auto"/>
            <w:bottom w:val="none" w:sz="0" w:space="0" w:color="auto"/>
            <w:right w:val="none" w:sz="0" w:space="0" w:color="auto"/>
          </w:divBdr>
        </w:div>
        <w:div w:id="586810536">
          <w:marLeft w:val="0"/>
          <w:marRight w:val="0"/>
          <w:marTop w:val="0"/>
          <w:marBottom w:val="0"/>
          <w:divBdr>
            <w:top w:val="none" w:sz="0" w:space="0" w:color="auto"/>
            <w:left w:val="none" w:sz="0" w:space="0" w:color="auto"/>
            <w:bottom w:val="none" w:sz="0" w:space="0" w:color="auto"/>
            <w:right w:val="none" w:sz="0" w:space="0" w:color="auto"/>
          </w:divBdr>
        </w:div>
        <w:div w:id="792556490">
          <w:marLeft w:val="0"/>
          <w:marRight w:val="0"/>
          <w:marTop w:val="0"/>
          <w:marBottom w:val="0"/>
          <w:divBdr>
            <w:top w:val="none" w:sz="0" w:space="0" w:color="auto"/>
            <w:left w:val="none" w:sz="0" w:space="0" w:color="auto"/>
            <w:bottom w:val="none" w:sz="0" w:space="0" w:color="auto"/>
            <w:right w:val="none" w:sz="0" w:space="0" w:color="auto"/>
          </w:divBdr>
        </w:div>
        <w:div w:id="934902124">
          <w:marLeft w:val="0"/>
          <w:marRight w:val="0"/>
          <w:marTop w:val="0"/>
          <w:marBottom w:val="0"/>
          <w:divBdr>
            <w:top w:val="none" w:sz="0" w:space="0" w:color="auto"/>
            <w:left w:val="none" w:sz="0" w:space="0" w:color="auto"/>
            <w:bottom w:val="none" w:sz="0" w:space="0" w:color="auto"/>
            <w:right w:val="none" w:sz="0" w:space="0" w:color="auto"/>
          </w:divBdr>
        </w:div>
        <w:div w:id="1264845681">
          <w:marLeft w:val="0"/>
          <w:marRight w:val="0"/>
          <w:marTop w:val="0"/>
          <w:marBottom w:val="0"/>
          <w:divBdr>
            <w:top w:val="none" w:sz="0" w:space="0" w:color="auto"/>
            <w:left w:val="none" w:sz="0" w:space="0" w:color="auto"/>
            <w:bottom w:val="none" w:sz="0" w:space="0" w:color="auto"/>
            <w:right w:val="none" w:sz="0" w:space="0" w:color="auto"/>
          </w:divBdr>
        </w:div>
      </w:divsChild>
    </w:div>
    <w:div w:id="208483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709F2BBE8F54C98D2C208B7E12740" ma:contentTypeVersion="13" ma:contentTypeDescription="Create a new document." ma:contentTypeScope="" ma:versionID="ce025209e37713e9809547ff18bf7f29">
  <xsd:schema xmlns:xsd="http://www.w3.org/2001/XMLSchema" xmlns:xs="http://www.w3.org/2001/XMLSchema" xmlns:p="http://schemas.microsoft.com/office/2006/metadata/properties" xmlns:ns3="dd447ef8-8e45-4633-8169-25d530fb4b94" xmlns:ns4="99aea34b-c71d-4d93-bff2-7fb49f9d16b5" targetNamespace="http://schemas.microsoft.com/office/2006/metadata/properties" ma:root="true" ma:fieldsID="9c79fd07c5aaccb06070d833f7b9180e" ns3:_="" ns4:_="">
    <xsd:import namespace="dd447ef8-8e45-4633-8169-25d530fb4b94"/>
    <xsd:import namespace="99aea34b-c71d-4d93-bff2-7fb49f9d16b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447ef8-8e45-4633-8169-25d530fb4b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aea34b-c71d-4d93-bff2-7fb49f9d16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A22ED5B-AA20-491F-8F4B-95F967ADB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447ef8-8e45-4633-8169-25d530fb4b94"/>
    <ds:schemaRef ds:uri="99aea34b-c71d-4d93-bff2-7fb49f9d16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656202-6EAC-429D-B945-E9F2A0A814AE}">
  <ds:schemaRefs>
    <ds:schemaRef ds:uri="http://schemas.microsoft.com/sharepoint/v3/contenttype/forms"/>
  </ds:schemaRefs>
</ds:datastoreItem>
</file>

<file path=customXml/itemProps3.xml><?xml version="1.0" encoding="utf-8"?>
<ds:datastoreItem xmlns:ds="http://schemas.openxmlformats.org/officeDocument/2006/customXml" ds:itemID="{2438601B-68EB-4AF5-8B67-6E961B9042F3}">
  <ds:schemaRefs>
    <ds:schemaRef ds:uri="http://schemas.microsoft.com/office/2006/documentManagement/types"/>
    <ds:schemaRef ds:uri="dd447ef8-8e45-4633-8169-25d530fb4b94"/>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99aea34b-c71d-4d93-bff2-7fb49f9d16b5"/>
    <ds:schemaRef ds:uri="http://www.w3.org/XML/1998/namespace"/>
    <ds:schemaRef ds:uri="http://purl.org/dc/dcmitype/"/>
  </ds:schemaRefs>
</ds:datastoreItem>
</file>

<file path=customXml/itemProps4.xml><?xml version="1.0" encoding="utf-8"?>
<ds:datastoreItem xmlns:ds="http://schemas.openxmlformats.org/officeDocument/2006/customXml" ds:itemID="{E6129A17-E379-4C8E-88EB-C8FEC7117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23</Pages>
  <Words>31547</Words>
  <Characters>179824</Characters>
  <Application>Microsoft Office Word</Application>
  <DocSecurity>0</DocSecurity>
  <Lines>1498</Lines>
  <Paragraphs>421</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210950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Walls (PGR)</dc:creator>
  <cp:keywords/>
  <dc:description/>
  <cp:lastModifiedBy>WALLS Laura</cp:lastModifiedBy>
  <cp:revision>6</cp:revision>
  <dcterms:created xsi:type="dcterms:W3CDTF">2021-08-02T12:57:00Z</dcterms:created>
  <dcterms:modified xsi:type="dcterms:W3CDTF">2021-08-02T17:19:00Z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0x010100A99709F2BBE8F54C98D2C208B7E12740</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http://www.zotero.org/styles/bioresource-technology</vt:lpwstr>
  </property>
  <property fmtid="{D5CDD505-2E9C-101B-9397-08002B2CF9AE}" pid="8" name="Mendeley Recent Style Name 2_1">
    <vt:lpwstr>Bioresource Technology</vt:lpwstr>
  </property>
  <property fmtid="{D5CDD505-2E9C-101B-9397-08002B2CF9AE}" pid="9" name="Mendeley Recent Style Id 3_1">
    <vt:lpwstr>http://www.zotero.org/styles/biotechnology-journal</vt:lpwstr>
  </property>
  <property fmtid="{D5CDD505-2E9C-101B-9397-08002B2CF9AE}" pid="10" name="Mendeley Recent Style Name 3_1">
    <vt:lpwstr>Biotechnology Journal</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http://www.zotero.org/styles/frontiers-in-bioengineering-and-biotechnology</vt:lpwstr>
  </property>
  <property fmtid="{D5CDD505-2E9C-101B-9397-08002B2CF9AE}" pid="14" name="Mendeley Recent Style Name 5_1">
    <vt:lpwstr>Frontiers in Bioengineering and Biotechnology</vt:lpwstr>
  </property>
  <property fmtid="{D5CDD505-2E9C-101B-9397-08002B2CF9AE}" pid="15" name="Mendeley Recent Style Id 6_1">
    <vt:lpwstr>http://www.zotero.org/styles/microbial-biotechnology</vt:lpwstr>
  </property>
  <property fmtid="{D5CDD505-2E9C-101B-9397-08002B2CF9AE}" pid="16" name="Mendeley Recent Style Name 6_1">
    <vt:lpwstr>Microbial Biotechnology</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1a860455-566a-31df-b124-911f530b5977</vt:lpwstr>
  </property>
  <property fmtid="{D5CDD505-2E9C-101B-9397-08002B2CF9AE}" pid="25" name="Mendeley Citation Style_1">
    <vt:lpwstr>http://www.zotero.org/styles/biotechnology-journal</vt:lpwstr>
  </property>
</Properties>
</file>